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382" w:rsidRPr="006D19E9" w:rsidRDefault="00212382" w:rsidP="00212382">
      <w:pPr>
        <w:spacing w:line="240" w:lineRule="auto"/>
        <w:jc w:val="left"/>
        <w:rPr>
          <w:szCs w:val="6"/>
        </w:rPr>
        <w:sectPr w:rsidR="00212382" w:rsidRPr="006D19E9" w:rsidSect="0021238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sidRPr="006D19E9">
        <w:rPr>
          <w:rStyle w:val="CommentReference"/>
        </w:rPr>
        <w:commentReference w:id="0"/>
      </w:r>
      <w:bookmarkStart w:id="1" w:name="_GoBack"/>
      <w:bookmarkEnd w:id="1"/>
    </w:p>
    <w:p w:rsidR="00212382" w:rsidRPr="006D19E9" w:rsidRDefault="00212382" w:rsidP="00212382">
      <w:pPr>
        <w:pStyle w:val="H1"/>
        <w:rPr>
          <w:rtl/>
        </w:rPr>
      </w:pPr>
      <w:r w:rsidRPr="006D19E9">
        <w:rPr>
          <w:rFonts w:hint="cs"/>
          <w:rtl/>
        </w:rPr>
        <w:lastRenderedPageBreak/>
        <w:t>مجلس</w:t>
      </w:r>
      <w:r w:rsidRPr="006D19E9">
        <w:rPr>
          <w:rtl/>
        </w:rPr>
        <w:t xml:space="preserve"> حقوق الإنسان</w:t>
      </w:r>
    </w:p>
    <w:p w:rsidR="00C47F5D" w:rsidRPr="006D19E9" w:rsidRDefault="00C47F5D" w:rsidP="00C47F5D">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6D19E9">
        <w:rPr>
          <w:rtl/>
        </w:rPr>
        <w:t xml:space="preserve">الدورة </w:t>
      </w:r>
      <w:r w:rsidRPr="006D19E9">
        <w:rPr>
          <w:rFonts w:hint="cs"/>
          <w:rtl/>
        </w:rPr>
        <w:t>الثلاثون</w:t>
      </w:r>
    </w:p>
    <w:p w:rsidR="00C47F5D" w:rsidRPr="006D19E9" w:rsidRDefault="00C47F5D" w:rsidP="00C47F5D">
      <w:pPr>
        <w:rPr>
          <w:rtl/>
        </w:rPr>
      </w:pPr>
      <w:r w:rsidRPr="006D19E9">
        <w:rPr>
          <w:rtl/>
        </w:rPr>
        <w:t>البند</w:t>
      </w:r>
      <w:r w:rsidRPr="006D19E9">
        <w:rPr>
          <w:rFonts w:hint="cs"/>
          <w:rtl/>
        </w:rPr>
        <w:t>ان</w:t>
      </w:r>
      <w:r w:rsidRPr="006D19E9">
        <w:rPr>
          <w:rtl/>
        </w:rPr>
        <w:t xml:space="preserve"> 2 </w:t>
      </w:r>
      <w:r w:rsidRPr="006D19E9">
        <w:rPr>
          <w:rFonts w:hint="cs"/>
          <w:rtl/>
        </w:rPr>
        <w:t xml:space="preserve">و3 </w:t>
      </w:r>
      <w:r w:rsidRPr="006D19E9">
        <w:rPr>
          <w:rtl/>
        </w:rPr>
        <w:t xml:space="preserve">من جدول الأعمال </w:t>
      </w:r>
      <w:r w:rsidRPr="006D19E9">
        <w:rPr>
          <w:rFonts w:hint="cs"/>
          <w:rtl/>
        </w:rPr>
        <w:t>المؤقت</w:t>
      </w:r>
    </w:p>
    <w:p w:rsidR="00C47F5D" w:rsidRPr="006D19E9" w:rsidRDefault="00C47F5D" w:rsidP="00C47F5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right="4382"/>
        <w:rPr>
          <w:rtl/>
        </w:rPr>
      </w:pPr>
      <w:r w:rsidRPr="006D19E9">
        <w:rPr>
          <w:rtl/>
        </w:rPr>
        <w:t>التقرير السنوي لمفوض الأمم المتحدة السامي لحقوق الإنسان، وتقارير مفوضية الأمم المتحدة السامية والأمين العام</w:t>
      </w:r>
    </w:p>
    <w:p w:rsidR="00C47F5D" w:rsidRPr="006D19E9" w:rsidRDefault="00C47F5D" w:rsidP="00C47F5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right="4382"/>
        <w:rPr>
          <w:rtl/>
        </w:rPr>
      </w:pPr>
      <w:r w:rsidRPr="006D19E9">
        <w:rPr>
          <w:rtl/>
        </w:rPr>
        <w:t>تعزيز وحماية جميع حقوق الإنسان، المدنية والسياسية والاقتصادية والاجتماعية والثقافية، بما في ذلك الحق في التنمية</w:t>
      </w:r>
    </w:p>
    <w:p w:rsidR="00C47F5D" w:rsidRPr="006D19E9" w:rsidRDefault="00C47F5D" w:rsidP="00C47F5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5C2ED7" w:rsidRDefault="00C47F5D" w:rsidP="005C2ED7">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Style w:val="FootnoteReference"/>
          <w:color w:val="auto"/>
          <w:szCs w:val="36"/>
          <w:vertAlign w:val="baseline"/>
          <w:rtl/>
        </w:rPr>
      </w:pPr>
      <w:r w:rsidRPr="006D19E9">
        <w:rPr>
          <w:rFonts w:hint="cs"/>
          <w:rtl/>
        </w:rPr>
        <w:tab/>
      </w:r>
      <w:r w:rsidRPr="006D19E9">
        <w:rPr>
          <w:rFonts w:hint="cs"/>
          <w:rtl/>
        </w:rPr>
        <w:tab/>
        <w:t xml:space="preserve">دور منع الانتهاكات في </w:t>
      </w:r>
      <w:r w:rsidRPr="006D19E9">
        <w:rPr>
          <w:rtl/>
        </w:rPr>
        <w:t>تعزيز حقوق الإنسان</w:t>
      </w:r>
      <w:r w:rsidR="005C2ED7">
        <w:rPr>
          <w:rFonts w:hint="cs"/>
          <w:rtl/>
        </w:rPr>
        <w:t xml:space="preserve"> </w:t>
      </w:r>
      <w:r w:rsidRPr="006D19E9">
        <w:rPr>
          <w:rtl/>
        </w:rPr>
        <w:t>وحماي</w:t>
      </w:r>
      <w:r w:rsidRPr="006D19E9">
        <w:rPr>
          <w:rFonts w:hint="cs"/>
          <w:rtl/>
        </w:rPr>
        <w:t>تها</w:t>
      </w:r>
      <w:r w:rsidRPr="006D19E9">
        <w:rPr>
          <w:rtl/>
        </w:rPr>
        <w:t xml:space="preserve"> </w:t>
      </w: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D19E9">
        <w:rPr>
          <w:rFonts w:hint="cs"/>
          <w:rtl/>
        </w:rPr>
        <w:tab/>
      </w:r>
      <w:r w:rsidRPr="006D19E9">
        <w:rPr>
          <w:rFonts w:hint="cs"/>
          <w:rtl/>
        </w:rPr>
        <w:tab/>
      </w:r>
      <w:r w:rsidRPr="006D19E9">
        <w:rPr>
          <w:rtl/>
        </w:rPr>
        <w:t>تقرير مفوض</w:t>
      </w:r>
      <w:r w:rsidRPr="006D19E9">
        <w:rPr>
          <w:rFonts w:hint="cs"/>
          <w:rtl/>
        </w:rPr>
        <w:t>ية</w:t>
      </w:r>
      <w:r w:rsidRPr="006D19E9">
        <w:rPr>
          <w:rtl/>
        </w:rPr>
        <w:t xml:space="preserve"> الأمم المتحدة السامي</w:t>
      </w:r>
      <w:r w:rsidRPr="006D19E9">
        <w:rPr>
          <w:rFonts w:hint="cs"/>
          <w:rtl/>
        </w:rPr>
        <w:t>ة</w:t>
      </w:r>
      <w:r w:rsidRPr="006D19E9">
        <w:rPr>
          <w:rtl/>
        </w:rPr>
        <w:t xml:space="preserve"> لحقوق الإنسان</w:t>
      </w:r>
    </w:p>
    <w:p w:rsidR="00C47F5D" w:rsidRPr="006D19E9" w:rsidRDefault="00C47F5D" w:rsidP="00C47F5D">
      <w:pPr>
        <w:pStyle w:val="SingleTxt"/>
        <w:spacing w:after="0" w:line="120" w:lineRule="exact"/>
        <w:rPr>
          <w:sz w:val="10"/>
          <w:rtl/>
        </w:rPr>
      </w:pPr>
    </w:p>
    <w:p w:rsidR="00C47F5D" w:rsidRPr="006D19E9" w:rsidRDefault="00C47F5D" w:rsidP="00C47F5D">
      <w:pPr>
        <w:pStyle w:val="SingleTxt"/>
        <w:spacing w:after="0"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6D19E9" w:rsidRPr="006D19E9" w:rsidTr="00C47F5D">
        <w:trPr>
          <w:jc w:val="center"/>
        </w:trPr>
        <w:tc>
          <w:tcPr>
            <w:tcW w:w="10051" w:type="dxa"/>
            <w:tcBorders>
              <w:top w:val="single" w:sz="2" w:space="0" w:color="auto"/>
            </w:tcBorders>
            <w:shd w:val="clear" w:color="auto" w:fill="auto"/>
          </w:tcPr>
          <w:p w:rsidR="00C47F5D" w:rsidRPr="006D19E9" w:rsidRDefault="00C47F5D" w:rsidP="00C47F5D">
            <w:pPr>
              <w:tabs>
                <w:tab w:val="left" w:pos="240"/>
              </w:tabs>
              <w:spacing w:before="240" w:after="120"/>
              <w:jc w:val="left"/>
              <w:rPr>
                <w:iCs/>
                <w:rtl/>
              </w:rPr>
            </w:pPr>
            <w:r w:rsidRPr="006D19E9">
              <w:rPr>
                <w:iCs/>
                <w:rtl/>
              </w:rPr>
              <w:tab/>
              <w:t>موجز</w:t>
            </w:r>
          </w:p>
        </w:tc>
      </w:tr>
      <w:tr w:rsidR="006D19E9" w:rsidRPr="006D19E9" w:rsidTr="00C47F5D">
        <w:trPr>
          <w:jc w:val="center"/>
        </w:trPr>
        <w:tc>
          <w:tcPr>
            <w:tcW w:w="10051" w:type="dxa"/>
            <w:shd w:val="clear" w:color="auto" w:fill="auto"/>
          </w:tcPr>
          <w:p w:rsidR="00C47F5D" w:rsidRPr="006D19E9" w:rsidRDefault="00C47F5D" w:rsidP="00C47F5D">
            <w:pPr>
              <w:pStyle w:val="SingleTxt"/>
              <w:rPr>
                <w:rtl/>
              </w:rPr>
            </w:pPr>
            <w:r w:rsidRPr="006D19E9">
              <w:rPr>
                <w:rtl/>
              </w:rPr>
              <w:tab/>
              <w:t>طلب مجلس حقوق الإنسان في قراره 24/16 إلى مفوضية الأمم المتحدة السامية لحقوق الإنسان أن تعدّ مشروع دراسة عن منع انتهاكات حقوق الإنسان وتنفيذه عملياً، وأن تقدّم هذه الدراسة إلى المجلس في دورته الثلاثين. وعلى النحو المطلوب في القرار، تأخذ هذه الدراسة في الاعتبار نتائج حلقة النقاش المتعلقة بدور منع الانتهاكات في تعزيز حقوق الإنسان وحمايتها،</w:t>
            </w:r>
            <w:r w:rsidR="006D19E9">
              <w:rPr>
                <w:rtl/>
              </w:rPr>
              <w:t xml:space="preserve"> </w:t>
            </w:r>
            <w:r w:rsidRPr="006D19E9">
              <w:rPr>
                <w:rtl/>
              </w:rPr>
              <w:t>المعقودة في الدورة السابعة والعشرين للمجلس.</w:t>
            </w:r>
          </w:p>
        </w:tc>
      </w:tr>
      <w:tr w:rsidR="006D19E9" w:rsidRPr="006D19E9" w:rsidTr="00C47F5D">
        <w:trPr>
          <w:jc w:val="center"/>
        </w:trPr>
        <w:tc>
          <w:tcPr>
            <w:tcW w:w="10051" w:type="dxa"/>
            <w:shd w:val="clear" w:color="auto" w:fill="auto"/>
          </w:tcPr>
          <w:p w:rsidR="00C47F5D" w:rsidRPr="006D19E9" w:rsidRDefault="00C47F5D" w:rsidP="00C47F5D">
            <w:pPr>
              <w:pStyle w:val="SingleTxt"/>
              <w:rPr>
                <w:rtl/>
              </w:rPr>
            </w:pPr>
            <w:r w:rsidRPr="006D19E9">
              <w:rPr>
                <w:rFonts w:hint="cs"/>
                <w:rtl/>
              </w:rPr>
              <w:tab/>
            </w:r>
            <w:r w:rsidRPr="006D19E9">
              <w:rPr>
                <w:rtl/>
              </w:rPr>
              <w:t>وتسعى هذه الدراسة إلى تقديم معلومات إضافية عن مفهوم منع انتهاكات حقوق الإنسان، وتحديد الوسائل العملية الواجب اعتمادها لمنع الانتهاكات، وإلقاء الضوء على دور أصحاب المصلحة الدوليين والإقليميين.</w:t>
            </w:r>
          </w:p>
        </w:tc>
      </w:tr>
      <w:tr w:rsidR="006D19E9" w:rsidRPr="006D19E9" w:rsidTr="00C47F5D">
        <w:trPr>
          <w:jc w:val="center"/>
        </w:trPr>
        <w:tc>
          <w:tcPr>
            <w:tcW w:w="10051" w:type="dxa"/>
            <w:tcBorders>
              <w:bottom w:val="single" w:sz="2" w:space="0" w:color="auto"/>
            </w:tcBorders>
            <w:shd w:val="clear" w:color="auto" w:fill="auto"/>
          </w:tcPr>
          <w:p w:rsidR="00C47F5D" w:rsidRPr="006D19E9" w:rsidRDefault="00C47F5D" w:rsidP="00C47F5D">
            <w:pPr>
              <w:pStyle w:val="SingleTxt"/>
              <w:rPr>
                <w:rtl/>
              </w:rPr>
            </w:pPr>
          </w:p>
        </w:tc>
      </w:tr>
    </w:tbl>
    <w:p w:rsidR="00C47F5D" w:rsidRPr="006D19E9" w:rsidRDefault="00C47F5D" w:rsidP="00C47F5D">
      <w:pPr>
        <w:pStyle w:val="SingleTxt"/>
        <w:rPr>
          <w:rtl/>
        </w:rPr>
      </w:pPr>
    </w:p>
    <w:p w:rsidR="00C47F5D" w:rsidRPr="006D19E9" w:rsidRDefault="00C47F5D" w:rsidP="00C47F5D">
      <w:pPr>
        <w:pStyle w:val="HCh"/>
        <w:spacing w:after="120"/>
        <w:rPr>
          <w:rtl/>
        </w:rPr>
      </w:pPr>
      <w:r w:rsidRPr="006D19E9">
        <w:rPr>
          <w:rFonts w:hint="cs"/>
          <w:rtl/>
        </w:rPr>
        <w:lastRenderedPageBreak/>
        <w:t>المحتويات</w:t>
      </w:r>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6D19E9" w:rsidRPr="006D19E9" w:rsidTr="005C2ED7">
        <w:tc>
          <w:tcPr>
            <w:tcW w:w="1296" w:type="dxa"/>
            <w:shd w:val="clear" w:color="auto" w:fill="auto"/>
          </w:tcPr>
          <w:p w:rsidR="00C47F5D" w:rsidRPr="006D19E9" w:rsidRDefault="00C47F5D" w:rsidP="00C47F5D">
            <w:pPr>
              <w:spacing w:after="120" w:line="240" w:lineRule="auto"/>
              <w:jc w:val="right"/>
              <w:rPr>
                <w:iCs/>
                <w:sz w:val="14"/>
                <w:rtl/>
              </w:rPr>
            </w:pPr>
          </w:p>
        </w:tc>
        <w:tc>
          <w:tcPr>
            <w:tcW w:w="6566" w:type="dxa"/>
            <w:shd w:val="clear" w:color="auto" w:fill="auto"/>
          </w:tcPr>
          <w:p w:rsidR="00C47F5D" w:rsidRPr="006D19E9" w:rsidRDefault="00C47F5D" w:rsidP="00C47F5D">
            <w:pPr>
              <w:spacing w:after="120" w:line="240" w:lineRule="auto"/>
              <w:rPr>
                <w:iCs/>
                <w:sz w:val="14"/>
                <w:rtl/>
              </w:rPr>
            </w:pPr>
          </w:p>
        </w:tc>
        <w:tc>
          <w:tcPr>
            <w:tcW w:w="1167" w:type="dxa"/>
            <w:shd w:val="clear" w:color="auto" w:fill="auto"/>
          </w:tcPr>
          <w:p w:rsidR="00C47F5D" w:rsidRPr="006D19E9" w:rsidRDefault="00C47F5D" w:rsidP="00C47F5D">
            <w:pPr>
              <w:spacing w:after="120" w:line="240" w:lineRule="auto"/>
              <w:jc w:val="right"/>
              <w:rPr>
                <w:iCs/>
                <w:sz w:val="14"/>
                <w:rtl/>
              </w:rPr>
            </w:pPr>
          </w:p>
        </w:tc>
        <w:tc>
          <w:tcPr>
            <w:tcW w:w="806" w:type="dxa"/>
            <w:shd w:val="clear" w:color="auto" w:fill="auto"/>
          </w:tcPr>
          <w:p w:rsidR="00C47F5D" w:rsidRPr="006D19E9" w:rsidRDefault="00C47F5D" w:rsidP="00C47F5D">
            <w:pPr>
              <w:spacing w:after="120" w:line="240" w:lineRule="auto"/>
              <w:jc w:val="right"/>
              <w:rPr>
                <w:iCs/>
                <w:sz w:val="14"/>
                <w:rtl/>
              </w:rPr>
            </w:pPr>
            <w:r w:rsidRPr="006D19E9">
              <w:rPr>
                <w:rFonts w:hint="cs"/>
                <w:iCs/>
                <w:sz w:val="14"/>
                <w:rtl/>
              </w:rPr>
              <w:t>الصفحة</w:t>
            </w:r>
          </w:p>
        </w:tc>
      </w:tr>
      <w:tr w:rsidR="006D19E9" w:rsidRPr="006D19E9" w:rsidTr="00C47F5D">
        <w:tc>
          <w:tcPr>
            <w:tcW w:w="9029" w:type="dxa"/>
            <w:gridSpan w:val="3"/>
            <w:shd w:val="clear" w:color="auto" w:fill="auto"/>
          </w:tcPr>
          <w:p w:rsidR="00C47F5D" w:rsidRPr="005C2ED7" w:rsidRDefault="005C2ED7" w:rsidP="005C2ED7">
            <w:pPr>
              <w:tabs>
                <w:tab w:val="right" w:pos="1080"/>
                <w:tab w:val="left" w:pos="1296"/>
                <w:tab w:val="left" w:pos="1728"/>
                <w:tab w:val="right" w:leader="dot" w:pos="9029"/>
              </w:tabs>
              <w:spacing w:after="120"/>
              <w:jc w:val="left"/>
              <w:rPr>
                <w:spacing w:val="60"/>
                <w:sz w:val="17"/>
                <w:rtl/>
              </w:rPr>
            </w:pPr>
            <w:r w:rsidRPr="005C2ED7">
              <w:rPr>
                <w:rtl/>
              </w:rPr>
              <w:tab/>
              <w:t>أولاً-</w:t>
            </w:r>
            <w:r w:rsidRPr="005C2ED7">
              <w:rPr>
                <w:rtl/>
              </w:rPr>
              <w:tab/>
              <w:t>مقدمة</w:t>
            </w:r>
            <w:r>
              <w:rPr>
                <w:spacing w:val="60"/>
                <w:sz w:val="17"/>
                <w:rtl/>
              </w:rPr>
              <w:tab/>
            </w:r>
          </w:p>
        </w:tc>
        <w:tc>
          <w:tcPr>
            <w:tcW w:w="806" w:type="dxa"/>
            <w:shd w:val="clear" w:color="auto" w:fill="auto"/>
            <w:vAlign w:val="bottom"/>
          </w:tcPr>
          <w:p w:rsidR="00C47F5D" w:rsidRPr="006D19E9" w:rsidRDefault="005C2ED7" w:rsidP="00C47F5D">
            <w:pPr>
              <w:spacing w:after="120"/>
              <w:jc w:val="right"/>
              <w:rPr>
                <w:rtl/>
              </w:rPr>
            </w:pPr>
            <w:r>
              <w:rPr>
                <w:rFonts w:hint="cs"/>
                <w:rtl/>
              </w:rPr>
              <w:t>3</w:t>
            </w:r>
          </w:p>
        </w:tc>
      </w:tr>
      <w:tr w:rsidR="005C2ED7" w:rsidRPr="006D19E9" w:rsidTr="00C47F5D">
        <w:tc>
          <w:tcPr>
            <w:tcW w:w="9029" w:type="dxa"/>
            <w:gridSpan w:val="3"/>
            <w:shd w:val="clear" w:color="auto" w:fill="auto"/>
          </w:tcPr>
          <w:p w:rsidR="005C2ED7" w:rsidRPr="005C2ED7" w:rsidRDefault="005C2ED7" w:rsidP="005C2ED7">
            <w:pPr>
              <w:tabs>
                <w:tab w:val="right" w:pos="1080"/>
                <w:tab w:val="left" w:pos="1296"/>
                <w:tab w:val="left" w:pos="1728"/>
                <w:tab w:val="left" w:pos="2160"/>
                <w:tab w:val="left" w:pos="2592"/>
                <w:tab w:val="right" w:leader="dot" w:pos="9029"/>
              </w:tabs>
              <w:spacing w:after="120"/>
              <w:jc w:val="left"/>
              <w:rPr>
                <w:spacing w:val="60"/>
                <w:sz w:val="17"/>
                <w:rtl/>
              </w:rPr>
            </w:pPr>
            <w:r>
              <w:rPr>
                <w:rtl/>
              </w:rPr>
              <w:tab/>
              <w:t>ثانياً-</w:t>
            </w:r>
            <w:r>
              <w:rPr>
                <w:rtl/>
              </w:rPr>
              <w:tab/>
              <w:t>مفهوم منع الانتهاكات</w:t>
            </w:r>
            <w:r>
              <w:rPr>
                <w:spacing w:val="60"/>
                <w:sz w:val="17"/>
                <w:rtl/>
              </w:rPr>
              <w:tab/>
            </w:r>
          </w:p>
        </w:tc>
        <w:tc>
          <w:tcPr>
            <w:tcW w:w="806" w:type="dxa"/>
            <w:shd w:val="clear" w:color="auto" w:fill="auto"/>
            <w:vAlign w:val="bottom"/>
          </w:tcPr>
          <w:p w:rsidR="005C2ED7" w:rsidRPr="006D19E9" w:rsidRDefault="005C2ED7" w:rsidP="00C47F5D">
            <w:pPr>
              <w:spacing w:after="120"/>
              <w:jc w:val="right"/>
              <w:rPr>
                <w:rtl/>
              </w:rPr>
            </w:pPr>
            <w:r>
              <w:rPr>
                <w:rFonts w:hint="cs"/>
                <w:rtl/>
              </w:rPr>
              <w:t>4</w:t>
            </w:r>
          </w:p>
        </w:tc>
      </w:tr>
      <w:tr w:rsidR="005C2ED7" w:rsidRPr="006D19E9" w:rsidTr="00C47F5D">
        <w:tc>
          <w:tcPr>
            <w:tcW w:w="9029" w:type="dxa"/>
            <w:gridSpan w:val="3"/>
            <w:shd w:val="clear" w:color="auto" w:fill="auto"/>
          </w:tcPr>
          <w:p w:rsidR="005C2ED7" w:rsidRPr="005C2ED7" w:rsidRDefault="005C2ED7" w:rsidP="00B968C2">
            <w:pPr>
              <w:tabs>
                <w:tab w:val="right" w:pos="1080"/>
                <w:tab w:val="left" w:pos="1296"/>
                <w:tab w:val="left" w:pos="1728"/>
                <w:tab w:val="left" w:pos="2160"/>
                <w:tab w:val="left" w:pos="2592"/>
                <w:tab w:val="left" w:pos="3024"/>
                <w:tab w:val="left" w:pos="3456"/>
                <w:tab w:val="right" w:leader="dot" w:pos="9029"/>
              </w:tabs>
              <w:jc w:val="left"/>
              <w:rPr>
                <w:spacing w:val="60"/>
                <w:sz w:val="17"/>
                <w:rtl/>
              </w:rPr>
            </w:pPr>
            <w:r>
              <w:rPr>
                <w:rtl/>
              </w:rPr>
              <w:tab/>
              <w:t>ثالثاً-</w:t>
            </w:r>
            <w:r>
              <w:rPr>
                <w:rtl/>
              </w:rPr>
              <w:tab/>
              <w:t>منع الانتهاكات في الواقع العملي</w:t>
            </w:r>
            <w:r>
              <w:rPr>
                <w:spacing w:val="60"/>
                <w:sz w:val="17"/>
                <w:rtl/>
              </w:rPr>
              <w:tab/>
            </w:r>
          </w:p>
        </w:tc>
        <w:tc>
          <w:tcPr>
            <w:tcW w:w="806" w:type="dxa"/>
            <w:shd w:val="clear" w:color="auto" w:fill="auto"/>
            <w:vAlign w:val="bottom"/>
          </w:tcPr>
          <w:p w:rsidR="005C2ED7" w:rsidRPr="006D19E9" w:rsidRDefault="005C2ED7" w:rsidP="00B968C2">
            <w:pPr>
              <w:jc w:val="right"/>
              <w:rPr>
                <w:rtl/>
              </w:rPr>
            </w:pPr>
            <w:r>
              <w:rPr>
                <w:rFonts w:hint="cs"/>
                <w:rtl/>
              </w:rPr>
              <w:t>7</w:t>
            </w:r>
          </w:p>
        </w:tc>
      </w:tr>
      <w:tr w:rsidR="005C2ED7" w:rsidRPr="006D19E9" w:rsidTr="00C47F5D">
        <w:tc>
          <w:tcPr>
            <w:tcW w:w="9029" w:type="dxa"/>
            <w:gridSpan w:val="3"/>
            <w:shd w:val="clear" w:color="auto" w:fill="auto"/>
          </w:tcPr>
          <w:p w:rsidR="005C2ED7" w:rsidRPr="005C2ED7" w:rsidRDefault="005C2ED7" w:rsidP="00B968C2">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029"/>
              </w:tabs>
              <w:jc w:val="left"/>
              <w:rPr>
                <w:spacing w:val="60"/>
                <w:sz w:val="17"/>
                <w:rtl/>
              </w:rPr>
            </w:pPr>
            <w:r>
              <w:rPr>
                <w:rFonts w:hint="cs"/>
                <w:rtl/>
              </w:rPr>
              <w:tab/>
            </w:r>
            <w:r>
              <w:rPr>
                <w:rtl/>
              </w:rPr>
              <w:tab/>
              <w:t>ألف</w:t>
            </w:r>
            <w:r>
              <w:rPr>
                <w:rFonts w:hint="cs"/>
                <w:rtl/>
              </w:rPr>
              <w:tab/>
            </w:r>
            <w:r>
              <w:rPr>
                <w:rtl/>
              </w:rPr>
              <w:t>-</w:t>
            </w:r>
            <w:r>
              <w:rPr>
                <w:rtl/>
              </w:rPr>
              <w:tab/>
              <w:t>الإطار التشريعي والمؤسسي لمنع الانتهاكات</w:t>
            </w:r>
            <w:r>
              <w:rPr>
                <w:spacing w:val="60"/>
                <w:sz w:val="17"/>
                <w:rtl/>
              </w:rPr>
              <w:tab/>
            </w:r>
          </w:p>
        </w:tc>
        <w:tc>
          <w:tcPr>
            <w:tcW w:w="806" w:type="dxa"/>
            <w:shd w:val="clear" w:color="auto" w:fill="auto"/>
            <w:vAlign w:val="bottom"/>
          </w:tcPr>
          <w:p w:rsidR="005C2ED7" w:rsidRPr="006D19E9" w:rsidRDefault="005C2ED7" w:rsidP="00B968C2">
            <w:pPr>
              <w:jc w:val="right"/>
              <w:rPr>
                <w:rtl/>
              </w:rPr>
            </w:pPr>
            <w:r>
              <w:rPr>
                <w:rFonts w:hint="cs"/>
                <w:rtl/>
              </w:rPr>
              <w:t>7</w:t>
            </w:r>
          </w:p>
        </w:tc>
      </w:tr>
      <w:tr w:rsidR="005C2ED7" w:rsidRPr="006D19E9" w:rsidTr="00C47F5D">
        <w:tc>
          <w:tcPr>
            <w:tcW w:w="9029" w:type="dxa"/>
            <w:gridSpan w:val="3"/>
            <w:shd w:val="clear" w:color="auto" w:fill="auto"/>
          </w:tcPr>
          <w:p w:rsidR="005C2ED7" w:rsidRPr="005C2ED7" w:rsidRDefault="005C2ED7" w:rsidP="00B968C2">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jc w:val="left"/>
              <w:rPr>
                <w:spacing w:val="60"/>
                <w:sz w:val="17"/>
                <w:rtl/>
              </w:rPr>
            </w:pPr>
            <w:r>
              <w:rPr>
                <w:rtl/>
              </w:rPr>
              <w:tab/>
            </w:r>
            <w:r>
              <w:rPr>
                <w:rtl/>
              </w:rPr>
              <w:tab/>
              <w:t>باء</w:t>
            </w:r>
            <w:r>
              <w:rPr>
                <w:rFonts w:hint="cs"/>
                <w:rtl/>
              </w:rPr>
              <w:tab/>
            </w:r>
            <w:r>
              <w:rPr>
                <w:rtl/>
              </w:rPr>
              <w:t>-</w:t>
            </w:r>
            <w:r>
              <w:rPr>
                <w:rtl/>
              </w:rPr>
              <w:tab/>
              <w:t>دور التثقيف في مجال حقوق الإنسان</w:t>
            </w:r>
            <w:r>
              <w:rPr>
                <w:spacing w:val="60"/>
                <w:sz w:val="17"/>
                <w:rtl/>
              </w:rPr>
              <w:tab/>
            </w:r>
          </w:p>
        </w:tc>
        <w:tc>
          <w:tcPr>
            <w:tcW w:w="806" w:type="dxa"/>
            <w:shd w:val="clear" w:color="auto" w:fill="auto"/>
            <w:vAlign w:val="bottom"/>
          </w:tcPr>
          <w:p w:rsidR="005C2ED7" w:rsidRPr="006D19E9" w:rsidRDefault="005C2ED7" w:rsidP="00B968C2">
            <w:pPr>
              <w:jc w:val="right"/>
              <w:rPr>
                <w:rtl/>
              </w:rPr>
            </w:pPr>
            <w:r>
              <w:rPr>
                <w:rFonts w:hint="cs"/>
                <w:rtl/>
              </w:rPr>
              <w:t>12</w:t>
            </w:r>
          </w:p>
        </w:tc>
      </w:tr>
      <w:tr w:rsidR="005C2ED7" w:rsidRPr="006D19E9" w:rsidTr="00C47F5D">
        <w:tc>
          <w:tcPr>
            <w:tcW w:w="9029" w:type="dxa"/>
            <w:gridSpan w:val="3"/>
            <w:shd w:val="clear" w:color="auto" w:fill="auto"/>
          </w:tcPr>
          <w:p w:rsidR="005C2ED7" w:rsidRPr="005C2ED7" w:rsidRDefault="005C2ED7" w:rsidP="005C2ED7">
            <w:pPr>
              <w:tabs>
                <w:tab w:val="right" w:pos="1080"/>
                <w:tab w:val="left" w:pos="1296"/>
                <w:tab w:val="left" w:pos="1728"/>
                <w:tab w:val="left" w:pos="2160"/>
                <w:tab w:val="left" w:pos="2592"/>
                <w:tab w:val="left" w:pos="3024"/>
                <w:tab w:val="left" w:pos="3456"/>
                <w:tab w:val="left" w:pos="3888"/>
                <w:tab w:val="right" w:leader="dot" w:pos="9029"/>
              </w:tabs>
              <w:spacing w:after="120"/>
              <w:jc w:val="left"/>
              <w:rPr>
                <w:spacing w:val="60"/>
                <w:sz w:val="17"/>
                <w:rtl/>
              </w:rPr>
            </w:pPr>
            <w:r>
              <w:rPr>
                <w:rFonts w:hint="cs"/>
                <w:rtl/>
              </w:rPr>
              <w:tab/>
            </w:r>
            <w:r>
              <w:rPr>
                <w:rtl/>
              </w:rPr>
              <w:tab/>
              <w:t>جيم</w:t>
            </w:r>
            <w:r>
              <w:rPr>
                <w:rFonts w:hint="cs"/>
                <w:rtl/>
              </w:rPr>
              <w:tab/>
            </w:r>
            <w:r>
              <w:rPr>
                <w:rtl/>
              </w:rPr>
              <w:t>-</w:t>
            </w:r>
            <w:r>
              <w:rPr>
                <w:rtl/>
              </w:rPr>
              <w:tab/>
              <w:t>أدوات التخطيط والرصد</w:t>
            </w:r>
            <w:r>
              <w:rPr>
                <w:spacing w:val="60"/>
                <w:sz w:val="17"/>
                <w:rtl/>
              </w:rPr>
              <w:tab/>
            </w:r>
          </w:p>
        </w:tc>
        <w:tc>
          <w:tcPr>
            <w:tcW w:w="806" w:type="dxa"/>
            <w:shd w:val="clear" w:color="auto" w:fill="auto"/>
            <w:vAlign w:val="bottom"/>
          </w:tcPr>
          <w:p w:rsidR="005C2ED7" w:rsidRPr="006D19E9" w:rsidRDefault="005C2ED7" w:rsidP="00C47F5D">
            <w:pPr>
              <w:spacing w:after="120"/>
              <w:jc w:val="right"/>
              <w:rPr>
                <w:rtl/>
              </w:rPr>
            </w:pPr>
            <w:r>
              <w:rPr>
                <w:rFonts w:hint="cs"/>
                <w:rtl/>
              </w:rPr>
              <w:t>14</w:t>
            </w:r>
          </w:p>
        </w:tc>
      </w:tr>
      <w:tr w:rsidR="005C2ED7" w:rsidRPr="006D19E9" w:rsidTr="00C47F5D">
        <w:tc>
          <w:tcPr>
            <w:tcW w:w="9029" w:type="dxa"/>
            <w:gridSpan w:val="3"/>
            <w:shd w:val="clear" w:color="auto" w:fill="auto"/>
          </w:tcPr>
          <w:p w:rsidR="005C2ED7" w:rsidRPr="005C2ED7" w:rsidRDefault="005C2ED7" w:rsidP="00B968C2">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029"/>
              </w:tabs>
              <w:jc w:val="left"/>
              <w:rPr>
                <w:spacing w:val="60"/>
                <w:sz w:val="17"/>
                <w:rtl/>
              </w:rPr>
            </w:pPr>
            <w:r>
              <w:rPr>
                <w:rtl/>
              </w:rPr>
              <w:tab/>
              <w:t>رابعاً-</w:t>
            </w:r>
            <w:r>
              <w:rPr>
                <w:rtl/>
              </w:rPr>
              <w:tab/>
              <w:t>دور أصحاب المصلحة الدوليين والإقليميين في منع الانتهاكات</w:t>
            </w:r>
            <w:r>
              <w:rPr>
                <w:spacing w:val="60"/>
                <w:sz w:val="17"/>
                <w:rtl/>
              </w:rPr>
              <w:tab/>
            </w:r>
          </w:p>
        </w:tc>
        <w:tc>
          <w:tcPr>
            <w:tcW w:w="806" w:type="dxa"/>
            <w:shd w:val="clear" w:color="auto" w:fill="auto"/>
            <w:vAlign w:val="bottom"/>
          </w:tcPr>
          <w:p w:rsidR="005C2ED7" w:rsidRPr="006D19E9" w:rsidRDefault="00770653" w:rsidP="00B968C2">
            <w:pPr>
              <w:jc w:val="right"/>
              <w:rPr>
                <w:rtl/>
              </w:rPr>
            </w:pPr>
            <w:r>
              <w:rPr>
                <w:rFonts w:hint="cs"/>
                <w:rtl/>
              </w:rPr>
              <w:t>18</w:t>
            </w:r>
          </w:p>
        </w:tc>
      </w:tr>
      <w:tr w:rsidR="005C2ED7" w:rsidRPr="006D19E9" w:rsidTr="00C47F5D">
        <w:tc>
          <w:tcPr>
            <w:tcW w:w="9029" w:type="dxa"/>
            <w:gridSpan w:val="3"/>
            <w:shd w:val="clear" w:color="auto" w:fill="auto"/>
          </w:tcPr>
          <w:p w:rsidR="005C2ED7" w:rsidRPr="005C2ED7" w:rsidRDefault="005C2ED7" w:rsidP="00B968C2">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029"/>
              </w:tabs>
              <w:jc w:val="left"/>
              <w:rPr>
                <w:spacing w:val="60"/>
                <w:sz w:val="17"/>
                <w:rtl/>
              </w:rPr>
            </w:pPr>
            <w:r>
              <w:rPr>
                <w:rFonts w:hint="cs"/>
                <w:rtl/>
              </w:rPr>
              <w:tab/>
            </w:r>
            <w:r>
              <w:rPr>
                <w:rtl/>
              </w:rPr>
              <w:tab/>
              <w:t>ألف</w:t>
            </w:r>
            <w:r>
              <w:rPr>
                <w:rFonts w:hint="cs"/>
                <w:rtl/>
              </w:rPr>
              <w:tab/>
            </w:r>
            <w:r>
              <w:rPr>
                <w:rtl/>
              </w:rPr>
              <w:t>-</w:t>
            </w:r>
            <w:r>
              <w:rPr>
                <w:rtl/>
              </w:rPr>
              <w:tab/>
              <w:t>الآليات الدولية والإقليمية المتعلقة بحقوق الإنسان</w:t>
            </w:r>
            <w:r>
              <w:rPr>
                <w:spacing w:val="60"/>
                <w:sz w:val="17"/>
                <w:rtl/>
              </w:rPr>
              <w:tab/>
            </w:r>
          </w:p>
        </w:tc>
        <w:tc>
          <w:tcPr>
            <w:tcW w:w="806" w:type="dxa"/>
            <w:shd w:val="clear" w:color="auto" w:fill="auto"/>
            <w:vAlign w:val="bottom"/>
          </w:tcPr>
          <w:p w:rsidR="005C2ED7" w:rsidRPr="006D19E9" w:rsidRDefault="00770653" w:rsidP="00B968C2">
            <w:pPr>
              <w:jc w:val="right"/>
              <w:rPr>
                <w:rtl/>
              </w:rPr>
            </w:pPr>
            <w:r>
              <w:rPr>
                <w:rFonts w:hint="cs"/>
                <w:rtl/>
              </w:rPr>
              <w:t>19</w:t>
            </w:r>
          </w:p>
        </w:tc>
      </w:tr>
      <w:tr w:rsidR="005C2ED7" w:rsidRPr="006D19E9" w:rsidTr="00C47F5D">
        <w:tc>
          <w:tcPr>
            <w:tcW w:w="9029" w:type="dxa"/>
            <w:gridSpan w:val="3"/>
            <w:shd w:val="clear" w:color="auto" w:fill="auto"/>
          </w:tcPr>
          <w:p w:rsidR="005C2ED7" w:rsidRPr="005C2ED7" w:rsidRDefault="005C2ED7" w:rsidP="005C2ED7">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029"/>
              </w:tabs>
              <w:spacing w:after="120"/>
              <w:jc w:val="left"/>
              <w:rPr>
                <w:spacing w:val="60"/>
                <w:sz w:val="17"/>
                <w:rtl/>
              </w:rPr>
            </w:pPr>
            <w:r>
              <w:rPr>
                <w:rFonts w:hint="cs"/>
                <w:rtl/>
              </w:rPr>
              <w:tab/>
            </w:r>
            <w:r>
              <w:rPr>
                <w:rtl/>
              </w:rPr>
              <w:tab/>
              <w:t>باء</w:t>
            </w:r>
            <w:r>
              <w:rPr>
                <w:rFonts w:hint="cs"/>
                <w:rtl/>
              </w:rPr>
              <w:tab/>
            </w:r>
            <w:r>
              <w:rPr>
                <w:rtl/>
              </w:rPr>
              <w:t>-</w:t>
            </w:r>
            <w:r>
              <w:rPr>
                <w:rtl/>
              </w:rPr>
              <w:tab/>
              <w:t>مساهمة المنظمات الدولية والإقليمية في منع الانتهاكات</w:t>
            </w:r>
            <w:r>
              <w:rPr>
                <w:spacing w:val="60"/>
                <w:sz w:val="17"/>
                <w:rtl/>
              </w:rPr>
              <w:tab/>
            </w:r>
          </w:p>
        </w:tc>
        <w:tc>
          <w:tcPr>
            <w:tcW w:w="806" w:type="dxa"/>
            <w:shd w:val="clear" w:color="auto" w:fill="auto"/>
            <w:vAlign w:val="bottom"/>
          </w:tcPr>
          <w:p w:rsidR="005C2ED7" w:rsidRPr="006D19E9" w:rsidRDefault="00770653" w:rsidP="00C47F5D">
            <w:pPr>
              <w:spacing w:after="120"/>
              <w:jc w:val="right"/>
              <w:rPr>
                <w:rtl/>
              </w:rPr>
            </w:pPr>
            <w:r>
              <w:rPr>
                <w:rFonts w:hint="cs"/>
                <w:rtl/>
              </w:rPr>
              <w:t>20</w:t>
            </w:r>
          </w:p>
        </w:tc>
      </w:tr>
      <w:tr w:rsidR="005C2ED7" w:rsidRPr="006D19E9" w:rsidTr="00C47F5D">
        <w:tc>
          <w:tcPr>
            <w:tcW w:w="9029" w:type="dxa"/>
            <w:gridSpan w:val="3"/>
            <w:shd w:val="clear" w:color="auto" w:fill="auto"/>
          </w:tcPr>
          <w:p w:rsidR="005C2ED7" w:rsidRPr="005C2ED7" w:rsidRDefault="005C2ED7" w:rsidP="005C2ED7">
            <w:pPr>
              <w:tabs>
                <w:tab w:val="right" w:pos="1080"/>
                <w:tab w:val="left" w:pos="1296"/>
                <w:tab w:val="left" w:pos="1728"/>
                <w:tab w:val="left" w:pos="2160"/>
                <w:tab w:val="left" w:pos="2592"/>
                <w:tab w:val="left" w:pos="3024"/>
                <w:tab w:val="right" w:leader="dot" w:pos="9029"/>
              </w:tabs>
              <w:spacing w:after="120"/>
              <w:jc w:val="left"/>
              <w:rPr>
                <w:spacing w:val="60"/>
                <w:sz w:val="17"/>
                <w:rtl/>
              </w:rPr>
            </w:pPr>
            <w:r>
              <w:rPr>
                <w:rtl/>
              </w:rPr>
              <w:tab/>
              <w:t>خامساً-</w:t>
            </w:r>
            <w:r>
              <w:rPr>
                <w:rtl/>
              </w:rPr>
              <w:tab/>
              <w:t>الاستنتاجات والتوصيات</w:t>
            </w:r>
            <w:r>
              <w:rPr>
                <w:spacing w:val="60"/>
                <w:sz w:val="17"/>
                <w:rtl/>
              </w:rPr>
              <w:tab/>
            </w:r>
          </w:p>
        </w:tc>
        <w:tc>
          <w:tcPr>
            <w:tcW w:w="806" w:type="dxa"/>
            <w:shd w:val="clear" w:color="auto" w:fill="auto"/>
            <w:vAlign w:val="bottom"/>
          </w:tcPr>
          <w:p w:rsidR="005C2ED7" w:rsidRPr="006D19E9" w:rsidRDefault="00770653" w:rsidP="00C47F5D">
            <w:pPr>
              <w:spacing w:after="120"/>
              <w:jc w:val="right"/>
              <w:rPr>
                <w:rtl/>
              </w:rPr>
            </w:pPr>
            <w:r>
              <w:rPr>
                <w:rFonts w:hint="cs"/>
                <w:rtl/>
              </w:rPr>
              <w:t>22</w:t>
            </w:r>
          </w:p>
        </w:tc>
      </w:tr>
    </w:tbl>
    <w:p w:rsidR="00C47F5D" w:rsidRPr="006D19E9" w:rsidRDefault="00C47F5D" w:rsidP="005C2ED7">
      <w:pPr>
        <w:rPr>
          <w:rtl/>
        </w:rPr>
      </w:pPr>
    </w:p>
    <w:p w:rsidR="00C47F5D" w:rsidRPr="006D19E9" w:rsidRDefault="00C47F5D" w:rsidP="00C47F5D">
      <w:pPr>
        <w:pStyle w:val="HCh"/>
        <w:pageBreakBefore/>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r w:rsidRPr="006D19E9">
        <w:rPr>
          <w:rFonts w:hint="cs"/>
          <w:rtl/>
        </w:rPr>
        <w:lastRenderedPageBreak/>
        <w:tab/>
        <w:t>أولاً-</w:t>
      </w:r>
      <w:r w:rsidRPr="006D19E9">
        <w:rPr>
          <w:rFonts w:hint="cs"/>
          <w:rtl/>
        </w:rPr>
        <w:tab/>
        <w:t>مقدمة</w:t>
      </w:r>
    </w:p>
    <w:p w:rsidR="00C47F5D" w:rsidRPr="006D19E9" w:rsidRDefault="00C47F5D" w:rsidP="00C47F5D">
      <w:pPr>
        <w:pStyle w:val="SingleTxt"/>
        <w:spacing w:after="0" w:line="120" w:lineRule="exact"/>
        <w:rPr>
          <w:sz w:val="10"/>
          <w:rtl/>
        </w:rPr>
      </w:pPr>
    </w:p>
    <w:p w:rsidR="00C47F5D" w:rsidRPr="006D19E9" w:rsidRDefault="00C47F5D" w:rsidP="00C47F5D">
      <w:pPr>
        <w:pStyle w:val="SingleTxt"/>
        <w:rPr>
          <w:rtl/>
        </w:rPr>
      </w:pPr>
      <w:r w:rsidRPr="006D19E9">
        <w:rPr>
          <w:rFonts w:hint="cs"/>
          <w:rtl/>
        </w:rPr>
        <w:t>1-</w:t>
      </w:r>
      <w:r w:rsidRPr="006D19E9">
        <w:rPr>
          <w:rFonts w:hint="cs"/>
          <w:rtl/>
        </w:rPr>
        <w:tab/>
        <w:t>طلب مجلس حقوق الإنسان في قراره 24/16 إلى مفوضية الأمم المتحدة السامية لحقوق الإنسان أن تعدّ مشروع دراسة عن منع انتهاكات حقوق الإنسان وتنفيذه عملياً، وأن تقدّم هذه الدراسة إلى المجلس في دورته الثلاثين. وعلى النحو المطلوب في القرار، تأخذ هذه الدراسة في الاعتبار نتائج حلقة النقاش المتعلقة بدور منع الانتهاكات في تعزيز حقوق الإنسان وحمايتها،</w:t>
      </w:r>
      <w:r w:rsidR="006D19E9">
        <w:rPr>
          <w:rFonts w:hint="cs"/>
          <w:rtl/>
        </w:rPr>
        <w:t xml:space="preserve"> </w:t>
      </w:r>
      <w:r w:rsidRPr="006D19E9">
        <w:rPr>
          <w:rFonts w:hint="cs"/>
          <w:rtl/>
        </w:rPr>
        <w:t xml:space="preserve">المعقودة في الدورة السابعة والعشرين للمجلس (الوثيقة </w:t>
      </w:r>
      <w:r w:rsidRPr="006D19E9">
        <w:t>A/HRC/28/30</w:t>
      </w:r>
      <w:r w:rsidRPr="006D19E9">
        <w:rPr>
          <w:rFonts w:hint="cs"/>
          <w:rtl/>
        </w:rPr>
        <w:t>).</w:t>
      </w:r>
    </w:p>
    <w:p w:rsidR="00C47F5D" w:rsidRPr="006D19E9" w:rsidRDefault="00C47F5D" w:rsidP="00B30F0C">
      <w:pPr>
        <w:pStyle w:val="SingleTxt"/>
        <w:rPr>
          <w:lang w:val="en-CA"/>
        </w:rPr>
      </w:pPr>
      <w:r w:rsidRPr="006D19E9">
        <w:rPr>
          <w:rFonts w:hint="cs"/>
          <w:rtl/>
          <w:lang w:val="en-CA"/>
        </w:rPr>
        <w:t>2-</w:t>
      </w:r>
      <w:r w:rsidRPr="006D19E9">
        <w:rPr>
          <w:rFonts w:hint="cs"/>
          <w:rtl/>
          <w:lang w:val="en-CA"/>
        </w:rPr>
        <w:tab/>
        <w:t>وطلبت مفوضية الأمم المتحدة السامية لحقوق الإنسان مساهمات من أجل إعداد هذه الدراسة،</w:t>
      </w:r>
      <w:r w:rsidR="006D19E9">
        <w:rPr>
          <w:rFonts w:hint="cs"/>
          <w:rtl/>
          <w:lang w:val="en-CA"/>
        </w:rPr>
        <w:t xml:space="preserve"> </w:t>
      </w:r>
      <w:r w:rsidRPr="006D19E9">
        <w:rPr>
          <w:rFonts w:hint="cs"/>
          <w:rtl/>
          <w:lang w:val="en-CA"/>
        </w:rPr>
        <w:t>عن طريق استبيان</w:t>
      </w:r>
      <w:r w:rsidR="006D19E9">
        <w:rPr>
          <w:rFonts w:hint="cs"/>
          <w:rtl/>
          <w:lang w:val="en-CA"/>
        </w:rPr>
        <w:t xml:space="preserve"> </w:t>
      </w:r>
      <w:r w:rsidRPr="006D19E9">
        <w:rPr>
          <w:rFonts w:hint="cs"/>
          <w:rtl/>
          <w:lang w:val="en-CA"/>
        </w:rPr>
        <w:t>موجه إلى الدول والمؤسسات الوطنية لحقوق الإنسان والمجتمع المدني والهيئات الحكومية الدولية</w:t>
      </w:r>
      <w:r w:rsidR="006D19E9">
        <w:rPr>
          <w:rFonts w:hint="cs"/>
          <w:rtl/>
          <w:lang w:val="en-CA"/>
        </w:rPr>
        <w:t xml:space="preserve"> </w:t>
      </w:r>
      <w:r w:rsidRPr="006D19E9">
        <w:rPr>
          <w:rFonts w:hint="cs"/>
          <w:rtl/>
          <w:lang w:val="en-CA"/>
        </w:rPr>
        <w:t>ذات الصلة والمنظمات الدولية. وشمل</w:t>
      </w:r>
      <w:r w:rsidR="006D19E9">
        <w:rPr>
          <w:rFonts w:hint="cs"/>
          <w:rtl/>
          <w:lang w:val="en-CA"/>
        </w:rPr>
        <w:t xml:space="preserve"> </w:t>
      </w:r>
      <w:r w:rsidRPr="006D19E9">
        <w:rPr>
          <w:rFonts w:hint="cs"/>
          <w:rtl/>
          <w:lang w:val="en-CA"/>
        </w:rPr>
        <w:t>الاستبيان</w:t>
      </w:r>
      <w:r w:rsidR="006D19E9">
        <w:rPr>
          <w:rFonts w:hint="cs"/>
          <w:rtl/>
          <w:lang w:val="en-CA"/>
        </w:rPr>
        <w:t xml:space="preserve"> </w:t>
      </w:r>
      <w:r w:rsidRPr="006D19E9">
        <w:rPr>
          <w:rFonts w:hint="cs"/>
          <w:rtl/>
          <w:lang w:val="en-CA"/>
        </w:rPr>
        <w:t>مسائل من بينها ما</w:t>
      </w:r>
      <w:r w:rsidR="00B30F0C">
        <w:rPr>
          <w:rFonts w:hint="eastAsia"/>
          <w:rtl/>
          <w:lang w:val="en-CA"/>
        </w:rPr>
        <w:t> </w:t>
      </w:r>
      <w:r w:rsidRPr="006D19E9">
        <w:rPr>
          <w:rFonts w:hint="cs"/>
          <w:rtl/>
          <w:lang w:val="en-CA"/>
        </w:rPr>
        <w:t>اتخذ على الصعيد الوطني من</w:t>
      </w:r>
      <w:r w:rsidR="006D19E9">
        <w:rPr>
          <w:rFonts w:hint="cs"/>
          <w:rtl/>
          <w:lang w:val="en-CA"/>
        </w:rPr>
        <w:t xml:space="preserve"> </w:t>
      </w:r>
      <w:r w:rsidRPr="006D19E9">
        <w:rPr>
          <w:rFonts w:hint="cs"/>
          <w:rtl/>
          <w:lang w:val="en-CA"/>
        </w:rPr>
        <w:t>تدابير</w:t>
      </w:r>
      <w:r w:rsidR="006D19E9">
        <w:rPr>
          <w:rFonts w:hint="cs"/>
          <w:rtl/>
          <w:lang w:val="en-CA"/>
        </w:rPr>
        <w:t xml:space="preserve"> </w:t>
      </w:r>
      <w:r w:rsidRPr="006D19E9">
        <w:rPr>
          <w:rFonts w:hint="cs"/>
          <w:rtl/>
          <w:lang w:val="en-CA"/>
        </w:rPr>
        <w:t>تشريعية</w:t>
      </w:r>
      <w:r w:rsidR="006D19E9">
        <w:rPr>
          <w:rFonts w:hint="cs"/>
          <w:rtl/>
          <w:lang w:val="en-CA"/>
        </w:rPr>
        <w:t xml:space="preserve"> </w:t>
      </w:r>
      <w:r w:rsidRPr="006D19E9">
        <w:rPr>
          <w:rFonts w:hint="cs"/>
          <w:rtl/>
          <w:lang w:val="en-CA"/>
        </w:rPr>
        <w:t>وقضائية</w:t>
      </w:r>
      <w:r w:rsidR="006D19E9">
        <w:rPr>
          <w:rFonts w:hint="cs"/>
          <w:rtl/>
          <w:lang w:val="en-CA"/>
        </w:rPr>
        <w:t xml:space="preserve"> </w:t>
      </w:r>
      <w:r w:rsidRPr="006D19E9">
        <w:rPr>
          <w:rFonts w:hint="cs"/>
          <w:rtl/>
          <w:lang w:val="en-CA"/>
        </w:rPr>
        <w:t>وإدارية؛</w:t>
      </w:r>
      <w:r w:rsidR="006D19E9">
        <w:rPr>
          <w:rFonts w:hint="cs"/>
          <w:rtl/>
          <w:lang w:val="en-CA"/>
        </w:rPr>
        <w:t xml:space="preserve"> </w:t>
      </w:r>
      <w:r w:rsidRPr="006D19E9">
        <w:rPr>
          <w:rFonts w:hint="cs"/>
          <w:rtl/>
          <w:lang w:val="en-CA"/>
        </w:rPr>
        <w:t>فضلاً عن السياسات والممارسات والاستراتيجيات ذات المنحى العملي التي ترمي إلى منع</w:t>
      </w:r>
      <w:r w:rsidR="006D19E9">
        <w:rPr>
          <w:rFonts w:hint="cs"/>
          <w:rtl/>
          <w:lang w:val="en-CA"/>
        </w:rPr>
        <w:t xml:space="preserve"> </w:t>
      </w:r>
      <w:r w:rsidRPr="006D19E9">
        <w:rPr>
          <w:rFonts w:hint="cs"/>
          <w:rtl/>
          <w:lang w:val="en-CA"/>
        </w:rPr>
        <w:t>انتهاكات</w:t>
      </w:r>
      <w:r w:rsidR="006D19E9">
        <w:rPr>
          <w:rFonts w:hint="cs"/>
          <w:rtl/>
          <w:lang w:val="en-CA"/>
        </w:rPr>
        <w:t xml:space="preserve"> </w:t>
      </w:r>
      <w:r w:rsidRPr="006D19E9">
        <w:rPr>
          <w:rFonts w:hint="cs"/>
          <w:rtl/>
          <w:lang w:val="en-CA"/>
        </w:rPr>
        <w:t>وتجاوزات</w:t>
      </w:r>
      <w:r w:rsidR="006D19E9">
        <w:rPr>
          <w:rFonts w:hint="cs"/>
          <w:rtl/>
          <w:lang w:val="en-CA"/>
        </w:rPr>
        <w:t xml:space="preserve"> </w:t>
      </w:r>
      <w:r w:rsidRPr="006D19E9">
        <w:rPr>
          <w:rFonts w:hint="cs"/>
          <w:rtl/>
          <w:lang w:val="en-CA"/>
        </w:rPr>
        <w:t>حقوق الإنسان،</w:t>
      </w:r>
      <w:r w:rsidR="006D19E9">
        <w:rPr>
          <w:rFonts w:hint="cs"/>
          <w:rtl/>
          <w:lang w:val="en-CA"/>
        </w:rPr>
        <w:t xml:space="preserve"> </w:t>
      </w:r>
      <w:r w:rsidRPr="006D19E9">
        <w:rPr>
          <w:rFonts w:hint="cs"/>
          <w:rtl/>
          <w:lang w:val="en-CA"/>
        </w:rPr>
        <w:t>والأحكام التي تنص على إتاحة سبل انتصاف فعالة للضحايا. والتمست المفوضية معلومات عن السياسات والإجراءات المتعلقة</w:t>
      </w:r>
      <w:r w:rsidR="006D19E9">
        <w:rPr>
          <w:rFonts w:hint="cs"/>
          <w:rtl/>
          <w:lang w:val="en-CA"/>
        </w:rPr>
        <w:t xml:space="preserve"> </w:t>
      </w:r>
      <w:r w:rsidRPr="006D19E9">
        <w:rPr>
          <w:rFonts w:hint="cs"/>
          <w:rtl/>
          <w:lang w:val="en-CA"/>
        </w:rPr>
        <w:t>بجمع وحفظ</w:t>
      </w:r>
      <w:r w:rsidR="006D19E9">
        <w:rPr>
          <w:rFonts w:hint="cs"/>
          <w:rtl/>
          <w:lang w:val="en-CA"/>
        </w:rPr>
        <w:t xml:space="preserve"> </w:t>
      </w:r>
      <w:r w:rsidRPr="006D19E9">
        <w:rPr>
          <w:rFonts w:hint="cs"/>
          <w:rtl/>
          <w:lang w:val="en-CA"/>
        </w:rPr>
        <w:t>وتحليل البيانات الإحصائية المتعلقة بحقوق الإنسان؛ والخطوات المتخذة</w:t>
      </w:r>
      <w:r w:rsidR="006D19E9">
        <w:rPr>
          <w:rFonts w:hint="cs"/>
          <w:rtl/>
          <w:lang w:val="en-CA"/>
        </w:rPr>
        <w:t xml:space="preserve"> </w:t>
      </w:r>
      <w:r w:rsidRPr="006D19E9">
        <w:rPr>
          <w:rFonts w:hint="cs"/>
          <w:rtl/>
          <w:lang w:val="en-CA"/>
        </w:rPr>
        <w:t xml:space="preserve">لنشر ثقافة حقوق الإنسان؛ ودور المجتمع المدني؛ والتدابير والإجراءات التي تتيح متابعة التوصيات الصادرة عن الهيئات الدولية والإقليمية المعنية بحقوق الإنسان؛ ومساهمة هذه الهيئات في منع انتهاكات حقوق الإنسان. </w:t>
      </w:r>
      <w:r w:rsidRPr="00B30F0C">
        <w:rPr>
          <w:rFonts w:hint="cs"/>
          <w:rtl/>
        </w:rPr>
        <w:t>ووردت معلومات من ا</w:t>
      </w:r>
      <w:r w:rsidRPr="00B30F0C">
        <w:rPr>
          <w:rtl/>
        </w:rPr>
        <w:t>لأرجنتي</w:t>
      </w:r>
      <w:r w:rsidR="00697057" w:rsidRPr="00B30F0C">
        <w:rPr>
          <w:rFonts w:hint="cs"/>
          <w:rtl/>
        </w:rPr>
        <w:t>ن</w:t>
      </w:r>
      <w:r w:rsidRPr="00B30F0C">
        <w:rPr>
          <w:rFonts w:hint="cs"/>
          <w:rtl/>
        </w:rPr>
        <w:t>،</w:t>
      </w:r>
      <w:r w:rsidRPr="00B30F0C">
        <w:rPr>
          <w:rtl/>
        </w:rPr>
        <w:t xml:space="preserve"> وأستراليا</w:t>
      </w:r>
      <w:r w:rsidRPr="00B30F0C">
        <w:rPr>
          <w:rFonts w:hint="cs"/>
          <w:rtl/>
        </w:rPr>
        <w:t>،</w:t>
      </w:r>
      <w:r w:rsidRPr="00B30F0C">
        <w:rPr>
          <w:rtl/>
        </w:rPr>
        <w:t xml:space="preserve"> وألبانيا</w:t>
      </w:r>
      <w:r w:rsidRPr="00B30F0C">
        <w:rPr>
          <w:rFonts w:hint="cs"/>
          <w:rtl/>
        </w:rPr>
        <w:t>،</w:t>
      </w:r>
      <w:r w:rsidRPr="00B30F0C">
        <w:rPr>
          <w:rtl/>
        </w:rPr>
        <w:t xml:space="preserve"> والإمارات العربية المتحدة</w:t>
      </w:r>
      <w:r w:rsidRPr="00B30F0C">
        <w:rPr>
          <w:rFonts w:hint="cs"/>
          <w:rtl/>
        </w:rPr>
        <w:t>،</w:t>
      </w:r>
      <w:r w:rsidRPr="00B30F0C">
        <w:rPr>
          <w:rtl/>
        </w:rPr>
        <w:t xml:space="preserve"> وأوكرانيا</w:t>
      </w:r>
      <w:r w:rsidRPr="00B30F0C">
        <w:rPr>
          <w:rFonts w:hint="cs"/>
          <w:rtl/>
        </w:rPr>
        <w:t xml:space="preserve">، </w:t>
      </w:r>
      <w:r w:rsidRPr="00B30F0C">
        <w:rPr>
          <w:rtl/>
        </w:rPr>
        <w:t>وأيرلند</w:t>
      </w:r>
      <w:r w:rsidRPr="00B30F0C">
        <w:rPr>
          <w:rFonts w:hint="cs"/>
          <w:rtl/>
        </w:rPr>
        <w:t>،</w:t>
      </w:r>
      <w:r w:rsidRPr="00B30F0C">
        <w:rPr>
          <w:rtl/>
        </w:rPr>
        <w:t xml:space="preserve"> وإيطاليا</w:t>
      </w:r>
      <w:r w:rsidRPr="00B30F0C">
        <w:rPr>
          <w:rFonts w:hint="cs"/>
          <w:rtl/>
        </w:rPr>
        <w:t xml:space="preserve">، </w:t>
      </w:r>
      <w:r w:rsidRPr="00B30F0C">
        <w:rPr>
          <w:rtl/>
        </w:rPr>
        <w:t>وباراغواي</w:t>
      </w:r>
      <w:r w:rsidRPr="00B30F0C">
        <w:rPr>
          <w:rFonts w:hint="cs"/>
          <w:rtl/>
        </w:rPr>
        <w:t>،</w:t>
      </w:r>
      <w:r w:rsidRPr="00B30F0C">
        <w:rPr>
          <w:rtl/>
        </w:rPr>
        <w:t xml:space="preserve"> وترينيداد وتوباغو</w:t>
      </w:r>
      <w:r w:rsidRPr="00B30F0C">
        <w:rPr>
          <w:rFonts w:hint="cs"/>
          <w:rtl/>
        </w:rPr>
        <w:t>،</w:t>
      </w:r>
      <w:r w:rsidRPr="00B30F0C">
        <w:rPr>
          <w:rtl/>
        </w:rPr>
        <w:t xml:space="preserve"> وتوغو</w:t>
      </w:r>
      <w:r w:rsidRPr="00B30F0C">
        <w:rPr>
          <w:rFonts w:hint="cs"/>
          <w:rtl/>
        </w:rPr>
        <w:t>،</w:t>
      </w:r>
      <w:r w:rsidRPr="00B30F0C">
        <w:rPr>
          <w:rtl/>
        </w:rPr>
        <w:t xml:space="preserve"> وجمهورية مولدوفا</w:t>
      </w:r>
      <w:r w:rsidRPr="00B30F0C">
        <w:rPr>
          <w:rFonts w:hint="cs"/>
          <w:rtl/>
        </w:rPr>
        <w:t xml:space="preserve">، </w:t>
      </w:r>
      <w:r w:rsidRPr="00B30F0C">
        <w:rPr>
          <w:rtl/>
        </w:rPr>
        <w:t>وجورجيا</w:t>
      </w:r>
      <w:r w:rsidRPr="00B30F0C">
        <w:rPr>
          <w:rFonts w:hint="cs"/>
          <w:rtl/>
        </w:rPr>
        <w:t xml:space="preserve">، </w:t>
      </w:r>
      <w:r w:rsidRPr="00B30F0C">
        <w:rPr>
          <w:rtl/>
        </w:rPr>
        <w:t>وسلوفاكيا</w:t>
      </w:r>
      <w:r w:rsidRPr="00B30F0C">
        <w:rPr>
          <w:rFonts w:hint="cs"/>
          <w:rtl/>
        </w:rPr>
        <w:t>،</w:t>
      </w:r>
      <w:r w:rsidRPr="00B30F0C">
        <w:rPr>
          <w:rtl/>
        </w:rPr>
        <w:t xml:space="preserve"> وقبرص</w:t>
      </w:r>
      <w:r w:rsidRPr="00B30F0C">
        <w:rPr>
          <w:rFonts w:hint="cs"/>
          <w:rtl/>
        </w:rPr>
        <w:t>،</w:t>
      </w:r>
      <w:r w:rsidRPr="00B30F0C">
        <w:rPr>
          <w:rtl/>
        </w:rPr>
        <w:t xml:space="preserve"> وقطر</w:t>
      </w:r>
      <w:r w:rsidRPr="00B30F0C">
        <w:rPr>
          <w:rFonts w:hint="cs"/>
          <w:rtl/>
        </w:rPr>
        <w:t xml:space="preserve">، </w:t>
      </w:r>
      <w:r w:rsidRPr="00B30F0C">
        <w:rPr>
          <w:rtl/>
        </w:rPr>
        <w:t>وكازاخستان</w:t>
      </w:r>
      <w:r w:rsidRPr="00B30F0C">
        <w:rPr>
          <w:rFonts w:hint="cs"/>
          <w:rtl/>
        </w:rPr>
        <w:t>،</w:t>
      </w:r>
      <w:r w:rsidRPr="00B30F0C">
        <w:rPr>
          <w:rtl/>
        </w:rPr>
        <w:t xml:space="preserve"> وكوبا</w:t>
      </w:r>
      <w:r w:rsidRPr="00B30F0C">
        <w:rPr>
          <w:rFonts w:hint="cs"/>
          <w:rtl/>
        </w:rPr>
        <w:t>،</w:t>
      </w:r>
      <w:r w:rsidRPr="00B30F0C">
        <w:rPr>
          <w:rtl/>
        </w:rPr>
        <w:t xml:space="preserve"> ومدغشقر</w:t>
      </w:r>
      <w:r w:rsidRPr="00B30F0C">
        <w:rPr>
          <w:rFonts w:hint="cs"/>
          <w:rtl/>
        </w:rPr>
        <w:t>،</w:t>
      </w:r>
      <w:r w:rsidRPr="00B30F0C">
        <w:rPr>
          <w:rtl/>
        </w:rPr>
        <w:t xml:space="preserve"> والمكسيك</w:t>
      </w:r>
      <w:r w:rsidRPr="00B30F0C">
        <w:rPr>
          <w:rFonts w:hint="cs"/>
          <w:rtl/>
        </w:rPr>
        <w:t>،</w:t>
      </w:r>
      <w:r w:rsidRPr="00B30F0C">
        <w:rPr>
          <w:rtl/>
        </w:rPr>
        <w:t xml:space="preserve"> وهندوراس</w:t>
      </w:r>
      <w:r w:rsidRPr="00B30F0C">
        <w:rPr>
          <w:rFonts w:hint="cs"/>
          <w:rtl/>
        </w:rPr>
        <w:t>،</w:t>
      </w:r>
      <w:r w:rsidRPr="00B30F0C">
        <w:rPr>
          <w:rtl/>
        </w:rPr>
        <w:t xml:space="preserve"> وهنغاريا</w:t>
      </w:r>
      <w:r w:rsidRPr="00B30F0C">
        <w:rPr>
          <w:rFonts w:hint="cs"/>
          <w:rtl/>
        </w:rPr>
        <w:t>؛</w:t>
      </w:r>
      <w:r w:rsidR="006D19E9" w:rsidRPr="00B30F0C">
        <w:rPr>
          <w:rFonts w:hint="cs"/>
          <w:rtl/>
        </w:rPr>
        <w:t xml:space="preserve"> </w:t>
      </w:r>
      <w:r w:rsidRPr="00B30F0C">
        <w:rPr>
          <w:rFonts w:hint="cs"/>
          <w:rtl/>
        </w:rPr>
        <w:t>فضلاً عن مجلس أمين المظالم النمساوي، وهيئة تفتيش السجون</w:t>
      </w:r>
      <w:r w:rsidR="006D19E9" w:rsidRPr="00B30F0C">
        <w:rPr>
          <w:rFonts w:hint="cs"/>
          <w:rtl/>
        </w:rPr>
        <w:t xml:space="preserve"> </w:t>
      </w:r>
      <w:r w:rsidRPr="00B30F0C">
        <w:rPr>
          <w:rFonts w:hint="cs"/>
          <w:rtl/>
        </w:rPr>
        <w:t>الملكية البريطانية، والمركز الفنلندي لحقوق الإنسان، ولجنة حقوق الإنسان في ماليزيا، واللجنة الوطنية لحقوق الإنسان في المكسيك، واللجنة الوطنية لحقوق الإنسان في رواندا، ومجلس</w:t>
      </w:r>
      <w:r w:rsidR="006D19E9" w:rsidRPr="00B30F0C">
        <w:rPr>
          <w:rFonts w:hint="cs"/>
          <w:rtl/>
        </w:rPr>
        <w:t xml:space="preserve"> </w:t>
      </w:r>
      <w:r w:rsidRPr="00B30F0C">
        <w:rPr>
          <w:rFonts w:hint="cs"/>
          <w:rtl/>
        </w:rPr>
        <w:t>حقوق الإنسان في ألبانيا، وحركة التصالح الدولية، والمركز الوطني الأردني لحقوق الإنسان، ووكالة نشر القانون الإنساني الدولي في أفريقيا الوسطى، واللجنة الوطنية لحقوق الإنسان في كوريا، وأمين المظالم في جمهورية لاتفيا، ورابطة</w:t>
      </w:r>
      <w:r w:rsidR="006D19E9" w:rsidRPr="00B30F0C">
        <w:rPr>
          <w:rFonts w:hint="cs"/>
          <w:rtl/>
        </w:rPr>
        <w:t xml:space="preserve"> </w:t>
      </w:r>
      <w:r w:rsidRPr="00B30F0C">
        <w:rPr>
          <w:rFonts w:hint="cs"/>
          <w:rtl/>
        </w:rPr>
        <w:t>برومو</w:t>
      </w:r>
      <w:r w:rsidR="00B30F0C" w:rsidRPr="00B30F0C">
        <w:rPr>
          <w:rFonts w:hint="cs"/>
          <w:rtl/>
        </w:rPr>
        <w:t xml:space="preserve"> </w:t>
      </w:r>
      <w:r w:rsidRPr="00B30F0C">
        <w:rPr>
          <w:rFonts w:hint="cs"/>
          <w:rtl/>
        </w:rPr>
        <w:t>- ليكس، وشبكة العلماء المعرضين للخطر، والمركز الوطني</w:t>
      </w:r>
      <w:r w:rsidR="006D19E9" w:rsidRPr="00B30F0C">
        <w:rPr>
          <w:rFonts w:hint="cs"/>
          <w:rtl/>
        </w:rPr>
        <w:t xml:space="preserve"> </w:t>
      </w:r>
      <w:r w:rsidRPr="00B30F0C">
        <w:rPr>
          <w:rFonts w:hint="cs"/>
          <w:rtl/>
        </w:rPr>
        <w:t>لحقوق الإنسان في سلوفاكيا</w:t>
      </w:r>
      <w:r w:rsidR="006D19E9" w:rsidRPr="006D19E9">
        <w:rPr>
          <w:rStyle w:val="FootnoteReference"/>
          <w:color w:val="auto"/>
          <w:sz w:val="30"/>
          <w:szCs w:val="30"/>
          <w:rtl/>
          <w:lang w:bidi="ar"/>
        </w:rPr>
        <w:t>(</w:t>
      </w:r>
      <w:r w:rsidR="006D19E9" w:rsidRPr="006D19E9">
        <w:rPr>
          <w:rStyle w:val="FootnoteReference"/>
          <w:color w:val="auto"/>
          <w:sz w:val="30"/>
          <w:szCs w:val="30"/>
          <w:rtl/>
          <w:lang w:bidi="ar"/>
        </w:rPr>
        <w:footnoteReference w:id="1"/>
      </w:r>
      <w:r w:rsidR="006D19E9" w:rsidRPr="006D19E9">
        <w:rPr>
          <w:rStyle w:val="FootnoteReference"/>
          <w:color w:val="auto"/>
          <w:sz w:val="30"/>
          <w:szCs w:val="30"/>
          <w:rtl/>
          <w:lang w:bidi="ar"/>
        </w:rPr>
        <w:t>)</w:t>
      </w:r>
      <w:r w:rsidR="00697057" w:rsidRPr="00697057">
        <w:rPr>
          <w:rStyle w:val="FootnoteReference"/>
          <w:rFonts w:hint="cs"/>
          <w:color w:val="auto"/>
          <w:sz w:val="30"/>
          <w:szCs w:val="30"/>
          <w:vertAlign w:val="baseline"/>
          <w:rtl/>
          <w:lang w:bidi="ar"/>
        </w:rPr>
        <w:t>.</w:t>
      </w:r>
    </w:p>
    <w:p w:rsidR="00C47F5D" w:rsidRPr="006D19E9" w:rsidRDefault="00C47F5D" w:rsidP="00C47F5D">
      <w:pPr>
        <w:pStyle w:val="SingleTxt"/>
      </w:pPr>
      <w:r w:rsidRPr="006D19E9">
        <w:rPr>
          <w:rFonts w:hint="cs"/>
          <w:rtl/>
        </w:rPr>
        <w:t>3-</w:t>
      </w:r>
      <w:r w:rsidRPr="006D19E9">
        <w:rPr>
          <w:rFonts w:hint="cs"/>
          <w:rtl/>
        </w:rPr>
        <w:tab/>
        <w:t>ويرمي</w:t>
      </w:r>
      <w:r w:rsidR="006D19E9">
        <w:rPr>
          <w:rFonts w:hint="cs"/>
          <w:rtl/>
        </w:rPr>
        <w:t xml:space="preserve"> </w:t>
      </w:r>
      <w:r w:rsidRPr="006D19E9">
        <w:rPr>
          <w:rFonts w:hint="cs"/>
          <w:rtl/>
        </w:rPr>
        <w:t>هذا التقرير إلى تقديم معلومات إضافية عن مفهوم منع انتهاكات حقوق الإنسان (الفرع ثانيا</w:t>
      </w:r>
      <w:r w:rsidR="00B30F0C">
        <w:rPr>
          <w:rFonts w:hint="cs"/>
          <w:rtl/>
        </w:rPr>
        <w:t>ً</w:t>
      </w:r>
      <w:r w:rsidRPr="006D19E9">
        <w:rPr>
          <w:rFonts w:hint="cs"/>
          <w:rtl/>
        </w:rPr>
        <w:t>)؛ وتحديد الوسائل العملية الواجب اعتمادها لمنعها</w:t>
      </w:r>
      <w:r w:rsidR="006D19E9">
        <w:rPr>
          <w:rFonts w:hint="cs"/>
          <w:rtl/>
        </w:rPr>
        <w:t xml:space="preserve"> </w:t>
      </w:r>
      <w:r w:rsidR="00697057">
        <w:rPr>
          <w:rFonts w:hint="cs"/>
          <w:rtl/>
        </w:rPr>
        <w:t>(</w:t>
      </w:r>
      <w:r w:rsidRPr="006D19E9">
        <w:rPr>
          <w:rFonts w:hint="cs"/>
          <w:rtl/>
        </w:rPr>
        <w:t>الفرع ثالثا</w:t>
      </w:r>
      <w:r w:rsidR="00B30F0C">
        <w:rPr>
          <w:rFonts w:hint="cs"/>
          <w:rtl/>
        </w:rPr>
        <w:t>ً</w:t>
      </w:r>
      <w:r w:rsidRPr="006D19E9">
        <w:rPr>
          <w:rFonts w:hint="cs"/>
          <w:rtl/>
        </w:rPr>
        <w:t xml:space="preserve">)؛ وإلقاء الضوء على دور أصحاب المصلحة الدوليين والإقليميين </w:t>
      </w:r>
      <w:r w:rsidR="00697057">
        <w:rPr>
          <w:rFonts w:hint="cs"/>
          <w:rtl/>
        </w:rPr>
        <w:t>(</w:t>
      </w:r>
      <w:r w:rsidRPr="006D19E9">
        <w:rPr>
          <w:rFonts w:hint="cs"/>
          <w:rtl/>
        </w:rPr>
        <w:t>الفرع رابعا</w:t>
      </w:r>
      <w:r w:rsidR="00B30F0C">
        <w:rPr>
          <w:rFonts w:hint="cs"/>
          <w:rtl/>
        </w:rPr>
        <w:t>ً</w:t>
      </w:r>
      <w:r w:rsidRPr="006D19E9">
        <w:rPr>
          <w:rFonts w:hint="cs"/>
          <w:rtl/>
        </w:rPr>
        <w:t xml:space="preserve">). </w:t>
      </w:r>
    </w:p>
    <w:p w:rsidR="00C47F5D" w:rsidRPr="006D19E9" w:rsidRDefault="00C47F5D" w:rsidP="00C47F5D">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sidRPr="006D19E9">
        <w:rPr>
          <w:rFonts w:hint="cs"/>
          <w:rtl/>
        </w:rPr>
        <w:tab/>
        <w:t>ثانياً-</w:t>
      </w:r>
      <w:r w:rsidRPr="006D19E9">
        <w:rPr>
          <w:rFonts w:hint="cs"/>
          <w:rtl/>
        </w:rPr>
        <w:tab/>
        <w:t>مفهوم منع الانتهاكات</w:t>
      </w:r>
    </w:p>
    <w:p w:rsidR="00C47F5D" w:rsidRPr="006D19E9" w:rsidRDefault="00C47F5D" w:rsidP="00C47F5D">
      <w:pPr>
        <w:pStyle w:val="SingleTxt"/>
        <w:keepNext/>
        <w:keepLines/>
        <w:spacing w:after="0" w:line="120" w:lineRule="exact"/>
        <w:rPr>
          <w:sz w:val="10"/>
          <w:rtl/>
        </w:rPr>
      </w:pPr>
    </w:p>
    <w:p w:rsidR="00C47F5D" w:rsidRPr="00024953" w:rsidRDefault="00C47F5D" w:rsidP="00697057">
      <w:pPr>
        <w:pStyle w:val="SingleTxt"/>
        <w:rPr>
          <w:spacing w:val="-2"/>
          <w:rtl/>
        </w:rPr>
      </w:pPr>
      <w:r w:rsidRPr="00024953">
        <w:rPr>
          <w:rFonts w:hint="cs"/>
          <w:spacing w:val="-2"/>
          <w:rtl/>
        </w:rPr>
        <w:t>4-</w:t>
      </w:r>
      <w:r w:rsidRPr="00024953">
        <w:rPr>
          <w:rFonts w:hint="cs"/>
          <w:spacing w:val="-2"/>
          <w:rtl/>
        </w:rPr>
        <w:tab/>
        <w:t>تتحمّل الدول بانضمامها إلى المعاهدات الدولية</w:t>
      </w:r>
      <w:r w:rsidR="006D19E9" w:rsidRPr="00024953">
        <w:rPr>
          <w:rFonts w:hint="cs"/>
          <w:spacing w:val="-2"/>
          <w:rtl/>
        </w:rPr>
        <w:t xml:space="preserve"> </w:t>
      </w:r>
      <w:r w:rsidRPr="00024953">
        <w:rPr>
          <w:rFonts w:hint="cs"/>
          <w:spacing w:val="-2"/>
          <w:rtl/>
        </w:rPr>
        <w:t>التزامات</w:t>
      </w:r>
      <w:r w:rsidR="006D19E9" w:rsidRPr="00024953">
        <w:rPr>
          <w:rFonts w:hint="cs"/>
          <w:spacing w:val="-2"/>
          <w:rtl/>
        </w:rPr>
        <w:t xml:space="preserve"> </w:t>
      </w:r>
      <w:r w:rsidRPr="00024953">
        <w:rPr>
          <w:rFonts w:hint="cs"/>
          <w:spacing w:val="-2"/>
          <w:rtl/>
        </w:rPr>
        <w:t>وواجبات</w:t>
      </w:r>
      <w:r w:rsidR="006D19E9" w:rsidRPr="00024953">
        <w:rPr>
          <w:rFonts w:hint="cs"/>
          <w:spacing w:val="-2"/>
          <w:rtl/>
        </w:rPr>
        <w:t xml:space="preserve"> </w:t>
      </w:r>
      <w:r w:rsidRPr="00024953">
        <w:rPr>
          <w:rFonts w:hint="cs"/>
          <w:spacing w:val="-2"/>
          <w:rtl/>
        </w:rPr>
        <w:t>بموجب القانون الدولي، فيما يخص احترام وحماية وإنفاذ حقوق الإنسان لجميع الأشخاص المقيمين</w:t>
      </w:r>
      <w:r w:rsidR="006D19E9" w:rsidRPr="00024953">
        <w:rPr>
          <w:rFonts w:hint="cs"/>
          <w:spacing w:val="-2"/>
          <w:rtl/>
        </w:rPr>
        <w:t xml:space="preserve"> </w:t>
      </w:r>
      <w:r w:rsidRPr="00024953">
        <w:rPr>
          <w:rFonts w:hint="cs"/>
          <w:spacing w:val="-2"/>
          <w:rtl/>
        </w:rPr>
        <w:t>في أقاليمها، أو الذين تشملهم ولايتها القضائية، دون أي تمييز</w:t>
      </w:r>
      <w:r w:rsidR="006D19E9" w:rsidRPr="00024953">
        <w:rPr>
          <w:rStyle w:val="FootnoteReference"/>
          <w:color w:val="auto"/>
          <w:spacing w:val="-2"/>
          <w:sz w:val="30"/>
          <w:szCs w:val="30"/>
          <w:rtl/>
        </w:rPr>
        <w:t>(</w:t>
      </w:r>
      <w:r w:rsidR="006D19E9" w:rsidRPr="00024953">
        <w:rPr>
          <w:rStyle w:val="FootnoteReference"/>
          <w:color w:val="auto"/>
          <w:spacing w:val="-2"/>
          <w:sz w:val="30"/>
          <w:szCs w:val="30"/>
          <w:rtl/>
        </w:rPr>
        <w:footnoteReference w:id="2"/>
      </w:r>
      <w:r w:rsidR="006D19E9" w:rsidRPr="00024953">
        <w:rPr>
          <w:rStyle w:val="FootnoteReference"/>
          <w:color w:val="auto"/>
          <w:spacing w:val="-2"/>
          <w:sz w:val="30"/>
          <w:szCs w:val="30"/>
          <w:rtl/>
        </w:rPr>
        <w:t>)</w:t>
      </w:r>
      <w:r w:rsidR="00697057" w:rsidRPr="00024953">
        <w:rPr>
          <w:rFonts w:hint="cs"/>
          <w:spacing w:val="-2"/>
          <w:rtl/>
        </w:rPr>
        <w:t>.</w:t>
      </w:r>
      <w:r w:rsidRPr="00024953">
        <w:rPr>
          <w:rFonts w:hint="cs"/>
          <w:spacing w:val="-2"/>
          <w:rtl/>
        </w:rPr>
        <w:t xml:space="preserve"> وبالإضافة إلى ذلك،</w:t>
      </w:r>
      <w:r w:rsidR="006D19E9" w:rsidRPr="00024953">
        <w:rPr>
          <w:rFonts w:hint="cs"/>
          <w:spacing w:val="-2"/>
          <w:rtl/>
        </w:rPr>
        <w:t xml:space="preserve"> </w:t>
      </w:r>
      <w:r w:rsidRPr="00024953">
        <w:rPr>
          <w:rFonts w:hint="cs"/>
          <w:spacing w:val="-2"/>
          <w:rtl/>
        </w:rPr>
        <w:t>تعتبر "الدول، بما يشمل جميع الفروع التابعة لها، مسؤولة في المقام الأول عن تعزيز وحماية جميع حقوق الإنسان، بما في ذلك منع انتهاكات حقوق الإنسان"</w:t>
      </w:r>
      <w:r w:rsidR="006D19E9" w:rsidRPr="00024953">
        <w:rPr>
          <w:rStyle w:val="FootnoteReference"/>
          <w:color w:val="auto"/>
          <w:spacing w:val="-2"/>
          <w:sz w:val="30"/>
          <w:szCs w:val="30"/>
          <w:rtl/>
        </w:rPr>
        <w:t>(</w:t>
      </w:r>
      <w:r w:rsidR="006D19E9" w:rsidRPr="00024953">
        <w:rPr>
          <w:rStyle w:val="FootnoteReference"/>
          <w:color w:val="auto"/>
          <w:spacing w:val="-2"/>
          <w:sz w:val="30"/>
          <w:szCs w:val="30"/>
          <w:rtl/>
        </w:rPr>
        <w:footnoteReference w:id="3"/>
      </w:r>
      <w:r w:rsidR="006D19E9" w:rsidRPr="00024953">
        <w:rPr>
          <w:rStyle w:val="FootnoteReference"/>
          <w:color w:val="auto"/>
          <w:spacing w:val="-2"/>
          <w:sz w:val="30"/>
          <w:szCs w:val="30"/>
          <w:rtl/>
        </w:rPr>
        <w:t>)</w:t>
      </w:r>
      <w:r w:rsidR="00697057" w:rsidRPr="00024953">
        <w:rPr>
          <w:rFonts w:hint="cs"/>
          <w:spacing w:val="-2"/>
          <w:rtl/>
        </w:rPr>
        <w:t>.</w:t>
      </w:r>
      <w:r w:rsidRPr="00024953">
        <w:rPr>
          <w:rFonts w:hint="cs"/>
          <w:spacing w:val="-2"/>
          <w:rtl/>
        </w:rPr>
        <w:t xml:space="preserve"> وتشمل</w:t>
      </w:r>
      <w:r w:rsidR="006D19E9" w:rsidRPr="00024953">
        <w:rPr>
          <w:rFonts w:hint="cs"/>
          <w:spacing w:val="-2"/>
          <w:rtl/>
        </w:rPr>
        <w:t xml:space="preserve"> </w:t>
      </w:r>
      <w:r w:rsidRPr="00024953">
        <w:rPr>
          <w:rFonts w:hint="cs"/>
          <w:spacing w:val="-2"/>
          <w:rtl/>
        </w:rPr>
        <w:t>التزامات</w:t>
      </w:r>
      <w:r w:rsidR="006D19E9" w:rsidRPr="00024953">
        <w:rPr>
          <w:rFonts w:hint="cs"/>
          <w:spacing w:val="-2"/>
          <w:rtl/>
        </w:rPr>
        <w:t xml:space="preserve"> </w:t>
      </w:r>
      <w:r w:rsidRPr="00024953">
        <w:rPr>
          <w:rFonts w:hint="cs"/>
          <w:spacing w:val="-2"/>
          <w:rtl/>
        </w:rPr>
        <w:t>الدول واجب توفير الحماية من انتهاكات حقوق الإنسان المرتكبة على يد أطراف ثالثة، ومن بينها الجهات الفاعلة الخاصة</w:t>
      </w:r>
      <w:r w:rsidR="006D19E9" w:rsidRPr="00024953">
        <w:rPr>
          <w:rStyle w:val="FootnoteReference"/>
          <w:color w:val="auto"/>
          <w:spacing w:val="-2"/>
          <w:sz w:val="30"/>
          <w:szCs w:val="30"/>
          <w:rtl/>
        </w:rPr>
        <w:t>(</w:t>
      </w:r>
      <w:r w:rsidR="006D19E9" w:rsidRPr="00024953">
        <w:rPr>
          <w:rStyle w:val="FootnoteReference"/>
          <w:color w:val="auto"/>
          <w:spacing w:val="-2"/>
          <w:sz w:val="30"/>
          <w:szCs w:val="30"/>
          <w:rtl/>
        </w:rPr>
        <w:footnoteReference w:id="4"/>
      </w:r>
      <w:r w:rsidR="006D19E9" w:rsidRPr="00024953">
        <w:rPr>
          <w:rStyle w:val="FootnoteReference"/>
          <w:color w:val="auto"/>
          <w:spacing w:val="-2"/>
          <w:sz w:val="30"/>
          <w:szCs w:val="30"/>
          <w:rtl/>
        </w:rPr>
        <w:t>)</w:t>
      </w:r>
      <w:r w:rsidR="00697057" w:rsidRPr="00024953">
        <w:rPr>
          <w:rFonts w:hint="cs"/>
          <w:spacing w:val="-2"/>
          <w:rtl/>
        </w:rPr>
        <w:t>.</w:t>
      </w:r>
      <w:r w:rsidRPr="00024953">
        <w:rPr>
          <w:rFonts w:hint="cs"/>
          <w:spacing w:val="-2"/>
          <w:rtl/>
        </w:rPr>
        <w:t xml:space="preserve"> وقد تخلّ الدول بالتزاماتها بموجب القانون الدولي لحقوق الإنسان إذا</w:t>
      </w:r>
      <w:r w:rsidR="006D19E9" w:rsidRPr="00024953">
        <w:rPr>
          <w:rFonts w:hint="cs"/>
          <w:spacing w:val="-2"/>
          <w:rtl/>
        </w:rPr>
        <w:t xml:space="preserve"> </w:t>
      </w:r>
      <w:r w:rsidRPr="00024953">
        <w:rPr>
          <w:rFonts w:hint="cs"/>
          <w:spacing w:val="-2"/>
          <w:rtl/>
        </w:rPr>
        <w:t>لم تتخذ الخطوات المناسبة لمنع التجاوزات المرتكبة على يد جهات فاعلة خاصة</w:t>
      </w:r>
      <w:r w:rsidR="006D19E9" w:rsidRPr="00024953">
        <w:rPr>
          <w:rFonts w:hint="cs"/>
          <w:spacing w:val="-2"/>
          <w:rtl/>
        </w:rPr>
        <w:t xml:space="preserve"> </w:t>
      </w:r>
      <w:r w:rsidRPr="00024953">
        <w:rPr>
          <w:rFonts w:hint="cs"/>
          <w:spacing w:val="-2"/>
          <w:rtl/>
        </w:rPr>
        <w:t>والتحقيق فيها ومعاقبة الجناة وجبر الأضرار</w:t>
      </w:r>
      <w:r w:rsidR="006D19E9" w:rsidRPr="00024953">
        <w:rPr>
          <w:rStyle w:val="FootnoteReference"/>
          <w:color w:val="auto"/>
          <w:spacing w:val="-2"/>
          <w:sz w:val="30"/>
          <w:szCs w:val="30"/>
          <w:rtl/>
        </w:rPr>
        <w:t>(</w:t>
      </w:r>
      <w:r w:rsidR="006D19E9" w:rsidRPr="00024953">
        <w:rPr>
          <w:rStyle w:val="FootnoteReference"/>
          <w:color w:val="auto"/>
          <w:spacing w:val="-2"/>
          <w:sz w:val="30"/>
          <w:szCs w:val="30"/>
          <w:rtl/>
        </w:rPr>
        <w:footnoteReference w:id="5"/>
      </w:r>
      <w:r w:rsidR="006D19E9" w:rsidRPr="00024953">
        <w:rPr>
          <w:rStyle w:val="FootnoteReference"/>
          <w:color w:val="auto"/>
          <w:spacing w:val="-2"/>
          <w:sz w:val="30"/>
          <w:szCs w:val="30"/>
          <w:rtl/>
        </w:rPr>
        <w:t>)</w:t>
      </w:r>
      <w:r w:rsidR="00697057" w:rsidRPr="00024953">
        <w:rPr>
          <w:rStyle w:val="FootnoteReference"/>
          <w:rFonts w:hint="cs"/>
          <w:color w:val="auto"/>
          <w:spacing w:val="-2"/>
          <w:sz w:val="30"/>
          <w:szCs w:val="30"/>
          <w:vertAlign w:val="baseline"/>
          <w:rtl/>
        </w:rPr>
        <w:t>.</w:t>
      </w:r>
    </w:p>
    <w:p w:rsidR="00C47F5D" w:rsidRPr="006D19E9" w:rsidRDefault="00C47F5D" w:rsidP="00697057">
      <w:pPr>
        <w:pStyle w:val="SingleTxt"/>
        <w:rPr>
          <w:rtl/>
        </w:rPr>
      </w:pPr>
      <w:r w:rsidRPr="006D19E9">
        <w:rPr>
          <w:rFonts w:hint="cs"/>
          <w:rtl/>
        </w:rPr>
        <w:t>5-</w:t>
      </w:r>
      <w:r w:rsidRPr="006D19E9">
        <w:rPr>
          <w:rFonts w:hint="cs"/>
          <w:rtl/>
        </w:rPr>
        <w:tab/>
        <w:t>وترد</w:t>
      </w:r>
      <w:r w:rsidR="006D19E9">
        <w:rPr>
          <w:rFonts w:hint="cs"/>
          <w:rtl/>
        </w:rPr>
        <w:t xml:space="preserve"> </w:t>
      </w:r>
      <w:r w:rsidRPr="006D19E9">
        <w:rPr>
          <w:rFonts w:hint="cs"/>
          <w:rtl/>
        </w:rPr>
        <w:t>نصوص صريحة عن الالتزام بمنع انتهاكات حقوق الإنسان</w:t>
      </w:r>
      <w:r w:rsidR="006D19E9">
        <w:rPr>
          <w:rFonts w:hint="cs"/>
          <w:rtl/>
        </w:rPr>
        <w:t xml:space="preserve"> </w:t>
      </w:r>
      <w:r w:rsidRPr="006D19E9">
        <w:rPr>
          <w:rFonts w:hint="cs"/>
          <w:rtl/>
        </w:rPr>
        <w:t>في بعض المعاهدات</w:t>
      </w:r>
      <w:r w:rsidR="006D19E9" w:rsidRPr="006D19E9">
        <w:rPr>
          <w:rStyle w:val="FootnoteReference"/>
          <w:color w:val="auto"/>
          <w:sz w:val="30"/>
          <w:szCs w:val="30"/>
          <w:rtl/>
        </w:rPr>
        <w:t>(</w:t>
      </w:r>
      <w:r w:rsidR="006D19E9" w:rsidRPr="006D19E9">
        <w:rPr>
          <w:rStyle w:val="FootnoteReference"/>
          <w:color w:val="auto"/>
          <w:sz w:val="30"/>
          <w:szCs w:val="30"/>
          <w:rtl/>
        </w:rPr>
        <w:footnoteReference w:id="6"/>
      </w:r>
      <w:r w:rsidR="006D19E9" w:rsidRPr="006D19E9">
        <w:rPr>
          <w:rStyle w:val="FootnoteReference"/>
          <w:color w:val="auto"/>
          <w:sz w:val="30"/>
          <w:szCs w:val="30"/>
          <w:rtl/>
        </w:rPr>
        <w:t>)</w:t>
      </w:r>
      <w:r w:rsidR="00697057">
        <w:rPr>
          <w:rFonts w:hint="cs"/>
          <w:rtl/>
        </w:rPr>
        <w:t>،</w:t>
      </w:r>
      <w:r w:rsidR="006D19E9">
        <w:rPr>
          <w:rFonts w:hint="cs"/>
          <w:rtl/>
        </w:rPr>
        <w:t xml:space="preserve"> </w:t>
      </w:r>
      <w:r w:rsidRPr="006D19E9">
        <w:rPr>
          <w:rFonts w:hint="cs"/>
          <w:rtl/>
        </w:rPr>
        <w:t>وتتناوله على نطاق أوسع</w:t>
      </w:r>
      <w:r w:rsidR="006D19E9">
        <w:rPr>
          <w:rFonts w:hint="cs"/>
          <w:rtl/>
        </w:rPr>
        <w:t xml:space="preserve"> </w:t>
      </w:r>
      <w:r w:rsidRPr="006D19E9">
        <w:rPr>
          <w:rFonts w:hint="cs"/>
          <w:rtl/>
        </w:rPr>
        <w:t>التعليقات العامة لهيئات معاهدات حقوق الإنسان</w:t>
      </w:r>
      <w:r w:rsidR="006D19E9" w:rsidRPr="006D19E9">
        <w:rPr>
          <w:rStyle w:val="FootnoteReference"/>
          <w:color w:val="auto"/>
          <w:sz w:val="30"/>
          <w:szCs w:val="30"/>
          <w:rtl/>
        </w:rPr>
        <w:t>(</w:t>
      </w:r>
      <w:r w:rsidR="006D19E9" w:rsidRPr="006D19E9">
        <w:rPr>
          <w:rStyle w:val="FootnoteReference"/>
          <w:color w:val="auto"/>
          <w:sz w:val="30"/>
          <w:szCs w:val="30"/>
          <w:rtl/>
        </w:rPr>
        <w:footnoteReference w:id="7"/>
      </w:r>
      <w:r w:rsidR="006D19E9" w:rsidRPr="006D19E9">
        <w:rPr>
          <w:rStyle w:val="FootnoteReference"/>
          <w:color w:val="auto"/>
          <w:sz w:val="30"/>
          <w:szCs w:val="30"/>
          <w:rtl/>
        </w:rPr>
        <w:t>)</w:t>
      </w:r>
      <w:r w:rsidR="006D19E9">
        <w:rPr>
          <w:rFonts w:hint="cs"/>
          <w:rtl/>
        </w:rPr>
        <w:t xml:space="preserve"> </w:t>
      </w:r>
      <w:r w:rsidRPr="006D19E9">
        <w:rPr>
          <w:rFonts w:hint="cs"/>
          <w:rtl/>
        </w:rPr>
        <w:t>وتقاريرها،</w:t>
      </w:r>
      <w:r w:rsidR="006D19E9">
        <w:rPr>
          <w:rFonts w:hint="cs"/>
          <w:rtl/>
        </w:rPr>
        <w:t xml:space="preserve"> </w:t>
      </w:r>
      <w:r w:rsidRPr="006D19E9">
        <w:rPr>
          <w:rFonts w:hint="cs"/>
          <w:rtl/>
        </w:rPr>
        <w:t>ولا</w:t>
      </w:r>
      <w:r w:rsidR="00697057">
        <w:rPr>
          <w:rFonts w:hint="eastAsia"/>
          <w:rtl/>
        </w:rPr>
        <w:t> </w:t>
      </w:r>
      <w:r w:rsidRPr="006D19E9">
        <w:rPr>
          <w:rFonts w:hint="cs"/>
          <w:rtl/>
        </w:rPr>
        <w:t>سيما فيما يخص المسائل التالية: منع التعذيب</w:t>
      </w:r>
      <w:r w:rsidR="006D19E9" w:rsidRPr="006D19E9">
        <w:rPr>
          <w:rStyle w:val="FootnoteReference"/>
          <w:color w:val="auto"/>
          <w:sz w:val="30"/>
          <w:szCs w:val="30"/>
          <w:rtl/>
        </w:rPr>
        <w:t>(</w:t>
      </w:r>
      <w:r w:rsidR="006D19E9" w:rsidRPr="006D19E9">
        <w:rPr>
          <w:rStyle w:val="FootnoteReference"/>
          <w:color w:val="auto"/>
          <w:sz w:val="30"/>
          <w:szCs w:val="30"/>
          <w:rtl/>
        </w:rPr>
        <w:footnoteReference w:id="8"/>
      </w:r>
      <w:r w:rsidR="006D19E9" w:rsidRPr="006D19E9">
        <w:rPr>
          <w:rStyle w:val="FootnoteReference"/>
          <w:color w:val="auto"/>
          <w:sz w:val="30"/>
          <w:szCs w:val="30"/>
          <w:rtl/>
        </w:rPr>
        <w:t>)</w:t>
      </w:r>
      <w:r w:rsidRPr="006D19E9">
        <w:rPr>
          <w:rFonts w:hint="cs"/>
          <w:rtl/>
        </w:rPr>
        <w:t>، والإبادة الجماعية</w:t>
      </w:r>
      <w:r w:rsidR="006D19E9" w:rsidRPr="006D19E9">
        <w:rPr>
          <w:rStyle w:val="FootnoteReference"/>
          <w:color w:val="auto"/>
          <w:sz w:val="30"/>
          <w:szCs w:val="30"/>
          <w:rtl/>
        </w:rPr>
        <w:t>(</w:t>
      </w:r>
      <w:r w:rsidR="006D19E9" w:rsidRPr="006D19E9">
        <w:rPr>
          <w:rStyle w:val="FootnoteReference"/>
          <w:color w:val="auto"/>
          <w:sz w:val="30"/>
          <w:szCs w:val="30"/>
          <w:rtl/>
        </w:rPr>
        <w:footnoteReference w:id="9"/>
      </w:r>
      <w:r w:rsidR="006D19E9" w:rsidRPr="006D19E9">
        <w:rPr>
          <w:rStyle w:val="FootnoteReference"/>
          <w:color w:val="auto"/>
          <w:sz w:val="30"/>
          <w:szCs w:val="30"/>
          <w:rtl/>
        </w:rPr>
        <w:t>)</w:t>
      </w:r>
      <w:r w:rsidRPr="006D19E9">
        <w:rPr>
          <w:rFonts w:hint="cs"/>
          <w:rtl/>
        </w:rPr>
        <w:t>، والفظائع الجماعية</w:t>
      </w:r>
      <w:r w:rsidR="006D19E9" w:rsidRPr="006D19E9">
        <w:rPr>
          <w:rStyle w:val="FootnoteReference"/>
          <w:color w:val="auto"/>
          <w:sz w:val="30"/>
          <w:szCs w:val="30"/>
          <w:rtl/>
        </w:rPr>
        <w:t>(</w:t>
      </w:r>
      <w:r w:rsidR="006D19E9" w:rsidRPr="006D19E9">
        <w:rPr>
          <w:rStyle w:val="FootnoteReference"/>
          <w:color w:val="auto"/>
          <w:sz w:val="30"/>
          <w:szCs w:val="30"/>
          <w:rtl/>
        </w:rPr>
        <w:footnoteReference w:id="10"/>
      </w:r>
      <w:r w:rsidR="006D19E9" w:rsidRPr="006D19E9">
        <w:rPr>
          <w:rStyle w:val="FootnoteReference"/>
          <w:color w:val="auto"/>
          <w:sz w:val="30"/>
          <w:szCs w:val="30"/>
          <w:rtl/>
        </w:rPr>
        <w:t>)</w:t>
      </w:r>
      <w:r w:rsidRPr="006D19E9">
        <w:rPr>
          <w:rFonts w:hint="cs"/>
          <w:rtl/>
        </w:rPr>
        <w:t>، والتحريض على الكره</w:t>
      </w:r>
      <w:r w:rsidR="006D19E9" w:rsidRPr="006D19E9">
        <w:rPr>
          <w:rStyle w:val="FootnoteReference"/>
          <w:color w:val="auto"/>
          <w:sz w:val="30"/>
          <w:szCs w:val="30"/>
          <w:rtl/>
        </w:rPr>
        <w:t>(</w:t>
      </w:r>
      <w:r w:rsidR="006D19E9" w:rsidRPr="006D19E9">
        <w:rPr>
          <w:rStyle w:val="FootnoteReference"/>
          <w:color w:val="auto"/>
          <w:sz w:val="30"/>
          <w:szCs w:val="30"/>
          <w:rtl/>
        </w:rPr>
        <w:footnoteReference w:id="11"/>
      </w:r>
      <w:r w:rsidR="006D19E9" w:rsidRPr="006D19E9">
        <w:rPr>
          <w:rStyle w:val="FootnoteReference"/>
          <w:color w:val="auto"/>
          <w:sz w:val="30"/>
          <w:szCs w:val="30"/>
          <w:rtl/>
        </w:rPr>
        <w:t>)</w:t>
      </w:r>
      <w:r w:rsidRPr="006D19E9">
        <w:rPr>
          <w:rFonts w:hint="cs"/>
          <w:rtl/>
        </w:rPr>
        <w:t>، والتطرف العنيف</w:t>
      </w:r>
      <w:r w:rsidR="006D19E9" w:rsidRPr="006D19E9">
        <w:rPr>
          <w:rStyle w:val="FootnoteReference"/>
          <w:color w:val="auto"/>
          <w:sz w:val="30"/>
          <w:szCs w:val="30"/>
          <w:rtl/>
        </w:rPr>
        <w:t>(</w:t>
      </w:r>
      <w:r w:rsidR="006D19E9" w:rsidRPr="006D19E9">
        <w:rPr>
          <w:rStyle w:val="FootnoteReference"/>
          <w:color w:val="auto"/>
          <w:sz w:val="30"/>
          <w:szCs w:val="30"/>
          <w:rtl/>
        </w:rPr>
        <w:footnoteReference w:id="12"/>
      </w:r>
      <w:r w:rsidR="006D19E9" w:rsidRPr="006D19E9">
        <w:rPr>
          <w:rStyle w:val="FootnoteReference"/>
          <w:color w:val="auto"/>
          <w:sz w:val="30"/>
          <w:szCs w:val="30"/>
          <w:rtl/>
        </w:rPr>
        <w:t>)</w:t>
      </w:r>
      <w:r w:rsidRPr="006D19E9">
        <w:rPr>
          <w:rFonts w:hint="cs"/>
          <w:rtl/>
        </w:rPr>
        <w:t>، والقضاء على التمييز القائم على أسس معيّنة (من قبيل الانتماء العرقي</w:t>
      </w:r>
      <w:r w:rsidR="006D19E9" w:rsidRPr="006D19E9">
        <w:rPr>
          <w:rStyle w:val="FootnoteReference"/>
          <w:color w:val="auto"/>
          <w:sz w:val="30"/>
          <w:szCs w:val="30"/>
          <w:rtl/>
        </w:rPr>
        <w:t>(</w:t>
      </w:r>
      <w:r w:rsidR="006D19E9" w:rsidRPr="006D19E9">
        <w:rPr>
          <w:rStyle w:val="FootnoteReference"/>
          <w:color w:val="auto"/>
          <w:sz w:val="30"/>
          <w:szCs w:val="30"/>
          <w:rtl/>
        </w:rPr>
        <w:footnoteReference w:id="13"/>
      </w:r>
      <w:r w:rsidR="006D19E9" w:rsidRPr="006D19E9">
        <w:rPr>
          <w:rStyle w:val="FootnoteReference"/>
          <w:color w:val="auto"/>
          <w:sz w:val="30"/>
          <w:szCs w:val="30"/>
          <w:rtl/>
        </w:rPr>
        <w:t>)</w:t>
      </w:r>
      <w:r w:rsidRPr="006D19E9">
        <w:rPr>
          <w:rFonts w:hint="cs"/>
          <w:rtl/>
        </w:rPr>
        <w:t>، والدين أو المعتقد</w:t>
      </w:r>
      <w:r w:rsidR="006D19E9" w:rsidRPr="006D19E9">
        <w:rPr>
          <w:rStyle w:val="FootnoteReference"/>
          <w:color w:val="auto"/>
          <w:sz w:val="30"/>
          <w:szCs w:val="30"/>
          <w:rtl/>
        </w:rPr>
        <w:t>(</w:t>
      </w:r>
      <w:r w:rsidR="006D19E9" w:rsidRPr="006D19E9">
        <w:rPr>
          <w:rStyle w:val="FootnoteReference"/>
          <w:color w:val="auto"/>
          <w:sz w:val="30"/>
          <w:szCs w:val="30"/>
          <w:rtl/>
        </w:rPr>
        <w:footnoteReference w:id="14"/>
      </w:r>
      <w:r w:rsidR="006D19E9" w:rsidRPr="006D19E9">
        <w:rPr>
          <w:rStyle w:val="FootnoteReference"/>
          <w:color w:val="auto"/>
          <w:sz w:val="30"/>
          <w:szCs w:val="30"/>
          <w:rtl/>
        </w:rPr>
        <w:t>)</w:t>
      </w:r>
      <w:r w:rsidRPr="006D19E9">
        <w:rPr>
          <w:rFonts w:hint="cs"/>
          <w:rtl/>
        </w:rPr>
        <w:t>،</w:t>
      </w:r>
      <w:r w:rsidR="006D19E9">
        <w:rPr>
          <w:rFonts w:hint="cs"/>
          <w:rtl/>
        </w:rPr>
        <w:t xml:space="preserve"> </w:t>
      </w:r>
      <w:r w:rsidRPr="006D19E9">
        <w:rPr>
          <w:rFonts w:hint="cs"/>
          <w:rtl/>
        </w:rPr>
        <w:t xml:space="preserve">والميل الجنسي (الوثيقة </w:t>
      </w:r>
      <w:r w:rsidRPr="006D19E9">
        <w:t>A/HRC/29/23</w:t>
      </w:r>
      <w:r w:rsidRPr="006D19E9">
        <w:rPr>
          <w:rFonts w:hint="cs"/>
          <w:rtl/>
        </w:rPr>
        <w:t>) أو</w:t>
      </w:r>
      <w:r w:rsidR="006D19E9">
        <w:rPr>
          <w:rFonts w:hint="cs"/>
          <w:rtl/>
        </w:rPr>
        <w:t xml:space="preserve"> </w:t>
      </w:r>
      <w:r w:rsidRPr="006D19E9">
        <w:rPr>
          <w:rFonts w:hint="cs"/>
          <w:rtl/>
        </w:rPr>
        <w:t>التمييز في حق مجموعة محدّدة (مثل النساء</w:t>
      </w:r>
      <w:r w:rsidR="006D19E9" w:rsidRPr="006D19E9">
        <w:rPr>
          <w:rStyle w:val="FootnoteReference"/>
          <w:color w:val="auto"/>
          <w:sz w:val="30"/>
          <w:szCs w:val="30"/>
          <w:rtl/>
        </w:rPr>
        <w:t>(</w:t>
      </w:r>
      <w:r w:rsidR="006D19E9" w:rsidRPr="006D19E9">
        <w:rPr>
          <w:rStyle w:val="FootnoteReference"/>
          <w:color w:val="auto"/>
          <w:sz w:val="30"/>
          <w:szCs w:val="30"/>
          <w:rtl/>
        </w:rPr>
        <w:footnoteReference w:id="15"/>
      </w:r>
      <w:r w:rsidR="006D19E9" w:rsidRPr="006D19E9">
        <w:rPr>
          <w:rStyle w:val="FootnoteReference"/>
          <w:color w:val="auto"/>
          <w:sz w:val="30"/>
          <w:szCs w:val="30"/>
          <w:rtl/>
        </w:rPr>
        <w:t>)</w:t>
      </w:r>
      <w:r w:rsidRPr="006D19E9">
        <w:rPr>
          <w:rFonts w:hint="cs"/>
          <w:rtl/>
        </w:rPr>
        <w:t xml:space="preserve"> والأشخاص ذوي الإعاقة</w:t>
      </w:r>
      <w:r w:rsidR="006D19E9" w:rsidRPr="006D19E9">
        <w:rPr>
          <w:rStyle w:val="FootnoteReference"/>
          <w:color w:val="auto"/>
          <w:sz w:val="30"/>
          <w:szCs w:val="30"/>
          <w:rtl/>
        </w:rPr>
        <w:t>(</w:t>
      </w:r>
      <w:r w:rsidR="006D19E9" w:rsidRPr="006D19E9">
        <w:rPr>
          <w:rStyle w:val="FootnoteReference"/>
          <w:color w:val="auto"/>
          <w:sz w:val="30"/>
          <w:szCs w:val="30"/>
          <w:rtl/>
        </w:rPr>
        <w:footnoteReference w:id="16"/>
      </w:r>
      <w:r w:rsidR="006D19E9" w:rsidRPr="006D19E9">
        <w:rPr>
          <w:rStyle w:val="FootnoteReference"/>
          <w:color w:val="auto"/>
          <w:sz w:val="30"/>
          <w:szCs w:val="30"/>
          <w:rtl/>
        </w:rPr>
        <w:t>)</w:t>
      </w:r>
      <w:r w:rsidRPr="006D19E9">
        <w:rPr>
          <w:rFonts w:hint="cs"/>
          <w:rtl/>
        </w:rPr>
        <w:t xml:space="preserve"> والأقليات (الفقرتان 13 و14 من الوثيقة </w:t>
      </w:r>
      <w:r w:rsidRPr="006D19E9">
        <w:t>A/HRC/28/30</w:t>
      </w:r>
      <w:r w:rsidRPr="006D19E9">
        <w:rPr>
          <w:rFonts w:hint="cs"/>
          <w:rtl/>
        </w:rPr>
        <w:t xml:space="preserve">؛ والوثيقة </w:t>
      </w:r>
      <w:r w:rsidRPr="006D19E9">
        <w:rPr>
          <w:rFonts w:eastAsia="SimSun"/>
          <w:kern w:val="1"/>
          <w:lang w:eastAsia="zh-CN" w:bidi="hi-IN"/>
        </w:rPr>
        <w:t>A/69/66</w:t>
      </w:r>
      <w:r w:rsidRPr="006D19E9">
        <w:rPr>
          <w:rFonts w:eastAsia="SimSun" w:hint="cs"/>
          <w:kern w:val="1"/>
          <w:rtl/>
          <w:lang w:eastAsia="zh-CN"/>
        </w:rPr>
        <w:t>). وبرزت من</w:t>
      </w:r>
      <w:r w:rsidR="006D19E9">
        <w:rPr>
          <w:rFonts w:eastAsia="SimSun" w:hint="cs"/>
          <w:kern w:val="1"/>
          <w:rtl/>
          <w:lang w:eastAsia="zh-CN"/>
        </w:rPr>
        <w:t xml:space="preserve"> </w:t>
      </w:r>
      <w:r w:rsidRPr="006D19E9">
        <w:rPr>
          <w:rFonts w:eastAsia="SimSun" w:hint="cs"/>
          <w:kern w:val="1"/>
          <w:rtl/>
          <w:lang w:eastAsia="zh-CN"/>
        </w:rPr>
        <w:t>خلال النظر في منع انتهاكات هذه الحقوق</w:t>
      </w:r>
      <w:r w:rsidR="006D19E9">
        <w:rPr>
          <w:rFonts w:eastAsia="SimSun" w:hint="cs"/>
          <w:kern w:val="1"/>
          <w:rtl/>
          <w:lang w:eastAsia="zh-CN"/>
        </w:rPr>
        <w:t xml:space="preserve"> </w:t>
      </w:r>
      <w:r w:rsidRPr="006D19E9">
        <w:rPr>
          <w:rFonts w:eastAsia="SimSun" w:hint="cs"/>
          <w:kern w:val="1"/>
          <w:rtl/>
          <w:lang w:eastAsia="zh-CN"/>
        </w:rPr>
        <w:t>المذكورة بعضُ</w:t>
      </w:r>
      <w:r w:rsidR="006D19E9">
        <w:rPr>
          <w:rFonts w:eastAsia="SimSun" w:hint="cs"/>
          <w:kern w:val="1"/>
          <w:rtl/>
          <w:lang w:eastAsia="zh-CN"/>
        </w:rPr>
        <w:t xml:space="preserve"> </w:t>
      </w:r>
      <w:r w:rsidRPr="006D19E9">
        <w:rPr>
          <w:rFonts w:eastAsia="SimSun" w:hint="cs"/>
          <w:kern w:val="1"/>
          <w:rtl/>
          <w:lang w:eastAsia="zh-CN"/>
        </w:rPr>
        <w:t>سمات</w:t>
      </w:r>
      <w:r w:rsidR="006D19E9">
        <w:rPr>
          <w:rFonts w:eastAsia="SimSun" w:hint="cs"/>
          <w:kern w:val="1"/>
          <w:rtl/>
          <w:lang w:eastAsia="zh-CN"/>
        </w:rPr>
        <w:t xml:space="preserve"> </w:t>
      </w:r>
      <w:r w:rsidRPr="006D19E9">
        <w:rPr>
          <w:rFonts w:eastAsia="SimSun" w:hint="cs"/>
          <w:kern w:val="1"/>
          <w:rtl/>
          <w:lang w:eastAsia="zh-CN"/>
        </w:rPr>
        <w:t>ونُّهج</w:t>
      </w:r>
      <w:r w:rsidR="006D19E9">
        <w:rPr>
          <w:rFonts w:eastAsia="SimSun" w:hint="cs"/>
          <w:kern w:val="1"/>
          <w:rtl/>
          <w:lang w:eastAsia="zh-CN"/>
        </w:rPr>
        <w:t xml:space="preserve"> </w:t>
      </w:r>
      <w:r w:rsidRPr="006D19E9">
        <w:rPr>
          <w:rFonts w:eastAsia="SimSun" w:hint="cs"/>
          <w:kern w:val="1"/>
          <w:rtl/>
          <w:lang w:eastAsia="zh-CN"/>
        </w:rPr>
        <w:t>مشتركة لتدابير المنع،</w:t>
      </w:r>
      <w:r w:rsidR="006D19E9">
        <w:rPr>
          <w:rFonts w:eastAsia="SimSun" w:hint="cs"/>
          <w:kern w:val="1"/>
          <w:rtl/>
          <w:lang w:eastAsia="zh-CN"/>
        </w:rPr>
        <w:t xml:space="preserve"> </w:t>
      </w:r>
      <w:r w:rsidRPr="006D19E9">
        <w:rPr>
          <w:rFonts w:eastAsia="SimSun" w:hint="cs"/>
          <w:kern w:val="1"/>
          <w:rtl/>
          <w:lang w:eastAsia="zh-CN"/>
        </w:rPr>
        <w:t>بما في ذلك تحديد المخاطر وعوامل</w:t>
      </w:r>
      <w:r w:rsidR="006D19E9">
        <w:rPr>
          <w:rFonts w:eastAsia="SimSun" w:hint="cs"/>
          <w:kern w:val="1"/>
          <w:rtl/>
          <w:lang w:eastAsia="zh-CN"/>
        </w:rPr>
        <w:t xml:space="preserve"> </w:t>
      </w:r>
      <w:r w:rsidRPr="006D19E9">
        <w:rPr>
          <w:rFonts w:eastAsia="SimSun" w:hint="cs"/>
          <w:kern w:val="1"/>
          <w:rtl/>
          <w:lang w:eastAsia="zh-CN"/>
        </w:rPr>
        <w:t>تخفيفها، واستحداث بعض الأدوات العملية.</w:t>
      </w:r>
    </w:p>
    <w:p w:rsidR="00C47F5D" w:rsidRPr="00024953" w:rsidRDefault="00C47F5D" w:rsidP="00697057">
      <w:pPr>
        <w:pStyle w:val="SingleTxt"/>
        <w:rPr>
          <w:spacing w:val="-2"/>
          <w:kern w:val="0"/>
        </w:rPr>
      </w:pPr>
      <w:r w:rsidRPr="00024953">
        <w:rPr>
          <w:rFonts w:hint="cs"/>
          <w:spacing w:val="-2"/>
          <w:kern w:val="0"/>
          <w:rtl/>
        </w:rPr>
        <w:t>6-</w:t>
      </w:r>
      <w:r w:rsidRPr="00024953">
        <w:rPr>
          <w:rFonts w:hint="cs"/>
          <w:spacing w:val="-2"/>
          <w:kern w:val="0"/>
          <w:rtl/>
        </w:rPr>
        <w:tab/>
        <w:t>وعلى سبيل المثال، يقتضي منع جرائم الإبادة الجماعية وجرائم الحرب والتطهير</w:t>
      </w:r>
      <w:r w:rsidR="006D19E9" w:rsidRPr="00024953">
        <w:rPr>
          <w:rFonts w:hint="cs"/>
          <w:spacing w:val="-2"/>
          <w:kern w:val="0"/>
          <w:rtl/>
        </w:rPr>
        <w:t xml:space="preserve"> </w:t>
      </w:r>
      <w:r w:rsidRPr="00024953">
        <w:rPr>
          <w:rFonts w:hint="cs"/>
          <w:spacing w:val="-2"/>
          <w:kern w:val="0"/>
          <w:rtl/>
        </w:rPr>
        <w:t>العرقي والجرائم ضد الإنسانية بذل "جهود متواصلة لبناء قدرة المجتمعات على الصمود في وجه الجرائم الفظيعة، وذلك بضمان احترام سيادة القانون وحماية جميع حقوق الإنسان دون أي تمييز؛ وبإنشاء مؤسسات وطنية شرعية خاضعة للمحاسبة؛ وبالقضاء على الفساد؛ وبإدارة التنوع بروح بنّاءة؛ وبدعم بناء مجتمع مدني قوي يتسم بالتنوع</w:t>
      </w:r>
      <w:r w:rsidR="006D19E9" w:rsidRPr="00024953">
        <w:rPr>
          <w:rFonts w:hint="cs"/>
          <w:spacing w:val="-2"/>
          <w:kern w:val="0"/>
          <w:rtl/>
        </w:rPr>
        <w:t xml:space="preserve"> </w:t>
      </w:r>
      <w:r w:rsidRPr="00024953">
        <w:rPr>
          <w:rFonts w:hint="cs"/>
          <w:spacing w:val="-2"/>
          <w:kern w:val="0"/>
          <w:rtl/>
        </w:rPr>
        <w:t>وإنشاء وسائط</w:t>
      </w:r>
      <w:r w:rsidR="006D19E9" w:rsidRPr="00024953">
        <w:rPr>
          <w:rFonts w:hint="cs"/>
          <w:spacing w:val="-2"/>
          <w:kern w:val="0"/>
          <w:rtl/>
        </w:rPr>
        <w:t xml:space="preserve"> </w:t>
      </w:r>
      <w:r w:rsidRPr="00024953">
        <w:rPr>
          <w:rFonts w:hint="cs"/>
          <w:spacing w:val="-2"/>
          <w:kern w:val="0"/>
          <w:rtl/>
        </w:rPr>
        <w:t>إعلام</w:t>
      </w:r>
      <w:r w:rsidR="006D19E9" w:rsidRPr="00024953">
        <w:rPr>
          <w:rFonts w:hint="cs"/>
          <w:spacing w:val="-2"/>
          <w:kern w:val="0"/>
          <w:rtl/>
        </w:rPr>
        <w:t xml:space="preserve"> </w:t>
      </w:r>
      <w:r w:rsidRPr="00024953">
        <w:rPr>
          <w:rFonts w:hint="cs"/>
          <w:spacing w:val="-2"/>
          <w:kern w:val="0"/>
          <w:rtl/>
        </w:rPr>
        <w:t>تعددية"</w:t>
      </w:r>
      <w:r w:rsidR="006D19E9" w:rsidRPr="00024953">
        <w:rPr>
          <w:rStyle w:val="FootnoteReference"/>
          <w:color w:val="auto"/>
          <w:spacing w:val="-2"/>
          <w:kern w:val="0"/>
          <w:sz w:val="30"/>
          <w:szCs w:val="30"/>
          <w:rtl/>
        </w:rPr>
        <w:t>(</w:t>
      </w:r>
      <w:r w:rsidR="006D19E9" w:rsidRPr="00024953">
        <w:rPr>
          <w:rStyle w:val="FootnoteReference"/>
          <w:color w:val="auto"/>
          <w:spacing w:val="-2"/>
          <w:kern w:val="0"/>
          <w:sz w:val="30"/>
          <w:szCs w:val="30"/>
          <w:rtl/>
        </w:rPr>
        <w:footnoteReference w:id="17"/>
      </w:r>
      <w:r w:rsidR="006D19E9" w:rsidRPr="00024953">
        <w:rPr>
          <w:rStyle w:val="FootnoteReference"/>
          <w:color w:val="auto"/>
          <w:spacing w:val="-2"/>
          <w:kern w:val="0"/>
          <w:sz w:val="30"/>
          <w:szCs w:val="30"/>
          <w:rtl/>
        </w:rPr>
        <w:t>)</w:t>
      </w:r>
      <w:r w:rsidR="00697057" w:rsidRPr="00024953">
        <w:rPr>
          <w:rFonts w:hint="cs"/>
          <w:spacing w:val="-2"/>
          <w:kern w:val="0"/>
          <w:rtl/>
        </w:rPr>
        <w:t>.</w:t>
      </w:r>
      <w:r w:rsidRPr="00024953">
        <w:rPr>
          <w:rFonts w:hint="cs"/>
          <w:spacing w:val="-2"/>
          <w:kern w:val="0"/>
          <w:rtl/>
        </w:rPr>
        <w:t xml:space="preserve"> وعلاوة على ذلك، يسعى البروتوكول المتعلق بمنع ومعاقبة جريمة الإبادة الجماعية وجرائم الحرب والجرائم ضد الإنسانية وجميع أشكال التمييز</w:t>
      </w:r>
      <w:r w:rsidR="006D19E9" w:rsidRPr="00024953">
        <w:rPr>
          <w:rStyle w:val="FootnoteReference"/>
          <w:color w:val="auto"/>
          <w:spacing w:val="-2"/>
          <w:kern w:val="0"/>
          <w:sz w:val="30"/>
          <w:szCs w:val="30"/>
          <w:rtl/>
        </w:rPr>
        <w:t>(</w:t>
      </w:r>
      <w:r w:rsidR="006D19E9" w:rsidRPr="00024953">
        <w:rPr>
          <w:rStyle w:val="FootnoteReference"/>
          <w:color w:val="auto"/>
          <w:spacing w:val="-2"/>
          <w:kern w:val="0"/>
          <w:sz w:val="30"/>
          <w:szCs w:val="30"/>
          <w:rtl/>
        </w:rPr>
        <w:footnoteReference w:id="18"/>
      </w:r>
      <w:r w:rsidR="006D19E9" w:rsidRPr="00024953">
        <w:rPr>
          <w:rStyle w:val="FootnoteReference"/>
          <w:color w:val="auto"/>
          <w:spacing w:val="-2"/>
          <w:kern w:val="0"/>
          <w:sz w:val="30"/>
          <w:szCs w:val="30"/>
          <w:rtl/>
        </w:rPr>
        <w:t>)</w:t>
      </w:r>
      <w:r w:rsidR="00697057" w:rsidRPr="00024953">
        <w:rPr>
          <w:rFonts w:hint="cs"/>
          <w:spacing w:val="-2"/>
          <w:kern w:val="0"/>
          <w:rtl/>
        </w:rPr>
        <w:t>،</w:t>
      </w:r>
      <w:r w:rsidRPr="00024953">
        <w:rPr>
          <w:rFonts w:hint="cs"/>
          <w:spacing w:val="-2"/>
          <w:kern w:val="0"/>
          <w:rtl/>
        </w:rPr>
        <w:t xml:space="preserve"> إلى ضمان</w:t>
      </w:r>
      <w:r w:rsidR="006D19E9" w:rsidRPr="00024953">
        <w:rPr>
          <w:rFonts w:hint="cs"/>
          <w:spacing w:val="-2"/>
          <w:kern w:val="0"/>
          <w:rtl/>
        </w:rPr>
        <w:t xml:space="preserve"> </w:t>
      </w:r>
      <w:r w:rsidRPr="00024953">
        <w:rPr>
          <w:rFonts w:hint="cs"/>
          <w:spacing w:val="-2"/>
          <w:kern w:val="0"/>
          <w:rtl/>
        </w:rPr>
        <w:t>تصدي الدول</w:t>
      </w:r>
      <w:r w:rsidR="006D19E9" w:rsidRPr="00024953">
        <w:rPr>
          <w:rFonts w:hint="cs"/>
          <w:spacing w:val="-2"/>
          <w:kern w:val="0"/>
          <w:rtl/>
        </w:rPr>
        <w:t xml:space="preserve"> </w:t>
      </w:r>
      <w:r w:rsidRPr="00024953">
        <w:rPr>
          <w:rFonts w:hint="cs"/>
          <w:spacing w:val="-2"/>
          <w:kern w:val="0"/>
          <w:rtl/>
        </w:rPr>
        <w:t>للأسباب الجذرية عن طريق حظر التمييز وشجب الأيديولوجيات التمييزية ومكافحة الإفلات من العقاب واستحداث آليات</w:t>
      </w:r>
      <w:r w:rsidR="006D19E9" w:rsidRPr="00024953">
        <w:rPr>
          <w:rFonts w:hint="cs"/>
          <w:spacing w:val="-2"/>
          <w:kern w:val="0"/>
          <w:rtl/>
        </w:rPr>
        <w:t xml:space="preserve"> </w:t>
      </w:r>
      <w:r w:rsidRPr="00024953">
        <w:rPr>
          <w:rFonts w:hint="cs"/>
          <w:spacing w:val="-2"/>
          <w:kern w:val="0"/>
          <w:rtl/>
        </w:rPr>
        <w:t>للإنذار المبكر.</w:t>
      </w:r>
    </w:p>
    <w:p w:rsidR="00C47F5D" w:rsidRPr="006D19E9" w:rsidRDefault="00C47F5D" w:rsidP="00697057">
      <w:pPr>
        <w:pStyle w:val="SingleTxt"/>
        <w:rPr>
          <w:rtl/>
        </w:rPr>
      </w:pPr>
      <w:r w:rsidRPr="006D19E9">
        <w:rPr>
          <w:rFonts w:hint="cs"/>
          <w:rtl/>
        </w:rPr>
        <w:t>7-</w:t>
      </w:r>
      <w:r w:rsidRPr="006D19E9">
        <w:rPr>
          <w:rFonts w:hint="cs"/>
          <w:rtl/>
        </w:rPr>
        <w:tab/>
        <w:t>وتشير بعض أحكام المعاهدات إلى إلزامية التوصل إلى نتيجة سلبية (على اعتبار أن منع الانتهاكات يكون ناجحاً عند انتفاء الانتهاكات)</w:t>
      </w:r>
      <w:r w:rsidR="006D19E9" w:rsidRPr="006D19E9">
        <w:rPr>
          <w:rStyle w:val="FootnoteReference"/>
          <w:color w:val="auto"/>
          <w:sz w:val="30"/>
          <w:szCs w:val="30"/>
          <w:rtl/>
        </w:rPr>
        <w:t>(</w:t>
      </w:r>
      <w:r w:rsidR="006D19E9" w:rsidRPr="006D19E9">
        <w:rPr>
          <w:rStyle w:val="FootnoteReference"/>
          <w:color w:val="auto"/>
          <w:sz w:val="30"/>
          <w:szCs w:val="30"/>
          <w:rtl/>
        </w:rPr>
        <w:footnoteReference w:id="19"/>
      </w:r>
      <w:r w:rsidR="006D19E9" w:rsidRPr="006D19E9">
        <w:rPr>
          <w:rStyle w:val="FootnoteReference"/>
          <w:color w:val="auto"/>
          <w:sz w:val="30"/>
          <w:szCs w:val="30"/>
          <w:rtl/>
        </w:rPr>
        <w:t>)</w:t>
      </w:r>
      <w:r w:rsidR="00697057">
        <w:rPr>
          <w:rFonts w:hint="cs"/>
          <w:rtl/>
        </w:rPr>
        <w:t>،</w:t>
      </w:r>
      <w:r w:rsidR="006D19E9">
        <w:rPr>
          <w:rFonts w:hint="cs"/>
          <w:rtl/>
        </w:rPr>
        <w:t xml:space="preserve"> </w:t>
      </w:r>
      <w:r w:rsidRPr="006D19E9">
        <w:rPr>
          <w:rFonts w:hint="cs"/>
          <w:rtl/>
        </w:rPr>
        <w:t>بينما قد يرى البعض</w:t>
      </w:r>
      <w:r w:rsidR="006D19E9">
        <w:rPr>
          <w:rFonts w:hint="cs"/>
          <w:rtl/>
        </w:rPr>
        <w:t xml:space="preserve"> </w:t>
      </w:r>
      <w:r w:rsidRPr="006D19E9">
        <w:rPr>
          <w:rFonts w:hint="cs"/>
          <w:rtl/>
        </w:rPr>
        <w:t>أحيان</w:t>
      </w:r>
      <w:r w:rsidR="00B30F0C">
        <w:rPr>
          <w:rFonts w:hint="cs"/>
          <w:rtl/>
        </w:rPr>
        <w:t xml:space="preserve">اً </w:t>
      </w:r>
      <w:r w:rsidRPr="006D19E9">
        <w:rPr>
          <w:rFonts w:hint="cs"/>
          <w:rtl/>
        </w:rPr>
        <w:t xml:space="preserve">أن منع الانتهاكات يقتضي انتهاج سلوك إيجابي </w:t>
      </w:r>
      <w:r w:rsidR="00697057">
        <w:rPr>
          <w:rFonts w:hint="cs"/>
          <w:rtl/>
        </w:rPr>
        <w:t>(</w:t>
      </w:r>
      <w:r w:rsidRPr="006D19E9">
        <w:rPr>
          <w:rFonts w:hint="cs"/>
          <w:rtl/>
        </w:rPr>
        <w:t>القيام بجميع الخطوات اللازمة لاتخاذ تدابير ملموسة وفعالة لمنع الانتهاكات)</w:t>
      </w:r>
      <w:r w:rsidR="006D19E9" w:rsidRPr="006D19E9">
        <w:rPr>
          <w:rStyle w:val="FootnoteReference"/>
          <w:color w:val="auto"/>
          <w:sz w:val="30"/>
          <w:szCs w:val="30"/>
          <w:rtl/>
        </w:rPr>
        <w:t>(</w:t>
      </w:r>
      <w:r w:rsidR="006D19E9" w:rsidRPr="006D19E9">
        <w:rPr>
          <w:rStyle w:val="FootnoteReference"/>
          <w:color w:val="auto"/>
          <w:sz w:val="30"/>
          <w:szCs w:val="30"/>
          <w:rtl/>
        </w:rPr>
        <w:footnoteReference w:id="20"/>
      </w:r>
      <w:r w:rsidR="006D19E9" w:rsidRPr="006D19E9">
        <w:rPr>
          <w:rStyle w:val="FootnoteReference"/>
          <w:color w:val="auto"/>
          <w:sz w:val="30"/>
          <w:szCs w:val="30"/>
          <w:rtl/>
        </w:rPr>
        <w:t>)</w:t>
      </w:r>
      <w:r w:rsidR="00697057">
        <w:rPr>
          <w:rFonts w:hint="cs"/>
          <w:rtl/>
        </w:rPr>
        <w:t>.</w:t>
      </w:r>
      <w:r w:rsidRPr="006D19E9">
        <w:rPr>
          <w:rFonts w:hint="cs"/>
          <w:rtl/>
        </w:rPr>
        <w:t xml:space="preserve"> وقد أعلنت محكمة العدل الدولية أن الالتزام بمنع جرائم الإبادة الجماعية إنما هو التزام ببذل العناية الواجبة وليس التزاماً بتحقيق نتيجة، بمعنى أن الدولة لا يمكن أن تكون ملزمة بالنجاح، مهما كانت الظروف، في منع ارتكاب الإبادة الجماعية؛ بل إن الالتزام الواقع على الدول هو أن تستخدم جميع الوسائل المتاحة لها على نحو معقول بهدف منع الإبادة الجماعية قدر الإمكان</w:t>
      </w:r>
      <w:r w:rsidR="006D19E9" w:rsidRPr="006D19E9">
        <w:rPr>
          <w:rStyle w:val="FootnoteReference"/>
          <w:color w:val="auto"/>
          <w:sz w:val="30"/>
          <w:szCs w:val="30"/>
          <w:rtl/>
        </w:rPr>
        <w:t>(</w:t>
      </w:r>
      <w:r w:rsidR="006D19E9" w:rsidRPr="006D19E9">
        <w:rPr>
          <w:rStyle w:val="FootnoteReference"/>
          <w:color w:val="auto"/>
          <w:sz w:val="30"/>
          <w:szCs w:val="30"/>
          <w:rtl/>
        </w:rPr>
        <w:footnoteReference w:id="21"/>
      </w:r>
      <w:r w:rsidR="006D19E9" w:rsidRPr="006D19E9">
        <w:rPr>
          <w:rStyle w:val="FootnoteReference"/>
          <w:color w:val="auto"/>
          <w:sz w:val="30"/>
          <w:szCs w:val="30"/>
          <w:rtl/>
        </w:rPr>
        <w:t>)</w:t>
      </w:r>
      <w:r w:rsidRPr="006D19E9">
        <w:rPr>
          <w:rFonts w:hint="cs"/>
          <w:rtl/>
        </w:rPr>
        <w:t>. وفي هذا الصدد، تحظر المادة 6 من معاهدة تجارة الأسلحة نقل الأسلحة التقليدية إذا كانت الدولة الطرف تعلم عند إعطاء الإذن بالنقل أن هذه الأسلحة ستُستخدم بشكل واضح في ارتكاب إبادة جماعية وجرائم ضد الإنسانية.</w:t>
      </w:r>
    </w:p>
    <w:p w:rsidR="00C47F5D" w:rsidRPr="006D19E9" w:rsidRDefault="00C47F5D" w:rsidP="00697057">
      <w:pPr>
        <w:pStyle w:val="SingleTxt"/>
        <w:rPr>
          <w:rtl/>
        </w:rPr>
      </w:pPr>
      <w:r w:rsidRPr="006D19E9">
        <w:rPr>
          <w:rFonts w:hint="cs"/>
          <w:rtl/>
        </w:rPr>
        <w:t>8-</w:t>
      </w:r>
      <w:r w:rsidRPr="006D19E9">
        <w:rPr>
          <w:rFonts w:hint="cs"/>
          <w:rtl/>
        </w:rPr>
        <w:tab/>
        <w:t>وبالإضافة إلى ذلك، فإن المصطلحات المستخدمة مثلاً للإشارة إلى منع التعذيب تميّز على نحو مفيد بين الإجراءات العملية المحدَّدة الواجب اتخاذها لأغراض منع الانتهاكات (منعها مباشرةً أو التخفيف منها)</w:t>
      </w:r>
      <w:r w:rsidR="006D19E9">
        <w:rPr>
          <w:rFonts w:hint="cs"/>
          <w:rtl/>
        </w:rPr>
        <w:t xml:space="preserve"> </w:t>
      </w:r>
      <w:r w:rsidRPr="006D19E9">
        <w:rPr>
          <w:rFonts w:hint="cs"/>
          <w:rtl/>
        </w:rPr>
        <w:t>والتدابير التي تتخذ</w:t>
      </w:r>
      <w:r w:rsidR="006D19E9">
        <w:rPr>
          <w:rFonts w:hint="cs"/>
          <w:rtl/>
        </w:rPr>
        <w:t xml:space="preserve"> </w:t>
      </w:r>
      <w:r w:rsidRPr="006D19E9">
        <w:rPr>
          <w:rFonts w:hint="cs"/>
          <w:rtl/>
        </w:rPr>
        <w:t>في مواجهة الانتهاكات لمعالجتها</w:t>
      </w:r>
      <w:r w:rsidR="006D19E9">
        <w:rPr>
          <w:rFonts w:hint="cs"/>
          <w:rtl/>
        </w:rPr>
        <w:t xml:space="preserve"> </w:t>
      </w:r>
      <w:r w:rsidRPr="006D19E9">
        <w:rPr>
          <w:rFonts w:hint="cs"/>
          <w:rtl/>
        </w:rPr>
        <w:t>وتفادي تكرارها (منعها بصورة غير مباشرة أو ضمان عدم تكرارها)</w:t>
      </w:r>
      <w:r w:rsidR="006D19E9" w:rsidRPr="006D19E9">
        <w:rPr>
          <w:rStyle w:val="FootnoteReference"/>
          <w:color w:val="auto"/>
          <w:sz w:val="30"/>
          <w:szCs w:val="30"/>
          <w:rtl/>
        </w:rPr>
        <w:t>(</w:t>
      </w:r>
      <w:r w:rsidR="006D19E9" w:rsidRPr="006D19E9">
        <w:rPr>
          <w:rStyle w:val="FootnoteReference"/>
          <w:color w:val="auto"/>
          <w:sz w:val="30"/>
          <w:szCs w:val="30"/>
          <w:rtl/>
        </w:rPr>
        <w:footnoteReference w:id="22"/>
      </w:r>
      <w:r w:rsidR="006D19E9" w:rsidRPr="006D19E9">
        <w:rPr>
          <w:rStyle w:val="FootnoteReference"/>
          <w:color w:val="auto"/>
          <w:sz w:val="30"/>
          <w:szCs w:val="30"/>
          <w:rtl/>
        </w:rPr>
        <w:t>)</w:t>
      </w:r>
      <w:r w:rsidR="00697057" w:rsidRPr="00697057">
        <w:rPr>
          <w:rStyle w:val="FootnoteReference"/>
          <w:rFonts w:hint="cs"/>
          <w:color w:val="auto"/>
          <w:sz w:val="30"/>
          <w:szCs w:val="30"/>
          <w:vertAlign w:val="baseline"/>
          <w:rtl/>
        </w:rPr>
        <w:t>.</w:t>
      </w: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D19E9">
        <w:rPr>
          <w:rFonts w:hint="cs"/>
          <w:rtl/>
        </w:rPr>
        <w:tab/>
      </w:r>
      <w:r w:rsidRPr="006D19E9">
        <w:rPr>
          <w:rFonts w:hint="cs"/>
          <w:rtl/>
        </w:rPr>
        <w:tab/>
        <w:t>منع الانتهاكات</w:t>
      </w:r>
      <w:r w:rsidR="006D19E9">
        <w:rPr>
          <w:rFonts w:hint="cs"/>
          <w:rtl/>
        </w:rPr>
        <w:t xml:space="preserve"> </w:t>
      </w:r>
      <w:r w:rsidR="00E03D23">
        <w:rPr>
          <w:rFonts w:hint="cs"/>
          <w:rtl/>
        </w:rPr>
        <w:t>بصورة مباشرة</w:t>
      </w:r>
      <w:r w:rsidRPr="006D19E9">
        <w:rPr>
          <w:rFonts w:hint="cs"/>
          <w:rtl/>
        </w:rPr>
        <w:t>/التخفيف منها</w:t>
      </w:r>
    </w:p>
    <w:p w:rsidR="00C47F5D" w:rsidRPr="006D19E9" w:rsidRDefault="00C47F5D" w:rsidP="00C47F5D">
      <w:pPr>
        <w:pStyle w:val="SingleTxt"/>
        <w:spacing w:after="0" w:line="120" w:lineRule="exact"/>
        <w:rPr>
          <w:sz w:val="10"/>
          <w:rtl/>
        </w:rPr>
      </w:pPr>
    </w:p>
    <w:p w:rsidR="00C47F5D" w:rsidRPr="006D19E9" w:rsidRDefault="00C47F5D" w:rsidP="00E03D23">
      <w:pPr>
        <w:pStyle w:val="SingleTxt"/>
        <w:rPr>
          <w:rtl/>
        </w:rPr>
      </w:pPr>
      <w:r w:rsidRPr="006D19E9">
        <w:rPr>
          <w:rFonts w:hint="cs"/>
          <w:rtl/>
        </w:rPr>
        <w:t>9-</w:t>
      </w:r>
      <w:r w:rsidRPr="006D19E9">
        <w:rPr>
          <w:rFonts w:hint="cs"/>
          <w:rtl/>
        </w:rPr>
        <w:tab/>
        <w:t>ي</w:t>
      </w:r>
      <w:r w:rsidR="00E03D23">
        <w:rPr>
          <w:rFonts w:hint="cs"/>
          <w:rtl/>
        </w:rPr>
        <w:t>رمي منع الانتهاكات بصورة مباشرة</w:t>
      </w:r>
      <w:r w:rsidRPr="006D19E9">
        <w:rPr>
          <w:rFonts w:hint="cs"/>
          <w:rtl/>
        </w:rPr>
        <w:t xml:space="preserve"> إلى القضاء على عوامل المخاطرة واستحداث إطار قانوني وإداري</w:t>
      </w:r>
      <w:r w:rsidR="006D19E9">
        <w:rPr>
          <w:rFonts w:hint="cs"/>
          <w:rtl/>
        </w:rPr>
        <w:t xml:space="preserve"> </w:t>
      </w:r>
      <w:r w:rsidRPr="006D19E9">
        <w:rPr>
          <w:rFonts w:hint="cs"/>
          <w:rtl/>
        </w:rPr>
        <w:t>وسياساتي</w:t>
      </w:r>
      <w:r w:rsidR="006D19E9">
        <w:rPr>
          <w:rFonts w:hint="cs"/>
          <w:rtl/>
        </w:rPr>
        <w:t xml:space="preserve"> </w:t>
      </w:r>
      <w:r w:rsidRPr="006D19E9">
        <w:rPr>
          <w:rFonts w:hint="cs"/>
          <w:rtl/>
        </w:rPr>
        <w:t>يرمي إلى منع الانتهاكات. ويتوقف المنع المباشر كذلك على بناء ثقافة تقوم على احترام حقوق الإنسان والحوكمة الرشيدة</w:t>
      </w:r>
      <w:r w:rsidR="006D19E9" w:rsidRPr="006D19E9">
        <w:rPr>
          <w:rStyle w:val="FootnoteReference"/>
          <w:color w:val="auto"/>
          <w:sz w:val="30"/>
          <w:szCs w:val="30"/>
          <w:rtl/>
        </w:rPr>
        <w:t>(</w:t>
      </w:r>
      <w:r w:rsidR="006D19E9" w:rsidRPr="006D19E9">
        <w:rPr>
          <w:rStyle w:val="FootnoteReference"/>
          <w:color w:val="auto"/>
          <w:sz w:val="30"/>
          <w:szCs w:val="30"/>
          <w:rtl/>
        </w:rPr>
        <w:footnoteReference w:id="23"/>
      </w:r>
      <w:r w:rsidR="006D19E9" w:rsidRPr="006D19E9">
        <w:rPr>
          <w:rStyle w:val="FootnoteReference"/>
          <w:color w:val="auto"/>
          <w:sz w:val="30"/>
          <w:szCs w:val="30"/>
          <w:rtl/>
        </w:rPr>
        <w:t>)</w:t>
      </w:r>
      <w:r w:rsidRPr="006D19E9">
        <w:rPr>
          <w:rFonts w:hint="cs"/>
          <w:rtl/>
        </w:rPr>
        <w:t xml:space="preserve"> وسيادة القانون، وعلى توفير بيئة مواتية لنشوء مجتمع مدني حيوي وصحافة حرّة. وعلى سبيل المثال،</w:t>
      </w:r>
      <w:r w:rsidR="006D19E9">
        <w:rPr>
          <w:rFonts w:hint="cs"/>
          <w:rtl/>
        </w:rPr>
        <w:t xml:space="preserve"> </w:t>
      </w:r>
      <w:r w:rsidRPr="006D19E9">
        <w:rPr>
          <w:rFonts w:hint="cs"/>
          <w:rtl/>
        </w:rPr>
        <w:t>يشمل منع التعذيب والمعاملة أ</w:t>
      </w:r>
      <w:r w:rsidRPr="006D19E9">
        <w:rPr>
          <w:rtl/>
        </w:rPr>
        <w:t>و</w:t>
      </w:r>
      <w:r w:rsidR="00024953">
        <w:rPr>
          <w:rFonts w:hint="eastAsia"/>
          <w:rtl/>
        </w:rPr>
        <w:t> </w:t>
      </w:r>
      <w:r w:rsidRPr="006D19E9">
        <w:rPr>
          <w:rtl/>
        </w:rPr>
        <w:t>العقوبة القاسية واللاإنسانية والمهينة</w:t>
      </w:r>
      <w:r w:rsidR="006D19E9">
        <w:rPr>
          <w:rFonts w:hint="cs"/>
          <w:rtl/>
        </w:rPr>
        <w:t xml:space="preserve"> </w:t>
      </w:r>
      <w:r w:rsidRPr="006D19E9">
        <w:rPr>
          <w:rFonts w:hint="cs"/>
          <w:rtl/>
        </w:rPr>
        <w:t>اعتماد قوانين تحظر اللجوء إلى هذه الأمور وتنص على</w:t>
      </w:r>
      <w:r w:rsidR="006D19E9">
        <w:rPr>
          <w:rFonts w:hint="cs"/>
          <w:rtl/>
        </w:rPr>
        <w:t xml:space="preserve"> </w:t>
      </w:r>
      <w:r w:rsidRPr="006D19E9">
        <w:rPr>
          <w:rFonts w:hint="cs"/>
          <w:rtl/>
        </w:rPr>
        <w:t xml:space="preserve">محاكمة من يخلّون بهذه القوانين. كما يقتضي اتخاذ ضمانات إجرائية </w:t>
      </w:r>
      <w:r w:rsidR="00E03D23">
        <w:rPr>
          <w:rFonts w:hint="cs"/>
          <w:rtl/>
        </w:rPr>
        <w:t>-</w:t>
      </w:r>
      <w:r w:rsidRPr="006D19E9">
        <w:rPr>
          <w:rFonts w:hint="cs"/>
          <w:rtl/>
        </w:rPr>
        <w:t xml:space="preserve"> مثل توفير السجلات في أماكن الاحتجاز وإجراء تسجيلات فيديو</w:t>
      </w:r>
      <w:r w:rsidR="006D19E9">
        <w:rPr>
          <w:rFonts w:hint="cs"/>
          <w:rtl/>
        </w:rPr>
        <w:t xml:space="preserve"> </w:t>
      </w:r>
      <w:r w:rsidRPr="006D19E9">
        <w:rPr>
          <w:rFonts w:hint="cs"/>
          <w:rtl/>
        </w:rPr>
        <w:t>لعمليات الاستجواب</w:t>
      </w:r>
      <w:r w:rsidR="006D19E9">
        <w:rPr>
          <w:rFonts w:hint="cs"/>
          <w:rtl/>
        </w:rPr>
        <w:t xml:space="preserve"> </w:t>
      </w:r>
      <w:r w:rsidR="00E03D23">
        <w:rPr>
          <w:rFonts w:hint="cs"/>
          <w:rtl/>
        </w:rPr>
        <w:t>-</w:t>
      </w:r>
      <w:r w:rsidRPr="006D19E9">
        <w:rPr>
          <w:rFonts w:hint="cs"/>
          <w:rtl/>
        </w:rPr>
        <w:t xml:space="preserve"> فضلاً عن ضمان الرقابة المستقلة بما في ذلك قيام هيئات مستقلة برصد أماكن الاحتجاز على نحو منتظم.</w:t>
      </w: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sidRPr="006D19E9">
        <w:rPr>
          <w:rFonts w:hint="cs"/>
          <w:rtl/>
        </w:rPr>
        <w:tab/>
      </w:r>
      <w:r w:rsidRPr="006D19E9">
        <w:rPr>
          <w:rFonts w:hint="cs"/>
          <w:rtl/>
        </w:rPr>
        <w:tab/>
        <w:t>منع الانتهاكات بصورة غير مباشرة/ضمان عدم تكرارها</w:t>
      </w:r>
    </w:p>
    <w:p w:rsidR="00C47F5D" w:rsidRPr="006D19E9" w:rsidRDefault="00C47F5D" w:rsidP="00C47F5D">
      <w:pPr>
        <w:pStyle w:val="SingleTxtGA"/>
        <w:spacing w:after="0" w:line="120" w:lineRule="exact"/>
        <w:rPr>
          <w:sz w:val="10"/>
          <w:rtl/>
        </w:rPr>
      </w:pPr>
    </w:p>
    <w:p w:rsidR="00C47F5D" w:rsidRPr="006D19E9" w:rsidRDefault="00C47F5D" w:rsidP="00024953">
      <w:pPr>
        <w:pStyle w:val="SingleTxtGA"/>
        <w:rPr>
          <w:rtl/>
        </w:rPr>
      </w:pPr>
      <w:r w:rsidRPr="006D19E9">
        <w:rPr>
          <w:rFonts w:hint="cs"/>
          <w:rtl/>
        </w:rPr>
        <w:t>10-</w:t>
      </w:r>
      <w:r w:rsidRPr="006D19E9">
        <w:rPr>
          <w:rFonts w:hint="cs"/>
          <w:rtl/>
        </w:rPr>
        <w:tab/>
        <w:t>يحدث منع انتهاكات حقوق الإنسان بصورة غير مباشرة، أو ضمان عدم تكرارها، بعد أن تُرتكب الانتهاكات. وهو</w:t>
      </w:r>
      <w:r w:rsidR="006D19E9">
        <w:rPr>
          <w:rFonts w:hint="cs"/>
          <w:rtl/>
        </w:rPr>
        <w:t xml:space="preserve"> </w:t>
      </w:r>
      <w:r w:rsidRPr="006D19E9">
        <w:rPr>
          <w:rFonts w:hint="cs"/>
          <w:rtl/>
        </w:rPr>
        <w:t>يرمي إلى تفادي تكرار الانتهاكات</w:t>
      </w:r>
      <w:r w:rsidR="006D19E9">
        <w:rPr>
          <w:rFonts w:hint="cs"/>
          <w:rtl/>
        </w:rPr>
        <w:t xml:space="preserve"> </w:t>
      </w:r>
      <w:r w:rsidRPr="006D19E9">
        <w:rPr>
          <w:rFonts w:hint="cs"/>
          <w:rtl/>
        </w:rPr>
        <w:t>من خلال تحديد الأسباب الكامنة وراء انتهاكات جميع حقوق الإنسان ومعالجتها</w:t>
      </w:r>
      <w:r w:rsidR="006D19E9" w:rsidRPr="006D19E9">
        <w:rPr>
          <w:rStyle w:val="FootnoteReference"/>
          <w:color w:val="auto"/>
          <w:sz w:val="30"/>
          <w:szCs w:val="30"/>
          <w:rtl/>
        </w:rPr>
        <w:t>(</w:t>
      </w:r>
      <w:r w:rsidR="006D19E9" w:rsidRPr="006D19E9">
        <w:rPr>
          <w:rStyle w:val="FootnoteReference"/>
          <w:color w:val="auto"/>
          <w:sz w:val="30"/>
          <w:szCs w:val="30"/>
          <w:rtl/>
        </w:rPr>
        <w:footnoteReference w:id="24"/>
      </w:r>
      <w:r w:rsidR="006D19E9" w:rsidRPr="006D19E9">
        <w:rPr>
          <w:rStyle w:val="FootnoteReference"/>
          <w:color w:val="auto"/>
          <w:sz w:val="30"/>
          <w:szCs w:val="30"/>
          <w:rtl/>
        </w:rPr>
        <w:t>)</w:t>
      </w:r>
      <w:r w:rsidR="00697057">
        <w:rPr>
          <w:rFonts w:hint="cs"/>
          <w:rtl/>
        </w:rPr>
        <w:t>،</w:t>
      </w:r>
      <w:r w:rsidRPr="006D19E9">
        <w:rPr>
          <w:rFonts w:hint="cs"/>
          <w:rtl/>
        </w:rPr>
        <w:t xml:space="preserve"> عن طريق إجراء التحقيقات وملاحقة الجناة، مما</w:t>
      </w:r>
      <w:r w:rsidR="00024953">
        <w:rPr>
          <w:rFonts w:hint="eastAsia"/>
          <w:rtl/>
        </w:rPr>
        <w:t> </w:t>
      </w:r>
      <w:r w:rsidRPr="006D19E9">
        <w:rPr>
          <w:rFonts w:hint="cs"/>
          <w:rtl/>
        </w:rPr>
        <w:t>يضمن حقَّ الضحايا والمجتمعات في معرفة الحقيقة بشأن الانتهاكات وحقَّ الضحايا في الحصول على وسيلة انتصاف فعالة</w:t>
      </w:r>
      <w:r w:rsidR="006D19E9" w:rsidRPr="006D19E9">
        <w:rPr>
          <w:rStyle w:val="FootnoteReference"/>
          <w:color w:val="auto"/>
          <w:sz w:val="30"/>
          <w:szCs w:val="30"/>
          <w:rtl/>
        </w:rPr>
        <w:t>(</w:t>
      </w:r>
      <w:r w:rsidR="006D19E9" w:rsidRPr="006D19E9">
        <w:rPr>
          <w:rStyle w:val="FootnoteReference"/>
          <w:color w:val="auto"/>
          <w:sz w:val="30"/>
          <w:szCs w:val="30"/>
          <w:rtl/>
        </w:rPr>
        <w:footnoteReference w:id="25"/>
      </w:r>
      <w:r w:rsidR="006D19E9" w:rsidRPr="006D19E9">
        <w:rPr>
          <w:rStyle w:val="FootnoteReference"/>
          <w:color w:val="auto"/>
          <w:sz w:val="30"/>
          <w:szCs w:val="30"/>
          <w:rtl/>
        </w:rPr>
        <w:t>)</w:t>
      </w:r>
      <w:r w:rsidR="00697057">
        <w:rPr>
          <w:rFonts w:hint="cs"/>
          <w:rtl/>
        </w:rPr>
        <w:t>،</w:t>
      </w:r>
      <w:r w:rsidRPr="006D19E9">
        <w:rPr>
          <w:rFonts w:hint="cs"/>
          <w:rtl/>
        </w:rPr>
        <w:t xml:space="preserve"> بما يتوافق مع القانون الدولي</w:t>
      </w:r>
      <w:r w:rsidR="006D19E9" w:rsidRPr="006D19E9">
        <w:rPr>
          <w:rStyle w:val="FootnoteReference"/>
          <w:color w:val="auto"/>
          <w:sz w:val="30"/>
          <w:szCs w:val="30"/>
          <w:rtl/>
        </w:rPr>
        <w:t>(</w:t>
      </w:r>
      <w:r w:rsidR="006D19E9" w:rsidRPr="006D19E9">
        <w:rPr>
          <w:rStyle w:val="FootnoteReference"/>
          <w:color w:val="auto"/>
          <w:sz w:val="30"/>
          <w:szCs w:val="30"/>
          <w:rtl/>
        </w:rPr>
        <w:footnoteReference w:id="26"/>
      </w:r>
      <w:r w:rsidR="006D19E9" w:rsidRPr="006D19E9">
        <w:rPr>
          <w:rStyle w:val="FootnoteReference"/>
          <w:color w:val="auto"/>
          <w:sz w:val="30"/>
          <w:szCs w:val="30"/>
          <w:rtl/>
        </w:rPr>
        <w:t>)</w:t>
      </w:r>
      <w:r w:rsidR="00697057">
        <w:rPr>
          <w:rFonts w:hint="cs"/>
          <w:rtl/>
        </w:rPr>
        <w:t>.</w:t>
      </w:r>
      <w:r w:rsidRPr="006D19E9">
        <w:rPr>
          <w:rFonts w:hint="cs"/>
          <w:rtl/>
        </w:rPr>
        <w:t xml:space="preserve"> وبالفعل، "تشكل آليات الرقابة المحلية الفعالة، بما في ذلك آليات تقديم الشكاوى، جزءاً أساسياً من</w:t>
      </w:r>
      <w:r w:rsidR="006D19E9">
        <w:rPr>
          <w:rFonts w:hint="cs"/>
          <w:rtl/>
        </w:rPr>
        <w:t xml:space="preserve"> </w:t>
      </w:r>
      <w:r w:rsidRPr="006D19E9">
        <w:rPr>
          <w:rFonts w:hint="cs"/>
          <w:rtl/>
        </w:rPr>
        <w:t>منظومة منع التعذيب. وستتّخذ هذه الآليات أشكالاً شتى</w:t>
      </w:r>
      <w:r w:rsidR="006D19E9">
        <w:rPr>
          <w:rFonts w:hint="cs"/>
          <w:rtl/>
        </w:rPr>
        <w:t xml:space="preserve"> </w:t>
      </w:r>
      <w:r w:rsidRPr="006D19E9">
        <w:rPr>
          <w:rFonts w:hint="cs"/>
          <w:rtl/>
        </w:rPr>
        <w:t>وتعمل على مستويات عديدة</w:t>
      </w:r>
      <w:r w:rsidR="00697057">
        <w:rPr>
          <w:rtl/>
        </w:rPr>
        <w:t>"</w:t>
      </w:r>
      <w:r w:rsidR="00697057">
        <w:rPr>
          <w:rFonts w:hint="cs"/>
          <w:rtl/>
        </w:rPr>
        <w:t>.</w:t>
      </w:r>
      <w:r w:rsidR="00024953">
        <w:rPr>
          <w:rFonts w:hint="cs"/>
          <w:rtl/>
        </w:rPr>
        <w:t xml:space="preserve"> (الفقرة 5</w:t>
      </w:r>
      <w:r w:rsidRPr="006D19E9">
        <w:rPr>
          <w:rFonts w:hint="cs"/>
          <w:rtl/>
        </w:rPr>
        <w:t xml:space="preserve">(ز) من الوثيقة </w:t>
      </w:r>
      <w:r w:rsidRPr="006D19E9">
        <w:t>CAT/OP/12/6</w:t>
      </w:r>
      <w:r w:rsidRPr="006D19E9">
        <w:rPr>
          <w:rFonts w:hint="cs"/>
          <w:rtl/>
        </w:rPr>
        <w:t>).</w:t>
      </w:r>
    </w:p>
    <w:p w:rsidR="00C47F5D" w:rsidRPr="006D19E9" w:rsidRDefault="00C47F5D" w:rsidP="00C47F5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D19E9">
        <w:rPr>
          <w:rFonts w:hint="cs"/>
          <w:rtl/>
        </w:rPr>
        <w:tab/>
        <w:t>ثالثاً-</w:t>
      </w:r>
      <w:r w:rsidRPr="006D19E9">
        <w:rPr>
          <w:rFonts w:hint="cs"/>
          <w:rtl/>
        </w:rPr>
        <w:tab/>
        <w:t xml:space="preserve">منع الانتهاكات في الواقع العملي </w:t>
      </w:r>
    </w:p>
    <w:p w:rsidR="00C47F5D" w:rsidRPr="006D19E9" w:rsidRDefault="00C47F5D" w:rsidP="00C47F5D">
      <w:pPr>
        <w:pStyle w:val="SingleTxt"/>
        <w:spacing w:after="0" w:line="120" w:lineRule="exact"/>
        <w:rPr>
          <w:sz w:val="10"/>
          <w:rtl/>
        </w:rPr>
      </w:pPr>
    </w:p>
    <w:p w:rsidR="00C47F5D" w:rsidRPr="006D19E9" w:rsidRDefault="00C47F5D" w:rsidP="00C47F5D">
      <w:pPr>
        <w:pStyle w:val="SingleTxt"/>
        <w:rPr>
          <w:rtl/>
        </w:rPr>
      </w:pPr>
      <w:r w:rsidRPr="006D19E9">
        <w:rPr>
          <w:rFonts w:hint="cs"/>
          <w:rtl/>
        </w:rPr>
        <w:t>11-</w:t>
      </w:r>
      <w:r w:rsidRPr="006D19E9">
        <w:rPr>
          <w:rFonts w:hint="cs"/>
          <w:rtl/>
        </w:rPr>
        <w:tab/>
        <w:t>ينظر هذا الفرع</w:t>
      </w:r>
      <w:r w:rsidR="006D19E9">
        <w:rPr>
          <w:rFonts w:hint="cs"/>
          <w:rtl/>
        </w:rPr>
        <w:t xml:space="preserve"> </w:t>
      </w:r>
      <w:r w:rsidRPr="006D19E9">
        <w:rPr>
          <w:rFonts w:hint="cs"/>
          <w:rtl/>
        </w:rPr>
        <w:t>في تنفيذ منع الانتهاكات من الناحية العملية، ولا سيما أهمية وضع إطار تشريعي ومؤسسي ينظم منع الانتهاكات؛ والدور الجوهري الذي يؤديه التثقيف في مجال حقوق الإنسان؛ ومساهمة أدوات التخطيط والرصد في منع الانتهاكات وخاصة في رسم السياسات.</w:t>
      </w: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sidRPr="006D19E9">
        <w:rPr>
          <w:rFonts w:hint="cs"/>
          <w:rtl/>
        </w:rPr>
        <w:tab/>
        <w:t>ألف-</w:t>
      </w:r>
      <w:r w:rsidRPr="006D19E9">
        <w:rPr>
          <w:rFonts w:hint="cs"/>
          <w:rtl/>
        </w:rPr>
        <w:tab/>
        <w:t>الإطار التشريعي والمؤسسي لمنع الانتهاكات</w:t>
      </w:r>
    </w:p>
    <w:p w:rsidR="00C47F5D" w:rsidRPr="006D19E9" w:rsidRDefault="00C47F5D" w:rsidP="00C47F5D">
      <w:pPr>
        <w:pStyle w:val="SingleTxtGA"/>
        <w:spacing w:after="0" w:line="120" w:lineRule="exact"/>
        <w:rPr>
          <w:sz w:val="10"/>
          <w:rtl/>
        </w:rPr>
      </w:pPr>
    </w:p>
    <w:p w:rsidR="00C47F5D" w:rsidRPr="006D19E9" w:rsidRDefault="00C47F5D" w:rsidP="00697057">
      <w:pPr>
        <w:pStyle w:val="SingleTxt"/>
      </w:pPr>
      <w:r w:rsidRPr="006D19E9">
        <w:rPr>
          <w:rFonts w:hint="cs"/>
          <w:rtl/>
        </w:rPr>
        <w:t>12-</w:t>
      </w:r>
      <w:r w:rsidRPr="006D19E9">
        <w:rPr>
          <w:rFonts w:hint="cs"/>
          <w:rtl/>
        </w:rPr>
        <w:tab/>
        <w:t>يتطلب إنشاء إطار تشريعي ومؤسسي وقائي</w:t>
      </w:r>
      <w:r w:rsidR="006D19E9">
        <w:rPr>
          <w:rFonts w:hint="cs"/>
          <w:rtl/>
        </w:rPr>
        <w:t xml:space="preserve"> </w:t>
      </w:r>
      <w:r w:rsidRPr="006D19E9">
        <w:rPr>
          <w:rFonts w:hint="cs"/>
          <w:rtl/>
        </w:rPr>
        <w:t>اتخاذ مجموعة متسقة ومتكاملة من التدابير التي تقوم على نهج جامع وتشاركي يشمل النساء والفئات الأخرى التي تتعرض للتمييز. ويشمل منع الانتهاكات كخطوة أولى التصديق على معاهدات حقوق الإنسان</w:t>
      </w:r>
      <w:r w:rsidR="006D19E9" w:rsidRPr="006D19E9">
        <w:rPr>
          <w:rStyle w:val="FootnoteReference"/>
          <w:color w:val="auto"/>
          <w:sz w:val="30"/>
          <w:szCs w:val="30"/>
          <w:rtl/>
        </w:rPr>
        <w:t>(</w:t>
      </w:r>
      <w:r w:rsidR="006D19E9" w:rsidRPr="006D19E9">
        <w:rPr>
          <w:rStyle w:val="FootnoteReference"/>
          <w:color w:val="auto"/>
          <w:sz w:val="30"/>
          <w:szCs w:val="30"/>
          <w:rtl/>
        </w:rPr>
        <w:footnoteReference w:id="27"/>
      </w:r>
      <w:r w:rsidR="006D19E9" w:rsidRPr="006D19E9">
        <w:rPr>
          <w:rStyle w:val="FootnoteReference"/>
          <w:color w:val="auto"/>
          <w:sz w:val="30"/>
          <w:szCs w:val="30"/>
          <w:rtl/>
        </w:rPr>
        <w:t>)</w:t>
      </w:r>
      <w:r w:rsidRPr="006D19E9">
        <w:rPr>
          <w:rFonts w:hint="cs"/>
          <w:rtl/>
        </w:rPr>
        <w:t xml:space="preserve"> واعتماد قوانين وسياسات تكفل حقوق الإنسان</w:t>
      </w:r>
      <w:r w:rsidR="006D19E9">
        <w:rPr>
          <w:rFonts w:hint="cs"/>
          <w:rtl/>
        </w:rPr>
        <w:t xml:space="preserve"> </w:t>
      </w:r>
      <w:r w:rsidRPr="006D19E9">
        <w:rPr>
          <w:rFonts w:hint="cs"/>
          <w:rtl/>
        </w:rPr>
        <w:t>في القانون</w:t>
      </w:r>
      <w:r w:rsidR="006D19E9">
        <w:rPr>
          <w:rFonts w:hint="cs"/>
          <w:rtl/>
        </w:rPr>
        <w:t xml:space="preserve"> </w:t>
      </w:r>
      <w:r w:rsidRPr="006D19E9">
        <w:rPr>
          <w:rFonts w:hint="cs"/>
          <w:rtl/>
        </w:rPr>
        <w:t>والممارسة. وعلى سبيل المثال، قد يتضمن ذلك</w:t>
      </w:r>
      <w:r w:rsidR="006D19E9">
        <w:rPr>
          <w:rFonts w:hint="cs"/>
          <w:rtl/>
        </w:rPr>
        <w:t xml:space="preserve"> </w:t>
      </w:r>
      <w:r w:rsidRPr="006D19E9">
        <w:rPr>
          <w:rFonts w:hint="cs"/>
          <w:rtl/>
        </w:rPr>
        <w:t>تكليف الهيئات العامة بمهمة إيجابية هي</w:t>
      </w:r>
      <w:r w:rsidR="006D19E9">
        <w:rPr>
          <w:rFonts w:hint="cs"/>
          <w:rtl/>
        </w:rPr>
        <w:t xml:space="preserve"> </w:t>
      </w:r>
      <w:r w:rsidRPr="006D19E9">
        <w:rPr>
          <w:rFonts w:hint="cs"/>
          <w:rtl/>
        </w:rPr>
        <w:t>إيلاء العناية الواجبة لحقوق الإنسان</w:t>
      </w:r>
      <w:r w:rsidR="006D19E9">
        <w:rPr>
          <w:rFonts w:hint="cs"/>
          <w:rtl/>
        </w:rPr>
        <w:t xml:space="preserve"> </w:t>
      </w:r>
      <w:r w:rsidRPr="006D19E9">
        <w:rPr>
          <w:rFonts w:hint="cs"/>
          <w:rtl/>
        </w:rPr>
        <w:t>والمساواة في عملها ومراعاة</w:t>
      </w:r>
      <w:r w:rsidR="006D19E9">
        <w:rPr>
          <w:rFonts w:hint="cs"/>
          <w:rtl/>
        </w:rPr>
        <w:t xml:space="preserve"> </w:t>
      </w:r>
      <w:r w:rsidRPr="006D19E9">
        <w:rPr>
          <w:rFonts w:hint="cs"/>
          <w:rtl/>
        </w:rPr>
        <w:t>احترام حقوق الإنسان في تصريف مهامها</w:t>
      </w:r>
      <w:r w:rsidR="006D19E9" w:rsidRPr="006D19E9">
        <w:rPr>
          <w:rStyle w:val="FootnoteReference"/>
          <w:color w:val="auto"/>
          <w:sz w:val="30"/>
          <w:szCs w:val="30"/>
          <w:rtl/>
        </w:rPr>
        <w:t>(</w:t>
      </w:r>
      <w:r w:rsidR="006D19E9" w:rsidRPr="006D19E9">
        <w:rPr>
          <w:rStyle w:val="FootnoteReference"/>
          <w:color w:val="auto"/>
          <w:sz w:val="30"/>
          <w:szCs w:val="30"/>
          <w:rtl/>
        </w:rPr>
        <w:footnoteReference w:id="28"/>
      </w:r>
      <w:r w:rsidR="006D19E9" w:rsidRPr="006D19E9">
        <w:rPr>
          <w:rStyle w:val="FootnoteReference"/>
          <w:color w:val="auto"/>
          <w:sz w:val="30"/>
          <w:szCs w:val="30"/>
          <w:rtl/>
        </w:rPr>
        <w:t>)</w:t>
      </w:r>
      <w:r w:rsidR="00697057" w:rsidRPr="00697057">
        <w:rPr>
          <w:rStyle w:val="FootnoteReference"/>
          <w:rFonts w:hint="cs"/>
          <w:color w:val="auto"/>
          <w:sz w:val="30"/>
          <w:szCs w:val="30"/>
          <w:vertAlign w:val="baseline"/>
          <w:rtl/>
        </w:rPr>
        <w:t>.</w:t>
      </w:r>
    </w:p>
    <w:p w:rsidR="00C47F5D" w:rsidRPr="00024953" w:rsidRDefault="00C47F5D" w:rsidP="00697057">
      <w:pPr>
        <w:pStyle w:val="SingleTxt"/>
        <w:rPr>
          <w:spacing w:val="-4"/>
        </w:rPr>
      </w:pPr>
      <w:r w:rsidRPr="00024953">
        <w:rPr>
          <w:rFonts w:hint="cs"/>
          <w:spacing w:val="-4"/>
          <w:rtl/>
        </w:rPr>
        <w:t>13-</w:t>
      </w:r>
      <w:r w:rsidRPr="00024953">
        <w:rPr>
          <w:rFonts w:hint="cs"/>
          <w:spacing w:val="-4"/>
          <w:rtl/>
        </w:rPr>
        <w:tab/>
        <w:t>ومن الضمانات الهامة</w:t>
      </w:r>
      <w:r w:rsidR="006D19E9" w:rsidRPr="00024953">
        <w:rPr>
          <w:rFonts w:hint="cs"/>
          <w:spacing w:val="-4"/>
          <w:rtl/>
        </w:rPr>
        <w:t xml:space="preserve"> </w:t>
      </w:r>
      <w:r w:rsidRPr="00024953">
        <w:rPr>
          <w:rFonts w:hint="cs"/>
          <w:spacing w:val="-4"/>
          <w:rtl/>
        </w:rPr>
        <w:t>استعراض التشريعات السارية والمقترحة بصورة منتظمة ومنهجية، لضمان امتثالها</w:t>
      </w:r>
      <w:r w:rsidR="006D19E9" w:rsidRPr="00024953">
        <w:rPr>
          <w:rFonts w:hint="cs"/>
          <w:spacing w:val="-4"/>
          <w:rtl/>
        </w:rPr>
        <w:t xml:space="preserve"> </w:t>
      </w:r>
      <w:r w:rsidRPr="00024953">
        <w:rPr>
          <w:rFonts w:hint="cs"/>
          <w:spacing w:val="-4"/>
          <w:rtl/>
        </w:rPr>
        <w:t>إلى التزامات الدولة المعنية في مجال حقوق الإنسان</w:t>
      </w:r>
      <w:r w:rsidR="006D19E9" w:rsidRPr="00024953">
        <w:rPr>
          <w:rStyle w:val="FootnoteReference"/>
          <w:color w:val="auto"/>
          <w:spacing w:val="-4"/>
          <w:sz w:val="30"/>
          <w:szCs w:val="30"/>
          <w:rtl/>
        </w:rPr>
        <w:t>(</w:t>
      </w:r>
      <w:r w:rsidR="006D19E9" w:rsidRPr="00024953">
        <w:rPr>
          <w:rStyle w:val="FootnoteReference"/>
          <w:color w:val="auto"/>
          <w:spacing w:val="-4"/>
          <w:sz w:val="30"/>
          <w:szCs w:val="30"/>
          <w:rtl/>
        </w:rPr>
        <w:footnoteReference w:id="29"/>
      </w:r>
      <w:r w:rsidR="006D19E9" w:rsidRPr="00024953">
        <w:rPr>
          <w:rStyle w:val="FootnoteReference"/>
          <w:color w:val="auto"/>
          <w:spacing w:val="-4"/>
          <w:sz w:val="30"/>
          <w:szCs w:val="30"/>
          <w:rtl/>
        </w:rPr>
        <w:t>)</w:t>
      </w:r>
      <w:r w:rsidR="00697057" w:rsidRPr="00024953">
        <w:rPr>
          <w:rFonts w:hint="cs"/>
          <w:spacing w:val="-4"/>
          <w:rtl/>
        </w:rPr>
        <w:t>.</w:t>
      </w:r>
      <w:r w:rsidR="006D19E9" w:rsidRPr="00024953">
        <w:rPr>
          <w:rFonts w:hint="cs"/>
          <w:spacing w:val="-4"/>
          <w:rtl/>
        </w:rPr>
        <w:t xml:space="preserve"> </w:t>
      </w:r>
      <w:r w:rsidRPr="00024953">
        <w:rPr>
          <w:rFonts w:hint="cs"/>
          <w:spacing w:val="-4"/>
          <w:rtl/>
        </w:rPr>
        <w:t>ويجوز تنفيذ هذا الاستعراض بإجراءات قضائية أو برلمانية أو حكومية داخلية. ويجوز تكليف المؤسسات الوطنية لحقوق الإنسان</w:t>
      </w:r>
      <w:r w:rsidR="006D19E9" w:rsidRPr="00024953">
        <w:rPr>
          <w:rStyle w:val="FootnoteReference"/>
          <w:color w:val="auto"/>
          <w:spacing w:val="-4"/>
          <w:sz w:val="30"/>
          <w:szCs w:val="30"/>
          <w:rtl/>
        </w:rPr>
        <w:t>(</w:t>
      </w:r>
      <w:r w:rsidR="006D19E9" w:rsidRPr="00024953">
        <w:rPr>
          <w:rStyle w:val="FootnoteReference"/>
          <w:color w:val="auto"/>
          <w:spacing w:val="-4"/>
          <w:sz w:val="30"/>
          <w:szCs w:val="30"/>
          <w:rtl/>
        </w:rPr>
        <w:footnoteReference w:id="30"/>
      </w:r>
      <w:r w:rsidR="006D19E9" w:rsidRPr="00024953">
        <w:rPr>
          <w:rStyle w:val="FootnoteReference"/>
          <w:color w:val="auto"/>
          <w:spacing w:val="-4"/>
          <w:sz w:val="30"/>
          <w:szCs w:val="30"/>
          <w:rtl/>
        </w:rPr>
        <w:t>)</w:t>
      </w:r>
      <w:r w:rsidRPr="00024953">
        <w:rPr>
          <w:rFonts w:hint="cs"/>
          <w:spacing w:val="-4"/>
          <w:rtl/>
        </w:rPr>
        <w:t xml:space="preserve"> تحديداً باستكمال هذا الاستعراض، وبموافاة السلطات المعنية بمعلومات عن جوانب التوافق أو عن التوصيات</w:t>
      </w:r>
      <w:r w:rsidR="006D19E9" w:rsidRPr="00024953">
        <w:rPr>
          <w:rFonts w:hint="cs"/>
          <w:spacing w:val="-4"/>
          <w:rtl/>
        </w:rPr>
        <w:t xml:space="preserve"> </w:t>
      </w:r>
      <w:r w:rsidRPr="00024953">
        <w:rPr>
          <w:rFonts w:hint="cs"/>
          <w:spacing w:val="-4"/>
          <w:rtl/>
        </w:rPr>
        <w:t>التي أدت إلى إدخال تعديلات على القوانين أو السياسات المقترحة. وقد يتطلّب الاستعراض كذلك عرض مشروع</w:t>
      </w:r>
      <w:r w:rsidR="006D19E9" w:rsidRPr="00024953">
        <w:rPr>
          <w:rFonts w:hint="cs"/>
          <w:spacing w:val="-4"/>
          <w:rtl/>
        </w:rPr>
        <w:t xml:space="preserve"> </w:t>
      </w:r>
      <w:r w:rsidRPr="00024953">
        <w:rPr>
          <w:rFonts w:hint="cs"/>
          <w:spacing w:val="-4"/>
          <w:rtl/>
        </w:rPr>
        <w:t>القانون على</w:t>
      </w:r>
      <w:r w:rsidR="006D19E9" w:rsidRPr="00024953">
        <w:rPr>
          <w:rFonts w:hint="cs"/>
          <w:spacing w:val="-4"/>
          <w:rtl/>
        </w:rPr>
        <w:t xml:space="preserve"> </w:t>
      </w:r>
      <w:r w:rsidRPr="00024953">
        <w:rPr>
          <w:rFonts w:hint="cs"/>
          <w:spacing w:val="-4"/>
          <w:rtl/>
        </w:rPr>
        <w:t>هيئة</w:t>
      </w:r>
      <w:r w:rsidR="006D19E9" w:rsidRPr="00024953">
        <w:rPr>
          <w:rFonts w:hint="cs"/>
          <w:spacing w:val="-4"/>
          <w:rtl/>
        </w:rPr>
        <w:t xml:space="preserve"> </w:t>
      </w:r>
      <w:r w:rsidRPr="00024953">
        <w:rPr>
          <w:rFonts w:hint="cs"/>
          <w:spacing w:val="-4"/>
          <w:rtl/>
        </w:rPr>
        <w:t>معينة قبل إحالته</w:t>
      </w:r>
      <w:r w:rsidR="006D19E9" w:rsidRPr="00024953">
        <w:rPr>
          <w:rFonts w:hint="cs"/>
          <w:spacing w:val="-4"/>
          <w:rtl/>
        </w:rPr>
        <w:t xml:space="preserve"> </w:t>
      </w:r>
      <w:r w:rsidRPr="00024953">
        <w:rPr>
          <w:rFonts w:hint="cs"/>
          <w:spacing w:val="-4"/>
          <w:rtl/>
        </w:rPr>
        <w:t>إلى الهيئة</w:t>
      </w:r>
      <w:r w:rsidR="006D19E9" w:rsidRPr="00024953">
        <w:rPr>
          <w:rFonts w:hint="cs"/>
          <w:spacing w:val="-4"/>
          <w:rtl/>
        </w:rPr>
        <w:t xml:space="preserve"> </w:t>
      </w:r>
      <w:r w:rsidRPr="00024953">
        <w:rPr>
          <w:rFonts w:hint="cs"/>
          <w:spacing w:val="-4"/>
          <w:rtl/>
        </w:rPr>
        <w:t>التشريعية مشفوعاً بوثيقة تحددّ أنه جرى استعراضه وأنه يتوافق مع التزامات الدولة في مجال حقوق الإنسان</w:t>
      </w:r>
      <w:r w:rsidR="006D19E9" w:rsidRPr="00024953">
        <w:rPr>
          <w:rStyle w:val="FootnoteReference"/>
          <w:color w:val="auto"/>
          <w:spacing w:val="-4"/>
          <w:sz w:val="30"/>
          <w:szCs w:val="30"/>
          <w:rtl/>
        </w:rPr>
        <w:t>(</w:t>
      </w:r>
      <w:r w:rsidR="006D19E9" w:rsidRPr="00024953">
        <w:rPr>
          <w:rStyle w:val="FootnoteReference"/>
          <w:color w:val="auto"/>
          <w:spacing w:val="-4"/>
          <w:sz w:val="30"/>
          <w:szCs w:val="30"/>
          <w:rtl/>
        </w:rPr>
        <w:footnoteReference w:id="31"/>
      </w:r>
      <w:r w:rsidR="006D19E9" w:rsidRPr="00024953">
        <w:rPr>
          <w:rStyle w:val="FootnoteReference"/>
          <w:color w:val="auto"/>
          <w:spacing w:val="-4"/>
          <w:sz w:val="30"/>
          <w:szCs w:val="30"/>
          <w:rtl/>
        </w:rPr>
        <w:t>)</w:t>
      </w:r>
      <w:r w:rsidR="00697057" w:rsidRPr="00024953">
        <w:rPr>
          <w:rFonts w:hint="cs"/>
          <w:spacing w:val="-4"/>
          <w:rtl/>
        </w:rPr>
        <w:t>.</w:t>
      </w:r>
      <w:r w:rsidRPr="00024953">
        <w:rPr>
          <w:rFonts w:hint="cs"/>
          <w:spacing w:val="-4"/>
          <w:rtl/>
        </w:rPr>
        <w:t xml:space="preserve"> ويجوز أن تتضمن</w:t>
      </w:r>
      <w:r w:rsidR="006D19E9" w:rsidRPr="00024953">
        <w:rPr>
          <w:rFonts w:hint="cs"/>
          <w:spacing w:val="-4"/>
          <w:rtl/>
        </w:rPr>
        <w:t xml:space="preserve"> </w:t>
      </w:r>
      <w:r w:rsidRPr="00024953">
        <w:rPr>
          <w:rFonts w:hint="cs"/>
          <w:spacing w:val="-4"/>
          <w:rtl/>
        </w:rPr>
        <w:t>عملية الاستعراض</w:t>
      </w:r>
      <w:r w:rsidR="006D19E9" w:rsidRPr="00024953">
        <w:rPr>
          <w:rFonts w:hint="cs"/>
          <w:spacing w:val="-4"/>
          <w:rtl/>
        </w:rPr>
        <w:t xml:space="preserve"> </w:t>
      </w:r>
      <w:r w:rsidRPr="00024953">
        <w:rPr>
          <w:rFonts w:hint="cs"/>
          <w:spacing w:val="-4"/>
          <w:rtl/>
        </w:rPr>
        <w:t>إجراء مشاورات مع جهات فاعلة أخرى، مثل المجتمع المدني، بغية توفير</w:t>
      </w:r>
      <w:r w:rsidR="006D19E9" w:rsidRPr="00024953">
        <w:rPr>
          <w:rFonts w:hint="cs"/>
          <w:spacing w:val="-4"/>
          <w:rtl/>
        </w:rPr>
        <w:t xml:space="preserve"> </w:t>
      </w:r>
      <w:r w:rsidRPr="00024953">
        <w:rPr>
          <w:rFonts w:hint="cs"/>
          <w:spacing w:val="-4"/>
          <w:rtl/>
        </w:rPr>
        <w:t>معلومات</w:t>
      </w:r>
      <w:r w:rsidR="006D19E9" w:rsidRPr="00024953">
        <w:rPr>
          <w:rFonts w:hint="cs"/>
          <w:spacing w:val="-4"/>
          <w:rtl/>
        </w:rPr>
        <w:t xml:space="preserve"> </w:t>
      </w:r>
      <w:r w:rsidRPr="00024953">
        <w:rPr>
          <w:rFonts w:hint="cs"/>
          <w:spacing w:val="-4"/>
          <w:rtl/>
        </w:rPr>
        <w:t>وخبرات</w:t>
      </w:r>
      <w:r w:rsidR="006D19E9" w:rsidRPr="00024953">
        <w:rPr>
          <w:rFonts w:hint="cs"/>
          <w:spacing w:val="-4"/>
          <w:rtl/>
        </w:rPr>
        <w:t xml:space="preserve"> </w:t>
      </w:r>
      <w:r w:rsidRPr="00024953">
        <w:rPr>
          <w:rFonts w:hint="cs"/>
          <w:spacing w:val="-4"/>
          <w:rtl/>
        </w:rPr>
        <w:t>إضافية</w:t>
      </w:r>
      <w:r w:rsidR="006D19E9" w:rsidRPr="00024953">
        <w:rPr>
          <w:rFonts w:hint="cs"/>
          <w:spacing w:val="-4"/>
          <w:rtl/>
        </w:rPr>
        <w:t xml:space="preserve"> </w:t>
      </w:r>
      <w:r w:rsidRPr="00024953">
        <w:rPr>
          <w:rFonts w:hint="cs"/>
          <w:spacing w:val="-4"/>
          <w:rtl/>
        </w:rPr>
        <w:t>طوال فترة الإجراءات التشريعية</w:t>
      </w:r>
      <w:r w:rsidR="006D19E9" w:rsidRPr="00024953">
        <w:rPr>
          <w:rStyle w:val="FootnoteReference"/>
          <w:color w:val="auto"/>
          <w:spacing w:val="-4"/>
          <w:sz w:val="30"/>
          <w:szCs w:val="30"/>
          <w:rtl/>
        </w:rPr>
        <w:t>(</w:t>
      </w:r>
      <w:r w:rsidR="006D19E9" w:rsidRPr="00024953">
        <w:rPr>
          <w:rStyle w:val="FootnoteReference"/>
          <w:color w:val="auto"/>
          <w:spacing w:val="-4"/>
          <w:sz w:val="30"/>
          <w:szCs w:val="30"/>
          <w:rtl/>
        </w:rPr>
        <w:footnoteReference w:id="32"/>
      </w:r>
      <w:r w:rsidR="006D19E9" w:rsidRPr="00024953">
        <w:rPr>
          <w:rStyle w:val="FootnoteReference"/>
          <w:color w:val="auto"/>
          <w:spacing w:val="-4"/>
          <w:sz w:val="30"/>
          <w:szCs w:val="30"/>
          <w:rtl/>
        </w:rPr>
        <w:t>)</w:t>
      </w:r>
      <w:r w:rsidR="00697057" w:rsidRPr="00024953">
        <w:rPr>
          <w:rFonts w:hint="cs"/>
          <w:spacing w:val="-4"/>
          <w:rtl/>
        </w:rPr>
        <w:t>.</w:t>
      </w:r>
      <w:r w:rsidRPr="00024953">
        <w:rPr>
          <w:rFonts w:hint="cs"/>
          <w:spacing w:val="-4"/>
          <w:rtl/>
        </w:rPr>
        <w:t xml:space="preserve"> وينبغي أن تتسم الهيئات المكلّفة بمهمة الاستعراض بالاستقلال والحياد وأن تؤخذ تعليقاتها في الاعتبار عند</w:t>
      </w:r>
      <w:r w:rsidR="006D19E9" w:rsidRPr="00024953">
        <w:rPr>
          <w:rFonts w:hint="cs"/>
          <w:spacing w:val="-4"/>
          <w:rtl/>
        </w:rPr>
        <w:t xml:space="preserve"> </w:t>
      </w:r>
      <w:r w:rsidRPr="00024953">
        <w:rPr>
          <w:rFonts w:hint="cs"/>
          <w:spacing w:val="-4"/>
          <w:rtl/>
        </w:rPr>
        <w:t>تنقيح التشريعات أو السياسات.</w:t>
      </w:r>
    </w:p>
    <w:p w:rsidR="00C47F5D" w:rsidRPr="00024953" w:rsidRDefault="00C47F5D" w:rsidP="00C47F5D">
      <w:pPr>
        <w:pStyle w:val="SingleTxt"/>
        <w:rPr>
          <w:spacing w:val="-6"/>
          <w:w w:val="100"/>
          <w:rtl/>
        </w:rPr>
      </w:pPr>
      <w:r w:rsidRPr="00024953">
        <w:rPr>
          <w:rFonts w:hint="cs"/>
          <w:spacing w:val="-6"/>
          <w:w w:val="100"/>
          <w:rtl/>
        </w:rPr>
        <w:t>14-</w:t>
      </w:r>
      <w:r w:rsidRPr="00024953">
        <w:rPr>
          <w:rFonts w:hint="cs"/>
          <w:spacing w:val="-6"/>
          <w:w w:val="100"/>
          <w:rtl/>
        </w:rPr>
        <w:tab/>
        <w:t>وفضلاً عن ذلك، ينبغي</w:t>
      </w:r>
      <w:r w:rsidR="006D19E9" w:rsidRPr="00024953">
        <w:rPr>
          <w:rFonts w:hint="cs"/>
          <w:spacing w:val="-6"/>
          <w:w w:val="100"/>
          <w:rtl/>
        </w:rPr>
        <w:t xml:space="preserve"> </w:t>
      </w:r>
      <w:r w:rsidRPr="00024953">
        <w:rPr>
          <w:rFonts w:hint="cs"/>
          <w:spacing w:val="-6"/>
          <w:w w:val="100"/>
          <w:rtl/>
        </w:rPr>
        <w:t>دمج القواعد والمعايير الدولية لحقوق الإنسان في النظام القانوني الوطني</w:t>
      </w:r>
      <w:r w:rsidR="006D19E9" w:rsidRPr="00024953">
        <w:rPr>
          <w:rStyle w:val="FootnoteReference"/>
          <w:color w:val="auto"/>
          <w:spacing w:val="-6"/>
          <w:w w:val="100"/>
          <w:sz w:val="30"/>
          <w:szCs w:val="30"/>
          <w:rtl/>
        </w:rPr>
        <w:t>(</w:t>
      </w:r>
      <w:r w:rsidR="006D19E9" w:rsidRPr="00024953">
        <w:rPr>
          <w:rStyle w:val="FootnoteReference"/>
          <w:color w:val="auto"/>
          <w:spacing w:val="-6"/>
          <w:w w:val="100"/>
          <w:sz w:val="30"/>
          <w:szCs w:val="30"/>
          <w:rtl/>
        </w:rPr>
        <w:footnoteReference w:id="33"/>
      </w:r>
      <w:r w:rsidR="006D19E9" w:rsidRPr="00024953">
        <w:rPr>
          <w:rStyle w:val="FootnoteReference"/>
          <w:color w:val="auto"/>
          <w:spacing w:val="-6"/>
          <w:w w:val="100"/>
          <w:sz w:val="30"/>
          <w:szCs w:val="30"/>
          <w:rtl/>
        </w:rPr>
        <w:t>)</w:t>
      </w:r>
      <w:r w:rsidRPr="00024953">
        <w:rPr>
          <w:rFonts w:hint="cs"/>
          <w:spacing w:val="-6"/>
          <w:w w:val="100"/>
          <w:rtl/>
        </w:rPr>
        <w:t xml:space="preserve"> لضمان إمكانية الاحتجاج بها في المحاكم الوطنية.</w:t>
      </w:r>
      <w:r w:rsidR="006D19E9" w:rsidRPr="00024953">
        <w:rPr>
          <w:rFonts w:hint="cs"/>
          <w:spacing w:val="-6"/>
          <w:w w:val="100"/>
          <w:rtl/>
        </w:rPr>
        <w:t xml:space="preserve"> </w:t>
      </w:r>
      <w:r w:rsidRPr="00024953">
        <w:rPr>
          <w:rFonts w:hint="cs"/>
          <w:spacing w:val="-6"/>
          <w:w w:val="100"/>
          <w:rtl/>
        </w:rPr>
        <w:t>ويتطلب هذا</w:t>
      </w:r>
      <w:r w:rsidR="006D19E9" w:rsidRPr="00024953">
        <w:rPr>
          <w:rFonts w:hint="cs"/>
          <w:spacing w:val="-6"/>
          <w:w w:val="100"/>
          <w:rtl/>
        </w:rPr>
        <w:t xml:space="preserve"> </w:t>
      </w:r>
      <w:r w:rsidRPr="00024953">
        <w:rPr>
          <w:rFonts w:hint="cs"/>
          <w:spacing w:val="-6"/>
          <w:w w:val="100"/>
          <w:rtl/>
        </w:rPr>
        <w:t>إنشاء نظام فعّال لإقامة العدل</w:t>
      </w:r>
      <w:r w:rsidR="006D19E9" w:rsidRPr="00024953">
        <w:rPr>
          <w:rStyle w:val="FootnoteReference"/>
          <w:color w:val="auto"/>
          <w:spacing w:val="-6"/>
          <w:w w:val="100"/>
          <w:sz w:val="30"/>
          <w:szCs w:val="30"/>
          <w:rtl/>
        </w:rPr>
        <w:t>(</w:t>
      </w:r>
      <w:r w:rsidR="006D19E9" w:rsidRPr="00024953">
        <w:rPr>
          <w:rStyle w:val="FootnoteReference"/>
          <w:color w:val="auto"/>
          <w:spacing w:val="-6"/>
          <w:w w:val="100"/>
          <w:sz w:val="30"/>
          <w:szCs w:val="30"/>
          <w:rtl/>
        </w:rPr>
        <w:footnoteReference w:id="34"/>
      </w:r>
      <w:r w:rsidR="006D19E9" w:rsidRPr="00024953">
        <w:rPr>
          <w:rStyle w:val="FootnoteReference"/>
          <w:color w:val="auto"/>
          <w:spacing w:val="-6"/>
          <w:w w:val="100"/>
          <w:sz w:val="30"/>
          <w:szCs w:val="30"/>
          <w:rtl/>
        </w:rPr>
        <w:t>)</w:t>
      </w:r>
      <w:r w:rsidRPr="00024953">
        <w:rPr>
          <w:rFonts w:hint="cs"/>
          <w:spacing w:val="-6"/>
          <w:w w:val="100"/>
          <w:rtl/>
        </w:rPr>
        <w:t>،</w:t>
      </w:r>
      <w:r w:rsidR="006D19E9" w:rsidRPr="00024953">
        <w:rPr>
          <w:rFonts w:hint="cs"/>
          <w:spacing w:val="-6"/>
          <w:w w:val="100"/>
          <w:rtl/>
        </w:rPr>
        <w:t xml:space="preserve"> </w:t>
      </w:r>
      <w:r w:rsidRPr="00024953">
        <w:rPr>
          <w:rFonts w:hint="cs"/>
          <w:spacing w:val="-6"/>
          <w:w w:val="100"/>
          <w:rtl/>
        </w:rPr>
        <w:t>ومنح</w:t>
      </w:r>
      <w:r w:rsidR="006D19E9" w:rsidRPr="00024953">
        <w:rPr>
          <w:rFonts w:hint="cs"/>
          <w:spacing w:val="-6"/>
          <w:w w:val="100"/>
          <w:rtl/>
        </w:rPr>
        <w:t xml:space="preserve"> </w:t>
      </w:r>
      <w:r w:rsidRPr="00024953">
        <w:rPr>
          <w:rFonts w:hint="cs"/>
          <w:spacing w:val="-6"/>
          <w:w w:val="100"/>
          <w:rtl/>
        </w:rPr>
        <w:t>المحاكم فيه</w:t>
      </w:r>
      <w:r w:rsidR="006D19E9" w:rsidRPr="00024953">
        <w:rPr>
          <w:rFonts w:hint="cs"/>
          <w:spacing w:val="-6"/>
          <w:w w:val="100"/>
          <w:rtl/>
        </w:rPr>
        <w:t xml:space="preserve"> </w:t>
      </w:r>
      <w:r w:rsidRPr="00024953">
        <w:rPr>
          <w:rFonts w:hint="cs"/>
          <w:spacing w:val="-6"/>
          <w:w w:val="100"/>
          <w:rtl/>
        </w:rPr>
        <w:t>صلاحية تفسير الأحكام الدستورية في ضوء كلّ من التزامات الدولة في مجال حقوق الإنسان والاجتهادات القضائية الدولية أو الإقليمية</w:t>
      </w:r>
      <w:r w:rsidR="006D19E9" w:rsidRPr="00024953">
        <w:rPr>
          <w:rStyle w:val="FootnoteReference"/>
          <w:color w:val="auto"/>
          <w:spacing w:val="-6"/>
          <w:w w:val="100"/>
          <w:sz w:val="30"/>
          <w:szCs w:val="30"/>
          <w:rtl/>
        </w:rPr>
        <w:t>(</w:t>
      </w:r>
      <w:r w:rsidR="006D19E9" w:rsidRPr="00024953">
        <w:rPr>
          <w:rStyle w:val="FootnoteReference"/>
          <w:color w:val="auto"/>
          <w:spacing w:val="-6"/>
          <w:w w:val="100"/>
          <w:sz w:val="30"/>
          <w:szCs w:val="30"/>
          <w:rtl/>
        </w:rPr>
        <w:footnoteReference w:id="35"/>
      </w:r>
      <w:r w:rsidR="006D19E9" w:rsidRPr="00024953">
        <w:rPr>
          <w:rStyle w:val="FootnoteReference"/>
          <w:color w:val="auto"/>
          <w:spacing w:val="-6"/>
          <w:w w:val="100"/>
          <w:sz w:val="30"/>
          <w:szCs w:val="30"/>
          <w:rtl/>
        </w:rPr>
        <w:t>)</w:t>
      </w:r>
      <w:r w:rsidRPr="00024953">
        <w:rPr>
          <w:rFonts w:hint="cs"/>
          <w:spacing w:val="-6"/>
          <w:w w:val="100"/>
          <w:rtl/>
        </w:rPr>
        <w:t>،</w:t>
      </w:r>
      <w:r w:rsidR="006D19E9" w:rsidRPr="00024953">
        <w:rPr>
          <w:rFonts w:hint="cs"/>
          <w:spacing w:val="-6"/>
          <w:w w:val="100"/>
          <w:rtl/>
        </w:rPr>
        <w:t xml:space="preserve"> </w:t>
      </w:r>
      <w:r w:rsidRPr="00024953">
        <w:rPr>
          <w:rFonts w:hint="cs"/>
          <w:spacing w:val="-6"/>
          <w:w w:val="100"/>
          <w:rtl/>
        </w:rPr>
        <w:t>واستبعاد</w:t>
      </w:r>
      <w:r w:rsidR="006D19E9" w:rsidRPr="00024953">
        <w:rPr>
          <w:rFonts w:hint="cs"/>
          <w:spacing w:val="-6"/>
          <w:w w:val="100"/>
          <w:rtl/>
        </w:rPr>
        <w:t xml:space="preserve"> </w:t>
      </w:r>
      <w:r w:rsidRPr="00024953">
        <w:rPr>
          <w:rFonts w:hint="cs"/>
          <w:spacing w:val="-6"/>
          <w:w w:val="100"/>
          <w:rtl/>
        </w:rPr>
        <w:t>القوانين التي تُعتبر مخالفة للدستور</w:t>
      </w:r>
      <w:r w:rsidR="006D19E9" w:rsidRPr="00024953">
        <w:rPr>
          <w:rStyle w:val="FootnoteReference"/>
          <w:color w:val="auto"/>
          <w:spacing w:val="-6"/>
          <w:w w:val="100"/>
          <w:sz w:val="30"/>
          <w:szCs w:val="30"/>
          <w:rtl/>
        </w:rPr>
        <w:t>(</w:t>
      </w:r>
      <w:r w:rsidR="006D19E9" w:rsidRPr="00024953">
        <w:rPr>
          <w:rStyle w:val="FootnoteReference"/>
          <w:color w:val="auto"/>
          <w:spacing w:val="-6"/>
          <w:w w:val="100"/>
          <w:sz w:val="30"/>
          <w:szCs w:val="30"/>
          <w:rtl/>
        </w:rPr>
        <w:footnoteReference w:id="36"/>
      </w:r>
      <w:r w:rsidR="006D19E9" w:rsidRPr="00024953">
        <w:rPr>
          <w:rStyle w:val="FootnoteReference"/>
          <w:color w:val="auto"/>
          <w:spacing w:val="-6"/>
          <w:w w:val="100"/>
          <w:sz w:val="30"/>
          <w:szCs w:val="30"/>
          <w:rtl/>
        </w:rPr>
        <w:t>)</w:t>
      </w:r>
      <w:r w:rsidRPr="00024953">
        <w:rPr>
          <w:rFonts w:hint="cs"/>
          <w:spacing w:val="-6"/>
          <w:w w:val="100"/>
          <w:rtl/>
        </w:rPr>
        <w:t>.</w:t>
      </w: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D19E9">
        <w:rPr>
          <w:rFonts w:hint="cs"/>
          <w:rtl/>
        </w:rPr>
        <w:tab/>
      </w:r>
      <w:r w:rsidRPr="006D19E9">
        <w:rPr>
          <w:rFonts w:hint="cs"/>
          <w:rtl/>
        </w:rPr>
        <w:tab/>
        <w:t>الحاجة إلى نهج محوره الضحية لمنع الانتهاكات</w:t>
      </w:r>
    </w:p>
    <w:p w:rsidR="00C47F5D" w:rsidRPr="006D19E9" w:rsidRDefault="00C47F5D" w:rsidP="00C47F5D">
      <w:pPr>
        <w:pStyle w:val="SingleTxtGA"/>
        <w:keepNext/>
        <w:keepLines/>
        <w:spacing w:after="0" w:line="120" w:lineRule="exact"/>
        <w:rPr>
          <w:sz w:val="10"/>
          <w:rtl/>
        </w:rPr>
      </w:pPr>
    </w:p>
    <w:p w:rsidR="00C47F5D" w:rsidRPr="006D19E9" w:rsidRDefault="00C47F5D" w:rsidP="00C47F5D">
      <w:pPr>
        <w:pStyle w:val="SingleTxt"/>
      </w:pPr>
      <w:r w:rsidRPr="006D19E9">
        <w:rPr>
          <w:rFonts w:hint="cs"/>
          <w:rtl/>
        </w:rPr>
        <w:t>15-</w:t>
      </w:r>
      <w:r w:rsidRPr="006D19E9">
        <w:rPr>
          <w:rFonts w:hint="cs"/>
          <w:rtl/>
        </w:rPr>
        <w:tab/>
        <w:t>ينبغي</w:t>
      </w:r>
      <w:r w:rsidR="006D19E9">
        <w:rPr>
          <w:rFonts w:hint="cs"/>
          <w:rtl/>
        </w:rPr>
        <w:t xml:space="preserve"> </w:t>
      </w:r>
      <w:r w:rsidRPr="006D19E9">
        <w:rPr>
          <w:rFonts w:hint="cs"/>
          <w:rtl/>
        </w:rPr>
        <w:t>سن الأحكام اللازمة لتوفير سبل انتصاف فعالة للضحايا. ومن الأمور الأساسية أيضاً إنشاء آليات رصد فعالة لتقصي الانتهاكات الفعلية والمحتملة وضمان عدم التمييز ضد</w:t>
      </w:r>
      <w:r w:rsidR="006D19E9">
        <w:rPr>
          <w:rFonts w:hint="cs"/>
          <w:rtl/>
        </w:rPr>
        <w:t xml:space="preserve"> </w:t>
      </w:r>
      <w:r w:rsidRPr="006D19E9">
        <w:rPr>
          <w:rFonts w:hint="cs"/>
          <w:rtl/>
        </w:rPr>
        <w:t>الجماعات أو الأفراد</w:t>
      </w:r>
      <w:r w:rsidR="006D19E9">
        <w:rPr>
          <w:rFonts w:hint="cs"/>
          <w:rtl/>
        </w:rPr>
        <w:t xml:space="preserve"> </w:t>
      </w:r>
      <w:r w:rsidRPr="006D19E9">
        <w:rPr>
          <w:rFonts w:hint="cs"/>
          <w:rtl/>
        </w:rPr>
        <w:t>في القوانين</w:t>
      </w:r>
      <w:r w:rsidR="006D19E9">
        <w:rPr>
          <w:rFonts w:hint="cs"/>
          <w:rtl/>
        </w:rPr>
        <w:t xml:space="preserve"> </w:t>
      </w:r>
      <w:r w:rsidRPr="006D19E9">
        <w:rPr>
          <w:rFonts w:hint="cs"/>
          <w:rtl/>
        </w:rPr>
        <w:t>والسياسات</w:t>
      </w:r>
      <w:r w:rsidR="006D19E9">
        <w:rPr>
          <w:rFonts w:hint="cs"/>
          <w:rtl/>
        </w:rPr>
        <w:t xml:space="preserve"> </w:t>
      </w:r>
      <w:r w:rsidRPr="006D19E9">
        <w:rPr>
          <w:rFonts w:hint="cs"/>
          <w:rtl/>
        </w:rPr>
        <w:t>والممارسات. ولا شك في أن</w:t>
      </w:r>
      <w:r w:rsidR="006D19E9">
        <w:rPr>
          <w:rFonts w:hint="cs"/>
          <w:rtl/>
        </w:rPr>
        <w:t xml:space="preserve"> </w:t>
      </w:r>
      <w:r w:rsidRPr="006D19E9">
        <w:rPr>
          <w:rFonts w:hint="cs"/>
          <w:rtl/>
        </w:rPr>
        <w:t xml:space="preserve">منع الانتهاكات هو "الممارسة، وبالقدر ذاته فحوى ما تتخذه دولة ما من التدابير التشريعية أو الإدارية أو القضائية وغيرها من التدابير" (الفقرة 3 من الوثيقة </w:t>
      </w:r>
      <w:r w:rsidRPr="006D19E9">
        <w:t>CAT/OP/12/6</w:t>
      </w:r>
      <w:r w:rsidRPr="006D19E9">
        <w:rPr>
          <w:rFonts w:hint="cs"/>
          <w:rtl/>
        </w:rPr>
        <w:t>).</w:t>
      </w:r>
    </w:p>
    <w:p w:rsidR="00C47F5D" w:rsidRPr="006D19E9" w:rsidRDefault="00C47F5D" w:rsidP="00024953">
      <w:pPr>
        <w:pStyle w:val="SingleTxt"/>
        <w:rPr>
          <w:rtl/>
        </w:rPr>
      </w:pPr>
      <w:r w:rsidRPr="006D19E9">
        <w:rPr>
          <w:rFonts w:hint="cs"/>
          <w:rtl/>
        </w:rPr>
        <w:t>16-</w:t>
      </w:r>
      <w:r w:rsidRPr="006D19E9">
        <w:rPr>
          <w:rFonts w:hint="cs"/>
          <w:rtl/>
        </w:rPr>
        <w:tab/>
        <w:t>وينبغي</w:t>
      </w:r>
      <w:r w:rsidR="006D19E9">
        <w:rPr>
          <w:rFonts w:hint="cs"/>
          <w:rtl/>
        </w:rPr>
        <w:t xml:space="preserve"> </w:t>
      </w:r>
      <w:r w:rsidRPr="006D19E9">
        <w:rPr>
          <w:rFonts w:hint="cs"/>
          <w:rtl/>
        </w:rPr>
        <w:t>إتاحة إمكانية الوصول إلى النظام القانوني</w:t>
      </w:r>
      <w:r w:rsidR="006D19E9">
        <w:rPr>
          <w:rFonts w:hint="cs"/>
          <w:rtl/>
        </w:rPr>
        <w:t xml:space="preserve"> </w:t>
      </w:r>
      <w:r w:rsidRPr="006D19E9">
        <w:rPr>
          <w:rFonts w:hint="cs"/>
          <w:rtl/>
        </w:rPr>
        <w:t>للجميع دون تمييز لأي سبب كان بما</w:t>
      </w:r>
      <w:r w:rsidR="00024953">
        <w:rPr>
          <w:rFonts w:hint="eastAsia"/>
          <w:rtl/>
        </w:rPr>
        <w:t> </w:t>
      </w:r>
      <w:r w:rsidRPr="006D19E9">
        <w:rPr>
          <w:rFonts w:hint="cs"/>
          <w:rtl/>
        </w:rPr>
        <w:t>في ذلك الجنسية والحالة</w:t>
      </w:r>
      <w:r w:rsidR="006D19E9">
        <w:rPr>
          <w:rFonts w:hint="cs"/>
          <w:rtl/>
        </w:rPr>
        <w:t xml:space="preserve"> </w:t>
      </w:r>
      <w:r w:rsidRPr="006D19E9">
        <w:rPr>
          <w:rFonts w:hint="cs"/>
          <w:rtl/>
        </w:rPr>
        <w:t>المادية واللغة.</w:t>
      </w:r>
      <w:r w:rsidR="006D19E9">
        <w:rPr>
          <w:rFonts w:hint="cs"/>
          <w:rtl/>
        </w:rPr>
        <w:t xml:space="preserve"> </w:t>
      </w:r>
      <w:r w:rsidRPr="006D19E9">
        <w:rPr>
          <w:rFonts w:hint="cs"/>
          <w:rtl/>
        </w:rPr>
        <w:t>ويتطلب هذا في المقابل أن يكون الضحايا على دراية بحقوقهم وبسبل الانتصاف المتاحة لهم وبكيفية الاستفادة منها. وتنشأ قضايا مماثلة</w:t>
      </w:r>
      <w:r w:rsidR="006D19E9">
        <w:rPr>
          <w:rFonts w:hint="cs"/>
          <w:rtl/>
        </w:rPr>
        <w:t xml:space="preserve"> </w:t>
      </w:r>
      <w:r w:rsidRPr="006D19E9">
        <w:rPr>
          <w:rFonts w:hint="cs"/>
          <w:rtl/>
        </w:rPr>
        <w:t>عند اللجوء</w:t>
      </w:r>
      <w:r w:rsidR="006D19E9">
        <w:rPr>
          <w:rFonts w:hint="cs"/>
          <w:rtl/>
        </w:rPr>
        <w:t xml:space="preserve"> </w:t>
      </w:r>
      <w:r w:rsidRPr="006D19E9">
        <w:rPr>
          <w:rFonts w:hint="cs"/>
          <w:rtl/>
        </w:rPr>
        <w:t>إلى سبل انتصاف غير قضائية. كما أن</w:t>
      </w:r>
      <w:r w:rsidR="006D19E9">
        <w:rPr>
          <w:rFonts w:hint="cs"/>
          <w:rtl/>
        </w:rPr>
        <w:t xml:space="preserve"> </w:t>
      </w:r>
      <w:r w:rsidRPr="006D19E9">
        <w:rPr>
          <w:rFonts w:hint="cs"/>
          <w:rtl/>
        </w:rPr>
        <w:t>تقديم المؤسسات الوطنية لحقوق الإنسان، ومنظمات المجتمع المدني، ورابطات</w:t>
      </w:r>
      <w:r w:rsidR="006D19E9">
        <w:rPr>
          <w:rFonts w:hint="cs"/>
          <w:rtl/>
        </w:rPr>
        <w:t xml:space="preserve"> </w:t>
      </w:r>
      <w:r w:rsidRPr="006D19E9">
        <w:rPr>
          <w:rFonts w:hint="cs"/>
          <w:rtl/>
        </w:rPr>
        <w:t>المحامين</w:t>
      </w:r>
      <w:r w:rsidR="006D19E9">
        <w:rPr>
          <w:rFonts w:hint="cs"/>
          <w:rtl/>
        </w:rPr>
        <w:t xml:space="preserve"> </w:t>
      </w:r>
      <w:r w:rsidRPr="006D19E9">
        <w:rPr>
          <w:rFonts w:hint="cs"/>
          <w:rtl/>
        </w:rPr>
        <w:t>المشورة</w:t>
      </w:r>
      <w:r w:rsidR="006D19E9">
        <w:rPr>
          <w:rFonts w:hint="cs"/>
          <w:rtl/>
        </w:rPr>
        <w:t xml:space="preserve"> </w:t>
      </w:r>
      <w:r w:rsidRPr="006D19E9">
        <w:rPr>
          <w:rFonts w:hint="cs"/>
          <w:rtl/>
        </w:rPr>
        <w:t>القانونية بالمجان</w:t>
      </w:r>
      <w:r w:rsidR="006D19E9">
        <w:rPr>
          <w:rFonts w:hint="cs"/>
          <w:rtl/>
        </w:rPr>
        <w:t xml:space="preserve"> </w:t>
      </w:r>
      <w:r w:rsidRPr="006D19E9">
        <w:rPr>
          <w:rFonts w:hint="cs"/>
          <w:rtl/>
        </w:rPr>
        <w:t>والخدمات دون مقابل إلى ضحايا انتهاكات حقوق الإنسان قد يساعد على</w:t>
      </w:r>
      <w:r w:rsidR="006D19E9">
        <w:rPr>
          <w:rFonts w:hint="cs"/>
          <w:rtl/>
        </w:rPr>
        <w:t xml:space="preserve"> </w:t>
      </w:r>
      <w:r w:rsidRPr="006D19E9">
        <w:rPr>
          <w:rFonts w:hint="cs"/>
          <w:rtl/>
        </w:rPr>
        <w:t>كفالة الحصول على وسائل الانتصاف.</w:t>
      </w: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D19E9">
        <w:rPr>
          <w:rFonts w:hint="cs"/>
          <w:rtl/>
        </w:rPr>
        <w:tab/>
      </w:r>
      <w:r w:rsidRPr="006D19E9">
        <w:rPr>
          <w:rFonts w:hint="cs"/>
          <w:rtl/>
        </w:rPr>
        <w:tab/>
        <w:t>المؤسسات الوطنية لحقوق الإنسان</w:t>
      </w:r>
    </w:p>
    <w:p w:rsidR="00C47F5D" w:rsidRPr="006D19E9" w:rsidRDefault="00C47F5D" w:rsidP="00C47F5D">
      <w:pPr>
        <w:pStyle w:val="SingleTxtGA"/>
        <w:spacing w:after="0" w:line="120" w:lineRule="exact"/>
        <w:rPr>
          <w:sz w:val="10"/>
          <w:rtl/>
        </w:rPr>
      </w:pPr>
    </w:p>
    <w:p w:rsidR="00C47F5D" w:rsidRPr="00024953" w:rsidRDefault="00C47F5D" w:rsidP="00024953">
      <w:pPr>
        <w:pStyle w:val="SingleTxtGA"/>
        <w:rPr>
          <w:spacing w:val="-2"/>
        </w:rPr>
      </w:pPr>
      <w:r w:rsidRPr="00024953">
        <w:rPr>
          <w:rFonts w:hint="cs"/>
          <w:spacing w:val="-2"/>
          <w:rtl/>
        </w:rPr>
        <w:t>17-</w:t>
      </w:r>
      <w:r w:rsidRPr="00024953">
        <w:rPr>
          <w:rFonts w:hint="cs"/>
          <w:spacing w:val="-2"/>
          <w:rtl/>
        </w:rPr>
        <w:tab/>
        <w:t>يشكل إنشاء المؤسسات الوطنية لحقوق الإنسان</w:t>
      </w:r>
      <w:r w:rsidR="006D19E9" w:rsidRPr="00024953">
        <w:rPr>
          <w:rFonts w:hint="cs"/>
          <w:spacing w:val="-2"/>
          <w:rtl/>
        </w:rPr>
        <w:t xml:space="preserve"> </w:t>
      </w:r>
      <w:r w:rsidRPr="00024953">
        <w:rPr>
          <w:rFonts w:hint="cs"/>
          <w:spacing w:val="-2"/>
          <w:rtl/>
        </w:rPr>
        <w:t>امتثال لمبادئ باريس</w:t>
      </w:r>
      <w:r w:rsidR="006D19E9" w:rsidRPr="00024953">
        <w:rPr>
          <w:rStyle w:val="FootnoteReference"/>
          <w:color w:val="auto"/>
          <w:spacing w:val="-2"/>
          <w:sz w:val="30"/>
          <w:szCs w:val="30"/>
          <w:rtl/>
        </w:rPr>
        <w:t>(</w:t>
      </w:r>
      <w:r w:rsidR="006D19E9" w:rsidRPr="00024953">
        <w:rPr>
          <w:rStyle w:val="FootnoteReference"/>
          <w:color w:val="auto"/>
          <w:spacing w:val="-2"/>
          <w:sz w:val="30"/>
          <w:szCs w:val="30"/>
          <w:rtl/>
        </w:rPr>
        <w:footnoteReference w:id="37"/>
      </w:r>
      <w:r w:rsidR="006D19E9" w:rsidRPr="00024953">
        <w:rPr>
          <w:rStyle w:val="FootnoteReference"/>
          <w:color w:val="auto"/>
          <w:spacing w:val="-2"/>
          <w:sz w:val="30"/>
          <w:szCs w:val="30"/>
          <w:rtl/>
        </w:rPr>
        <w:t>)</w:t>
      </w:r>
      <w:r w:rsidRPr="00024953">
        <w:rPr>
          <w:rFonts w:hint="cs"/>
          <w:spacing w:val="-2"/>
          <w:rtl/>
        </w:rPr>
        <w:t xml:space="preserve"> عنصراً مؤسسياً آخر من عناصر</w:t>
      </w:r>
      <w:r w:rsidR="006D19E9" w:rsidRPr="00024953">
        <w:rPr>
          <w:rFonts w:hint="cs"/>
          <w:spacing w:val="-2"/>
          <w:rtl/>
        </w:rPr>
        <w:t xml:space="preserve"> </w:t>
      </w:r>
      <w:r w:rsidRPr="00024953">
        <w:rPr>
          <w:rFonts w:hint="cs"/>
          <w:spacing w:val="-2"/>
          <w:rtl/>
        </w:rPr>
        <w:t>الإطار الوقائي المهمة. وبعض هذه المؤسسات مكلّف على وجه التحديد بالمساهمة في منع الانتهاكات</w:t>
      </w:r>
      <w:r w:rsidR="006D19E9" w:rsidRPr="00024953">
        <w:rPr>
          <w:rStyle w:val="FootnoteReference"/>
          <w:color w:val="auto"/>
          <w:spacing w:val="-2"/>
          <w:sz w:val="30"/>
          <w:szCs w:val="30"/>
          <w:rtl/>
        </w:rPr>
        <w:t>(</w:t>
      </w:r>
      <w:r w:rsidR="006D19E9" w:rsidRPr="00024953">
        <w:rPr>
          <w:rStyle w:val="FootnoteReference"/>
          <w:color w:val="auto"/>
          <w:spacing w:val="-2"/>
          <w:sz w:val="30"/>
          <w:szCs w:val="30"/>
          <w:rtl/>
        </w:rPr>
        <w:footnoteReference w:id="38"/>
      </w:r>
      <w:r w:rsidR="006D19E9" w:rsidRPr="00024953">
        <w:rPr>
          <w:rStyle w:val="FootnoteReference"/>
          <w:color w:val="auto"/>
          <w:spacing w:val="-2"/>
          <w:sz w:val="30"/>
          <w:szCs w:val="30"/>
          <w:rtl/>
        </w:rPr>
        <w:t>)</w:t>
      </w:r>
      <w:r w:rsidRPr="00024953">
        <w:rPr>
          <w:rFonts w:hint="cs"/>
          <w:spacing w:val="-2"/>
          <w:rtl/>
        </w:rPr>
        <w:t xml:space="preserve"> والتحقيق في الشكاوى وإجراء عمليات المصالحة</w:t>
      </w:r>
      <w:r w:rsidR="006D19E9" w:rsidRPr="00024953">
        <w:rPr>
          <w:rFonts w:hint="cs"/>
          <w:spacing w:val="-2"/>
          <w:rtl/>
        </w:rPr>
        <w:t xml:space="preserve"> </w:t>
      </w:r>
      <w:r w:rsidRPr="00024953">
        <w:rPr>
          <w:rFonts w:hint="cs"/>
          <w:spacing w:val="-2"/>
          <w:rtl/>
        </w:rPr>
        <w:t>والوساطة والتسوية، فضلاً عن تحليل الأسباب الجذرية للانتهاكات وإصدار</w:t>
      </w:r>
      <w:r w:rsidR="006D19E9" w:rsidRPr="00024953">
        <w:rPr>
          <w:rFonts w:hint="cs"/>
          <w:spacing w:val="-2"/>
          <w:rtl/>
        </w:rPr>
        <w:t xml:space="preserve"> </w:t>
      </w:r>
      <w:r w:rsidRPr="00024953">
        <w:rPr>
          <w:rFonts w:hint="cs"/>
          <w:spacing w:val="-2"/>
          <w:rtl/>
        </w:rPr>
        <w:t>توصيات</w:t>
      </w:r>
      <w:r w:rsidR="006D19E9" w:rsidRPr="00024953">
        <w:rPr>
          <w:rFonts w:hint="cs"/>
          <w:spacing w:val="-2"/>
          <w:rtl/>
        </w:rPr>
        <w:t xml:space="preserve"> </w:t>
      </w:r>
      <w:r w:rsidRPr="00024953">
        <w:rPr>
          <w:rFonts w:hint="cs"/>
          <w:spacing w:val="-2"/>
          <w:rtl/>
        </w:rPr>
        <w:t>بشأن الإجراءات التصحيحية اللازمة لتفادي</w:t>
      </w:r>
      <w:r w:rsidR="006D19E9" w:rsidRPr="00024953">
        <w:rPr>
          <w:rFonts w:hint="cs"/>
          <w:spacing w:val="-2"/>
          <w:rtl/>
        </w:rPr>
        <w:t xml:space="preserve"> </w:t>
      </w:r>
      <w:r w:rsidRPr="00024953">
        <w:rPr>
          <w:rFonts w:hint="cs"/>
          <w:spacing w:val="-2"/>
          <w:rtl/>
        </w:rPr>
        <w:t>تكرار ما</w:t>
      </w:r>
      <w:r w:rsidR="00024953">
        <w:rPr>
          <w:rFonts w:hint="eastAsia"/>
          <w:spacing w:val="-2"/>
          <w:rtl/>
        </w:rPr>
        <w:t> </w:t>
      </w:r>
      <w:r w:rsidRPr="00024953">
        <w:rPr>
          <w:rFonts w:hint="cs"/>
          <w:spacing w:val="-2"/>
          <w:rtl/>
        </w:rPr>
        <w:t>حدث. ويمكن تعزيز مساهمتها غير المباشرة في منع الانتهاكات</w:t>
      </w:r>
      <w:r w:rsidR="006D19E9" w:rsidRPr="00024953">
        <w:rPr>
          <w:rFonts w:hint="cs"/>
          <w:spacing w:val="-2"/>
          <w:rtl/>
        </w:rPr>
        <w:t xml:space="preserve"> </w:t>
      </w:r>
      <w:r w:rsidRPr="00024953">
        <w:rPr>
          <w:rFonts w:hint="cs"/>
          <w:spacing w:val="-2"/>
          <w:rtl/>
        </w:rPr>
        <w:t>من خلال تكليفها بالنظر في السياسات الحكومية</w:t>
      </w:r>
      <w:r w:rsidR="006D19E9" w:rsidRPr="00024953">
        <w:rPr>
          <w:rFonts w:hint="cs"/>
          <w:spacing w:val="-2"/>
          <w:rtl/>
        </w:rPr>
        <w:t xml:space="preserve"> </w:t>
      </w:r>
      <w:r w:rsidRPr="00024953">
        <w:rPr>
          <w:rFonts w:hint="cs"/>
          <w:spacing w:val="-2"/>
          <w:rtl/>
        </w:rPr>
        <w:t>الكامنة وراء الانتهاكات. كما تستطيع بعض المؤسسات الوطنية لحقوق الإنسان</w:t>
      </w:r>
      <w:r w:rsidR="006D19E9" w:rsidRPr="00024953">
        <w:rPr>
          <w:rFonts w:hint="cs"/>
          <w:spacing w:val="-2"/>
          <w:rtl/>
        </w:rPr>
        <w:t xml:space="preserve"> </w:t>
      </w:r>
      <w:r w:rsidRPr="00024953">
        <w:rPr>
          <w:rFonts w:hint="cs"/>
          <w:spacing w:val="-2"/>
          <w:rtl/>
        </w:rPr>
        <w:t>تقديم مرافعات أمام المحكمة بشأن التزامات الدولة بموجب القانون الدولي لحقوق الإنسان</w:t>
      </w:r>
      <w:r w:rsidR="006D19E9" w:rsidRPr="00024953">
        <w:rPr>
          <w:rStyle w:val="FootnoteReference"/>
          <w:color w:val="auto"/>
          <w:spacing w:val="-2"/>
          <w:sz w:val="30"/>
          <w:szCs w:val="30"/>
          <w:rtl/>
        </w:rPr>
        <w:t>(</w:t>
      </w:r>
      <w:r w:rsidR="006D19E9" w:rsidRPr="00024953">
        <w:rPr>
          <w:rStyle w:val="FootnoteReference"/>
          <w:color w:val="auto"/>
          <w:spacing w:val="-2"/>
          <w:sz w:val="30"/>
          <w:szCs w:val="30"/>
          <w:rtl/>
        </w:rPr>
        <w:footnoteReference w:id="39"/>
      </w:r>
      <w:r w:rsidR="006D19E9" w:rsidRPr="00024953">
        <w:rPr>
          <w:rStyle w:val="FootnoteReference"/>
          <w:color w:val="auto"/>
          <w:spacing w:val="-2"/>
          <w:sz w:val="30"/>
          <w:szCs w:val="30"/>
          <w:rtl/>
        </w:rPr>
        <w:t>)</w:t>
      </w:r>
      <w:r w:rsidR="00697057" w:rsidRPr="00024953">
        <w:rPr>
          <w:rStyle w:val="FootnoteReference"/>
          <w:rFonts w:hint="cs"/>
          <w:color w:val="auto"/>
          <w:spacing w:val="-2"/>
          <w:sz w:val="30"/>
          <w:szCs w:val="30"/>
          <w:vertAlign w:val="baseline"/>
          <w:rtl/>
        </w:rPr>
        <w:t>.</w:t>
      </w:r>
    </w:p>
    <w:p w:rsidR="00C47F5D" w:rsidRPr="006D19E9" w:rsidRDefault="00C47F5D" w:rsidP="00697057">
      <w:pPr>
        <w:pStyle w:val="SingleTxt"/>
        <w:rPr>
          <w:rtl/>
        </w:rPr>
      </w:pPr>
      <w:r w:rsidRPr="006D19E9">
        <w:rPr>
          <w:rFonts w:hint="cs"/>
          <w:rtl/>
        </w:rPr>
        <w:t>18-</w:t>
      </w:r>
      <w:r w:rsidRPr="006D19E9">
        <w:rPr>
          <w:rFonts w:hint="cs"/>
          <w:rtl/>
        </w:rPr>
        <w:tab/>
        <w:t>وتساهم المؤسسات الوطنية لحقوق الإنسان كذلك في اتخاذ التدابير الوقائية المباشرة من خلال</w:t>
      </w:r>
      <w:r w:rsidR="006D19E9">
        <w:rPr>
          <w:rFonts w:hint="cs"/>
          <w:rtl/>
        </w:rPr>
        <w:t xml:space="preserve"> </w:t>
      </w:r>
      <w:r w:rsidRPr="006D19E9">
        <w:rPr>
          <w:rFonts w:hint="cs"/>
          <w:rtl/>
        </w:rPr>
        <w:t>القيام بزيارات</w:t>
      </w:r>
      <w:r w:rsidR="006D19E9">
        <w:rPr>
          <w:rFonts w:hint="cs"/>
          <w:rtl/>
        </w:rPr>
        <w:t xml:space="preserve"> </w:t>
      </w:r>
      <w:r w:rsidRPr="006D19E9">
        <w:rPr>
          <w:rFonts w:hint="cs"/>
          <w:rtl/>
        </w:rPr>
        <w:t>ميدانية إلى المواقع المعنية وإجراء تحقيقات في الأماكن التي</w:t>
      </w:r>
      <w:r w:rsidR="006D19E9">
        <w:rPr>
          <w:rFonts w:hint="cs"/>
          <w:rtl/>
        </w:rPr>
        <w:t xml:space="preserve"> </w:t>
      </w:r>
      <w:r w:rsidRPr="006D19E9">
        <w:rPr>
          <w:rFonts w:hint="cs"/>
          <w:rtl/>
        </w:rPr>
        <w:t>تسلب فيها حرية الأشخاص</w:t>
      </w:r>
      <w:r w:rsidR="006D19E9" w:rsidRPr="006D19E9">
        <w:rPr>
          <w:rStyle w:val="FootnoteReference"/>
          <w:color w:val="auto"/>
          <w:sz w:val="30"/>
          <w:szCs w:val="30"/>
          <w:rtl/>
        </w:rPr>
        <w:t>(</w:t>
      </w:r>
      <w:r w:rsidR="006D19E9" w:rsidRPr="006D19E9">
        <w:rPr>
          <w:rStyle w:val="FootnoteReference"/>
          <w:color w:val="auto"/>
          <w:sz w:val="30"/>
          <w:szCs w:val="30"/>
          <w:rtl/>
        </w:rPr>
        <w:footnoteReference w:id="40"/>
      </w:r>
      <w:r w:rsidR="006D19E9" w:rsidRPr="006D19E9">
        <w:rPr>
          <w:rStyle w:val="FootnoteReference"/>
          <w:color w:val="auto"/>
          <w:sz w:val="30"/>
          <w:szCs w:val="30"/>
          <w:rtl/>
        </w:rPr>
        <w:t>)</w:t>
      </w:r>
      <w:r w:rsidR="00697057">
        <w:rPr>
          <w:rFonts w:hint="cs"/>
          <w:rtl/>
        </w:rPr>
        <w:t>،</w:t>
      </w:r>
      <w:r w:rsidR="006D19E9">
        <w:rPr>
          <w:rFonts w:hint="cs"/>
          <w:rtl/>
        </w:rPr>
        <w:t xml:space="preserve"> </w:t>
      </w:r>
      <w:r w:rsidRPr="006D19E9">
        <w:rPr>
          <w:rFonts w:hint="cs"/>
          <w:rtl/>
        </w:rPr>
        <w:t>ويمنح بعضها</w:t>
      </w:r>
      <w:r w:rsidR="006D19E9">
        <w:rPr>
          <w:rFonts w:hint="cs"/>
          <w:rtl/>
        </w:rPr>
        <w:t xml:space="preserve"> </w:t>
      </w:r>
      <w:r w:rsidRPr="006D19E9">
        <w:rPr>
          <w:rFonts w:hint="cs"/>
          <w:rtl/>
        </w:rPr>
        <w:t>صفة الآلية</w:t>
      </w:r>
      <w:r w:rsidR="006D19E9">
        <w:rPr>
          <w:rFonts w:hint="cs"/>
          <w:rtl/>
        </w:rPr>
        <w:t xml:space="preserve"> </w:t>
      </w:r>
      <w:r w:rsidRPr="006D19E9">
        <w:rPr>
          <w:rFonts w:hint="cs"/>
          <w:rtl/>
        </w:rPr>
        <w:t>الوقائية الوطنية</w:t>
      </w:r>
      <w:r w:rsidR="006D19E9">
        <w:rPr>
          <w:rFonts w:hint="cs"/>
          <w:rtl/>
        </w:rPr>
        <w:t xml:space="preserve"> </w:t>
      </w:r>
      <w:r w:rsidRPr="006D19E9">
        <w:rPr>
          <w:rFonts w:hint="cs"/>
          <w:rtl/>
        </w:rPr>
        <w:t xml:space="preserve">في إطار </w:t>
      </w:r>
      <w:r w:rsidRPr="006D19E9">
        <w:rPr>
          <w:rtl/>
        </w:rPr>
        <w:t>البروتوكول الاختياري لاتفاقية مناهضة التعذيب وغيره من ضروب المعاملة أو العقوبة القاسية أو اللاإنسانية أو المهينة</w:t>
      </w:r>
      <w:r w:rsidRPr="006D19E9">
        <w:rPr>
          <w:rFonts w:hint="cs"/>
          <w:rtl/>
        </w:rPr>
        <w:t>. كما أن</w:t>
      </w:r>
      <w:r w:rsidR="006D19E9">
        <w:rPr>
          <w:rFonts w:hint="cs"/>
          <w:rtl/>
        </w:rPr>
        <w:t xml:space="preserve"> </w:t>
      </w:r>
      <w:r w:rsidRPr="006D19E9">
        <w:rPr>
          <w:rFonts w:hint="cs"/>
          <w:rtl/>
        </w:rPr>
        <w:t xml:space="preserve">تطوير </w:t>
      </w:r>
      <w:r w:rsidR="00697057">
        <w:rPr>
          <w:rFonts w:hint="cs"/>
          <w:rtl/>
        </w:rPr>
        <w:t>"</w:t>
      </w:r>
      <w:r w:rsidRPr="006D19E9">
        <w:rPr>
          <w:rFonts w:hint="cs"/>
          <w:rtl/>
        </w:rPr>
        <w:t>ممارسة</w:t>
      </w:r>
      <w:r w:rsidR="00697057">
        <w:rPr>
          <w:rFonts w:hint="cs"/>
          <w:rtl/>
        </w:rPr>
        <w:t>"</w:t>
      </w:r>
      <w:r w:rsidR="006D19E9">
        <w:rPr>
          <w:rFonts w:hint="cs"/>
          <w:rtl/>
        </w:rPr>
        <w:t xml:space="preserve"> </w:t>
      </w:r>
      <w:r w:rsidRPr="006D19E9">
        <w:rPr>
          <w:rFonts w:hint="cs"/>
          <w:rtl/>
        </w:rPr>
        <w:t>الرصد عن طريق إجراء عمليات تفتيش منتظمة ومفاجئة واستحداث نظم مستقلة وفعالة</w:t>
      </w:r>
      <w:r w:rsidR="006D19E9">
        <w:rPr>
          <w:rFonts w:hint="cs"/>
          <w:rtl/>
        </w:rPr>
        <w:t xml:space="preserve"> </w:t>
      </w:r>
      <w:r w:rsidRPr="006D19E9">
        <w:rPr>
          <w:rFonts w:hint="cs"/>
          <w:rtl/>
        </w:rPr>
        <w:t>لمعالجة الشكاوى</w:t>
      </w:r>
      <w:r w:rsidR="006D19E9">
        <w:rPr>
          <w:rFonts w:hint="cs"/>
          <w:rtl/>
        </w:rPr>
        <w:t xml:space="preserve"> </w:t>
      </w:r>
      <w:r w:rsidRPr="006D19E9">
        <w:rPr>
          <w:rFonts w:hint="cs"/>
          <w:rtl/>
        </w:rPr>
        <w:t>في حينها،</w:t>
      </w:r>
      <w:r w:rsidR="006D19E9">
        <w:rPr>
          <w:rFonts w:hint="cs"/>
          <w:rtl/>
        </w:rPr>
        <w:t xml:space="preserve"> </w:t>
      </w:r>
      <w:r w:rsidRPr="006D19E9">
        <w:rPr>
          <w:rFonts w:hint="cs"/>
          <w:rtl/>
        </w:rPr>
        <w:t>أمر أساسي</w:t>
      </w:r>
      <w:r w:rsidR="006D19E9">
        <w:rPr>
          <w:rFonts w:hint="cs"/>
          <w:rtl/>
        </w:rPr>
        <w:t xml:space="preserve"> </w:t>
      </w:r>
      <w:r w:rsidRPr="006D19E9">
        <w:rPr>
          <w:rFonts w:hint="cs"/>
          <w:rtl/>
        </w:rPr>
        <w:t>لإحداث تغيير عميق على صعيد السلوكيات والمؤسسات</w:t>
      </w:r>
      <w:r w:rsidR="006D19E9" w:rsidRPr="006D19E9">
        <w:rPr>
          <w:rStyle w:val="FootnoteReference"/>
          <w:color w:val="auto"/>
          <w:sz w:val="30"/>
          <w:szCs w:val="30"/>
          <w:rtl/>
        </w:rPr>
        <w:t>(</w:t>
      </w:r>
      <w:r w:rsidR="006D19E9" w:rsidRPr="006D19E9">
        <w:rPr>
          <w:rStyle w:val="FootnoteReference"/>
          <w:color w:val="auto"/>
          <w:sz w:val="30"/>
          <w:szCs w:val="30"/>
          <w:rtl/>
        </w:rPr>
        <w:footnoteReference w:id="41"/>
      </w:r>
      <w:r w:rsidR="006D19E9" w:rsidRPr="006D19E9">
        <w:rPr>
          <w:rStyle w:val="FootnoteReference"/>
          <w:color w:val="auto"/>
          <w:sz w:val="30"/>
          <w:szCs w:val="30"/>
          <w:rtl/>
        </w:rPr>
        <w:t>)</w:t>
      </w:r>
      <w:r w:rsidR="00697057">
        <w:rPr>
          <w:rFonts w:hint="cs"/>
          <w:rtl/>
        </w:rPr>
        <w:t>.</w:t>
      </w:r>
      <w:r w:rsidRPr="006D19E9">
        <w:rPr>
          <w:rFonts w:hint="cs"/>
          <w:rtl/>
        </w:rPr>
        <w:t xml:space="preserve"> وتستطيع</w:t>
      </w:r>
      <w:r w:rsidR="006D19E9">
        <w:rPr>
          <w:rFonts w:hint="cs"/>
          <w:rtl/>
        </w:rPr>
        <w:t xml:space="preserve"> </w:t>
      </w:r>
      <w:r w:rsidRPr="006D19E9">
        <w:rPr>
          <w:rFonts w:hint="cs"/>
          <w:rtl/>
        </w:rPr>
        <w:t>عمليات التفتيش</w:t>
      </w:r>
      <w:r w:rsidR="006D19E9">
        <w:rPr>
          <w:rFonts w:hint="cs"/>
          <w:rtl/>
        </w:rPr>
        <w:t xml:space="preserve"> </w:t>
      </w:r>
      <w:r w:rsidRPr="006D19E9">
        <w:rPr>
          <w:rFonts w:hint="cs"/>
          <w:rtl/>
        </w:rPr>
        <w:t>استعراض المشاكل التي تعتري النظم</w:t>
      </w:r>
      <w:r w:rsidR="006D19E9">
        <w:rPr>
          <w:rFonts w:hint="cs"/>
          <w:rtl/>
        </w:rPr>
        <w:t xml:space="preserve"> </w:t>
      </w:r>
      <w:r w:rsidRPr="006D19E9">
        <w:rPr>
          <w:rFonts w:hint="cs"/>
          <w:rtl/>
        </w:rPr>
        <w:t>والكيانات المفردة على حد سواء،</w:t>
      </w:r>
      <w:r w:rsidR="006D19E9">
        <w:rPr>
          <w:rFonts w:hint="cs"/>
          <w:rtl/>
        </w:rPr>
        <w:t xml:space="preserve"> </w:t>
      </w:r>
      <w:r w:rsidRPr="006D19E9">
        <w:rPr>
          <w:rFonts w:hint="cs"/>
          <w:rtl/>
        </w:rPr>
        <w:t>على نحو</w:t>
      </w:r>
      <w:r w:rsidR="006D19E9">
        <w:rPr>
          <w:rFonts w:hint="cs"/>
          <w:rtl/>
        </w:rPr>
        <w:t xml:space="preserve"> </w:t>
      </w:r>
      <w:r w:rsidRPr="006D19E9">
        <w:rPr>
          <w:rFonts w:hint="cs"/>
          <w:rtl/>
        </w:rPr>
        <w:t>يكفل الإبلاغ العلني بالاستنتاجات والتوصيات</w:t>
      </w:r>
      <w:r w:rsidR="006D19E9">
        <w:rPr>
          <w:rFonts w:hint="cs"/>
          <w:rtl/>
        </w:rPr>
        <w:t xml:space="preserve"> </w:t>
      </w:r>
      <w:r w:rsidRPr="006D19E9">
        <w:rPr>
          <w:rFonts w:hint="cs"/>
          <w:rtl/>
        </w:rPr>
        <w:t>في</w:t>
      </w:r>
      <w:r w:rsidR="006D19E9">
        <w:rPr>
          <w:rFonts w:hint="cs"/>
          <w:rtl/>
        </w:rPr>
        <w:t xml:space="preserve"> </w:t>
      </w:r>
      <w:r w:rsidRPr="006D19E9">
        <w:rPr>
          <w:rFonts w:hint="cs"/>
          <w:rtl/>
        </w:rPr>
        <w:t>حينها. ويجوز</w:t>
      </w:r>
      <w:r w:rsidR="006D19E9">
        <w:rPr>
          <w:rFonts w:hint="cs"/>
          <w:rtl/>
        </w:rPr>
        <w:t xml:space="preserve"> </w:t>
      </w:r>
      <w:r w:rsidRPr="006D19E9">
        <w:rPr>
          <w:rFonts w:hint="cs"/>
          <w:rtl/>
        </w:rPr>
        <w:t>أن</w:t>
      </w:r>
      <w:r w:rsidR="006D19E9">
        <w:rPr>
          <w:rFonts w:hint="cs"/>
          <w:rtl/>
        </w:rPr>
        <w:t xml:space="preserve"> </w:t>
      </w:r>
      <w:r w:rsidRPr="006D19E9">
        <w:rPr>
          <w:rFonts w:hint="cs"/>
          <w:rtl/>
        </w:rPr>
        <w:t>تشترط التقارير</w:t>
      </w:r>
      <w:r w:rsidR="006D19E9">
        <w:rPr>
          <w:rFonts w:hint="cs"/>
          <w:rtl/>
        </w:rPr>
        <w:t xml:space="preserve"> </w:t>
      </w:r>
      <w:r w:rsidRPr="006D19E9">
        <w:rPr>
          <w:rFonts w:hint="cs"/>
          <w:rtl/>
        </w:rPr>
        <w:t>أن تقدم الجهات التي تخضع</w:t>
      </w:r>
      <w:r w:rsidR="006D19E9">
        <w:rPr>
          <w:rFonts w:hint="cs"/>
          <w:rtl/>
        </w:rPr>
        <w:t xml:space="preserve"> </w:t>
      </w:r>
      <w:r w:rsidRPr="006D19E9">
        <w:rPr>
          <w:rFonts w:hint="cs"/>
          <w:rtl/>
        </w:rPr>
        <w:t>للتفتيش</w:t>
      </w:r>
      <w:r w:rsidR="006D19E9">
        <w:rPr>
          <w:rFonts w:hint="cs"/>
          <w:rtl/>
        </w:rPr>
        <w:t xml:space="preserve"> </w:t>
      </w:r>
      <w:r w:rsidRPr="006D19E9">
        <w:rPr>
          <w:rFonts w:hint="cs"/>
          <w:rtl/>
        </w:rPr>
        <w:t>خطط</w:t>
      </w:r>
      <w:r w:rsidR="006D19E9">
        <w:rPr>
          <w:rFonts w:hint="cs"/>
          <w:rtl/>
        </w:rPr>
        <w:t xml:space="preserve"> </w:t>
      </w:r>
      <w:r w:rsidRPr="006D19E9">
        <w:rPr>
          <w:rFonts w:hint="cs"/>
          <w:rtl/>
        </w:rPr>
        <w:t>عمل في غضون فترة زمنية محددة، وأن تَذكر فيها ما إذا كانت تقبل التوصيات بكاملها أو جزئياً أو ترفضها، وتوضح التدابير التي</w:t>
      </w:r>
      <w:r w:rsidR="006D19E9">
        <w:rPr>
          <w:rFonts w:hint="cs"/>
          <w:rtl/>
        </w:rPr>
        <w:t xml:space="preserve"> </w:t>
      </w:r>
      <w:r w:rsidRPr="006D19E9">
        <w:rPr>
          <w:rFonts w:hint="cs"/>
          <w:rtl/>
        </w:rPr>
        <w:t>اتخذتها</w:t>
      </w:r>
      <w:r w:rsidR="006D19E9">
        <w:rPr>
          <w:rFonts w:hint="cs"/>
          <w:rtl/>
        </w:rPr>
        <w:t xml:space="preserve"> </w:t>
      </w:r>
      <w:r w:rsidRPr="006D19E9">
        <w:rPr>
          <w:rFonts w:hint="cs"/>
          <w:rtl/>
        </w:rPr>
        <w:t>أو المقرّر اتخذها</w:t>
      </w:r>
      <w:r w:rsidR="006D19E9">
        <w:rPr>
          <w:rFonts w:hint="cs"/>
          <w:rtl/>
        </w:rPr>
        <w:t xml:space="preserve"> </w:t>
      </w:r>
      <w:r w:rsidRPr="006D19E9">
        <w:rPr>
          <w:rFonts w:hint="cs"/>
          <w:rtl/>
        </w:rPr>
        <w:t>رداً على التقرير. ويجوز</w:t>
      </w:r>
      <w:r w:rsidR="006D19E9">
        <w:rPr>
          <w:rFonts w:hint="cs"/>
          <w:rtl/>
        </w:rPr>
        <w:t xml:space="preserve"> </w:t>
      </w:r>
      <w:r w:rsidRPr="006D19E9">
        <w:rPr>
          <w:rFonts w:hint="cs"/>
          <w:rtl/>
        </w:rPr>
        <w:t>أن تخضع</w:t>
      </w:r>
      <w:r w:rsidR="006D19E9">
        <w:rPr>
          <w:rFonts w:hint="cs"/>
          <w:rtl/>
        </w:rPr>
        <w:t xml:space="preserve"> </w:t>
      </w:r>
      <w:r w:rsidRPr="006D19E9">
        <w:rPr>
          <w:rFonts w:hint="cs"/>
          <w:rtl/>
        </w:rPr>
        <w:t>خطط</w:t>
      </w:r>
      <w:r w:rsidR="006D19E9">
        <w:rPr>
          <w:rFonts w:hint="cs"/>
          <w:rtl/>
        </w:rPr>
        <w:t xml:space="preserve"> </w:t>
      </w:r>
      <w:r w:rsidRPr="006D19E9">
        <w:rPr>
          <w:rFonts w:hint="cs"/>
          <w:rtl/>
        </w:rPr>
        <w:t>العمل بدورها لرقابة هيئة التفتيش،</w:t>
      </w:r>
      <w:r w:rsidR="006D19E9">
        <w:rPr>
          <w:rFonts w:hint="cs"/>
          <w:rtl/>
        </w:rPr>
        <w:t xml:space="preserve"> </w:t>
      </w:r>
      <w:r w:rsidRPr="006D19E9">
        <w:rPr>
          <w:rFonts w:hint="cs"/>
          <w:rtl/>
        </w:rPr>
        <w:t>فهي تشكّل الأساس الذي ستستند إليه عمليات</w:t>
      </w:r>
      <w:r w:rsidR="006D19E9">
        <w:rPr>
          <w:rFonts w:hint="cs"/>
          <w:rtl/>
        </w:rPr>
        <w:t xml:space="preserve"> </w:t>
      </w:r>
      <w:r w:rsidRPr="006D19E9">
        <w:rPr>
          <w:rFonts w:hint="cs"/>
          <w:rtl/>
        </w:rPr>
        <w:t>التفتيش المقبلة. وبهذه الطريقة،</w:t>
      </w:r>
      <w:r w:rsidR="006D19E9">
        <w:rPr>
          <w:rFonts w:hint="cs"/>
          <w:rtl/>
        </w:rPr>
        <w:t xml:space="preserve"> </w:t>
      </w:r>
      <w:r w:rsidRPr="006D19E9">
        <w:rPr>
          <w:rFonts w:hint="cs"/>
          <w:rtl/>
        </w:rPr>
        <w:t>يتسنى تطوير</w:t>
      </w:r>
      <w:r w:rsidR="006D19E9">
        <w:rPr>
          <w:rFonts w:hint="cs"/>
          <w:rtl/>
        </w:rPr>
        <w:t xml:space="preserve"> </w:t>
      </w:r>
      <w:r w:rsidRPr="006D19E9">
        <w:rPr>
          <w:rFonts w:hint="cs"/>
          <w:rtl/>
        </w:rPr>
        <w:t>الإجراءات</w:t>
      </w:r>
      <w:r w:rsidR="006D19E9">
        <w:rPr>
          <w:rFonts w:hint="cs"/>
          <w:rtl/>
        </w:rPr>
        <w:t xml:space="preserve"> </w:t>
      </w:r>
      <w:r w:rsidRPr="006D19E9">
        <w:rPr>
          <w:rFonts w:hint="cs"/>
          <w:rtl/>
        </w:rPr>
        <w:t>وآليات الرصد</w:t>
      </w:r>
      <w:r w:rsidR="006D19E9">
        <w:rPr>
          <w:rFonts w:hint="cs"/>
          <w:rtl/>
        </w:rPr>
        <w:t xml:space="preserve"> </w:t>
      </w:r>
      <w:r w:rsidRPr="006D19E9">
        <w:rPr>
          <w:rFonts w:hint="cs"/>
          <w:rtl/>
        </w:rPr>
        <w:t>والمتابعة</w:t>
      </w:r>
      <w:r w:rsidR="006D19E9">
        <w:rPr>
          <w:rFonts w:hint="cs"/>
          <w:rtl/>
        </w:rPr>
        <w:t xml:space="preserve"> </w:t>
      </w:r>
      <w:r w:rsidRPr="006D19E9">
        <w:rPr>
          <w:rFonts w:hint="cs"/>
          <w:rtl/>
        </w:rPr>
        <w:t>لتصبح نظام</w:t>
      </w:r>
      <w:r w:rsidR="00B30F0C">
        <w:rPr>
          <w:rFonts w:hint="cs"/>
          <w:rtl/>
        </w:rPr>
        <w:t xml:space="preserve">اً </w:t>
      </w:r>
      <w:r w:rsidRPr="006D19E9">
        <w:rPr>
          <w:rFonts w:hint="cs"/>
          <w:rtl/>
        </w:rPr>
        <w:t>فاعل</w:t>
      </w:r>
      <w:r w:rsidR="00B30F0C">
        <w:rPr>
          <w:rFonts w:hint="cs"/>
          <w:rtl/>
        </w:rPr>
        <w:t xml:space="preserve">اً </w:t>
      </w:r>
      <w:r w:rsidRPr="006D19E9">
        <w:rPr>
          <w:rFonts w:hint="cs"/>
          <w:rtl/>
        </w:rPr>
        <w:t>يعمل بانتظام.</w:t>
      </w: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sidRPr="006D19E9">
        <w:rPr>
          <w:rFonts w:hint="cs"/>
          <w:rtl/>
        </w:rPr>
        <w:tab/>
      </w:r>
      <w:r w:rsidRPr="006D19E9">
        <w:rPr>
          <w:rFonts w:hint="cs"/>
          <w:rtl/>
        </w:rPr>
        <w:tab/>
        <w:t>دور المجتمع المدني</w:t>
      </w:r>
    </w:p>
    <w:p w:rsidR="00C47F5D" w:rsidRPr="006D19E9" w:rsidRDefault="00C47F5D" w:rsidP="00C47F5D">
      <w:pPr>
        <w:pStyle w:val="SingleTxt"/>
        <w:spacing w:after="0" w:line="120" w:lineRule="exact"/>
        <w:rPr>
          <w:sz w:val="10"/>
          <w:rtl/>
        </w:rPr>
      </w:pPr>
    </w:p>
    <w:p w:rsidR="00C47F5D" w:rsidRPr="006D19E9" w:rsidRDefault="00C47F5D" w:rsidP="00697057">
      <w:pPr>
        <w:pStyle w:val="SingleTxt"/>
      </w:pPr>
      <w:r w:rsidRPr="006D19E9">
        <w:rPr>
          <w:rFonts w:hint="cs"/>
          <w:rtl/>
        </w:rPr>
        <w:t>19-</w:t>
      </w:r>
      <w:r w:rsidRPr="006D19E9">
        <w:rPr>
          <w:rFonts w:hint="cs"/>
          <w:rtl/>
        </w:rPr>
        <w:tab/>
        <w:t>يشكل توفير بيئة</w:t>
      </w:r>
      <w:r w:rsidR="006D19E9">
        <w:rPr>
          <w:rFonts w:hint="cs"/>
          <w:rtl/>
        </w:rPr>
        <w:t xml:space="preserve"> </w:t>
      </w:r>
      <w:r w:rsidRPr="006D19E9">
        <w:rPr>
          <w:rFonts w:hint="cs"/>
          <w:rtl/>
        </w:rPr>
        <w:t>واقية ومواتية للمجتمع المدني على صعيدي القانون والممارسة</w:t>
      </w:r>
      <w:r w:rsidR="006D19E9">
        <w:rPr>
          <w:rFonts w:hint="cs"/>
          <w:rtl/>
        </w:rPr>
        <w:t xml:space="preserve"> </w:t>
      </w:r>
      <w:r w:rsidRPr="006D19E9">
        <w:rPr>
          <w:rFonts w:hint="cs"/>
          <w:rtl/>
        </w:rPr>
        <w:t>عامل</w:t>
      </w:r>
      <w:r w:rsidR="00B30F0C">
        <w:rPr>
          <w:rFonts w:hint="cs"/>
          <w:rtl/>
        </w:rPr>
        <w:t xml:space="preserve">اً </w:t>
      </w:r>
      <w:r w:rsidRPr="006D19E9">
        <w:rPr>
          <w:rFonts w:hint="cs"/>
          <w:rtl/>
        </w:rPr>
        <w:t>مهم</w:t>
      </w:r>
      <w:r w:rsidR="00B30F0C">
        <w:rPr>
          <w:rFonts w:hint="cs"/>
          <w:rtl/>
        </w:rPr>
        <w:t xml:space="preserve">اً </w:t>
      </w:r>
      <w:r w:rsidRPr="006D19E9">
        <w:rPr>
          <w:rFonts w:hint="cs"/>
          <w:rtl/>
        </w:rPr>
        <w:t>آخر لمنع الانتهاكات. ويشمل هذا</w:t>
      </w:r>
      <w:r w:rsidR="006D19E9">
        <w:rPr>
          <w:rFonts w:hint="cs"/>
          <w:rtl/>
        </w:rPr>
        <w:t xml:space="preserve"> </w:t>
      </w:r>
      <w:r w:rsidRPr="006D19E9">
        <w:rPr>
          <w:rFonts w:hint="cs"/>
          <w:rtl/>
        </w:rPr>
        <w:t>وضع إطار قانوني ومؤسسي وإداري موات؛</w:t>
      </w:r>
      <w:r w:rsidR="006D19E9">
        <w:rPr>
          <w:rFonts w:hint="cs"/>
          <w:rtl/>
        </w:rPr>
        <w:t xml:space="preserve"> </w:t>
      </w:r>
      <w:r w:rsidRPr="006D19E9">
        <w:rPr>
          <w:rFonts w:hint="cs"/>
          <w:rtl/>
        </w:rPr>
        <w:t>وكفالة إمكانية اللجوء إلى القضاء؛ وإنهاء الإفلات من العقاب على الانتهاكات</w:t>
      </w:r>
      <w:r w:rsidR="006D19E9">
        <w:rPr>
          <w:rFonts w:hint="cs"/>
          <w:rtl/>
        </w:rPr>
        <w:t xml:space="preserve"> </w:t>
      </w:r>
      <w:r w:rsidRPr="006D19E9">
        <w:rPr>
          <w:rFonts w:hint="cs"/>
          <w:rtl/>
        </w:rPr>
        <w:t>التي ترتكب في حق المدافعين؛ وإنشاء مؤسسات وطنية قوية ومستقلة</w:t>
      </w:r>
      <w:r w:rsidR="006D19E9">
        <w:rPr>
          <w:rFonts w:hint="cs"/>
          <w:rtl/>
        </w:rPr>
        <w:t xml:space="preserve"> </w:t>
      </w:r>
      <w:r w:rsidRPr="006D19E9">
        <w:rPr>
          <w:rFonts w:hint="cs"/>
          <w:rtl/>
        </w:rPr>
        <w:t>لحقوق الإنسان؛ وإيلاء اهتمام خاص</w:t>
      </w:r>
      <w:r w:rsidR="006D19E9">
        <w:rPr>
          <w:rFonts w:hint="cs"/>
          <w:rtl/>
        </w:rPr>
        <w:t xml:space="preserve"> </w:t>
      </w:r>
      <w:r w:rsidRPr="006D19E9">
        <w:rPr>
          <w:rFonts w:hint="cs"/>
          <w:rtl/>
        </w:rPr>
        <w:t>للنساء المدافعات؛ وإشراك جهات فاعلة غير حكومية تحترم عمل المدافعين وتدعمه؛ وإتاحة إمكانية</w:t>
      </w:r>
      <w:r w:rsidR="006D19E9">
        <w:rPr>
          <w:rFonts w:hint="cs"/>
          <w:rtl/>
        </w:rPr>
        <w:t xml:space="preserve"> </w:t>
      </w:r>
      <w:r w:rsidRPr="006D19E9">
        <w:rPr>
          <w:rFonts w:hint="cs"/>
          <w:rtl/>
        </w:rPr>
        <w:t>الوصول الآمن والمفتوح إلى الهيئات الدولية لحقوق الإنسان؛ وتعزيز وجود مجتمع قوي وحيوي من المدافعين</w:t>
      </w:r>
      <w:r w:rsidR="006D19E9" w:rsidRPr="006D19E9">
        <w:rPr>
          <w:rStyle w:val="FootnoteReference"/>
          <w:color w:val="auto"/>
          <w:sz w:val="30"/>
          <w:szCs w:val="30"/>
          <w:rtl/>
        </w:rPr>
        <w:t>(</w:t>
      </w:r>
      <w:r w:rsidR="006D19E9" w:rsidRPr="006D19E9">
        <w:rPr>
          <w:rStyle w:val="FootnoteReference"/>
          <w:color w:val="auto"/>
          <w:sz w:val="30"/>
          <w:szCs w:val="30"/>
          <w:rtl/>
        </w:rPr>
        <w:footnoteReference w:id="42"/>
      </w:r>
      <w:r w:rsidR="006D19E9" w:rsidRPr="006D19E9">
        <w:rPr>
          <w:rStyle w:val="FootnoteReference"/>
          <w:color w:val="auto"/>
          <w:sz w:val="30"/>
          <w:szCs w:val="30"/>
          <w:rtl/>
        </w:rPr>
        <w:t>)</w:t>
      </w:r>
      <w:r w:rsidR="00697057">
        <w:rPr>
          <w:rFonts w:hint="cs"/>
          <w:rtl/>
        </w:rPr>
        <w:t>.</w:t>
      </w:r>
      <w:r w:rsidRPr="006D19E9">
        <w:rPr>
          <w:rFonts w:hint="cs"/>
          <w:rtl/>
        </w:rPr>
        <w:t xml:space="preserve"> وينبغي كذلك</w:t>
      </w:r>
      <w:r w:rsidR="006D19E9">
        <w:rPr>
          <w:rFonts w:hint="cs"/>
          <w:rtl/>
        </w:rPr>
        <w:t xml:space="preserve"> </w:t>
      </w:r>
      <w:r w:rsidRPr="006D19E9">
        <w:rPr>
          <w:rFonts w:hint="cs"/>
          <w:rtl/>
        </w:rPr>
        <w:t>منع الأعمال الانتقامية</w:t>
      </w:r>
      <w:r w:rsidR="006D19E9">
        <w:rPr>
          <w:rFonts w:hint="cs"/>
          <w:rtl/>
        </w:rPr>
        <w:t xml:space="preserve"> </w:t>
      </w:r>
      <w:r w:rsidRPr="006D19E9">
        <w:rPr>
          <w:rFonts w:hint="cs"/>
          <w:rtl/>
        </w:rPr>
        <w:t>بسبب تقديم</w:t>
      </w:r>
      <w:r w:rsidR="006D19E9">
        <w:rPr>
          <w:rFonts w:hint="cs"/>
          <w:rtl/>
        </w:rPr>
        <w:t xml:space="preserve"> </w:t>
      </w:r>
      <w:r w:rsidRPr="006D19E9">
        <w:rPr>
          <w:rFonts w:hint="cs"/>
          <w:rtl/>
        </w:rPr>
        <w:t>البلاغات إلى الهيئات الوطنية والإقليمية والدولية المعنية بحقوق الإنسان</w:t>
      </w:r>
      <w:r w:rsidR="006D19E9" w:rsidRPr="006D19E9">
        <w:rPr>
          <w:rStyle w:val="FootnoteReference"/>
          <w:color w:val="auto"/>
          <w:sz w:val="30"/>
          <w:szCs w:val="30"/>
          <w:rtl/>
        </w:rPr>
        <w:t>(</w:t>
      </w:r>
      <w:r w:rsidR="006D19E9" w:rsidRPr="006D19E9">
        <w:rPr>
          <w:rStyle w:val="FootnoteReference"/>
          <w:color w:val="auto"/>
          <w:sz w:val="30"/>
          <w:szCs w:val="30"/>
          <w:rtl/>
        </w:rPr>
        <w:footnoteReference w:id="43"/>
      </w:r>
      <w:r w:rsidR="006D19E9" w:rsidRPr="006D19E9">
        <w:rPr>
          <w:rStyle w:val="FootnoteReference"/>
          <w:color w:val="auto"/>
          <w:sz w:val="30"/>
          <w:szCs w:val="30"/>
          <w:rtl/>
        </w:rPr>
        <w:t>)</w:t>
      </w:r>
      <w:r w:rsidR="00697057" w:rsidRPr="00697057">
        <w:rPr>
          <w:rStyle w:val="FootnoteReference"/>
          <w:rFonts w:hint="cs"/>
          <w:color w:val="auto"/>
          <w:sz w:val="30"/>
          <w:szCs w:val="30"/>
          <w:vertAlign w:val="baseline"/>
          <w:rtl/>
        </w:rPr>
        <w:t>.</w:t>
      </w:r>
    </w:p>
    <w:p w:rsidR="00C47F5D" w:rsidRPr="006D19E9" w:rsidRDefault="00C47F5D" w:rsidP="00697057">
      <w:pPr>
        <w:pStyle w:val="SingleTxt"/>
        <w:rPr>
          <w:rtl/>
        </w:rPr>
      </w:pPr>
      <w:r w:rsidRPr="006D19E9">
        <w:rPr>
          <w:rFonts w:hint="cs"/>
          <w:rtl/>
        </w:rPr>
        <w:t>20-</w:t>
      </w:r>
      <w:r w:rsidRPr="006D19E9">
        <w:rPr>
          <w:rFonts w:hint="cs"/>
          <w:rtl/>
        </w:rPr>
        <w:tab/>
        <w:t>ولا شك في أن منظمات المجتمع المدني</w:t>
      </w:r>
      <w:r w:rsidR="006D19E9">
        <w:rPr>
          <w:rFonts w:hint="cs"/>
          <w:rtl/>
        </w:rPr>
        <w:t xml:space="preserve"> </w:t>
      </w:r>
      <w:r w:rsidRPr="006D19E9">
        <w:rPr>
          <w:rFonts w:hint="cs"/>
          <w:rtl/>
        </w:rPr>
        <w:t>تؤدي دوراً حاسماً في منع انتهاكات حقوق الإنسان</w:t>
      </w:r>
      <w:r w:rsidR="006D19E9" w:rsidRPr="006D19E9">
        <w:rPr>
          <w:rStyle w:val="FootnoteReference"/>
          <w:color w:val="auto"/>
          <w:sz w:val="30"/>
          <w:szCs w:val="30"/>
          <w:rtl/>
        </w:rPr>
        <w:t>(</w:t>
      </w:r>
      <w:r w:rsidR="006D19E9" w:rsidRPr="006D19E9">
        <w:rPr>
          <w:rStyle w:val="FootnoteReference"/>
          <w:color w:val="auto"/>
          <w:sz w:val="30"/>
          <w:szCs w:val="30"/>
          <w:rtl/>
        </w:rPr>
        <w:footnoteReference w:id="44"/>
      </w:r>
      <w:r w:rsidR="006D19E9" w:rsidRPr="006D19E9">
        <w:rPr>
          <w:rStyle w:val="FootnoteReference"/>
          <w:color w:val="auto"/>
          <w:sz w:val="30"/>
          <w:szCs w:val="30"/>
          <w:rtl/>
        </w:rPr>
        <w:t>)</w:t>
      </w:r>
      <w:r w:rsidR="00697057">
        <w:rPr>
          <w:rFonts w:hint="cs"/>
          <w:rtl/>
        </w:rPr>
        <w:t>.</w:t>
      </w:r>
      <w:r w:rsidRPr="006D19E9">
        <w:rPr>
          <w:rFonts w:hint="cs"/>
          <w:rtl/>
        </w:rPr>
        <w:t xml:space="preserve"> فهي</w:t>
      </w:r>
      <w:r w:rsidR="006D19E9">
        <w:rPr>
          <w:rFonts w:hint="cs"/>
          <w:rtl/>
        </w:rPr>
        <w:t xml:space="preserve"> </w:t>
      </w:r>
      <w:r w:rsidRPr="006D19E9">
        <w:rPr>
          <w:rFonts w:hint="cs"/>
          <w:rtl/>
        </w:rPr>
        <w:t>تساعد في تحديد المسائل التي تثير الاهتمام، ورصد قوانين وسياسات وممارسات الدول والجهات الفاعلة الخاصة وتقديم</w:t>
      </w:r>
      <w:r w:rsidR="006D19E9">
        <w:rPr>
          <w:rFonts w:hint="cs"/>
          <w:rtl/>
        </w:rPr>
        <w:t xml:space="preserve"> </w:t>
      </w:r>
      <w:r w:rsidRPr="006D19E9">
        <w:rPr>
          <w:rFonts w:hint="cs"/>
          <w:rtl/>
        </w:rPr>
        <w:t>المشورة بشأنها، وتوظف</w:t>
      </w:r>
      <w:r w:rsidR="006D19E9">
        <w:rPr>
          <w:rFonts w:hint="cs"/>
          <w:rtl/>
        </w:rPr>
        <w:t xml:space="preserve"> </w:t>
      </w:r>
      <w:r w:rsidRPr="006D19E9">
        <w:rPr>
          <w:rFonts w:hint="cs"/>
          <w:rtl/>
        </w:rPr>
        <w:t>اتصالاتها على مستوى القاعدة وخبرتها في هذا الصدد لصالح</w:t>
      </w:r>
      <w:r w:rsidR="006D19E9">
        <w:rPr>
          <w:rFonts w:hint="cs"/>
          <w:rtl/>
        </w:rPr>
        <w:t xml:space="preserve"> </w:t>
      </w:r>
      <w:r w:rsidRPr="006D19E9">
        <w:rPr>
          <w:rFonts w:hint="cs"/>
          <w:rtl/>
        </w:rPr>
        <w:t>جميع هذه</w:t>
      </w:r>
      <w:r w:rsidR="006D19E9">
        <w:rPr>
          <w:rFonts w:hint="cs"/>
          <w:rtl/>
        </w:rPr>
        <w:t xml:space="preserve"> </w:t>
      </w:r>
      <w:r w:rsidRPr="006D19E9">
        <w:rPr>
          <w:rFonts w:hint="cs"/>
          <w:rtl/>
        </w:rPr>
        <w:t>الغايات.</w:t>
      </w:r>
      <w:r w:rsidR="006D19E9">
        <w:rPr>
          <w:rFonts w:hint="cs"/>
          <w:rtl/>
        </w:rPr>
        <w:t xml:space="preserve"> </w:t>
      </w:r>
      <w:r w:rsidRPr="006D19E9">
        <w:rPr>
          <w:rFonts w:hint="cs"/>
          <w:rtl/>
        </w:rPr>
        <w:t>وتساهم منظمات المجتمع المدني</w:t>
      </w:r>
      <w:r w:rsidR="006D19E9" w:rsidRPr="006D19E9">
        <w:rPr>
          <w:rStyle w:val="FootnoteReference"/>
          <w:color w:val="auto"/>
          <w:sz w:val="30"/>
          <w:szCs w:val="30"/>
          <w:rtl/>
        </w:rPr>
        <w:t>(</w:t>
      </w:r>
      <w:r w:rsidR="006D19E9" w:rsidRPr="006D19E9">
        <w:rPr>
          <w:rStyle w:val="FootnoteReference"/>
          <w:color w:val="auto"/>
          <w:sz w:val="30"/>
          <w:szCs w:val="30"/>
          <w:rtl/>
        </w:rPr>
        <w:footnoteReference w:id="45"/>
      </w:r>
      <w:r w:rsidR="006D19E9" w:rsidRPr="006D19E9">
        <w:rPr>
          <w:rStyle w:val="FootnoteReference"/>
          <w:color w:val="auto"/>
          <w:sz w:val="30"/>
          <w:szCs w:val="30"/>
          <w:rtl/>
        </w:rPr>
        <w:t>)</w:t>
      </w:r>
      <w:r w:rsidRPr="006D19E9">
        <w:rPr>
          <w:rFonts w:hint="cs"/>
          <w:rtl/>
        </w:rPr>
        <w:t xml:space="preserve"> أيضاً في التثقيف والتدريب في مجال حقوق الإنسان، بما في ذلك المساعدة على تغيير التصورات</w:t>
      </w:r>
      <w:r w:rsidR="006D19E9">
        <w:rPr>
          <w:rFonts w:hint="cs"/>
          <w:rtl/>
        </w:rPr>
        <w:t xml:space="preserve"> </w:t>
      </w:r>
      <w:r w:rsidRPr="006D19E9">
        <w:rPr>
          <w:rFonts w:hint="cs"/>
          <w:rtl/>
        </w:rPr>
        <w:t>عن الجماعات والقضايا.</w:t>
      </w:r>
      <w:r w:rsidR="006D19E9">
        <w:rPr>
          <w:rFonts w:hint="cs"/>
          <w:rtl/>
        </w:rPr>
        <w:t xml:space="preserve"> </w:t>
      </w:r>
      <w:r w:rsidRPr="006D19E9">
        <w:rPr>
          <w:rFonts w:hint="cs"/>
          <w:rtl/>
        </w:rPr>
        <w:t>وتوفر هذه الأنشطة</w:t>
      </w:r>
      <w:r w:rsidR="006D19E9">
        <w:rPr>
          <w:rFonts w:hint="cs"/>
          <w:rtl/>
        </w:rPr>
        <w:t xml:space="preserve"> </w:t>
      </w:r>
      <w:r w:rsidRPr="006D19E9">
        <w:rPr>
          <w:rFonts w:hint="cs"/>
          <w:rtl/>
        </w:rPr>
        <w:t>الاستنارة للآليات الإقليمية والدولية للإبلاغ عن حالة حقوق الإنسان وتؤدي بها إلى المشاركة،</w:t>
      </w:r>
      <w:r w:rsidR="006D19E9">
        <w:rPr>
          <w:rFonts w:hint="cs"/>
          <w:rtl/>
        </w:rPr>
        <w:t xml:space="preserve"> </w:t>
      </w:r>
      <w:r w:rsidRPr="006D19E9">
        <w:rPr>
          <w:rFonts w:hint="cs"/>
          <w:rtl/>
        </w:rPr>
        <w:t>بالانخراط بدايةً في الإبلاغ على المستوى الوطني،</w:t>
      </w:r>
      <w:r w:rsidR="006D19E9">
        <w:rPr>
          <w:rFonts w:hint="cs"/>
          <w:rtl/>
        </w:rPr>
        <w:t xml:space="preserve"> </w:t>
      </w:r>
      <w:r w:rsidRPr="006D19E9">
        <w:rPr>
          <w:rFonts w:hint="cs"/>
          <w:rtl/>
        </w:rPr>
        <w:t>مرور</w:t>
      </w:r>
      <w:r w:rsidR="00B30F0C">
        <w:rPr>
          <w:rFonts w:hint="cs"/>
          <w:rtl/>
        </w:rPr>
        <w:t xml:space="preserve">اً </w:t>
      </w:r>
      <w:r w:rsidRPr="006D19E9">
        <w:rPr>
          <w:rFonts w:hint="cs"/>
          <w:rtl/>
        </w:rPr>
        <w:t>بمرحلة المشاورات</w:t>
      </w:r>
      <w:r w:rsidR="006D19E9">
        <w:rPr>
          <w:rFonts w:hint="cs"/>
          <w:rtl/>
        </w:rPr>
        <w:t xml:space="preserve"> </w:t>
      </w:r>
      <w:r w:rsidRPr="006D19E9">
        <w:rPr>
          <w:rFonts w:hint="cs"/>
          <w:rtl/>
        </w:rPr>
        <w:t>وإعداد التقارير على الصعيد الوطني، ثم الجانب الخارجي، وصول</w:t>
      </w:r>
      <w:r w:rsidR="00B30F0C">
        <w:rPr>
          <w:rFonts w:hint="cs"/>
          <w:rtl/>
        </w:rPr>
        <w:t xml:space="preserve">اً </w:t>
      </w:r>
      <w:r w:rsidRPr="006D19E9">
        <w:rPr>
          <w:rFonts w:hint="cs"/>
          <w:rtl/>
        </w:rPr>
        <w:t>إلى مرحلة العودة إلى المستوى الوطني من أجل</w:t>
      </w:r>
      <w:r w:rsidR="006D19E9">
        <w:rPr>
          <w:rFonts w:hint="cs"/>
          <w:rtl/>
        </w:rPr>
        <w:t xml:space="preserve"> </w:t>
      </w:r>
      <w:r w:rsidRPr="006D19E9">
        <w:rPr>
          <w:rFonts w:hint="cs"/>
          <w:rtl/>
        </w:rPr>
        <w:t>التنفيذ. وهي</w:t>
      </w:r>
      <w:r w:rsidR="006D19E9">
        <w:rPr>
          <w:rFonts w:hint="cs"/>
          <w:rtl/>
        </w:rPr>
        <w:t xml:space="preserve"> </w:t>
      </w:r>
      <w:r w:rsidRPr="006D19E9">
        <w:rPr>
          <w:rFonts w:hint="cs"/>
          <w:rtl/>
        </w:rPr>
        <w:t>تؤدي أيضاً دوراً هاماً في رفع القضايا على المستوى الوطني أو الإقليمي أو الدولي.</w:t>
      </w: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lang w:val="fr-FR"/>
        </w:rPr>
      </w:pPr>
      <w:r w:rsidRPr="006D19E9">
        <w:rPr>
          <w:rFonts w:hint="cs"/>
          <w:rtl/>
        </w:rPr>
        <w:tab/>
      </w:r>
      <w:r w:rsidRPr="006D19E9">
        <w:rPr>
          <w:rFonts w:hint="cs"/>
          <w:rtl/>
        </w:rPr>
        <w:tab/>
        <w:t>التدابير</w:t>
      </w:r>
      <w:r w:rsidR="006D19E9">
        <w:rPr>
          <w:rFonts w:hint="cs"/>
          <w:rtl/>
        </w:rPr>
        <w:t xml:space="preserve"> </w:t>
      </w:r>
      <w:r w:rsidRPr="006D19E9">
        <w:rPr>
          <w:rFonts w:hint="cs"/>
          <w:rtl/>
        </w:rPr>
        <w:t>المتعلقة بمنع ارتكاب التجاوزات</w:t>
      </w:r>
      <w:r w:rsidR="006D19E9">
        <w:rPr>
          <w:rFonts w:hint="cs"/>
          <w:rtl/>
        </w:rPr>
        <w:t xml:space="preserve"> </w:t>
      </w:r>
      <w:r w:rsidRPr="006D19E9">
        <w:rPr>
          <w:rFonts w:hint="cs"/>
          <w:rtl/>
        </w:rPr>
        <w:t>في مجال حقوق الإنسان على يد الجهات الفاعلة الخاصة</w:t>
      </w:r>
    </w:p>
    <w:p w:rsidR="00C47F5D" w:rsidRPr="006D19E9" w:rsidRDefault="00C47F5D" w:rsidP="00C47F5D">
      <w:pPr>
        <w:pStyle w:val="SingleTxt"/>
        <w:spacing w:after="0" w:line="120" w:lineRule="exact"/>
        <w:rPr>
          <w:sz w:val="10"/>
          <w:rtl/>
        </w:rPr>
      </w:pPr>
    </w:p>
    <w:p w:rsidR="00C47F5D" w:rsidRPr="006D19E9" w:rsidRDefault="00C47F5D" w:rsidP="00697057">
      <w:pPr>
        <w:pStyle w:val="SingleTxt"/>
        <w:rPr>
          <w:rtl/>
        </w:rPr>
      </w:pPr>
      <w:r w:rsidRPr="006D19E9">
        <w:rPr>
          <w:rFonts w:hint="cs"/>
          <w:rtl/>
        </w:rPr>
        <w:t>21-</w:t>
      </w:r>
      <w:r w:rsidRPr="006D19E9">
        <w:rPr>
          <w:rFonts w:hint="cs"/>
          <w:rtl/>
        </w:rPr>
        <w:tab/>
        <w:t>للدول عادة الحق في تقرير الخطوات المناسبة لمنع تجاوزات الجهات الفاعلة الخاصة والتحقيق فيها والمعاقبة عليها وجبر أضرارها. وينبغي</w:t>
      </w:r>
      <w:r w:rsidR="006D19E9">
        <w:rPr>
          <w:rFonts w:hint="cs"/>
          <w:rtl/>
        </w:rPr>
        <w:t xml:space="preserve"> </w:t>
      </w:r>
      <w:r w:rsidRPr="006D19E9">
        <w:rPr>
          <w:rFonts w:hint="cs"/>
          <w:rtl/>
        </w:rPr>
        <w:t>أن تنظر في</w:t>
      </w:r>
      <w:r w:rsidR="006D19E9">
        <w:rPr>
          <w:rFonts w:hint="cs"/>
          <w:rtl/>
        </w:rPr>
        <w:t xml:space="preserve"> </w:t>
      </w:r>
      <w:r w:rsidRPr="006D19E9">
        <w:rPr>
          <w:rFonts w:hint="cs"/>
          <w:rtl/>
        </w:rPr>
        <w:t>النطاق الكامل</w:t>
      </w:r>
      <w:r w:rsidR="006D19E9">
        <w:rPr>
          <w:rFonts w:hint="cs"/>
          <w:rtl/>
        </w:rPr>
        <w:t xml:space="preserve"> </w:t>
      </w:r>
      <w:r w:rsidRPr="006D19E9">
        <w:rPr>
          <w:rFonts w:hint="cs"/>
          <w:rtl/>
        </w:rPr>
        <w:t>للتدابير الوقائية والتصحيحية المسموح بها، بما في ذلك السياسات والتشريعات والأنظمة والأحكام القضائية</w:t>
      </w:r>
      <w:r w:rsidR="006D19E9" w:rsidRPr="006D19E9">
        <w:rPr>
          <w:rStyle w:val="FootnoteReference"/>
          <w:color w:val="auto"/>
          <w:sz w:val="30"/>
          <w:szCs w:val="30"/>
          <w:rtl/>
        </w:rPr>
        <w:t>(</w:t>
      </w:r>
      <w:r w:rsidR="006D19E9" w:rsidRPr="006D19E9">
        <w:rPr>
          <w:rStyle w:val="FootnoteReference"/>
          <w:color w:val="auto"/>
          <w:sz w:val="30"/>
          <w:szCs w:val="30"/>
          <w:rtl/>
        </w:rPr>
        <w:footnoteReference w:id="46"/>
      </w:r>
      <w:r w:rsidR="006D19E9" w:rsidRPr="006D19E9">
        <w:rPr>
          <w:rStyle w:val="FootnoteReference"/>
          <w:color w:val="auto"/>
          <w:sz w:val="30"/>
          <w:szCs w:val="30"/>
          <w:rtl/>
        </w:rPr>
        <w:t>)</w:t>
      </w:r>
      <w:r w:rsidR="00697057">
        <w:rPr>
          <w:rFonts w:hint="cs"/>
          <w:rtl/>
        </w:rPr>
        <w:t>.</w:t>
      </w:r>
      <w:r w:rsidRPr="006D19E9">
        <w:rPr>
          <w:rFonts w:hint="cs"/>
          <w:rtl/>
        </w:rPr>
        <w:t xml:space="preserve"> وعلى سبيل المثال،</w:t>
      </w:r>
      <w:r w:rsidR="006D19E9">
        <w:rPr>
          <w:rFonts w:hint="cs"/>
          <w:rtl/>
        </w:rPr>
        <w:t xml:space="preserve"> </w:t>
      </w:r>
      <w:r w:rsidRPr="006D19E9">
        <w:rPr>
          <w:rFonts w:hint="cs"/>
          <w:rtl/>
        </w:rPr>
        <w:t>تشمل التدابير المناسبة فيما يتعلق بالتمييز ضد المرأة،</w:t>
      </w:r>
      <w:r w:rsidR="006D19E9">
        <w:rPr>
          <w:rFonts w:hint="cs"/>
          <w:rtl/>
        </w:rPr>
        <w:t xml:space="preserve"> </w:t>
      </w:r>
      <w:r w:rsidRPr="006D19E9">
        <w:rPr>
          <w:rFonts w:hint="cs"/>
          <w:rtl/>
        </w:rPr>
        <w:t>تنظيم أنشطة الجهات الفاعلة</w:t>
      </w:r>
      <w:r w:rsidR="006D19E9">
        <w:rPr>
          <w:rFonts w:hint="cs"/>
          <w:rtl/>
        </w:rPr>
        <w:t xml:space="preserve"> </w:t>
      </w:r>
      <w:r w:rsidRPr="006D19E9">
        <w:rPr>
          <w:rFonts w:hint="cs"/>
          <w:rtl/>
        </w:rPr>
        <w:t>المتصلة</w:t>
      </w:r>
      <w:r w:rsidR="006D19E9">
        <w:rPr>
          <w:rFonts w:hint="cs"/>
          <w:rtl/>
        </w:rPr>
        <w:t xml:space="preserve"> </w:t>
      </w:r>
      <w:r w:rsidRPr="006D19E9">
        <w:rPr>
          <w:rFonts w:hint="cs"/>
          <w:rtl/>
        </w:rPr>
        <w:t xml:space="preserve">بالتعليم والعمالة، وسياسات وممارسات قطاع الصحة، وظروف العمل ومعاييره، وغير ذلك من المجالات التي توفِّر فيها تلك الجهات الخدمات أو المرافق، مثل القطاع المصرفي وقطاع الإسكان (الفقرة 13 من الوثيقة </w:t>
      </w:r>
      <w:r w:rsidRPr="006D19E9">
        <w:t>CEDAW/C/GC/28</w:t>
      </w:r>
      <w:r w:rsidRPr="006D19E9">
        <w:rPr>
          <w:rFonts w:hint="cs"/>
          <w:rtl/>
        </w:rPr>
        <w:t xml:space="preserve">). </w:t>
      </w:r>
    </w:p>
    <w:p w:rsidR="00C47F5D" w:rsidRPr="006D19E9" w:rsidRDefault="00C47F5D" w:rsidP="00697057">
      <w:pPr>
        <w:pStyle w:val="SingleTxt"/>
      </w:pPr>
      <w:r w:rsidRPr="006D19E9">
        <w:rPr>
          <w:rFonts w:hint="cs"/>
          <w:rtl/>
        </w:rPr>
        <w:t>22-</w:t>
      </w:r>
      <w:r w:rsidRPr="006D19E9">
        <w:rPr>
          <w:rFonts w:hint="cs"/>
          <w:rtl/>
        </w:rPr>
        <w:tab/>
        <w:t>ومن</w:t>
      </w:r>
      <w:r w:rsidR="006D19E9">
        <w:rPr>
          <w:rFonts w:hint="cs"/>
          <w:rtl/>
        </w:rPr>
        <w:t xml:space="preserve"> </w:t>
      </w:r>
      <w:r w:rsidRPr="006D19E9">
        <w:rPr>
          <w:rFonts w:hint="cs"/>
          <w:rtl/>
        </w:rPr>
        <w:t>المهم</w:t>
      </w:r>
      <w:r w:rsidR="006D19E9">
        <w:rPr>
          <w:rFonts w:hint="cs"/>
          <w:rtl/>
        </w:rPr>
        <w:t xml:space="preserve"> </w:t>
      </w:r>
      <w:r w:rsidRPr="006D19E9">
        <w:rPr>
          <w:rFonts w:hint="cs"/>
          <w:rtl/>
        </w:rPr>
        <w:t>ألا تتخلى الدول عن التزاماتها بموجب القانون الدولي لحقوق الإنسان عند</w:t>
      </w:r>
      <w:r w:rsidR="006D19E9">
        <w:rPr>
          <w:rFonts w:hint="cs"/>
          <w:rtl/>
        </w:rPr>
        <w:t xml:space="preserve"> </w:t>
      </w:r>
      <w:r w:rsidRPr="006D19E9">
        <w:rPr>
          <w:rFonts w:hint="cs"/>
          <w:rtl/>
        </w:rPr>
        <w:t>خصخصة أنشطة تقديم الخدمات</w:t>
      </w:r>
      <w:r w:rsidR="006D19E9" w:rsidRPr="006D19E9">
        <w:rPr>
          <w:rStyle w:val="FootnoteReference"/>
          <w:color w:val="auto"/>
          <w:sz w:val="30"/>
          <w:szCs w:val="30"/>
          <w:rtl/>
        </w:rPr>
        <w:t>(</w:t>
      </w:r>
      <w:r w:rsidR="006D19E9" w:rsidRPr="006D19E9">
        <w:rPr>
          <w:rStyle w:val="FootnoteReference"/>
          <w:color w:val="auto"/>
          <w:sz w:val="30"/>
          <w:szCs w:val="30"/>
          <w:rtl/>
        </w:rPr>
        <w:footnoteReference w:id="47"/>
      </w:r>
      <w:r w:rsidR="006D19E9" w:rsidRPr="006D19E9">
        <w:rPr>
          <w:rStyle w:val="FootnoteReference"/>
          <w:color w:val="auto"/>
          <w:sz w:val="30"/>
          <w:szCs w:val="30"/>
          <w:rtl/>
        </w:rPr>
        <w:t>)</w:t>
      </w:r>
      <w:r w:rsidR="00697057">
        <w:rPr>
          <w:rFonts w:hint="cs"/>
          <w:rtl/>
        </w:rPr>
        <w:t>،</w:t>
      </w:r>
      <w:r w:rsidRPr="006D19E9">
        <w:rPr>
          <w:rFonts w:hint="cs"/>
          <w:rtl/>
        </w:rPr>
        <w:t xml:space="preserve"> مثل إمدادات المياه وخدمات الصرف الصحي (</w:t>
      </w:r>
      <w:r w:rsidRPr="006D19E9">
        <w:t>A/HRC/15/31</w:t>
      </w:r>
      <w:r w:rsidRPr="006D19E9">
        <w:rPr>
          <w:rFonts w:hint="cs"/>
          <w:rtl/>
        </w:rPr>
        <w:t>) أو التعليم (</w:t>
      </w:r>
      <w:r w:rsidRPr="006D19E9">
        <w:t>A/69/402</w:t>
      </w:r>
      <w:r w:rsidRPr="006D19E9">
        <w:rPr>
          <w:rFonts w:hint="cs"/>
          <w:rtl/>
        </w:rPr>
        <w:t>) أو سلطة التوقيف أو الاحتجاز</w:t>
      </w:r>
      <w:r w:rsidR="006D19E9" w:rsidRPr="006D19E9">
        <w:rPr>
          <w:rStyle w:val="FootnoteReference"/>
          <w:color w:val="auto"/>
          <w:sz w:val="30"/>
          <w:szCs w:val="30"/>
          <w:rtl/>
        </w:rPr>
        <w:t>(</w:t>
      </w:r>
      <w:r w:rsidR="006D19E9" w:rsidRPr="006D19E9">
        <w:rPr>
          <w:rStyle w:val="FootnoteReference"/>
          <w:color w:val="auto"/>
          <w:sz w:val="30"/>
          <w:szCs w:val="30"/>
          <w:rtl/>
        </w:rPr>
        <w:footnoteReference w:id="48"/>
      </w:r>
      <w:r w:rsidR="006D19E9" w:rsidRPr="006D19E9">
        <w:rPr>
          <w:rStyle w:val="FootnoteReference"/>
          <w:color w:val="auto"/>
          <w:sz w:val="30"/>
          <w:szCs w:val="30"/>
          <w:rtl/>
        </w:rPr>
        <w:t>)</w:t>
      </w:r>
      <w:r w:rsidRPr="006D19E9">
        <w:rPr>
          <w:rFonts w:hint="cs"/>
          <w:rtl/>
        </w:rPr>
        <w:t>. وينبغي أن تحرص</w:t>
      </w:r>
      <w:r w:rsidR="006D19E9">
        <w:rPr>
          <w:rFonts w:hint="cs"/>
          <w:rtl/>
        </w:rPr>
        <w:t xml:space="preserve"> </w:t>
      </w:r>
      <w:r w:rsidRPr="006D19E9">
        <w:rPr>
          <w:rFonts w:hint="cs"/>
          <w:rtl/>
        </w:rPr>
        <w:t>الدول</w:t>
      </w:r>
      <w:r w:rsidR="006D19E9">
        <w:rPr>
          <w:rFonts w:hint="cs"/>
          <w:rtl/>
        </w:rPr>
        <w:t xml:space="preserve"> </w:t>
      </w:r>
      <w:r w:rsidRPr="006D19E9">
        <w:rPr>
          <w:rFonts w:hint="cs"/>
          <w:rtl/>
        </w:rPr>
        <w:t>على</w:t>
      </w:r>
      <w:r w:rsidR="006D19E9">
        <w:rPr>
          <w:rFonts w:hint="cs"/>
          <w:rtl/>
        </w:rPr>
        <w:t xml:space="preserve"> </w:t>
      </w:r>
      <w:r w:rsidRPr="006D19E9">
        <w:rPr>
          <w:rFonts w:hint="cs"/>
          <w:rtl/>
        </w:rPr>
        <w:t>امتلاك القدرة على ممارسة رقابة فعالة على أنشطة الشركات،</w:t>
      </w:r>
      <w:r w:rsidR="006D19E9">
        <w:rPr>
          <w:rFonts w:hint="cs"/>
          <w:rtl/>
        </w:rPr>
        <w:t xml:space="preserve"> </w:t>
      </w:r>
      <w:r w:rsidRPr="006D19E9">
        <w:rPr>
          <w:rFonts w:hint="cs"/>
          <w:rtl/>
        </w:rPr>
        <w:t>بطرائق تشمل</w:t>
      </w:r>
      <w:r w:rsidR="006D19E9">
        <w:rPr>
          <w:rFonts w:hint="cs"/>
          <w:rtl/>
        </w:rPr>
        <w:t xml:space="preserve"> </w:t>
      </w:r>
      <w:r w:rsidRPr="006D19E9">
        <w:rPr>
          <w:rFonts w:hint="cs"/>
          <w:rtl/>
        </w:rPr>
        <w:t>توفير آليات مناسبة ومستقلة للرصد</w:t>
      </w:r>
      <w:r w:rsidR="006D19E9">
        <w:rPr>
          <w:rFonts w:hint="cs"/>
          <w:rtl/>
        </w:rPr>
        <w:t xml:space="preserve"> </w:t>
      </w:r>
      <w:r w:rsidRPr="006D19E9">
        <w:rPr>
          <w:rFonts w:hint="cs"/>
          <w:rtl/>
        </w:rPr>
        <w:t>والمساءلة.</w:t>
      </w:r>
    </w:p>
    <w:p w:rsidR="00C47F5D" w:rsidRPr="006D19E9" w:rsidRDefault="00C47F5D" w:rsidP="00B30F0C">
      <w:pPr>
        <w:pStyle w:val="SingleTxt"/>
      </w:pPr>
      <w:r w:rsidRPr="006D19E9">
        <w:rPr>
          <w:rFonts w:hint="cs"/>
          <w:rtl/>
        </w:rPr>
        <w:t>23-</w:t>
      </w:r>
      <w:r w:rsidRPr="006D19E9">
        <w:rPr>
          <w:rFonts w:hint="cs"/>
          <w:rtl/>
        </w:rPr>
        <w:tab/>
        <w:t>وإلى جانب التزامات الدول، تحدّد المبادئُ التوجيهية بشأن الأعمال التجارية وحقوق الإنسان</w:t>
      </w:r>
      <w:r w:rsidR="006D19E9" w:rsidRPr="006D19E9">
        <w:rPr>
          <w:rStyle w:val="FootnoteReference"/>
          <w:color w:val="auto"/>
          <w:sz w:val="30"/>
          <w:szCs w:val="30"/>
          <w:rtl/>
        </w:rPr>
        <w:t>(</w:t>
      </w:r>
      <w:r w:rsidR="006D19E9" w:rsidRPr="006D19E9">
        <w:rPr>
          <w:rStyle w:val="FootnoteReference"/>
          <w:color w:val="auto"/>
          <w:sz w:val="30"/>
          <w:szCs w:val="30"/>
          <w:rtl/>
        </w:rPr>
        <w:footnoteReference w:id="49"/>
      </w:r>
      <w:r w:rsidR="006D19E9" w:rsidRPr="006D19E9">
        <w:rPr>
          <w:rStyle w:val="FootnoteReference"/>
          <w:color w:val="auto"/>
          <w:sz w:val="30"/>
          <w:szCs w:val="30"/>
          <w:rtl/>
        </w:rPr>
        <w:t>)</w:t>
      </w:r>
      <w:r w:rsidRPr="006D19E9">
        <w:rPr>
          <w:rFonts w:hint="cs"/>
          <w:rtl/>
        </w:rPr>
        <w:t xml:space="preserve"> العناصرَ التي ينبغي لشركات الأعمال التجارية اتباعها</w:t>
      </w:r>
      <w:r w:rsidR="006D19E9">
        <w:rPr>
          <w:rFonts w:hint="cs"/>
          <w:rtl/>
        </w:rPr>
        <w:t xml:space="preserve"> </w:t>
      </w:r>
      <w:r w:rsidRPr="006D19E9">
        <w:rPr>
          <w:rFonts w:hint="cs"/>
          <w:rtl/>
        </w:rPr>
        <w:t>للنهوض بمسؤوليتها</w:t>
      </w:r>
      <w:r w:rsidR="006D19E9">
        <w:rPr>
          <w:rFonts w:hint="cs"/>
          <w:rtl/>
        </w:rPr>
        <w:t xml:space="preserve"> </w:t>
      </w:r>
      <w:r w:rsidRPr="006D19E9">
        <w:rPr>
          <w:rFonts w:hint="cs"/>
          <w:rtl/>
        </w:rPr>
        <w:t>المؤسسية</w:t>
      </w:r>
      <w:r w:rsidR="006D19E9">
        <w:rPr>
          <w:rFonts w:hint="cs"/>
          <w:rtl/>
        </w:rPr>
        <w:t xml:space="preserve"> </w:t>
      </w:r>
      <w:r w:rsidRPr="006D19E9">
        <w:rPr>
          <w:rFonts w:hint="cs"/>
          <w:rtl/>
        </w:rPr>
        <w:t>تجاه احترام حقوق الإنسان.</w:t>
      </w:r>
      <w:r w:rsidR="006D19E9">
        <w:rPr>
          <w:rFonts w:hint="cs"/>
          <w:rtl/>
        </w:rPr>
        <w:t xml:space="preserve"> </w:t>
      </w:r>
      <w:r w:rsidRPr="006D19E9">
        <w:rPr>
          <w:rFonts w:hint="cs"/>
          <w:rtl/>
        </w:rPr>
        <w:t>ويتعين عليها أولاً،</w:t>
      </w:r>
      <w:r w:rsidR="006D19E9">
        <w:rPr>
          <w:rFonts w:hint="cs"/>
          <w:rtl/>
        </w:rPr>
        <w:t xml:space="preserve"> </w:t>
      </w:r>
      <w:r w:rsidRPr="006D19E9">
        <w:rPr>
          <w:rFonts w:hint="cs"/>
          <w:rtl/>
        </w:rPr>
        <w:t>أن تقطع تعهداً في مجال السياسات بتحمّل مسؤوليتها</w:t>
      </w:r>
      <w:r w:rsidR="006D19E9">
        <w:rPr>
          <w:rFonts w:hint="cs"/>
          <w:rtl/>
        </w:rPr>
        <w:t xml:space="preserve"> </w:t>
      </w:r>
      <w:r w:rsidRPr="006D19E9">
        <w:rPr>
          <w:rFonts w:hint="cs"/>
          <w:rtl/>
        </w:rPr>
        <w:t>تجاه احترام حقوق الإنسان. وثانياً،</w:t>
      </w:r>
      <w:r w:rsidR="006D19E9">
        <w:rPr>
          <w:rFonts w:hint="cs"/>
          <w:rtl/>
        </w:rPr>
        <w:t xml:space="preserve"> </w:t>
      </w:r>
      <w:r w:rsidRPr="006D19E9">
        <w:rPr>
          <w:rFonts w:hint="cs"/>
          <w:rtl/>
        </w:rPr>
        <w:t>أن تولي حقوق الإنسان</w:t>
      </w:r>
      <w:r w:rsidR="006D19E9">
        <w:rPr>
          <w:rFonts w:hint="cs"/>
          <w:rtl/>
        </w:rPr>
        <w:t xml:space="preserve"> </w:t>
      </w:r>
      <w:r w:rsidRPr="006D19E9">
        <w:rPr>
          <w:rFonts w:hint="cs"/>
          <w:rtl/>
        </w:rPr>
        <w:t>العناية الواجبة بلا انقطاع</w:t>
      </w:r>
      <w:r w:rsidR="006D19E9">
        <w:rPr>
          <w:rFonts w:hint="cs"/>
          <w:rtl/>
        </w:rPr>
        <w:t xml:space="preserve"> </w:t>
      </w:r>
      <w:r w:rsidRPr="006D19E9">
        <w:rPr>
          <w:rFonts w:hint="cs"/>
          <w:rtl/>
        </w:rPr>
        <w:t>بغية تحديد تأثير أنشطتها على حقوق الإنسان والوقاية من</w:t>
      </w:r>
      <w:r w:rsidR="006D19E9">
        <w:rPr>
          <w:rFonts w:hint="cs"/>
          <w:rtl/>
        </w:rPr>
        <w:t xml:space="preserve"> </w:t>
      </w:r>
      <w:r w:rsidRPr="006D19E9">
        <w:rPr>
          <w:rFonts w:hint="cs"/>
          <w:rtl/>
        </w:rPr>
        <w:t>آثارها السلبية وتخفيفها ومحاسبة المسؤولين عنها، وأن</w:t>
      </w:r>
      <w:r w:rsidR="006D19E9">
        <w:rPr>
          <w:rFonts w:hint="cs"/>
          <w:rtl/>
        </w:rPr>
        <w:t xml:space="preserve"> </w:t>
      </w:r>
      <w:r w:rsidRPr="006D19E9">
        <w:rPr>
          <w:rFonts w:hint="cs"/>
          <w:rtl/>
        </w:rPr>
        <w:t>تستعد</w:t>
      </w:r>
      <w:r w:rsidR="006D19E9">
        <w:rPr>
          <w:rFonts w:hint="cs"/>
          <w:rtl/>
        </w:rPr>
        <w:t xml:space="preserve"> </w:t>
      </w:r>
      <w:r w:rsidRPr="006D19E9">
        <w:rPr>
          <w:rFonts w:hint="cs"/>
          <w:rtl/>
        </w:rPr>
        <w:t>للتبليغ عن التزاماتها وأنشطتها خارج</w:t>
      </w:r>
      <w:r w:rsidR="006D19E9">
        <w:rPr>
          <w:rFonts w:hint="cs"/>
          <w:rtl/>
        </w:rPr>
        <w:t xml:space="preserve"> </w:t>
      </w:r>
      <w:r w:rsidRPr="006D19E9">
        <w:rPr>
          <w:rFonts w:hint="cs"/>
          <w:rtl/>
        </w:rPr>
        <w:t>محيطها، بما في ذلك إبلاغ</w:t>
      </w:r>
      <w:r w:rsidR="006D19E9">
        <w:rPr>
          <w:rFonts w:hint="cs"/>
          <w:rtl/>
        </w:rPr>
        <w:t xml:space="preserve"> </w:t>
      </w:r>
      <w:r w:rsidRPr="006D19E9">
        <w:rPr>
          <w:rFonts w:hint="cs"/>
          <w:rtl/>
        </w:rPr>
        <w:t>الجماعات التي يرجّح أن تتأثر بعملياتها.</w:t>
      </w:r>
      <w:r w:rsidR="006D19E9">
        <w:rPr>
          <w:rFonts w:hint="cs"/>
          <w:rtl/>
        </w:rPr>
        <w:t xml:space="preserve"> </w:t>
      </w:r>
      <w:r w:rsidRPr="006D19E9">
        <w:rPr>
          <w:rFonts w:hint="cs"/>
          <w:rtl/>
        </w:rPr>
        <w:t>ونظر</w:t>
      </w:r>
      <w:r w:rsidR="00B30F0C">
        <w:rPr>
          <w:rFonts w:hint="cs"/>
          <w:rtl/>
        </w:rPr>
        <w:t xml:space="preserve">اً </w:t>
      </w:r>
      <w:r w:rsidRPr="006D19E9">
        <w:rPr>
          <w:rFonts w:hint="cs"/>
          <w:rtl/>
        </w:rPr>
        <w:t>إلى إمكانية</w:t>
      </w:r>
      <w:r w:rsidR="006D19E9">
        <w:rPr>
          <w:rFonts w:hint="cs"/>
          <w:rtl/>
        </w:rPr>
        <w:t xml:space="preserve"> </w:t>
      </w:r>
      <w:r w:rsidRPr="006D19E9">
        <w:rPr>
          <w:rFonts w:hint="cs"/>
          <w:rtl/>
        </w:rPr>
        <w:t>حدوث تغير في العمليات والسياق والأثر،</w:t>
      </w:r>
      <w:r w:rsidR="006D19E9">
        <w:rPr>
          <w:rFonts w:hint="cs"/>
          <w:rtl/>
        </w:rPr>
        <w:t xml:space="preserve"> </w:t>
      </w:r>
      <w:r w:rsidRPr="006D19E9">
        <w:rPr>
          <w:rFonts w:hint="cs"/>
          <w:rtl/>
        </w:rPr>
        <w:t>ينبغي أن</w:t>
      </w:r>
      <w:r w:rsidR="006D19E9">
        <w:rPr>
          <w:rFonts w:hint="cs"/>
          <w:rtl/>
        </w:rPr>
        <w:t xml:space="preserve"> </w:t>
      </w:r>
      <w:r w:rsidRPr="006D19E9">
        <w:rPr>
          <w:rFonts w:hint="cs"/>
          <w:rtl/>
        </w:rPr>
        <w:t>تجري شركات الأعمال التجارية</w:t>
      </w:r>
      <w:r w:rsidR="006D19E9">
        <w:rPr>
          <w:rFonts w:hint="cs"/>
          <w:rtl/>
        </w:rPr>
        <w:t xml:space="preserve"> </w:t>
      </w:r>
      <w:r w:rsidRPr="006D19E9">
        <w:rPr>
          <w:rFonts w:hint="cs"/>
          <w:rtl/>
        </w:rPr>
        <w:t>إعادة تقييم دورية</w:t>
      </w:r>
      <w:r w:rsidR="006D19E9">
        <w:rPr>
          <w:rFonts w:hint="cs"/>
          <w:rtl/>
        </w:rPr>
        <w:t xml:space="preserve"> </w:t>
      </w:r>
      <w:r w:rsidRPr="006D19E9">
        <w:rPr>
          <w:rFonts w:hint="cs"/>
          <w:rtl/>
        </w:rPr>
        <w:t>لتأثيرها المحتمل أو الفعلي على جميع حقوق الإنسان. وينبغي</w:t>
      </w:r>
      <w:r w:rsidR="006D19E9">
        <w:rPr>
          <w:rFonts w:hint="cs"/>
          <w:rtl/>
        </w:rPr>
        <w:t xml:space="preserve"> </w:t>
      </w:r>
      <w:r w:rsidRPr="006D19E9">
        <w:rPr>
          <w:rFonts w:hint="cs"/>
          <w:rtl/>
        </w:rPr>
        <w:t>أيض</w:t>
      </w:r>
      <w:r w:rsidR="00B30F0C">
        <w:rPr>
          <w:rFonts w:hint="cs"/>
          <w:rtl/>
        </w:rPr>
        <w:t xml:space="preserve">اً </w:t>
      </w:r>
      <w:r w:rsidRPr="006D19E9">
        <w:rPr>
          <w:rFonts w:hint="cs"/>
          <w:rtl/>
        </w:rPr>
        <w:t>أن تسعى، عن طريق علاقاتها التجارية، إلى منع حدوث أي</w:t>
      </w:r>
      <w:r w:rsidR="00B30F0C">
        <w:rPr>
          <w:rFonts w:hint="eastAsia"/>
          <w:rtl/>
        </w:rPr>
        <w:t> </w:t>
      </w:r>
      <w:r w:rsidRPr="006D19E9">
        <w:rPr>
          <w:rFonts w:hint="cs"/>
          <w:rtl/>
        </w:rPr>
        <w:t>تأثير ضار</w:t>
      </w:r>
      <w:r w:rsidR="006D19E9">
        <w:rPr>
          <w:rFonts w:hint="cs"/>
          <w:rtl/>
        </w:rPr>
        <w:t xml:space="preserve"> </w:t>
      </w:r>
      <w:r w:rsidRPr="006D19E9">
        <w:rPr>
          <w:rFonts w:hint="cs"/>
          <w:rtl/>
        </w:rPr>
        <w:t>ذي علاقة مباشرة بعملياتها أو منتجاتها</w:t>
      </w:r>
      <w:r w:rsidR="006D19E9">
        <w:rPr>
          <w:rFonts w:hint="cs"/>
          <w:rtl/>
        </w:rPr>
        <w:t xml:space="preserve"> </w:t>
      </w:r>
      <w:r w:rsidRPr="006D19E9">
        <w:rPr>
          <w:rFonts w:hint="cs"/>
          <w:rtl/>
        </w:rPr>
        <w:t>أو خدماتها، أو</w:t>
      </w:r>
      <w:r w:rsidR="006D19E9">
        <w:rPr>
          <w:rFonts w:hint="cs"/>
          <w:rtl/>
        </w:rPr>
        <w:t xml:space="preserve"> </w:t>
      </w:r>
      <w:r w:rsidRPr="006D19E9">
        <w:rPr>
          <w:rFonts w:hint="cs"/>
          <w:rtl/>
        </w:rPr>
        <w:t>تخفيف</w:t>
      </w:r>
      <w:r w:rsidR="006D19E9">
        <w:rPr>
          <w:rFonts w:hint="cs"/>
          <w:rtl/>
        </w:rPr>
        <w:t xml:space="preserve"> </w:t>
      </w:r>
      <w:r w:rsidRPr="006D19E9">
        <w:rPr>
          <w:rFonts w:hint="cs"/>
          <w:rtl/>
        </w:rPr>
        <w:t>ذلك التأثير. وأخيراً، يتعين عليها</w:t>
      </w:r>
      <w:r w:rsidR="006D19E9">
        <w:rPr>
          <w:rFonts w:hint="cs"/>
          <w:rtl/>
        </w:rPr>
        <w:t xml:space="preserve"> </w:t>
      </w:r>
      <w:r w:rsidRPr="006D19E9">
        <w:rPr>
          <w:rFonts w:hint="cs"/>
          <w:rtl/>
        </w:rPr>
        <w:t>وضع إجراءات</w:t>
      </w:r>
      <w:r w:rsidR="006D19E9">
        <w:rPr>
          <w:rFonts w:hint="cs"/>
          <w:rtl/>
        </w:rPr>
        <w:t xml:space="preserve"> </w:t>
      </w:r>
      <w:r w:rsidRPr="006D19E9">
        <w:rPr>
          <w:rFonts w:hint="cs"/>
          <w:rtl/>
        </w:rPr>
        <w:t>تمكنها</w:t>
      </w:r>
      <w:r w:rsidR="006D19E9">
        <w:rPr>
          <w:rFonts w:hint="cs"/>
          <w:rtl/>
        </w:rPr>
        <w:t xml:space="preserve"> </w:t>
      </w:r>
      <w:r w:rsidRPr="006D19E9">
        <w:rPr>
          <w:rFonts w:hint="cs"/>
          <w:rtl/>
        </w:rPr>
        <w:t>من التعويض عن أي أثر سلبي على حقوق الإنسان</w:t>
      </w:r>
      <w:r w:rsidR="006D19E9">
        <w:rPr>
          <w:rFonts w:hint="cs"/>
          <w:rtl/>
        </w:rPr>
        <w:t xml:space="preserve"> </w:t>
      </w:r>
      <w:r w:rsidRPr="006D19E9">
        <w:rPr>
          <w:rFonts w:hint="cs"/>
          <w:rtl/>
        </w:rPr>
        <w:t>تسببه</w:t>
      </w:r>
      <w:r w:rsidR="006D19E9">
        <w:rPr>
          <w:rFonts w:hint="cs"/>
          <w:rtl/>
        </w:rPr>
        <w:t xml:space="preserve"> </w:t>
      </w:r>
      <w:r w:rsidRPr="006D19E9">
        <w:rPr>
          <w:rFonts w:hint="cs"/>
          <w:rtl/>
        </w:rPr>
        <w:t>أو</w:t>
      </w:r>
      <w:r w:rsidR="00024953">
        <w:rPr>
          <w:rFonts w:hint="eastAsia"/>
          <w:rtl/>
        </w:rPr>
        <w:t> </w:t>
      </w:r>
      <w:r w:rsidRPr="006D19E9">
        <w:rPr>
          <w:rFonts w:hint="cs"/>
          <w:rtl/>
        </w:rPr>
        <w:t>تساهم فيه.</w:t>
      </w: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sidRPr="006D19E9">
        <w:rPr>
          <w:rFonts w:hint="cs"/>
          <w:rtl/>
        </w:rPr>
        <w:tab/>
        <w:t>باء-</w:t>
      </w:r>
      <w:r w:rsidRPr="006D19E9">
        <w:rPr>
          <w:rFonts w:hint="cs"/>
          <w:rtl/>
        </w:rPr>
        <w:tab/>
        <w:t>دور التثقيف في مجال حقوق الإنسان</w:t>
      </w:r>
    </w:p>
    <w:p w:rsidR="00C47F5D" w:rsidRPr="006D19E9" w:rsidRDefault="00C47F5D" w:rsidP="00C47F5D">
      <w:pPr>
        <w:pStyle w:val="SingleTxt"/>
        <w:spacing w:after="0" w:line="120" w:lineRule="exact"/>
        <w:rPr>
          <w:sz w:val="10"/>
          <w:rtl/>
        </w:rPr>
      </w:pPr>
    </w:p>
    <w:p w:rsidR="00C47F5D" w:rsidRPr="006D19E9" w:rsidRDefault="00C47F5D" w:rsidP="005D3065">
      <w:pPr>
        <w:pStyle w:val="SingleTxt"/>
        <w:rPr>
          <w:rtl/>
        </w:rPr>
      </w:pPr>
      <w:r w:rsidRPr="006D19E9">
        <w:rPr>
          <w:rFonts w:hint="cs"/>
          <w:rtl/>
        </w:rPr>
        <w:t>24-</w:t>
      </w:r>
      <w:r w:rsidRPr="006D19E9">
        <w:rPr>
          <w:rFonts w:hint="cs"/>
          <w:rtl/>
        </w:rPr>
        <w:tab/>
        <w:t>يساهم التثقيف في مجال حقوق الإنسان في منع انتهاكها</w:t>
      </w:r>
      <w:r w:rsidR="006D19E9">
        <w:rPr>
          <w:rFonts w:hint="cs"/>
          <w:rtl/>
        </w:rPr>
        <w:t xml:space="preserve"> </w:t>
      </w:r>
      <w:r w:rsidRPr="006D19E9">
        <w:rPr>
          <w:rFonts w:hint="cs"/>
          <w:rtl/>
        </w:rPr>
        <w:t>والحيلولة دون نشوب النزاعات، وفي تعزيز المشاركة في عمليات صنع القرار في ظل النظم</w:t>
      </w:r>
      <w:r w:rsidR="006D19E9">
        <w:rPr>
          <w:rFonts w:hint="cs"/>
          <w:rtl/>
        </w:rPr>
        <w:t xml:space="preserve"> </w:t>
      </w:r>
      <w:r w:rsidRPr="006D19E9">
        <w:rPr>
          <w:rFonts w:hint="cs"/>
          <w:rtl/>
        </w:rPr>
        <w:t>الديمقراطية</w:t>
      </w:r>
      <w:r w:rsidR="006D19E9" w:rsidRPr="006D19E9">
        <w:rPr>
          <w:rStyle w:val="FootnoteReference"/>
          <w:color w:val="auto"/>
          <w:sz w:val="30"/>
          <w:szCs w:val="30"/>
          <w:rtl/>
        </w:rPr>
        <w:t>(</w:t>
      </w:r>
      <w:r w:rsidR="006D19E9" w:rsidRPr="006D19E9">
        <w:rPr>
          <w:rStyle w:val="FootnoteReference"/>
          <w:color w:val="auto"/>
          <w:sz w:val="30"/>
          <w:szCs w:val="30"/>
          <w:rtl/>
        </w:rPr>
        <w:footnoteReference w:id="50"/>
      </w:r>
      <w:r w:rsidR="006D19E9" w:rsidRPr="006D19E9">
        <w:rPr>
          <w:rStyle w:val="FootnoteReference"/>
          <w:color w:val="auto"/>
          <w:sz w:val="30"/>
          <w:szCs w:val="30"/>
          <w:rtl/>
        </w:rPr>
        <w:t>)</w:t>
      </w:r>
      <w:r w:rsidR="00697057">
        <w:rPr>
          <w:rFonts w:hint="cs"/>
          <w:rtl/>
        </w:rPr>
        <w:t>.</w:t>
      </w:r>
      <w:r w:rsidRPr="006D19E9">
        <w:rPr>
          <w:rFonts w:hint="cs"/>
          <w:rtl/>
        </w:rPr>
        <w:t xml:space="preserve"> وينبغي</w:t>
      </w:r>
      <w:r w:rsidR="006D19E9">
        <w:rPr>
          <w:rFonts w:hint="cs"/>
          <w:rtl/>
        </w:rPr>
        <w:t xml:space="preserve"> </w:t>
      </w:r>
      <w:r w:rsidRPr="006D19E9">
        <w:rPr>
          <w:rFonts w:hint="cs"/>
          <w:rtl/>
        </w:rPr>
        <w:t>التخطيط له</w:t>
      </w:r>
      <w:r w:rsidR="006D19E9">
        <w:rPr>
          <w:rFonts w:hint="cs"/>
          <w:rtl/>
        </w:rPr>
        <w:t xml:space="preserve"> </w:t>
      </w:r>
      <w:r w:rsidRPr="006D19E9">
        <w:rPr>
          <w:rFonts w:hint="cs"/>
          <w:rtl/>
        </w:rPr>
        <w:t>بوصفه</w:t>
      </w:r>
      <w:r w:rsidR="006D19E9">
        <w:rPr>
          <w:rFonts w:hint="cs"/>
          <w:rtl/>
        </w:rPr>
        <w:t xml:space="preserve"> </w:t>
      </w:r>
      <w:r w:rsidRPr="006D19E9">
        <w:rPr>
          <w:rFonts w:hint="cs"/>
          <w:rtl/>
        </w:rPr>
        <w:t>عملية تشاركية</w:t>
      </w:r>
      <w:r w:rsidR="006D19E9">
        <w:rPr>
          <w:rFonts w:hint="cs"/>
          <w:rtl/>
        </w:rPr>
        <w:t xml:space="preserve"> </w:t>
      </w:r>
      <w:r w:rsidRPr="006D19E9">
        <w:rPr>
          <w:rFonts w:hint="cs"/>
          <w:rtl/>
        </w:rPr>
        <w:t>تستمر مدى الحياة وتتحقق من خلالها</w:t>
      </w:r>
      <w:r w:rsidR="006D19E9">
        <w:rPr>
          <w:rFonts w:hint="cs"/>
          <w:rtl/>
        </w:rPr>
        <w:t xml:space="preserve"> </w:t>
      </w:r>
      <w:r w:rsidRPr="006D19E9">
        <w:rPr>
          <w:rFonts w:hint="cs"/>
          <w:rtl/>
        </w:rPr>
        <w:t>تنمية المعارف والمهارات والمواقف التي تولّد أنماط سلوك توفر الحماية</w:t>
      </w:r>
      <w:r w:rsidR="006D19E9">
        <w:rPr>
          <w:rFonts w:hint="cs"/>
          <w:rtl/>
        </w:rPr>
        <w:t xml:space="preserve"> </w:t>
      </w:r>
      <w:r w:rsidRPr="006D19E9">
        <w:rPr>
          <w:rFonts w:hint="cs"/>
          <w:rtl/>
        </w:rPr>
        <w:t>لحقوق الإنسان وتعززها. بمعنى أن</w:t>
      </w:r>
      <w:r w:rsidR="006D19E9">
        <w:rPr>
          <w:rFonts w:hint="cs"/>
          <w:rtl/>
        </w:rPr>
        <w:t xml:space="preserve"> </w:t>
      </w:r>
      <w:r w:rsidRPr="006D19E9">
        <w:rPr>
          <w:rFonts w:hint="cs"/>
          <w:rtl/>
        </w:rPr>
        <w:t>يكتسب أصحاب الحقوق</w:t>
      </w:r>
      <w:r w:rsidR="006D19E9">
        <w:rPr>
          <w:rFonts w:hint="cs"/>
          <w:rtl/>
        </w:rPr>
        <w:t xml:space="preserve"> </w:t>
      </w:r>
      <w:r w:rsidRPr="006D19E9">
        <w:rPr>
          <w:rFonts w:hint="cs"/>
          <w:rtl/>
        </w:rPr>
        <w:t>القدرة على المطالبة بحقوقهم،</w:t>
      </w:r>
      <w:r w:rsidR="006D19E9">
        <w:rPr>
          <w:rFonts w:hint="cs"/>
          <w:rtl/>
        </w:rPr>
        <w:t xml:space="preserve"> </w:t>
      </w:r>
      <w:r w:rsidRPr="006D19E9">
        <w:rPr>
          <w:rFonts w:hint="cs"/>
          <w:rtl/>
        </w:rPr>
        <w:t>وتتطور قدرة</w:t>
      </w:r>
      <w:r w:rsidR="006D19E9">
        <w:rPr>
          <w:rFonts w:hint="cs"/>
          <w:rtl/>
        </w:rPr>
        <w:t xml:space="preserve"> </w:t>
      </w:r>
      <w:r w:rsidRPr="006D19E9">
        <w:rPr>
          <w:rFonts w:hint="cs"/>
          <w:rtl/>
        </w:rPr>
        <w:t xml:space="preserve">ذوي النفوذ والمسؤوليات </w:t>
      </w:r>
      <w:r w:rsidR="00697057">
        <w:rPr>
          <w:rFonts w:hint="cs"/>
          <w:rtl/>
        </w:rPr>
        <w:t>(</w:t>
      </w:r>
      <w:r w:rsidRPr="006D19E9">
        <w:rPr>
          <w:rFonts w:hint="cs"/>
          <w:rtl/>
        </w:rPr>
        <w:t>القائمين بالواجبات)، مثل الشرطة، والقوات العسكرية، والمسؤولين العموميين</w:t>
      </w:r>
      <w:r w:rsidR="006D19E9" w:rsidRPr="006D19E9">
        <w:rPr>
          <w:rStyle w:val="FootnoteReference"/>
          <w:color w:val="auto"/>
          <w:sz w:val="30"/>
          <w:szCs w:val="30"/>
          <w:rtl/>
        </w:rPr>
        <w:t>(</w:t>
      </w:r>
      <w:r w:rsidR="006D19E9" w:rsidRPr="006D19E9">
        <w:rPr>
          <w:rStyle w:val="FootnoteReference"/>
          <w:color w:val="auto"/>
          <w:sz w:val="30"/>
          <w:szCs w:val="30"/>
          <w:rtl/>
        </w:rPr>
        <w:footnoteReference w:id="51"/>
      </w:r>
      <w:r w:rsidR="006D19E9" w:rsidRPr="006D19E9">
        <w:rPr>
          <w:rStyle w:val="FootnoteReference"/>
          <w:color w:val="auto"/>
          <w:sz w:val="30"/>
          <w:szCs w:val="30"/>
          <w:rtl/>
        </w:rPr>
        <w:t>)</w:t>
      </w:r>
      <w:r w:rsidRPr="006D19E9">
        <w:rPr>
          <w:rFonts w:hint="cs"/>
          <w:rtl/>
        </w:rPr>
        <w:t>، على</w:t>
      </w:r>
      <w:r w:rsidR="006D19E9">
        <w:rPr>
          <w:rFonts w:hint="cs"/>
          <w:rtl/>
        </w:rPr>
        <w:t xml:space="preserve"> </w:t>
      </w:r>
      <w:r w:rsidRPr="006D19E9">
        <w:rPr>
          <w:rFonts w:hint="cs"/>
          <w:rtl/>
        </w:rPr>
        <w:t>الوفاء بالتزاماتهم</w:t>
      </w:r>
      <w:r w:rsidR="006D19E9">
        <w:rPr>
          <w:rFonts w:hint="cs"/>
          <w:rtl/>
        </w:rPr>
        <w:t xml:space="preserve"> </w:t>
      </w:r>
      <w:r w:rsidRPr="006D19E9">
        <w:rPr>
          <w:rFonts w:hint="cs"/>
          <w:rtl/>
        </w:rPr>
        <w:t>تجاه حماية حقوق الإنسان واحترامها</w:t>
      </w:r>
      <w:r w:rsidR="006D19E9">
        <w:rPr>
          <w:rFonts w:hint="cs"/>
          <w:rtl/>
        </w:rPr>
        <w:t xml:space="preserve"> </w:t>
      </w:r>
      <w:r w:rsidRPr="006D19E9">
        <w:rPr>
          <w:rFonts w:hint="cs"/>
          <w:rtl/>
        </w:rPr>
        <w:t>وإعمالها. وقد اتضح أن</w:t>
      </w:r>
      <w:r w:rsidR="006D19E9">
        <w:rPr>
          <w:rFonts w:hint="cs"/>
          <w:rtl/>
        </w:rPr>
        <w:t xml:space="preserve"> </w:t>
      </w:r>
      <w:r w:rsidRPr="006D19E9">
        <w:rPr>
          <w:rFonts w:hint="cs"/>
          <w:rtl/>
        </w:rPr>
        <w:t>قصور التثقيف في مجال حقوق الإنسان</w:t>
      </w:r>
      <w:r w:rsidR="006D19E9">
        <w:rPr>
          <w:rFonts w:hint="cs"/>
          <w:rtl/>
        </w:rPr>
        <w:t xml:space="preserve"> </w:t>
      </w:r>
      <w:r w:rsidRPr="006D19E9">
        <w:rPr>
          <w:rFonts w:hint="cs"/>
          <w:rtl/>
        </w:rPr>
        <w:t>من أكبر الحواجز</w:t>
      </w:r>
      <w:r w:rsidR="006D19E9">
        <w:rPr>
          <w:rFonts w:hint="cs"/>
          <w:rtl/>
        </w:rPr>
        <w:t xml:space="preserve"> </w:t>
      </w:r>
      <w:r w:rsidRPr="006D19E9">
        <w:rPr>
          <w:rFonts w:hint="cs"/>
          <w:rtl/>
        </w:rPr>
        <w:t xml:space="preserve">التي تعوق تمتع الجميع بحقوق الإنسان كافة (الفقرة 20 من الوثيقة </w:t>
      </w:r>
      <w:r w:rsidRPr="006D19E9">
        <w:t>A/HRC/28/30</w:t>
      </w:r>
      <w:r w:rsidRPr="006D19E9">
        <w:rPr>
          <w:rFonts w:hint="cs"/>
          <w:rtl/>
        </w:rPr>
        <w:t>).</w:t>
      </w:r>
    </w:p>
    <w:p w:rsidR="00C47F5D" w:rsidRPr="006D19E9" w:rsidRDefault="00C47F5D" w:rsidP="00697057">
      <w:pPr>
        <w:pStyle w:val="SingleTxt"/>
        <w:rPr>
          <w:rtl/>
        </w:rPr>
      </w:pPr>
      <w:r w:rsidRPr="006D19E9">
        <w:rPr>
          <w:rFonts w:hint="cs"/>
          <w:rtl/>
        </w:rPr>
        <w:t>25-</w:t>
      </w:r>
      <w:r w:rsidRPr="006D19E9">
        <w:rPr>
          <w:rFonts w:hint="cs"/>
          <w:rtl/>
        </w:rPr>
        <w:tab/>
        <w:t>وتقع مسؤولية التثقيف في مجال حقوق الإنسان</w:t>
      </w:r>
      <w:r w:rsidR="006D19E9">
        <w:rPr>
          <w:rFonts w:hint="cs"/>
          <w:rtl/>
        </w:rPr>
        <w:t xml:space="preserve"> </w:t>
      </w:r>
      <w:r w:rsidRPr="006D19E9">
        <w:rPr>
          <w:rFonts w:hint="cs"/>
          <w:rtl/>
        </w:rPr>
        <w:t>على عاتق الدولة في المقام الأول</w:t>
      </w:r>
      <w:r w:rsidR="006D19E9" w:rsidRPr="006D19E9">
        <w:rPr>
          <w:rStyle w:val="FootnoteReference"/>
          <w:color w:val="auto"/>
          <w:sz w:val="30"/>
          <w:szCs w:val="30"/>
          <w:rtl/>
        </w:rPr>
        <w:t>(</w:t>
      </w:r>
      <w:r w:rsidR="006D19E9" w:rsidRPr="006D19E9">
        <w:rPr>
          <w:rStyle w:val="FootnoteReference"/>
          <w:color w:val="auto"/>
          <w:sz w:val="30"/>
          <w:szCs w:val="30"/>
          <w:rtl/>
        </w:rPr>
        <w:footnoteReference w:id="52"/>
      </w:r>
      <w:r w:rsidR="006D19E9" w:rsidRPr="006D19E9">
        <w:rPr>
          <w:rStyle w:val="FootnoteReference"/>
          <w:color w:val="auto"/>
          <w:sz w:val="30"/>
          <w:szCs w:val="30"/>
          <w:rtl/>
        </w:rPr>
        <w:t>)</w:t>
      </w:r>
      <w:r w:rsidR="00697057">
        <w:rPr>
          <w:rFonts w:hint="cs"/>
          <w:rtl/>
        </w:rPr>
        <w:t>.</w:t>
      </w:r>
      <w:r w:rsidR="006D19E9">
        <w:rPr>
          <w:rFonts w:hint="cs"/>
          <w:rtl/>
        </w:rPr>
        <w:t xml:space="preserve"> </w:t>
      </w:r>
      <w:r w:rsidRPr="006D19E9">
        <w:rPr>
          <w:rFonts w:hint="cs"/>
          <w:rtl/>
        </w:rPr>
        <w:t>ويتعين</w:t>
      </w:r>
      <w:r w:rsidR="006D19E9">
        <w:rPr>
          <w:rFonts w:hint="cs"/>
          <w:rtl/>
        </w:rPr>
        <w:t xml:space="preserve"> </w:t>
      </w:r>
      <w:r w:rsidRPr="006D19E9">
        <w:rPr>
          <w:rFonts w:hint="cs"/>
          <w:rtl/>
        </w:rPr>
        <w:t>على الدول أن تُدمج التثقيف في مجال حقوق الإنسان بصورة منهجية في نظام التعليم الرسمي وفي تدريب موظفي الدولة. وعلى سبيل المثال، ينبغي أن يشمل تدريب القضاة والمحامين قواعد ومعايير حقوق الإنسان فضلاً عن الفقه الدولي والإقليمي ذي الصلة</w:t>
      </w:r>
      <w:r w:rsidR="006D19E9" w:rsidRPr="006D19E9">
        <w:rPr>
          <w:rStyle w:val="FootnoteReference"/>
          <w:color w:val="auto"/>
          <w:sz w:val="30"/>
          <w:szCs w:val="30"/>
          <w:rtl/>
        </w:rPr>
        <w:t>(</w:t>
      </w:r>
      <w:r w:rsidR="006D19E9" w:rsidRPr="006D19E9">
        <w:rPr>
          <w:rStyle w:val="FootnoteReference"/>
          <w:color w:val="auto"/>
          <w:sz w:val="30"/>
          <w:szCs w:val="30"/>
          <w:rtl/>
        </w:rPr>
        <w:footnoteReference w:id="53"/>
      </w:r>
      <w:r w:rsidR="006D19E9" w:rsidRPr="006D19E9">
        <w:rPr>
          <w:rStyle w:val="FootnoteReference"/>
          <w:color w:val="auto"/>
          <w:sz w:val="30"/>
          <w:szCs w:val="30"/>
          <w:rtl/>
        </w:rPr>
        <w:t>)</w:t>
      </w:r>
      <w:r w:rsidR="00697057">
        <w:rPr>
          <w:rFonts w:hint="cs"/>
          <w:rtl/>
        </w:rPr>
        <w:t>.</w:t>
      </w:r>
      <w:r w:rsidR="006D19E9">
        <w:rPr>
          <w:rFonts w:hint="cs"/>
          <w:rtl/>
        </w:rPr>
        <w:t xml:space="preserve"> </w:t>
      </w:r>
      <w:r w:rsidRPr="006D19E9">
        <w:rPr>
          <w:rFonts w:hint="cs"/>
          <w:rtl/>
        </w:rPr>
        <w:t>وتوفر خطط</w:t>
      </w:r>
      <w:r w:rsidR="006D19E9">
        <w:rPr>
          <w:rFonts w:hint="cs"/>
          <w:rtl/>
        </w:rPr>
        <w:t xml:space="preserve"> </w:t>
      </w:r>
      <w:r w:rsidRPr="006D19E9">
        <w:rPr>
          <w:rFonts w:hint="cs"/>
          <w:rtl/>
        </w:rPr>
        <w:t>عمل</w:t>
      </w:r>
      <w:r w:rsidR="006D19E9">
        <w:rPr>
          <w:rFonts w:hint="cs"/>
          <w:rtl/>
        </w:rPr>
        <w:t xml:space="preserve"> </w:t>
      </w:r>
      <w:r w:rsidRPr="006D19E9">
        <w:rPr>
          <w:rFonts w:hint="cs"/>
          <w:rtl/>
        </w:rPr>
        <w:t>المرحلتين الأولى (نظم التعليم الابتدائي والثانوي) والثانية (التعليم العالي، وتدريب الموظفين العموميين والمكلّفين بإنفاذ القوانين والعسكر) من البرنامج العالمي للتثقيف في مجال حقوق الإنسان</w:t>
      </w:r>
      <w:r w:rsidR="006D19E9" w:rsidRPr="006D19E9">
        <w:rPr>
          <w:rStyle w:val="FootnoteReference"/>
          <w:color w:val="auto"/>
          <w:sz w:val="30"/>
          <w:szCs w:val="30"/>
          <w:rtl/>
        </w:rPr>
        <w:t>(</w:t>
      </w:r>
      <w:r w:rsidR="006D19E9" w:rsidRPr="006D19E9">
        <w:rPr>
          <w:rStyle w:val="FootnoteReference"/>
          <w:color w:val="auto"/>
          <w:sz w:val="30"/>
          <w:szCs w:val="30"/>
          <w:rtl/>
        </w:rPr>
        <w:footnoteReference w:id="54"/>
      </w:r>
      <w:r w:rsidR="006D19E9" w:rsidRPr="006D19E9">
        <w:rPr>
          <w:rStyle w:val="FootnoteReference"/>
          <w:color w:val="auto"/>
          <w:sz w:val="30"/>
          <w:szCs w:val="30"/>
          <w:rtl/>
        </w:rPr>
        <w:t>)</w:t>
      </w:r>
      <w:r w:rsidR="00697057">
        <w:rPr>
          <w:rFonts w:hint="cs"/>
          <w:rtl/>
        </w:rPr>
        <w:t>،</w:t>
      </w:r>
      <w:r w:rsidRPr="006D19E9">
        <w:rPr>
          <w:rFonts w:hint="cs"/>
          <w:rtl/>
        </w:rPr>
        <w:t xml:space="preserve"> الذي</w:t>
      </w:r>
      <w:r w:rsidR="006D19E9">
        <w:rPr>
          <w:rFonts w:hint="cs"/>
          <w:rtl/>
        </w:rPr>
        <w:t xml:space="preserve"> </w:t>
      </w:r>
      <w:r w:rsidRPr="006D19E9">
        <w:rPr>
          <w:rFonts w:hint="cs"/>
          <w:rtl/>
        </w:rPr>
        <w:t>يهدف إلى التقدّم في تنفيذ برامج التثقيف في مجال حقوق الإنسان في جميع القطاعات على الصعيد الوطني. واستعرض مجلس حقوق الإنسان</w:t>
      </w:r>
      <w:r w:rsidR="006D19E9">
        <w:rPr>
          <w:rFonts w:hint="cs"/>
          <w:rtl/>
        </w:rPr>
        <w:t xml:space="preserve"> </w:t>
      </w:r>
      <w:r w:rsidRPr="006D19E9">
        <w:rPr>
          <w:rFonts w:hint="cs"/>
          <w:rtl/>
        </w:rPr>
        <w:t>تقرير</w:t>
      </w:r>
      <w:r w:rsidR="006D19E9">
        <w:rPr>
          <w:rFonts w:hint="cs"/>
          <w:rtl/>
        </w:rPr>
        <w:t xml:space="preserve"> </w:t>
      </w:r>
      <w:r w:rsidRPr="006D19E9">
        <w:rPr>
          <w:rFonts w:hint="cs"/>
          <w:rtl/>
        </w:rPr>
        <w:t xml:space="preserve">تقييم المرحلة الثانية من البرنامج العالمي (الوثيقة </w:t>
      </w:r>
      <w:r w:rsidRPr="006D19E9">
        <w:rPr>
          <w:rFonts w:eastAsia="SimSun"/>
          <w:kern w:val="1"/>
          <w:lang w:eastAsia="zh-CN" w:bidi="hi-IN"/>
        </w:rPr>
        <w:t>A/HRC/30/24</w:t>
      </w:r>
      <w:r w:rsidRPr="006D19E9">
        <w:rPr>
          <w:rFonts w:hint="cs"/>
          <w:rtl/>
        </w:rPr>
        <w:t>)،</w:t>
      </w:r>
      <w:r w:rsidR="006D19E9">
        <w:rPr>
          <w:rFonts w:hint="cs"/>
          <w:rtl/>
        </w:rPr>
        <w:t xml:space="preserve"> </w:t>
      </w:r>
      <w:r w:rsidRPr="006D19E9">
        <w:rPr>
          <w:rFonts w:hint="cs"/>
          <w:rtl/>
        </w:rPr>
        <w:t>مستنداً في ذلك إلى تقارير التقييم الوطنية التي قدّمتها الدول؛ ويمكن أن تنظر الدول في تضمين الاستعراض الدوري الشامل مسألة تطبيق التثقيف في مجال حقوق الإنسان على الصعيد الوطني بوصفه عنصراً ثابت</w:t>
      </w:r>
      <w:r w:rsidR="00B30F0C">
        <w:rPr>
          <w:rFonts w:hint="cs"/>
          <w:rtl/>
        </w:rPr>
        <w:t xml:space="preserve">اً </w:t>
      </w:r>
      <w:r w:rsidRPr="006D19E9">
        <w:rPr>
          <w:rFonts w:hint="cs"/>
          <w:rtl/>
        </w:rPr>
        <w:t>من</w:t>
      </w:r>
      <w:r w:rsidR="006D19E9">
        <w:rPr>
          <w:rFonts w:hint="cs"/>
          <w:rtl/>
        </w:rPr>
        <w:t xml:space="preserve"> </w:t>
      </w:r>
      <w:r w:rsidRPr="006D19E9">
        <w:rPr>
          <w:rFonts w:hint="cs"/>
          <w:rtl/>
        </w:rPr>
        <w:t>عناصر</w:t>
      </w:r>
      <w:r w:rsidR="006D19E9">
        <w:rPr>
          <w:rFonts w:hint="cs"/>
          <w:rtl/>
        </w:rPr>
        <w:t xml:space="preserve"> </w:t>
      </w:r>
      <w:r w:rsidRPr="006D19E9">
        <w:rPr>
          <w:rFonts w:hint="cs"/>
          <w:rtl/>
        </w:rPr>
        <w:t>الاستعراض</w:t>
      </w:r>
      <w:r w:rsidR="006D19E9" w:rsidRPr="006D19E9">
        <w:rPr>
          <w:rStyle w:val="FootnoteReference"/>
          <w:color w:val="auto"/>
          <w:sz w:val="30"/>
          <w:szCs w:val="30"/>
          <w:rtl/>
        </w:rPr>
        <w:t>(</w:t>
      </w:r>
      <w:r w:rsidR="006D19E9" w:rsidRPr="006D19E9">
        <w:rPr>
          <w:rStyle w:val="FootnoteReference"/>
          <w:color w:val="auto"/>
          <w:sz w:val="30"/>
          <w:szCs w:val="30"/>
          <w:rtl/>
        </w:rPr>
        <w:footnoteReference w:id="55"/>
      </w:r>
      <w:r w:rsidR="006D19E9" w:rsidRPr="006D19E9">
        <w:rPr>
          <w:rStyle w:val="FootnoteReference"/>
          <w:color w:val="auto"/>
          <w:sz w:val="30"/>
          <w:szCs w:val="30"/>
          <w:rtl/>
        </w:rPr>
        <w:t>)</w:t>
      </w:r>
      <w:r w:rsidR="00697057" w:rsidRPr="00697057">
        <w:rPr>
          <w:rStyle w:val="FootnoteReference"/>
          <w:rFonts w:hint="cs"/>
          <w:color w:val="auto"/>
          <w:sz w:val="30"/>
          <w:szCs w:val="30"/>
          <w:vertAlign w:val="baseline"/>
          <w:rtl/>
        </w:rPr>
        <w:t>.</w:t>
      </w:r>
    </w:p>
    <w:p w:rsidR="00C47F5D" w:rsidRPr="006D19E9" w:rsidRDefault="00C47F5D" w:rsidP="00697057">
      <w:pPr>
        <w:pStyle w:val="SingleTxt"/>
        <w:rPr>
          <w:rtl/>
        </w:rPr>
      </w:pPr>
      <w:r w:rsidRPr="006D19E9">
        <w:rPr>
          <w:rFonts w:hint="cs"/>
          <w:rtl/>
        </w:rPr>
        <w:t>26-</w:t>
      </w:r>
      <w:r w:rsidRPr="006D19E9">
        <w:rPr>
          <w:rFonts w:hint="cs"/>
          <w:rtl/>
        </w:rPr>
        <w:tab/>
        <w:t>ويشمل التثقيف والتدريب في مجال حقوق الإنسان إعداد المناهج والمواد واستخدام</w:t>
      </w:r>
      <w:r w:rsidR="006D19E9">
        <w:rPr>
          <w:rFonts w:hint="cs"/>
          <w:rtl/>
        </w:rPr>
        <w:t xml:space="preserve"> </w:t>
      </w:r>
      <w:r w:rsidRPr="006D19E9">
        <w:rPr>
          <w:rFonts w:hint="cs"/>
          <w:rtl/>
        </w:rPr>
        <w:t>منهجيات تشاركية</w:t>
      </w:r>
      <w:r w:rsidR="006D19E9">
        <w:rPr>
          <w:rFonts w:hint="cs"/>
          <w:rtl/>
        </w:rPr>
        <w:t xml:space="preserve"> </w:t>
      </w:r>
      <w:r w:rsidRPr="006D19E9">
        <w:rPr>
          <w:rFonts w:hint="cs"/>
          <w:rtl/>
        </w:rPr>
        <w:t>متمحورة حول</w:t>
      </w:r>
      <w:r w:rsidR="006D19E9">
        <w:rPr>
          <w:rFonts w:hint="cs"/>
          <w:rtl/>
        </w:rPr>
        <w:t xml:space="preserve"> </w:t>
      </w:r>
      <w:r w:rsidRPr="006D19E9">
        <w:rPr>
          <w:rFonts w:hint="cs"/>
          <w:rtl/>
        </w:rPr>
        <w:t>المستفيدين، واعتماد</w:t>
      </w:r>
      <w:r w:rsidR="006D19E9">
        <w:rPr>
          <w:rFonts w:hint="cs"/>
          <w:rtl/>
        </w:rPr>
        <w:t xml:space="preserve"> </w:t>
      </w:r>
      <w:r w:rsidRPr="006D19E9">
        <w:rPr>
          <w:rFonts w:hint="cs"/>
          <w:rtl/>
        </w:rPr>
        <w:t>سياسات</w:t>
      </w:r>
      <w:r w:rsidR="006D19E9">
        <w:rPr>
          <w:rFonts w:hint="cs"/>
          <w:rtl/>
        </w:rPr>
        <w:t xml:space="preserve"> </w:t>
      </w:r>
      <w:r w:rsidRPr="006D19E9">
        <w:rPr>
          <w:rFonts w:hint="cs"/>
          <w:rtl/>
        </w:rPr>
        <w:t>مواتية واتخاذ</w:t>
      </w:r>
      <w:r w:rsidR="006D19E9">
        <w:rPr>
          <w:rFonts w:hint="cs"/>
          <w:rtl/>
        </w:rPr>
        <w:t xml:space="preserve"> </w:t>
      </w:r>
      <w:r w:rsidRPr="006D19E9">
        <w:rPr>
          <w:rFonts w:hint="cs"/>
          <w:rtl/>
        </w:rPr>
        <w:t>تدابير لتنفيذ السياسات، وتعزيز</w:t>
      </w:r>
      <w:r w:rsidR="006D19E9">
        <w:rPr>
          <w:rFonts w:hint="cs"/>
          <w:rtl/>
        </w:rPr>
        <w:t xml:space="preserve"> </w:t>
      </w:r>
      <w:r w:rsidRPr="006D19E9">
        <w:rPr>
          <w:rFonts w:hint="cs"/>
          <w:rtl/>
        </w:rPr>
        <w:t>تهيئة بيئات</w:t>
      </w:r>
      <w:r w:rsidR="006D19E9">
        <w:rPr>
          <w:rFonts w:hint="cs"/>
          <w:rtl/>
        </w:rPr>
        <w:t xml:space="preserve"> </w:t>
      </w:r>
      <w:r w:rsidRPr="006D19E9">
        <w:rPr>
          <w:rFonts w:hint="cs"/>
          <w:rtl/>
        </w:rPr>
        <w:t>تعلم</w:t>
      </w:r>
      <w:r w:rsidR="006D19E9">
        <w:rPr>
          <w:rFonts w:hint="cs"/>
          <w:rtl/>
        </w:rPr>
        <w:t xml:space="preserve"> </w:t>
      </w:r>
      <w:r w:rsidRPr="006D19E9">
        <w:rPr>
          <w:rFonts w:hint="cs"/>
          <w:rtl/>
        </w:rPr>
        <w:t>تُحترم فيها حقوق الإنسان. ويتطلب</w:t>
      </w:r>
      <w:r w:rsidR="006D19E9">
        <w:rPr>
          <w:rFonts w:hint="cs"/>
          <w:rtl/>
        </w:rPr>
        <w:t xml:space="preserve"> </w:t>
      </w:r>
      <w:r w:rsidRPr="006D19E9">
        <w:rPr>
          <w:rFonts w:hint="cs"/>
          <w:rtl/>
        </w:rPr>
        <w:t>تحقيق هذه الغاية</w:t>
      </w:r>
      <w:r w:rsidR="006D19E9">
        <w:rPr>
          <w:rFonts w:hint="cs"/>
          <w:rtl/>
        </w:rPr>
        <w:t xml:space="preserve"> </w:t>
      </w:r>
      <w:r w:rsidRPr="006D19E9">
        <w:rPr>
          <w:rFonts w:hint="cs"/>
          <w:rtl/>
        </w:rPr>
        <w:t>ترقية معارف المعلمين والمربين ومهاراتهم ذات الصلة. ويمكن أن تشكل</w:t>
      </w:r>
      <w:r w:rsidR="006D19E9">
        <w:rPr>
          <w:rFonts w:hint="cs"/>
          <w:rtl/>
        </w:rPr>
        <w:t xml:space="preserve"> </w:t>
      </w:r>
      <w:r w:rsidRPr="006D19E9">
        <w:rPr>
          <w:rFonts w:hint="cs"/>
          <w:rtl/>
        </w:rPr>
        <w:t>المدارس والجامعات والمؤسسات التعليمية الشاملة للجميع والتي تعزز حقوق الإنسان وتحثّ على احترام الآخرين وتحتضن التنوع وتحتفي به عاملاً أساسياً في تعزيز الشمول في حد</w:t>
      </w:r>
      <w:r w:rsidR="006D19E9">
        <w:rPr>
          <w:rFonts w:hint="cs"/>
          <w:rtl/>
        </w:rPr>
        <w:t xml:space="preserve"> </w:t>
      </w:r>
      <w:r w:rsidRPr="006D19E9">
        <w:rPr>
          <w:rFonts w:hint="cs"/>
          <w:rtl/>
        </w:rPr>
        <w:t>ذاته وكذلك المواقف الشمولية، وينبغي</w:t>
      </w:r>
      <w:r w:rsidR="006D19E9">
        <w:rPr>
          <w:rFonts w:hint="cs"/>
          <w:rtl/>
        </w:rPr>
        <w:t xml:space="preserve"> </w:t>
      </w:r>
      <w:r w:rsidRPr="006D19E9">
        <w:rPr>
          <w:rFonts w:hint="cs"/>
          <w:rtl/>
        </w:rPr>
        <w:t>على الدولة</w:t>
      </w:r>
      <w:r w:rsidR="006D19E9">
        <w:rPr>
          <w:rFonts w:hint="cs"/>
          <w:rtl/>
        </w:rPr>
        <w:t xml:space="preserve"> </w:t>
      </w:r>
      <w:r w:rsidRPr="006D19E9">
        <w:rPr>
          <w:rFonts w:hint="cs"/>
          <w:rtl/>
        </w:rPr>
        <w:t>تشجيعها وحمايتها</w:t>
      </w:r>
      <w:r w:rsidR="006D19E9" w:rsidRPr="006D19E9">
        <w:rPr>
          <w:rStyle w:val="FootnoteReference"/>
          <w:color w:val="auto"/>
          <w:sz w:val="30"/>
          <w:szCs w:val="30"/>
          <w:rtl/>
        </w:rPr>
        <w:t>(</w:t>
      </w:r>
      <w:r w:rsidR="006D19E9" w:rsidRPr="006D19E9">
        <w:rPr>
          <w:rStyle w:val="FootnoteReference"/>
          <w:color w:val="auto"/>
          <w:sz w:val="30"/>
          <w:szCs w:val="30"/>
          <w:rtl/>
        </w:rPr>
        <w:footnoteReference w:id="56"/>
      </w:r>
      <w:r w:rsidR="006D19E9" w:rsidRPr="006D19E9">
        <w:rPr>
          <w:rStyle w:val="FootnoteReference"/>
          <w:color w:val="auto"/>
          <w:sz w:val="30"/>
          <w:szCs w:val="30"/>
          <w:rtl/>
        </w:rPr>
        <w:t>)</w:t>
      </w:r>
      <w:r w:rsidR="00697057" w:rsidRPr="00697057">
        <w:rPr>
          <w:rStyle w:val="FootnoteReference"/>
          <w:rFonts w:hint="cs"/>
          <w:color w:val="auto"/>
          <w:sz w:val="30"/>
          <w:szCs w:val="30"/>
          <w:vertAlign w:val="baseline"/>
          <w:rtl/>
        </w:rPr>
        <w:t>.</w:t>
      </w:r>
    </w:p>
    <w:p w:rsidR="00C47F5D" w:rsidRPr="006D19E9" w:rsidRDefault="00C47F5D" w:rsidP="00697057">
      <w:pPr>
        <w:pStyle w:val="SingleTxt"/>
      </w:pPr>
      <w:r w:rsidRPr="006D19E9">
        <w:rPr>
          <w:rFonts w:hint="cs"/>
          <w:rtl/>
        </w:rPr>
        <w:t>27-</w:t>
      </w:r>
      <w:r w:rsidRPr="006D19E9">
        <w:rPr>
          <w:rFonts w:hint="cs"/>
          <w:rtl/>
        </w:rPr>
        <w:tab/>
        <w:t>وبالإضافة إلى</w:t>
      </w:r>
      <w:r w:rsidR="006D19E9">
        <w:rPr>
          <w:rFonts w:hint="cs"/>
          <w:rtl/>
        </w:rPr>
        <w:t xml:space="preserve"> </w:t>
      </w:r>
      <w:r w:rsidRPr="006D19E9">
        <w:rPr>
          <w:rFonts w:hint="cs"/>
          <w:rtl/>
        </w:rPr>
        <w:t>أن التثقيف في مجال حقوق الإنسان من المسؤوليات</w:t>
      </w:r>
      <w:r w:rsidR="006D19E9">
        <w:rPr>
          <w:rFonts w:hint="cs"/>
          <w:rtl/>
        </w:rPr>
        <w:t xml:space="preserve"> </w:t>
      </w:r>
      <w:r w:rsidRPr="006D19E9">
        <w:rPr>
          <w:rFonts w:hint="cs"/>
          <w:rtl/>
        </w:rPr>
        <w:t>التي تتحملها الدول</w:t>
      </w:r>
      <w:r w:rsidR="006D19E9">
        <w:rPr>
          <w:rFonts w:hint="cs"/>
          <w:rtl/>
        </w:rPr>
        <w:t xml:space="preserve"> </w:t>
      </w:r>
      <w:r w:rsidRPr="006D19E9">
        <w:rPr>
          <w:rFonts w:hint="cs"/>
          <w:rtl/>
        </w:rPr>
        <w:t>على</w:t>
      </w:r>
      <w:r w:rsidR="006D19E9">
        <w:rPr>
          <w:rFonts w:hint="cs"/>
          <w:rtl/>
        </w:rPr>
        <w:t xml:space="preserve"> </w:t>
      </w:r>
      <w:r w:rsidRPr="006D19E9">
        <w:rPr>
          <w:rFonts w:hint="cs"/>
          <w:rtl/>
        </w:rPr>
        <w:t>وجه التحديد، يتولى أصحاب المصلحة الآخرون أيضاً مهام التثقيف في مجال حقوق الإنسان،</w:t>
      </w:r>
      <w:r w:rsidR="006D19E9">
        <w:rPr>
          <w:rFonts w:hint="cs"/>
          <w:rtl/>
        </w:rPr>
        <w:t xml:space="preserve"> </w:t>
      </w:r>
      <w:r w:rsidRPr="006D19E9">
        <w:rPr>
          <w:rFonts w:hint="cs"/>
          <w:rtl/>
        </w:rPr>
        <w:t xml:space="preserve">بما في ذلك المؤسسات الوطنية لحقوق الإنسان (الفقرة 20 من الوثيقة </w:t>
      </w:r>
      <w:r w:rsidRPr="006D19E9">
        <w:t>A/HRC/28/30</w:t>
      </w:r>
      <w:r w:rsidRPr="006D19E9">
        <w:rPr>
          <w:rFonts w:hint="cs"/>
          <w:rtl/>
        </w:rPr>
        <w:t>) ومنظمات المجتمع المدني</w:t>
      </w:r>
      <w:r w:rsidR="006D19E9" w:rsidRPr="006D19E9">
        <w:rPr>
          <w:rStyle w:val="FootnoteReference"/>
          <w:color w:val="auto"/>
          <w:sz w:val="30"/>
          <w:szCs w:val="30"/>
          <w:rtl/>
        </w:rPr>
        <w:t>(</w:t>
      </w:r>
      <w:r w:rsidR="006D19E9" w:rsidRPr="006D19E9">
        <w:rPr>
          <w:rStyle w:val="FootnoteReference"/>
          <w:color w:val="auto"/>
          <w:sz w:val="30"/>
          <w:szCs w:val="30"/>
          <w:rtl/>
        </w:rPr>
        <w:footnoteReference w:id="57"/>
      </w:r>
      <w:r w:rsidR="006D19E9" w:rsidRPr="006D19E9">
        <w:rPr>
          <w:rStyle w:val="FootnoteReference"/>
          <w:color w:val="auto"/>
          <w:sz w:val="30"/>
          <w:szCs w:val="30"/>
          <w:rtl/>
        </w:rPr>
        <w:t>)</w:t>
      </w:r>
      <w:r w:rsidR="00697057">
        <w:rPr>
          <w:rFonts w:hint="cs"/>
          <w:rtl/>
        </w:rPr>
        <w:t>.</w:t>
      </w:r>
      <w:r w:rsidR="006D19E9">
        <w:rPr>
          <w:rFonts w:hint="cs"/>
          <w:rtl/>
        </w:rPr>
        <w:t xml:space="preserve"> </w:t>
      </w:r>
      <w:r w:rsidRPr="006D19E9">
        <w:rPr>
          <w:rFonts w:hint="cs"/>
          <w:rtl/>
        </w:rPr>
        <w:t>ويدعم وجود مفوضية الأمم المتحدة السامية لحقوق الإنسان في الميدان الجهود الوطنية</w:t>
      </w:r>
      <w:r w:rsidR="006D19E9">
        <w:rPr>
          <w:rFonts w:hint="cs"/>
          <w:rtl/>
        </w:rPr>
        <w:t xml:space="preserve"> </w:t>
      </w:r>
      <w:r w:rsidRPr="006D19E9">
        <w:rPr>
          <w:rFonts w:hint="cs"/>
          <w:rtl/>
        </w:rPr>
        <w:t>للتثقيف في مجال حقوق الإنسان،</w:t>
      </w:r>
      <w:r w:rsidR="006D19E9">
        <w:rPr>
          <w:rFonts w:hint="cs"/>
          <w:rtl/>
        </w:rPr>
        <w:t xml:space="preserve"> </w:t>
      </w:r>
      <w:r w:rsidRPr="006D19E9">
        <w:rPr>
          <w:rFonts w:hint="cs"/>
          <w:rtl/>
        </w:rPr>
        <w:t>من خلال تنسيق البرنامج العالمي للت</w:t>
      </w:r>
      <w:r w:rsidR="005D3065">
        <w:rPr>
          <w:rFonts w:hint="cs"/>
          <w:rtl/>
        </w:rPr>
        <w:t>ثقيف في مجال حقوق الإنسان، وتوف</w:t>
      </w:r>
      <w:r w:rsidRPr="006D19E9">
        <w:rPr>
          <w:rFonts w:hint="cs"/>
          <w:rtl/>
        </w:rPr>
        <w:t>ير المشورة المتخصصة،</w:t>
      </w:r>
      <w:r w:rsidR="006D19E9">
        <w:rPr>
          <w:rFonts w:hint="cs"/>
          <w:rtl/>
        </w:rPr>
        <w:t xml:space="preserve"> </w:t>
      </w:r>
      <w:r w:rsidRPr="006D19E9">
        <w:rPr>
          <w:rFonts w:hint="cs"/>
          <w:rtl/>
        </w:rPr>
        <w:t>وإعداد ونشر الأدوات المنهجية القائمة على الممارسات السليمة،</w:t>
      </w:r>
      <w:r w:rsidR="006D19E9">
        <w:rPr>
          <w:rFonts w:hint="cs"/>
          <w:rtl/>
        </w:rPr>
        <w:t xml:space="preserve"> </w:t>
      </w:r>
      <w:r w:rsidRPr="006D19E9">
        <w:rPr>
          <w:rFonts w:hint="cs"/>
          <w:rtl/>
        </w:rPr>
        <w:t>وكفالة توافر الموارد اللازمة لتيسير تبادل المعلومات</w:t>
      </w:r>
      <w:r w:rsidR="006D19E9" w:rsidRPr="006D19E9">
        <w:rPr>
          <w:rStyle w:val="FootnoteReference"/>
          <w:color w:val="auto"/>
          <w:sz w:val="30"/>
          <w:szCs w:val="30"/>
          <w:rtl/>
        </w:rPr>
        <w:t>(</w:t>
      </w:r>
      <w:r w:rsidR="006D19E9" w:rsidRPr="006D19E9">
        <w:rPr>
          <w:rStyle w:val="FootnoteReference"/>
          <w:color w:val="auto"/>
          <w:sz w:val="30"/>
          <w:szCs w:val="30"/>
          <w:rtl/>
        </w:rPr>
        <w:footnoteReference w:id="58"/>
      </w:r>
      <w:r w:rsidR="006D19E9" w:rsidRPr="006D19E9">
        <w:rPr>
          <w:rStyle w:val="FootnoteReference"/>
          <w:color w:val="auto"/>
          <w:sz w:val="30"/>
          <w:szCs w:val="30"/>
          <w:rtl/>
        </w:rPr>
        <w:t>)</w:t>
      </w:r>
      <w:r w:rsidR="00697057" w:rsidRPr="00697057">
        <w:rPr>
          <w:rStyle w:val="FootnoteReference"/>
          <w:rFonts w:hint="cs"/>
          <w:color w:val="auto"/>
          <w:sz w:val="30"/>
          <w:szCs w:val="30"/>
          <w:vertAlign w:val="baseline"/>
          <w:rtl/>
        </w:rPr>
        <w:t>.</w:t>
      </w:r>
    </w:p>
    <w:p w:rsidR="00C47F5D" w:rsidRPr="006D19E9" w:rsidRDefault="00C47F5D" w:rsidP="00C47F5D">
      <w:pPr>
        <w:pStyle w:val="SingleTxt"/>
        <w:rPr>
          <w:rtl/>
        </w:rPr>
      </w:pPr>
      <w:r w:rsidRPr="006D19E9">
        <w:rPr>
          <w:rFonts w:hint="cs"/>
          <w:rtl/>
        </w:rPr>
        <w:t>28-</w:t>
      </w:r>
      <w:r w:rsidRPr="006D19E9">
        <w:rPr>
          <w:rFonts w:hint="cs"/>
          <w:rtl/>
        </w:rPr>
        <w:tab/>
        <w:t>وتعزّز كثير من المؤسسات الوطنية لحقوق الإنسان التثقيف في مجال حقوق الإنسان باستخدام مجموعة متنوعة من الأدوات التي تشمل</w:t>
      </w:r>
      <w:r w:rsidR="006D19E9">
        <w:rPr>
          <w:rFonts w:hint="cs"/>
          <w:rtl/>
        </w:rPr>
        <w:t xml:space="preserve"> </w:t>
      </w:r>
      <w:r w:rsidRPr="006D19E9">
        <w:rPr>
          <w:rFonts w:hint="cs"/>
          <w:rtl/>
        </w:rPr>
        <w:t>البرامج الإذاعية والألعاب والأدوات التفاعلية</w:t>
      </w:r>
      <w:r w:rsidR="006D19E9">
        <w:rPr>
          <w:rFonts w:hint="cs"/>
          <w:rtl/>
        </w:rPr>
        <w:t xml:space="preserve"> </w:t>
      </w:r>
      <w:r w:rsidRPr="006D19E9">
        <w:rPr>
          <w:rFonts w:hint="cs"/>
          <w:rtl/>
        </w:rPr>
        <w:t>وبرامج</w:t>
      </w:r>
      <w:r w:rsidR="006D19E9">
        <w:rPr>
          <w:rFonts w:hint="cs"/>
          <w:rtl/>
        </w:rPr>
        <w:t xml:space="preserve"> </w:t>
      </w:r>
      <w:r w:rsidRPr="006D19E9">
        <w:rPr>
          <w:rFonts w:hint="cs"/>
          <w:rtl/>
        </w:rPr>
        <w:t>الإنترنت. وتركّز المؤسسات الوطنية لحقوق الإنسان أيضاً على فئات معيّنة يرجح أن تكون أكثر</w:t>
      </w:r>
      <w:r w:rsidR="006D19E9">
        <w:rPr>
          <w:rFonts w:hint="cs"/>
          <w:rtl/>
        </w:rPr>
        <w:t xml:space="preserve"> </w:t>
      </w:r>
      <w:r w:rsidRPr="006D19E9">
        <w:rPr>
          <w:rFonts w:hint="cs"/>
          <w:rtl/>
        </w:rPr>
        <w:t>عرضة للتمييز أو الانتهاكات. ويشمل هذا</w:t>
      </w:r>
      <w:r w:rsidR="006D19E9">
        <w:rPr>
          <w:rFonts w:hint="cs"/>
          <w:rtl/>
        </w:rPr>
        <w:t xml:space="preserve"> </w:t>
      </w:r>
      <w:r w:rsidRPr="006D19E9">
        <w:rPr>
          <w:rFonts w:hint="cs"/>
          <w:rtl/>
        </w:rPr>
        <w:t>تنفيذ برامج</w:t>
      </w:r>
      <w:r w:rsidR="006D19E9">
        <w:rPr>
          <w:rFonts w:hint="cs"/>
          <w:rtl/>
        </w:rPr>
        <w:t xml:space="preserve"> </w:t>
      </w:r>
      <w:r w:rsidRPr="006D19E9">
        <w:rPr>
          <w:rFonts w:hint="cs"/>
          <w:rtl/>
        </w:rPr>
        <w:t>موجهة إلى فئات معيّنة وإلى الأشخاص</w:t>
      </w:r>
      <w:r w:rsidR="006D19E9">
        <w:rPr>
          <w:rFonts w:hint="cs"/>
          <w:rtl/>
        </w:rPr>
        <w:t xml:space="preserve"> </w:t>
      </w:r>
      <w:r w:rsidRPr="006D19E9">
        <w:rPr>
          <w:rFonts w:hint="cs"/>
          <w:rtl/>
        </w:rPr>
        <w:t>الذين يتعاملون مع هذه الفئات من قبيل موظفي الخدمات الاجتماعية والمعلمين وموظفي المدارس وأفراد الشرطة. وتستطيع</w:t>
      </w:r>
      <w:r w:rsidR="006D19E9">
        <w:rPr>
          <w:rFonts w:hint="cs"/>
          <w:rtl/>
        </w:rPr>
        <w:t xml:space="preserve"> </w:t>
      </w:r>
      <w:r w:rsidRPr="006D19E9">
        <w:rPr>
          <w:rFonts w:hint="cs"/>
          <w:rtl/>
        </w:rPr>
        <w:t>المؤسسات الوطنية لحقوق الإنسان تحديد الاحتياجات الخاصة</w:t>
      </w:r>
      <w:r w:rsidR="006D19E9">
        <w:rPr>
          <w:rFonts w:hint="cs"/>
          <w:rtl/>
        </w:rPr>
        <w:t xml:space="preserve"> </w:t>
      </w:r>
      <w:r w:rsidRPr="006D19E9">
        <w:rPr>
          <w:rFonts w:hint="cs"/>
          <w:rtl/>
        </w:rPr>
        <w:t>لفئات معيّنة، عن طريق دورها في مجال الرصد، ومعالجة الحالات الفردية، وإجراء</w:t>
      </w:r>
      <w:r w:rsidR="006D19E9">
        <w:rPr>
          <w:rFonts w:hint="cs"/>
          <w:rtl/>
        </w:rPr>
        <w:t xml:space="preserve"> </w:t>
      </w:r>
      <w:r w:rsidRPr="006D19E9">
        <w:rPr>
          <w:rFonts w:hint="cs"/>
          <w:rtl/>
        </w:rPr>
        <w:t>تحليلات إحصائية</w:t>
      </w:r>
      <w:r w:rsidR="006D19E9">
        <w:rPr>
          <w:rFonts w:hint="cs"/>
          <w:rtl/>
        </w:rPr>
        <w:t xml:space="preserve"> </w:t>
      </w:r>
      <w:r w:rsidRPr="006D19E9">
        <w:rPr>
          <w:rFonts w:hint="cs"/>
          <w:rtl/>
        </w:rPr>
        <w:t>أوفى، مما يثبت</w:t>
      </w:r>
      <w:r w:rsidR="006D19E9">
        <w:rPr>
          <w:rFonts w:hint="cs"/>
          <w:rtl/>
        </w:rPr>
        <w:t xml:space="preserve"> </w:t>
      </w:r>
      <w:r w:rsidRPr="006D19E9">
        <w:rPr>
          <w:rFonts w:hint="cs"/>
          <w:rtl/>
        </w:rPr>
        <w:t>فائدة الاتساق والتلاقح بين</w:t>
      </w:r>
      <w:r w:rsidR="006D19E9">
        <w:rPr>
          <w:rFonts w:hint="cs"/>
          <w:rtl/>
        </w:rPr>
        <w:t xml:space="preserve"> </w:t>
      </w:r>
      <w:r w:rsidRPr="006D19E9">
        <w:rPr>
          <w:rFonts w:hint="cs"/>
          <w:rtl/>
        </w:rPr>
        <w:t>الوظائف المختلفة لهذه الهيئات.</w:t>
      </w:r>
    </w:p>
    <w:p w:rsidR="00C47F5D" w:rsidRPr="006D19E9" w:rsidRDefault="00C47F5D" w:rsidP="00FE0EA2">
      <w:pPr>
        <w:pStyle w:val="SingleTxt"/>
        <w:rPr>
          <w:rtl/>
        </w:rPr>
      </w:pPr>
      <w:r w:rsidRPr="006D19E9">
        <w:rPr>
          <w:rFonts w:hint="cs"/>
          <w:rtl/>
        </w:rPr>
        <w:t>29-</w:t>
      </w:r>
      <w:r w:rsidRPr="006D19E9">
        <w:rPr>
          <w:rFonts w:hint="cs"/>
          <w:rtl/>
        </w:rPr>
        <w:tab/>
        <w:t>وتذكي المؤسسات الوطنية لحقوق الإنسان أيضاً وعي الجمهور بحقوق الإنسان</w:t>
      </w:r>
      <w:r w:rsidR="006D19E9" w:rsidRPr="006D19E9">
        <w:rPr>
          <w:rStyle w:val="FootnoteReference"/>
          <w:color w:val="auto"/>
          <w:sz w:val="30"/>
          <w:szCs w:val="30"/>
          <w:rtl/>
        </w:rPr>
        <w:t>(</w:t>
      </w:r>
      <w:r w:rsidR="006D19E9" w:rsidRPr="006D19E9">
        <w:rPr>
          <w:rStyle w:val="FootnoteReference"/>
          <w:color w:val="auto"/>
          <w:sz w:val="30"/>
          <w:szCs w:val="30"/>
          <w:rtl/>
        </w:rPr>
        <w:footnoteReference w:id="59"/>
      </w:r>
      <w:r w:rsidR="006D19E9" w:rsidRPr="006D19E9">
        <w:rPr>
          <w:rStyle w:val="FootnoteReference"/>
          <w:color w:val="auto"/>
          <w:sz w:val="30"/>
          <w:szCs w:val="30"/>
          <w:rtl/>
        </w:rPr>
        <w:t>)</w:t>
      </w:r>
      <w:r w:rsidR="006D19E9">
        <w:rPr>
          <w:rFonts w:hint="cs"/>
          <w:rtl/>
        </w:rPr>
        <w:t xml:space="preserve"> </w:t>
      </w:r>
      <w:r w:rsidRPr="006D19E9">
        <w:rPr>
          <w:rFonts w:hint="cs"/>
          <w:rtl/>
        </w:rPr>
        <w:t>عبر وسائط الإعلام، وعن طريق النشرات الصحفية والتقارير والآراء المتخصصة والتوصيات</w:t>
      </w:r>
      <w:r w:rsidR="006D19E9" w:rsidRPr="006D19E9">
        <w:rPr>
          <w:rStyle w:val="FootnoteReference"/>
          <w:color w:val="auto"/>
          <w:sz w:val="30"/>
          <w:szCs w:val="30"/>
          <w:rtl/>
        </w:rPr>
        <w:t>(</w:t>
      </w:r>
      <w:r w:rsidR="006D19E9" w:rsidRPr="006D19E9">
        <w:rPr>
          <w:rStyle w:val="FootnoteReference"/>
          <w:color w:val="auto"/>
          <w:sz w:val="30"/>
          <w:szCs w:val="30"/>
          <w:rtl/>
        </w:rPr>
        <w:footnoteReference w:id="60"/>
      </w:r>
      <w:r w:rsidR="006D19E9" w:rsidRPr="006D19E9">
        <w:rPr>
          <w:rStyle w:val="FootnoteReference"/>
          <w:color w:val="auto"/>
          <w:sz w:val="30"/>
          <w:szCs w:val="30"/>
          <w:rtl/>
        </w:rPr>
        <w:t>)</w:t>
      </w:r>
      <w:r w:rsidRPr="006D19E9">
        <w:rPr>
          <w:rFonts w:hint="cs"/>
          <w:rtl/>
        </w:rPr>
        <w:t xml:space="preserve"> (بما في ذلك الترويج للتصديق على معاهدات حقوق الإنسان</w:t>
      </w:r>
      <w:r w:rsidR="006D19E9" w:rsidRPr="006D19E9">
        <w:rPr>
          <w:rStyle w:val="FootnoteReference"/>
          <w:color w:val="auto"/>
          <w:sz w:val="30"/>
          <w:szCs w:val="30"/>
          <w:rtl/>
        </w:rPr>
        <w:t>(</w:t>
      </w:r>
      <w:r w:rsidR="006D19E9" w:rsidRPr="006D19E9">
        <w:rPr>
          <w:rStyle w:val="FootnoteReference"/>
          <w:color w:val="auto"/>
          <w:sz w:val="30"/>
          <w:szCs w:val="30"/>
          <w:rtl/>
        </w:rPr>
        <w:footnoteReference w:id="61"/>
      </w:r>
      <w:r w:rsidR="006D19E9" w:rsidRPr="006D19E9">
        <w:rPr>
          <w:rStyle w:val="FootnoteReference"/>
          <w:color w:val="auto"/>
          <w:sz w:val="30"/>
          <w:szCs w:val="30"/>
          <w:rtl/>
        </w:rPr>
        <w:t>)</w:t>
      </w:r>
      <w:r w:rsidRPr="006D19E9">
        <w:rPr>
          <w:rFonts w:hint="cs"/>
          <w:rtl/>
        </w:rPr>
        <w:t>). وأنشأت</w:t>
      </w:r>
      <w:r w:rsidR="006D19E9">
        <w:rPr>
          <w:rFonts w:hint="cs"/>
          <w:rtl/>
        </w:rPr>
        <w:t xml:space="preserve"> </w:t>
      </w:r>
      <w:r w:rsidRPr="006D19E9">
        <w:rPr>
          <w:rFonts w:hint="cs"/>
          <w:rtl/>
        </w:rPr>
        <w:t>المؤسسات الوطنية لحقوق الإنسان</w:t>
      </w:r>
      <w:r w:rsidR="006D19E9">
        <w:rPr>
          <w:rFonts w:hint="cs"/>
          <w:rtl/>
        </w:rPr>
        <w:t xml:space="preserve"> </w:t>
      </w:r>
      <w:r w:rsidRPr="006D19E9">
        <w:rPr>
          <w:rFonts w:hint="cs"/>
          <w:rtl/>
        </w:rPr>
        <w:t>مراكز للزائرين لتكون بمثابة وسائل للتثقيف والإرشاد، ويشترك بعضها في برامج تلفزيونية</w:t>
      </w:r>
      <w:r w:rsidR="006D19E9">
        <w:rPr>
          <w:rFonts w:hint="cs"/>
          <w:rtl/>
        </w:rPr>
        <w:t xml:space="preserve"> </w:t>
      </w:r>
      <w:r w:rsidRPr="006D19E9">
        <w:rPr>
          <w:rFonts w:hint="cs"/>
          <w:rtl/>
        </w:rPr>
        <w:t>تشمل عرض حالات وقضايا معينة على الجمهور</w:t>
      </w:r>
      <w:r w:rsidR="006D19E9" w:rsidRPr="006D19E9">
        <w:rPr>
          <w:rStyle w:val="FootnoteReference"/>
          <w:color w:val="auto"/>
          <w:sz w:val="30"/>
          <w:szCs w:val="30"/>
          <w:rtl/>
        </w:rPr>
        <w:t>(</w:t>
      </w:r>
      <w:r w:rsidR="006D19E9" w:rsidRPr="006D19E9">
        <w:rPr>
          <w:rStyle w:val="FootnoteReference"/>
          <w:color w:val="auto"/>
          <w:sz w:val="30"/>
          <w:szCs w:val="30"/>
          <w:rtl/>
        </w:rPr>
        <w:footnoteReference w:id="62"/>
      </w:r>
      <w:r w:rsidR="006D19E9" w:rsidRPr="006D19E9">
        <w:rPr>
          <w:rStyle w:val="FootnoteReference"/>
          <w:color w:val="auto"/>
          <w:sz w:val="30"/>
          <w:szCs w:val="30"/>
          <w:rtl/>
        </w:rPr>
        <w:t>)</w:t>
      </w:r>
      <w:r w:rsidR="00697057">
        <w:rPr>
          <w:rFonts w:hint="cs"/>
          <w:rtl/>
        </w:rPr>
        <w:t>.</w:t>
      </w:r>
      <w:r w:rsidRPr="006D19E9">
        <w:rPr>
          <w:rFonts w:hint="cs"/>
          <w:rtl/>
        </w:rPr>
        <w:t xml:space="preserve"> وأخيراً، تتيح المؤسسات الوطنية لحقوق الإنسان أيضاً إمكانية تبادل الممارسات الجيدة والدروس المكتسبة في ما بين الدول التي تتاح فيها توصياتها وآراؤها للجمهور، كجزء</w:t>
      </w:r>
      <w:r w:rsidR="006D19E9">
        <w:rPr>
          <w:rFonts w:hint="cs"/>
          <w:rtl/>
        </w:rPr>
        <w:t xml:space="preserve"> </w:t>
      </w:r>
      <w:r w:rsidRPr="006D19E9">
        <w:rPr>
          <w:rFonts w:hint="cs"/>
          <w:rtl/>
        </w:rPr>
        <w:t>من عملية إعداد التقارير السنوية مثلا</w:t>
      </w:r>
      <w:r w:rsidR="00FE0EA2">
        <w:rPr>
          <w:rFonts w:hint="cs"/>
          <w:rtl/>
        </w:rPr>
        <w:t>ً</w:t>
      </w:r>
      <w:r w:rsidRPr="006D19E9">
        <w:rPr>
          <w:rFonts w:hint="cs"/>
          <w:rtl/>
        </w:rPr>
        <w:t>.</w:t>
      </w:r>
      <w:r w:rsidR="00FE0EA2">
        <w:rPr>
          <w:rFonts w:hint="cs"/>
          <w:rtl/>
        </w:rPr>
        <w:t xml:space="preserve"> </w:t>
      </w: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D19E9">
        <w:rPr>
          <w:rFonts w:hint="cs"/>
          <w:rtl/>
        </w:rPr>
        <w:tab/>
        <w:t>جيم-</w:t>
      </w:r>
      <w:r w:rsidRPr="006D19E9">
        <w:rPr>
          <w:rFonts w:hint="cs"/>
          <w:rtl/>
        </w:rPr>
        <w:tab/>
        <w:t>أدوات التخطيط والرصد</w:t>
      </w:r>
    </w:p>
    <w:p w:rsidR="00C47F5D" w:rsidRPr="006D19E9" w:rsidRDefault="00C47F5D" w:rsidP="00C47F5D">
      <w:pPr>
        <w:pStyle w:val="SingleTxt"/>
        <w:spacing w:after="0" w:line="120" w:lineRule="exact"/>
        <w:rPr>
          <w:sz w:val="10"/>
          <w:rtl/>
        </w:rPr>
      </w:pPr>
    </w:p>
    <w:p w:rsidR="00C47F5D" w:rsidRPr="006D19E9" w:rsidRDefault="00C47F5D" w:rsidP="00C47F5D">
      <w:pPr>
        <w:pStyle w:val="SingleTxt"/>
        <w:rPr>
          <w:rtl/>
        </w:rPr>
      </w:pPr>
      <w:r w:rsidRPr="006D19E9">
        <w:rPr>
          <w:rFonts w:hint="cs"/>
          <w:rtl/>
        </w:rPr>
        <w:t>30-</w:t>
      </w:r>
      <w:r w:rsidRPr="006D19E9">
        <w:rPr>
          <w:rFonts w:hint="cs"/>
          <w:rtl/>
        </w:rPr>
        <w:tab/>
        <w:t xml:space="preserve"> تستطيع الدول</w:t>
      </w:r>
      <w:r w:rsidR="006D19E9">
        <w:rPr>
          <w:rFonts w:hint="cs"/>
          <w:rtl/>
        </w:rPr>
        <w:t xml:space="preserve"> </w:t>
      </w:r>
      <w:r w:rsidRPr="006D19E9">
        <w:rPr>
          <w:rFonts w:hint="cs"/>
          <w:rtl/>
        </w:rPr>
        <w:t>وأصحاب المصلحة الآخرون الاستعانة بعدد من أدوات التخطيط والرصد في</w:t>
      </w:r>
      <w:r w:rsidR="006D19E9">
        <w:rPr>
          <w:rFonts w:hint="cs"/>
          <w:rtl/>
        </w:rPr>
        <w:t xml:space="preserve"> </w:t>
      </w:r>
      <w:r w:rsidRPr="006D19E9">
        <w:rPr>
          <w:rFonts w:hint="cs"/>
          <w:rtl/>
        </w:rPr>
        <w:t>منع انتهاكات حقوق الإنسان،</w:t>
      </w:r>
      <w:r w:rsidR="006D19E9">
        <w:rPr>
          <w:rFonts w:hint="cs"/>
          <w:rtl/>
        </w:rPr>
        <w:t xml:space="preserve"> </w:t>
      </w:r>
      <w:r w:rsidRPr="006D19E9">
        <w:rPr>
          <w:rFonts w:hint="cs"/>
          <w:rtl/>
        </w:rPr>
        <w:t>وبصفة خاصة في وضع السياسات. وأعدّت بعض الدول خطط عمل وطنية بشأن حقوق الإنسان</w:t>
      </w:r>
      <w:r w:rsidR="006D19E9" w:rsidRPr="006D19E9">
        <w:rPr>
          <w:rStyle w:val="FootnoteReference"/>
          <w:color w:val="auto"/>
          <w:sz w:val="30"/>
          <w:szCs w:val="30"/>
          <w:rtl/>
        </w:rPr>
        <w:t>(</w:t>
      </w:r>
      <w:r w:rsidR="006D19E9" w:rsidRPr="006D19E9">
        <w:rPr>
          <w:rStyle w:val="FootnoteReference"/>
          <w:color w:val="auto"/>
          <w:sz w:val="30"/>
          <w:szCs w:val="30"/>
          <w:rtl/>
        </w:rPr>
        <w:footnoteReference w:id="63"/>
      </w:r>
      <w:r w:rsidR="006D19E9" w:rsidRPr="006D19E9">
        <w:rPr>
          <w:rStyle w:val="FootnoteReference"/>
          <w:color w:val="auto"/>
          <w:sz w:val="30"/>
          <w:szCs w:val="30"/>
          <w:rtl/>
        </w:rPr>
        <w:t>)</w:t>
      </w:r>
      <w:r w:rsidRPr="006D19E9">
        <w:rPr>
          <w:rFonts w:hint="cs"/>
          <w:rtl/>
        </w:rPr>
        <w:t>، أو خطط عمل بشأن قضايا مواضيعية محدّدة</w:t>
      </w:r>
      <w:r w:rsidR="006D19E9" w:rsidRPr="006D19E9">
        <w:rPr>
          <w:rStyle w:val="FootnoteReference"/>
          <w:color w:val="auto"/>
          <w:sz w:val="30"/>
          <w:szCs w:val="30"/>
          <w:rtl/>
        </w:rPr>
        <w:t>(</w:t>
      </w:r>
      <w:r w:rsidR="006D19E9" w:rsidRPr="006D19E9">
        <w:rPr>
          <w:rStyle w:val="FootnoteReference"/>
          <w:color w:val="auto"/>
          <w:sz w:val="30"/>
          <w:szCs w:val="30"/>
          <w:rtl/>
        </w:rPr>
        <w:footnoteReference w:id="64"/>
      </w:r>
      <w:r w:rsidR="006D19E9" w:rsidRPr="006D19E9">
        <w:rPr>
          <w:rStyle w:val="FootnoteReference"/>
          <w:color w:val="auto"/>
          <w:sz w:val="30"/>
          <w:szCs w:val="30"/>
          <w:rtl/>
        </w:rPr>
        <w:t>)</w:t>
      </w:r>
      <w:r w:rsidRPr="006D19E9">
        <w:rPr>
          <w:rFonts w:hint="cs"/>
          <w:rtl/>
        </w:rPr>
        <w:t>، يمكن أن توفر الإرشاد</w:t>
      </w:r>
      <w:r w:rsidR="006D19E9">
        <w:rPr>
          <w:rFonts w:hint="cs"/>
          <w:rtl/>
        </w:rPr>
        <w:t xml:space="preserve"> </w:t>
      </w:r>
      <w:r w:rsidRPr="006D19E9">
        <w:rPr>
          <w:rFonts w:hint="cs"/>
          <w:rtl/>
        </w:rPr>
        <w:t>لجهود</w:t>
      </w:r>
      <w:r w:rsidR="006D19E9">
        <w:rPr>
          <w:rFonts w:hint="cs"/>
          <w:rtl/>
        </w:rPr>
        <w:t xml:space="preserve"> </w:t>
      </w:r>
      <w:r w:rsidRPr="006D19E9">
        <w:rPr>
          <w:rFonts w:hint="cs"/>
          <w:rtl/>
        </w:rPr>
        <w:t>منع الانتهاكات. وفضلاً عن ذلك،</w:t>
      </w:r>
      <w:r w:rsidR="006D19E9">
        <w:rPr>
          <w:rFonts w:hint="cs"/>
          <w:rtl/>
        </w:rPr>
        <w:t xml:space="preserve"> </w:t>
      </w:r>
      <w:r w:rsidRPr="006D19E9">
        <w:rPr>
          <w:rFonts w:hint="cs"/>
          <w:rtl/>
        </w:rPr>
        <w:t>من المهمّ أيض</w:t>
      </w:r>
      <w:r w:rsidR="00B30F0C">
        <w:rPr>
          <w:rFonts w:hint="cs"/>
          <w:rtl/>
        </w:rPr>
        <w:t xml:space="preserve">اً </w:t>
      </w:r>
      <w:r w:rsidRPr="006D19E9">
        <w:rPr>
          <w:rFonts w:hint="cs"/>
          <w:rtl/>
        </w:rPr>
        <w:t>إنشاء هيئة تجمع الأجهزة الحكومية المعنية والمؤسسات الوطنية لحقوق الإنسان ومنظمات المجتمع المدني، لغرض إسداء المشورة</w:t>
      </w:r>
      <w:r w:rsidR="006D19E9">
        <w:rPr>
          <w:rFonts w:hint="cs"/>
          <w:rtl/>
        </w:rPr>
        <w:t xml:space="preserve"> </w:t>
      </w:r>
      <w:r w:rsidRPr="006D19E9">
        <w:rPr>
          <w:rFonts w:hint="cs"/>
          <w:rtl/>
        </w:rPr>
        <w:t>للدولة أو</w:t>
      </w:r>
      <w:r w:rsidR="006D19E9">
        <w:rPr>
          <w:rFonts w:hint="cs"/>
          <w:rtl/>
        </w:rPr>
        <w:t xml:space="preserve"> </w:t>
      </w:r>
      <w:r w:rsidRPr="006D19E9">
        <w:rPr>
          <w:rFonts w:hint="cs"/>
          <w:rtl/>
        </w:rPr>
        <w:t>المؤسسات الوطنية لحقوق الإنسان فيما يتعلق بقضايا حقوق الإنسان بصفة عامةً أو بفئة معينة</w:t>
      </w:r>
      <w:r w:rsidR="006D19E9" w:rsidRPr="006D19E9">
        <w:rPr>
          <w:rStyle w:val="FootnoteReference"/>
          <w:color w:val="auto"/>
          <w:sz w:val="30"/>
          <w:szCs w:val="30"/>
          <w:rtl/>
        </w:rPr>
        <w:t>(</w:t>
      </w:r>
      <w:r w:rsidR="006D19E9" w:rsidRPr="006D19E9">
        <w:rPr>
          <w:rStyle w:val="FootnoteReference"/>
          <w:color w:val="auto"/>
          <w:sz w:val="30"/>
          <w:szCs w:val="30"/>
          <w:rtl/>
        </w:rPr>
        <w:footnoteReference w:id="65"/>
      </w:r>
      <w:r w:rsidR="006D19E9" w:rsidRPr="006D19E9">
        <w:rPr>
          <w:rStyle w:val="FootnoteReference"/>
          <w:color w:val="auto"/>
          <w:sz w:val="30"/>
          <w:szCs w:val="30"/>
          <w:rtl/>
        </w:rPr>
        <w:t>)</w:t>
      </w:r>
      <w:r w:rsidRPr="006D19E9">
        <w:rPr>
          <w:rFonts w:hint="cs"/>
          <w:rtl/>
        </w:rPr>
        <w:t xml:space="preserve"> كالمسنين</w:t>
      </w:r>
      <w:r w:rsidR="006D19E9" w:rsidRPr="006D19E9">
        <w:rPr>
          <w:rStyle w:val="FootnoteReference"/>
          <w:color w:val="auto"/>
          <w:sz w:val="30"/>
          <w:szCs w:val="30"/>
          <w:rtl/>
        </w:rPr>
        <w:t>(</w:t>
      </w:r>
      <w:r w:rsidR="006D19E9" w:rsidRPr="006D19E9">
        <w:rPr>
          <w:rStyle w:val="FootnoteReference"/>
          <w:color w:val="auto"/>
          <w:sz w:val="30"/>
          <w:szCs w:val="30"/>
          <w:rtl/>
        </w:rPr>
        <w:footnoteReference w:id="66"/>
      </w:r>
      <w:r w:rsidR="006D19E9" w:rsidRPr="006D19E9">
        <w:rPr>
          <w:rStyle w:val="FootnoteReference"/>
          <w:color w:val="auto"/>
          <w:sz w:val="30"/>
          <w:szCs w:val="30"/>
          <w:rtl/>
        </w:rPr>
        <w:t>)</w:t>
      </w:r>
      <w:r w:rsidRPr="006D19E9">
        <w:rPr>
          <w:rFonts w:hint="cs"/>
          <w:rtl/>
        </w:rPr>
        <w:t>مثلا</w:t>
      </w:r>
      <w:r w:rsidR="00FE0EA2">
        <w:rPr>
          <w:rFonts w:hint="cs"/>
          <w:rtl/>
        </w:rPr>
        <w:t>ً</w:t>
      </w:r>
      <w:r w:rsidRPr="006D19E9">
        <w:rPr>
          <w:rFonts w:hint="cs"/>
          <w:rtl/>
        </w:rPr>
        <w:t>.</w:t>
      </w:r>
      <w:r w:rsidR="00FE0EA2">
        <w:rPr>
          <w:rFonts w:hint="cs"/>
          <w:rtl/>
        </w:rPr>
        <w:t xml:space="preserve"> </w:t>
      </w:r>
    </w:p>
    <w:p w:rsidR="00C47F5D" w:rsidRPr="006D19E9" w:rsidRDefault="00C47F5D" w:rsidP="00C47F5D">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D19E9">
        <w:rPr>
          <w:rFonts w:hint="cs"/>
          <w:rtl/>
        </w:rPr>
        <w:tab/>
      </w:r>
      <w:r w:rsidRPr="006D19E9">
        <w:rPr>
          <w:rFonts w:hint="cs"/>
          <w:rtl/>
        </w:rPr>
        <w:tab/>
        <w:t>تقييم الأثر على حقوق الإنسان</w:t>
      </w:r>
    </w:p>
    <w:p w:rsidR="00C47F5D" w:rsidRPr="00FE0EA2" w:rsidRDefault="00C47F5D" w:rsidP="00FE0EA2">
      <w:pPr>
        <w:pStyle w:val="SingleTxt"/>
        <w:spacing w:after="100" w:line="390" w:lineRule="exact"/>
        <w:rPr>
          <w:spacing w:val="-2"/>
          <w:rtl/>
        </w:rPr>
      </w:pPr>
      <w:r w:rsidRPr="00FE0EA2">
        <w:rPr>
          <w:rFonts w:hint="cs"/>
          <w:spacing w:val="-2"/>
          <w:rtl/>
        </w:rPr>
        <w:t>31-</w:t>
      </w:r>
      <w:r w:rsidRPr="00FE0EA2">
        <w:rPr>
          <w:rFonts w:hint="cs"/>
          <w:spacing w:val="-2"/>
          <w:rtl/>
        </w:rPr>
        <w:tab/>
        <w:t>تشكّل عمليات تقييم الأثر على حقوق الإنسان أدوات للنظر في السياسات والتشريعات والبرامج والمشاريع قبل اعتمادها بغية تحديد وقياس أثرها على حقوق الإنسان (انظر مثلا</w:t>
      </w:r>
      <w:r w:rsidR="00FE0EA2" w:rsidRPr="00FE0EA2">
        <w:rPr>
          <w:rFonts w:hint="cs"/>
          <w:spacing w:val="-2"/>
          <w:rtl/>
        </w:rPr>
        <w:t>ً</w:t>
      </w:r>
      <w:r w:rsidRPr="00FE0EA2">
        <w:rPr>
          <w:rFonts w:hint="cs"/>
          <w:spacing w:val="-2"/>
          <w:rtl/>
        </w:rPr>
        <w:t xml:space="preserve"> الوثيقة </w:t>
      </w:r>
      <w:r w:rsidRPr="00FE0EA2">
        <w:rPr>
          <w:spacing w:val="-2"/>
        </w:rPr>
        <w:t>A/HRC/19/59/Add.5</w:t>
      </w:r>
      <w:r w:rsidRPr="00FE0EA2">
        <w:rPr>
          <w:rFonts w:hint="cs"/>
          <w:spacing w:val="-2"/>
          <w:rtl/>
        </w:rPr>
        <w:t>). وهي مصمَّمة لتحديد الأثر المقصود وغير المقصود على التمتع بحقوق الإنسان، وعلى قدرة الدولة على حماية وإعمال هذه الحقوق. وهي بذلك</w:t>
      </w:r>
      <w:r w:rsidR="006D19E9" w:rsidRPr="00FE0EA2">
        <w:rPr>
          <w:rFonts w:hint="cs"/>
          <w:spacing w:val="-2"/>
          <w:rtl/>
        </w:rPr>
        <w:t xml:space="preserve"> </w:t>
      </w:r>
      <w:r w:rsidRPr="00FE0EA2">
        <w:rPr>
          <w:rFonts w:hint="cs"/>
          <w:spacing w:val="-2"/>
          <w:rtl/>
        </w:rPr>
        <w:t>تُشكّل أداةَ تخطيط لمنع انتهاكات حقوق الإنسان عن طريق تقييم التوافق الشكلي أو الظاهري بين</w:t>
      </w:r>
      <w:r w:rsidR="006D19E9" w:rsidRPr="00FE0EA2">
        <w:rPr>
          <w:rFonts w:hint="cs"/>
          <w:spacing w:val="-2"/>
          <w:rtl/>
        </w:rPr>
        <w:t xml:space="preserve"> </w:t>
      </w:r>
      <w:r w:rsidRPr="00FE0EA2">
        <w:rPr>
          <w:rFonts w:hint="cs"/>
          <w:spacing w:val="-2"/>
          <w:rtl/>
        </w:rPr>
        <w:t>القوانين والسياسات والميزانيات</w:t>
      </w:r>
      <w:r w:rsidR="006D19E9" w:rsidRPr="00FE0EA2">
        <w:rPr>
          <w:rStyle w:val="FootnoteReference"/>
          <w:color w:val="auto"/>
          <w:spacing w:val="-2"/>
          <w:sz w:val="30"/>
          <w:szCs w:val="30"/>
          <w:rtl/>
        </w:rPr>
        <w:t>(</w:t>
      </w:r>
      <w:r w:rsidR="006D19E9" w:rsidRPr="00FE0EA2">
        <w:rPr>
          <w:rStyle w:val="FootnoteReference"/>
          <w:color w:val="auto"/>
          <w:spacing w:val="-2"/>
          <w:sz w:val="30"/>
          <w:szCs w:val="30"/>
          <w:rtl/>
        </w:rPr>
        <w:footnoteReference w:id="67"/>
      </w:r>
      <w:r w:rsidR="006D19E9" w:rsidRPr="00FE0EA2">
        <w:rPr>
          <w:rStyle w:val="FootnoteReference"/>
          <w:color w:val="auto"/>
          <w:spacing w:val="-2"/>
          <w:sz w:val="30"/>
          <w:szCs w:val="30"/>
          <w:rtl/>
        </w:rPr>
        <w:t>)</w:t>
      </w:r>
      <w:r w:rsidRPr="00FE0EA2">
        <w:rPr>
          <w:rFonts w:hint="cs"/>
          <w:spacing w:val="-2"/>
          <w:rtl/>
        </w:rPr>
        <w:t xml:space="preserve"> والتدابير الأخرى</w:t>
      </w:r>
      <w:r w:rsidR="006D19E9" w:rsidRPr="00FE0EA2">
        <w:rPr>
          <w:rFonts w:hint="cs"/>
          <w:spacing w:val="-2"/>
          <w:rtl/>
        </w:rPr>
        <w:t xml:space="preserve"> </w:t>
      </w:r>
      <w:r w:rsidRPr="00FE0EA2">
        <w:rPr>
          <w:rFonts w:hint="cs"/>
          <w:spacing w:val="-2"/>
          <w:rtl/>
        </w:rPr>
        <w:t>وبين الالتزامات المتعلقة بحقوق الإنسان، فضلاً عن الأثر المحتمل على صعيد الممارسة، مما يتيح الفرصة لإعادة النظر فيها أو</w:t>
      </w:r>
      <w:r w:rsidR="006D19E9" w:rsidRPr="00FE0EA2">
        <w:rPr>
          <w:rFonts w:hint="cs"/>
          <w:spacing w:val="-2"/>
          <w:rtl/>
        </w:rPr>
        <w:t xml:space="preserve"> </w:t>
      </w:r>
      <w:r w:rsidRPr="00FE0EA2">
        <w:rPr>
          <w:rFonts w:hint="cs"/>
          <w:spacing w:val="-2"/>
          <w:rtl/>
        </w:rPr>
        <w:t>تنقيحها أو تعديلها قبل اعتمادها. ومن شأن</w:t>
      </w:r>
      <w:r w:rsidR="006D19E9" w:rsidRPr="00FE0EA2">
        <w:rPr>
          <w:rFonts w:hint="cs"/>
          <w:spacing w:val="-2"/>
          <w:rtl/>
        </w:rPr>
        <w:t xml:space="preserve"> </w:t>
      </w:r>
      <w:r w:rsidRPr="00FE0EA2">
        <w:rPr>
          <w:rFonts w:hint="cs"/>
          <w:spacing w:val="-2"/>
          <w:rtl/>
        </w:rPr>
        <w:t>التشاور مسبقاً مع أصحاب المصلحة المعنيين أن يساعد في تحديد الآثار المحتملة على حقوق الإنسان. وقد تدفع هذه الجهود الأجهزة والإدارات الحكومية إلى أن تقوم، عند إعداد السياسات العامة، باعتماد نَهج إلزامي للتخطيط القائم على حقوق الإنسان، وإلى</w:t>
      </w:r>
      <w:r w:rsidR="006D19E9" w:rsidRPr="00FE0EA2">
        <w:rPr>
          <w:rFonts w:hint="cs"/>
          <w:spacing w:val="-2"/>
          <w:rtl/>
        </w:rPr>
        <w:t xml:space="preserve"> </w:t>
      </w:r>
      <w:r w:rsidRPr="00FE0EA2">
        <w:rPr>
          <w:rFonts w:hint="cs"/>
          <w:spacing w:val="-2"/>
          <w:rtl/>
        </w:rPr>
        <w:t>أن تستخدم بشكل إلزامي ومنهجي</w:t>
      </w:r>
      <w:r w:rsidR="006D19E9" w:rsidRPr="00FE0EA2">
        <w:rPr>
          <w:rFonts w:hint="cs"/>
          <w:spacing w:val="-2"/>
          <w:rtl/>
        </w:rPr>
        <w:t xml:space="preserve"> </w:t>
      </w:r>
      <w:r w:rsidRPr="00FE0EA2">
        <w:rPr>
          <w:rFonts w:hint="cs"/>
          <w:spacing w:val="-2"/>
          <w:rtl/>
        </w:rPr>
        <w:t>التوصيات الصادرة عن الآليات الدولية والإقليمية لحقوق الإنسان في صياغة السياسات العامة</w:t>
      </w:r>
      <w:r w:rsidR="006D19E9" w:rsidRPr="00FE0EA2">
        <w:rPr>
          <w:rStyle w:val="FootnoteReference"/>
          <w:color w:val="auto"/>
          <w:spacing w:val="-2"/>
          <w:sz w:val="30"/>
          <w:szCs w:val="30"/>
          <w:rtl/>
        </w:rPr>
        <w:t>(</w:t>
      </w:r>
      <w:r w:rsidR="006D19E9" w:rsidRPr="00FE0EA2">
        <w:rPr>
          <w:rStyle w:val="FootnoteReference"/>
          <w:color w:val="auto"/>
          <w:spacing w:val="-2"/>
          <w:sz w:val="30"/>
          <w:szCs w:val="30"/>
          <w:rtl/>
        </w:rPr>
        <w:footnoteReference w:id="68"/>
      </w:r>
      <w:r w:rsidR="006D19E9" w:rsidRPr="00FE0EA2">
        <w:rPr>
          <w:rStyle w:val="FootnoteReference"/>
          <w:color w:val="auto"/>
          <w:spacing w:val="-2"/>
          <w:sz w:val="30"/>
          <w:szCs w:val="30"/>
          <w:rtl/>
        </w:rPr>
        <w:t>)</w:t>
      </w:r>
      <w:r w:rsidR="00697057" w:rsidRPr="00FE0EA2">
        <w:rPr>
          <w:rFonts w:hint="cs"/>
          <w:spacing w:val="-2"/>
          <w:rtl/>
        </w:rPr>
        <w:t>.</w:t>
      </w:r>
      <w:r w:rsidRPr="00FE0EA2">
        <w:rPr>
          <w:rFonts w:hint="cs"/>
          <w:spacing w:val="-2"/>
          <w:rtl/>
        </w:rPr>
        <w:t xml:space="preserve"> ومن الأمثلة الجديرة بالذكر والحديثة العهد اشتراط</w:t>
      </w:r>
      <w:r w:rsidR="006D19E9" w:rsidRPr="00FE0EA2">
        <w:rPr>
          <w:rFonts w:hint="cs"/>
          <w:spacing w:val="-2"/>
          <w:rtl/>
        </w:rPr>
        <w:t xml:space="preserve"> </w:t>
      </w:r>
      <w:r w:rsidRPr="00FE0EA2">
        <w:rPr>
          <w:rFonts w:hint="cs"/>
          <w:spacing w:val="-2"/>
          <w:rtl/>
        </w:rPr>
        <w:t>المادة 7 من معاهدة تجارة الأسلحة</w:t>
      </w:r>
      <w:r w:rsidR="006D19E9" w:rsidRPr="00FE0EA2">
        <w:rPr>
          <w:rFonts w:hint="cs"/>
          <w:spacing w:val="-2"/>
          <w:rtl/>
        </w:rPr>
        <w:t xml:space="preserve"> </w:t>
      </w:r>
      <w:r w:rsidRPr="00FE0EA2">
        <w:rPr>
          <w:rFonts w:hint="cs"/>
          <w:spacing w:val="-2"/>
          <w:rtl/>
        </w:rPr>
        <w:t>أنه</w:t>
      </w:r>
      <w:r w:rsidR="00697057" w:rsidRPr="00FE0EA2">
        <w:rPr>
          <w:rFonts w:hint="cs"/>
          <w:spacing w:val="-2"/>
          <w:rtl/>
        </w:rPr>
        <w:t xml:space="preserve">، </w:t>
      </w:r>
      <w:r w:rsidRPr="00FE0EA2">
        <w:rPr>
          <w:rFonts w:hint="cs"/>
          <w:spacing w:val="-2"/>
          <w:rtl/>
        </w:rPr>
        <w:t>حتى في غياب أي حظر على النقل المقترح للأسلحة التقليدية،</w:t>
      </w:r>
      <w:r w:rsidR="006D19E9" w:rsidRPr="00FE0EA2">
        <w:rPr>
          <w:rFonts w:hint="cs"/>
          <w:spacing w:val="-2"/>
          <w:rtl/>
        </w:rPr>
        <w:t xml:space="preserve"> </w:t>
      </w:r>
      <w:r w:rsidRPr="00FE0EA2">
        <w:rPr>
          <w:rFonts w:hint="cs"/>
          <w:spacing w:val="-2"/>
          <w:rtl/>
        </w:rPr>
        <w:t>يجب على الدولة المصدّرة أن تقيّم</w:t>
      </w:r>
      <w:r w:rsidR="006D19E9" w:rsidRPr="00FE0EA2">
        <w:rPr>
          <w:rFonts w:hint="cs"/>
          <w:spacing w:val="-2"/>
          <w:rtl/>
        </w:rPr>
        <w:t xml:space="preserve"> </w:t>
      </w:r>
      <w:r w:rsidRPr="00FE0EA2">
        <w:rPr>
          <w:rFonts w:hint="cs"/>
          <w:spacing w:val="-2"/>
          <w:rtl/>
        </w:rPr>
        <w:t>بشكل واضح</w:t>
      </w:r>
      <w:r w:rsidR="006D19E9" w:rsidRPr="00FE0EA2">
        <w:rPr>
          <w:rFonts w:hint="cs"/>
          <w:spacing w:val="-2"/>
          <w:rtl/>
        </w:rPr>
        <w:t xml:space="preserve"> </w:t>
      </w:r>
      <w:r w:rsidRPr="00FE0EA2">
        <w:rPr>
          <w:rFonts w:hint="cs"/>
          <w:spacing w:val="-2"/>
          <w:rtl/>
        </w:rPr>
        <w:t>للأماكن التي</w:t>
      </w:r>
      <w:r w:rsidR="006D19E9" w:rsidRPr="00FE0EA2">
        <w:rPr>
          <w:rFonts w:hint="cs"/>
          <w:spacing w:val="-2"/>
          <w:rtl/>
        </w:rPr>
        <w:t xml:space="preserve"> </w:t>
      </w:r>
      <w:r w:rsidRPr="00FE0EA2">
        <w:rPr>
          <w:rFonts w:hint="cs"/>
          <w:spacing w:val="-2"/>
          <w:rtl/>
        </w:rPr>
        <w:t>قد تُستخدم فيها تلك الأسلحة لارتكاب انتهاكات جسيمة</w:t>
      </w:r>
      <w:r w:rsidR="006D19E9" w:rsidRPr="00FE0EA2">
        <w:rPr>
          <w:rFonts w:hint="cs"/>
          <w:spacing w:val="-2"/>
          <w:rtl/>
        </w:rPr>
        <w:t xml:space="preserve"> </w:t>
      </w:r>
      <w:r w:rsidRPr="00FE0EA2">
        <w:rPr>
          <w:rFonts w:hint="cs"/>
          <w:spacing w:val="-2"/>
          <w:rtl/>
        </w:rPr>
        <w:t>للقانون الدولي لحقوق الإنسان أو القانون الإنساني الدولي أو</w:t>
      </w:r>
      <w:r w:rsidR="006D19E9" w:rsidRPr="00FE0EA2">
        <w:rPr>
          <w:rFonts w:hint="cs"/>
          <w:spacing w:val="-2"/>
          <w:rtl/>
        </w:rPr>
        <w:t xml:space="preserve"> </w:t>
      </w:r>
      <w:r w:rsidRPr="00FE0EA2">
        <w:rPr>
          <w:rFonts w:hint="cs"/>
          <w:spacing w:val="-2"/>
          <w:rtl/>
        </w:rPr>
        <w:t xml:space="preserve">تيسير ارتكابها. </w:t>
      </w:r>
    </w:p>
    <w:p w:rsidR="00C47F5D" w:rsidRPr="00FE0EA2" w:rsidRDefault="00C47F5D" w:rsidP="00FE0EA2">
      <w:pPr>
        <w:pStyle w:val="SingleTxt"/>
        <w:spacing w:after="100" w:line="390" w:lineRule="exact"/>
        <w:rPr>
          <w:spacing w:val="-2"/>
          <w:rtl/>
        </w:rPr>
      </w:pPr>
      <w:r w:rsidRPr="00FE0EA2">
        <w:rPr>
          <w:rFonts w:hint="cs"/>
          <w:spacing w:val="-2"/>
          <w:rtl/>
        </w:rPr>
        <w:t>32-</w:t>
      </w:r>
      <w:r w:rsidRPr="00FE0EA2">
        <w:rPr>
          <w:rFonts w:hint="cs"/>
          <w:spacing w:val="-2"/>
          <w:rtl/>
        </w:rPr>
        <w:tab/>
        <w:t>وعندما يقوم أصحاب المصلحة بتقييم الأثر على حقوق الإنسان،</w:t>
      </w:r>
      <w:r w:rsidR="006D19E9" w:rsidRPr="00FE0EA2">
        <w:rPr>
          <w:rFonts w:hint="cs"/>
          <w:spacing w:val="-2"/>
          <w:rtl/>
        </w:rPr>
        <w:t xml:space="preserve"> </w:t>
      </w:r>
      <w:r w:rsidRPr="00FE0EA2">
        <w:rPr>
          <w:rFonts w:hint="cs"/>
          <w:spacing w:val="-2"/>
          <w:rtl/>
        </w:rPr>
        <w:t>يؤدي ذلك إلى كفالة إدراج جميع حقوق الإنسان في عملية وضع السياسات في أبكر مرحلة ممكنة.</w:t>
      </w:r>
      <w:r w:rsidR="006D19E9" w:rsidRPr="00FE0EA2">
        <w:rPr>
          <w:rFonts w:hint="cs"/>
          <w:spacing w:val="-2"/>
          <w:rtl/>
        </w:rPr>
        <w:t xml:space="preserve"> </w:t>
      </w:r>
      <w:r w:rsidRPr="00FE0EA2">
        <w:rPr>
          <w:rFonts w:hint="cs"/>
          <w:spacing w:val="-2"/>
          <w:rtl/>
        </w:rPr>
        <w:t>وعلى سبيل المثال، ينبغي أثناء التخطيط للسياسات ضمان توفير الحماية الاجتماعية المناسبة ومكافحة الاستبعاد الاجتماعي. وهذا أمر حاسم لا سيما وأن الكثير من الدول استجابت للأزمة المالية العالمية الأخيرة بتدابير تقشفية قلصت إلى حد كبير من الإنفاق على القطاع الاجتماعي</w:t>
      </w:r>
      <w:r w:rsidR="006D19E9" w:rsidRPr="00FE0EA2">
        <w:rPr>
          <w:rStyle w:val="FootnoteReference"/>
          <w:color w:val="auto"/>
          <w:spacing w:val="-2"/>
          <w:sz w:val="30"/>
          <w:szCs w:val="30"/>
          <w:rtl/>
        </w:rPr>
        <w:t>(</w:t>
      </w:r>
      <w:r w:rsidR="006D19E9" w:rsidRPr="00FE0EA2">
        <w:rPr>
          <w:rStyle w:val="FootnoteReference"/>
          <w:color w:val="auto"/>
          <w:spacing w:val="-2"/>
          <w:sz w:val="30"/>
          <w:szCs w:val="30"/>
          <w:rtl/>
        </w:rPr>
        <w:footnoteReference w:id="69"/>
      </w:r>
      <w:r w:rsidR="006D19E9" w:rsidRPr="00FE0EA2">
        <w:rPr>
          <w:rStyle w:val="FootnoteReference"/>
          <w:color w:val="auto"/>
          <w:spacing w:val="-2"/>
          <w:sz w:val="30"/>
          <w:szCs w:val="30"/>
          <w:rtl/>
        </w:rPr>
        <w:t>)</w:t>
      </w:r>
      <w:r w:rsidR="00697057" w:rsidRPr="00FE0EA2">
        <w:rPr>
          <w:rFonts w:hint="cs"/>
          <w:spacing w:val="-2"/>
          <w:rtl/>
        </w:rPr>
        <w:t>.</w:t>
      </w:r>
      <w:r w:rsidR="006D19E9" w:rsidRPr="00FE0EA2">
        <w:rPr>
          <w:rFonts w:hint="cs"/>
          <w:spacing w:val="-2"/>
          <w:rtl/>
        </w:rPr>
        <w:t xml:space="preserve"> </w:t>
      </w:r>
      <w:r w:rsidRPr="00FE0EA2">
        <w:rPr>
          <w:rFonts w:hint="cs"/>
          <w:spacing w:val="-2"/>
          <w:rtl/>
        </w:rPr>
        <w:t>ويشير تقرير صدر مؤخراً عن مفوضية الأمم المتحدة السامية لحقوق الإنسان إلى أنه "</w:t>
      </w:r>
      <w:r w:rsidRPr="00FE0EA2">
        <w:rPr>
          <w:rFonts w:hint="cs"/>
          <w:spacing w:val="-2"/>
          <w:kern w:val="16"/>
          <w:rtl/>
        </w:rPr>
        <w:t>ترتب على خفض فرص العمالة في القطاع العام وتقليص التمويل الخاص بشبكات السلامة الاجتماعية حرمانٌ من الحقوق الاقتصادية والاجتماعية والثقافية وتعدٍّ عليها، مس بوجه خاص</w:t>
      </w:r>
      <w:r w:rsidR="006D19E9" w:rsidRPr="00FE0EA2">
        <w:rPr>
          <w:rFonts w:hint="cs"/>
          <w:spacing w:val="-2"/>
          <w:kern w:val="16"/>
          <w:rtl/>
        </w:rPr>
        <w:t xml:space="preserve"> </w:t>
      </w:r>
      <w:r w:rsidRPr="00FE0EA2">
        <w:rPr>
          <w:rFonts w:hint="cs"/>
          <w:spacing w:val="-2"/>
          <w:kern w:val="16"/>
          <w:rtl/>
        </w:rPr>
        <w:t>فئات سكانية مهمشة أصلاً أو معرضة لخطر التهميش، وقد</w:t>
      </w:r>
      <w:r w:rsidR="006D19E9" w:rsidRPr="00FE0EA2">
        <w:rPr>
          <w:rFonts w:hint="cs"/>
          <w:spacing w:val="-2"/>
          <w:kern w:val="16"/>
          <w:rtl/>
        </w:rPr>
        <w:t xml:space="preserve"> </w:t>
      </w:r>
      <w:r w:rsidRPr="00FE0EA2">
        <w:rPr>
          <w:rFonts w:hint="cs"/>
          <w:spacing w:val="-2"/>
          <w:kern w:val="16"/>
          <w:rtl/>
        </w:rPr>
        <w:t>يشكل ذلك في بعض الحالات انتهاكاً لحظر التمييز في مجال التمتع بحقوق الإنسان</w:t>
      </w:r>
      <w:r w:rsidRPr="00FE0EA2">
        <w:rPr>
          <w:rFonts w:hint="cs"/>
          <w:spacing w:val="-2"/>
          <w:rtl/>
        </w:rPr>
        <w:t xml:space="preserve">" (الفقرة 70 من الوثيقة </w:t>
      </w:r>
      <w:r w:rsidRPr="00FE0EA2">
        <w:rPr>
          <w:spacing w:val="-2"/>
        </w:rPr>
        <w:t>E/2013/82</w:t>
      </w:r>
      <w:r w:rsidRPr="00FE0EA2">
        <w:rPr>
          <w:rFonts w:hint="cs"/>
          <w:spacing w:val="-2"/>
          <w:rtl/>
        </w:rPr>
        <w:t xml:space="preserve">). وفي هذا الصدد، أشار رئيس </w:t>
      </w:r>
      <w:r w:rsidRPr="00FE0EA2">
        <w:rPr>
          <w:spacing w:val="-2"/>
          <w:rtl/>
        </w:rPr>
        <w:t>لجنة الحقوق الاقتصادية والاجتماعية والثقافية</w:t>
      </w:r>
      <w:r w:rsidRPr="00FE0EA2">
        <w:rPr>
          <w:rFonts w:hint="cs"/>
          <w:spacing w:val="-2"/>
          <w:rtl/>
        </w:rPr>
        <w:t xml:space="preserve"> إلى أن</w:t>
      </w:r>
      <w:r w:rsidR="006D19E9" w:rsidRPr="00FE0EA2">
        <w:rPr>
          <w:rFonts w:hint="cs"/>
          <w:spacing w:val="-2"/>
          <w:rtl/>
        </w:rPr>
        <w:t xml:space="preserve"> </w:t>
      </w:r>
      <w:r w:rsidRPr="00FE0EA2">
        <w:rPr>
          <w:rFonts w:hint="cs"/>
          <w:spacing w:val="-2"/>
          <w:rtl/>
        </w:rPr>
        <w:t>وفاء الدول الأطراف في العهد الدولي الخاص بالحقوق الاقتصادية والاجتماعية والثقافية بالتزاماتها في مجال حقوق الإنسان يحتم عليها أن تبرّر التدابير التقشفية بإثبات أنها</w:t>
      </w:r>
      <w:r w:rsidR="006D19E9" w:rsidRPr="00FE0EA2">
        <w:rPr>
          <w:rFonts w:hint="cs"/>
          <w:spacing w:val="-2"/>
          <w:rtl/>
        </w:rPr>
        <w:t xml:space="preserve"> </w:t>
      </w:r>
      <w:r w:rsidRPr="00FE0EA2">
        <w:rPr>
          <w:rFonts w:hint="cs"/>
          <w:spacing w:val="-2"/>
          <w:rtl/>
        </w:rPr>
        <w:t>تحمي في الواقع الحقوق المنصوص عليها في العهد وبخاصة حقوق أكثر الفئات ضعفاً.</w:t>
      </w:r>
      <w:r w:rsidR="006D19E9" w:rsidRPr="00FE0EA2">
        <w:rPr>
          <w:rFonts w:hint="cs"/>
          <w:spacing w:val="-2"/>
          <w:rtl/>
        </w:rPr>
        <w:t xml:space="preserve"> </w:t>
      </w:r>
      <w:r w:rsidRPr="00FE0EA2">
        <w:rPr>
          <w:rFonts w:hint="cs"/>
          <w:spacing w:val="-2"/>
          <w:rtl/>
        </w:rPr>
        <w:t>ويتطلّب هذا من الدول إثبات أن جميع الحلول البديلة الأخرى قد استُنفدت وأن هذه التدابير ضرورية، ومتناسبة، ومستوفية للحد الأدنى من الالتزامات الأساسية، وغير تمييزية</w:t>
      </w:r>
      <w:r w:rsidR="006D19E9" w:rsidRPr="00FE0EA2">
        <w:rPr>
          <w:rStyle w:val="FootnoteReference"/>
          <w:color w:val="auto"/>
          <w:spacing w:val="-2"/>
          <w:sz w:val="30"/>
          <w:szCs w:val="30"/>
          <w:rtl/>
        </w:rPr>
        <w:t>(</w:t>
      </w:r>
      <w:r w:rsidR="006D19E9" w:rsidRPr="00FE0EA2">
        <w:rPr>
          <w:rStyle w:val="FootnoteReference"/>
          <w:color w:val="auto"/>
          <w:spacing w:val="-2"/>
          <w:sz w:val="30"/>
          <w:szCs w:val="30"/>
          <w:rtl/>
        </w:rPr>
        <w:footnoteReference w:id="70"/>
      </w:r>
      <w:r w:rsidR="006D19E9" w:rsidRPr="00FE0EA2">
        <w:rPr>
          <w:rStyle w:val="FootnoteReference"/>
          <w:color w:val="auto"/>
          <w:spacing w:val="-2"/>
          <w:sz w:val="30"/>
          <w:szCs w:val="30"/>
          <w:rtl/>
        </w:rPr>
        <w:t>)</w:t>
      </w:r>
      <w:r w:rsidRPr="00FE0EA2">
        <w:rPr>
          <w:rFonts w:hint="cs"/>
          <w:spacing w:val="-2"/>
          <w:rtl/>
        </w:rPr>
        <w:t>.</w:t>
      </w:r>
    </w:p>
    <w:p w:rsidR="00C47F5D" w:rsidRPr="006D19E9" w:rsidRDefault="00C47F5D" w:rsidP="00C47F5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D19E9">
        <w:rPr>
          <w:rFonts w:hint="cs"/>
          <w:rtl/>
        </w:rPr>
        <w:tab/>
      </w:r>
      <w:r w:rsidRPr="006D19E9">
        <w:rPr>
          <w:rFonts w:hint="cs"/>
          <w:rtl/>
        </w:rPr>
        <w:tab/>
        <w:t>جمع البيانات وتحليل الإحصاءات</w:t>
      </w:r>
    </w:p>
    <w:p w:rsidR="00C47F5D" w:rsidRPr="00FE0EA2" w:rsidRDefault="00C47F5D" w:rsidP="00697057">
      <w:pPr>
        <w:pStyle w:val="SingleTxt"/>
        <w:rPr>
          <w:spacing w:val="-2"/>
          <w:rtl/>
        </w:rPr>
      </w:pPr>
      <w:r w:rsidRPr="00FE0EA2">
        <w:rPr>
          <w:rFonts w:hint="cs"/>
          <w:spacing w:val="-2"/>
          <w:rtl/>
        </w:rPr>
        <w:t>33-</w:t>
      </w:r>
      <w:r w:rsidRPr="00FE0EA2">
        <w:rPr>
          <w:rFonts w:hint="cs"/>
          <w:spacing w:val="-2"/>
          <w:rtl/>
        </w:rPr>
        <w:tab/>
        <w:t>إن جمع البيانات وتحليل الإحصاءات بشأن السكان وقضايا محددة أمران أساسيان لمنع التمييز ضد فئات معيّنة والتصدي له.</w:t>
      </w:r>
      <w:r w:rsidR="006D19E9" w:rsidRPr="00FE0EA2">
        <w:rPr>
          <w:rFonts w:hint="cs"/>
          <w:spacing w:val="-2"/>
          <w:rtl/>
        </w:rPr>
        <w:t xml:space="preserve"> </w:t>
      </w:r>
      <w:r w:rsidRPr="00FE0EA2">
        <w:rPr>
          <w:rFonts w:hint="cs"/>
          <w:spacing w:val="-2"/>
          <w:rtl/>
        </w:rPr>
        <w:t>ويستلزم هذا في المقابل أن تكون التغطية التي توفرها البيانات دقيقة وتمثيلية بما فيه الكفاية:</w:t>
      </w:r>
      <w:r w:rsidR="006D19E9" w:rsidRPr="00FE0EA2">
        <w:rPr>
          <w:rFonts w:hint="cs"/>
          <w:spacing w:val="-2"/>
          <w:rtl/>
        </w:rPr>
        <w:t xml:space="preserve"> </w:t>
      </w:r>
      <w:r w:rsidRPr="00FE0EA2">
        <w:rPr>
          <w:rFonts w:hint="cs"/>
          <w:spacing w:val="-2"/>
          <w:rtl/>
        </w:rPr>
        <w:t>وإذا لم تُدرج فئات ما في عملية جمع البيانات منذ البداية، لن</w:t>
      </w:r>
      <w:r w:rsidR="006D19E9" w:rsidRPr="00FE0EA2">
        <w:rPr>
          <w:rFonts w:hint="cs"/>
          <w:spacing w:val="-2"/>
          <w:rtl/>
        </w:rPr>
        <w:t xml:space="preserve"> </w:t>
      </w:r>
      <w:r w:rsidRPr="00FE0EA2">
        <w:rPr>
          <w:rFonts w:hint="cs"/>
          <w:spacing w:val="-2"/>
          <w:rtl/>
        </w:rPr>
        <w:t>تُظهِر</w:t>
      </w:r>
      <w:r w:rsidR="006D19E9" w:rsidRPr="00FE0EA2">
        <w:rPr>
          <w:rFonts w:hint="cs"/>
          <w:spacing w:val="-2"/>
          <w:rtl/>
        </w:rPr>
        <w:t xml:space="preserve"> </w:t>
      </w:r>
      <w:r w:rsidRPr="00FE0EA2">
        <w:rPr>
          <w:rFonts w:hint="cs"/>
          <w:spacing w:val="-2"/>
          <w:rtl/>
        </w:rPr>
        <w:t>الإحصاءات غيابُها عن البرامج أو التمييز الذي تتعرض له. إلا أن مشاركة المؤسسات الوطنية لحقوق الإنسان ومنظمات المجتمع المدني وفئات أخرى</w:t>
      </w:r>
      <w:r w:rsidR="006D19E9" w:rsidRPr="00FE0EA2">
        <w:rPr>
          <w:rFonts w:hint="cs"/>
          <w:spacing w:val="-2"/>
          <w:rtl/>
        </w:rPr>
        <w:t xml:space="preserve"> </w:t>
      </w:r>
      <w:r w:rsidRPr="00FE0EA2">
        <w:rPr>
          <w:rFonts w:hint="cs"/>
          <w:spacing w:val="-2"/>
          <w:rtl/>
        </w:rPr>
        <w:t xml:space="preserve">محددة، وكذلك المكاتب الإحصائية، في إعداد المسوحات والاستبيانات تساعد على التقليل من هذا الاحتمال إلى الحد الأدنى. ويقتضي تصنيف البيانات باعتماد نهج يحترم حقوق الإنسان الوصولَ إلى أكثر الفئات ضعفاً وتهميشاً والحرصَ على وجود ضمانات لحقوق الإنسان أثناء جمع هذه البيانات ومعالجتها وتحليلها ونشرها (بما في ذلك ضمان الحق في حماية البيانات وتسجيلها </w:t>
      </w:r>
      <w:r w:rsidRPr="00FE0EA2">
        <w:rPr>
          <w:rFonts w:hint="eastAsia"/>
          <w:spacing w:val="-2"/>
          <w:rtl/>
        </w:rPr>
        <w:t>والتحديد</w:t>
      </w:r>
      <w:r w:rsidRPr="00FE0EA2">
        <w:rPr>
          <w:spacing w:val="-2"/>
          <w:rtl/>
        </w:rPr>
        <w:t xml:space="preserve"> </w:t>
      </w:r>
      <w:r w:rsidRPr="00FE0EA2">
        <w:rPr>
          <w:rFonts w:hint="eastAsia"/>
          <w:spacing w:val="-2"/>
          <w:rtl/>
        </w:rPr>
        <w:t>الذاتي</w:t>
      </w:r>
      <w:r w:rsidRPr="00FE0EA2">
        <w:rPr>
          <w:spacing w:val="-2"/>
          <w:rtl/>
        </w:rPr>
        <w:t xml:space="preserve"> </w:t>
      </w:r>
      <w:r w:rsidRPr="00FE0EA2">
        <w:rPr>
          <w:rFonts w:hint="eastAsia"/>
          <w:spacing w:val="-2"/>
          <w:rtl/>
        </w:rPr>
        <w:t>للهوية</w:t>
      </w:r>
      <w:r w:rsidRPr="00FE0EA2">
        <w:rPr>
          <w:rFonts w:hint="cs"/>
          <w:spacing w:val="-2"/>
          <w:rtl/>
        </w:rPr>
        <w:t>)</w:t>
      </w:r>
      <w:r w:rsidR="006D19E9" w:rsidRPr="00FE0EA2">
        <w:rPr>
          <w:rStyle w:val="FootnoteReference"/>
          <w:color w:val="auto"/>
          <w:spacing w:val="-2"/>
          <w:sz w:val="30"/>
          <w:szCs w:val="30"/>
          <w:rtl/>
        </w:rPr>
        <w:t>(</w:t>
      </w:r>
      <w:r w:rsidR="006D19E9" w:rsidRPr="00FE0EA2">
        <w:rPr>
          <w:rStyle w:val="FootnoteReference"/>
          <w:color w:val="auto"/>
          <w:spacing w:val="-2"/>
          <w:sz w:val="30"/>
          <w:szCs w:val="30"/>
          <w:rtl/>
        </w:rPr>
        <w:footnoteReference w:id="71"/>
      </w:r>
      <w:r w:rsidR="006D19E9" w:rsidRPr="00FE0EA2">
        <w:rPr>
          <w:rStyle w:val="FootnoteReference"/>
          <w:color w:val="auto"/>
          <w:spacing w:val="-2"/>
          <w:sz w:val="30"/>
          <w:szCs w:val="30"/>
          <w:rtl/>
        </w:rPr>
        <w:t>)</w:t>
      </w:r>
      <w:r w:rsidR="00697057" w:rsidRPr="00FE0EA2">
        <w:rPr>
          <w:rFonts w:hint="cs"/>
          <w:spacing w:val="-2"/>
          <w:rtl/>
        </w:rPr>
        <w:t>.</w:t>
      </w:r>
      <w:r w:rsidRPr="00FE0EA2">
        <w:rPr>
          <w:rFonts w:hint="cs"/>
          <w:spacing w:val="-2"/>
          <w:rtl/>
        </w:rPr>
        <w:t xml:space="preserve"> </w:t>
      </w:r>
    </w:p>
    <w:p w:rsidR="00C47F5D" w:rsidRPr="00FE0EA2" w:rsidRDefault="00C47F5D" w:rsidP="00C47F5D">
      <w:pPr>
        <w:pStyle w:val="SingleTxt"/>
        <w:rPr>
          <w:spacing w:val="-2"/>
          <w:rtl/>
        </w:rPr>
      </w:pPr>
      <w:r w:rsidRPr="00FE0EA2">
        <w:rPr>
          <w:rFonts w:hint="cs"/>
          <w:spacing w:val="-2"/>
          <w:rtl/>
        </w:rPr>
        <w:t>34-</w:t>
      </w:r>
      <w:r w:rsidRPr="00FE0EA2">
        <w:rPr>
          <w:rFonts w:hint="cs"/>
          <w:spacing w:val="-2"/>
          <w:rtl/>
        </w:rPr>
        <w:tab/>
        <w:t>كما أن الخطوط الهاتفية المخصصة لتقديم المساعدة والوصول إلى سجلات الشكاوى والعرائض</w:t>
      </w:r>
      <w:r w:rsidR="006D19E9" w:rsidRPr="00FE0EA2">
        <w:rPr>
          <w:rFonts w:hint="cs"/>
          <w:spacing w:val="-2"/>
          <w:rtl/>
        </w:rPr>
        <w:t xml:space="preserve"> </w:t>
      </w:r>
      <w:r w:rsidRPr="00FE0EA2">
        <w:rPr>
          <w:rFonts w:hint="cs"/>
          <w:spacing w:val="-2"/>
          <w:rtl/>
        </w:rPr>
        <w:t xml:space="preserve">لدى المؤسسات الوطنية لحقوق الإنسان (الفقرة 43 من الوثيقة </w:t>
      </w:r>
      <w:r w:rsidRPr="00FE0EA2">
        <w:rPr>
          <w:spacing w:val="-2"/>
        </w:rPr>
        <w:t>A/HRC/18/24</w:t>
      </w:r>
      <w:r w:rsidRPr="00FE0EA2">
        <w:rPr>
          <w:rFonts w:hint="cs"/>
          <w:spacing w:val="-2"/>
          <w:rtl/>
        </w:rPr>
        <w:t>) والبرامج الأخرى المشابهة،</w:t>
      </w:r>
      <w:r w:rsidR="006D19E9" w:rsidRPr="00FE0EA2">
        <w:rPr>
          <w:rFonts w:hint="cs"/>
          <w:spacing w:val="-2"/>
          <w:rtl/>
        </w:rPr>
        <w:t xml:space="preserve"> </w:t>
      </w:r>
      <w:r w:rsidRPr="00FE0EA2">
        <w:rPr>
          <w:rFonts w:hint="cs"/>
          <w:spacing w:val="-2"/>
          <w:rtl/>
        </w:rPr>
        <w:t>تمثل أدوات مفيدة ومكمّلة لعملية جمع البيانات بصورة منهجية، وقد</w:t>
      </w:r>
      <w:r w:rsidR="006D19E9" w:rsidRPr="00FE0EA2">
        <w:rPr>
          <w:rFonts w:hint="cs"/>
          <w:spacing w:val="-2"/>
          <w:rtl/>
        </w:rPr>
        <w:t xml:space="preserve"> </w:t>
      </w:r>
      <w:r w:rsidRPr="00FE0EA2">
        <w:rPr>
          <w:rFonts w:hint="cs"/>
          <w:spacing w:val="-2"/>
          <w:rtl/>
        </w:rPr>
        <w:t>تشكل أيضاً</w:t>
      </w:r>
      <w:r w:rsidR="006D19E9" w:rsidRPr="00FE0EA2">
        <w:rPr>
          <w:rFonts w:hint="cs"/>
          <w:spacing w:val="-2"/>
          <w:rtl/>
        </w:rPr>
        <w:t xml:space="preserve"> </w:t>
      </w:r>
      <w:r w:rsidRPr="00FE0EA2">
        <w:rPr>
          <w:rFonts w:hint="cs"/>
          <w:spacing w:val="-2"/>
          <w:rtl/>
        </w:rPr>
        <w:t>أساس</w:t>
      </w:r>
      <w:r w:rsidR="00B30F0C">
        <w:rPr>
          <w:rFonts w:hint="cs"/>
          <w:spacing w:val="-2"/>
          <w:rtl/>
        </w:rPr>
        <w:t xml:space="preserve">اً </w:t>
      </w:r>
      <w:r w:rsidRPr="00FE0EA2">
        <w:rPr>
          <w:rFonts w:hint="cs"/>
          <w:spacing w:val="-2"/>
          <w:rtl/>
        </w:rPr>
        <w:t xml:space="preserve">لتحديد القضايا والمشاكل التي لم تعالج بشكل مناسب أو التي لم تحدَّد من قبل. </w:t>
      </w:r>
    </w:p>
    <w:p w:rsidR="00C47F5D" w:rsidRPr="006D19E9" w:rsidRDefault="00C47F5D" w:rsidP="00C47F5D">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D19E9">
        <w:rPr>
          <w:rFonts w:hint="cs"/>
          <w:rtl/>
        </w:rPr>
        <w:tab/>
      </w:r>
      <w:r w:rsidRPr="006D19E9">
        <w:rPr>
          <w:rFonts w:hint="cs"/>
          <w:rtl/>
        </w:rPr>
        <w:tab/>
        <w:t>مؤشرات حقوق الإنسان</w:t>
      </w:r>
    </w:p>
    <w:p w:rsidR="00C47F5D" w:rsidRPr="00FE0EA2" w:rsidRDefault="00C47F5D" w:rsidP="00697057">
      <w:pPr>
        <w:pStyle w:val="SingleTxt"/>
        <w:rPr>
          <w:spacing w:val="-6"/>
          <w:w w:val="100"/>
          <w:kern w:val="0"/>
          <w:rtl/>
          <w:lang w:val="fr-FR"/>
        </w:rPr>
      </w:pPr>
      <w:r w:rsidRPr="00FE0EA2">
        <w:rPr>
          <w:rFonts w:hint="cs"/>
          <w:spacing w:val="-6"/>
          <w:w w:val="100"/>
          <w:kern w:val="0"/>
          <w:rtl/>
        </w:rPr>
        <w:t>35-</w:t>
      </w:r>
      <w:r w:rsidRPr="00FE0EA2">
        <w:rPr>
          <w:rFonts w:hint="cs"/>
          <w:spacing w:val="-6"/>
          <w:w w:val="100"/>
          <w:kern w:val="0"/>
          <w:rtl/>
        </w:rPr>
        <w:tab/>
        <w:t xml:space="preserve"> تشكل مؤشرات حقوق الإنسان</w:t>
      </w:r>
      <w:r w:rsidR="006D19E9" w:rsidRPr="00FE0EA2">
        <w:rPr>
          <w:rStyle w:val="FootnoteReference"/>
          <w:color w:val="auto"/>
          <w:spacing w:val="-6"/>
          <w:w w:val="100"/>
          <w:kern w:val="0"/>
          <w:sz w:val="30"/>
          <w:szCs w:val="30"/>
          <w:rtl/>
        </w:rPr>
        <w:t>(</w:t>
      </w:r>
      <w:r w:rsidR="006D19E9" w:rsidRPr="00FE0EA2">
        <w:rPr>
          <w:rStyle w:val="FootnoteReference"/>
          <w:color w:val="auto"/>
          <w:spacing w:val="-6"/>
          <w:w w:val="100"/>
          <w:kern w:val="0"/>
          <w:sz w:val="30"/>
          <w:szCs w:val="30"/>
          <w:rtl/>
        </w:rPr>
        <w:footnoteReference w:id="72"/>
      </w:r>
      <w:r w:rsidR="006D19E9" w:rsidRPr="00FE0EA2">
        <w:rPr>
          <w:rStyle w:val="FootnoteReference"/>
          <w:color w:val="auto"/>
          <w:spacing w:val="-6"/>
          <w:w w:val="100"/>
          <w:kern w:val="0"/>
          <w:sz w:val="30"/>
          <w:szCs w:val="30"/>
          <w:rtl/>
        </w:rPr>
        <w:t>)</w:t>
      </w:r>
      <w:r w:rsidRPr="00FE0EA2">
        <w:rPr>
          <w:rFonts w:hint="cs"/>
          <w:spacing w:val="-6"/>
          <w:w w:val="100"/>
          <w:kern w:val="0"/>
          <w:rtl/>
        </w:rPr>
        <w:t xml:space="preserve"> أدوات أساسية لمساعدة الدول على تقييم التقدم الذي</w:t>
      </w:r>
      <w:r w:rsidR="006D19E9" w:rsidRPr="00FE0EA2">
        <w:rPr>
          <w:rFonts w:hint="cs"/>
          <w:spacing w:val="-6"/>
          <w:w w:val="100"/>
          <w:kern w:val="0"/>
          <w:rtl/>
        </w:rPr>
        <w:t xml:space="preserve"> </w:t>
      </w:r>
      <w:r w:rsidRPr="00FE0EA2">
        <w:rPr>
          <w:rFonts w:hint="cs"/>
          <w:spacing w:val="-6"/>
          <w:w w:val="100"/>
          <w:kern w:val="0"/>
          <w:rtl/>
        </w:rPr>
        <w:t>تحرزه</w:t>
      </w:r>
      <w:r w:rsidR="006D19E9" w:rsidRPr="00FE0EA2">
        <w:rPr>
          <w:rFonts w:hint="cs"/>
          <w:spacing w:val="-6"/>
          <w:w w:val="100"/>
          <w:kern w:val="0"/>
          <w:rtl/>
        </w:rPr>
        <w:t xml:space="preserve"> </w:t>
      </w:r>
      <w:r w:rsidRPr="00FE0EA2">
        <w:rPr>
          <w:rFonts w:hint="cs"/>
          <w:spacing w:val="-6"/>
          <w:w w:val="100"/>
          <w:kern w:val="0"/>
          <w:rtl/>
        </w:rPr>
        <w:t>فيما يختص بضمان تمتع سكانها بحقوق الإنسان، والتخطيط</w:t>
      </w:r>
      <w:r w:rsidR="006D19E9" w:rsidRPr="00FE0EA2">
        <w:rPr>
          <w:rFonts w:hint="cs"/>
          <w:spacing w:val="-6"/>
          <w:w w:val="100"/>
          <w:kern w:val="0"/>
          <w:rtl/>
        </w:rPr>
        <w:t xml:space="preserve"> </w:t>
      </w:r>
      <w:r w:rsidRPr="00FE0EA2">
        <w:rPr>
          <w:rFonts w:hint="cs"/>
          <w:spacing w:val="-6"/>
          <w:w w:val="100"/>
          <w:kern w:val="0"/>
          <w:rtl/>
        </w:rPr>
        <w:t>لاتخاذ إجراءات لمنع انتهاكات حقوق الإنسان، ورصد تنفيذ هذه</w:t>
      </w:r>
      <w:r w:rsidR="006D19E9" w:rsidRPr="00FE0EA2">
        <w:rPr>
          <w:rFonts w:hint="cs"/>
          <w:spacing w:val="-6"/>
          <w:w w:val="100"/>
          <w:kern w:val="0"/>
          <w:rtl/>
        </w:rPr>
        <w:t xml:space="preserve"> </w:t>
      </w:r>
      <w:r w:rsidRPr="00FE0EA2">
        <w:rPr>
          <w:rFonts w:hint="cs"/>
          <w:spacing w:val="-6"/>
          <w:w w:val="100"/>
          <w:kern w:val="0"/>
          <w:rtl/>
        </w:rPr>
        <w:t>الإجراءات للتحقق من فعاليتها</w:t>
      </w:r>
      <w:r w:rsidR="006D19E9" w:rsidRPr="00FE0EA2">
        <w:rPr>
          <w:rFonts w:hint="cs"/>
          <w:spacing w:val="-6"/>
          <w:w w:val="100"/>
          <w:kern w:val="0"/>
          <w:rtl/>
        </w:rPr>
        <w:t xml:space="preserve"> </w:t>
      </w:r>
      <w:r w:rsidRPr="00FE0EA2">
        <w:rPr>
          <w:rFonts w:hint="cs"/>
          <w:spacing w:val="-6"/>
          <w:w w:val="100"/>
          <w:kern w:val="0"/>
          <w:rtl/>
        </w:rPr>
        <w:t>وتحديد ما إذا كان ينبغي تعديلها أو اتخاذ</w:t>
      </w:r>
      <w:r w:rsidR="006D19E9" w:rsidRPr="00FE0EA2">
        <w:rPr>
          <w:rFonts w:hint="cs"/>
          <w:spacing w:val="-6"/>
          <w:w w:val="100"/>
          <w:kern w:val="0"/>
          <w:rtl/>
        </w:rPr>
        <w:t xml:space="preserve"> </w:t>
      </w:r>
      <w:r w:rsidRPr="00FE0EA2">
        <w:rPr>
          <w:rFonts w:hint="cs"/>
          <w:spacing w:val="-6"/>
          <w:w w:val="100"/>
          <w:kern w:val="0"/>
          <w:rtl/>
        </w:rPr>
        <w:t>إجراءات إضافية. ويشكل استخدام المؤشرات المناسبة في</w:t>
      </w:r>
      <w:r w:rsidR="006D19E9" w:rsidRPr="00FE0EA2">
        <w:rPr>
          <w:rFonts w:hint="cs"/>
          <w:spacing w:val="-6"/>
          <w:w w:val="100"/>
          <w:kern w:val="0"/>
          <w:rtl/>
        </w:rPr>
        <w:t xml:space="preserve"> </w:t>
      </w:r>
      <w:r w:rsidRPr="00FE0EA2">
        <w:rPr>
          <w:rFonts w:hint="cs"/>
          <w:spacing w:val="-6"/>
          <w:w w:val="100"/>
          <w:kern w:val="0"/>
          <w:rtl/>
        </w:rPr>
        <w:t>عمل هيئات</w:t>
      </w:r>
      <w:r w:rsidR="006D19E9" w:rsidRPr="00FE0EA2">
        <w:rPr>
          <w:rFonts w:hint="cs"/>
          <w:spacing w:val="-6"/>
          <w:w w:val="100"/>
          <w:kern w:val="0"/>
          <w:rtl/>
        </w:rPr>
        <w:t xml:space="preserve"> </w:t>
      </w:r>
      <w:r w:rsidRPr="00FE0EA2">
        <w:rPr>
          <w:rFonts w:hint="cs"/>
          <w:spacing w:val="-6"/>
          <w:w w:val="100"/>
          <w:kern w:val="0"/>
          <w:rtl/>
        </w:rPr>
        <w:t>معاهدات حقوق الإنسان التابعة للأمم المتحدة مثلاً،</w:t>
      </w:r>
      <w:r w:rsidR="006D19E9" w:rsidRPr="00FE0EA2">
        <w:rPr>
          <w:rFonts w:hint="cs"/>
          <w:spacing w:val="-6"/>
          <w:w w:val="100"/>
          <w:kern w:val="0"/>
          <w:rtl/>
        </w:rPr>
        <w:t xml:space="preserve"> </w:t>
      </w:r>
      <w:r w:rsidRPr="00FE0EA2">
        <w:rPr>
          <w:rFonts w:hint="cs"/>
          <w:spacing w:val="-6"/>
          <w:w w:val="100"/>
          <w:kern w:val="0"/>
          <w:rtl/>
        </w:rPr>
        <w:t>وسيلة لمساعدة الدول الأطراف على إتاحة المعلومات الدقيقة والمهمة لهيئات المعاهدات ومساعدتها على تقييم التقدم المحرز في تنفيذ التزامات الدول بموجب المعاهدات</w:t>
      </w:r>
      <w:r w:rsidR="006D19E9" w:rsidRPr="00FE0EA2">
        <w:rPr>
          <w:rStyle w:val="FootnoteReference"/>
          <w:color w:val="auto"/>
          <w:spacing w:val="-6"/>
          <w:w w:val="100"/>
          <w:kern w:val="0"/>
          <w:sz w:val="30"/>
          <w:szCs w:val="30"/>
          <w:rtl/>
        </w:rPr>
        <w:t>(</w:t>
      </w:r>
      <w:r w:rsidR="006D19E9" w:rsidRPr="00FE0EA2">
        <w:rPr>
          <w:rStyle w:val="FootnoteReference"/>
          <w:color w:val="auto"/>
          <w:spacing w:val="-6"/>
          <w:w w:val="100"/>
          <w:kern w:val="0"/>
          <w:sz w:val="30"/>
          <w:szCs w:val="30"/>
          <w:rtl/>
        </w:rPr>
        <w:footnoteReference w:id="73"/>
      </w:r>
      <w:r w:rsidR="006D19E9" w:rsidRPr="00FE0EA2">
        <w:rPr>
          <w:rStyle w:val="FootnoteReference"/>
          <w:color w:val="auto"/>
          <w:spacing w:val="-6"/>
          <w:w w:val="100"/>
          <w:kern w:val="0"/>
          <w:sz w:val="30"/>
          <w:szCs w:val="30"/>
          <w:rtl/>
        </w:rPr>
        <w:t>)</w:t>
      </w:r>
      <w:r w:rsidR="00697057" w:rsidRPr="00FE0EA2">
        <w:rPr>
          <w:rStyle w:val="FootnoteReference"/>
          <w:rFonts w:hint="cs"/>
          <w:color w:val="auto"/>
          <w:spacing w:val="-6"/>
          <w:w w:val="100"/>
          <w:kern w:val="0"/>
          <w:sz w:val="30"/>
          <w:szCs w:val="30"/>
          <w:vertAlign w:val="baseline"/>
          <w:rtl/>
        </w:rPr>
        <w:t>.</w:t>
      </w:r>
    </w:p>
    <w:p w:rsidR="00C47F5D" w:rsidRPr="00FE0EA2" w:rsidRDefault="00C47F5D" w:rsidP="00FE0EA2">
      <w:pPr>
        <w:pStyle w:val="SingleTxt"/>
        <w:rPr>
          <w:spacing w:val="1"/>
          <w:rtl/>
        </w:rPr>
      </w:pPr>
      <w:r w:rsidRPr="00FE0EA2">
        <w:rPr>
          <w:rFonts w:hint="cs"/>
          <w:spacing w:val="1"/>
          <w:rtl/>
        </w:rPr>
        <w:t>36-</w:t>
      </w:r>
      <w:r w:rsidRPr="00FE0EA2">
        <w:rPr>
          <w:rFonts w:hint="cs"/>
          <w:spacing w:val="1"/>
          <w:rtl/>
        </w:rPr>
        <w:tab/>
        <w:t>وقد وضعت مفوضية الأمم المتحدة السامية لحقوق الإنسان إطاراً نظرياً ومنهجياً للمؤشرات، يمكن تطبيقه ووضعه في سياق معين عن طريق عمليات تشاركية</w:t>
      </w:r>
      <w:r w:rsidR="006D19E9" w:rsidRPr="00FE0EA2">
        <w:rPr>
          <w:rFonts w:hint="cs"/>
          <w:spacing w:val="1"/>
          <w:rtl/>
        </w:rPr>
        <w:t xml:space="preserve"> </w:t>
      </w:r>
      <w:r w:rsidRPr="00FE0EA2">
        <w:rPr>
          <w:rFonts w:hint="cs"/>
          <w:spacing w:val="1"/>
          <w:rtl/>
        </w:rPr>
        <w:t>على الصعيد الوطني. ويقترح</w:t>
      </w:r>
      <w:r w:rsidR="006D19E9" w:rsidRPr="00FE0EA2">
        <w:rPr>
          <w:rFonts w:hint="cs"/>
          <w:spacing w:val="1"/>
          <w:rtl/>
        </w:rPr>
        <w:t xml:space="preserve"> </w:t>
      </w:r>
      <w:r w:rsidRPr="00FE0EA2">
        <w:rPr>
          <w:rFonts w:hint="cs"/>
          <w:spacing w:val="1"/>
          <w:rtl/>
        </w:rPr>
        <w:t>الإطار</w:t>
      </w:r>
      <w:r w:rsidR="006D19E9" w:rsidRPr="00FE0EA2">
        <w:rPr>
          <w:rFonts w:hint="cs"/>
          <w:spacing w:val="1"/>
          <w:rtl/>
        </w:rPr>
        <w:t xml:space="preserve"> </w:t>
      </w:r>
      <w:r w:rsidRPr="00FE0EA2">
        <w:rPr>
          <w:rFonts w:hint="cs"/>
          <w:spacing w:val="1"/>
          <w:rtl/>
        </w:rPr>
        <w:t>وضع مؤشرات</w:t>
      </w:r>
      <w:r w:rsidR="006D19E9" w:rsidRPr="00FE0EA2">
        <w:rPr>
          <w:rFonts w:hint="cs"/>
          <w:spacing w:val="1"/>
          <w:rtl/>
        </w:rPr>
        <w:t xml:space="preserve"> </w:t>
      </w:r>
      <w:r w:rsidRPr="00FE0EA2">
        <w:rPr>
          <w:rFonts w:hint="cs"/>
          <w:spacing w:val="1"/>
          <w:rtl/>
        </w:rPr>
        <w:t>للهياكل والإجراءات</w:t>
      </w:r>
      <w:r w:rsidR="006D19E9" w:rsidRPr="00FE0EA2">
        <w:rPr>
          <w:rFonts w:hint="cs"/>
          <w:spacing w:val="1"/>
          <w:rtl/>
        </w:rPr>
        <w:t xml:space="preserve"> </w:t>
      </w:r>
      <w:r w:rsidRPr="00FE0EA2">
        <w:rPr>
          <w:rFonts w:hint="cs"/>
          <w:spacing w:val="1"/>
          <w:rtl/>
        </w:rPr>
        <w:t>والنتائج. وينبغي أن تساعد هذه الصيغة على تقييم الخطوات التي</w:t>
      </w:r>
      <w:r w:rsidR="006D19E9" w:rsidRPr="00FE0EA2">
        <w:rPr>
          <w:rFonts w:hint="cs"/>
          <w:spacing w:val="1"/>
          <w:rtl/>
        </w:rPr>
        <w:t xml:space="preserve"> </w:t>
      </w:r>
      <w:r w:rsidRPr="00FE0EA2">
        <w:rPr>
          <w:rFonts w:hint="cs"/>
          <w:spacing w:val="1"/>
          <w:rtl/>
        </w:rPr>
        <w:t>تتخذها الدول</w:t>
      </w:r>
      <w:r w:rsidR="006D19E9" w:rsidRPr="00FE0EA2">
        <w:rPr>
          <w:rFonts w:hint="cs"/>
          <w:spacing w:val="1"/>
          <w:rtl/>
        </w:rPr>
        <w:t xml:space="preserve"> </w:t>
      </w:r>
      <w:r w:rsidRPr="00FE0EA2">
        <w:rPr>
          <w:rFonts w:hint="cs"/>
          <w:spacing w:val="1"/>
          <w:rtl/>
        </w:rPr>
        <w:t xml:space="preserve">لمعالجة التزاماتها </w:t>
      </w:r>
      <w:r w:rsidR="00FE0EA2" w:rsidRPr="00FE0EA2">
        <w:rPr>
          <w:rFonts w:hint="cs"/>
          <w:spacing w:val="1"/>
          <w:rtl/>
        </w:rPr>
        <w:t>-</w:t>
      </w:r>
      <w:r w:rsidRPr="00FE0EA2">
        <w:rPr>
          <w:rFonts w:hint="cs"/>
          <w:spacing w:val="1"/>
          <w:rtl/>
        </w:rPr>
        <w:t xml:space="preserve"> بدءاً بتقيّدها</w:t>
      </w:r>
      <w:r w:rsidR="006D19E9" w:rsidRPr="00FE0EA2">
        <w:rPr>
          <w:rFonts w:hint="cs"/>
          <w:spacing w:val="1"/>
          <w:rtl/>
        </w:rPr>
        <w:t xml:space="preserve"> </w:t>
      </w:r>
      <w:r w:rsidRPr="00FE0EA2">
        <w:rPr>
          <w:rFonts w:hint="cs"/>
          <w:spacing w:val="1"/>
          <w:rtl/>
        </w:rPr>
        <w:t>بالمعايير الدولية لحقوق الإنسان وقبولها لها (المؤشرات</w:t>
      </w:r>
      <w:r w:rsidR="006D19E9" w:rsidRPr="00FE0EA2">
        <w:rPr>
          <w:rFonts w:hint="cs"/>
          <w:spacing w:val="1"/>
          <w:rtl/>
        </w:rPr>
        <w:t xml:space="preserve"> </w:t>
      </w:r>
      <w:r w:rsidRPr="00FE0EA2">
        <w:rPr>
          <w:rFonts w:hint="cs"/>
          <w:spacing w:val="1"/>
          <w:rtl/>
        </w:rPr>
        <w:t>الهيكلية) ومروراً بالجهود المبذولة للوفاء بالالتزامات الناشئة عن المعايير (مؤشرات</w:t>
      </w:r>
      <w:r w:rsidR="006D19E9" w:rsidRPr="00FE0EA2">
        <w:rPr>
          <w:rFonts w:hint="cs"/>
          <w:spacing w:val="1"/>
          <w:rtl/>
        </w:rPr>
        <w:t xml:space="preserve"> </w:t>
      </w:r>
      <w:r w:rsidRPr="00FE0EA2">
        <w:rPr>
          <w:rFonts w:hint="cs"/>
          <w:spacing w:val="1"/>
          <w:rtl/>
        </w:rPr>
        <w:t>الإجراءات) ووصولاً إلى نتائج هذه الجهود (مؤشرات النتائج).</w:t>
      </w:r>
      <w:r w:rsidR="006D19E9" w:rsidRPr="00FE0EA2">
        <w:rPr>
          <w:rFonts w:hint="cs"/>
          <w:spacing w:val="1"/>
          <w:rtl/>
        </w:rPr>
        <w:t xml:space="preserve"> </w:t>
      </w:r>
      <w:r w:rsidRPr="00FE0EA2">
        <w:rPr>
          <w:rFonts w:hint="cs"/>
          <w:spacing w:val="1"/>
          <w:rtl/>
        </w:rPr>
        <w:t>وفيما</w:t>
      </w:r>
      <w:r w:rsidR="00FE0EA2">
        <w:rPr>
          <w:rFonts w:hint="eastAsia"/>
          <w:spacing w:val="1"/>
          <w:rtl/>
        </w:rPr>
        <w:t> </w:t>
      </w:r>
      <w:r w:rsidRPr="00FE0EA2">
        <w:rPr>
          <w:rFonts w:hint="cs"/>
          <w:spacing w:val="1"/>
          <w:rtl/>
        </w:rPr>
        <w:t>يختص بحق الشخص في الحرية والأمان على شخصه، على سبيل المثال، قد يكشف المؤشر</w:t>
      </w:r>
      <w:r w:rsidR="006D19E9" w:rsidRPr="00FE0EA2">
        <w:rPr>
          <w:rFonts w:hint="cs"/>
          <w:spacing w:val="1"/>
          <w:rtl/>
        </w:rPr>
        <w:t xml:space="preserve"> </w:t>
      </w:r>
      <w:r w:rsidRPr="00FE0EA2">
        <w:rPr>
          <w:rFonts w:hint="cs"/>
          <w:spacing w:val="1"/>
          <w:rtl/>
        </w:rPr>
        <w:t>الهيكلي عن تاريخ دخول هذا الحق حيز النفاذ وعن نطاقه المكفول في الدستور؛ وقد يعكس مؤشر الإجراءات</w:t>
      </w:r>
      <w:r w:rsidR="006D19E9" w:rsidRPr="00FE0EA2">
        <w:rPr>
          <w:rFonts w:hint="cs"/>
          <w:spacing w:val="1"/>
          <w:rtl/>
        </w:rPr>
        <w:t xml:space="preserve"> </w:t>
      </w:r>
      <w:r w:rsidRPr="00FE0EA2">
        <w:rPr>
          <w:rFonts w:hint="cs"/>
          <w:spacing w:val="1"/>
          <w:rtl/>
        </w:rPr>
        <w:t>نسبة الشكاوى</w:t>
      </w:r>
      <w:r w:rsidR="006D19E9" w:rsidRPr="00FE0EA2">
        <w:rPr>
          <w:rFonts w:hint="cs"/>
          <w:spacing w:val="1"/>
          <w:rtl/>
        </w:rPr>
        <w:t xml:space="preserve"> </w:t>
      </w:r>
      <w:r w:rsidRPr="00FE0EA2">
        <w:rPr>
          <w:rFonts w:hint="cs"/>
          <w:spacing w:val="1"/>
          <w:rtl/>
        </w:rPr>
        <w:t>التي تتلقاها</w:t>
      </w:r>
      <w:r w:rsidR="006D19E9" w:rsidRPr="00FE0EA2">
        <w:rPr>
          <w:rFonts w:hint="cs"/>
          <w:spacing w:val="1"/>
          <w:rtl/>
        </w:rPr>
        <w:t xml:space="preserve"> </w:t>
      </w:r>
      <w:r w:rsidRPr="00FE0EA2">
        <w:rPr>
          <w:rFonts w:hint="cs"/>
          <w:spacing w:val="1"/>
          <w:rtl/>
        </w:rPr>
        <w:t>وتحقق</w:t>
      </w:r>
      <w:r w:rsidR="006D19E9" w:rsidRPr="00FE0EA2">
        <w:rPr>
          <w:rFonts w:hint="cs"/>
          <w:spacing w:val="1"/>
          <w:rtl/>
        </w:rPr>
        <w:t xml:space="preserve"> </w:t>
      </w:r>
      <w:r w:rsidRPr="00FE0EA2">
        <w:rPr>
          <w:rFonts w:hint="cs"/>
          <w:spacing w:val="1"/>
          <w:rtl/>
        </w:rPr>
        <w:t>أو تفصل</w:t>
      </w:r>
      <w:r w:rsidR="006D19E9" w:rsidRPr="00FE0EA2">
        <w:rPr>
          <w:rFonts w:hint="cs"/>
          <w:spacing w:val="1"/>
          <w:rtl/>
        </w:rPr>
        <w:t xml:space="preserve"> </w:t>
      </w:r>
      <w:r w:rsidRPr="00FE0EA2">
        <w:rPr>
          <w:rFonts w:hint="cs"/>
          <w:spacing w:val="1"/>
          <w:rtl/>
        </w:rPr>
        <w:t>فيها المؤسسة الوطنية لحقوق الإنسان بشأن</w:t>
      </w:r>
      <w:r w:rsidR="006D19E9" w:rsidRPr="00FE0EA2">
        <w:rPr>
          <w:rFonts w:hint="cs"/>
          <w:spacing w:val="1"/>
          <w:rtl/>
        </w:rPr>
        <w:t xml:space="preserve"> </w:t>
      </w:r>
      <w:r w:rsidRPr="00FE0EA2">
        <w:rPr>
          <w:rFonts w:hint="cs"/>
          <w:spacing w:val="1"/>
          <w:rtl/>
        </w:rPr>
        <w:t>الحق؛</w:t>
      </w:r>
      <w:r w:rsidR="006D19E9" w:rsidRPr="00FE0EA2">
        <w:rPr>
          <w:rFonts w:hint="cs"/>
          <w:spacing w:val="1"/>
          <w:rtl/>
        </w:rPr>
        <w:t xml:space="preserve"> </w:t>
      </w:r>
      <w:r w:rsidRPr="00FE0EA2">
        <w:rPr>
          <w:rFonts w:hint="cs"/>
          <w:spacing w:val="1"/>
          <w:rtl/>
        </w:rPr>
        <w:t>بينما يوضح مؤشر النتائج</w:t>
      </w:r>
      <w:r w:rsidR="006D19E9" w:rsidRPr="00FE0EA2">
        <w:rPr>
          <w:rFonts w:hint="cs"/>
          <w:spacing w:val="1"/>
          <w:rtl/>
        </w:rPr>
        <w:t xml:space="preserve"> </w:t>
      </w:r>
      <w:r w:rsidRPr="00FE0EA2">
        <w:rPr>
          <w:rFonts w:hint="cs"/>
          <w:spacing w:val="1"/>
          <w:rtl/>
        </w:rPr>
        <w:t>نسبة عمليات التوقيف والاحتجاز التي</w:t>
      </w:r>
      <w:r w:rsidR="006D19E9" w:rsidRPr="00FE0EA2">
        <w:rPr>
          <w:rFonts w:hint="cs"/>
          <w:spacing w:val="1"/>
          <w:rtl/>
        </w:rPr>
        <w:t xml:space="preserve"> </w:t>
      </w:r>
      <w:r w:rsidRPr="00FE0EA2">
        <w:rPr>
          <w:rFonts w:hint="cs"/>
          <w:spacing w:val="1"/>
          <w:rtl/>
        </w:rPr>
        <w:t>تقضي المحاكم الوطنية بعدم مشروعيتها</w:t>
      </w:r>
      <w:r w:rsidR="006D19E9" w:rsidRPr="00FE0EA2">
        <w:rPr>
          <w:rStyle w:val="FootnoteReference"/>
          <w:color w:val="auto"/>
          <w:spacing w:val="1"/>
          <w:sz w:val="30"/>
          <w:szCs w:val="30"/>
          <w:rtl/>
        </w:rPr>
        <w:t>(</w:t>
      </w:r>
      <w:r w:rsidR="006D19E9" w:rsidRPr="00FE0EA2">
        <w:rPr>
          <w:rStyle w:val="FootnoteReference"/>
          <w:color w:val="auto"/>
          <w:spacing w:val="1"/>
          <w:sz w:val="30"/>
          <w:szCs w:val="30"/>
          <w:rtl/>
        </w:rPr>
        <w:footnoteReference w:id="74"/>
      </w:r>
      <w:r w:rsidR="006D19E9" w:rsidRPr="00FE0EA2">
        <w:rPr>
          <w:rStyle w:val="FootnoteReference"/>
          <w:color w:val="auto"/>
          <w:spacing w:val="1"/>
          <w:sz w:val="30"/>
          <w:szCs w:val="30"/>
          <w:rtl/>
        </w:rPr>
        <w:t>)</w:t>
      </w:r>
      <w:r w:rsidR="00697057" w:rsidRPr="00FE0EA2">
        <w:rPr>
          <w:rStyle w:val="FootnoteReference"/>
          <w:rFonts w:hint="cs"/>
          <w:color w:val="auto"/>
          <w:spacing w:val="1"/>
          <w:sz w:val="30"/>
          <w:szCs w:val="30"/>
          <w:vertAlign w:val="baseline"/>
          <w:rtl/>
        </w:rPr>
        <w:t>.</w:t>
      </w:r>
    </w:p>
    <w:p w:rsidR="00C47F5D" w:rsidRPr="006D19E9" w:rsidRDefault="00C47F5D" w:rsidP="00C47F5D">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D19E9">
        <w:rPr>
          <w:rFonts w:hint="cs"/>
          <w:rtl/>
        </w:rPr>
        <w:tab/>
      </w:r>
      <w:r w:rsidRPr="006D19E9">
        <w:rPr>
          <w:rFonts w:hint="cs"/>
          <w:rtl/>
        </w:rPr>
        <w:tab/>
        <w:t>متابعة آليات حقوق الإنسان</w:t>
      </w:r>
      <w:r w:rsidR="006D19E9">
        <w:rPr>
          <w:rFonts w:hint="cs"/>
          <w:rtl/>
        </w:rPr>
        <w:t xml:space="preserve"> </w:t>
      </w:r>
      <w:r w:rsidRPr="006D19E9">
        <w:rPr>
          <w:rFonts w:hint="cs"/>
          <w:rtl/>
        </w:rPr>
        <w:t>للتوصيات</w:t>
      </w:r>
    </w:p>
    <w:p w:rsidR="00C47F5D" w:rsidRPr="006D19E9" w:rsidRDefault="00C47F5D" w:rsidP="00697057">
      <w:pPr>
        <w:pStyle w:val="SingleTxt"/>
        <w:rPr>
          <w:rtl/>
          <w:lang w:val="fr-FR"/>
        </w:rPr>
      </w:pPr>
      <w:r w:rsidRPr="006D19E9">
        <w:rPr>
          <w:rFonts w:hint="cs"/>
          <w:rtl/>
        </w:rPr>
        <w:t>37-</w:t>
      </w:r>
      <w:r w:rsidRPr="006D19E9">
        <w:rPr>
          <w:rFonts w:hint="cs"/>
          <w:rtl/>
        </w:rPr>
        <w:tab/>
        <w:t>يتسم</w:t>
      </w:r>
      <w:r w:rsidR="006D19E9">
        <w:rPr>
          <w:rFonts w:hint="cs"/>
          <w:rtl/>
        </w:rPr>
        <w:t xml:space="preserve"> </w:t>
      </w:r>
      <w:r w:rsidRPr="006D19E9">
        <w:rPr>
          <w:rFonts w:hint="cs"/>
          <w:rtl/>
          <w:lang w:val="fr-FR"/>
        </w:rPr>
        <w:t>تطوير الأدوات اللازمة لمتابعة التوصيات التي تقدّمها آليات حقوق الإنسان إلى الدول</w:t>
      </w:r>
      <w:r w:rsidR="006D19E9">
        <w:rPr>
          <w:rFonts w:hint="cs"/>
          <w:rtl/>
          <w:lang w:val="fr-FR"/>
        </w:rPr>
        <w:t xml:space="preserve"> </w:t>
      </w:r>
      <w:r w:rsidRPr="006D19E9">
        <w:rPr>
          <w:rFonts w:hint="cs"/>
          <w:rtl/>
          <w:lang w:val="fr-FR"/>
        </w:rPr>
        <w:t>بأهمية شديدة.</w:t>
      </w:r>
      <w:r w:rsidR="006D19E9">
        <w:rPr>
          <w:rFonts w:hint="cs"/>
          <w:rtl/>
          <w:lang w:val="fr-FR"/>
        </w:rPr>
        <w:t xml:space="preserve"> </w:t>
      </w:r>
      <w:r w:rsidRPr="006D19E9">
        <w:rPr>
          <w:rFonts w:hint="cs"/>
          <w:rtl/>
          <w:lang w:val="fr-FR"/>
        </w:rPr>
        <w:t>ومن شأن تجميع التوصيات</w:t>
      </w:r>
      <w:r w:rsidR="006D19E9">
        <w:rPr>
          <w:rFonts w:hint="cs"/>
          <w:rtl/>
          <w:lang w:val="fr-FR"/>
        </w:rPr>
        <w:t xml:space="preserve"> </w:t>
      </w:r>
      <w:r w:rsidRPr="006D19E9">
        <w:rPr>
          <w:rFonts w:hint="cs"/>
          <w:rtl/>
          <w:lang w:val="fr-FR"/>
        </w:rPr>
        <w:t>بشكل علني وواضح ومتسق</w:t>
      </w:r>
      <w:r w:rsidR="006D19E9" w:rsidRPr="006D19E9">
        <w:rPr>
          <w:rStyle w:val="FootnoteReference"/>
          <w:color w:val="auto"/>
          <w:sz w:val="30"/>
          <w:szCs w:val="30"/>
          <w:rtl/>
          <w:lang w:val="fr-FR"/>
        </w:rPr>
        <w:t>(</w:t>
      </w:r>
      <w:r w:rsidR="006D19E9" w:rsidRPr="006D19E9">
        <w:rPr>
          <w:rStyle w:val="FootnoteReference"/>
          <w:color w:val="auto"/>
          <w:sz w:val="30"/>
          <w:szCs w:val="30"/>
          <w:rtl/>
          <w:lang w:val="fr-FR"/>
        </w:rPr>
        <w:footnoteReference w:id="75"/>
      </w:r>
      <w:r w:rsidR="006D19E9" w:rsidRPr="006D19E9">
        <w:rPr>
          <w:rStyle w:val="FootnoteReference"/>
          <w:color w:val="auto"/>
          <w:sz w:val="30"/>
          <w:szCs w:val="30"/>
          <w:rtl/>
          <w:lang w:val="fr-FR"/>
        </w:rPr>
        <w:t>)</w:t>
      </w:r>
      <w:r w:rsidR="006D19E9">
        <w:rPr>
          <w:rFonts w:hint="cs"/>
          <w:rtl/>
          <w:lang w:val="fr-FR"/>
        </w:rPr>
        <w:t xml:space="preserve"> </w:t>
      </w:r>
      <w:r w:rsidRPr="006D19E9">
        <w:rPr>
          <w:rFonts w:hint="cs"/>
          <w:rtl/>
          <w:lang w:val="fr-FR"/>
        </w:rPr>
        <w:t>منذ البدء، أن يتيح للهيئات الحكومية المعنية</w:t>
      </w:r>
      <w:r w:rsidR="006D19E9">
        <w:rPr>
          <w:rFonts w:hint="cs"/>
          <w:rtl/>
          <w:lang w:val="fr-FR"/>
        </w:rPr>
        <w:t xml:space="preserve"> </w:t>
      </w:r>
      <w:r w:rsidRPr="006D19E9">
        <w:rPr>
          <w:rFonts w:hint="cs"/>
          <w:rtl/>
          <w:lang w:val="fr-FR"/>
        </w:rPr>
        <w:t>وأصحاب المصلحة الآخرين إمكانية</w:t>
      </w:r>
      <w:r w:rsidR="006D19E9">
        <w:rPr>
          <w:rFonts w:hint="cs"/>
          <w:rtl/>
          <w:lang w:val="fr-FR"/>
        </w:rPr>
        <w:t xml:space="preserve"> </w:t>
      </w:r>
      <w:r w:rsidRPr="006D19E9">
        <w:rPr>
          <w:rFonts w:hint="cs"/>
          <w:rtl/>
          <w:lang w:val="fr-FR"/>
        </w:rPr>
        <w:t>رصد تنفيذها. وقد يتخذ ذلك شكل قاعدة بيانات إلكترونية متاحة للجمهور ويجري استكمالها</w:t>
      </w:r>
      <w:r w:rsidR="006D19E9">
        <w:rPr>
          <w:rFonts w:hint="cs"/>
          <w:rtl/>
          <w:lang w:val="fr-FR"/>
        </w:rPr>
        <w:t xml:space="preserve"> </w:t>
      </w:r>
      <w:r w:rsidRPr="006D19E9">
        <w:rPr>
          <w:rFonts w:hint="cs"/>
          <w:rtl/>
          <w:lang w:val="fr-FR"/>
        </w:rPr>
        <w:t>بانتظام</w:t>
      </w:r>
      <w:r w:rsidR="006D19E9">
        <w:rPr>
          <w:rFonts w:hint="cs"/>
          <w:rtl/>
          <w:lang w:val="fr-FR"/>
        </w:rPr>
        <w:t xml:space="preserve"> </w:t>
      </w:r>
      <w:r w:rsidRPr="006D19E9">
        <w:rPr>
          <w:rFonts w:hint="cs"/>
          <w:rtl/>
          <w:lang w:val="fr-FR"/>
        </w:rPr>
        <w:t>بحيث تبيّن سير التنفيذ وتيسّر أيض</w:t>
      </w:r>
      <w:r w:rsidR="00B30F0C">
        <w:rPr>
          <w:rFonts w:hint="cs"/>
          <w:rtl/>
          <w:lang w:val="fr-FR"/>
        </w:rPr>
        <w:t xml:space="preserve">اً </w:t>
      </w:r>
      <w:r w:rsidRPr="006D19E9">
        <w:rPr>
          <w:rFonts w:hint="cs"/>
          <w:rtl/>
          <w:lang w:val="fr-FR"/>
        </w:rPr>
        <w:t>مراعاة هذه التوصيات عند إعداد أو</w:t>
      </w:r>
      <w:r w:rsidR="006D19E9">
        <w:rPr>
          <w:rFonts w:hint="cs"/>
          <w:rtl/>
          <w:lang w:val="fr-FR"/>
        </w:rPr>
        <w:t xml:space="preserve"> </w:t>
      </w:r>
      <w:r w:rsidRPr="006D19E9">
        <w:rPr>
          <w:rFonts w:hint="cs"/>
          <w:rtl/>
          <w:lang w:val="fr-FR"/>
        </w:rPr>
        <w:t>تنقيح أي استراتيجية وطنية أو خطة عمل وطنية في مجال حقوق الإنسان. ويمكن اعتماد قوانين أو إجراءات معيّنة</w:t>
      </w:r>
      <w:r w:rsidR="006D19E9">
        <w:rPr>
          <w:rFonts w:hint="cs"/>
          <w:rtl/>
          <w:lang w:val="fr-FR"/>
        </w:rPr>
        <w:t xml:space="preserve"> </w:t>
      </w:r>
      <w:r w:rsidRPr="006D19E9">
        <w:rPr>
          <w:rFonts w:hint="cs"/>
          <w:rtl/>
          <w:lang w:val="fr-FR"/>
        </w:rPr>
        <w:t>لتطبيق الفقه القانوني الدولي والإقليمي على المستوى الوطني،</w:t>
      </w:r>
      <w:r w:rsidR="006D19E9">
        <w:rPr>
          <w:rFonts w:hint="cs"/>
          <w:rtl/>
          <w:lang w:val="fr-FR"/>
        </w:rPr>
        <w:t xml:space="preserve"> </w:t>
      </w:r>
      <w:r w:rsidRPr="006D19E9">
        <w:rPr>
          <w:rFonts w:hint="cs"/>
          <w:rtl/>
          <w:lang w:val="fr-FR"/>
        </w:rPr>
        <w:t>ودعوة ممثل عن الضحية إلى المشاركة في عمل الهيئة الحكومية المكلفة بتنفيذ هذه المسألة الفردية على المستوى الوطني</w:t>
      </w:r>
      <w:r w:rsidR="006D19E9" w:rsidRPr="006D19E9">
        <w:rPr>
          <w:rStyle w:val="FootnoteReference"/>
          <w:color w:val="auto"/>
          <w:sz w:val="30"/>
          <w:szCs w:val="30"/>
          <w:rtl/>
          <w:lang w:val="fr-FR"/>
        </w:rPr>
        <w:t>(</w:t>
      </w:r>
      <w:r w:rsidR="006D19E9" w:rsidRPr="006D19E9">
        <w:rPr>
          <w:rStyle w:val="FootnoteReference"/>
          <w:color w:val="auto"/>
          <w:sz w:val="30"/>
          <w:szCs w:val="30"/>
          <w:rtl/>
          <w:lang w:val="fr-FR"/>
        </w:rPr>
        <w:footnoteReference w:id="76"/>
      </w:r>
      <w:r w:rsidR="006D19E9" w:rsidRPr="006D19E9">
        <w:rPr>
          <w:rStyle w:val="FootnoteReference"/>
          <w:color w:val="auto"/>
          <w:sz w:val="30"/>
          <w:szCs w:val="30"/>
          <w:rtl/>
          <w:lang w:val="fr-FR"/>
        </w:rPr>
        <w:t>)</w:t>
      </w:r>
      <w:r w:rsidR="00697057">
        <w:rPr>
          <w:rFonts w:hint="cs"/>
          <w:rtl/>
          <w:lang w:val="fr-FR"/>
        </w:rPr>
        <w:t>.</w:t>
      </w:r>
      <w:r w:rsidRPr="006D19E9">
        <w:rPr>
          <w:rFonts w:hint="cs"/>
          <w:rtl/>
          <w:lang w:val="fr-FR"/>
        </w:rPr>
        <w:t xml:space="preserve"> ويمكن إنشاء آليات دائمة داخل الوزارات من أجل تنفيذ التوصيات، وبخاصة في</w:t>
      </w:r>
      <w:r w:rsidR="006D19E9">
        <w:rPr>
          <w:rFonts w:hint="cs"/>
          <w:rtl/>
          <w:lang w:val="fr-FR"/>
        </w:rPr>
        <w:t xml:space="preserve"> </w:t>
      </w:r>
      <w:r w:rsidRPr="006D19E9">
        <w:rPr>
          <w:rFonts w:hint="cs"/>
          <w:rtl/>
          <w:lang w:val="fr-FR"/>
        </w:rPr>
        <w:t>ضوء المسائل</w:t>
      </w:r>
      <w:r w:rsidR="006D19E9">
        <w:rPr>
          <w:rFonts w:hint="cs"/>
          <w:rtl/>
          <w:lang w:val="fr-FR"/>
        </w:rPr>
        <w:t xml:space="preserve"> </w:t>
      </w:r>
      <w:r w:rsidRPr="006D19E9">
        <w:rPr>
          <w:rFonts w:hint="cs"/>
          <w:rtl/>
          <w:lang w:val="fr-FR"/>
        </w:rPr>
        <w:t>الهيكلية التي قد</w:t>
      </w:r>
      <w:r w:rsidR="006D19E9">
        <w:rPr>
          <w:rFonts w:hint="cs"/>
          <w:rtl/>
          <w:lang w:val="fr-FR"/>
        </w:rPr>
        <w:t xml:space="preserve"> </w:t>
      </w:r>
      <w:r w:rsidRPr="006D19E9">
        <w:rPr>
          <w:rFonts w:hint="cs"/>
          <w:rtl/>
          <w:lang w:val="fr-FR"/>
        </w:rPr>
        <w:t>يجري التعرف عليها عبر الآليات الإقليمية لحقوق الإنسان، ومن أجل العمل على منع ارتكاب مزيد من الانتهاكات</w:t>
      </w:r>
      <w:r w:rsidR="006D19E9">
        <w:rPr>
          <w:rFonts w:hint="cs"/>
          <w:rtl/>
          <w:lang w:val="fr-FR"/>
        </w:rPr>
        <w:t xml:space="preserve"> </w:t>
      </w:r>
      <w:r w:rsidRPr="006D19E9">
        <w:rPr>
          <w:rFonts w:hint="cs"/>
          <w:rtl/>
          <w:lang w:val="fr-FR"/>
        </w:rPr>
        <w:t>على أساس هذه المسائل</w:t>
      </w:r>
      <w:r w:rsidR="006D19E9" w:rsidRPr="006D19E9">
        <w:rPr>
          <w:rStyle w:val="FootnoteReference"/>
          <w:color w:val="auto"/>
          <w:sz w:val="30"/>
          <w:szCs w:val="30"/>
          <w:rtl/>
          <w:lang w:val="fr-FR"/>
        </w:rPr>
        <w:t>(</w:t>
      </w:r>
      <w:r w:rsidR="006D19E9" w:rsidRPr="006D19E9">
        <w:rPr>
          <w:rStyle w:val="FootnoteReference"/>
          <w:color w:val="auto"/>
          <w:sz w:val="30"/>
          <w:szCs w:val="30"/>
          <w:rtl/>
          <w:lang w:val="fr-FR"/>
        </w:rPr>
        <w:footnoteReference w:id="77"/>
      </w:r>
      <w:r w:rsidR="006D19E9" w:rsidRPr="006D19E9">
        <w:rPr>
          <w:rStyle w:val="FootnoteReference"/>
          <w:color w:val="auto"/>
          <w:sz w:val="30"/>
          <w:szCs w:val="30"/>
          <w:rtl/>
          <w:lang w:val="fr-FR"/>
        </w:rPr>
        <w:t>)</w:t>
      </w:r>
      <w:r w:rsidR="00697057" w:rsidRPr="00697057">
        <w:rPr>
          <w:rStyle w:val="FootnoteReference"/>
          <w:rFonts w:hint="cs"/>
          <w:color w:val="auto"/>
          <w:sz w:val="30"/>
          <w:szCs w:val="30"/>
          <w:vertAlign w:val="baseline"/>
          <w:rtl/>
          <w:lang w:val="fr-FR"/>
        </w:rPr>
        <w:t>.</w:t>
      </w:r>
    </w:p>
    <w:p w:rsidR="00C47F5D" w:rsidRPr="006D19E9" w:rsidRDefault="00C47F5D" w:rsidP="00B2219E">
      <w:pPr>
        <w:pStyle w:val="SingleTxt"/>
        <w:rPr>
          <w:rtl/>
          <w:lang w:val="fr-FR"/>
        </w:rPr>
      </w:pPr>
      <w:r w:rsidRPr="006D19E9">
        <w:rPr>
          <w:rFonts w:hint="cs"/>
          <w:rtl/>
        </w:rPr>
        <w:t>38-</w:t>
      </w:r>
      <w:r w:rsidRPr="006D19E9">
        <w:rPr>
          <w:rFonts w:hint="cs"/>
          <w:rtl/>
        </w:rPr>
        <w:tab/>
        <w:t>ويتطلب إدماج التوصيات المتعلقة بحقوق الإنسان والصادرة عن آليات حقوق الإنسان في السياسات والبرامج الوطنية تنسيقاً فعالاً وإطاراً تحليلياً ونهج</w:t>
      </w:r>
      <w:r w:rsidR="00B30F0C">
        <w:rPr>
          <w:rFonts w:hint="cs"/>
          <w:rtl/>
        </w:rPr>
        <w:t xml:space="preserve">اً </w:t>
      </w:r>
      <w:r w:rsidRPr="006D19E9">
        <w:rPr>
          <w:rFonts w:hint="cs"/>
          <w:rtl/>
        </w:rPr>
        <w:t>متسق</w:t>
      </w:r>
      <w:r w:rsidR="00B30F0C">
        <w:rPr>
          <w:rFonts w:hint="cs"/>
          <w:rtl/>
        </w:rPr>
        <w:t xml:space="preserve">اً </w:t>
      </w:r>
      <w:r w:rsidRPr="006D19E9">
        <w:rPr>
          <w:rFonts w:hint="cs"/>
          <w:rtl/>
        </w:rPr>
        <w:t>ذا أساس منهجي. وقد تكون أسباب انتهاك حقوق الإنسان واضحة، مثل وجود قوانين أو سياسات تحرم فئات معيّنة من التعليم. وقد تكون أكثر تعقيداً بحيث تنطوي على مجموعة من المواقف المتصلة بالقوانين والسياسات والممارسات والمفاهيم</w:t>
      </w:r>
      <w:r w:rsidR="006D19E9">
        <w:rPr>
          <w:rFonts w:hint="cs"/>
          <w:rtl/>
        </w:rPr>
        <w:t xml:space="preserve"> </w:t>
      </w:r>
      <w:r w:rsidRPr="006D19E9">
        <w:rPr>
          <w:rFonts w:hint="cs"/>
          <w:rtl/>
        </w:rPr>
        <w:t>الاجتماعية. وقد تساعد مشاركة الأشخاص المتضررين على تحديد الأسباب والنظر</w:t>
      </w:r>
      <w:r w:rsidR="006D19E9">
        <w:rPr>
          <w:rFonts w:hint="cs"/>
          <w:rtl/>
        </w:rPr>
        <w:t xml:space="preserve"> </w:t>
      </w:r>
      <w:r w:rsidRPr="006D19E9">
        <w:rPr>
          <w:rFonts w:hint="cs"/>
          <w:rtl/>
        </w:rPr>
        <w:t>في الحلول المحتملة،</w:t>
      </w:r>
      <w:r w:rsidR="006D19E9">
        <w:rPr>
          <w:rFonts w:hint="cs"/>
          <w:rtl/>
        </w:rPr>
        <w:t xml:space="preserve"> </w:t>
      </w:r>
      <w:r w:rsidRPr="006D19E9">
        <w:rPr>
          <w:rFonts w:hint="cs"/>
          <w:rtl/>
        </w:rPr>
        <w:t>علاوة على إعمال الحق في المشاركة في اتخاذ القرارات. وقد ثبت أن إنشاء آليات دائمة وشاملة للتنسيق والمتابعة يشكل أداة فعالة في هذا الشأن (الفقرة</w:t>
      </w:r>
      <w:r w:rsidR="00FE0EA2">
        <w:rPr>
          <w:rFonts w:hint="eastAsia"/>
          <w:rtl/>
        </w:rPr>
        <w:t> </w:t>
      </w:r>
      <w:r w:rsidRPr="006D19E9">
        <w:rPr>
          <w:rFonts w:hint="cs"/>
          <w:rtl/>
        </w:rPr>
        <w:t xml:space="preserve">101 من الوثيقة </w:t>
      </w:r>
      <w:r w:rsidRPr="006D19E9">
        <w:t>A/HRC/27/41</w:t>
      </w:r>
      <w:r w:rsidRPr="006D19E9">
        <w:rPr>
          <w:rFonts w:hint="cs"/>
          <w:rtl/>
        </w:rPr>
        <w:t>). ويساهم التشاور مع الحكومة بجميع مستوياتها، وإشراكها منذ البداية، في ضمان مشاركتها المستمرة حتى مرحلة التنفيذ. ومن شأن</w:t>
      </w:r>
      <w:r w:rsidR="006D19E9">
        <w:rPr>
          <w:rFonts w:hint="cs"/>
          <w:rtl/>
        </w:rPr>
        <w:t xml:space="preserve"> </w:t>
      </w:r>
      <w:r w:rsidRPr="006D19E9">
        <w:rPr>
          <w:rFonts w:hint="cs"/>
          <w:rtl/>
        </w:rPr>
        <w:t>إنشاء هيئات مشتركة بين الوزارات (هيئات وزارية) أو بين المؤسسات،</w:t>
      </w:r>
      <w:r w:rsidR="006D19E9">
        <w:rPr>
          <w:rFonts w:hint="cs"/>
          <w:rtl/>
        </w:rPr>
        <w:t xml:space="preserve"> </w:t>
      </w:r>
      <w:r w:rsidRPr="006D19E9">
        <w:rPr>
          <w:rFonts w:hint="cs"/>
          <w:rtl/>
        </w:rPr>
        <w:t>ويشمل ذلك أيضاً المؤسسات الوطنية لحقوق الإنسان ومنظمات المجتمع المدني، مع تعيين وزارة محدَّدة لتولي القيادة،</w:t>
      </w:r>
      <w:r w:rsidR="006D19E9">
        <w:rPr>
          <w:rFonts w:hint="cs"/>
          <w:rtl/>
        </w:rPr>
        <w:t xml:space="preserve"> </w:t>
      </w:r>
      <w:r w:rsidRPr="006D19E9">
        <w:rPr>
          <w:rFonts w:hint="cs"/>
          <w:rtl/>
        </w:rPr>
        <w:t>أن يؤدي إلى تعزيز القدرة على اتخاذ الإجراءات في حينها. كما أن ضمان مشاركة الهيئات أو العمليات ذاتها في التشاور والتنسيق بشأن</w:t>
      </w:r>
      <w:r w:rsidR="006D19E9">
        <w:rPr>
          <w:rFonts w:hint="cs"/>
          <w:rtl/>
        </w:rPr>
        <w:t xml:space="preserve"> </w:t>
      </w:r>
      <w:r w:rsidRPr="006D19E9">
        <w:rPr>
          <w:rFonts w:hint="cs"/>
          <w:rtl/>
        </w:rPr>
        <w:t>منع انتهاكات حقوق الإنسان وفي تنفيذ التوصيات الصادرة عن آليات حقوق الإنسان،</w:t>
      </w:r>
      <w:r w:rsidR="006D19E9">
        <w:rPr>
          <w:rFonts w:hint="cs"/>
          <w:rtl/>
        </w:rPr>
        <w:t xml:space="preserve"> </w:t>
      </w:r>
      <w:r w:rsidRPr="006D19E9">
        <w:rPr>
          <w:rFonts w:hint="cs"/>
          <w:rtl/>
        </w:rPr>
        <w:t>قد يسهم</w:t>
      </w:r>
      <w:r w:rsidR="006D19E9">
        <w:rPr>
          <w:rFonts w:hint="cs"/>
          <w:rtl/>
        </w:rPr>
        <w:t xml:space="preserve"> </w:t>
      </w:r>
      <w:r w:rsidRPr="006D19E9">
        <w:rPr>
          <w:rFonts w:hint="cs"/>
          <w:rtl/>
        </w:rPr>
        <w:t>في تحقيق الفعالية والاتساق والتناسق.</w:t>
      </w:r>
    </w:p>
    <w:p w:rsidR="00C47F5D" w:rsidRPr="00B30F0C" w:rsidRDefault="00C47F5D" w:rsidP="00B30F0C">
      <w:pPr>
        <w:pStyle w:val="SingleTxt"/>
        <w:rPr>
          <w:spacing w:val="2"/>
          <w:rtl/>
          <w:lang w:bidi="ar"/>
        </w:rPr>
      </w:pPr>
      <w:r w:rsidRPr="00B30F0C">
        <w:rPr>
          <w:rFonts w:hint="cs"/>
          <w:spacing w:val="2"/>
          <w:rtl/>
        </w:rPr>
        <w:t>39-</w:t>
      </w:r>
      <w:r w:rsidRPr="00B30F0C">
        <w:rPr>
          <w:rFonts w:hint="cs"/>
          <w:spacing w:val="2"/>
          <w:rtl/>
        </w:rPr>
        <w:tab/>
        <w:t>وتشمل العناصر</w:t>
      </w:r>
      <w:r w:rsidR="006D19E9" w:rsidRPr="00B30F0C">
        <w:rPr>
          <w:rFonts w:hint="cs"/>
          <w:spacing w:val="2"/>
          <w:rtl/>
        </w:rPr>
        <w:t xml:space="preserve"> </w:t>
      </w:r>
      <w:r w:rsidRPr="00B30F0C">
        <w:rPr>
          <w:rFonts w:hint="cs"/>
          <w:spacing w:val="2"/>
          <w:rtl/>
        </w:rPr>
        <w:t>الأساسية أيضاً أنشطة التخطيط والرصد والمساءلة</w:t>
      </w:r>
      <w:r w:rsidR="006D19E9" w:rsidRPr="00B30F0C">
        <w:rPr>
          <w:rFonts w:hint="cs"/>
          <w:spacing w:val="2"/>
          <w:rtl/>
        </w:rPr>
        <w:t xml:space="preserve"> </w:t>
      </w:r>
      <w:r w:rsidRPr="00B30F0C">
        <w:rPr>
          <w:rFonts w:hint="cs"/>
          <w:spacing w:val="2"/>
          <w:rtl/>
        </w:rPr>
        <w:t>فيما يختص بالالتزامات المتعلقة بحقوق الإنسان والواردة في</w:t>
      </w:r>
      <w:r w:rsidR="006D19E9" w:rsidRPr="00B30F0C">
        <w:rPr>
          <w:rFonts w:hint="cs"/>
          <w:spacing w:val="2"/>
          <w:rtl/>
        </w:rPr>
        <w:t xml:space="preserve"> </w:t>
      </w:r>
      <w:r w:rsidRPr="00B30F0C">
        <w:rPr>
          <w:rFonts w:hint="cs"/>
          <w:spacing w:val="2"/>
          <w:rtl/>
        </w:rPr>
        <w:t>خطة التنمية الجديدة</w:t>
      </w:r>
      <w:r w:rsidR="006D19E9" w:rsidRPr="00B30F0C">
        <w:rPr>
          <w:rFonts w:hint="cs"/>
          <w:spacing w:val="2"/>
          <w:rtl/>
        </w:rPr>
        <w:t xml:space="preserve"> </w:t>
      </w:r>
      <w:r w:rsidRPr="00B30F0C">
        <w:rPr>
          <w:rFonts w:hint="cs"/>
          <w:spacing w:val="2"/>
          <w:rtl/>
        </w:rPr>
        <w:t>لما بعد عام 2015.</w:t>
      </w:r>
      <w:r w:rsidR="006D19E9" w:rsidRPr="00B30F0C">
        <w:rPr>
          <w:rFonts w:hint="cs"/>
          <w:spacing w:val="2"/>
          <w:rtl/>
        </w:rPr>
        <w:t xml:space="preserve"> </w:t>
      </w:r>
      <w:r w:rsidR="00B2219E">
        <w:rPr>
          <w:rFonts w:hint="cs"/>
          <w:spacing w:val="2"/>
          <w:rtl/>
        </w:rPr>
        <w:t>وأك</w:t>
      </w:r>
      <w:r w:rsidRPr="00B30F0C">
        <w:rPr>
          <w:rFonts w:hint="cs"/>
          <w:spacing w:val="2"/>
          <w:rtl/>
        </w:rPr>
        <w:t>دت الدول مجدداً في المشروع النهائي لأهداف التنمية المستدامة أن</w:t>
      </w:r>
      <w:r w:rsidR="006D19E9" w:rsidRPr="00B30F0C">
        <w:rPr>
          <w:rFonts w:hint="cs"/>
          <w:spacing w:val="2"/>
          <w:rtl/>
        </w:rPr>
        <w:t xml:space="preserve"> </w:t>
      </w:r>
      <w:r w:rsidRPr="00B30F0C">
        <w:rPr>
          <w:rFonts w:hint="cs"/>
          <w:spacing w:val="2"/>
          <w:rtl/>
        </w:rPr>
        <w:t>خطة التنمية الجديدة</w:t>
      </w:r>
      <w:r w:rsidR="006D19E9" w:rsidRPr="00B30F0C">
        <w:rPr>
          <w:rFonts w:hint="cs"/>
          <w:spacing w:val="2"/>
          <w:rtl/>
        </w:rPr>
        <w:t xml:space="preserve"> </w:t>
      </w:r>
      <w:r w:rsidRPr="00B30F0C">
        <w:rPr>
          <w:rFonts w:hint="cs"/>
          <w:spacing w:val="2"/>
          <w:rtl/>
        </w:rPr>
        <w:t>لما</w:t>
      </w:r>
      <w:r w:rsidR="00B30F0C">
        <w:rPr>
          <w:rFonts w:hint="eastAsia"/>
          <w:spacing w:val="2"/>
          <w:rtl/>
        </w:rPr>
        <w:t> </w:t>
      </w:r>
      <w:r w:rsidRPr="00B30F0C">
        <w:rPr>
          <w:rFonts w:hint="cs"/>
          <w:spacing w:val="2"/>
          <w:rtl/>
        </w:rPr>
        <w:t>بعد عام</w:t>
      </w:r>
      <w:r w:rsidR="00FE0EA2" w:rsidRPr="00B30F0C">
        <w:rPr>
          <w:rFonts w:hint="eastAsia"/>
          <w:spacing w:val="2"/>
          <w:rtl/>
        </w:rPr>
        <w:t> </w:t>
      </w:r>
      <w:r w:rsidRPr="00B30F0C">
        <w:rPr>
          <w:rFonts w:hint="cs"/>
          <w:spacing w:val="2"/>
          <w:rtl/>
        </w:rPr>
        <w:t xml:space="preserve">2015 ستسترشد بغايات ومبادئ ميثاق الأمم المتحدة، بما في ذلك احترام القانون الدولي احتراماً كاملاً؛ وستكون أسسها مستوحاة من الإعلان العالمي لحقوق الإنسان والمعاهدات الدولية لحقوق الإنسان وغيرها من الصكوك الدولية مثل </w:t>
      </w:r>
      <w:r w:rsidRPr="00B30F0C">
        <w:rPr>
          <w:rFonts w:hint="cs"/>
          <w:spacing w:val="2"/>
          <w:rtl/>
          <w:lang w:bidi="ar"/>
        </w:rPr>
        <w:t>إعلان الحق في التنمية</w:t>
      </w:r>
      <w:r w:rsidR="006D19E9" w:rsidRPr="00B30F0C">
        <w:rPr>
          <w:rStyle w:val="FootnoteReference"/>
          <w:color w:val="auto"/>
          <w:spacing w:val="2"/>
          <w:sz w:val="30"/>
          <w:szCs w:val="30"/>
          <w:rtl/>
          <w:lang w:bidi="ar"/>
        </w:rPr>
        <w:t>(</w:t>
      </w:r>
      <w:r w:rsidR="006D19E9" w:rsidRPr="00B30F0C">
        <w:rPr>
          <w:rStyle w:val="FootnoteReference"/>
          <w:color w:val="auto"/>
          <w:spacing w:val="2"/>
          <w:sz w:val="30"/>
          <w:szCs w:val="30"/>
          <w:rtl/>
          <w:lang w:bidi="ar"/>
        </w:rPr>
        <w:footnoteReference w:id="78"/>
      </w:r>
      <w:r w:rsidR="006D19E9" w:rsidRPr="00B30F0C">
        <w:rPr>
          <w:rStyle w:val="FootnoteReference"/>
          <w:color w:val="auto"/>
          <w:spacing w:val="2"/>
          <w:sz w:val="30"/>
          <w:szCs w:val="30"/>
          <w:rtl/>
          <w:lang w:bidi="ar"/>
        </w:rPr>
        <w:t>)</w:t>
      </w:r>
      <w:r w:rsidR="00697057" w:rsidRPr="00B30F0C">
        <w:rPr>
          <w:rFonts w:hint="cs"/>
          <w:spacing w:val="2"/>
          <w:rtl/>
          <w:lang w:bidi="ar"/>
        </w:rPr>
        <w:t>.</w:t>
      </w:r>
      <w:r w:rsidRPr="00B30F0C">
        <w:rPr>
          <w:rFonts w:hint="cs"/>
          <w:spacing w:val="2"/>
          <w:rtl/>
          <w:lang w:bidi="ar"/>
        </w:rPr>
        <w:t xml:space="preserve"> وسيتوقف تحقيق</w:t>
      </w:r>
      <w:r w:rsidR="006D19E9" w:rsidRPr="00B30F0C">
        <w:rPr>
          <w:rFonts w:hint="cs"/>
          <w:spacing w:val="2"/>
          <w:rtl/>
          <w:lang w:bidi="ar"/>
        </w:rPr>
        <w:t xml:space="preserve"> </w:t>
      </w:r>
      <w:r w:rsidRPr="00B30F0C">
        <w:rPr>
          <w:rFonts w:hint="cs"/>
          <w:spacing w:val="2"/>
          <w:rtl/>
          <w:lang w:bidi="ar"/>
        </w:rPr>
        <w:t>التنفيذ الفعال</w:t>
      </w:r>
      <w:r w:rsidR="006D19E9" w:rsidRPr="00B30F0C">
        <w:rPr>
          <w:rFonts w:hint="cs"/>
          <w:spacing w:val="2"/>
          <w:rtl/>
          <w:lang w:bidi="ar"/>
        </w:rPr>
        <w:t xml:space="preserve"> </w:t>
      </w:r>
      <w:r w:rsidRPr="00B30F0C">
        <w:rPr>
          <w:rFonts w:hint="cs"/>
          <w:spacing w:val="2"/>
          <w:rtl/>
          <w:lang w:bidi="ar"/>
        </w:rPr>
        <w:t>للخطة</w:t>
      </w:r>
      <w:r w:rsidR="006D19E9" w:rsidRPr="00B30F0C">
        <w:rPr>
          <w:rFonts w:hint="cs"/>
          <w:spacing w:val="2"/>
          <w:rtl/>
          <w:lang w:bidi="ar"/>
        </w:rPr>
        <w:t xml:space="preserve"> </w:t>
      </w:r>
      <w:r w:rsidRPr="00B30F0C">
        <w:rPr>
          <w:rFonts w:hint="cs"/>
          <w:spacing w:val="2"/>
          <w:rtl/>
          <w:lang w:bidi="ar"/>
        </w:rPr>
        <w:t>على إنشاء إطار قوي "للمتابعة والاستعراض" بغية ضمان الوفاء بالالتزامات</w:t>
      </w:r>
      <w:r w:rsidR="006D19E9" w:rsidRPr="00B30F0C">
        <w:rPr>
          <w:rStyle w:val="FootnoteReference"/>
          <w:color w:val="auto"/>
          <w:spacing w:val="2"/>
          <w:sz w:val="30"/>
          <w:szCs w:val="30"/>
          <w:rtl/>
          <w:lang w:bidi="ar"/>
        </w:rPr>
        <w:t>(</w:t>
      </w:r>
      <w:r w:rsidR="006D19E9" w:rsidRPr="00B30F0C">
        <w:rPr>
          <w:rStyle w:val="FootnoteReference"/>
          <w:color w:val="auto"/>
          <w:spacing w:val="2"/>
          <w:sz w:val="30"/>
          <w:szCs w:val="30"/>
          <w:rtl/>
          <w:lang w:bidi="ar"/>
        </w:rPr>
        <w:footnoteReference w:id="79"/>
      </w:r>
      <w:r w:rsidR="006D19E9" w:rsidRPr="00B30F0C">
        <w:rPr>
          <w:rStyle w:val="FootnoteReference"/>
          <w:color w:val="auto"/>
          <w:spacing w:val="2"/>
          <w:sz w:val="30"/>
          <w:szCs w:val="30"/>
          <w:rtl/>
          <w:lang w:bidi="ar"/>
        </w:rPr>
        <w:t>)</w:t>
      </w:r>
      <w:r w:rsidR="00697057" w:rsidRPr="00B30F0C">
        <w:rPr>
          <w:rStyle w:val="FootnoteReference"/>
          <w:rFonts w:hint="cs"/>
          <w:color w:val="auto"/>
          <w:spacing w:val="2"/>
          <w:sz w:val="30"/>
          <w:szCs w:val="30"/>
          <w:vertAlign w:val="baseline"/>
          <w:rtl/>
          <w:lang w:bidi="ar"/>
        </w:rPr>
        <w:t>.</w:t>
      </w:r>
    </w:p>
    <w:p w:rsidR="00FE0EA2" w:rsidRPr="00FE0EA2" w:rsidRDefault="00FE0EA2" w:rsidP="00FE0EA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FE0EA2" w:rsidRPr="00FE0EA2" w:rsidRDefault="00FE0EA2" w:rsidP="00FE0EA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D19E9">
        <w:rPr>
          <w:rFonts w:hint="cs"/>
          <w:rtl/>
        </w:rPr>
        <w:tab/>
        <w:t>رابعاً-</w:t>
      </w:r>
      <w:r w:rsidRPr="006D19E9">
        <w:rPr>
          <w:rFonts w:hint="cs"/>
          <w:rtl/>
        </w:rPr>
        <w:tab/>
        <w:t>دور أصحاب المصلحة الدوليين والإقليميين في منع الانتهاكات</w:t>
      </w:r>
    </w:p>
    <w:p w:rsidR="00C47F5D" w:rsidRPr="006D19E9" w:rsidRDefault="00C47F5D" w:rsidP="00C47F5D">
      <w:pPr>
        <w:pStyle w:val="SingleTxt"/>
        <w:spacing w:after="0" w:line="120" w:lineRule="exact"/>
        <w:rPr>
          <w:sz w:val="10"/>
          <w:rtl/>
        </w:rPr>
      </w:pPr>
    </w:p>
    <w:p w:rsidR="00C47F5D" w:rsidRPr="006D19E9" w:rsidRDefault="00C47F5D" w:rsidP="00C47F5D">
      <w:pPr>
        <w:pStyle w:val="SingleTxt"/>
        <w:rPr>
          <w:rtl/>
        </w:rPr>
      </w:pPr>
      <w:r w:rsidRPr="006D19E9">
        <w:rPr>
          <w:rFonts w:hint="cs"/>
          <w:rtl/>
        </w:rPr>
        <w:t>40-</w:t>
      </w:r>
      <w:r w:rsidRPr="006D19E9">
        <w:rPr>
          <w:rFonts w:hint="cs"/>
          <w:rtl/>
        </w:rPr>
        <w:tab/>
        <w:t>يستطيع أصحاب المصلحة الدوليون والإقليميون مساعدة الدول على تحديد واقتراح إجراءات تصحيحية لمواطن القصور والضعف في مجالات الحماية والقوانين والسياسات والممارسات، بسبل منها الاستعراض الدوري الشامل.</w:t>
      </w: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sidRPr="006D19E9">
        <w:rPr>
          <w:rFonts w:hint="cs"/>
          <w:rtl/>
        </w:rPr>
        <w:tab/>
        <w:t>ألف-</w:t>
      </w:r>
      <w:r w:rsidRPr="006D19E9">
        <w:rPr>
          <w:rFonts w:hint="cs"/>
          <w:rtl/>
        </w:rPr>
        <w:tab/>
        <w:t>الآليات الدولية والإقليمية المتعلقة بحقوق الإنسان</w:t>
      </w:r>
    </w:p>
    <w:p w:rsidR="00C47F5D" w:rsidRPr="006D19E9" w:rsidRDefault="00C47F5D" w:rsidP="00FE0EA2">
      <w:pPr>
        <w:pStyle w:val="SingleTxt"/>
        <w:keepNext/>
        <w:keepLines/>
        <w:spacing w:after="0" w:line="120" w:lineRule="exact"/>
        <w:rPr>
          <w:sz w:val="10"/>
          <w:rtl/>
        </w:rPr>
      </w:pPr>
    </w:p>
    <w:p w:rsidR="00C47F5D" w:rsidRPr="006D19E9" w:rsidRDefault="00C47F5D" w:rsidP="00C47F5D">
      <w:pPr>
        <w:pStyle w:val="SingleTxt"/>
        <w:rPr>
          <w:rtl/>
        </w:rPr>
      </w:pPr>
      <w:r w:rsidRPr="006D19E9">
        <w:rPr>
          <w:rFonts w:hint="cs"/>
          <w:rtl/>
        </w:rPr>
        <w:t>41-</w:t>
      </w:r>
      <w:r w:rsidRPr="006D19E9">
        <w:rPr>
          <w:rFonts w:hint="cs"/>
          <w:rtl/>
        </w:rPr>
        <w:tab/>
        <w:t>تعمل الآليات الدولية والإقليمية</w:t>
      </w:r>
      <w:r w:rsidR="006D19E9">
        <w:rPr>
          <w:rFonts w:hint="cs"/>
          <w:rtl/>
        </w:rPr>
        <w:t xml:space="preserve"> </w:t>
      </w:r>
      <w:r w:rsidRPr="006D19E9">
        <w:rPr>
          <w:rFonts w:hint="cs"/>
          <w:rtl/>
        </w:rPr>
        <w:t>لحقوق الإنسان</w:t>
      </w:r>
      <w:r w:rsidR="006D19E9" w:rsidRPr="006D19E9">
        <w:rPr>
          <w:rStyle w:val="FootnoteReference"/>
          <w:color w:val="auto"/>
          <w:sz w:val="30"/>
          <w:szCs w:val="30"/>
          <w:rtl/>
        </w:rPr>
        <w:t>(</w:t>
      </w:r>
      <w:r w:rsidR="006D19E9" w:rsidRPr="006D19E9">
        <w:rPr>
          <w:rStyle w:val="FootnoteReference"/>
          <w:color w:val="auto"/>
          <w:sz w:val="30"/>
          <w:szCs w:val="30"/>
          <w:rtl/>
        </w:rPr>
        <w:footnoteReference w:id="80"/>
      </w:r>
      <w:r w:rsidR="006D19E9" w:rsidRPr="006D19E9">
        <w:rPr>
          <w:rStyle w:val="FootnoteReference"/>
          <w:color w:val="auto"/>
          <w:sz w:val="30"/>
          <w:szCs w:val="30"/>
          <w:rtl/>
        </w:rPr>
        <w:t>)</w:t>
      </w:r>
      <w:r w:rsidRPr="006D19E9">
        <w:rPr>
          <w:rFonts w:hint="cs"/>
          <w:rtl/>
        </w:rPr>
        <w:t xml:space="preserve"> على إكمال ودعم العمليات الوطنية لمنع انتهاكات حقوق الإنسان بإلقاء نظرة</w:t>
      </w:r>
      <w:r w:rsidR="006D19E9">
        <w:rPr>
          <w:rFonts w:hint="cs"/>
          <w:rtl/>
        </w:rPr>
        <w:t xml:space="preserve"> </w:t>
      </w:r>
      <w:r w:rsidRPr="006D19E9">
        <w:rPr>
          <w:rFonts w:hint="cs"/>
          <w:rtl/>
        </w:rPr>
        <w:t>على الأوضاع والقوانين والسياسات والممارسات فيها من قبل جهات خارجية وخبيرة، مستندةً في ذلك إلى معرفتها بالممارسات والتحديات التي تواجهها الدول الأخرى. وتشجّع هذه الآليات أيضاً</w:t>
      </w:r>
      <w:r w:rsidR="006D19E9">
        <w:rPr>
          <w:rFonts w:hint="cs"/>
          <w:rtl/>
        </w:rPr>
        <w:t xml:space="preserve"> </w:t>
      </w:r>
      <w:r w:rsidRPr="006D19E9">
        <w:rPr>
          <w:rFonts w:hint="cs"/>
          <w:rtl/>
        </w:rPr>
        <w:t>التفاعل والتعاون</w:t>
      </w:r>
      <w:r w:rsidR="006D19E9">
        <w:rPr>
          <w:rFonts w:hint="cs"/>
          <w:rtl/>
        </w:rPr>
        <w:t xml:space="preserve"> </w:t>
      </w:r>
      <w:r w:rsidRPr="006D19E9">
        <w:rPr>
          <w:rFonts w:hint="cs"/>
          <w:rtl/>
        </w:rPr>
        <w:t>بين الدول</w:t>
      </w:r>
      <w:r w:rsidR="006D19E9">
        <w:rPr>
          <w:rFonts w:hint="cs"/>
          <w:rtl/>
        </w:rPr>
        <w:t xml:space="preserve"> </w:t>
      </w:r>
      <w:r w:rsidRPr="006D19E9">
        <w:rPr>
          <w:rFonts w:hint="cs"/>
          <w:rtl/>
        </w:rPr>
        <w:t>وأصحاب المصلحة الآخرين في</w:t>
      </w:r>
      <w:r w:rsidR="006D19E9">
        <w:rPr>
          <w:rFonts w:hint="cs"/>
          <w:rtl/>
        </w:rPr>
        <w:t xml:space="preserve"> </w:t>
      </w:r>
      <w:r w:rsidRPr="006D19E9">
        <w:rPr>
          <w:rFonts w:hint="cs"/>
          <w:rtl/>
        </w:rPr>
        <w:t>مسائل حقوق الإنسان،</w:t>
      </w:r>
      <w:r w:rsidR="006D19E9">
        <w:rPr>
          <w:rFonts w:hint="cs"/>
          <w:rtl/>
        </w:rPr>
        <w:t xml:space="preserve"> </w:t>
      </w:r>
      <w:r w:rsidRPr="006D19E9">
        <w:rPr>
          <w:rFonts w:hint="cs"/>
          <w:rtl/>
        </w:rPr>
        <w:t>وتسلط الضوء على</w:t>
      </w:r>
      <w:r w:rsidR="006D19E9">
        <w:rPr>
          <w:rFonts w:hint="cs"/>
          <w:rtl/>
        </w:rPr>
        <w:t xml:space="preserve"> </w:t>
      </w:r>
      <w:r w:rsidRPr="006D19E9">
        <w:rPr>
          <w:rFonts w:hint="cs"/>
          <w:rtl/>
        </w:rPr>
        <w:t>جوهر الحقوق</w:t>
      </w:r>
      <w:r w:rsidR="006D19E9">
        <w:rPr>
          <w:rFonts w:hint="cs"/>
          <w:rtl/>
        </w:rPr>
        <w:t xml:space="preserve"> </w:t>
      </w:r>
      <w:r w:rsidRPr="006D19E9">
        <w:rPr>
          <w:rFonts w:hint="cs"/>
          <w:rtl/>
        </w:rPr>
        <w:t>لأن توصياتها تكون في كثير من الأحيان متاحة للجمهور.</w:t>
      </w:r>
      <w:r w:rsidR="006D19E9">
        <w:rPr>
          <w:rFonts w:hint="cs"/>
          <w:rtl/>
        </w:rPr>
        <w:t xml:space="preserve"> </w:t>
      </w:r>
      <w:r w:rsidRPr="006D19E9">
        <w:rPr>
          <w:rFonts w:hint="cs"/>
          <w:rtl/>
        </w:rPr>
        <w:t>وأشار مجلس حقوق الإنسان</w:t>
      </w:r>
      <w:r w:rsidR="006D19E9">
        <w:rPr>
          <w:rFonts w:hint="cs"/>
          <w:rtl/>
        </w:rPr>
        <w:t xml:space="preserve"> </w:t>
      </w:r>
      <w:r w:rsidRPr="006D19E9">
        <w:rPr>
          <w:rFonts w:hint="cs"/>
          <w:rtl/>
        </w:rPr>
        <w:t xml:space="preserve">إلى دوره في منع انتهاكات حقوق الإنسان عن طريق التعاون والحوار، وفقاً لقرار الجمعية العامة 60/251 (الوثيقة </w:t>
      </w:r>
      <w:r w:rsidRPr="006D19E9">
        <w:t>A/HRC/RES/24/16</w:t>
      </w:r>
      <w:r w:rsidRPr="006D19E9">
        <w:rPr>
          <w:rFonts w:hint="cs"/>
          <w:rtl/>
        </w:rPr>
        <w:t>،</w:t>
      </w:r>
      <w:r w:rsidR="006D19E9">
        <w:rPr>
          <w:rFonts w:hint="cs"/>
          <w:rtl/>
        </w:rPr>
        <w:t xml:space="preserve"> </w:t>
      </w:r>
      <w:r w:rsidRPr="006D19E9">
        <w:rPr>
          <w:rFonts w:hint="cs"/>
          <w:rtl/>
        </w:rPr>
        <w:t>الديباجة). وفي حين يوفّر النظام الدولي منظوراً</w:t>
      </w:r>
      <w:r w:rsidR="006D19E9">
        <w:rPr>
          <w:rFonts w:hint="cs"/>
          <w:rtl/>
        </w:rPr>
        <w:t xml:space="preserve"> </w:t>
      </w:r>
      <w:r w:rsidRPr="006D19E9">
        <w:rPr>
          <w:rFonts w:hint="cs"/>
          <w:rtl/>
        </w:rPr>
        <w:t>عالمي</w:t>
      </w:r>
      <w:r w:rsidR="00B30F0C">
        <w:rPr>
          <w:rFonts w:hint="cs"/>
          <w:rtl/>
        </w:rPr>
        <w:t xml:space="preserve">اً </w:t>
      </w:r>
      <w:r w:rsidRPr="006D19E9">
        <w:rPr>
          <w:rFonts w:hint="cs"/>
          <w:rtl/>
        </w:rPr>
        <w:t>لحماية حقوق الإنسان ويضفي عليها طابعاً</w:t>
      </w:r>
      <w:r w:rsidR="006D19E9">
        <w:rPr>
          <w:rFonts w:hint="cs"/>
          <w:rtl/>
        </w:rPr>
        <w:t xml:space="preserve"> </w:t>
      </w:r>
      <w:r w:rsidRPr="006D19E9">
        <w:rPr>
          <w:rFonts w:hint="cs"/>
          <w:rtl/>
        </w:rPr>
        <w:t>شاملا</w:t>
      </w:r>
      <w:r w:rsidR="00B30F0C">
        <w:rPr>
          <w:rFonts w:hint="cs"/>
          <w:rtl/>
        </w:rPr>
        <w:t>ً</w:t>
      </w:r>
      <w:r w:rsidRPr="006D19E9">
        <w:rPr>
          <w:rFonts w:hint="cs"/>
          <w:rtl/>
        </w:rPr>
        <w:t>، قد تكون الآليات الإقليمية "أقدر على الكشف المبكر، ويمكنها الاستفادة من الخبرة المكتسبة من حالات مماثلة في بلدان المنطقة</w:t>
      </w:r>
      <w:r w:rsidR="00B30F0C">
        <w:rPr>
          <w:rFonts w:hint="cs"/>
          <w:rtl/>
        </w:rPr>
        <w:t xml:space="preserve"> </w:t>
      </w:r>
      <w:r w:rsidRPr="006D19E9">
        <w:rPr>
          <w:rFonts w:hint="cs"/>
          <w:rtl/>
        </w:rPr>
        <w:t xml:space="preserve">... بعض البلدان تستفيد من خبرات البلدان المجاورة أفضل من غيرها" (الفقرة 18 من الوثيقة </w:t>
      </w:r>
      <w:r w:rsidRPr="006D19E9">
        <w:t>A/HRC/28/30</w:t>
      </w:r>
      <w:r w:rsidRPr="006D19E9">
        <w:rPr>
          <w:rFonts w:hint="cs"/>
          <w:rtl/>
        </w:rPr>
        <w:t>).</w:t>
      </w:r>
    </w:p>
    <w:p w:rsidR="00C47F5D" w:rsidRPr="006D19E9" w:rsidRDefault="00C47F5D" w:rsidP="00697057">
      <w:pPr>
        <w:pStyle w:val="SingleTxt"/>
        <w:rPr>
          <w:rtl/>
        </w:rPr>
      </w:pPr>
      <w:r w:rsidRPr="006D19E9">
        <w:rPr>
          <w:rFonts w:hint="cs"/>
          <w:rtl/>
        </w:rPr>
        <w:t>42-</w:t>
      </w:r>
      <w:r w:rsidRPr="006D19E9">
        <w:rPr>
          <w:rFonts w:hint="cs"/>
          <w:rtl/>
        </w:rPr>
        <w:tab/>
        <w:t>وتتولى هذه الآليات عادة رصد تنفيذ الالتزامات في مجال حقوق الإنسان، من خلال النظر في التقارير الدورية ودراسة البلاغات الفردية. ولا تسعى الآليات ذات الصلة، في الآراء التي تبديها عن</w:t>
      </w:r>
      <w:r w:rsidR="006D19E9">
        <w:rPr>
          <w:rFonts w:hint="cs"/>
          <w:rtl/>
        </w:rPr>
        <w:t xml:space="preserve"> </w:t>
      </w:r>
      <w:r w:rsidRPr="006D19E9">
        <w:rPr>
          <w:rFonts w:hint="cs"/>
          <w:rtl/>
        </w:rPr>
        <w:t>هذه البلاغات، إلى أن تحدّد فقط ما إذا كان الانتهاك قد حدث فعلاً في قضية فردية ما، وإنما تقدّم أيضاً تحليلاً</w:t>
      </w:r>
      <w:r w:rsidR="006D19E9">
        <w:rPr>
          <w:rFonts w:hint="cs"/>
          <w:rtl/>
        </w:rPr>
        <w:t xml:space="preserve"> </w:t>
      </w:r>
      <w:r w:rsidRPr="006D19E9">
        <w:rPr>
          <w:rFonts w:hint="cs"/>
          <w:rtl/>
        </w:rPr>
        <w:t>لأسبابه</w:t>
      </w:r>
      <w:r w:rsidR="006D19E9">
        <w:rPr>
          <w:rFonts w:hint="cs"/>
          <w:rtl/>
        </w:rPr>
        <w:t xml:space="preserve"> </w:t>
      </w:r>
      <w:r w:rsidRPr="006D19E9">
        <w:rPr>
          <w:rFonts w:hint="cs"/>
          <w:rtl/>
        </w:rPr>
        <w:t>وتحدد الإجراءات الواجب اتخاذها لتفادي تكراره</w:t>
      </w:r>
      <w:r w:rsidR="006D19E9" w:rsidRPr="006D19E9">
        <w:rPr>
          <w:rStyle w:val="FootnoteReference"/>
          <w:color w:val="auto"/>
          <w:sz w:val="30"/>
          <w:szCs w:val="30"/>
          <w:rtl/>
        </w:rPr>
        <w:t>(</w:t>
      </w:r>
      <w:r w:rsidR="006D19E9" w:rsidRPr="006D19E9">
        <w:rPr>
          <w:rStyle w:val="FootnoteReference"/>
          <w:color w:val="auto"/>
          <w:sz w:val="30"/>
          <w:szCs w:val="30"/>
          <w:rtl/>
        </w:rPr>
        <w:footnoteReference w:id="81"/>
      </w:r>
      <w:r w:rsidR="006D19E9" w:rsidRPr="006D19E9">
        <w:rPr>
          <w:rStyle w:val="FootnoteReference"/>
          <w:color w:val="auto"/>
          <w:sz w:val="30"/>
          <w:szCs w:val="30"/>
          <w:rtl/>
        </w:rPr>
        <w:t>)</w:t>
      </w:r>
      <w:r w:rsidRPr="006D19E9">
        <w:rPr>
          <w:rFonts w:hint="cs"/>
          <w:rtl/>
        </w:rPr>
        <w:t>. وقد تقوم آليات الشكاوى أيضاً بمنع انتهاكات حقوق الإنسان مباشرةً، عن طريق</w:t>
      </w:r>
      <w:r w:rsidR="006D19E9">
        <w:rPr>
          <w:rFonts w:hint="cs"/>
          <w:rtl/>
        </w:rPr>
        <w:t xml:space="preserve"> </w:t>
      </w:r>
      <w:r w:rsidRPr="006D19E9">
        <w:rPr>
          <w:rFonts w:hint="cs"/>
          <w:rtl/>
        </w:rPr>
        <w:t>الدعوة إلى اتخاذ تدابير مؤقتة</w:t>
      </w:r>
      <w:r w:rsidR="006D19E9" w:rsidRPr="006D19E9">
        <w:rPr>
          <w:rStyle w:val="FootnoteReference"/>
          <w:color w:val="auto"/>
          <w:sz w:val="30"/>
          <w:szCs w:val="30"/>
          <w:rtl/>
        </w:rPr>
        <w:t>(</w:t>
      </w:r>
      <w:r w:rsidR="006D19E9" w:rsidRPr="006D19E9">
        <w:rPr>
          <w:rStyle w:val="FootnoteReference"/>
          <w:color w:val="auto"/>
          <w:sz w:val="30"/>
          <w:szCs w:val="30"/>
          <w:rtl/>
        </w:rPr>
        <w:footnoteReference w:id="82"/>
      </w:r>
      <w:r w:rsidR="006D19E9" w:rsidRPr="006D19E9">
        <w:rPr>
          <w:rStyle w:val="FootnoteReference"/>
          <w:color w:val="auto"/>
          <w:sz w:val="30"/>
          <w:szCs w:val="30"/>
          <w:rtl/>
        </w:rPr>
        <w:t>)</w:t>
      </w:r>
      <w:r w:rsidR="00697057">
        <w:rPr>
          <w:rFonts w:hint="cs"/>
          <w:rtl/>
        </w:rPr>
        <w:t>.</w:t>
      </w:r>
      <w:r w:rsidRPr="006D19E9">
        <w:rPr>
          <w:rFonts w:hint="cs"/>
          <w:rtl/>
        </w:rPr>
        <w:t xml:space="preserve"> ومن الأمثلة الأخرى على مهام الآليات الدولية والإقليمية إجراءات التسوية الودية </w:t>
      </w:r>
      <w:r w:rsidRPr="006D19E9">
        <w:rPr>
          <w:rFonts w:hint="cs"/>
          <w:rtl/>
          <w:lang w:bidi="ar"/>
        </w:rPr>
        <w:t>للجنة البلدان الأمريكية لحقوق الإنسان، التي تهدف إلى ضمان عدم تكرار</w:t>
      </w:r>
      <w:r w:rsidR="006D19E9">
        <w:rPr>
          <w:rFonts w:hint="cs"/>
          <w:rtl/>
          <w:lang w:bidi="ar"/>
        </w:rPr>
        <w:t xml:space="preserve"> </w:t>
      </w:r>
      <w:r w:rsidRPr="006D19E9">
        <w:rPr>
          <w:rFonts w:hint="cs"/>
          <w:rtl/>
          <w:lang w:bidi="ar"/>
        </w:rPr>
        <w:t>الممارسات لمنع حدوث</w:t>
      </w:r>
      <w:r w:rsidR="006D19E9">
        <w:rPr>
          <w:rFonts w:hint="cs"/>
          <w:rtl/>
          <w:lang w:bidi="ar"/>
        </w:rPr>
        <w:t xml:space="preserve"> </w:t>
      </w:r>
      <w:r w:rsidRPr="006D19E9">
        <w:rPr>
          <w:rFonts w:hint="cs"/>
          <w:rtl/>
          <w:lang w:bidi="ar"/>
        </w:rPr>
        <w:t>انتهاكات حقوق الإنسان في المستقبل</w:t>
      </w:r>
      <w:r w:rsidR="006D19E9" w:rsidRPr="006D19E9">
        <w:rPr>
          <w:rStyle w:val="FootnoteReference"/>
          <w:color w:val="auto"/>
          <w:sz w:val="30"/>
          <w:szCs w:val="30"/>
          <w:rtl/>
          <w:lang w:bidi="ar"/>
        </w:rPr>
        <w:t>(</w:t>
      </w:r>
      <w:r w:rsidR="006D19E9" w:rsidRPr="006D19E9">
        <w:rPr>
          <w:rStyle w:val="FootnoteReference"/>
          <w:color w:val="auto"/>
          <w:sz w:val="30"/>
          <w:szCs w:val="30"/>
          <w:rtl/>
          <w:lang w:bidi="ar"/>
        </w:rPr>
        <w:footnoteReference w:id="83"/>
      </w:r>
      <w:r w:rsidR="006D19E9" w:rsidRPr="006D19E9">
        <w:rPr>
          <w:rStyle w:val="FootnoteReference"/>
          <w:color w:val="auto"/>
          <w:sz w:val="30"/>
          <w:szCs w:val="30"/>
          <w:rtl/>
          <w:lang w:bidi="ar"/>
        </w:rPr>
        <w:t>)</w:t>
      </w:r>
      <w:r w:rsidR="00697057">
        <w:rPr>
          <w:rFonts w:hint="cs"/>
          <w:rtl/>
          <w:lang w:bidi="ar"/>
        </w:rPr>
        <w:t>.</w:t>
      </w:r>
      <w:r w:rsidRPr="006D19E9">
        <w:rPr>
          <w:rFonts w:hint="cs"/>
          <w:rtl/>
          <w:lang w:bidi="ar"/>
        </w:rPr>
        <w:t xml:space="preserve"> وشملت هذه الضمانات اعتماد قوانين جديدة وإلغاء قوانين سارية</w:t>
      </w:r>
      <w:r w:rsidR="006D19E9" w:rsidRPr="006D19E9">
        <w:rPr>
          <w:rStyle w:val="FootnoteReference"/>
          <w:color w:val="auto"/>
          <w:sz w:val="30"/>
          <w:szCs w:val="30"/>
          <w:rtl/>
          <w:lang w:bidi="ar"/>
        </w:rPr>
        <w:t>(</w:t>
      </w:r>
      <w:r w:rsidR="006D19E9" w:rsidRPr="006D19E9">
        <w:rPr>
          <w:rStyle w:val="FootnoteReference"/>
          <w:color w:val="auto"/>
          <w:sz w:val="30"/>
          <w:szCs w:val="30"/>
          <w:rtl/>
          <w:lang w:bidi="ar"/>
        </w:rPr>
        <w:footnoteReference w:id="84"/>
      </w:r>
      <w:r w:rsidR="006D19E9" w:rsidRPr="006D19E9">
        <w:rPr>
          <w:rStyle w:val="FootnoteReference"/>
          <w:color w:val="auto"/>
          <w:sz w:val="30"/>
          <w:szCs w:val="30"/>
          <w:rtl/>
          <w:lang w:bidi="ar"/>
        </w:rPr>
        <w:t>)</w:t>
      </w:r>
      <w:r w:rsidR="00697057">
        <w:rPr>
          <w:rFonts w:hint="cs"/>
          <w:rtl/>
          <w:lang w:bidi="ar"/>
        </w:rPr>
        <w:t>،</w:t>
      </w:r>
      <w:r w:rsidRPr="006D19E9">
        <w:rPr>
          <w:rFonts w:hint="cs"/>
          <w:rtl/>
          <w:lang w:bidi="ar"/>
        </w:rPr>
        <w:t xml:space="preserve"> وتنفيذ</w:t>
      </w:r>
      <w:r w:rsidR="006D19E9">
        <w:rPr>
          <w:rFonts w:hint="cs"/>
          <w:rtl/>
          <w:lang w:bidi="ar"/>
        </w:rPr>
        <w:t xml:space="preserve"> </w:t>
      </w:r>
      <w:r w:rsidRPr="006D19E9">
        <w:rPr>
          <w:rFonts w:hint="cs"/>
          <w:rtl/>
          <w:lang w:bidi="ar"/>
        </w:rPr>
        <w:t>سياسات</w:t>
      </w:r>
      <w:r w:rsidR="006D19E9">
        <w:rPr>
          <w:rFonts w:hint="cs"/>
          <w:rtl/>
          <w:lang w:bidi="ar"/>
        </w:rPr>
        <w:t xml:space="preserve"> </w:t>
      </w:r>
      <w:r w:rsidRPr="006D19E9">
        <w:rPr>
          <w:rFonts w:hint="cs"/>
          <w:rtl/>
          <w:lang w:bidi="ar"/>
        </w:rPr>
        <w:t>عامة</w:t>
      </w:r>
      <w:r w:rsidR="006D19E9">
        <w:rPr>
          <w:rFonts w:hint="cs"/>
          <w:rtl/>
          <w:lang w:bidi="ar"/>
        </w:rPr>
        <w:t xml:space="preserve"> </w:t>
      </w:r>
      <w:r w:rsidRPr="006D19E9">
        <w:rPr>
          <w:rFonts w:hint="cs"/>
          <w:rtl/>
          <w:lang w:bidi="ar"/>
        </w:rPr>
        <w:t>معنية بحماية حقوق الإنسان، وتدريب الموظفين العموميين في مجال حقوق الإنسان</w:t>
      </w:r>
      <w:r w:rsidR="006D19E9" w:rsidRPr="006D19E9">
        <w:rPr>
          <w:rStyle w:val="FootnoteReference"/>
          <w:color w:val="auto"/>
          <w:sz w:val="30"/>
          <w:szCs w:val="30"/>
          <w:rtl/>
          <w:lang w:bidi="ar"/>
        </w:rPr>
        <w:t>(</w:t>
      </w:r>
      <w:r w:rsidR="006D19E9" w:rsidRPr="006D19E9">
        <w:rPr>
          <w:rStyle w:val="FootnoteReference"/>
          <w:color w:val="auto"/>
          <w:sz w:val="30"/>
          <w:szCs w:val="30"/>
          <w:rtl/>
          <w:lang w:bidi="ar"/>
        </w:rPr>
        <w:footnoteReference w:id="85"/>
      </w:r>
      <w:r w:rsidR="006D19E9" w:rsidRPr="006D19E9">
        <w:rPr>
          <w:rStyle w:val="FootnoteReference"/>
          <w:color w:val="auto"/>
          <w:sz w:val="30"/>
          <w:szCs w:val="30"/>
          <w:rtl/>
          <w:lang w:bidi="ar"/>
        </w:rPr>
        <w:t>)</w:t>
      </w:r>
      <w:r w:rsidR="00697057" w:rsidRPr="00697057">
        <w:rPr>
          <w:rStyle w:val="FootnoteReference"/>
          <w:rFonts w:hint="cs"/>
          <w:color w:val="auto"/>
          <w:sz w:val="30"/>
          <w:szCs w:val="30"/>
          <w:vertAlign w:val="baseline"/>
          <w:rtl/>
          <w:lang w:bidi="ar"/>
        </w:rPr>
        <w:t>.</w:t>
      </w:r>
    </w:p>
    <w:p w:rsidR="00C47F5D" w:rsidRPr="00B30F0C" w:rsidRDefault="00C47F5D" w:rsidP="00B30F0C">
      <w:pPr>
        <w:pStyle w:val="SingleTxt"/>
        <w:rPr>
          <w:spacing w:val="-6"/>
          <w:rtl/>
        </w:rPr>
      </w:pPr>
      <w:r w:rsidRPr="00B30F0C">
        <w:rPr>
          <w:rFonts w:hint="cs"/>
          <w:spacing w:val="-6"/>
          <w:rtl/>
        </w:rPr>
        <w:t>43-</w:t>
      </w:r>
      <w:r w:rsidRPr="00B30F0C">
        <w:rPr>
          <w:rFonts w:hint="cs"/>
          <w:spacing w:val="-6"/>
          <w:rtl/>
        </w:rPr>
        <w:tab/>
        <w:t>وتُجري آليات منع التعذيب</w:t>
      </w:r>
      <w:r w:rsidR="006D19E9" w:rsidRPr="00B30F0C">
        <w:rPr>
          <w:rStyle w:val="FootnoteReference"/>
          <w:color w:val="auto"/>
          <w:spacing w:val="-6"/>
          <w:sz w:val="30"/>
          <w:szCs w:val="30"/>
          <w:rtl/>
        </w:rPr>
        <w:t>(</w:t>
      </w:r>
      <w:r w:rsidR="006D19E9" w:rsidRPr="00B30F0C">
        <w:rPr>
          <w:rStyle w:val="FootnoteReference"/>
          <w:color w:val="auto"/>
          <w:spacing w:val="-6"/>
          <w:sz w:val="30"/>
          <w:szCs w:val="30"/>
          <w:rtl/>
        </w:rPr>
        <w:footnoteReference w:id="86"/>
      </w:r>
      <w:r w:rsidR="006D19E9" w:rsidRPr="00B30F0C">
        <w:rPr>
          <w:rStyle w:val="FootnoteReference"/>
          <w:color w:val="auto"/>
          <w:spacing w:val="-6"/>
          <w:sz w:val="30"/>
          <w:szCs w:val="30"/>
          <w:rtl/>
        </w:rPr>
        <w:t>)</w:t>
      </w:r>
      <w:r w:rsidRPr="00B30F0C">
        <w:rPr>
          <w:rFonts w:hint="cs"/>
          <w:spacing w:val="-6"/>
          <w:rtl/>
        </w:rPr>
        <w:t>، والإجراءات الخاصة التي أنشأها مجلس حقوق الإنسان وبعض هيئات المعاهدات زيارات للبلدان وتصدر تقارير ودراسات مواضيعية. ويساهم كثير منها أيضاً</w:t>
      </w:r>
      <w:r w:rsidR="006D19E9" w:rsidRPr="00B30F0C">
        <w:rPr>
          <w:rFonts w:hint="cs"/>
          <w:spacing w:val="-6"/>
          <w:rtl/>
        </w:rPr>
        <w:t xml:space="preserve"> </w:t>
      </w:r>
      <w:r w:rsidRPr="00B30F0C">
        <w:rPr>
          <w:rFonts w:hint="cs"/>
          <w:spacing w:val="-6"/>
          <w:rtl/>
        </w:rPr>
        <w:t>في منع الانتهاكات</w:t>
      </w:r>
      <w:r w:rsidR="006D19E9" w:rsidRPr="00B30F0C">
        <w:rPr>
          <w:rFonts w:hint="cs"/>
          <w:spacing w:val="-6"/>
          <w:rtl/>
        </w:rPr>
        <w:t xml:space="preserve"> </w:t>
      </w:r>
      <w:r w:rsidRPr="00B30F0C">
        <w:rPr>
          <w:rFonts w:hint="cs"/>
          <w:spacing w:val="-6"/>
          <w:rtl/>
        </w:rPr>
        <w:t>من خلال وضع معايير ومبادئ توجيهية جديدة ومساعدة الدول على تفسير الأحكام الواردة في الصكوك المتعلقة بحقوق الإنسان. وبعضها مكلف بإجراء التحريات أو</w:t>
      </w:r>
      <w:r w:rsidR="00B30F0C" w:rsidRPr="00B30F0C">
        <w:rPr>
          <w:rFonts w:hint="eastAsia"/>
          <w:spacing w:val="-6"/>
          <w:rtl/>
        </w:rPr>
        <w:t> </w:t>
      </w:r>
      <w:r w:rsidRPr="00B30F0C">
        <w:rPr>
          <w:rFonts w:hint="cs"/>
          <w:spacing w:val="-6"/>
          <w:rtl/>
        </w:rPr>
        <w:t>إطلاق الإنذارات المبكرة أو اتخاذ التدابير العاجلة، من أجل تحقيق هدفها الرئيسي وهو منع انتهاكات حقوق الإنسان</w:t>
      </w:r>
      <w:r w:rsidR="006D19E9" w:rsidRPr="00B30F0C">
        <w:rPr>
          <w:rStyle w:val="FootnoteReference"/>
          <w:color w:val="auto"/>
          <w:spacing w:val="-6"/>
          <w:sz w:val="30"/>
          <w:szCs w:val="30"/>
          <w:rtl/>
        </w:rPr>
        <w:t>(</w:t>
      </w:r>
      <w:r w:rsidR="006D19E9" w:rsidRPr="00B30F0C">
        <w:rPr>
          <w:rStyle w:val="FootnoteReference"/>
          <w:color w:val="auto"/>
          <w:spacing w:val="-6"/>
          <w:sz w:val="30"/>
          <w:szCs w:val="30"/>
          <w:rtl/>
        </w:rPr>
        <w:footnoteReference w:id="87"/>
      </w:r>
      <w:r w:rsidR="006D19E9" w:rsidRPr="00B30F0C">
        <w:rPr>
          <w:rStyle w:val="FootnoteReference"/>
          <w:color w:val="auto"/>
          <w:spacing w:val="-6"/>
          <w:sz w:val="30"/>
          <w:szCs w:val="30"/>
          <w:rtl/>
        </w:rPr>
        <w:t>)</w:t>
      </w:r>
      <w:r w:rsidR="00697057" w:rsidRPr="00B30F0C">
        <w:rPr>
          <w:rStyle w:val="FootnoteReference"/>
          <w:rFonts w:hint="cs"/>
          <w:color w:val="auto"/>
          <w:spacing w:val="-6"/>
          <w:sz w:val="30"/>
          <w:szCs w:val="30"/>
          <w:vertAlign w:val="baseline"/>
          <w:rtl/>
        </w:rPr>
        <w:t>.</w:t>
      </w:r>
    </w:p>
    <w:p w:rsidR="00C47F5D" w:rsidRPr="006D19E9" w:rsidRDefault="00C47F5D" w:rsidP="00697057">
      <w:pPr>
        <w:pStyle w:val="SingleTxt"/>
        <w:rPr>
          <w:rtl/>
        </w:rPr>
      </w:pPr>
      <w:r w:rsidRPr="006D19E9">
        <w:rPr>
          <w:rFonts w:hint="cs"/>
          <w:rtl/>
        </w:rPr>
        <w:t>44-</w:t>
      </w:r>
      <w:r w:rsidRPr="006D19E9">
        <w:rPr>
          <w:rFonts w:hint="cs"/>
          <w:rtl/>
        </w:rPr>
        <w:tab/>
        <w:t>والاستعراض الدوري الشامل</w:t>
      </w:r>
      <w:r w:rsidR="006D19E9">
        <w:rPr>
          <w:rFonts w:hint="cs"/>
          <w:rtl/>
        </w:rPr>
        <w:t xml:space="preserve"> </w:t>
      </w:r>
      <w:r w:rsidRPr="006D19E9">
        <w:rPr>
          <w:rFonts w:hint="cs"/>
          <w:rtl/>
        </w:rPr>
        <w:t>عملية فريدة</w:t>
      </w:r>
      <w:r w:rsidR="006D19E9">
        <w:rPr>
          <w:rFonts w:hint="cs"/>
          <w:rtl/>
        </w:rPr>
        <w:t xml:space="preserve"> </w:t>
      </w:r>
      <w:r w:rsidRPr="006D19E9">
        <w:rPr>
          <w:rFonts w:hint="cs"/>
          <w:rtl/>
        </w:rPr>
        <w:t>يجري من خلالها النظر في سجلّات جميع الدول الأعضاء في الأمم المتحدة في مجال حقوق الإنسان. وهو يتيح للدول فرصة تقديم المعلومات بشأن التدابير المتخذة لتحسين</w:t>
      </w:r>
      <w:r w:rsidR="006D19E9">
        <w:rPr>
          <w:rFonts w:hint="cs"/>
          <w:rtl/>
        </w:rPr>
        <w:t xml:space="preserve"> </w:t>
      </w:r>
      <w:r w:rsidRPr="006D19E9">
        <w:rPr>
          <w:rFonts w:hint="cs"/>
          <w:rtl/>
        </w:rPr>
        <w:t>حالة حقوق الإنسان</w:t>
      </w:r>
      <w:r w:rsidR="006D19E9">
        <w:rPr>
          <w:rFonts w:hint="cs"/>
          <w:rtl/>
        </w:rPr>
        <w:t xml:space="preserve"> </w:t>
      </w:r>
      <w:r w:rsidRPr="006D19E9">
        <w:rPr>
          <w:rFonts w:hint="cs"/>
          <w:rtl/>
        </w:rPr>
        <w:t>والتغلب على التحديات التي تعوق</w:t>
      </w:r>
      <w:r w:rsidR="006D19E9">
        <w:rPr>
          <w:rFonts w:hint="cs"/>
          <w:rtl/>
        </w:rPr>
        <w:t xml:space="preserve"> </w:t>
      </w:r>
      <w:r w:rsidRPr="006D19E9">
        <w:rPr>
          <w:rFonts w:hint="cs"/>
          <w:rtl/>
        </w:rPr>
        <w:t>تمتع جميع</w:t>
      </w:r>
      <w:r w:rsidR="006D19E9">
        <w:rPr>
          <w:rFonts w:hint="cs"/>
          <w:rtl/>
        </w:rPr>
        <w:t xml:space="preserve"> </w:t>
      </w:r>
      <w:r w:rsidRPr="006D19E9">
        <w:rPr>
          <w:rFonts w:hint="cs"/>
          <w:rtl/>
        </w:rPr>
        <w:t>المشمولين بولايتها القضائية بحقوق الإنسان. ويمكن أن يساعد الدول على تحديد الانتهاكات المحتملة</w:t>
      </w:r>
      <w:r w:rsidR="006D19E9">
        <w:rPr>
          <w:rFonts w:hint="cs"/>
          <w:rtl/>
        </w:rPr>
        <w:t xml:space="preserve"> </w:t>
      </w:r>
      <w:r w:rsidRPr="006D19E9">
        <w:rPr>
          <w:rFonts w:hint="cs"/>
          <w:rtl/>
        </w:rPr>
        <w:t>ووسائل</w:t>
      </w:r>
      <w:r w:rsidR="006D19E9">
        <w:rPr>
          <w:rFonts w:hint="cs"/>
          <w:rtl/>
        </w:rPr>
        <w:t xml:space="preserve"> </w:t>
      </w:r>
      <w:r w:rsidRPr="006D19E9">
        <w:rPr>
          <w:rFonts w:hint="cs"/>
          <w:rtl/>
        </w:rPr>
        <w:t>التصدي لها، ومن بينها مشاطرة الممارسات الجيدة. وقد أدت متابعة التوصيات إلى إدخال تغييرات إيجابية على</w:t>
      </w:r>
      <w:r w:rsidR="006D19E9">
        <w:rPr>
          <w:rFonts w:hint="cs"/>
          <w:rtl/>
        </w:rPr>
        <w:t xml:space="preserve"> </w:t>
      </w:r>
      <w:r w:rsidRPr="006D19E9">
        <w:rPr>
          <w:rFonts w:hint="cs"/>
          <w:rtl/>
        </w:rPr>
        <w:t>التشريعات والسياسات معا</w:t>
      </w:r>
      <w:r w:rsidR="00697057">
        <w:rPr>
          <w:rFonts w:hint="cs"/>
          <w:sz w:val="30"/>
          <w:rtl/>
        </w:rPr>
        <w:t>ً</w:t>
      </w:r>
      <w:r w:rsidR="006D19E9" w:rsidRPr="006D19E9">
        <w:rPr>
          <w:rStyle w:val="FootnoteReference"/>
          <w:color w:val="auto"/>
          <w:sz w:val="30"/>
          <w:szCs w:val="30"/>
          <w:rtl/>
        </w:rPr>
        <w:t>(</w:t>
      </w:r>
      <w:r w:rsidR="006D19E9" w:rsidRPr="006D19E9">
        <w:rPr>
          <w:rStyle w:val="FootnoteReference"/>
          <w:color w:val="auto"/>
          <w:sz w:val="30"/>
          <w:szCs w:val="30"/>
          <w:rtl/>
        </w:rPr>
        <w:footnoteReference w:id="88"/>
      </w:r>
      <w:r w:rsidR="006D19E9" w:rsidRPr="006D19E9">
        <w:rPr>
          <w:rStyle w:val="FootnoteReference"/>
          <w:color w:val="auto"/>
          <w:sz w:val="30"/>
          <w:szCs w:val="30"/>
          <w:rtl/>
        </w:rPr>
        <w:t>)</w:t>
      </w:r>
      <w:r w:rsidR="00697057" w:rsidRPr="00697057">
        <w:rPr>
          <w:rStyle w:val="FootnoteReference"/>
          <w:rFonts w:hint="cs"/>
          <w:color w:val="auto"/>
          <w:sz w:val="30"/>
          <w:szCs w:val="30"/>
          <w:vertAlign w:val="baseline"/>
          <w:rtl/>
        </w:rPr>
        <w:t>.</w:t>
      </w:r>
    </w:p>
    <w:p w:rsidR="00B30F0C" w:rsidRPr="00B30F0C" w:rsidRDefault="00B30F0C" w:rsidP="00B30F0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30F0C" w:rsidRPr="00B30F0C" w:rsidRDefault="00B30F0C" w:rsidP="00B30F0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sidRPr="006D19E9">
        <w:rPr>
          <w:rFonts w:hint="cs"/>
          <w:rtl/>
        </w:rPr>
        <w:tab/>
        <w:t>باء-</w:t>
      </w:r>
      <w:r w:rsidRPr="006D19E9">
        <w:rPr>
          <w:rFonts w:hint="cs"/>
          <w:rtl/>
        </w:rPr>
        <w:tab/>
      </w:r>
      <w:r w:rsidRPr="006D19E9">
        <w:rPr>
          <w:rtl/>
        </w:rPr>
        <w:t>مساهمة المنظمات الدولية والإقليمية في منع الانتهاكات</w:t>
      </w:r>
    </w:p>
    <w:p w:rsidR="00C47F5D" w:rsidRPr="006D19E9" w:rsidRDefault="00C47F5D" w:rsidP="00C47F5D">
      <w:pPr>
        <w:pStyle w:val="SingleTxt"/>
        <w:keepNext/>
        <w:keepLines/>
        <w:spacing w:after="0" w:line="120" w:lineRule="exact"/>
        <w:rPr>
          <w:sz w:val="10"/>
          <w:rtl/>
        </w:rPr>
      </w:pPr>
    </w:p>
    <w:p w:rsidR="00C47F5D" w:rsidRPr="006D19E9" w:rsidRDefault="00C47F5D" w:rsidP="00B30F0C">
      <w:pPr>
        <w:pStyle w:val="SingleTxt"/>
        <w:rPr>
          <w:rtl/>
          <w:lang w:val="fr-FR"/>
        </w:rPr>
      </w:pPr>
      <w:r w:rsidRPr="006D19E9">
        <w:rPr>
          <w:rFonts w:hint="cs"/>
          <w:rtl/>
        </w:rPr>
        <w:t>45-</w:t>
      </w:r>
      <w:r w:rsidRPr="006D19E9">
        <w:rPr>
          <w:rFonts w:hint="cs"/>
          <w:rtl/>
        </w:rPr>
        <w:tab/>
      </w:r>
      <w:r w:rsidRPr="006D19E9">
        <w:rPr>
          <w:rFonts w:hint="cs"/>
          <w:rtl/>
          <w:lang w:val="fr-FR"/>
        </w:rPr>
        <w:t>تساهم المنظمات الدولية والإقليمية، بما فيها الأمم المتحدة</w:t>
      </w:r>
      <w:r w:rsidR="006D19E9" w:rsidRPr="006D19E9">
        <w:rPr>
          <w:rStyle w:val="FootnoteReference"/>
          <w:color w:val="auto"/>
          <w:sz w:val="30"/>
          <w:szCs w:val="30"/>
          <w:rtl/>
          <w:lang w:val="fr-FR"/>
        </w:rPr>
        <w:t>(</w:t>
      </w:r>
      <w:r w:rsidR="006D19E9" w:rsidRPr="006D19E9">
        <w:rPr>
          <w:rStyle w:val="FootnoteReference"/>
          <w:color w:val="auto"/>
          <w:sz w:val="30"/>
          <w:szCs w:val="30"/>
          <w:rtl/>
          <w:lang w:val="fr-FR"/>
        </w:rPr>
        <w:footnoteReference w:id="89"/>
      </w:r>
      <w:r w:rsidR="006D19E9" w:rsidRPr="006D19E9">
        <w:rPr>
          <w:rStyle w:val="FootnoteReference"/>
          <w:color w:val="auto"/>
          <w:sz w:val="30"/>
          <w:szCs w:val="30"/>
          <w:rtl/>
          <w:lang w:val="fr-FR"/>
        </w:rPr>
        <w:t>)</w:t>
      </w:r>
      <w:r w:rsidR="00697057">
        <w:rPr>
          <w:rFonts w:hint="cs"/>
          <w:rtl/>
          <w:lang w:val="fr-FR"/>
        </w:rPr>
        <w:t>،</w:t>
      </w:r>
      <w:r w:rsidRPr="006D19E9">
        <w:rPr>
          <w:rFonts w:hint="cs"/>
          <w:rtl/>
          <w:lang w:val="fr-FR"/>
        </w:rPr>
        <w:t xml:space="preserve"> في منع انتهاكات حقوق الإنسان عن طريق أداء</w:t>
      </w:r>
      <w:r w:rsidR="006D19E9">
        <w:rPr>
          <w:rFonts w:hint="cs"/>
          <w:rtl/>
          <w:lang w:val="fr-FR"/>
        </w:rPr>
        <w:t xml:space="preserve"> </w:t>
      </w:r>
      <w:r w:rsidRPr="006D19E9">
        <w:rPr>
          <w:rFonts w:hint="cs"/>
          <w:rtl/>
          <w:lang w:val="fr-FR"/>
        </w:rPr>
        <w:t>المهام المنوطة بكل منها فيما يختص بدعم الدول على الوفاء بالتزاماتها في مجال حقوق الإنسان</w:t>
      </w:r>
      <w:r w:rsidR="006D19E9" w:rsidRPr="006D19E9">
        <w:rPr>
          <w:rStyle w:val="FootnoteReference"/>
          <w:color w:val="auto"/>
          <w:sz w:val="30"/>
          <w:szCs w:val="30"/>
          <w:rtl/>
          <w:lang w:val="fr-FR"/>
        </w:rPr>
        <w:t>(</w:t>
      </w:r>
      <w:r w:rsidR="006D19E9" w:rsidRPr="006D19E9">
        <w:rPr>
          <w:rStyle w:val="FootnoteReference"/>
          <w:color w:val="auto"/>
          <w:sz w:val="30"/>
          <w:szCs w:val="30"/>
          <w:rtl/>
          <w:lang w:val="fr-FR"/>
        </w:rPr>
        <w:footnoteReference w:id="90"/>
      </w:r>
      <w:r w:rsidR="006D19E9" w:rsidRPr="006D19E9">
        <w:rPr>
          <w:rStyle w:val="FootnoteReference"/>
          <w:color w:val="auto"/>
          <w:sz w:val="30"/>
          <w:szCs w:val="30"/>
          <w:rtl/>
          <w:lang w:val="fr-FR"/>
        </w:rPr>
        <w:t>)</w:t>
      </w:r>
      <w:r w:rsidR="00697057">
        <w:rPr>
          <w:rFonts w:hint="cs"/>
          <w:rtl/>
          <w:lang w:val="fr-FR"/>
        </w:rPr>
        <w:t>.</w:t>
      </w:r>
      <w:r w:rsidRPr="006D19E9">
        <w:rPr>
          <w:rFonts w:hint="cs"/>
          <w:rtl/>
          <w:lang w:val="fr-FR"/>
        </w:rPr>
        <w:t xml:space="preserve"> ويوكل قرار الجمعية العامة 48/141 إلى مفوضية الأمم المتحدة السامية لحقوق الإنسان تحديداً "أداء دور نشط في إزالة العقبات الراهنة والتصدي للتحديات الماثلة أمام الإعمال التام لجميع حقوق الإنسان، وفي الحيلولة دون استمرار انتهاكات حقوق الإنسان في جميع أنحاء العالم". وتوفّر مفوضية الأمم المتحدة السامية لحقوق الإنسان الخبرة التقنية وتتيح تنمية القدرات من أجل مساعدة الحكومات على الوفاء بالتزاماتها، ودعم الأفراد على المطالبة بحقوقهم، والتحدث بموضوعية عن انتهاكات حقوق الإنسان</w:t>
      </w:r>
      <w:r w:rsidR="006D19E9" w:rsidRPr="006D19E9">
        <w:rPr>
          <w:rStyle w:val="FootnoteReference"/>
          <w:color w:val="auto"/>
          <w:sz w:val="30"/>
          <w:szCs w:val="30"/>
          <w:rtl/>
          <w:lang w:val="fr-FR"/>
        </w:rPr>
        <w:t>(</w:t>
      </w:r>
      <w:r w:rsidR="006D19E9" w:rsidRPr="006D19E9">
        <w:rPr>
          <w:rStyle w:val="FootnoteReference"/>
          <w:color w:val="auto"/>
          <w:sz w:val="30"/>
          <w:szCs w:val="30"/>
          <w:rtl/>
          <w:lang w:val="fr-FR"/>
        </w:rPr>
        <w:footnoteReference w:id="91"/>
      </w:r>
      <w:r w:rsidR="006D19E9" w:rsidRPr="006D19E9">
        <w:rPr>
          <w:rStyle w:val="FootnoteReference"/>
          <w:color w:val="auto"/>
          <w:sz w:val="30"/>
          <w:szCs w:val="30"/>
          <w:rtl/>
          <w:lang w:val="fr-FR"/>
        </w:rPr>
        <w:t>)</w:t>
      </w:r>
      <w:r w:rsidR="00697057">
        <w:rPr>
          <w:rFonts w:hint="cs"/>
          <w:rtl/>
          <w:lang w:val="fr-FR"/>
        </w:rPr>
        <w:t>.</w:t>
      </w:r>
      <w:r w:rsidRPr="006D19E9">
        <w:rPr>
          <w:rFonts w:hint="cs"/>
          <w:rtl/>
          <w:lang w:val="fr-FR"/>
        </w:rPr>
        <w:t xml:space="preserve"> وعلاوة على ذلك، تستطيع الدول، مثل</w:t>
      </w:r>
      <w:r w:rsidR="00B30F0C">
        <w:rPr>
          <w:rFonts w:hint="cs"/>
          <w:rtl/>
          <w:lang w:val="fr-FR"/>
        </w:rPr>
        <w:t xml:space="preserve">اً، </w:t>
      </w:r>
      <w:r w:rsidRPr="006D19E9">
        <w:rPr>
          <w:rFonts w:hint="cs"/>
          <w:rtl/>
          <w:lang w:val="fr-FR"/>
        </w:rPr>
        <w:t>أن تلتمس من مديرية حقوق الإنسان</w:t>
      </w:r>
      <w:r w:rsidR="006D19E9">
        <w:rPr>
          <w:rFonts w:hint="cs"/>
          <w:rtl/>
          <w:lang w:val="fr-FR"/>
        </w:rPr>
        <w:t xml:space="preserve"> </w:t>
      </w:r>
      <w:r w:rsidRPr="006D19E9">
        <w:rPr>
          <w:rFonts w:hint="cs"/>
          <w:rtl/>
          <w:lang w:val="fr-FR"/>
        </w:rPr>
        <w:t>التابعة إلى مجلس أوروبا، ومن اللجنة الأوروبية للديمقراطية من خلال القانون (لجنة فينيسيا) التابعة لها، المساعدة في إعداد القوانين أو</w:t>
      </w:r>
      <w:r w:rsidR="00B30F0C">
        <w:rPr>
          <w:rFonts w:hint="eastAsia"/>
          <w:rtl/>
          <w:lang w:val="fr-FR"/>
        </w:rPr>
        <w:t> </w:t>
      </w:r>
      <w:r w:rsidRPr="006D19E9">
        <w:rPr>
          <w:rFonts w:hint="cs"/>
          <w:rtl/>
          <w:lang w:val="fr-FR"/>
        </w:rPr>
        <w:t>تقيي</w:t>
      </w:r>
      <w:r w:rsidR="00024953">
        <w:rPr>
          <w:rFonts w:hint="cs"/>
          <w:rtl/>
          <w:lang w:val="fr-FR"/>
        </w:rPr>
        <w:t xml:space="preserve">م امتثالها لمعايير حقوق الإنسان. </w:t>
      </w:r>
    </w:p>
    <w:p w:rsidR="00C47F5D" w:rsidRPr="006D19E9" w:rsidRDefault="00C47F5D" w:rsidP="00C47F5D">
      <w:pPr>
        <w:pStyle w:val="SingleTxt"/>
        <w:rPr>
          <w:rtl/>
        </w:rPr>
      </w:pPr>
      <w:r w:rsidRPr="006D19E9">
        <w:rPr>
          <w:rFonts w:hint="cs"/>
          <w:rtl/>
        </w:rPr>
        <w:t>46-</w:t>
      </w:r>
      <w:r w:rsidRPr="006D19E9">
        <w:rPr>
          <w:rFonts w:hint="cs"/>
          <w:rtl/>
        </w:rPr>
        <w:tab/>
        <w:t>وقد أدى</w:t>
      </w:r>
      <w:r w:rsidR="006D19E9">
        <w:rPr>
          <w:rFonts w:hint="cs"/>
          <w:rtl/>
        </w:rPr>
        <w:t xml:space="preserve"> </w:t>
      </w:r>
      <w:r w:rsidRPr="006D19E9">
        <w:rPr>
          <w:rFonts w:hint="cs"/>
          <w:rtl/>
        </w:rPr>
        <w:t xml:space="preserve">إطلاق مبادرة </w:t>
      </w:r>
      <w:r w:rsidR="00024953">
        <w:rPr>
          <w:rFonts w:hint="cs"/>
          <w:rtl/>
        </w:rPr>
        <w:t>‘</w:t>
      </w:r>
      <w:r w:rsidRPr="006D19E9">
        <w:rPr>
          <w:rFonts w:hint="cs"/>
          <w:rtl/>
        </w:rPr>
        <w:t>حقوق الإنسان</w:t>
      </w:r>
      <w:r w:rsidR="006D19E9">
        <w:rPr>
          <w:rFonts w:hint="cs"/>
          <w:rtl/>
        </w:rPr>
        <w:t xml:space="preserve"> </w:t>
      </w:r>
      <w:r w:rsidRPr="006D19E9">
        <w:rPr>
          <w:rFonts w:hint="cs"/>
          <w:rtl/>
        </w:rPr>
        <w:t>أولاً‘ منذ وقت قريب إلى تعزيز الدور الحاسم للأمم المتحدة في منع الانتهاكات.</w:t>
      </w:r>
      <w:r w:rsidR="006D19E9">
        <w:rPr>
          <w:rFonts w:hint="cs"/>
          <w:rtl/>
        </w:rPr>
        <w:t xml:space="preserve"> </w:t>
      </w:r>
      <w:r w:rsidR="00B2219E">
        <w:rPr>
          <w:rFonts w:hint="cs"/>
          <w:rtl/>
        </w:rPr>
        <w:t>وهي من مبادرات الأمين</w:t>
      </w:r>
      <w:r w:rsidRPr="006D19E9">
        <w:rPr>
          <w:rFonts w:hint="cs"/>
          <w:rtl/>
        </w:rPr>
        <w:t xml:space="preserve"> العام للأمم المتحدة</w:t>
      </w:r>
      <w:r w:rsidR="006D19E9">
        <w:rPr>
          <w:rFonts w:hint="cs"/>
          <w:rtl/>
        </w:rPr>
        <w:t xml:space="preserve"> </w:t>
      </w:r>
      <w:r w:rsidRPr="006D19E9">
        <w:rPr>
          <w:rFonts w:hint="cs"/>
          <w:rtl/>
        </w:rPr>
        <w:t>وتهدف</w:t>
      </w:r>
      <w:r w:rsidR="006D19E9">
        <w:rPr>
          <w:rFonts w:hint="cs"/>
          <w:rtl/>
        </w:rPr>
        <w:t xml:space="preserve"> </w:t>
      </w:r>
      <w:r w:rsidRPr="006D19E9">
        <w:rPr>
          <w:rFonts w:hint="cs"/>
          <w:rtl/>
        </w:rPr>
        <w:t>إلى كفالة أن تتخذ منظومة الأمم المتحدة</w:t>
      </w:r>
      <w:r w:rsidR="006D19E9">
        <w:rPr>
          <w:rFonts w:hint="cs"/>
          <w:rtl/>
        </w:rPr>
        <w:t xml:space="preserve"> </w:t>
      </w:r>
      <w:r w:rsidRPr="006D19E9">
        <w:rPr>
          <w:rFonts w:hint="cs"/>
          <w:rtl/>
        </w:rPr>
        <w:t>إجراءات عاجلة وفعالة لمنع</w:t>
      </w:r>
      <w:r w:rsidR="006D19E9">
        <w:rPr>
          <w:rFonts w:hint="cs"/>
          <w:rtl/>
        </w:rPr>
        <w:t xml:space="preserve"> </w:t>
      </w:r>
      <w:r w:rsidRPr="006D19E9">
        <w:rPr>
          <w:rFonts w:hint="cs"/>
          <w:rtl/>
        </w:rPr>
        <w:t>المخالفات الجسيمة والواسعة النطاق للقانون الدولي لحقوق الإنسان أو القانون الإنساني الدولي أو</w:t>
      </w:r>
      <w:r w:rsidR="006D19E9">
        <w:rPr>
          <w:rFonts w:hint="cs"/>
          <w:rtl/>
        </w:rPr>
        <w:t xml:space="preserve"> </w:t>
      </w:r>
      <w:r w:rsidRPr="006D19E9">
        <w:rPr>
          <w:rFonts w:hint="cs"/>
          <w:rtl/>
        </w:rPr>
        <w:t>التصدي لها، على النحو المنصوص عليه في ميثاق الأمم المتحدة وقراراتها. ويجري التركيز أولاً على منع الانتهاكات وعلى التأكد من أن جميع كيانات الأمم المتحدة تضع حماية حقوق الإنسان المكفولة</w:t>
      </w:r>
      <w:r w:rsidR="006D19E9">
        <w:rPr>
          <w:rFonts w:hint="cs"/>
          <w:rtl/>
        </w:rPr>
        <w:t xml:space="preserve"> </w:t>
      </w:r>
      <w:r w:rsidRPr="006D19E9">
        <w:rPr>
          <w:rFonts w:hint="cs"/>
          <w:rtl/>
        </w:rPr>
        <w:t>للشعوب في صلب استراتيجيات الأمم المتحدة وأنشطتها التنفيذية</w:t>
      </w:r>
      <w:r w:rsidR="006D19E9" w:rsidRPr="006D19E9">
        <w:rPr>
          <w:rStyle w:val="FootnoteReference"/>
          <w:color w:val="auto"/>
          <w:sz w:val="30"/>
          <w:szCs w:val="30"/>
          <w:rtl/>
        </w:rPr>
        <w:t>(</w:t>
      </w:r>
      <w:r w:rsidR="006D19E9" w:rsidRPr="006D19E9">
        <w:rPr>
          <w:rStyle w:val="FootnoteReference"/>
          <w:color w:val="auto"/>
          <w:sz w:val="30"/>
          <w:szCs w:val="30"/>
          <w:rtl/>
        </w:rPr>
        <w:footnoteReference w:id="92"/>
      </w:r>
      <w:r w:rsidR="006D19E9" w:rsidRPr="006D19E9">
        <w:rPr>
          <w:rStyle w:val="FootnoteReference"/>
          <w:color w:val="auto"/>
          <w:sz w:val="30"/>
          <w:szCs w:val="30"/>
          <w:rtl/>
        </w:rPr>
        <w:t>)</w:t>
      </w:r>
      <w:r w:rsidRPr="006D19E9">
        <w:rPr>
          <w:rFonts w:hint="cs"/>
          <w:rtl/>
        </w:rPr>
        <w:t>، مع دعم الأنشطة التي تضطلع بها الدول</w:t>
      </w:r>
      <w:r w:rsidR="006D19E9">
        <w:rPr>
          <w:rFonts w:hint="cs"/>
          <w:rtl/>
        </w:rPr>
        <w:t xml:space="preserve"> </w:t>
      </w:r>
      <w:r w:rsidRPr="006D19E9">
        <w:rPr>
          <w:rFonts w:hint="cs"/>
          <w:rtl/>
        </w:rPr>
        <w:t>للوفاء بمسؤولياتها.</w:t>
      </w:r>
    </w:p>
    <w:p w:rsidR="00C47F5D" w:rsidRPr="006D19E9" w:rsidRDefault="00C47F5D" w:rsidP="00697057">
      <w:pPr>
        <w:pStyle w:val="SingleTxt"/>
        <w:rPr>
          <w:rtl/>
        </w:rPr>
      </w:pPr>
      <w:r w:rsidRPr="006D19E9">
        <w:rPr>
          <w:rFonts w:hint="cs"/>
          <w:rtl/>
        </w:rPr>
        <w:t>47-</w:t>
      </w:r>
      <w:r w:rsidRPr="006D19E9">
        <w:rPr>
          <w:rFonts w:hint="cs"/>
          <w:rtl/>
        </w:rPr>
        <w:tab/>
        <w:t>ولا شك في أن أزمات كثيرة</w:t>
      </w:r>
      <w:r w:rsidR="006D19E9">
        <w:rPr>
          <w:rFonts w:hint="cs"/>
          <w:rtl/>
        </w:rPr>
        <w:t xml:space="preserve"> </w:t>
      </w:r>
      <w:r w:rsidRPr="006D19E9">
        <w:rPr>
          <w:rFonts w:hint="cs"/>
          <w:rtl/>
        </w:rPr>
        <w:t>تنشب جراء</w:t>
      </w:r>
      <w:r w:rsidR="006D19E9">
        <w:rPr>
          <w:rFonts w:hint="cs"/>
          <w:rtl/>
        </w:rPr>
        <w:t xml:space="preserve"> </w:t>
      </w:r>
      <w:r w:rsidRPr="006D19E9">
        <w:rPr>
          <w:rFonts w:hint="cs"/>
          <w:rtl/>
        </w:rPr>
        <w:t>عمليات</w:t>
      </w:r>
      <w:r w:rsidR="006D19E9">
        <w:rPr>
          <w:rFonts w:hint="cs"/>
          <w:rtl/>
        </w:rPr>
        <w:t xml:space="preserve"> </w:t>
      </w:r>
      <w:r w:rsidRPr="006D19E9">
        <w:rPr>
          <w:rFonts w:hint="cs"/>
          <w:rtl/>
        </w:rPr>
        <w:t>حركية مطولة تستمدّ جذورها من أنماط قديمة من التجاوزات</w:t>
      </w:r>
      <w:r w:rsidR="006D19E9">
        <w:rPr>
          <w:rFonts w:hint="cs"/>
          <w:rtl/>
        </w:rPr>
        <w:t xml:space="preserve"> </w:t>
      </w:r>
      <w:r w:rsidRPr="006D19E9">
        <w:rPr>
          <w:rFonts w:hint="cs"/>
          <w:rtl/>
        </w:rPr>
        <w:t>التي تنتهك مجموعة حقوق، والتي تغذّي</w:t>
      </w:r>
      <w:r w:rsidR="006D19E9">
        <w:rPr>
          <w:rFonts w:hint="cs"/>
          <w:rtl/>
        </w:rPr>
        <w:t xml:space="preserve"> </w:t>
      </w:r>
      <w:r w:rsidRPr="006D19E9">
        <w:rPr>
          <w:rFonts w:hint="cs"/>
          <w:rtl/>
        </w:rPr>
        <w:t>عدم الاستقرار والعنف والنزاعات لأنها لم تعالَج في وقت مبكر بما فيه الكفاية.</w:t>
      </w:r>
      <w:r w:rsidR="006D19E9">
        <w:rPr>
          <w:rFonts w:hint="cs"/>
          <w:rtl/>
        </w:rPr>
        <w:t xml:space="preserve"> </w:t>
      </w:r>
      <w:r w:rsidRPr="006D19E9">
        <w:rPr>
          <w:rFonts w:hint="cs"/>
          <w:rtl/>
        </w:rPr>
        <w:t>وتتطلب الاستجابة الشاملة من قبل الأمم المتحدة</w:t>
      </w:r>
      <w:r w:rsidR="006D19E9">
        <w:rPr>
          <w:rFonts w:hint="cs"/>
          <w:rtl/>
        </w:rPr>
        <w:t xml:space="preserve"> </w:t>
      </w:r>
      <w:r w:rsidRPr="006D19E9">
        <w:rPr>
          <w:rFonts w:hint="cs"/>
          <w:rtl/>
        </w:rPr>
        <w:t>الانتباه إلى البوادر الأولى للانتهاكات ومعالجتها في حينها. ولذلك،</w:t>
      </w:r>
      <w:r w:rsidR="006D19E9">
        <w:rPr>
          <w:rFonts w:hint="cs"/>
          <w:rtl/>
        </w:rPr>
        <w:t xml:space="preserve"> </w:t>
      </w:r>
      <w:r w:rsidRPr="006D19E9">
        <w:rPr>
          <w:rFonts w:hint="cs"/>
          <w:rtl/>
        </w:rPr>
        <w:t>يعد توافر المعلومات</w:t>
      </w:r>
      <w:r w:rsidR="006D19E9">
        <w:rPr>
          <w:rFonts w:hint="cs"/>
          <w:rtl/>
        </w:rPr>
        <w:t xml:space="preserve"> </w:t>
      </w:r>
      <w:r w:rsidRPr="006D19E9">
        <w:rPr>
          <w:rFonts w:hint="cs"/>
          <w:rtl/>
        </w:rPr>
        <w:t>والتحليلات عن حقوق الإنسان في وقت مبكر،</w:t>
      </w:r>
      <w:r w:rsidR="006D19E9">
        <w:rPr>
          <w:rFonts w:hint="cs"/>
          <w:rtl/>
        </w:rPr>
        <w:t xml:space="preserve"> </w:t>
      </w:r>
      <w:r w:rsidRPr="006D19E9">
        <w:rPr>
          <w:rFonts w:hint="cs"/>
          <w:rtl/>
        </w:rPr>
        <w:t>وإدراك الروابط بين أنماط انتهاكات الحقوق</w:t>
      </w:r>
      <w:r w:rsidR="006D19E9">
        <w:rPr>
          <w:rFonts w:hint="cs"/>
          <w:rtl/>
        </w:rPr>
        <w:t xml:space="preserve"> </w:t>
      </w:r>
      <w:r w:rsidRPr="006D19E9">
        <w:rPr>
          <w:rFonts w:hint="cs"/>
          <w:rtl/>
        </w:rPr>
        <w:t xml:space="preserve">والتطورات السياسية والأمنية، من </w:t>
      </w:r>
      <w:r w:rsidR="00B30F0C" w:rsidRPr="006D19E9">
        <w:rPr>
          <w:rFonts w:hint="cs"/>
          <w:rtl/>
        </w:rPr>
        <w:t>العناصر</w:t>
      </w:r>
      <w:r w:rsidRPr="006D19E9">
        <w:rPr>
          <w:rFonts w:hint="cs"/>
          <w:rtl/>
        </w:rPr>
        <w:t xml:space="preserve"> الأساسية. وإلى جانب كيانات الأمم المتحدة الناشطة ميدانياً في مجال حقوق الإنسان، تتولى آليات حقوق الإنسان جمع</w:t>
      </w:r>
      <w:r w:rsidR="006D19E9">
        <w:rPr>
          <w:rFonts w:hint="cs"/>
          <w:rtl/>
        </w:rPr>
        <w:t xml:space="preserve"> </w:t>
      </w:r>
      <w:r w:rsidRPr="006D19E9">
        <w:rPr>
          <w:rFonts w:hint="cs"/>
          <w:rtl/>
        </w:rPr>
        <w:t>قدر وفير</w:t>
      </w:r>
      <w:r w:rsidR="006D19E9">
        <w:rPr>
          <w:rFonts w:hint="cs"/>
          <w:rtl/>
        </w:rPr>
        <w:t xml:space="preserve"> </w:t>
      </w:r>
      <w:r w:rsidRPr="006D19E9">
        <w:rPr>
          <w:rFonts w:hint="cs"/>
          <w:rtl/>
        </w:rPr>
        <w:t>من المعلومات المتعلقة</w:t>
      </w:r>
      <w:r w:rsidR="006D19E9">
        <w:rPr>
          <w:rFonts w:hint="cs"/>
          <w:rtl/>
        </w:rPr>
        <w:t xml:space="preserve"> </w:t>
      </w:r>
      <w:r w:rsidRPr="006D19E9">
        <w:rPr>
          <w:rFonts w:hint="cs"/>
          <w:rtl/>
        </w:rPr>
        <w:t>بمسائل حقوق الإنسان،</w:t>
      </w:r>
      <w:r w:rsidR="006D19E9">
        <w:rPr>
          <w:rFonts w:hint="cs"/>
          <w:rtl/>
        </w:rPr>
        <w:t xml:space="preserve"> </w:t>
      </w:r>
      <w:r w:rsidRPr="006D19E9">
        <w:rPr>
          <w:rFonts w:hint="cs"/>
          <w:rtl/>
        </w:rPr>
        <w:t>بما في ذلك ما يتعلق منها بالثغرات في مجال حماية حقوق الإنسان، ومخاطر حدوث الانتهاكات، وأنماط الانتهاكات ونطاقها وطبيعتها.</w:t>
      </w:r>
      <w:r w:rsidR="006D19E9">
        <w:rPr>
          <w:rFonts w:hint="cs"/>
          <w:rtl/>
        </w:rPr>
        <w:t xml:space="preserve"> </w:t>
      </w:r>
      <w:r w:rsidRPr="006D19E9">
        <w:rPr>
          <w:rFonts w:hint="cs"/>
          <w:rtl/>
        </w:rPr>
        <w:t>وقد وفر تحليل هذه المعلومات وتنسيقها وإحالتها بشكل فعّال</w:t>
      </w:r>
      <w:r w:rsidR="006D19E9">
        <w:rPr>
          <w:rFonts w:hint="cs"/>
          <w:rtl/>
        </w:rPr>
        <w:t xml:space="preserve"> </w:t>
      </w:r>
      <w:r w:rsidRPr="006D19E9">
        <w:rPr>
          <w:rFonts w:hint="cs"/>
          <w:rtl/>
        </w:rPr>
        <w:t>الاستنارة لعمليات وضع الاستراتيجيات</w:t>
      </w:r>
      <w:r w:rsidR="006D19E9">
        <w:rPr>
          <w:rFonts w:hint="cs"/>
          <w:rtl/>
        </w:rPr>
        <w:t xml:space="preserve"> </w:t>
      </w:r>
      <w:r w:rsidRPr="006D19E9">
        <w:rPr>
          <w:rFonts w:hint="cs"/>
          <w:rtl/>
        </w:rPr>
        <w:t>والتخطيط للتصدي</w:t>
      </w:r>
      <w:r w:rsidR="006D19E9">
        <w:rPr>
          <w:rFonts w:hint="cs"/>
          <w:rtl/>
        </w:rPr>
        <w:t xml:space="preserve"> </w:t>
      </w:r>
      <w:r w:rsidRPr="006D19E9">
        <w:rPr>
          <w:rFonts w:hint="cs"/>
          <w:rtl/>
        </w:rPr>
        <w:t>في شراكة مع الدول، فضلاً عن الاستنارة في اتخاذ القرارات بشأن المسار الأفضل</w:t>
      </w:r>
      <w:r w:rsidR="006D19E9">
        <w:rPr>
          <w:rFonts w:hint="cs"/>
          <w:rtl/>
        </w:rPr>
        <w:t xml:space="preserve"> </w:t>
      </w:r>
      <w:r w:rsidRPr="006D19E9">
        <w:rPr>
          <w:rFonts w:hint="cs"/>
          <w:rtl/>
        </w:rPr>
        <w:t>للإجراءات التي</w:t>
      </w:r>
      <w:r w:rsidR="006D19E9">
        <w:rPr>
          <w:rFonts w:hint="cs"/>
          <w:rtl/>
        </w:rPr>
        <w:t xml:space="preserve"> </w:t>
      </w:r>
      <w:r w:rsidRPr="006D19E9">
        <w:rPr>
          <w:rFonts w:hint="cs"/>
          <w:rtl/>
        </w:rPr>
        <w:t>تتخذها الأمم المتحدة. ونظر</w:t>
      </w:r>
      <w:r w:rsidR="00B30F0C">
        <w:rPr>
          <w:rFonts w:hint="cs"/>
          <w:rtl/>
        </w:rPr>
        <w:t xml:space="preserve">اً </w:t>
      </w:r>
      <w:r w:rsidRPr="006D19E9">
        <w:rPr>
          <w:rFonts w:hint="cs"/>
          <w:rtl/>
        </w:rPr>
        <w:t>إلى أن بؤرة تركيز</w:t>
      </w:r>
      <w:r w:rsidR="006D19E9">
        <w:rPr>
          <w:rFonts w:hint="cs"/>
          <w:rtl/>
        </w:rPr>
        <w:t xml:space="preserve"> </w:t>
      </w:r>
      <w:r w:rsidRPr="006D19E9">
        <w:rPr>
          <w:rFonts w:hint="cs"/>
          <w:rtl/>
        </w:rPr>
        <w:t>مبادرة حقوق الإنسان أولاً</w:t>
      </w:r>
      <w:r w:rsidR="006D19E9">
        <w:rPr>
          <w:rFonts w:hint="cs"/>
          <w:rtl/>
        </w:rPr>
        <w:t xml:space="preserve"> </w:t>
      </w:r>
      <w:r w:rsidRPr="006D19E9">
        <w:rPr>
          <w:rFonts w:hint="cs"/>
          <w:rtl/>
        </w:rPr>
        <w:t>هي منع الانتهاكات، تبرز المبادرة</w:t>
      </w:r>
      <w:r w:rsidR="006D19E9">
        <w:rPr>
          <w:rFonts w:hint="cs"/>
          <w:rtl/>
        </w:rPr>
        <w:t xml:space="preserve"> </w:t>
      </w:r>
      <w:r w:rsidRPr="006D19E9">
        <w:rPr>
          <w:rFonts w:hint="cs"/>
          <w:rtl/>
        </w:rPr>
        <w:t>العلاقةَ بين الانتهاكات بوصفها بوادر إنذار مبكر وبين</w:t>
      </w:r>
      <w:r w:rsidR="006D19E9">
        <w:rPr>
          <w:rFonts w:hint="cs"/>
          <w:rtl/>
        </w:rPr>
        <w:t xml:space="preserve"> </w:t>
      </w:r>
      <w:r w:rsidRPr="006D19E9">
        <w:rPr>
          <w:rFonts w:hint="cs"/>
          <w:rtl/>
        </w:rPr>
        <w:t>الإجراءات التي تتخذها الأمم المتحدة في وقت مبكر</w:t>
      </w:r>
      <w:r w:rsidR="006D19E9" w:rsidRPr="006D19E9">
        <w:rPr>
          <w:rStyle w:val="FootnoteReference"/>
          <w:color w:val="auto"/>
          <w:sz w:val="30"/>
          <w:szCs w:val="30"/>
          <w:rtl/>
        </w:rPr>
        <w:t>(</w:t>
      </w:r>
      <w:r w:rsidR="006D19E9" w:rsidRPr="006D19E9">
        <w:rPr>
          <w:rStyle w:val="FootnoteReference"/>
          <w:color w:val="auto"/>
          <w:sz w:val="30"/>
          <w:szCs w:val="30"/>
          <w:rtl/>
        </w:rPr>
        <w:footnoteReference w:id="93"/>
      </w:r>
      <w:r w:rsidR="006D19E9" w:rsidRPr="006D19E9">
        <w:rPr>
          <w:rStyle w:val="FootnoteReference"/>
          <w:color w:val="auto"/>
          <w:sz w:val="30"/>
          <w:szCs w:val="30"/>
          <w:rtl/>
        </w:rPr>
        <w:t>)</w:t>
      </w:r>
      <w:r w:rsidR="00697057" w:rsidRPr="00697057">
        <w:rPr>
          <w:rStyle w:val="FootnoteReference"/>
          <w:rFonts w:hint="cs"/>
          <w:color w:val="auto"/>
          <w:sz w:val="30"/>
          <w:szCs w:val="30"/>
          <w:vertAlign w:val="baseline"/>
          <w:rtl/>
        </w:rPr>
        <w:t>.</w:t>
      </w:r>
    </w:p>
    <w:p w:rsidR="00C47F5D" w:rsidRPr="006D19E9" w:rsidRDefault="00C47F5D" w:rsidP="00C47F5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47F5D" w:rsidRPr="006D19E9" w:rsidRDefault="00C47F5D" w:rsidP="00C47F5D">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D19E9">
        <w:rPr>
          <w:rFonts w:hint="cs"/>
          <w:rtl/>
        </w:rPr>
        <w:tab/>
        <w:t>خامساً-</w:t>
      </w:r>
      <w:r w:rsidRPr="006D19E9">
        <w:rPr>
          <w:rFonts w:hint="cs"/>
          <w:rtl/>
        </w:rPr>
        <w:tab/>
      </w:r>
      <w:r w:rsidRPr="006D19E9">
        <w:rPr>
          <w:rtl/>
        </w:rPr>
        <w:t>الاستنتاجات والتوصيات</w:t>
      </w:r>
    </w:p>
    <w:p w:rsidR="00C47F5D" w:rsidRPr="006D19E9" w:rsidRDefault="00C47F5D" w:rsidP="00C47F5D">
      <w:pPr>
        <w:pStyle w:val="SingleTxt"/>
        <w:spacing w:after="0" w:line="120" w:lineRule="exact"/>
        <w:rPr>
          <w:sz w:val="10"/>
          <w:rtl/>
        </w:rPr>
      </w:pPr>
    </w:p>
    <w:p w:rsidR="00C47F5D" w:rsidRPr="005C2ED7" w:rsidRDefault="00C47F5D" w:rsidP="00C47F5D">
      <w:pPr>
        <w:pStyle w:val="SingleTxt"/>
        <w:rPr>
          <w:b/>
          <w:bCs/>
          <w:rtl/>
        </w:rPr>
      </w:pPr>
      <w:r w:rsidRPr="006D19E9">
        <w:rPr>
          <w:rFonts w:hint="cs"/>
          <w:rtl/>
        </w:rPr>
        <w:t>48-</w:t>
      </w:r>
      <w:r w:rsidRPr="006D19E9">
        <w:rPr>
          <w:rFonts w:hint="cs"/>
          <w:rtl/>
        </w:rPr>
        <w:tab/>
      </w:r>
      <w:r w:rsidRPr="005C2ED7">
        <w:rPr>
          <w:rFonts w:hint="cs"/>
          <w:b/>
          <w:bCs/>
          <w:rtl/>
        </w:rPr>
        <w:t>تقع المسؤولية عن انتهاكات حقوق الإنسان على عاتق الدولة في المقام الأول.</w:t>
      </w:r>
      <w:r w:rsidR="006D19E9" w:rsidRPr="005C2ED7">
        <w:rPr>
          <w:rFonts w:hint="cs"/>
          <w:b/>
          <w:bCs/>
          <w:rtl/>
        </w:rPr>
        <w:t xml:space="preserve"> </w:t>
      </w:r>
      <w:r w:rsidRPr="005C2ED7">
        <w:rPr>
          <w:rFonts w:hint="cs"/>
          <w:b/>
          <w:bCs/>
          <w:rtl/>
        </w:rPr>
        <w:t>ويقتضي ذلك العملَ بصورة</w:t>
      </w:r>
      <w:r w:rsidR="006D19E9" w:rsidRPr="005C2ED7">
        <w:rPr>
          <w:rFonts w:hint="cs"/>
          <w:b/>
          <w:bCs/>
          <w:rtl/>
        </w:rPr>
        <w:t xml:space="preserve"> </w:t>
      </w:r>
      <w:r w:rsidRPr="005C2ED7">
        <w:rPr>
          <w:rFonts w:hint="cs"/>
          <w:b/>
          <w:bCs/>
          <w:rtl/>
        </w:rPr>
        <w:t>استباقية ومتواصلة ومنهجية على معالجة</w:t>
      </w:r>
      <w:r w:rsidR="006D19E9" w:rsidRPr="005C2ED7">
        <w:rPr>
          <w:rFonts w:hint="cs"/>
          <w:b/>
          <w:bCs/>
          <w:rtl/>
        </w:rPr>
        <w:t xml:space="preserve"> </w:t>
      </w:r>
      <w:r w:rsidRPr="005C2ED7">
        <w:rPr>
          <w:rFonts w:hint="cs"/>
          <w:b/>
          <w:bCs/>
          <w:rtl/>
        </w:rPr>
        <w:t>مخاطر وأسباب انتهاكات حقوق الإنسان،</w:t>
      </w:r>
      <w:r w:rsidR="006D19E9" w:rsidRPr="005C2ED7">
        <w:rPr>
          <w:rFonts w:hint="cs"/>
          <w:b/>
          <w:bCs/>
          <w:rtl/>
        </w:rPr>
        <w:t xml:space="preserve"> </w:t>
      </w:r>
      <w:r w:rsidRPr="005C2ED7">
        <w:rPr>
          <w:rFonts w:hint="cs"/>
          <w:b/>
          <w:bCs/>
          <w:rtl/>
        </w:rPr>
        <w:t>عبر نطاق من التدابير</w:t>
      </w:r>
      <w:r w:rsidR="006D19E9" w:rsidRPr="005C2ED7">
        <w:rPr>
          <w:rFonts w:hint="cs"/>
          <w:b/>
          <w:bCs/>
          <w:rtl/>
        </w:rPr>
        <w:t xml:space="preserve"> </w:t>
      </w:r>
      <w:r w:rsidRPr="005C2ED7">
        <w:rPr>
          <w:rFonts w:hint="cs"/>
          <w:b/>
          <w:bCs/>
          <w:rtl/>
        </w:rPr>
        <w:t>التي تشمل القوانين والسياسات والممارسات، بغية ضمان احترام وحماية جميع حقوق الإنسان المكفولة</w:t>
      </w:r>
      <w:r w:rsidR="006D19E9" w:rsidRPr="005C2ED7">
        <w:rPr>
          <w:rFonts w:hint="cs"/>
          <w:b/>
          <w:bCs/>
          <w:rtl/>
        </w:rPr>
        <w:t xml:space="preserve"> </w:t>
      </w:r>
      <w:r w:rsidRPr="005C2ED7">
        <w:rPr>
          <w:rFonts w:hint="cs"/>
          <w:b/>
          <w:bCs/>
          <w:rtl/>
        </w:rPr>
        <w:t>لجميع المقيمين</w:t>
      </w:r>
      <w:r w:rsidR="006D19E9" w:rsidRPr="005C2ED7">
        <w:rPr>
          <w:rFonts w:hint="cs"/>
          <w:b/>
          <w:bCs/>
          <w:rtl/>
        </w:rPr>
        <w:t xml:space="preserve"> </w:t>
      </w:r>
      <w:r w:rsidRPr="005C2ED7">
        <w:rPr>
          <w:rFonts w:hint="cs"/>
          <w:b/>
          <w:bCs/>
          <w:rtl/>
        </w:rPr>
        <w:t>في إقليم الدولة أو الذين تشملهم ولايتها القضائية. وتساهم المنظمات الدولية والإقليمية،</w:t>
      </w:r>
      <w:r w:rsidR="006D19E9" w:rsidRPr="005C2ED7">
        <w:rPr>
          <w:rFonts w:hint="cs"/>
          <w:b/>
          <w:bCs/>
          <w:rtl/>
        </w:rPr>
        <w:t xml:space="preserve"> </w:t>
      </w:r>
      <w:r w:rsidRPr="005C2ED7">
        <w:rPr>
          <w:rFonts w:hint="cs"/>
          <w:b/>
          <w:bCs/>
          <w:rtl/>
        </w:rPr>
        <w:t>من خلال المهام المنوطة بها، في منع انتهاكات حقوق الإنسان</w:t>
      </w:r>
      <w:r w:rsidR="006D19E9" w:rsidRPr="005C2ED7">
        <w:rPr>
          <w:rFonts w:hint="cs"/>
          <w:b/>
          <w:bCs/>
          <w:rtl/>
        </w:rPr>
        <w:t xml:space="preserve"> </w:t>
      </w:r>
      <w:r w:rsidRPr="005C2ED7">
        <w:rPr>
          <w:rFonts w:hint="cs"/>
          <w:b/>
          <w:bCs/>
          <w:rtl/>
        </w:rPr>
        <w:t>عن طريق دعم الدول</w:t>
      </w:r>
      <w:r w:rsidR="006D19E9" w:rsidRPr="005C2ED7">
        <w:rPr>
          <w:rFonts w:hint="cs"/>
          <w:b/>
          <w:bCs/>
          <w:rtl/>
        </w:rPr>
        <w:t xml:space="preserve"> </w:t>
      </w:r>
      <w:r w:rsidRPr="005C2ED7">
        <w:rPr>
          <w:rFonts w:hint="cs"/>
          <w:b/>
          <w:bCs/>
          <w:rtl/>
        </w:rPr>
        <w:t>في الوفاء بالتزاماتها في مجال حقوق الإنسان.</w:t>
      </w:r>
    </w:p>
    <w:p w:rsidR="00C47F5D" w:rsidRPr="005C2ED7" w:rsidRDefault="00C47F5D" w:rsidP="00C47F5D">
      <w:pPr>
        <w:pStyle w:val="SingleTxt"/>
        <w:rPr>
          <w:b/>
          <w:bCs/>
          <w:rtl/>
        </w:rPr>
      </w:pPr>
      <w:r w:rsidRPr="006D19E9">
        <w:rPr>
          <w:rFonts w:hint="cs"/>
          <w:rtl/>
        </w:rPr>
        <w:t>49-</w:t>
      </w:r>
      <w:r w:rsidRPr="006D19E9">
        <w:rPr>
          <w:rFonts w:hint="cs"/>
          <w:rtl/>
        </w:rPr>
        <w:tab/>
      </w:r>
      <w:r w:rsidRPr="005C2ED7">
        <w:rPr>
          <w:rFonts w:hint="cs"/>
          <w:b/>
          <w:bCs/>
          <w:rtl/>
        </w:rPr>
        <w:t>ويتطلّب بناءُ إطار لمنع انتهاكات حقوق الإنسان التصديق على معاهدات حقوق الإنسان وتنفيذها على المستوى الداخلي؛ واستعراض القوانين والسياسات القائمة والمقترحة استعراضاً منتظماً ومستقلاً للتحقق من تقيّدها بأحكام هذه المعاهدات؛ وإتاحة سبل انتصاف فعالة لانتهاكات حقوق الإنسان تتيح جبر الضرر</w:t>
      </w:r>
      <w:r w:rsidR="006D19E9" w:rsidRPr="005C2ED7">
        <w:rPr>
          <w:rFonts w:hint="cs"/>
          <w:b/>
          <w:bCs/>
          <w:rtl/>
        </w:rPr>
        <w:t xml:space="preserve"> </w:t>
      </w:r>
      <w:r w:rsidRPr="005C2ED7">
        <w:rPr>
          <w:rFonts w:hint="cs"/>
          <w:b/>
          <w:bCs/>
          <w:rtl/>
        </w:rPr>
        <w:t>الذي يصيب الضحية، وإحداث تغيرات مؤسسية لمنع تكرار الانتهاكات.</w:t>
      </w:r>
      <w:r w:rsidR="006D19E9" w:rsidRPr="005C2ED7">
        <w:rPr>
          <w:rFonts w:hint="cs"/>
          <w:b/>
          <w:bCs/>
          <w:rtl/>
        </w:rPr>
        <w:t xml:space="preserve"> </w:t>
      </w:r>
      <w:r w:rsidRPr="005C2ED7">
        <w:rPr>
          <w:rFonts w:hint="cs"/>
          <w:b/>
          <w:bCs/>
          <w:rtl/>
        </w:rPr>
        <w:t>ويستلزم هذا في المقابل إنشاء مؤسسات مستقلة، بما فيها المؤسسات الوطنية لحقوق الإنسان، وإقامة نظام قانوني فعّال يسهل اللجوء إليه.</w:t>
      </w:r>
    </w:p>
    <w:p w:rsidR="00C47F5D" w:rsidRPr="005C2ED7" w:rsidRDefault="00C47F5D" w:rsidP="00C47F5D">
      <w:pPr>
        <w:pStyle w:val="SingleTxt"/>
        <w:rPr>
          <w:b/>
          <w:bCs/>
          <w:rtl/>
        </w:rPr>
      </w:pPr>
      <w:r w:rsidRPr="006D19E9">
        <w:rPr>
          <w:rFonts w:hint="cs"/>
          <w:rtl/>
        </w:rPr>
        <w:t>50-</w:t>
      </w:r>
      <w:r w:rsidRPr="006D19E9">
        <w:rPr>
          <w:rFonts w:hint="cs"/>
          <w:rtl/>
        </w:rPr>
        <w:tab/>
      </w:r>
      <w:r w:rsidRPr="005C2ED7">
        <w:rPr>
          <w:rFonts w:hint="cs"/>
          <w:b/>
          <w:bCs/>
          <w:rtl/>
        </w:rPr>
        <w:t>وينبغي بناء ثقافة تحترم حقوق الإنسان عن طريق عمليات الرصد والتفتيش الفعالة والمستقلة والمتسمة بالشفافية،</w:t>
      </w:r>
      <w:r w:rsidR="006D19E9" w:rsidRPr="005C2ED7">
        <w:rPr>
          <w:rFonts w:hint="cs"/>
          <w:b/>
          <w:bCs/>
          <w:rtl/>
        </w:rPr>
        <w:t xml:space="preserve"> </w:t>
      </w:r>
      <w:r w:rsidRPr="005C2ED7">
        <w:rPr>
          <w:rFonts w:hint="cs"/>
          <w:b/>
          <w:bCs/>
          <w:rtl/>
        </w:rPr>
        <w:t>بحيث يشارك فيها بالنقد البناء جميع أصحاب المصلحة،</w:t>
      </w:r>
      <w:r w:rsidR="006D19E9" w:rsidRPr="005C2ED7">
        <w:rPr>
          <w:rFonts w:hint="cs"/>
          <w:b/>
          <w:bCs/>
          <w:rtl/>
        </w:rPr>
        <w:t xml:space="preserve"> </w:t>
      </w:r>
      <w:r w:rsidRPr="005C2ED7">
        <w:rPr>
          <w:rFonts w:hint="cs"/>
          <w:b/>
          <w:bCs/>
          <w:rtl/>
        </w:rPr>
        <w:t>بمن فيهم أصحاب الحقوق، وخاصة النساء وأفراد</w:t>
      </w:r>
      <w:r w:rsidR="006D19E9" w:rsidRPr="005C2ED7">
        <w:rPr>
          <w:rFonts w:hint="cs"/>
          <w:b/>
          <w:bCs/>
          <w:rtl/>
        </w:rPr>
        <w:t xml:space="preserve"> </w:t>
      </w:r>
      <w:r w:rsidRPr="005C2ED7">
        <w:rPr>
          <w:rFonts w:hint="cs"/>
          <w:b/>
          <w:bCs/>
          <w:rtl/>
        </w:rPr>
        <w:t>الفئات الأكثر ضعفاً وتهميشاً.</w:t>
      </w:r>
    </w:p>
    <w:p w:rsidR="00C47F5D" w:rsidRPr="005C2ED7" w:rsidRDefault="00C47F5D" w:rsidP="00C47F5D">
      <w:pPr>
        <w:pStyle w:val="SingleTxt"/>
        <w:rPr>
          <w:b/>
          <w:bCs/>
          <w:rtl/>
        </w:rPr>
      </w:pPr>
      <w:r w:rsidRPr="006D19E9">
        <w:rPr>
          <w:rFonts w:hint="cs"/>
          <w:rtl/>
        </w:rPr>
        <w:t>51-</w:t>
      </w:r>
      <w:r w:rsidRPr="006D19E9">
        <w:rPr>
          <w:rFonts w:hint="cs"/>
          <w:rtl/>
        </w:rPr>
        <w:tab/>
      </w:r>
      <w:r w:rsidRPr="005C2ED7">
        <w:rPr>
          <w:rFonts w:hint="cs"/>
          <w:b/>
          <w:bCs/>
          <w:rtl/>
        </w:rPr>
        <w:t>ويُعتبر التثقيف الفعال في مجال حقوق الإنسان، الذي ينمّي المعارف والمهارات والمواقف على نحو</w:t>
      </w:r>
      <w:r w:rsidR="006D19E9" w:rsidRPr="005C2ED7">
        <w:rPr>
          <w:rFonts w:hint="cs"/>
          <w:b/>
          <w:bCs/>
          <w:rtl/>
        </w:rPr>
        <w:t xml:space="preserve"> </w:t>
      </w:r>
      <w:r w:rsidRPr="005C2ED7">
        <w:rPr>
          <w:rFonts w:hint="cs"/>
          <w:b/>
          <w:bCs/>
          <w:rtl/>
        </w:rPr>
        <w:t>يحفّز العمل في مجال حقوق الإنسان</w:t>
      </w:r>
      <w:r w:rsidR="006D19E9" w:rsidRPr="005C2ED7">
        <w:rPr>
          <w:rFonts w:hint="cs"/>
          <w:b/>
          <w:bCs/>
          <w:rtl/>
        </w:rPr>
        <w:t xml:space="preserve"> </w:t>
      </w:r>
      <w:r w:rsidRPr="005C2ED7">
        <w:rPr>
          <w:rFonts w:hint="cs"/>
          <w:b/>
          <w:bCs/>
          <w:rtl/>
        </w:rPr>
        <w:t>باستخدام منهجيات سليمة، أمراً ضرورياً ومكملاً لسائر التدابير الوقائية.</w:t>
      </w:r>
    </w:p>
    <w:p w:rsidR="00C47F5D" w:rsidRPr="005C2ED7" w:rsidRDefault="00C47F5D" w:rsidP="00B30F0C">
      <w:pPr>
        <w:pStyle w:val="SingleTxt"/>
        <w:rPr>
          <w:b/>
          <w:bCs/>
          <w:rtl/>
        </w:rPr>
      </w:pPr>
      <w:r w:rsidRPr="006D19E9">
        <w:rPr>
          <w:rFonts w:hint="cs"/>
          <w:rtl/>
        </w:rPr>
        <w:t>52-</w:t>
      </w:r>
      <w:r w:rsidRPr="006D19E9">
        <w:rPr>
          <w:rFonts w:hint="cs"/>
          <w:rtl/>
        </w:rPr>
        <w:tab/>
      </w:r>
      <w:r w:rsidRPr="005C2ED7">
        <w:rPr>
          <w:rFonts w:hint="cs"/>
          <w:b/>
          <w:bCs/>
          <w:rtl/>
        </w:rPr>
        <w:t>ويجب على الدول</w:t>
      </w:r>
      <w:r w:rsidR="006D19E9" w:rsidRPr="005C2ED7">
        <w:rPr>
          <w:rFonts w:hint="cs"/>
          <w:b/>
          <w:bCs/>
          <w:rtl/>
        </w:rPr>
        <w:t xml:space="preserve"> </w:t>
      </w:r>
      <w:r w:rsidRPr="005C2ED7">
        <w:rPr>
          <w:rFonts w:hint="cs"/>
          <w:b/>
          <w:bCs/>
          <w:rtl/>
        </w:rPr>
        <w:t>توفير الحماية من التجاوزات</w:t>
      </w:r>
      <w:r w:rsidR="006D19E9" w:rsidRPr="005C2ED7">
        <w:rPr>
          <w:rFonts w:hint="cs"/>
          <w:b/>
          <w:bCs/>
          <w:rtl/>
        </w:rPr>
        <w:t xml:space="preserve"> </w:t>
      </w:r>
      <w:r w:rsidRPr="005C2ED7">
        <w:rPr>
          <w:rFonts w:hint="cs"/>
          <w:b/>
          <w:bCs/>
          <w:rtl/>
        </w:rPr>
        <w:t>التي ترتكب في مجال حقوق الإنسان على يد الجهات الفاعلة الخاصة، وهي قد تخلّ بالتزاماتها بموجب القانون الدولي لحقوق الإنسان إذا تخلّفت عن اتخاذ الخطوات المناسبة لمنع تلك التجاوزات</w:t>
      </w:r>
      <w:r w:rsidR="006D19E9" w:rsidRPr="005C2ED7">
        <w:rPr>
          <w:rFonts w:hint="cs"/>
          <w:b/>
          <w:bCs/>
          <w:rtl/>
        </w:rPr>
        <w:t xml:space="preserve"> </w:t>
      </w:r>
      <w:r w:rsidRPr="005C2ED7">
        <w:rPr>
          <w:rFonts w:hint="cs"/>
          <w:b/>
          <w:bCs/>
          <w:rtl/>
        </w:rPr>
        <w:t>والتحقيق فيها ومعاقبة الجناة وجبر الأضرار. وينبغي أن تنظر</w:t>
      </w:r>
      <w:r w:rsidR="006D19E9" w:rsidRPr="005C2ED7">
        <w:rPr>
          <w:rFonts w:hint="cs"/>
          <w:b/>
          <w:bCs/>
          <w:rtl/>
        </w:rPr>
        <w:t xml:space="preserve"> </w:t>
      </w:r>
      <w:r w:rsidRPr="005C2ED7">
        <w:rPr>
          <w:rFonts w:hint="cs"/>
          <w:b/>
          <w:bCs/>
          <w:rtl/>
        </w:rPr>
        <w:t>الدول</w:t>
      </w:r>
      <w:r w:rsidR="006D19E9" w:rsidRPr="005C2ED7">
        <w:rPr>
          <w:rFonts w:hint="cs"/>
          <w:b/>
          <w:bCs/>
          <w:rtl/>
        </w:rPr>
        <w:t xml:space="preserve"> </w:t>
      </w:r>
      <w:r w:rsidRPr="005C2ED7">
        <w:rPr>
          <w:rFonts w:hint="cs"/>
          <w:b/>
          <w:bCs/>
          <w:rtl/>
        </w:rPr>
        <w:t>في</w:t>
      </w:r>
      <w:r w:rsidR="006D19E9" w:rsidRPr="005C2ED7">
        <w:rPr>
          <w:rFonts w:hint="cs"/>
          <w:b/>
          <w:bCs/>
          <w:rtl/>
        </w:rPr>
        <w:t xml:space="preserve"> </w:t>
      </w:r>
      <w:r w:rsidRPr="005C2ED7">
        <w:rPr>
          <w:rFonts w:hint="cs"/>
          <w:b/>
          <w:bCs/>
          <w:rtl/>
        </w:rPr>
        <w:t>النطاق الكامل</w:t>
      </w:r>
      <w:r w:rsidR="006D19E9" w:rsidRPr="005C2ED7">
        <w:rPr>
          <w:rFonts w:hint="cs"/>
          <w:b/>
          <w:bCs/>
          <w:rtl/>
        </w:rPr>
        <w:t xml:space="preserve"> </w:t>
      </w:r>
      <w:r w:rsidRPr="005C2ED7">
        <w:rPr>
          <w:rFonts w:hint="cs"/>
          <w:b/>
          <w:bCs/>
          <w:rtl/>
        </w:rPr>
        <w:t>للتدابير الوقائية والتصحيحية المسموح بها، بما</w:t>
      </w:r>
      <w:r w:rsidR="00B30F0C" w:rsidRPr="005C2ED7">
        <w:rPr>
          <w:rFonts w:hint="eastAsia"/>
          <w:b/>
          <w:bCs/>
          <w:rtl/>
        </w:rPr>
        <w:t> </w:t>
      </w:r>
      <w:r w:rsidRPr="005C2ED7">
        <w:rPr>
          <w:rFonts w:hint="cs"/>
          <w:b/>
          <w:bCs/>
          <w:rtl/>
        </w:rPr>
        <w:t>في ذلك السياسات والتشريعات</w:t>
      </w:r>
      <w:r w:rsidR="006D19E9" w:rsidRPr="005C2ED7">
        <w:rPr>
          <w:rFonts w:hint="cs"/>
          <w:b/>
          <w:bCs/>
          <w:rtl/>
        </w:rPr>
        <w:t xml:space="preserve"> </w:t>
      </w:r>
      <w:r w:rsidRPr="005C2ED7">
        <w:rPr>
          <w:rFonts w:hint="cs"/>
          <w:b/>
          <w:bCs/>
          <w:rtl/>
        </w:rPr>
        <w:t>والأنظمة والأحكام القضائية. وإلى جانب ذلك، ينبغي</w:t>
      </w:r>
      <w:r w:rsidR="006D19E9" w:rsidRPr="005C2ED7">
        <w:rPr>
          <w:rFonts w:hint="cs"/>
          <w:b/>
          <w:bCs/>
          <w:rtl/>
        </w:rPr>
        <w:t xml:space="preserve"> </w:t>
      </w:r>
      <w:r w:rsidRPr="005C2ED7">
        <w:rPr>
          <w:rFonts w:hint="cs"/>
          <w:b/>
          <w:bCs/>
          <w:rtl/>
        </w:rPr>
        <w:t>أن تحترم الجهات الفاعلة الخاصة</w:t>
      </w:r>
      <w:r w:rsidR="006D19E9" w:rsidRPr="005C2ED7">
        <w:rPr>
          <w:rFonts w:hint="cs"/>
          <w:b/>
          <w:bCs/>
          <w:rtl/>
        </w:rPr>
        <w:t xml:space="preserve"> </w:t>
      </w:r>
      <w:r w:rsidRPr="005C2ED7">
        <w:rPr>
          <w:rFonts w:hint="cs"/>
          <w:b/>
          <w:bCs/>
          <w:rtl/>
        </w:rPr>
        <w:t>حقوق الإنسان المكفولة للآخرين،</w:t>
      </w:r>
      <w:r w:rsidR="006D19E9" w:rsidRPr="005C2ED7">
        <w:rPr>
          <w:rFonts w:hint="cs"/>
          <w:b/>
          <w:bCs/>
          <w:rtl/>
        </w:rPr>
        <w:t xml:space="preserve"> </w:t>
      </w:r>
      <w:r w:rsidRPr="005C2ED7">
        <w:rPr>
          <w:rFonts w:hint="cs"/>
          <w:b/>
          <w:bCs/>
          <w:rtl/>
        </w:rPr>
        <w:t>وأن تتحمل شركات الأعمال التجارية</w:t>
      </w:r>
      <w:r w:rsidR="006D19E9" w:rsidRPr="005C2ED7">
        <w:rPr>
          <w:rFonts w:hint="cs"/>
          <w:b/>
          <w:bCs/>
          <w:rtl/>
        </w:rPr>
        <w:t xml:space="preserve"> </w:t>
      </w:r>
      <w:r w:rsidRPr="005C2ED7">
        <w:rPr>
          <w:rFonts w:hint="cs"/>
          <w:b/>
          <w:bCs/>
          <w:rtl/>
        </w:rPr>
        <w:t>مسؤوليتها</w:t>
      </w:r>
      <w:r w:rsidR="006D19E9" w:rsidRPr="005C2ED7">
        <w:rPr>
          <w:rFonts w:hint="cs"/>
          <w:b/>
          <w:bCs/>
          <w:rtl/>
        </w:rPr>
        <w:t xml:space="preserve"> </w:t>
      </w:r>
      <w:r w:rsidRPr="005C2ED7">
        <w:rPr>
          <w:rFonts w:hint="cs"/>
          <w:b/>
          <w:bCs/>
          <w:rtl/>
        </w:rPr>
        <w:t>تجاه احترام حقوق الإنسان. ويتطلب هذا</w:t>
      </w:r>
      <w:r w:rsidR="006D19E9" w:rsidRPr="005C2ED7">
        <w:rPr>
          <w:rFonts w:hint="cs"/>
          <w:b/>
          <w:bCs/>
          <w:rtl/>
        </w:rPr>
        <w:t xml:space="preserve"> </w:t>
      </w:r>
      <w:r w:rsidRPr="005C2ED7">
        <w:rPr>
          <w:rFonts w:hint="cs"/>
          <w:b/>
          <w:bCs/>
          <w:rtl/>
        </w:rPr>
        <w:t>اتخاذ التدابير المناسبة</w:t>
      </w:r>
      <w:r w:rsidR="006D19E9" w:rsidRPr="005C2ED7">
        <w:rPr>
          <w:rFonts w:hint="cs"/>
          <w:b/>
          <w:bCs/>
          <w:rtl/>
        </w:rPr>
        <w:t xml:space="preserve"> </w:t>
      </w:r>
      <w:r w:rsidRPr="005C2ED7">
        <w:rPr>
          <w:rFonts w:hint="cs"/>
          <w:b/>
          <w:bCs/>
          <w:rtl/>
        </w:rPr>
        <w:t>للوقاية من الآثار السلبية على حقوق الإنسان، والتخفيف منها، وجبر أضرا</w:t>
      </w:r>
      <w:r w:rsidR="003D092F">
        <w:rPr>
          <w:rFonts w:hint="cs"/>
          <w:b/>
          <w:bCs/>
          <w:rtl/>
        </w:rPr>
        <w:t>ر</w:t>
      </w:r>
      <w:r w:rsidRPr="005C2ED7">
        <w:rPr>
          <w:rFonts w:hint="cs"/>
          <w:b/>
          <w:bCs/>
          <w:rtl/>
        </w:rPr>
        <w:t>ها، عند الاقتضاء.</w:t>
      </w:r>
    </w:p>
    <w:p w:rsidR="00C47F5D" w:rsidRPr="005C2ED7" w:rsidRDefault="00C47F5D" w:rsidP="00C47F5D">
      <w:pPr>
        <w:pStyle w:val="SingleTxt"/>
        <w:rPr>
          <w:b/>
          <w:bCs/>
          <w:rtl/>
        </w:rPr>
      </w:pPr>
      <w:r w:rsidRPr="006D19E9">
        <w:rPr>
          <w:rFonts w:hint="cs"/>
          <w:rtl/>
        </w:rPr>
        <w:t>53-</w:t>
      </w:r>
      <w:r w:rsidRPr="006D19E9">
        <w:rPr>
          <w:rFonts w:hint="cs"/>
          <w:rtl/>
        </w:rPr>
        <w:tab/>
      </w:r>
      <w:r w:rsidRPr="005C2ED7">
        <w:rPr>
          <w:rFonts w:hint="cs"/>
          <w:b/>
          <w:bCs/>
          <w:rtl/>
        </w:rPr>
        <w:t>وينبغي أن توفر</w:t>
      </w:r>
      <w:r w:rsidR="006D19E9" w:rsidRPr="005C2ED7">
        <w:rPr>
          <w:rFonts w:hint="cs"/>
          <w:b/>
          <w:bCs/>
          <w:rtl/>
        </w:rPr>
        <w:t xml:space="preserve"> </w:t>
      </w:r>
      <w:r w:rsidRPr="005C2ED7">
        <w:rPr>
          <w:rFonts w:hint="cs"/>
          <w:b/>
          <w:bCs/>
          <w:rtl/>
        </w:rPr>
        <w:t>الدولة</w:t>
      </w:r>
      <w:r w:rsidR="006D19E9" w:rsidRPr="005C2ED7">
        <w:rPr>
          <w:rFonts w:hint="cs"/>
          <w:b/>
          <w:bCs/>
          <w:rtl/>
        </w:rPr>
        <w:t xml:space="preserve"> </w:t>
      </w:r>
      <w:r w:rsidRPr="005C2ED7">
        <w:rPr>
          <w:rFonts w:hint="cs"/>
          <w:b/>
          <w:bCs/>
          <w:rtl/>
        </w:rPr>
        <w:t>بيئة مواتية للمؤسسات الوطنية لحقوق الإنسان ومنظمات المجتمع المدني كي تضطلع</w:t>
      </w:r>
      <w:r w:rsidR="006D19E9" w:rsidRPr="005C2ED7">
        <w:rPr>
          <w:rFonts w:hint="cs"/>
          <w:b/>
          <w:bCs/>
          <w:rtl/>
        </w:rPr>
        <w:t xml:space="preserve"> </w:t>
      </w:r>
      <w:r w:rsidRPr="005C2ED7">
        <w:rPr>
          <w:rFonts w:hint="cs"/>
          <w:b/>
          <w:bCs/>
          <w:rtl/>
        </w:rPr>
        <w:t>بمهامها،</w:t>
      </w:r>
      <w:r w:rsidR="006D19E9" w:rsidRPr="005C2ED7">
        <w:rPr>
          <w:rFonts w:hint="cs"/>
          <w:b/>
          <w:bCs/>
          <w:rtl/>
        </w:rPr>
        <w:t xml:space="preserve"> </w:t>
      </w:r>
      <w:r w:rsidRPr="005C2ED7">
        <w:rPr>
          <w:rFonts w:hint="cs"/>
          <w:b/>
          <w:bCs/>
          <w:rtl/>
        </w:rPr>
        <w:t>ويندرج ذلك في سياق مسؤوليتها الأساسية</w:t>
      </w:r>
      <w:r w:rsidR="006D19E9" w:rsidRPr="005C2ED7">
        <w:rPr>
          <w:rFonts w:hint="cs"/>
          <w:b/>
          <w:bCs/>
          <w:rtl/>
        </w:rPr>
        <w:t xml:space="preserve"> </w:t>
      </w:r>
      <w:r w:rsidRPr="005C2ED7">
        <w:rPr>
          <w:rFonts w:hint="cs"/>
          <w:b/>
          <w:bCs/>
          <w:rtl/>
        </w:rPr>
        <w:t>تجاه منع انتهاكات حقوق الإنسان.</w:t>
      </w:r>
      <w:r w:rsidR="006D19E9" w:rsidRPr="005C2ED7">
        <w:rPr>
          <w:rFonts w:hint="cs"/>
          <w:b/>
          <w:bCs/>
          <w:rtl/>
        </w:rPr>
        <w:t xml:space="preserve"> </w:t>
      </w:r>
      <w:r w:rsidRPr="005C2ED7">
        <w:rPr>
          <w:rFonts w:hint="cs"/>
          <w:b/>
          <w:bCs/>
          <w:rtl/>
        </w:rPr>
        <w:t>وتوفر المؤسسات الوطنية لحقوق الإنسان ومنظمات المجتمع المدني الخبرة المستقلة، وتقدم المساعدة إلى الضحايا، وتتيح المعلومات</w:t>
      </w:r>
      <w:r w:rsidR="006D19E9" w:rsidRPr="005C2ED7">
        <w:rPr>
          <w:rFonts w:hint="cs"/>
          <w:b/>
          <w:bCs/>
          <w:rtl/>
        </w:rPr>
        <w:t xml:space="preserve"> </w:t>
      </w:r>
      <w:r w:rsidRPr="005C2ED7">
        <w:rPr>
          <w:rFonts w:hint="cs"/>
          <w:b/>
          <w:bCs/>
          <w:rtl/>
        </w:rPr>
        <w:t>للجمهور ولفئات أخرى معينة بشأن حقوقهم وكيفية</w:t>
      </w:r>
      <w:r w:rsidR="006D19E9" w:rsidRPr="005C2ED7">
        <w:rPr>
          <w:rFonts w:hint="cs"/>
          <w:b/>
          <w:bCs/>
          <w:rtl/>
        </w:rPr>
        <w:t xml:space="preserve"> </w:t>
      </w:r>
      <w:r w:rsidRPr="005C2ED7">
        <w:rPr>
          <w:rFonts w:hint="cs"/>
          <w:b/>
          <w:bCs/>
          <w:rtl/>
        </w:rPr>
        <w:t>الحصول عليها، كما تؤدّي</w:t>
      </w:r>
      <w:r w:rsidR="006D19E9" w:rsidRPr="005C2ED7">
        <w:rPr>
          <w:rFonts w:hint="cs"/>
          <w:b/>
          <w:bCs/>
          <w:rtl/>
        </w:rPr>
        <w:t xml:space="preserve"> </w:t>
      </w:r>
      <w:r w:rsidRPr="005C2ED7">
        <w:rPr>
          <w:rFonts w:hint="cs"/>
          <w:b/>
          <w:bCs/>
          <w:rtl/>
        </w:rPr>
        <w:t>وظائف أخرى من قبيل زيارة الأماكن التي</w:t>
      </w:r>
      <w:r w:rsidR="006D19E9" w:rsidRPr="005C2ED7">
        <w:rPr>
          <w:rFonts w:hint="cs"/>
          <w:b/>
          <w:bCs/>
          <w:rtl/>
        </w:rPr>
        <w:t xml:space="preserve"> </w:t>
      </w:r>
      <w:r w:rsidRPr="005C2ED7">
        <w:rPr>
          <w:rFonts w:hint="cs"/>
          <w:b/>
          <w:bCs/>
          <w:rtl/>
        </w:rPr>
        <w:t xml:space="preserve">تسلب فيها حرية الأشخاص. </w:t>
      </w:r>
    </w:p>
    <w:p w:rsidR="00C47F5D" w:rsidRPr="005C2ED7" w:rsidRDefault="00C47F5D" w:rsidP="00C47F5D">
      <w:pPr>
        <w:pStyle w:val="SingleTxt"/>
        <w:rPr>
          <w:b/>
          <w:bCs/>
          <w:rtl/>
        </w:rPr>
      </w:pPr>
      <w:r w:rsidRPr="006D19E9">
        <w:rPr>
          <w:rFonts w:hint="cs"/>
          <w:rtl/>
        </w:rPr>
        <w:t>54-</w:t>
      </w:r>
      <w:r w:rsidRPr="006D19E9">
        <w:rPr>
          <w:rFonts w:hint="cs"/>
          <w:rtl/>
        </w:rPr>
        <w:tab/>
      </w:r>
      <w:r w:rsidRPr="005C2ED7">
        <w:rPr>
          <w:rFonts w:hint="cs"/>
          <w:b/>
          <w:bCs/>
          <w:rtl/>
        </w:rPr>
        <w:t>ومن شأن</w:t>
      </w:r>
      <w:r w:rsidR="006D19E9" w:rsidRPr="005C2ED7">
        <w:rPr>
          <w:rFonts w:hint="cs"/>
          <w:b/>
          <w:bCs/>
          <w:rtl/>
        </w:rPr>
        <w:t xml:space="preserve"> </w:t>
      </w:r>
      <w:r w:rsidRPr="005C2ED7">
        <w:rPr>
          <w:rFonts w:hint="cs"/>
          <w:b/>
          <w:bCs/>
          <w:rtl/>
        </w:rPr>
        <w:t>أدوات التخطيط والرصد، بما في ذلك عمليات تقييم الأثر على حقوق الإنسان،</w:t>
      </w:r>
      <w:r w:rsidR="006D19E9" w:rsidRPr="005C2ED7">
        <w:rPr>
          <w:rFonts w:hint="cs"/>
          <w:b/>
          <w:bCs/>
          <w:rtl/>
        </w:rPr>
        <w:t xml:space="preserve"> </w:t>
      </w:r>
      <w:r w:rsidRPr="005C2ED7">
        <w:rPr>
          <w:rFonts w:hint="cs"/>
          <w:b/>
          <w:bCs/>
          <w:rtl/>
        </w:rPr>
        <w:t>أن تساعد الدول على تعزيز وحماية حقوق الإنسان، وتمنع انتهاك هذه الحقوق بفضل مؤشرات حقوق الإنسان، وتجمع الإحصاءات وتحللها،</w:t>
      </w:r>
      <w:r w:rsidR="006D19E9" w:rsidRPr="005C2ED7">
        <w:rPr>
          <w:rFonts w:hint="cs"/>
          <w:b/>
          <w:bCs/>
          <w:rtl/>
        </w:rPr>
        <w:t xml:space="preserve"> </w:t>
      </w:r>
      <w:r w:rsidRPr="005C2ED7">
        <w:rPr>
          <w:rFonts w:hint="cs"/>
          <w:b/>
          <w:bCs/>
          <w:rtl/>
        </w:rPr>
        <w:t xml:space="preserve">مع مراعاة إطار مفوضية الأمم المتحدة السامية لحقوق الإنسان (الوثيقة </w:t>
      </w:r>
      <w:r w:rsidRPr="005C2ED7">
        <w:rPr>
          <w:rFonts w:eastAsia="SimSun"/>
          <w:b/>
          <w:bCs/>
          <w:kern w:val="1"/>
          <w:lang w:eastAsia="zh-CN" w:bidi="hi-IN"/>
        </w:rPr>
        <w:t>HR/PUB/12/5</w:t>
      </w:r>
      <w:r w:rsidRPr="005C2ED7">
        <w:rPr>
          <w:rFonts w:hint="cs"/>
          <w:b/>
          <w:bCs/>
          <w:rtl/>
        </w:rPr>
        <w:t>).</w:t>
      </w:r>
    </w:p>
    <w:p w:rsidR="00C47F5D" w:rsidRPr="005C2ED7" w:rsidRDefault="00C47F5D" w:rsidP="00C47F5D">
      <w:pPr>
        <w:pStyle w:val="SingleTxt"/>
        <w:rPr>
          <w:b/>
          <w:bCs/>
          <w:rtl/>
        </w:rPr>
      </w:pPr>
      <w:r w:rsidRPr="006D19E9">
        <w:rPr>
          <w:rFonts w:hint="cs"/>
          <w:rtl/>
        </w:rPr>
        <w:t>55-</w:t>
      </w:r>
      <w:r w:rsidRPr="006D19E9">
        <w:rPr>
          <w:rFonts w:hint="cs"/>
          <w:rtl/>
        </w:rPr>
        <w:tab/>
      </w:r>
      <w:r w:rsidRPr="005C2ED7">
        <w:rPr>
          <w:rFonts w:hint="cs"/>
          <w:b/>
          <w:bCs/>
          <w:rtl/>
        </w:rPr>
        <w:t>وتوفر الآليات الدولية والإقليمية لحقوق الإنسان خبرة مستقلة وتعطي زخماً للإجراءات</w:t>
      </w:r>
      <w:r w:rsidR="006D19E9" w:rsidRPr="005C2ED7">
        <w:rPr>
          <w:rFonts w:hint="cs"/>
          <w:b/>
          <w:bCs/>
          <w:rtl/>
        </w:rPr>
        <w:t xml:space="preserve"> </w:t>
      </w:r>
      <w:r w:rsidRPr="005C2ED7">
        <w:rPr>
          <w:rFonts w:hint="cs"/>
          <w:b/>
          <w:bCs/>
          <w:rtl/>
        </w:rPr>
        <w:t>والأفكار على الصعيد الوطني.</w:t>
      </w:r>
      <w:r w:rsidR="006D19E9" w:rsidRPr="005C2ED7">
        <w:rPr>
          <w:rFonts w:hint="cs"/>
          <w:b/>
          <w:bCs/>
          <w:rtl/>
        </w:rPr>
        <w:t xml:space="preserve"> </w:t>
      </w:r>
      <w:r w:rsidRPr="005C2ED7">
        <w:rPr>
          <w:rFonts w:hint="cs"/>
          <w:b/>
          <w:bCs/>
          <w:rtl/>
        </w:rPr>
        <w:t>ويمكن لإجراءات تلقي الشكاوى وآليات الإنذار المبكر أن تسهم أيض</w:t>
      </w:r>
      <w:r w:rsidR="00B30F0C" w:rsidRPr="005C2ED7">
        <w:rPr>
          <w:rFonts w:hint="cs"/>
          <w:b/>
          <w:bCs/>
          <w:rtl/>
        </w:rPr>
        <w:t xml:space="preserve">اً </w:t>
      </w:r>
      <w:r w:rsidRPr="005C2ED7">
        <w:rPr>
          <w:rFonts w:hint="cs"/>
          <w:b/>
          <w:bCs/>
          <w:rtl/>
        </w:rPr>
        <w:t>في منع انتهاكات حقوق الإنسان.</w:t>
      </w:r>
    </w:p>
    <w:p w:rsidR="00C47F5D" w:rsidRPr="006D19E9" w:rsidRDefault="006D19E9" w:rsidP="006D19E9">
      <w:pPr>
        <w:pStyle w:val="SingleTxt"/>
        <w:spacing w:after="0" w:line="240" w:lineRule="auto"/>
        <w:rPr>
          <w:rtl/>
        </w:rPr>
      </w:pPr>
      <w:r w:rsidRPr="006D19E9">
        <w:rPr>
          <w:noProof/>
          <w:w w:val="100"/>
          <w:rtl/>
        </w:rPr>
        <mc:AlternateContent>
          <mc:Choice Requires="wps">
            <w:drawing>
              <wp:anchor distT="0" distB="0" distL="114300" distR="114300" simplePos="0" relativeHeight="251659264" behindDoc="0" locked="0" layoutInCell="1" allowOverlap="1" wp14:anchorId="2509BEBE" wp14:editId="01E74F20">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C47F5D" w:rsidRPr="006D19E9" w:rsidSect="00212382">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4T11:01:00Z" w:initials="Start">
    <w:p w:rsidR="006D19E9" w:rsidRDefault="006D19E9">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NO&gt;&gt;N1515925A&lt;&lt;ODS JOB NO&gt;&gt;</w:t>
      </w:r>
    </w:p>
    <w:p w:rsidR="006D19E9" w:rsidRDefault="006D19E9">
      <w:pPr>
        <w:pStyle w:val="CommentText"/>
      </w:pPr>
      <w:r>
        <w:t>&lt;&lt;ODS DOC SYMBOL1&gt;&gt;A/HRC/30/20&lt;&lt;ODS DOC SYMBOL1&gt;&gt;</w:t>
      </w:r>
    </w:p>
    <w:p w:rsidR="006D19E9" w:rsidRDefault="006D19E9">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9E9" w:rsidRDefault="006D19E9" w:rsidP="00693CF9">
      <w:pPr>
        <w:spacing w:line="240" w:lineRule="auto"/>
      </w:pPr>
      <w:r>
        <w:separator/>
      </w:r>
    </w:p>
  </w:endnote>
  <w:endnote w:type="continuationSeparator" w:id="0">
    <w:p w:rsidR="006D19E9" w:rsidRDefault="006D19E9"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D19E9" w:rsidTr="00212382">
      <w:trPr>
        <w:jc w:val="center"/>
      </w:trPr>
      <w:tc>
        <w:tcPr>
          <w:tcW w:w="5126" w:type="dxa"/>
          <w:shd w:val="clear" w:color="auto" w:fill="auto"/>
        </w:tcPr>
        <w:p w:rsidR="006D19E9" w:rsidRPr="00212382" w:rsidRDefault="006D19E9" w:rsidP="00212382">
          <w:pPr>
            <w:pStyle w:val="Footer"/>
            <w:rPr>
              <w:w w:val="103"/>
            </w:rPr>
          </w:pPr>
          <w:r>
            <w:rPr>
              <w:w w:val="103"/>
            </w:rPr>
            <w:fldChar w:fldCharType="begin"/>
          </w:r>
          <w:r>
            <w:rPr>
              <w:w w:val="103"/>
            </w:rPr>
            <w:instrText xml:space="preserve"> PAGE  \* Arabic  \* MERGEFORMAT </w:instrText>
          </w:r>
          <w:r>
            <w:rPr>
              <w:w w:val="103"/>
            </w:rPr>
            <w:fldChar w:fldCharType="separate"/>
          </w:r>
          <w:r w:rsidR="00B32CD8">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32CD8">
            <w:rPr>
              <w:noProof/>
              <w:w w:val="103"/>
            </w:rPr>
            <w:t>23</w:t>
          </w:r>
          <w:r>
            <w:rPr>
              <w:w w:val="103"/>
            </w:rPr>
            <w:fldChar w:fldCharType="end"/>
          </w:r>
        </w:p>
      </w:tc>
      <w:tc>
        <w:tcPr>
          <w:tcW w:w="5127" w:type="dxa"/>
          <w:shd w:val="clear" w:color="auto" w:fill="auto"/>
        </w:tcPr>
        <w:p w:rsidR="006D19E9" w:rsidRPr="00212382" w:rsidRDefault="006D19E9" w:rsidP="00212382">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B32CD8">
            <w:rPr>
              <w:b w:val="0"/>
              <w:w w:val="103"/>
            </w:rPr>
            <w:t>GE.15-12082</w:t>
          </w:r>
          <w:r>
            <w:rPr>
              <w:b w:val="0"/>
              <w:w w:val="103"/>
            </w:rPr>
            <w:fldChar w:fldCharType="end"/>
          </w:r>
        </w:p>
      </w:tc>
    </w:tr>
  </w:tbl>
  <w:p w:rsidR="006D19E9" w:rsidRPr="00212382" w:rsidRDefault="006D19E9" w:rsidP="00212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D19E9" w:rsidTr="00212382">
      <w:trPr>
        <w:jc w:val="center"/>
      </w:trPr>
      <w:tc>
        <w:tcPr>
          <w:tcW w:w="5126" w:type="dxa"/>
          <w:shd w:val="clear" w:color="auto" w:fill="auto"/>
        </w:tcPr>
        <w:p w:rsidR="006D19E9" w:rsidRPr="00212382" w:rsidRDefault="006D19E9" w:rsidP="00212382">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B32CD8">
            <w:rPr>
              <w:b w:val="0"/>
              <w:w w:val="103"/>
            </w:rPr>
            <w:t>GE.15-12082</w:t>
          </w:r>
          <w:r>
            <w:rPr>
              <w:b w:val="0"/>
              <w:w w:val="103"/>
            </w:rPr>
            <w:fldChar w:fldCharType="end"/>
          </w:r>
        </w:p>
      </w:tc>
      <w:tc>
        <w:tcPr>
          <w:tcW w:w="5127" w:type="dxa"/>
          <w:shd w:val="clear" w:color="auto" w:fill="auto"/>
        </w:tcPr>
        <w:p w:rsidR="006D19E9" w:rsidRPr="00212382" w:rsidRDefault="006D19E9" w:rsidP="00212382">
          <w:pPr>
            <w:pStyle w:val="Footer"/>
            <w:jc w:val="left"/>
            <w:rPr>
              <w:w w:val="103"/>
            </w:rPr>
          </w:pPr>
          <w:r>
            <w:rPr>
              <w:w w:val="103"/>
            </w:rPr>
            <w:fldChar w:fldCharType="begin"/>
          </w:r>
          <w:r>
            <w:rPr>
              <w:w w:val="103"/>
            </w:rPr>
            <w:instrText xml:space="preserve"> PAGE  \* Arabic  \* MERGEFORMAT </w:instrText>
          </w:r>
          <w:r>
            <w:rPr>
              <w:w w:val="103"/>
            </w:rPr>
            <w:fldChar w:fldCharType="separate"/>
          </w:r>
          <w:r w:rsidR="00B32CD8">
            <w:rPr>
              <w:noProof/>
              <w:w w:val="103"/>
            </w:rPr>
            <w:t>23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32CD8">
            <w:rPr>
              <w:noProof/>
              <w:w w:val="103"/>
            </w:rPr>
            <w:t>23</w:t>
          </w:r>
          <w:r>
            <w:rPr>
              <w:w w:val="103"/>
            </w:rPr>
            <w:fldChar w:fldCharType="end"/>
          </w:r>
        </w:p>
      </w:tc>
    </w:tr>
  </w:tbl>
  <w:p w:rsidR="006D19E9" w:rsidRPr="00212382" w:rsidRDefault="006D19E9" w:rsidP="002123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6D19E9" w:rsidTr="00212382">
      <w:trPr>
        <w:jc w:val="right"/>
      </w:trPr>
      <w:tc>
        <w:tcPr>
          <w:tcW w:w="4046" w:type="dxa"/>
        </w:tcPr>
        <w:p w:rsidR="006D19E9" w:rsidRDefault="006D19E9" w:rsidP="00212382">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11DDF39E" wp14:editId="0AD7B238">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20&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0&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0FDCBC34" wp14:editId="222CD0AA">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6D19E9" w:rsidRDefault="006D19E9" w:rsidP="00212382">
          <w:pPr>
            <w:pStyle w:val="ReleaseDate"/>
          </w:pPr>
          <w:r>
            <w:t xml:space="preserve">140815    140815    </w:t>
          </w:r>
          <w:fldSimple w:instr=" DOCVARIABLE &quot;jobn&quot; \* MERGEFORMAT ">
            <w:r w:rsidR="00B32CD8">
              <w:t>GE.15-12082 (A)</w:t>
            </w:r>
          </w:fldSimple>
        </w:p>
        <w:p w:rsidR="006D19E9" w:rsidRPr="00212382" w:rsidRDefault="006D19E9" w:rsidP="00212382">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B32CD8">
            <w:rPr>
              <w:rFonts w:ascii="Barcode 3 of 9 by request" w:hAnsi="Barcode 3 of 9 by request"/>
              <w:sz w:val="24"/>
            </w:rPr>
            <w:t>*1512082*</w:t>
          </w:r>
          <w:r>
            <w:rPr>
              <w:rFonts w:ascii="Barcode 3 of 9 by request" w:hAnsi="Barcode 3 of 9 by request"/>
              <w:sz w:val="24"/>
            </w:rPr>
            <w:fldChar w:fldCharType="end"/>
          </w:r>
        </w:p>
      </w:tc>
    </w:tr>
  </w:tbl>
  <w:p w:rsidR="006D19E9" w:rsidRPr="00212382" w:rsidRDefault="006D19E9" w:rsidP="00212382">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9E9" w:rsidRPr="00697057" w:rsidRDefault="00697057" w:rsidP="00697057">
      <w:pPr>
        <w:pStyle w:val="Footer"/>
        <w:bidi/>
        <w:spacing w:after="80"/>
        <w:ind w:left="792"/>
        <w:jc w:val="left"/>
        <w:rPr>
          <w:sz w:val="16"/>
          <w:rtl/>
        </w:rPr>
      </w:pPr>
      <w:r w:rsidRPr="00225927">
        <w:rPr>
          <w:sz w:val="16"/>
          <w:rtl/>
        </w:rPr>
        <w:t>__________</w:t>
      </w:r>
    </w:p>
  </w:footnote>
  <w:footnote w:type="continuationSeparator" w:id="0">
    <w:p w:rsidR="006D19E9" w:rsidRPr="00697057" w:rsidRDefault="00697057" w:rsidP="00697057">
      <w:pPr>
        <w:pStyle w:val="Footer"/>
        <w:bidi/>
        <w:spacing w:after="80"/>
        <w:ind w:left="792"/>
        <w:jc w:val="left"/>
        <w:rPr>
          <w:sz w:val="16"/>
          <w:rtl/>
        </w:rPr>
      </w:pPr>
      <w:r w:rsidRPr="00225927">
        <w:rPr>
          <w:sz w:val="16"/>
          <w:rtl/>
        </w:rPr>
        <w:t>__________</w:t>
      </w:r>
    </w:p>
  </w:footnote>
  <w:footnote w:id="1">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Style w:val="FootnoteReference"/>
          <w:color w:val="auto"/>
          <w:kern w:val="0"/>
          <w:vertAlign w:val="baseline"/>
          <w:rtl/>
        </w:rPr>
        <w:tab/>
      </w:r>
      <w:r w:rsidRPr="00024953">
        <w:rPr>
          <w:rFonts w:hint="cs"/>
          <w:w w:val="103"/>
          <w:kern w:val="0"/>
          <w:rtl/>
        </w:rPr>
        <w:t>يمكن الحصول على نص الردود الكامل من الأمانة.</w:t>
      </w:r>
    </w:p>
  </w:footnote>
  <w:footnote w:id="2">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Style w:val="FootnoteReference"/>
          <w:color w:val="auto"/>
          <w:kern w:val="0"/>
          <w:vertAlign w:val="baseline"/>
          <w:rtl/>
        </w:rPr>
        <w:tab/>
      </w:r>
      <w:r w:rsidRPr="00024953">
        <w:rPr>
          <w:rFonts w:hint="cs"/>
          <w:w w:val="103"/>
          <w:kern w:val="0"/>
          <w:rtl/>
        </w:rPr>
        <w:t>المادة 2 من العهد الدولي الخاص بالحقوق المدنية والسياسية، والتعليق</w:t>
      </w:r>
      <w:r w:rsidR="00E03D23">
        <w:rPr>
          <w:rFonts w:hint="cs"/>
          <w:w w:val="103"/>
          <w:kern w:val="0"/>
          <w:rtl/>
        </w:rPr>
        <w:t xml:space="preserve"> العام 31</w:t>
      </w:r>
      <w:r w:rsidRPr="00024953">
        <w:rPr>
          <w:rFonts w:hint="cs"/>
          <w:w w:val="103"/>
          <w:kern w:val="0"/>
          <w:rtl/>
        </w:rPr>
        <w:t>(2004) للجنة المعنية بحقوق الإنسان؛ والمادة 2 من اتفا</w:t>
      </w:r>
      <w:r w:rsidR="00E03D23">
        <w:rPr>
          <w:rFonts w:hint="cs"/>
          <w:w w:val="103"/>
          <w:kern w:val="0"/>
          <w:rtl/>
        </w:rPr>
        <w:t>قية حقوق الطفل والتعليق العام 5</w:t>
      </w:r>
      <w:r w:rsidRPr="00024953">
        <w:rPr>
          <w:rFonts w:hint="cs"/>
          <w:w w:val="103"/>
          <w:kern w:val="0"/>
          <w:rtl/>
        </w:rPr>
        <w:t>(2003) المتصل باتفاقية حقوق الطفل.</w:t>
      </w:r>
    </w:p>
  </w:footnote>
  <w:footnote w:id="3">
    <w:p w:rsidR="006D19E9" w:rsidRPr="00024953" w:rsidRDefault="006D19E9" w:rsidP="006D19E9">
      <w:pPr>
        <w:pStyle w:val="FootnoteText"/>
        <w:tabs>
          <w:tab w:val="right" w:pos="1196"/>
          <w:tab w:val="left" w:pos="1264"/>
        </w:tabs>
        <w:spacing w:after="80"/>
        <w:ind w:left="1264" w:right="1264" w:hanging="544"/>
        <w:rPr>
          <w:w w:val="103"/>
          <w:kern w:val="0"/>
          <w:rtl/>
          <w:lang w:val="fr-CH"/>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Style w:val="FootnoteReference"/>
          <w:color w:val="auto"/>
          <w:kern w:val="0"/>
          <w:vertAlign w:val="baseline"/>
          <w:rtl/>
        </w:rPr>
        <w:tab/>
      </w:r>
      <w:r w:rsidRPr="00024953">
        <w:rPr>
          <w:rFonts w:hint="cs"/>
          <w:w w:val="103"/>
          <w:kern w:val="0"/>
          <w:rtl/>
        </w:rPr>
        <w:t xml:space="preserve">الفقرة 2 من الوثيقة </w:t>
      </w:r>
      <w:r w:rsidRPr="00024953">
        <w:rPr>
          <w:w w:val="103"/>
          <w:kern w:val="0"/>
        </w:rPr>
        <w:t>A/HRC/RES/24/16</w:t>
      </w:r>
      <w:r w:rsidRPr="00024953">
        <w:rPr>
          <w:rFonts w:hint="cs"/>
          <w:w w:val="103"/>
          <w:kern w:val="0"/>
          <w:rtl/>
        </w:rPr>
        <w:t xml:space="preserve">. </w:t>
      </w:r>
      <w:r w:rsidRPr="00024953">
        <w:rPr>
          <w:rFonts w:hint="cs"/>
          <w:w w:val="103"/>
          <w:kern w:val="0"/>
          <w:rtl/>
          <w:lang w:bidi="ar"/>
        </w:rPr>
        <w:t>وقد أعلنت محكمة البلدان الأمريكية لحقوق الإنسان أن على الدول "واجب قانوني يتمثل في اتخاذ خطوات معقولة لمنع وقوع انتهاكات لحقوق الإنسان" (</w:t>
      </w:r>
      <w:r w:rsidRPr="00024953">
        <w:rPr>
          <w:rFonts w:hint="cs"/>
          <w:i/>
          <w:iCs/>
          <w:w w:val="103"/>
          <w:kern w:val="0"/>
          <w:rtl/>
          <w:lang w:bidi="ar"/>
        </w:rPr>
        <w:t>فيلاسكيز رودريغز ضد هندوراس</w:t>
      </w:r>
      <w:r w:rsidRPr="00024953">
        <w:rPr>
          <w:rFonts w:hint="cs"/>
          <w:w w:val="103"/>
          <w:kern w:val="0"/>
          <w:rtl/>
          <w:lang w:bidi="ar"/>
        </w:rPr>
        <w:t>، 29 تموز/يوليه 1988). و</w:t>
      </w:r>
      <w:r w:rsidRPr="00024953">
        <w:rPr>
          <w:w w:val="103"/>
          <w:kern w:val="0"/>
          <w:lang w:val="fr-CH"/>
        </w:rPr>
        <w:t xml:space="preserve">E. Decaux and S. Touzé, </w:t>
      </w:r>
      <w:r w:rsidRPr="00024953">
        <w:rPr>
          <w:i/>
          <w:iCs/>
          <w:w w:val="103"/>
          <w:kern w:val="0"/>
          <w:lang w:val="fr-CH"/>
        </w:rPr>
        <w:t>La Prévention des Violations des Droits de l’Homme</w:t>
      </w:r>
      <w:r w:rsidRPr="00024953">
        <w:rPr>
          <w:w w:val="103"/>
          <w:kern w:val="0"/>
          <w:lang w:val="fr-CH"/>
        </w:rPr>
        <w:t xml:space="preserve"> (Paris, Editions A. Pedone, 2015)</w:t>
      </w:r>
      <w:r w:rsidR="005C2ED7">
        <w:rPr>
          <w:rFonts w:hint="cs"/>
          <w:w w:val="103"/>
          <w:kern w:val="0"/>
          <w:rtl/>
          <w:lang w:val="fr-CH"/>
        </w:rPr>
        <w:t>.</w:t>
      </w:r>
    </w:p>
  </w:footnote>
  <w:footnote w:id="4">
    <w:p w:rsidR="006D19E9" w:rsidRPr="00024953" w:rsidRDefault="006D19E9" w:rsidP="00D24A90">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00E03D23">
        <w:rPr>
          <w:rStyle w:val="FootnoteReference"/>
          <w:rFonts w:hint="cs"/>
          <w:color w:val="auto"/>
          <w:kern w:val="0"/>
          <w:vertAlign w:val="baseline"/>
          <w:rtl/>
        </w:rPr>
        <w:tab/>
      </w:r>
      <w:r w:rsidRPr="00024953">
        <w:rPr>
          <w:rFonts w:hint="cs"/>
          <w:w w:val="103"/>
          <w:kern w:val="0"/>
          <w:rtl/>
        </w:rPr>
        <w:t xml:space="preserve">انظر الفقرة 8 من التعليق العام 31 للجنة المعنية بحقوق الإنسان، والبلاغ رقم 195/1985، </w:t>
      </w:r>
      <w:r w:rsidRPr="00024953">
        <w:rPr>
          <w:rFonts w:hint="cs"/>
          <w:i/>
          <w:iCs/>
          <w:w w:val="103"/>
          <w:kern w:val="0"/>
          <w:rtl/>
          <w:lang w:bidi="ar"/>
        </w:rPr>
        <w:t>دلغادو بايس ضد كولومبيا</w:t>
      </w:r>
      <w:r w:rsidRPr="00024953">
        <w:rPr>
          <w:rFonts w:hint="cs"/>
          <w:w w:val="103"/>
          <w:kern w:val="0"/>
          <w:rtl/>
          <w:lang w:bidi="ar"/>
        </w:rPr>
        <w:t xml:space="preserve">، الآراء المعتمدة في 12 تموز/يوليه 1990؛ والتوصيتان العامتان 19 و28 المتعلقتان </w:t>
      </w:r>
      <w:r w:rsidR="00D24A90">
        <w:rPr>
          <w:rFonts w:hint="cs"/>
          <w:w w:val="103"/>
          <w:kern w:val="0"/>
          <w:rtl/>
          <w:lang w:bidi="ar"/>
        </w:rPr>
        <w:t>باتفاقية</w:t>
      </w:r>
      <w:r w:rsidRPr="00024953">
        <w:rPr>
          <w:w w:val="103"/>
          <w:kern w:val="0"/>
          <w:rtl/>
        </w:rPr>
        <w:t xml:space="preserve"> القضاء على جميع أشكال التمييز ضد المرأة</w:t>
      </w:r>
      <w:r w:rsidRPr="00024953">
        <w:rPr>
          <w:rFonts w:hint="cs"/>
          <w:w w:val="103"/>
          <w:kern w:val="0"/>
          <w:rtl/>
        </w:rPr>
        <w:t>. وقضت المحكمة الأوروبية لحقوق الإنسان بجواز رفع الشكاوى ضد الدولة عندما تتقاعس الشرطة عن حماية الأفراد من الانتهاكات التي يرتكبها أفراد آخرون لحقوقهم (</w:t>
      </w:r>
      <w:r w:rsidRPr="00024953">
        <w:rPr>
          <w:rFonts w:hint="cs"/>
          <w:i/>
          <w:iCs/>
          <w:w w:val="103"/>
          <w:kern w:val="0"/>
          <w:rtl/>
        </w:rPr>
        <w:t>عثمان ضد المملكة المتحدة</w:t>
      </w:r>
      <w:r w:rsidRPr="00024953">
        <w:rPr>
          <w:rFonts w:hint="cs"/>
          <w:w w:val="103"/>
          <w:kern w:val="0"/>
          <w:rtl/>
        </w:rPr>
        <w:t>، الطلب رقم 87/1997/871/1083</w:t>
      </w:r>
      <w:r w:rsidR="00E03D23">
        <w:rPr>
          <w:rFonts w:hint="cs"/>
          <w:w w:val="103"/>
          <w:kern w:val="0"/>
          <w:rtl/>
        </w:rPr>
        <w:t>)</w:t>
      </w:r>
      <w:r w:rsidRPr="00024953">
        <w:rPr>
          <w:rFonts w:hint="cs"/>
          <w:w w:val="103"/>
          <w:kern w:val="0"/>
          <w:rtl/>
        </w:rPr>
        <w:t>، الحكم الصاد</w:t>
      </w:r>
      <w:r w:rsidR="00E03D23">
        <w:rPr>
          <w:rFonts w:hint="cs"/>
          <w:w w:val="103"/>
          <w:kern w:val="0"/>
          <w:rtl/>
        </w:rPr>
        <w:t>ر في 28 تشرين الأول/أكتوبر 1998</w:t>
      </w:r>
      <w:r w:rsidRPr="00024953">
        <w:rPr>
          <w:rFonts w:hint="cs"/>
          <w:w w:val="103"/>
          <w:kern w:val="0"/>
          <w:rtl/>
        </w:rPr>
        <w:t>.</w:t>
      </w:r>
    </w:p>
  </w:footnote>
  <w:footnote w:id="5">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المبادئ التوجيهية بشأن الأعمال التجارية وحقوق الإنسان: تنفيذ إطار الأمم المتحدة المعنون "الحماية والاحترام والإنصاف" (مرفق الوثيقة </w:t>
      </w:r>
      <w:r w:rsidRPr="00024953">
        <w:rPr>
          <w:w w:val="103"/>
          <w:kern w:val="0"/>
        </w:rPr>
        <w:t>A/HRC/17/31</w:t>
      </w:r>
      <w:r w:rsidRPr="00024953">
        <w:rPr>
          <w:rFonts w:hint="cs"/>
          <w:w w:val="103"/>
          <w:kern w:val="0"/>
          <w:rtl/>
        </w:rPr>
        <w:t>)، التي اعتمدت بموجب القرار 17/4 لمجلس حقوق الإنسان.</w:t>
      </w:r>
    </w:p>
  </w:footnote>
  <w:footnote w:id="6">
    <w:p w:rsidR="006D19E9" w:rsidRPr="00024953" w:rsidRDefault="006D19E9" w:rsidP="006D19E9">
      <w:pPr>
        <w:pStyle w:val="FootnoteText"/>
        <w:tabs>
          <w:tab w:val="right" w:pos="1196"/>
          <w:tab w:val="left" w:pos="1264"/>
        </w:tabs>
        <w:spacing w:after="80"/>
        <w:ind w:left="1264" w:right="1264" w:hanging="544"/>
        <w:rPr>
          <w:w w:val="103"/>
          <w:kern w:val="0"/>
          <w:lang w:val="fr-FR"/>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مثل </w:t>
      </w:r>
      <w:r w:rsidRPr="00024953">
        <w:rPr>
          <w:w w:val="103"/>
          <w:kern w:val="0"/>
          <w:rtl/>
        </w:rPr>
        <w:t>اتفاقية مناهضة التعذيب وغيره من ضروب المعاملة أو العقوبة القاسية أو اللاإنسانية أو المهينة</w:t>
      </w:r>
      <w:r w:rsidRPr="00024953">
        <w:rPr>
          <w:rFonts w:hint="cs"/>
          <w:w w:val="103"/>
          <w:kern w:val="0"/>
          <w:rtl/>
        </w:rPr>
        <w:t xml:space="preserve"> (المادة 2)؛ و</w:t>
      </w:r>
      <w:r w:rsidRPr="00024953">
        <w:rPr>
          <w:rFonts w:hint="cs"/>
          <w:w w:val="103"/>
          <w:kern w:val="0"/>
          <w:rtl/>
          <w:lang w:bidi="ar"/>
        </w:rPr>
        <w:t>اتفاقية منع جريمة الإبادة الجماعية والمعاقبة عليها (المادة 1).</w:t>
      </w:r>
    </w:p>
  </w:footnote>
  <w:footnote w:id="7">
    <w:p w:rsidR="006D19E9" w:rsidRPr="00024953" w:rsidRDefault="006D19E9" w:rsidP="00D24A90">
      <w:pPr>
        <w:pStyle w:val="FootnoteText"/>
        <w:tabs>
          <w:tab w:val="right" w:pos="1196"/>
          <w:tab w:val="left" w:pos="1264"/>
        </w:tabs>
        <w:spacing w:after="80"/>
        <w:ind w:left="1264" w:right="1264" w:hanging="544"/>
        <w:rPr>
          <w:w w:val="103"/>
          <w:kern w:val="0"/>
          <w:lang w:val="fr-FR"/>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التوصية العامة رقم 31 المتعلقة </w:t>
      </w:r>
      <w:r w:rsidR="00D24A90">
        <w:rPr>
          <w:rFonts w:hint="cs"/>
          <w:w w:val="103"/>
          <w:kern w:val="0"/>
          <w:rtl/>
          <w:lang w:bidi="ar"/>
        </w:rPr>
        <w:t>باتفاقية</w:t>
      </w:r>
      <w:r w:rsidRPr="00024953">
        <w:rPr>
          <w:w w:val="103"/>
          <w:kern w:val="0"/>
          <w:rtl/>
        </w:rPr>
        <w:t xml:space="preserve"> القضاء على جميع أشكال التمييز ضد المرأة</w:t>
      </w:r>
      <w:r w:rsidRPr="00024953">
        <w:rPr>
          <w:rFonts w:hint="cs"/>
          <w:w w:val="103"/>
          <w:kern w:val="0"/>
          <w:rtl/>
        </w:rPr>
        <w:t xml:space="preserve">/والتعليق العام رقم 18 المتعلق باتفاقية حقوق الطفل، الصادران مؤخراً بصفة مشتركة، بشأن الممارسات الضارة (الوثيقة </w:t>
      </w:r>
      <w:r w:rsidRPr="00024953">
        <w:rPr>
          <w:w w:val="103"/>
          <w:kern w:val="0"/>
        </w:rPr>
        <w:t>CEDAW/C/GC/31-CRC/C/GC/18</w:t>
      </w:r>
      <w:r w:rsidRPr="00024953">
        <w:rPr>
          <w:rFonts w:hint="cs"/>
          <w:w w:val="103"/>
          <w:kern w:val="0"/>
          <w:rtl/>
        </w:rPr>
        <w:t>).</w:t>
      </w:r>
    </w:p>
  </w:footnote>
  <w:footnote w:id="8">
    <w:p w:rsidR="006D19E9" w:rsidRPr="00024953" w:rsidRDefault="006D19E9" w:rsidP="006D19E9">
      <w:pPr>
        <w:pStyle w:val="FootnoteText"/>
        <w:tabs>
          <w:tab w:val="right" w:pos="1196"/>
          <w:tab w:val="left" w:pos="1264"/>
        </w:tabs>
        <w:spacing w:after="80"/>
        <w:ind w:left="1264" w:right="1264" w:hanging="544"/>
        <w:rPr>
          <w:w w:val="103"/>
          <w:kern w:val="0"/>
          <w:lang w:val="fr-FR"/>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مثل تعليق اللجنة الفرعية لمنع التعذيب في إطار البروتوكول الاختياري لاتفاقية </w:t>
      </w:r>
      <w:r w:rsidRPr="00024953">
        <w:rPr>
          <w:w w:val="103"/>
          <w:kern w:val="0"/>
          <w:rtl/>
        </w:rPr>
        <w:t>مناهضة التعذيب وغيره من ضروب المعاملة أو العقوبة القاسية أو اللاإنسانية أو المهينة</w:t>
      </w:r>
      <w:r w:rsidRPr="00024953">
        <w:rPr>
          <w:rFonts w:hint="cs"/>
          <w:w w:val="103"/>
          <w:kern w:val="0"/>
          <w:rtl/>
        </w:rPr>
        <w:t xml:space="preserve"> (الوثيقة </w:t>
      </w:r>
      <w:r w:rsidRPr="00024953">
        <w:rPr>
          <w:w w:val="103"/>
          <w:kern w:val="0"/>
        </w:rPr>
        <w:t>CAT/OP/12/6</w:t>
      </w:r>
      <w:r w:rsidRPr="00024953">
        <w:rPr>
          <w:rFonts w:hint="cs"/>
          <w:w w:val="103"/>
          <w:kern w:val="0"/>
          <w:rtl/>
        </w:rPr>
        <w:t xml:space="preserve">)؛ والفقرة 8 من الوثيقة </w:t>
      </w:r>
      <w:r w:rsidRPr="00024953">
        <w:rPr>
          <w:w w:val="103"/>
          <w:kern w:val="0"/>
        </w:rPr>
        <w:t>A/HRC/18/24</w:t>
      </w:r>
      <w:r w:rsidRPr="00024953">
        <w:rPr>
          <w:rFonts w:hint="cs"/>
          <w:w w:val="103"/>
          <w:kern w:val="0"/>
          <w:rtl/>
        </w:rPr>
        <w:t>.</w:t>
      </w:r>
    </w:p>
  </w:footnote>
  <w:footnote w:id="9">
    <w:p w:rsidR="006D19E9" w:rsidRPr="00024953" w:rsidRDefault="006D19E9" w:rsidP="00D24A90">
      <w:pPr>
        <w:pStyle w:val="FootnoteText"/>
        <w:tabs>
          <w:tab w:val="right" w:pos="1196"/>
          <w:tab w:val="left" w:pos="1264"/>
        </w:tabs>
        <w:spacing w:after="80"/>
        <w:ind w:left="1264" w:right="1264" w:hanging="544"/>
        <w:rPr>
          <w:w w:val="103"/>
          <w:kern w:val="0"/>
          <w:lang w:val="fr-FR"/>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مثل تعليق مكتب </w:t>
      </w:r>
      <w:r w:rsidR="00D24A90">
        <w:rPr>
          <w:rFonts w:hint="cs"/>
          <w:w w:val="103"/>
          <w:kern w:val="0"/>
          <w:rtl/>
        </w:rPr>
        <w:t xml:space="preserve">المستشار </w:t>
      </w:r>
      <w:r w:rsidRPr="00024953">
        <w:rPr>
          <w:rFonts w:hint="cs"/>
          <w:w w:val="103"/>
          <w:kern w:val="0"/>
          <w:rtl/>
          <w:lang w:bidi="ar"/>
        </w:rPr>
        <w:t xml:space="preserve">الخاص للأمم المتحدة المعني بمنع الإبادة الجماعية والمستشار الخاص المعني بالمسؤولية عن الحماية. والفقرات 3-10 من الوثيقة </w:t>
      </w:r>
      <w:r w:rsidRPr="00024953">
        <w:rPr>
          <w:w w:val="103"/>
          <w:kern w:val="0"/>
        </w:rPr>
        <w:t>E/CN.4/2000/12</w:t>
      </w:r>
      <w:r w:rsidRPr="00024953">
        <w:rPr>
          <w:rFonts w:hint="cs"/>
          <w:w w:val="103"/>
          <w:kern w:val="0"/>
          <w:rtl/>
        </w:rPr>
        <w:t xml:space="preserve">؛ والوثيقة </w:t>
      </w:r>
      <w:r w:rsidRPr="00024953">
        <w:rPr>
          <w:w w:val="103"/>
          <w:kern w:val="0"/>
        </w:rPr>
        <w:t>A/HRC/10/25</w:t>
      </w:r>
      <w:r w:rsidRPr="00024953">
        <w:rPr>
          <w:rFonts w:hint="cs"/>
          <w:w w:val="103"/>
          <w:kern w:val="0"/>
          <w:rtl/>
        </w:rPr>
        <w:t>.</w:t>
      </w:r>
    </w:p>
  </w:footnote>
  <w:footnote w:id="10">
    <w:p w:rsidR="006D19E9" w:rsidRPr="00024953" w:rsidRDefault="006D19E9" w:rsidP="006D19E9">
      <w:pPr>
        <w:pStyle w:val="FootnoteText"/>
        <w:tabs>
          <w:tab w:val="right" w:pos="1196"/>
          <w:tab w:val="left" w:pos="1264"/>
        </w:tabs>
        <w:spacing w:after="80"/>
        <w:ind w:left="1264" w:right="1264" w:hanging="544"/>
        <w:rPr>
          <w:spacing w:val="-4"/>
          <w:w w:val="103"/>
          <w:kern w:val="0"/>
          <w:rtl/>
          <w:lang w:val="fr-FR"/>
        </w:rPr>
      </w:pPr>
      <w:r w:rsidRPr="00024953">
        <w:rPr>
          <w:rStyle w:val="FootnoteReference"/>
          <w:rFonts w:hint="cs"/>
          <w:color w:val="auto"/>
          <w:spacing w:val="-4"/>
          <w:kern w:val="0"/>
          <w:vertAlign w:val="baseline"/>
          <w:rtl/>
        </w:rPr>
        <w:tab/>
      </w:r>
      <w:r w:rsidRPr="00024953">
        <w:rPr>
          <w:rStyle w:val="FootnoteReference"/>
          <w:color w:val="auto"/>
          <w:spacing w:val="-4"/>
          <w:kern w:val="0"/>
          <w:vertAlign w:val="baseline"/>
          <w:rtl/>
        </w:rPr>
        <w:t>(</w:t>
      </w:r>
      <w:r w:rsidRPr="00024953">
        <w:rPr>
          <w:rStyle w:val="FootnoteReference"/>
          <w:color w:val="auto"/>
          <w:spacing w:val="-4"/>
          <w:kern w:val="0"/>
          <w:vertAlign w:val="baseline"/>
          <w:rtl/>
        </w:rPr>
        <w:footnoteRef/>
      </w:r>
      <w:r w:rsidRPr="00024953">
        <w:rPr>
          <w:rStyle w:val="FootnoteReference"/>
          <w:color w:val="auto"/>
          <w:spacing w:val="-4"/>
          <w:kern w:val="0"/>
          <w:vertAlign w:val="baseline"/>
          <w:rtl/>
        </w:rPr>
        <w:t>)</w:t>
      </w:r>
      <w:r w:rsidRPr="00024953">
        <w:rPr>
          <w:rFonts w:hint="cs"/>
          <w:spacing w:val="-4"/>
          <w:w w:val="103"/>
          <w:kern w:val="0"/>
          <w:rtl/>
        </w:rPr>
        <w:tab/>
      </w:r>
      <w:r w:rsidRPr="00024953">
        <w:rPr>
          <w:spacing w:val="-4"/>
          <w:w w:val="103"/>
          <w:kern w:val="0"/>
          <w:lang w:val="fr-FR"/>
        </w:rPr>
        <w:t>Framework of Analysis for Atrocity Crimes: A tool for prevention (United Nations, 2014)</w:t>
      </w:r>
      <w:r w:rsidRPr="00024953">
        <w:rPr>
          <w:rFonts w:hint="cs"/>
          <w:spacing w:val="-4"/>
          <w:w w:val="103"/>
          <w:kern w:val="0"/>
          <w:rtl/>
        </w:rPr>
        <w:t xml:space="preserve">؛ والوثيقة </w:t>
      </w:r>
      <w:r w:rsidRPr="00024953">
        <w:rPr>
          <w:spacing w:val="-4"/>
          <w:w w:val="103"/>
          <w:kern w:val="0"/>
          <w:lang w:val="fr-FR"/>
        </w:rPr>
        <w:t>A/64/864</w:t>
      </w:r>
      <w:r w:rsidR="00024953" w:rsidRPr="00024953">
        <w:rPr>
          <w:rFonts w:hint="cs"/>
          <w:spacing w:val="-4"/>
          <w:w w:val="103"/>
          <w:kern w:val="0"/>
          <w:rtl/>
          <w:lang w:val="fr-FR"/>
        </w:rPr>
        <w:t>.</w:t>
      </w:r>
    </w:p>
  </w:footnote>
  <w:footnote w:id="11">
    <w:p w:rsidR="006D19E9" w:rsidRPr="00024953" w:rsidRDefault="006D19E9" w:rsidP="006D19E9">
      <w:pPr>
        <w:pStyle w:val="FootnoteText"/>
        <w:tabs>
          <w:tab w:val="right" w:pos="1196"/>
          <w:tab w:val="left" w:pos="1264"/>
        </w:tabs>
        <w:spacing w:after="80"/>
        <w:ind w:left="1264" w:right="1264" w:hanging="544"/>
        <w:rPr>
          <w:w w:val="103"/>
          <w:kern w:val="0"/>
          <w:lang w:val="fr-FR"/>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r>
      <w:r w:rsidRPr="00024953">
        <w:rPr>
          <w:w w:val="103"/>
          <w:kern w:val="0"/>
          <w:lang w:val="fr-FR"/>
        </w:rPr>
        <w:t>Rabat Plan of Action on the prohibition of advocacy of national, racial or religious hatred that constitutes incitement to discrimination, hostility or violence</w:t>
      </w:r>
      <w:r w:rsidRPr="00024953">
        <w:rPr>
          <w:rFonts w:hint="cs"/>
          <w:w w:val="103"/>
          <w:kern w:val="0"/>
          <w:rtl/>
          <w:lang w:val="fr-FR"/>
        </w:rPr>
        <w:t xml:space="preserve"> (الوثيقة </w:t>
      </w:r>
      <w:r w:rsidRPr="00024953">
        <w:rPr>
          <w:w w:val="103"/>
          <w:kern w:val="0"/>
          <w:lang w:val="fr-FR"/>
        </w:rPr>
        <w:t>A/HRC/22/17/Add.4</w:t>
      </w:r>
      <w:r w:rsidRPr="00024953">
        <w:rPr>
          <w:rFonts w:hint="cs"/>
          <w:w w:val="103"/>
          <w:kern w:val="0"/>
          <w:rtl/>
          <w:lang w:val="fr-FR"/>
        </w:rPr>
        <w:t>)، التذييل.</w:t>
      </w:r>
    </w:p>
  </w:footnote>
  <w:footnote w:id="12">
    <w:p w:rsidR="006D19E9" w:rsidRPr="00024953" w:rsidRDefault="006D19E9" w:rsidP="006D19E9">
      <w:pPr>
        <w:pStyle w:val="FootnoteText"/>
        <w:tabs>
          <w:tab w:val="right" w:pos="1196"/>
          <w:tab w:val="left" w:pos="1264"/>
        </w:tabs>
        <w:spacing w:after="80"/>
        <w:ind w:left="1264" w:right="1264" w:hanging="544"/>
        <w:rPr>
          <w:w w:val="103"/>
          <w:kern w:val="0"/>
          <w:lang w:val="fr-FR"/>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أعلن الأمين العام عن إعداد خطة عمل الأمم المتحدة لمنع التطرف العنيف في شباط/فبراير 2015.</w:t>
      </w:r>
    </w:p>
  </w:footnote>
  <w:footnote w:id="13">
    <w:p w:rsidR="006D19E9" w:rsidRPr="00024953" w:rsidRDefault="006D19E9" w:rsidP="00024953">
      <w:pPr>
        <w:pStyle w:val="FootnoteText"/>
        <w:tabs>
          <w:tab w:val="right" w:pos="1196"/>
          <w:tab w:val="left" w:pos="1264"/>
        </w:tabs>
        <w:spacing w:after="80"/>
        <w:ind w:left="1264" w:right="1264" w:hanging="544"/>
        <w:rPr>
          <w:w w:val="103"/>
          <w:kern w:val="0"/>
          <w:rtl/>
          <w:lang w:val="fr-FR"/>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r>
      <w:r w:rsidRPr="00024953">
        <w:rPr>
          <w:w w:val="103"/>
          <w:kern w:val="0"/>
          <w:rtl/>
        </w:rPr>
        <w:t>لجنة القضاء على التمييز العنصري</w:t>
      </w:r>
      <w:r w:rsidRPr="00024953">
        <w:rPr>
          <w:rFonts w:hint="cs"/>
          <w:w w:val="103"/>
          <w:kern w:val="0"/>
          <w:rtl/>
        </w:rPr>
        <w:t>. وانظر</w:t>
      </w:r>
      <w:r w:rsidRPr="00024953">
        <w:rPr>
          <w:w w:val="103"/>
          <w:kern w:val="0"/>
        </w:rPr>
        <w:t>Developing National Action Plans Against Racial Discrimination: A</w:t>
      </w:r>
      <w:r w:rsidR="00024953" w:rsidRPr="00024953">
        <w:rPr>
          <w:w w:val="103"/>
          <w:kern w:val="0"/>
        </w:rPr>
        <w:t> </w:t>
      </w:r>
      <w:r w:rsidRPr="00024953">
        <w:rPr>
          <w:w w:val="103"/>
          <w:kern w:val="0"/>
        </w:rPr>
        <w:t>Practical Guide (United Nations, 2014)</w:t>
      </w:r>
      <w:r w:rsidR="00024953" w:rsidRPr="00024953">
        <w:rPr>
          <w:rFonts w:hint="cs"/>
          <w:w w:val="103"/>
          <w:kern w:val="0"/>
          <w:rtl/>
          <w:lang w:val="fr-FR"/>
        </w:rPr>
        <w:t>.</w:t>
      </w:r>
    </w:p>
  </w:footnote>
  <w:footnote w:id="14">
    <w:p w:rsidR="006D19E9" w:rsidRPr="00024953" w:rsidRDefault="006D19E9" w:rsidP="006D19E9">
      <w:pPr>
        <w:pStyle w:val="FootnoteText"/>
        <w:tabs>
          <w:tab w:val="right" w:pos="1196"/>
          <w:tab w:val="left" w:pos="1264"/>
        </w:tabs>
        <w:spacing w:after="80"/>
        <w:ind w:left="1264" w:right="1264" w:hanging="544"/>
        <w:rPr>
          <w:w w:val="103"/>
          <w:kern w:val="0"/>
          <w:lang w:val="fr-FR"/>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r>
      <w:r w:rsidRPr="00024953">
        <w:rPr>
          <w:w w:val="103"/>
          <w:kern w:val="0"/>
          <w:rtl/>
        </w:rPr>
        <w:t>الإعلان المتعلق بالقضاء على جميع أشكال التعصب والتمييز القائمين على أساس الدين أو المعتقد</w:t>
      </w:r>
      <w:r w:rsidRPr="00024953">
        <w:rPr>
          <w:rFonts w:hint="cs"/>
          <w:w w:val="103"/>
          <w:kern w:val="0"/>
          <w:rtl/>
        </w:rPr>
        <w:t>.</w:t>
      </w:r>
    </w:p>
  </w:footnote>
  <w:footnote w:id="15">
    <w:p w:rsidR="006D19E9" w:rsidRPr="00024953" w:rsidRDefault="006D19E9" w:rsidP="006D19E9">
      <w:pPr>
        <w:pStyle w:val="FootnoteText"/>
        <w:tabs>
          <w:tab w:val="right" w:pos="1196"/>
          <w:tab w:val="left" w:pos="1264"/>
        </w:tabs>
        <w:spacing w:after="80"/>
        <w:ind w:left="1264" w:right="1264" w:hanging="544"/>
        <w:rPr>
          <w:w w:val="103"/>
          <w:kern w:val="0"/>
          <w:lang w:val="fr-FR"/>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انظر النطاق الواسع للإجراءات المطلوبة من الدول بموجب المادة 2 من اتفاقية القضاء على جميع أشكال التمييز ضد المرأة.</w:t>
      </w:r>
    </w:p>
  </w:footnote>
  <w:footnote w:id="16">
    <w:p w:rsidR="006D19E9" w:rsidRPr="00024953" w:rsidRDefault="006D19E9" w:rsidP="006D19E9">
      <w:pPr>
        <w:pStyle w:val="FootnoteText"/>
        <w:tabs>
          <w:tab w:val="right" w:pos="1196"/>
          <w:tab w:val="left" w:pos="1264"/>
        </w:tabs>
        <w:spacing w:after="80"/>
        <w:ind w:left="1264" w:right="1264" w:hanging="544"/>
        <w:rPr>
          <w:w w:val="103"/>
          <w:kern w:val="0"/>
          <w:lang w:val="fr-FR"/>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المادتان 12 و16 من اتفاقية حقوق الأشخاص ذوي الإعاقة.</w:t>
      </w:r>
    </w:p>
  </w:footnote>
  <w:footnote w:id="17">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r>
      <w:r w:rsidRPr="00024953">
        <w:rPr>
          <w:w w:val="103"/>
          <w:kern w:val="0"/>
        </w:rPr>
        <w:t>Framework of Analysis</w:t>
      </w:r>
      <w:r w:rsidRPr="00024953">
        <w:rPr>
          <w:rFonts w:hint="cs"/>
          <w:w w:val="103"/>
          <w:kern w:val="0"/>
          <w:rtl/>
        </w:rPr>
        <w:t xml:space="preserve"> (الحاشية 10 أعلاه)، </w:t>
      </w:r>
      <w:r w:rsidR="00024953" w:rsidRPr="00024953">
        <w:rPr>
          <w:rFonts w:hint="cs"/>
          <w:w w:val="103"/>
          <w:kern w:val="0"/>
          <w:rtl/>
        </w:rPr>
        <w:t xml:space="preserve">ص </w:t>
      </w:r>
      <w:r w:rsidRPr="00024953">
        <w:rPr>
          <w:rFonts w:hint="cs"/>
          <w:w w:val="103"/>
          <w:kern w:val="0"/>
          <w:rtl/>
        </w:rPr>
        <w:t>3.</w:t>
      </w:r>
    </w:p>
  </w:footnote>
  <w:footnote w:id="18">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المؤتمر الدولي المعني بمنطقة البحيرات الكبرى، 29 تشرين الثاني/نوفمبر 2006.</w:t>
      </w:r>
    </w:p>
  </w:footnote>
  <w:footnote w:id="19">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انظر المادة 3، </w:t>
      </w:r>
      <w:r w:rsidRPr="00024953">
        <w:rPr>
          <w:w w:val="103"/>
          <w:kern w:val="0"/>
          <w:rtl/>
        </w:rPr>
        <w:t>لجنة القضاء على التمييز العنصري</w:t>
      </w:r>
      <w:r w:rsidRPr="00024953">
        <w:rPr>
          <w:rFonts w:hint="cs"/>
          <w:w w:val="103"/>
          <w:kern w:val="0"/>
          <w:rtl/>
        </w:rPr>
        <w:t>؛ والمادة 2 من الاتفاقية الخاصة بالرق؛ والمادة 1 من اتفاقية منع الإبادة الجماعية.</w:t>
      </w:r>
    </w:p>
  </w:footnote>
  <w:footnote w:id="20">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انظر المادة 19 من اتفاقية حقوق الطفل؛</w:t>
      </w:r>
      <w:r w:rsidR="00697057" w:rsidRPr="00024953">
        <w:rPr>
          <w:rFonts w:hint="cs"/>
          <w:w w:val="103"/>
          <w:kern w:val="0"/>
          <w:rtl/>
        </w:rPr>
        <w:t xml:space="preserve"> و</w:t>
      </w:r>
      <w:r w:rsidRPr="00024953">
        <w:rPr>
          <w:w w:val="103"/>
          <w:kern w:val="0"/>
          <w:lang w:val="en-GB"/>
        </w:rPr>
        <w:t>E. Decaux and S. Touzé</w:t>
      </w:r>
      <w:r w:rsidRPr="00024953">
        <w:rPr>
          <w:rFonts w:hint="cs"/>
          <w:w w:val="103"/>
          <w:kern w:val="0"/>
          <w:rtl/>
          <w:lang w:val="en-GB"/>
        </w:rPr>
        <w:t xml:space="preserve"> (الحاشية 3 أعلاه).</w:t>
      </w:r>
    </w:p>
  </w:footnote>
  <w:footnote w:id="21">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تطبيق </w:t>
      </w:r>
      <w:r w:rsidRPr="00024953">
        <w:rPr>
          <w:rFonts w:hint="cs"/>
          <w:w w:val="103"/>
          <w:kern w:val="0"/>
          <w:rtl/>
          <w:lang w:bidi="ar"/>
        </w:rPr>
        <w:t xml:space="preserve">اتفاقية منع جريمة الإبادة الجماعية والمعاقبة عليها </w:t>
      </w:r>
      <w:r w:rsidRPr="00E03D23">
        <w:rPr>
          <w:rFonts w:hint="cs"/>
          <w:i/>
          <w:iCs/>
          <w:w w:val="103"/>
          <w:kern w:val="0"/>
          <w:rtl/>
          <w:lang w:bidi="ar"/>
        </w:rPr>
        <w:t>(</w:t>
      </w:r>
      <w:r w:rsidRPr="00024953">
        <w:rPr>
          <w:rFonts w:hint="cs"/>
          <w:i/>
          <w:iCs/>
          <w:w w:val="103"/>
          <w:kern w:val="0"/>
          <w:rtl/>
          <w:lang w:bidi="ar"/>
        </w:rPr>
        <w:t>البوسنة والهرسك ضد صربيا والجبل الأسود</w:t>
      </w:r>
      <w:r w:rsidRPr="00E03D23">
        <w:rPr>
          <w:rFonts w:hint="cs"/>
          <w:i/>
          <w:iCs/>
          <w:w w:val="103"/>
          <w:kern w:val="0"/>
          <w:rtl/>
          <w:lang w:bidi="ar"/>
        </w:rPr>
        <w:t>)</w:t>
      </w:r>
      <w:r w:rsidRPr="00024953">
        <w:rPr>
          <w:rFonts w:hint="cs"/>
          <w:w w:val="103"/>
          <w:kern w:val="0"/>
          <w:rtl/>
          <w:lang w:bidi="ar"/>
        </w:rPr>
        <w:t xml:space="preserve">، الحكم الصادر عن </w:t>
      </w:r>
      <w:r w:rsidRPr="00024953">
        <w:rPr>
          <w:rFonts w:hint="cs"/>
          <w:i/>
          <w:iCs/>
          <w:w w:val="103"/>
          <w:kern w:val="0"/>
          <w:rtl/>
          <w:lang w:bidi="ar"/>
        </w:rPr>
        <w:t>محكمة العدل الدولية</w:t>
      </w:r>
      <w:r w:rsidRPr="00024953">
        <w:rPr>
          <w:rFonts w:hint="cs"/>
          <w:w w:val="103"/>
          <w:kern w:val="0"/>
          <w:rtl/>
          <w:lang w:bidi="ar"/>
        </w:rPr>
        <w:t xml:space="preserve">، </w:t>
      </w:r>
      <w:r w:rsidRPr="00024953">
        <w:rPr>
          <w:rFonts w:hint="cs"/>
          <w:i/>
          <w:iCs/>
          <w:w w:val="103"/>
          <w:kern w:val="0"/>
          <w:rtl/>
          <w:lang w:bidi="ar"/>
        </w:rPr>
        <w:t>تقارير عام</w:t>
      </w:r>
      <w:r w:rsidRPr="00024953">
        <w:rPr>
          <w:rFonts w:hint="cs"/>
          <w:w w:val="103"/>
          <w:kern w:val="0"/>
          <w:rtl/>
          <w:lang w:bidi="ar"/>
        </w:rPr>
        <w:t xml:space="preserve"> </w:t>
      </w:r>
      <w:r w:rsidRPr="00024953">
        <w:rPr>
          <w:rFonts w:hint="cs"/>
          <w:i/>
          <w:iCs/>
          <w:w w:val="103"/>
          <w:kern w:val="0"/>
          <w:rtl/>
          <w:lang w:bidi="ar"/>
        </w:rPr>
        <w:t>2007</w:t>
      </w:r>
      <w:r w:rsidRPr="00024953">
        <w:rPr>
          <w:rFonts w:hint="cs"/>
          <w:w w:val="103"/>
          <w:kern w:val="0"/>
          <w:rtl/>
          <w:lang w:bidi="ar"/>
        </w:rPr>
        <w:t xml:space="preserve">، </w:t>
      </w:r>
      <w:r w:rsidR="00024953" w:rsidRPr="00024953">
        <w:rPr>
          <w:rFonts w:hint="cs"/>
          <w:w w:val="103"/>
          <w:kern w:val="0"/>
          <w:rtl/>
          <w:lang w:bidi="ar"/>
        </w:rPr>
        <w:t xml:space="preserve">ص </w:t>
      </w:r>
      <w:r w:rsidRPr="00024953">
        <w:rPr>
          <w:rFonts w:hint="cs"/>
          <w:w w:val="103"/>
          <w:kern w:val="0"/>
          <w:rtl/>
          <w:lang w:bidi="ar"/>
        </w:rPr>
        <w:t>43.</w:t>
      </w:r>
    </w:p>
  </w:footnote>
  <w:footnote w:id="22">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الفقرة 36 من الوثيقة </w:t>
      </w:r>
      <w:r w:rsidRPr="00024953">
        <w:rPr>
          <w:w w:val="103"/>
          <w:kern w:val="0"/>
          <w:lang w:val="es-ES"/>
        </w:rPr>
        <w:t>A/HRC/18/24</w:t>
      </w:r>
      <w:r w:rsidRPr="00024953">
        <w:rPr>
          <w:rFonts w:hint="cs"/>
          <w:w w:val="103"/>
          <w:kern w:val="0"/>
          <w:rtl/>
          <w:lang w:val="es-ES"/>
        </w:rPr>
        <w:t xml:space="preserve">؛ والفقرة 22 من الوثيقة </w:t>
      </w:r>
      <w:r w:rsidRPr="00024953">
        <w:rPr>
          <w:w w:val="103"/>
          <w:kern w:val="0"/>
          <w:lang w:val="es-ES"/>
        </w:rPr>
        <w:t>A/HRC/28/30</w:t>
      </w:r>
      <w:r w:rsidRPr="00024953">
        <w:rPr>
          <w:rFonts w:hint="cs"/>
          <w:w w:val="103"/>
          <w:kern w:val="0"/>
          <w:rtl/>
          <w:lang w:val="es-ES"/>
        </w:rPr>
        <w:t xml:space="preserve">؛ والوثيقة </w:t>
      </w:r>
      <w:r w:rsidRPr="00024953">
        <w:rPr>
          <w:w w:val="103"/>
          <w:kern w:val="0"/>
        </w:rPr>
        <w:t>“Preventing Torture: An Operational Guide for National Human Rights Institutions”</w:t>
      </w:r>
      <w:r w:rsidRPr="00024953">
        <w:rPr>
          <w:rFonts w:hint="cs"/>
          <w:w w:val="103"/>
          <w:kern w:val="0"/>
          <w:rtl/>
        </w:rPr>
        <w:t xml:space="preserve">، </w:t>
      </w:r>
      <w:r w:rsidR="00024953" w:rsidRPr="00024953">
        <w:rPr>
          <w:rFonts w:hint="cs"/>
          <w:w w:val="103"/>
          <w:kern w:val="0"/>
          <w:rtl/>
        </w:rPr>
        <w:t xml:space="preserve">ص </w:t>
      </w:r>
      <w:r w:rsidRPr="00024953">
        <w:rPr>
          <w:rFonts w:hint="cs"/>
          <w:w w:val="103"/>
          <w:kern w:val="0"/>
          <w:rtl/>
        </w:rPr>
        <w:t xml:space="preserve">3 (مفوضية الأمم المتحدة السامية لحقوق الإنسان ورابطة منع التعذيب ومنتدى منطقة آسيا والمحيط الهادي، الوثيقة </w:t>
      </w:r>
      <w:r w:rsidRPr="00024953">
        <w:rPr>
          <w:w w:val="103"/>
          <w:kern w:val="0"/>
        </w:rPr>
        <w:t>HR/PUB/10/1</w:t>
      </w:r>
      <w:r w:rsidRPr="00024953">
        <w:rPr>
          <w:rFonts w:hint="cs"/>
          <w:w w:val="103"/>
          <w:kern w:val="0"/>
          <w:rtl/>
        </w:rPr>
        <w:t>).</w:t>
      </w:r>
    </w:p>
  </w:footnote>
  <w:footnote w:id="23">
    <w:p w:rsidR="006D19E9" w:rsidRPr="00024953" w:rsidRDefault="006D19E9" w:rsidP="006D19E9">
      <w:pPr>
        <w:pStyle w:val="FootnoteText"/>
        <w:tabs>
          <w:tab w:val="right" w:pos="1196"/>
          <w:tab w:val="left" w:pos="1264"/>
        </w:tabs>
        <w:spacing w:after="80"/>
        <w:ind w:left="1264" w:right="1264" w:hanging="544"/>
        <w:rPr>
          <w:w w:val="103"/>
          <w:kern w:val="0"/>
          <w:rtl/>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انظر </w:t>
      </w:r>
      <w:r w:rsidRPr="00024953">
        <w:rPr>
          <w:w w:val="103"/>
          <w:kern w:val="0"/>
        </w:rPr>
        <w:t>Good Governance Practices for the Protection of Human Rights (United Nations 2007)</w:t>
      </w:r>
      <w:r w:rsidR="00024953" w:rsidRPr="00024953">
        <w:rPr>
          <w:rFonts w:hint="cs"/>
          <w:w w:val="103"/>
          <w:kern w:val="0"/>
          <w:rtl/>
        </w:rPr>
        <w:t>.</w:t>
      </w:r>
    </w:p>
  </w:footnote>
  <w:footnote w:id="24">
    <w:p w:rsidR="006D19E9" w:rsidRPr="00024953" w:rsidRDefault="006D19E9" w:rsidP="006D19E9">
      <w:pPr>
        <w:pStyle w:val="FootnoteText"/>
        <w:tabs>
          <w:tab w:val="right" w:pos="1196"/>
          <w:tab w:val="left" w:pos="1264"/>
        </w:tabs>
        <w:spacing w:after="80"/>
        <w:ind w:left="1264" w:right="1264" w:hanging="544"/>
        <w:rPr>
          <w:w w:val="103"/>
          <w:kern w:val="0"/>
          <w:rtl/>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يمكن الاستفادة من نهج منظومة الأمم ا</w:t>
      </w:r>
      <w:r w:rsidR="005D3065">
        <w:rPr>
          <w:rFonts w:hint="cs"/>
          <w:w w:val="103"/>
          <w:kern w:val="0"/>
          <w:rtl/>
        </w:rPr>
        <w:t>لمتحدة تجاه العدالة الانتقالية</w:t>
      </w:r>
      <w:r w:rsidRPr="00024953">
        <w:rPr>
          <w:rFonts w:hint="cs"/>
          <w:w w:val="103"/>
          <w:kern w:val="0"/>
          <w:rtl/>
        </w:rPr>
        <w:t xml:space="preserve"> للخروج بنهج وقائي بغية منع تكرار انتهاكات حقوق الإنسان التي ترتكب بالفعل (بما في ذلك تحديد الأسباب الجذرية) وإدخال إصلاحات مؤسسية على الهياكل والمؤسسات الحكومية التي يسّرت ارتكاب الانتهاكات أو شجعت عليه. </w:t>
      </w:r>
      <w:r w:rsidRPr="00024953">
        <w:rPr>
          <w:w w:val="103"/>
          <w:kern w:val="0"/>
        </w:rPr>
        <w:t>Guidance Note of the Secretary-General; United Nations Approach to Transitional Justice (United Nations, 2010)</w:t>
      </w:r>
      <w:r w:rsidRPr="00024953">
        <w:rPr>
          <w:rFonts w:hint="cs"/>
          <w:w w:val="103"/>
          <w:kern w:val="0"/>
          <w:rtl/>
        </w:rPr>
        <w:t>؛</w:t>
      </w:r>
      <w:r w:rsidR="00697057" w:rsidRPr="00024953">
        <w:rPr>
          <w:rFonts w:hint="cs"/>
          <w:w w:val="103"/>
          <w:kern w:val="0"/>
          <w:rtl/>
        </w:rPr>
        <w:t xml:space="preserve"> و</w:t>
      </w:r>
      <w:r w:rsidRPr="00024953">
        <w:rPr>
          <w:w w:val="103"/>
          <w:kern w:val="0"/>
        </w:rPr>
        <w:t>Transitional Justice and Economic, Social and Cultural Rights (United Nations, 2014)</w:t>
      </w:r>
      <w:r w:rsidR="00024953" w:rsidRPr="00024953">
        <w:rPr>
          <w:rFonts w:hint="cs"/>
          <w:w w:val="103"/>
          <w:kern w:val="0"/>
          <w:rtl/>
        </w:rPr>
        <w:t>.</w:t>
      </w:r>
    </w:p>
  </w:footnote>
  <w:footnote w:id="25">
    <w:p w:rsidR="006D19E9" w:rsidRPr="00024953" w:rsidRDefault="006D19E9" w:rsidP="00024953">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تبنّت اللجنة المعنية بحقوق الإنسان الرأي القائل إن الحق في الحصول على وسيلة انتصاف فعالة قد يستلزم من الدول الأعضاء في بعض الظروف اتخاذَ وتنفيذَ تدابير مؤقتة أو انتقالية لتفادي استمرار الانتهاكات، والسعيَ بجدّ إلى التعويض في أسرع فرصة ممكنة عن أي أضرار قد تكون خلفتها هذه الانتهاكات (الفقرة 19 من التعليق العام رقم</w:t>
      </w:r>
      <w:r w:rsidR="00024953" w:rsidRPr="00024953">
        <w:rPr>
          <w:rFonts w:hint="eastAsia"/>
          <w:w w:val="103"/>
          <w:kern w:val="0"/>
          <w:rtl/>
        </w:rPr>
        <w:t> </w:t>
      </w:r>
      <w:r w:rsidRPr="00024953">
        <w:rPr>
          <w:rFonts w:hint="cs"/>
          <w:w w:val="103"/>
          <w:kern w:val="0"/>
          <w:rtl/>
        </w:rPr>
        <w:t>31).</w:t>
      </w:r>
    </w:p>
  </w:footnote>
  <w:footnote w:id="26">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المادة 2 من العهد الدولي الخاص بالحقوق المدنية والسياسية؛ والمادة 2 من </w:t>
      </w:r>
      <w:r w:rsidRPr="00024953">
        <w:rPr>
          <w:w w:val="103"/>
          <w:kern w:val="0"/>
          <w:rtl/>
        </w:rPr>
        <w:t>اتفاقية مناهضة التعذيب وغيره من ضروب المعاملة أو العقوبة القاسية أو اللاإنسانية أو المهينة</w:t>
      </w:r>
      <w:r w:rsidRPr="00024953">
        <w:rPr>
          <w:rFonts w:hint="cs"/>
          <w:w w:val="103"/>
          <w:kern w:val="0"/>
          <w:rtl/>
        </w:rPr>
        <w:t xml:space="preserve">؛ والمادة 23، اللجنة المعنية بحالات الاختفاء القسري؛ وقضية لاغراند </w:t>
      </w:r>
      <w:r w:rsidRPr="005D3065">
        <w:rPr>
          <w:rFonts w:hint="cs"/>
          <w:i/>
          <w:iCs/>
          <w:w w:val="103"/>
          <w:kern w:val="0"/>
          <w:rtl/>
        </w:rPr>
        <w:t>(</w:t>
      </w:r>
      <w:r w:rsidRPr="00024953">
        <w:rPr>
          <w:rFonts w:hint="cs"/>
          <w:i/>
          <w:iCs/>
          <w:w w:val="103"/>
          <w:kern w:val="0"/>
          <w:rtl/>
        </w:rPr>
        <w:t>ألمانيا ضد الولايات المتحدة</w:t>
      </w:r>
      <w:r w:rsidRPr="005D3065">
        <w:rPr>
          <w:rFonts w:hint="cs"/>
          <w:i/>
          <w:iCs/>
          <w:w w:val="103"/>
          <w:kern w:val="0"/>
          <w:rtl/>
        </w:rPr>
        <w:t>)</w:t>
      </w:r>
      <w:r w:rsidRPr="00024953">
        <w:rPr>
          <w:rFonts w:hint="cs"/>
          <w:w w:val="103"/>
          <w:kern w:val="0"/>
          <w:rtl/>
        </w:rPr>
        <w:t xml:space="preserve">، الحكم الصادر عن </w:t>
      </w:r>
      <w:r w:rsidRPr="00024953">
        <w:rPr>
          <w:rFonts w:hint="cs"/>
          <w:i/>
          <w:iCs/>
          <w:w w:val="103"/>
          <w:kern w:val="0"/>
          <w:rtl/>
        </w:rPr>
        <w:t>محكمة العدل الدولية</w:t>
      </w:r>
      <w:r w:rsidRPr="00024953">
        <w:rPr>
          <w:rFonts w:hint="cs"/>
          <w:w w:val="103"/>
          <w:kern w:val="0"/>
          <w:rtl/>
        </w:rPr>
        <w:t xml:space="preserve">، </w:t>
      </w:r>
      <w:r w:rsidRPr="00024953">
        <w:rPr>
          <w:rFonts w:hint="cs"/>
          <w:i/>
          <w:iCs/>
          <w:w w:val="103"/>
          <w:kern w:val="0"/>
          <w:rtl/>
        </w:rPr>
        <w:t>تقارير عام 2001</w:t>
      </w:r>
      <w:r w:rsidRPr="00024953">
        <w:rPr>
          <w:rFonts w:hint="cs"/>
          <w:w w:val="103"/>
          <w:kern w:val="0"/>
          <w:rtl/>
        </w:rPr>
        <w:t xml:space="preserve">؛ والمبدأ 35 في الوثيقة </w:t>
      </w:r>
      <w:r w:rsidRPr="00024953">
        <w:rPr>
          <w:w w:val="103"/>
          <w:kern w:val="0"/>
        </w:rPr>
        <w:t>E/CN.4/2005/102/Add.1</w:t>
      </w:r>
      <w:r w:rsidRPr="00024953">
        <w:rPr>
          <w:rFonts w:hint="cs"/>
          <w:w w:val="103"/>
          <w:kern w:val="0"/>
          <w:rtl/>
        </w:rPr>
        <w:t>.</w:t>
      </w:r>
    </w:p>
  </w:footnote>
  <w:footnote w:id="27">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مدغشقر.</w:t>
      </w:r>
    </w:p>
  </w:footnote>
  <w:footnote w:id="28">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أيرلندا.</w:t>
      </w:r>
    </w:p>
  </w:footnote>
  <w:footnote w:id="29">
    <w:p w:rsidR="006D19E9" w:rsidRPr="00024953" w:rsidRDefault="006D19E9" w:rsidP="00024953">
      <w:pPr>
        <w:pStyle w:val="FootnoteText"/>
        <w:tabs>
          <w:tab w:val="right" w:pos="1196"/>
          <w:tab w:val="left" w:pos="1264"/>
        </w:tabs>
        <w:spacing w:after="6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مثل التوصية </w:t>
      </w:r>
      <w:r w:rsidRPr="00024953">
        <w:rPr>
          <w:w w:val="103"/>
          <w:kern w:val="0"/>
        </w:rPr>
        <w:t>Rec(2004)5</w:t>
      </w:r>
      <w:r w:rsidRPr="00024953">
        <w:rPr>
          <w:rFonts w:hint="cs"/>
          <w:w w:val="103"/>
          <w:kern w:val="0"/>
          <w:rtl/>
        </w:rPr>
        <w:t xml:space="preserve"> التي قدّمتها لجنة وزراء مجلس أوروبا إلى الدول الأعضاء للتحقق من توافق مشاريع القوانين، والقوانين السارية، والممارسات الإدارية مع المعايير المحدّدة في الاتفاقية الأوروبية لحقوق الإنسان. وانظر أدناه المناقشة ذات الصلة التي تناولت عمليات تقييم أثر القوانين والسياسات المقترحة.</w:t>
      </w:r>
    </w:p>
  </w:footnote>
  <w:footnote w:id="30">
    <w:p w:rsidR="006D19E9" w:rsidRPr="00024953" w:rsidRDefault="006D19E9" w:rsidP="00024953">
      <w:pPr>
        <w:pStyle w:val="FootnoteText"/>
        <w:tabs>
          <w:tab w:val="right" w:pos="1196"/>
          <w:tab w:val="left" w:pos="1264"/>
        </w:tabs>
        <w:spacing w:after="6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ردّ جمهورية مولدوفا؛ وردّ هنغاريا. وتشير اللجنة الفرعية لمنع التعذيب </w:t>
      </w:r>
      <w:r w:rsidRPr="00024953">
        <w:rPr>
          <w:w w:val="103"/>
          <w:kern w:val="0"/>
          <w:rtl/>
        </w:rPr>
        <w:t>وغيره من ضروب المعاملة أو العقوبة القاسية أو اللاإنسانية أو المهينة</w:t>
      </w:r>
      <w:r w:rsidR="00697057" w:rsidRPr="00024953">
        <w:rPr>
          <w:rFonts w:hint="cs"/>
          <w:w w:val="103"/>
          <w:kern w:val="0"/>
          <w:rtl/>
        </w:rPr>
        <w:t xml:space="preserve"> على وجه التحديد إلى أنه "</w:t>
      </w:r>
      <w:r w:rsidRPr="00024953">
        <w:rPr>
          <w:rFonts w:hint="cs"/>
          <w:w w:val="103"/>
          <w:kern w:val="0"/>
          <w:rtl/>
        </w:rPr>
        <w:t xml:space="preserve">يتعين على الدولة أن تخبر </w:t>
      </w:r>
      <w:r w:rsidRPr="00024953">
        <w:rPr>
          <w:w w:val="103"/>
          <w:kern w:val="0"/>
        </w:rPr>
        <w:t>]</w:t>
      </w:r>
      <w:r w:rsidRPr="00024953">
        <w:rPr>
          <w:rFonts w:hint="cs"/>
          <w:w w:val="103"/>
          <w:kern w:val="0"/>
          <w:rtl/>
        </w:rPr>
        <w:t>الآلية الوقائية الوطنية</w:t>
      </w:r>
      <w:r w:rsidRPr="00024953">
        <w:rPr>
          <w:w w:val="103"/>
          <w:kern w:val="0"/>
        </w:rPr>
        <w:t>[</w:t>
      </w:r>
      <w:r w:rsidRPr="00024953">
        <w:rPr>
          <w:rFonts w:hint="cs"/>
          <w:w w:val="103"/>
          <w:kern w:val="0"/>
          <w:rtl/>
        </w:rPr>
        <w:t xml:space="preserve"> بأي مشروع قانون قد يكون قيد النظر وتكون له صلة بولاية الآلية، وأن تسمح لها بتقديم مقترحات أو ملاحظات بشأن أي سياسة قائمة أو تشريع سار، أو مشروع سياسة أو قانون. وينبغي أن تراعي الدولة أي مقترحات أو ملاحظات تقدمها الآلية بشأن القانون المعني"</w:t>
      </w:r>
      <w:r w:rsidR="00697057" w:rsidRPr="00024953">
        <w:rPr>
          <w:rFonts w:hint="cs"/>
          <w:w w:val="103"/>
          <w:kern w:val="0"/>
          <w:rtl/>
        </w:rPr>
        <w:t>.</w:t>
      </w:r>
      <w:r w:rsidRPr="00024953">
        <w:rPr>
          <w:rFonts w:hint="cs"/>
          <w:w w:val="103"/>
          <w:kern w:val="0"/>
          <w:rtl/>
        </w:rPr>
        <w:t xml:space="preserve"> (الفقرة 28 من الوثيقة </w:t>
      </w:r>
      <w:r w:rsidRPr="00024953">
        <w:rPr>
          <w:w w:val="103"/>
          <w:kern w:val="0"/>
        </w:rPr>
        <w:t>CAT/OP/12/5</w:t>
      </w:r>
      <w:r w:rsidRPr="00024953">
        <w:rPr>
          <w:rFonts w:hint="cs"/>
          <w:w w:val="103"/>
          <w:kern w:val="0"/>
          <w:rtl/>
        </w:rPr>
        <w:t>).</w:t>
      </w:r>
    </w:p>
  </w:footnote>
  <w:footnote w:id="31">
    <w:p w:rsidR="006D19E9" w:rsidRPr="00024953" w:rsidRDefault="006D19E9" w:rsidP="00024953">
      <w:pPr>
        <w:pStyle w:val="FootnoteText"/>
        <w:tabs>
          <w:tab w:val="right" w:pos="1196"/>
          <w:tab w:val="left" w:pos="1264"/>
        </w:tabs>
        <w:spacing w:after="6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أستراليا.</w:t>
      </w:r>
    </w:p>
  </w:footnote>
  <w:footnote w:id="32">
    <w:p w:rsidR="006D19E9" w:rsidRPr="00024953" w:rsidRDefault="006D19E9" w:rsidP="00024953">
      <w:pPr>
        <w:pStyle w:val="FootnoteText"/>
        <w:tabs>
          <w:tab w:val="right" w:pos="1196"/>
          <w:tab w:val="left" w:pos="1264"/>
        </w:tabs>
        <w:spacing w:after="6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مجلس حقوق الإنسان في ألبانيا.</w:t>
      </w:r>
    </w:p>
  </w:footnote>
  <w:footnote w:id="33">
    <w:p w:rsidR="006D19E9" w:rsidRPr="00024953" w:rsidRDefault="006D19E9" w:rsidP="00024953">
      <w:pPr>
        <w:pStyle w:val="FootnoteText"/>
        <w:tabs>
          <w:tab w:val="right" w:pos="1196"/>
          <w:tab w:val="left" w:pos="1264"/>
        </w:tabs>
        <w:spacing w:after="6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توغو. وانظر الفقرة 13 من التعليق العام 31 الذي أبدته اللجنة المعنية بحقوق الإنسان.</w:t>
      </w:r>
    </w:p>
  </w:footnote>
  <w:footnote w:id="34">
    <w:p w:rsidR="006D19E9" w:rsidRPr="00024953" w:rsidRDefault="006D19E9" w:rsidP="00024953">
      <w:pPr>
        <w:pStyle w:val="FootnoteText"/>
        <w:tabs>
          <w:tab w:val="right" w:pos="1196"/>
          <w:tab w:val="left" w:pos="1264"/>
        </w:tabs>
        <w:spacing w:after="6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برومو - ليكس.</w:t>
      </w:r>
    </w:p>
  </w:footnote>
  <w:footnote w:id="35">
    <w:p w:rsidR="006D19E9" w:rsidRPr="00024953" w:rsidRDefault="006D19E9" w:rsidP="00024953">
      <w:pPr>
        <w:pStyle w:val="FootnoteText"/>
        <w:tabs>
          <w:tab w:val="right" w:pos="1196"/>
          <w:tab w:val="left" w:pos="1264"/>
        </w:tabs>
        <w:spacing w:after="6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حركة التصالح الدولية.</w:t>
      </w:r>
    </w:p>
  </w:footnote>
  <w:footnote w:id="36">
    <w:p w:rsidR="006D19E9" w:rsidRPr="00024953" w:rsidRDefault="006D19E9" w:rsidP="00024953">
      <w:pPr>
        <w:pStyle w:val="FootnoteText"/>
        <w:tabs>
          <w:tab w:val="right" w:pos="1196"/>
          <w:tab w:val="left" w:pos="1264"/>
        </w:tabs>
        <w:spacing w:after="60"/>
        <w:ind w:left="1264" w:right="1264" w:hanging="544"/>
        <w:rPr>
          <w:kern w:val="0"/>
          <w:rtl/>
        </w:rPr>
      </w:pPr>
      <w:r w:rsidRPr="00024953">
        <w:rPr>
          <w:rStyle w:val="FootnoteReference"/>
          <w:rFonts w:hint="cs"/>
          <w:color w:val="auto"/>
          <w:w w:val="100"/>
          <w:kern w:val="0"/>
          <w:vertAlign w:val="baseline"/>
          <w:rtl/>
        </w:rPr>
        <w:tab/>
      </w:r>
      <w:r w:rsidRPr="00024953">
        <w:rPr>
          <w:rStyle w:val="FootnoteReference"/>
          <w:color w:val="auto"/>
          <w:w w:val="100"/>
          <w:kern w:val="0"/>
          <w:vertAlign w:val="baseline"/>
          <w:rtl/>
        </w:rPr>
        <w:t>(</w:t>
      </w:r>
      <w:r w:rsidRPr="00024953">
        <w:rPr>
          <w:rStyle w:val="FootnoteReference"/>
          <w:color w:val="auto"/>
          <w:w w:val="100"/>
          <w:kern w:val="0"/>
          <w:vertAlign w:val="baseline"/>
          <w:rtl/>
        </w:rPr>
        <w:footnoteRef/>
      </w:r>
      <w:r w:rsidRPr="00024953">
        <w:rPr>
          <w:rStyle w:val="FootnoteReference"/>
          <w:color w:val="auto"/>
          <w:w w:val="100"/>
          <w:kern w:val="0"/>
          <w:vertAlign w:val="baseline"/>
          <w:rtl/>
        </w:rPr>
        <w:t>)</w:t>
      </w:r>
      <w:r w:rsidRPr="00024953">
        <w:rPr>
          <w:rFonts w:hint="cs"/>
          <w:kern w:val="0"/>
          <w:rtl/>
        </w:rPr>
        <w:tab/>
        <w:t xml:space="preserve">مثل المحكمة الدستورية لجنوب أفريقيا: </w:t>
      </w:r>
      <w:r w:rsidRPr="00024953">
        <w:rPr>
          <w:rFonts w:hint="cs"/>
          <w:i/>
          <w:iCs/>
          <w:kern w:val="0"/>
          <w:rtl/>
        </w:rPr>
        <w:t>حكومة جمهورية جنوب أفريقيا وآخرون ضد غروتبوم وآخرين</w:t>
      </w:r>
      <w:r w:rsidRPr="00024953">
        <w:rPr>
          <w:rFonts w:hint="cs"/>
          <w:kern w:val="0"/>
          <w:rtl/>
        </w:rPr>
        <w:t xml:space="preserve"> </w:t>
      </w:r>
      <w:r w:rsidRPr="00024953">
        <w:rPr>
          <w:kern w:val="0"/>
        </w:rPr>
        <w:t>2000 (11) BCLR 1169 (CC)</w:t>
      </w:r>
      <w:r w:rsidRPr="00024953">
        <w:rPr>
          <w:rFonts w:hint="cs"/>
          <w:kern w:val="0"/>
          <w:rtl/>
        </w:rPr>
        <w:t xml:space="preserve"> (جاء في الحكم أن الحكومة أخفقت في الوفاء بالتزامها توفير السكن اللائق لمن هم في أمسّ الحاجة إليه)؛ و</w:t>
      </w:r>
      <w:r w:rsidRPr="00024953">
        <w:rPr>
          <w:rFonts w:hint="cs"/>
          <w:i/>
          <w:iCs/>
          <w:kern w:val="0"/>
          <w:rtl/>
        </w:rPr>
        <w:t>وزارة الصحة ضد "</w:t>
      </w:r>
      <w:r w:rsidRPr="00024953">
        <w:rPr>
          <w:rFonts w:hint="cs"/>
          <w:i/>
          <w:iCs/>
          <w:kern w:val="0"/>
          <w:rtl/>
          <w:lang w:bidi="ar"/>
        </w:rPr>
        <w:t>حملة العمل من أجل العلاج"</w:t>
      </w:r>
      <w:r w:rsidRPr="00024953">
        <w:rPr>
          <w:rFonts w:hint="cs"/>
          <w:kern w:val="0"/>
          <w:rtl/>
          <w:lang w:bidi="ar"/>
        </w:rPr>
        <w:t xml:space="preserve"> </w:t>
      </w:r>
      <w:r w:rsidRPr="00024953">
        <w:rPr>
          <w:kern w:val="0"/>
        </w:rPr>
        <w:t>(2002) 5 SA 721 (CC)</w:t>
      </w:r>
      <w:r w:rsidRPr="00024953">
        <w:rPr>
          <w:rFonts w:hint="cs"/>
          <w:kern w:val="0"/>
          <w:rtl/>
        </w:rPr>
        <w:t xml:space="preserve"> (جاء في الحكم أن الحكومة أخلت بالتزاماتها بموجب حقوق الإنسان عندما امتنعت عن اتخاذ تدابير معقولة (تستطيع تحمل تكلفتها) لتوسيع نطاق توفير العلاج المضاد للفيروسات التراجعية الذي يحول دون انتقال فيروس نقص المناعة البشرية من الأم إلى الطفل). وانظر أيضاً </w:t>
      </w:r>
      <w:r w:rsidRPr="00024953">
        <w:rPr>
          <w:rFonts w:hint="cs"/>
          <w:i/>
          <w:iCs/>
          <w:kern w:val="0"/>
          <w:rtl/>
          <w:lang w:bidi="ar"/>
        </w:rPr>
        <w:t>اتحاد الشعب من أجل الحريات المدنية وآخر ضد اتحاد الهند وآخرين</w:t>
      </w:r>
      <w:r w:rsidRPr="00024953">
        <w:rPr>
          <w:rFonts w:hint="cs"/>
          <w:kern w:val="0"/>
          <w:rtl/>
          <w:lang w:bidi="ar"/>
        </w:rPr>
        <w:t xml:space="preserve">، المحكمة العليا في الهند، سلطة قضائية مدنية ابتدائية، طلب الأمر المستعجل (المدني) رقم 196 لعام 2001، الحكم الصادر في 2 أيار/مايو 2003 (بشأن الحق في الغذاء في سياق مجاعة كان يمكن تفاديها في راجستان). وانظر </w:t>
      </w:r>
      <w:r w:rsidRPr="00024953">
        <w:rPr>
          <w:kern w:val="0"/>
        </w:rPr>
        <w:t>Frequently Asked Questions on a Human Rights-Based Approach to Development Cooperation (United Nations 2006), p. 3</w:t>
      </w:r>
      <w:r w:rsidR="005D3065">
        <w:rPr>
          <w:rFonts w:hint="cs"/>
          <w:kern w:val="0"/>
          <w:rtl/>
        </w:rPr>
        <w:t>.</w:t>
      </w:r>
    </w:p>
  </w:footnote>
  <w:footnote w:id="37">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المبادئ المتعلقة بمركز المؤسسات الوطنية، مرفق الوثيقة </w:t>
      </w:r>
      <w:r w:rsidRPr="00024953">
        <w:rPr>
          <w:w w:val="103"/>
          <w:kern w:val="0"/>
        </w:rPr>
        <w:t>A/RES/48/134</w:t>
      </w:r>
      <w:r w:rsidRPr="00024953">
        <w:rPr>
          <w:rFonts w:hint="cs"/>
          <w:w w:val="103"/>
          <w:kern w:val="0"/>
          <w:rtl/>
        </w:rPr>
        <w:t>.</w:t>
      </w:r>
    </w:p>
  </w:footnote>
  <w:footnote w:id="38">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اللجنة الوطنية لحقوق الإنسان في رواندا. وتمنح بعض المؤسسات الوطنية لحقوق الإنسان أيضا</w:t>
      </w:r>
      <w:r w:rsidR="005D3065">
        <w:rPr>
          <w:rFonts w:hint="cs"/>
          <w:w w:val="103"/>
          <w:kern w:val="0"/>
          <w:rtl/>
        </w:rPr>
        <w:t>ً</w:t>
      </w:r>
      <w:r w:rsidRPr="00024953">
        <w:rPr>
          <w:rFonts w:hint="cs"/>
          <w:w w:val="103"/>
          <w:kern w:val="0"/>
          <w:rtl/>
        </w:rPr>
        <w:t xml:space="preserve"> صفة هيئة مستقلة بموجب المادة 33 من اتفاقية حقوق الأشخاص ذوي الإعاقة.</w:t>
      </w:r>
    </w:p>
  </w:footnote>
  <w:footnote w:id="39">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لجنة حقوق الإنسان في ماليزيا.</w:t>
      </w:r>
    </w:p>
  </w:footnote>
  <w:footnote w:id="40">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اللجنة الوطنية لحقوق الإنسان في المكسيك.</w:t>
      </w:r>
    </w:p>
  </w:footnote>
  <w:footnote w:id="41">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رد </w:t>
      </w:r>
      <w:r w:rsidRPr="00024953">
        <w:rPr>
          <w:w w:val="103"/>
          <w:kern w:val="0"/>
          <w:rtl/>
        </w:rPr>
        <w:t>هيئة تفتيش السجون التابعة لجلالة الملكة</w:t>
      </w:r>
      <w:r w:rsidRPr="00024953">
        <w:rPr>
          <w:rFonts w:hint="cs"/>
          <w:w w:val="103"/>
          <w:kern w:val="0"/>
          <w:rtl/>
        </w:rPr>
        <w:t>.</w:t>
      </w:r>
    </w:p>
  </w:footnote>
  <w:footnote w:id="42">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تقرير المقررة الخاصة المعنية بحالة المدافعين عن حقوق الإنسان، عناصر البيئة الآمنة والمواتية للمدافعين عن حقوق الإنسان (</w:t>
      </w:r>
      <w:r w:rsidRPr="00024953">
        <w:rPr>
          <w:w w:val="103"/>
          <w:kern w:val="0"/>
        </w:rPr>
        <w:t>A/HRC/25/55</w:t>
      </w:r>
      <w:r w:rsidRPr="00024953">
        <w:rPr>
          <w:rFonts w:hint="cs"/>
          <w:w w:val="103"/>
          <w:kern w:val="0"/>
          <w:rtl/>
        </w:rPr>
        <w:t xml:space="preserve">). وانظر أيضاً </w:t>
      </w:r>
      <w:r w:rsidRPr="00024953">
        <w:rPr>
          <w:w w:val="103"/>
          <w:kern w:val="0"/>
        </w:rPr>
        <w:t>“Civil Society Space and The United Nations Human Rights System” (OHCHR, 2014)</w:t>
      </w:r>
      <w:r w:rsidRPr="00024953">
        <w:rPr>
          <w:rFonts w:hint="cs"/>
          <w:w w:val="103"/>
          <w:kern w:val="0"/>
          <w:rtl/>
        </w:rPr>
        <w:t>؛ وقرار الجمعية العامة 53/144، الإعلان المتعلق بحق ومسؤولية الأفراد والجماعات وهيئات المجتمع في تعزيز وحماية حقوق الإنسان والحريات الأساسية المعترف بها عالمياً.</w:t>
      </w:r>
    </w:p>
  </w:footnote>
  <w:footnote w:id="43">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انظر التوصية الواردة في الوثيقة </w:t>
      </w:r>
      <w:r w:rsidRPr="00024953">
        <w:rPr>
          <w:w w:val="103"/>
          <w:kern w:val="0"/>
        </w:rPr>
        <w:t>A/HRC/28/63</w:t>
      </w:r>
      <w:r w:rsidRPr="00024953">
        <w:rPr>
          <w:rFonts w:hint="cs"/>
          <w:w w:val="103"/>
          <w:kern w:val="0"/>
          <w:rtl/>
        </w:rPr>
        <w:t>؛ وسياسات اللجنة الفرعية لمنع التعذيب بشأن الأعمال الانتقالية فيما يتصل بولاية اللجنة التي تخولها القيام بزيارات.</w:t>
      </w:r>
    </w:p>
  </w:footnote>
  <w:footnote w:id="44">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ترينيداد وتوباغو.</w:t>
      </w:r>
    </w:p>
  </w:footnote>
  <w:footnote w:id="45">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كوبا.</w:t>
      </w:r>
    </w:p>
  </w:footnote>
  <w:footnote w:id="46">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المبدأ التوجيهي 1 بشأن الأعمال التجارية وحقوق الإنسان.</w:t>
      </w:r>
    </w:p>
  </w:footnote>
  <w:footnote w:id="47">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المرجع السابق، المبدأ التوجيهي 5 والتعليق.</w:t>
      </w:r>
    </w:p>
  </w:footnote>
  <w:footnote w:id="48">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الفقرة 8 من التعليق العام رقم 35 للجنة المعنية بحقوق الإنسان.</w:t>
      </w:r>
    </w:p>
  </w:footnote>
  <w:footnote w:id="49">
    <w:p w:rsidR="006D19E9" w:rsidRPr="00024953" w:rsidRDefault="006D19E9" w:rsidP="006D19E9">
      <w:pPr>
        <w:pStyle w:val="FootnoteText"/>
        <w:tabs>
          <w:tab w:val="right" w:pos="1196"/>
          <w:tab w:val="left" w:pos="1264"/>
        </w:tabs>
        <w:spacing w:after="80"/>
        <w:ind w:left="1264" w:right="1264" w:hanging="544"/>
        <w:rPr>
          <w:spacing w:val="-4"/>
          <w:w w:val="103"/>
          <w:kern w:val="0"/>
        </w:rPr>
      </w:pPr>
      <w:r w:rsidRPr="00024953">
        <w:rPr>
          <w:rStyle w:val="FootnoteReference"/>
          <w:rFonts w:hint="cs"/>
          <w:color w:val="auto"/>
          <w:spacing w:val="-4"/>
          <w:kern w:val="0"/>
          <w:vertAlign w:val="baseline"/>
          <w:rtl/>
        </w:rPr>
        <w:tab/>
      </w:r>
      <w:r w:rsidRPr="00024953">
        <w:rPr>
          <w:rStyle w:val="FootnoteReference"/>
          <w:color w:val="auto"/>
          <w:spacing w:val="-4"/>
          <w:kern w:val="0"/>
          <w:vertAlign w:val="baseline"/>
          <w:rtl/>
        </w:rPr>
        <w:t>(</w:t>
      </w:r>
      <w:r w:rsidRPr="00024953">
        <w:rPr>
          <w:rStyle w:val="FootnoteReference"/>
          <w:color w:val="auto"/>
          <w:spacing w:val="-4"/>
          <w:kern w:val="0"/>
          <w:vertAlign w:val="baseline"/>
          <w:rtl/>
        </w:rPr>
        <w:footnoteRef/>
      </w:r>
      <w:r w:rsidRPr="00024953">
        <w:rPr>
          <w:rStyle w:val="FootnoteReference"/>
          <w:color w:val="auto"/>
          <w:spacing w:val="-4"/>
          <w:kern w:val="0"/>
          <w:vertAlign w:val="baseline"/>
          <w:rtl/>
        </w:rPr>
        <w:t>)</w:t>
      </w:r>
      <w:r w:rsidRPr="00024953">
        <w:rPr>
          <w:rFonts w:hint="cs"/>
          <w:spacing w:val="-4"/>
          <w:w w:val="103"/>
          <w:kern w:val="0"/>
          <w:rtl/>
        </w:rPr>
        <w:tab/>
        <w:t xml:space="preserve">انظر أيضاً </w:t>
      </w:r>
      <w:r w:rsidRPr="00024953">
        <w:rPr>
          <w:spacing w:val="-4"/>
          <w:w w:val="103"/>
          <w:kern w:val="0"/>
        </w:rPr>
        <w:t>“The Corporate Responsibility to Respect Human Rights – An Interpretive Guide” (OHCHR, 2012)</w:t>
      </w:r>
      <w:r w:rsidR="00024953" w:rsidRPr="00024953">
        <w:rPr>
          <w:rFonts w:hint="cs"/>
          <w:spacing w:val="-4"/>
          <w:w w:val="103"/>
          <w:kern w:val="0"/>
          <w:rtl/>
        </w:rPr>
        <w:t>.</w:t>
      </w:r>
    </w:p>
  </w:footnote>
  <w:footnote w:id="50">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الفقرة 2 من </w:t>
      </w:r>
      <w:r w:rsidRPr="00024953">
        <w:rPr>
          <w:w w:val="103"/>
          <w:kern w:val="0"/>
          <w:rtl/>
        </w:rPr>
        <w:t>إعلان الأمم المتحدة للتثقيف والتدريب في ميدان حقوق الإنسان</w:t>
      </w:r>
      <w:r w:rsidRPr="00024953">
        <w:rPr>
          <w:rFonts w:hint="cs"/>
          <w:w w:val="103"/>
          <w:kern w:val="0"/>
          <w:rtl/>
        </w:rPr>
        <w:t xml:space="preserve">؛ والفقرات 1-9 من الوثيقة </w:t>
      </w:r>
      <w:r w:rsidRPr="00024953">
        <w:rPr>
          <w:w w:val="103"/>
          <w:kern w:val="0"/>
        </w:rPr>
        <w:t>A/HRC/27/28</w:t>
      </w:r>
      <w:r w:rsidRPr="00024953">
        <w:rPr>
          <w:rFonts w:hint="cs"/>
          <w:w w:val="103"/>
          <w:kern w:val="0"/>
          <w:rtl/>
        </w:rPr>
        <w:t>.</w:t>
      </w:r>
    </w:p>
  </w:footnote>
  <w:footnote w:id="51">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قبرص؛ وردّ المكسيك؛ وردّ الإمارات العربية المتحدة.</w:t>
      </w:r>
    </w:p>
  </w:footnote>
  <w:footnote w:id="52">
    <w:p w:rsidR="006D19E9" w:rsidRPr="00024953" w:rsidRDefault="006D19E9" w:rsidP="00024953">
      <w:pPr>
        <w:pStyle w:val="FootnoteText"/>
        <w:tabs>
          <w:tab w:val="right" w:pos="1196"/>
          <w:tab w:val="left" w:pos="1264"/>
        </w:tabs>
        <w:spacing w:after="80"/>
        <w:ind w:left="1264" w:right="1264" w:hanging="544"/>
        <w:rPr>
          <w:w w:val="103"/>
          <w:kern w:val="0"/>
          <w:rtl/>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انظر </w:t>
      </w:r>
      <w:r w:rsidRPr="00024953">
        <w:rPr>
          <w:w w:val="103"/>
          <w:kern w:val="0"/>
        </w:rPr>
        <w:t>“The Right to Human Rights Education”</w:t>
      </w:r>
      <w:r w:rsidRPr="00024953">
        <w:rPr>
          <w:rFonts w:hint="cs"/>
          <w:w w:val="103"/>
          <w:kern w:val="0"/>
          <w:rtl/>
        </w:rPr>
        <w:t xml:space="preserve">، وهو من موارد الشبكة التجميعية التي تحتوي على الالتزامات ذات الصلة التي تعهدت بها الدول في المحافل الحكومية الدولية الحكومية المعقودة على الصعيدين الدولي والإقليمي، وهو متاح على الرابط التالي: </w:t>
      </w:r>
      <w:r w:rsidR="00024953">
        <w:rPr>
          <w:rFonts w:hint="cs"/>
          <w:w w:val="103"/>
          <w:kern w:val="0"/>
          <w:rtl/>
        </w:rPr>
        <w:tab/>
      </w:r>
      <w:r w:rsidR="00024953">
        <w:rPr>
          <w:w w:val="103"/>
          <w:kern w:val="0"/>
          <w:rtl/>
        </w:rPr>
        <w:br/>
      </w:r>
      <w:r w:rsidRPr="00024953">
        <w:rPr>
          <w:w w:val="103"/>
          <w:kern w:val="0"/>
        </w:rPr>
        <w:t>http://www.ohchr.org/EN/Issues/Education/Training/Compilation/Pages/Listofcontents.aspx</w:t>
      </w:r>
      <w:r w:rsidR="00024953">
        <w:rPr>
          <w:rFonts w:hint="cs"/>
          <w:w w:val="103"/>
          <w:kern w:val="0"/>
          <w:rtl/>
        </w:rPr>
        <w:t>.</w:t>
      </w:r>
    </w:p>
  </w:footnote>
  <w:footnote w:id="53">
    <w:p w:rsidR="006D19E9" w:rsidRPr="00024953" w:rsidRDefault="006D19E9" w:rsidP="006D19E9">
      <w:pPr>
        <w:pStyle w:val="FootnoteText"/>
        <w:tabs>
          <w:tab w:val="right" w:pos="1196"/>
          <w:tab w:val="left" w:pos="1264"/>
        </w:tabs>
        <w:spacing w:after="80"/>
        <w:ind w:left="1264" w:right="1264" w:hanging="544"/>
        <w:rPr>
          <w:spacing w:val="-2"/>
          <w:w w:val="103"/>
          <w:kern w:val="0"/>
          <w:rtl/>
        </w:rPr>
      </w:pPr>
      <w:r w:rsidRPr="00024953">
        <w:rPr>
          <w:rStyle w:val="FootnoteReference"/>
          <w:rFonts w:hint="cs"/>
          <w:color w:val="auto"/>
          <w:spacing w:val="-2"/>
          <w:kern w:val="0"/>
          <w:vertAlign w:val="baseline"/>
          <w:rtl/>
        </w:rPr>
        <w:tab/>
      </w:r>
      <w:r w:rsidRPr="00024953">
        <w:rPr>
          <w:rStyle w:val="FootnoteReference"/>
          <w:color w:val="auto"/>
          <w:spacing w:val="-2"/>
          <w:kern w:val="0"/>
          <w:vertAlign w:val="baseline"/>
          <w:rtl/>
        </w:rPr>
        <w:t>(</w:t>
      </w:r>
      <w:r w:rsidRPr="00024953">
        <w:rPr>
          <w:rStyle w:val="FootnoteReference"/>
          <w:color w:val="auto"/>
          <w:spacing w:val="-2"/>
          <w:kern w:val="0"/>
          <w:vertAlign w:val="baseline"/>
          <w:rtl/>
        </w:rPr>
        <w:footnoteRef/>
      </w:r>
      <w:r w:rsidRPr="00024953">
        <w:rPr>
          <w:rStyle w:val="FootnoteReference"/>
          <w:color w:val="auto"/>
          <w:spacing w:val="-2"/>
          <w:kern w:val="0"/>
          <w:vertAlign w:val="baseline"/>
          <w:rtl/>
        </w:rPr>
        <w:t>)</w:t>
      </w:r>
      <w:r w:rsidRPr="00024953">
        <w:rPr>
          <w:rFonts w:hint="cs"/>
          <w:spacing w:val="-2"/>
          <w:w w:val="103"/>
          <w:kern w:val="0"/>
          <w:rtl/>
        </w:rPr>
        <w:tab/>
      </w:r>
      <w:r w:rsidRPr="00024953">
        <w:rPr>
          <w:spacing w:val="-2"/>
          <w:w w:val="103"/>
          <w:kern w:val="0"/>
        </w:rPr>
        <w:t xml:space="preserve">Bertrand G. Ramcharan, </w:t>
      </w:r>
      <w:r w:rsidRPr="00024953">
        <w:rPr>
          <w:i/>
          <w:iCs/>
          <w:spacing w:val="-2"/>
          <w:w w:val="103"/>
          <w:kern w:val="0"/>
        </w:rPr>
        <w:t>Preventive Human Rights Strategies</w:t>
      </w:r>
      <w:r w:rsidRPr="00024953">
        <w:rPr>
          <w:spacing w:val="-2"/>
          <w:w w:val="103"/>
          <w:kern w:val="0"/>
        </w:rPr>
        <w:t xml:space="preserve"> (London, New York, Routledge, 2010) p. 52</w:t>
      </w:r>
      <w:r w:rsidR="00024953" w:rsidRPr="00024953">
        <w:rPr>
          <w:rFonts w:hint="cs"/>
          <w:spacing w:val="-2"/>
          <w:w w:val="103"/>
          <w:kern w:val="0"/>
          <w:rtl/>
        </w:rPr>
        <w:t>.</w:t>
      </w:r>
    </w:p>
  </w:footnote>
  <w:footnote w:id="54">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قرار الجمعية العامة 59/113، البرنامج العالمي للتثقيف في مجال حقوق الإنسان.</w:t>
      </w:r>
    </w:p>
  </w:footnote>
  <w:footnote w:id="55">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المركز الفنلندي لحقوق الإنسان.</w:t>
      </w:r>
    </w:p>
  </w:footnote>
  <w:footnote w:id="56">
    <w:p w:rsidR="006D19E9" w:rsidRPr="00024953" w:rsidRDefault="006D19E9" w:rsidP="006D19E9">
      <w:pPr>
        <w:pStyle w:val="FootnoteText"/>
        <w:tabs>
          <w:tab w:val="right" w:pos="1196"/>
          <w:tab w:val="left" w:pos="1264"/>
        </w:tabs>
        <w:spacing w:after="80"/>
        <w:ind w:left="1264" w:right="1264" w:hanging="544"/>
        <w:rPr>
          <w:w w:val="103"/>
          <w:kern w:val="0"/>
          <w:rtl/>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ردّ </w:t>
      </w:r>
      <w:r w:rsidRPr="00024953">
        <w:rPr>
          <w:rFonts w:hint="cs"/>
          <w:w w:val="103"/>
          <w:kern w:val="0"/>
          <w:rtl/>
          <w:lang w:bidi="ar"/>
        </w:rPr>
        <w:t xml:space="preserve">شبكة العلماء المعرضين للخطر. وانظر </w:t>
      </w:r>
      <w:r w:rsidRPr="00024953">
        <w:rPr>
          <w:w w:val="103"/>
          <w:kern w:val="0"/>
        </w:rPr>
        <w:t>Global Coalition to Protect Education from Attack: Principles of State Responsibility to Protect Higher Education from Attack</w:t>
      </w:r>
      <w:r w:rsidR="00024953">
        <w:rPr>
          <w:rFonts w:hint="cs"/>
          <w:w w:val="103"/>
          <w:kern w:val="0"/>
          <w:rtl/>
        </w:rPr>
        <w:t>.</w:t>
      </w:r>
    </w:p>
  </w:footnote>
  <w:footnote w:id="57">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ردّ </w:t>
      </w:r>
      <w:r w:rsidRPr="00024953">
        <w:rPr>
          <w:rFonts w:hint="cs"/>
          <w:w w:val="103"/>
          <w:kern w:val="0"/>
          <w:rtl/>
          <w:lang w:bidi="ar"/>
        </w:rPr>
        <w:t>وكالة نشر القانون الإنساني الدولي في أفريقيا الوسطى.</w:t>
      </w:r>
    </w:p>
  </w:footnote>
  <w:footnote w:id="58">
    <w:p w:rsidR="006D19E9" w:rsidRPr="00024953" w:rsidRDefault="006D19E9" w:rsidP="006D19E9">
      <w:pPr>
        <w:pStyle w:val="FootnoteText"/>
        <w:tabs>
          <w:tab w:val="right" w:pos="1196"/>
          <w:tab w:val="left" w:pos="1264"/>
        </w:tabs>
        <w:spacing w:after="80"/>
        <w:ind w:left="1264" w:right="1264" w:hanging="544"/>
        <w:rPr>
          <w:w w:val="103"/>
          <w:kern w:val="0"/>
          <w:rtl/>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انظر </w:t>
      </w:r>
      <w:hyperlink r:id="rId1" w:history="1">
        <w:r w:rsidRPr="00024953">
          <w:rPr>
            <w:w w:val="103"/>
            <w:kern w:val="0"/>
          </w:rPr>
          <w:t>http://www.ohchr.org/EN/Issues/Education/Training/Pages/HREducationTrainingIndex.aspx</w:t>
        </w:r>
      </w:hyperlink>
      <w:r w:rsidR="00024953">
        <w:rPr>
          <w:rFonts w:hint="cs"/>
          <w:w w:val="103"/>
          <w:kern w:val="0"/>
          <w:rtl/>
        </w:rPr>
        <w:t>.</w:t>
      </w:r>
    </w:p>
  </w:footnote>
  <w:footnote w:id="59">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قطر؛ وردّ اللجنة الوطنية لحقوق الإنسان في كوريا.</w:t>
      </w:r>
    </w:p>
  </w:footnote>
  <w:footnote w:id="60">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المركز الوطني السلوفاكي لحقوق الإنسان.</w:t>
      </w:r>
    </w:p>
  </w:footnote>
  <w:footnote w:id="61">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المركز الوطني الأردني لحقوق الإنسان.</w:t>
      </w:r>
    </w:p>
  </w:footnote>
  <w:footnote w:id="62">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مجلس أمين المظالم النمساوي.</w:t>
      </w:r>
    </w:p>
  </w:footnote>
  <w:footnote w:id="63">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أوصى </w:t>
      </w:r>
      <w:r w:rsidRPr="00024953">
        <w:rPr>
          <w:rFonts w:hint="cs"/>
          <w:w w:val="103"/>
          <w:kern w:val="0"/>
          <w:rtl/>
          <w:lang w:bidi="ar"/>
        </w:rPr>
        <w:t>إعلان وبرنامج عمل فيينا المعتمدين في المؤتمر العالمي لحقوق الإنسان المعقود عام 1993 "بأن تنظر كل دولة في استصواب صياغة خطة عمل وطنية تبين الخطوات التي ستحسن الدولة بها تعزيز وحماية حقوق الإنسان</w:t>
      </w:r>
      <w:r w:rsidR="00697057" w:rsidRPr="00024953">
        <w:rPr>
          <w:w w:val="103"/>
          <w:kern w:val="0"/>
          <w:rtl/>
          <w:lang w:bidi="ar"/>
        </w:rPr>
        <w:t>"</w:t>
      </w:r>
      <w:r w:rsidR="00697057" w:rsidRPr="00024953">
        <w:rPr>
          <w:rFonts w:hint="cs"/>
          <w:w w:val="103"/>
          <w:kern w:val="0"/>
          <w:rtl/>
          <w:lang w:bidi="ar"/>
        </w:rPr>
        <w:t>.</w:t>
      </w:r>
      <w:r w:rsidRPr="00024953">
        <w:rPr>
          <w:rFonts w:hint="cs"/>
          <w:w w:val="103"/>
          <w:kern w:val="0"/>
          <w:rtl/>
          <w:lang w:bidi="ar"/>
        </w:rPr>
        <w:t xml:space="preserve"> انظر </w:t>
      </w:r>
      <w:r w:rsidRPr="00024953">
        <w:rPr>
          <w:i/>
          <w:iCs/>
          <w:w w:val="103"/>
          <w:kern w:val="0"/>
        </w:rPr>
        <w:t xml:space="preserve">Handbook on National Human Rights Plans of Action </w:t>
      </w:r>
      <w:r w:rsidRPr="00024953">
        <w:rPr>
          <w:w w:val="103"/>
          <w:kern w:val="0"/>
        </w:rPr>
        <w:t>(United Nations, 2002)</w:t>
      </w:r>
      <w:r w:rsidR="005D3065">
        <w:rPr>
          <w:rFonts w:hint="cs"/>
          <w:w w:val="103"/>
          <w:kern w:val="0"/>
          <w:rtl/>
        </w:rPr>
        <w:t>.</w:t>
      </w:r>
    </w:p>
  </w:footnote>
  <w:footnote w:id="64">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ردّ ألبانيا؛ وردّ </w:t>
      </w:r>
      <w:r w:rsidRPr="00024953">
        <w:rPr>
          <w:rFonts w:hint="cs"/>
          <w:w w:val="103"/>
          <w:kern w:val="0"/>
          <w:rtl/>
          <w:lang w:bidi="ar"/>
        </w:rPr>
        <w:t xml:space="preserve">كازاخستان؛ ورد هندوراس. وقد عكست الوثائق المقدّمة طائفة واسعة من التشريعات والسياسات والبرامج المتعلقة بجملة مسائل منها الاتجار والهجرة والعنف ضد المرأة. وانظر أيضاً الفقرتين 9 و10 من الوثيقة </w:t>
      </w:r>
      <w:r w:rsidRPr="00024953">
        <w:rPr>
          <w:w w:val="103"/>
          <w:kern w:val="0"/>
        </w:rPr>
        <w:t>A/HRC/18/24</w:t>
      </w:r>
      <w:r w:rsidRPr="00024953">
        <w:rPr>
          <w:rFonts w:hint="cs"/>
          <w:w w:val="103"/>
          <w:kern w:val="0"/>
          <w:rtl/>
        </w:rPr>
        <w:t>.</w:t>
      </w:r>
    </w:p>
  </w:footnote>
  <w:footnote w:id="65">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الأرجنتين، وردّ جورجيا. وانظر أيضاً الفقرتين 18</w:t>
      </w:r>
      <w:r w:rsidR="005D3065">
        <w:rPr>
          <w:rFonts w:hint="cs"/>
          <w:w w:val="103"/>
          <w:kern w:val="0"/>
          <w:rtl/>
        </w:rPr>
        <w:t xml:space="preserve"> </w:t>
      </w:r>
      <w:r w:rsidRPr="00024953">
        <w:rPr>
          <w:rFonts w:hint="cs"/>
          <w:w w:val="103"/>
          <w:kern w:val="0"/>
          <w:rtl/>
        </w:rPr>
        <w:t xml:space="preserve">و19 من الوثيقة </w:t>
      </w:r>
      <w:r w:rsidRPr="00024953">
        <w:rPr>
          <w:w w:val="103"/>
          <w:kern w:val="0"/>
        </w:rPr>
        <w:t>A/HRC/18/24</w:t>
      </w:r>
      <w:r w:rsidRPr="00024953">
        <w:rPr>
          <w:rFonts w:hint="cs"/>
          <w:w w:val="103"/>
          <w:kern w:val="0"/>
          <w:rtl/>
        </w:rPr>
        <w:t>.</w:t>
      </w:r>
    </w:p>
  </w:footnote>
  <w:footnote w:id="66">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سلوفاكيا.</w:t>
      </w:r>
    </w:p>
  </w:footnote>
  <w:footnote w:id="67">
    <w:p w:rsidR="006D19E9" w:rsidRPr="00024953" w:rsidRDefault="006D19E9" w:rsidP="00FE0EA2">
      <w:pPr>
        <w:pStyle w:val="FootnoteText"/>
        <w:tabs>
          <w:tab w:val="right" w:pos="1196"/>
          <w:tab w:val="left" w:pos="1264"/>
        </w:tabs>
        <w:spacing w:after="60" w:line="280" w:lineRule="exact"/>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أشارت اتفاقية حقوق الطفل إلى أهمية الميزنة في تحقيق المصلحة العليا للطفل (الفقرة 35 من التعليق العام رقم</w:t>
      </w:r>
      <w:r w:rsidR="00024953" w:rsidRPr="00024953">
        <w:rPr>
          <w:rFonts w:hint="eastAsia"/>
          <w:w w:val="103"/>
          <w:kern w:val="0"/>
          <w:rtl/>
        </w:rPr>
        <w:t> </w:t>
      </w:r>
      <w:r w:rsidRPr="00024953">
        <w:rPr>
          <w:rFonts w:hint="cs"/>
          <w:w w:val="103"/>
          <w:kern w:val="0"/>
          <w:rtl/>
        </w:rPr>
        <w:t xml:space="preserve">14(2013)). وانظر أيضاً الفقرة 19 من الوثيقة </w:t>
      </w:r>
      <w:r w:rsidRPr="00024953">
        <w:rPr>
          <w:w w:val="103"/>
          <w:kern w:val="0"/>
        </w:rPr>
        <w:t>A/HRC/28/30</w:t>
      </w:r>
      <w:r w:rsidRPr="00024953">
        <w:rPr>
          <w:rFonts w:hint="cs"/>
          <w:w w:val="103"/>
          <w:kern w:val="0"/>
          <w:rtl/>
        </w:rPr>
        <w:t>.</w:t>
      </w:r>
    </w:p>
  </w:footnote>
  <w:footnote w:id="68">
    <w:p w:rsidR="006D19E9" w:rsidRPr="00FE0EA2" w:rsidRDefault="006D19E9" w:rsidP="00FE0EA2">
      <w:pPr>
        <w:pStyle w:val="FootnoteText"/>
        <w:tabs>
          <w:tab w:val="right" w:pos="1196"/>
          <w:tab w:val="left" w:pos="1264"/>
        </w:tabs>
        <w:spacing w:after="60" w:line="280" w:lineRule="exact"/>
        <w:ind w:left="1264" w:right="1264" w:hanging="544"/>
        <w:rPr>
          <w:spacing w:val="-4"/>
          <w:w w:val="103"/>
          <w:kern w:val="0"/>
        </w:rPr>
      </w:pPr>
      <w:r w:rsidRPr="00FE0EA2">
        <w:rPr>
          <w:rStyle w:val="FootnoteReference"/>
          <w:rFonts w:hint="cs"/>
          <w:color w:val="auto"/>
          <w:spacing w:val="-4"/>
          <w:kern w:val="0"/>
          <w:vertAlign w:val="baseline"/>
          <w:rtl/>
        </w:rPr>
        <w:tab/>
      </w:r>
      <w:r w:rsidRPr="00FE0EA2">
        <w:rPr>
          <w:rStyle w:val="FootnoteReference"/>
          <w:color w:val="auto"/>
          <w:spacing w:val="-4"/>
          <w:kern w:val="0"/>
          <w:vertAlign w:val="baseline"/>
          <w:rtl/>
        </w:rPr>
        <w:t>(</w:t>
      </w:r>
      <w:r w:rsidRPr="00FE0EA2">
        <w:rPr>
          <w:rStyle w:val="FootnoteReference"/>
          <w:color w:val="auto"/>
          <w:spacing w:val="-4"/>
          <w:kern w:val="0"/>
          <w:vertAlign w:val="baseline"/>
          <w:rtl/>
        </w:rPr>
        <w:footnoteRef/>
      </w:r>
      <w:r w:rsidRPr="00FE0EA2">
        <w:rPr>
          <w:rStyle w:val="FootnoteReference"/>
          <w:color w:val="auto"/>
          <w:spacing w:val="-4"/>
          <w:kern w:val="0"/>
          <w:vertAlign w:val="baseline"/>
          <w:rtl/>
        </w:rPr>
        <w:t>)</w:t>
      </w:r>
      <w:r w:rsidRPr="00FE0EA2">
        <w:rPr>
          <w:rFonts w:hint="cs"/>
          <w:spacing w:val="-4"/>
          <w:w w:val="103"/>
          <w:kern w:val="0"/>
          <w:rtl/>
        </w:rPr>
        <w:tab/>
        <w:t>للتوضيح، يرجى مراجعة التقرير السنوي لمفوضية الأمم المتحدة السامية لحقوق الإنسان لعام 2011، ص 64-66.</w:t>
      </w:r>
    </w:p>
  </w:footnote>
  <w:footnote w:id="69">
    <w:p w:rsidR="006D19E9" w:rsidRPr="00024953" w:rsidRDefault="006D19E9" w:rsidP="00FE0EA2">
      <w:pPr>
        <w:pStyle w:val="FootnoteText"/>
        <w:tabs>
          <w:tab w:val="right" w:pos="1196"/>
          <w:tab w:val="left" w:pos="1264"/>
        </w:tabs>
        <w:spacing w:after="60" w:line="280" w:lineRule="exact"/>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أمين مظالم جمهورية لاتفيا.</w:t>
      </w:r>
    </w:p>
  </w:footnote>
  <w:footnote w:id="70">
    <w:p w:rsidR="006D19E9" w:rsidRPr="00024953" w:rsidRDefault="006D19E9" w:rsidP="00FE0EA2">
      <w:pPr>
        <w:pStyle w:val="FootnoteText"/>
        <w:tabs>
          <w:tab w:val="right" w:pos="1196"/>
          <w:tab w:val="left" w:pos="1264"/>
        </w:tabs>
        <w:spacing w:after="60" w:line="280" w:lineRule="exact"/>
        <w:ind w:left="1264" w:right="1264" w:hanging="544"/>
        <w:rPr>
          <w:w w:val="103"/>
          <w:kern w:val="0"/>
          <w:rtl/>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r>
      <w:r w:rsidRPr="00024953">
        <w:rPr>
          <w:w w:val="103"/>
          <w:kern w:val="0"/>
        </w:rPr>
        <w:t>Ariranga G. Pillay, Chairperson, Committee on Economic, Social and Cultural Rights, Letter to States Parties, 16 May 2012</w:t>
      </w:r>
      <w:r w:rsidRPr="00024953">
        <w:rPr>
          <w:rFonts w:hint="cs"/>
          <w:w w:val="103"/>
          <w:kern w:val="0"/>
          <w:rtl/>
        </w:rPr>
        <w:t xml:space="preserve">، والوثيقة متاحة على الرابط التالي: </w:t>
      </w:r>
      <w:r w:rsidR="00FE0EA2">
        <w:rPr>
          <w:rFonts w:hint="cs"/>
          <w:w w:val="103"/>
          <w:kern w:val="0"/>
          <w:rtl/>
        </w:rPr>
        <w:tab/>
      </w:r>
      <w:r w:rsidR="00FE0EA2">
        <w:rPr>
          <w:w w:val="103"/>
          <w:kern w:val="0"/>
          <w:rtl/>
        </w:rPr>
        <w:br/>
      </w:r>
      <w:hyperlink r:id="rId2" w:history="1">
        <w:r w:rsidRPr="00024953">
          <w:rPr>
            <w:w w:val="103"/>
            <w:kern w:val="0"/>
          </w:rPr>
          <w:t>http://www2.ohchr.org/english/bodies/cescr/docs/LetterCESCRtoSP16.05.12.pdf</w:t>
        </w:r>
      </w:hyperlink>
      <w:r w:rsidR="00B2219E">
        <w:rPr>
          <w:rFonts w:hint="cs"/>
          <w:w w:val="103"/>
          <w:kern w:val="0"/>
          <w:rtl/>
        </w:rPr>
        <w:t>.</w:t>
      </w:r>
    </w:p>
  </w:footnote>
  <w:footnote w:id="71">
    <w:p w:rsidR="006D19E9" w:rsidRPr="00024953" w:rsidRDefault="006D19E9" w:rsidP="00FE0EA2">
      <w:pPr>
        <w:pStyle w:val="FootnoteText"/>
        <w:tabs>
          <w:tab w:val="right" w:pos="1196"/>
          <w:tab w:val="left" w:pos="1264"/>
        </w:tabs>
        <w:spacing w:after="80" w:line="280" w:lineRule="exact"/>
        <w:ind w:left="1264" w:right="1264" w:hanging="544"/>
        <w:rPr>
          <w:w w:val="103"/>
          <w:kern w:val="0"/>
          <w:rtl/>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r>
      <w:r w:rsidRPr="00024953">
        <w:rPr>
          <w:w w:val="103"/>
          <w:kern w:val="0"/>
        </w:rPr>
        <w:t>“SDGs [Sustainable Development Goals] Indicator Framework: A Human Rights Approach to Data Disaggregation to Leave No One Behind” (OHCHR, 2015)</w:t>
      </w:r>
      <w:r w:rsidR="00B2219E">
        <w:rPr>
          <w:rFonts w:hint="cs"/>
          <w:w w:val="103"/>
          <w:kern w:val="0"/>
          <w:rtl/>
        </w:rPr>
        <w:t>.</w:t>
      </w:r>
    </w:p>
  </w:footnote>
  <w:footnote w:id="72">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r>
      <w:r w:rsidRPr="00024953">
        <w:rPr>
          <w:w w:val="103"/>
          <w:kern w:val="0"/>
        </w:rPr>
        <w:t>Human Rights Indicators: A Guide to Measurement and Implementation (United Nations, 2012)</w:t>
      </w:r>
      <w:r w:rsidRPr="00024953">
        <w:rPr>
          <w:rFonts w:hint="cs"/>
          <w:w w:val="103"/>
          <w:kern w:val="0"/>
          <w:rtl/>
        </w:rPr>
        <w:t xml:space="preserve">. وانظر أيضاً الوثيقة </w:t>
      </w:r>
      <w:r w:rsidRPr="00024953">
        <w:rPr>
          <w:w w:val="103"/>
          <w:kern w:val="0"/>
        </w:rPr>
        <w:t>E/2011/90</w:t>
      </w:r>
      <w:r w:rsidRPr="00024953">
        <w:rPr>
          <w:rFonts w:hint="cs"/>
          <w:w w:val="103"/>
          <w:kern w:val="0"/>
          <w:rtl/>
        </w:rPr>
        <w:t xml:space="preserve"> بشأن استخدام المؤشرات في إعمال الحقوق الاقتصادية والاجتماعية والثقافية.</w:t>
      </w:r>
    </w:p>
  </w:footnote>
  <w:footnote w:id="73">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أوصت </w:t>
      </w:r>
      <w:r w:rsidRPr="00024953">
        <w:rPr>
          <w:w w:val="103"/>
          <w:kern w:val="0"/>
          <w:rtl/>
        </w:rPr>
        <w:t>اتفاقية مناهضة التعذيب وغيره من ضروب المعاملة أو العقوبة القاسية أو اللاإنسانية أو المهينة</w:t>
      </w:r>
      <w:r w:rsidRPr="00024953">
        <w:rPr>
          <w:rFonts w:hint="cs"/>
          <w:w w:val="103"/>
          <w:kern w:val="0"/>
          <w:rtl/>
        </w:rPr>
        <w:t>، مثل</w:t>
      </w:r>
      <w:r w:rsidR="00B30F0C">
        <w:rPr>
          <w:rFonts w:hint="cs"/>
          <w:w w:val="103"/>
          <w:kern w:val="0"/>
          <w:rtl/>
        </w:rPr>
        <w:t xml:space="preserve">اً، </w:t>
      </w:r>
      <w:r w:rsidRPr="00024953">
        <w:rPr>
          <w:rFonts w:hint="cs"/>
          <w:w w:val="103"/>
          <w:kern w:val="0"/>
          <w:rtl/>
        </w:rPr>
        <w:t xml:space="preserve">بأن تطور هندوراس مؤشرات مصنَّفة لرصد وتوثيق حوادث العنف وسط السجناء، بغية الكشف عن الأسباب الجذرية وتحديد استراتيجيات مناسبة لمنع الانتهاكات (الفقرة 17 من الوثيقة </w:t>
      </w:r>
      <w:r w:rsidRPr="00024953">
        <w:rPr>
          <w:w w:val="103"/>
          <w:kern w:val="0"/>
        </w:rPr>
        <w:t>CAT/C/HND/CO/1</w:t>
      </w:r>
      <w:r w:rsidRPr="00024953">
        <w:rPr>
          <w:rFonts w:hint="cs"/>
          <w:w w:val="103"/>
          <w:kern w:val="0"/>
          <w:rtl/>
        </w:rPr>
        <w:t>).</w:t>
      </w:r>
    </w:p>
  </w:footnote>
  <w:footnote w:id="74">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r>
      <w:r w:rsidRPr="00024953">
        <w:rPr>
          <w:w w:val="103"/>
          <w:kern w:val="0"/>
        </w:rPr>
        <w:t>Human Rights Indicators</w:t>
      </w:r>
      <w:r w:rsidRPr="00024953">
        <w:rPr>
          <w:rFonts w:hint="cs"/>
          <w:w w:val="103"/>
          <w:kern w:val="0"/>
          <w:rtl/>
        </w:rPr>
        <w:t xml:space="preserve"> (الحاشية 72 أعلاه)، </w:t>
      </w:r>
      <w:r w:rsidR="00024953" w:rsidRPr="00024953">
        <w:rPr>
          <w:rFonts w:hint="cs"/>
          <w:w w:val="103"/>
          <w:kern w:val="0"/>
          <w:rtl/>
        </w:rPr>
        <w:t xml:space="preserve">ص </w:t>
      </w:r>
      <w:r w:rsidRPr="00024953">
        <w:rPr>
          <w:rFonts w:hint="cs"/>
          <w:w w:val="103"/>
          <w:kern w:val="0"/>
          <w:rtl/>
        </w:rPr>
        <w:t>88.</w:t>
      </w:r>
    </w:p>
  </w:footnote>
  <w:footnote w:id="75">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يتيح المؤشر العالمي لحقوق الإنسان مثلاً، الاطلاع على المعلومات التي تصدرها الآليات الدولية لحقوق الإنسان التابعة لمنظومة الأمم المتحدة بشأن حقوق الإنسان في بلد معيّن.</w:t>
      </w:r>
    </w:p>
  </w:footnote>
  <w:footnote w:id="76">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باراغواي.</w:t>
      </w:r>
    </w:p>
  </w:footnote>
  <w:footnote w:id="77">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أوكرانيا.</w:t>
      </w:r>
    </w:p>
  </w:footnote>
  <w:footnote w:id="78">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الفقرة 10 من المشروع النهائي للوثيقة الختامية لما بعد عام 2015 المؤرخة 8 تموز/يوليه 2015. وانظر على سبيل المثال مشروع الهدف 16 ("</w:t>
      </w:r>
      <w:r w:rsidRPr="00024953">
        <w:rPr>
          <w:w w:val="103"/>
          <w:kern w:val="0"/>
          <w:rtl/>
          <w:lang w:val="en-GB"/>
        </w:rPr>
        <w:t xml:space="preserve">التشجيع على إقامة مجتمعات مسالمة </w:t>
      </w:r>
      <w:r w:rsidRPr="00024953">
        <w:rPr>
          <w:rFonts w:hint="cs"/>
          <w:w w:val="103"/>
          <w:kern w:val="0"/>
          <w:rtl/>
          <w:lang w:val="en-GB"/>
        </w:rPr>
        <w:t xml:space="preserve">وشاملة للجميع </w:t>
      </w:r>
      <w:r w:rsidRPr="00024953">
        <w:rPr>
          <w:w w:val="103"/>
          <w:kern w:val="0"/>
          <w:rtl/>
          <w:lang w:val="en-GB"/>
        </w:rPr>
        <w:t>من أجل تحقيق التنمية المستدامة، وإتاحة إمكانية وصول الجميع إلى العدالة، وبناء مؤسسات فعالة وخاضعة للمساءلة وشاملة للجميع على جميع المستويات</w:t>
      </w:r>
      <w:r w:rsidRPr="00024953">
        <w:rPr>
          <w:rFonts w:hint="cs"/>
          <w:w w:val="103"/>
          <w:kern w:val="0"/>
          <w:rtl/>
          <w:lang w:val="en-GB"/>
        </w:rPr>
        <w:t>"</w:t>
      </w:r>
      <w:r w:rsidRPr="00024953">
        <w:rPr>
          <w:rFonts w:hint="cs"/>
          <w:w w:val="103"/>
          <w:kern w:val="0"/>
          <w:rtl/>
        </w:rPr>
        <w:t xml:space="preserve">) الذي سيسعى إلى تحقيق جملة أمور منها </w:t>
      </w:r>
      <w:r w:rsidRPr="00024953">
        <w:rPr>
          <w:w w:val="103"/>
          <w:kern w:val="0"/>
          <w:rtl/>
        </w:rPr>
        <w:t>تعزيز</w:t>
      </w:r>
      <w:r w:rsidRPr="00024953">
        <w:rPr>
          <w:rFonts w:hint="cs"/>
          <w:w w:val="103"/>
          <w:kern w:val="0"/>
          <w:rtl/>
        </w:rPr>
        <w:t xml:space="preserve"> قدرات</w:t>
      </w:r>
      <w:r w:rsidRPr="00024953">
        <w:rPr>
          <w:w w:val="103"/>
          <w:kern w:val="0"/>
          <w:rtl/>
        </w:rPr>
        <w:t xml:space="preserve"> المؤسسات الوطنية ذات الصلة، بسبل تشمل التعاون الدولي، من أجل بناء القدرات على </w:t>
      </w:r>
      <w:r w:rsidRPr="00024953">
        <w:rPr>
          <w:rFonts w:hint="cs"/>
          <w:w w:val="103"/>
          <w:kern w:val="0"/>
          <w:rtl/>
        </w:rPr>
        <w:t>جميع</w:t>
      </w:r>
      <w:r w:rsidRPr="00024953">
        <w:rPr>
          <w:w w:val="103"/>
          <w:kern w:val="0"/>
          <w:rtl/>
        </w:rPr>
        <w:t xml:space="preserve"> المستويات</w:t>
      </w:r>
      <w:r w:rsidRPr="00024953">
        <w:rPr>
          <w:rFonts w:hint="cs"/>
          <w:w w:val="103"/>
          <w:kern w:val="0"/>
          <w:rtl/>
        </w:rPr>
        <w:t>، لأغراض منع العنف ومكافحة الإرهاب والجريمة؛ و</w:t>
      </w:r>
      <w:r w:rsidRPr="00024953">
        <w:rPr>
          <w:w w:val="103"/>
          <w:kern w:val="0"/>
          <w:rtl/>
        </w:rPr>
        <w:t>تعزيز</w:t>
      </w:r>
      <w:r w:rsidRPr="00024953">
        <w:rPr>
          <w:rFonts w:hint="cs"/>
          <w:w w:val="103"/>
          <w:kern w:val="0"/>
          <w:rtl/>
        </w:rPr>
        <w:t xml:space="preserve"> وإنفاذ</w:t>
      </w:r>
      <w:r w:rsidRPr="00024953">
        <w:rPr>
          <w:w w:val="103"/>
          <w:kern w:val="0"/>
          <w:rtl/>
        </w:rPr>
        <w:t xml:space="preserve"> القوانين والسياسات غير التمييزية لتحقيق التنمية المستدامة</w:t>
      </w:r>
      <w:r w:rsidRPr="00024953">
        <w:rPr>
          <w:rFonts w:hint="cs"/>
          <w:w w:val="103"/>
          <w:kern w:val="0"/>
          <w:rtl/>
        </w:rPr>
        <w:t>.</w:t>
      </w:r>
    </w:p>
  </w:footnote>
  <w:footnote w:id="79">
    <w:p w:rsidR="006D19E9" w:rsidRPr="00024953" w:rsidRDefault="006D19E9" w:rsidP="006D19E9">
      <w:pPr>
        <w:pStyle w:val="FootnoteText"/>
        <w:tabs>
          <w:tab w:val="right" w:pos="1196"/>
          <w:tab w:val="left" w:pos="1264"/>
        </w:tabs>
        <w:spacing w:after="80"/>
        <w:ind w:left="1264" w:right="1264" w:hanging="544"/>
        <w:rPr>
          <w:w w:val="103"/>
          <w:kern w:val="0"/>
          <w:rtl/>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r>
      <w:r w:rsidRPr="00024953">
        <w:rPr>
          <w:w w:val="103"/>
          <w:kern w:val="0"/>
        </w:rPr>
        <w:t>“Integrating Human Rights into the Post-2015 Development Agenda - Follow-up and Review: Ensuring Accountability for the SDGs” (OHCHR, May 2015)</w:t>
      </w:r>
      <w:r w:rsidR="00FE0EA2">
        <w:rPr>
          <w:rFonts w:hint="cs"/>
          <w:w w:val="103"/>
          <w:kern w:val="0"/>
          <w:rtl/>
        </w:rPr>
        <w:t>.</w:t>
      </w:r>
    </w:p>
  </w:footnote>
  <w:footnote w:id="80">
    <w:p w:rsidR="006D19E9" w:rsidRPr="00024953" w:rsidRDefault="006D19E9" w:rsidP="006D19E9">
      <w:pPr>
        <w:pStyle w:val="FootnoteText"/>
        <w:tabs>
          <w:tab w:val="right" w:pos="1196"/>
          <w:tab w:val="left" w:pos="1264"/>
        </w:tabs>
        <w:spacing w:after="80"/>
        <w:ind w:left="1264" w:right="1264" w:hanging="544"/>
        <w:rPr>
          <w:w w:val="103"/>
          <w:kern w:val="0"/>
          <w:rtl/>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تشمل آليات الأمم المتحدة، والآليات التي أنشأها مثلاً الاتحاد الأوروبي، ومجلس أوروبا، و</w:t>
      </w:r>
      <w:r w:rsidRPr="00024953">
        <w:rPr>
          <w:w w:val="103"/>
          <w:kern w:val="0"/>
          <w:rtl/>
        </w:rPr>
        <w:t>منظمة الأمن والتعاون في أوروبا</w:t>
      </w:r>
      <w:r w:rsidRPr="00024953">
        <w:rPr>
          <w:rFonts w:hint="cs"/>
          <w:w w:val="103"/>
          <w:kern w:val="0"/>
          <w:rtl/>
        </w:rPr>
        <w:t>، والاتحاد الأفريقي، و</w:t>
      </w:r>
      <w:r w:rsidRPr="00024953">
        <w:rPr>
          <w:w w:val="103"/>
          <w:kern w:val="0"/>
          <w:rtl/>
        </w:rPr>
        <w:t>منظمة الدول الأمريكية</w:t>
      </w:r>
      <w:r w:rsidRPr="00024953">
        <w:rPr>
          <w:rFonts w:hint="cs"/>
          <w:w w:val="103"/>
          <w:kern w:val="0"/>
          <w:rtl/>
        </w:rPr>
        <w:t xml:space="preserve">. وانظر </w:t>
      </w:r>
      <w:r w:rsidRPr="00024953">
        <w:rPr>
          <w:w w:val="103"/>
          <w:kern w:val="0"/>
        </w:rPr>
        <w:t xml:space="preserve">K. Martin-Chenut and S. Turgis in </w:t>
      </w:r>
      <w:r w:rsidRPr="00024953">
        <w:rPr>
          <w:w w:val="103"/>
          <w:kern w:val="0"/>
          <w:lang w:val="en-GB"/>
        </w:rPr>
        <w:t xml:space="preserve">E. Decaux and S. Touzé, </w:t>
      </w:r>
      <w:r w:rsidRPr="00024953">
        <w:rPr>
          <w:i/>
          <w:iCs/>
          <w:w w:val="103"/>
          <w:kern w:val="0"/>
          <w:lang w:val="en-GB"/>
        </w:rPr>
        <w:t>La Prévention des Violations des Droits de l’Homme</w:t>
      </w:r>
      <w:r w:rsidRPr="00024953">
        <w:rPr>
          <w:rFonts w:hint="cs"/>
          <w:i/>
          <w:iCs/>
          <w:w w:val="103"/>
          <w:kern w:val="0"/>
          <w:rtl/>
          <w:lang w:val="en-GB"/>
        </w:rPr>
        <w:t xml:space="preserve"> </w:t>
      </w:r>
      <w:r w:rsidRPr="00024953">
        <w:rPr>
          <w:rFonts w:hint="cs"/>
          <w:w w:val="103"/>
          <w:kern w:val="0"/>
          <w:rtl/>
          <w:lang w:val="en-GB"/>
        </w:rPr>
        <w:t>(الحاشية</w:t>
      </w:r>
      <w:r w:rsidRPr="00024953">
        <w:rPr>
          <w:rFonts w:hint="cs"/>
          <w:i/>
          <w:iCs/>
          <w:w w:val="103"/>
          <w:kern w:val="0"/>
          <w:rtl/>
          <w:lang w:val="en-GB"/>
        </w:rPr>
        <w:t xml:space="preserve"> </w:t>
      </w:r>
      <w:r w:rsidRPr="00024953">
        <w:rPr>
          <w:rFonts w:hint="cs"/>
          <w:w w:val="103"/>
          <w:kern w:val="0"/>
          <w:rtl/>
          <w:lang w:val="en-GB"/>
        </w:rPr>
        <w:t>3</w:t>
      </w:r>
      <w:r w:rsidRPr="00024953">
        <w:rPr>
          <w:rFonts w:hint="cs"/>
          <w:i/>
          <w:iCs/>
          <w:w w:val="103"/>
          <w:kern w:val="0"/>
          <w:rtl/>
          <w:lang w:val="en-GB"/>
        </w:rPr>
        <w:t xml:space="preserve"> </w:t>
      </w:r>
      <w:r w:rsidRPr="00024953">
        <w:rPr>
          <w:rFonts w:hint="cs"/>
          <w:w w:val="103"/>
          <w:kern w:val="0"/>
          <w:rtl/>
          <w:lang w:val="en-GB"/>
        </w:rPr>
        <w:t>أعلاه)؛</w:t>
      </w:r>
      <w:r w:rsidR="00697057" w:rsidRPr="00024953">
        <w:rPr>
          <w:rFonts w:hint="cs"/>
          <w:w w:val="103"/>
          <w:kern w:val="0"/>
          <w:rtl/>
          <w:lang w:val="en-GB"/>
        </w:rPr>
        <w:t xml:space="preserve"> و</w:t>
      </w:r>
      <w:r w:rsidRPr="00024953">
        <w:rPr>
          <w:w w:val="103"/>
          <w:kern w:val="0"/>
        </w:rPr>
        <w:t xml:space="preserve">Linos-Alexandre Sicilianos, </w:t>
      </w:r>
      <w:r w:rsidRPr="00024953">
        <w:rPr>
          <w:i/>
          <w:iCs/>
          <w:w w:val="103"/>
          <w:kern w:val="0"/>
        </w:rPr>
        <w:t>The Prevention of Human Rights Violations,</w:t>
      </w:r>
      <w:r w:rsidRPr="00024953">
        <w:rPr>
          <w:w w:val="103"/>
          <w:kern w:val="0"/>
        </w:rPr>
        <w:t xml:space="preserve"> Parts I and II (Athens, The Hague, New York, Martinus Nijhoff, 2001)</w:t>
      </w:r>
      <w:r w:rsidR="00D24A90">
        <w:rPr>
          <w:rFonts w:hint="cs"/>
          <w:w w:val="103"/>
          <w:kern w:val="0"/>
          <w:rtl/>
        </w:rPr>
        <w:t>.</w:t>
      </w:r>
    </w:p>
  </w:footnote>
  <w:footnote w:id="81">
    <w:p w:rsidR="006D19E9" w:rsidRPr="00024953" w:rsidRDefault="006D19E9" w:rsidP="00B30F0C">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على سبيل المثال، أثنت اللجنة المعنية بحقوق الإنسان "</w:t>
      </w:r>
      <w:r w:rsidRPr="00024953">
        <w:rPr>
          <w:w w:val="103"/>
          <w:kern w:val="0"/>
          <w:rtl/>
        </w:rPr>
        <w:t>على الدولة الطرف لاستجابتها السريعة وللتدابير التي اتخذتها لتصحيح التعديات على الحرية الدينية التي أشارت إليها اللجنة فيما أبدته من آراء في الرسالة رقم</w:t>
      </w:r>
      <w:r w:rsidR="00B30F0C">
        <w:rPr>
          <w:rFonts w:hint="cs"/>
          <w:w w:val="103"/>
          <w:kern w:val="0"/>
          <w:rtl/>
        </w:rPr>
        <w:t> </w:t>
      </w:r>
      <w:r w:rsidRPr="00024953">
        <w:rPr>
          <w:w w:val="103"/>
          <w:kern w:val="0"/>
          <w:rtl/>
        </w:rPr>
        <w:t>1155/2003</w:t>
      </w:r>
      <w:r w:rsidRPr="00024953">
        <w:rPr>
          <w:rFonts w:hint="cs"/>
          <w:w w:val="103"/>
          <w:kern w:val="0"/>
          <w:rtl/>
        </w:rPr>
        <w:t xml:space="preserve"> </w:t>
      </w:r>
      <w:r w:rsidRPr="00B2219E">
        <w:rPr>
          <w:i/>
          <w:iCs/>
          <w:w w:val="103"/>
          <w:kern w:val="0"/>
        </w:rPr>
        <w:t>]</w:t>
      </w:r>
      <w:r w:rsidRPr="00024953">
        <w:rPr>
          <w:rFonts w:hint="cs"/>
          <w:i/>
          <w:iCs/>
          <w:w w:val="103"/>
          <w:kern w:val="0"/>
          <w:rtl/>
        </w:rPr>
        <w:t>ليرفاغ ضد النرويج</w:t>
      </w:r>
      <w:r w:rsidRPr="00024953">
        <w:rPr>
          <w:rFonts w:hint="cs"/>
          <w:w w:val="103"/>
          <w:kern w:val="0"/>
          <w:rtl/>
        </w:rPr>
        <w:t>، الآراء المعتمدة في 3 تشرين الثاني/نوفمبر 2004</w:t>
      </w:r>
      <w:r w:rsidRPr="00024953">
        <w:rPr>
          <w:w w:val="103"/>
          <w:kern w:val="0"/>
        </w:rPr>
        <w:t>[</w:t>
      </w:r>
      <w:r w:rsidRPr="00024953">
        <w:rPr>
          <w:w w:val="103"/>
          <w:kern w:val="0"/>
          <w:rtl/>
        </w:rPr>
        <w:t>، بما في ذلك اعتماد الدولة تعديلات لقانون التعليم</w:t>
      </w:r>
      <w:r w:rsidRPr="00024953">
        <w:rPr>
          <w:rFonts w:hint="cs"/>
          <w:w w:val="103"/>
          <w:kern w:val="0"/>
          <w:rtl/>
        </w:rPr>
        <w:t xml:space="preserve">" (الوثيقة </w:t>
      </w:r>
      <w:r w:rsidRPr="00024953">
        <w:rPr>
          <w:w w:val="103"/>
          <w:kern w:val="0"/>
        </w:rPr>
        <w:t>CCPR/C/NOR/CO/5</w:t>
      </w:r>
      <w:r w:rsidRPr="00024953">
        <w:rPr>
          <w:rFonts w:hint="cs"/>
          <w:w w:val="103"/>
          <w:kern w:val="0"/>
          <w:rtl/>
        </w:rPr>
        <w:t>).</w:t>
      </w:r>
    </w:p>
  </w:footnote>
  <w:footnote w:id="82">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يجوز أن تُصْدر بعض الآليات، في أي مرحلة قبل النظر في قضية ما، طلباً إلى الدولة باتخاذ "تدابير مؤقتة" من أجل الحيلولة دون تعرض الجاني أو الضحية المزعومة في القضية المعنية لضرر لا يمكن جبره. وتَصدر هذه الطلبات عادة لمنع الأعمال التي لا يمكن العدول عنها لاحقاً مثل تنفيذ حكم بالإعدام أو ترحيل شخص يواجه خطر التعرض للتعذيب.</w:t>
      </w:r>
    </w:p>
  </w:footnote>
  <w:footnote w:id="83">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r>
      <w:r w:rsidRPr="00024953">
        <w:rPr>
          <w:w w:val="103"/>
          <w:kern w:val="0"/>
        </w:rPr>
        <w:t>Inter-American Commission on Human Rights, Impact of the Friendly Settlement Procedure</w:t>
      </w:r>
      <w:r w:rsidRPr="00024953">
        <w:rPr>
          <w:rFonts w:hint="cs"/>
          <w:w w:val="103"/>
          <w:kern w:val="0"/>
          <w:rtl/>
          <w:lang w:bidi="ar"/>
        </w:rPr>
        <w:t xml:space="preserve"> (الوثيقة </w:t>
      </w:r>
      <w:r w:rsidRPr="00024953">
        <w:rPr>
          <w:w w:val="103"/>
          <w:kern w:val="0"/>
        </w:rPr>
        <w:t>OEA/Ser.L/V/II. Doc. 45/13</w:t>
      </w:r>
      <w:r w:rsidRPr="00024953">
        <w:rPr>
          <w:rFonts w:hint="cs"/>
          <w:w w:val="103"/>
          <w:kern w:val="0"/>
          <w:rtl/>
        </w:rPr>
        <w:t xml:space="preserve"> الصادرة في 18 كانون الأول/ديسمبر 2013</w:t>
      </w:r>
      <w:r w:rsidRPr="00024953">
        <w:rPr>
          <w:rFonts w:hint="cs"/>
          <w:w w:val="103"/>
          <w:kern w:val="0"/>
          <w:rtl/>
          <w:lang w:bidi="ar"/>
        </w:rPr>
        <w:t>).</w:t>
      </w:r>
    </w:p>
  </w:footnote>
  <w:footnote w:id="84">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المرجع نفسه، </w:t>
      </w:r>
      <w:r w:rsidR="00024953" w:rsidRPr="00024953">
        <w:rPr>
          <w:rFonts w:hint="cs"/>
          <w:w w:val="103"/>
          <w:kern w:val="0"/>
          <w:rtl/>
        </w:rPr>
        <w:t xml:space="preserve">ص </w:t>
      </w:r>
      <w:r w:rsidRPr="00024953">
        <w:rPr>
          <w:rFonts w:hint="cs"/>
          <w:w w:val="103"/>
          <w:kern w:val="0"/>
          <w:rtl/>
        </w:rPr>
        <w:t>52.</w:t>
      </w:r>
    </w:p>
  </w:footnote>
  <w:footnote w:id="85">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المرجع نفسه، </w:t>
      </w:r>
      <w:r w:rsidR="00024953" w:rsidRPr="00024953">
        <w:rPr>
          <w:rFonts w:hint="cs"/>
          <w:w w:val="103"/>
          <w:kern w:val="0"/>
          <w:rtl/>
        </w:rPr>
        <w:t xml:space="preserve">ص </w:t>
      </w:r>
      <w:r w:rsidRPr="00024953">
        <w:rPr>
          <w:rFonts w:hint="cs"/>
          <w:w w:val="103"/>
          <w:kern w:val="0"/>
          <w:rtl/>
        </w:rPr>
        <w:t>6.</w:t>
      </w:r>
    </w:p>
  </w:footnote>
  <w:footnote w:id="86">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من بينها اللجنة الفرعية لمنع التعذيب </w:t>
      </w:r>
      <w:r w:rsidRPr="00024953">
        <w:rPr>
          <w:w w:val="103"/>
          <w:kern w:val="0"/>
          <w:rtl/>
        </w:rPr>
        <w:t>وغيره من ضروب المعاملة أو العقوبة القاسية أو اللاإنسانية أو المهينة</w:t>
      </w:r>
      <w:r w:rsidRPr="00024953">
        <w:rPr>
          <w:rFonts w:hint="cs"/>
          <w:w w:val="103"/>
          <w:kern w:val="0"/>
          <w:rtl/>
        </w:rPr>
        <w:t>، ولجنة منع التعذيب التابعة لمجلس أوروبا.</w:t>
      </w:r>
    </w:p>
  </w:footnote>
  <w:footnote w:id="87">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مثل الإجراء الذي تتبعه لجنة </w:t>
      </w:r>
      <w:r w:rsidRPr="00024953">
        <w:rPr>
          <w:w w:val="103"/>
          <w:kern w:val="0"/>
          <w:rtl/>
        </w:rPr>
        <w:t>القضاء على التمييز العنصري</w:t>
      </w:r>
      <w:r w:rsidRPr="00024953">
        <w:rPr>
          <w:rFonts w:hint="cs"/>
          <w:w w:val="103"/>
          <w:kern w:val="0"/>
          <w:rtl/>
        </w:rPr>
        <w:t xml:space="preserve"> فيما يتعلق بالإنذار المبكر والتدابير العاجلة؛ والإجراء المتعلق بالبلاغات في إطار الإجراءات الخاصة.</w:t>
      </w:r>
    </w:p>
  </w:footnote>
  <w:footnote w:id="88">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انظر </w:t>
      </w:r>
      <w:r w:rsidRPr="00024953">
        <w:rPr>
          <w:w w:val="103"/>
          <w:kern w:val="0"/>
        </w:rPr>
        <w:t>“A National Human Rights Action Plan – Uganda follows through on its commitment to the Universal Periodic Review”</w:t>
      </w:r>
      <w:r w:rsidRPr="00024953">
        <w:rPr>
          <w:rFonts w:hint="cs"/>
          <w:w w:val="103"/>
          <w:kern w:val="0"/>
          <w:rtl/>
        </w:rPr>
        <w:t xml:space="preserve"> المتاح على الرابط التالي: </w:t>
      </w:r>
      <w:r w:rsidR="00B30F0C">
        <w:rPr>
          <w:w w:val="103"/>
          <w:kern w:val="0"/>
          <w:rtl/>
        </w:rPr>
        <w:tab/>
      </w:r>
      <w:r w:rsidR="00B30F0C">
        <w:rPr>
          <w:rFonts w:hint="cs"/>
          <w:w w:val="103"/>
          <w:kern w:val="0"/>
          <w:rtl/>
        </w:rPr>
        <w:br/>
      </w:r>
      <w:hyperlink r:id="rId3" w:history="1">
        <w:r w:rsidRPr="00024953">
          <w:rPr>
            <w:w w:val="103"/>
            <w:kern w:val="0"/>
          </w:rPr>
          <w:t>http://www.ohchr.org/EN/NewsEvents/Pages/UgandaNationalHumanRightsActionPlan.aspx</w:t>
        </w:r>
      </w:hyperlink>
    </w:p>
  </w:footnote>
  <w:footnote w:id="89">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تتمثل إحدى غايات الأمم المتحدة في "</w:t>
      </w:r>
      <w:r w:rsidRPr="00024953">
        <w:rPr>
          <w:w w:val="103"/>
          <w:kern w:val="0"/>
          <w:rtl/>
        </w:rPr>
        <w:t>حفظ السلم والأمن الدولي، وتحقيقاً لهذه الغاية تتخذ الهيئة التدابير المشتركة الفعّالة لمنع الأسباب التي تهدد السلم ولإزالتها</w:t>
      </w:r>
      <w:r w:rsidRPr="00024953">
        <w:rPr>
          <w:rFonts w:hint="cs"/>
          <w:w w:val="103"/>
          <w:kern w:val="0"/>
          <w:rtl/>
        </w:rPr>
        <w:t>" (المادة 1 من ميثاق الأمم المتحدة). كما أن دور المحكمة الجنائية الدولية والهيئات المشابهة في إكمال وتدعيم إجراءات العدالة الجنائية على الصعيد الوطني يساعد أيضاً في منع الإفلات من العقاب والحيلولة دون انتهاك حقوق الإنسان مستقبلاً.</w:t>
      </w:r>
    </w:p>
  </w:footnote>
  <w:footnote w:id="90">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ردّ إيطاليا.</w:t>
      </w:r>
    </w:p>
  </w:footnote>
  <w:footnote w:id="91">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مثل تقرير مفوضية الأمم المتحدة السامية لحقوق الإنسان بشأن خيارات المساعدة التقنية وبناء القدرات لإدماج حقوق الإنسان في السياسات الوطنية، في ضوء أفضل الممارسات على نطاق العالم في ذلك المجال (الوثيقة </w:t>
      </w:r>
      <w:r w:rsidRPr="00024953">
        <w:rPr>
          <w:w w:val="103"/>
          <w:kern w:val="0"/>
        </w:rPr>
        <w:t>A/HRC/27/41</w:t>
      </w:r>
      <w:r w:rsidRPr="00024953">
        <w:rPr>
          <w:rFonts w:hint="cs"/>
          <w:w w:val="103"/>
          <w:kern w:val="0"/>
          <w:rtl/>
        </w:rPr>
        <w:t>).</w:t>
      </w:r>
    </w:p>
  </w:footnote>
  <w:footnote w:id="92">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rFonts w:hint="cs"/>
          <w:color w:val="auto"/>
          <w:kern w:val="0"/>
          <w:vertAlign w:val="baseline"/>
          <w:rtl/>
        </w:rPr>
        <w:tab/>
      </w:r>
      <w:r w:rsidRPr="00024953">
        <w:rPr>
          <w:rStyle w:val="FootnoteReference"/>
          <w:color w:val="auto"/>
          <w:kern w:val="0"/>
          <w:vertAlign w:val="baseline"/>
          <w:rtl/>
        </w:rPr>
        <w:t>(</w:t>
      </w:r>
      <w:r w:rsidRPr="00024953">
        <w:rPr>
          <w:rStyle w:val="FootnoteReference"/>
          <w:color w:val="auto"/>
          <w:kern w:val="0"/>
          <w:vertAlign w:val="baseline"/>
          <w:rtl/>
        </w:rPr>
        <w:footnoteRef/>
      </w:r>
      <w:r w:rsidRPr="00024953">
        <w:rPr>
          <w:rStyle w:val="FootnoteReference"/>
          <w:color w:val="auto"/>
          <w:kern w:val="0"/>
          <w:vertAlign w:val="baseline"/>
          <w:rtl/>
        </w:rPr>
        <w:t>)</w:t>
      </w:r>
      <w:r w:rsidRPr="00024953">
        <w:rPr>
          <w:rFonts w:hint="cs"/>
          <w:w w:val="103"/>
          <w:kern w:val="0"/>
          <w:rtl/>
        </w:rPr>
        <w:tab/>
        <w:t xml:space="preserve">متاحة على الرابط التالي: </w:t>
      </w:r>
      <w:r w:rsidRPr="00B30F0C">
        <w:rPr>
          <w:w w:val="103"/>
          <w:kern w:val="0"/>
        </w:rPr>
        <w:t>http://www.un.org/sg/rightsupfront/</w:t>
      </w:r>
      <w:r w:rsidR="00B30F0C">
        <w:rPr>
          <w:rFonts w:hint="cs"/>
          <w:w w:val="103"/>
          <w:kern w:val="0"/>
          <w:rtl/>
        </w:rPr>
        <w:t>.</w:t>
      </w:r>
    </w:p>
  </w:footnote>
  <w:footnote w:id="93">
    <w:p w:rsidR="006D19E9" w:rsidRPr="00024953" w:rsidRDefault="006D19E9" w:rsidP="006D19E9">
      <w:pPr>
        <w:pStyle w:val="FootnoteText"/>
        <w:tabs>
          <w:tab w:val="right" w:pos="1196"/>
          <w:tab w:val="left" w:pos="1264"/>
        </w:tabs>
        <w:spacing w:after="80"/>
        <w:ind w:left="1264" w:right="1264" w:hanging="544"/>
        <w:rPr>
          <w:w w:val="103"/>
          <w:kern w:val="0"/>
        </w:rPr>
      </w:pPr>
      <w:r w:rsidRPr="00024953">
        <w:rPr>
          <w:rStyle w:val="FootnoteReference"/>
          <w:color w:val="auto"/>
          <w:kern w:val="0"/>
          <w:vertAlign w:val="baseline"/>
          <w:rtl/>
        </w:rPr>
        <w:tab/>
      </w:r>
      <w:r w:rsidRPr="00024953">
        <w:rPr>
          <w:rStyle w:val="FootnoteReference"/>
          <w:rFonts w:hint="cs"/>
          <w:color w:val="auto"/>
          <w:kern w:val="0"/>
          <w:vertAlign w:val="baseline"/>
          <w:rtl/>
        </w:rPr>
        <w:t>(</w:t>
      </w:r>
      <w:r w:rsidRPr="00024953">
        <w:rPr>
          <w:rStyle w:val="FootnoteReference"/>
          <w:color w:val="auto"/>
          <w:kern w:val="0"/>
          <w:vertAlign w:val="baseline"/>
        </w:rPr>
        <w:footnoteRef/>
      </w:r>
      <w:r w:rsidRPr="00024953">
        <w:rPr>
          <w:rStyle w:val="FootnoteReference"/>
          <w:rFonts w:hint="cs"/>
          <w:color w:val="auto"/>
          <w:kern w:val="0"/>
          <w:vertAlign w:val="baseline"/>
          <w:rtl/>
        </w:rPr>
        <w:t>)</w:t>
      </w:r>
      <w:r w:rsidRPr="00024953">
        <w:rPr>
          <w:rStyle w:val="FootnoteReference"/>
          <w:rFonts w:hint="cs"/>
          <w:color w:val="auto"/>
          <w:kern w:val="0"/>
          <w:vertAlign w:val="baseline"/>
          <w:rtl/>
        </w:rPr>
        <w:tab/>
        <w:t>بدأت مبادرة حقوق الإنسان أولاً تحدث تغييرات في الطريقة التي تتعامل بها الأمم المتحدة داخل المنظومة مع الأوضاع التي تنطوي على انتهاكات. فقد وفرت على سبيل المثال، الإطار المفاهيمي والدعم المؤسسي للقرار الذي اتخذته قيادة بعثة الأمم المتحدة في جنوب السودان فيما يختص بفتح أبواب مجمّعات الأمم المتحدة بغرض توفير الحماية للمدنيين الباحثين عن ملاذ. وخلال الأزمة التي نشبت في جمهورية أفريقيا الوسطى عامي 2013-2014، أدى نهج المبادرة إلى إذكاء روح المسؤولية في أوساط الإدارة العليا للأمم المتحدة تجاه ضرورة التصدي للأزمة من منظور حماية حقوق الإنسان.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6D19E9" w:rsidTr="00212382">
      <w:trPr>
        <w:trHeight w:hRule="exact" w:val="864"/>
        <w:jc w:val="center"/>
      </w:trPr>
      <w:tc>
        <w:tcPr>
          <w:tcW w:w="4882" w:type="dxa"/>
          <w:shd w:val="clear" w:color="auto" w:fill="auto"/>
          <w:vAlign w:val="bottom"/>
        </w:tcPr>
        <w:p w:rsidR="006D19E9" w:rsidRDefault="006D19E9" w:rsidP="00212382">
          <w:pPr>
            <w:pStyle w:val="Header"/>
            <w:bidi/>
          </w:pPr>
        </w:p>
      </w:tc>
      <w:tc>
        <w:tcPr>
          <w:tcW w:w="5127" w:type="dxa"/>
          <w:shd w:val="clear" w:color="auto" w:fill="auto"/>
          <w:vAlign w:val="bottom"/>
        </w:tcPr>
        <w:p w:rsidR="006D19E9" w:rsidRPr="00212382" w:rsidRDefault="006D19E9" w:rsidP="00212382">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B32CD8">
            <w:rPr>
              <w:w w:val="103"/>
            </w:rPr>
            <w:t>A/HRC/30/20</w:t>
          </w:r>
          <w:r>
            <w:rPr>
              <w:w w:val="103"/>
            </w:rPr>
            <w:fldChar w:fldCharType="end"/>
          </w:r>
        </w:p>
      </w:tc>
    </w:tr>
  </w:tbl>
  <w:p w:rsidR="006D19E9" w:rsidRPr="00212382" w:rsidRDefault="006D19E9" w:rsidP="00212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6D19E9" w:rsidTr="00212382">
      <w:trPr>
        <w:trHeight w:hRule="exact" w:val="864"/>
        <w:jc w:val="center"/>
      </w:trPr>
      <w:tc>
        <w:tcPr>
          <w:tcW w:w="4882" w:type="dxa"/>
          <w:shd w:val="clear" w:color="auto" w:fill="auto"/>
          <w:vAlign w:val="bottom"/>
        </w:tcPr>
        <w:p w:rsidR="006D19E9" w:rsidRPr="00212382" w:rsidRDefault="006D19E9" w:rsidP="00212382">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B32CD8">
            <w:rPr>
              <w:w w:val="103"/>
            </w:rPr>
            <w:t>A/HRC/30/20</w:t>
          </w:r>
          <w:r>
            <w:rPr>
              <w:w w:val="103"/>
            </w:rPr>
            <w:fldChar w:fldCharType="end"/>
          </w:r>
        </w:p>
      </w:tc>
      <w:tc>
        <w:tcPr>
          <w:tcW w:w="5127" w:type="dxa"/>
          <w:shd w:val="clear" w:color="auto" w:fill="auto"/>
          <w:vAlign w:val="bottom"/>
        </w:tcPr>
        <w:p w:rsidR="006D19E9" w:rsidRDefault="006D19E9" w:rsidP="00212382">
          <w:pPr>
            <w:pStyle w:val="Header"/>
          </w:pPr>
        </w:p>
      </w:tc>
    </w:tr>
  </w:tbl>
  <w:p w:rsidR="006D19E9" w:rsidRPr="00212382" w:rsidRDefault="006D19E9" w:rsidP="002123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6D19E9" w:rsidTr="00212382">
      <w:trPr>
        <w:gridAfter w:val="1"/>
        <w:wAfter w:w="25" w:type="dxa"/>
        <w:trHeight w:hRule="exact" w:val="864"/>
      </w:trPr>
      <w:tc>
        <w:tcPr>
          <w:tcW w:w="1282" w:type="dxa"/>
          <w:tcBorders>
            <w:bottom w:val="single" w:sz="4" w:space="0" w:color="auto"/>
          </w:tcBorders>
          <w:shd w:val="clear" w:color="auto" w:fill="auto"/>
          <w:vAlign w:val="bottom"/>
        </w:tcPr>
        <w:p w:rsidR="006D19E9" w:rsidRDefault="006D19E9" w:rsidP="00212382">
          <w:pPr>
            <w:pStyle w:val="Header"/>
            <w:spacing w:after="120"/>
          </w:pPr>
        </w:p>
      </w:tc>
      <w:tc>
        <w:tcPr>
          <w:tcW w:w="1786" w:type="dxa"/>
          <w:tcBorders>
            <w:bottom w:val="single" w:sz="4" w:space="0" w:color="auto"/>
          </w:tcBorders>
          <w:shd w:val="clear" w:color="auto" w:fill="auto"/>
          <w:vAlign w:val="bottom"/>
        </w:tcPr>
        <w:p w:rsidR="006D19E9" w:rsidRPr="00212382" w:rsidRDefault="006D19E9" w:rsidP="00212382">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6D19E9" w:rsidRDefault="006D19E9" w:rsidP="00212382">
          <w:pPr>
            <w:pStyle w:val="Header"/>
            <w:spacing w:after="120"/>
          </w:pPr>
        </w:p>
      </w:tc>
      <w:tc>
        <w:tcPr>
          <w:tcW w:w="6696" w:type="dxa"/>
          <w:gridSpan w:val="3"/>
          <w:tcBorders>
            <w:bottom w:val="single" w:sz="4" w:space="0" w:color="auto"/>
          </w:tcBorders>
          <w:shd w:val="clear" w:color="auto" w:fill="auto"/>
          <w:vAlign w:val="bottom"/>
        </w:tcPr>
        <w:p w:rsidR="006D19E9" w:rsidRPr="00212382" w:rsidRDefault="006D19E9" w:rsidP="00212382">
          <w:pPr>
            <w:spacing w:line="380" w:lineRule="exact"/>
            <w:jc w:val="right"/>
          </w:pPr>
          <w:r>
            <w:rPr>
              <w:sz w:val="40"/>
            </w:rPr>
            <w:t>A</w:t>
          </w:r>
          <w:r>
            <w:t>/HRC/30/20</w:t>
          </w:r>
        </w:p>
      </w:tc>
    </w:tr>
    <w:tr w:rsidR="006D19E9" w:rsidRPr="00212382" w:rsidTr="00212382">
      <w:trPr>
        <w:trHeight w:hRule="exact" w:val="2880"/>
      </w:trPr>
      <w:tc>
        <w:tcPr>
          <w:tcW w:w="1282" w:type="dxa"/>
          <w:tcBorders>
            <w:top w:val="single" w:sz="4" w:space="0" w:color="auto"/>
            <w:bottom w:val="single" w:sz="12" w:space="0" w:color="auto"/>
          </w:tcBorders>
          <w:shd w:val="clear" w:color="auto" w:fill="auto"/>
        </w:tcPr>
        <w:p w:rsidR="006D19E9" w:rsidRDefault="006D19E9" w:rsidP="00212382">
          <w:pPr>
            <w:pStyle w:val="Header"/>
            <w:spacing w:before="120"/>
            <w:jc w:val="center"/>
          </w:pPr>
          <w:r>
            <w:t xml:space="preserve"> </w:t>
          </w:r>
          <w:r>
            <w:rPr>
              <w:noProof/>
            </w:rPr>
            <w:drawing>
              <wp:inline distT="0" distB="0" distL="0" distR="0" wp14:anchorId="4F4AB3A8" wp14:editId="7FDB0F11">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6D19E9" w:rsidRPr="00212382" w:rsidRDefault="006D19E9" w:rsidP="00212382">
          <w:pPr>
            <w:pStyle w:val="Header"/>
            <w:spacing w:before="120"/>
            <w:jc w:val="center"/>
          </w:pPr>
        </w:p>
      </w:tc>
      <w:tc>
        <w:tcPr>
          <w:tcW w:w="5227" w:type="dxa"/>
          <w:gridSpan w:val="3"/>
          <w:tcBorders>
            <w:top w:val="single" w:sz="4" w:space="0" w:color="auto"/>
            <w:bottom w:val="single" w:sz="12" w:space="0" w:color="auto"/>
          </w:tcBorders>
          <w:shd w:val="clear" w:color="auto" w:fill="auto"/>
        </w:tcPr>
        <w:p w:rsidR="006D19E9" w:rsidRPr="00212382" w:rsidRDefault="006D19E9" w:rsidP="00212382">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6D19E9" w:rsidRPr="00212382" w:rsidRDefault="006D19E9" w:rsidP="00212382">
          <w:pPr>
            <w:pStyle w:val="Header"/>
            <w:spacing w:before="109"/>
          </w:pPr>
        </w:p>
      </w:tc>
      <w:tc>
        <w:tcPr>
          <w:tcW w:w="3280" w:type="dxa"/>
          <w:gridSpan w:val="2"/>
          <w:tcBorders>
            <w:top w:val="single" w:sz="4" w:space="0" w:color="auto"/>
            <w:bottom w:val="single" w:sz="12" w:space="0" w:color="auto"/>
          </w:tcBorders>
          <w:shd w:val="clear" w:color="auto" w:fill="auto"/>
        </w:tcPr>
        <w:p w:rsidR="006D19E9" w:rsidRDefault="006D19E9" w:rsidP="00212382">
          <w:pPr>
            <w:pStyle w:val="Distribution"/>
            <w:bidi w:val="0"/>
            <w:spacing w:before="240"/>
          </w:pPr>
          <w:r>
            <w:t>Distr.: General</w:t>
          </w:r>
        </w:p>
        <w:p w:rsidR="006D19E9" w:rsidRDefault="002E5C62" w:rsidP="002E5C62">
          <w:pPr>
            <w:pStyle w:val="Publication"/>
            <w:bidi w:val="0"/>
          </w:pPr>
          <w:r>
            <w:t>16</w:t>
          </w:r>
          <w:r w:rsidR="006D19E9">
            <w:t xml:space="preserve"> </w:t>
          </w:r>
          <w:r>
            <w:t>July</w:t>
          </w:r>
          <w:r w:rsidR="006D19E9">
            <w:t xml:space="preserve"> 2015</w:t>
          </w:r>
        </w:p>
        <w:p w:rsidR="006D19E9" w:rsidRDefault="006D19E9" w:rsidP="00212382">
          <w:pPr>
            <w:bidi w:val="0"/>
            <w:spacing w:line="240" w:lineRule="exact"/>
            <w:jc w:val="left"/>
          </w:pPr>
          <w:r>
            <w:t>Arabic</w:t>
          </w:r>
        </w:p>
        <w:p w:rsidR="006D19E9" w:rsidRDefault="006D19E9" w:rsidP="00212382">
          <w:pPr>
            <w:pStyle w:val="Original"/>
            <w:bidi w:val="0"/>
          </w:pPr>
          <w:r>
            <w:t>Original: English</w:t>
          </w:r>
        </w:p>
        <w:p w:rsidR="006D19E9" w:rsidRPr="00212382" w:rsidRDefault="006D19E9" w:rsidP="00212382">
          <w:pPr>
            <w:bidi w:val="0"/>
            <w:spacing w:line="240" w:lineRule="exact"/>
            <w:jc w:val="left"/>
          </w:pPr>
        </w:p>
      </w:tc>
    </w:tr>
  </w:tbl>
  <w:p w:rsidR="006D19E9" w:rsidRPr="00212382" w:rsidRDefault="006D19E9" w:rsidP="00212382">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3"/>
  <w:autoHyphenation/>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082*"/>
    <w:docVar w:name="CreationDt" w:val="8/14/2015 11:01 AM"/>
    <w:docVar w:name="DocCategory" w:val="Doc"/>
    <w:docVar w:name="DocType" w:val="Final"/>
    <w:docVar w:name="DutyStation" w:val="Geneva"/>
    <w:docVar w:name="FooterJN" w:val="GE.15-12082"/>
    <w:docVar w:name="jobn" w:val="GE.15-12082 (A)"/>
    <w:docVar w:name="jobnDT" w:val="GE.15-12082 (A)   140815"/>
    <w:docVar w:name="jobnDTDT" w:val="GE.15-12082 (A)   140815   140815"/>
    <w:docVar w:name="JobNo" w:val="GE.1512082A"/>
    <w:docVar w:name="LocalDrive" w:val="0"/>
    <w:docVar w:name="OandT" w:val=" "/>
    <w:docVar w:name="PaperSize" w:val="A4"/>
    <w:docVar w:name="sss1" w:val="A/HRC/30/20"/>
    <w:docVar w:name="sss2" w:val="-"/>
    <w:docVar w:name="Symbol1" w:val="A/HRC/30/20"/>
    <w:docVar w:name="Symbol2" w:val="-"/>
  </w:docVars>
  <w:rsids>
    <w:rsidRoot w:val="00EC05D1"/>
    <w:rsid w:val="0000693B"/>
    <w:rsid w:val="000170D3"/>
    <w:rsid w:val="00024953"/>
    <w:rsid w:val="0002744A"/>
    <w:rsid w:val="000311C9"/>
    <w:rsid w:val="00042425"/>
    <w:rsid w:val="00047F6A"/>
    <w:rsid w:val="0005137B"/>
    <w:rsid w:val="00056AA7"/>
    <w:rsid w:val="0006648F"/>
    <w:rsid w:val="00070E09"/>
    <w:rsid w:val="00087310"/>
    <w:rsid w:val="000927B5"/>
    <w:rsid w:val="0009732C"/>
    <w:rsid w:val="000974BE"/>
    <w:rsid w:val="000B640C"/>
    <w:rsid w:val="000C4EED"/>
    <w:rsid w:val="000D2CEC"/>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94C85"/>
    <w:rsid w:val="001A0D70"/>
    <w:rsid w:val="001A5B00"/>
    <w:rsid w:val="001B59EE"/>
    <w:rsid w:val="001C6531"/>
    <w:rsid w:val="001D1606"/>
    <w:rsid w:val="001E2BD4"/>
    <w:rsid w:val="001E5A5A"/>
    <w:rsid w:val="001E5A7A"/>
    <w:rsid w:val="001F6786"/>
    <w:rsid w:val="00212285"/>
    <w:rsid w:val="00212382"/>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5C62"/>
    <w:rsid w:val="002E750A"/>
    <w:rsid w:val="002F0398"/>
    <w:rsid w:val="002F0573"/>
    <w:rsid w:val="002F0ADA"/>
    <w:rsid w:val="002F1211"/>
    <w:rsid w:val="002F7737"/>
    <w:rsid w:val="00307CFF"/>
    <w:rsid w:val="00310FA5"/>
    <w:rsid w:val="00311893"/>
    <w:rsid w:val="00312162"/>
    <w:rsid w:val="00312525"/>
    <w:rsid w:val="003501D5"/>
    <w:rsid w:val="00351324"/>
    <w:rsid w:val="0036512C"/>
    <w:rsid w:val="00366E5B"/>
    <w:rsid w:val="003676A8"/>
    <w:rsid w:val="00371AC4"/>
    <w:rsid w:val="00376CFA"/>
    <w:rsid w:val="003772FC"/>
    <w:rsid w:val="00383A67"/>
    <w:rsid w:val="00383CA8"/>
    <w:rsid w:val="00383EF3"/>
    <w:rsid w:val="00385F27"/>
    <w:rsid w:val="003A65ED"/>
    <w:rsid w:val="003C4B86"/>
    <w:rsid w:val="003D092F"/>
    <w:rsid w:val="003D4612"/>
    <w:rsid w:val="003E1BB9"/>
    <w:rsid w:val="003E26D7"/>
    <w:rsid w:val="003E4110"/>
    <w:rsid w:val="003E4647"/>
    <w:rsid w:val="003E6DF8"/>
    <w:rsid w:val="003F4B8C"/>
    <w:rsid w:val="00401BDF"/>
    <w:rsid w:val="004053F7"/>
    <w:rsid w:val="00411BBD"/>
    <w:rsid w:val="00415922"/>
    <w:rsid w:val="0041752F"/>
    <w:rsid w:val="00421658"/>
    <w:rsid w:val="00423BD7"/>
    <w:rsid w:val="0042757D"/>
    <w:rsid w:val="00437C14"/>
    <w:rsid w:val="00445C58"/>
    <w:rsid w:val="004527C9"/>
    <w:rsid w:val="00453069"/>
    <w:rsid w:val="00465B26"/>
    <w:rsid w:val="00467905"/>
    <w:rsid w:val="00471C89"/>
    <w:rsid w:val="004731FA"/>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3F59"/>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B2267"/>
    <w:rsid w:val="005B4C28"/>
    <w:rsid w:val="005C07BD"/>
    <w:rsid w:val="005C2ECE"/>
    <w:rsid w:val="005C2ED7"/>
    <w:rsid w:val="005C7ED8"/>
    <w:rsid w:val="005D3065"/>
    <w:rsid w:val="005D5B76"/>
    <w:rsid w:val="005E46BF"/>
    <w:rsid w:val="005F5310"/>
    <w:rsid w:val="006007BD"/>
    <w:rsid w:val="006046A6"/>
    <w:rsid w:val="00616E82"/>
    <w:rsid w:val="006218A3"/>
    <w:rsid w:val="00631D41"/>
    <w:rsid w:val="006564CE"/>
    <w:rsid w:val="00663F64"/>
    <w:rsid w:val="0068436E"/>
    <w:rsid w:val="00685439"/>
    <w:rsid w:val="006905A9"/>
    <w:rsid w:val="00692B46"/>
    <w:rsid w:val="00692FDB"/>
    <w:rsid w:val="00693CF9"/>
    <w:rsid w:val="00696B7A"/>
    <w:rsid w:val="00697057"/>
    <w:rsid w:val="006A1E4E"/>
    <w:rsid w:val="006C1E40"/>
    <w:rsid w:val="006C38EE"/>
    <w:rsid w:val="006D19E9"/>
    <w:rsid w:val="006D1A46"/>
    <w:rsid w:val="006D3170"/>
    <w:rsid w:val="006E7E51"/>
    <w:rsid w:val="007006FC"/>
    <w:rsid w:val="00700F06"/>
    <w:rsid w:val="00714319"/>
    <w:rsid w:val="0071531E"/>
    <w:rsid w:val="0071645B"/>
    <w:rsid w:val="00716E9D"/>
    <w:rsid w:val="00740D62"/>
    <w:rsid w:val="00747B9E"/>
    <w:rsid w:val="007524BE"/>
    <w:rsid w:val="007525FA"/>
    <w:rsid w:val="007668E3"/>
    <w:rsid w:val="00766B3B"/>
    <w:rsid w:val="00767151"/>
    <w:rsid w:val="00770653"/>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45A14"/>
    <w:rsid w:val="0085331D"/>
    <w:rsid w:val="00853F0F"/>
    <w:rsid w:val="008569BB"/>
    <w:rsid w:val="008624AF"/>
    <w:rsid w:val="0087017A"/>
    <w:rsid w:val="00873A11"/>
    <w:rsid w:val="00873AF9"/>
    <w:rsid w:val="00881022"/>
    <w:rsid w:val="0088317F"/>
    <w:rsid w:val="008913BC"/>
    <w:rsid w:val="008A3FCA"/>
    <w:rsid w:val="008D1C04"/>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2219E"/>
    <w:rsid w:val="00B272BE"/>
    <w:rsid w:val="00B30F0C"/>
    <w:rsid w:val="00B32CD8"/>
    <w:rsid w:val="00B3471A"/>
    <w:rsid w:val="00B36AFF"/>
    <w:rsid w:val="00B37A36"/>
    <w:rsid w:val="00B424BC"/>
    <w:rsid w:val="00B5784C"/>
    <w:rsid w:val="00B66B1A"/>
    <w:rsid w:val="00B9542C"/>
    <w:rsid w:val="00B95560"/>
    <w:rsid w:val="00B968C2"/>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47F5D"/>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343D"/>
    <w:rsid w:val="00D24A90"/>
    <w:rsid w:val="00D30EAE"/>
    <w:rsid w:val="00D318F1"/>
    <w:rsid w:val="00D40B0E"/>
    <w:rsid w:val="00D44FE0"/>
    <w:rsid w:val="00D4694F"/>
    <w:rsid w:val="00D5423E"/>
    <w:rsid w:val="00D66413"/>
    <w:rsid w:val="00DA66B7"/>
    <w:rsid w:val="00DB0865"/>
    <w:rsid w:val="00DB0C91"/>
    <w:rsid w:val="00DB7206"/>
    <w:rsid w:val="00DC5C1E"/>
    <w:rsid w:val="00DE5433"/>
    <w:rsid w:val="00DE68A7"/>
    <w:rsid w:val="00DF2A65"/>
    <w:rsid w:val="00DF2AE6"/>
    <w:rsid w:val="00DF5A43"/>
    <w:rsid w:val="00DF5F38"/>
    <w:rsid w:val="00DF6AA9"/>
    <w:rsid w:val="00E03D23"/>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05D1"/>
    <w:rsid w:val="00EC2B29"/>
    <w:rsid w:val="00ED251D"/>
    <w:rsid w:val="00ED3C2E"/>
    <w:rsid w:val="00EF0947"/>
    <w:rsid w:val="00EF2E52"/>
    <w:rsid w:val="00EF4F85"/>
    <w:rsid w:val="00F031FB"/>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0EA2"/>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link w:val="FootnoteTextChar"/>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212382"/>
    <w:pPr>
      <w:spacing w:line="240" w:lineRule="auto"/>
    </w:pPr>
    <w:rPr>
      <w:szCs w:val="20"/>
    </w:rPr>
  </w:style>
  <w:style w:type="character" w:customStyle="1" w:styleId="CommentTextChar">
    <w:name w:val="Comment Text Char"/>
    <w:basedOn w:val="DefaultParagraphFont"/>
    <w:link w:val="CommentText"/>
    <w:rsid w:val="00212382"/>
    <w:rPr>
      <w:w w:val="103"/>
      <w:kern w:val="14"/>
    </w:rPr>
  </w:style>
  <w:style w:type="paragraph" w:styleId="CommentSubject">
    <w:name w:val="annotation subject"/>
    <w:basedOn w:val="CommentText"/>
    <w:next w:val="CommentText"/>
    <w:link w:val="CommentSubjectChar"/>
    <w:rsid w:val="00212382"/>
    <w:rPr>
      <w:b/>
      <w:bCs/>
    </w:rPr>
  </w:style>
  <w:style w:type="character" w:customStyle="1" w:styleId="CommentSubjectChar">
    <w:name w:val="Comment Subject Char"/>
    <w:basedOn w:val="CommentTextChar"/>
    <w:link w:val="CommentSubject"/>
    <w:rsid w:val="00212382"/>
    <w:rPr>
      <w:b/>
      <w:bCs/>
      <w:w w:val="103"/>
      <w:kern w:val="14"/>
    </w:rPr>
  </w:style>
  <w:style w:type="paragraph" w:customStyle="1" w:styleId="HMGA">
    <w:name w:val="_ H __M_GA"/>
    <w:basedOn w:val="Normal"/>
    <w:next w:val="Normal"/>
    <w:rsid w:val="00C47F5D"/>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C47F5D"/>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C47F5D"/>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SingleTxtGA">
    <w:name w:val="_ Single Txt_GA"/>
    <w:basedOn w:val="Normal"/>
    <w:link w:val="SingleTxtGAChar"/>
    <w:rsid w:val="00C47F5D"/>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character" w:customStyle="1" w:styleId="FootnoteTextChar">
    <w:name w:val="Footnote Text Char"/>
    <w:basedOn w:val="DefaultParagraphFont"/>
    <w:link w:val="FootnoteText"/>
    <w:semiHidden/>
    <w:rsid w:val="00C47F5D"/>
    <w:rPr>
      <w:kern w:val="14"/>
      <w:sz w:val="17"/>
      <w:szCs w:val="26"/>
    </w:rPr>
  </w:style>
  <w:style w:type="character" w:customStyle="1" w:styleId="SingleTxtGAChar">
    <w:name w:val="_ Single Txt_GA Char"/>
    <w:link w:val="SingleTxtGA"/>
    <w:rsid w:val="00C47F5D"/>
    <w:rPr>
      <w:rFonts w:eastAsia="Times New Roman"/>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link w:val="FootnoteTextChar"/>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212382"/>
    <w:pPr>
      <w:spacing w:line="240" w:lineRule="auto"/>
    </w:pPr>
    <w:rPr>
      <w:szCs w:val="20"/>
    </w:rPr>
  </w:style>
  <w:style w:type="character" w:customStyle="1" w:styleId="CommentTextChar">
    <w:name w:val="Comment Text Char"/>
    <w:basedOn w:val="DefaultParagraphFont"/>
    <w:link w:val="CommentText"/>
    <w:rsid w:val="00212382"/>
    <w:rPr>
      <w:w w:val="103"/>
      <w:kern w:val="14"/>
    </w:rPr>
  </w:style>
  <w:style w:type="paragraph" w:styleId="CommentSubject">
    <w:name w:val="annotation subject"/>
    <w:basedOn w:val="CommentText"/>
    <w:next w:val="CommentText"/>
    <w:link w:val="CommentSubjectChar"/>
    <w:rsid w:val="00212382"/>
    <w:rPr>
      <w:b/>
      <w:bCs/>
    </w:rPr>
  </w:style>
  <w:style w:type="character" w:customStyle="1" w:styleId="CommentSubjectChar">
    <w:name w:val="Comment Subject Char"/>
    <w:basedOn w:val="CommentTextChar"/>
    <w:link w:val="CommentSubject"/>
    <w:rsid w:val="00212382"/>
    <w:rPr>
      <w:b/>
      <w:bCs/>
      <w:w w:val="103"/>
      <w:kern w:val="14"/>
    </w:rPr>
  </w:style>
  <w:style w:type="paragraph" w:customStyle="1" w:styleId="HMGA">
    <w:name w:val="_ H __M_GA"/>
    <w:basedOn w:val="Normal"/>
    <w:next w:val="Normal"/>
    <w:rsid w:val="00C47F5D"/>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C47F5D"/>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C47F5D"/>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SingleTxtGA">
    <w:name w:val="_ Single Txt_GA"/>
    <w:basedOn w:val="Normal"/>
    <w:link w:val="SingleTxtGAChar"/>
    <w:rsid w:val="00C47F5D"/>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character" w:customStyle="1" w:styleId="FootnoteTextChar">
    <w:name w:val="Footnote Text Char"/>
    <w:basedOn w:val="DefaultParagraphFont"/>
    <w:link w:val="FootnoteText"/>
    <w:semiHidden/>
    <w:rsid w:val="00C47F5D"/>
    <w:rPr>
      <w:kern w:val="14"/>
      <w:sz w:val="17"/>
      <w:szCs w:val="26"/>
    </w:rPr>
  </w:style>
  <w:style w:type="character" w:customStyle="1" w:styleId="SingleTxtGAChar">
    <w:name w:val="_ Single Txt_GA Char"/>
    <w:link w:val="SingleTxtGA"/>
    <w:rsid w:val="00C47F5D"/>
    <w:rPr>
      <w:rFonts w:eastAsia="Times New Roman"/>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NewsEvents/Pages/UgandaNationalHumanRightsActionPlan.aspx" TargetMode="External"/><Relationship Id="rId2" Type="http://schemas.openxmlformats.org/officeDocument/2006/relationships/hyperlink" Target="http://www2.ohchr.org/english/bodies/cescr/docs/LetterCESCRtoSP16.05.12.pdf" TargetMode="External"/><Relationship Id="rId1" Type="http://schemas.openxmlformats.org/officeDocument/2006/relationships/hyperlink" Target="http://www.ohchr.org/EN/Issues/Education/Training/Pages/HREducationTrainingIndex.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7415D-8838-4DF7-87F5-3A25261EC44A}"/>
</file>

<file path=customXml/itemProps2.xml><?xml version="1.0" encoding="utf-8"?>
<ds:datastoreItem xmlns:ds="http://schemas.openxmlformats.org/officeDocument/2006/customXml" ds:itemID="{345C4B00-6CE2-4F70-8846-C074ECF585F1}"/>
</file>

<file path=customXml/itemProps3.xml><?xml version="1.0" encoding="utf-8"?>
<ds:datastoreItem xmlns:ds="http://schemas.openxmlformats.org/officeDocument/2006/customXml" ds:itemID="{D48B3070-81A2-4EB3-BA28-47343A193528}"/>
</file>

<file path=customXml/itemProps4.xml><?xml version="1.0" encoding="utf-8"?>
<ds:datastoreItem xmlns:ds="http://schemas.openxmlformats.org/officeDocument/2006/customXml" ds:itemID="{C2F6BDA5-04DD-4625-BD32-EC90AD84E4DD}"/>
</file>

<file path=docProps/app.xml><?xml version="1.0" encoding="utf-8"?>
<Properties xmlns="http://schemas.openxmlformats.org/officeDocument/2006/extended-properties" xmlns:vt="http://schemas.openxmlformats.org/officeDocument/2006/docPropsVTypes">
  <Template>Normal.dotm</Template>
  <TotalTime>0</TotalTime>
  <Pages>23</Pages>
  <Words>5681</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37994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prevention of human rights violations and its practical implementation in Arabic</dc:title>
  <dc:subject/>
  <dc:creator>Bahnassawy Mohamed</dc:creator>
  <cp:keywords/>
  <dc:description/>
  <cp:lastModifiedBy>Tpsara</cp:lastModifiedBy>
  <cp:revision>3</cp:revision>
  <cp:lastPrinted>2015-08-14T14:25:00Z</cp:lastPrinted>
  <dcterms:created xsi:type="dcterms:W3CDTF">2015-08-14T14:25:00Z</dcterms:created>
  <dcterms:modified xsi:type="dcterms:W3CDTF">2015-08-14T14:25:00Z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1512082</vt:lpwstr>
  </property>
  <property fmtid="{D5CDD505-2E9C-101B-9397-08002B2CF9AE}" pid="3" name="ODSRefJobNo">
    <vt:lpwstr>1515925A</vt:lpwstr>
  </property>
  <property fmtid="{D5CDD505-2E9C-101B-9397-08002B2CF9AE}" pid="4" name="Symbol1">
    <vt:lpwstr>A/HRC/30/20</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14 August 2015</vt:lpwstr>
  </property>
  <property fmtid="{D5CDD505-2E9C-101B-9397-08002B2CF9AE}" pid="9" name="Original">
    <vt:lpwstr>English</vt:lpwstr>
  </property>
  <property fmtid="{D5CDD505-2E9C-101B-9397-08002B2CF9AE}" pid="10" name="Release Date">
    <vt:lpwstr>140815</vt:lpwstr>
  </property>
  <property fmtid="{D5CDD505-2E9C-101B-9397-08002B2CF9AE}" pid="11" name="Comment">
    <vt:lpwstr/>
  </property>
  <property fmtid="{D5CDD505-2E9C-101B-9397-08002B2CF9AE}" pid="12" name="DraftPages">
    <vt:lpwstr> 23</vt:lpwstr>
  </property>
  <property fmtid="{D5CDD505-2E9C-101B-9397-08002B2CF9AE}" pid="13" name="Operator">
    <vt:lpwstr>bahnassawy</vt:lpwstr>
  </property>
  <property fmtid="{D5CDD505-2E9C-101B-9397-08002B2CF9AE}" pid="14" name="ContentTypeId">
    <vt:lpwstr>0x010100EF670F518423CB4F888C4265EEC2C475</vt:lpwstr>
  </property>
  <property fmtid="{D5CDD505-2E9C-101B-9397-08002B2CF9AE}" pid="15" name="Order">
    <vt:r8>12800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