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comments.xml" ContentType="application/vnd.openxmlformats-officedocument.wordprocessingml.comment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BE1" w:rsidRPr="00860AD3" w:rsidRDefault="00043BE1" w:rsidP="00043BE1">
      <w:pPr>
        <w:spacing w:line="60" w:lineRule="exact"/>
        <w:rPr>
          <w:color w:val="010000"/>
          <w:sz w:val="6"/>
        </w:rPr>
        <w:sectPr w:rsidR="00043BE1" w:rsidRPr="00860AD3" w:rsidSect="00043BE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9" w:h="16834"/>
          <w:pgMar w:top="1742" w:right="936" w:bottom="1898" w:left="936" w:header="576" w:footer="1030" w:gutter="0"/>
          <w:pgNumType w:start="1"/>
          <w:cols w:space="720"/>
          <w:noEndnote/>
          <w:titlePg/>
          <w:docGrid w:linePitch="360"/>
        </w:sectPr>
      </w:pPr>
      <w:r w:rsidRPr="00860AD3">
        <w:rPr>
          <w:rStyle w:val="CommentReference"/>
        </w:rPr>
        <w:commentReference w:id="0"/>
      </w:r>
    </w:p>
    <w:p w:rsidR="00860AD3" w:rsidRPr="00860AD3" w:rsidRDefault="00860AD3" w:rsidP="00860AD3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860AD3">
        <w:lastRenderedPageBreak/>
        <w:t>Совет по правам человека</w:t>
      </w:r>
    </w:p>
    <w:p w:rsidR="00860AD3" w:rsidRPr="00860AD3" w:rsidRDefault="00860AD3" w:rsidP="00860AD3">
      <w:pPr>
        <w:rPr>
          <w:b/>
        </w:rPr>
      </w:pPr>
      <w:r w:rsidRPr="00860AD3">
        <w:rPr>
          <w:b/>
        </w:rPr>
        <w:t>Тридцатая сессия</w:t>
      </w:r>
    </w:p>
    <w:p w:rsidR="00860AD3" w:rsidRPr="00860AD3" w:rsidRDefault="00860AD3" w:rsidP="00860AD3">
      <w:r w:rsidRPr="00860AD3">
        <w:t>Пункты 2 и 3 предварительной повестки дня</w:t>
      </w:r>
    </w:p>
    <w:p w:rsidR="00860AD3" w:rsidRPr="00860AD3" w:rsidRDefault="00860AD3" w:rsidP="00860AD3">
      <w:pPr>
        <w:rPr>
          <w:b/>
        </w:rPr>
      </w:pPr>
      <w:r w:rsidRPr="00860AD3">
        <w:rPr>
          <w:b/>
        </w:rPr>
        <w:t>Ежегодный доклад Верховного комиссара</w:t>
      </w:r>
      <w:r w:rsidRPr="00860AD3">
        <w:rPr>
          <w:b/>
        </w:rPr>
        <w:br/>
        <w:t>Организации Объединенных Наций по правам</w:t>
      </w:r>
      <w:r w:rsidRPr="00860AD3">
        <w:rPr>
          <w:b/>
        </w:rPr>
        <w:br/>
        <w:t>человека и доклады Управления Верховного</w:t>
      </w:r>
      <w:r w:rsidRPr="00860AD3">
        <w:rPr>
          <w:b/>
        </w:rPr>
        <w:br/>
        <w:t>комиссара и Генерального секретаря</w:t>
      </w:r>
    </w:p>
    <w:p w:rsidR="00860AD3" w:rsidRPr="00860AD3" w:rsidRDefault="00860AD3" w:rsidP="00860AD3">
      <w:pPr>
        <w:spacing w:line="120" w:lineRule="exact"/>
        <w:rPr>
          <w:b/>
          <w:sz w:val="10"/>
        </w:rPr>
      </w:pPr>
    </w:p>
    <w:p w:rsidR="00860AD3" w:rsidRPr="00860AD3" w:rsidRDefault="00860AD3" w:rsidP="00860AD3">
      <w:r w:rsidRPr="00860AD3">
        <w:rPr>
          <w:b/>
        </w:rPr>
        <w:t>Поощрение и защита всех прав человека,</w:t>
      </w:r>
      <w:r w:rsidRPr="00860AD3">
        <w:rPr>
          <w:b/>
        </w:rPr>
        <w:br/>
        <w:t>гражданских, политических, экономических,</w:t>
      </w:r>
      <w:r w:rsidRPr="00860AD3">
        <w:rPr>
          <w:b/>
        </w:rPr>
        <w:br/>
        <w:t>социальных и культурных прав, включая</w:t>
      </w:r>
      <w:r w:rsidRPr="00860AD3">
        <w:rPr>
          <w:b/>
        </w:rPr>
        <w:br/>
        <w:t>право на развитие</w:t>
      </w:r>
    </w:p>
    <w:p w:rsidR="00860AD3" w:rsidRPr="00860AD3" w:rsidRDefault="00860AD3" w:rsidP="00860AD3">
      <w:pPr>
        <w:spacing w:line="120" w:lineRule="exact"/>
        <w:rPr>
          <w:b/>
          <w:sz w:val="10"/>
        </w:rPr>
      </w:pPr>
    </w:p>
    <w:p w:rsidR="00860AD3" w:rsidRPr="00860AD3" w:rsidRDefault="00860AD3" w:rsidP="00860AD3">
      <w:pPr>
        <w:spacing w:line="120" w:lineRule="exact"/>
        <w:rPr>
          <w:b/>
          <w:sz w:val="10"/>
        </w:rPr>
      </w:pPr>
    </w:p>
    <w:p w:rsidR="00860AD3" w:rsidRPr="00860AD3" w:rsidRDefault="00860AD3" w:rsidP="00860AD3">
      <w:pPr>
        <w:spacing w:line="120" w:lineRule="exact"/>
        <w:rPr>
          <w:b/>
          <w:sz w:val="10"/>
        </w:rPr>
      </w:pPr>
    </w:p>
    <w:p w:rsidR="00860AD3" w:rsidRPr="00860AD3" w:rsidRDefault="00860AD3" w:rsidP="00860AD3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860AD3">
        <w:tab/>
      </w:r>
      <w:r w:rsidRPr="00860AD3">
        <w:tab/>
        <w:t>Оценка осуществления второго этапа Всемирной программы образования в области прав человека</w:t>
      </w:r>
    </w:p>
    <w:p w:rsidR="00860AD3" w:rsidRPr="00860AD3" w:rsidRDefault="00860AD3" w:rsidP="00860AD3">
      <w:pPr>
        <w:pStyle w:val="SingleTxt"/>
        <w:spacing w:after="0" w:line="120" w:lineRule="exact"/>
        <w:rPr>
          <w:sz w:val="10"/>
        </w:rPr>
      </w:pPr>
    </w:p>
    <w:p w:rsidR="00860AD3" w:rsidRPr="00860AD3" w:rsidRDefault="00860AD3" w:rsidP="00860AD3">
      <w:pPr>
        <w:pStyle w:val="SingleTxt"/>
        <w:spacing w:after="0" w:line="120" w:lineRule="exact"/>
        <w:rPr>
          <w:sz w:val="10"/>
        </w:rPr>
      </w:pPr>
    </w:p>
    <w:p w:rsidR="00860AD3" w:rsidRPr="00860AD3" w:rsidRDefault="00860AD3" w:rsidP="00860AD3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860AD3">
        <w:tab/>
      </w:r>
      <w:r w:rsidRPr="00860AD3">
        <w:tab/>
        <w:t>Доклад Верховного комиссара Организации Объединенных Наций по правам человека</w:t>
      </w:r>
    </w:p>
    <w:p w:rsidR="00043BE1" w:rsidRPr="00860AD3" w:rsidRDefault="00043BE1" w:rsidP="00860AD3">
      <w:pPr>
        <w:spacing w:line="120" w:lineRule="exact"/>
        <w:rPr>
          <w:sz w:val="10"/>
        </w:rPr>
      </w:pPr>
    </w:p>
    <w:p w:rsidR="00860AD3" w:rsidRPr="00860AD3" w:rsidRDefault="00860AD3" w:rsidP="00860AD3">
      <w:pPr>
        <w:spacing w:line="120" w:lineRule="exact"/>
        <w:rPr>
          <w:sz w:val="10"/>
        </w:rPr>
      </w:pPr>
    </w:p>
    <w:p w:rsidR="00860AD3" w:rsidRPr="00860AD3" w:rsidRDefault="00860AD3" w:rsidP="00860AD3">
      <w:pPr>
        <w:spacing w:line="120" w:lineRule="exact"/>
        <w:rPr>
          <w:sz w:val="10"/>
        </w:rPr>
      </w:pPr>
    </w:p>
    <w:tbl>
      <w:tblPr>
        <w:tblW w:w="10051" w:type="dxa"/>
        <w:tblBorders>
          <w:left w:val="single" w:sz="2" w:space="0" w:color="auto"/>
          <w:right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1"/>
      </w:tblGrid>
      <w:tr w:rsidR="00860AD3" w:rsidTr="00860AD3">
        <w:tc>
          <w:tcPr>
            <w:tcW w:w="10051" w:type="dxa"/>
            <w:tcBorders>
              <w:top w:val="single" w:sz="2" w:space="0" w:color="auto"/>
            </w:tcBorders>
            <w:shd w:val="clear" w:color="auto" w:fill="auto"/>
          </w:tcPr>
          <w:p w:rsidR="00860AD3" w:rsidRPr="00860AD3" w:rsidRDefault="00860AD3" w:rsidP="00860AD3">
            <w:pPr>
              <w:tabs>
                <w:tab w:val="left" w:pos="240"/>
              </w:tabs>
              <w:spacing w:before="240" w:after="120"/>
              <w:rPr>
                <w:i/>
                <w:sz w:val="24"/>
              </w:rPr>
            </w:pPr>
            <w:r>
              <w:rPr>
                <w:i/>
                <w:sz w:val="24"/>
              </w:rPr>
              <w:tab/>
              <w:t>Резюме</w:t>
            </w:r>
          </w:p>
        </w:tc>
      </w:tr>
      <w:tr w:rsidR="00860AD3" w:rsidTr="00860AD3">
        <w:tc>
          <w:tcPr>
            <w:tcW w:w="10051" w:type="dxa"/>
            <w:shd w:val="clear" w:color="auto" w:fill="auto"/>
          </w:tcPr>
          <w:p w:rsidR="00860AD3" w:rsidRPr="00860AD3" w:rsidRDefault="00860AD3" w:rsidP="00860AD3">
            <w:pPr>
              <w:pStyle w:val="SingleTxt"/>
            </w:pPr>
            <w:r>
              <w:tab/>
              <w:t>Настоящий доклад представляется в ответ на резолюцию 27/12 Совета по правам человека, в которой Совет просил Управление Верховного комиссара О</w:t>
            </w:r>
            <w:r>
              <w:t>р</w:t>
            </w:r>
            <w:r>
              <w:t xml:space="preserve">ганизации Объединенных Наций по правам человека представить Совету </w:t>
            </w:r>
            <w:r w:rsidR="007639D3">
              <w:br/>
            </w:r>
            <w:r>
              <w:t xml:space="preserve">на его тридцатой сессии доклад об оценке осуществления на втором этапе </w:t>
            </w:r>
            <w:r w:rsidR="007639D3">
              <w:br/>
            </w:r>
            <w:r>
              <w:t>(2010–2014 годы) Всемирной программы, основывающейся на национальных д</w:t>
            </w:r>
            <w:r>
              <w:t>о</w:t>
            </w:r>
            <w:r>
              <w:t>кладах об оценке.</w:t>
            </w:r>
          </w:p>
        </w:tc>
      </w:tr>
      <w:tr w:rsidR="00860AD3" w:rsidTr="00860AD3">
        <w:tc>
          <w:tcPr>
            <w:tcW w:w="10051" w:type="dxa"/>
            <w:shd w:val="clear" w:color="auto" w:fill="auto"/>
          </w:tcPr>
          <w:p w:rsidR="00860AD3" w:rsidRPr="00860AD3" w:rsidRDefault="00860AD3" w:rsidP="00860AD3">
            <w:pPr>
              <w:pStyle w:val="SingleTxt"/>
            </w:pPr>
            <w:r w:rsidRPr="007639D3">
              <w:tab/>
            </w:r>
            <w:r>
              <w:t>В докладе представлен обзор действий, предпринятых, согласно сообщен</w:t>
            </w:r>
            <w:r>
              <w:t>и</w:t>
            </w:r>
            <w:r>
              <w:t>ям государств, на национальном уровне в отношении образования в области прав человека в системе высшего образования и профессиональной подготовки в о</w:t>
            </w:r>
            <w:r>
              <w:t>б</w:t>
            </w:r>
            <w:r>
              <w:t>ласти прав человека для гражданских служащих, сотрудников правоохранител</w:t>
            </w:r>
            <w:r>
              <w:t>ь</w:t>
            </w:r>
            <w:r>
              <w:t>ных органов и военнослужащих. В докладе содержатся выводы, основанные на всей изученной информации, и приводятся рекомендации по дальнейшему укреплению образования и подготовки в области прав человека на основе пол</w:t>
            </w:r>
            <w:r>
              <w:t>о</w:t>
            </w:r>
            <w:r>
              <w:t>жительных результатов, достигнутых на втором этапе.</w:t>
            </w:r>
          </w:p>
        </w:tc>
      </w:tr>
      <w:tr w:rsidR="00860AD3" w:rsidTr="00860AD3">
        <w:tc>
          <w:tcPr>
            <w:tcW w:w="10051" w:type="dxa"/>
            <w:tcBorders>
              <w:bottom w:val="single" w:sz="2" w:space="0" w:color="auto"/>
            </w:tcBorders>
            <w:shd w:val="clear" w:color="auto" w:fill="auto"/>
          </w:tcPr>
          <w:p w:rsidR="00860AD3" w:rsidRPr="00860AD3" w:rsidRDefault="00860AD3" w:rsidP="00860AD3">
            <w:pPr>
              <w:pStyle w:val="SingleTxt"/>
            </w:pPr>
          </w:p>
        </w:tc>
      </w:tr>
    </w:tbl>
    <w:p w:rsidR="00532028" w:rsidRPr="00532028" w:rsidRDefault="00860AD3" w:rsidP="00532028">
      <w:pPr>
        <w:pStyle w:val="HCh"/>
        <w:spacing w:after="120"/>
        <w:rPr>
          <w:b w:val="0"/>
        </w:rPr>
      </w:pPr>
      <w:r>
        <w:br w:type="page"/>
      </w:r>
      <w:r w:rsidR="00532028">
        <w:rPr>
          <w:b w:val="0"/>
        </w:rPr>
        <w:lastRenderedPageBreak/>
        <w:t>Содержание</w:t>
      </w:r>
    </w:p>
    <w:tbl>
      <w:tblPr>
        <w:tblW w:w="98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7056"/>
        <w:gridCol w:w="994"/>
        <w:gridCol w:w="720"/>
      </w:tblGrid>
      <w:tr w:rsidR="00532028" w:rsidRPr="00532028" w:rsidTr="00532028">
        <w:tc>
          <w:tcPr>
            <w:tcW w:w="1060" w:type="dxa"/>
            <w:shd w:val="clear" w:color="auto" w:fill="auto"/>
          </w:tcPr>
          <w:p w:rsidR="00532028" w:rsidRPr="00532028" w:rsidRDefault="00532028" w:rsidP="00532028">
            <w:pPr>
              <w:spacing w:after="120" w:line="240" w:lineRule="auto"/>
              <w:jc w:val="right"/>
              <w:rPr>
                <w:i/>
                <w:sz w:val="14"/>
              </w:rPr>
            </w:pPr>
          </w:p>
        </w:tc>
        <w:tc>
          <w:tcPr>
            <w:tcW w:w="7056" w:type="dxa"/>
            <w:shd w:val="clear" w:color="auto" w:fill="auto"/>
          </w:tcPr>
          <w:p w:rsidR="00532028" w:rsidRPr="00532028" w:rsidRDefault="00532028" w:rsidP="00532028">
            <w:pPr>
              <w:spacing w:after="120" w:line="240" w:lineRule="auto"/>
              <w:rPr>
                <w:i/>
                <w:sz w:val="14"/>
              </w:rPr>
            </w:pPr>
          </w:p>
        </w:tc>
        <w:tc>
          <w:tcPr>
            <w:tcW w:w="994" w:type="dxa"/>
            <w:shd w:val="clear" w:color="auto" w:fill="auto"/>
          </w:tcPr>
          <w:p w:rsidR="00532028" w:rsidRPr="00532028" w:rsidRDefault="00532028" w:rsidP="00532028">
            <w:pPr>
              <w:spacing w:after="120" w:line="240" w:lineRule="auto"/>
              <w:ind w:right="40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Пункты</w:t>
            </w:r>
          </w:p>
        </w:tc>
        <w:tc>
          <w:tcPr>
            <w:tcW w:w="720" w:type="dxa"/>
            <w:shd w:val="clear" w:color="auto" w:fill="auto"/>
          </w:tcPr>
          <w:p w:rsidR="00532028" w:rsidRPr="00532028" w:rsidRDefault="00532028" w:rsidP="00532028">
            <w:pPr>
              <w:spacing w:after="120" w:line="240" w:lineRule="auto"/>
              <w:ind w:right="40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Стр.</w:t>
            </w:r>
          </w:p>
        </w:tc>
      </w:tr>
      <w:tr w:rsidR="00532028" w:rsidRPr="00532028" w:rsidTr="00532028">
        <w:tc>
          <w:tcPr>
            <w:tcW w:w="8116" w:type="dxa"/>
            <w:gridSpan w:val="2"/>
            <w:shd w:val="clear" w:color="auto" w:fill="auto"/>
          </w:tcPr>
          <w:p w:rsidR="00532028" w:rsidRPr="00532028" w:rsidRDefault="00532028" w:rsidP="00532028">
            <w:pPr>
              <w:numPr>
                <w:ilvl w:val="0"/>
                <w:numId w:val="13"/>
              </w:numPr>
              <w:tabs>
                <w:tab w:val="right" w:pos="1080"/>
                <w:tab w:val="left" w:pos="1296"/>
                <w:tab w:val="left" w:pos="1728"/>
                <w:tab w:val="right" w:leader="dot" w:pos="8194"/>
              </w:tabs>
              <w:suppressAutoHyphens/>
              <w:spacing w:after="120"/>
            </w:pPr>
            <w:r>
              <w:tab/>
            </w:r>
            <w:r w:rsidRPr="00532028">
              <w:t>Введение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532028" w:rsidRPr="00532028" w:rsidRDefault="00532028" w:rsidP="00532028">
            <w:pPr>
              <w:spacing w:after="120"/>
              <w:ind w:right="40"/>
              <w:jc w:val="right"/>
            </w:pPr>
            <w:r>
              <w:t>1–7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32028" w:rsidRPr="00532028" w:rsidRDefault="008C6CB6" w:rsidP="00532028">
            <w:pPr>
              <w:spacing w:after="120"/>
              <w:ind w:right="40"/>
              <w:jc w:val="right"/>
            </w:pPr>
            <w:r>
              <w:t>3</w:t>
            </w:r>
          </w:p>
        </w:tc>
      </w:tr>
      <w:tr w:rsidR="00532028" w:rsidRPr="00532028" w:rsidTr="00532028">
        <w:tc>
          <w:tcPr>
            <w:tcW w:w="8116" w:type="dxa"/>
            <w:gridSpan w:val="2"/>
            <w:shd w:val="clear" w:color="auto" w:fill="auto"/>
          </w:tcPr>
          <w:p w:rsidR="00532028" w:rsidRPr="00532028" w:rsidRDefault="00532028" w:rsidP="00532028">
            <w:pPr>
              <w:numPr>
                <w:ilvl w:val="1"/>
                <w:numId w:val="13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right" w:leader="dot" w:pos="8194"/>
              </w:tabs>
              <w:suppressAutoHyphens/>
              <w:spacing w:after="120"/>
            </w:pPr>
            <w:r w:rsidRPr="00532028">
              <w:t>Общая информация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532028" w:rsidRPr="00532028" w:rsidRDefault="00532028" w:rsidP="00532028">
            <w:pPr>
              <w:spacing w:after="120"/>
              <w:ind w:right="40"/>
              <w:jc w:val="right"/>
            </w:pPr>
            <w:r>
              <w:t>1–4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32028" w:rsidRPr="00532028" w:rsidRDefault="008C6CB6" w:rsidP="00532028">
            <w:pPr>
              <w:spacing w:after="120"/>
              <w:ind w:right="40"/>
              <w:jc w:val="right"/>
            </w:pPr>
            <w:r>
              <w:t>3</w:t>
            </w:r>
          </w:p>
        </w:tc>
      </w:tr>
      <w:tr w:rsidR="00532028" w:rsidRPr="00532028" w:rsidTr="00532028">
        <w:tc>
          <w:tcPr>
            <w:tcW w:w="8116" w:type="dxa"/>
            <w:gridSpan w:val="2"/>
            <w:shd w:val="clear" w:color="auto" w:fill="auto"/>
          </w:tcPr>
          <w:p w:rsidR="00532028" w:rsidRPr="00532028" w:rsidRDefault="00532028" w:rsidP="00532028">
            <w:pPr>
              <w:numPr>
                <w:ilvl w:val="1"/>
                <w:numId w:val="13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right" w:leader="dot" w:pos="8194"/>
              </w:tabs>
              <w:suppressAutoHyphens/>
              <w:spacing w:after="120"/>
            </w:pPr>
            <w:r w:rsidRPr="00532028">
              <w:t>Методология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532028" w:rsidRPr="00532028" w:rsidRDefault="00532028" w:rsidP="00532028">
            <w:pPr>
              <w:spacing w:after="120"/>
              <w:ind w:right="40"/>
              <w:jc w:val="right"/>
            </w:pPr>
            <w:r>
              <w:t>5–7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32028" w:rsidRPr="00532028" w:rsidRDefault="008C6CB6" w:rsidP="00532028">
            <w:pPr>
              <w:spacing w:after="120"/>
              <w:ind w:right="40"/>
              <w:jc w:val="right"/>
            </w:pPr>
            <w:r>
              <w:t>3</w:t>
            </w:r>
          </w:p>
        </w:tc>
      </w:tr>
      <w:tr w:rsidR="00532028" w:rsidRPr="00532028" w:rsidTr="00532028">
        <w:tc>
          <w:tcPr>
            <w:tcW w:w="8116" w:type="dxa"/>
            <w:gridSpan w:val="2"/>
            <w:shd w:val="clear" w:color="auto" w:fill="auto"/>
          </w:tcPr>
          <w:p w:rsidR="00532028" w:rsidRPr="00532028" w:rsidRDefault="00532028" w:rsidP="007639D3">
            <w:pPr>
              <w:numPr>
                <w:ilvl w:val="0"/>
                <w:numId w:val="13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right" w:leader="dot" w:pos="8194"/>
              </w:tabs>
              <w:suppressAutoHyphens/>
              <w:spacing w:after="120"/>
            </w:pPr>
            <w:r>
              <w:tab/>
            </w:r>
            <w:r w:rsidRPr="00532028">
              <w:t>Обзор действий на национальном уровне</w:t>
            </w:r>
            <w:r w:rsidR="007639D3">
              <w:rPr>
                <w:spacing w:val="60"/>
                <w:sz w:val="17"/>
              </w:rPr>
              <w:tab/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532028" w:rsidRPr="00532028" w:rsidRDefault="00532028" w:rsidP="00532028">
            <w:pPr>
              <w:spacing w:after="120"/>
              <w:ind w:right="40"/>
              <w:jc w:val="right"/>
            </w:pPr>
            <w:r>
              <w:t>8–49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32028" w:rsidRPr="00532028" w:rsidRDefault="008C6CB6" w:rsidP="00532028">
            <w:pPr>
              <w:spacing w:after="120"/>
              <w:ind w:right="40"/>
              <w:jc w:val="right"/>
            </w:pPr>
            <w:r>
              <w:t>4</w:t>
            </w:r>
          </w:p>
        </w:tc>
      </w:tr>
      <w:tr w:rsidR="00532028" w:rsidRPr="00532028" w:rsidTr="00532028">
        <w:tc>
          <w:tcPr>
            <w:tcW w:w="8116" w:type="dxa"/>
            <w:gridSpan w:val="2"/>
            <w:shd w:val="clear" w:color="auto" w:fill="auto"/>
          </w:tcPr>
          <w:p w:rsidR="00532028" w:rsidRPr="00532028" w:rsidRDefault="00532028" w:rsidP="007639D3">
            <w:pPr>
              <w:numPr>
                <w:ilvl w:val="1"/>
                <w:numId w:val="13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right" w:leader="dot" w:pos="8194"/>
              </w:tabs>
              <w:suppressAutoHyphens/>
              <w:spacing w:after="120"/>
            </w:pPr>
            <w:r w:rsidRPr="00532028">
              <w:t xml:space="preserve">Образование в области прав человека в высших учебных </w:t>
            </w:r>
            <w:r w:rsidR="007639D3">
              <w:br/>
            </w:r>
            <w:r w:rsidRPr="00532028">
              <w:t>заведениях</w:t>
            </w:r>
            <w:r w:rsidR="007639D3">
              <w:rPr>
                <w:spacing w:val="60"/>
                <w:sz w:val="17"/>
              </w:rPr>
              <w:tab/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532028" w:rsidRPr="00532028" w:rsidRDefault="00532028" w:rsidP="00532028">
            <w:pPr>
              <w:spacing w:after="120"/>
              <w:ind w:right="40"/>
              <w:jc w:val="right"/>
            </w:pPr>
            <w:r>
              <w:t>11–20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32028" w:rsidRPr="00532028" w:rsidRDefault="008C6CB6" w:rsidP="00532028">
            <w:pPr>
              <w:spacing w:after="120"/>
              <w:ind w:right="40"/>
              <w:jc w:val="right"/>
            </w:pPr>
            <w:r>
              <w:t>5</w:t>
            </w:r>
          </w:p>
        </w:tc>
      </w:tr>
      <w:tr w:rsidR="00532028" w:rsidRPr="00532028" w:rsidTr="00532028">
        <w:tc>
          <w:tcPr>
            <w:tcW w:w="8116" w:type="dxa"/>
            <w:gridSpan w:val="2"/>
            <w:shd w:val="clear" w:color="auto" w:fill="auto"/>
          </w:tcPr>
          <w:p w:rsidR="00532028" w:rsidRPr="00532028" w:rsidRDefault="00532028" w:rsidP="008C6CB6">
            <w:pPr>
              <w:numPr>
                <w:ilvl w:val="1"/>
                <w:numId w:val="13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right" w:leader="dot" w:pos="8194"/>
              </w:tabs>
              <w:suppressAutoHyphens/>
              <w:spacing w:after="120"/>
            </w:pPr>
            <w:r w:rsidRPr="00532028">
              <w:t xml:space="preserve">Подготовка в области прав человека для гражданских </w:t>
            </w:r>
            <w:r w:rsidR="008C6CB6">
              <w:br/>
            </w:r>
            <w:r w:rsidRPr="00532028">
              <w:t>служащих</w:t>
            </w:r>
            <w:r w:rsidR="008C6CB6">
              <w:rPr>
                <w:spacing w:val="60"/>
                <w:sz w:val="17"/>
              </w:rPr>
              <w:tab/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532028" w:rsidRPr="00532028" w:rsidRDefault="00532028" w:rsidP="00532028">
            <w:pPr>
              <w:spacing w:after="120"/>
              <w:ind w:right="40"/>
              <w:jc w:val="right"/>
            </w:pPr>
            <w:r>
              <w:t>21–27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32028" w:rsidRPr="00532028" w:rsidRDefault="008C6CB6" w:rsidP="00532028">
            <w:pPr>
              <w:spacing w:after="120"/>
              <w:ind w:right="40"/>
              <w:jc w:val="right"/>
            </w:pPr>
            <w:r>
              <w:t>8</w:t>
            </w:r>
          </w:p>
        </w:tc>
      </w:tr>
      <w:tr w:rsidR="00532028" w:rsidRPr="00532028" w:rsidTr="00532028">
        <w:tc>
          <w:tcPr>
            <w:tcW w:w="8116" w:type="dxa"/>
            <w:gridSpan w:val="2"/>
            <w:shd w:val="clear" w:color="auto" w:fill="auto"/>
          </w:tcPr>
          <w:p w:rsidR="00532028" w:rsidRPr="00532028" w:rsidRDefault="00532028" w:rsidP="007639D3">
            <w:pPr>
              <w:numPr>
                <w:ilvl w:val="1"/>
                <w:numId w:val="13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right" w:leader="dot" w:pos="8194"/>
              </w:tabs>
              <w:suppressAutoHyphens/>
              <w:spacing w:after="120"/>
            </w:pPr>
            <w:r w:rsidRPr="00532028">
              <w:t>Подготовка в области прав человека для сотрудников правоохранительных органов</w:t>
            </w:r>
            <w:r w:rsidR="007639D3">
              <w:rPr>
                <w:spacing w:val="60"/>
                <w:sz w:val="17"/>
              </w:rPr>
              <w:tab/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532028" w:rsidRPr="00532028" w:rsidRDefault="00532028" w:rsidP="00532028">
            <w:pPr>
              <w:spacing w:after="120"/>
              <w:ind w:right="40"/>
              <w:jc w:val="right"/>
            </w:pPr>
            <w:r>
              <w:t>28–42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32028" w:rsidRPr="00532028" w:rsidRDefault="008C6CB6" w:rsidP="00532028">
            <w:pPr>
              <w:spacing w:after="120"/>
              <w:ind w:right="40"/>
              <w:jc w:val="right"/>
            </w:pPr>
            <w:r>
              <w:t>11</w:t>
            </w:r>
          </w:p>
        </w:tc>
      </w:tr>
      <w:tr w:rsidR="00532028" w:rsidRPr="00532028" w:rsidTr="00532028">
        <w:tc>
          <w:tcPr>
            <w:tcW w:w="8116" w:type="dxa"/>
            <w:gridSpan w:val="2"/>
            <w:shd w:val="clear" w:color="auto" w:fill="auto"/>
          </w:tcPr>
          <w:p w:rsidR="00532028" w:rsidRPr="00532028" w:rsidRDefault="00532028" w:rsidP="007639D3">
            <w:pPr>
              <w:numPr>
                <w:ilvl w:val="1"/>
                <w:numId w:val="13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right" w:leader="dot" w:pos="8194"/>
              </w:tabs>
              <w:suppressAutoHyphens/>
              <w:spacing w:after="120"/>
            </w:pPr>
            <w:r w:rsidRPr="00532028">
              <w:t>Подготовка в области прав человека для военнослужащих</w:t>
            </w:r>
            <w:r w:rsidR="007639D3">
              <w:rPr>
                <w:spacing w:val="60"/>
                <w:sz w:val="17"/>
              </w:rPr>
              <w:tab/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532028" w:rsidRPr="00532028" w:rsidRDefault="00532028" w:rsidP="00532028">
            <w:pPr>
              <w:spacing w:after="120"/>
              <w:ind w:right="40"/>
              <w:jc w:val="right"/>
            </w:pPr>
            <w:r>
              <w:t>43–49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32028" w:rsidRPr="00532028" w:rsidRDefault="008C6CB6" w:rsidP="00532028">
            <w:pPr>
              <w:spacing w:after="120"/>
              <w:ind w:right="40"/>
              <w:jc w:val="right"/>
            </w:pPr>
            <w:r>
              <w:t>16</w:t>
            </w:r>
          </w:p>
        </w:tc>
      </w:tr>
      <w:tr w:rsidR="00532028" w:rsidRPr="00532028" w:rsidTr="00532028">
        <w:tc>
          <w:tcPr>
            <w:tcW w:w="8116" w:type="dxa"/>
            <w:gridSpan w:val="2"/>
            <w:shd w:val="clear" w:color="auto" w:fill="auto"/>
          </w:tcPr>
          <w:p w:rsidR="00532028" w:rsidRPr="00532028" w:rsidRDefault="00532028" w:rsidP="00A2777D">
            <w:pPr>
              <w:numPr>
                <w:ilvl w:val="0"/>
                <w:numId w:val="13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right" w:leader="dot" w:pos="8194"/>
              </w:tabs>
              <w:suppressAutoHyphens/>
              <w:spacing w:after="120"/>
            </w:pPr>
            <w:r>
              <w:tab/>
            </w:r>
            <w:r w:rsidRPr="00532028">
              <w:t>Выводы и рекомендации</w:t>
            </w:r>
            <w:r w:rsidR="00A2777D">
              <w:rPr>
                <w:spacing w:val="60"/>
                <w:sz w:val="17"/>
              </w:rPr>
              <w:tab/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532028" w:rsidRPr="00532028" w:rsidRDefault="00532028" w:rsidP="00532028">
            <w:pPr>
              <w:spacing w:after="120"/>
              <w:ind w:right="40"/>
              <w:jc w:val="right"/>
            </w:pPr>
            <w:r>
              <w:t>50–60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532028" w:rsidRPr="00532028" w:rsidRDefault="008C6CB6" w:rsidP="00532028">
            <w:pPr>
              <w:spacing w:after="120"/>
              <w:ind w:right="40"/>
              <w:jc w:val="right"/>
            </w:pPr>
            <w:r>
              <w:t>18</w:t>
            </w:r>
          </w:p>
        </w:tc>
      </w:tr>
      <w:tr w:rsidR="00532028" w:rsidRPr="00532028" w:rsidTr="00532028">
        <w:tc>
          <w:tcPr>
            <w:tcW w:w="8116" w:type="dxa"/>
            <w:gridSpan w:val="2"/>
            <w:shd w:val="clear" w:color="auto" w:fill="auto"/>
          </w:tcPr>
          <w:p w:rsidR="00532028" w:rsidRPr="00532028" w:rsidRDefault="00532028" w:rsidP="00A2777D">
            <w:pPr>
              <w:tabs>
                <w:tab w:val="right" w:pos="1080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right" w:leader="dot" w:pos="8194"/>
              </w:tabs>
              <w:suppressAutoHyphens/>
              <w:spacing w:after="120"/>
              <w:ind w:left="475"/>
            </w:pPr>
            <w:r w:rsidRPr="00532028">
              <w:t>Приложение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532028" w:rsidRPr="00532028" w:rsidRDefault="00532028" w:rsidP="00532028">
            <w:pPr>
              <w:spacing w:after="120"/>
              <w:ind w:right="40"/>
              <w:jc w:val="right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532028" w:rsidRPr="00532028" w:rsidRDefault="00532028" w:rsidP="00532028">
            <w:pPr>
              <w:spacing w:after="120"/>
              <w:ind w:right="40"/>
              <w:jc w:val="right"/>
            </w:pPr>
          </w:p>
        </w:tc>
      </w:tr>
      <w:tr w:rsidR="00A2777D" w:rsidRPr="00532028" w:rsidTr="00A2777D">
        <w:tc>
          <w:tcPr>
            <w:tcW w:w="9110" w:type="dxa"/>
            <w:gridSpan w:val="3"/>
            <w:shd w:val="clear" w:color="auto" w:fill="auto"/>
          </w:tcPr>
          <w:p w:rsidR="00A2777D" w:rsidRPr="00A2777D" w:rsidRDefault="004C2FD9" w:rsidP="00A2777D">
            <w:p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right" w:leader="dot" w:pos="9245"/>
              </w:tabs>
              <w:spacing w:after="120"/>
              <w:ind w:right="40"/>
              <w:rPr>
                <w:spacing w:val="60"/>
                <w:sz w:val="17"/>
              </w:rPr>
            </w:pPr>
            <w:r>
              <w:tab/>
            </w:r>
            <w:r>
              <w:tab/>
            </w:r>
            <w:r w:rsidR="00A2777D" w:rsidRPr="00532028">
              <w:t>Перечень правительств, представивших информацию</w:t>
            </w:r>
            <w:r w:rsidR="00A2777D"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A2777D" w:rsidRPr="00532028" w:rsidRDefault="008C6CB6" w:rsidP="00532028">
            <w:pPr>
              <w:spacing w:after="120"/>
              <w:ind w:right="40"/>
              <w:jc w:val="right"/>
            </w:pPr>
            <w:r>
              <w:t>21</w:t>
            </w:r>
          </w:p>
        </w:tc>
      </w:tr>
    </w:tbl>
    <w:p w:rsidR="00A2777D" w:rsidRPr="00A2777D" w:rsidRDefault="00A2777D" w:rsidP="00A2777D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br w:type="page"/>
      </w:r>
      <w:r w:rsidRPr="00A2777D">
        <w:lastRenderedPageBreak/>
        <w:tab/>
        <w:t>I.</w:t>
      </w:r>
      <w:r w:rsidRPr="00A2777D">
        <w:tab/>
        <w:t>Введение</w:t>
      </w:r>
    </w:p>
    <w:p w:rsidR="00A2777D" w:rsidRPr="00A2777D" w:rsidRDefault="00A2777D" w:rsidP="00A2777D">
      <w:pPr>
        <w:pStyle w:val="SingleTxt"/>
        <w:spacing w:after="0" w:line="120" w:lineRule="exact"/>
        <w:rPr>
          <w:b/>
          <w:sz w:val="10"/>
        </w:rPr>
      </w:pPr>
    </w:p>
    <w:p w:rsidR="00A2777D" w:rsidRPr="00A2777D" w:rsidRDefault="00A2777D" w:rsidP="00A2777D">
      <w:pPr>
        <w:pStyle w:val="SingleTxt"/>
        <w:spacing w:after="0" w:line="120" w:lineRule="exact"/>
        <w:rPr>
          <w:b/>
          <w:sz w:val="10"/>
        </w:rPr>
      </w:pPr>
    </w:p>
    <w:p w:rsidR="00A2777D" w:rsidRPr="00A2777D" w:rsidRDefault="00A2777D" w:rsidP="00A2777D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A2777D">
        <w:tab/>
        <w:t>A.</w:t>
      </w:r>
      <w:r w:rsidRPr="00A2777D">
        <w:tab/>
        <w:t>Общая информация</w:t>
      </w:r>
    </w:p>
    <w:p w:rsidR="00A2777D" w:rsidRPr="00A2777D" w:rsidRDefault="00A2777D" w:rsidP="00A2777D">
      <w:pPr>
        <w:pStyle w:val="SingleTxt"/>
        <w:spacing w:after="0" w:line="120" w:lineRule="exact"/>
        <w:rPr>
          <w:sz w:val="10"/>
        </w:rPr>
      </w:pPr>
    </w:p>
    <w:p w:rsidR="00A2777D" w:rsidRPr="00A2777D" w:rsidRDefault="00A2777D" w:rsidP="00A2777D">
      <w:pPr>
        <w:pStyle w:val="SingleTxt"/>
        <w:spacing w:after="0" w:line="120" w:lineRule="exact"/>
        <w:rPr>
          <w:sz w:val="10"/>
        </w:rPr>
      </w:pPr>
    </w:p>
    <w:p w:rsidR="00A2777D" w:rsidRPr="00A2777D" w:rsidRDefault="00A2777D" w:rsidP="00A2777D">
      <w:pPr>
        <w:pStyle w:val="SingleTxt"/>
      </w:pPr>
      <w:r w:rsidRPr="00A2777D">
        <w:t>1.</w:t>
      </w:r>
      <w:r w:rsidRPr="00A2777D">
        <w:tab/>
        <w:t>В своей резолюции 59/113A Генеральная Ассамблея провозгласила Всеми</w:t>
      </w:r>
      <w:r w:rsidRPr="00A2777D">
        <w:t>р</w:t>
      </w:r>
      <w:r w:rsidRPr="00A2777D">
        <w:t>ную программу образования в области прав человека в качестве глобальной ин</w:t>
      </w:r>
      <w:r w:rsidRPr="00A2777D">
        <w:t>и</w:t>
      </w:r>
      <w:r w:rsidRPr="00A2777D">
        <w:t>циативы по содействию осуществлению программ образования в области прав человека во всех секторах. Программа разделена на последовательные этапы, в течение которых в качестве объектов, которым на национальном уровне уделяе</w:t>
      </w:r>
      <w:r w:rsidRPr="00A2777D">
        <w:t>т</w:t>
      </w:r>
      <w:r w:rsidRPr="00A2777D">
        <w:t>ся особое внимание, выбираются различные секторы. В рамках первого этапа, который охватывал период 2005−2009 годов, особое внимание уделялось вкл</w:t>
      </w:r>
      <w:r w:rsidRPr="00A2777D">
        <w:t>ю</w:t>
      </w:r>
      <w:r w:rsidRPr="00A2777D">
        <w:t>чению образования в области прав человека в системы начального и среднего образования. Оценка первого этапа была проведена в 2010 году и представлена в документе A/65/322.</w:t>
      </w:r>
    </w:p>
    <w:p w:rsidR="00A2777D" w:rsidRPr="00A2777D" w:rsidRDefault="00A2777D" w:rsidP="00A2777D">
      <w:pPr>
        <w:pStyle w:val="SingleTxt"/>
      </w:pPr>
      <w:r w:rsidRPr="00A2777D">
        <w:t>2.</w:t>
      </w:r>
      <w:r w:rsidRPr="00A2777D">
        <w:tab/>
        <w:t>В своей резолюции 12/4 Совет по правам человека постановил сделать пр</w:t>
      </w:r>
      <w:r w:rsidRPr="00A2777D">
        <w:t>и</w:t>
      </w:r>
      <w:r w:rsidRPr="00A2777D">
        <w:t>оритетными направлениями работы на втором этапе Всемирной программы, охватывающем период с 2010 по 2014 год, образование в области прав человека в системе высшего образования и курсы подготовки в области прав человека для учителей и просветителей, гражданских служащих, сотрудников правоохран</w:t>
      </w:r>
      <w:r w:rsidRPr="00A2777D">
        <w:t>и</w:t>
      </w:r>
      <w:r w:rsidRPr="00A2777D">
        <w:t>тельных органов и военнослужащих на всех уровнях. Соответствующий план действий был утвержден Советом в сентябре 2010 года. В плане предусматрив</w:t>
      </w:r>
      <w:r w:rsidRPr="00A2777D">
        <w:t>а</w:t>
      </w:r>
      <w:r w:rsidRPr="00A2777D">
        <w:t>лось, что начале 2015 года, по завершении второго этапа каждая страна проведет оценку принятых мер и представит национальный доклад об оценке Управлению Верховного комиссара Организации Объединенных Наций по правам человека (УВКПЧ), которое подготовит глобальный доклад об оценке, подлежащий пре</w:t>
      </w:r>
      <w:r w:rsidRPr="00A2777D">
        <w:t>д</w:t>
      </w:r>
      <w:r w:rsidRPr="00A2777D">
        <w:t>ставлению Совету в 2015 году.</w:t>
      </w:r>
    </w:p>
    <w:p w:rsidR="00A2777D" w:rsidRPr="00A2777D" w:rsidRDefault="00A2777D" w:rsidP="00A2777D">
      <w:pPr>
        <w:pStyle w:val="SingleTxt"/>
      </w:pPr>
      <w:r w:rsidRPr="00A2777D">
        <w:t>3.</w:t>
      </w:r>
      <w:r w:rsidRPr="00A2777D">
        <w:tab/>
        <w:t>В соответствии с просьбой Совета, содержащейся в его резолюции 15/11, в 2012 году УВКПЧ подготовило доклад о ходе работы (см. A/HRC/21/20), соде</w:t>
      </w:r>
      <w:r w:rsidRPr="00A2777D">
        <w:t>р</w:t>
      </w:r>
      <w:r w:rsidRPr="00A2777D">
        <w:t>жащий предварительный обзор национальных инициатив, касающихся образов</w:t>
      </w:r>
      <w:r w:rsidRPr="00A2777D">
        <w:t>а</w:t>
      </w:r>
      <w:r w:rsidRPr="00A2777D">
        <w:t>ния в области прав человека, в секторе высшего образования и для учителей и педагогов, гражданских служащих, сотрудников правоохранительных органов и военнослужащих, о которых сообщили 34 правительства и 14 национальных пр</w:t>
      </w:r>
      <w:r w:rsidRPr="00A2777D">
        <w:t>а</w:t>
      </w:r>
      <w:r w:rsidRPr="00A2777D">
        <w:t>возащитных учреждений.</w:t>
      </w:r>
    </w:p>
    <w:p w:rsidR="00A2777D" w:rsidRPr="00A2777D" w:rsidRDefault="00A2777D" w:rsidP="00A2777D">
      <w:pPr>
        <w:pStyle w:val="SingleTxt"/>
      </w:pPr>
      <w:r w:rsidRPr="00A2777D">
        <w:t>4.</w:t>
      </w:r>
      <w:r w:rsidRPr="00A2777D">
        <w:tab/>
        <w:t>В сентябре 2014 года в своей резолюции 27/12 Совет напомнил госуда</w:t>
      </w:r>
      <w:r w:rsidRPr="00A2777D">
        <w:t>р</w:t>
      </w:r>
      <w:r w:rsidRPr="00A2777D">
        <w:t>ствам о необходимости подготовить и представить УВКПЧ к апрелю 2015 года свои национальные доклады об оценке осуществления на втором этапе Всеми</w:t>
      </w:r>
      <w:r w:rsidRPr="00A2777D">
        <w:t>р</w:t>
      </w:r>
      <w:r w:rsidRPr="00A2777D">
        <w:t>ной программы в соответствии с планом действий. Совет также просил УВКПЧ представить на его тридцатой сессии доклад об оценке осуществления на втором этапе Всемирной программы, основывающейся на национальных докладах об оценке.</w:t>
      </w:r>
    </w:p>
    <w:p w:rsidR="00A2777D" w:rsidRPr="00A2777D" w:rsidRDefault="00A2777D" w:rsidP="00A2777D">
      <w:pPr>
        <w:pStyle w:val="SingleTxt"/>
        <w:spacing w:after="0" w:line="120" w:lineRule="exact"/>
        <w:rPr>
          <w:b/>
          <w:sz w:val="10"/>
        </w:rPr>
      </w:pPr>
    </w:p>
    <w:p w:rsidR="00A2777D" w:rsidRPr="00A2777D" w:rsidRDefault="00A2777D" w:rsidP="00A2777D">
      <w:pPr>
        <w:pStyle w:val="SingleTxt"/>
        <w:spacing w:after="0" w:line="120" w:lineRule="exact"/>
        <w:rPr>
          <w:b/>
          <w:sz w:val="10"/>
        </w:rPr>
      </w:pPr>
    </w:p>
    <w:p w:rsidR="00A2777D" w:rsidRPr="00A2777D" w:rsidRDefault="00A2777D" w:rsidP="00A2777D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A2777D">
        <w:tab/>
        <w:t>B.</w:t>
      </w:r>
      <w:r w:rsidRPr="00A2777D">
        <w:tab/>
        <w:t xml:space="preserve">Методология </w:t>
      </w:r>
    </w:p>
    <w:p w:rsidR="00A2777D" w:rsidRPr="00A2777D" w:rsidRDefault="00A2777D" w:rsidP="00A2777D">
      <w:pPr>
        <w:pStyle w:val="SingleTxt"/>
        <w:spacing w:after="0" w:line="120" w:lineRule="exact"/>
        <w:rPr>
          <w:sz w:val="10"/>
        </w:rPr>
      </w:pPr>
    </w:p>
    <w:p w:rsidR="00A2777D" w:rsidRPr="00A2777D" w:rsidRDefault="00A2777D" w:rsidP="00A2777D">
      <w:pPr>
        <w:pStyle w:val="SingleTxt"/>
        <w:spacing w:after="0" w:line="120" w:lineRule="exact"/>
        <w:rPr>
          <w:sz w:val="10"/>
        </w:rPr>
      </w:pPr>
    </w:p>
    <w:p w:rsidR="00A2777D" w:rsidRPr="00A2777D" w:rsidRDefault="00A2777D" w:rsidP="00A2777D">
      <w:pPr>
        <w:pStyle w:val="SingleTxt"/>
      </w:pPr>
      <w:r w:rsidRPr="00A2777D">
        <w:t>5.</w:t>
      </w:r>
      <w:r w:rsidRPr="00A2777D">
        <w:tab/>
        <w:t>В феврале 2015 года УВКПЧ направило государствам вербальные ноты, вновь обратив внимание на напоминание Совета о необходимости представить их национальные доклады об оценке осуществления второго этапа программы, вместе с пояснительной запиской, составленной на основе плана действий, для содействия им в подготовке докладов.</w:t>
      </w:r>
    </w:p>
    <w:p w:rsidR="00A2777D" w:rsidRPr="00A2777D" w:rsidRDefault="00A2777D" w:rsidP="00A2777D">
      <w:pPr>
        <w:pStyle w:val="SingleTxt"/>
      </w:pPr>
      <w:r w:rsidRPr="00A2777D">
        <w:t>6.</w:t>
      </w:r>
      <w:r w:rsidRPr="00A2777D">
        <w:tab/>
        <w:t>К 1 июня 2015 года ответы представили 28 правительств (см. приложение). Их ответы послужили основным источником информации для настоящего докл</w:t>
      </w:r>
      <w:r w:rsidRPr="00A2777D">
        <w:t>а</w:t>
      </w:r>
      <w:r w:rsidRPr="00A2777D">
        <w:t>да наряду с дополнительной информацией, содержащейся в вышеупомянутом докладе о ходе работы 2012 года, а также материалами, полученными от гос</w:t>
      </w:r>
      <w:r w:rsidRPr="00A2777D">
        <w:t>у</w:t>
      </w:r>
      <w:r w:rsidRPr="00A2777D">
        <w:lastRenderedPageBreak/>
        <w:t>дарств в связи проведенными консультациями по целевым секторам, приорите</w:t>
      </w:r>
      <w:r w:rsidRPr="00A2777D">
        <w:t>т</w:t>
      </w:r>
      <w:r w:rsidRPr="00A2777D">
        <w:t>ным областям или тематическим вопросам, касающимся прав человека, для тр</w:t>
      </w:r>
      <w:r w:rsidRPr="00A2777D">
        <w:t>е</w:t>
      </w:r>
      <w:r w:rsidRPr="00A2777D">
        <w:t>тьего этапа Всемирной программы (см. A/HRC/24/24) и по тексту плана действий для третьего этапа (см. A/HRC/27/28). Кроме того, была принята во внимание информация, содержащаяся в национальных докладах, представленных госуда</w:t>
      </w:r>
      <w:r w:rsidRPr="00A2777D">
        <w:t>р</w:t>
      </w:r>
      <w:r w:rsidRPr="00A2777D">
        <w:t>ствами в рамках универсального периодического обзора, в тех случаях когда ими освещались значимые мероприятия в сфере образования в области прав челов</w:t>
      </w:r>
      <w:r w:rsidRPr="00A2777D">
        <w:t>е</w:t>
      </w:r>
      <w:r w:rsidRPr="00A2777D">
        <w:t>ка, проведенные в 2010</w:t>
      </w:r>
      <w:r w:rsidR="00F80652">
        <w:t>–</w:t>
      </w:r>
      <w:r w:rsidRPr="00A2777D">
        <w:t>2014 годах.</w:t>
      </w:r>
    </w:p>
    <w:p w:rsidR="00A2777D" w:rsidRPr="00A2777D" w:rsidRDefault="00A2777D" w:rsidP="00A2777D">
      <w:pPr>
        <w:pStyle w:val="SingleTxt"/>
      </w:pPr>
      <w:r w:rsidRPr="00A2777D">
        <w:t>7.</w:t>
      </w:r>
      <w:r w:rsidRPr="00A2777D">
        <w:tab/>
        <w:t>Ввиду ограничений по объему документа в настоящий доклад было нево</w:t>
      </w:r>
      <w:r w:rsidRPr="00A2777D">
        <w:t>з</w:t>
      </w:r>
      <w:r w:rsidRPr="00A2777D">
        <w:t>можно включить всю представленную или изученную информацию. Вместо эт</w:t>
      </w:r>
      <w:r w:rsidRPr="00A2777D">
        <w:t>о</w:t>
      </w:r>
      <w:r w:rsidRPr="00A2777D">
        <w:t>го в докладе на основе имеющейся информации представлен обзор мер, прин</w:t>
      </w:r>
      <w:r w:rsidRPr="00A2777D">
        <w:t>я</w:t>
      </w:r>
      <w:r w:rsidRPr="00A2777D">
        <w:t>тых правительствами в ходе второго этапа программы, а также выделены некот</w:t>
      </w:r>
      <w:r w:rsidRPr="00A2777D">
        <w:t>о</w:t>
      </w:r>
      <w:r w:rsidRPr="00A2777D">
        <w:t>рые общие моменты, приведены конкретные примеры и изложены некоторые из трудностей, о которых сообщили государства. Наконец, в докладе излагаются выводы и рекомендации по дальнейшему осуществлению Всемирной программы.</w:t>
      </w:r>
    </w:p>
    <w:p w:rsidR="00A2777D" w:rsidRPr="005A6E0E" w:rsidRDefault="00A2777D" w:rsidP="005A6E0E">
      <w:pPr>
        <w:pStyle w:val="SingleTxt"/>
        <w:spacing w:after="0" w:line="120" w:lineRule="exact"/>
        <w:rPr>
          <w:b/>
          <w:sz w:val="10"/>
        </w:rPr>
      </w:pPr>
    </w:p>
    <w:p w:rsidR="00A2777D" w:rsidRPr="00A2777D" w:rsidRDefault="00A2777D" w:rsidP="00A2777D">
      <w:pPr>
        <w:pStyle w:val="SingleTxt"/>
        <w:spacing w:after="0" w:line="120" w:lineRule="exact"/>
        <w:rPr>
          <w:b/>
          <w:sz w:val="10"/>
        </w:rPr>
      </w:pPr>
    </w:p>
    <w:p w:rsidR="00A2777D" w:rsidRPr="00A2777D" w:rsidRDefault="00A2777D" w:rsidP="00A2777D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A2777D">
        <w:tab/>
        <w:t>II.</w:t>
      </w:r>
      <w:r w:rsidRPr="00A2777D">
        <w:tab/>
        <w:t xml:space="preserve">Обзор действий на национальном уровне </w:t>
      </w:r>
    </w:p>
    <w:p w:rsidR="00A2777D" w:rsidRPr="00A2777D" w:rsidRDefault="00A2777D" w:rsidP="00A2777D">
      <w:pPr>
        <w:pStyle w:val="SingleTxt"/>
        <w:spacing w:after="0" w:line="120" w:lineRule="exact"/>
        <w:rPr>
          <w:sz w:val="10"/>
        </w:rPr>
      </w:pPr>
    </w:p>
    <w:p w:rsidR="00A2777D" w:rsidRPr="00A2777D" w:rsidRDefault="00A2777D" w:rsidP="00A2777D">
      <w:pPr>
        <w:pStyle w:val="SingleTxt"/>
        <w:spacing w:after="0" w:line="120" w:lineRule="exact"/>
        <w:rPr>
          <w:sz w:val="10"/>
        </w:rPr>
      </w:pPr>
    </w:p>
    <w:p w:rsidR="00A2777D" w:rsidRPr="00A2777D" w:rsidRDefault="00A2777D" w:rsidP="00A2777D">
      <w:pPr>
        <w:pStyle w:val="SingleTxt"/>
      </w:pPr>
      <w:r w:rsidRPr="00A2777D">
        <w:t>8.</w:t>
      </w:r>
      <w:r w:rsidRPr="00A2777D">
        <w:tab/>
        <w:t>Ответы, полученные от государств, значительно различались между собой с точки зрения избранного подхода. Различались также и учреждения, которым был</w:t>
      </w:r>
      <w:r w:rsidR="00F80652">
        <w:t>а</w:t>
      </w:r>
      <w:r w:rsidRPr="00A2777D">
        <w:t xml:space="preserve"> поручена подготовка ответов и которые не всегда четко указывались. В д</w:t>
      </w:r>
      <w:r w:rsidRPr="00A2777D">
        <w:t>е</w:t>
      </w:r>
      <w:r w:rsidRPr="00A2777D">
        <w:t>вяти случаях сбор ответов различных правительственных органов, участвова</w:t>
      </w:r>
      <w:r w:rsidRPr="00A2777D">
        <w:t>в</w:t>
      </w:r>
      <w:r w:rsidRPr="00A2777D">
        <w:t>ших в осуществлении программы, был поручен министерству или ведомству по вопросам прав человека. Например, в Колумбии Президентский совет по правам человека и международному гуманитарному праву обобщил ответы, полученные от министерства внутренних дел, министерства образования и министерства обороны, а также от Управления уполномоченного по правам человека, админ</w:t>
      </w:r>
      <w:r w:rsidRPr="00A2777D">
        <w:t>и</w:t>
      </w:r>
      <w:r w:rsidRPr="00A2777D">
        <w:t>стративного департамента Гражданской службы и Президентского консультати</w:t>
      </w:r>
      <w:r w:rsidRPr="00A2777D">
        <w:t>в</w:t>
      </w:r>
      <w:r w:rsidRPr="00A2777D">
        <w:t>ного совета по правам человека. В Гондурасе процессом проведения оценки и подготовки доклада руководило Управление по вопросам прав человека, образ</w:t>
      </w:r>
      <w:r w:rsidRPr="00A2777D">
        <w:t>о</w:t>
      </w:r>
      <w:r w:rsidRPr="00A2777D">
        <w:t>вания и мира. В семи государствах ответственность за подготовку ответа взяло на себя министерство иностранных дел; а в пяти государствах этим занималось министерство образования. Департамент по вопросам прав человека министе</w:t>
      </w:r>
      <w:r w:rsidRPr="00A2777D">
        <w:t>р</w:t>
      </w:r>
      <w:r w:rsidRPr="00A2777D">
        <w:t>ства иностранных дел Чили получил информацию от министерства образования и других министерств, судебных органов, законодательных органов и Наци</w:t>
      </w:r>
      <w:r w:rsidRPr="00A2777D">
        <w:t>о</w:t>
      </w:r>
      <w:r w:rsidRPr="00A2777D">
        <w:t>нального института прав человека – автономной публичной организации, которая занимается поощрением прав человека среди гражданских служащих, сотрудн</w:t>
      </w:r>
      <w:r w:rsidRPr="00A2777D">
        <w:t>и</w:t>
      </w:r>
      <w:r w:rsidRPr="00A2777D">
        <w:t xml:space="preserve">ков правоохранительных органов и военнослужащих, а также на всех уровнях системы образования. </w:t>
      </w:r>
    </w:p>
    <w:p w:rsidR="00A2777D" w:rsidRPr="00A2777D" w:rsidRDefault="00A2777D" w:rsidP="00A2777D">
      <w:pPr>
        <w:pStyle w:val="SingleTxt"/>
      </w:pPr>
      <w:r w:rsidRPr="00A2777D">
        <w:t>9.</w:t>
      </w:r>
      <w:r w:rsidRPr="00A2777D">
        <w:tab/>
        <w:t>Судя по всему, немногие государства смогли провести оценку всеобъемл</w:t>
      </w:r>
      <w:r w:rsidRPr="00A2777D">
        <w:t>ю</w:t>
      </w:r>
      <w:r w:rsidRPr="00A2777D">
        <w:t>щим образом в соответствии с препровожденной УВКПЧ пояснительной запи</w:t>
      </w:r>
      <w:r w:rsidRPr="00A2777D">
        <w:t>с</w:t>
      </w:r>
      <w:r w:rsidRPr="00A2777D">
        <w:t>кой. По-видимому, это было вызвано в первую очередь недостатком времени и/или необходимых ресурсов. Некоторые государства в своих ответах огранич</w:t>
      </w:r>
      <w:r w:rsidRPr="00A2777D">
        <w:t>и</w:t>
      </w:r>
      <w:r w:rsidRPr="00A2777D">
        <w:t>лись сообщениями о проведенных или запланированных учебных курсах для о</w:t>
      </w:r>
      <w:r w:rsidRPr="00A2777D">
        <w:t>д</w:t>
      </w:r>
      <w:r w:rsidRPr="00A2777D">
        <w:t>ной или двух целевых групп второго этапа: примерами тому служат учебные курсы в высших учебных заведениях в Эстонии или курсы подготовки сотрудн</w:t>
      </w:r>
      <w:r w:rsidRPr="00A2777D">
        <w:t>и</w:t>
      </w:r>
      <w:r w:rsidRPr="00A2777D">
        <w:t>ков министерства внутренних дел и министерства иностранных дел в Кувейте. Бурунди сообщила о проведении подготовки для должностных лиц полиции, д</w:t>
      </w:r>
      <w:r w:rsidRPr="00A2777D">
        <w:t>и</w:t>
      </w:r>
      <w:r w:rsidRPr="00A2777D">
        <w:t>ректоров школ и ряда других ключевых фигур по всей стране, выразив при этом сожаление в связи с тем, что нехватка ресурсов не позволила осуществить бол</w:t>
      </w:r>
      <w:r w:rsidRPr="00A2777D">
        <w:t>ь</w:t>
      </w:r>
      <w:r w:rsidRPr="00A2777D">
        <w:t>ше мероприятий. Ответ Боснии и Герцеговины был подготовлен министерством по правам человека и делам беженцев, которое в 2012 году организовало общ</w:t>
      </w:r>
      <w:r w:rsidRPr="00A2777D">
        <w:t>е</w:t>
      </w:r>
      <w:r w:rsidRPr="00A2777D">
        <w:t>национальное рабочее совещание для соответствующих государственных дол</w:t>
      </w:r>
      <w:r w:rsidRPr="00A2777D">
        <w:t>ж</w:t>
      </w:r>
      <w:r w:rsidRPr="00A2777D">
        <w:lastRenderedPageBreak/>
        <w:t>ностных лиц по вопросу об обязательствах страны в соответствии с резолюц</w:t>
      </w:r>
      <w:r w:rsidRPr="00A2777D">
        <w:t>и</w:t>
      </w:r>
      <w:r w:rsidRPr="00A2777D">
        <w:t>ей</w:t>
      </w:r>
      <w:r w:rsidR="007639D3">
        <w:t> </w:t>
      </w:r>
      <w:r w:rsidRPr="00A2777D">
        <w:t>15/11 Совета по правам человека. Министерство с сожалением отметило, что, хотя оно может представить информацию о ряде уже осуществленных меропри</w:t>
      </w:r>
      <w:r w:rsidRPr="00A2777D">
        <w:t>я</w:t>
      </w:r>
      <w:r w:rsidRPr="00A2777D">
        <w:t>тий, ему не удалось полностью выполнить рекомендации ввиду отсутствия нео</w:t>
      </w:r>
      <w:r w:rsidRPr="00A2777D">
        <w:t>б</w:t>
      </w:r>
      <w:r w:rsidRPr="00A2777D">
        <w:t xml:space="preserve">ходимой технической поддержки. Армения, сообщая о ходе осуществления ею Всемирной программы, сочла первый и второй этап незавершенными и выразила желание продолжать их в течение третьего этапа программы, продолжительность которого, по ее мнению, следует увеличить до 10 лет. </w:t>
      </w:r>
    </w:p>
    <w:p w:rsidR="00A2777D" w:rsidRPr="00A2777D" w:rsidRDefault="00A2777D" w:rsidP="00A2777D">
      <w:pPr>
        <w:pStyle w:val="SingleTxt"/>
      </w:pPr>
      <w:r w:rsidRPr="00A2777D">
        <w:t>10.</w:t>
      </w:r>
      <w:r w:rsidRPr="00A2777D">
        <w:tab/>
        <w:t>Несмотря на разнообразие ответов, на их основе, а также на основе других изученных материалов оказалось возможным составить общий обзор инициатив по каждому из целевых секторов второго этапа.</w:t>
      </w:r>
    </w:p>
    <w:p w:rsidR="00A2777D" w:rsidRPr="00A2777D" w:rsidRDefault="00A2777D" w:rsidP="00A2777D">
      <w:pPr>
        <w:pStyle w:val="SingleTxt"/>
        <w:spacing w:after="0" w:line="120" w:lineRule="exact"/>
        <w:rPr>
          <w:b/>
          <w:sz w:val="10"/>
        </w:rPr>
      </w:pPr>
    </w:p>
    <w:p w:rsidR="00A2777D" w:rsidRPr="00A2777D" w:rsidRDefault="00A2777D" w:rsidP="00A2777D">
      <w:pPr>
        <w:pStyle w:val="SingleTxt"/>
        <w:spacing w:after="0" w:line="120" w:lineRule="exact"/>
        <w:rPr>
          <w:b/>
          <w:sz w:val="10"/>
        </w:rPr>
      </w:pPr>
    </w:p>
    <w:p w:rsidR="00A2777D" w:rsidRPr="00A2777D" w:rsidRDefault="00A2777D" w:rsidP="00A2777D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A2777D">
        <w:tab/>
        <w:t>A.</w:t>
      </w:r>
      <w:r w:rsidRPr="00A2777D">
        <w:tab/>
        <w:t>Образование в области прав человека в высших учебных заведениях</w:t>
      </w:r>
    </w:p>
    <w:p w:rsidR="00A2777D" w:rsidRPr="00A2777D" w:rsidRDefault="00A2777D" w:rsidP="00A2777D">
      <w:pPr>
        <w:pStyle w:val="SingleTxt"/>
        <w:spacing w:after="0" w:line="120" w:lineRule="exact"/>
        <w:rPr>
          <w:sz w:val="10"/>
        </w:rPr>
      </w:pPr>
    </w:p>
    <w:p w:rsidR="00A2777D" w:rsidRPr="00A2777D" w:rsidRDefault="00A2777D" w:rsidP="00A2777D">
      <w:pPr>
        <w:pStyle w:val="SingleTxt"/>
        <w:spacing w:after="0" w:line="120" w:lineRule="exact"/>
        <w:rPr>
          <w:sz w:val="10"/>
        </w:rPr>
      </w:pPr>
    </w:p>
    <w:p w:rsidR="00A2777D" w:rsidRPr="00A2777D" w:rsidRDefault="00A2777D" w:rsidP="00A2777D">
      <w:pPr>
        <w:pStyle w:val="SingleTxt"/>
      </w:pPr>
      <w:r w:rsidRPr="00A2777D">
        <w:t>11.</w:t>
      </w:r>
      <w:r w:rsidRPr="00A2777D">
        <w:tab/>
        <w:t>Несколько государств отметили наличие стратегий в сфере высшего образ</w:t>
      </w:r>
      <w:r w:rsidRPr="00A2777D">
        <w:t>о</w:t>
      </w:r>
      <w:r w:rsidRPr="00A2777D">
        <w:t>вания, связанных с образованием в области прав человека. Ряд государств заяв</w:t>
      </w:r>
      <w:r w:rsidRPr="00A2777D">
        <w:t>и</w:t>
      </w:r>
      <w:r w:rsidRPr="00A2777D">
        <w:t>ли, что высшие учебные заведения независимы от правительства и могут сам</w:t>
      </w:r>
      <w:r w:rsidRPr="00A2777D">
        <w:t>о</w:t>
      </w:r>
      <w:r w:rsidRPr="00A2777D">
        <w:t>стоятельно определять свои программы и правила без вмешательства госуда</w:t>
      </w:r>
      <w:r w:rsidRPr="00A2777D">
        <w:t>р</w:t>
      </w:r>
      <w:r w:rsidRPr="00A2777D">
        <w:t>ства. В Венгрии роль государства заключается в том, чтобы обеспечивать эту свободу. В то же время многие государства представили обширную информацию, свидетельствующую о том, что вопросы прав человека в настоящее время изуч</w:t>
      </w:r>
      <w:r w:rsidRPr="00A2777D">
        <w:t>а</w:t>
      </w:r>
      <w:r w:rsidRPr="00A2777D">
        <w:t>ются во многих университетах и других учреждениях высшего образования по всему миру и что эта деятельность поощряется самыми различными способами. Это дополнительно подтверждается национальными докладами, представленн</w:t>
      </w:r>
      <w:r w:rsidRPr="00A2777D">
        <w:t>ы</w:t>
      </w:r>
      <w:r w:rsidRPr="00A2777D">
        <w:t>ми в последнее время в рамках универсального периодического обзора. В ходе обследования, проведенного в Чили, было установлено, что 48,2% высших уче</w:t>
      </w:r>
      <w:r w:rsidRPr="00A2777D">
        <w:t>б</w:t>
      </w:r>
      <w:r w:rsidRPr="00A2777D">
        <w:t>ных заведений в стране предусмотрели разработку тематики прав человека в к</w:t>
      </w:r>
      <w:r w:rsidRPr="00A2777D">
        <w:t>а</w:t>
      </w:r>
      <w:r w:rsidRPr="00A2777D">
        <w:t>честве отдельной дисциплины в своих стратегических общеорганизационных планах, а 63,5% включили специальный предмет, посвященный правам человека, в свою учебную программу. Колумбия сообщила, что, хотя в большинстве вы</w:t>
      </w:r>
      <w:r w:rsidRPr="00A2777D">
        <w:t>с</w:t>
      </w:r>
      <w:r w:rsidRPr="00A2777D">
        <w:t>ших учебных заведений в стране права человека все еще считаются второстепе</w:t>
      </w:r>
      <w:r w:rsidRPr="00A2777D">
        <w:t>н</w:t>
      </w:r>
      <w:r w:rsidRPr="00A2777D">
        <w:t>ным аспектом учебной программы, инициативам в этой области способствует Национальный план образования в области прав человека на 2010–2014 годы и, по ее мнению, образование в области прав человека в секторе неофициального образования начинает оказывать положительное воздействие и на официальный образовательный сектор. В Мексике Национальная программа в области прав ч</w:t>
      </w:r>
      <w:r w:rsidRPr="00A2777D">
        <w:t>е</w:t>
      </w:r>
      <w:r w:rsidRPr="00A2777D">
        <w:t>ловека на 2014–2018 годы помогает проводить в жизнь предпринятую в 2011 г</w:t>
      </w:r>
      <w:r w:rsidRPr="00A2777D">
        <w:t>о</w:t>
      </w:r>
      <w:r w:rsidRPr="00A2777D">
        <w:t>ду конституционную реформу в области прав человека; в этой связи министе</w:t>
      </w:r>
      <w:r w:rsidRPr="00A2777D">
        <w:t>р</w:t>
      </w:r>
      <w:r w:rsidRPr="00A2777D">
        <w:t>ство внутренних дел, Национальная ассоциация университетов и высших уче</w:t>
      </w:r>
      <w:r w:rsidRPr="00A2777D">
        <w:t>б</w:t>
      </w:r>
      <w:r w:rsidRPr="00A2777D">
        <w:t>ных заведений и Национальная комиссия по правам человека заключили особое соглашение о более активном поощрении прав человека в сфере высшего образ</w:t>
      </w:r>
      <w:r w:rsidRPr="00A2777D">
        <w:t>о</w:t>
      </w:r>
      <w:r w:rsidRPr="00A2777D">
        <w:t>вания. В докладе о ходе осуществления Всемирной программы, выпущенном в</w:t>
      </w:r>
      <w:r w:rsidR="00D067BA">
        <w:t> </w:t>
      </w:r>
      <w:r w:rsidRPr="00A2777D">
        <w:t xml:space="preserve">2012 году (см. A/HRC/21/20, пункт 20), также отмечался существенный вклад национальных правозащитных учреждений и других субъектов в этот процесс. </w:t>
      </w:r>
    </w:p>
    <w:p w:rsidR="00A2777D" w:rsidRPr="00A2777D" w:rsidRDefault="00A2777D" w:rsidP="00A2777D">
      <w:pPr>
        <w:pStyle w:val="SingleTxt"/>
      </w:pPr>
      <w:r w:rsidRPr="00A2777D">
        <w:t>12.</w:t>
      </w:r>
      <w:r w:rsidRPr="00A2777D">
        <w:tab/>
        <w:t>Права человека в настоящее время считаются одним из ключевых элементов программы на факультетах или отделениях права, политологии, социологии и/или международных отношений в университетах большинства представивших доклады государств, как на бакалаврском, так и на постбакалаврском уровне, а также в рамках курсов общегуманитарного и социально-экономического проф</w:t>
      </w:r>
      <w:r w:rsidRPr="00A2777D">
        <w:t>и</w:t>
      </w:r>
      <w:r w:rsidRPr="00A2777D">
        <w:t>ля. Кроме того, права человека являются неотъемлемой составляющей обучения в рамках учебных курсов по психологии, психиатрии, медицине, коммуникациям, физике, устойчивому развитию и другим дисциплинам. В 2012 году 534 униве</w:t>
      </w:r>
      <w:r w:rsidRPr="00A2777D">
        <w:t>р</w:t>
      </w:r>
      <w:r w:rsidRPr="00A2777D">
        <w:lastRenderedPageBreak/>
        <w:t>ситета в Японии предлагали учебные курсы по вопросам прав человека. Разн</w:t>
      </w:r>
      <w:r w:rsidRPr="00A2777D">
        <w:t>о</w:t>
      </w:r>
      <w:r w:rsidRPr="00A2777D">
        <w:t>образные возможности в этом плане имеются в Швейцарии, где права человека преподаются в более чем 35 университетах и других высших учебных заведен</w:t>
      </w:r>
      <w:r w:rsidRPr="00A2777D">
        <w:t>и</w:t>
      </w:r>
      <w:r w:rsidRPr="00A2777D">
        <w:t>ях. Того сообщила, что не смогла достичь значительных успехов в обеспечении достаточными ресурсами курсов по правам человека в высших учебных завед</w:t>
      </w:r>
      <w:r w:rsidRPr="00A2777D">
        <w:t>е</w:t>
      </w:r>
      <w:r w:rsidRPr="00A2777D">
        <w:t>ниях, однако данный предмет преподается на юридическом и политологическом факультетах национальных государственных университетов в Ломе и Кара и т</w:t>
      </w:r>
      <w:r w:rsidRPr="00A2777D">
        <w:t>о</w:t>
      </w:r>
      <w:r w:rsidRPr="00A2777D">
        <w:t>голезским студентам выделяются гранты для получения магистерских степеней в области прав человека в университетах Бенина и Франции. У министерства по правам человека Гвинеи имеется план действий по внедрению в стране образ</w:t>
      </w:r>
      <w:r w:rsidRPr="00A2777D">
        <w:t>о</w:t>
      </w:r>
      <w:r w:rsidRPr="00A2777D">
        <w:t>вания в области прав человека, в том числе на университетском уровне; в</w:t>
      </w:r>
      <w:r w:rsidR="007639D3">
        <w:t> </w:t>
      </w:r>
      <w:r w:rsidRPr="00A2777D">
        <w:t>2012</w:t>
      </w:r>
      <w:r w:rsidR="007639D3">
        <w:t> </w:t>
      </w:r>
      <w:r w:rsidRPr="00A2777D">
        <w:t>году в Университете Сонфонии при участии как гвинейских, так и ин</w:t>
      </w:r>
      <w:r w:rsidRPr="00A2777D">
        <w:t>о</w:t>
      </w:r>
      <w:r w:rsidRPr="00A2777D">
        <w:t>странных профессоров была учреждена магистратура по правам человека и ме</w:t>
      </w:r>
      <w:r w:rsidRPr="00A2777D">
        <w:t>ж</w:t>
      </w:r>
      <w:r w:rsidRPr="00A2777D">
        <w:t>дународному гуманитарному праву. Первый выпуск студентов состоялся в апреле 2014 года и в настоящее время университет разрабатывает исследовательские программы в области прав человека. В Ливане Академический университет н</w:t>
      </w:r>
      <w:r w:rsidRPr="00A2777D">
        <w:t>е</w:t>
      </w:r>
      <w:r w:rsidRPr="00A2777D">
        <w:t>насилия и прав человека, аккредитованный Советом министров в 2014 году, о</w:t>
      </w:r>
      <w:r w:rsidRPr="00A2777D">
        <w:t>р</w:t>
      </w:r>
      <w:r w:rsidRPr="00A2777D">
        <w:t xml:space="preserve">ганизует магистерские программы для студентов региона. </w:t>
      </w:r>
    </w:p>
    <w:p w:rsidR="00A2777D" w:rsidRPr="00A2777D" w:rsidRDefault="00A2777D" w:rsidP="00A2777D">
      <w:pPr>
        <w:pStyle w:val="SingleTxt"/>
      </w:pPr>
      <w:r w:rsidRPr="00A2777D">
        <w:t>13.</w:t>
      </w:r>
      <w:r w:rsidRPr="00A2777D">
        <w:tab/>
        <w:t>Хотя в большинстве ответов первоочередное внимание уделялось универс</w:t>
      </w:r>
      <w:r w:rsidRPr="00A2777D">
        <w:t>и</w:t>
      </w:r>
      <w:r w:rsidRPr="00A2777D">
        <w:t>тетам, права человека также преподаются в ряде других высших учебных завед</w:t>
      </w:r>
      <w:r w:rsidRPr="00A2777D">
        <w:t>е</w:t>
      </w:r>
      <w:r w:rsidRPr="00A2777D">
        <w:t>ний, в том числе, например, технических вузах Румынии и Академии повышения квалификации и профессиональной переподготовки работников образования Российской Федерации. Китай в своем последнем докладе в рамках универсал</w:t>
      </w:r>
      <w:r w:rsidRPr="00A2777D">
        <w:t>ь</w:t>
      </w:r>
      <w:r w:rsidRPr="00A2777D">
        <w:t>ного периодического обзора отметил, что создание ряда новых национальных центров обучения и профессиональной подготовки по правам человека находится на этапе конкретной проработки и оценки.</w:t>
      </w:r>
    </w:p>
    <w:p w:rsidR="00A2777D" w:rsidRPr="00A2777D" w:rsidRDefault="00A2777D" w:rsidP="00A2777D">
      <w:pPr>
        <w:pStyle w:val="SingleTxt"/>
      </w:pPr>
      <w:r w:rsidRPr="00A2777D">
        <w:t>14.</w:t>
      </w:r>
      <w:r w:rsidRPr="00A2777D">
        <w:tab/>
        <w:t>Ряд государств (например, Австралия, Босния и Герцеговина, Венгрия, Э</w:t>
      </w:r>
      <w:r w:rsidRPr="00A2777D">
        <w:t>к</w:t>
      </w:r>
      <w:r w:rsidRPr="00A2777D">
        <w:t>вадор и Япония) упомянули, что законы, регулирующие сферу высшего образ</w:t>
      </w:r>
      <w:r w:rsidRPr="00A2777D">
        <w:t>о</w:t>
      </w:r>
      <w:r w:rsidRPr="00A2777D">
        <w:t>вания, содержат положения о правах человека, в частности, касающиеся запр</w:t>
      </w:r>
      <w:r w:rsidRPr="00A2777D">
        <w:t>е</w:t>
      </w:r>
      <w:r w:rsidRPr="00A2777D">
        <w:t>щения дискриминации в отношении как преподавательского состав, так и ст</w:t>
      </w:r>
      <w:r w:rsidRPr="00A2777D">
        <w:t>у</w:t>
      </w:r>
      <w:r w:rsidRPr="00A2777D">
        <w:t>дентов. В Германии высшие учебные заведения по закону обязаны соблюдать права человека и обеспечивать свободу преподавания, обучения и исследований в</w:t>
      </w:r>
      <w:r w:rsidR="00D067BA">
        <w:t> </w:t>
      </w:r>
      <w:r w:rsidRPr="00A2777D">
        <w:t>рамках системы, основанной на демократических принципах. Некоторые гос</w:t>
      </w:r>
      <w:r w:rsidRPr="00A2777D">
        <w:t>у</w:t>
      </w:r>
      <w:r w:rsidRPr="00A2777D">
        <w:t>дарства, такие как Греция и Венгрия, сослались на принятые у них правила, к</w:t>
      </w:r>
      <w:r w:rsidRPr="00A2777D">
        <w:t>а</w:t>
      </w:r>
      <w:r w:rsidRPr="00A2777D">
        <w:t>сающиеся приема в университеты и другие высшие учебные заведения лиц из числа определенных меньшинств, а также образования инвалидов, в том числе профессионально-технической подготовки и непрерывного повышения квалиф</w:t>
      </w:r>
      <w:r w:rsidRPr="00A2777D">
        <w:t>и</w:t>
      </w:r>
      <w:r w:rsidRPr="00A2777D">
        <w:t>кации. В Мексике 11 финансируемых правительством межкультурных универс</w:t>
      </w:r>
      <w:r w:rsidRPr="00A2777D">
        <w:t>и</w:t>
      </w:r>
      <w:r w:rsidRPr="00A2777D">
        <w:t>тетов предлагают высшее образование молодежи из числа коренных народов и других категорий населения, содействуют сохранению культур коренных народов и</w:t>
      </w:r>
      <w:r w:rsidR="00F80652">
        <w:t xml:space="preserve"> поддерживают развитие их общин</w:t>
      </w:r>
      <w:r w:rsidRPr="00A2777D">
        <w:t>.</w:t>
      </w:r>
    </w:p>
    <w:p w:rsidR="00A2777D" w:rsidRPr="00A2777D" w:rsidRDefault="00A2777D" w:rsidP="00A2777D">
      <w:pPr>
        <w:pStyle w:val="SingleTxt"/>
      </w:pPr>
      <w:r w:rsidRPr="00A2777D">
        <w:t>15.</w:t>
      </w:r>
      <w:r w:rsidRPr="00A2777D">
        <w:tab/>
        <w:t>Отмечалось, что методы преподавания носят интерактивный характер, а</w:t>
      </w:r>
      <w:r w:rsidR="00D067BA">
        <w:t> </w:t>
      </w:r>
      <w:r w:rsidRPr="00A2777D">
        <w:t>формальные лекционные курсы, не предполагающие активного участия студе</w:t>
      </w:r>
      <w:r w:rsidRPr="00A2777D">
        <w:t>н</w:t>
      </w:r>
      <w:r w:rsidRPr="00A2777D">
        <w:t>тов, были упомянуты лишь в небольшом числе случаев. Гондурас описал практ</w:t>
      </w:r>
      <w:r w:rsidRPr="00A2777D">
        <w:t>и</w:t>
      </w:r>
      <w:r w:rsidRPr="00A2777D">
        <w:t>ку формирования коллективов из представителей различных учреждений для разработки и внедрения программ, в том числе выработки общей структуры учебной программы, методологии, педагогического подхода, оценки и характер</w:t>
      </w:r>
      <w:r w:rsidRPr="00A2777D">
        <w:t>и</w:t>
      </w:r>
      <w:r w:rsidRPr="00A2777D">
        <w:t>стик обучаемых, при этом учебные модули составляются национальными и ме</w:t>
      </w:r>
      <w:r w:rsidRPr="00A2777D">
        <w:t>ж</w:t>
      </w:r>
      <w:r w:rsidRPr="00A2777D">
        <w:t>дународными экспертами.</w:t>
      </w:r>
    </w:p>
    <w:p w:rsidR="00A2777D" w:rsidRPr="00A2777D" w:rsidRDefault="00A2777D" w:rsidP="00A2777D">
      <w:pPr>
        <w:pStyle w:val="SingleTxt"/>
      </w:pPr>
      <w:r w:rsidRPr="00A2777D">
        <w:t>16.</w:t>
      </w:r>
      <w:r w:rsidRPr="00A2777D">
        <w:tab/>
        <w:t>Турция сообщила, что в 31 университете имеются программы постбак</w:t>
      </w:r>
      <w:r w:rsidRPr="00A2777D">
        <w:t>а</w:t>
      </w:r>
      <w:r w:rsidRPr="00A2777D">
        <w:t>лаврского уровня и научно-практические центры, которые проводят исследов</w:t>
      </w:r>
      <w:r w:rsidRPr="00A2777D">
        <w:t>а</w:t>
      </w:r>
      <w:r w:rsidRPr="00A2777D">
        <w:t>ния, призванные улучшить положение дел с соблюдением прав человека. В Бо</w:t>
      </w:r>
      <w:r w:rsidRPr="00A2777D">
        <w:t>с</w:t>
      </w:r>
      <w:r w:rsidRPr="00A2777D">
        <w:lastRenderedPageBreak/>
        <w:t>нии и Герцеговине Центр по правам человека при Университете Сараево играет ключевую роль в разработке документации, выпуске публикаций, учебной раб</w:t>
      </w:r>
      <w:r w:rsidRPr="00A2777D">
        <w:t>о</w:t>
      </w:r>
      <w:r w:rsidRPr="00A2777D">
        <w:t>те, экспертном консультировании, исследованиях и подготовке докладов по в</w:t>
      </w:r>
      <w:r w:rsidRPr="00A2777D">
        <w:t>о</w:t>
      </w:r>
      <w:r w:rsidRPr="00A2777D">
        <w:t>просам прав человека. В Швейцарии и Российской Федерации, помимо других стран, имеются международные магистерские программы по правам человека, работающие при поддержке межучрежденческих ресурсных центров. В ряде университетов предлагаются специализированные м</w:t>
      </w:r>
      <w:r w:rsidR="00F80652">
        <w:t>агистерские программы, например</w:t>
      </w:r>
      <w:r w:rsidRPr="00A2777D">
        <w:t xml:space="preserve"> по проблемам женщин и миграции (Марокко) и по учету прав ребенка при разработке государственной политики (Гондурас). Алжир, Германия и М</w:t>
      </w:r>
      <w:r w:rsidRPr="00A2777D">
        <w:t>а</w:t>
      </w:r>
      <w:r w:rsidRPr="00A2777D">
        <w:t>рокко упомянули о сети кафедр прав человека Организации Объединенных Наций по вопросам образования, науки и культуры, работающих в университетах и способствующих поощрению такого рода программ.</w:t>
      </w:r>
    </w:p>
    <w:p w:rsidR="00A2777D" w:rsidRPr="00A2777D" w:rsidRDefault="00A2777D" w:rsidP="00A2777D">
      <w:pPr>
        <w:pStyle w:val="SingleTxt"/>
      </w:pPr>
      <w:r w:rsidRPr="00A2777D">
        <w:t>17.</w:t>
      </w:r>
      <w:r w:rsidRPr="00A2777D">
        <w:tab/>
        <w:t>Полученные ответы свидетельствовали о том, что многие университеты в настоящее время выделяют значительные ресурсы для обучения не только своих постоянных студентов, но и других лиц. В Швейцарии Швейцарский центр эк</w:t>
      </w:r>
      <w:r w:rsidRPr="00A2777D">
        <w:t>с</w:t>
      </w:r>
      <w:r w:rsidRPr="00A2777D">
        <w:t>пертного анализа в области прав человека, представляющий собой сеть униве</w:t>
      </w:r>
      <w:r w:rsidRPr="00A2777D">
        <w:t>р</w:t>
      </w:r>
      <w:r w:rsidRPr="00A2777D">
        <w:t>ситетов, работающую при поддержке федерального правительства, выполняет функции центра предоставления услуг по вопросам, связанным с миграцией, р</w:t>
      </w:r>
      <w:r w:rsidRPr="00A2777D">
        <w:t>а</w:t>
      </w:r>
      <w:r w:rsidRPr="00A2777D">
        <w:t>ботой полиции и правосудием, гендерной проблематикой и другими аспектами прав человека. Он предлагает обучение в области прав человека и разрабатывает педагогические инструменты для различных групп, в том числе органов власти. Факультет политологии Белградского университета служит примером высшего учебного заведения, предлагающего специализированные учебные курсы для государственных служащих (см. раздел B ниже).</w:t>
      </w:r>
    </w:p>
    <w:p w:rsidR="00A2777D" w:rsidRPr="00A2777D" w:rsidRDefault="00A2777D" w:rsidP="00A2777D">
      <w:pPr>
        <w:pStyle w:val="SingleTxt"/>
      </w:pPr>
      <w:r w:rsidRPr="00A2777D">
        <w:t>18.</w:t>
      </w:r>
      <w:r w:rsidRPr="00A2777D">
        <w:tab/>
        <w:t>Несколько государств (в том числе Багамские Острова, Венгрия, Сейшел</w:t>
      </w:r>
      <w:r w:rsidRPr="00A2777D">
        <w:t>ь</w:t>
      </w:r>
      <w:r w:rsidRPr="00A2777D">
        <w:t>ские Острова, Словения и Швейцария) сообщили, что права человека в насто</w:t>
      </w:r>
      <w:r w:rsidRPr="00A2777D">
        <w:t>я</w:t>
      </w:r>
      <w:r w:rsidRPr="00A2777D">
        <w:t>щее время являются базовым компонентом подготовки учителей как до получ</w:t>
      </w:r>
      <w:r w:rsidRPr="00A2777D">
        <w:t>е</w:t>
      </w:r>
      <w:r w:rsidRPr="00A2777D">
        <w:t>ния ими диплома, так и в рамках повышения квалификации на рабочем месте. В</w:t>
      </w:r>
      <w:r w:rsidR="007639D3">
        <w:t> </w:t>
      </w:r>
      <w:r w:rsidRPr="00A2777D">
        <w:t>Швеции в соответствии с Законом об образовании и национальным учебным планом все работники школ обязаны поощрять уважение прав человека. В Того подготовка в области прав человека необходима для получения профессионал</w:t>
      </w:r>
      <w:r w:rsidRPr="00A2777D">
        <w:t>ь</w:t>
      </w:r>
      <w:r w:rsidRPr="00A2777D">
        <w:t>ной квалификации, позволяющей преподавать во всех школах, хотя такая подг</w:t>
      </w:r>
      <w:r w:rsidRPr="00A2777D">
        <w:t>о</w:t>
      </w:r>
      <w:r w:rsidRPr="00A2777D">
        <w:t>товка не является обязательной для повышения по службе. В Словении кандид</w:t>
      </w:r>
      <w:r w:rsidRPr="00A2777D">
        <w:t>а</w:t>
      </w:r>
      <w:r w:rsidRPr="00A2777D">
        <w:t>ты на должность директора школы обязаны прослушать курсы по вопросам прав человека, а в Республике Корея права человека включены в обязательную подг</w:t>
      </w:r>
      <w:r w:rsidRPr="00A2777D">
        <w:t>о</w:t>
      </w:r>
      <w:r w:rsidRPr="00A2777D">
        <w:t>товку на должности директора школы, заместителя директора школы и учителя. В Японии права человека включены в программу подготовки библиотекарей. Гондурас сообщил, что в 2013 году было начато преподавание учебного курса, призванного помочь учителям выявлять нарушения прав человека в учебных з</w:t>
      </w:r>
      <w:r w:rsidRPr="00A2777D">
        <w:t>а</w:t>
      </w:r>
      <w:r w:rsidRPr="00A2777D">
        <w:t>ведениях, определять лиц, находящихся в уязвимых ситуациях, а также прим</w:t>
      </w:r>
      <w:r w:rsidRPr="00A2777D">
        <w:t>е</w:t>
      </w:r>
      <w:r w:rsidRPr="00A2777D">
        <w:t>нять надлежащие методологии преподавания прав человека в государственной системе образования. Начиная с 2012 года Грузия уделяет особое внимание пр</w:t>
      </w:r>
      <w:r w:rsidRPr="00A2777D">
        <w:t>а</w:t>
      </w:r>
      <w:r w:rsidRPr="00A2777D">
        <w:t>вам лиц с особыми образовательными потребностями и инвалидов в рамках пр</w:t>
      </w:r>
      <w:r w:rsidRPr="00A2777D">
        <w:t>о</w:t>
      </w:r>
      <w:r w:rsidRPr="00A2777D">
        <w:t xml:space="preserve">грамм для преподавателей и других сотрудников системы профессионально-технической подготовки. </w:t>
      </w:r>
    </w:p>
    <w:p w:rsidR="00A2777D" w:rsidRPr="00A2777D" w:rsidRDefault="00A2777D" w:rsidP="00A2777D">
      <w:pPr>
        <w:pStyle w:val="SingleTxt"/>
      </w:pPr>
      <w:r w:rsidRPr="00A2777D">
        <w:t>19.</w:t>
      </w:r>
      <w:r w:rsidRPr="00A2777D">
        <w:tab/>
        <w:t>По вопросу о повышении квалификации преподавателей Босния и Герцег</w:t>
      </w:r>
      <w:r w:rsidRPr="00A2777D">
        <w:t>о</w:t>
      </w:r>
      <w:r w:rsidRPr="00A2777D">
        <w:t>вина отметили, что Европейская хартия о воспитании демократической гражда</w:t>
      </w:r>
      <w:r w:rsidRPr="00A2777D">
        <w:t>н</w:t>
      </w:r>
      <w:r w:rsidRPr="00A2777D">
        <w:t xml:space="preserve">ственности и образовании в области прав человека, принятая государствами-членами Совета Европы, обязывает государства осуществлять подготовку всех работников сферы образования в области обучения и воспитания по вопросам демократической гражданственности и прав человека, с тем чтобы они получили углубленные знания и понимание этой дисциплины, а также соответствующих методов преподавания и обучения. В Эстонии права человека являются одной из </w:t>
      </w:r>
      <w:r w:rsidRPr="00A2777D">
        <w:lastRenderedPageBreak/>
        <w:t>приоритетных областей повышения квалификации преподавателей. В Республике Молдова по ряду тематик разрабатываются курсы дистанционного обучения для преподавателей. В Гвинее несколько преподавателей поступили на обучение на единственную в стране магистерскую программу в области прав человека (в</w:t>
      </w:r>
      <w:r w:rsidR="007639D3">
        <w:t> </w:t>
      </w:r>
      <w:r w:rsidRPr="00A2777D">
        <w:t>Университете Сонфонии), хотя это не является обязательным для их карьерн</w:t>
      </w:r>
      <w:r w:rsidRPr="00A2777D">
        <w:t>о</w:t>
      </w:r>
      <w:r w:rsidRPr="00A2777D">
        <w:t>го роста. Иордания сообщила о своем пятилетнем плане, который предусматр</w:t>
      </w:r>
      <w:r w:rsidRPr="00A2777D">
        <w:t>и</w:t>
      </w:r>
      <w:r w:rsidRPr="00A2777D">
        <w:t>вает участие учителей, школьных инспекторов и директоров школ в практикумах по тематике прав человека, а также подготовку учебных заданий составителями учебных программ и учебников, отметив при этом, что у нее до сих пор не хват</w:t>
      </w:r>
      <w:r w:rsidRPr="00A2777D">
        <w:t>а</w:t>
      </w:r>
      <w:r w:rsidRPr="00A2777D">
        <w:t>ет необходимых ресурсов для осуществления плана. В программах повышения квалификации особое внимание уделяется конкретным аспектам прав человека, актуальным для конкретного национального контекста, в том числе гендерной проблематике, равенству и правам ребенка (Республика Молдова, Италия, С</w:t>
      </w:r>
      <w:r w:rsidRPr="00A2777D">
        <w:t>у</w:t>
      </w:r>
      <w:r w:rsidRPr="00A2777D">
        <w:t>дан); ВИЧ/СПИДу и насилию в отношении женщин (Ботсвана); антицыганским настроениям (Германия); калечащим операциям на женских половых органах (Гамбия); и торговле людьми (Украина).</w:t>
      </w:r>
    </w:p>
    <w:p w:rsidR="00A2777D" w:rsidRPr="00A2777D" w:rsidRDefault="00A2777D" w:rsidP="00A2777D">
      <w:pPr>
        <w:pStyle w:val="SingleTxt"/>
      </w:pPr>
      <w:r w:rsidRPr="00A2777D">
        <w:t>20.</w:t>
      </w:r>
      <w:r w:rsidRPr="00A2777D">
        <w:tab/>
        <w:t>Представляется, что в сфере подготовки преподавателей в области прав ч</w:t>
      </w:r>
      <w:r w:rsidRPr="00A2777D">
        <w:t>е</w:t>
      </w:r>
      <w:r w:rsidRPr="00A2777D">
        <w:t>ловека существует множество возможностей для сотрудничества с другими пр</w:t>
      </w:r>
      <w:r w:rsidRPr="00A2777D">
        <w:t>а</w:t>
      </w:r>
      <w:r w:rsidRPr="00A2777D">
        <w:t>вительствами, международными организациями и неправительственными орг</w:t>
      </w:r>
      <w:r w:rsidRPr="00A2777D">
        <w:t>а</w:t>
      </w:r>
      <w:r w:rsidRPr="00A2777D">
        <w:t xml:space="preserve">низациями (НПО). Босния и Герцеговина сообщила о своей работе с НПО </w:t>
      </w:r>
      <w:r w:rsidR="007639D3">
        <w:t>«</w:t>
      </w:r>
      <w:r w:rsidRPr="00A2777D">
        <w:t>Сивитас</w:t>
      </w:r>
      <w:r w:rsidR="007639D3">
        <w:t>»</w:t>
      </w:r>
      <w:r w:rsidRPr="00A2777D">
        <w:t xml:space="preserve"> по подготовке более чем 30 000 учителей по всей стране, разработке новых учебных планов и изданию университетского учебника по вопросам дем</w:t>
      </w:r>
      <w:r w:rsidRPr="00A2777D">
        <w:t>о</w:t>
      </w:r>
      <w:r w:rsidRPr="00A2777D">
        <w:t>кратии и прав человека. Ранее Грузия сообщала об аналогичной работе, пров</w:t>
      </w:r>
      <w:r w:rsidRPr="00A2777D">
        <w:t>о</w:t>
      </w:r>
      <w:r w:rsidRPr="00A2777D">
        <w:t>димой в сотрудничестве с Агентством международного развития Соединенных Штатов и другими партнерами. Гондурас при поддержке Европейского союза, Детского фонда Организации Объединенных Наций (ЮНИСЕФ) и других пар</w:t>
      </w:r>
      <w:r w:rsidRPr="00A2777D">
        <w:t>т</w:t>
      </w:r>
      <w:r w:rsidRPr="00A2777D">
        <w:t>неров разработал комплексный план, предусматривающий привлечение людских ресурсов из ряда национальных организаций, включая Гондурасский автономный университет и государственный секретариат при министерстве образования.</w:t>
      </w:r>
    </w:p>
    <w:p w:rsidR="00A2777D" w:rsidRPr="00A2777D" w:rsidRDefault="00A2777D" w:rsidP="00A2777D">
      <w:pPr>
        <w:pStyle w:val="SingleTxt"/>
        <w:spacing w:after="0" w:line="120" w:lineRule="exact"/>
        <w:rPr>
          <w:b/>
          <w:sz w:val="10"/>
        </w:rPr>
      </w:pPr>
    </w:p>
    <w:p w:rsidR="00A2777D" w:rsidRPr="00A2777D" w:rsidRDefault="00A2777D" w:rsidP="00A2777D">
      <w:pPr>
        <w:pStyle w:val="SingleTxt"/>
        <w:spacing w:after="0" w:line="120" w:lineRule="exact"/>
        <w:rPr>
          <w:b/>
          <w:sz w:val="10"/>
        </w:rPr>
      </w:pPr>
    </w:p>
    <w:p w:rsidR="00A2777D" w:rsidRPr="00A2777D" w:rsidRDefault="00A2777D" w:rsidP="00A2777D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A2777D">
        <w:tab/>
        <w:t>B.</w:t>
      </w:r>
      <w:r w:rsidRPr="00A2777D">
        <w:tab/>
        <w:t>Подготовка в области прав человека для гражданских служащих</w:t>
      </w:r>
    </w:p>
    <w:p w:rsidR="00A2777D" w:rsidRPr="00A2777D" w:rsidRDefault="00A2777D" w:rsidP="00A2777D">
      <w:pPr>
        <w:pStyle w:val="SingleTxt"/>
        <w:spacing w:after="0" w:line="120" w:lineRule="exact"/>
        <w:rPr>
          <w:sz w:val="10"/>
        </w:rPr>
      </w:pPr>
    </w:p>
    <w:p w:rsidR="00A2777D" w:rsidRPr="00A2777D" w:rsidRDefault="00A2777D" w:rsidP="00A2777D">
      <w:pPr>
        <w:pStyle w:val="SingleTxt"/>
        <w:spacing w:after="0" w:line="120" w:lineRule="exact"/>
        <w:rPr>
          <w:sz w:val="10"/>
        </w:rPr>
      </w:pPr>
    </w:p>
    <w:p w:rsidR="00A2777D" w:rsidRPr="00A2777D" w:rsidRDefault="00A2777D" w:rsidP="00A2777D">
      <w:pPr>
        <w:pStyle w:val="SingleTxt"/>
      </w:pPr>
      <w:r w:rsidRPr="00A2777D">
        <w:t>21.</w:t>
      </w:r>
      <w:r w:rsidRPr="00A2777D">
        <w:tab/>
        <w:t>В ряде государств, представивших доклады, права человека являются одним из основных элементов обязательной подготовки гражданских служащих, в том числе поступающих на службу впервые (например, в Боснии и Герцеговине и Турции), гражданских служащих на всех уровнях (например, в Германии, Колу</w:t>
      </w:r>
      <w:r w:rsidRPr="00A2777D">
        <w:t>м</w:t>
      </w:r>
      <w:r w:rsidRPr="00A2777D">
        <w:t>бии и Швеции) и высших руководителей в государственных органах (например, в Словении). В Румынии права человека являются приоритетной, хотя и не обяз</w:t>
      </w:r>
      <w:r w:rsidRPr="00A2777D">
        <w:t>а</w:t>
      </w:r>
      <w:r w:rsidRPr="00A2777D">
        <w:t>тельной, областью подготовки гражданских служащих. В соответствии с Конст</w:t>
      </w:r>
      <w:r w:rsidRPr="00A2777D">
        <w:t>и</w:t>
      </w:r>
      <w:r w:rsidRPr="00A2777D">
        <w:t>туцией Швейцарии, любое лицо, работающее в государственном секторе, обязано содействовать защите прав человека. В 2010–2011 году при разработке руков</w:t>
      </w:r>
      <w:r w:rsidRPr="00A2777D">
        <w:t>о</w:t>
      </w:r>
      <w:r w:rsidRPr="00A2777D">
        <w:t>дящих принципов по вопросам образования и подготовки гражданских служ</w:t>
      </w:r>
      <w:r w:rsidRPr="00A2777D">
        <w:t>а</w:t>
      </w:r>
      <w:r w:rsidRPr="00A2777D">
        <w:t>щих министерство государственного управления и безопасности Республики К</w:t>
      </w:r>
      <w:r w:rsidRPr="00A2777D">
        <w:t>о</w:t>
      </w:r>
      <w:r w:rsidRPr="00A2777D">
        <w:t>рея включило права человека в обязательную программу подготовки гражда</w:t>
      </w:r>
      <w:r w:rsidRPr="00A2777D">
        <w:t>н</w:t>
      </w:r>
      <w:r w:rsidRPr="00A2777D">
        <w:t>ских служащих. Австралия создала просветительскую программу по правам ч</w:t>
      </w:r>
      <w:r w:rsidRPr="00A2777D">
        <w:t>е</w:t>
      </w:r>
      <w:r w:rsidRPr="00A2777D">
        <w:t>ловека для государственного сектора, направленную на укрепление потенциала в области разработки политики, программ и законодательства в соответствии с принципами прав человека и информирование лиц, принимающих администр</w:t>
      </w:r>
      <w:r w:rsidRPr="00A2777D">
        <w:t>а</w:t>
      </w:r>
      <w:r w:rsidRPr="00A2777D">
        <w:t>тивные решения, по вопросам прав человека. Андорра организовала учебные курсы по правам человека для государственных служащих в соответствии с п</w:t>
      </w:r>
      <w:r w:rsidRPr="00A2777D">
        <w:t>о</w:t>
      </w:r>
      <w:r w:rsidRPr="00A2777D">
        <w:t xml:space="preserve">ложениями Всемирной программы. В Китае Центральная партийная школа и партийные школы всех уровней повсеместно включили права человека в свои </w:t>
      </w:r>
      <w:r w:rsidRPr="00A2777D">
        <w:lastRenderedPageBreak/>
        <w:t>учебные программы и проводят обучение в области прав человека для руковод</w:t>
      </w:r>
      <w:r w:rsidRPr="00A2777D">
        <w:t>и</w:t>
      </w:r>
      <w:r w:rsidRPr="00A2777D">
        <w:t>телей всех рангов.</w:t>
      </w:r>
    </w:p>
    <w:p w:rsidR="00A2777D" w:rsidRPr="00A2777D" w:rsidRDefault="00A2777D" w:rsidP="00A2777D">
      <w:pPr>
        <w:pStyle w:val="SingleTxt"/>
      </w:pPr>
      <w:r w:rsidRPr="00A2777D">
        <w:t>22.</w:t>
      </w:r>
      <w:r w:rsidRPr="00A2777D">
        <w:tab/>
        <w:t>Государства отметили, что подготовкой в области прав человека постепенно охватываются сотрудники и должностные лица самых различных центральных и местных органов власти, в том числе министерств иностранных дел, внутренних дел, юстиции и образования, а также консультанты по социокультурным вопр</w:t>
      </w:r>
      <w:r w:rsidRPr="00A2777D">
        <w:t>о</w:t>
      </w:r>
      <w:r w:rsidRPr="00A2777D">
        <w:t>сам, координаторы центров по поддержке семьи и руководители образовательных учреждений в коммунах (в Бурунди) и сотрудники государственных секретари</w:t>
      </w:r>
      <w:r w:rsidRPr="00A2777D">
        <w:t>а</w:t>
      </w:r>
      <w:r w:rsidRPr="00A2777D">
        <w:t>тов по вопросам сельского хозяйства и фермерства, лесного хозяйства и общ</w:t>
      </w:r>
      <w:r w:rsidRPr="00A2777D">
        <w:t>е</w:t>
      </w:r>
      <w:r w:rsidRPr="00A2777D">
        <w:t>ственных работ, транспорта и жилищного хозяйства (в Гондурасе). В Мексике тысячи гражданских служащих федерального и местного уровней прошли подг</w:t>
      </w:r>
      <w:r w:rsidRPr="00A2777D">
        <w:t>о</w:t>
      </w:r>
      <w:r w:rsidRPr="00A2777D">
        <w:t>товку по тематике и направлениям проведенной в 2011 году конституционной реформы в области прав человека. В Гвинее, несмотря на отсутствие какой-либо регулярной программы подготовки в области прав человека для гражданских служащих, организуются семинары и практикумы для губернаторов регионов, префектов, учителей и мэров, затрагивающие конкретные темы, такие как выб</w:t>
      </w:r>
      <w:r w:rsidRPr="00A2777D">
        <w:t>о</w:t>
      </w:r>
      <w:r w:rsidRPr="00A2777D">
        <w:t>ры, программы национального примирения и правосудия переходного периода, а также развитие на местном уровне. Гвинея сообщила также о необходимости разрабатывать планы действий по подготовке в области прав человека, в частн</w:t>
      </w:r>
      <w:r w:rsidRPr="00A2777D">
        <w:t>о</w:t>
      </w:r>
      <w:r w:rsidRPr="00A2777D">
        <w:t>сти, для гражданских служащих, работающих в сфере здравоохранения, фина</w:t>
      </w:r>
      <w:r w:rsidRPr="00A2777D">
        <w:t>н</w:t>
      </w:r>
      <w:r w:rsidRPr="00A2777D">
        <w:t>сов, управления земельными ресурсами и децентрализации. Лаосская Народно-Демократическая Республика в своем последнем докладе в рамках универсал</w:t>
      </w:r>
      <w:r w:rsidRPr="00A2777D">
        <w:t>ь</w:t>
      </w:r>
      <w:r w:rsidRPr="00A2777D">
        <w:t>ного периодического обзора особо подчеркнула свои усилия по укреплению п</w:t>
      </w:r>
      <w:r w:rsidRPr="00A2777D">
        <w:t>о</w:t>
      </w:r>
      <w:r w:rsidRPr="00A2777D">
        <w:t>тенциала в области прав человека правительственных должностных лиц как на центральном, так и на местном уровне и выразила сожаление в связи с тем, что эти усилия пока не охватили всю территорию страны вследствие недостатка р</w:t>
      </w:r>
      <w:r w:rsidRPr="00A2777D">
        <w:t>е</w:t>
      </w:r>
      <w:r w:rsidRPr="00A2777D">
        <w:t>сурсов.</w:t>
      </w:r>
    </w:p>
    <w:p w:rsidR="00A2777D" w:rsidRPr="00A2777D" w:rsidRDefault="00A2777D" w:rsidP="00A2777D">
      <w:pPr>
        <w:pStyle w:val="SingleTxt"/>
      </w:pPr>
      <w:r w:rsidRPr="00A2777D">
        <w:t>23.</w:t>
      </w:r>
      <w:r w:rsidRPr="00A2777D">
        <w:tab/>
        <w:t>В контексте повышения квалификации гражданских служащих неоднокра</w:t>
      </w:r>
      <w:r w:rsidRPr="00A2777D">
        <w:t>т</w:t>
      </w:r>
      <w:r w:rsidRPr="00A2777D">
        <w:t>но упоминались конкретные права человека, вызывающие особую озабоченность в национальных и местных условиях, нередко в связи с уязвимым положением определенных групп. Колумбия сообщила о Плане подготовки в области прав ч</w:t>
      </w:r>
      <w:r w:rsidRPr="00A2777D">
        <w:t>е</w:t>
      </w:r>
      <w:r w:rsidRPr="00A2777D">
        <w:t>ловека для государственных должностных лиц различных территориальных о</w:t>
      </w:r>
      <w:r w:rsidRPr="00A2777D">
        <w:t>р</w:t>
      </w:r>
      <w:r w:rsidRPr="00A2777D">
        <w:t>ганов власти (канцеляриях губернаторов и мэров), работающих с группами, пользующимися особой конституционной защитой, в том числе лицами африка</w:t>
      </w:r>
      <w:r w:rsidRPr="00A2777D">
        <w:t>н</w:t>
      </w:r>
      <w:r w:rsidRPr="00A2777D">
        <w:t>ского происхождения, представителями коренных народов, рома, а также соо</w:t>
      </w:r>
      <w:r w:rsidRPr="00A2777D">
        <w:t>б</w:t>
      </w:r>
      <w:r w:rsidRPr="00A2777D">
        <w:t>ществами лесбиянок, гомосексуалистов, бисексуалов и транссексуалов. Греция упомянула инициативы, специфически связанные с проблемами торговли люд</w:t>
      </w:r>
      <w:r w:rsidRPr="00A2777D">
        <w:t>ь</w:t>
      </w:r>
      <w:r w:rsidRPr="00A2777D">
        <w:t>ми, насилия в отношении женщин, расизма и ксенофобии. В Греции имеется п</w:t>
      </w:r>
      <w:r w:rsidRPr="00A2777D">
        <w:t>о</w:t>
      </w:r>
      <w:r w:rsidRPr="00A2777D">
        <w:t>стоянный комитет для обеспечения подготовки по вопросам гендерного раве</w:t>
      </w:r>
      <w:r w:rsidRPr="00A2777D">
        <w:t>н</w:t>
      </w:r>
      <w:r w:rsidRPr="00A2777D">
        <w:t>ства, а в последние годы управление по миграционной политике министерства внутренних дел осуществляет специальную программу межкультурной подг</w:t>
      </w:r>
      <w:r w:rsidRPr="00A2777D">
        <w:t>о</w:t>
      </w:r>
      <w:r w:rsidRPr="00A2777D">
        <w:t>товки для гражданских служащих, работающих с гражданами третьих стран. Р</w:t>
      </w:r>
      <w:r w:rsidRPr="00A2777D">
        <w:t>у</w:t>
      </w:r>
      <w:r w:rsidRPr="00A2777D">
        <w:t>мыния выделила в качестве приоритетных такие области, как интеграция мен</w:t>
      </w:r>
      <w:r w:rsidRPr="00A2777D">
        <w:t>ь</w:t>
      </w:r>
      <w:r w:rsidRPr="00A2777D">
        <w:t>шинств, социальная помощь и борьба с дискриминацией. В Швейцарии Служба по борьбе с расизмом провела подготовку нескольких сотен должностных лиц государственных органов по вопросам противодействия дискриминации. Че</w:t>
      </w:r>
      <w:r w:rsidRPr="00A2777D">
        <w:t>ш</w:t>
      </w:r>
      <w:r w:rsidRPr="00A2777D">
        <w:t>ская Республика организует подготовку по проблеме торговли людьми для с</w:t>
      </w:r>
      <w:r w:rsidRPr="00A2777D">
        <w:t>о</w:t>
      </w:r>
      <w:r w:rsidRPr="00A2777D">
        <w:t>трудников отделов социального обеспечения местных органов власти и центров занятости. Гватемала проводит подготовку государственных служащих в реги</w:t>
      </w:r>
      <w:r w:rsidRPr="00A2777D">
        <w:t>о</w:t>
      </w:r>
      <w:r w:rsidRPr="00A2777D">
        <w:t>нах по вопросам гендерного насилия и борьбы с дискриминацией. В Марокко с</w:t>
      </w:r>
      <w:r w:rsidRPr="00A2777D">
        <w:t>о</w:t>
      </w:r>
      <w:r w:rsidRPr="00A2777D">
        <w:t xml:space="preserve">трудники министерства по делам молодежи и спорта, особенно работающие в центрах защиты детей, завершили прохождение серии учебных курсов </w:t>
      </w:r>
      <w:r w:rsidR="00F80652">
        <w:t xml:space="preserve">по </w:t>
      </w:r>
      <w:r w:rsidRPr="00A2777D">
        <w:t>вопр</w:t>
      </w:r>
      <w:r w:rsidRPr="00A2777D">
        <w:t>о</w:t>
      </w:r>
      <w:r w:rsidRPr="00A2777D">
        <w:t>сам прав человека, а служащие государственного сектора в Катаре проходят по</w:t>
      </w:r>
      <w:r w:rsidRPr="00A2777D">
        <w:t>д</w:t>
      </w:r>
      <w:r w:rsidRPr="00A2777D">
        <w:lastRenderedPageBreak/>
        <w:t>готовку в области защиты женщин и детей. Германия сообщила о том, что в ра</w:t>
      </w:r>
      <w:r w:rsidRPr="00A2777D">
        <w:t>м</w:t>
      </w:r>
      <w:r w:rsidRPr="00A2777D">
        <w:t>ках курсов компьютерной грамотности для государственных служащих особое внимание уделяется вопросам использования персональных данных.</w:t>
      </w:r>
    </w:p>
    <w:p w:rsidR="00A2777D" w:rsidRPr="00A2777D" w:rsidRDefault="00A2777D" w:rsidP="00A2777D">
      <w:pPr>
        <w:pStyle w:val="SingleTxt"/>
      </w:pPr>
      <w:r w:rsidRPr="00A2777D">
        <w:t>24.</w:t>
      </w:r>
      <w:r w:rsidRPr="00A2777D">
        <w:tab/>
        <w:t>Существует ряд методов обучения гражданских служащих, уже занима</w:t>
      </w:r>
      <w:r w:rsidRPr="00A2777D">
        <w:t>ю</w:t>
      </w:r>
      <w:r w:rsidRPr="00A2777D">
        <w:t>щих свои должности. В Хорватии, так же как и в Сербии и Швейцарии (см. ра</w:t>
      </w:r>
      <w:r w:rsidRPr="00A2777D">
        <w:t>з</w:t>
      </w:r>
      <w:r w:rsidRPr="00A2777D">
        <w:t>дел A выше), курсы подготовки по вопросам прав человека включены в специ</w:t>
      </w:r>
      <w:r w:rsidRPr="00A2777D">
        <w:t>а</w:t>
      </w:r>
      <w:r w:rsidRPr="00A2777D">
        <w:t>лизированные университетские программы для государственных и гражданских служащих. В Германия права человека включены в методическое и учебное с</w:t>
      </w:r>
      <w:r w:rsidRPr="00A2777D">
        <w:t>о</w:t>
      </w:r>
      <w:r w:rsidRPr="00A2777D">
        <w:t>держание программы дистанционного обучения без отрыва от работы с получ</w:t>
      </w:r>
      <w:r w:rsidRPr="00A2777D">
        <w:t>е</w:t>
      </w:r>
      <w:r w:rsidRPr="00A2777D">
        <w:t>нием магистерской степени в области государственного управления. Гондурас в рамках своей Национальной программы в области правосудия, прав человека и культуры мира разработал виртуальную учебную платформу и организовал пе</w:t>
      </w:r>
      <w:r w:rsidRPr="00A2777D">
        <w:t>р</w:t>
      </w:r>
      <w:r w:rsidRPr="00A2777D">
        <w:t>вый виртуальный курс по правам человека для государственных служащих. Он сообщил, что во всех ветвях власти с каждым годом растет число гражданских служащих, прошедших подготовку в области прав человека. В Чили подготовка в области прав человека и по смежным вопросам проводится посредством компь</w:t>
      </w:r>
      <w:r w:rsidRPr="00A2777D">
        <w:t>ю</w:t>
      </w:r>
      <w:r w:rsidRPr="00A2777D">
        <w:t>терной системы для подготовки гражданских служащих, а в Австралии разраб</w:t>
      </w:r>
      <w:r w:rsidRPr="00A2777D">
        <w:t>а</w:t>
      </w:r>
      <w:r w:rsidRPr="00A2777D">
        <w:t>тывается модуль по правам человека для электронного обучения 200 000 гос</w:t>
      </w:r>
      <w:r w:rsidRPr="00A2777D">
        <w:t>у</w:t>
      </w:r>
      <w:r w:rsidRPr="00A2777D">
        <w:t>дарственных служащих по всей стране.</w:t>
      </w:r>
    </w:p>
    <w:p w:rsidR="00A2777D" w:rsidRPr="00A2777D" w:rsidRDefault="00A2777D" w:rsidP="00A2777D">
      <w:pPr>
        <w:pStyle w:val="SingleTxt"/>
      </w:pPr>
      <w:r w:rsidRPr="00A2777D">
        <w:t>25.</w:t>
      </w:r>
      <w:r w:rsidRPr="00A2777D">
        <w:tab/>
        <w:t>В проведении подготовки по вопросам прав человека для гражданских сл</w:t>
      </w:r>
      <w:r w:rsidRPr="00A2777D">
        <w:t>у</w:t>
      </w:r>
      <w:r w:rsidRPr="00A2777D">
        <w:t>жащих в различных государствах участвует широкий круг учреждений. В Яп</w:t>
      </w:r>
      <w:r w:rsidRPr="00A2777D">
        <w:t>о</w:t>
      </w:r>
      <w:r w:rsidRPr="00A2777D">
        <w:t>нии Национальное кадровое управление утвердило учебную программу, а мин</w:t>
      </w:r>
      <w:r w:rsidRPr="00A2777D">
        <w:t>и</w:t>
      </w:r>
      <w:r w:rsidRPr="00A2777D">
        <w:t>стерство юстиции дважды в год проводит практикумы для должностных лиц центрального правительства. Колледж местного самоуправления организует ле</w:t>
      </w:r>
      <w:r w:rsidRPr="00A2777D">
        <w:t>к</w:t>
      </w:r>
      <w:r w:rsidRPr="00A2777D">
        <w:t>ции по вопросам прав человека для лиц, желающих занять руководящие должн</w:t>
      </w:r>
      <w:r w:rsidRPr="00A2777D">
        <w:t>о</w:t>
      </w:r>
      <w:r w:rsidRPr="00A2777D">
        <w:t>сти в местных органах власти. Министерство юстиции также проводит подгото</w:t>
      </w:r>
      <w:r w:rsidRPr="00A2777D">
        <w:t>в</w:t>
      </w:r>
      <w:r w:rsidRPr="00A2777D">
        <w:t>ку руководителей по вопросам поощрения прав человека на уровне префектур и муниципалитетов. В Швейцарии Швейцарский центр экспертного анализа в о</w:t>
      </w:r>
      <w:r w:rsidRPr="00A2777D">
        <w:t>б</w:t>
      </w:r>
      <w:r w:rsidRPr="00A2777D">
        <w:t>ласти прав человека обеспечивает подготовку широкого круга специалистов, включая сотрудников органов власти. В Колумбии Управление уполномоченного по правам человека и региональные управления уполномоченных по правам ч</w:t>
      </w:r>
      <w:r w:rsidRPr="00A2777D">
        <w:t>е</w:t>
      </w:r>
      <w:r w:rsidRPr="00A2777D">
        <w:t>ловека по всей стране поощряют права человека среди государственных служ</w:t>
      </w:r>
      <w:r w:rsidRPr="00A2777D">
        <w:t>а</w:t>
      </w:r>
      <w:r w:rsidRPr="00A2777D">
        <w:t>щих. В Гватемале одной из функций Президентской комиссии по правам челов</w:t>
      </w:r>
      <w:r w:rsidRPr="00A2777D">
        <w:t>е</w:t>
      </w:r>
      <w:r w:rsidRPr="00A2777D">
        <w:t>ка является поощрение прав человека в сфере подготовки гражданских служ</w:t>
      </w:r>
      <w:r w:rsidRPr="00A2777D">
        <w:t>а</w:t>
      </w:r>
      <w:r w:rsidRPr="00A2777D">
        <w:t>щих. Начиная с 2010 года Ирландская комиссия по правам человека осуществл</w:t>
      </w:r>
      <w:r w:rsidRPr="00A2777D">
        <w:t>я</w:t>
      </w:r>
      <w:r w:rsidRPr="00A2777D">
        <w:t>ет комплексный проект по образованию и подготовке в области прав человека для ирландской гражданской и государственной служб, предусматривающий как проведение учебных мероприятий, так и разработку учебных материалов. Кор</w:t>
      </w:r>
      <w:r w:rsidRPr="00A2777D">
        <w:t>о</w:t>
      </w:r>
      <w:r w:rsidRPr="00A2777D">
        <w:t>левский институт территориальных административных органов Марокко орган</w:t>
      </w:r>
      <w:r w:rsidRPr="00A2777D">
        <w:t>и</w:t>
      </w:r>
      <w:r w:rsidRPr="00A2777D">
        <w:t>зовал подготовку сотрудников местных органов власти, которая проводится суд</w:t>
      </w:r>
      <w:r w:rsidRPr="00A2777D">
        <w:t>ь</w:t>
      </w:r>
      <w:r w:rsidRPr="00A2777D">
        <w:t>ями, и пригласил омбудсмена и Национальный совет по правам человека обм</w:t>
      </w:r>
      <w:r w:rsidRPr="00A2777D">
        <w:t>е</w:t>
      </w:r>
      <w:r w:rsidRPr="00A2777D">
        <w:t>няться опытом и знаниями. Национальное управление гражданских служащих Румынии разрабатывает программы профессиональной подготовки для сотру</w:t>
      </w:r>
      <w:r w:rsidRPr="00A2777D">
        <w:t>д</w:t>
      </w:r>
      <w:r w:rsidRPr="00A2777D">
        <w:t>ников государственных органов, а в Соединенных Штатах Америки должнос</w:t>
      </w:r>
      <w:r w:rsidRPr="00A2777D">
        <w:t>т</w:t>
      </w:r>
      <w:r w:rsidRPr="00A2777D">
        <w:t>ные лица федерального уровня проводят целевые учебные мероприятия по тем</w:t>
      </w:r>
      <w:r w:rsidRPr="00A2777D">
        <w:t>а</w:t>
      </w:r>
      <w:r w:rsidRPr="00A2777D">
        <w:t>тике правозащитных договоров для должностных лиц в органах штатов и мес</w:t>
      </w:r>
      <w:r w:rsidRPr="00A2777D">
        <w:t>т</w:t>
      </w:r>
      <w:r w:rsidRPr="00A2777D">
        <w:t>ных органах власти.</w:t>
      </w:r>
    </w:p>
    <w:p w:rsidR="00A2777D" w:rsidRPr="00A2777D" w:rsidRDefault="00A2777D" w:rsidP="00A2777D">
      <w:pPr>
        <w:pStyle w:val="SingleTxt"/>
      </w:pPr>
      <w:r w:rsidRPr="00A2777D">
        <w:t>26.</w:t>
      </w:r>
      <w:r w:rsidRPr="00A2777D">
        <w:tab/>
        <w:t>Министерства иностранных дел в ряде государств обеспечивают подгото</w:t>
      </w:r>
      <w:r w:rsidRPr="00A2777D">
        <w:t>в</w:t>
      </w:r>
      <w:r w:rsidRPr="00A2777D">
        <w:t>кой в области прав человека дипломатов и гражданских экспертов, направляемых в международные миссии (например, в Японии), а также других государственных служащих (например, в Швейцарии). Кроме того, в некоторых государствах по</w:t>
      </w:r>
      <w:r w:rsidRPr="00A2777D">
        <w:t>д</w:t>
      </w:r>
      <w:r w:rsidRPr="00A2777D">
        <w:t>готовка в области прав человека является обязательной для поступления на д</w:t>
      </w:r>
      <w:r w:rsidRPr="00A2777D">
        <w:t>и</w:t>
      </w:r>
      <w:r w:rsidRPr="00A2777D">
        <w:t>пломатическую службу (например, в Парагвае).</w:t>
      </w:r>
    </w:p>
    <w:p w:rsidR="00A2777D" w:rsidRPr="00A2777D" w:rsidRDefault="00A2777D" w:rsidP="00A2777D">
      <w:pPr>
        <w:pStyle w:val="SingleTxt"/>
      </w:pPr>
      <w:r w:rsidRPr="00A2777D">
        <w:lastRenderedPageBreak/>
        <w:t>27.</w:t>
      </w:r>
      <w:r w:rsidRPr="00A2777D">
        <w:tab/>
        <w:t>Выше уже упоминались существующие в каждом государстве многочисле</w:t>
      </w:r>
      <w:r w:rsidRPr="00A2777D">
        <w:t>н</w:t>
      </w:r>
      <w:r w:rsidRPr="00A2777D">
        <w:t>ные возможности для взаимодействия между учреждениями в интересах эффе</w:t>
      </w:r>
      <w:r w:rsidRPr="00A2777D">
        <w:t>к</w:t>
      </w:r>
      <w:r w:rsidRPr="00A2777D">
        <w:t>тивного охвата государственных служащих подготовкой в области прав человека. Другими важными механизмами в сфере образования и подготовки по вопросам прав человека служат партнерства с Организацией Объединенных Наций, реги</w:t>
      </w:r>
      <w:r w:rsidRPr="00A2777D">
        <w:t>о</w:t>
      </w:r>
      <w:r w:rsidRPr="00A2777D">
        <w:t>нальными организациями и НПО, а также двустороннее сотрудничество. Напр</w:t>
      </w:r>
      <w:r w:rsidRPr="00A2777D">
        <w:t>и</w:t>
      </w:r>
      <w:r w:rsidRPr="00A2777D">
        <w:t>мер, в Гондурасе Испанское агентство международного сотрудничества в целях развития в 2012 году предоставило необходимую поддержку для оценки потре</w:t>
      </w:r>
      <w:r w:rsidRPr="00A2777D">
        <w:t>б</w:t>
      </w:r>
      <w:r w:rsidRPr="00A2777D">
        <w:t>ностей в этом секторе и разработки Национальной программы в области прав</w:t>
      </w:r>
      <w:r w:rsidRPr="00A2777D">
        <w:t>о</w:t>
      </w:r>
      <w:r w:rsidRPr="00A2777D">
        <w:t>судия, прав человека и культуры мира, которая служит основой для всех остал</w:t>
      </w:r>
      <w:r w:rsidRPr="00A2777D">
        <w:t>ь</w:t>
      </w:r>
      <w:r w:rsidRPr="00A2777D">
        <w:t>ных планов и программ. В Греции благодаря изучению опыта и знаний других европейских стран в рамках сотрудничества с Европейским фондом интеграции была улучшена подготовка должностных лиц министерства внутренних дел и административной реформы.</w:t>
      </w:r>
    </w:p>
    <w:p w:rsidR="00A2777D" w:rsidRPr="00A2777D" w:rsidRDefault="00A2777D" w:rsidP="00A2777D">
      <w:pPr>
        <w:pStyle w:val="SingleTxt"/>
        <w:spacing w:after="0" w:line="120" w:lineRule="exact"/>
        <w:rPr>
          <w:b/>
          <w:sz w:val="10"/>
        </w:rPr>
      </w:pPr>
    </w:p>
    <w:p w:rsidR="00A2777D" w:rsidRPr="00A2777D" w:rsidRDefault="00A2777D" w:rsidP="00A2777D">
      <w:pPr>
        <w:pStyle w:val="SingleTxt"/>
        <w:spacing w:after="0" w:line="120" w:lineRule="exact"/>
        <w:rPr>
          <w:b/>
          <w:sz w:val="10"/>
        </w:rPr>
      </w:pPr>
    </w:p>
    <w:p w:rsidR="00A2777D" w:rsidRPr="00A2777D" w:rsidRDefault="00A2777D" w:rsidP="00A2777D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A2777D">
        <w:tab/>
        <w:t>C.</w:t>
      </w:r>
      <w:r w:rsidRPr="00A2777D">
        <w:tab/>
        <w:t>Подготовка в области прав человека для сотрудников правоохранительных органов</w:t>
      </w:r>
    </w:p>
    <w:p w:rsidR="00A2777D" w:rsidRPr="00A2777D" w:rsidRDefault="00A2777D" w:rsidP="00A2777D">
      <w:pPr>
        <w:pStyle w:val="SingleTxt"/>
        <w:spacing w:after="0" w:line="120" w:lineRule="exact"/>
        <w:rPr>
          <w:sz w:val="10"/>
        </w:rPr>
      </w:pPr>
    </w:p>
    <w:p w:rsidR="00A2777D" w:rsidRPr="00A2777D" w:rsidRDefault="00A2777D" w:rsidP="00A2777D">
      <w:pPr>
        <w:pStyle w:val="SingleTxt"/>
        <w:spacing w:after="0" w:line="120" w:lineRule="exact"/>
        <w:rPr>
          <w:sz w:val="10"/>
        </w:rPr>
      </w:pPr>
    </w:p>
    <w:p w:rsidR="00A2777D" w:rsidRPr="00A2777D" w:rsidRDefault="00A2777D" w:rsidP="00A2777D">
      <w:pPr>
        <w:pStyle w:val="SingleTxt"/>
      </w:pPr>
      <w:r w:rsidRPr="00A2777D">
        <w:t>28.</w:t>
      </w:r>
      <w:r w:rsidRPr="00A2777D">
        <w:tab/>
        <w:t>Базовые программы подготовки курсантов полицейских академий, училищ и учреждений во многих государствах в настоящее время включают в себя права человека в качестве одного из учебных предметов (в том числе в Австралии, А</w:t>
      </w:r>
      <w:r w:rsidRPr="00A2777D">
        <w:t>л</w:t>
      </w:r>
      <w:r w:rsidRPr="00A2777D">
        <w:t>жире, Белизе, Болгарии, Боснии и Герцеговине, Германии, Греции, Италии, Ма</w:t>
      </w:r>
      <w:r w:rsidRPr="00A2777D">
        <w:t>в</w:t>
      </w:r>
      <w:r w:rsidRPr="00A2777D">
        <w:t>рикии, Марокко, Монако, Объединенных Арабских Эмиратах, Республике Корея, Румынии, Сербии, Словении, Судане, Турции, Франции, Хорватии, Чешской Ре</w:t>
      </w:r>
      <w:r w:rsidRPr="00A2777D">
        <w:t>с</w:t>
      </w:r>
      <w:r w:rsidRPr="00A2777D">
        <w:t>публике</w:t>
      </w:r>
      <w:r w:rsidR="00F80652">
        <w:t>,</w:t>
      </w:r>
      <w:r w:rsidRPr="00A2777D">
        <w:t xml:space="preserve"> Эквадоре, Эстонии и Японии). В соответствии с законом, принятом в 1993 году в Колумбии, подготовка в области международных прав человека и международного гуманитарного права стала обязательной для сотрудников нац</w:t>
      </w:r>
      <w:r w:rsidRPr="00A2777D">
        <w:t>и</w:t>
      </w:r>
      <w:r w:rsidRPr="00A2777D">
        <w:t>ональной полиции, при этом тематика прав человека должна включаться во все учебные курсы, учитывая важную обязанность гражданских служащих обеспеч</w:t>
      </w:r>
      <w:r w:rsidRPr="00A2777D">
        <w:t>и</w:t>
      </w:r>
      <w:r w:rsidRPr="00A2777D">
        <w:t>вать соблюдение законодательства и защищать права и свободы граждан. Гвинея разрабатывает новые учебные модули для базовой подготовки в области прав ч</w:t>
      </w:r>
      <w:r w:rsidRPr="00A2777D">
        <w:t>е</w:t>
      </w:r>
      <w:r w:rsidRPr="00A2777D">
        <w:t>ловека. Хотя нехватка ресурсов пока не позволяет министерству безопасности обеспечивать такой подготовкой все подразделения полиции, она уже является обязательной для подразделений, обеспечивающих охрану общественной безо</w:t>
      </w:r>
      <w:r w:rsidR="00F80652">
        <w:t>-</w:t>
      </w:r>
      <w:r w:rsidRPr="00A2777D">
        <w:t>пасности. В Словении закон предписывает включать вопросы защиты прав чел</w:t>
      </w:r>
      <w:r w:rsidRPr="00A2777D">
        <w:t>о</w:t>
      </w:r>
      <w:r w:rsidRPr="00A2777D">
        <w:t>века во все программы и стратегии, касающиеся организации и работы полиции. Колумбия упомянула, что вопросы прав человека постепенно получают повс</w:t>
      </w:r>
      <w:r w:rsidRPr="00A2777D">
        <w:t>е</w:t>
      </w:r>
      <w:r w:rsidRPr="00A2777D">
        <w:t>местное отражение в различных процедурах работы полиции.</w:t>
      </w:r>
    </w:p>
    <w:p w:rsidR="00A2777D" w:rsidRPr="00A2777D" w:rsidRDefault="00A2777D" w:rsidP="00A2777D">
      <w:pPr>
        <w:pStyle w:val="SingleTxt"/>
      </w:pPr>
      <w:r w:rsidRPr="00A2777D">
        <w:t>29.</w:t>
      </w:r>
      <w:r w:rsidRPr="00A2777D">
        <w:tab/>
        <w:t>В ряде государств прохождение курсов в области прав человека на рабочем месте является обязательным условием для повышения по службе (например, в Боснии и Герцеговине, Италии, Катаре, Румынии и Японии), а в некоторых др</w:t>
      </w:r>
      <w:r w:rsidRPr="00A2777D">
        <w:t>у</w:t>
      </w:r>
      <w:r w:rsidRPr="00A2777D">
        <w:t xml:space="preserve">гих государствах за прохождение такой подготовки </w:t>
      </w:r>
      <w:r w:rsidR="00F80652">
        <w:t xml:space="preserve">для </w:t>
      </w:r>
      <w:r w:rsidRPr="00A2777D">
        <w:t>сотрудников предусма</w:t>
      </w:r>
      <w:r w:rsidRPr="00A2777D">
        <w:t>т</w:t>
      </w:r>
      <w:r w:rsidRPr="00A2777D">
        <w:t>риваются различные меры поощрения, в том числе денежные выплаты (напр</w:t>
      </w:r>
      <w:r w:rsidRPr="00A2777D">
        <w:t>и</w:t>
      </w:r>
      <w:r w:rsidRPr="00A2777D">
        <w:t>мер, в Словении). Несколько государств упомянули, что сотрудники полиции проходят обновленные курсы подготовки, посвященные наиболее актуальным темам и соответствующие их уровню. Постоянное повышение квалификации, особенно для сотрудников, работающих в миссиях Организации Объединенных Наций и Европейского союза, упоминалось в докладах ряда государств (напр</w:t>
      </w:r>
      <w:r w:rsidRPr="00A2777D">
        <w:t>и</w:t>
      </w:r>
      <w:r w:rsidRPr="00A2777D">
        <w:t>мер, Румынии и Словении).</w:t>
      </w:r>
    </w:p>
    <w:p w:rsidR="00A2777D" w:rsidRPr="00A2777D" w:rsidRDefault="00A2777D" w:rsidP="00A2777D">
      <w:pPr>
        <w:pStyle w:val="SingleTxt"/>
      </w:pPr>
      <w:r w:rsidRPr="00A2777D">
        <w:t>30.</w:t>
      </w:r>
      <w:r w:rsidRPr="00A2777D">
        <w:tab/>
        <w:t>В ответах неоднократно подчеркивалась необходимость того, чтобы подг</w:t>
      </w:r>
      <w:r w:rsidRPr="00A2777D">
        <w:t>о</w:t>
      </w:r>
      <w:r w:rsidRPr="00A2777D">
        <w:t>товка сотрудников полиции в области прав человека носила практический хара</w:t>
      </w:r>
      <w:r w:rsidRPr="00A2777D">
        <w:t>к</w:t>
      </w:r>
      <w:r w:rsidRPr="00A2777D">
        <w:t>тер и, как отметили, в частности, Греция, Литва, Чили и Япония, в первую оч</w:t>
      </w:r>
      <w:r w:rsidRPr="00A2777D">
        <w:t>е</w:t>
      </w:r>
      <w:r w:rsidRPr="00A2777D">
        <w:t xml:space="preserve">редь затрагивала вопросы, с которыми сотрудники полиции могут столкнуться в </w:t>
      </w:r>
      <w:r w:rsidRPr="00A2777D">
        <w:lastRenderedPageBreak/>
        <w:t>своей повседневной работе. В этой связи Марокко упомянула о посещениях мест несения службы для обмена опытом и постоянной оценке положения дел путем проведения информационных совещаний. В Полицейской академии Грузии ос</w:t>
      </w:r>
      <w:r w:rsidRPr="00A2777D">
        <w:t>о</w:t>
      </w:r>
      <w:r w:rsidRPr="00A2777D">
        <w:t>бое внимание уделяется изучению правовых оснований для применения силы и формированию у будущих сотрудников полиции необходимых практических навыков, при этом каждый сотрудник полиции периодически обязан проходить переподготовку. В Японии учебные мероприятия проводятся в управлении пол</w:t>
      </w:r>
      <w:r w:rsidRPr="00A2777D">
        <w:t>и</w:t>
      </w:r>
      <w:r w:rsidRPr="00A2777D">
        <w:t>ции, в полицейских участках и в других местах несения службы, а также в шк</w:t>
      </w:r>
      <w:r w:rsidRPr="00A2777D">
        <w:t>о</w:t>
      </w:r>
      <w:r w:rsidRPr="00A2777D">
        <w:t>лах полиции. В Германии подготовка проводится на основе анализа реальных случаев, а конкретные меры обсуждаются в контексте встречающихся на практ</w:t>
      </w:r>
      <w:r w:rsidRPr="00A2777D">
        <w:t>и</w:t>
      </w:r>
      <w:r w:rsidRPr="00A2777D">
        <w:t>ке ситуаций. В Польше была пересмотрена система набора сотрудников полиции, с тем чтобы обеспечить тщательное изучение навыков межличностного взаим</w:t>
      </w:r>
      <w:r w:rsidRPr="00A2777D">
        <w:t>о</w:t>
      </w:r>
      <w:r w:rsidRPr="00A2777D">
        <w:t>действия кандидатов .</w:t>
      </w:r>
    </w:p>
    <w:p w:rsidR="00A2777D" w:rsidRPr="00A2777D" w:rsidRDefault="00A2777D" w:rsidP="00A2777D">
      <w:pPr>
        <w:pStyle w:val="SingleTxt"/>
      </w:pPr>
      <w:r w:rsidRPr="00A2777D">
        <w:t>31.</w:t>
      </w:r>
      <w:r w:rsidRPr="00A2777D">
        <w:tab/>
        <w:t>В полиции Непала имеются центральные отделы по правам человека и пр</w:t>
      </w:r>
      <w:r w:rsidRPr="00A2777D">
        <w:t>а</w:t>
      </w:r>
      <w:r w:rsidRPr="00A2777D">
        <w:t>возащитные группы на региональном и местном уровнях, а также механизмы рассмотрения обращений по поводу нарушений сотрудниками полиции прав ч</w:t>
      </w:r>
      <w:r w:rsidRPr="00A2777D">
        <w:t>е</w:t>
      </w:r>
      <w:r w:rsidRPr="00A2777D">
        <w:t>ловека, предусматривающие возможность опубликования результатов их ра</w:t>
      </w:r>
      <w:r w:rsidRPr="00A2777D">
        <w:t>с</w:t>
      </w:r>
      <w:r w:rsidRPr="00A2777D">
        <w:t>смотрения. В Литве и Катаре практикуется поощрение отличившихся сотрудн</w:t>
      </w:r>
      <w:r w:rsidRPr="00A2777D">
        <w:t>и</w:t>
      </w:r>
      <w:r w:rsidRPr="00A2777D">
        <w:t>ков, а примеры их работы могут в дальнейшем изучаться в ходе учебных мер</w:t>
      </w:r>
      <w:r w:rsidRPr="00A2777D">
        <w:t>о</w:t>
      </w:r>
      <w:r w:rsidRPr="00A2777D">
        <w:t>приятий. Аналогичным образом, в Объединенных Арабских Эмиратах в целях мотивации сотрудников были учрежден</w:t>
      </w:r>
      <w:r w:rsidR="00F80652">
        <w:t>ы различные премии, в частности</w:t>
      </w:r>
      <w:r w:rsidRPr="00A2777D">
        <w:t xml:space="preserve"> </w:t>
      </w:r>
      <w:r w:rsidR="007639D3">
        <w:t>«</w:t>
      </w:r>
      <w:r w:rsidRPr="00A2777D">
        <w:t>гр</w:t>
      </w:r>
      <w:r w:rsidRPr="00A2777D">
        <w:t>а</w:t>
      </w:r>
      <w:r w:rsidRPr="00A2777D">
        <w:t>мота за добросовестную работу</w:t>
      </w:r>
      <w:r w:rsidR="007639D3">
        <w:t>»</w:t>
      </w:r>
      <w:r w:rsidRPr="00A2777D">
        <w:t xml:space="preserve">. </w:t>
      </w:r>
    </w:p>
    <w:p w:rsidR="00A2777D" w:rsidRPr="00A2777D" w:rsidRDefault="00A2777D" w:rsidP="00A2777D">
      <w:pPr>
        <w:pStyle w:val="SingleTxt"/>
      </w:pPr>
      <w:r w:rsidRPr="00A2777D">
        <w:t>32.</w:t>
      </w:r>
      <w:r w:rsidRPr="00A2777D">
        <w:tab/>
        <w:t>Обучение через общение с коллегами считается крайне важным для сотру</w:t>
      </w:r>
      <w:r w:rsidRPr="00A2777D">
        <w:t>д</w:t>
      </w:r>
      <w:r w:rsidRPr="00A2777D">
        <w:t xml:space="preserve">ников полиции, в среде которых, как отметила Италия, сложилась </w:t>
      </w:r>
      <w:r w:rsidR="007639D3">
        <w:t>«</w:t>
      </w:r>
      <w:r w:rsidRPr="00A2777D">
        <w:t>специфич</w:t>
      </w:r>
      <w:r w:rsidRPr="00A2777D">
        <w:t>е</w:t>
      </w:r>
      <w:r w:rsidRPr="00A2777D">
        <w:t>ская профессиональная культура</w:t>
      </w:r>
      <w:r w:rsidR="007639D3">
        <w:t>»</w:t>
      </w:r>
      <w:r w:rsidRPr="00A2777D">
        <w:t>. По этой причине была начата работа по по</w:t>
      </w:r>
      <w:r w:rsidRPr="00A2777D">
        <w:t>д</w:t>
      </w:r>
      <w:r w:rsidRPr="00A2777D">
        <w:t>готовке в рядах полиции как можно большего числа инструкторов. В Национал</w:t>
      </w:r>
      <w:r w:rsidRPr="00A2777D">
        <w:t>ь</w:t>
      </w:r>
      <w:r w:rsidRPr="00A2777D">
        <w:t>ной полиции Гвинеи имеется группа инструкторов по правам человека численн</w:t>
      </w:r>
      <w:r w:rsidRPr="00A2777D">
        <w:t>о</w:t>
      </w:r>
      <w:r w:rsidRPr="00A2777D">
        <w:t>стью около 25 человек. В 2013 году в Полицейской академии Румынии был учрежден центр поощрения прав человека в органах правопорядка и безопасн</w:t>
      </w:r>
      <w:r w:rsidRPr="00A2777D">
        <w:t>о</w:t>
      </w:r>
      <w:r w:rsidRPr="00A2777D">
        <w:t>сти, в распоряжении которого в настоящее время имеется 50 постоянных и</w:t>
      </w:r>
      <w:r w:rsidRPr="00A2777D">
        <w:t>н</w:t>
      </w:r>
      <w:r w:rsidRPr="00A2777D">
        <w:t>структоров и 271 внештатный специалист, осуществляющие мандат центра по всей стране, а также сеть сотрудников, занимающихся распространением инфо</w:t>
      </w:r>
      <w:r w:rsidRPr="00A2777D">
        <w:t>р</w:t>
      </w:r>
      <w:r w:rsidRPr="00A2777D">
        <w:t>мации о процедурах, законодательстве и мерах политики в области прав челов</w:t>
      </w:r>
      <w:r w:rsidRPr="00A2777D">
        <w:t>е</w:t>
      </w:r>
      <w:r w:rsidRPr="00A2777D">
        <w:t>ка. В 2011 году в Чилийской национальной полиции был создан департамент по правам человека в целях поощрения международных стандартов в деятельности полиции. В полиции Эквадора существует аналогичный департамент, еженедел</w:t>
      </w:r>
      <w:r w:rsidRPr="00A2777D">
        <w:t>ь</w:t>
      </w:r>
      <w:r w:rsidRPr="00A2777D">
        <w:t>но охватывающий своей работой около 600 полицейских. Комитет по правам ч</w:t>
      </w:r>
      <w:r w:rsidRPr="00A2777D">
        <w:t>е</w:t>
      </w:r>
      <w:r w:rsidRPr="00A2777D">
        <w:t>ловека, созданный в структуре министерства внутренних дел Объединенных Арабских Эмиратов в 2013 году, состоит из представителей всех департаментов полиции и призван повышать осведомленность о правах человека и содейств</w:t>
      </w:r>
      <w:r w:rsidRPr="00A2777D">
        <w:t>о</w:t>
      </w:r>
      <w:r w:rsidRPr="00A2777D">
        <w:t>вать их соблюдению. Колумбия отметила, что у нее имеются процедуры оценки работы инструкторов.</w:t>
      </w:r>
    </w:p>
    <w:p w:rsidR="00A2777D" w:rsidRPr="00A2777D" w:rsidRDefault="00A2777D" w:rsidP="00A2777D">
      <w:pPr>
        <w:pStyle w:val="SingleTxt"/>
      </w:pPr>
      <w:r w:rsidRPr="00A2777D">
        <w:t>33.</w:t>
      </w:r>
      <w:r w:rsidRPr="00A2777D">
        <w:tab/>
        <w:t>Для сотрудников правоохранительных органов разрабатываются специал</w:t>
      </w:r>
      <w:r w:rsidRPr="00A2777D">
        <w:t>ь</w:t>
      </w:r>
      <w:r w:rsidRPr="00A2777D">
        <w:t xml:space="preserve">ные материалы, используемые в ходе подготовки по вопросам прав человека, и их примерами служат </w:t>
      </w:r>
      <w:r w:rsidR="007639D3">
        <w:t>«</w:t>
      </w:r>
      <w:r w:rsidRPr="00A2777D">
        <w:t>Критерии эффективности работы сотрудников правоохр</w:t>
      </w:r>
      <w:r w:rsidRPr="00A2777D">
        <w:t>а</w:t>
      </w:r>
      <w:r w:rsidRPr="00A2777D">
        <w:t>нительных органов в контексте прав человека</w:t>
      </w:r>
      <w:r w:rsidR="007639D3">
        <w:t>»</w:t>
      </w:r>
      <w:r w:rsidRPr="00A2777D">
        <w:t xml:space="preserve"> Главного управления жандарм</w:t>
      </w:r>
      <w:r w:rsidRPr="00A2777D">
        <w:t>е</w:t>
      </w:r>
      <w:r w:rsidRPr="00A2777D">
        <w:t xml:space="preserve">рии Турции; справочник для инструкторов Национальной полиции Италии </w:t>
      </w:r>
      <w:r w:rsidR="007639D3">
        <w:t>«</w:t>
      </w:r>
      <w:r w:rsidRPr="00A2777D">
        <w:t>Р</w:t>
      </w:r>
      <w:r w:rsidRPr="00A2777D">
        <w:t>а</w:t>
      </w:r>
      <w:r w:rsidRPr="00A2777D">
        <w:t>бота полиции в многокультурном обществе</w:t>
      </w:r>
      <w:r w:rsidR="007639D3">
        <w:t>»</w:t>
      </w:r>
      <w:r w:rsidRPr="00A2777D">
        <w:t xml:space="preserve">; документ </w:t>
      </w:r>
      <w:r w:rsidR="007639D3">
        <w:t>«</w:t>
      </w:r>
      <w:r w:rsidRPr="00A2777D">
        <w:t>Дополнительный уче</w:t>
      </w:r>
      <w:r w:rsidRPr="00A2777D">
        <w:t>б</w:t>
      </w:r>
      <w:r w:rsidRPr="00A2777D">
        <w:t>ный модуль и методическое руководство по правам человека, общественной бе</w:t>
      </w:r>
      <w:r w:rsidRPr="00A2777D">
        <w:t>з</w:t>
      </w:r>
      <w:r w:rsidRPr="00A2777D">
        <w:t>опасности и функциям полиции</w:t>
      </w:r>
      <w:r w:rsidR="007639D3">
        <w:t>»</w:t>
      </w:r>
      <w:r w:rsidRPr="00A2777D">
        <w:t>, подготовленный Высшей полицейской акад</w:t>
      </w:r>
      <w:r w:rsidRPr="00A2777D">
        <w:t>е</w:t>
      </w:r>
      <w:r w:rsidRPr="00A2777D">
        <w:t xml:space="preserve">мией в Чили при содействии Межамериканского института по правам человека; а также пособие </w:t>
      </w:r>
      <w:r w:rsidR="007639D3">
        <w:t>«</w:t>
      </w:r>
      <w:r w:rsidRPr="00A2777D">
        <w:t>Защищать и служить − как воспитывать надлежащее отношение и поведение в ходе начальной профессиональной подготовки</w:t>
      </w:r>
      <w:r w:rsidR="007639D3">
        <w:t>»</w:t>
      </w:r>
      <w:r w:rsidRPr="00A2777D">
        <w:t xml:space="preserve">, разработанное в </w:t>
      </w:r>
      <w:r w:rsidRPr="00A2777D">
        <w:lastRenderedPageBreak/>
        <w:t>Польше. Главное управление национальной безопасности Марокко совместно с Национальным советом по правам человека подготовило руководство для с</w:t>
      </w:r>
      <w:r w:rsidRPr="00A2777D">
        <w:t>о</w:t>
      </w:r>
      <w:r w:rsidRPr="00A2777D">
        <w:t>трудников судебной полиции, а Швейцарский институт полиции выпустил спр</w:t>
      </w:r>
      <w:r w:rsidRPr="00A2777D">
        <w:t>а</w:t>
      </w:r>
      <w:r w:rsidRPr="00A2777D">
        <w:t>вочное пособие по правам человека и профессиональной этике. Министерство юстиции Мадагаскара при поддержке международных НПО составило для с</w:t>
      </w:r>
      <w:r w:rsidRPr="00A2777D">
        <w:t>о</w:t>
      </w:r>
      <w:r w:rsidRPr="00A2777D">
        <w:t>трудников правоохранительных органов пособие по вопросам запрещения пыток, а в Объединенных Арабских Эмиратах было издано руководство о порядке о</w:t>
      </w:r>
      <w:r w:rsidRPr="00A2777D">
        <w:t>б</w:t>
      </w:r>
      <w:r w:rsidRPr="00A2777D">
        <w:t>ращения с группами с особыми потребностями в ходе предварительного сле</w:t>
      </w:r>
      <w:r w:rsidRPr="00A2777D">
        <w:t>д</w:t>
      </w:r>
      <w:r w:rsidRPr="00A2777D">
        <w:t>ствия. В Непале учебные пособия для полицейских всех уровней включают в с</w:t>
      </w:r>
      <w:r w:rsidRPr="00A2777D">
        <w:t>е</w:t>
      </w:r>
      <w:r w:rsidRPr="00A2777D">
        <w:t>бя раздел о правах человека, а в Германии учебные материалы о работе полиции в контексте прав человека размещены в интранете Федеральной полиции. В ц</w:t>
      </w:r>
      <w:r w:rsidRPr="00A2777D">
        <w:t>е</w:t>
      </w:r>
      <w:r w:rsidRPr="00A2777D">
        <w:t>лом ряде государств (например, в Алжире) во всех учебных подразделениях п</w:t>
      </w:r>
      <w:r w:rsidRPr="00A2777D">
        <w:t>о</w:t>
      </w:r>
      <w:r w:rsidRPr="00A2777D">
        <w:t xml:space="preserve">лиции и жандармерии распространяется пособие УВКПЧ </w:t>
      </w:r>
      <w:r w:rsidR="007639D3">
        <w:t>«</w:t>
      </w:r>
      <w:r w:rsidRPr="00A2777D">
        <w:t>Стандарты и практика в области прав человека для работников полиции</w:t>
      </w:r>
      <w:r w:rsidR="007639D3">
        <w:t>»</w:t>
      </w:r>
      <w:r w:rsidRPr="00A2777D">
        <w:t>.</w:t>
      </w:r>
    </w:p>
    <w:p w:rsidR="00A2777D" w:rsidRPr="00A2777D" w:rsidRDefault="00A2777D" w:rsidP="00A2777D">
      <w:pPr>
        <w:pStyle w:val="SingleTxt"/>
      </w:pPr>
      <w:r w:rsidRPr="00A2777D">
        <w:t>34.</w:t>
      </w:r>
      <w:r w:rsidRPr="00A2777D">
        <w:tab/>
        <w:t>Подготовка для сотрудников полиции без отрыва от службы нередко посв</w:t>
      </w:r>
      <w:r w:rsidRPr="00A2777D">
        <w:t>я</w:t>
      </w:r>
      <w:r w:rsidRPr="00A2777D">
        <w:t>щена конкретным правозащитным вопросам. Например, в Греции такая подг</w:t>
      </w:r>
      <w:r w:rsidRPr="00A2777D">
        <w:t>о</w:t>
      </w:r>
      <w:r w:rsidRPr="00A2777D">
        <w:t>товка посвящена правозащитным положениям, касающимся предотвращения п</w:t>
      </w:r>
      <w:r w:rsidRPr="00A2777D">
        <w:t>ы</w:t>
      </w:r>
      <w:r w:rsidRPr="00A2777D">
        <w:t>ток, использования персональных данных, борьбы с насилием в отношении женщин, торговли людьми, расизма и ксенофобии. Несколько государств соо</w:t>
      </w:r>
      <w:r w:rsidRPr="00A2777D">
        <w:t>б</w:t>
      </w:r>
      <w:r w:rsidRPr="00A2777D">
        <w:t>щили об особом внимании, уделяемом методам борьбы с предрассудками и предотвращения дискриминации. Швейцария сообщила, что в 2013 году Шве</w:t>
      </w:r>
      <w:r w:rsidRPr="00A2777D">
        <w:t>й</w:t>
      </w:r>
      <w:r w:rsidRPr="00A2777D">
        <w:t>царская школа полиции увеличила объем времени, отводимого в ходе непреры</w:t>
      </w:r>
      <w:r w:rsidRPr="00A2777D">
        <w:t>в</w:t>
      </w:r>
      <w:r w:rsidRPr="00A2777D">
        <w:t>ной подготовки на изучение такой ключевой темы, как вопросы дискриминации. Колумбия упомянула о наличии регламентов и директивных указаний, каса</w:t>
      </w:r>
      <w:r w:rsidRPr="00A2777D">
        <w:t>ю</w:t>
      </w:r>
      <w:r w:rsidRPr="00A2777D">
        <w:t>щихся, в частности, представителей коренных народов,</w:t>
      </w:r>
      <w:r w:rsidR="00F80652">
        <w:t xml:space="preserve"> а</w:t>
      </w:r>
      <w:r w:rsidRPr="00A2777D">
        <w:t xml:space="preserve"> также лесбиянок, гом</w:t>
      </w:r>
      <w:r w:rsidRPr="00A2777D">
        <w:t>о</w:t>
      </w:r>
      <w:r w:rsidRPr="00A2777D">
        <w:t>сексуалистов, бисексуалов и транссексуалов. Повышение квалификации пол</w:t>
      </w:r>
      <w:r w:rsidRPr="00A2777D">
        <w:t>и</w:t>
      </w:r>
      <w:r w:rsidRPr="00A2777D">
        <w:t>цейских в Германии направлено на ознакомление с иностранными культурами, религиями, историей и коренными причинами миграции в целях поощрения те</w:t>
      </w:r>
      <w:r w:rsidRPr="00A2777D">
        <w:t>р</w:t>
      </w:r>
      <w:r w:rsidRPr="00A2777D">
        <w:t>пимости и взаимопонимания для всех. В Словении сотрудников полиции обуч</w:t>
      </w:r>
      <w:r w:rsidRPr="00A2777D">
        <w:t>а</w:t>
      </w:r>
      <w:r w:rsidRPr="00A2777D">
        <w:t>ют решать вопросы, связанные со стереотипами в многоэтническом обществе, в том числе путем ознакомления с культурой и историей рома, расширения их кр</w:t>
      </w:r>
      <w:r w:rsidRPr="00A2777D">
        <w:t>у</w:t>
      </w:r>
      <w:r w:rsidRPr="00A2777D">
        <w:t>гозора и повышения терпимости к разнообразию, а также выработки надлеж</w:t>
      </w:r>
      <w:r w:rsidRPr="00A2777D">
        <w:t>а</w:t>
      </w:r>
      <w:r w:rsidRPr="00A2777D">
        <w:t>щих и единообразных методов работы полиции с лицами различного происхо</w:t>
      </w:r>
      <w:r w:rsidRPr="00A2777D">
        <w:t>ж</w:t>
      </w:r>
      <w:r w:rsidRPr="00A2777D">
        <w:t>дения, а в Португалии сотрудники полиции учатся выполнению функций посре</w:t>
      </w:r>
      <w:r w:rsidRPr="00A2777D">
        <w:t>д</w:t>
      </w:r>
      <w:r w:rsidRPr="00A2777D">
        <w:t>ников в общинах рома. Повышение квалификации без отрыва от служб может проводиться при участии других специализированных экспертных учреждений и/или НПО; в этой связи Литва упомянула работу Управления омбудсмена по в</w:t>
      </w:r>
      <w:r w:rsidRPr="00A2777D">
        <w:t>о</w:t>
      </w:r>
      <w:r w:rsidRPr="00A2777D">
        <w:t>просам равенства возможностей.</w:t>
      </w:r>
    </w:p>
    <w:p w:rsidR="00A2777D" w:rsidRPr="00A2777D" w:rsidRDefault="00A2777D" w:rsidP="00A2777D">
      <w:pPr>
        <w:pStyle w:val="SingleTxt"/>
      </w:pPr>
      <w:r w:rsidRPr="00A2777D">
        <w:t>35.</w:t>
      </w:r>
      <w:r w:rsidRPr="00A2777D">
        <w:tab/>
        <w:t>Гвинея сообщила, что в учебные программы школ полиции и жандармерии страны включено также международное гуманитарное право, а недавно был д</w:t>
      </w:r>
      <w:r w:rsidRPr="00A2777D">
        <w:t>о</w:t>
      </w:r>
      <w:r w:rsidRPr="00A2777D">
        <w:t>бавлен модуль по правам ребенка. Сотрудники специализированной полицейской службы, созданной в Чили в 2013 году в целях укрепления отношений с общин</w:t>
      </w:r>
      <w:r w:rsidRPr="00A2777D">
        <w:t>а</w:t>
      </w:r>
      <w:r w:rsidRPr="00A2777D">
        <w:t>ми коренных народов, проходят подготовку по правам коренных народов, их яз</w:t>
      </w:r>
      <w:r w:rsidRPr="00A2777D">
        <w:t>ы</w:t>
      </w:r>
      <w:r w:rsidRPr="00A2777D">
        <w:t>кам и культурной самобытности. Сотрудники Королевской жандармерии Маро</w:t>
      </w:r>
      <w:r w:rsidRPr="00A2777D">
        <w:t>к</w:t>
      </w:r>
      <w:r w:rsidRPr="00A2777D">
        <w:t>ко прошли специализированную подготовку в области прав человека в контексте борьбы с терроризмом и наркотиками, а в Турции для сотрудников жандармерии регулярно организуются мероприятия по повышению квалификации, предусма</w:t>
      </w:r>
      <w:r w:rsidRPr="00A2777D">
        <w:t>т</w:t>
      </w:r>
      <w:r w:rsidRPr="00A2777D">
        <w:t>ривающие практическое освоение материала на местах для персонала управл</w:t>
      </w:r>
      <w:r w:rsidRPr="00A2777D">
        <w:t>е</w:t>
      </w:r>
      <w:r w:rsidRPr="00A2777D">
        <w:t>ний жандармерии провинций, в ходе которого, помимо других тем, неизменно з</w:t>
      </w:r>
      <w:r w:rsidRPr="00A2777D">
        <w:t>а</w:t>
      </w:r>
      <w:r w:rsidRPr="00A2777D">
        <w:t>трагиваются вопросы равенства и борьбы с насилием в отношении женщин. Пр</w:t>
      </w:r>
      <w:r w:rsidRPr="00A2777D">
        <w:t>а</w:t>
      </w:r>
      <w:r w:rsidRPr="00A2777D">
        <w:t>ва человека и гендерное равенство включены в содержание учебных курсов, к</w:t>
      </w:r>
      <w:r w:rsidRPr="00A2777D">
        <w:t>о</w:t>
      </w:r>
      <w:r w:rsidRPr="00A2777D">
        <w:t>торые предлагаются Международным учебным центром в Беларуси по таким в</w:t>
      </w:r>
      <w:r w:rsidRPr="00A2777D">
        <w:t>о</w:t>
      </w:r>
      <w:r w:rsidRPr="00A2777D">
        <w:t>просам, как борьба с торговлей людьми, противодействие наркоторговле и др</w:t>
      </w:r>
      <w:r w:rsidRPr="00A2777D">
        <w:t>у</w:t>
      </w:r>
      <w:r w:rsidRPr="00A2777D">
        <w:lastRenderedPageBreak/>
        <w:t>гие. Борьба с торговлей людьми также входит в тематику учебных курсов для с</w:t>
      </w:r>
      <w:r w:rsidRPr="00A2777D">
        <w:t>о</w:t>
      </w:r>
      <w:r w:rsidRPr="00A2777D">
        <w:t>трудников полиции в Кувейте и Объединенных Арабских Эмиратах, а в Гане особое внимание уделяется информированию сотрудников полиции о проблемах, связанных с насилием в семье.</w:t>
      </w:r>
    </w:p>
    <w:p w:rsidR="00A2777D" w:rsidRPr="00A2777D" w:rsidRDefault="00A2777D" w:rsidP="00A2777D">
      <w:pPr>
        <w:pStyle w:val="SingleTxt"/>
      </w:pPr>
      <w:r w:rsidRPr="00A2777D">
        <w:t>36.</w:t>
      </w:r>
      <w:r w:rsidRPr="00A2777D">
        <w:tab/>
        <w:t>Хотя сотрудникам таможенной службы Италии рекомендуется пройти по</w:t>
      </w:r>
      <w:r w:rsidRPr="00A2777D">
        <w:t>д</w:t>
      </w:r>
      <w:r w:rsidRPr="00A2777D">
        <w:t>готовку в области прав человека, такая подготовка является обязательной только для тех, кто направляется на работу за границей. В Японии подготовка в области прав человека обязательна для новых сотрудников иммиграционной службы и з</w:t>
      </w:r>
      <w:r w:rsidRPr="00A2777D">
        <w:t>а</w:t>
      </w:r>
      <w:r w:rsidRPr="00A2777D">
        <w:t>тем продолжается постоянно в течение срока их службы. Несколько европейских стран сообщили о проведении подготовки в области прав человека для сотрудн</w:t>
      </w:r>
      <w:r w:rsidRPr="00A2777D">
        <w:t>и</w:t>
      </w:r>
      <w:r w:rsidRPr="00A2777D">
        <w:t>ков пограничной полиции (в частности, Румыния, Словения и Швейцария). Ген</w:t>
      </w:r>
      <w:r w:rsidRPr="00A2777D">
        <w:t>е</w:t>
      </w:r>
      <w:r w:rsidRPr="00A2777D">
        <w:t>ральный директорат национальной безопасности Марокко совместно с Управл</w:t>
      </w:r>
      <w:r w:rsidRPr="00A2777D">
        <w:t>е</w:t>
      </w:r>
      <w:r w:rsidRPr="00A2777D">
        <w:t>нием Верховного комиссара Организации Объединенных Наций по делам беже</w:t>
      </w:r>
      <w:r w:rsidRPr="00A2777D">
        <w:t>н</w:t>
      </w:r>
      <w:r w:rsidRPr="00A2777D">
        <w:t>цев (УВКБ) проводил лекции по вопросам прав беженцев в Королевском инст</w:t>
      </w:r>
      <w:r w:rsidRPr="00A2777D">
        <w:t>и</w:t>
      </w:r>
      <w:r w:rsidRPr="00A2777D">
        <w:t>туте полиции.</w:t>
      </w:r>
    </w:p>
    <w:p w:rsidR="00A2777D" w:rsidRPr="00A2777D" w:rsidRDefault="00A2777D" w:rsidP="00A2777D">
      <w:pPr>
        <w:pStyle w:val="SingleTxt"/>
      </w:pPr>
      <w:r w:rsidRPr="00A2777D">
        <w:t>37.</w:t>
      </w:r>
      <w:r w:rsidRPr="00A2777D">
        <w:tab/>
        <w:t>В Европейском союзе Греция и Италия сообщили о программе Европейск</w:t>
      </w:r>
      <w:r w:rsidRPr="00A2777D">
        <w:t>о</w:t>
      </w:r>
      <w:r w:rsidRPr="00A2777D">
        <w:t xml:space="preserve">го союза </w:t>
      </w:r>
      <w:r w:rsidR="007639D3">
        <w:t>«</w:t>
      </w:r>
      <w:r w:rsidRPr="00A2777D">
        <w:t>Фронтекс</w:t>
      </w:r>
      <w:r w:rsidR="007639D3">
        <w:t>»</w:t>
      </w:r>
      <w:r w:rsidRPr="00A2777D">
        <w:t>, которая предусматривает обязательную подготовку в обл</w:t>
      </w:r>
      <w:r w:rsidRPr="00A2777D">
        <w:t>а</w:t>
      </w:r>
      <w:r w:rsidRPr="00A2777D">
        <w:t>сти прав человека для сотрудников пограничных служб, участвующих в совмес</w:t>
      </w:r>
      <w:r w:rsidRPr="00A2777D">
        <w:t>т</w:t>
      </w:r>
      <w:r w:rsidRPr="00A2777D">
        <w:t xml:space="preserve">ных европейских операциях. Греческая служба береговой охраны, входящая в структуру министерства судоходства Греции, в соответствии с требованиями программы </w:t>
      </w:r>
      <w:r w:rsidR="007639D3">
        <w:t>«</w:t>
      </w:r>
      <w:r w:rsidRPr="00A2777D">
        <w:t>Фронтекс</w:t>
      </w:r>
      <w:r w:rsidR="007639D3">
        <w:t>»</w:t>
      </w:r>
      <w:r w:rsidRPr="00A2777D">
        <w:t xml:space="preserve"> включила вопросы прав человека в свою учебную пр</w:t>
      </w:r>
      <w:r w:rsidRPr="00A2777D">
        <w:t>о</w:t>
      </w:r>
      <w:r w:rsidRPr="00A2777D">
        <w:t>грамму, с тем чтобы содействовать своим сотрудникам в работе с жертвами то</w:t>
      </w:r>
      <w:r w:rsidRPr="00A2777D">
        <w:t>р</w:t>
      </w:r>
      <w:r w:rsidRPr="00A2777D">
        <w:t>говли людьми, выявлении просителей убежища, обеспечении защитой несове</w:t>
      </w:r>
      <w:r w:rsidRPr="00A2777D">
        <w:t>р</w:t>
      </w:r>
      <w:r w:rsidRPr="00A2777D">
        <w:t>шеннолетних лиц и групп, находящихся в уязвимом положении, а также практ</w:t>
      </w:r>
      <w:r w:rsidRPr="00A2777D">
        <w:t>и</w:t>
      </w:r>
      <w:r w:rsidRPr="00A2777D">
        <w:t>ческом применении принципа невозвращения. Подготовка проводится предст</w:t>
      </w:r>
      <w:r w:rsidRPr="00A2777D">
        <w:t>а</w:t>
      </w:r>
      <w:r w:rsidRPr="00A2777D">
        <w:t>вителями береговой охраны и национальной полиции, прошедшими специал</w:t>
      </w:r>
      <w:r w:rsidRPr="00A2777D">
        <w:t>ь</w:t>
      </w:r>
      <w:r w:rsidRPr="00A2777D">
        <w:t xml:space="preserve">ную подготовку по правам человека в рамках </w:t>
      </w:r>
      <w:r w:rsidR="007639D3">
        <w:t>«</w:t>
      </w:r>
      <w:r w:rsidRPr="00A2777D">
        <w:t>Фронтекс</w:t>
      </w:r>
      <w:r w:rsidR="007639D3">
        <w:t>»</w:t>
      </w:r>
      <w:r w:rsidRPr="00A2777D">
        <w:t>, на основе учебного пособия, которое было разработано при поддержке Европейского союза. Дал</w:t>
      </w:r>
      <w:r w:rsidRPr="00A2777D">
        <w:t>ь</w:t>
      </w:r>
      <w:r w:rsidRPr="00A2777D">
        <w:t>нейшая непрерывная подготовка обеспечивается благодаря поддержке УВКБ и Международного комитета Красного Креста (МККК), а мероприятия по перепо</w:t>
      </w:r>
      <w:r w:rsidRPr="00A2777D">
        <w:t>д</w:t>
      </w:r>
      <w:r w:rsidRPr="00A2777D">
        <w:t>готовке предлагаются, в частности, персоналу центров содержания до высылки.</w:t>
      </w:r>
    </w:p>
    <w:p w:rsidR="00A2777D" w:rsidRPr="00A2777D" w:rsidRDefault="00A2777D" w:rsidP="00A2777D">
      <w:pPr>
        <w:pStyle w:val="SingleTxt"/>
      </w:pPr>
      <w:r w:rsidRPr="00A2777D">
        <w:t>38.</w:t>
      </w:r>
      <w:r w:rsidRPr="00A2777D">
        <w:tab/>
        <w:t>В ряде стран подготовка в области прав человека является официальным требованием также и для персонала тюрем, особенно в рамках повышения кв</w:t>
      </w:r>
      <w:r w:rsidRPr="00A2777D">
        <w:t>а</w:t>
      </w:r>
      <w:r w:rsidRPr="00A2777D">
        <w:t>лификации (например, в Чили и Франции) и подготовки должностных лиц (например, в Эстонии). Подготовка осуществляется с учетом опыта персонала и в основном посвящена правам заключенных, в том числе международным и вну</w:t>
      </w:r>
      <w:r w:rsidRPr="00A2777D">
        <w:t>т</w:t>
      </w:r>
      <w:r w:rsidRPr="00A2777D">
        <w:t>ренним стандартам, касающимся применения силы, предупреждения пыток и о</w:t>
      </w:r>
      <w:r w:rsidRPr="00A2777D">
        <w:t>б</w:t>
      </w:r>
      <w:r w:rsidRPr="00A2777D">
        <w:t>ращения с заключенными (Марокко, Турция, Швейцария и Япония). В 2014 году Национальный пенитенциарный институт Гондураса начал включать вопросы прав человека и гендерную проблематику в базовый курс подготовки для канд</w:t>
      </w:r>
      <w:r w:rsidRPr="00A2777D">
        <w:t>и</w:t>
      </w:r>
      <w:r w:rsidRPr="00A2777D">
        <w:t>датов на работу в исправительных учреждениях. В Эстонии Департамент по д</w:t>
      </w:r>
      <w:r w:rsidRPr="00A2777D">
        <w:t>е</w:t>
      </w:r>
      <w:r w:rsidRPr="00A2777D">
        <w:t>лам тюрем министерства юстиции проводит оценку и анализ воздействия в о</w:t>
      </w:r>
      <w:r w:rsidRPr="00A2777D">
        <w:t>т</w:t>
      </w:r>
      <w:r w:rsidRPr="00A2777D">
        <w:t>ношении институционализированной подготовки по правам человека. В Буркина-Фасо персонал тюрем проходит ежегодную подготовку по вопросам прав закл</w:t>
      </w:r>
      <w:r w:rsidRPr="00A2777D">
        <w:t>ю</w:t>
      </w:r>
      <w:r w:rsidRPr="00A2777D">
        <w:t>ченных. В рамках универсального периодического обзора Бурунди сообщила, что учебные занятия по правам человека для персонала тюрем способствовали улучшению положения в этих учреждениях.</w:t>
      </w:r>
    </w:p>
    <w:p w:rsidR="00A2777D" w:rsidRPr="00A2777D" w:rsidRDefault="00A2777D" w:rsidP="00A2777D">
      <w:pPr>
        <w:pStyle w:val="SingleTxt"/>
      </w:pPr>
      <w:r w:rsidRPr="00A2777D">
        <w:t>39.</w:t>
      </w:r>
      <w:r w:rsidRPr="00A2777D">
        <w:tab/>
        <w:t xml:space="preserve">Подготовка персонала тюрем в области прав человека также должна иметь практический характер; Япония упомянула программы практической подготовки на рабочих местах, в том числе ролевые игры, которые основаны на различных событиях, ежедневно происходящих в пенитенциарных учреждениях. Марокко сообщила о проведении практических тренингов, посвященных, в частности, </w:t>
      </w:r>
      <w:r w:rsidRPr="00A2777D">
        <w:lastRenderedPageBreak/>
        <w:t>проведению обысков, применению наручников, использованию дисциплинарных мер и депортации, а Греция упомянула о посещении тюрем, которые организую</w:t>
      </w:r>
      <w:r w:rsidRPr="00A2777D">
        <w:t>т</w:t>
      </w:r>
      <w:r w:rsidRPr="00A2777D">
        <w:t>ся, в частности, для сотрудников судебной полиции и предусматривают общение с заключенными. В 2013 году в Гондурасе было проведено общенациональное совещание, посвященное укреплению навыков сотрудников государственной п</w:t>
      </w:r>
      <w:r w:rsidRPr="00A2777D">
        <w:t>е</w:t>
      </w:r>
      <w:r w:rsidRPr="00A2777D">
        <w:t>нитенциарной системы в области прав человека. Его основной темой стали об</w:t>
      </w:r>
      <w:r w:rsidRPr="00A2777D">
        <w:t>я</w:t>
      </w:r>
      <w:r w:rsidRPr="00A2777D">
        <w:t>занности государства и его представителей как гарантов прав человека лиц, л</w:t>
      </w:r>
      <w:r w:rsidRPr="00A2777D">
        <w:t>и</w:t>
      </w:r>
      <w:r w:rsidRPr="00A2777D">
        <w:t>шенных свободы. В дополнение к совещанию была проведена серия регионал</w:t>
      </w:r>
      <w:r w:rsidRPr="00A2777D">
        <w:t>ь</w:t>
      </w:r>
      <w:r w:rsidRPr="00A2777D">
        <w:t>ных и местных практикумов для персонала тюрем. Португалия участвует в пр</w:t>
      </w:r>
      <w:r w:rsidRPr="00A2777D">
        <w:t>о</w:t>
      </w:r>
      <w:r w:rsidRPr="00A2777D">
        <w:t>екте по разработке электронного учебного пособия для охранников тюрем стран Иберийского полуострова и Латинской Америки. У Службы исполнения наказ</w:t>
      </w:r>
      <w:r w:rsidRPr="00A2777D">
        <w:t>а</w:t>
      </w:r>
      <w:r w:rsidRPr="00A2777D">
        <w:t>ний в Гане имеется собственное учебное пособие, которое используется в пр</w:t>
      </w:r>
      <w:r w:rsidRPr="00A2777D">
        <w:t>о</w:t>
      </w:r>
      <w:r w:rsidRPr="00A2777D">
        <w:t>грамме подготовки персонала тюрем.</w:t>
      </w:r>
    </w:p>
    <w:p w:rsidR="00A2777D" w:rsidRPr="00A2777D" w:rsidRDefault="00A2777D" w:rsidP="00A2777D">
      <w:pPr>
        <w:pStyle w:val="SingleTxt"/>
      </w:pPr>
      <w:r w:rsidRPr="00A2777D">
        <w:t>40.</w:t>
      </w:r>
      <w:r w:rsidRPr="00A2777D">
        <w:tab/>
        <w:t>Специфическая профессиональная культура сотрудников правоохранител</w:t>
      </w:r>
      <w:r w:rsidRPr="00A2777D">
        <w:t>ь</w:t>
      </w:r>
      <w:r w:rsidRPr="00A2777D">
        <w:t>ных органов сходна во многих странах, и в этом секторе существует множество примеров международного и регионального, двустороннего и многостороннего сотрудничества. Сотрудники полиции в некоторых малых государствах (напр</w:t>
      </w:r>
      <w:r w:rsidRPr="00A2777D">
        <w:t>и</w:t>
      </w:r>
      <w:r w:rsidRPr="00A2777D">
        <w:t>мер, Андорре и Гвиане, как следует из их докладов в рамках универсального п</w:t>
      </w:r>
      <w:r w:rsidRPr="00A2777D">
        <w:t>е</w:t>
      </w:r>
      <w:r w:rsidRPr="00A2777D">
        <w:t>риодического обзора) проходят подготовку в партнерских государствах. Реги</w:t>
      </w:r>
      <w:r w:rsidRPr="00A2777D">
        <w:t>о</w:t>
      </w:r>
      <w:r w:rsidRPr="00A2777D">
        <w:t>нальная группа консультантов по вопросам прав человека секретариата Тихоок</w:t>
      </w:r>
      <w:r w:rsidRPr="00A2777D">
        <w:t>е</w:t>
      </w:r>
      <w:r w:rsidRPr="00A2777D">
        <w:t>анского сообщества организует подготовку сотрудников полиции из островных государств Тихого океана. Центр Организации Объединенных Наций по обуч</w:t>
      </w:r>
      <w:r w:rsidRPr="00A2777D">
        <w:t>е</w:t>
      </w:r>
      <w:r w:rsidRPr="00A2777D">
        <w:t>нию и документации в области прав человека для Юго-Западной Азии и Ара</w:t>
      </w:r>
      <w:r w:rsidRPr="00A2777D">
        <w:t>б</w:t>
      </w:r>
      <w:r w:rsidRPr="00A2777D">
        <w:t>ского региона в сотрудничестве с МККК организовал практикумы по вопросам прав человека для сотрудников полиции. Греция упомянула ряд учебных курсов, предлагаемых Европейской полицейской академией. Нидерланды и Болгария о</w:t>
      </w:r>
      <w:r w:rsidRPr="00A2777D">
        <w:t>р</w:t>
      </w:r>
      <w:r w:rsidRPr="00A2777D">
        <w:t>ганизуют двусторонний обмен сотрудниками полиции, а итальянские карабинеры поддерживают партнерские отношения с турецкой жандармерией. Эквадор по</w:t>
      </w:r>
      <w:r w:rsidRPr="00A2777D">
        <w:t>д</w:t>
      </w:r>
      <w:r w:rsidRPr="00A2777D">
        <w:t xml:space="preserve">писал с Доминиканской Республикой и Францией договоры о сотрудничестве, предусматривающие подготовку персонала тюрем по вопросам прав человека в новой академии, открытой в 2011 году. В Чили в настоящее время предлагается международный дипломный курс </w:t>
      </w:r>
      <w:r w:rsidR="007639D3">
        <w:t>«</w:t>
      </w:r>
      <w:r w:rsidRPr="00A2777D">
        <w:t>Права человека и безопасность граждан в р</w:t>
      </w:r>
      <w:r w:rsidRPr="00A2777D">
        <w:t>а</w:t>
      </w:r>
      <w:r w:rsidRPr="00A2777D">
        <w:t>боте полиции</w:t>
      </w:r>
      <w:r w:rsidR="007639D3">
        <w:t>»</w:t>
      </w:r>
      <w:r w:rsidRPr="00A2777D">
        <w:t>, затрагивающий такие темы, как применение силы.</w:t>
      </w:r>
    </w:p>
    <w:p w:rsidR="00A2777D" w:rsidRPr="00A2777D" w:rsidRDefault="00A2777D" w:rsidP="00A2777D">
      <w:pPr>
        <w:pStyle w:val="SingleTxt"/>
      </w:pPr>
      <w:r w:rsidRPr="00A2777D">
        <w:t>41.</w:t>
      </w:r>
      <w:r w:rsidRPr="00A2777D">
        <w:tab/>
        <w:t>Значительную роль в этом секторе играют региональные правозащитные механизмы. В ряде государств сотрудники правоохранительных органов изучают международные и региональные аспекты прав человека, соответствующие дог</w:t>
      </w:r>
      <w:r w:rsidRPr="00A2777D">
        <w:t>о</w:t>
      </w:r>
      <w:r w:rsidRPr="00A2777D">
        <w:t>воры и учреждения. В ответах нередко упоминались региональные стандарты и судебная практика в области прав человека, особенно связанные с европейской и межамериканской системами, и их применение в повседневной работе сотрудн</w:t>
      </w:r>
      <w:r w:rsidRPr="00A2777D">
        <w:t>и</w:t>
      </w:r>
      <w:r w:rsidRPr="00A2777D">
        <w:t>ков правоохранительных органов и тюрем. Региональные механизмы также предоставляют множество возможностей для сотрудничества, поддержки и ра</w:t>
      </w:r>
      <w:r w:rsidRPr="00A2777D">
        <w:t>з</w:t>
      </w:r>
      <w:r w:rsidRPr="00A2777D">
        <w:t>вития партнерств. Одним из примеров этого служит комплексная стратегия по</w:t>
      </w:r>
      <w:r w:rsidRPr="00A2777D">
        <w:t>д</w:t>
      </w:r>
      <w:r w:rsidRPr="00A2777D">
        <w:t>готовки в области прав человека, принятая школами полиции в Чили совместно с Межамериканским институтом по правам человека.</w:t>
      </w:r>
    </w:p>
    <w:p w:rsidR="00A2777D" w:rsidRPr="00A2777D" w:rsidRDefault="00A2777D" w:rsidP="00A2777D">
      <w:pPr>
        <w:pStyle w:val="SingleTxt"/>
      </w:pPr>
      <w:r w:rsidRPr="00A2777D">
        <w:t>42.</w:t>
      </w:r>
      <w:r w:rsidRPr="00A2777D">
        <w:tab/>
        <w:t>Существует множество примеров сотрудничества и технической помощи в осуществлении многих программ со стороны УВКПЧ, УВКБ, ЮНИСЕФ, других структур Организации Объединенных Наций, МККК, Европейского союза, др</w:t>
      </w:r>
      <w:r w:rsidRPr="00A2777D">
        <w:t>у</w:t>
      </w:r>
      <w:r w:rsidRPr="00A2777D">
        <w:t>гих региональных организаций, международных и национальных НПО и наци</w:t>
      </w:r>
      <w:r w:rsidRPr="00A2777D">
        <w:t>о</w:t>
      </w:r>
      <w:r w:rsidRPr="00A2777D">
        <w:t>нальных правозащитных учреждений, а также примеров межгосударственных партнерств. Такое сотрудничество способствует достижению согласованности действий в сфере подготовки по вопросам прав человека представителей цел</w:t>
      </w:r>
      <w:r w:rsidRPr="00A2777D">
        <w:t>е</w:t>
      </w:r>
      <w:r w:rsidRPr="00A2777D">
        <w:t xml:space="preserve">вых профессиональных групп и создает возможности для учета происходящих </w:t>
      </w:r>
      <w:r w:rsidRPr="00A2777D">
        <w:lastRenderedPageBreak/>
        <w:t xml:space="preserve">изменений. Ряд государств просили оказывать им дальнейшую поддержку в этой сфере. </w:t>
      </w:r>
    </w:p>
    <w:p w:rsidR="00A2777D" w:rsidRPr="00A2777D" w:rsidRDefault="00A2777D" w:rsidP="00A2777D">
      <w:pPr>
        <w:pStyle w:val="SingleTxt"/>
        <w:spacing w:after="0" w:line="120" w:lineRule="exact"/>
        <w:rPr>
          <w:b/>
          <w:sz w:val="10"/>
        </w:rPr>
      </w:pPr>
    </w:p>
    <w:p w:rsidR="00A2777D" w:rsidRPr="00A2777D" w:rsidRDefault="00A2777D" w:rsidP="00A2777D">
      <w:pPr>
        <w:pStyle w:val="SingleTxt"/>
        <w:spacing w:after="0" w:line="120" w:lineRule="exact"/>
        <w:rPr>
          <w:b/>
          <w:sz w:val="10"/>
        </w:rPr>
      </w:pPr>
    </w:p>
    <w:p w:rsidR="00A2777D" w:rsidRPr="00A2777D" w:rsidRDefault="00A2777D" w:rsidP="00A2777D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A2777D">
        <w:tab/>
        <w:t>D.</w:t>
      </w:r>
      <w:r w:rsidRPr="00A2777D">
        <w:tab/>
        <w:t>Подготовка в области прав человека для военнослужащих</w:t>
      </w:r>
    </w:p>
    <w:p w:rsidR="00A2777D" w:rsidRPr="00A2777D" w:rsidRDefault="00A2777D" w:rsidP="00A2777D">
      <w:pPr>
        <w:pStyle w:val="SingleTxt"/>
        <w:spacing w:after="0" w:line="120" w:lineRule="exact"/>
        <w:rPr>
          <w:sz w:val="10"/>
        </w:rPr>
      </w:pPr>
    </w:p>
    <w:p w:rsidR="00A2777D" w:rsidRPr="00A2777D" w:rsidRDefault="00A2777D" w:rsidP="00A2777D">
      <w:pPr>
        <w:pStyle w:val="SingleTxt"/>
        <w:spacing w:after="0" w:line="120" w:lineRule="exact"/>
        <w:rPr>
          <w:sz w:val="10"/>
        </w:rPr>
      </w:pPr>
    </w:p>
    <w:p w:rsidR="00A2777D" w:rsidRPr="00A2777D" w:rsidRDefault="00A2777D" w:rsidP="00A2777D">
      <w:pPr>
        <w:pStyle w:val="SingleTxt"/>
      </w:pPr>
      <w:r w:rsidRPr="00A2777D">
        <w:t>43.</w:t>
      </w:r>
      <w:r w:rsidRPr="00A2777D">
        <w:tab/>
        <w:t>Как международные принципы прав человека, так и нормы международного гуманитарного права являются, судя по всему, неотъемлемой составляющей б</w:t>
      </w:r>
      <w:r w:rsidRPr="00A2777D">
        <w:t>а</w:t>
      </w:r>
      <w:r w:rsidRPr="00A2777D">
        <w:t>зовой подготовки военнослужащих во многих государствах. В Колумбии и Дем</w:t>
      </w:r>
      <w:r w:rsidRPr="00A2777D">
        <w:t>о</w:t>
      </w:r>
      <w:r w:rsidRPr="00A2777D">
        <w:t>кратической Республике Конго подготовка по этим вопросам предусмотрена в Конституции. Углубленная подготовка нередко является обязательным требов</w:t>
      </w:r>
      <w:r w:rsidRPr="00A2777D">
        <w:t>а</w:t>
      </w:r>
      <w:r w:rsidRPr="00A2777D">
        <w:t>нием для повышения по службе (например, в Гвинее, Гондурасе, Италии, Колу</w:t>
      </w:r>
      <w:r w:rsidRPr="00A2777D">
        <w:t>м</w:t>
      </w:r>
      <w:r w:rsidRPr="00A2777D">
        <w:t>бии, Мексике и Того). Реформа оборонного сектора в Гвинее сопровождалась включением тематики прав человека и международного гуманитарного права в программы подготовки сотрудников сил безопасности и обороны, а также прин</w:t>
      </w:r>
      <w:r w:rsidRPr="00A2777D">
        <w:t>я</w:t>
      </w:r>
      <w:r w:rsidRPr="00A2777D">
        <w:t>тием нового Кодекса поведения, Кодекса военной юстиции правосудия и Дисц</w:t>
      </w:r>
      <w:r w:rsidRPr="00A2777D">
        <w:t>и</w:t>
      </w:r>
      <w:r w:rsidRPr="00A2777D">
        <w:t>плинарного устава вооруженных сил, которые соответствуют международным правозащитным обязательствам страны. План деятельности вооруженных сил Филиппин по обеспечению мира и безопасности в стране (</w:t>
      </w:r>
      <w:r w:rsidR="007639D3">
        <w:t>«</w:t>
      </w:r>
      <w:r w:rsidRPr="00A2777D">
        <w:t>Байанихан</w:t>
      </w:r>
      <w:r w:rsidR="007639D3">
        <w:t>»</w:t>
      </w:r>
      <w:r w:rsidRPr="00A2777D">
        <w:t>) призван обеспечить прохождение сотрудниками сил безопасности постоянной подготовки по вопросам прав человека и международного гуманитарного права, особенно с учетом их обязанности защищать права человека и правозащитников. Швейцария и Гондурас особо упомянули об углубленной подготовке персонала военной п</w:t>
      </w:r>
      <w:r w:rsidRPr="00A2777D">
        <w:t>о</w:t>
      </w:r>
      <w:r w:rsidRPr="00A2777D">
        <w:t>лиции, затрагивающей тематику прав человека. Индонезия в рамках проведенн</w:t>
      </w:r>
      <w:r w:rsidRPr="00A2777D">
        <w:t>о</w:t>
      </w:r>
      <w:r w:rsidRPr="00A2777D">
        <w:t>го в 2012 году универсального периодического обзора сообщила, что подготов</w:t>
      </w:r>
      <w:r w:rsidRPr="00A2777D">
        <w:t>и</w:t>
      </w:r>
      <w:r w:rsidRPr="00A2777D">
        <w:t>тельные программы по правам человека были введены для офицеров вооруже</w:t>
      </w:r>
      <w:r w:rsidRPr="00A2777D">
        <w:t>н</w:t>
      </w:r>
      <w:r w:rsidRPr="00A2777D">
        <w:t xml:space="preserve">ных сил на всех уровнях и что с Индонезийской национальной комиссией по правам человека был подписан меморандум о взаимопонимании, касающийся подготовки в области прав человека. </w:t>
      </w:r>
    </w:p>
    <w:p w:rsidR="00A2777D" w:rsidRPr="00A2777D" w:rsidRDefault="00A2777D" w:rsidP="00A2777D">
      <w:pPr>
        <w:pStyle w:val="SingleTxt"/>
      </w:pPr>
      <w:r w:rsidRPr="00A2777D">
        <w:t>44.</w:t>
      </w:r>
      <w:r w:rsidRPr="00A2777D">
        <w:tab/>
        <w:t>В Колумбии за выдающиеся достижения в области прав человека вручается специальная медаль, а в Того также предусмотрены награды за особые заслуги в этой области. В Боснии и Герцеговине парламентский комиссар по делам вое</w:t>
      </w:r>
      <w:r w:rsidRPr="00A2777D">
        <w:t>н</w:t>
      </w:r>
      <w:r w:rsidRPr="00A2777D">
        <w:t>ной службы отвечает за укрепление контроля за вооруженными силами и защиту прав человека военнослужащих, а в министерстве обороны Гвинеи в 2015 году был создан отдел по правам человека под руководством офицера высокого ранга.</w:t>
      </w:r>
    </w:p>
    <w:p w:rsidR="00A2777D" w:rsidRPr="00A2777D" w:rsidRDefault="00A2777D" w:rsidP="00A2777D">
      <w:pPr>
        <w:pStyle w:val="SingleTxt"/>
      </w:pPr>
      <w:r w:rsidRPr="00A2777D">
        <w:t>45.</w:t>
      </w:r>
      <w:r w:rsidRPr="00A2777D">
        <w:tab/>
        <w:t>Япония проводит специальную подготовку военнослужащих по вопросу об обращении с военнопленными. Она отметила важность резолюции 1325 Совета Безопасности и заявила о своем намерении совместно с НПО разработать наци</w:t>
      </w:r>
      <w:r w:rsidRPr="00A2777D">
        <w:t>о</w:t>
      </w:r>
      <w:r w:rsidRPr="00A2777D">
        <w:t>нальный план действий для вооруженных сил, касающийся положения женщин и вопросов мира и безопасности. Босния и Герцеговина сообщила, что ею был ра</w:t>
      </w:r>
      <w:r w:rsidRPr="00A2777D">
        <w:t>з</w:t>
      </w:r>
      <w:r w:rsidRPr="00A2777D">
        <w:t>работан план действий по осуществлению резолюции 1325 Совета Безопасности, который предусматривает проведение практикумов и лекций по вопросам ге</w:t>
      </w:r>
      <w:r w:rsidRPr="00A2777D">
        <w:t>н</w:t>
      </w:r>
      <w:r w:rsidRPr="00A2777D">
        <w:t>дерного равенства. Швейцария представила информацию о своей специализир</w:t>
      </w:r>
      <w:r w:rsidRPr="00A2777D">
        <w:t>о</w:t>
      </w:r>
      <w:r w:rsidRPr="00A2777D">
        <w:t>ванной службе по предотвращению экстремизма в армии, а Колумбия сообщила, что ее силы безопасности добились значительных улучшений в работе с групп</w:t>
      </w:r>
      <w:r w:rsidRPr="00A2777D">
        <w:t>а</w:t>
      </w:r>
      <w:r w:rsidRPr="00A2777D">
        <w:t>ми населения, требующими особого внимания, включая коренные народы, лиц африканского происхождения, перемещенных лиц, женщин, детей и другие гру</w:t>
      </w:r>
      <w:r w:rsidRPr="00A2777D">
        <w:t>п</w:t>
      </w:r>
      <w:r w:rsidRPr="00A2777D">
        <w:t>пы. В Мексике для военнослужащих, владеющих языками коренных народов, о</w:t>
      </w:r>
      <w:r w:rsidRPr="00A2777D">
        <w:t>р</w:t>
      </w:r>
      <w:r w:rsidRPr="00A2777D">
        <w:t xml:space="preserve">ганизована подготовка по вопросам языкового и культурного разнообразия, с тем чтобы они могли выступать посредниками при проведении военных операций. </w:t>
      </w:r>
    </w:p>
    <w:p w:rsidR="00A2777D" w:rsidRPr="00A2777D" w:rsidRDefault="00A2777D" w:rsidP="00A2777D">
      <w:pPr>
        <w:pStyle w:val="SingleTxt"/>
      </w:pPr>
      <w:r w:rsidRPr="00A2777D">
        <w:t>46.</w:t>
      </w:r>
      <w:r w:rsidRPr="00A2777D">
        <w:tab/>
        <w:t>Обучение через общение с сослуживцами считается крайне важным факт</w:t>
      </w:r>
      <w:r w:rsidRPr="00A2777D">
        <w:t>о</w:t>
      </w:r>
      <w:r w:rsidRPr="00A2777D">
        <w:t>ром подготовки военнослужащих, учитывая особый характер их профессионал</w:t>
      </w:r>
      <w:r w:rsidRPr="00A2777D">
        <w:t>ь</w:t>
      </w:r>
      <w:r w:rsidRPr="00A2777D">
        <w:t xml:space="preserve">ной культуры. Во всех военных учебных заведениях в Гвинее имеются группы </w:t>
      </w:r>
      <w:r w:rsidRPr="00A2777D">
        <w:lastRenderedPageBreak/>
        <w:t>инструкторов по правам человека. Учебный центр армии и военно-воздушных сил Мексики проводит курсы по правам человека для командиров и офицеров в целях расширения знаний и навыков командиров и инструкторов в области прав человека. В Гондурасе 39 военных офицеров получили специальность инстру</w:t>
      </w:r>
      <w:r w:rsidRPr="00A2777D">
        <w:t>к</w:t>
      </w:r>
      <w:r w:rsidRPr="00A2777D">
        <w:t>торов в области прав человека и участвовали в разработке и составлении соо</w:t>
      </w:r>
      <w:r w:rsidRPr="00A2777D">
        <w:t>т</w:t>
      </w:r>
      <w:r w:rsidRPr="00A2777D">
        <w:t>ветствующей методологии и материалов, особое внимание в которых уделяется практическому применению стандартов и интересам групп, находящихся в уя</w:t>
      </w:r>
      <w:r w:rsidRPr="00A2777D">
        <w:t>з</w:t>
      </w:r>
      <w:r w:rsidRPr="00A2777D">
        <w:t>вимом положении. В Италии подготовка в области прав человека осуществляется специально обученными военными и гражданскими сотрудниками, а также, при необходимости, представителями НПО. Преподаватели военного училища в К</w:t>
      </w:r>
      <w:r w:rsidRPr="00A2777D">
        <w:t>о</w:t>
      </w:r>
      <w:r w:rsidRPr="00A2777D">
        <w:t>лумбии обучаются методикам преподавания международных принципов прав ч</w:t>
      </w:r>
      <w:r w:rsidRPr="00A2777D">
        <w:t>е</w:t>
      </w:r>
      <w:r w:rsidRPr="00A2777D">
        <w:t>ловека и норм гуманитарного права. Высшая школа прав человека и междун</w:t>
      </w:r>
      <w:r w:rsidRPr="00A2777D">
        <w:t>а</w:t>
      </w:r>
      <w:r w:rsidRPr="00A2777D">
        <w:t>родного гуманитарного права вооруженных сил в Доминиканской Республике предлагает около 106 курсов по этой тематике и к апрелю 2013 года обучила б</w:t>
      </w:r>
      <w:r w:rsidRPr="00A2777D">
        <w:t>о</w:t>
      </w:r>
      <w:r w:rsidRPr="00A2777D">
        <w:t>лее 5 500 человек. На Филиппинах уже несколько лет проводится масштабная работа по реформированию сектора безопасности, призванная обеспечить с</w:t>
      </w:r>
      <w:r w:rsidRPr="00A2777D">
        <w:t>о</w:t>
      </w:r>
      <w:r w:rsidRPr="00A2777D">
        <w:t>блюдение в нем прав человека и норм международного гуманитарного права. Л</w:t>
      </w:r>
      <w:r w:rsidRPr="00A2777D">
        <w:t>о</w:t>
      </w:r>
      <w:r w:rsidRPr="00A2777D">
        <w:t>гичным продолжением деятельности по подготовке учебных программ и матер</w:t>
      </w:r>
      <w:r w:rsidRPr="00A2777D">
        <w:t>и</w:t>
      </w:r>
      <w:r w:rsidRPr="00A2777D">
        <w:t>алов стало принятие нового плана действий в области прав человека, разраб</w:t>
      </w:r>
      <w:r w:rsidRPr="00A2777D">
        <w:t>о</w:t>
      </w:r>
      <w:r w:rsidRPr="00A2777D">
        <w:t>танного в соответствии с указаниями начальника Генерального штаба и охват</w:t>
      </w:r>
      <w:r w:rsidRPr="00A2777D">
        <w:t>ы</w:t>
      </w:r>
      <w:r w:rsidRPr="00A2777D">
        <w:t>вающего образование и подготовку, повышение осведомленности и информац</w:t>
      </w:r>
      <w:r w:rsidRPr="00A2777D">
        <w:t>и</w:t>
      </w:r>
      <w:r w:rsidRPr="00A2777D">
        <w:t>онно-пропагандистскую деятельность, процедуры мониторинга и реагирования, выдачу сертификатов о квалификации и изучение передового опыта.</w:t>
      </w:r>
    </w:p>
    <w:p w:rsidR="00A2777D" w:rsidRPr="00A2777D" w:rsidRDefault="00A2777D" w:rsidP="00A2777D">
      <w:pPr>
        <w:pStyle w:val="SingleTxt"/>
      </w:pPr>
      <w:r w:rsidRPr="00A2777D">
        <w:t>47.</w:t>
      </w:r>
      <w:r w:rsidRPr="00A2777D">
        <w:tab/>
        <w:t>Как и в случае подготовки сотрудников правоохранительных органов, большинство государств организуют подготовку военнослужащих с ориентацией на практику и интерактивные методы обучения, учитывая при этом функции и уровень ответственности обучаемых. В 2014 году в Колумбии была принята стандартная модель преподавания вопросов прав человека и гуманитарного пр</w:t>
      </w:r>
      <w:r w:rsidRPr="00A2777D">
        <w:t>а</w:t>
      </w:r>
      <w:r w:rsidRPr="00A2777D">
        <w:t>ва военнослужащим, состоящая из шести уровней и предусматривающая обуч</w:t>
      </w:r>
      <w:r w:rsidRPr="00A2777D">
        <w:t>е</w:t>
      </w:r>
      <w:r w:rsidRPr="00A2777D">
        <w:t>ние с учетом служебных потребностей и уровня ответственности обучаемых на основе практически ориентированной методологии. Учебные сценарии соста</w:t>
      </w:r>
      <w:r w:rsidRPr="00A2777D">
        <w:t>в</w:t>
      </w:r>
      <w:r w:rsidRPr="00A2777D">
        <w:t>ляются на основе реальных ситуаций, а тактическая подготовка сочетается с из</w:t>
      </w:r>
      <w:r w:rsidRPr="00A2777D">
        <w:t>у</w:t>
      </w:r>
      <w:r w:rsidRPr="00A2777D">
        <w:t>чением тематики прав человека и гуманитарного права. В конце каждого учебн</w:t>
      </w:r>
      <w:r w:rsidRPr="00A2777D">
        <w:t>о</w:t>
      </w:r>
      <w:r w:rsidRPr="00A2777D">
        <w:t>го занятия оценивается усвоение материала и вносятся необходимые изменения. Колумбия отметила, что выработанные методы преподавания международных принципов прав человека и норм гуманитарного права специально адаптированы к потребностям вооруженных сил в современных условиях. Гондурас также по</w:t>
      </w:r>
      <w:r w:rsidRPr="00A2777D">
        <w:t>д</w:t>
      </w:r>
      <w:r w:rsidRPr="00A2777D">
        <w:t>черкнул важность того, чтобы избранная методология преподавания учитывала цели обучения, установленные для подготовки военнослужащих к выполнению военных задач. В Швейцарии разработан интерактивный курс на DVD-диске, в котором имеются практические примеры для анализа, предназначенные для з</w:t>
      </w:r>
      <w:r w:rsidRPr="00A2777D">
        <w:t>а</w:t>
      </w:r>
      <w:r w:rsidRPr="00A2777D">
        <w:t>крепления полученных в ходе базовой подготовки теоретических знаний, а в 2013 году Высшая школа вооруженных сил Доминиканской Республики орган</w:t>
      </w:r>
      <w:r w:rsidRPr="00A2777D">
        <w:t>и</w:t>
      </w:r>
      <w:r w:rsidRPr="00A2777D">
        <w:t>зовала рабочее совещание в целях разработки руководства по вопросам примен</w:t>
      </w:r>
      <w:r w:rsidRPr="00A2777D">
        <w:t>е</w:t>
      </w:r>
      <w:r w:rsidRPr="00A2777D">
        <w:t>ния силы для доминиканских вооруженных сил. Япония пересматривает и о</w:t>
      </w:r>
      <w:r w:rsidRPr="00A2777D">
        <w:t>б</w:t>
      </w:r>
      <w:r w:rsidRPr="00A2777D">
        <w:t>новляет справочные и учебные материалы по вопросам обращения с военн</w:t>
      </w:r>
      <w:r w:rsidRPr="00A2777D">
        <w:t>о</w:t>
      </w:r>
      <w:r w:rsidRPr="00A2777D">
        <w:t>пленными. Мексика в 2014 году при технической поддержке Национальной к</w:t>
      </w:r>
      <w:r w:rsidRPr="00A2777D">
        <w:t>о</w:t>
      </w:r>
      <w:r w:rsidRPr="00A2777D">
        <w:t>миссии страны по правам человека, МККК и УВКПЧ пересмотрела свою до</w:t>
      </w:r>
      <w:r w:rsidRPr="00A2777D">
        <w:t>к</w:t>
      </w:r>
      <w:r w:rsidRPr="00A2777D">
        <w:t xml:space="preserve">трину применения силы военнослужащими для приведения ее в соответствие с международными стандартами. </w:t>
      </w:r>
    </w:p>
    <w:p w:rsidR="00A2777D" w:rsidRPr="00A2777D" w:rsidRDefault="00A2777D" w:rsidP="00A2777D">
      <w:pPr>
        <w:pStyle w:val="SingleTxt"/>
      </w:pPr>
      <w:r w:rsidRPr="00A2777D">
        <w:t>48.</w:t>
      </w:r>
      <w:r w:rsidRPr="00A2777D">
        <w:tab/>
        <w:t>Босния и Герцеговина, Гвинея, Италия, Литва, Румыния, Словения, Шве</w:t>
      </w:r>
      <w:r w:rsidRPr="00A2777D">
        <w:t>й</w:t>
      </w:r>
      <w:r w:rsidRPr="00A2777D">
        <w:t>цария и Япония сообщили, что специализированная подготовка в области прав человека является обязательной для военнослужащих, дислоцированных за гр</w:t>
      </w:r>
      <w:r w:rsidRPr="00A2777D">
        <w:t>а</w:t>
      </w:r>
      <w:r w:rsidRPr="00A2777D">
        <w:lastRenderedPageBreak/>
        <w:t>ницей, а участники миротворческих миссий проходят подготовку по вопросам международного гуманитарного права.</w:t>
      </w:r>
    </w:p>
    <w:p w:rsidR="00A2777D" w:rsidRPr="00A2777D" w:rsidRDefault="00A2777D" w:rsidP="00A2777D">
      <w:pPr>
        <w:pStyle w:val="SingleTxt"/>
      </w:pPr>
      <w:r w:rsidRPr="00A2777D">
        <w:t>49.</w:t>
      </w:r>
      <w:r w:rsidRPr="00A2777D">
        <w:tab/>
        <w:t>Хотя УВКПЧ и другие структуры Организации Объединенных Наций, рег</w:t>
      </w:r>
      <w:r w:rsidRPr="00A2777D">
        <w:t>и</w:t>
      </w:r>
      <w:r w:rsidRPr="00A2777D">
        <w:t>ональные организации, правительства, НПО и национальные правозащитные учреждения также оказывают помощь в обеспечении подготовки в области прав человека для военнослужащих, для многих государств решающее значение имеет поддержка со стороны МККК, особенно в отношении подготовки по вопросам международного гуманитарного права.</w:t>
      </w:r>
    </w:p>
    <w:p w:rsidR="00A2777D" w:rsidRPr="005A6E0E" w:rsidRDefault="00A2777D" w:rsidP="005A6E0E">
      <w:pPr>
        <w:pStyle w:val="SingleTxt"/>
        <w:spacing w:after="0" w:line="120" w:lineRule="exact"/>
        <w:rPr>
          <w:b/>
          <w:sz w:val="10"/>
        </w:rPr>
      </w:pPr>
    </w:p>
    <w:p w:rsidR="00A2777D" w:rsidRPr="00A2777D" w:rsidRDefault="00A2777D" w:rsidP="00A2777D">
      <w:pPr>
        <w:pStyle w:val="SingleTxt"/>
        <w:spacing w:after="0" w:line="120" w:lineRule="exact"/>
        <w:rPr>
          <w:b/>
          <w:sz w:val="10"/>
        </w:rPr>
      </w:pPr>
    </w:p>
    <w:p w:rsidR="00A2777D" w:rsidRPr="00A2777D" w:rsidRDefault="00A2777D" w:rsidP="00A2777D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A2777D">
        <w:tab/>
        <w:t>III.</w:t>
      </w:r>
      <w:r w:rsidRPr="00A2777D">
        <w:tab/>
        <w:t xml:space="preserve">Выводы и рекомендации </w:t>
      </w:r>
    </w:p>
    <w:p w:rsidR="00A2777D" w:rsidRPr="00A2777D" w:rsidRDefault="00A2777D" w:rsidP="00A2777D">
      <w:pPr>
        <w:pStyle w:val="SingleTxt"/>
        <w:spacing w:after="0" w:line="120" w:lineRule="exact"/>
        <w:rPr>
          <w:sz w:val="10"/>
        </w:rPr>
      </w:pPr>
    </w:p>
    <w:p w:rsidR="00A2777D" w:rsidRPr="00A2777D" w:rsidRDefault="00A2777D" w:rsidP="00A2777D">
      <w:pPr>
        <w:pStyle w:val="SingleTxt"/>
        <w:spacing w:after="0" w:line="120" w:lineRule="exact"/>
        <w:rPr>
          <w:sz w:val="10"/>
        </w:rPr>
      </w:pPr>
    </w:p>
    <w:p w:rsidR="00A2777D" w:rsidRPr="00A2777D" w:rsidRDefault="00A2777D" w:rsidP="00A2777D">
      <w:pPr>
        <w:pStyle w:val="SingleTxt"/>
        <w:rPr>
          <w:b/>
          <w:bCs/>
        </w:rPr>
      </w:pPr>
      <w:r w:rsidRPr="00A2777D">
        <w:t>50.</w:t>
      </w:r>
      <w:r w:rsidRPr="00A2777D">
        <w:rPr>
          <w:b/>
          <w:bCs/>
        </w:rPr>
        <w:tab/>
        <w:t>Представленный выше обзор свидетельствует о впечатляющих ма</w:t>
      </w:r>
      <w:r w:rsidRPr="00A2777D">
        <w:rPr>
          <w:b/>
          <w:bCs/>
        </w:rPr>
        <w:t>с</w:t>
      </w:r>
      <w:r w:rsidRPr="00A2777D">
        <w:rPr>
          <w:b/>
          <w:bCs/>
        </w:rPr>
        <w:t>штабах деятельности, осуществляемой государствами в целях внедрения и</w:t>
      </w:r>
      <w:r w:rsidR="00D067BA">
        <w:rPr>
          <w:b/>
          <w:bCs/>
        </w:rPr>
        <w:t> </w:t>
      </w:r>
      <w:r w:rsidRPr="00A2777D">
        <w:rPr>
          <w:b/>
          <w:bCs/>
        </w:rPr>
        <w:t>поддержки образования в области прав человека в системе высшего обр</w:t>
      </w:r>
      <w:r w:rsidRPr="00A2777D">
        <w:rPr>
          <w:b/>
          <w:bCs/>
        </w:rPr>
        <w:t>а</w:t>
      </w:r>
      <w:r w:rsidRPr="00A2777D">
        <w:rPr>
          <w:b/>
          <w:bCs/>
        </w:rPr>
        <w:t>зования, а также профессиональной подготовки в области прав человека для гражданских служащих, сотрудников правоохранительных органов и вое</w:t>
      </w:r>
      <w:r w:rsidRPr="00A2777D">
        <w:rPr>
          <w:b/>
          <w:bCs/>
        </w:rPr>
        <w:t>н</w:t>
      </w:r>
      <w:r w:rsidRPr="00A2777D">
        <w:rPr>
          <w:b/>
          <w:bCs/>
        </w:rPr>
        <w:t>нослужащих на втором этапе Всемирной программы образования в области прав человека. Некоторые из этих инициатив были начаты еще до второго этапа Всемирной программы, либо осуществлялись в рамках региональных инициатив, таких как Арабский план по развитию культуры образования в</w:t>
      </w:r>
      <w:r w:rsidR="00D067BA">
        <w:rPr>
          <w:b/>
          <w:bCs/>
        </w:rPr>
        <w:t> </w:t>
      </w:r>
      <w:r w:rsidRPr="00A2777D">
        <w:rPr>
          <w:b/>
          <w:bCs/>
        </w:rPr>
        <w:t>области прав человека, принятый Советом Лиги арабских государств в</w:t>
      </w:r>
      <w:r w:rsidR="00D067BA">
        <w:rPr>
          <w:b/>
          <w:bCs/>
        </w:rPr>
        <w:t> </w:t>
      </w:r>
      <w:r w:rsidRPr="00A2777D">
        <w:rPr>
          <w:b/>
          <w:bCs/>
        </w:rPr>
        <w:t>2010</w:t>
      </w:r>
      <w:r w:rsidR="00D067BA">
        <w:rPr>
          <w:b/>
          <w:bCs/>
        </w:rPr>
        <w:t> </w:t>
      </w:r>
      <w:r w:rsidRPr="00A2777D">
        <w:rPr>
          <w:b/>
          <w:bCs/>
        </w:rPr>
        <w:t xml:space="preserve">году. Очевидно одно: все эти мероприятия вносят существенный вклад в поступательное развитие образования и подготовки в области прав </w:t>
      </w:r>
      <w:bookmarkStart w:id="1" w:name="_GoBack"/>
      <w:bookmarkEnd w:id="1"/>
      <w:r w:rsidRPr="00A2777D">
        <w:rPr>
          <w:b/>
          <w:bCs/>
        </w:rPr>
        <w:t>человека в целевых секторах. Кроме того, рекомендации по этим вопросам, вынесенные в адрес государств в контексте универсального периодического обзора, судя по всему, значительно усилили желание государств разрабат</w:t>
      </w:r>
      <w:r w:rsidRPr="00A2777D">
        <w:rPr>
          <w:b/>
          <w:bCs/>
        </w:rPr>
        <w:t>ы</w:t>
      </w:r>
      <w:r w:rsidRPr="00A2777D">
        <w:rPr>
          <w:b/>
          <w:bCs/>
        </w:rPr>
        <w:t>вать соответствующие программы, а также готовность государств и орган</w:t>
      </w:r>
      <w:r w:rsidRPr="00A2777D">
        <w:rPr>
          <w:b/>
          <w:bCs/>
        </w:rPr>
        <w:t>и</w:t>
      </w:r>
      <w:r w:rsidRPr="00A2777D">
        <w:rPr>
          <w:b/>
          <w:bCs/>
        </w:rPr>
        <w:t>заций предоставлять поддержку в этой области.</w:t>
      </w:r>
    </w:p>
    <w:p w:rsidR="00A2777D" w:rsidRPr="00A2777D" w:rsidRDefault="00A2777D" w:rsidP="00A2777D">
      <w:pPr>
        <w:pStyle w:val="SingleTxt"/>
        <w:rPr>
          <w:b/>
          <w:bCs/>
        </w:rPr>
      </w:pPr>
      <w:r w:rsidRPr="00A2777D">
        <w:t>51.</w:t>
      </w:r>
      <w:r w:rsidRPr="00A2777D">
        <w:tab/>
      </w:r>
      <w:r w:rsidRPr="00A2777D">
        <w:rPr>
          <w:b/>
          <w:bCs/>
        </w:rPr>
        <w:t>Некоторые из 28 государств, представивших информацию специально для настоящего доклада, смогли провести всестороннюю оценку деятельн</w:t>
      </w:r>
      <w:r w:rsidRPr="00A2777D">
        <w:rPr>
          <w:b/>
          <w:bCs/>
        </w:rPr>
        <w:t>о</w:t>
      </w:r>
      <w:r w:rsidRPr="00A2777D">
        <w:rPr>
          <w:b/>
          <w:bCs/>
        </w:rPr>
        <w:t>сти, осуществленной на национальном уровне в целях выполнения второго этапа программы. Другие государства подробно осветили отдельные уче</w:t>
      </w:r>
      <w:r w:rsidRPr="00A2777D">
        <w:rPr>
          <w:b/>
          <w:bCs/>
        </w:rPr>
        <w:t>б</w:t>
      </w:r>
      <w:r w:rsidRPr="00A2777D">
        <w:rPr>
          <w:b/>
          <w:bCs/>
        </w:rPr>
        <w:t>ные мероприятия, а третьи отметили, что разработанные ими планы еще только предстоит осуществить. В Швейцарии Швейцарскому центру эк</w:t>
      </w:r>
      <w:r w:rsidRPr="00A2777D">
        <w:rPr>
          <w:b/>
          <w:bCs/>
        </w:rPr>
        <w:t>с</w:t>
      </w:r>
      <w:r w:rsidRPr="00A2777D">
        <w:rPr>
          <w:b/>
          <w:bCs/>
        </w:rPr>
        <w:t>пертного анализа в области прав человека было поручено составить пер</w:t>
      </w:r>
      <w:r w:rsidRPr="00A2777D">
        <w:rPr>
          <w:b/>
          <w:bCs/>
        </w:rPr>
        <w:t>е</w:t>
      </w:r>
      <w:r w:rsidRPr="00A2777D">
        <w:rPr>
          <w:b/>
          <w:bCs/>
        </w:rPr>
        <w:t>чень всех инициатив в сфере образования в области прав человека, ос</w:t>
      </w:r>
      <w:r w:rsidRPr="00A2777D">
        <w:rPr>
          <w:b/>
          <w:bCs/>
        </w:rPr>
        <w:t>у</w:t>
      </w:r>
      <w:r w:rsidRPr="00A2777D">
        <w:rPr>
          <w:b/>
          <w:bCs/>
        </w:rPr>
        <w:t>ществляемых в стране, а Словения выявила ряд пробелов в этой области и начала поиск возможных мер для устранения этих пробелов и подготовку руководящих принципов для совершенствования образования в области прав человека по приоритетным направлениям второго этапа. Гондурас в</w:t>
      </w:r>
      <w:r w:rsidR="00D067BA">
        <w:rPr>
          <w:b/>
          <w:bCs/>
        </w:rPr>
        <w:t> </w:t>
      </w:r>
      <w:r w:rsidRPr="00A2777D">
        <w:rPr>
          <w:b/>
          <w:bCs/>
        </w:rPr>
        <w:t>2012 году принял национальную программу и с тех пор разрабатывает с</w:t>
      </w:r>
      <w:r w:rsidRPr="00A2777D">
        <w:rPr>
          <w:b/>
          <w:bCs/>
        </w:rPr>
        <w:t>о</w:t>
      </w:r>
      <w:r w:rsidRPr="00A2777D">
        <w:rPr>
          <w:b/>
          <w:bCs/>
        </w:rPr>
        <w:t>ответствующее содержание и методологию. Босния и Герцеговина с сожал</w:t>
      </w:r>
      <w:r w:rsidRPr="00A2777D">
        <w:rPr>
          <w:b/>
          <w:bCs/>
        </w:rPr>
        <w:t>е</w:t>
      </w:r>
      <w:r w:rsidRPr="00A2777D">
        <w:rPr>
          <w:b/>
          <w:bCs/>
        </w:rPr>
        <w:t>нием отметила, что ей не хватает ресурсов для полного осуществления р</w:t>
      </w:r>
      <w:r w:rsidRPr="00A2777D">
        <w:rPr>
          <w:b/>
          <w:bCs/>
        </w:rPr>
        <w:t>е</w:t>
      </w:r>
      <w:r w:rsidRPr="00A2777D">
        <w:rPr>
          <w:b/>
          <w:bCs/>
        </w:rPr>
        <w:t>комендаций, вынесенных по итогам созванного ею в 2012 году рабочего с</w:t>
      </w:r>
      <w:r w:rsidRPr="00A2777D">
        <w:rPr>
          <w:b/>
          <w:bCs/>
        </w:rPr>
        <w:t>о</w:t>
      </w:r>
      <w:r w:rsidRPr="00A2777D">
        <w:rPr>
          <w:b/>
          <w:bCs/>
        </w:rPr>
        <w:t>вещания. Все эти сообщения свидетельствуют о том, что для развития и з</w:t>
      </w:r>
      <w:r w:rsidRPr="00A2777D">
        <w:rPr>
          <w:b/>
          <w:bCs/>
        </w:rPr>
        <w:t>а</w:t>
      </w:r>
      <w:r w:rsidRPr="00A2777D">
        <w:rPr>
          <w:b/>
          <w:bCs/>
        </w:rPr>
        <w:t>крепления достижений второго этапа требуется время.</w:t>
      </w:r>
    </w:p>
    <w:p w:rsidR="00A2777D" w:rsidRPr="00A2777D" w:rsidRDefault="00A2777D" w:rsidP="00A2777D">
      <w:pPr>
        <w:pStyle w:val="SingleTxt"/>
        <w:rPr>
          <w:b/>
          <w:bCs/>
        </w:rPr>
      </w:pPr>
      <w:r w:rsidRPr="00A2777D">
        <w:t>52.</w:t>
      </w:r>
      <w:r w:rsidRPr="00A2777D">
        <w:tab/>
      </w:r>
      <w:r w:rsidRPr="00A2777D">
        <w:rPr>
          <w:b/>
          <w:bCs/>
        </w:rPr>
        <w:t>Хотя из представленного выше обзора со всей очевидностью следует, что подготовка целевых профессиональных групп по вопросам прав челов</w:t>
      </w:r>
      <w:r w:rsidRPr="00A2777D">
        <w:rPr>
          <w:b/>
          <w:bCs/>
        </w:rPr>
        <w:t>е</w:t>
      </w:r>
      <w:r w:rsidRPr="00A2777D">
        <w:rPr>
          <w:b/>
          <w:bCs/>
        </w:rPr>
        <w:t>ка поставлена на институциональную основу в достаточном числе наиболее активных стран, во многих других странах такая подготовка носит эпизод</w:t>
      </w:r>
      <w:r w:rsidRPr="00A2777D">
        <w:rPr>
          <w:b/>
          <w:bCs/>
        </w:rPr>
        <w:t>и</w:t>
      </w:r>
      <w:r w:rsidRPr="00A2777D">
        <w:rPr>
          <w:b/>
          <w:bCs/>
        </w:rPr>
        <w:t>ческий характер и обусловлена внешними инициативами, что, так или ин</w:t>
      </w:r>
      <w:r w:rsidRPr="00A2777D">
        <w:rPr>
          <w:b/>
          <w:bCs/>
        </w:rPr>
        <w:t>а</w:t>
      </w:r>
      <w:r w:rsidRPr="00A2777D">
        <w:rPr>
          <w:b/>
          <w:bCs/>
        </w:rPr>
        <w:t xml:space="preserve">че, заставляет сомневаться </w:t>
      </w:r>
      <w:r w:rsidR="00D067BA">
        <w:rPr>
          <w:b/>
          <w:bCs/>
        </w:rPr>
        <w:t>в ее устойчивости. Тем не менее</w:t>
      </w:r>
      <w:r w:rsidRPr="00A2777D">
        <w:rPr>
          <w:b/>
          <w:bCs/>
        </w:rPr>
        <w:t xml:space="preserve"> ответы стран </w:t>
      </w:r>
      <w:r w:rsidRPr="00A2777D">
        <w:rPr>
          <w:b/>
          <w:bCs/>
        </w:rPr>
        <w:lastRenderedPageBreak/>
        <w:t>также показывают, что инструменты и ресурсы, способствующие соверше</w:t>
      </w:r>
      <w:r w:rsidRPr="00A2777D">
        <w:rPr>
          <w:b/>
          <w:bCs/>
        </w:rPr>
        <w:t>н</w:t>
      </w:r>
      <w:r w:rsidRPr="00A2777D">
        <w:rPr>
          <w:b/>
          <w:bCs/>
        </w:rPr>
        <w:t>ствованию образования и подготовки в области прав человека, становятся все более доступными.</w:t>
      </w:r>
    </w:p>
    <w:p w:rsidR="00A2777D" w:rsidRPr="00A2777D" w:rsidRDefault="00A2777D" w:rsidP="00A2777D">
      <w:pPr>
        <w:pStyle w:val="SingleTxt"/>
        <w:rPr>
          <w:b/>
          <w:bCs/>
        </w:rPr>
      </w:pPr>
      <w:r w:rsidRPr="00A2777D">
        <w:t>53.</w:t>
      </w:r>
      <w:r w:rsidRPr="00A2777D">
        <w:tab/>
      </w:r>
      <w:r w:rsidRPr="00A2777D">
        <w:rPr>
          <w:b/>
        </w:rPr>
        <w:t>Примечательно, что в ходе обзора был отмечен рост</w:t>
      </w:r>
      <w:r w:rsidRPr="00A2777D">
        <w:t xml:space="preserve"> </w:t>
      </w:r>
      <w:r w:rsidRPr="00A2777D">
        <w:rPr>
          <w:b/>
          <w:bCs/>
        </w:rPr>
        <w:t>внимания к и</w:t>
      </w:r>
      <w:r w:rsidRPr="00A2777D">
        <w:rPr>
          <w:b/>
          <w:bCs/>
        </w:rPr>
        <w:t>с</w:t>
      </w:r>
      <w:r w:rsidRPr="00A2777D">
        <w:rPr>
          <w:b/>
          <w:bCs/>
        </w:rPr>
        <w:t>пользованию надлежащих методологий преподавания, которые имеют пра</w:t>
      </w:r>
      <w:r w:rsidRPr="00A2777D">
        <w:rPr>
          <w:b/>
          <w:bCs/>
        </w:rPr>
        <w:t>к</w:t>
      </w:r>
      <w:r w:rsidRPr="00A2777D">
        <w:rPr>
          <w:b/>
          <w:bCs/>
        </w:rPr>
        <w:t>тическу</w:t>
      </w:r>
      <w:r w:rsidR="00F80652">
        <w:rPr>
          <w:b/>
          <w:bCs/>
        </w:rPr>
        <w:t>ю направленность и актуальность для обучаемых и условий</w:t>
      </w:r>
      <w:r w:rsidRPr="00A2777D">
        <w:rPr>
          <w:b/>
          <w:bCs/>
        </w:rPr>
        <w:t xml:space="preserve"> и</w:t>
      </w:r>
      <w:r w:rsidR="00F80652">
        <w:rPr>
          <w:b/>
          <w:bCs/>
        </w:rPr>
        <w:t>х</w:t>
      </w:r>
      <w:r w:rsidRPr="00A2777D">
        <w:rPr>
          <w:b/>
          <w:bCs/>
        </w:rPr>
        <w:t xml:space="preserve"> р</w:t>
      </w:r>
      <w:r w:rsidRPr="00A2777D">
        <w:rPr>
          <w:b/>
          <w:bCs/>
        </w:rPr>
        <w:t>а</w:t>
      </w:r>
      <w:r w:rsidRPr="00A2777D">
        <w:rPr>
          <w:b/>
          <w:bCs/>
        </w:rPr>
        <w:t>боты. Неоднократно подчеркивалась важность взаимного коллегиального обучения целевых профессиональных групп, а также активного участия высшего руководства на всех этапах обучения, особенно при разработке концептуальных основ программ подготовки. Кроме того, опыт и знания, накопленные некоторыми государствами в ходе создания кадрового резерва инструкторов, а также разработки практически ориентированных учебных пла</w:t>
      </w:r>
      <w:r w:rsidR="00F80652">
        <w:rPr>
          <w:b/>
          <w:bCs/>
        </w:rPr>
        <w:t>нов и материалов, помогут</w:t>
      </w:r>
      <w:r w:rsidRPr="00A2777D">
        <w:rPr>
          <w:b/>
          <w:bCs/>
        </w:rPr>
        <w:t xml:space="preserve"> обеспечить качество и устойчивость разраб</w:t>
      </w:r>
      <w:r w:rsidRPr="00A2777D">
        <w:rPr>
          <w:b/>
          <w:bCs/>
        </w:rPr>
        <w:t>о</w:t>
      </w:r>
      <w:r w:rsidRPr="00A2777D">
        <w:rPr>
          <w:b/>
          <w:bCs/>
        </w:rPr>
        <w:t>танных программ.</w:t>
      </w:r>
    </w:p>
    <w:p w:rsidR="00A2777D" w:rsidRPr="00A2777D" w:rsidRDefault="00A2777D" w:rsidP="00A2777D">
      <w:pPr>
        <w:pStyle w:val="SingleTxt"/>
        <w:rPr>
          <w:b/>
          <w:bCs/>
        </w:rPr>
      </w:pPr>
      <w:r w:rsidRPr="00A2777D">
        <w:t>54.</w:t>
      </w:r>
      <w:r w:rsidRPr="00A2777D">
        <w:tab/>
      </w:r>
      <w:r w:rsidRPr="00A2777D">
        <w:rPr>
          <w:b/>
          <w:bCs/>
        </w:rPr>
        <w:t>Особенно значимыми представляются масштабы сотрудничества ме</w:t>
      </w:r>
      <w:r w:rsidRPr="00A2777D">
        <w:rPr>
          <w:b/>
          <w:bCs/>
        </w:rPr>
        <w:t>ж</w:t>
      </w:r>
      <w:r w:rsidRPr="00A2777D">
        <w:rPr>
          <w:b/>
          <w:bCs/>
        </w:rPr>
        <w:t>ду правительственными ведомствами, а также между правительствами, академическими кругами, национальными правозащитными учреждениями и НПО в каждой из стран. Также активно развивалось сотрудничество ме</w:t>
      </w:r>
      <w:r w:rsidRPr="00A2777D">
        <w:rPr>
          <w:b/>
          <w:bCs/>
        </w:rPr>
        <w:t>ж</w:t>
      </w:r>
      <w:r w:rsidRPr="00A2777D">
        <w:rPr>
          <w:b/>
          <w:bCs/>
        </w:rPr>
        <w:t>ду государствами, которое способствует дальнейшему прогрессу, достиж</w:t>
      </w:r>
      <w:r w:rsidRPr="00A2777D">
        <w:rPr>
          <w:b/>
          <w:bCs/>
        </w:rPr>
        <w:t>е</w:t>
      </w:r>
      <w:r w:rsidRPr="00A2777D">
        <w:rPr>
          <w:b/>
          <w:bCs/>
        </w:rPr>
        <w:t>нию большей согласованности усилий и оказанию поддержки государствам, испытывающим недостаток ресурсов. В условиях уменьшения финансовых бюджетов синергетические связи и альянсы становятся ключевыми факт</w:t>
      </w:r>
      <w:r w:rsidRPr="00A2777D">
        <w:rPr>
          <w:b/>
          <w:bCs/>
        </w:rPr>
        <w:t>о</w:t>
      </w:r>
      <w:r w:rsidRPr="00A2777D">
        <w:rPr>
          <w:b/>
          <w:bCs/>
        </w:rPr>
        <w:t>рами успеха.</w:t>
      </w:r>
    </w:p>
    <w:p w:rsidR="00A2777D" w:rsidRPr="00A2777D" w:rsidRDefault="00A2777D" w:rsidP="00A2777D">
      <w:pPr>
        <w:pStyle w:val="SingleTxt"/>
        <w:rPr>
          <w:b/>
          <w:bCs/>
        </w:rPr>
      </w:pPr>
      <w:r w:rsidRPr="00A2777D">
        <w:t>55.</w:t>
      </w:r>
      <w:r w:rsidRPr="00A2777D">
        <w:tab/>
      </w:r>
      <w:r w:rsidRPr="00A2777D">
        <w:rPr>
          <w:b/>
          <w:bCs/>
        </w:rPr>
        <w:t>Информация, представленная государствами и полученная из дополн</w:t>
      </w:r>
      <w:r w:rsidRPr="00A2777D">
        <w:rPr>
          <w:b/>
          <w:bCs/>
        </w:rPr>
        <w:t>и</w:t>
      </w:r>
      <w:r w:rsidRPr="00A2777D">
        <w:rPr>
          <w:b/>
          <w:bCs/>
        </w:rPr>
        <w:t>тельных источников, свидетельствует о наличии широких возможностей для технического сотрудничества в сфере образования и подготовки в области прав человека со стороны структур Организации Объединенных Наций, МККК, региональных организаций, а также правительств отдельных стран и НПО. Аналогичным образом имеются основания констатировать увелич</w:t>
      </w:r>
      <w:r w:rsidRPr="00A2777D">
        <w:rPr>
          <w:b/>
          <w:bCs/>
        </w:rPr>
        <w:t>е</w:t>
      </w:r>
      <w:r w:rsidRPr="00A2777D">
        <w:rPr>
          <w:b/>
          <w:bCs/>
        </w:rPr>
        <w:t>ние числа инициатив, которые могут пользоваться поддержкой государств и приносить им пользу, способствуя тем самым обмену ценным опытом и вз</w:t>
      </w:r>
      <w:r w:rsidRPr="00A2777D">
        <w:rPr>
          <w:b/>
          <w:bCs/>
        </w:rPr>
        <w:t>а</w:t>
      </w:r>
      <w:r w:rsidRPr="00A2777D">
        <w:rPr>
          <w:b/>
          <w:bCs/>
        </w:rPr>
        <w:t>имному обогащению идеями. Упомянутые примеры включают Межамер</w:t>
      </w:r>
      <w:r w:rsidRPr="00A2777D">
        <w:rPr>
          <w:b/>
          <w:bCs/>
        </w:rPr>
        <w:t>и</w:t>
      </w:r>
      <w:r w:rsidRPr="00A2777D">
        <w:rPr>
          <w:b/>
          <w:bCs/>
        </w:rPr>
        <w:t>канский институт прав человека, Европейский союз, Организацию по бе</w:t>
      </w:r>
      <w:r w:rsidRPr="00A2777D">
        <w:rPr>
          <w:b/>
          <w:bCs/>
        </w:rPr>
        <w:t>з</w:t>
      </w:r>
      <w:r w:rsidRPr="00A2777D">
        <w:rPr>
          <w:b/>
          <w:bCs/>
        </w:rPr>
        <w:t>опасности и сотрудничеству в Европе, Совет Европы и Секретариат Тих</w:t>
      </w:r>
      <w:r w:rsidRPr="00A2777D">
        <w:rPr>
          <w:b/>
          <w:bCs/>
        </w:rPr>
        <w:t>о</w:t>
      </w:r>
      <w:r w:rsidRPr="00A2777D">
        <w:rPr>
          <w:b/>
          <w:bCs/>
        </w:rPr>
        <w:t>океанского сообщества.</w:t>
      </w:r>
    </w:p>
    <w:p w:rsidR="00A2777D" w:rsidRPr="00A2777D" w:rsidRDefault="00A2777D" w:rsidP="00A2777D">
      <w:pPr>
        <w:pStyle w:val="SingleTxt"/>
        <w:rPr>
          <w:b/>
          <w:bCs/>
        </w:rPr>
      </w:pPr>
      <w:r w:rsidRPr="007F6CA5">
        <w:t>56.</w:t>
      </w:r>
      <w:r w:rsidRPr="007F6CA5">
        <w:tab/>
      </w:r>
      <w:r w:rsidRPr="00A2777D">
        <w:rPr>
          <w:b/>
        </w:rPr>
        <w:t>И наконец, следует отметить (хотя ограничения по объему текста не позволяют остановиться на этом подробно), что согласно большинству д</w:t>
      </w:r>
      <w:r w:rsidRPr="00A2777D">
        <w:rPr>
          <w:b/>
        </w:rPr>
        <w:t>о</w:t>
      </w:r>
      <w:r w:rsidRPr="00A2777D">
        <w:rPr>
          <w:b/>
        </w:rPr>
        <w:t xml:space="preserve">кладов </w:t>
      </w:r>
      <w:r w:rsidRPr="00A2777D">
        <w:rPr>
          <w:b/>
          <w:bCs/>
        </w:rPr>
        <w:t>работа, начатая в рамках первого этапа Всемирной программы в о</w:t>
      </w:r>
      <w:r w:rsidRPr="00A2777D">
        <w:rPr>
          <w:b/>
          <w:bCs/>
        </w:rPr>
        <w:t>т</w:t>
      </w:r>
      <w:r w:rsidRPr="00A2777D">
        <w:rPr>
          <w:b/>
          <w:bCs/>
        </w:rPr>
        <w:t>ношении начальной и средней школы</w:t>
      </w:r>
      <w:r w:rsidR="00F80652">
        <w:rPr>
          <w:b/>
          <w:bCs/>
        </w:rPr>
        <w:t>,</w:t>
      </w:r>
      <w:r w:rsidRPr="00A2777D">
        <w:rPr>
          <w:b/>
          <w:bCs/>
        </w:rPr>
        <w:t xml:space="preserve"> была продолжена и в ряде случаев поставл</w:t>
      </w:r>
      <w:r w:rsidR="00F80652">
        <w:rPr>
          <w:b/>
          <w:bCs/>
        </w:rPr>
        <w:t>ена на институциональную основу</w:t>
      </w:r>
      <w:r w:rsidRPr="00A2777D">
        <w:rPr>
          <w:b/>
          <w:bCs/>
        </w:rPr>
        <w:t xml:space="preserve"> благодаря разработанным уче</w:t>
      </w:r>
      <w:r w:rsidRPr="00A2777D">
        <w:rPr>
          <w:b/>
          <w:bCs/>
        </w:rPr>
        <w:t>б</w:t>
      </w:r>
      <w:r w:rsidRPr="00A2777D">
        <w:rPr>
          <w:b/>
          <w:bCs/>
        </w:rPr>
        <w:t>ным программам, численности обученных учителей и доступности матери</w:t>
      </w:r>
      <w:r w:rsidRPr="00A2777D">
        <w:rPr>
          <w:b/>
          <w:bCs/>
        </w:rPr>
        <w:t>а</w:t>
      </w:r>
      <w:r w:rsidRPr="00A2777D">
        <w:rPr>
          <w:b/>
          <w:bCs/>
        </w:rPr>
        <w:t>лов.</w:t>
      </w:r>
    </w:p>
    <w:p w:rsidR="00A2777D" w:rsidRPr="00A2777D" w:rsidRDefault="00A2777D" w:rsidP="00A2777D">
      <w:pPr>
        <w:pStyle w:val="SingleTxt"/>
        <w:rPr>
          <w:b/>
          <w:bCs/>
        </w:rPr>
      </w:pPr>
      <w:r w:rsidRPr="007F6CA5">
        <w:t>57.</w:t>
      </w:r>
      <w:r w:rsidRPr="007F6CA5">
        <w:tab/>
      </w:r>
      <w:r w:rsidRPr="00A2777D">
        <w:rPr>
          <w:b/>
          <w:bCs/>
        </w:rPr>
        <w:t>Хотя некоторые страны достигли значительного прогресса, всем гос</w:t>
      </w:r>
      <w:r w:rsidRPr="00A2777D">
        <w:rPr>
          <w:b/>
          <w:bCs/>
        </w:rPr>
        <w:t>у</w:t>
      </w:r>
      <w:r w:rsidRPr="00A2777D">
        <w:rPr>
          <w:b/>
          <w:bCs/>
        </w:rPr>
        <w:t>дарствам следует в полной мере воспользоваться возможностями третьего этапа Всемирной программы образования в области прав человека для з</w:t>
      </w:r>
      <w:r w:rsidRPr="00A2777D">
        <w:rPr>
          <w:b/>
          <w:bCs/>
        </w:rPr>
        <w:t>а</w:t>
      </w:r>
      <w:r w:rsidRPr="00A2777D">
        <w:rPr>
          <w:b/>
          <w:bCs/>
        </w:rPr>
        <w:t>крепления результатов осуществления первого и второго этапов, уделяя ос</w:t>
      </w:r>
      <w:r w:rsidRPr="00A2777D">
        <w:rPr>
          <w:b/>
          <w:bCs/>
        </w:rPr>
        <w:t>о</w:t>
      </w:r>
      <w:r w:rsidRPr="00A2777D">
        <w:rPr>
          <w:b/>
          <w:bCs/>
        </w:rPr>
        <w:t>бое внимание второму этапу, посвященному высшему образованию и пр</w:t>
      </w:r>
      <w:r w:rsidRPr="00A2777D">
        <w:rPr>
          <w:b/>
          <w:bCs/>
        </w:rPr>
        <w:t>о</w:t>
      </w:r>
      <w:r w:rsidRPr="00A2777D">
        <w:rPr>
          <w:b/>
          <w:bCs/>
        </w:rPr>
        <w:t xml:space="preserve">фессиональной подготовке, посвященному </w:t>
      </w:r>
      <w:r w:rsidRPr="00A2777D">
        <w:rPr>
          <w:b/>
        </w:rPr>
        <w:t>системе высшего образования и курсам подготовки для учителей и просветителей, гражданских служащих, сотрудников правоохранительных органов и военнослужащих</w:t>
      </w:r>
      <w:r w:rsidRPr="00A2777D">
        <w:rPr>
          <w:b/>
          <w:bCs/>
        </w:rPr>
        <w:t xml:space="preserve">. </w:t>
      </w:r>
    </w:p>
    <w:p w:rsidR="00A2777D" w:rsidRPr="00A2777D" w:rsidRDefault="00A2777D" w:rsidP="00A2777D">
      <w:pPr>
        <w:pStyle w:val="SingleTxt"/>
        <w:rPr>
          <w:b/>
          <w:bCs/>
        </w:rPr>
      </w:pPr>
      <w:r w:rsidRPr="00A2777D">
        <w:lastRenderedPageBreak/>
        <w:t>58.</w:t>
      </w:r>
      <w:r w:rsidRPr="00A2777D">
        <w:tab/>
      </w:r>
      <w:r w:rsidRPr="00A2777D">
        <w:rPr>
          <w:b/>
          <w:bCs/>
        </w:rPr>
        <w:t>С этой целью Совет по правам человека в своей резолюции 24/15 пр</w:t>
      </w:r>
      <w:r w:rsidRPr="00A2777D">
        <w:rPr>
          <w:b/>
          <w:bCs/>
        </w:rPr>
        <w:t>и</w:t>
      </w:r>
      <w:r w:rsidRPr="00A2777D">
        <w:rPr>
          <w:b/>
          <w:bCs/>
        </w:rPr>
        <w:t>звал государства и соответствующие заинтересованные стороны уделить особое внимание следующим стратегиям:</w:t>
      </w:r>
    </w:p>
    <w:p w:rsidR="00A2777D" w:rsidRPr="00A2777D" w:rsidRDefault="007639D3" w:rsidP="00A2777D">
      <w:pPr>
        <w:pStyle w:val="SingleTxt"/>
        <w:rPr>
          <w:b/>
          <w:bCs/>
        </w:rPr>
      </w:pPr>
      <w:r>
        <w:rPr>
          <w:b/>
        </w:rPr>
        <w:tab/>
      </w:r>
      <w:r w:rsidR="00A2777D" w:rsidRPr="00A2777D">
        <w:rPr>
          <w:b/>
        </w:rPr>
        <w:t>a)</w:t>
      </w:r>
      <w:r w:rsidR="00A2777D" w:rsidRPr="00A2777D">
        <w:rPr>
          <w:b/>
        </w:rPr>
        <w:tab/>
      </w:r>
      <w:r w:rsidR="00A2777D" w:rsidRPr="00A2777D">
        <w:rPr>
          <w:b/>
          <w:bCs/>
        </w:rPr>
        <w:t>продвижение осуществления и консолидаци</w:t>
      </w:r>
      <w:r w:rsidR="003533EA">
        <w:rPr>
          <w:b/>
          <w:bCs/>
        </w:rPr>
        <w:t>я</w:t>
      </w:r>
      <w:r w:rsidR="00A2777D" w:rsidRPr="00A2777D">
        <w:rPr>
          <w:b/>
          <w:bCs/>
        </w:rPr>
        <w:t xml:space="preserve"> проделанной работы;</w:t>
      </w:r>
    </w:p>
    <w:p w:rsidR="00A2777D" w:rsidRPr="00A2777D" w:rsidRDefault="007639D3" w:rsidP="00A2777D">
      <w:pPr>
        <w:pStyle w:val="SingleTxt"/>
        <w:rPr>
          <w:b/>
          <w:bCs/>
        </w:rPr>
      </w:pPr>
      <w:r>
        <w:rPr>
          <w:b/>
        </w:rPr>
        <w:tab/>
      </w:r>
      <w:r w:rsidR="00A2777D" w:rsidRPr="00A2777D">
        <w:rPr>
          <w:b/>
        </w:rPr>
        <w:t>b)</w:t>
      </w:r>
      <w:r w:rsidR="00A2777D" w:rsidRPr="00A2777D">
        <w:rPr>
          <w:b/>
        </w:rPr>
        <w:tab/>
      </w:r>
      <w:r w:rsidR="00A2777D" w:rsidRPr="00A2777D">
        <w:rPr>
          <w:b/>
          <w:bCs/>
        </w:rPr>
        <w:t>организация образования и подготовки по правам человека для преподавателей в рамках формального и неформального образования и по</w:t>
      </w:r>
      <w:r w:rsidR="00A2777D" w:rsidRPr="00A2777D">
        <w:rPr>
          <w:b/>
          <w:bCs/>
        </w:rPr>
        <w:t>д</w:t>
      </w:r>
      <w:r w:rsidR="00A2777D" w:rsidRPr="00A2777D">
        <w:rPr>
          <w:b/>
          <w:bCs/>
        </w:rPr>
        <w:t>готовки, в частности для тех, кто работает с детьми и молодежью;</w:t>
      </w:r>
    </w:p>
    <w:p w:rsidR="00A2777D" w:rsidRPr="00A2777D" w:rsidRDefault="007639D3" w:rsidP="00A2777D">
      <w:pPr>
        <w:pStyle w:val="SingleTxt"/>
        <w:rPr>
          <w:b/>
          <w:bCs/>
        </w:rPr>
      </w:pPr>
      <w:r>
        <w:rPr>
          <w:b/>
        </w:rPr>
        <w:tab/>
      </w:r>
      <w:r w:rsidR="00A2777D" w:rsidRPr="00A2777D">
        <w:rPr>
          <w:b/>
        </w:rPr>
        <w:t>c)</w:t>
      </w:r>
      <w:r w:rsidR="00A2777D" w:rsidRPr="00A2777D">
        <w:rPr>
          <w:b/>
        </w:rPr>
        <w:tab/>
      </w:r>
      <w:r w:rsidR="00A2777D" w:rsidRPr="00A2777D">
        <w:rPr>
          <w:b/>
          <w:bCs/>
        </w:rPr>
        <w:t>проведение соответствующих исследований и оценок, обмен и</w:t>
      </w:r>
      <w:r w:rsidR="00A2777D" w:rsidRPr="00A2777D">
        <w:rPr>
          <w:b/>
          <w:bCs/>
        </w:rPr>
        <w:t>н</w:t>
      </w:r>
      <w:r w:rsidR="00A2777D" w:rsidRPr="00A2777D">
        <w:rPr>
          <w:b/>
          <w:bCs/>
        </w:rPr>
        <w:t>формацией о передовой практике и извлеченных уроках, а также распр</w:t>
      </w:r>
      <w:r w:rsidR="00A2777D" w:rsidRPr="00A2777D">
        <w:rPr>
          <w:b/>
          <w:bCs/>
        </w:rPr>
        <w:t>о</w:t>
      </w:r>
      <w:r w:rsidR="00A2777D" w:rsidRPr="00A2777D">
        <w:rPr>
          <w:b/>
          <w:bCs/>
        </w:rPr>
        <w:t>странение информации между всеми действующими лицами;</w:t>
      </w:r>
    </w:p>
    <w:p w:rsidR="00A2777D" w:rsidRPr="00A2777D" w:rsidRDefault="007639D3" w:rsidP="00A2777D">
      <w:pPr>
        <w:pStyle w:val="SingleTxt"/>
        <w:rPr>
          <w:b/>
          <w:bCs/>
        </w:rPr>
      </w:pPr>
      <w:r>
        <w:rPr>
          <w:b/>
        </w:rPr>
        <w:tab/>
      </w:r>
      <w:r w:rsidR="00A2777D" w:rsidRPr="00A2777D">
        <w:rPr>
          <w:b/>
        </w:rPr>
        <w:t>d)</w:t>
      </w:r>
      <w:r w:rsidR="00A2777D" w:rsidRPr="00A2777D">
        <w:rPr>
          <w:b/>
        </w:rPr>
        <w:tab/>
      </w:r>
      <w:r w:rsidR="00A2777D" w:rsidRPr="00A2777D">
        <w:rPr>
          <w:b/>
          <w:bCs/>
        </w:rPr>
        <w:t>применение и укрепление действенных образовательных методик, основанных на передовой практике и проходящих постоянную оценку;</w:t>
      </w:r>
    </w:p>
    <w:p w:rsidR="00A2777D" w:rsidRPr="00A2777D" w:rsidRDefault="007639D3" w:rsidP="00A2777D">
      <w:pPr>
        <w:pStyle w:val="SingleTxt"/>
        <w:rPr>
          <w:b/>
          <w:bCs/>
        </w:rPr>
      </w:pPr>
      <w:r>
        <w:rPr>
          <w:b/>
        </w:rPr>
        <w:tab/>
      </w:r>
      <w:r w:rsidR="00A2777D" w:rsidRPr="00A2777D">
        <w:rPr>
          <w:b/>
        </w:rPr>
        <w:t>e)</w:t>
      </w:r>
      <w:r w:rsidR="00A2777D" w:rsidRPr="00A2777D">
        <w:rPr>
          <w:b/>
        </w:rPr>
        <w:tab/>
      </w:r>
      <w:r w:rsidR="00A2777D" w:rsidRPr="00A2777D">
        <w:rPr>
          <w:b/>
          <w:bCs/>
        </w:rPr>
        <w:t>укрепление диалога, сотрудничества, сетевых связей и обмена и</w:t>
      </w:r>
      <w:r w:rsidR="00A2777D" w:rsidRPr="00A2777D">
        <w:rPr>
          <w:b/>
          <w:bCs/>
        </w:rPr>
        <w:t>н</w:t>
      </w:r>
      <w:r w:rsidR="00A2777D" w:rsidRPr="00A2777D">
        <w:rPr>
          <w:b/>
          <w:bCs/>
        </w:rPr>
        <w:t>формацией между соответствующими заинтересованными сторонами;</w:t>
      </w:r>
    </w:p>
    <w:p w:rsidR="00A2777D" w:rsidRPr="00A2777D" w:rsidRDefault="007639D3" w:rsidP="00A2777D">
      <w:pPr>
        <w:pStyle w:val="SingleTxt"/>
        <w:rPr>
          <w:b/>
          <w:bCs/>
        </w:rPr>
      </w:pPr>
      <w:r>
        <w:rPr>
          <w:b/>
        </w:rPr>
        <w:tab/>
      </w:r>
      <w:r w:rsidR="00A2777D" w:rsidRPr="00A2777D">
        <w:rPr>
          <w:b/>
        </w:rPr>
        <w:t>f)</w:t>
      </w:r>
      <w:r w:rsidR="00A2777D" w:rsidRPr="00A2777D">
        <w:rPr>
          <w:b/>
        </w:rPr>
        <w:tab/>
      </w:r>
      <w:r w:rsidR="00A2777D" w:rsidRPr="00A2777D">
        <w:rPr>
          <w:b/>
          <w:bCs/>
        </w:rPr>
        <w:t>содействие включению образования и подготовки по правам чел</w:t>
      </w:r>
      <w:r w:rsidR="00A2777D" w:rsidRPr="00A2777D">
        <w:rPr>
          <w:b/>
          <w:bCs/>
        </w:rPr>
        <w:t>о</w:t>
      </w:r>
      <w:r w:rsidR="00A2777D" w:rsidRPr="00A2777D">
        <w:rPr>
          <w:b/>
          <w:bCs/>
        </w:rPr>
        <w:t>века в школьные программы и программы подготовки.</w:t>
      </w:r>
    </w:p>
    <w:p w:rsidR="00A2777D" w:rsidRPr="00A2777D" w:rsidRDefault="00A2777D" w:rsidP="00A2777D">
      <w:pPr>
        <w:pStyle w:val="SingleTxt"/>
      </w:pPr>
      <w:r w:rsidRPr="00A2777D">
        <w:t>59.</w:t>
      </w:r>
      <w:r w:rsidRPr="00A2777D">
        <w:tab/>
      </w:r>
      <w:r w:rsidRPr="00A2777D">
        <w:rPr>
          <w:b/>
          <w:bCs/>
        </w:rPr>
        <w:t>Подробные руководящие указания по этим стратегиям представлены в плане действий для третьего этапа (2015–2019 годы) Всемирной программы (см. A/HRC/27/</w:t>
      </w:r>
      <w:r w:rsidR="003533EA">
        <w:rPr>
          <w:b/>
          <w:bCs/>
        </w:rPr>
        <w:t>1</w:t>
      </w:r>
      <w:r w:rsidRPr="00A2777D">
        <w:rPr>
          <w:b/>
          <w:bCs/>
        </w:rPr>
        <w:t>8 и Add.1).</w:t>
      </w:r>
      <w:r w:rsidRPr="00A2777D">
        <w:t xml:space="preserve"> </w:t>
      </w:r>
    </w:p>
    <w:p w:rsidR="00A2777D" w:rsidRPr="00A2777D" w:rsidRDefault="00A2777D" w:rsidP="00A2777D">
      <w:pPr>
        <w:pStyle w:val="SingleTxt"/>
        <w:rPr>
          <w:b/>
          <w:bCs/>
          <w:u w:val="single"/>
        </w:rPr>
      </w:pPr>
      <w:r w:rsidRPr="00A2777D">
        <w:t>60.</w:t>
      </w:r>
      <w:r w:rsidRPr="00A2777D">
        <w:tab/>
      </w:r>
      <w:r w:rsidRPr="00A2777D">
        <w:rPr>
          <w:b/>
          <w:bCs/>
        </w:rPr>
        <w:t>Государствам, которые пока этого не сделали, следует составить пер</w:t>
      </w:r>
      <w:r w:rsidRPr="00A2777D">
        <w:rPr>
          <w:b/>
          <w:bCs/>
        </w:rPr>
        <w:t>е</w:t>
      </w:r>
      <w:r w:rsidRPr="00A2777D">
        <w:rPr>
          <w:b/>
          <w:bCs/>
        </w:rPr>
        <w:t>чень национальных инициатив, связанных со вторым этапом Всемирной программы, оценив национальный прогресс в достижении целей, указанных в плане действий для второго этапа, с тем чтобы разработать и осуществить национальную стратегию при оптимальном использовании существующих национальных, региональных и международных ресурсов.</w:t>
      </w:r>
    </w:p>
    <w:p w:rsidR="00A2777D" w:rsidRPr="00A2777D" w:rsidRDefault="00A2777D" w:rsidP="00B85CE6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br w:type="page"/>
      </w:r>
      <w:r w:rsidRPr="00A2777D">
        <w:lastRenderedPageBreak/>
        <w:t>Приложение</w:t>
      </w:r>
    </w:p>
    <w:p w:rsidR="00B85CE6" w:rsidRPr="00B85CE6" w:rsidRDefault="00B85CE6" w:rsidP="00B85CE6">
      <w:pPr>
        <w:pStyle w:val="SingleTxt"/>
        <w:spacing w:after="0" w:line="120" w:lineRule="exact"/>
        <w:rPr>
          <w:b/>
          <w:sz w:val="10"/>
        </w:rPr>
      </w:pPr>
    </w:p>
    <w:p w:rsidR="00B85CE6" w:rsidRPr="00B85CE6" w:rsidRDefault="00B85CE6" w:rsidP="00B85CE6">
      <w:pPr>
        <w:pStyle w:val="SingleTxt"/>
        <w:spacing w:after="0" w:line="120" w:lineRule="exact"/>
        <w:rPr>
          <w:b/>
          <w:sz w:val="10"/>
        </w:rPr>
      </w:pPr>
    </w:p>
    <w:p w:rsidR="00A2777D" w:rsidRPr="00A2777D" w:rsidRDefault="00A2777D" w:rsidP="00B85CE6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A2777D">
        <w:tab/>
      </w:r>
      <w:r w:rsidRPr="00A2777D">
        <w:tab/>
        <w:t>Перечень правительств, представивших информацию</w:t>
      </w:r>
    </w:p>
    <w:p w:rsidR="00B85CE6" w:rsidRPr="00B85CE6" w:rsidRDefault="00B85CE6" w:rsidP="00B85CE6">
      <w:pPr>
        <w:pStyle w:val="SingleTxt"/>
        <w:spacing w:after="0" w:line="120" w:lineRule="exact"/>
        <w:rPr>
          <w:sz w:val="10"/>
        </w:rPr>
      </w:pPr>
    </w:p>
    <w:p w:rsidR="00B85CE6" w:rsidRPr="00B85CE6" w:rsidRDefault="00B85CE6" w:rsidP="00B85CE6">
      <w:pPr>
        <w:pStyle w:val="SingleTxt"/>
        <w:spacing w:after="0" w:line="120" w:lineRule="exact"/>
        <w:rPr>
          <w:sz w:val="10"/>
        </w:rPr>
      </w:pPr>
    </w:p>
    <w:p w:rsidR="00A2777D" w:rsidRPr="00A2777D" w:rsidRDefault="00A2777D" w:rsidP="00B85CE6">
      <w:pPr>
        <w:pStyle w:val="SingleTxt"/>
        <w:spacing w:after="0"/>
      </w:pPr>
      <w:r w:rsidRPr="00A2777D">
        <w:t>Босния и Герцеговина</w:t>
      </w:r>
    </w:p>
    <w:p w:rsidR="00A2777D" w:rsidRPr="00A2777D" w:rsidRDefault="00A2777D" w:rsidP="00B85CE6">
      <w:pPr>
        <w:pStyle w:val="SingleTxt"/>
        <w:spacing w:after="0"/>
      </w:pPr>
      <w:r w:rsidRPr="00A2777D">
        <w:t>Бурунди</w:t>
      </w:r>
    </w:p>
    <w:p w:rsidR="00A2777D" w:rsidRPr="00A2777D" w:rsidRDefault="00A2777D" w:rsidP="00B85CE6">
      <w:pPr>
        <w:pStyle w:val="SingleTxt"/>
        <w:spacing w:after="0"/>
      </w:pPr>
      <w:r w:rsidRPr="00A2777D">
        <w:t>Венгрия</w:t>
      </w:r>
    </w:p>
    <w:p w:rsidR="00A2777D" w:rsidRPr="00A2777D" w:rsidRDefault="00A2777D" w:rsidP="00B85CE6">
      <w:pPr>
        <w:pStyle w:val="SingleTxt"/>
        <w:spacing w:after="0"/>
      </w:pPr>
      <w:r w:rsidRPr="00A2777D">
        <w:t>Гвинея</w:t>
      </w:r>
    </w:p>
    <w:p w:rsidR="00A2777D" w:rsidRPr="00A2777D" w:rsidRDefault="00A2777D" w:rsidP="00B85CE6">
      <w:pPr>
        <w:pStyle w:val="SingleTxt"/>
        <w:spacing w:after="0"/>
      </w:pPr>
      <w:r w:rsidRPr="00A2777D">
        <w:t>Германия</w:t>
      </w:r>
    </w:p>
    <w:p w:rsidR="00A2777D" w:rsidRPr="00A2777D" w:rsidRDefault="00A2777D" w:rsidP="00B85CE6">
      <w:pPr>
        <w:pStyle w:val="SingleTxt"/>
        <w:spacing w:after="0"/>
      </w:pPr>
      <w:r w:rsidRPr="00A2777D">
        <w:t>Гондурас</w:t>
      </w:r>
    </w:p>
    <w:p w:rsidR="00A2777D" w:rsidRPr="00A2777D" w:rsidRDefault="00A2777D" w:rsidP="00B85CE6">
      <w:pPr>
        <w:pStyle w:val="SingleTxt"/>
        <w:spacing w:after="0"/>
      </w:pPr>
      <w:r w:rsidRPr="00A2777D">
        <w:t>Греция</w:t>
      </w:r>
    </w:p>
    <w:p w:rsidR="00A2777D" w:rsidRPr="00A2777D" w:rsidRDefault="00A2777D" w:rsidP="00B85CE6">
      <w:pPr>
        <w:pStyle w:val="SingleTxt"/>
        <w:spacing w:after="0"/>
      </w:pPr>
      <w:r w:rsidRPr="00A2777D">
        <w:t>Грузия</w:t>
      </w:r>
    </w:p>
    <w:p w:rsidR="00A2777D" w:rsidRPr="00A2777D" w:rsidRDefault="00A2777D" w:rsidP="00B85CE6">
      <w:pPr>
        <w:pStyle w:val="SingleTxt"/>
        <w:spacing w:after="0"/>
      </w:pPr>
      <w:r w:rsidRPr="00A2777D">
        <w:t>Иордания</w:t>
      </w:r>
    </w:p>
    <w:p w:rsidR="00A2777D" w:rsidRPr="00A2777D" w:rsidRDefault="00A2777D" w:rsidP="00B85CE6">
      <w:pPr>
        <w:pStyle w:val="SingleTxt"/>
        <w:spacing w:after="0"/>
      </w:pPr>
      <w:r w:rsidRPr="00A2777D">
        <w:t>Италия</w:t>
      </w:r>
    </w:p>
    <w:p w:rsidR="00A2777D" w:rsidRPr="00A2777D" w:rsidRDefault="00A2777D" w:rsidP="00B85CE6">
      <w:pPr>
        <w:pStyle w:val="SingleTxt"/>
        <w:spacing w:after="0"/>
      </w:pPr>
      <w:r w:rsidRPr="00A2777D">
        <w:t>Катар</w:t>
      </w:r>
    </w:p>
    <w:p w:rsidR="00A2777D" w:rsidRPr="00A2777D" w:rsidRDefault="00A2777D" w:rsidP="00B85CE6">
      <w:pPr>
        <w:pStyle w:val="SingleTxt"/>
        <w:spacing w:after="0"/>
      </w:pPr>
      <w:r w:rsidRPr="00A2777D">
        <w:t>Колумбия</w:t>
      </w:r>
    </w:p>
    <w:p w:rsidR="00A2777D" w:rsidRPr="00A2777D" w:rsidRDefault="00A2777D" w:rsidP="00B85CE6">
      <w:pPr>
        <w:pStyle w:val="SingleTxt"/>
        <w:spacing w:after="0"/>
      </w:pPr>
      <w:r w:rsidRPr="00A2777D">
        <w:t>Кувейт</w:t>
      </w:r>
    </w:p>
    <w:p w:rsidR="00A2777D" w:rsidRPr="00A2777D" w:rsidRDefault="00A2777D" w:rsidP="00B85CE6">
      <w:pPr>
        <w:pStyle w:val="SingleTxt"/>
        <w:spacing w:after="0"/>
      </w:pPr>
      <w:r w:rsidRPr="00A2777D">
        <w:t>Лаосская Народно-Демократическая Республика</w:t>
      </w:r>
    </w:p>
    <w:p w:rsidR="00A2777D" w:rsidRPr="00A2777D" w:rsidRDefault="00A2777D" w:rsidP="00B85CE6">
      <w:pPr>
        <w:pStyle w:val="SingleTxt"/>
        <w:spacing w:after="0"/>
      </w:pPr>
      <w:r w:rsidRPr="00A2777D">
        <w:t xml:space="preserve">Ливан </w:t>
      </w:r>
    </w:p>
    <w:p w:rsidR="00A2777D" w:rsidRPr="00A2777D" w:rsidRDefault="00A2777D" w:rsidP="00B85CE6">
      <w:pPr>
        <w:pStyle w:val="SingleTxt"/>
        <w:spacing w:after="0"/>
      </w:pPr>
      <w:r w:rsidRPr="00A2777D">
        <w:t>Литва</w:t>
      </w:r>
    </w:p>
    <w:p w:rsidR="00A2777D" w:rsidRPr="00A2777D" w:rsidRDefault="00A2777D" w:rsidP="00B85CE6">
      <w:pPr>
        <w:pStyle w:val="SingleTxt"/>
        <w:spacing w:after="0"/>
      </w:pPr>
      <w:r w:rsidRPr="00A2777D">
        <w:t>Марокко</w:t>
      </w:r>
    </w:p>
    <w:p w:rsidR="00A2777D" w:rsidRPr="00A2777D" w:rsidRDefault="00A2777D" w:rsidP="00B85CE6">
      <w:pPr>
        <w:pStyle w:val="SingleTxt"/>
        <w:spacing w:after="0"/>
      </w:pPr>
      <w:r w:rsidRPr="00A2777D">
        <w:t>Мексика</w:t>
      </w:r>
    </w:p>
    <w:p w:rsidR="00A2777D" w:rsidRPr="00A2777D" w:rsidRDefault="00A2777D" w:rsidP="00B85CE6">
      <w:pPr>
        <w:pStyle w:val="SingleTxt"/>
        <w:spacing w:after="0"/>
      </w:pPr>
      <w:r w:rsidRPr="00A2777D">
        <w:t>Объединенные Арабские Эмираты</w:t>
      </w:r>
    </w:p>
    <w:p w:rsidR="00A2777D" w:rsidRPr="00A2777D" w:rsidRDefault="00A2777D" w:rsidP="00B85CE6">
      <w:pPr>
        <w:pStyle w:val="SingleTxt"/>
        <w:spacing w:after="0"/>
      </w:pPr>
      <w:r w:rsidRPr="00A2777D">
        <w:t>Румыния</w:t>
      </w:r>
    </w:p>
    <w:p w:rsidR="00A2777D" w:rsidRPr="00A2777D" w:rsidRDefault="00A2777D" w:rsidP="00B85CE6">
      <w:pPr>
        <w:pStyle w:val="SingleTxt"/>
        <w:spacing w:after="0"/>
      </w:pPr>
      <w:r w:rsidRPr="00A2777D">
        <w:t>Словения</w:t>
      </w:r>
    </w:p>
    <w:p w:rsidR="00A2777D" w:rsidRPr="00A2777D" w:rsidRDefault="00A2777D" w:rsidP="00B85CE6">
      <w:pPr>
        <w:pStyle w:val="SingleTxt"/>
        <w:spacing w:after="0"/>
      </w:pPr>
      <w:r w:rsidRPr="00A2777D">
        <w:t>Того</w:t>
      </w:r>
    </w:p>
    <w:p w:rsidR="00A2777D" w:rsidRPr="00A2777D" w:rsidRDefault="00A2777D" w:rsidP="00B85CE6">
      <w:pPr>
        <w:pStyle w:val="SingleTxt"/>
        <w:spacing w:after="0"/>
      </w:pPr>
      <w:r w:rsidRPr="00A2777D">
        <w:t>Турция</w:t>
      </w:r>
    </w:p>
    <w:p w:rsidR="00A2777D" w:rsidRPr="00A2777D" w:rsidRDefault="00A2777D" w:rsidP="00B85CE6">
      <w:pPr>
        <w:pStyle w:val="SingleTxt"/>
        <w:spacing w:after="0"/>
      </w:pPr>
      <w:r w:rsidRPr="00A2777D">
        <w:t>Уругвай</w:t>
      </w:r>
    </w:p>
    <w:p w:rsidR="00A2777D" w:rsidRPr="00A2777D" w:rsidRDefault="00A2777D" w:rsidP="00B85CE6">
      <w:pPr>
        <w:pStyle w:val="SingleTxt"/>
        <w:spacing w:after="0"/>
      </w:pPr>
      <w:r w:rsidRPr="00A2777D">
        <w:t>Чили</w:t>
      </w:r>
    </w:p>
    <w:p w:rsidR="00A2777D" w:rsidRPr="00A2777D" w:rsidRDefault="00A2777D" w:rsidP="00B85CE6">
      <w:pPr>
        <w:pStyle w:val="SingleTxt"/>
        <w:spacing w:after="0"/>
      </w:pPr>
      <w:r w:rsidRPr="00A2777D">
        <w:t>Швейцария</w:t>
      </w:r>
    </w:p>
    <w:p w:rsidR="00A2777D" w:rsidRPr="00A2777D" w:rsidRDefault="00A2777D" w:rsidP="00B85CE6">
      <w:pPr>
        <w:pStyle w:val="SingleTxt"/>
        <w:spacing w:after="0"/>
      </w:pPr>
      <w:r w:rsidRPr="00A2777D">
        <w:t>Эстония</w:t>
      </w:r>
    </w:p>
    <w:p w:rsidR="00A2777D" w:rsidRPr="00A2777D" w:rsidRDefault="00A2777D" w:rsidP="00B85CE6">
      <w:pPr>
        <w:pStyle w:val="SingleTxt"/>
        <w:spacing w:after="0"/>
      </w:pPr>
      <w:r w:rsidRPr="00A2777D">
        <w:t>Япония</w:t>
      </w:r>
    </w:p>
    <w:p w:rsidR="00532028" w:rsidRPr="00B85CE6" w:rsidRDefault="00B85CE6" w:rsidP="00B85CE6">
      <w:pPr>
        <w:pStyle w:val="SingleTxt"/>
        <w:spacing w:after="0" w:line="240" w:lineRule="auto"/>
      </w:pPr>
      <w:r>
        <w:rPr>
          <w:noProof/>
          <w:w w:val="1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381000</wp:posOffset>
                </wp:positionV>
                <wp:extent cx="914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2pt,30pt" to="282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" strokecolor="#010000" strokeweight=".25pt"/>
            </w:pict>
          </mc:Fallback>
        </mc:AlternateContent>
      </w:r>
    </w:p>
    <w:p w:rsidR="00860AD3" w:rsidRPr="00532028" w:rsidRDefault="00860AD3" w:rsidP="00A2777D">
      <w:pPr>
        <w:pStyle w:val="SingleTxt"/>
      </w:pPr>
    </w:p>
    <w:sectPr w:rsidR="00860AD3" w:rsidRPr="00532028" w:rsidSect="00043BE1">
      <w:type w:val="continuous"/>
      <w:pgSz w:w="11909" w:h="16834"/>
      <w:pgMar w:top="1742" w:right="936" w:bottom="1898" w:left="936" w:header="576" w:footer="1030" w:gutter="0"/>
      <w:pgNumType w:start="1"/>
      <w:cols w:space="720"/>
      <w:noEndnote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tart" w:date="2015-08-24T14:26:00Z" w:initials="Start">
    <w:p w:rsidR="00A2777D" w:rsidRPr="00860AD3" w:rsidRDefault="00A2777D">
      <w:pPr>
        <w:pStyle w:val="CommentText"/>
        <w:rPr>
          <w:lang w:val="en-US"/>
        </w:rPr>
      </w:pPr>
      <w:r>
        <w:fldChar w:fldCharType="begin"/>
      </w:r>
      <w:r w:rsidRPr="00860AD3">
        <w:rPr>
          <w:rStyle w:val="CommentReference"/>
          <w:lang w:val="en-US"/>
        </w:rPr>
        <w:instrText xml:space="preserve"> </w:instrText>
      </w:r>
      <w:r w:rsidRPr="00860AD3">
        <w:rPr>
          <w:lang w:val="en-US"/>
        </w:rPr>
        <w:instrText>PAGE \# "'Page: '#'</w:instrText>
      </w:r>
      <w:r w:rsidRPr="00860AD3">
        <w:rPr>
          <w:lang w:val="en-US"/>
        </w:rPr>
        <w:br/>
        <w:instrText>'"</w:instrText>
      </w:r>
      <w:r w:rsidRPr="00860AD3">
        <w:rPr>
          <w:rStyle w:val="CommentReference"/>
          <w:lang w:val="en-US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 w:rsidRPr="00860AD3">
        <w:rPr>
          <w:lang w:val="en-US"/>
        </w:rPr>
        <w:t>&lt;&lt;ODS JOB NO&gt;&gt;N1515895R&lt;&lt;ODS JOB NO&gt;&gt;</w:t>
      </w:r>
    </w:p>
    <w:p w:rsidR="00A2777D" w:rsidRDefault="00A2777D">
      <w:pPr>
        <w:pStyle w:val="CommentText"/>
      </w:pPr>
      <w:r>
        <w:t>&lt;&lt;ODS DOC SYMBOL1&gt;&gt;A/HRC/30/24&lt;&lt;ODS DOC SYMBOL1&gt;&gt;</w:t>
      </w:r>
    </w:p>
    <w:p w:rsidR="00A2777D" w:rsidRDefault="00A2777D">
      <w:pPr>
        <w:pStyle w:val="CommentText"/>
      </w:pPr>
      <w:r>
        <w:t>&lt;&lt;ODS DOC SYMBOL2&gt;&gt;&lt;&lt;ODS DOC SYMBOL2&gt;&gt;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77D" w:rsidRDefault="00A2777D" w:rsidP="008A1A7A">
      <w:pPr>
        <w:spacing w:line="240" w:lineRule="auto"/>
      </w:pPr>
      <w:r>
        <w:separator/>
      </w:r>
    </w:p>
  </w:endnote>
  <w:endnote w:type="continuationSeparator" w:id="0">
    <w:p w:rsidR="00A2777D" w:rsidRDefault="00A2777D" w:rsidP="008A1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rcode 3 of 9 by request">
    <w:panose1 w:val="020B08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A2777D" w:rsidTr="00043BE1">
      <w:trPr>
        <w:jc w:val="center"/>
      </w:trPr>
      <w:tc>
        <w:tcPr>
          <w:tcW w:w="5126" w:type="dxa"/>
          <w:shd w:val="clear" w:color="auto" w:fill="auto"/>
          <w:vAlign w:val="bottom"/>
        </w:tcPr>
        <w:p w:rsidR="00A2777D" w:rsidRPr="00043BE1" w:rsidRDefault="00A2777D" w:rsidP="00043BE1">
          <w:pPr>
            <w:pStyle w:val="Footer"/>
            <w:rPr>
              <w:color w:val="000000"/>
            </w:rPr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CE7985">
            <w:rPr>
              <w:noProof/>
            </w:rPr>
            <w:t>20</w:t>
          </w:r>
          <w:r>
            <w:fldChar w:fldCharType="end"/>
          </w:r>
          <w:r>
            <w:t>/</w:t>
          </w:r>
          <w:fldSimple w:instr=" NUMPAGES  \* Arabic  \* MERGEFORMAT ">
            <w:r w:rsidR="00CE7985">
              <w:rPr>
                <w:noProof/>
              </w:rPr>
              <w:t>21</w:t>
            </w:r>
          </w:fldSimple>
        </w:p>
      </w:tc>
      <w:tc>
        <w:tcPr>
          <w:tcW w:w="5127" w:type="dxa"/>
          <w:shd w:val="clear" w:color="auto" w:fill="auto"/>
          <w:vAlign w:val="bottom"/>
        </w:tcPr>
        <w:p w:rsidR="00A2777D" w:rsidRPr="00043BE1" w:rsidRDefault="00A2777D" w:rsidP="00043BE1">
          <w:pPr>
            <w:pStyle w:val="Footer"/>
            <w:jc w:val="right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CE7985">
            <w:rPr>
              <w:b w:val="0"/>
              <w:color w:val="000000"/>
              <w:sz w:val="14"/>
            </w:rPr>
            <w:t>GE.15-12081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</w:tr>
  </w:tbl>
  <w:p w:rsidR="00A2777D" w:rsidRPr="00043BE1" w:rsidRDefault="00A2777D" w:rsidP="00043B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A2777D" w:rsidTr="00043BE1">
      <w:trPr>
        <w:jc w:val="center"/>
      </w:trPr>
      <w:tc>
        <w:tcPr>
          <w:tcW w:w="5126" w:type="dxa"/>
          <w:shd w:val="clear" w:color="auto" w:fill="auto"/>
          <w:vAlign w:val="bottom"/>
        </w:tcPr>
        <w:p w:rsidR="00A2777D" w:rsidRPr="00043BE1" w:rsidRDefault="00A2777D" w:rsidP="00043BE1">
          <w:pPr>
            <w:pStyle w:val="Footer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CE7985">
            <w:rPr>
              <w:b w:val="0"/>
              <w:color w:val="000000"/>
              <w:sz w:val="14"/>
            </w:rPr>
            <w:t>GE.15-12081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A2777D" w:rsidRPr="00043BE1" w:rsidRDefault="00A2777D" w:rsidP="00043BE1">
          <w:pPr>
            <w:pStyle w:val="Footer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CE7985">
            <w:rPr>
              <w:noProof/>
            </w:rPr>
            <w:t>21</w:t>
          </w:r>
          <w:r>
            <w:fldChar w:fldCharType="end"/>
          </w:r>
          <w:r>
            <w:t>/</w:t>
          </w:r>
          <w:fldSimple w:instr=" NUMPAGES  \* Arabic  \* MERGEFORMAT ">
            <w:r w:rsidR="00CE7985">
              <w:rPr>
                <w:noProof/>
              </w:rPr>
              <w:t>21</w:t>
            </w:r>
          </w:fldSimple>
        </w:p>
      </w:tc>
    </w:tr>
  </w:tbl>
  <w:p w:rsidR="00A2777D" w:rsidRPr="00043BE1" w:rsidRDefault="00A2777D" w:rsidP="00043B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873"/>
      <w:gridCol w:w="5127"/>
    </w:tblGrid>
    <w:tr w:rsidR="00A2777D" w:rsidTr="00043BE1">
      <w:tc>
        <w:tcPr>
          <w:tcW w:w="3873" w:type="dxa"/>
        </w:tcPr>
        <w:p w:rsidR="00A2777D" w:rsidRDefault="00A2777D" w:rsidP="00043BE1">
          <w:pPr>
            <w:pStyle w:val="ReleaseDate"/>
            <w:rPr>
              <w:color w:val="010000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8240" behindDoc="0" locked="0" layoutInCell="1" allowOverlap="1" wp14:anchorId="239DA96C" wp14:editId="7279671A">
                <wp:simplePos x="0" y="0"/>
                <wp:positionH relativeFrom="column">
                  <wp:posOffset>5659755</wp:posOffset>
                </wp:positionH>
                <wp:positionV relativeFrom="paragraph">
                  <wp:posOffset>-347345</wp:posOffset>
                </wp:positionV>
                <wp:extent cx="694690" cy="694690"/>
                <wp:effectExtent l="0" t="0" r="0" b="0"/>
                <wp:wrapNone/>
                <wp:docPr id="3" name="Picture 3" descr="http://undocs.org/m2/QRCode2.ashx?DS=A/HRC/30/24&amp;Size =1&amp;Lang = 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A/HRC/30/24&amp;Size =1&amp;Lang = 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>GE.15-12081 (R)</w:t>
          </w:r>
          <w:r>
            <w:rPr>
              <w:color w:val="010000"/>
            </w:rPr>
            <w:t xml:space="preserve">    240815    240815</w:t>
          </w:r>
        </w:p>
        <w:p w:rsidR="00A2777D" w:rsidRPr="00043BE1" w:rsidRDefault="00A2777D" w:rsidP="00043BE1">
          <w:pPr>
            <w:spacing w:before="80" w:line="210" w:lineRule="exact"/>
            <w:rPr>
              <w:rFonts w:ascii="Barcode 3 of 9 by request" w:hAnsi="Barcode 3 of 9 by request"/>
              <w:w w:val="100"/>
              <w:sz w:val="24"/>
            </w:rPr>
          </w:pPr>
          <w:r>
            <w:rPr>
              <w:rFonts w:ascii="Barcode 3 of 9 by request" w:hAnsi="Barcode 3 of 9 by request"/>
              <w:w w:val="100"/>
              <w:sz w:val="24"/>
            </w:rPr>
            <w:t>*1512081*</w:t>
          </w:r>
        </w:p>
      </w:tc>
      <w:tc>
        <w:tcPr>
          <w:tcW w:w="5127" w:type="dxa"/>
        </w:tcPr>
        <w:p w:rsidR="00A2777D" w:rsidRDefault="00A2777D" w:rsidP="00043BE1">
          <w:pPr>
            <w:pStyle w:val="Footer"/>
            <w:spacing w:line="240" w:lineRule="atLeast"/>
            <w:jc w:val="right"/>
            <w:rPr>
              <w:b w:val="0"/>
              <w:sz w:val="20"/>
            </w:rPr>
          </w:pPr>
          <w:r>
            <w:rPr>
              <w:b w:val="0"/>
              <w:noProof/>
              <w:sz w:val="20"/>
              <w:lang w:eastAsia="ru-RU"/>
            </w:rPr>
            <w:drawing>
              <wp:inline distT="0" distB="0" distL="0" distR="0" wp14:anchorId="36754C9A" wp14:editId="4D088909">
                <wp:extent cx="2703582" cy="231648"/>
                <wp:effectExtent l="0" t="0" r="1905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358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2777D" w:rsidRPr="00043BE1" w:rsidRDefault="00A2777D" w:rsidP="00043BE1">
    <w:pPr>
      <w:pStyle w:val="Footer"/>
      <w:spacing w:line="56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77D" w:rsidRDefault="00A2777D" w:rsidP="008A1A7A">
      <w:pPr>
        <w:spacing w:line="240" w:lineRule="auto"/>
      </w:pPr>
      <w:r>
        <w:separator/>
      </w:r>
    </w:p>
  </w:footnote>
  <w:footnote w:type="continuationSeparator" w:id="0">
    <w:p w:rsidR="00A2777D" w:rsidRDefault="00A2777D" w:rsidP="008A1A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A2777D" w:rsidTr="00043BE1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A2777D" w:rsidRPr="00043BE1" w:rsidRDefault="00A2777D" w:rsidP="00043BE1">
          <w:pPr>
            <w:pStyle w:val="Header"/>
            <w:spacing w:after="80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CE7985">
            <w:rPr>
              <w:b/>
            </w:rPr>
            <w:t>A/HRC/30/24</w:t>
          </w:r>
          <w:r>
            <w:rPr>
              <w:b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A2777D" w:rsidRDefault="00A2777D" w:rsidP="00043BE1">
          <w:pPr>
            <w:pStyle w:val="Header"/>
          </w:pPr>
        </w:p>
      </w:tc>
    </w:tr>
  </w:tbl>
  <w:p w:rsidR="00A2777D" w:rsidRPr="00043BE1" w:rsidRDefault="00A2777D" w:rsidP="00043B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A2777D" w:rsidTr="00043BE1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A2777D" w:rsidRDefault="00A2777D" w:rsidP="00043BE1">
          <w:pPr>
            <w:pStyle w:val="Header"/>
          </w:pPr>
        </w:p>
      </w:tc>
      <w:tc>
        <w:tcPr>
          <w:tcW w:w="5127" w:type="dxa"/>
          <w:shd w:val="clear" w:color="auto" w:fill="auto"/>
          <w:vAlign w:val="bottom"/>
        </w:tcPr>
        <w:p w:rsidR="00A2777D" w:rsidRPr="00043BE1" w:rsidRDefault="00A2777D" w:rsidP="00043BE1">
          <w:pPr>
            <w:pStyle w:val="Header"/>
            <w:spacing w:after="80"/>
            <w:jc w:val="right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CE7985">
            <w:rPr>
              <w:b/>
            </w:rPr>
            <w:t>A/HRC/30/24</w:t>
          </w:r>
          <w:r>
            <w:rPr>
              <w:b/>
            </w:rPr>
            <w:fldChar w:fldCharType="end"/>
          </w:r>
        </w:p>
      </w:tc>
    </w:tr>
  </w:tbl>
  <w:p w:rsidR="00A2777D" w:rsidRPr="00043BE1" w:rsidRDefault="00A2777D" w:rsidP="00043B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3154"/>
      <w:gridCol w:w="245"/>
      <w:gridCol w:w="1828"/>
      <w:gridCol w:w="245"/>
      <w:gridCol w:w="3284"/>
    </w:tblGrid>
    <w:tr w:rsidR="00A2777D" w:rsidTr="00043BE1">
      <w:trPr>
        <w:trHeight w:hRule="exact" w:val="864"/>
      </w:trPr>
      <w:tc>
        <w:tcPr>
          <w:tcW w:w="4421" w:type="dxa"/>
          <w:gridSpan w:val="2"/>
          <w:tcBorders>
            <w:bottom w:val="single" w:sz="4" w:space="0" w:color="auto"/>
          </w:tcBorders>
          <w:shd w:val="clear" w:color="auto" w:fill="auto"/>
          <w:vAlign w:val="bottom"/>
        </w:tcPr>
        <w:p w:rsidR="00A2777D" w:rsidRPr="00043BE1" w:rsidRDefault="00A2777D" w:rsidP="00043BE1">
          <w:pPr>
            <w:pStyle w:val="HCh"/>
            <w:spacing w:after="80"/>
            <w:rPr>
              <w:b w:val="0"/>
              <w:spacing w:val="2"/>
              <w:w w:val="96"/>
            </w:rPr>
          </w:pPr>
          <w:r>
            <w:rPr>
              <w:b w:val="0"/>
              <w:spacing w:val="2"/>
              <w:w w:val="96"/>
            </w:rPr>
            <w:t>Организация Объединенных Наций</w:t>
          </w:r>
        </w:p>
      </w:tc>
      <w:tc>
        <w:tcPr>
          <w:tcW w:w="245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A2777D" w:rsidRDefault="00A2777D" w:rsidP="00043BE1">
          <w:pPr>
            <w:pStyle w:val="Header"/>
            <w:spacing w:after="120"/>
          </w:pPr>
        </w:p>
      </w:tc>
      <w:tc>
        <w:tcPr>
          <w:tcW w:w="5357" w:type="dxa"/>
          <w:gridSpan w:val="3"/>
          <w:tcBorders>
            <w:bottom w:val="single" w:sz="4" w:space="0" w:color="auto"/>
          </w:tcBorders>
          <w:shd w:val="clear" w:color="auto" w:fill="auto"/>
          <w:vAlign w:val="bottom"/>
        </w:tcPr>
        <w:p w:rsidR="00A2777D" w:rsidRPr="00043BE1" w:rsidRDefault="00A2777D" w:rsidP="00043BE1">
          <w:pPr>
            <w:pStyle w:val="Header"/>
            <w:spacing w:after="20"/>
            <w:jc w:val="right"/>
            <w:rPr>
              <w:sz w:val="20"/>
            </w:rPr>
          </w:pPr>
          <w:r>
            <w:rPr>
              <w:sz w:val="40"/>
            </w:rPr>
            <w:t>A</w:t>
          </w:r>
          <w:r>
            <w:rPr>
              <w:sz w:val="20"/>
            </w:rPr>
            <w:t>/HRC/30/24</w:t>
          </w:r>
        </w:p>
      </w:tc>
    </w:tr>
    <w:tr w:rsidR="00A2777D" w:rsidRPr="005A6E0E" w:rsidTr="00043BE1">
      <w:trPr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A2777D" w:rsidRPr="00043BE1" w:rsidRDefault="00A2777D" w:rsidP="00043BE1">
          <w:pPr>
            <w:pStyle w:val="Header"/>
            <w:spacing w:before="120"/>
            <w:jc w:val="center"/>
          </w:pPr>
          <w:r>
            <w:t xml:space="preserve"> </w:t>
          </w:r>
          <w:r>
            <w:rPr>
              <w:noProof/>
              <w:lang w:eastAsia="ru-RU"/>
            </w:rPr>
            <w:drawing>
              <wp:inline distT="0" distB="0" distL="0" distR="0" wp14:anchorId="4CB3D0CE" wp14:editId="295E5989">
                <wp:extent cx="713232" cy="597103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A2777D" w:rsidRPr="00043BE1" w:rsidRDefault="00A2777D" w:rsidP="00043BE1">
          <w:pPr>
            <w:pStyle w:val="XLarge"/>
            <w:spacing w:before="109"/>
          </w:pPr>
          <w:r>
            <w:t>Генеральная Ассамблея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A2777D" w:rsidRPr="00043BE1" w:rsidRDefault="00A2777D" w:rsidP="00043BE1">
          <w:pPr>
            <w:pStyle w:val="Header"/>
            <w:spacing w:before="109"/>
          </w:pPr>
        </w:p>
      </w:tc>
      <w:tc>
        <w:tcPr>
          <w:tcW w:w="3280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A2777D" w:rsidRPr="00860AD3" w:rsidRDefault="00A2777D" w:rsidP="00043BE1">
          <w:pPr>
            <w:pStyle w:val="Distribution"/>
            <w:rPr>
              <w:color w:val="000000"/>
              <w:lang w:val="en-US"/>
            </w:rPr>
          </w:pPr>
          <w:r w:rsidRPr="00860AD3">
            <w:rPr>
              <w:color w:val="000000"/>
              <w:lang w:val="en-US"/>
            </w:rPr>
            <w:t>Distr.: General</w:t>
          </w:r>
        </w:p>
        <w:p w:rsidR="00A2777D" w:rsidRPr="00860AD3" w:rsidRDefault="00A2777D" w:rsidP="00043BE1">
          <w:pPr>
            <w:pStyle w:val="Publication"/>
            <w:rPr>
              <w:color w:val="000000"/>
              <w:lang w:val="en-US"/>
            </w:rPr>
          </w:pPr>
          <w:r w:rsidRPr="00860AD3">
            <w:rPr>
              <w:color w:val="000000"/>
              <w:lang w:val="en-US"/>
            </w:rPr>
            <w:t>16 July 2015</w:t>
          </w:r>
        </w:p>
        <w:p w:rsidR="00A2777D" w:rsidRPr="00860AD3" w:rsidRDefault="00A2777D" w:rsidP="00043BE1">
          <w:pPr>
            <w:rPr>
              <w:color w:val="000000"/>
              <w:lang w:val="en-US"/>
            </w:rPr>
          </w:pPr>
          <w:r w:rsidRPr="00860AD3">
            <w:rPr>
              <w:color w:val="000000"/>
              <w:lang w:val="en-US"/>
            </w:rPr>
            <w:t>Russian</w:t>
          </w:r>
        </w:p>
        <w:p w:rsidR="00A2777D" w:rsidRPr="00860AD3" w:rsidRDefault="00A2777D" w:rsidP="00043BE1">
          <w:pPr>
            <w:pStyle w:val="Original"/>
            <w:rPr>
              <w:color w:val="000000"/>
              <w:lang w:val="en-US"/>
            </w:rPr>
          </w:pPr>
          <w:r w:rsidRPr="00860AD3">
            <w:rPr>
              <w:color w:val="000000"/>
              <w:lang w:val="en-US"/>
            </w:rPr>
            <w:t>Original: English</w:t>
          </w:r>
        </w:p>
        <w:p w:rsidR="00A2777D" w:rsidRPr="00860AD3" w:rsidRDefault="00A2777D" w:rsidP="00043BE1">
          <w:pPr>
            <w:rPr>
              <w:lang w:val="en-US"/>
            </w:rPr>
          </w:pPr>
        </w:p>
      </w:tc>
    </w:tr>
  </w:tbl>
  <w:p w:rsidR="00A2777D" w:rsidRPr="00860AD3" w:rsidRDefault="00A2777D" w:rsidP="00043BE1">
    <w:pPr>
      <w:pStyle w:val="Header"/>
      <w:spacing w:line="20" w:lineRule="exact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0274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D1A045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822B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86A6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9B06E0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1E44534"/>
    <w:multiLevelType w:val="multilevel"/>
    <w:tmpl w:val="40D8EA52"/>
    <w:lvl w:ilvl="0">
      <w:start w:val="1"/>
      <w:numFmt w:val="upperRoman"/>
      <w:lvlText w:val="%1."/>
      <w:lvlJc w:val="right"/>
      <w:pPr>
        <w:tabs>
          <w:tab w:val="num" w:pos="1296"/>
        </w:tabs>
        <w:ind w:left="1296" w:hanging="216"/>
      </w:pPr>
    </w:lvl>
    <w:lvl w:ilvl="1">
      <w:start w:val="1"/>
      <w:numFmt w:val="upperLetter"/>
      <w:lvlText w:val="%2."/>
      <w:lvlJc w:val="left"/>
      <w:pPr>
        <w:tabs>
          <w:tab w:val="num" w:pos="1728"/>
        </w:tabs>
        <w:ind w:left="1728" w:hanging="432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432"/>
      </w:pPr>
    </w:lvl>
    <w:lvl w:ilvl="3">
      <w:start w:val="1"/>
      <w:numFmt w:val="lowerLetter"/>
      <w:lvlText w:val="%4)"/>
      <w:lvlJc w:val="left"/>
      <w:pPr>
        <w:tabs>
          <w:tab w:val="num" w:pos="2592"/>
        </w:tabs>
        <w:ind w:left="2592" w:hanging="432"/>
      </w:pPr>
    </w:lvl>
    <w:lvl w:ilvl="4">
      <w:start w:val="1"/>
      <w:numFmt w:val="lowerRoman"/>
      <w:lvlText w:val="%5)"/>
      <w:lvlJc w:val="left"/>
      <w:pPr>
        <w:tabs>
          <w:tab w:val="num" w:pos="3024"/>
        </w:tabs>
        <w:ind w:left="3024" w:hanging="432"/>
      </w:pPr>
    </w:lvl>
    <w:lvl w:ilvl="5">
      <w:start w:val="1"/>
      <w:numFmt w:val="lowerLetter"/>
      <w:lvlText w:val="%6."/>
      <w:lvlJc w:val="left"/>
      <w:pPr>
        <w:tabs>
          <w:tab w:val="num" w:pos="3456"/>
        </w:tabs>
        <w:ind w:left="3456" w:hanging="432"/>
      </w:pPr>
    </w:lvl>
    <w:lvl w:ilvl="6">
      <w:start w:val="1"/>
      <w:numFmt w:val="lowerRoman"/>
      <w:lvlText w:val="%7."/>
      <w:lvlJc w:val="left"/>
      <w:pPr>
        <w:tabs>
          <w:tab w:val="num" w:pos="3888"/>
        </w:tabs>
        <w:ind w:left="3888" w:hanging="432"/>
      </w:pPr>
    </w:lvl>
    <w:lvl w:ilvl="7">
      <w:start w:val="1"/>
      <w:numFmt w:val="none"/>
      <w:suff w:val="nothing"/>
      <w:lvlText w:val="%8"/>
      <w:lvlJc w:val="left"/>
      <w:pPr>
        <w:tabs>
          <w:tab w:val="num" w:pos="3888"/>
        </w:tabs>
        <w:ind w:left="3888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3888"/>
        </w:tabs>
        <w:ind w:left="3888" w:firstLine="0"/>
      </w:pPr>
    </w:lvl>
  </w:abstractNum>
  <w:abstractNum w:abstractNumId="6">
    <w:nsid w:val="0AA332A2"/>
    <w:multiLevelType w:val="hybridMultilevel"/>
    <w:tmpl w:val="BE82049E"/>
    <w:lvl w:ilvl="0" w:tplc="981625E8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0313F"/>
    <w:multiLevelType w:val="hybridMultilevel"/>
    <w:tmpl w:val="1720AFF8"/>
    <w:lvl w:ilvl="0" w:tplc="7182F308">
      <w:start w:val="1"/>
      <w:numFmt w:val="decimal"/>
      <w:lvlText w:val="%1."/>
      <w:lvlJc w:val="right"/>
      <w:pPr>
        <w:ind w:left="1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8">
    <w:nsid w:val="29F971F9"/>
    <w:multiLevelType w:val="hybridMultilevel"/>
    <w:tmpl w:val="710676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42048"/>
    <w:multiLevelType w:val="hybridMultilevel"/>
    <w:tmpl w:val="5534289A"/>
    <w:lvl w:ilvl="0" w:tplc="9432CEA0">
      <w:start w:val="1"/>
      <w:numFmt w:val="decimal"/>
      <w:pStyle w:val="ListContinue2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03B57"/>
    <w:multiLevelType w:val="hybridMultilevel"/>
    <w:tmpl w:val="33B864FA"/>
    <w:lvl w:ilvl="0" w:tplc="EF8680E4">
      <w:start w:val="1"/>
      <w:numFmt w:val="bullet"/>
      <w:pStyle w:val="Bullet3"/>
      <w:lvlText w:val=""/>
      <w:lvlJc w:val="left"/>
      <w:pPr>
        <w:ind w:left="292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11">
    <w:nsid w:val="5AF77BF1"/>
    <w:multiLevelType w:val="multilevel"/>
    <w:tmpl w:val="27ECCDAC"/>
    <w:lvl w:ilvl="0">
      <w:start w:val="1"/>
      <w:numFmt w:val="upperRoman"/>
      <w:lvlText w:val="%1."/>
      <w:lvlJc w:val="right"/>
      <w:pPr>
        <w:tabs>
          <w:tab w:val="num" w:pos="1296"/>
        </w:tabs>
        <w:ind w:left="1296" w:hanging="216"/>
      </w:pPr>
    </w:lvl>
    <w:lvl w:ilvl="1">
      <w:start w:val="1"/>
      <w:numFmt w:val="upperLetter"/>
      <w:lvlText w:val="%2."/>
      <w:lvlJc w:val="left"/>
      <w:pPr>
        <w:tabs>
          <w:tab w:val="num" w:pos="1728"/>
        </w:tabs>
        <w:ind w:left="1728" w:hanging="432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432"/>
      </w:pPr>
    </w:lvl>
    <w:lvl w:ilvl="3">
      <w:start w:val="1"/>
      <w:numFmt w:val="lowerLetter"/>
      <w:lvlText w:val="%4)"/>
      <w:lvlJc w:val="left"/>
      <w:pPr>
        <w:tabs>
          <w:tab w:val="num" w:pos="2592"/>
        </w:tabs>
        <w:ind w:left="2592" w:hanging="432"/>
      </w:pPr>
    </w:lvl>
    <w:lvl w:ilvl="4">
      <w:start w:val="1"/>
      <w:numFmt w:val="lowerRoman"/>
      <w:lvlText w:val="%5)"/>
      <w:lvlJc w:val="left"/>
      <w:pPr>
        <w:tabs>
          <w:tab w:val="num" w:pos="3024"/>
        </w:tabs>
        <w:ind w:left="3024" w:hanging="432"/>
      </w:pPr>
    </w:lvl>
    <w:lvl w:ilvl="5">
      <w:start w:val="1"/>
      <w:numFmt w:val="lowerLetter"/>
      <w:lvlText w:val="%6."/>
      <w:lvlJc w:val="left"/>
      <w:pPr>
        <w:tabs>
          <w:tab w:val="num" w:pos="3456"/>
        </w:tabs>
        <w:ind w:left="3456" w:hanging="432"/>
      </w:pPr>
    </w:lvl>
    <w:lvl w:ilvl="6">
      <w:start w:val="1"/>
      <w:numFmt w:val="lowerRoman"/>
      <w:lvlText w:val="%7."/>
      <w:lvlJc w:val="left"/>
      <w:pPr>
        <w:tabs>
          <w:tab w:val="num" w:pos="3888"/>
        </w:tabs>
        <w:ind w:left="3888" w:hanging="432"/>
      </w:pPr>
    </w:lvl>
    <w:lvl w:ilvl="7">
      <w:start w:val="1"/>
      <w:numFmt w:val="none"/>
      <w:suff w:val="nothing"/>
      <w:lvlText w:val="%8"/>
      <w:lvlJc w:val="left"/>
      <w:pPr>
        <w:tabs>
          <w:tab w:val="num" w:pos="3888"/>
        </w:tabs>
        <w:ind w:left="3888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3888"/>
        </w:tabs>
        <w:ind w:left="3888" w:firstLine="0"/>
      </w:pPr>
    </w:lvl>
  </w:abstractNum>
  <w:abstractNum w:abstractNumId="12">
    <w:nsid w:val="676B2E12"/>
    <w:multiLevelType w:val="hybridMultilevel"/>
    <w:tmpl w:val="44F61EA4"/>
    <w:lvl w:ilvl="0" w:tplc="6A0EF176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12"/>
  </w:num>
  <w:num w:numId="10">
    <w:abstractNumId w:val="10"/>
  </w:num>
  <w:num w:numId="11">
    <w:abstractNumId w:val="1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475"/>
  <w:autoHyphenation/>
  <w:hyphenationZone w:val="220"/>
  <w:doNotHyphenateCaps/>
  <w:evenAndOddHeaders/>
  <w:drawingGridHorizontalSpacing w:val="209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noColumnBalance/>
    <w:printColBlack/>
    <w:showBreaksInFrames/>
    <w:suppressBottomSpacing/>
    <w:suppressTopSpacing/>
    <w:suppressSpBfAfterPgBrk/>
    <w:shapeLayoutLikeWW8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Barcode" w:val="*1512081*"/>
    <w:docVar w:name="CreationDt" w:val="8/24/2015 2:26: PM"/>
    <w:docVar w:name="DocCategory" w:val="Doc"/>
    <w:docVar w:name="DocType" w:val="Final"/>
    <w:docVar w:name="DutyStation" w:val="Geneva"/>
    <w:docVar w:name="FooterJN" w:val="GE.15-12081"/>
    <w:docVar w:name="jobn" w:val="GE.15-12081 (R)"/>
    <w:docVar w:name="jobnDT" w:val="GE.15-12081 (R)   240815"/>
    <w:docVar w:name="jobnDTDT" w:val="GE.15-12081 (R)   240815   240815"/>
    <w:docVar w:name="JobNo" w:val="GE.1512081R"/>
    <w:docVar w:name="JobNo2" w:val="1515895R"/>
    <w:docVar w:name="LocalDrive" w:val="0"/>
    <w:docVar w:name="OandT" w:val=" "/>
    <w:docVar w:name="PaperSize" w:val="A4"/>
    <w:docVar w:name="sss1" w:val="A/HRC/30/24"/>
    <w:docVar w:name="sss2" w:val="-"/>
    <w:docVar w:name="Symbol1" w:val="A/HRC/30/24"/>
    <w:docVar w:name="Symbol2" w:val="-"/>
  </w:docVars>
  <w:rsids>
    <w:rsidRoot w:val="00FA3248"/>
    <w:rsid w:val="00004615"/>
    <w:rsid w:val="00004756"/>
    <w:rsid w:val="00013E03"/>
    <w:rsid w:val="00015201"/>
    <w:rsid w:val="00024A67"/>
    <w:rsid w:val="00025CF3"/>
    <w:rsid w:val="0002669B"/>
    <w:rsid w:val="00033C1F"/>
    <w:rsid w:val="00043BE1"/>
    <w:rsid w:val="000513EF"/>
    <w:rsid w:val="0005420D"/>
    <w:rsid w:val="00055EA2"/>
    <w:rsid w:val="00067A5A"/>
    <w:rsid w:val="00067A90"/>
    <w:rsid w:val="00070C37"/>
    <w:rsid w:val="000738BD"/>
    <w:rsid w:val="00076F88"/>
    <w:rsid w:val="0008067C"/>
    <w:rsid w:val="00092464"/>
    <w:rsid w:val="000A111E"/>
    <w:rsid w:val="000A4A11"/>
    <w:rsid w:val="000B02B7"/>
    <w:rsid w:val="000C069D"/>
    <w:rsid w:val="000C67BC"/>
    <w:rsid w:val="000D64CF"/>
    <w:rsid w:val="000E0F08"/>
    <w:rsid w:val="000E30BA"/>
    <w:rsid w:val="000E35C6"/>
    <w:rsid w:val="000E3712"/>
    <w:rsid w:val="000E4411"/>
    <w:rsid w:val="000E51A5"/>
    <w:rsid w:val="000F1ACD"/>
    <w:rsid w:val="000F5D07"/>
    <w:rsid w:val="00105B0E"/>
    <w:rsid w:val="00113678"/>
    <w:rsid w:val="001235FD"/>
    <w:rsid w:val="001444A3"/>
    <w:rsid w:val="00153645"/>
    <w:rsid w:val="00153E8C"/>
    <w:rsid w:val="00160648"/>
    <w:rsid w:val="00161F29"/>
    <w:rsid w:val="00162E88"/>
    <w:rsid w:val="001726A4"/>
    <w:rsid w:val="00175AC4"/>
    <w:rsid w:val="00177361"/>
    <w:rsid w:val="001802BD"/>
    <w:rsid w:val="00191A16"/>
    <w:rsid w:val="00193822"/>
    <w:rsid w:val="0019704E"/>
    <w:rsid w:val="001A39EE"/>
    <w:rsid w:val="001A4338"/>
    <w:rsid w:val="001A6777"/>
    <w:rsid w:val="001C54CE"/>
    <w:rsid w:val="001D1749"/>
    <w:rsid w:val="001D2679"/>
    <w:rsid w:val="001D60ED"/>
    <w:rsid w:val="001E21CE"/>
    <w:rsid w:val="001E25A2"/>
    <w:rsid w:val="001E61AD"/>
    <w:rsid w:val="001E639C"/>
    <w:rsid w:val="001F4353"/>
    <w:rsid w:val="001F639D"/>
    <w:rsid w:val="00205CBD"/>
    <w:rsid w:val="00206603"/>
    <w:rsid w:val="002078A2"/>
    <w:rsid w:val="00211A7E"/>
    <w:rsid w:val="00215955"/>
    <w:rsid w:val="00217A24"/>
    <w:rsid w:val="00223C57"/>
    <w:rsid w:val="00242477"/>
    <w:rsid w:val="00244051"/>
    <w:rsid w:val="002524D1"/>
    <w:rsid w:val="002535D8"/>
    <w:rsid w:val="00254046"/>
    <w:rsid w:val="002564AC"/>
    <w:rsid w:val="00261386"/>
    <w:rsid w:val="00261C41"/>
    <w:rsid w:val="00264124"/>
    <w:rsid w:val="00264A43"/>
    <w:rsid w:val="002726BA"/>
    <w:rsid w:val="00277697"/>
    <w:rsid w:val="00281B96"/>
    <w:rsid w:val="002853F1"/>
    <w:rsid w:val="00297C3D"/>
    <w:rsid w:val="002A04A3"/>
    <w:rsid w:val="002A0BAE"/>
    <w:rsid w:val="002A2DD8"/>
    <w:rsid w:val="002A7921"/>
    <w:rsid w:val="002B1213"/>
    <w:rsid w:val="002B6501"/>
    <w:rsid w:val="002B6E2A"/>
    <w:rsid w:val="002C0A4B"/>
    <w:rsid w:val="002C3DE6"/>
    <w:rsid w:val="002C66D0"/>
    <w:rsid w:val="002D396F"/>
    <w:rsid w:val="002D4606"/>
    <w:rsid w:val="002D666D"/>
    <w:rsid w:val="002E1F79"/>
    <w:rsid w:val="002F5C45"/>
    <w:rsid w:val="002F6149"/>
    <w:rsid w:val="002F7D25"/>
    <w:rsid w:val="00325C10"/>
    <w:rsid w:val="00326F5F"/>
    <w:rsid w:val="00332D90"/>
    <w:rsid w:val="00333B06"/>
    <w:rsid w:val="00337D91"/>
    <w:rsid w:val="00346BFB"/>
    <w:rsid w:val="00350756"/>
    <w:rsid w:val="003533EA"/>
    <w:rsid w:val="003542EE"/>
    <w:rsid w:val="00360D26"/>
    <w:rsid w:val="00362FFE"/>
    <w:rsid w:val="003658B0"/>
    <w:rsid w:val="0037309D"/>
    <w:rsid w:val="0038044D"/>
    <w:rsid w:val="00384AEE"/>
    <w:rsid w:val="0038527A"/>
    <w:rsid w:val="00391367"/>
    <w:rsid w:val="0039505F"/>
    <w:rsid w:val="003A150E"/>
    <w:rsid w:val="003A2730"/>
    <w:rsid w:val="003B16B4"/>
    <w:rsid w:val="003B5A03"/>
    <w:rsid w:val="003C12AC"/>
    <w:rsid w:val="003C2842"/>
    <w:rsid w:val="003D0825"/>
    <w:rsid w:val="003D2003"/>
    <w:rsid w:val="003D5DA2"/>
    <w:rsid w:val="003E5193"/>
    <w:rsid w:val="00401CDD"/>
    <w:rsid w:val="00402244"/>
    <w:rsid w:val="00415DEC"/>
    <w:rsid w:val="00427FE5"/>
    <w:rsid w:val="00433222"/>
    <w:rsid w:val="00436A23"/>
    <w:rsid w:val="00436F13"/>
    <w:rsid w:val="004420FB"/>
    <w:rsid w:val="00445A4E"/>
    <w:rsid w:val="004502EC"/>
    <w:rsid w:val="004504A6"/>
    <w:rsid w:val="00460D23"/>
    <w:rsid w:val="004645DD"/>
    <w:rsid w:val="0047759D"/>
    <w:rsid w:val="00487893"/>
    <w:rsid w:val="0049612D"/>
    <w:rsid w:val="004964B8"/>
    <w:rsid w:val="004A21EE"/>
    <w:rsid w:val="004A36EE"/>
    <w:rsid w:val="004A4ABB"/>
    <w:rsid w:val="004A7499"/>
    <w:rsid w:val="004B1314"/>
    <w:rsid w:val="004B16C7"/>
    <w:rsid w:val="004B722C"/>
    <w:rsid w:val="004B7912"/>
    <w:rsid w:val="004C1B79"/>
    <w:rsid w:val="004C2FD9"/>
    <w:rsid w:val="004C6A2C"/>
    <w:rsid w:val="004D275F"/>
    <w:rsid w:val="004D474D"/>
    <w:rsid w:val="004D6276"/>
    <w:rsid w:val="004D656E"/>
    <w:rsid w:val="004E0415"/>
    <w:rsid w:val="004E6443"/>
    <w:rsid w:val="004E7743"/>
    <w:rsid w:val="00504669"/>
    <w:rsid w:val="005058E0"/>
    <w:rsid w:val="00511EAC"/>
    <w:rsid w:val="005121DC"/>
    <w:rsid w:val="00513113"/>
    <w:rsid w:val="00515869"/>
    <w:rsid w:val="005214BA"/>
    <w:rsid w:val="00522E6D"/>
    <w:rsid w:val="00524A24"/>
    <w:rsid w:val="005251C4"/>
    <w:rsid w:val="00526E12"/>
    <w:rsid w:val="00532028"/>
    <w:rsid w:val="00532578"/>
    <w:rsid w:val="00533411"/>
    <w:rsid w:val="00533DAB"/>
    <w:rsid w:val="005427EA"/>
    <w:rsid w:val="00545562"/>
    <w:rsid w:val="0054563F"/>
    <w:rsid w:val="005469E1"/>
    <w:rsid w:val="0055087F"/>
    <w:rsid w:val="00552E08"/>
    <w:rsid w:val="005635F7"/>
    <w:rsid w:val="00563A41"/>
    <w:rsid w:val="0056579C"/>
    <w:rsid w:val="00567706"/>
    <w:rsid w:val="00572298"/>
    <w:rsid w:val="005734C2"/>
    <w:rsid w:val="00574AA1"/>
    <w:rsid w:val="0057633B"/>
    <w:rsid w:val="00577545"/>
    <w:rsid w:val="00585859"/>
    <w:rsid w:val="00590EDF"/>
    <w:rsid w:val="005933CB"/>
    <w:rsid w:val="00593E2F"/>
    <w:rsid w:val="00595A74"/>
    <w:rsid w:val="005A002C"/>
    <w:rsid w:val="005A1D01"/>
    <w:rsid w:val="005A5601"/>
    <w:rsid w:val="005A62A9"/>
    <w:rsid w:val="005A6E0E"/>
    <w:rsid w:val="005A7964"/>
    <w:rsid w:val="005B064E"/>
    <w:rsid w:val="005B499C"/>
    <w:rsid w:val="005C0440"/>
    <w:rsid w:val="005D38B6"/>
    <w:rsid w:val="005D7642"/>
    <w:rsid w:val="005E0A46"/>
    <w:rsid w:val="005E3D0D"/>
    <w:rsid w:val="005E7DCF"/>
    <w:rsid w:val="005F02E0"/>
    <w:rsid w:val="005F6E5C"/>
    <w:rsid w:val="00602F9D"/>
    <w:rsid w:val="0060593E"/>
    <w:rsid w:val="00616B8D"/>
    <w:rsid w:val="006261A6"/>
    <w:rsid w:val="0062751F"/>
    <w:rsid w:val="00632AFD"/>
    <w:rsid w:val="0063491E"/>
    <w:rsid w:val="00634A27"/>
    <w:rsid w:val="00634BC5"/>
    <w:rsid w:val="00635AF8"/>
    <w:rsid w:val="006409EF"/>
    <w:rsid w:val="006459C6"/>
    <w:rsid w:val="00646363"/>
    <w:rsid w:val="00647668"/>
    <w:rsid w:val="00655212"/>
    <w:rsid w:val="00657EE4"/>
    <w:rsid w:val="006816AA"/>
    <w:rsid w:val="00682A27"/>
    <w:rsid w:val="00684FCA"/>
    <w:rsid w:val="0069689E"/>
    <w:rsid w:val="006A1698"/>
    <w:rsid w:val="006A1D06"/>
    <w:rsid w:val="006A3F10"/>
    <w:rsid w:val="006A71EB"/>
    <w:rsid w:val="006B34CB"/>
    <w:rsid w:val="006B452C"/>
    <w:rsid w:val="006B590B"/>
    <w:rsid w:val="006C44B7"/>
    <w:rsid w:val="006C59D5"/>
    <w:rsid w:val="006D58BE"/>
    <w:rsid w:val="006E1418"/>
    <w:rsid w:val="006F3683"/>
    <w:rsid w:val="00700738"/>
    <w:rsid w:val="00705549"/>
    <w:rsid w:val="0071210D"/>
    <w:rsid w:val="00716BC5"/>
    <w:rsid w:val="007170E5"/>
    <w:rsid w:val="00723115"/>
    <w:rsid w:val="00724550"/>
    <w:rsid w:val="00730859"/>
    <w:rsid w:val="00731830"/>
    <w:rsid w:val="00736A19"/>
    <w:rsid w:val="00743C8D"/>
    <w:rsid w:val="00745258"/>
    <w:rsid w:val="007639D3"/>
    <w:rsid w:val="00767AED"/>
    <w:rsid w:val="0077374B"/>
    <w:rsid w:val="007746A3"/>
    <w:rsid w:val="007766E6"/>
    <w:rsid w:val="00781ACA"/>
    <w:rsid w:val="00785F8F"/>
    <w:rsid w:val="00787B44"/>
    <w:rsid w:val="00790CD9"/>
    <w:rsid w:val="00791F20"/>
    <w:rsid w:val="00795A5A"/>
    <w:rsid w:val="00796EC3"/>
    <w:rsid w:val="007A0441"/>
    <w:rsid w:val="007B098D"/>
    <w:rsid w:val="007B1DE5"/>
    <w:rsid w:val="007B5785"/>
    <w:rsid w:val="007B5CF3"/>
    <w:rsid w:val="007B67AE"/>
    <w:rsid w:val="007C62D1"/>
    <w:rsid w:val="007C706F"/>
    <w:rsid w:val="007C7320"/>
    <w:rsid w:val="007E0E39"/>
    <w:rsid w:val="007E2B60"/>
    <w:rsid w:val="007F0E54"/>
    <w:rsid w:val="007F5107"/>
    <w:rsid w:val="007F6CA5"/>
    <w:rsid w:val="00801E14"/>
    <w:rsid w:val="00803EC5"/>
    <w:rsid w:val="008040BA"/>
    <w:rsid w:val="008042D6"/>
    <w:rsid w:val="00806380"/>
    <w:rsid w:val="00821CE2"/>
    <w:rsid w:val="00830FF8"/>
    <w:rsid w:val="00833A04"/>
    <w:rsid w:val="00833B8D"/>
    <w:rsid w:val="00843750"/>
    <w:rsid w:val="00844407"/>
    <w:rsid w:val="00853E2A"/>
    <w:rsid w:val="008541E9"/>
    <w:rsid w:val="00856EEB"/>
    <w:rsid w:val="00860AD3"/>
    <w:rsid w:val="008718D3"/>
    <w:rsid w:val="00873020"/>
    <w:rsid w:val="008739EB"/>
    <w:rsid w:val="008776BB"/>
    <w:rsid w:val="00880540"/>
    <w:rsid w:val="0088396E"/>
    <w:rsid w:val="00884EB1"/>
    <w:rsid w:val="008A1A7A"/>
    <w:rsid w:val="008A45EE"/>
    <w:rsid w:val="008B0632"/>
    <w:rsid w:val="008B08A3"/>
    <w:rsid w:val="008B4F64"/>
    <w:rsid w:val="008B53C0"/>
    <w:rsid w:val="008B5F7F"/>
    <w:rsid w:val="008B64B1"/>
    <w:rsid w:val="008B6A49"/>
    <w:rsid w:val="008B709D"/>
    <w:rsid w:val="008C11F5"/>
    <w:rsid w:val="008C2A03"/>
    <w:rsid w:val="008C6372"/>
    <w:rsid w:val="008C6CB6"/>
    <w:rsid w:val="008D0CE3"/>
    <w:rsid w:val="008E7A0A"/>
    <w:rsid w:val="008F12FD"/>
    <w:rsid w:val="008F13EA"/>
    <w:rsid w:val="008F24E6"/>
    <w:rsid w:val="00904F3C"/>
    <w:rsid w:val="0090623F"/>
    <w:rsid w:val="00906702"/>
    <w:rsid w:val="00907EDB"/>
    <w:rsid w:val="009110C5"/>
    <w:rsid w:val="00912FB5"/>
    <w:rsid w:val="00913A54"/>
    <w:rsid w:val="00915944"/>
    <w:rsid w:val="009228D9"/>
    <w:rsid w:val="009312DC"/>
    <w:rsid w:val="009327BF"/>
    <w:rsid w:val="00934047"/>
    <w:rsid w:val="00935F33"/>
    <w:rsid w:val="0094745A"/>
    <w:rsid w:val="00952B5F"/>
    <w:rsid w:val="00953546"/>
    <w:rsid w:val="0095649D"/>
    <w:rsid w:val="009565AD"/>
    <w:rsid w:val="00963BDB"/>
    <w:rsid w:val="00984EE4"/>
    <w:rsid w:val="00990168"/>
    <w:rsid w:val="0099354F"/>
    <w:rsid w:val="00996CBB"/>
    <w:rsid w:val="009B16EA"/>
    <w:rsid w:val="009B3444"/>
    <w:rsid w:val="009B5DCD"/>
    <w:rsid w:val="009B5EE6"/>
    <w:rsid w:val="009B7193"/>
    <w:rsid w:val="009C20B9"/>
    <w:rsid w:val="009C382E"/>
    <w:rsid w:val="009C495F"/>
    <w:rsid w:val="009C6A25"/>
    <w:rsid w:val="009D28B9"/>
    <w:rsid w:val="009D6E3D"/>
    <w:rsid w:val="009E5E58"/>
    <w:rsid w:val="009F0808"/>
    <w:rsid w:val="00A070E6"/>
    <w:rsid w:val="00A1426A"/>
    <w:rsid w:val="00A14F1D"/>
    <w:rsid w:val="00A1703F"/>
    <w:rsid w:val="00A2180A"/>
    <w:rsid w:val="00A22293"/>
    <w:rsid w:val="00A26973"/>
    <w:rsid w:val="00A2777D"/>
    <w:rsid w:val="00A344D5"/>
    <w:rsid w:val="00A46574"/>
    <w:rsid w:val="00A471A3"/>
    <w:rsid w:val="00A47B1B"/>
    <w:rsid w:val="00A63339"/>
    <w:rsid w:val="00A90F41"/>
    <w:rsid w:val="00A910E7"/>
    <w:rsid w:val="00A93B3B"/>
    <w:rsid w:val="00A951DD"/>
    <w:rsid w:val="00A9600A"/>
    <w:rsid w:val="00A96C80"/>
    <w:rsid w:val="00AA0ABF"/>
    <w:rsid w:val="00AA27C2"/>
    <w:rsid w:val="00AB2CCF"/>
    <w:rsid w:val="00AB49FD"/>
    <w:rsid w:val="00AC271B"/>
    <w:rsid w:val="00AD12DB"/>
    <w:rsid w:val="00AD6322"/>
    <w:rsid w:val="00AD6752"/>
    <w:rsid w:val="00AD78B1"/>
    <w:rsid w:val="00AE160E"/>
    <w:rsid w:val="00AF0B91"/>
    <w:rsid w:val="00AF1A65"/>
    <w:rsid w:val="00AF3B70"/>
    <w:rsid w:val="00B03D42"/>
    <w:rsid w:val="00B11766"/>
    <w:rsid w:val="00B17439"/>
    <w:rsid w:val="00B17940"/>
    <w:rsid w:val="00B17A11"/>
    <w:rsid w:val="00B2296A"/>
    <w:rsid w:val="00B2472B"/>
    <w:rsid w:val="00B2753B"/>
    <w:rsid w:val="00B30444"/>
    <w:rsid w:val="00B33139"/>
    <w:rsid w:val="00B36652"/>
    <w:rsid w:val="00B44E4D"/>
    <w:rsid w:val="00B47187"/>
    <w:rsid w:val="00B5129B"/>
    <w:rsid w:val="00B56376"/>
    <w:rsid w:val="00B5741E"/>
    <w:rsid w:val="00B606B7"/>
    <w:rsid w:val="00B62C69"/>
    <w:rsid w:val="00B666EC"/>
    <w:rsid w:val="00B77560"/>
    <w:rsid w:val="00B77FC0"/>
    <w:rsid w:val="00B81122"/>
    <w:rsid w:val="00B85CE6"/>
    <w:rsid w:val="00BB052D"/>
    <w:rsid w:val="00BB1F92"/>
    <w:rsid w:val="00BB46C6"/>
    <w:rsid w:val="00BB5B7F"/>
    <w:rsid w:val="00BB7E8A"/>
    <w:rsid w:val="00BC20A0"/>
    <w:rsid w:val="00BC75AA"/>
    <w:rsid w:val="00BD0770"/>
    <w:rsid w:val="00BD2F16"/>
    <w:rsid w:val="00BE2488"/>
    <w:rsid w:val="00BE2D25"/>
    <w:rsid w:val="00BE448A"/>
    <w:rsid w:val="00BE531D"/>
    <w:rsid w:val="00BF2725"/>
    <w:rsid w:val="00BF3D60"/>
    <w:rsid w:val="00BF5FCB"/>
    <w:rsid w:val="00C00290"/>
    <w:rsid w:val="00C05FFF"/>
    <w:rsid w:val="00C16B93"/>
    <w:rsid w:val="00C215D6"/>
    <w:rsid w:val="00C2210E"/>
    <w:rsid w:val="00C2524E"/>
    <w:rsid w:val="00C32802"/>
    <w:rsid w:val="00C35DFA"/>
    <w:rsid w:val="00C40B0B"/>
    <w:rsid w:val="00C41B6F"/>
    <w:rsid w:val="00C42BBF"/>
    <w:rsid w:val="00C44979"/>
    <w:rsid w:val="00C45525"/>
    <w:rsid w:val="00C45A45"/>
    <w:rsid w:val="00C47EFE"/>
    <w:rsid w:val="00C50728"/>
    <w:rsid w:val="00C56B0F"/>
    <w:rsid w:val="00C60105"/>
    <w:rsid w:val="00C623BF"/>
    <w:rsid w:val="00C62B8D"/>
    <w:rsid w:val="00C6396F"/>
    <w:rsid w:val="00C640D1"/>
    <w:rsid w:val="00C64551"/>
    <w:rsid w:val="00C65540"/>
    <w:rsid w:val="00C7011D"/>
    <w:rsid w:val="00C70D59"/>
    <w:rsid w:val="00C7432F"/>
    <w:rsid w:val="00C77473"/>
    <w:rsid w:val="00C856F4"/>
    <w:rsid w:val="00C91210"/>
    <w:rsid w:val="00C94257"/>
    <w:rsid w:val="00C96443"/>
    <w:rsid w:val="00CA2CF3"/>
    <w:rsid w:val="00CB519E"/>
    <w:rsid w:val="00CC3D89"/>
    <w:rsid w:val="00CC5B37"/>
    <w:rsid w:val="00CD2ED3"/>
    <w:rsid w:val="00CD3C62"/>
    <w:rsid w:val="00CE4211"/>
    <w:rsid w:val="00CE7985"/>
    <w:rsid w:val="00CF021B"/>
    <w:rsid w:val="00CF066B"/>
    <w:rsid w:val="00CF07BE"/>
    <w:rsid w:val="00CF4412"/>
    <w:rsid w:val="00CF5B33"/>
    <w:rsid w:val="00D01748"/>
    <w:rsid w:val="00D028FF"/>
    <w:rsid w:val="00D03ECD"/>
    <w:rsid w:val="00D05963"/>
    <w:rsid w:val="00D067BA"/>
    <w:rsid w:val="00D07231"/>
    <w:rsid w:val="00D11640"/>
    <w:rsid w:val="00D1470E"/>
    <w:rsid w:val="00D20AA4"/>
    <w:rsid w:val="00D25A7B"/>
    <w:rsid w:val="00D32157"/>
    <w:rsid w:val="00D434AF"/>
    <w:rsid w:val="00D44FA6"/>
    <w:rsid w:val="00D554C9"/>
    <w:rsid w:val="00D61BB7"/>
    <w:rsid w:val="00D62DA9"/>
    <w:rsid w:val="00D70D97"/>
    <w:rsid w:val="00D7165D"/>
    <w:rsid w:val="00D75705"/>
    <w:rsid w:val="00D961D6"/>
    <w:rsid w:val="00D97B17"/>
    <w:rsid w:val="00DA1A4A"/>
    <w:rsid w:val="00DA4AFE"/>
    <w:rsid w:val="00DA4BD0"/>
    <w:rsid w:val="00DB058E"/>
    <w:rsid w:val="00DB326E"/>
    <w:rsid w:val="00DC1E7E"/>
    <w:rsid w:val="00DC31D2"/>
    <w:rsid w:val="00DC7A5F"/>
    <w:rsid w:val="00DD6A66"/>
    <w:rsid w:val="00DE0D15"/>
    <w:rsid w:val="00DF1CF0"/>
    <w:rsid w:val="00DF6656"/>
    <w:rsid w:val="00DF7388"/>
    <w:rsid w:val="00E04C73"/>
    <w:rsid w:val="00E079A3"/>
    <w:rsid w:val="00E12674"/>
    <w:rsid w:val="00E132AC"/>
    <w:rsid w:val="00E15CCC"/>
    <w:rsid w:val="00E15D7D"/>
    <w:rsid w:val="00E17234"/>
    <w:rsid w:val="00E23ABA"/>
    <w:rsid w:val="00E261F5"/>
    <w:rsid w:val="00E34A5B"/>
    <w:rsid w:val="00E3623B"/>
    <w:rsid w:val="00E4741B"/>
    <w:rsid w:val="00E478DE"/>
    <w:rsid w:val="00E5226F"/>
    <w:rsid w:val="00E53135"/>
    <w:rsid w:val="00E54D94"/>
    <w:rsid w:val="00E6111E"/>
    <w:rsid w:val="00E616D0"/>
    <w:rsid w:val="00E61FD8"/>
    <w:rsid w:val="00E62CCE"/>
    <w:rsid w:val="00E62D29"/>
    <w:rsid w:val="00E64F51"/>
    <w:rsid w:val="00E65C07"/>
    <w:rsid w:val="00E8225E"/>
    <w:rsid w:val="00E847AF"/>
    <w:rsid w:val="00E86497"/>
    <w:rsid w:val="00E90547"/>
    <w:rsid w:val="00E970B0"/>
    <w:rsid w:val="00EA1656"/>
    <w:rsid w:val="00EA1819"/>
    <w:rsid w:val="00EA255B"/>
    <w:rsid w:val="00EA4CD6"/>
    <w:rsid w:val="00EB1F66"/>
    <w:rsid w:val="00EB646E"/>
    <w:rsid w:val="00EC34C1"/>
    <w:rsid w:val="00EC6F5D"/>
    <w:rsid w:val="00EC7A61"/>
    <w:rsid w:val="00ED1C96"/>
    <w:rsid w:val="00EE3586"/>
    <w:rsid w:val="00EE63A7"/>
    <w:rsid w:val="00EE7954"/>
    <w:rsid w:val="00EF1FBD"/>
    <w:rsid w:val="00EF29BE"/>
    <w:rsid w:val="00F07943"/>
    <w:rsid w:val="00F07DDF"/>
    <w:rsid w:val="00F16256"/>
    <w:rsid w:val="00F231E8"/>
    <w:rsid w:val="00F26EA8"/>
    <w:rsid w:val="00F30632"/>
    <w:rsid w:val="00F33544"/>
    <w:rsid w:val="00F35ACF"/>
    <w:rsid w:val="00F51C87"/>
    <w:rsid w:val="00F5214D"/>
    <w:rsid w:val="00F624BD"/>
    <w:rsid w:val="00F62A5E"/>
    <w:rsid w:val="00F631B9"/>
    <w:rsid w:val="00F634A6"/>
    <w:rsid w:val="00F6634F"/>
    <w:rsid w:val="00F72CD1"/>
    <w:rsid w:val="00F74A39"/>
    <w:rsid w:val="00F80652"/>
    <w:rsid w:val="00F8138E"/>
    <w:rsid w:val="00F85203"/>
    <w:rsid w:val="00F87D5A"/>
    <w:rsid w:val="00F87EF6"/>
    <w:rsid w:val="00F92676"/>
    <w:rsid w:val="00F94262"/>
    <w:rsid w:val="00F947D0"/>
    <w:rsid w:val="00F9616B"/>
    <w:rsid w:val="00F979A8"/>
    <w:rsid w:val="00FA1B93"/>
    <w:rsid w:val="00FA3248"/>
    <w:rsid w:val="00FA5551"/>
    <w:rsid w:val="00FA7C7A"/>
    <w:rsid w:val="00FC1C00"/>
    <w:rsid w:val="00FD213B"/>
    <w:rsid w:val="00FD3CE8"/>
    <w:rsid w:val="00FD5B91"/>
    <w:rsid w:val="00FD7513"/>
    <w:rsid w:val="00FE179A"/>
    <w:rsid w:val="00FE2684"/>
    <w:rsid w:val="00FF07F5"/>
    <w:rsid w:val="00FF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semiHidden="0" w:uiPriority="1" w:unhideWhenUsed="0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B46C6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unhideWhenUsed/>
    <w:rsid w:val="00515869"/>
    <w:pPr>
      <w:suppressAutoHyphens/>
      <w:spacing w:line="240" w:lineRule="auto"/>
    </w:pPr>
    <w:rPr>
      <w:spacing w:val="5"/>
      <w:w w:val="10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515869"/>
    <w:rPr>
      <w:rFonts w:ascii="Times New Roman" w:hAnsi="Times New Roman"/>
      <w:spacing w:val="5"/>
      <w:w w:val="104"/>
      <w:kern w:val="14"/>
      <w:sz w:val="20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EndnoteReference">
    <w:name w:val="end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CommentReference">
    <w:name w:val="annotation reference"/>
    <w:basedOn w:val="DefaultParagraphFont"/>
    <w:uiPriority w:val="1"/>
    <w:semiHidden/>
    <w:unhideWhenUsed/>
    <w:rsid w:val="00043B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3BE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3BE1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3BE1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semiHidden="0" w:uiPriority="1" w:unhideWhenUsed="0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B46C6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unhideWhenUsed/>
    <w:rsid w:val="00515869"/>
    <w:pPr>
      <w:suppressAutoHyphens/>
      <w:spacing w:line="240" w:lineRule="auto"/>
    </w:pPr>
    <w:rPr>
      <w:spacing w:val="5"/>
      <w:w w:val="10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515869"/>
    <w:rPr>
      <w:rFonts w:ascii="Times New Roman" w:hAnsi="Times New Roman"/>
      <w:spacing w:val="5"/>
      <w:w w:val="104"/>
      <w:kern w:val="14"/>
      <w:sz w:val="20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EndnoteReference">
    <w:name w:val="end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CommentReference">
    <w:name w:val="annotation reference"/>
    <w:basedOn w:val="DefaultParagraphFont"/>
    <w:uiPriority w:val="1"/>
    <w:semiHidden/>
    <w:unhideWhenUsed/>
    <w:rsid w:val="00043B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3BE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3BE1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3BE1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omments" Target="comments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70F518423CB4F888C4265EEC2C475" ma:contentTypeVersion="2" ma:contentTypeDescription="Create a new document." ma:contentTypeScope="" ma:versionID="ebb03bda892d24bac8d68337884879b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14485-E360-40DD-8A77-B64FF7CA0801}"/>
</file>

<file path=customXml/itemProps2.xml><?xml version="1.0" encoding="utf-8"?>
<ds:datastoreItem xmlns:ds="http://schemas.openxmlformats.org/officeDocument/2006/customXml" ds:itemID="{9258FEC3-7AF8-45D4-9CAC-02029E9FAC40}"/>
</file>

<file path=customXml/itemProps3.xml><?xml version="1.0" encoding="utf-8"?>
<ds:datastoreItem xmlns:ds="http://schemas.openxmlformats.org/officeDocument/2006/customXml" ds:itemID="{BE4231DD-802E-435A-99B9-A55736FE2209}"/>
</file>

<file path=customXml/itemProps4.xml><?xml version="1.0" encoding="utf-8"?>
<ds:datastoreItem xmlns:ds="http://schemas.openxmlformats.org/officeDocument/2006/customXml" ds:itemID="{5F5F9EC4-27F7-42D8-A93C-A65105A2BD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9734</Words>
  <Characters>55484</Characters>
  <Application>Microsoft Office Word</Application>
  <DocSecurity>0</DocSecurity>
  <Lines>462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20150602</vt:lpstr>
    </vt:vector>
  </TitlesOfParts>
  <Company>DCM</Company>
  <LinksUpToDate>false</LinksUpToDate>
  <CharactersWithSpaces>65088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of the implementation of the second phase of the World Programme for Human Rights Education in Russian</dc:title>
  <dc:creator>Sharkina</dc:creator>
  <cp:lastModifiedBy>Sharkina</cp:lastModifiedBy>
  <cp:revision>3</cp:revision>
  <cp:lastPrinted>2015-08-24T15:01:00Z</cp:lastPrinted>
  <dcterms:created xsi:type="dcterms:W3CDTF">2015-08-24T15:01:00Z</dcterms:created>
  <dcterms:modified xsi:type="dcterms:W3CDTF">2015-08-24T15:01:00Z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1512081R</vt:lpwstr>
  </property>
  <property fmtid="{D5CDD505-2E9C-101B-9397-08002B2CF9AE}" pid="3" name="ODSRefJobNo">
    <vt:lpwstr>1515895R</vt:lpwstr>
  </property>
  <property fmtid="{D5CDD505-2E9C-101B-9397-08002B2CF9AE}" pid="4" name="Symbol1">
    <vt:lpwstr>A/HRC/30/24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Operator">
    <vt:lpwstr/>
  </property>
  <property fmtid="{D5CDD505-2E9C-101B-9397-08002B2CF9AE}" pid="8" name="DraftPages">
    <vt:lpwstr> </vt:lpwstr>
  </property>
  <property fmtid="{D5CDD505-2E9C-101B-9397-08002B2CF9AE}" pid="9" name="Comment">
    <vt:lpwstr/>
  </property>
  <property fmtid="{D5CDD505-2E9C-101B-9397-08002B2CF9AE}" pid="10" name="Distribution">
    <vt:lpwstr>General</vt:lpwstr>
  </property>
  <property fmtid="{D5CDD505-2E9C-101B-9397-08002B2CF9AE}" pid="11" name="Publication Date">
    <vt:lpwstr>16 July 2015</vt:lpwstr>
  </property>
  <property fmtid="{D5CDD505-2E9C-101B-9397-08002B2CF9AE}" pid="12" name="Original">
    <vt:lpwstr>English</vt:lpwstr>
  </property>
  <property fmtid="{D5CDD505-2E9C-101B-9397-08002B2CF9AE}" pid="13" name="Release Date">
    <vt:lpwstr>240815</vt:lpwstr>
  </property>
  <property fmtid="{D5CDD505-2E9C-101B-9397-08002B2CF9AE}" pid="14" name="ContentTypeId">
    <vt:lpwstr>0x010100EF670F518423CB4F888C4265EEC2C475</vt:lpwstr>
  </property>
  <property fmtid="{D5CDD505-2E9C-101B-9397-08002B2CF9AE}" pid="15" name="Order">
    <vt:r8>16700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