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DC" w:rsidRDefault="00442DDC" w:rsidP="00442DDC">
      <w:pPr>
        <w:spacing w:line="60" w:lineRule="exact"/>
        <w:rPr>
          <w:sz w:val="6"/>
        </w:rPr>
        <w:sectPr w:rsidR="00442DDC" w:rsidSect="00442DDC">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442DDC">
      <w:pPr>
        <w:spacing w:line="60" w:lineRule="exact"/>
        <w:rPr>
          <w:sz w:val="6"/>
        </w:rPr>
      </w:pPr>
    </w:p>
    <w:p w:rsidR="00180DBF" w:rsidRPr="00180DBF" w:rsidRDefault="00180DBF" w:rsidP="00180DBF">
      <w:pPr>
        <w:spacing w:before="120" w:line="240" w:lineRule="atLeast"/>
        <w:rPr>
          <w:rFonts w:ascii="SimHei" w:eastAsia="SimHei" w:hAnsi="SimHei"/>
          <w:b/>
          <w:sz w:val="24"/>
          <w:szCs w:val="24"/>
        </w:rPr>
      </w:pPr>
      <w:r w:rsidRPr="00180DBF">
        <w:rPr>
          <w:rFonts w:ascii="SimHei" w:eastAsia="SimHei" w:hAnsi="SimHei"/>
          <w:color w:val="000000"/>
          <w:sz w:val="24"/>
          <w:szCs w:val="24"/>
        </w:rPr>
        <w:t>人权理事会</w:t>
      </w:r>
    </w:p>
    <w:p w:rsidR="00180DBF" w:rsidRPr="00180DBF" w:rsidRDefault="00180DBF" w:rsidP="00180DBF">
      <w:pPr>
        <w:spacing w:line="240" w:lineRule="atLeast"/>
        <w:rPr>
          <w:rFonts w:ascii="SimHei" w:eastAsia="SimHei" w:hAnsi="SimHei"/>
          <w:b/>
          <w:szCs w:val="21"/>
        </w:rPr>
      </w:pPr>
      <w:r w:rsidRPr="00180DBF">
        <w:rPr>
          <w:rFonts w:ascii="SimHei" w:eastAsia="SimHei" w:hAnsi="SimHei"/>
          <w:color w:val="000000"/>
          <w:szCs w:val="21"/>
        </w:rPr>
        <w:t>第</w:t>
      </w:r>
      <w:r w:rsidRPr="00180DBF">
        <w:rPr>
          <w:rFonts w:ascii="SimHei" w:eastAsia="SimHei" w:hAnsi="SimHei" w:hint="eastAsia"/>
          <w:color w:val="000000"/>
          <w:szCs w:val="21"/>
        </w:rPr>
        <w:t>三</w:t>
      </w:r>
      <w:r w:rsidRPr="00180DBF">
        <w:rPr>
          <w:rFonts w:ascii="SimHei" w:eastAsia="SimHei" w:hAnsi="SimHei"/>
          <w:color w:val="000000"/>
          <w:szCs w:val="21"/>
        </w:rPr>
        <w:t>十届会议</w:t>
      </w:r>
    </w:p>
    <w:p w:rsidR="00180DBF" w:rsidRPr="00180DBF" w:rsidRDefault="00180DBF" w:rsidP="00180DBF">
      <w:pPr>
        <w:spacing w:line="240" w:lineRule="atLeast"/>
        <w:rPr>
          <w:szCs w:val="21"/>
        </w:rPr>
      </w:pPr>
      <w:r w:rsidRPr="00180DBF">
        <w:rPr>
          <w:rFonts w:ascii="SimSun" w:hAnsi="SimSun"/>
          <w:color w:val="000000"/>
          <w:szCs w:val="21"/>
        </w:rPr>
        <w:t>议程项目2和3</w:t>
      </w:r>
    </w:p>
    <w:p w:rsidR="00180DBF" w:rsidRPr="00180DBF" w:rsidRDefault="00180DBF" w:rsidP="00180DBF">
      <w:pPr>
        <w:spacing w:line="240" w:lineRule="atLeast"/>
        <w:rPr>
          <w:rFonts w:ascii="SimHei" w:eastAsia="SimHei" w:hAnsi="SimHei"/>
          <w:color w:val="000000"/>
          <w:szCs w:val="21"/>
        </w:rPr>
      </w:pPr>
      <w:r w:rsidRPr="00180DBF">
        <w:rPr>
          <w:rFonts w:ascii="SimHei" w:eastAsia="SimHei" w:hAnsi="SimHei"/>
          <w:color w:val="000000"/>
          <w:szCs w:val="21"/>
        </w:rPr>
        <w:t>联合国人权事务高级专员的年度报告</w:t>
      </w:r>
    </w:p>
    <w:p w:rsidR="00180DBF" w:rsidRPr="00180DBF" w:rsidRDefault="00180DBF" w:rsidP="00180DBF">
      <w:pPr>
        <w:spacing w:after="120" w:line="240" w:lineRule="atLeast"/>
        <w:rPr>
          <w:rFonts w:ascii="SimHei" w:eastAsia="SimHei" w:hAnsi="SimHei"/>
          <w:color w:val="000000"/>
          <w:szCs w:val="21"/>
        </w:rPr>
      </w:pPr>
      <w:r w:rsidRPr="00180DBF">
        <w:rPr>
          <w:rFonts w:ascii="SimHei" w:eastAsia="SimHei" w:hAnsi="SimHei"/>
          <w:color w:val="000000"/>
          <w:szCs w:val="21"/>
        </w:rPr>
        <w:t>以及高级专员办事处的报告和秘书长的报告</w:t>
      </w:r>
    </w:p>
    <w:p w:rsidR="00180DBF" w:rsidRPr="00180DBF" w:rsidRDefault="00180DBF" w:rsidP="006068E9">
      <w:pPr>
        <w:spacing w:line="240" w:lineRule="atLeast"/>
        <w:rPr>
          <w:rFonts w:ascii="SimHei" w:eastAsia="SimHei" w:hAnsi="SimHei"/>
          <w:color w:val="000000"/>
          <w:szCs w:val="21"/>
        </w:rPr>
      </w:pPr>
      <w:r w:rsidRPr="00180DBF">
        <w:rPr>
          <w:rFonts w:ascii="SimHei" w:eastAsia="SimHei" w:hAnsi="SimHei"/>
          <w:color w:val="000000"/>
          <w:szCs w:val="21"/>
        </w:rPr>
        <w:t>增进和保护所有人权</w:t>
      </w:r>
      <w:r w:rsidR="006068E9">
        <w:rPr>
          <w:rFonts w:hint="eastAsia"/>
          <w:spacing w:val="-50"/>
        </w:rPr>
        <w:t>―</w:t>
      </w:r>
      <w:r w:rsidR="006068E9">
        <w:rPr>
          <w:rFonts w:hint="eastAsia"/>
        </w:rPr>
        <w:t>―</w:t>
      </w:r>
      <w:r w:rsidRPr="00180DBF">
        <w:rPr>
          <w:rFonts w:ascii="SimHei" w:eastAsia="SimHei" w:hAnsi="SimHei"/>
          <w:color w:val="000000"/>
          <w:szCs w:val="21"/>
        </w:rPr>
        <w:t>公民权利、政治权利、</w:t>
      </w:r>
    </w:p>
    <w:p w:rsidR="00442DDC" w:rsidRPr="00180DBF" w:rsidRDefault="00180DBF" w:rsidP="00180DBF">
      <w:pPr>
        <w:spacing w:line="240" w:lineRule="atLeast"/>
        <w:rPr>
          <w:rFonts w:ascii="SimSun" w:hAnsi="SimSun"/>
          <w:color w:val="000000"/>
          <w:szCs w:val="21"/>
        </w:rPr>
      </w:pPr>
      <w:r w:rsidRPr="00180DBF">
        <w:rPr>
          <w:rFonts w:ascii="SimHei" w:eastAsia="SimHei" w:hAnsi="SimHei"/>
          <w:color w:val="000000"/>
          <w:szCs w:val="21"/>
        </w:rPr>
        <w:t>经济、社会和文化权利，包括发展权</w:t>
      </w:r>
    </w:p>
    <w:p w:rsidR="00180DBF" w:rsidRPr="00180DBF" w:rsidRDefault="00180DBF" w:rsidP="00180DB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0DBF" w:rsidRPr="00180DBF" w:rsidRDefault="00180DBF" w:rsidP="00180DB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0DBF" w:rsidRPr="00180DBF" w:rsidRDefault="00180DBF" w:rsidP="00180DB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0DBF" w:rsidRPr="00180DBF" w:rsidRDefault="00180DBF" w:rsidP="00180DB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180DBF">
        <w:t>在现有人权法背景下增进、保护和落实参与公共事务</w:t>
      </w:r>
      <w:r w:rsidRPr="00180DBF">
        <w:rPr>
          <w:rFonts w:hint="eastAsia"/>
        </w:rPr>
        <w:t>的权利：</w:t>
      </w:r>
      <w:r w:rsidRPr="00180DBF">
        <w:t>最佳做法、经验和挑战及克服挑战的方</w:t>
      </w:r>
      <w:r w:rsidRPr="00180DBF">
        <w:rPr>
          <w:rFonts w:hint="eastAsia"/>
        </w:rPr>
        <w:t>法</w:t>
      </w:r>
    </w:p>
    <w:p w:rsidR="00180DBF" w:rsidRPr="00180DBF" w:rsidRDefault="00180DBF" w:rsidP="00180D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0DBF" w:rsidRPr="00180DBF" w:rsidRDefault="00180DBF" w:rsidP="00180D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0DBF" w:rsidRPr="00180DBF" w:rsidRDefault="00180DBF" w:rsidP="00180D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0DBF" w:rsidRDefault="00180DBF" w:rsidP="00180DB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180DBF">
        <w:t>联合国人权事务高级专员办事处的报告</w:t>
      </w:r>
    </w:p>
    <w:p w:rsidR="00180DBF" w:rsidRPr="00180DBF" w:rsidRDefault="00180DBF" w:rsidP="00180DBF">
      <w:pPr>
        <w:pStyle w:val="SingleTxt"/>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180DBF" w:rsidTr="00180DBF">
        <w:tc>
          <w:tcPr>
            <w:tcW w:w="9850" w:type="dxa"/>
            <w:tcBorders>
              <w:top w:val="single" w:sz="2" w:space="0" w:color="auto"/>
            </w:tcBorders>
            <w:shd w:val="clear" w:color="auto" w:fill="auto"/>
          </w:tcPr>
          <w:p w:rsidR="00180DBF" w:rsidRPr="00180DBF" w:rsidRDefault="00180DBF" w:rsidP="00180DBF">
            <w:pPr>
              <w:tabs>
                <w:tab w:val="left" w:pos="240"/>
              </w:tabs>
              <w:spacing w:before="240" w:after="120"/>
              <w:rPr>
                <w:rFonts w:ascii="楷体" w:eastAsia="楷体" w:hAnsi="楷体"/>
                <w:iCs/>
                <w:sz w:val="24"/>
                <w:lang w:val="en-GB"/>
              </w:rPr>
            </w:pPr>
            <w:r>
              <w:rPr>
                <w:rFonts w:eastAsia="楷体" w:hint="eastAsia"/>
                <w:sz w:val="24"/>
                <w:lang w:val="en-GB"/>
              </w:rPr>
              <w:tab/>
            </w:r>
            <w:r w:rsidRPr="00180DBF">
              <w:rPr>
                <w:rFonts w:ascii="楷体" w:eastAsia="楷体" w:hAnsi="楷体" w:hint="eastAsia"/>
                <w:iCs/>
                <w:sz w:val="24"/>
              </w:rPr>
              <w:t>内容提要</w:t>
            </w:r>
          </w:p>
        </w:tc>
      </w:tr>
      <w:tr w:rsidR="00180DBF" w:rsidTr="00180DBF">
        <w:tc>
          <w:tcPr>
            <w:tcW w:w="9850" w:type="dxa"/>
            <w:shd w:val="clear" w:color="auto" w:fill="auto"/>
          </w:tcPr>
          <w:p w:rsidR="00180DBF" w:rsidRPr="00180DBF" w:rsidRDefault="00180DBF" w:rsidP="00180DBF">
            <w:pPr>
              <w:pStyle w:val="SingleTxt"/>
              <w:rPr>
                <w:lang w:val="en-GB"/>
              </w:rPr>
            </w:pPr>
            <w:r>
              <w:rPr>
                <w:lang w:val="en-GB"/>
              </w:rPr>
              <w:tab/>
            </w:r>
            <w:r>
              <w:rPr>
                <w:rFonts w:hint="eastAsia"/>
              </w:rPr>
              <w:t>本报告确定了参与政治和公共事务权的挑战及克服挑战的方法。报告提供了关于</w:t>
            </w:r>
            <w:r>
              <w:t>落实参与</w:t>
            </w:r>
            <w:r>
              <w:rPr>
                <w:rFonts w:hint="eastAsia"/>
              </w:rPr>
              <w:t>政治和</w:t>
            </w:r>
            <w:r>
              <w:t>公共事务</w:t>
            </w:r>
            <w:r>
              <w:rPr>
                <w:rFonts w:hint="eastAsia"/>
              </w:rPr>
              <w:t>权方面</w:t>
            </w:r>
            <w:r>
              <w:t>最佳做法</w:t>
            </w:r>
            <w:r>
              <w:rPr>
                <w:rFonts w:hint="eastAsia"/>
              </w:rPr>
              <w:t>和</w:t>
            </w:r>
            <w:r>
              <w:t>经验</w:t>
            </w:r>
            <w:r>
              <w:rPr>
                <w:rFonts w:hint="eastAsia"/>
              </w:rPr>
              <w:t>的实例。报告还根据收到的意见和其他现有信息提出了建议。</w:t>
            </w:r>
          </w:p>
        </w:tc>
      </w:tr>
      <w:tr w:rsidR="00180DBF" w:rsidTr="00180DBF">
        <w:tc>
          <w:tcPr>
            <w:tcW w:w="9850" w:type="dxa"/>
            <w:shd w:val="clear" w:color="auto" w:fill="auto"/>
          </w:tcPr>
          <w:p w:rsidR="00180DBF" w:rsidRPr="00180DBF" w:rsidRDefault="00180DBF" w:rsidP="00180DBF">
            <w:pPr>
              <w:pStyle w:val="SingleTxt"/>
              <w:ind w:firstLine="433"/>
              <w:rPr>
                <w:lang w:val="en-GB"/>
              </w:rPr>
            </w:pPr>
            <w:r w:rsidRPr="00102E64">
              <w:rPr>
                <w:rFonts w:ascii="SimSun" w:hAnsi="SimSun"/>
                <w:color w:val="000000"/>
                <w:szCs w:val="21"/>
              </w:rPr>
              <w:t>本报告</w:t>
            </w:r>
            <w:r w:rsidRPr="005416A1">
              <w:t>应当</w:t>
            </w:r>
            <w:r w:rsidRPr="00102E64">
              <w:rPr>
                <w:rFonts w:ascii="SimSun" w:hAnsi="SimSun"/>
                <w:color w:val="000000"/>
                <w:szCs w:val="21"/>
              </w:rPr>
              <w:t>结合</w:t>
            </w:r>
            <w:r>
              <w:rPr>
                <w:rFonts w:ascii="SimSun" w:hAnsi="SimSun" w:hint="eastAsia"/>
                <w:color w:val="000000"/>
                <w:szCs w:val="21"/>
              </w:rPr>
              <w:t>关于</w:t>
            </w:r>
            <w:r w:rsidRPr="00844BB9">
              <w:rPr>
                <w:rFonts w:ascii="SimSun" w:hAnsi="SimSun"/>
                <w:color w:val="000000"/>
                <w:szCs w:val="21"/>
              </w:rPr>
              <w:t>妨碍平等政治参与的因素和克服这些挑战的步骤</w:t>
            </w:r>
            <w:r>
              <w:rPr>
                <w:rFonts w:ascii="SimSun" w:hAnsi="SimSun" w:hint="eastAsia"/>
                <w:color w:val="000000"/>
                <w:szCs w:val="21"/>
              </w:rPr>
              <w:t>的报告</w:t>
            </w:r>
            <w:r w:rsidRPr="0060275B">
              <w:t>(A/HRC/27/29)</w:t>
            </w:r>
            <w:r w:rsidRPr="00102E64">
              <w:rPr>
                <w:rFonts w:ascii="SimSun" w:hAnsi="SimSun"/>
                <w:color w:val="000000"/>
                <w:szCs w:val="21"/>
              </w:rPr>
              <w:t>一并阅读</w:t>
            </w:r>
            <w:r>
              <w:rPr>
                <w:rFonts w:ascii="SimSun" w:hAnsi="SimSun" w:hint="eastAsia"/>
                <w:color w:val="000000"/>
                <w:szCs w:val="21"/>
              </w:rPr>
              <w:t>，该报告审查了</w:t>
            </w:r>
            <w:r w:rsidRPr="00AD112A">
              <w:rPr>
                <w:rFonts w:ascii="SimSun" w:hAnsi="SimSun"/>
                <w:color w:val="000000"/>
                <w:szCs w:val="21"/>
              </w:rPr>
              <w:t>与参与</w:t>
            </w:r>
            <w:r>
              <w:rPr>
                <w:rFonts w:ascii="SimSun" w:hAnsi="SimSun"/>
                <w:color w:val="000000"/>
                <w:szCs w:val="21"/>
              </w:rPr>
              <w:t>政治和公共事务</w:t>
            </w:r>
            <w:r w:rsidRPr="00AD112A">
              <w:rPr>
                <w:rFonts w:ascii="SimSun" w:hAnsi="SimSun"/>
                <w:color w:val="000000"/>
                <w:szCs w:val="21"/>
              </w:rPr>
              <w:t>有关的人权框架</w:t>
            </w:r>
            <w:r>
              <w:rPr>
                <w:rFonts w:ascii="SimSun" w:hAnsi="SimSun"/>
                <w:color w:val="000000"/>
                <w:szCs w:val="21"/>
              </w:rPr>
              <w:t>和</w:t>
            </w:r>
            <w:r>
              <w:rPr>
                <w:rFonts w:ascii="SimSun" w:hAnsi="SimSun" w:hint="eastAsia"/>
                <w:color w:val="000000"/>
                <w:szCs w:val="21"/>
              </w:rPr>
              <w:t>联合国人权机制的判例。</w:t>
            </w:r>
          </w:p>
        </w:tc>
      </w:tr>
      <w:tr w:rsidR="00180DBF" w:rsidTr="00180DBF">
        <w:tc>
          <w:tcPr>
            <w:tcW w:w="9850" w:type="dxa"/>
            <w:tcBorders>
              <w:bottom w:val="single" w:sz="2" w:space="0" w:color="auto"/>
            </w:tcBorders>
            <w:shd w:val="clear" w:color="auto" w:fill="auto"/>
          </w:tcPr>
          <w:p w:rsidR="00180DBF" w:rsidRPr="00180DBF" w:rsidRDefault="00180DBF" w:rsidP="00180DBF">
            <w:pPr>
              <w:pStyle w:val="SingleTxt"/>
              <w:spacing w:after="0" w:line="120" w:lineRule="exact"/>
              <w:rPr>
                <w:lang w:val="en-GB"/>
              </w:rPr>
            </w:pPr>
          </w:p>
        </w:tc>
      </w:tr>
    </w:tbl>
    <w:p w:rsidR="00180DBF" w:rsidRDefault="00180DBF" w:rsidP="00442DDC">
      <w:pPr>
        <w:pStyle w:val="SingleTxt"/>
        <w:rPr>
          <w:lang w:val="en-GB"/>
        </w:rPr>
      </w:pPr>
    </w:p>
    <w:p w:rsidR="00180DBF" w:rsidRDefault="00180DBF">
      <w:pPr>
        <w:spacing w:line="240" w:lineRule="auto"/>
        <w:jc w:val="left"/>
        <w:rPr>
          <w:lang w:val="en-GB"/>
        </w:rPr>
      </w:pPr>
      <w:r>
        <w:rPr>
          <w:lang w:val="en-GB"/>
        </w:rPr>
        <w:br w:type="page"/>
      </w:r>
    </w:p>
    <w:p w:rsidR="00180DBF" w:rsidRDefault="00180DBF" w:rsidP="00E14CCD">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180DBF" w:rsidRPr="00E53517">
        <w:tc>
          <w:tcPr>
            <w:tcW w:w="1060" w:type="dxa"/>
          </w:tcPr>
          <w:p w:rsidR="00180DBF" w:rsidRPr="00E53517" w:rsidRDefault="00180DBF" w:rsidP="00E14CCD">
            <w:pPr>
              <w:pStyle w:val="GB23126"/>
            </w:pPr>
          </w:p>
        </w:tc>
        <w:tc>
          <w:tcPr>
            <w:tcW w:w="7315" w:type="dxa"/>
          </w:tcPr>
          <w:p w:rsidR="00180DBF" w:rsidRPr="00E53517" w:rsidRDefault="00180DBF">
            <w:pPr>
              <w:spacing w:after="120" w:line="240" w:lineRule="auto"/>
              <w:rPr>
                <w:rFonts w:eastAsia="KaiTi_GB2312"/>
                <w:color w:val="0000FF"/>
                <w:sz w:val="15"/>
                <w:szCs w:val="15"/>
              </w:rPr>
            </w:pPr>
          </w:p>
        </w:tc>
        <w:tc>
          <w:tcPr>
            <w:tcW w:w="994" w:type="dxa"/>
          </w:tcPr>
          <w:p w:rsidR="00180DBF" w:rsidRPr="00E53517" w:rsidRDefault="00180DBF" w:rsidP="00E14CCD">
            <w:pPr>
              <w:pStyle w:val="GB23126"/>
            </w:pPr>
          </w:p>
        </w:tc>
        <w:tc>
          <w:tcPr>
            <w:tcW w:w="533" w:type="dxa"/>
          </w:tcPr>
          <w:p w:rsidR="00180DBF" w:rsidRPr="00E53517" w:rsidRDefault="00180DBF" w:rsidP="00E14CCD">
            <w:pPr>
              <w:pStyle w:val="GB23126"/>
            </w:pPr>
            <w:r w:rsidRPr="00E53517">
              <w:rPr>
                <w:rFonts w:hint="eastAsia"/>
              </w:rPr>
              <w:t>页次</w:t>
            </w:r>
          </w:p>
        </w:tc>
      </w:tr>
      <w:tr w:rsidR="00180DBF">
        <w:trPr>
          <w:cantSplit/>
        </w:trPr>
        <w:tc>
          <w:tcPr>
            <w:tcW w:w="9369" w:type="dxa"/>
            <w:gridSpan w:val="3"/>
          </w:tcPr>
          <w:p w:rsidR="00180DBF" w:rsidRDefault="00E474BD" w:rsidP="00E474BD">
            <w:pPr>
              <w:numPr>
                <w:ilvl w:val="0"/>
                <w:numId w:val="3"/>
              </w:numPr>
              <w:tabs>
                <w:tab w:val="clear" w:pos="1067"/>
                <w:tab w:val="right" w:leader="dot" w:pos="9371"/>
              </w:tabs>
              <w:spacing w:after="120"/>
            </w:pPr>
            <w:r>
              <w:rPr>
                <w:rFonts w:hint="eastAsia"/>
              </w:rPr>
              <w:t>导言</w:t>
            </w:r>
            <w:r w:rsidR="00180DBF">
              <w:tab/>
            </w:r>
            <w:r w:rsidR="00180DBF">
              <w:tab/>
            </w:r>
          </w:p>
        </w:tc>
        <w:tc>
          <w:tcPr>
            <w:tcW w:w="533" w:type="dxa"/>
            <w:vAlign w:val="bottom"/>
          </w:tcPr>
          <w:p w:rsidR="00180DBF" w:rsidRDefault="0053514E">
            <w:pPr>
              <w:spacing w:after="120"/>
              <w:ind w:right="28"/>
              <w:jc w:val="right"/>
            </w:pPr>
            <w:r>
              <w:rPr>
                <w:rFonts w:hint="eastAsia"/>
              </w:rPr>
              <w:t>3</w:t>
            </w:r>
          </w:p>
        </w:tc>
      </w:tr>
      <w:tr w:rsidR="00180DBF">
        <w:trPr>
          <w:cantSplit/>
        </w:trPr>
        <w:tc>
          <w:tcPr>
            <w:tcW w:w="9369" w:type="dxa"/>
            <w:gridSpan w:val="3"/>
          </w:tcPr>
          <w:p w:rsidR="00180DBF" w:rsidRDefault="00E474BD" w:rsidP="00E474BD">
            <w:pPr>
              <w:numPr>
                <w:ilvl w:val="0"/>
                <w:numId w:val="3"/>
              </w:numPr>
              <w:tabs>
                <w:tab w:val="clear" w:pos="1067"/>
                <w:tab w:val="right" w:leader="dot" w:pos="9371"/>
              </w:tabs>
              <w:spacing w:after="120"/>
            </w:pPr>
            <w:r>
              <w:rPr>
                <w:rFonts w:hint="eastAsia"/>
              </w:rPr>
              <w:t>关于平等</w:t>
            </w:r>
            <w:r>
              <w:t>参与</w:t>
            </w:r>
            <w:r>
              <w:rPr>
                <w:rFonts w:hint="eastAsia"/>
              </w:rPr>
              <w:t>政治和</w:t>
            </w:r>
            <w:r>
              <w:t>公共事务</w:t>
            </w:r>
            <w:r>
              <w:rPr>
                <w:rFonts w:hint="eastAsia"/>
              </w:rPr>
              <w:t>的人权框架</w:t>
            </w:r>
            <w:r w:rsidR="00180DBF">
              <w:rPr>
                <w:rFonts w:hint="eastAsia"/>
              </w:rPr>
              <w:tab/>
            </w:r>
            <w:r w:rsidR="00180DBF">
              <w:tab/>
            </w:r>
          </w:p>
        </w:tc>
        <w:tc>
          <w:tcPr>
            <w:tcW w:w="533" w:type="dxa"/>
            <w:vAlign w:val="bottom"/>
          </w:tcPr>
          <w:p w:rsidR="00180DBF" w:rsidRDefault="0053514E">
            <w:pPr>
              <w:spacing w:after="120"/>
              <w:ind w:right="28"/>
              <w:jc w:val="right"/>
            </w:pPr>
            <w:r>
              <w:rPr>
                <w:rFonts w:hint="eastAsia"/>
              </w:rPr>
              <w:t>3</w:t>
            </w:r>
          </w:p>
        </w:tc>
      </w:tr>
      <w:tr w:rsidR="00E474BD">
        <w:trPr>
          <w:cantSplit/>
        </w:trPr>
        <w:tc>
          <w:tcPr>
            <w:tcW w:w="9369" w:type="dxa"/>
            <w:gridSpan w:val="3"/>
          </w:tcPr>
          <w:p w:rsidR="00E474BD" w:rsidRDefault="00E474BD" w:rsidP="00E474BD">
            <w:pPr>
              <w:numPr>
                <w:ilvl w:val="0"/>
                <w:numId w:val="3"/>
              </w:numPr>
              <w:tabs>
                <w:tab w:val="clear" w:pos="1067"/>
                <w:tab w:val="num" w:pos="1296"/>
                <w:tab w:val="right" w:leader="dot" w:pos="9371"/>
              </w:tabs>
              <w:spacing w:after="120"/>
            </w:pPr>
            <w:r>
              <w:t>参与</w:t>
            </w:r>
            <w:r>
              <w:rPr>
                <w:rFonts w:hint="eastAsia"/>
              </w:rPr>
              <w:t>政治和</w:t>
            </w:r>
            <w:r>
              <w:t>公共事务</w:t>
            </w:r>
            <w:r>
              <w:rPr>
                <w:rFonts w:hint="eastAsia"/>
              </w:rPr>
              <w:t>权方面的挑战</w:t>
            </w:r>
            <w:r>
              <w:t>………………………………………………………………</w:t>
            </w:r>
            <w:r>
              <w:rPr>
                <w:rFonts w:hint="eastAsia"/>
              </w:rPr>
              <w:t>.</w:t>
            </w:r>
            <w:r w:rsidR="00E14CCD">
              <w:rPr>
                <w:rFonts w:hint="eastAsia"/>
              </w:rPr>
              <w:t>.</w:t>
            </w:r>
          </w:p>
        </w:tc>
        <w:tc>
          <w:tcPr>
            <w:tcW w:w="533" w:type="dxa"/>
            <w:vAlign w:val="bottom"/>
          </w:tcPr>
          <w:p w:rsidR="00E474BD" w:rsidRDefault="0053514E">
            <w:pPr>
              <w:spacing w:after="120"/>
              <w:ind w:right="28"/>
              <w:jc w:val="right"/>
            </w:pPr>
            <w:r>
              <w:rPr>
                <w:rFonts w:hint="eastAsia"/>
              </w:rPr>
              <w:t>5</w:t>
            </w:r>
          </w:p>
        </w:tc>
      </w:tr>
      <w:tr w:rsidR="00E474BD">
        <w:trPr>
          <w:cantSplit/>
        </w:trPr>
        <w:tc>
          <w:tcPr>
            <w:tcW w:w="9369" w:type="dxa"/>
            <w:gridSpan w:val="3"/>
          </w:tcPr>
          <w:p w:rsidR="00E474BD" w:rsidRPr="00E474BD" w:rsidRDefault="00E474BD" w:rsidP="00E474BD">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20"/>
              <w:ind w:left="1302" w:hanging="6"/>
            </w:pPr>
            <w:r w:rsidRPr="00F7382E">
              <w:t>A</w:t>
            </w:r>
            <w:r>
              <w:rPr>
                <w:rFonts w:hint="eastAsia"/>
              </w:rPr>
              <w:t xml:space="preserve">.  </w:t>
            </w:r>
            <w:r>
              <w:t>参与</w:t>
            </w:r>
            <w:r>
              <w:rPr>
                <w:rFonts w:hint="eastAsia"/>
              </w:rPr>
              <w:t>政治和</w:t>
            </w:r>
            <w:r>
              <w:t>公共事务</w:t>
            </w:r>
            <w:r>
              <w:rPr>
                <w:rFonts w:hint="eastAsia"/>
              </w:rPr>
              <w:t>权方面的一般挑战</w:t>
            </w:r>
            <w:r>
              <w:tab/>
            </w:r>
          </w:p>
        </w:tc>
        <w:tc>
          <w:tcPr>
            <w:tcW w:w="533" w:type="dxa"/>
            <w:vAlign w:val="bottom"/>
          </w:tcPr>
          <w:p w:rsidR="00E474BD" w:rsidRPr="00E474BD" w:rsidRDefault="0053514E">
            <w:pPr>
              <w:spacing w:after="120"/>
              <w:ind w:right="28"/>
              <w:jc w:val="right"/>
            </w:pPr>
            <w:r>
              <w:rPr>
                <w:rFonts w:hint="eastAsia"/>
              </w:rPr>
              <w:t>5</w:t>
            </w:r>
          </w:p>
        </w:tc>
      </w:tr>
      <w:tr w:rsidR="00E474BD">
        <w:trPr>
          <w:cantSplit/>
        </w:trPr>
        <w:tc>
          <w:tcPr>
            <w:tcW w:w="9369" w:type="dxa"/>
            <w:gridSpan w:val="3"/>
          </w:tcPr>
          <w:p w:rsidR="00E474BD" w:rsidRPr="00E474BD" w:rsidRDefault="00E474BD" w:rsidP="00E474BD">
            <w:pPr>
              <w:tabs>
                <w:tab w:val="right" w:pos="1080"/>
                <w:tab w:val="left" w:pos="1296"/>
                <w:tab w:val="left" w:pos="1728"/>
                <w:tab w:val="left" w:pos="2160"/>
                <w:tab w:val="left" w:pos="2592"/>
                <w:tab w:val="left" w:pos="3024"/>
                <w:tab w:val="left" w:pos="3456"/>
                <w:tab w:val="left" w:pos="3888"/>
                <w:tab w:val="right" w:leader="dot" w:pos="9371"/>
              </w:tabs>
              <w:spacing w:after="120"/>
              <w:ind w:left="1302" w:hanging="6"/>
            </w:pPr>
            <w:r w:rsidRPr="00F7382E">
              <w:t>B.</w:t>
            </w:r>
            <w:r>
              <w:rPr>
                <w:rFonts w:hint="eastAsia"/>
              </w:rPr>
              <w:t xml:space="preserve">  </w:t>
            </w:r>
            <w:r>
              <w:rPr>
                <w:rFonts w:hint="eastAsia"/>
              </w:rPr>
              <w:t>影响妇女和特定群体的挑战</w:t>
            </w:r>
            <w:r>
              <w:tab/>
            </w:r>
          </w:p>
        </w:tc>
        <w:tc>
          <w:tcPr>
            <w:tcW w:w="533" w:type="dxa"/>
            <w:vAlign w:val="bottom"/>
          </w:tcPr>
          <w:p w:rsidR="00E474BD" w:rsidRPr="00E474BD" w:rsidRDefault="0053514E">
            <w:pPr>
              <w:spacing w:after="120"/>
              <w:ind w:right="28"/>
              <w:jc w:val="right"/>
            </w:pPr>
            <w:r>
              <w:rPr>
                <w:rFonts w:hint="eastAsia"/>
              </w:rPr>
              <w:t>7</w:t>
            </w:r>
          </w:p>
        </w:tc>
      </w:tr>
      <w:tr w:rsidR="00E474BD">
        <w:trPr>
          <w:cantSplit/>
        </w:trPr>
        <w:tc>
          <w:tcPr>
            <w:tcW w:w="9369" w:type="dxa"/>
            <w:gridSpan w:val="3"/>
          </w:tcPr>
          <w:p w:rsidR="00E474BD" w:rsidRPr="00F7382E" w:rsidRDefault="00E474BD" w:rsidP="00E474BD">
            <w:pPr>
              <w:numPr>
                <w:ilvl w:val="0"/>
                <w:numId w:val="3"/>
              </w:numPr>
              <w:tabs>
                <w:tab w:val="clear" w:pos="1067"/>
                <w:tab w:val="left" w:pos="1728"/>
                <w:tab w:val="left" w:pos="2160"/>
                <w:tab w:val="left" w:pos="2592"/>
                <w:tab w:val="left" w:pos="3024"/>
                <w:tab w:val="left" w:pos="3456"/>
                <w:tab w:val="left" w:pos="3888"/>
                <w:tab w:val="left" w:pos="4320"/>
                <w:tab w:val="left" w:pos="4752"/>
                <w:tab w:val="left" w:pos="5184"/>
                <w:tab w:val="right" w:leader="dot" w:pos="9371"/>
              </w:tabs>
              <w:spacing w:after="120"/>
            </w:pPr>
            <w:r>
              <w:t>参与</w:t>
            </w:r>
            <w:r>
              <w:rPr>
                <w:rFonts w:hint="eastAsia"/>
              </w:rPr>
              <w:t>政治和</w:t>
            </w:r>
            <w:r>
              <w:t>公共事务</w:t>
            </w:r>
            <w:r>
              <w:rPr>
                <w:rFonts w:hint="eastAsia"/>
              </w:rPr>
              <w:t>权方面的</w:t>
            </w:r>
            <w:r>
              <w:t>最佳做法</w:t>
            </w:r>
            <w:r>
              <w:rPr>
                <w:rFonts w:hint="eastAsia"/>
              </w:rPr>
              <w:t>和</w:t>
            </w:r>
            <w:r>
              <w:t>经验</w:t>
            </w:r>
            <w:r>
              <w:tab/>
            </w:r>
          </w:p>
        </w:tc>
        <w:tc>
          <w:tcPr>
            <w:tcW w:w="533" w:type="dxa"/>
            <w:vAlign w:val="bottom"/>
          </w:tcPr>
          <w:p w:rsidR="00E474BD" w:rsidRPr="00E474BD" w:rsidRDefault="0053514E">
            <w:pPr>
              <w:spacing w:after="120"/>
              <w:ind w:right="28"/>
              <w:jc w:val="right"/>
            </w:pPr>
            <w:r>
              <w:rPr>
                <w:rFonts w:hint="eastAsia"/>
              </w:rPr>
              <w:t>9</w:t>
            </w:r>
          </w:p>
        </w:tc>
      </w:tr>
      <w:tr w:rsidR="00E474BD">
        <w:trPr>
          <w:cantSplit/>
        </w:trPr>
        <w:tc>
          <w:tcPr>
            <w:tcW w:w="9369" w:type="dxa"/>
            <w:gridSpan w:val="3"/>
          </w:tcPr>
          <w:p w:rsidR="00E474BD" w:rsidRPr="00E474BD" w:rsidRDefault="00E474BD" w:rsidP="00E474BD">
            <w:pPr>
              <w:tabs>
                <w:tab w:val="right" w:pos="1080"/>
                <w:tab w:val="left" w:pos="1296"/>
                <w:tab w:val="left" w:pos="1728"/>
                <w:tab w:val="left" w:pos="2160"/>
                <w:tab w:val="left" w:pos="2592"/>
                <w:tab w:val="left" w:pos="3024"/>
                <w:tab w:val="right" w:leader="dot" w:pos="9371"/>
              </w:tabs>
              <w:spacing w:after="120"/>
              <w:ind w:left="1302" w:hanging="6"/>
            </w:pPr>
            <w:r w:rsidRPr="0003697B">
              <w:t>A.</w:t>
            </w:r>
            <w:r w:rsidRPr="0003697B">
              <w:tab/>
            </w:r>
            <w:r>
              <w:rPr>
                <w:rFonts w:hint="eastAsia"/>
              </w:rPr>
              <w:t>选举权和被选举权</w:t>
            </w:r>
            <w:r>
              <w:tab/>
            </w:r>
          </w:p>
        </w:tc>
        <w:tc>
          <w:tcPr>
            <w:tcW w:w="533" w:type="dxa"/>
            <w:vAlign w:val="bottom"/>
          </w:tcPr>
          <w:p w:rsidR="00E474BD" w:rsidRPr="00E474BD" w:rsidRDefault="0053514E">
            <w:pPr>
              <w:spacing w:after="120"/>
              <w:ind w:right="28"/>
              <w:jc w:val="right"/>
            </w:pPr>
            <w:r>
              <w:rPr>
                <w:rFonts w:hint="eastAsia"/>
              </w:rPr>
              <w:t>9</w:t>
            </w:r>
          </w:p>
        </w:tc>
      </w:tr>
      <w:tr w:rsidR="00E474BD">
        <w:trPr>
          <w:cantSplit/>
        </w:trPr>
        <w:tc>
          <w:tcPr>
            <w:tcW w:w="9369" w:type="dxa"/>
            <w:gridSpan w:val="3"/>
          </w:tcPr>
          <w:p w:rsidR="00E474BD" w:rsidRPr="00E474BD" w:rsidRDefault="00E474BD" w:rsidP="00E474BD">
            <w:pPr>
              <w:tabs>
                <w:tab w:val="right" w:pos="1080"/>
                <w:tab w:val="left" w:pos="1296"/>
                <w:tab w:val="left" w:pos="1728"/>
                <w:tab w:val="left" w:pos="2160"/>
                <w:tab w:val="left" w:pos="2592"/>
                <w:tab w:val="left" w:pos="3024"/>
                <w:tab w:val="right" w:leader="dot" w:pos="9371"/>
              </w:tabs>
              <w:spacing w:after="120"/>
              <w:ind w:left="1302" w:hanging="6"/>
            </w:pPr>
            <w:r w:rsidRPr="00F7382E">
              <w:t>B.</w:t>
            </w:r>
            <w:r w:rsidRPr="00F7382E">
              <w:tab/>
            </w:r>
            <w:r>
              <w:t>参与</w:t>
            </w:r>
            <w:r>
              <w:rPr>
                <w:rFonts w:hint="eastAsia"/>
              </w:rPr>
              <w:t>处理</w:t>
            </w:r>
            <w:r>
              <w:t>公共事务</w:t>
            </w:r>
            <w:r>
              <w:tab/>
            </w:r>
          </w:p>
        </w:tc>
        <w:tc>
          <w:tcPr>
            <w:tcW w:w="533" w:type="dxa"/>
            <w:vAlign w:val="bottom"/>
          </w:tcPr>
          <w:p w:rsidR="00E474BD" w:rsidRPr="00E474BD" w:rsidRDefault="0053514E">
            <w:pPr>
              <w:spacing w:after="120"/>
              <w:ind w:right="28"/>
              <w:jc w:val="right"/>
            </w:pPr>
            <w:r>
              <w:rPr>
                <w:rFonts w:hint="eastAsia"/>
              </w:rPr>
              <w:t>10</w:t>
            </w:r>
          </w:p>
        </w:tc>
      </w:tr>
      <w:tr w:rsidR="00E474BD">
        <w:trPr>
          <w:cantSplit/>
        </w:trPr>
        <w:tc>
          <w:tcPr>
            <w:tcW w:w="9369" w:type="dxa"/>
            <w:gridSpan w:val="3"/>
          </w:tcPr>
          <w:p w:rsidR="00E474BD" w:rsidRPr="00E474BD" w:rsidRDefault="00E474BD" w:rsidP="00E474BD">
            <w:pPr>
              <w:tabs>
                <w:tab w:val="right" w:pos="1080"/>
                <w:tab w:val="left" w:pos="1296"/>
                <w:tab w:val="left" w:pos="1728"/>
                <w:tab w:val="left" w:pos="2160"/>
                <w:tab w:val="left" w:pos="2592"/>
                <w:tab w:val="left" w:pos="3024"/>
                <w:tab w:val="left" w:pos="3456"/>
                <w:tab w:val="right" w:leader="dot" w:pos="9371"/>
              </w:tabs>
              <w:spacing w:after="120"/>
              <w:ind w:left="1302" w:hanging="6"/>
            </w:pPr>
            <w:r w:rsidRPr="00F7382E">
              <w:t>C.</w:t>
            </w:r>
            <w:r w:rsidRPr="00F7382E">
              <w:tab/>
            </w:r>
            <w:r>
              <w:t>平等参加公务的权利</w:t>
            </w:r>
            <w:r>
              <w:tab/>
            </w:r>
          </w:p>
        </w:tc>
        <w:tc>
          <w:tcPr>
            <w:tcW w:w="533" w:type="dxa"/>
            <w:vAlign w:val="bottom"/>
          </w:tcPr>
          <w:p w:rsidR="00E474BD" w:rsidRPr="00E474BD" w:rsidRDefault="0053514E">
            <w:pPr>
              <w:spacing w:after="120"/>
              <w:ind w:right="28"/>
              <w:jc w:val="right"/>
            </w:pPr>
            <w:r>
              <w:rPr>
                <w:rFonts w:hint="eastAsia"/>
              </w:rPr>
              <w:t>11</w:t>
            </w:r>
          </w:p>
        </w:tc>
      </w:tr>
      <w:tr w:rsidR="00E474BD">
        <w:trPr>
          <w:cantSplit/>
        </w:trPr>
        <w:tc>
          <w:tcPr>
            <w:tcW w:w="9369" w:type="dxa"/>
            <w:gridSpan w:val="3"/>
          </w:tcPr>
          <w:p w:rsidR="00E474BD" w:rsidRPr="00E474BD" w:rsidRDefault="00E474BD" w:rsidP="00E474BD">
            <w:pPr>
              <w:tabs>
                <w:tab w:val="right" w:pos="1080"/>
                <w:tab w:val="left" w:pos="1296"/>
                <w:tab w:val="left" w:pos="1728"/>
                <w:tab w:val="left" w:pos="2160"/>
                <w:tab w:val="left" w:pos="2592"/>
                <w:tab w:val="left" w:pos="3024"/>
                <w:tab w:val="left" w:pos="3456"/>
                <w:tab w:val="left" w:pos="3888"/>
                <w:tab w:val="right" w:leader="dot" w:pos="9371"/>
              </w:tabs>
              <w:spacing w:after="120"/>
              <w:ind w:left="1302" w:hanging="6"/>
            </w:pPr>
            <w:r w:rsidRPr="00F7382E">
              <w:t>D.</w:t>
            </w:r>
            <w:r w:rsidRPr="00F7382E">
              <w:tab/>
            </w:r>
            <w:r>
              <w:rPr>
                <w:rFonts w:hint="eastAsia"/>
              </w:rPr>
              <w:t>政治和公共参与的其他形式</w:t>
            </w:r>
            <w:r>
              <w:tab/>
            </w:r>
          </w:p>
        </w:tc>
        <w:tc>
          <w:tcPr>
            <w:tcW w:w="533" w:type="dxa"/>
            <w:vAlign w:val="bottom"/>
          </w:tcPr>
          <w:p w:rsidR="00E474BD" w:rsidRPr="00E474BD" w:rsidRDefault="0053514E">
            <w:pPr>
              <w:spacing w:after="120"/>
              <w:ind w:right="28"/>
              <w:jc w:val="right"/>
            </w:pPr>
            <w:r>
              <w:rPr>
                <w:rFonts w:hint="eastAsia"/>
              </w:rPr>
              <w:t>12</w:t>
            </w:r>
          </w:p>
        </w:tc>
      </w:tr>
      <w:tr w:rsidR="00E474BD">
        <w:trPr>
          <w:cantSplit/>
        </w:trPr>
        <w:tc>
          <w:tcPr>
            <w:tcW w:w="9369" w:type="dxa"/>
            <w:gridSpan w:val="3"/>
          </w:tcPr>
          <w:p w:rsidR="00E474BD" w:rsidRPr="00E474BD" w:rsidRDefault="00E474BD" w:rsidP="00E474BD">
            <w:pPr>
              <w:tabs>
                <w:tab w:val="right" w:pos="1080"/>
                <w:tab w:val="left" w:pos="1296"/>
                <w:tab w:val="left" w:pos="1728"/>
                <w:tab w:val="left" w:pos="2160"/>
                <w:tab w:val="left" w:pos="2592"/>
                <w:tab w:val="left" w:pos="3024"/>
                <w:tab w:val="left" w:pos="3456"/>
                <w:tab w:val="left" w:pos="3888"/>
                <w:tab w:val="left" w:pos="4320"/>
                <w:tab w:val="right" w:leader="dot" w:pos="9371"/>
              </w:tabs>
              <w:spacing w:after="120"/>
              <w:ind w:left="1302" w:hanging="6"/>
            </w:pPr>
            <w:r w:rsidRPr="00F7382E">
              <w:t>E.</w:t>
            </w:r>
            <w:r w:rsidRPr="00F7382E">
              <w:tab/>
            </w:r>
            <w:r>
              <w:rPr>
                <w:rFonts w:hint="eastAsia"/>
              </w:rPr>
              <w:t>关于妇女和特定群体的</w:t>
            </w:r>
            <w:r>
              <w:t>最佳做法</w:t>
            </w:r>
            <w:r>
              <w:tab/>
            </w:r>
          </w:p>
        </w:tc>
        <w:tc>
          <w:tcPr>
            <w:tcW w:w="533" w:type="dxa"/>
            <w:vAlign w:val="bottom"/>
          </w:tcPr>
          <w:p w:rsidR="00E474BD" w:rsidRPr="00E474BD" w:rsidRDefault="0053514E">
            <w:pPr>
              <w:spacing w:after="120"/>
              <w:ind w:right="28"/>
              <w:jc w:val="right"/>
            </w:pPr>
            <w:r>
              <w:rPr>
                <w:rFonts w:hint="eastAsia"/>
              </w:rPr>
              <w:t>12</w:t>
            </w:r>
          </w:p>
        </w:tc>
      </w:tr>
      <w:tr w:rsidR="00E474BD">
        <w:trPr>
          <w:cantSplit/>
        </w:trPr>
        <w:tc>
          <w:tcPr>
            <w:tcW w:w="9369" w:type="dxa"/>
            <w:gridSpan w:val="3"/>
          </w:tcPr>
          <w:p w:rsidR="00E474BD" w:rsidRPr="00F7382E" w:rsidRDefault="00E474BD" w:rsidP="00E474BD">
            <w:pPr>
              <w:numPr>
                <w:ilvl w:val="0"/>
                <w:numId w:val="3"/>
              </w:numPr>
              <w:tabs>
                <w:tab w:val="clear" w:pos="1067"/>
                <w:tab w:val="right" w:pos="1080"/>
                <w:tab w:val="left" w:pos="1296"/>
                <w:tab w:val="left" w:pos="1728"/>
                <w:tab w:val="right" w:leader="dot" w:pos="9371"/>
              </w:tabs>
              <w:spacing w:after="120"/>
            </w:pPr>
            <w:r>
              <w:rPr>
                <w:rFonts w:hint="eastAsia"/>
              </w:rPr>
              <w:t>结论和建议</w:t>
            </w:r>
            <w:r>
              <w:tab/>
            </w:r>
          </w:p>
        </w:tc>
        <w:tc>
          <w:tcPr>
            <w:tcW w:w="533" w:type="dxa"/>
            <w:vAlign w:val="bottom"/>
          </w:tcPr>
          <w:p w:rsidR="00E474BD" w:rsidRPr="00E474BD" w:rsidRDefault="0053514E">
            <w:pPr>
              <w:spacing w:after="120"/>
              <w:ind w:right="28"/>
              <w:jc w:val="right"/>
            </w:pPr>
            <w:r>
              <w:rPr>
                <w:rFonts w:hint="eastAsia"/>
              </w:rPr>
              <w:t>16</w:t>
            </w:r>
          </w:p>
        </w:tc>
      </w:tr>
    </w:tbl>
    <w:p w:rsidR="005B17D2" w:rsidRDefault="005B17D2" w:rsidP="00442DDC">
      <w:pPr>
        <w:pStyle w:val="SingleTxt"/>
        <w:rPr>
          <w:lang w:val="en-GB"/>
        </w:rPr>
      </w:pPr>
      <w:bookmarkStart w:id="2" w:name="TmpSave"/>
      <w:bookmarkEnd w:id="2"/>
    </w:p>
    <w:p w:rsidR="005B17D2" w:rsidRDefault="005B17D2">
      <w:pPr>
        <w:spacing w:line="240" w:lineRule="auto"/>
        <w:jc w:val="left"/>
        <w:rPr>
          <w:lang w:val="en-GB"/>
        </w:rPr>
      </w:pPr>
      <w:r>
        <w:rPr>
          <w:lang w:val="en-GB"/>
        </w:rPr>
        <w:br w:type="page"/>
      </w:r>
    </w:p>
    <w:p w:rsidR="005B17D2" w:rsidRPr="005B17D2" w:rsidRDefault="005B17D2" w:rsidP="005B17D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lastRenderedPageBreak/>
        <w:tab/>
      </w:r>
      <w:r w:rsidRPr="005B17D2">
        <w:t>一.</w:t>
      </w:r>
      <w:r w:rsidRPr="005B17D2">
        <w:rPr>
          <w:rFonts w:hint="eastAsia"/>
        </w:rPr>
        <w:tab/>
      </w:r>
      <w:r w:rsidRPr="005B17D2">
        <w:t>导言</w:t>
      </w:r>
    </w:p>
    <w:p w:rsidR="005B17D2" w:rsidRPr="005B17D2" w:rsidRDefault="005B17D2" w:rsidP="005B17D2">
      <w:pPr>
        <w:pStyle w:val="SingleTxt"/>
        <w:spacing w:after="0" w:line="120" w:lineRule="exact"/>
        <w:rPr>
          <w:rFonts w:asciiTheme="majorBidi" w:hAnsiTheme="majorBidi" w:cstheme="majorBidi"/>
          <w:sz w:val="10"/>
          <w:u w:color="000000"/>
          <w:bdr w:val="nil"/>
        </w:rPr>
      </w:pPr>
    </w:p>
    <w:p w:rsidR="005B17D2" w:rsidRPr="005B17D2" w:rsidRDefault="005B17D2" w:rsidP="005B17D2">
      <w:pPr>
        <w:pStyle w:val="SingleTxt"/>
        <w:spacing w:after="0" w:line="120" w:lineRule="exact"/>
        <w:rPr>
          <w:rFonts w:asciiTheme="majorBidi" w:hAnsiTheme="majorBidi" w:cstheme="majorBidi"/>
          <w:sz w:val="10"/>
          <w:u w:color="000000"/>
          <w:bdr w:val="nil"/>
        </w:rPr>
      </w:pPr>
    </w:p>
    <w:p w:rsidR="005B17D2" w:rsidRPr="00D21094" w:rsidRDefault="005B17D2" w:rsidP="005B17D2">
      <w:pPr>
        <w:pStyle w:val="SingleTxt"/>
        <w:rPr>
          <w:u w:color="000000"/>
          <w:bdr w:val="nil"/>
        </w:rPr>
      </w:pPr>
      <w:r w:rsidRPr="00D21094">
        <w:rPr>
          <w:rFonts w:asciiTheme="majorBidi" w:hAnsiTheme="majorBidi" w:cstheme="majorBidi"/>
          <w:u w:color="000000"/>
          <w:bdr w:val="nil"/>
        </w:rPr>
        <w:t>1.</w:t>
      </w:r>
      <w:r>
        <w:rPr>
          <w:rFonts w:asciiTheme="majorBidi" w:hAnsiTheme="majorBidi" w:cstheme="majorBidi" w:hint="eastAsia"/>
          <w:u w:color="000000"/>
          <w:bdr w:val="nil"/>
        </w:rPr>
        <w:t xml:space="preserve">  </w:t>
      </w:r>
      <w:r w:rsidRPr="00D21094">
        <w:t>人权理事会在第</w:t>
      </w:r>
      <w:r w:rsidRPr="00D21094">
        <w:rPr>
          <w:u w:color="000000"/>
          <w:bdr w:val="nil"/>
        </w:rPr>
        <w:t>27/24</w:t>
      </w:r>
      <w:r w:rsidRPr="00D21094">
        <w:t>号决议中请联合国人权事务高级专员办事处</w:t>
      </w:r>
      <w:r w:rsidRPr="00D21094">
        <w:rPr>
          <w:rFonts w:hint="eastAsia"/>
        </w:rPr>
        <w:t>（人权高专办）与</w:t>
      </w:r>
      <w:r w:rsidRPr="00D21094">
        <w:t>各国、联合国有关专门机构、政府间组织、条约机构、特别程序、国家人权机构、非政府组织和其他相关利益攸关方</w:t>
      </w:r>
      <w:r w:rsidRPr="00D21094">
        <w:rPr>
          <w:rFonts w:hint="eastAsia"/>
        </w:rPr>
        <w:t>磋商</w:t>
      </w:r>
      <w:r w:rsidRPr="00D21094">
        <w:t>，编写一份研究报告，讨论在现有人权法背景下增进、保</w:t>
      </w:r>
      <w:r>
        <w:t>护和落实参与公共事务权的最佳做法、经验和挑战，以及克服挑战的方</w:t>
      </w:r>
      <w:r>
        <w:rPr>
          <w:rFonts w:hint="eastAsia"/>
        </w:rPr>
        <w:t>法</w:t>
      </w:r>
      <w:r>
        <w:t>，以</w:t>
      </w:r>
      <w:r>
        <w:rPr>
          <w:rFonts w:hint="eastAsia"/>
        </w:rPr>
        <w:t>期</w:t>
      </w:r>
      <w:r w:rsidRPr="00D21094">
        <w:t>查明落实这一权利的指导原则可能包括的要点</w:t>
      </w:r>
      <w:r w:rsidRPr="00D21094">
        <w:rPr>
          <w:rFonts w:hint="eastAsia"/>
        </w:rPr>
        <w:t>。</w:t>
      </w:r>
      <w:r w:rsidRPr="00D21094">
        <w:rPr>
          <w:rFonts w:hint="eastAsia"/>
        </w:rPr>
        <w:t>2015</w:t>
      </w:r>
      <w:r w:rsidRPr="00D21094">
        <w:rPr>
          <w:rFonts w:hint="eastAsia"/>
        </w:rPr>
        <w:t>年</w:t>
      </w:r>
      <w:r w:rsidRPr="00D21094">
        <w:rPr>
          <w:rFonts w:hint="eastAsia"/>
        </w:rPr>
        <w:t>1</w:t>
      </w:r>
      <w:r w:rsidRPr="00D21094">
        <w:rPr>
          <w:rFonts w:hint="eastAsia"/>
        </w:rPr>
        <w:t>月</w:t>
      </w:r>
      <w:r w:rsidRPr="00D21094">
        <w:rPr>
          <w:rFonts w:hint="eastAsia"/>
        </w:rPr>
        <w:t>16</w:t>
      </w:r>
      <w:r w:rsidRPr="00D21094">
        <w:rPr>
          <w:rFonts w:hint="eastAsia"/>
        </w:rPr>
        <w:t>日向所有利益攸关方发出了普通照会，收到了</w:t>
      </w:r>
      <w:r w:rsidRPr="00D21094">
        <w:rPr>
          <w:rFonts w:hint="eastAsia"/>
        </w:rPr>
        <w:t>66</w:t>
      </w:r>
      <w:r>
        <w:rPr>
          <w:rFonts w:hint="eastAsia"/>
        </w:rPr>
        <w:t>份</w:t>
      </w:r>
      <w:r w:rsidRPr="00D21094">
        <w:rPr>
          <w:rFonts w:hint="eastAsia"/>
        </w:rPr>
        <w:t>答复。</w:t>
      </w:r>
      <w:r>
        <w:rPr>
          <w:rFonts w:hint="eastAsia"/>
        </w:rPr>
        <w:t>利益攸关方的意见，</w:t>
      </w:r>
      <w:r w:rsidRPr="00D21094">
        <w:rPr>
          <w:rFonts w:hint="eastAsia"/>
        </w:rPr>
        <w:t>见人权高专办网站。</w:t>
      </w:r>
      <w:r w:rsidRPr="005B17D2">
        <w:rPr>
          <w:rStyle w:val="FootnoteReference"/>
          <w:rFonts w:eastAsiaTheme="majorEastAsia"/>
          <w:szCs w:val="21"/>
        </w:rPr>
        <w:footnoteReference w:id="1"/>
      </w:r>
    </w:p>
    <w:p w:rsidR="005B17D2" w:rsidRPr="00D21094" w:rsidRDefault="005B17D2" w:rsidP="005B17D2">
      <w:pPr>
        <w:pStyle w:val="SingleTxt"/>
        <w:rPr>
          <w:u w:color="000000"/>
          <w:bdr w:val="nil"/>
        </w:rPr>
      </w:pPr>
      <w:r w:rsidRPr="00D21094">
        <w:rPr>
          <w:rFonts w:asciiTheme="majorBidi" w:hAnsiTheme="majorBidi" w:cstheme="majorBidi"/>
          <w:u w:color="000000"/>
          <w:bdr w:val="nil"/>
        </w:rPr>
        <w:t>2.</w:t>
      </w:r>
      <w:r>
        <w:rPr>
          <w:rFonts w:asciiTheme="majorBidi" w:hAnsiTheme="majorBidi" w:cstheme="majorBidi" w:hint="eastAsia"/>
          <w:u w:color="000000"/>
          <w:bdr w:val="nil"/>
        </w:rPr>
        <w:t xml:space="preserve">  </w:t>
      </w:r>
      <w:r>
        <w:rPr>
          <w:rFonts w:hint="eastAsia"/>
        </w:rPr>
        <w:t>根据</w:t>
      </w:r>
      <w:r w:rsidRPr="00FF11D6">
        <w:rPr>
          <w:rFonts w:hint="eastAsia"/>
        </w:rPr>
        <w:t>理</w:t>
      </w:r>
      <w:r>
        <w:rPr>
          <w:rFonts w:hint="eastAsia"/>
        </w:rPr>
        <w:t>事会</w:t>
      </w:r>
      <w:r w:rsidRPr="00FF11D6">
        <w:rPr>
          <w:rFonts w:hint="eastAsia"/>
        </w:rPr>
        <w:t>的要求，本研究</w:t>
      </w:r>
      <w:r>
        <w:rPr>
          <w:rFonts w:hint="eastAsia"/>
        </w:rPr>
        <w:t>报告</w:t>
      </w:r>
      <w:r w:rsidRPr="00FF11D6">
        <w:rPr>
          <w:rFonts w:hint="eastAsia"/>
        </w:rPr>
        <w:t>确定</w:t>
      </w:r>
      <w:r>
        <w:rPr>
          <w:rFonts w:hint="eastAsia"/>
        </w:rPr>
        <w:t>了</w:t>
      </w:r>
      <w:r w:rsidRPr="00FF11D6">
        <w:rPr>
          <w:rFonts w:hint="eastAsia"/>
        </w:rPr>
        <w:t>政治和公众参与</w:t>
      </w:r>
      <w:r>
        <w:rPr>
          <w:rFonts w:hint="eastAsia"/>
        </w:rPr>
        <w:t>方面</w:t>
      </w:r>
      <w:r w:rsidRPr="00FF11D6">
        <w:rPr>
          <w:rFonts w:hint="eastAsia"/>
        </w:rPr>
        <w:t>的挑战，提出</w:t>
      </w:r>
      <w:r>
        <w:rPr>
          <w:rFonts w:hint="eastAsia"/>
        </w:rPr>
        <w:t>了</w:t>
      </w:r>
      <w:r w:rsidRPr="00FF11D6">
        <w:rPr>
          <w:rFonts w:hint="eastAsia"/>
        </w:rPr>
        <w:t>克服这些挑战</w:t>
      </w:r>
      <w:r>
        <w:rPr>
          <w:rFonts w:hint="eastAsia"/>
        </w:rPr>
        <w:t>的方法</w:t>
      </w:r>
      <w:r w:rsidRPr="00FF11D6">
        <w:rPr>
          <w:rFonts w:hint="eastAsia"/>
        </w:rPr>
        <w:t>，并提供了这方面经验和最佳做法的实例。</w:t>
      </w:r>
      <w:r>
        <w:rPr>
          <w:rFonts w:hint="eastAsia"/>
        </w:rPr>
        <w:t>报告</w:t>
      </w:r>
      <w:r w:rsidRPr="00FF11D6">
        <w:rPr>
          <w:rFonts w:hint="eastAsia"/>
        </w:rPr>
        <w:t>还</w:t>
      </w:r>
      <w:r>
        <w:rPr>
          <w:rFonts w:hint="eastAsia"/>
        </w:rPr>
        <w:t>从</w:t>
      </w:r>
      <w:r w:rsidRPr="00FF11D6">
        <w:rPr>
          <w:rFonts w:hint="eastAsia"/>
        </w:rPr>
        <w:t>利益攸关方</w:t>
      </w:r>
      <w:r>
        <w:rPr>
          <w:rFonts w:hint="eastAsia"/>
        </w:rPr>
        <w:t>收到的意见和其他来源的信息中得出了结论，</w:t>
      </w:r>
      <w:r w:rsidRPr="00FF11D6">
        <w:rPr>
          <w:rFonts w:hint="eastAsia"/>
        </w:rPr>
        <w:t>以期</w:t>
      </w:r>
      <w:r>
        <w:rPr>
          <w:rFonts w:hint="eastAsia"/>
        </w:rPr>
        <w:t>确定</w:t>
      </w:r>
      <w:r w:rsidRPr="00FF11D6">
        <w:rPr>
          <w:rFonts w:hint="eastAsia"/>
        </w:rPr>
        <w:t>指导落实参与公共事务的权利的要素。</w:t>
      </w:r>
    </w:p>
    <w:p w:rsidR="005B17D2" w:rsidRPr="00D21094" w:rsidRDefault="005B17D2" w:rsidP="005B17D2">
      <w:pPr>
        <w:pStyle w:val="SingleTxt"/>
      </w:pPr>
      <w:r w:rsidRPr="00D21094">
        <w:rPr>
          <w:rFonts w:asciiTheme="majorBidi" w:hAnsiTheme="majorBidi" w:cstheme="majorBidi"/>
        </w:rPr>
        <w:t>3.</w:t>
      </w:r>
      <w:r>
        <w:rPr>
          <w:rFonts w:asciiTheme="majorBidi" w:hAnsiTheme="majorBidi" w:cstheme="majorBidi" w:hint="eastAsia"/>
        </w:rPr>
        <w:t xml:space="preserve">  </w:t>
      </w:r>
      <w:r w:rsidRPr="006C6714">
        <w:rPr>
          <w:rFonts w:hint="eastAsia"/>
        </w:rPr>
        <w:t>本研究报告，特别是第二节和第三节，应结合关于</w:t>
      </w:r>
      <w:r w:rsidRPr="006C6714">
        <w:t>妨碍平等政治参与的因素和克服这些挑战的步骤</w:t>
      </w:r>
      <w:r w:rsidRPr="006C6714">
        <w:rPr>
          <w:rFonts w:hint="eastAsia"/>
        </w:rPr>
        <w:t>的报告</w:t>
      </w:r>
      <w:r w:rsidRPr="0060275B">
        <w:t>(A/HRC/27/29)</w:t>
      </w:r>
      <w:r w:rsidRPr="006C6714">
        <w:t>一并阅读</w:t>
      </w:r>
      <w:r w:rsidRPr="006C6714">
        <w:rPr>
          <w:rFonts w:hint="eastAsia"/>
        </w:rPr>
        <w:t>，该报告透彻审查了</w:t>
      </w:r>
      <w:r w:rsidRPr="006C6714">
        <w:t>与参与政治和公共事务有关的人权框架和</w:t>
      </w:r>
      <w:r w:rsidRPr="006C6714">
        <w:rPr>
          <w:rFonts w:hint="eastAsia"/>
        </w:rPr>
        <w:t>联合国人权机制的判例</w:t>
      </w:r>
      <w:r>
        <w:rPr>
          <w:rFonts w:hint="eastAsia"/>
        </w:rPr>
        <w:t>。</w:t>
      </w:r>
    </w:p>
    <w:p w:rsidR="005B17D2" w:rsidRPr="005B17D2" w:rsidRDefault="005B17D2" w:rsidP="005B17D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u w:color="000000"/>
          <w:bdr w:val="nil"/>
        </w:rPr>
      </w:pPr>
    </w:p>
    <w:p w:rsidR="005B17D2" w:rsidRPr="005B17D2" w:rsidRDefault="005B17D2" w:rsidP="005B17D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u w:color="000000"/>
          <w:bdr w:val="nil"/>
        </w:rPr>
      </w:pPr>
    </w:p>
    <w:p w:rsidR="005B17D2" w:rsidRPr="005B17D2" w:rsidRDefault="005B17D2" w:rsidP="005B17D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u w:color="000000"/>
          <w:bdr w:val="nil"/>
        </w:rPr>
      </w:pPr>
    </w:p>
    <w:p w:rsidR="005B17D2" w:rsidRPr="005B17D2" w:rsidRDefault="005B17D2" w:rsidP="005B17D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u w:color="000000"/>
          <w:bdr w:val="nil"/>
        </w:rPr>
      </w:pPr>
      <w:r w:rsidRPr="005B17D2">
        <w:rPr>
          <w:u w:color="000000"/>
          <w:bdr w:val="nil"/>
        </w:rPr>
        <w:tab/>
      </w:r>
      <w:r w:rsidRPr="005B17D2">
        <w:rPr>
          <w:rFonts w:hint="eastAsia"/>
          <w:u w:color="000000"/>
          <w:bdr w:val="nil"/>
        </w:rPr>
        <w:t>二</w:t>
      </w:r>
      <w:r w:rsidRPr="005B17D2">
        <w:rPr>
          <w:u w:color="000000"/>
          <w:bdr w:val="nil"/>
        </w:rPr>
        <w:t>.</w:t>
      </w:r>
      <w:r w:rsidRPr="005B17D2">
        <w:rPr>
          <w:u w:color="000000"/>
          <w:bdr w:val="nil"/>
        </w:rPr>
        <w:tab/>
      </w:r>
      <w:r w:rsidRPr="005B17D2">
        <w:rPr>
          <w:rFonts w:hint="eastAsia"/>
          <w:u w:color="000000"/>
          <w:bdr w:val="nil"/>
        </w:rPr>
        <w:t>关于</w:t>
      </w:r>
      <w:r w:rsidRPr="005B17D2">
        <w:rPr>
          <w:rFonts w:hint="eastAsia"/>
          <w:bdr w:val="nil"/>
        </w:rPr>
        <w:t>平等参与政治和公共事务的人权框架</w:t>
      </w:r>
    </w:p>
    <w:p w:rsidR="005B17D2" w:rsidRPr="005B17D2" w:rsidRDefault="005B17D2" w:rsidP="005B17D2">
      <w:pPr>
        <w:pStyle w:val="SingleTxt"/>
        <w:spacing w:after="0" w:line="120" w:lineRule="exact"/>
        <w:rPr>
          <w:rFonts w:asciiTheme="majorBidi" w:hAnsiTheme="majorBidi" w:cstheme="majorBidi"/>
          <w:sz w:val="10"/>
          <w:bdr w:val="nil"/>
        </w:rPr>
      </w:pPr>
    </w:p>
    <w:p w:rsidR="005B17D2" w:rsidRPr="005B17D2" w:rsidRDefault="005B17D2" w:rsidP="005B17D2">
      <w:pPr>
        <w:pStyle w:val="SingleTxt"/>
        <w:spacing w:after="0" w:line="120" w:lineRule="exact"/>
        <w:rPr>
          <w:rFonts w:asciiTheme="majorBidi" w:hAnsiTheme="majorBidi" w:cstheme="majorBidi"/>
          <w:sz w:val="10"/>
          <w:bdr w:val="nil"/>
        </w:rPr>
      </w:pPr>
    </w:p>
    <w:p w:rsidR="005B17D2" w:rsidRPr="00D21094" w:rsidRDefault="005B17D2" w:rsidP="005B17D2">
      <w:pPr>
        <w:pStyle w:val="SingleTxt"/>
        <w:rPr>
          <w:bdr w:val="nil"/>
        </w:rPr>
      </w:pPr>
      <w:r w:rsidRPr="00D21094">
        <w:rPr>
          <w:rFonts w:asciiTheme="majorBidi" w:hAnsiTheme="majorBidi" w:cstheme="majorBidi"/>
          <w:bdr w:val="nil"/>
        </w:rPr>
        <w:t>4.</w:t>
      </w:r>
      <w:r>
        <w:rPr>
          <w:rFonts w:asciiTheme="majorBidi" w:hAnsiTheme="majorBidi" w:cstheme="majorBidi" w:hint="eastAsia"/>
          <w:bdr w:val="nil"/>
        </w:rPr>
        <w:t xml:space="preserve">  </w:t>
      </w:r>
      <w:r w:rsidRPr="00D21094">
        <w:rPr>
          <w:rFonts w:hint="eastAsia"/>
          <w:bdr w:val="nil"/>
        </w:rPr>
        <w:t>参与是民主的</w:t>
      </w:r>
      <w:r>
        <w:rPr>
          <w:rFonts w:hint="eastAsia"/>
          <w:bdr w:val="nil"/>
        </w:rPr>
        <w:t>一个</w:t>
      </w:r>
      <w:r w:rsidRPr="00D21094">
        <w:rPr>
          <w:rFonts w:hint="eastAsia"/>
          <w:bdr w:val="nil"/>
        </w:rPr>
        <w:t>标志。</w:t>
      </w:r>
      <w:r>
        <w:rPr>
          <w:rFonts w:hint="eastAsia"/>
          <w:bdr w:val="nil"/>
        </w:rPr>
        <w:t>它要求及时磋商，以便使</w:t>
      </w:r>
      <w:r w:rsidRPr="00D21094">
        <w:rPr>
          <w:rFonts w:hint="eastAsia"/>
          <w:bdr w:val="nil"/>
        </w:rPr>
        <w:t>行使国家权力合法化。</w:t>
      </w:r>
      <w:r>
        <w:rPr>
          <w:rFonts w:hint="eastAsia"/>
          <w:bdr w:val="nil"/>
        </w:rPr>
        <w:t>如</w:t>
      </w:r>
      <w:r w:rsidRPr="00C93256">
        <w:t>《公民权利和政治权利国际公约》第二十五条</w:t>
      </w:r>
      <w:r>
        <w:rPr>
          <w:rFonts w:hint="eastAsia"/>
          <w:bdr w:val="nil"/>
        </w:rPr>
        <w:t>所述，</w:t>
      </w:r>
      <w:r w:rsidRPr="00D21094">
        <w:rPr>
          <w:rFonts w:hint="eastAsia"/>
          <w:bdr w:val="nil"/>
        </w:rPr>
        <w:t>参与权包括个人的选举权和被选举权</w:t>
      </w:r>
      <w:r>
        <w:rPr>
          <w:rFonts w:hint="eastAsia"/>
          <w:bdr w:val="nil"/>
        </w:rPr>
        <w:t>；</w:t>
      </w:r>
      <w:r w:rsidRPr="00D21094">
        <w:rPr>
          <w:rFonts w:hint="eastAsia"/>
          <w:bdr w:val="nil"/>
        </w:rPr>
        <w:t>参加</w:t>
      </w:r>
      <w:r>
        <w:rPr>
          <w:rFonts w:hint="eastAsia"/>
          <w:bdr w:val="nil"/>
        </w:rPr>
        <w:t>处理</w:t>
      </w:r>
      <w:r w:rsidRPr="00D21094">
        <w:rPr>
          <w:rFonts w:hint="eastAsia"/>
          <w:bdr w:val="nil"/>
        </w:rPr>
        <w:t>公共事务的</w:t>
      </w:r>
      <w:r>
        <w:rPr>
          <w:rFonts w:hint="eastAsia"/>
          <w:bdr w:val="nil"/>
        </w:rPr>
        <w:t>权利；和</w:t>
      </w:r>
      <w:r>
        <w:t>参加公务的权利</w:t>
      </w:r>
      <w:r w:rsidRPr="00D21094">
        <w:rPr>
          <w:rFonts w:hint="eastAsia"/>
          <w:bdr w:val="nil"/>
        </w:rPr>
        <w:t>。其他国际人权条约</w:t>
      </w:r>
      <w:r>
        <w:rPr>
          <w:rFonts w:hint="eastAsia"/>
          <w:bdr w:val="nil"/>
        </w:rPr>
        <w:t>也载有类似规定，对</w:t>
      </w:r>
      <w:r w:rsidRPr="00D21094">
        <w:rPr>
          <w:rFonts w:hint="eastAsia"/>
          <w:bdr w:val="nil"/>
        </w:rPr>
        <w:t>公约</w:t>
      </w:r>
      <w:r>
        <w:rPr>
          <w:rFonts w:hint="eastAsia"/>
          <w:bdr w:val="nil"/>
        </w:rPr>
        <w:t>加以</w:t>
      </w:r>
      <w:r w:rsidRPr="00D21094">
        <w:rPr>
          <w:rFonts w:hint="eastAsia"/>
          <w:bdr w:val="nil"/>
        </w:rPr>
        <w:t>补充。</w:t>
      </w:r>
      <w:r w:rsidRPr="005B17D2">
        <w:rPr>
          <w:rStyle w:val="FootnoteReference"/>
          <w:rFonts w:eastAsiaTheme="majorEastAsia"/>
          <w:szCs w:val="21"/>
        </w:rPr>
        <w:footnoteReference w:id="2"/>
      </w:r>
    </w:p>
    <w:p w:rsidR="005B17D2" w:rsidRPr="00D21094" w:rsidRDefault="005B17D2" w:rsidP="005B17D2">
      <w:pPr>
        <w:pStyle w:val="SingleTxt"/>
        <w:rPr>
          <w:bdr w:val="nil"/>
        </w:rPr>
      </w:pPr>
      <w:r w:rsidRPr="00D21094">
        <w:rPr>
          <w:rFonts w:asciiTheme="majorBidi" w:hAnsiTheme="majorBidi" w:cstheme="majorBidi"/>
          <w:u w:color="0070C0"/>
          <w:bdr w:val="nil"/>
        </w:rPr>
        <w:t>5.</w:t>
      </w:r>
      <w:r>
        <w:rPr>
          <w:rFonts w:asciiTheme="majorBidi" w:hAnsiTheme="majorBidi" w:cstheme="majorBidi" w:hint="eastAsia"/>
          <w:u w:color="0070C0"/>
          <w:bdr w:val="nil"/>
        </w:rPr>
        <w:t xml:space="preserve">  </w:t>
      </w:r>
      <w:r w:rsidRPr="00D21094">
        <w:rPr>
          <w:rFonts w:hint="eastAsia"/>
          <w:bdr w:val="nil"/>
        </w:rPr>
        <w:t>在</w:t>
      </w:r>
      <w:r>
        <w:rPr>
          <w:rFonts w:hint="eastAsia"/>
          <w:bdr w:val="nil"/>
        </w:rPr>
        <w:t>对国家在《</w:t>
      </w:r>
      <w:r w:rsidRPr="00D21094">
        <w:rPr>
          <w:rFonts w:hint="eastAsia"/>
          <w:bdr w:val="nil"/>
        </w:rPr>
        <w:t>公约</w:t>
      </w:r>
      <w:r>
        <w:rPr>
          <w:rFonts w:hint="eastAsia"/>
          <w:bdr w:val="nil"/>
        </w:rPr>
        <w:t>》</w:t>
      </w:r>
      <w:r w:rsidRPr="00D21094">
        <w:rPr>
          <w:rFonts w:hint="eastAsia"/>
          <w:bdr w:val="nil"/>
        </w:rPr>
        <w:t>第</w:t>
      </w:r>
      <w:r w:rsidRPr="00C93256">
        <w:t>二十五</w:t>
      </w:r>
      <w:r w:rsidRPr="00D21094">
        <w:rPr>
          <w:rFonts w:hint="eastAsia"/>
          <w:bdr w:val="nil"/>
        </w:rPr>
        <w:t>条</w:t>
      </w:r>
      <w:r>
        <w:rPr>
          <w:rFonts w:hint="eastAsia"/>
          <w:bdr w:val="nil"/>
        </w:rPr>
        <w:t>之下</w:t>
      </w:r>
      <w:r w:rsidRPr="00D21094">
        <w:rPr>
          <w:rFonts w:hint="eastAsia"/>
          <w:bdr w:val="nil"/>
        </w:rPr>
        <w:t>义务的解释</w:t>
      </w:r>
      <w:r>
        <w:rPr>
          <w:rFonts w:hint="eastAsia"/>
          <w:bdr w:val="nil"/>
        </w:rPr>
        <w:t>中</w:t>
      </w:r>
      <w:r w:rsidRPr="00D21094">
        <w:rPr>
          <w:rFonts w:hint="eastAsia"/>
          <w:bdr w:val="nil"/>
        </w:rPr>
        <w:t>，人权事务委员会要求采取积极措施，确保</w:t>
      </w:r>
      <w:r>
        <w:rPr>
          <w:rFonts w:hint="eastAsia"/>
          <w:bdr w:val="nil"/>
        </w:rPr>
        <w:t>充分、</w:t>
      </w:r>
      <w:r w:rsidRPr="00D21094">
        <w:rPr>
          <w:rFonts w:hint="eastAsia"/>
          <w:bdr w:val="nil"/>
        </w:rPr>
        <w:t>有效和平等地享有参与权，包括通过包容</w:t>
      </w:r>
      <w:r>
        <w:rPr>
          <w:rFonts w:hint="eastAsia"/>
          <w:bdr w:val="nil"/>
        </w:rPr>
        <w:t>、有意义和非歧视性的</w:t>
      </w:r>
      <w:r w:rsidRPr="00D21094">
        <w:rPr>
          <w:rFonts w:hint="eastAsia"/>
          <w:bdr w:val="nil"/>
        </w:rPr>
        <w:t>程</w:t>
      </w:r>
      <w:r>
        <w:rPr>
          <w:rFonts w:hint="eastAsia"/>
          <w:bdr w:val="nil"/>
        </w:rPr>
        <w:t>序</w:t>
      </w:r>
      <w:r w:rsidRPr="00D21094">
        <w:rPr>
          <w:rFonts w:hint="eastAsia"/>
          <w:bdr w:val="nil"/>
        </w:rPr>
        <w:t>和机制。</w:t>
      </w:r>
      <w:r w:rsidRPr="005B17D2">
        <w:rPr>
          <w:rStyle w:val="FootnoteReference"/>
          <w:rFonts w:eastAsiaTheme="majorEastAsia"/>
          <w:szCs w:val="21"/>
        </w:rPr>
        <w:footnoteReference w:id="3"/>
      </w:r>
      <w:r>
        <w:rPr>
          <w:rFonts w:hint="eastAsia"/>
          <w:bdr w:val="nil"/>
        </w:rPr>
        <w:t xml:space="preserve"> </w:t>
      </w:r>
      <w:r>
        <w:rPr>
          <w:rFonts w:hint="eastAsia"/>
          <w:bdr w:val="nil"/>
        </w:rPr>
        <w:t>各国还应保障</w:t>
      </w:r>
      <w:r>
        <w:t>让参与政治和公共事务的权利</w:t>
      </w:r>
      <w:r>
        <w:rPr>
          <w:rFonts w:hint="eastAsia"/>
        </w:rPr>
        <w:t>被不当剥夺</w:t>
      </w:r>
      <w:r>
        <w:t>的</w:t>
      </w:r>
      <w:r>
        <w:rPr>
          <w:rFonts w:hint="eastAsia"/>
        </w:rPr>
        <w:t>人民</w:t>
      </w:r>
      <w:r>
        <w:t>能够充分、切实诉诸司法和补救机制</w:t>
      </w:r>
      <w:r w:rsidRPr="00D21094">
        <w:rPr>
          <w:rFonts w:hint="eastAsia"/>
          <w:bdr w:val="nil"/>
        </w:rPr>
        <w:t>。</w:t>
      </w:r>
      <w:r w:rsidRPr="005B17D2">
        <w:rPr>
          <w:rStyle w:val="FootnoteReference"/>
          <w:rFonts w:eastAsiaTheme="majorEastAsia"/>
          <w:szCs w:val="21"/>
          <w:u w:color="0070C0"/>
          <w:bdr w:val="nil"/>
          <w:lang w:eastAsia="fr-CH"/>
        </w:rPr>
        <w:footnoteReference w:id="4"/>
      </w:r>
      <w:r w:rsidRPr="00D21094">
        <w:rPr>
          <w:rFonts w:hint="eastAsia"/>
          <w:bdr w:val="nil"/>
        </w:rPr>
        <w:t xml:space="preserve"> </w:t>
      </w:r>
    </w:p>
    <w:p w:rsidR="005B17D2" w:rsidRPr="00D21094" w:rsidRDefault="005B17D2" w:rsidP="005B17D2">
      <w:pPr>
        <w:pStyle w:val="SingleTxt"/>
        <w:rPr>
          <w:u w:color="000000"/>
          <w:bdr w:val="nil"/>
        </w:rPr>
      </w:pPr>
      <w:r w:rsidRPr="00D21094">
        <w:rPr>
          <w:rFonts w:asciiTheme="majorBidi" w:hAnsiTheme="majorBidi" w:cstheme="majorBidi"/>
          <w:u w:color="000000"/>
          <w:bdr w:val="nil"/>
        </w:rPr>
        <w:t>6.</w:t>
      </w:r>
      <w:r>
        <w:rPr>
          <w:rFonts w:asciiTheme="majorBidi" w:hAnsiTheme="majorBidi" w:cstheme="majorBidi" w:hint="eastAsia"/>
          <w:u w:color="000000"/>
          <w:bdr w:val="nil"/>
        </w:rPr>
        <w:t xml:space="preserve">  </w:t>
      </w:r>
      <w:r w:rsidRPr="00D21094">
        <w:rPr>
          <w:rFonts w:hint="eastAsia"/>
          <w:bdr w:val="nil"/>
        </w:rPr>
        <w:t>人权事务委员会</w:t>
      </w:r>
      <w:r>
        <w:rPr>
          <w:rFonts w:hint="eastAsia"/>
          <w:bdr w:val="nil"/>
        </w:rPr>
        <w:t>关于</w:t>
      </w:r>
      <w:r>
        <w:t>《公约》第二十五条</w:t>
      </w:r>
      <w:r w:rsidRPr="00D21094">
        <w:rPr>
          <w:rFonts w:hint="eastAsia"/>
          <w:bdr w:val="nil"/>
        </w:rPr>
        <w:t>的</w:t>
      </w:r>
      <w:r>
        <w:t>第</w:t>
      </w:r>
      <w:r>
        <w:t>25</w:t>
      </w:r>
      <w:r>
        <w:t>号一般性意</w:t>
      </w:r>
      <w:r w:rsidRPr="00D21094">
        <w:rPr>
          <w:rFonts w:hint="eastAsia"/>
          <w:bdr w:val="nil"/>
        </w:rPr>
        <w:t>见以及</w:t>
      </w:r>
      <w:r>
        <w:rPr>
          <w:rFonts w:hint="eastAsia"/>
          <w:bdr w:val="nil"/>
        </w:rPr>
        <w:t>理事会和其他条约机构通过的判例，为</w:t>
      </w:r>
      <w:r w:rsidRPr="00D21094">
        <w:rPr>
          <w:rFonts w:hint="eastAsia"/>
          <w:bdr w:val="nil"/>
        </w:rPr>
        <w:t>各国应采取</w:t>
      </w:r>
      <w:r>
        <w:rPr>
          <w:rFonts w:hint="eastAsia"/>
          <w:bdr w:val="nil"/>
        </w:rPr>
        <w:t>哪些</w:t>
      </w:r>
      <w:r w:rsidRPr="00D21094">
        <w:rPr>
          <w:rFonts w:hint="eastAsia"/>
          <w:bdr w:val="nil"/>
        </w:rPr>
        <w:t>措施落实参与政治和公共事务的权利提供</w:t>
      </w:r>
      <w:r>
        <w:rPr>
          <w:rFonts w:hint="eastAsia"/>
          <w:bdr w:val="nil"/>
        </w:rPr>
        <w:t>了指导</w:t>
      </w:r>
      <w:r w:rsidRPr="00D21094">
        <w:rPr>
          <w:rFonts w:hint="eastAsia"/>
          <w:bdr w:val="nil"/>
        </w:rPr>
        <w:t>。</w:t>
      </w:r>
      <w:r w:rsidRPr="005B17D2">
        <w:rPr>
          <w:rStyle w:val="FootnoteReference"/>
          <w:rFonts w:eastAsiaTheme="majorEastAsia"/>
          <w:szCs w:val="21"/>
        </w:rPr>
        <w:footnoteReference w:id="5"/>
      </w:r>
      <w:r w:rsidR="008E2511">
        <w:rPr>
          <w:rFonts w:hint="eastAsia"/>
          <w:bdr w:val="nil"/>
        </w:rPr>
        <w:t xml:space="preserve"> </w:t>
      </w:r>
      <w:r w:rsidRPr="00D21094">
        <w:rPr>
          <w:rFonts w:hint="eastAsia"/>
          <w:bdr w:val="nil"/>
        </w:rPr>
        <w:t>近年来，</w:t>
      </w:r>
      <w:r>
        <w:rPr>
          <w:rFonts w:hint="eastAsia"/>
          <w:bdr w:val="nil"/>
        </w:rPr>
        <w:t>有关这项</w:t>
      </w:r>
      <w:r w:rsidRPr="00D21094">
        <w:rPr>
          <w:rFonts w:hint="eastAsia"/>
          <w:bdr w:val="nil"/>
        </w:rPr>
        <w:t>权利范围的</w:t>
      </w:r>
      <w:r>
        <w:rPr>
          <w:rFonts w:hint="eastAsia"/>
          <w:bdr w:val="nil"/>
        </w:rPr>
        <w:t>国际人权法和判例</w:t>
      </w:r>
      <w:r w:rsidRPr="00D21094">
        <w:rPr>
          <w:rFonts w:hint="eastAsia"/>
          <w:bdr w:val="nil"/>
        </w:rPr>
        <w:t>逐步演变</w:t>
      </w:r>
      <w:r>
        <w:rPr>
          <w:rFonts w:hint="eastAsia"/>
          <w:bdr w:val="nil"/>
        </w:rPr>
        <w:t>，因此很多</w:t>
      </w:r>
      <w:r w:rsidRPr="00D21094">
        <w:rPr>
          <w:rFonts w:hint="eastAsia"/>
          <w:bdr w:val="nil"/>
        </w:rPr>
        <w:t>利益</w:t>
      </w:r>
      <w:r>
        <w:rPr>
          <w:rFonts w:hint="eastAsia"/>
          <w:bdr w:val="nil"/>
        </w:rPr>
        <w:t>攸关方</w:t>
      </w:r>
      <w:r w:rsidRPr="00D21094">
        <w:rPr>
          <w:rFonts w:hint="eastAsia"/>
          <w:bdr w:val="nil"/>
        </w:rPr>
        <w:t>呼吁修订第</w:t>
      </w:r>
      <w:r w:rsidRPr="00D21094">
        <w:rPr>
          <w:rFonts w:hint="eastAsia"/>
          <w:bdr w:val="nil"/>
        </w:rPr>
        <w:t>25</w:t>
      </w:r>
      <w:r w:rsidRPr="00D21094">
        <w:rPr>
          <w:rFonts w:hint="eastAsia"/>
          <w:bdr w:val="nil"/>
        </w:rPr>
        <w:t>号一般性意见</w:t>
      </w:r>
      <w:r>
        <w:rPr>
          <w:rFonts w:hint="eastAsia"/>
          <w:bdr w:val="nil"/>
        </w:rPr>
        <w:t>。</w:t>
      </w:r>
    </w:p>
    <w:p w:rsidR="005B17D2" w:rsidRPr="007947CE" w:rsidRDefault="005B17D2" w:rsidP="008E2511">
      <w:pPr>
        <w:pStyle w:val="SingleTxt"/>
        <w:rPr>
          <w:bdr w:val="nil"/>
        </w:rPr>
      </w:pPr>
      <w:r w:rsidRPr="007947CE">
        <w:rPr>
          <w:rFonts w:asciiTheme="majorBidi" w:hAnsiTheme="majorBidi" w:cstheme="majorBidi"/>
          <w:bdr w:val="nil"/>
        </w:rPr>
        <w:t>7.</w:t>
      </w:r>
      <w:r w:rsidR="008E2511">
        <w:rPr>
          <w:rFonts w:asciiTheme="majorBidi" w:hAnsiTheme="majorBidi" w:cstheme="majorBidi" w:hint="eastAsia"/>
          <w:bdr w:val="nil"/>
        </w:rPr>
        <w:t xml:space="preserve">  </w:t>
      </w:r>
      <w:r w:rsidRPr="007947CE">
        <w:rPr>
          <w:rFonts w:hint="eastAsia"/>
          <w:bdr w:val="nil"/>
        </w:rPr>
        <w:t>自由和公</w:t>
      </w:r>
      <w:r>
        <w:rPr>
          <w:rFonts w:ascii="SimSun" w:hAnsi="SimSun" w:cs="SimSun" w:hint="eastAsia"/>
          <w:bdr w:val="nil"/>
        </w:rPr>
        <w:t>正的选举构成表达</w:t>
      </w:r>
      <w:r w:rsidRPr="007947CE">
        <w:rPr>
          <w:rFonts w:ascii="SimSun" w:hAnsi="SimSun" w:cs="SimSun" w:hint="eastAsia"/>
          <w:bdr w:val="nil"/>
        </w:rPr>
        <w:t>人</w:t>
      </w:r>
      <w:r>
        <w:rPr>
          <w:rFonts w:ascii="SimSun" w:hAnsi="SimSun" w:cs="SimSun" w:hint="eastAsia"/>
          <w:bdr w:val="nil"/>
        </w:rPr>
        <w:t>民</w:t>
      </w:r>
      <w:r w:rsidRPr="007947CE">
        <w:rPr>
          <w:rFonts w:ascii="SimSun" w:hAnsi="SimSun" w:cs="SimSun" w:hint="eastAsia"/>
          <w:bdr w:val="nil"/>
        </w:rPr>
        <w:t>意志的必要手段。</w:t>
      </w:r>
      <w:r w:rsidRPr="00F44934">
        <w:rPr>
          <w:rFonts w:ascii="SimSun" w:hAnsi="SimSun" w:cs="SimSun" w:hint="eastAsia"/>
          <w:bdr w:val="nil"/>
        </w:rPr>
        <w:t>《公约》</w:t>
      </w:r>
      <w:r w:rsidRPr="00F44934">
        <w:t>第二十五条</w:t>
      </w:r>
      <w:r w:rsidRPr="00F44934">
        <w:t>(</w:t>
      </w:r>
      <w:r w:rsidRPr="00F44934">
        <w:t>乙</w:t>
      </w:r>
      <w:r w:rsidRPr="00F44934">
        <w:t>)</w:t>
      </w:r>
      <w:r w:rsidRPr="00F44934">
        <w:t>项承认每个公民有权在真正的定期的选举中选举和被选举</w:t>
      </w:r>
      <w:r w:rsidRPr="00F44934">
        <w:rPr>
          <w:rFonts w:hint="eastAsia"/>
        </w:rPr>
        <w:t>，</w:t>
      </w:r>
      <w:r w:rsidRPr="00F44934">
        <w:t>这种选举应是普遍和平等的</w:t>
      </w:r>
      <w:r w:rsidRPr="00F44934">
        <w:rPr>
          <w:rFonts w:hint="eastAsia"/>
        </w:rPr>
        <w:t>，从而强调了包容和平等的重要性。</w:t>
      </w:r>
      <w:r>
        <w:rPr>
          <w:rFonts w:hint="eastAsia"/>
          <w:bdr w:val="nil"/>
        </w:rPr>
        <w:t>人权事务委员会澄清了这项</w:t>
      </w:r>
      <w:r w:rsidRPr="007947CE">
        <w:rPr>
          <w:rFonts w:hint="eastAsia"/>
          <w:bdr w:val="nil"/>
        </w:rPr>
        <w:t>权利的基本要素。</w:t>
      </w:r>
      <w:r>
        <w:rPr>
          <w:rFonts w:hint="eastAsia"/>
          <w:bdr w:val="nil"/>
        </w:rPr>
        <w:t>委员会尤其</w:t>
      </w:r>
      <w:r w:rsidRPr="007947CE">
        <w:rPr>
          <w:rFonts w:hint="eastAsia"/>
          <w:bdr w:val="nil"/>
        </w:rPr>
        <w:t>要求缔约国在履行</w:t>
      </w:r>
      <w:r>
        <w:rPr>
          <w:rFonts w:hint="eastAsia"/>
          <w:bdr w:val="nil"/>
        </w:rPr>
        <w:t>《</w:t>
      </w:r>
      <w:r w:rsidRPr="007947CE">
        <w:rPr>
          <w:rFonts w:hint="eastAsia"/>
          <w:bdr w:val="nil"/>
        </w:rPr>
        <w:t>公约</w:t>
      </w:r>
      <w:r>
        <w:rPr>
          <w:rFonts w:hint="eastAsia"/>
          <w:bdr w:val="nil"/>
        </w:rPr>
        <w:t>》</w:t>
      </w:r>
      <w:r w:rsidRPr="007947CE">
        <w:rPr>
          <w:rFonts w:hint="eastAsia"/>
          <w:bdr w:val="nil"/>
        </w:rPr>
        <w:t>第</w:t>
      </w:r>
      <w:r>
        <w:rPr>
          <w:rFonts w:hint="eastAsia"/>
          <w:bdr w:val="nil"/>
        </w:rPr>
        <w:t>二十五条（乙</w:t>
      </w:r>
      <w:r w:rsidRPr="007947CE">
        <w:rPr>
          <w:rFonts w:hint="eastAsia"/>
          <w:bdr w:val="nil"/>
        </w:rPr>
        <w:t>）规定的义务</w:t>
      </w:r>
      <w:r>
        <w:rPr>
          <w:rFonts w:hint="eastAsia"/>
          <w:bdr w:val="nil"/>
        </w:rPr>
        <w:t>时</w:t>
      </w:r>
      <w:r w:rsidRPr="007947CE">
        <w:rPr>
          <w:rFonts w:hint="eastAsia"/>
          <w:bdr w:val="nil"/>
        </w:rPr>
        <w:t>，采取积极措施，确保</w:t>
      </w:r>
      <w:r>
        <w:rPr>
          <w:rFonts w:hint="eastAsia"/>
          <w:bdr w:val="nil"/>
        </w:rPr>
        <w:t>选举权的充分、有效和平等享有，没有</w:t>
      </w:r>
      <w:r w:rsidRPr="007947CE">
        <w:rPr>
          <w:rFonts w:hint="eastAsia"/>
          <w:bdr w:val="nil"/>
        </w:rPr>
        <w:t>歧视，</w:t>
      </w:r>
      <w:r>
        <w:rPr>
          <w:rFonts w:hint="eastAsia"/>
          <w:bdr w:val="nil"/>
        </w:rPr>
        <w:t>并确保言论、</w:t>
      </w:r>
      <w:r w:rsidRPr="007947CE">
        <w:rPr>
          <w:rFonts w:hint="eastAsia"/>
          <w:bdr w:val="nil"/>
        </w:rPr>
        <w:t>信息</w:t>
      </w:r>
      <w:r>
        <w:rPr>
          <w:rFonts w:hint="eastAsia"/>
          <w:bdr w:val="nil"/>
        </w:rPr>
        <w:t>、</w:t>
      </w:r>
      <w:r w:rsidRPr="007947CE">
        <w:rPr>
          <w:rFonts w:hint="eastAsia"/>
          <w:bdr w:val="nil"/>
        </w:rPr>
        <w:t>集会和结社</w:t>
      </w:r>
      <w:r>
        <w:rPr>
          <w:rFonts w:hint="eastAsia"/>
          <w:bdr w:val="nil"/>
        </w:rPr>
        <w:t>自由</w:t>
      </w:r>
      <w:r w:rsidRPr="007947CE">
        <w:rPr>
          <w:rFonts w:hint="eastAsia"/>
          <w:bdr w:val="nil"/>
        </w:rPr>
        <w:t>。</w:t>
      </w:r>
      <w:r>
        <w:rPr>
          <w:rFonts w:hint="eastAsia"/>
          <w:bdr w:val="nil"/>
        </w:rPr>
        <w:t>这些是有效行使投票权的重要条件，必须得</w:t>
      </w:r>
      <w:r w:rsidRPr="007947CE">
        <w:rPr>
          <w:rFonts w:hint="eastAsia"/>
          <w:bdr w:val="nil"/>
        </w:rPr>
        <w:t>到充分保护。</w:t>
      </w:r>
      <w:r w:rsidRPr="005B17D2">
        <w:rPr>
          <w:rStyle w:val="FootnoteReference"/>
          <w:rFonts w:eastAsiaTheme="majorEastAsia"/>
          <w:szCs w:val="21"/>
        </w:rPr>
        <w:footnoteReference w:id="6"/>
      </w:r>
    </w:p>
    <w:p w:rsidR="005B17D2" w:rsidRPr="007947CE" w:rsidRDefault="005B17D2" w:rsidP="008E2511">
      <w:pPr>
        <w:pStyle w:val="SingleTxt"/>
        <w:rPr>
          <w:bdr w:val="nil"/>
        </w:rPr>
      </w:pPr>
      <w:r w:rsidRPr="007947CE">
        <w:rPr>
          <w:rFonts w:asciiTheme="majorBidi" w:hAnsiTheme="majorBidi" w:cstheme="majorBidi"/>
          <w:bdr w:val="nil"/>
        </w:rPr>
        <w:t>8.</w:t>
      </w:r>
      <w:r w:rsidR="008E2511">
        <w:rPr>
          <w:rFonts w:asciiTheme="majorBidi" w:hAnsiTheme="majorBidi" w:cstheme="majorBidi" w:hint="eastAsia"/>
          <w:bdr w:val="nil"/>
        </w:rPr>
        <w:t xml:space="preserve">  </w:t>
      </w:r>
      <w:r w:rsidRPr="008E0150">
        <w:t>广泛限制或剥夺选举的权利可能与国际法对平等和不歧视的保障不相容</w:t>
      </w:r>
      <w:r w:rsidRPr="007947CE">
        <w:rPr>
          <w:rFonts w:hint="eastAsia"/>
          <w:bdr w:val="nil"/>
        </w:rPr>
        <w:t>。</w:t>
      </w:r>
      <w:r w:rsidRPr="005B17D2">
        <w:rPr>
          <w:rStyle w:val="FootnoteReference"/>
          <w:rFonts w:eastAsiaTheme="majorEastAsia"/>
          <w:szCs w:val="21"/>
        </w:rPr>
        <w:footnoteReference w:id="7"/>
      </w:r>
      <w:r w:rsidR="008E2511">
        <w:rPr>
          <w:rFonts w:hint="eastAsia"/>
          <w:bdr w:val="nil"/>
        </w:rPr>
        <w:t xml:space="preserve"> </w:t>
      </w:r>
      <w:r w:rsidRPr="007947CE">
        <w:rPr>
          <w:rFonts w:hint="eastAsia"/>
          <w:bdr w:val="nil"/>
        </w:rPr>
        <w:t>人权</w:t>
      </w:r>
      <w:r>
        <w:rPr>
          <w:rFonts w:hint="eastAsia"/>
          <w:bdr w:val="nil"/>
        </w:rPr>
        <w:t>事务</w:t>
      </w:r>
      <w:r w:rsidRPr="007947CE">
        <w:rPr>
          <w:rFonts w:hint="eastAsia"/>
          <w:bdr w:val="nil"/>
        </w:rPr>
        <w:t>委员会指出，投票权</w:t>
      </w:r>
      <w:r w:rsidRPr="00D01881">
        <w:t>仅受合理的限制，如为投票权规定的最低年龄限制。</w:t>
      </w:r>
      <w:r w:rsidRPr="007947CE">
        <w:rPr>
          <w:rFonts w:hint="eastAsia"/>
          <w:bdr w:val="nil"/>
        </w:rPr>
        <w:t>委员会还</w:t>
      </w:r>
      <w:r>
        <w:rPr>
          <w:rFonts w:hint="eastAsia"/>
          <w:bdr w:val="nil"/>
        </w:rPr>
        <w:t>指出</w:t>
      </w:r>
      <w:r w:rsidRPr="007947CE">
        <w:rPr>
          <w:rFonts w:hint="eastAsia"/>
          <w:bdr w:val="nil"/>
        </w:rPr>
        <w:t>，</w:t>
      </w:r>
      <w:r>
        <w:t>对竞选权施加任何限制，必须以客观合理标准为依据。</w:t>
      </w:r>
      <w:r w:rsidRPr="005B17D2">
        <w:rPr>
          <w:rStyle w:val="FootnoteReference"/>
          <w:rFonts w:eastAsiaTheme="majorEastAsia"/>
          <w:szCs w:val="21"/>
        </w:rPr>
        <w:footnoteReference w:id="8"/>
      </w:r>
      <w:r w:rsidRPr="007947CE">
        <w:rPr>
          <w:bdr w:val="nil"/>
        </w:rPr>
        <w:t xml:space="preserve"> </w:t>
      </w:r>
      <w:r w:rsidRPr="007947CE">
        <w:rPr>
          <w:rFonts w:hint="eastAsia"/>
          <w:bdr w:val="nil"/>
        </w:rPr>
        <w:t>在这方面，</w:t>
      </w:r>
      <w:r>
        <w:rPr>
          <w:rFonts w:hint="eastAsia"/>
          <w:bdr w:val="nil"/>
        </w:rPr>
        <w:t>委员会</w:t>
      </w:r>
      <w:r w:rsidRPr="007947CE">
        <w:rPr>
          <w:rFonts w:hint="eastAsia"/>
          <w:bdr w:val="nil"/>
        </w:rPr>
        <w:t>指出</w:t>
      </w:r>
      <w:r>
        <w:rPr>
          <w:rFonts w:hint="eastAsia"/>
          <w:bdr w:val="nil"/>
        </w:rPr>
        <w:t>，</w:t>
      </w:r>
      <w:r w:rsidRPr="008E618B">
        <w:t>刑法应禁止对选举人登记或公职候选人及选举程序的其他部分的任何侵权性或歧视性干涉</w:t>
      </w:r>
      <w:r>
        <w:rPr>
          <w:rFonts w:hint="eastAsia"/>
        </w:rPr>
        <w:t>，</w:t>
      </w:r>
      <w:r w:rsidRPr="008E618B">
        <w:t>还应保障被剥夺政治权利的人能够有效诉诸司法及适当的补救措施。</w:t>
      </w:r>
      <w:r w:rsidRPr="005B17D2">
        <w:rPr>
          <w:rStyle w:val="FootnoteReference"/>
          <w:rFonts w:eastAsiaTheme="majorEastAsia"/>
          <w:szCs w:val="21"/>
        </w:rPr>
        <w:footnoteReference w:id="9"/>
      </w:r>
    </w:p>
    <w:p w:rsidR="005B17D2" w:rsidRPr="007947CE" w:rsidRDefault="005B17D2" w:rsidP="008E2511">
      <w:pPr>
        <w:pStyle w:val="SingleTxt"/>
        <w:rPr>
          <w:bdr w:val="nil"/>
        </w:rPr>
      </w:pPr>
      <w:r w:rsidRPr="007947CE">
        <w:rPr>
          <w:rFonts w:asciiTheme="majorBidi" w:hAnsiTheme="majorBidi" w:cstheme="majorBidi"/>
          <w:u w:color="000000"/>
          <w:bdr w:val="nil"/>
        </w:rPr>
        <w:t>9.</w:t>
      </w:r>
      <w:r w:rsidR="008E2511">
        <w:rPr>
          <w:rFonts w:asciiTheme="majorBidi" w:hAnsiTheme="majorBidi" w:cstheme="majorBidi" w:hint="eastAsia"/>
          <w:u w:color="000000"/>
          <w:bdr w:val="nil"/>
        </w:rPr>
        <w:t xml:space="preserve">  </w:t>
      </w:r>
      <w:r w:rsidRPr="00880832">
        <w:t>国际人权</w:t>
      </w:r>
      <w:r>
        <w:rPr>
          <w:rFonts w:hint="eastAsia"/>
        </w:rPr>
        <w:t>文书和</w:t>
      </w:r>
      <w:r>
        <w:t>机制</w:t>
      </w:r>
      <w:r>
        <w:rPr>
          <w:rFonts w:hint="eastAsia"/>
        </w:rPr>
        <w:t>承</w:t>
      </w:r>
      <w:r w:rsidRPr="00880832">
        <w:t>认</w:t>
      </w:r>
      <w:r>
        <w:rPr>
          <w:rFonts w:hint="eastAsia"/>
        </w:rPr>
        <w:t>，</w:t>
      </w:r>
      <w:r w:rsidRPr="00880832">
        <w:t>人人有权充分参与并有效影响对自己有影响的公共决策进程。</w:t>
      </w:r>
      <w:r w:rsidRPr="007947CE">
        <w:rPr>
          <w:rFonts w:hint="eastAsia"/>
          <w:bdr w:val="nil"/>
        </w:rPr>
        <w:t>为了确保在平等基础上充分和有效地参与政治和公共事务的，参与的机制和程序必须符合一定的原则。</w:t>
      </w:r>
      <w:r>
        <w:rPr>
          <w:rFonts w:hint="eastAsia"/>
          <w:bdr w:val="nil"/>
        </w:rPr>
        <w:t>首先，参与机制应该由法律确</w:t>
      </w:r>
      <w:r w:rsidRPr="007947CE">
        <w:rPr>
          <w:rFonts w:hint="eastAsia"/>
          <w:bdr w:val="nil"/>
        </w:rPr>
        <w:t>定，</w:t>
      </w:r>
      <w:r w:rsidRPr="005B17D2">
        <w:rPr>
          <w:rStyle w:val="FootnoteReference"/>
          <w:rFonts w:eastAsiaTheme="majorEastAsia"/>
          <w:szCs w:val="21"/>
        </w:rPr>
        <w:footnoteReference w:id="10"/>
      </w:r>
      <w:r>
        <w:rPr>
          <w:rFonts w:hint="eastAsia"/>
          <w:bdr w:val="nil"/>
        </w:rPr>
        <w:t xml:space="preserve"> </w:t>
      </w:r>
      <w:r>
        <w:rPr>
          <w:rFonts w:hint="eastAsia"/>
          <w:bdr w:val="nil"/>
        </w:rPr>
        <w:t>所有利益攸</w:t>
      </w:r>
      <w:r w:rsidRPr="007947CE">
        <w:rPr>
          <w:rFonts w:hint="eastAsia"/>
          <w:bdr w:val="nil"/>
        </w:rPr>
        <w:t>关</w:t>
      </w:r>
      <w:r>
        <w:rPr>
          <w:rFonts w:hint="eastAsia"/>
          <w:bdr w:val="nil"/>
        </w:rPr>
        <w:t>方</w:t>
      </w:r>
      <w:r w:rsidRPr="007947CE">
        <w:rPr>
          <w:rFonts w:hint="eastAsia"/>
          <w:bdr w:val="nil"/>
        </w:rPr>
        <w:t>必须能够</w:t>
      </w:r>
      <w:r>
        <w:rPr>
          <w:rFonts w:hint="eastAsia"/>
          <w:bdr w:val="nil"/>
        </w:rPr>
        <w:t>以</w:t>
      </w:r>
      <w:r w:rsidRPr="007947CE">
        <w:rPr>
          <w:rFonts w:hint="eastAsia"/>
          <w:bdr w:val="nil"/>
        </w:rPr>
        <w:t>及时和透明的方式</w:t>
      </w:r>
      <w:r>
        <w:rPr>
          <w:rFonts w:hint="eastAsia"/>
          <w:bdr w:val="nil"/>
        </w:rPr>
        <w:t>获得</w:t>
      </w:r>
      <w:r w:rsidRPr="007947CE">
        <w:rPr>
          <w:rFonts w:hint="eastAsia"/>
          <w:bdr w:val="nil"/>
        </w:rPr>
        <w:t>信息，这</w:t>
      </w:r>
      <w:r>
        <w:rPr>
          <w:rFonts w:hint="eastAsia"/>
          <w:bdr w:val="nil"/>
        </w:rPr>
        <w:t>就</w:t>
      </w:r>
      <w:r w:rsidRPr="007947CE">
        <w:rPr>
          <w:rFonts w:hint="eastAsia"/>
          <w:bdr w:val="nil"/>
        </w:rPr>
        <w:t>意味着国家当局必须尽一切努力，确保方便</w:t>
      </w:r>
      <w:r>
        <w:rPr>
          <w:rFonts w:hint="eastAsia"/>
          <w:bdr w:val="nil"/>
        </w:rPr>
        <w:t>、</w:t>
      </w:r>
      <w:r w:rsidRPr="007947CE">
        <w:rPr>
          <w:rFonts w:hint="eastAsia"/>
          <w:bdr w:val="nil"/>
        </w:rPr>
        <w:t>迅速</w:t>
      </w:r>
      <w:r>
        <w:rPr>
          <w:rFonts w:hint="eastAsia"/>
          <w:bdr w:val="nil"/>
        </w:rPr>
        <w:t>、</w:t>
      </w:r>
      <w:r w:rsidRPr="007947CE">
        <w:rPr>
          <w:rFonts w:hint="eastAsia"/>
          <w:bdr w:val="nil"/>
        </w:rPr>
        <w:t>有效和</w:t>
      </w:r>
      <w:r>
        <w:rPr>
          <w:rFonts w:hint="eastAsia"/>
          <w:bdr w:val="nil"/>
        </w:rPr>
        <w:t>切</w:t>
      </w:r>
      <w:r w:rsidRPr="007947CE">
        <w:rPr>
          <w:rFonts w:hint="eastAsia"/>
          <w:bdr w:val="nil"/>
        </w:rPr>
        <w:t>实获取公众感兴趣的信息。</w:t>
      </w:r>
      <w:r w:rsidRPr="005B17D2">
        <w:rPr>
          <w:rStyle w:val="FootnoteReference"/>
          <w:rFonts w:eastAsiaTheme="majorEastAsia"/>
          <w:szCs w:val="21"/>
        </w:rPr>
        <w:footnoteReference w:id="11"/>
      </w:r>
      <w:r w:rsidR="008E2511">
        <w:rPr>
          <w:rFonts w:hint="eastAsia"/>
          <w:bdr w:val="nil"/>
        </w:rPr>
        <w:t xml:space="preserve"> </w:t>
      </w:r>
      <w:r>
        <w:rPr>
          <w:rFonts w:hint="eastAsia"/>
          <w:bdr w:val="nil"/>
        </w:rPr>
        <w:t>参与机制和</w:t>
      </w:r>
      <w:r w:rsidRPr="007947CE">
        <w:rPr>
          <w:rFonts w:hint="eastAsia"/>
          <w:bdr w:val="nil"/>
        </w:rPr>
        <w:t>程</w:t>
      </w:r>
      <w:r>
        <w:rPr>
          <w:rFonts w:hint="eastAsia"/>
          <w:bdr w:val="nil"/>
        </w:rPr>
        <w:t>序</w:t>
      </w:r>
      <w:r w:rsidRPr="007947CE">
        <w:rPr>
          <w:rFonts w:hint="eastAsia"/>
          <w:bdr w:val="nil"/>
        </w:rPr>
        <w:t>应</w:t>
      </w:r>
      <w:r>
        <w:rPr>
          <w:rFonts w:hint="eastAsia"/>
          <w:bdr w:val="nil"/>
        </w:rPr>
        <w:t>有</w:t>
      </w:r>
      <w:r w:rsidRPr="007947CE">
        <w:rPr>
          <w:rFonts w:hint="eastAsia"/>
          <w:bdr w:val="nil"/>
        </w:rPr>
        <w:t>充分</w:t>
      </w:r>
      <w:r>
        <w:rPr>
          <w:rFonts w:hint="eastAsia"/>
          <w:bdr w:val="nil"/>
        </w:rPr>
        <w:t>的</w:t>
      </w:r>
      <w:r w:rsidRPr="007947CE">
        <w:rPr>
          <w:rFonts w:hint="eastAsia"/>
          <w:bdr w:val="nil"/>
        </w:rPr>
        <w:t>资源，</w:t>
      </w:r>
      <w:r>
        <w:rPr>
          <w:rFonts w:hint="eastAsia"/>
          <w:bdr w:val="nil"/>
        </w:rPr>
        <w:t>不</w:t>
      </w:r>
      <w:r w:rsidRPr="007947CE">
        <w:rPr>
          <w:rFonts w:hint="eastAsia"/>
          <w:bdr w:val="nil"/>
        </w:rPr>
        <w:t>歧视</w:t>
      </w:r>
      <w:r>
        <w:rPr>
          <w:rFonts w:hint="eastAsia"/>
          <w:bdr w:val="nil"/>
        </w:rPr>
        <w:t>、包容，其</w:t>
      </w:r>
      <w:r w:rsidRPr="007947CE">
        <w:rPr>
          <w:rFonts w:hint="eastAsia"/>
          <w:bdr w:val="nil"/>
        </w:rPr>
        <w:t>设计</w:t>
      </w:r>
      <w:r>
        <w:rPr>
          <w:rFonts w:hint="eastAsia"/>
          <w:bdr w:val="nil"/>
        </w:rPr>
        <w:t>应使有关群</w:t>
      </w:r>
      <w:r w:rsidRPr="007947CE">
        <w:rPr>
          <w:rFonts w:hint="eastAsia"/>
          <w:bdr w:val="nil"/>
        </w:rPr>
        <w:t>体</w:t>
      </w:r>
      <w:r>
        <w:rPr>
          <w:bdr w:val="nil"/>
        </w:rPr>
        <w:t>—</w:t>
      </w:r>
      <w:r>
        <w:rPr>
          <w:rFonts w:hint="eastAsia"/>
          <w:bdr w:val="nil"/>
        </w:rPr>
        <w:t>甚至</w:t>
      </w:r>
      <w:r w:rsidRPr="007947CE">
        <w:rPr>
          <w:rFonts w:hint="eastAsia"/>
          <w:bdr w:val="nil"/>
        </w:rPr>
        <w:t>最边缘化</w:t>
      </w:r>
      <w:r>
        <w:rPr>
          <w:rFonts w:hint="eastAsia"/>
          <w:bdr w:val="nil"/>
        </w:rPr>
        <w:t>的群体</w:t>
      </w:r>
      <w:r>
        <w:rPr>
          <w:rFonts w:hint="eastAsia"/>
          <w:bdr w:val="nil"/>
        </w:rPr>
        <w:t>--</w:t>
      </w:r>
      <w:r w:rsidRPr="007947CE">
        <w:rPr>
          <w:rFonts w:hint="eastAsia"/>
          <w:bdr w:val="nil"/>
        </w:rPr>
        <w:t>有机会</w:t>
      </w:r>
      <w:r>
        <w:rPr>
          <w:rFonts w:hint="eastAsia"/>
          <w:bdr w:val="nil"/>
        </w:rPr>
        <w:t>发表</w:t>
      </w:r>
      <w:r w:rsidRPr="007947CE">
        <w:rPr>
          <w:rFonts w:hint="eastAsia"/>
          <w:bdr w:val="nil"/>
        </w:rPr>
        <w:t>意见。</w:t>
      </w:r>
    </w:p>
    <w:p w:rsidR="005B17D2" w:rsidRPr="007947CE" w:rsidRDefault="005B17D2" w:rsidP="008E2511">
      <w:pPr>
        <w:pStyle w:val="SingleTxt"/>
        <w:rPr>
          <w:bdr w:val="nil"/>
        </w:rPr>
      </w:pPr>
      <w:r w:rsidRPr="007947CE">
        <w:rPr>
          <w:rFonts w:asciiTheme="majorBidi" w:hAnsiTheme="majorBidi" w:cstheme="majorBidi"/>
          <w:u w:color="000000"/>
          <w:bdr w:val="nil"/>
        </w:rPr>
        <w:t>10.</w:t>
      </w:r>
      <w:r w:rsidR="008E2511">
        <w:rPr>
          <w:rFonts w:asciiTheme="majorBidi" w:hAnsiTheme="majorBidi" w:cstheme="majorBidi" w:hint="eastAsia"/>
          <w:u w:color="000000"/>
          <w:bdr w:val="nil"/>
        </w:rPr>
        <w:t xml:space="preserve">  </w:t>
      </w:r>
      <w:r>
        <w:rPr>
          <w:rFonts w:hint="eastAsia"/>
          <w:bdr w:val="nil"/>
        </w:rPr>
        <w:t>公众参与</w:t>
      </w:r>
      <w:r w:rsidRPr="007947CE">
        <w:rPr>
          <w:rFonts w:hint="eastAsia"/>
          <w:bdr w:val="nil"/>
        </w:rPr>
        <w:t>权包括</w:t>
      </w:r>
      <w:r>
        <w:rPr>
          <w:rFonts w:hint="eastAsia"/>
          <w:bdr w:val="nil"/>
        </w:rPr>
        <w:t>：</w:t>
      </w:r>
      <w:r w:rsidRPr="00852893">
        <w:t>在起草立法和决策的每个阶段</w:t>
      </w:r>
      <w:r>
        <w:rPr>
          <w:rFonts w:hint="eastAsia"/>
        </w:rPr>
        <w:t>有权</w:t>
      </w:r>
      <w:r w:rsidRPr="00852893">
        <w:t>参与磋商；提出</w:t>
      </w:r>
      <w:r w:rsidRPr="007947CE">
        <w:rPr>
          <w:rFonts w:hint="eastAsia"/>
          <w:bdr w:val="nil"/>
        </w:rPr>
        <w:t>意见和批评</w:t>
      </w:r>
      <w:r w:rsidRPr="00852893">
        <w:t>；</w:t>
      </w:r>
      <w:r>
        <w:rPr>
          <w:rFonts w:hint="eastAsia"/>
          <w:bdr w:val="nil"/>
        </w:rPr>
        <w:t>以及</w:t>
      </w:r>
      <w:r w:rsidRPr="007947CE">
        <w:rPr>
          <w:rFonts w:hint="eastAsia"/>
          <w:bdr w:val="nil"/>
        </w:rPr>
        <w:t>提出建议，旨在改善所有国家机</w:t>
      </w:r>
      <w:r>
        <w:rPr>
          <w:rFonts w:hint="eastAsia"/>
          <w:bdr w:val="nil"/>
        </w:rPr>
        <w:t>构</w:t>
      </w:r>
      <w:r w:rsidRPr="007947CE">
        <w:rPr>
          <w:rFonts w:hint="eastAsia"/>
          <w:bdr w:val="nil"/>
        </w:rPr>
        <w:t>的运作和包容性</w:t>
      </w:r>
      <w:r w:rsidRPr="00852893">
        <w:t>。</w:t>
      </w:r>
      <w:r w:rsidRPr="005B17D2">
        <w:rPr>
          <w:rStyle w:val="FootnoteReference"/>
          <w:rFonts w:eastAsiaTheme="majorEastAsia"/>
          <w:szCs w:val="21"/>
        </w:rPr>
        <w:footnoteReference w:id="12"/>
      </w:r>
    </w:p>
    <w:p w:rsidR="005B17D2" w:rsidRPr="007947CE" w:rsidRDefault="005B17D2" w:rsidP="00EE4ECE">
      <w:pPr>
        <w:pStyle w:val="SingleTxt"/>
        <w:rPr>
          <w:u w:color="000000"/>
          <w:bdr w:val="nil"/>
        </w:rPr>
      </w:pPr>
      <w:r w:rsidRPr="007947CE">
        <w:rPr>
          <w:rFonts w:asciiTheme="majorBidi" w:hAnsiTheme="majorBidi" w:cstheme="majorBidi"/>
          <w:u w:color="000000"/>
          <w:bdr w:val="nil"/>
        </w:rPr>
        <w:t>11.</w:t>
      </w:r>
      <w:r w:rsidR="008E2511">
        <w:rPr>
          <w:rFonts w:asciiTheme="majorBidi" w:hAnsiTheme="majorBidi" w:cstheme="majorBidi" w:hint="eastAsia"/>
          <w:u w:color="000000"/>
          <w:bdr w:val="nil"/>
        </w:rPr>
        <w:t xml:space="preserve">  </w:t>
      </w:r>
      <w:r>
        <w:rPr>
          <w:rFonts w:ascii="SimSun" w:hAnsi="SimSun" w:cs="SimSun" w:hint="eastAsia"/>
          <w:u w:color="000000"/>
          <w:bdr w:val="nil"/>
        </w:rPr>
        <w:t>参与需要长期</w:t>
      </w:r>
      <w:r w:rsidRPr="007947CE">
        <w:rPr>
          <w:rFonts w:ascii="SimSun" w:hAnsi="SimSun" w:cs="SimSun" w:hint="eastAsia"/>
          <w:u w:color="000000"/>
          <w:bdr w:val="nil"/>
        </w:rPr>
        <w:t>真正致力于从事密集对话的进程</w:t>
      </w:r>
      <w:r>
        <w:rPr>
          <w:rFonts w:ascii="SimSun" w:hAnsi="SimSun" w:cs="SimSun" w:hint="eastAsia"/>
          <w:u w:color="000000"/>
          <w:bdr w:val="nil"/>
        </w:rPr>
        <w:t>，</w:t>
      </w:r>
      <w:r w:rsidRPr="00FA0935">
        <w:t>商讨制订所有相关情景下的政策、方案和措施</w:t>
      </w:r>
      <w:r w:rsidRPr="007947CE">
        <w:rPr>
          <w:rFonts w:ascii="SimSun" w:hAnsi="SimSun" w:cs="SimSun" w:hint="eastAsia"/>
          <w:u w:color="000000"/>
          <w:bdr w:val="nil"/>
        </w:rPr>
        <w:t>。</w:t>
      </w:r>
      <w:r w:rsidRPr="005B17D2">
        <w:rPr>
          <w:rStyle w:val="FootnoteReference"/>
          <w:rFonts w:eastAsiaTheme="majorEastAsia"/>
          <w:szCs w:val="21"/>
        </w:rPr>
        <w:footnoteReference w:id="13"/>
      </w:r>
      <w:r>
        <w:rPr>
          <w:rFonts w:ascii="SimSun" w:hAnsi="SimSun" w:cs="SimSun" w:hint="eastAsia"/>
          <w:u w:color="000000"/>
          <w:bdr w:val="nil"/>
        </w:rPr>
        <w:t xml:space="preserve"> </w:t>
      </w:r>
      <w:r>
        <w:rPr>
          <w:rFonts w:hint="eastAsia"/>
        </w:rPr>
        <w:t>欧洲经济委员会《</w:t>
      </w:r>
      <w:r>
        <w:t>在环境问题上获得信息、公众参与决策和诉诸法律的公约</w:t>
      </w:r>
      <w:r>
        <w:rPr>
          <w:rFonts w:hint="eastAsia"/>
        </w:rPr>
        <w:t>》</w:t>
      </w:r>
      <w:r>
        <w:rPr>
          <w:rFonts w:ascii="SimSun" w:hAnsi="SimSun" w:cs="SimSun" w:hint="eastAsia"/>
          <w:u w:color="000000"/>
          <w:bdr w:val="nil"/>
        </w:rPr>
        <w:t>是承认参与权的一个良</w:t>
      </w:r>
      <w:r w:rsidRPr="007947CE">
        <w:rPr>
          <w:rFonts w:ascii="SimSun" w:hAnsi="SimSun" w:cs="SimSun" w:hint="eastAsia"/>
          <w:u w:color="000000"/>
          <w:bdr w:val="nil"/>
        </w:rPr>
        <w:t>好的例子。</w:t>
      </w:r>
      <w:r>
        <w:rPr>
          <w:rFonts w:ascii="SimSun" w:hAnsi="SimSun" w:cs="SimSun" w:hint="eastAsia"/>
          <w:u w:color="000000"/>
          <w:bdr w:val="nil"/>
        </w:rPr>
        <w:t>该《公约》将环境权</w:t>
      </w:r>
      <w:r w:rsidRPr="007947CE">
        <w:rPr>
          <w:rFonts w:ascii="SimSun" w:hAnsi="SimSun" w:cs="SimSun" w:hint="eastAsia"/>
          <w:u w:color="000000"/>
          <w:bdr w:val="nil"/>
        </w:rPr>
        <w:t>与人权</w:t>
      </w:r>
      <w:r>
        <w:rPr>
          <w:rFonts w:ascii="SimSun" w:hAnsi="SimSun" w:cs="SimSun" w:hint="eastAsia"/>
          <w:u w:color="000000"/>
          <w:bdr w:val="nil"/>
        </w:rPr>
        <w:t>挂钩，尤其与</w:t>
      </w:r>
      <w:r w:rsidRPr="007947CE">
        <w:rPr>
          <w:rFonts w:ascii="SimSun" w:hAnsi="SimSun" w:cs="SimSun" w:hint="eastAsia"/>
          <w:u w:color="000000"/>
          <w:bdr w:val="nil"/>
        </w:rPr>
        <w:t>参与</w:t>
      </w:r>
      <w:r>
        <w:rPr>
          <w:rFonts w:ascii="SimSun" w:hAnsi="SimSun" w:cs="SimSun" w:hint="eastAsia"/>
          <w:u w:color="000000"/>
          <w:bdr w:val="nil"/>
        </w:rPr>
        <w:t>权挂钩，并基于以下三个支柱</w:t>
      </w:r>
      <w:r w:rsidR="00EE4ECE">
        <w:rPr>
          <w:rFonts w:hint="eastAsia"/>
          <w:spacing w:val="-50"/>
        </w:rPr>
        <w:t>―</w:t>
      </w:r>
      <w:r w:rsidR="00EE4ECE">
        <w:rPr>
          <w:rFonts w:hint="eastAsia"/>
        </w:rPr>
        <w:t>―</w:t>
      </w:r>
      <w:r w:rsidRPr="007947CE">
        <w:rPr>
          <w:rFonts w:ascii="SimSun" w:hAnsi="SimSun" w:cs="SimSun" w:hint="eastAsia"/>
          <w:u w:color="000000"/>
          <w:bdr w:val="nil"/>
        </w:rPr>
        <w:t>获取</w:t>
      </w:r>
      <w:r>
        <w:rPr>
          <w:rFonts w:ascii="SimSun" w:hAnsi="SimSun" w:cs="SimSun" w:hint="eastAsia"/>
          <w:u w:color="000000"/>
          <w:bdr w:val="nil"/>
        </w:rPr>
        <w:t>有关</w:t>
      </w:r>
      <w:r w:rsidRPr="007947CE">
        <w:rPr>
          <w:rFonts w:ascii="SimSun" w:hAnsi="SimSun" w:cs="SimSun" w:hint="eastAsia"/>
          <w:u w:color="000000"/>
          <w:bdr w:val="nil"/>
        </w:rPr>
        <w:t>环境事项</w:t>
      </w:r>
      <w:r>
        <w:rPr>
          <w:rFonts w:ascii="SimSun" w:hAnsi="SimSun" w:cs="SimSun" w:hint="eastAsia"/>
          <w:u w:color="000000"/>
          <w:bdr w:val="nil"/>
        </w:rPr>
        <w:t>的</w:t>
      </w:r>
      <w:r w:rsidRPr="007947CE">
        <w:rPr>
          <w:rFonts w:ascii="SimSun" w:hAnsi="SimSun" w:cs="SimSun" w:hint="eastAsia"/>
          <w:u w:color="000000"/>
          <w:bdr w:val="nil"/>
        </w:rPr>
        <w:t>信息</w:t>
      </w:r>
      <w:r>
        <w:rPr>
          <w:rFonts w:ascii="SimSun" w:hAnsi="SimSun" w:cs="SimSun" w:hint="eastAsia"/>
          <w:u w:color="000000"/>
          <w:bdr w:val="nil"/>
        </w:rPr>
        <w:t>、公众</w:t>
      </w:r>
      <w:r w:rsidRPr="007947CE">
        <w:rPr>
          <w:rFonts w:ascii="SimSun" w:hAnsi="SimSun" w:cs="SimSun" w:hint="eastAsia"/>
          <w:u w:color="000000"/>
          <w:bdr w:val="nil"/>
        </w:rPr>
        <w:t>参与决策</w:t>
      </w:r>
      <w:r>
        <w:rPr>
          <w:rFonts w:ascii="SimSun" w:hAnsi="SimSun" w:cs="SimSun" w:hint="eastAsia"/>
          <w:u w:color="000000"/>
          <w:bdr w:val="nil"/>
        </w:rPr>
        <w:t>，</w:t>
      </w:r>
      <w:r w:rsidRPr="007947CE">
        <w:rPr>
          <w:rFonts w:ascii="SimSun" w:hAnsi="SimSun" w:cs="SimSun" w:hint="eastAsia"/>
          <w:u w:color="000000"/>
          <w:bdr w:val="nil"/>
        </w:rPr>
        <w:t>和</w:t>
      </w:r>
      <w:r>
        <w:rPr>
          <w:rFonts w:ascii="SimSun" w:hAnsi="SimSun" w:cs="SimSun" w:hint="eastAsia"/>
          <w:u w:color="000000"/>
          <w:bdr w:val="nil"/>
        </w:rPr>
        <w:t>诉诸司法</w:t>
      </w:r>
      <w:r w:rsidRPr="007947CE">
        <w:rPr>
          <w:rFonts w:ascii="SimSun" w:hAnsi="SimSun" w:cs="SimSun" w:hint="eastAsia"/>
          <w:u w:color="000000"/>
          <w:bdr w:val="nil"/>
        </w:rPr>
        <w:t>。</w:t>
      </w:r>
      <w:r w:rsidRPr="005B17D2">
        <w:rPr>
          <w:rStyle w:val="FootnoteReference"/>
          <w:rFonts w:eastAsiaTheme="majorEastAsia"/>
          <w:szCs w:val="21"/>
        </w:rPr>
        <w:footnoteReference w:id="14"/>
      </w:r>
    </w:p>
    <w:p w:rsidR="005B17D2" w:rsidRPr="007947CE" w:rsidRDefault="005B17D2" w:rsidP="008E2511">
      <w:pPr>
        <w:pStyle w:val="SingleTxt"/>
        <w:rPr>
          <w:u w:color="000000"/>
          <w:bdr w:val="nil"/>
        </w:rPr>
      </w:pPr>
      <w:r w:rsidRPr="007947CE">
        <w:rPr>
          <w:rFonts w:asciiTheme="majorBidi" w:hAnsiTheme="majorBidi" w:cstheme="majorBidi"/>
          <w:u w:color="000000"/>
          <w:bdr w:val="nil"/>
        </w:rPr>
        <w:t>12.</w:t>
      </w:r>
      <w:r w:rsidR="008E2511">
        <w:rPr>
          <w:rFonts w:asciiTheme="majorBidi" w:hAnsiTheme="majorBidi" w:cstheme="majorBidi" w:hint="eastAsia"/>
          <w:u w:color="000000"/>
          <w:bdr w:val="nil"/>
        </w:rPr>
        <w:t xml:space="preserve">  </w:t>
      </w:r>
      <w:r>
        <w:rPr>
          <w:rFonts w:ascii="SimSun" w:hAnsi="SimSun" w:cs="SimSun" w:hint="eastAsia"/>
          <w:u w:color="000000"/>
          <w:bdr w:val="nil"/>
        </w:rPr>
        <w:t>《</w:t>
      </w:r>
      <w:r w:rsidRPr="007947CE">
        <w:rPr>
          <w:rFonts w:ascii="SimSun" w:hAnsi="SimSun" w:cs="SimSun" w:hint="eastAsia"/>
          <w:u w:color="000000"/>
          <w:bdr w:val="nil"/>
        </w:rPr>
        <w:t>公民权利和政治权利国际公约</w:t>
      </w:r>
      <w:r>
        <w:rPr>
          <w:rFonts w:ascii="SimSun" w:hAnsi="SimSun" w:cs="SimSun" w:hint="eastAsia"/>
          <w:u w:color="000000"/>
          <w:bdr w:val="nil"/>
        </w:rPr>
        <w:t>》</w:t>
      </w:r>
      <w:r w:rsidRPr="007947CE">
        <w:rPr>
          <w:rFonts w:ascii="SimSun" w:hAnsi="SimSun" w:cs="SimSun" w:hint="eastAsia"/>
          <w:u w:color="000000"/>
          <w:bdr w:val="nil"/>
        </w:rPr>
        <w:t>第</w:t>
      </w:r>
      <w:r>
        <w:rPr>
          <w:rFonts w:hint="eastAsia"/>
          <w:u w:color="000000"/>
          <w:bdr w:val="nil"/>
        </w:rPr>
        <w:t>二十五</w:t>
      </w:r>
      <w:r w:rsidRPr="007947CE">
        <w:rPr>
          <w:rFonts w:ascii="SimSun" w:hAnsi="SimSun" w:cs="SimSun" w:hint="eastAsia"/>
          <w:u w:color="000000"/>
          <w:bdr w:val="nil"/>
        </w:rPr>
        <w:t>条也承认</w:t>
      </w:r>
      <w:r>
        <w:t>公民在一般</w:t>
      </w:r>
      <w:r w:rsidRPr="00876A6D">
        <w:t>的平等条件下担任公职的权利和机会</w:t>
      </w:r>
      <w:r w:rsidRPr="007947CE">
        <w:rPr>
          <w:rFonts w:ascii="SimSun" w:hAnsi="SimSun" w:cs="SimSun" w:hint="eastAsia"/>
          <w:u w:color="000000"/>
          <w:bdr w:val="nil"/>
        </w:rPr>
        <w:t>。为了确保平等</w:t>
      </w:r>
      <w:r>
        <w:rPr>
          <w:rFonts w:ascii="SimSun" w:hAnsi="SimSun" w:cs="SimSun" w:hint="eastAsia"/>
          <w:u w:color="000000"/>
          <w:bdr w:val="nil"/>
        </w:rPr>
        <w:t>机会</w:t>
      </w:r>
      <w:r w:rsidRPr="007947CE">
        <w:rPr>
          <w:rFonts w:ascii="SimSun" w:hAnsi="SimSun" w:cs="SimSun" w:hint="eastAsia"/>
          <w:u w:color="000000"/>
          <w:bdr w:val="nil"/>
        </w:rPr>
        <w:t>，</w:t>
      </w:r>
      <w:r w:rsidRPr="00CA23FC">
        <w:t>任命、晋升、停职和解职的标准和程序必须客观和合理</w:t>
      </w:r>
      <w:r w:rsidRPr="007947CE">
        <w:rPr>
          <w:rFonts w:ascii="SimSun" w:hAnsi="SimSun" w:cs="SimSun" w:hint="eastAsia"/>
          <w:u w:color="000000"/>
          <w:bdr w:val="nil"/>
        </w:rPr>
        <w:t>。</w:t>
      </w:r>
      <w:r>
        <w:t>在适当情况下不妨采取</w:t>
      </w:r>
      <w:r>
        <w:rPr>
          <w:rFonts w:hint="eastAsia"/>
        </w:rPr>
        <w:t>扶持</w:t>
      </w:r>
      <w:r w:rsidRPr="004734FB">
        <w:t>措施，确保所有公民可平等担任公职。</w:t>
      </w:r>
      <w:r w:rsidRPr="005B17D2">
        <w:rPr>
          <w:rStyle w:val="FootnoteReference"/>
          <w:rFonts w:eastAsiaTheme="majorEastAsia"/>
          <w:szCs w:val="21"/>
        </w:rPr>
        <w:footnoteReference w:id="15"/>
      </w:r>
    </w:p>
    <w:p w:rsidR="005B17D2" w:rsidRPr="00A247A0" w:rsidRDefault="005B17D2" w:rsidP="008E2511">
      <w:pPr>
        <w:pStyle w:val="SingleTxt"/>
        <w:rPr>
          <w:u w:color="000000"/>
          <w:bdr w:val="nil"/>
        </w:rPr>
      </w:pPr>
      <w:r w:rsidRPr="0064426F">
        <w:rPr>
          <w:rFonts w:asciiTheme="majorBidi" w:eastAsia="Arial Unicode MS" w:hAnsiTheme="majorBidi" w:cstheme="majorBidi"/>
          <w:bdr w:val="nil"/>
        </w:rPr>
        <w:t>13.</w:t>
      </w:r>
      <w:r w:rsidR="008E2511">
        <w:rPr>
          <w:rFonts w:asciiTheme="majorBidi" w:eastAsia="Arial Unicode MS" w:hAnsiTheme="majorBidi" w:cstheme="majorBidi" w:hint="eastAsia"/>
          <w:bdr w:val="nil"/>
        </w:rPr>
        <w:t xml:space="preserve">  </w:t>
      </w:r>
      <w:r w:rsidRPr="00A247A0">
        <w:rPr>
          <w:rFonts w:ascii="SimSun" w:hAnsi="SimSun" w:cs="SimSun" w:hint="eastAsia"/>
          <w:u w:color="000000"/>
          <w:bdr w:val="nil"/>
        </w:rPr>
        <w:t>参与政治和公共事务</w:t>
      </w:r>
      <w:r>
        <w:rPr>
          <w:rFonts w:ascii="SimSun" w:hAnsi="SimSun" w:cs="SimSun" w:hint="eastAsia"/>
          <w:u w:color="000000"/>
          <w:bdr w:val="nil"/>
        </w:rPr>
        <w:t>，是</w:t>
      </w:r>
      <w:r w:rsidRPr="00A247A0">
        <w:rPr>
          <w:rFonts w:ascii="SimSun" w:hAnsi="SimSun" w:cs="SimSun" w:hint="eastAsia"/>
          <w:u w:color="000000"/>
          <w:bdr w:val="nil"/>
        </w:rPr>
        <w:t>实现所有人权</w:t>
      </w:r>
      <w:r>
        <w:rPr>
          <w:rFonts w:ascii="SimSun" w:hAnsi="SimSun" w:cs="SimSun" w:hint="eastAsia"/>
          <w:u w:color="000000"/>
          <w:bdr w:val="nil"/>
        </w:rPr>
        <w:t>的基础，并与其密切相关</w:t>
      </w:r>
      <w:r w:rsidRPr="00A247A0">
        <w:rPr>
          <w:rFonts w:ascii="SimSun" w:hAnsi="SimSun" w:cs="SimSun" w:hint="eastAsia"/>
          <w:u w:color="000000"/>
          <w:bdr w:val="nil"/>
        </w:rPr>
        <w:t>。</w:t>
      </w:r>
      <w:r>
        <w:rPr>
          <w:rFonts w:ascii="SimSun" w:hAnsi="SimSun" w:cs="SimSun" w:hint="eastAsia"/>
          <w:u w:color="000000"/>
          <w:bdr w:val="nil"/>
        </w:rPr>
        <w:t>这一问题</w:t>
      </w:r>
      <w:r w:rsidRPr="00A247A0">
        <w:rPr>
          <w:rFonts w:ascii="SimSun" w:hAnsi="SimSun" w:cs="SimSun" w:hint="eastAsia"/>
          <w:u w:color="000000"/>
          <w:bdr w:val="nil"/>
        </w:rPr>
        <w:t>不能在真空中考虑</w:t>
      </w:r>
      <w:r>
        <w:rPr>
          <w:rFonts w:ascii="SimSun" w:hAnsi="SimSun" w:cs="SimSun" w:hint="eastAsia"/>
          <w:u w:color="000000"/>
          <w:bdr w:val="nil"/>
        </w:rPr>
        <w:t>，而不顾及结构性</w:t>
      </w:r>
      <w:r w:rsidRPr="00A247A0">
        <w:rPr>
          <w:rFonts w:ascii="SimSun" w:hAnsi="SimSun" w:cs="SimSun" w:hint="eastAsia"/>
          <w:u w:color="000000"/>
          <w:bdr w:val="nil"/>
        </w:rPr>
        <w:t>问题，如贫困或识字水平。国</w:t>
      </w:r>
      <w:r>
        <w:rPr>
          <w:rFonts w:ascii="SimSun" w:hAnsi="SimSun" w:cs="SimSun" w:hint="eastAsia"/>
          <w:u w:color="000000"/>
          <w:bdr w:val="nil"/>
        </w:rPr>
        <w:t>家对</w:t>
      </w:r>
      <w:r w:rsidRPr="00A247A0">
        <w:rPr>
          <w:rFonts w:ascii="SimSun" w:hAnsi="SimSun" w:cs="SimSun" w:hint="eastAsia"/>
          <w:u w:color="000000"/>
          <w:bdr w:val="nil"/>
        </w:rPr>
        <w:t>这项研究</w:t>
      </w:r>
      <w:r>
        <w:rPr>
          <w:rFonts w:ascii="SimSun" w:hAnsi="SimSun" w:cs="SimSun" w:hint="eastAsia"/>
          <w:u w:color="000000"/>
          <w:bdr w:val="nil"/>
        </w:rPr>
        <w:t>的意见确认</w:t>
      </w:r>
      <w:r w:rsidRPr="00A247A0">
        <w:rPr>
          <w:rFonts w:ascii="SimSun" w:hAnsi="SimSun" w:cs="SimSun" w:hint="eastAsia"/>
          <w:u w:color="000000"/>
          <w:bdr w:val="nil"/>
        </w:rPr>
        <w:t>，尊重和充分行使见</w:t>
      </w:r>
      <w:r>
        <w:rPr>
          <w:rFonts w:ascii="SimSun" w:hAnsi="SimSun" w:cs="SimSun" w:hint="eastAsia"/>
          <w:u w:color="000000"/>
          <w:bdr w:val="nil"/>
        </w:rPr>
        <w:t>解</w:t>
      </w:r>
      <w:r w:rsidRPr="00A247A0">
        <w:rPr>
          <w:rFonts w:ascii="SimSun" w:hAnsi="SimSun" w:cs="SimSun" w:hint="eastAsia"/>
          <w:u w:color="000000"/>
          <w:bdr w:val="nil"/>
        </w:rPr>
        <w:t>和言论自由权</w:t>
      </w:r>
      <w:r>
        <w:rPr>
          <w:rFonts w:ascii="SimSun" w:hAnsi="SimSun" w:cs="SimSun" w:hint="eastAsia"/>
          <w:u w:color="000000"/>
          <w:bdr w:val="nil"/>
        </w:rPr>
        <w:t>、</w:t>
      </w:r>
      <w:r w:rsidRPr="00A247A0">
        <w:rPr>
          <w:rFonts w:ascii="SimSun" w:hAnsi="SimSun" w:cs="SimSun" w:hint="eastAsia"/>
          <w:u w:color="000000"/>
          <w:bdr w:val="nil"/>
        </w:rPr>
        <w:t>结社和和平集会自由权</w:t>
      </w:r>
      <w:r>
        <w:rPr>
          <w:rFonts w:ascii="SimSun" w:hAnsi="SimSun" w:cs="SimSun" w:hint="eastAsia"/>
          <w:u w:color="000000"/>
          <w:bdr w:val="nil"/>
        </w:rPr>
        <w:t>、</w:t>
      </w:r>
      <w:r w:rsidRPr="00A247A0">
        <w:rPr>
          <w:rFonts w:ascii="SimSun" w:hAnsi="SimSun" w:cs="SimSun" w:hint="eastAsia"/>
          <w:u w:color="000000"/>
          <w:bdr w:val="nil"/>
        </w:rPr>
        <w:t>信息权</w:t>
      </w:r>
      <w:r>
        <w:rPr>
          <w:rFonts w:ascii="SimSun" w:hAnsi="SimSun" w:cs="SimSun" w:hint="eastAsia"/>
          <w:u w:color="000000"/>
          <w:bdr w:val="nil"/>
        </w:rPr>
        <w:t>、受</w:t>
      </w:r>
      <w:r w:rsidRPr="00A247A0">
        <w:rPr>
          <w:rFonts w:ascii="SimSun" w:hAnsi="SimSun" w:cs="SimSun" w:hint="eastAsia"/>
          <w:u w:color="000000"/>
          <w:bdr w:val="nil"/>
        </w:rPr>
        <w:t>教育</w:t>
      </w:r>
      <w:r>
        <w:rPr>
          <w:rFonts w:ascii="SimSun" w:hAnsi="SimSun" w:cs="SimSun" w:hint="eastAsia"/>
          <w:u w:color="000000"/>
          <w:bdr w:val="nil"/>
        </w:rPr>
        <w:t>权</w:t>
      </w:r>
      <w:r w:rsidRPr="00A247A0">
        <w:rPr>
          <w:rFonts w:ascii="SimSun" w:hAnsi="SimSun" w:cs="SimSun" w:hint="eastAsia"/>
          <w:u w:color="000000"/>
          <w:bdr w:val="nil"/>
        </w:rPr>
        <w:t>和诉诸</w:t>
      </w:r>
      <w:r>
        <w:rPr>
          <w:rFonts w:ascii="SimSun" w:hAnsi="SimSun" w:cs="SimSun" w:hint="eastAsia"/>
          <w:u w:color="000000"/>
          <w:bdr w:val="nil"/>
        </w:rPr>
        <w:t>司</w:t>
      </w:r>
      <w:r w:rsidRPr="00A247A0">
        <w:rPr>
          <w:rFonts w:ascii="SimSun" w:hAnsi="SimSun" w:cs="SimSun" w:hint="eastAsia"/>
          <w:u w:color="000000"/>
          <w:bdr w:val="nil"/>
        </w:rPr>
        <w:t>法</w:t>
      </w:r>
      <w:r>
        <w:rPr>
          <w:rFonts w:ascii="SimSun" w:hAnsi="SimSun" w:cs="SimSun" w:hint="eastAsia"/>
          <w:u w:color="000000"/>
          <w:bdr w:val="nil"/>
        </w:rPr>
        <w:t>权</w:t>
      </w:r>
      <w:r w:rsidRPr="00A247A0">
        <w:rPr>
          <w:rFonts w:ascii="SimSun" w:hAnsi="SimSun" w:cs="SimSun" w:hint="eastAsia"/>
          <w:u w:color="000000"/>
          <w:bdr w:val="nil"/>
        </w:rPr>
        <w:t>，是</w:t>
      </w:r>
      <w:r>
        <w:rPr>
          <w:rFonts w:ascii="SimSun" w:hAnsi="SimSun" w:cs="SimSun" w:hint="eastAsia"/>
          <w:u w:color="000000"/>
          <w:bdr w:val="nil"/>
        </w:rPr>
        <w:t>有关</w:t>
      </w:r>
      <w:r w:rsidRPr="00A247A0">
        <w:rPr>
          <w:rFonts w:ascii="SimSun" w:hAnsi="SimSun" w:cs="SimSun" w:hint="eastAsia"/>
          <w:u w:color="000000"/>
          <w:bdr w:val="nil"/>
        </w:rPr>
        <w:t>参与</w:t>
      </w:r>
      <w:r>
        <w:rPr>
          <w:rFonts w:ascii="SimSun" w:hAnsi="SimSun" w:cs="SimSun" w:hint="eastAsia"/>
          <w:u w:color="000000"/>
          <w:bdr w:val="nil"/>
        </w:rPr>
        <w:t>处理</w:t>
      </w:r>
      <w:r w:rsidRPr="00A247A0">
        <w:rPr>
          <w:rFonts w:ascii="SimSun" w:hAnsi="SimSun" w:cs="SimSun" w:hint="eastAsia"/>
          <w:u w:color="000000"/>
          <w:bdr w:val="nil"/>
        </w:rPr>
        <w:t>政治和公共事务</w:t>
      </w:r>
      <w:r>
        <w:rPr>
          <w:rFonts w:ascii="SimSun" w:hAnsi="SimSun" w:cs="SimSun" w:hint="eastAsia"/>
          <w:u w:color="000000"/>
          <w:bdr w:val="nil"/>
        </w:rPr>
        <w:t>的</w:t>
      </w:r>
      <w:r>
        <w:t>扶持环境</w:t>
      </w:r>
      <w:r>
        <w:rPr>
          <w:rFonts w:hint="eastAsia"/>
        </w:rPr>
        <w:t>的</w:t>
      </w:r>
      <w:r w:rsidRPr="00A247A0">
        <w:rPr>
          <w:rFonts w:ascii="SimSun" w:hAnsi="SimSun" w:cs="SimSun" w:hint="eastAsia"/>
          <w:u w:color="000000"/>
          <w:bdr w:val="nil"/>
        </w:rPr>
        <w:t>先决条件。</w:t>
      </w:r>
      <w:r w:rsidRPr="005B17D2">
        <w:rPr>
          <w:rStyle w:val="FootnoteReference"/>
        </w:rPr>
        <w:footnoteReference w:id="16"/>
      </w:r>
      <w:r>
        <w:rPr>
          <w:rFonts w:ascii="SimSun" w:hAnsi="SimSun" w:cs="SimSun" w:hint="eastAsia"/>
          <w:u w:color="000000"/>
          <w:bdr w:val="nil"/>
        </w:rPr>
        <w:t>弥合</w:t>
      </w:r>
      <w:r w:rsidRPr="00A247A0">
        <w:rPr>
          <w:rFonts w:ascii="Calibri" w:eastAsia="Calibri" w:hAnsi="Calibri" w:cs="Calibri"/>
          <w:u w:color="000000"/>
          <w:bdr w:val="nil"/>
        </w:rPr>
        <w:t>“</w:t>
      </w:r>
      <w:r w:rsidRPr="00A247A0">
        <w:rPr>
          <w:rFonts w:ascii="SimSun" w:hAnsi="SimSun" w:cs="SimSun" w:hint="eastAsia"/>
          <w:u w:color="000000"/>
          <w:bdr w:val="nil"/>
        </w:rPr>
        <w:t>数字鸿沟</w:t>
      </w:r>
      <w:r w:rsidRPr="00A247A0">
        <w:rPr>
          <w:rFonts w:ascii="Calibri" w:eastAsia="Calibri" w:hAnsi="Calibri" w:cs="Calibri"/>
          <w:u w:color="000000"/>
          <w:bdr w:val="nil"/>
        </w:rPr>
        <w:t>”</w:t>
      </w:r>
      <w:r>
        <w:rPr>
          <w:rFonts w:ascii="SimSun" w:hAnsi="SimSun" w:cs="SimSun" w:hint="eastAsia"/>
          <w:u w:color="000000"/>
          <w:bdr w:val="nil"/>
        </w:rPr>
        <w:t>对</w:t>
      </w:r>
      <w:r w:rsidRPr="00A247A0">
        <w:rPr>
          <w:rFonts w:ascii="SimSun" w:hAnsi="SimSun" w:cs="SimSun" w:hint="eastAsia"/>
          <w:u w:color="000000"/>
          <w:bdr w:val="nil"/>
        </w:rPr>
        <w:t>充分</w:t>
      </w:r>
      <w:r>
        <w:rPr>
          <w:rFonts w:ascii="SimSun" w:hAnsi="SimSun" w:cs="SimSun" w:hint="eastAsia"/>
          <w:u w:color="000000"/>
          <w:bdr w:val="nil"/>
        </w:rPr>
        <w:t>落实</w:t>
      </w:r>
      <w:r w:rsidRPr="00A247A0">
        <w:rPr>
          <w:rFonts w:ascii="SimSun" w:hAnsi="SimSun" w:cs="SimSun" w:hint="eastAsia"/>
          <w:u w:color="000000"/>
          <w:bdr w:val="nil"/>
        </w:rPr>
        <w:t>参与政治和公共事务</w:t>
      </w:r>
      <w:r>
        <w:rPr>
          <w:rFonts w:ascii="SimSun" w:hAnsi="SimSun" w:cs="SimSun" w:hint="eastAsia"/>
          <w:u w:color="000000"/>
          <w:bdr w:val="nil"/>
        </w:rPr>
        <w:t>权至关重要，尤其是让弱势群体获得信息，并通过使用新的通信</w:t>
      </w:r>
      <w:r w:rsidRPr="00A247A0">
        <w:rPr>
          <w:rFonts w:ascii="SimSun" w:hAnsi="SimSun" w:cs="SimSun" w:hint="eastAsia"/>
          <w:u w:color="000000"/>
          <w:bdr w:val="nil"/>
        </w:rPr>
        <w:t>技术，表达自己的不满</w:t>
      </w:r>
      <w:r>
        <w:rPr>
          <w:rFonts w:ascii="SimSun" w:hAnsi="SimSun" w:cs="SimSun" w:hint="eastAsia"/>
          <w:u w:color="000000"/>
          <w:bdr w:val="nil"/>
        </w:rPr>
        <w:t>。</w:t>
      </w:r>
      <w:r w:rsidRPr="005B17D2">
        <w:rPr>
          <w:rStyle w:val="FootnoteReference"/>
          <w:rFonts w:eastAsia="Arial Unicode MS"/>
        </w:rPr>
        <w:footnoteReference w:id="17"/>
      </w:r>
    </w:p>
    <w:p w:rsidR="008E2511" w:rsidRPr="008E2511" w:rsidRDefault="008E2511" w:rsidP="008E251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8E2511" w:rsidRPr="008E2511" w:rsidRDefault="008E2511" w:rsidP="008E251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8E2511" w:rsidRPr="008E2511" w:rsidRDefault="008E2511" w:rsidP="008E251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5B17D2" w:rsidRPr="008E2511" w:rsidRDefault="005B17D2" w:rsidP="008E251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mbria"/>
          <w:u w:color="000000"/>
          <w:bdr w:val="nil"/>
        </w:rPr>
      </w:pPr>
      <w:r w:rsidRPr="008E2511">
        <w:rPr>
          <w:rFonts w:eastAsia="Cambria"/>
          <w:u w:color="000000"/>
          <w:bdr w:val="nil"/>
        </w:rPr>
        <w:tab/>
      </w:r>
      <w:r w:rsidRPr="008E2511">
        <w:rPr>
          <w:rFonts w:asciiTheme="minorEastAsia" w:hAnsiTheme="minorEastAsia" w:hint="eastAsia"/>
          <w:u w:color="000000"/>
          <w:bdr w:val="nil"/>
        </w:rPr>
        <w:t>三</w:t>
      </w:r>
      <w:r w:rsidRPr="008E2511">
        <w:rPr>
          <w:rFonts w:eastAsia="Cambria"/>
          <w:u w:color="000000"/>
          <w:bdr w:val="nil"/>
        </w:rPr>
        <w:t>.</w:t>
      </w:r>
      <w:r w:rsidRPr="008E2511">
        <w:rPr>
          <w:rFonts w:eastAsia="Cambria"/>
          <w:u w:color="000000"/>
          <w:bdr w:val="nil"/>
        </w:rPr>
        <w:tab/>
      </w:r>
      <w:r w:rsidRPr="008E2511">
        <w:rPr>
          <w:rFonts w:hint="eastAsia"/>
          <w:u w:color="000000"/>
          <w:bdr w:val="nil"/>
        </w:rPr>
        <w:t>参与政治和公共事务权方面的挑战</w:t>
      </w:r>
    </w:p>
    <w:p w:rsidR="008E2511" w:rsidRPr="008E2511" w:rsidRDefault="008E2511" w:rsidP="008E2511">
      <w:pPr>
        <w:pStyle w:val="SingleTxt"/>
        <w:spacing w:after="0" w:line="120" w:lineRule="exact"/>
        <w:rPr>
          <w:rFonts w:asciiTheme="majorBidi" w:hAnsiTheme="majorBidi" w:cstheme="majorBidi"/>
          <w:sz w:val="10"/>
          <w:u w:color="000000"/>
          <w:bdr w:val="nil"/>
        </w:rPr>
      </w:pPr>
    </w:p>
    <w:p w:rsidR="008E2511" w:rsidRPr="008E2511" w:rsidRDefault="008E2511" w:rsidP="008E2511">
      <w:pPr>
        <w:pStyle w:val="SingleTxt"/>
        <w:spacing w:after="0" w:line="120" w:lineRule="exact"/>
        <w:rPr>
          <w:rFonts w:asciiTheme="majorBidi" w:hAnsiTheme="majorBidi" w:cstheme="majorBidi"/>
          <w:sz w:val="10"/>
          <w:u w:color="000000"/>
          <w:bdr w:val="nil"/>
        </w:rPr>
      </w:pPr>
    </w:p>
    <w:p w:rsidR="005B17D2" w:rsidRPr="00E41E9B" w:rsidRDefault="005B17D2" w:rsidP="00EE4ECE">
      <w:pPr>
        <w:pStyle w:val="SingleTxt"/>
        <w:rPr>
          <w:u w:color="000000"/>
          <w:bdr w:val="nil"/>
        </w:rPr>
      </w:pPr>
      <w:r w:rsidRPr="0064426F">
        <w:rPr>
          <w:rFonts w:asciiTheme="majorBidi" w:hAnsiTheme="majorBidi" w:cstheme="majorBidi"/>
          <w:u w:color="000000"/>
          <w:bdr w:val="nil"/>
        </w:rPr>
        <w:t>14.</w:t>
      </w:r>
      <w:r w:rsidR="008E2511">
        <w:rPr>
          <w:rFonts w:asciiTheme="majorBidi" w:hAnsiTheme="majorBidi" w:cstheme="majorBidi" w:hint="eastAsia"/>
          <w:u w:color="000000"/>
          <w:bdr w:val="nil"/>
        </w:rPr>
        <w:t xml:space="preserve">  </w:t>
      </w:r>
      <w:r>
        <w:rPr>
          <w:rFonts w:ascii="SimSun" w:hAnsi="SimSun" w:cs="SimSun" w:hint="eastAsia"/>
          <w:u w:color="000000"/>
          <w:bdr w:val="nil"/>
        </w:rPr>
        <w:t>尽管</w:t>
      </w:r>
      <w:r w:rsidRPr="00377994">
        <w:rPr>
          <w:rFonts w:ascii="SimSun" w:hAnsi="SimSun" w:cs="SimSun" w:hint="eastAsia"/>
          <w:u w:color="000000"/>
          <w:bdr w:val="nil"/>
        </w:rPr>
        <w:t>允许限制参与政治和公共事务的权利，</w:t>
      </w:r>
      <w:r>
        <w:rPr>
          <w:rFonts w:ascii="SimSun" w:hAnsi="SimSun" w:cs="SimSun" w:hint="eastAsia"/>
          <w:u w:color="000000"/>
          <w:bdr w:val="nil"/>
        </w:rPr>
        <w:t>但限制</w:t>
      </w:r>
      <w:r w:rsidRPr="00377994">
        <w:rPr>
          <w:rFonts w:ascii="SimSun" w:hAnsi="SimSun" w:cs="SimSun" w:hint="eastAsia"/>
          <w:u w:color="000000"/>
          <w:bdr w:val="nil"/>
        </w:rPr>
        <w:t>必须客观</w:t>
      </w:r>
      <w:r>
        <w:rPr>
          <w:rFonts w:ascii="SimSun" w:hAnsi="SimSun" w:cs="SimSun" w:hint="eastAsia"/>
          <w:u w:color="000000"/>
          <w:bdr w:val="nil"/>
        </w:rPr>
        <w:t>、</w:t>
      </w:r>
      <w:r w:rsidRPr="00377994">
        <w:rPr>
          <w:rFonts w:ascii="SimSun" w:hAnsi="SimSun" w:cs="SimSun" w:hint="eastAsia"/>
          <w:u w:color="000000"/>
          <w:bdr w:val="nil"/>
        </w:rPr>
        <w:t>合理</w:t>
      </w:r>
      <w:r>
        <w:rPr>
          <w:rFonts w:ascii="SimSun" w:hAnsi="SimSun" w:cs="SimSun" w:hint="eastAsia"/>
          <w:u w:color="000000"/>
          <w:bdr w:val="nil"/>
        </w:rPr>
        <w:t>、不</w:t>
      </w:r>
      <w:r w:rsidRPr="00377994">
        <w:rPr>
          <w:rFonts w:ascii="SimSun" w:hAnsi="SimSun" w:cs="SimSun" w:hint="eastAsia"/>
          <w:u w:color="000000"/>
          <w:bdr w:val="nil"/>
        </w:rPr>
        <w:t>歧视</w:t>
      </w:r>
      <w:r>
        <w:rPr>
          <w:rFonts w:ascii="SimSun" w:hAnsi="SimSun" w:cs="SimSun" w:hint="eastAsia"/>
          <w:u w:color="000000"/>
          <w:bdr w:val="nil"/>
        </w:rPr>
        <w:t>，并由法律规定</w:t>
      </w:r>
      <w:r w:rsidRPr="00377994">
        <w:rPr>
          <w:rFonts w:ascii="SimSun" w:hAnsi="SimSun" w:cs="SimSun" w:hint="eastAsia"/>
          <w:u w:color="000000"/>
          <w:bdr w:val="nil"/>
        </w:rPr>
        <w:t>。</w:t>
      </w:r>
      <w:r w:rsidRPr="005B17D2">
        <w:rPr>
          <w:rStyle w:val="FootnoteReference"/>
        </w:rPr>
        <w:footnoteReference w:id="18"/>
      </w:r>
      <w:r w:rsidR="008E2511">
        <w:rPr>
          <w:rFonts w:ascii="SimSun" w:hAnsi="SimSun" w:cs="SimSun" w:hint="eastAsia"/>
          <w:u w:color="000000"/>
          <w:bdr w:val="nil"/>
        </w:rPr>
        <w:t xml:space="preserve"> </w:t>
      </w:r>
      <w:r w:rsidRPr="00377994">
        <w:rPr>
          <w:rFonts w:ascii="SimSun" w:hAnsi="SimSun" w:cs="SimSun" w:hint="eastAsia"/>
          <w:u w:color="000000"/>
          <w:bdr w:val="nil"/>
        </w:rPr>
        <w:t>与其他政治权利</w:t>
      </w:r>
      <w:r>
        <w:rPr>
          <w:rFonts w:ascii="SimSun" w:hAnsi="SimSun" w:cs="SimSun" w:hint="eastAsia"/>
          <w:u w:color="000000"/>
          <w:bdr w:val="nil"/>
        </w:rPr>
        <w:t>--</w:t>
      </w:r>
      <w:r w:rsidRPr="00377994">
        <w:rPr>
          <w:rFonts w:ascii="SimSun" w:hAnsi="SimSun" w:cs="SimSun" w:hint="eastAsia"/>
          <w:u w:color="000000"/>
          <w:bdr w:val="nil"/>
        </w:rPr>
        <w:t>如集会和结社</w:t>
      </w:r>
      <w:r>
        <w:rPr>
          <w:rFonts w:ascii="SimSun" w:hAnsi="SimSun" w:cs="SimSun" w:hint="eastAsia"/>
          <w:u w:color="000000"/>
          <w:bdr w:val="nil"/>
        </w:rPr>
        <w:t>、见解</w:t>
      </w:r>
      <w:r w:rsidRPr="00377994">
        <w:rPr>
          <w:rFonts w:ascii="SimSun" w:hAnsi="SimSun" w:cs="SimSun" w:hint="eastAsia"/>
          <w:u w:color="000000"/>
          <w:bdr w:val="nil"/>
        </w:rPr>
        <w:t>和</w:t>
      </w:r>
      <w:r>
        <w:rPr>
          <w:rFonts w:ascii="SimSun" w:hAnsi="SimSun" w:cs="SimSun" w:hint="eastAsia"/>
          <w:u w:color="000000"/>
          <w:bdr w:val="nil"/>
        </w:rPr>
        <w:t>言论</w:t>
      </w:r>
      <w:r w:rsidRPr="00377994">
        <w:rPr>
          <w:rFonts w:ascii="SimSun" w:hAnsi="SimSun" w:cs="SimSun" w:hint="eastAsia"/>
          <w:u w:color="000000"/>
          <w:bdr w:val="nil"/>
        </w:rPr>
        <w:t>自由</w:t>
      </w:r>
      <w:r>
        <w:rPr>
          <w:rFonts w:ascii="SimSun" w:hAnsi="SimSun" w:cs="SimSun" w:hint="eastAsia"/>
          <w:u w:color="000000"/>
          <w:bdr w:val="nil"/>
        </w:rPr>
        <w:t>一样</w:t>
      </w:r>
      <w:r w:rsidRPr="00377994">
        <w:rPr>
          <w:rFonts w:ascii="SimSun" w:hAnsi="SimSun" w:cs="SimSun" w:hint="eastAsia"/>
          <w:u w:color="000000"/>
          <w:bdr w:val="nil"/>
        </w:rPr>
        <w:t>，任何限制</w:t>
      </w:r>
      <w:r>
        <w:rPr>
          <w:rFonts w:ascii="SimSun" w:hAnsi="SimSun" w:cs="SimSun" w:hint="eastAsia"/>
          <w:u w:color="000000"/>
          <w:bdr w:val="nil"/>
        </w:rPr>
        <w:t>都</w:t>
      </w:r>
      <w:r w:rsidRPr="00377994">
        <w:rPr>
          <w:rFonts w:ascii="SimSun" w:hAnsi="SimSun" w:cs="SimSun" w:hint="eastAsia"/>
          <w:u w:color="000000"/>
          <w:bdr w:val="nil"/>
        </w:rPr>
        <w:t>必须是必要</w:t>
      </w:r>
      <w:r>
        <w:rPr>
          <w:rFonts w:ascii="SimSun" w:hAnsi="SimSun" w:cs="SimSun" w:hint="eastAsia"/>
          <w:u w:color="000000"/>
          <w:bdr w:val="nil"/>
        </w:rPr>
        <w:t>的</w:t>
      </w:r>
      <w:r w:rsidRPr="00377994">
        <w:rPr>
          <w:rFonts w:ascii="SimSun" w:hAnsi="SimSun" w:cs="SimSun" w:hint="eastAsia"/>
          <w:u w:color="000000"/>
          <w:bdr w:val="nil"/>
        </w:rPr>
        <w:t>和</w:t>
      </w:r>
      <w:r>
        <w:rPr>
          <w:rFonts w:ascii="SimSun" w:hAnsi="SimSun" w:cs="SimSun" w:hint="eastAsia"/>
          <w:u w:color="000000"/>
          <w:bdr w:val="nil"/>
        </w:rPr>
        <w:t>相称</w:t>
      </w:r>
      <w:r w:rsidRPr="00377994">
        <w:rPr>
          <w:rFonts w:ascii="SimSun" w:hAnsi="SimSun" w:cs="SimSun" w:hint="eastAsia"/>
          <w:u w:color="000000"/>
          <w:bdr w:val="nil"/>
        </w:rPr>
        <w:t>的。</w:t>
      </w:r>
      <w:r>
        <w:rPr>
          <w:rFonts w:ascii="SimSun" w:hAnsi="SimSun" w:cs="SimSun" w:hint="eastAsia"/>
          <w:u w:color="000000"/>
          <w:bdr w:val="nil"/>
        </w:rPr>
        <w:t>这项权利</w:t>
      </w:r>
      <w:r w:rsidRPr="00377994">
        <w:rPr>
          <w:rFonts w:ascii="SimSun" w:hAnsi="SimSun" w:cs="SimSun" w:hint="eastAsia"/>
          <w:u w:color="000000"/>
          <w:bdr w:val="nil"/>
        </w:rPr>
        <w:t>的</w:t>
      </w:r>
      <w:r w:rsidR="00EE4ECE">
        <w:rPr>
          <w:rFonts w:ascii="Calibri" w:eastAsiaTheme="minorEastAsia" w:hAnsi="Calibri" w:cs="Calibri" w:hint="eastAsia"/>
          <w:u w:color="000000"/>
          <w:bdr w:val="nil"/>
        </w:rPr>
        <w:t>“</w:t>
      </w:r>
      <w:r>
        <w:rPr>
          <w:rFonts w:ascii="SimSun" w:hAnsi="SimSun" w:cs="SimSun" w:hint="eastAsia"/>
          <w:u w:color="000000"/>
          <w:bdr w:val="nil"/>
        </w:rPr>
        <w:t>实</w:t>
      </w:r>
      <w:r w:rsidRPr="00377994">
        <w:rPr>
          <w:rFonts w:ascii="SimSun" w:hAnsi="SimSun" w:cs="SimSun" w:hint="eastAsia"/>
          <w:u w:color="000000"/>
          <w:bdr w:val="nil"/>
        </w:rPr>
        <w:t>质</w:t>
      </w:r>
      <w:r w:rsidR="00EE4ECE">
        <w:rPr>
          <w:rFonts w:ascii="Calibri" w:eastAsiaTheme="minorEastAsia" w:hAnsi="Calibri" w:cs="Calibri" w:hint="eastAsia"/>
          <w:u w:color="000000"/>
          <w:bdr w:val="nil"/>
        </w:rPr>
        <w:t>”</w:t>
      </w:r>
      <w:r>
        <w:rPr>
          <w:rFonts w:asciiTheme="minorEastAsia" w:hAnsiTheme="minorEastAsia" w:cs="Calibri" w:hint="eastAsia"/>
          <w:u w:color="000000"/>
          <w:bdr w:val="nil"/>
        </w:rPr>
        <w:t>绝</w:t>
      </w:r>
      <w:r w:rsidRPr="00377994">
        <w:rPr>
          <w:rFonts w:ascii="SimSun" w:hAnsi="SimSun" w:cs="SimSun" w:hint="eastAsia"/>
          <w:u w:color="000000"/>
          <w:bdr w:val="nil"/>
        </w:rPr>
        <w:t>不应该受到影响。</w:t>
      </w:r>
      <w:r w:rsidRPr="005B17D2">
        <w:rPr>
          <w:rStyle w:val="FootnoteReference"/>
        </w:rPr>
        <w:footnoteReference w:id="19"/>
      </w:r>
      <w:r w:rsidR="008E2511">
        <w:rPr>
          <w:rFonts w:ascii="SimSun" w:hAnsi="SimSun" w:cs="SimSun" w:hint="eastAsia"/>
          <w:u w:color="000000"/>
          <w:bdr w:val="nil"/>
        </w:rPr>
        <w:t xml:space="preserve"> </w:t>
      </w:r>
      <w:r>
        <w:rPr>
          <w:rFonts w:ascii="SimSun" w:hAnsi="SimSun" w:cs="SimSun" w:hint="eastAsia"/>
          <w:u w:color="000000"/>
          <w:bdr w:val="nil"/>
        </w:rPr>
        <w:t>若干</w:t>
      </w:r>
      <w:r w:rsidRPr="00377994">
        <w:rPr>
          <w:rFonts w:ascii="SimSun" w:hAnsi="SimSun" w:cs="SimSun" w:hint="eastAsia"/>
          <w:u w:color="000000"/>
          <w:bdr w:val="nil"/>
        </w:rPr>
        <w:t>国际人权机构强调，限制仍应是例外</w:t>
      </w:r>
      <w:r>
        <w:rPr>
          <w:rFonts w:ascii="SimSun" w:hAnsi="SimSun" w:cs="SimSun" w:hint="eastAsia"/>
          <w:u w:color="000000"/>
          <w:bdr w:val="nil"/>
        </w:rPr>
        <w:t>，而不是</w:t>
      </w:r>
      <w:r w:rsidRPr="00377994">
        <w:rPr>
          <w:rFonts w:ascii="SimSun" w:hAnsi="SimSun" w:cs="SimSun" w:hint="eastAsia"/>
          <w:u w:color="000000"/>
          <w:bdr w:val="nil"/>
        </w:rPr>
        <w:t>规则。</w:t>
      </w:r>
      <w:r w:rsidRPr="005B17D2">
        <w:rPr>
          <w:rStyle w:val="FootnoteReference"/>
        </w:rPr>
        <w:footnoteReference w:id="20"/>
      </w:r>
    </w:p>
    <w:p w:rsidR="005B17D2" w:rsidRPr="00166D57" w:rsidRDefault="005B17D2" w:rsidP="006B577A">
      <w:pPr>
        <w:pStyle w:val="SingleTxt"/>
        <w:rPr>
          <w:u w:color="000000"/>
          <w:bdr w:val="nil"/>
        </w:rPr>
      </w:pPr>
      <w:r w:rsidRPr="0064426F">
        <w:rPr>
          <w:rFonts w:asciiTheme="majorBidi" w:eastAsia="Calibri" w:hAnsiTheme="majorBidi" w:cstheme="majorBidi"/>
          <w:u w:color="000000"/>
          <w:bdr w:val="nil"/>
        </w:rPr>
        <w:t>15.</w:t>
      </w:r>
      <w:r w:rsidR="006B577A">
        <w:rPr>
          <w:rFonts w:asciiTheme="majorBidi" w:eastAsiaTheme="minorEastAsia" w:hAnsiTheme="majorBidi" w:cstheme="majorBidi" w:hint="eastAsia"/>
          <w:u w:color="000000"/>
          <w:bdr w:val="nil"/>
        </w:rPr>
        <w:t xml:space="preserve">  </w:t>
      </w:r>
      <w:r>
        <w:rPr>
          <w:rFonts w:asciiTheme="minorEastAsia" w:hAnsiTheme="minorEastAsia" w:cstheme="majorBidi" w:hint="eastAsia"/>
          <w:u w:color="000000"/>
          <w:bdr w:val="nil"/>
        </w:rPr>
        <w:t>人权机制认为，</w:t>
      </w:r>
      <w:r>
        <w:t>以</w:t>
      </w:r>
      <w:r w:rsidRPr="00E6692B">
        <w:t>智</w:t>
      </w:r>
      <w:r>
        <w:rPr>
          <w:rFonts w:hint="eastAsia"/>
        </w:rPr>
        <w:t>障或心理</w:t>
      </w:r>
      <w:r>
        <w:t>不健全为</w:t>
      </w:r>
      <w:r w:rsidRPr="00E6692B">
        <w:t>由限制政治参与、对公职</w:t>
      </w:r>
      <w:r>
        <w:rPr>
          <w:rFonts w:hint="eastAsia"/>
        </w:rPr>
        <w:t>候</w:t>
      </w:r>
      <w:r w:rsidRPr="00E6692B">
        <w:t>选人规定语言要求或被拘留者、重罪</w:t>
      </w:r>
      <w:r>
        <w:rPr>
          <w:rFonts w:hint="eastAsia"/>
        </w:rPr>
        <w:t>已决</w:t>
      </w:r>
      <w:r w:rsidRPr="00E6692B">
        <w:t>犯</w:t>
      </w:r>
      <w:r>
        <w:t>或受监护者自动丧失投票资格等，都对政治和公共参与权的行使构成</w:t>
      </w:r>
      <w:r w:rsidRPr="00E6692B">
        <w:t>不合理和歧视性的限制。</w:t>
      </w:r>
      <w:r w:rsidRPr="005B17D2">
        <w:rPr>
          <w:rStyle w:val="FootnoteReference"/>
          <w:rFonts w:eastAsia="Calibri"/>
        </w:rPr>
        <w:footnoteReference w:id="21"/>
      </w:r>
    </w:p>
    <w:p w:rsidR="008E2511" w:rsidRPr="008E2511" w:rsidRDefault="008E2511" w:rsidP="008E251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8E2511" w:rsidRPr="008E2511" w:rsidRDefault="008E2511" w:rsidP="008E251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5B17D2" w:rsidRPr="009E5614" w:rsidRDefault="005B17D2" w:rsidP="009E56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mbria"/>
          <w:u w:color="000000"/>
          <w:bdr w:val="nil"/>
        </w:rPr>
      </w:pPr>
      <w:r w:rsidRPr="009E5614">
        <w:rPr>
          <w:rFonts w:eastAsia="Cambria"/>
          <w:u w:color="000000"/>
          <w:bdr w:val="nil"/>
        </w:rPr>
        <w:tab/>
        <w:t>A.</w:t>
      </w:r>
      <w:r w:rsidRPr="009E5614">
        <w:rPr>
          <w:rFonts w:eastAsia="Cambria"/>
          <w:u w:color="000000"/>
          <w:bdr w:val="nil"/>
        </w:rPr>
        <w:tab/>
      </w:r>
      <w:r w:rsidRPr="009E5614">
        <w:rPr>
          <w:rFonts w:hint="eastAsia"/>
          <w:u w:color="000000"/>
          <w:bdr w:val="nil"/>
        </w:rPr>
        <w:t>参与政治和公共事务方面的一般挑战</w:t>
      </w:r>
      <w:r w:rsidRPr="00477E0F">
        <w:rPr>
          <w:rFonts w:hint="eastAsia"/>
          <w:u w:color="000000"/>
          <w:bdr w:val="nil"/>
        </w:rPr>
        <w:t>民主空间的缩小</w:t>
      </w:r>
    </w:p>
    <w:p w:rsidR="009E5614" w:rsidRPr="009E5614" w:rsidRDefault="009E5614" w:rsidP="009E5614">
      <w:pPr>
        <w:pStyle w:val="SingleTxt"/>
        <w:spacing w:after="0" w:line="120" w:lineRule="exact"/>
        <w:rPr>
          <w:sz w:val="10"/>
          <w:bdr w:val="nil"/>
        </w:rPr>
      </w:pPr>
    </w:p>
    <w:p w:rsidR="009E5614" w:rsidRPr="009E5614" w:rsidRDefault="009E5614" w:rsidP="009E5614">
      <w:pPr>
        <w:pStyle w:val="SingleTxt"/>
        <w:spacing w:after="0" w:line="120" w:lineRule="exact"/>
        <w:rPr>
          <w:sz w:val="10"/>
          <w:bdr w:val="nil"/>
        </w:rPr>
      </w:pPr>
    </w:p>
    <w:p w:rsidR="005B17D2" w:rsidRPr="009D0B94" w:rsidRDefault="005B17D2" w:rsidP="006B577A">
      <w:pPr>
        <w:pStyle w:val="SingleTxt"/>
        <w:rPr>
          <w:bdr w:val="nil"/>
        </w:rPr>
      </w:pPr>
      <w:r w:rsidRPr="009D0B94">
        <w:rPr>
          <w:bdr w:val="nil"/>
        </w:rPr>
        <w:t>16.</w:t>
      </w:r>
      <w:r w:rsidR="006B577A">
        <w:rPr>
          <w:rFonts w:hint="eastAsia"/>
          <w:bdr w:val="nil"/>
        </w:rPr>
        <w:t xml:space="preserve">  </w:t>
      </w:r>
      <w:r w:rsidRPr="009D0B94">
        <w:rPr>
          <w:rFonts w:hint="eastAsia"/>
          <w:bdr w:val="nil"/>
        </w:rPr>
        <w:t>缺乏政治意愿或当权者故意采取垄断决策的战略都是实现参与权的主要挑战。在许多情况下，任意颁布和适用法律，以拒绝参与，采取恐吓和迫害对人施压，使其以特定的方式作出决定。</w:t>
      </w:r>
      <w:r w:rsidRPr="005B17D2">
        <w:rPr>
          <w:vertAlign w:val="superscript"/>
        </w:rPr>
        <w:footnoteReference w:id="22"/>
      </w:r>
      <w:r w:rsidR="009E5614">
        <w:rPr>
          <w:rFonts w:hint="eastAsia"/>
          <w:bdr w:val="nil"/>
        </w:rPr>
        <w:t xml:space="preserve"> </w:t>
      </w:r>
      <w:r w:rsidRPr="009D0B94">
        <w:rPr>
          <w:rFonts w:hint="eastAsia"/>
          <w:bdr w:val="nil"/>
        </w:rPr>
        <w:t>在许多国家，致力于促进和捍卫人权的个人和组织面临威胁、骚扰和不安全，包括在倡导参与政治和公共事务的权利之时。缺乏自由、多元和独立的媒体也危及实现参与政治和公共事务，因为媒体在使公民意识到自己的权利方面可能至关重要。</w:t>
      </w:r>
    </w:p>
    <w:p w:rsidR="005B17D2" w:rsidRPr="009D0B94" w:rsidRDefault="005B17D2" w:rsidP="006B577A">
      <w:pPr>
        <w:pStyle w:val="SingleTxt"/>
        <w:rPr>
          <w:bdr w:val="nil"/>
        </w:rPr>
      </w:pPr>
      <w:r w:rsidRPr="009D0B94">
        <w:rPr>
          <w:u w:color="000000"/>
          <w:bdr w:val="nil"/>
        </w:rPr>
        <w:t>17.</w:t>
      </w:r>
      <w:r w:rsidR="006B577A">
        <w:rPr>
          <w:rFonts w:hint="eastAsia"/>
          <w:u w:color="000000"/>
          <w:bdr w:val="nil"/>
        </w:rPr>
        <w:t xml:space="preserve">  </w:t>
      </w:r>
      <w:r w:rsidRPr="009D0B94">
        <w:rPr>
          <w:rFonts w:hint="eastAsia"/>
          <w:bdr w:val="nil"/>
        </w:rPr>
        <w:t>民主空间的缩小也被人权专家认为危及充分享有公民权利和政治权利，并造成普通人民的生活在没有他们提出意见或违背自己意愿的情况下改变。</w:t>
      </w:r>
      <w:r w:rsidRPr="005B17D2">
        <w:rPr>
          <w:vertAlign w:val="superscript"/>
        </w:rPr>
        <w:footnoteReference w:id="23"/>
      </w:r>
      <w:r w:rsidRPr="009D0B94">
        <w:rPr>
          <w:rFonts w:hint="eastAsia"/>
          <w:bdr w:val="nil"/>
        </w:rPr>
        <w:t xml:space="preserve"> </w:t>
      </w:r>
      <w:r w:rsidRPr="009D0B94">
        <w:rPr>
          <w:rFonts w:hint="eastAsia"/>
          <w:bdr w:val="nil"/>
        </w:rPr>
        <w:t>一些国家通过日益复杂的手段，不仅在法律上、而且在实际中对参与造成障碍，尤其是通过限制互联网和信息在线流动。</w:t>
      </w:r>
      <w:r w:rsidRPr="009D0B94">
        <w:rPr>
          <w:snapToGrid w:val="0"/>
        </w:rPr>
        <w:t>大规模监控、截获数字通信内容和收集个人数据行为</w:t>
      </w:r>
      <w:r w:rsidRPr="009D0B94">
        <w:rPr>
          <w:rFonts w:hint="eastAsia"/>
          <w:bdr w:val="nil"/>
        </w:rPr>
        <w:t>是</w:t>
      </w:r>
      <w:r w:rsidRPr="009E5614">
        <w:rPr>
          <w:rFonts w:hint="eastAsia"/>
          <w:spacing w:val="-4"/>
          <w:bdr w:val="nil"/>
        </w:rPr>
        <w:t>公众参与的另一个令人不寒而栗的因素，特别是当这些措施针对持不同政见者时。</w:t>
      </w:r>
      <w:r w:rsidRPr="005B17D2">
        <w:rPr>
          <w:vertAlign w:val="superscript"/>
        </w:rPr>
        <w:footnoteReference w:id="24"/>
      </w:r>
      <w:r w:rsidRPr="009D0B94">
        <w:rPr>
          <w:bdr w:val="nil"/>
        </w:rPr>
        <w:t xml:space="preserve"> </w:t>
      </w:r>
    </w:p>
    <w:p w:rsidR="005B17D2" w:rsidRPr="009E5614" w:rsidRDefault="009E5614" w:rsidP="009E561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dr w:val="nil"/>
        </w:rPr>
      </w:pPr>
      <w:r>
        <w:rPr>
          <w:rFonts w:hint="eastAsia"/>
          <w:bdr w:val="nil"/>
        </w:rPr>
        <w:tab/>
      </w:r>
      <w:r>
        <w:rPr>
          <w:rFonts w:hint="eastAsia"/>
          <w:bdr w:val="nil"/>
        </w:rPr>
        <w:tab/>
      </w:r>
      <w:r w:rsidR="005B17D2" w:rsidRPr="009E5614">
        <w:rPr>
          <w:rFonts w:hint="eastAsia"/>
          <w:bdr w:val="nil"/>
        </w:rPr>
        <w:t>传统政治参与形式普遍衰落</w:t>
      </w:r>
    </w:p>
    <w:p w:rsidR="009E5614" w:rsidRPr="009E5614" w:rsidRDefault="009E5614" w:rsidP="009E5614">
      <w:pPr>
        <w:pStyle w:val="SingleTxt"/>
        <w:spacing w:after="0" w:line="120" w:lineRule="exact"/>
        <w:rPr>
          <w:sz w:val="10"/>
          <w:u w:color="000000"/>
          <w:bdr w:val="nil"/>
        </w:rPr>
      </w:pPr>
    </w:p>
    <w:p w:rsidR="005B17D2" w:rsidRPr="009D0B94" w:rsidRDefault="005B17D2" w:rsidP="006B577A">
      <w:pPr>
        <w:pStyle w:val="SingleTxt"/>
        <w:rPr>
          <w:bdr w:val="nil"/>
        </w:rPr>
      </w:pPr>
      <w:r w:rsidRPr="009D0B94">
        <w:rPr>
          <w:u w:color="000000"/>
          <w:bdr w:val="nil"/>
        </w:rPr>
        <w:t>18.</w:t>
      </w:r>
      <w:r w:rsidR="006B577A">
        <w:rPr>
          <w:rFonts w:hint="eastAsia"/>
          <w:u w:color="000000"/>
          <w:bdr w:val="nil"/>
        </w:rPr>
        <w:t xml:space="preserve">  </w:t>
      </w:r>
      <w:r w:rsidRPr="009D0B94">
        <w:rPr>
          <w:rFonts w:hint="eastAsia"/>
          <w:bdr w:val="nil"/>
        </w:rPr>
        <w:t>一些组织注意到，在传统的民主国家大选中，选民投票率在整个人口中所占比例几十年来一直下降，</w:t>
      </w:r>
      <w:r w:rsidRPr="005B17D2">
        <w:rPr>
          <w:vertAlign w:val="superscript"/>
        </w:rPr>
        <w:footnoteReference w:id="25"/>
      </w:r>
      <w:r w:rsidRPr="009D0B94">
        <w:rPr>
          <w:rFonts w:hint="eastAsia"/>
          <w:bdr w:val="nil"/>
        </w:rPr>
        <w:t xml:space="preserve"> </w:t>
      </w:r>
      <w:r w:rsidRPr="009D0B94">
        <w:rPr>
          <w:rFonts w:hint="eastAsia"/>
          <w:bdr w:val="nil"/>
        </w:rPr>
        <w:t>青年缺席投票的人数最多。</w:t>
      </w:r>
      <w:r w:rsidRPr="005B17D2">
        <w:rPr>
          <w:vertAlign w:val="superscript"/>
        </w:rPr>
        <w:footnoteReference w:id="26"/>
      </w:r>
      <w:r w:rsidRPr="009D0B94">
        <w:rPr>
          <w:rFonts w:hint="eastAsia"/>
          <w:bdr w:val="nil"/>
        </w:rPr>
        <w:t xml:space="preserve"> </w:t>
      </w:r>
      <w:r w:rsidRPr="009D0B94">
        <w:rPr>
          <w:rFonts w:hint="eastAsia"/>
          <w:bdr w:val="nil"/>
        </w:rPr>
        <w:t>许多国家政党和利益集团成员人数还正在减少。</w:t>
      </w:r>
      <w:r w:rsidRPr="009D0B94">
        <w:rPr>
          <w:snapToGrid w:val="0"/>
        </w:rPr>
        <w:t>选</w:t>
      </w:r>
      <w:r w:rsidRPr="009D0B94">
        <w:rPr>
          <w:rFonts w:hint="eastAsia"/>
          <w:snapToGrid w:val="0"/>
        </w:rPr>
        <w:t>举</w:t>
      </w:r>
      <w:r w:rsidRPr="009D0B94">
        <w:rPr>
          <w:snapToGrid w:val="0"/>
        </w:rPr>
        <w:t>结果并非</w:t>
      </w:r>
      <w:r w:rsidRPr="009D0B94">
        <w:rPr>
          <w:rFonts w:hint="eastAsia"/>
          <w:snapToGrid w:val="0"/>
        </w:rPr>
        <w:t>总是与</w:t>
      </w:r>
      <w:r w:rsidRPr="009D0B94">
        <w:rPr>
          <w:snapToGrid w:val="0"/>
        </w:rPr>
        <w:t>选民的意愿</w:t>
      </w:r>
      <w:r w:rsidRPr="009D0B94">
        <w:rPr>
          <w:rFonts w:hint="eastAsia"/>
          <w:snapToGrid w:val="0"/>
        </w:rPr>
        <w:t>相</w:t>
      </w:r>
      <w:r w:rsidRPr="009D0B94">
        <w:rPr>
          <w:snapToGrid w:val="0"/>
        </w:rPr>
        <w:t>符，</w:t>
      </w:r>
      <w:r w:rsidRPr="009D0B94">
        <w:rPr>
          <w:rFonts w:hint="eastAsia"/>
          <w:bdr w:val="nil"/>
        </w:rPr>
        <w:t>世界</w:t>
      </w:r>
      <w:r w:rsidRPr="009D0B94">
        <w:rPr>
          <w:rFonts w:hint="eastAsia"/>
          <w:snapToGrid w:val="0"/>
        </w:rPr>
        <w:t>各政党忙于</w:t>
      </w:r>
      <w:r w:rsidRPr="009D0B94">
        <w:rPr>
          <w:rFonts w:hint="eastAsia"/>
          <w:bdr w:val="nil"/>
        </w:rPr>
        <w:t>努力有效地解决主要关心的经济和其他问题，个人</w:t>
      </w:r>
      <w:r>
        <w:rPr>
          <w:rFonts w:hint="eastAsia"/>
          <w:bdr w:val="nil"/>
        </w:rPr>
        <w:t>看到越来越多空洞的竞选口号而</w:t>
      </w:r>
      <w:r w:rsidRPr="009D0B94">
        <w:rPr>
          <w:rFonts w:hint="eastAsia"/>
          <w:bdr w:val="nil"/>
        </w:rPr>
        <w:t>感到幻灭。</w:t>
      </w:r>
      <w:r w:rsidRPr="005B17D2">
        <w:rPr>
          <w:vertAlign w:val="superscript"/>
        </w:rPr>
        <w:footnoteReference w:id="27"/>
      </w:r>
      <w:r w:rsidRPr="009D0B94">
        <w:rPr>
          <w:rFonts w:hint="eastAsia"/>
          <w:bdr w:val="nil"/>
        </w:rPr>
        <w:t xml:space="preserve"> </w:t>
      </w:r>
      <w:r>
        <w:rPr>
          <w:rFonts w:hint="eastAsia"/>
          <w:bdr w:val="nil"/>
        </w:rPr>
        <w:t>这种对政党的缺乏信任，特别是因为其内部结构民主的缺陷</w:t>
      </w:r>
      <w:r w:rsidRPr="009D0B94">
        <w:rPr>
          <w:rFonts w:hint="eastAsia"/>
          <w:bdr w:val="nil"/>
        </w:rPr>
        <w:t>，消极地转化为公众对国家机构的信任度较低</w:t>
      </w:r>
      <w:r w:rsidRPr="009D0B94">
        <w:rPr>
          <w:u w:color="000000"/>
          <w:bdr w:val="nil"/>
        </w:rPr>
        <w:t>。</w:t>
      </w:r>
    </w:p>
    <w:p w:rsidR="005B17D2" w:rsidRPr="009E5614" w:rsidRDefault="005B17D2" w:rsidP="009E561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libri"/>
          <w:u w:color="000000"/>
          <w:bdr w:val="nil"/>
        </w:rPr>
      </w:pPr>
      <w:r w:rsidRPr="009E5614">
        <w:rPr>
          <w:rFonts w:eastAsia="Calibri"/>
          <w:u w:color="000000"/>
          <w:bdr w:val="nil"/>
        </w:rPr>
        <w:tab/>
      </w:r>
      <w:r w:rsidRPr="009E5614">
        <w:rPr>
          <w:rFonts w:eastAsia="Calibri"/>
          <w:u w:color="000000"/>
          <w:bdr w:val="nil"/>
        </w:rPr>
        <w:tab/>
      </w:r>
      <w:r w:rsidRPr="009E5614">
        <w:rPr>
          <w:rFonts w:hint="eastAsia"/>
          <w:u w:color="000000"/>
          <w:bdr w:val="nil"/>
        </w:rPr>
        <w:t>结构性不平等</w:t>
      </w:r>
    </w:p>
    <w:p w:rsidR="009E5614" w:rsidRPr="009E5614" w:rsidRDefault="009E5614" w:rsidP="009E5614">
      <w:pPr>
        <w:pStyle w:val="SingleTxt"/>
        <w:spacing w:after="0" w:line="120" w:lineRule="exact"/>
        <w:rPr>
          <w:rFonts w:eastAsia="Calibri"/>
          <w:sz w:val="10"/>
          <w:u w:color="000000"/>
          <w:bdr w:val="nil"/>
        </w:rPr>
      </w:pPr>
    </w:p>
    <w:p w:rsidR="005B17D2" w:rsidRPr="009D0B94" w:rsidRDefault="005B17D2" w:rsidP="006B577A">
      <w:pPr>
        <w:pStyle w:val="SingleTxt"/>
        <w:rPr>
          <w:rFonts w:eastAsia="Calibri"/>
          <w:u w:color="000000"/>
          <w:bdr w:val="nil"/>
        </w:rPr>
      </w:pPr>
      <w:r w:rsidRPr="009D0B94">
        <w:rPr>
          <w:rFonts w:eastAsia="Calibri"/>
          <w:u w:color="000000"/>
          <w:bdr w:val="nil"/>
        </w:rPr>
        <w:t>19.</w:t>
      </w:r>
      <w:r w:rsidR="006B577A">
        <w:rPr>
          <w:rFonts w:eastAsiaTheme="minorEastAsia" w:hint="eastAsia"/>
          <w:u w:color="000000"/>
          <w:bdr w:val="nil"/>
        </w:rPr>
        <w:t xml:space="preserve">  </w:t>
      </w:r>
      <w:r w:rsidRPr="009D0B94">
        <w:rPr>
          <w:rFonts w:ascii="SimSun" w:hAnsi="SimSun" w:cs="SimSun" w:hint="eastAsia"/>
          <w:u w:color="000000"/>
          <w:bdr w:val="nil"/>
        </w:rPr>
        <w:t>一些个人或群体常常因社会经济不平等而被剥夺参与处理公共事务的机会。有关个人和团体面临一种</w:t>
      </w:r>
      <w:r w:rsidRPr="009D0B94">
        <w:rPr>
          <w:snapToGrid w:val="0"/>
        </w:rPr>
        <w:t>恶性循环</w:t>
      </w:r>
      <w:r w:rsidRPr="009D0B94">
        <w:rPr>
          <w:rFonts w:ascii="SimSun" w:hAnsi="SimSun" w:cs="SimSun" w:hint="eastAsia"/>
          <w:u w:color="000000"/>
          <w:bdr w:val="nil"/>
        </w:rPr>
        <w:t>：</w:t>
      </w:r>
      <w:r>
        <w:rPr>
          <w:rFonts w:ascii="SimSun" w:hAnsi="SimSun" w:cs="SimSun" w:hint="eastAsia"/>
          <w:u w:color="000000"/>
          <w:bdr w:val="nil"/>
        </w:rPr>
        <w:t>越是</w:t>
      </w:r>
      <w:r w:rsidRPr="009D0B94">
        <w:rPr>
          <w:rFonts w:ascii="SimSun" w:hAnsi="SimSun" w:cs="SimSun" w:hint="eastAsia"/>
          <w:u w:color="000000"/>
          <w:bdr w:val="nil"/>
        </w:rPr>
        <w:t>不平等，参与</w:t>
      </w:r>
      <w:r>
        <w:rPr>
          <w:rFonts w:ascii="SimSun" w:hAnsi="SimSun" w:cs="SimSun" w:hint="eastAsia"/>
          <w:u w:color="000000"/>
          <w:bdr w:val="nil"/>
        </w:rPr>
        <w:t>就</w:t>
      </w:r>
      <w:r w:rsidRPr="009D0B94">
        <w:rPr>
          <w:rFonts w:ascii="SimSun" w:hAnsi="SimSun" w:cs="SimSun" w:hint="eastAsia"/>
          <w:u w:color="000000"/>
          <w:bdr w:val="nil"/>
        </w:rPr>
        <w:t>越少</w:t>
      </w:r>
      <w:r w:rsidRPr="009D0B94">
        <w:rPr>
          <w:rFonts w:eastAsia="Calibri" w:hint="eastAsia"/>
          <w:u w:color="000000"/>
          <w:bdr w:val="nil"/>
        </w:rPr>
        <w:t>;</w:t>
      </w:r>
      <w:r w:rsidRPr="009D0B94">
        <w:rPr>
          <w:rFonts w:hint="eastAsia"/>
          <w:u w:color="000000"/>
          <w:bdr w:val="nil"/>
        </w:rPr>
        <w:t xml:space="preserve"> </w:t>
      </w:r>
      <w:r w:rsidRPr="009D0B94">
        <w:rPr>
          <w:rFonts w:ascii="SimSun" w:hAnsi="SimSun" w:cs="SimSun" w:hint="eastAsia"/>
          <w:u w:color="000000"/>
          <w:bdr w:val="nil"/>
        </w:rPr>
        <w:t>参与</w:t>
      </w:r>
      <w:r>
        <w:rPr>
          <w:rFonts w:ascii="SimSun" w:hAnsi="SimSun" w:cs="SimSun" w:hint="eastAsia"/>
          <w:u w:color="000000"/>
          <w:bdr w:val="nil"/>
        </w:rPr>
        <w:t>得</w:t>
      </w:r>
      <w:r w:rsidRPr="009D0B94">
        <w:rPr>
          <w:rFonts w:hint="eastAsia"/>
          <w:u w:color="000000"/>
          <w:bdr w:val="nil"/>
        </w:rPr>
        <w:t>越</w:t>
      </w:r>
      <w:r w:rsidRPr="009D0B94">
        <w:rPr>
          <w:rFonts w:ascii="SimSun" w:hAnsi="SimSun" w:cs="SimSun" w:hint="eastAsia"/>
          <w:u w:color="000000"/>
          <w:bdr w:val="nil"/>
        </w:rPr>
        <w:t>少，</w:t>
      </w:r>
      <w:r>
        <w:rPr>
          <w:rFonts w:ascii="SimSun" w:hAnsi="SimSun" w:cs="SimSun" w:hint="eastAsia"/>
          <w:u w:color="000000"/>
          <w:bdr w:val="nil"/>
        </w:rPr>
        <w:t>就越不平等</w:t>
      </w:r>
      <w:r w:rsidRPr="009D0B94">
        <w:rPr>
          <w:rFonts w:ascii="SimSun" w:hAnsi="SimSun" w:cs="SimSun" w:hint="eastAsia"/>
          <w:u w:color="000000"/>
          <w:bdr w:val="nil"/>
        </w:rPr>
        <w:t>。这</w:t>
      </w:r>
      <w:r w:rsidRPr="009D0B94">
        <w:rPr>
          <w:rFonts w:hint="eastAsia"/>
          <w:snapToGrid w:val="0"/>
        </w:rPr>
        <w:t>维护了能够</w:t>
      </w:r>
      <w:r w:rsidRPr="009D0B94">
        <w:rPr>
          <w:rFonts w:ascii="SimSun" w:hAnsi="SimSun" w:cs="SimSun" w:hint="eastAsia"/>
          <w:u w:color="000000"/>
          <w:bdr w:val="nil"/>
        </w:rPr>
        <w:t>直接影响正式和非正式程序的精英</w:t>
      </w:r>
      <w:r w:rsidRPr="009D0B94">
        <w:rPr>
          <w:rFonts w:hint="eastAsia"/>
          <w:snapToGrid w:val="0"/>
        </w:rPr>
        <w:t>阶层</w:t>
      </w:r>
      <w:r w:rsidRPr="009D0B94">
        <w:rPr>
          <w:snapToGrid w:val="0"/>
        </w:rPr>
        <w:t>的特权</w:t>
      </w:r>
      <w:r w:rsidRPr="009D0B94">
        <w:rPr>
          <w:rFonts w:ascii="SimSun" w:hAnsi="SimSun" w:cs="SimSun" w:hint="eastAsia"/>
          <w:u w:color="000000"/>
          <w:bdr w:val="nil"/>
        </w:rPr>
        <w:t>。</w:t>
      </w:r>
      <w:r w:rsidRPr="005B17D2">
        <w:rPr>
          <w:vertAlign w:val="superscript"/>
        </w:rPr>
        <w:footnoteReference w:id="28"/>
      </w:r>
      <w:r w:rsidRPr="009D0B94">
        <w:rPr>
          <w:rFonts w:eastAsia="Calibri"/>
          <w:u w:color="000000"/>
          <w:bdr w:val="nil"/>
        </w:rPr>
        <w:t xml:space="preserve"> </w:t>
      </w:r>
    </w:p>
    <w:p w:rsidR="005B17D2" w:rsidRPr="009D0B94" w:rsidRDefault="005B17D2" w:rsidP="006B577A">
      <w:pPr>
        <w:pStyle w:val="SingleTxt"/>
        <w:rPr>
          <w:u w:color="000000"/>
          <w:bdr w:val="nil"/>
        </w:rPr>
      </w:pPr>
      <w:r w:rsidRPr="009D0B94">
        <w:rPr>
          <w:rFonts w:eastAsia="Calibri"/>
          <w:u w:color="000000"/>
          <w:bdr w:val="nil"/>
        </w:rPr>
        <w:t>20.</w:t>
      </w:r>
      <w:r w:rsidR="006B577A">
        <w:rPr>
          <w:rFonts w:eastAsiaTheme="minorEastAsia" w:hint="eastAsia"/>
          <w:u w:color="000000"/>
          <w:bdr w:val="nil"/>
        </w:rPr>
        <w:t xml:space="preserve">  </w:t>
      </w:r>
      <w:r w:rsidRPr="009D0B94">
        <w:rPr>
          <w:rFonts w:ascii="SimSun" w:hAnsi="SimSun" w:cs="SimSun" w:hint="eastAsia"/>
          <w:u w:color="000000"/>
          <w:bdr w:val="nil"/>
        </w:rPr>
        <w:t>缺乏决策权是代表性不足的和边缘群体的普遍和基本特征。他们参与政治和公共事务的权利受到多重复合障碍的阻碍。歧视和偏见、贫困和当局的不信任都限制了属于这些群体的个人充分参与社会的可能性和动机，使他们特别容易遭受</w:t>
      </w:r>
      <w:r w:rsidRPr="009D0B94">
        <w:rPr>
          <w:snapToGrid w:val="0"/>
        </w:rPr>
        <w:t>腐败</w:t>
      </w:r>
      <w:r w:rsidRPr="009D0B94">
        <w:rPr>
          <w:rFonts w:ascii="SimSun" w:hAnsi="SimSun" w:cs="SimSun" w:hint="eastAsia"/>
          <w:u w:color="000000"/>
          <w:bdr w:val="nil"/>
        </w:rPr>
        <w:t>或</w:t>
      </w:r>
      <w:r w:rsidRPr="009D0B94">
        <w:rPr>
          <w:snapToGrid w:val="0"/>
        </w:rPr>
        <w:t>串通行为之害</w:t>
      </w:r>
      <w:r w:rsidRPr="009D0B94">
        <w:rPr>
          <w:rFonts w:ascii="SimSun" w:hAnsi="SimSun" w:cs="SimSun" w:hint="eastAsia"/>
          <w:u w:color="000000"/>
          <w:bdr w:val="nil"/>
        </w:rPr>
        <w:t>。</w:t>
      </w:r>
      <w:r w:rsidRPr="005B17D2">
        <w:rPr>
          <w:rFonts w:eastAsia="Calibri"/>
          <w:vertAlign w:val="superscript"/>
        </w:rPr>
        <w:footnoteReference w:id="29"/>
      </w:r>
    </w:p>
    <w:p w:rsidR="005B17D2" w:rsidRPr="00FC77CC" w:rsidRDefault="005B17D2" w:rsidP="006B577A">
      <w:pPr>
        <w:pStyle w:val="SingleTxt"/>
        <w:rPr>
          <w:u w:color="000000"/>
          <w:bdr w:val="nil"/>
        </w:rPr>
      </w:pPr>
      <w:r w:rsidRPr="00FC77CC">
        <w:rPr>
          <w:u w:color="000000"/>
          <w:bdr w:val="nil"/>
        </w:rPr>
        <w:t>21.</w:t>
      </w:r>
      <w:r w:rsidR="006B577A">
        <w:rPr>
          <w:rFonts w:hint="eastAsia"/>
          <w:u w:color="000000"/>
          <w:bdr w:val="nil"/>
        </w:rPr>
        <w:t xml:space="preserve">  </w:t>
      </w:r>
      <w:r w:rsidRPr="00FC77CC">
        <w:rPr>
          <w:rFonts w:ascii="SimSun" w:hAnsi="SimSun" w:cs="SimSun" w:hint="eastAsia"/>
          <w:u w:color="000000"/>
          <w:bdr w:val="nil"/>
        </w:rPr>
        <w:t>参与政治和公共事务的一般权利是民主的</w:t>
      </w:r>
      <w:r>
        <w:rPr>
          <w:rFonts w:ascii="SimSun" w:hAnsi="SimSun" w:cs="SimSun" w:hint="eastAsia"/>
          <w:u w:color="000000"/>
          <w:bdr w:val="nil"/>
        </w:rPr>
        <w:t>一个</w:t>
      </w:r>
      <w:r w:rsidRPr="00FC77CC">
        <w:rPr>
          <w:rFonts w:ascii="SimSun" w:hAnsi="SimSun" w:cs="SimSun" w:hint="eastAsia"/>
          <w:u w:color="000000"/>
          <w:bdr w:val="nil"/>
        </w:rPr>
        <w:t>前提，但它本身还不够。需要有程序确保社会各阶层都能够影响议程设置和决策。形式上的参与进程只会加强现有权力结构和被排斥的感觉</w:t>
      </w:r>
      <w:r w:rsidRPr="00FC77CC">
        <w:rPr>
          <w:rFonts w:ascii="SimSun" w:hAnsi="SimSun"/>
          <w:u w:color="000000"/>
          <w:bdr w:val="nil"/>
        </w:rPr>
        <w:t>。</w:t>
      </w:r>
      <w:r w:rsidRPr="005B17D2">
        <w:rPr>
          <w:rFonts w:eastAsia="Calibri"/>
          <w:vertAlign w:val="superscript"/>
        </w:rPr>
        <w:footnoteReference w:id="30"/>
      </w:r>
      <w:r w:rsidRPr="00FC77CC">
        <w:rPr>
          <w:u w:color="000000"/>
          <w:bdr w:val="nil"/>
        </w:rPr>
        <w:t xml:space="preserve"> </w:t>
      </w:r>
    </w:p>
    <w:p w:rsidR="005B17D2" w:rsidRPr="00FC77CC" w:rsidRDefault="005B17D2" w:rsidP="006B577A">
      <w:pPr>
        <w:pStyle w:val="SingleTxt"/>
        <w:rPr>
          <w:rFonts w:eastAsia="Calibri"/>
          <w:u w:color="000000"/>
          <w:bdr w:val="nil"/>
        </w:rPr>
      </w:pPr>
      <w:r w:rsidRPr="00FC77CC">
        <w:rPr>
          <w:u w:color="000000"/>
          <w:bdr w:val="nil"/>
        </w:rPr>
        <w:t>22.</w:t>
      </w:r>
      <w:r w:rsidR="006B577A">
        <w:rPr>
          <w:rFonts w:hint="eastAsia"/>
          <w:u w:color="000000"/>
          <w:bdr w:val="nil"/>
        </w:rPr>
        <w:t xml:space="preserve">  </w:t>
      </w:r>
      <w:r w:rsidRPr="00FC77CC">
        <w:rPr>
          <w:rFonts w:ascii="SimSun" w:hAnsi="SimSun" w:cs="SimSun" w:hint="eastAsia"/>
          <w:u w:color="000000"/>
          <w:bdr w:val="nil"/>
        </w:rPr>
        <w:t>在有些情况下，私营公司和游说集团的声音比其他资源少组织差的团体更响亮。</w:t>
      </w:r>
      <w:r w:rsidRPr="00FC77CC">
        <w:rPr>
          <w:snapToGrid w:val="0"/>
        </w:rPr>
        <w:t>促进建立民主和公平的国际秩序独立专家</w:t>
      </w:r>
      <w:r w:rsidRPr="00FC77CC">
        <w:rPr>
          <w:rFonts w:ascii="SimSun" w:hAnsi="SimSun" w:cs="SimSun" w:hint="eastAsia"/>
          <w:u w:color="000000"/>
          <w:bdr w:val="nil"/>
        </w:rPr>
        <w:t>最近谴责秘密谈判自由贸易和投资协定，</w:t>
      </w:r>
      <w:r>
        <w:rPr>
          <w:rFonts w:ascii="SimSun" w:hAnsi="SimSun" w:cs="SimSun" w:hint="eastAsia"/>
          <w:u w:color="000000"/>
          <w:bdr w:val="nil"/>
        </w:rPr>
        <w:t>认为其危及人权，因为它们将主要利益攸关群体排除</w:t>
      </w:r>
      <w:r w:rsidRPr="00FC77CC">
        <w:rPr>
          <w:rFonts w:ascii="SimSun" w:hAnsi="SimSun" w:cs="SimSun" w:hint="eastAsia"/>
          <w:u w:color="000000"/>
          <w:bdr w:val="nil"/>
        </w:rPr>
        <w:t>在进程之外。他警告说，经济、政治和军事不平衡的现实导致对弱者的压力，他们别无选择，只能屈从于各种形式的</w:t>
      </w:r>
      <w:r w:rsidRPr="00FC77CC">
        <w:rPr>
          <w:snapToGrid w:val="0"/>
        </w:rPr>
        <w:t>胁迫、威胁、制裁或胡萝卜加大棒</w:t>
      </w:r>
      <w:r w:rsidRPr="00FC77CC">
        <w:rPr>
          <w:rFonts w:ascii="SimSun" w:hAnsi="SimSun" w:cs="SimSun" w:hint="eastAsia"/>
          <w:u w:color="000000"/>
          <w:bdr w:val="nil"/>
        </w:rPr>
        <w:t>的做法。</w:t>
      </w:r>
      <w:r w:rsidRPr="005B17D2">
        <w:rPr>
          <w:rFonts w:eastAsia="Calibri"/>
          <w:vertAlign w:val="superscript"/>
        </w:rPr>
        <w:footnoteReference w:id="31"/>
      </w:r>
      <w:r w:rsidRPr="00FC77CC">
        <w:rPr>
          <w:rFonts w:hint="eastAsia"/>
          <w:u w:color="000000"/>
          <w:bdr w:val="nil"/>
        </w:rPr>
        <w:t xml:space="preserve"> </w:t>
      </w:r>
    </w:p>
    <w:p w:rsidR="006B577A" w:rsidRPr="006B577A" w:rsidRDefault="006B577A"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6B577A" w:rsidRPr="006B577A" w:rsidRDefault="006B577A"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5B17D2" w:rsidRPr="006B577A" w:rsidRDefault="006B577A"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libri"/>
          <w:u w:color="000000"/>
          <w:bdr w:val="nil"/>
        </w:rPr>
      </w:pPr>
      <w:r>
        <w:rPr>
          <w:rFonts w:eastAsiaTheme="minorEastAsia" w:hint="eastAsia"/>
          <w:u w:color="000000"/>
          <w:bdr w:val="nil"/>
        </w:rPr>
        <w:tab/>
      </w:r>
      <w:r w:rsidR="005B17D2" w:rsidRPr="006B577A">
        <w:rPr>
          <w:rFonts w:eastAsia="Cambria"/>
          <w:u w:color="000000"/>
          <w:bdr w:val="nil"/>
        </w:rPr>
        <w:t>B.</w:t>
      </w:r>
      <w:r w:rsidR="005B17D2" w:rsidRPr="006B577A">
        <w:rPr>
          <w:rFonts w:eastAsia="Cambria"/>
          <w:u w:color="000000"/>
          <w:bdr w:val="nil"/>
        </w:rPr>
        <w:tab/>
      </w:r>
      <w:r w:rsidR="005B17D2" w:rsidRPr="006B577A">
        <w:rPr>
          <w:rFonts w:hint="eastAsia"/>
          <w:u w:color="000000"/>
          <w:bdr w:val="nil"/>
        </w:rPr>
        <w:t>影响妇女和特定群体的挑战</w:t>
      </w:r>
    </w:p>
    <w:p w:rsidR="006B577A" w:rsidRPr="006B577A" w:rsidRDefault="006B577A" w:rsidP="006B577A">
      <w:pPr>
        <w:pStyle w:val="SingleTxt"/>
        <w:spacing w:after="0" w:line="120" w:lineRule="exact"/>
        <w:rPr>
          <w:rFonts w:eastAsia="Calibri"/>
          <w:sz w:val="10"/>
          <w:u w:color="0070C0"/>
          <w:bdr w:val="nil"/>
        </w:rPr>
      </w:pPr>
    </w:p>
    <w:p w:rsidR="006B577A" w:rsidRPr="006B577A" w:rsidRDefault="006B577A" w:rsidP="006B577A">
      <w:pPr>
        <w:pStyle w:val="SingleTxt"/>
        <w:spacing w:after="0" w:line="120" w:lineRule="exact"/>
        <w:rPr>
          <w:rFonts w:eastAsia="Calibri"/>
          <w:sz w:val="10"/>
          <w:u w:color="0070C0"/>
          <w:bdr w:val="nil"/>
        </w:rPr>
      </w:pPr>
    </w:p>
    <w:p w:rsidR="005B17D2" w:rsidRPr="00FC77CC" w:rsidRDefault="005B17D2" w:rsidP="00A3350D">
      <w:pPr>
        <w:pStyle w:val="SingleTxt"/>
        <w:rPr>
          <w:u w:color="000000"/>
          <w:bdr w:val="nil"/>
        </w:rPr>
      </w:pPr>
      <w:r w:rsidRPr="00FC77CC">
        <w:rPr>
          <w:rFonts w:eastAsia="Calibri"/>
          <w:u w:color="0070C0"/>
          <w:bdr w:val="nil"/>
        </w:rPr>
        <w:t>23.</w:t>
      </w:r>
      <w:r w:rsidR="006B577A">
        <w:rPr>
          <w:rFonts w:eastAsiaTheme="minorEastAsia" w:hint="eastAsia"/>
          <w:u w:color="0070C0"/>
          <w:bdr w:val="nil"/>
        </w:rPr>
        <w:t xml:space="preserve">  </w:t>
      </w:r>
      <w:r>
        <w:rPr>
          <w:rFonts w:ascii="SimSun" w:hAnsi="SimSun" w:cs="SimSun" w:hint="eastAsia"/>
          <w:u w:color="000000"/>
          <w:bdr w:val="nil"/>
        </w:rPr>
        <w:t>各社会群</w:t>
      </w:r>
      <w:r w:rsidRPr="00FC77CC">
        <w:rPr>
          <w:rFonts w:ascii="SimSun" w:hAnsi="SimSun" w:cs="SimSun" w:hint="eastAsia"/>
          <w:u w:color="000000"/>
          <w:bdr w:val="nil"/>
        </w:rPr>
        <w:t>体面临具体的挑战和歧视。</w:t>
      </w:r>
      <w:r w:rsidRPr="00FC77CC">
        <w:rPr>
          <w:rFonts w:hint="eastAsia"/>
          <w:snapToGrid w:val="0"/>
        </w:rPr>
        <w:t>交叉和多重形式的歧视尤其严重影响到参与</w:t>
      </w:r>
      <w:r w:rsidRPr="00FC77CC">
        <w:rPr>
          <w:rFonts w:ascii="SimSun" w:hAnsi="SimSun" w:cs="SimSun" w:hint="eastAsia"/>
          <w:u w:color="000000"/>
          <w:bdr w:val="nil"/>
        </w:rPr>
        <w:t>政治和公共事务的权利。例如，</w:t>
      </w:r>
      <w:r w:rsidRPr="00FC77CC">
        <w:rPr>
          <w:rFonts w:hint="eastAsia"/>
          <w:snapToGrid w:val="0"/>
        </w:rPr>
        <w:t>罗姆妇女由于其少数群体身份、公民资格和性别而被剥夺了政治和公共参与权。</w:t>
      </w:r>
      <w:r w:rsidRPr="00FC77CC">
        <w:rPr>
          <w:snapToGrid w:val="0"/>
        </w:rPr>
        <w:t>生活贫</w:t>
      </w:r>
      <w:r w:rsidRPr="00FC77CC">
        <w:rPr>
          <w:rFonts w:hint="eastAsia"/>
          <w:snapToGrid w:val="0"/>
        </w:rPr>
        <w:t>困者</w:t>
      </w:r>
      <w:r w:rsidRPr="00FC77CC">
        <w:rPr>
          <w:rFonts w:ascii="SimSun" w:hAnsi="SimSun" w:cs="SimSun" w:hint="eastAsia"/>
          <w:u w:color="000000"/>
          <w:bdr w:val="nil"/>
        </w:rPr>
        <w:t>不仅由于贫困本身，而且由于其</w:t>
      </w:r>
      <w:r>
        <w:rPr>
          <w:rFonts w:ascii="SimSun" w:hAnsi="SimSun" w:cs="SimSun" w:hint="eastAsia"/>
          <w:u w:color="000000"/>
          <w:bdr w:val="nil"/>
        </w:rPr>
        <w:t>身</w:t>
      </w:r>
      <w:r w:rsidRPr="00FC77CC">
        <w:rPr>
          <w:rFonts w:ascii="SimSun" w:hAnsi="SimSun" w:cs="SimSun" w:hint="eastAsia"/>
          <w:u w:color="000000"/>
          <w:bdr w:val="nil"/>
        </w:rPr>
        <w:t>为其他弱势群体</w:t>
      </w:r>
      <w:r w:rsidR="00A3350D">
        <w:rPr>
          <w:rFonts w:hint="eastAsia"/>
          <w:spacing w:val="-50"/>
        </w:rPr>
        <w:t>―</w:t>
      </w:r>
      <w:r w:rsidR="00A3350D">
        <w:rPr>
          <w:rFonts w:hint="eastAsia"/>
        </w:rPr>
        <w:t>―</w:t>
      </w:r>
      <w:r w:rsidRPr="00FC77CC">
        <w:rPr>
          <w:rFonts w:ascii="SimSun" w:hAnsi="SimSun" w:cs="SimSun" w:hint="eastAsia"/>
          <w:u w:color="000000"/>
          <w:bdr w:val="nil"/>
        </w:rPr>
        <w:t>如土著人民、非国民或</w:t>
      </w:r>
      <w:r w:rsidRPr="00FC77CC">
        <w:rPr>
          <w:snapToGrid w:val="0"/>
        </w:rPr>
        <w:t>艾滋病毒携带者</w:t>
      </w:r>
      <w:r w:rsidRPr="00FC77CC">
        <w:rPr>
          <w:snapToGrid w:val="0"/>
        </w:rPr>
        <w:t>/</w:t>
      </w:r>
      <w:r w:rsidRPr="00FC77CC">
        <w:rPr>
          <w:snapToGrid w:val="0"/>
        </w:rPr>
        <w:t>艾滋病患者</w:t>
      </w:r>
      <w:r w:rsidR="00A3350D">
        <w:rPr>
          <w:rFonts w:hint="eastAsia"/>
          <w:spacing w:val="-50"/>
        </w:rPr>
        <w:t>―</w:t>
      </w:r>
      <w:r w:rsidR="00A3350D">
        <w:rPr>
          <w:rFonts w:hint="eastAsia"/>
        </w:rPr>
        <w:t>―</w:t>
      </w:r>
      <w:r w:rsidRPr="00FC77CC">
        <w:rPr>
          <w:rFonts w:ascii="SimSun" w:hAnsi="SimSun" w:cs="SimSun" w:hint="eastAsia"/>
          <w:u w:color="000000"/>
          <w:bdr w:val="nil"/>
        </w:rPr>
        <w:t>成员而受到歧视。</w:t>
      </w:r>
    </w:p>
    <w:p w:rsidR="006B577A" w:rsidRPr="006B577A" w:rsidRDefault="006B577A" w:rsidP="006B577A">
      <w:pPr>
        <w:pStyle w:val="Sponsors"/>
        <w:spacing w:line="120" w:lineRule="exact"/>
        <w:rPr>
          <w:rFonts w:eastAsia="Cambria"/>
          <w:sz w:val="10"/>
          <w:u w:color="000000"/>
          <w:bdr w:val="nil"/>
        </w:rPr>
      </w:pPr>
    </w:p>
    <w:p w:rsidR="006B577A" w:rsidRPr="00A3350D" w:rsidRDefault="006B577A" w:rsidP="006B577A">
      <w:pPr>
        <w:pStyle w:val="Sponsors"/>
        <w:spacing w:line="120" w:lineRule="exact"/>
        <w:rPr>
          <w:rFonts w:eastAsia="Cambria"/>
          <w:sz w:val="10"/>
          <w:u w:color="000000"/>
          <w:bdr w:val="nil"/>
        </w:rPr>
      </w:pPr>
    </w:p>
    <w:p w:rsidR="005B17D2" w:rsidRPr="00FC77CC" w:rsidRDefault="005B17D2" w:rsidP="006B577A">
      <w:pPr>
        <w:pStyle w:val="Sponsors"/>
        <w:rPr>
          <w:u w:color="000000"/>
          <w:bdr w:val="nil"/>
        </w:rPr>
      </w:pPr>
      <w:r w:rsidRPr="00FC77CC">
        <w:rPr>
          <w:rFonts w:eastAsia="Cambria"/>
          <w:u w:color="000000"/>
          <w:bdr w:val="nil"/>
        </w:rPr>
        <w:tab/>
      </w:r>
      <w:r w:rsidRPr="00FC77CC">
        <w:rPr>
          <w:rFonts w:eastAsia="Cambria"/>
          <w:u w:color="000000"/>
          <w:bdr w:val="nil"/>
        </w:rPr>
        <w:tab/>
      </w:r>
      <w:r w:rsidRPr="00FC77CC">
        <w:rPr>
          <w:rFonts w:ascii="SimSun" w:hAnsi="SimSun" w:hint="eastAsia"/>
          <w:u w:color="000000"/>
          <w:bdr w:val="nil"/>
        </w:rPr>
        <w:t>妇女</w:t>
      </w:r>
    </w:p>
    <w:p w:rsidR="006B577A" w:rsidRPr="006B577A" w:rsidRDefault="006B577A" w:rsidP="006B577A">
      <w:pPr>
        <w:pStyle w:val="SingleTxt"/>
        <w:spacing w:after="0" w:line="120" w:lineRule="exact"/>
        <w:rPr>
          <w:sz w:val="10"/>
          <w:u w:color="000000"/>
          <w:bdr w:val="nil"/>
        </w:rPr>
      </w:pPr>
    </w:p>
    <w:p w:rsidR="005B17D2" w:rsidRPr="00FC77CC" w:rsidRDefault="005B17D2" w:rsidP="006B577A">
      <w:pPr>
        <w:pStyle w:val="SingleTxt"/>
        <w:rPr>
          <w:u w:color="0070C0"/>
          <w:bdr w:val="nil"/>
        </w:rPr>
      </w:pPr>
      <w:r w:rsidRPr="00FC77CC">
        <w:rPr>
          <w:u w:color="000000"/>
          <w:bdr w:val="nil"/>
        </w:rPr>
        <w:t>24.</w:t>
      </w:r>
      <w:r w:rsidR="006B577A">
        <w:rPr>
          <w:rFonts w:hint="eastAsia"/>
          <w:u w:color="000000"/>
          <w:bdr w:val="nil"/>
        </w:rPr>
        <w:t xml:space="preserve">  </w:t>
      </w:r>
      <w:r w:rsidRPr="00FC77CC">
        <w:rPr>
          <w:rFonts w:hint="eastAsia"/>
          <w:u w:color="0070C0"/>
          <w:bdr w:val="nil"/>
        </w:rPr>
        <w:t>在关于政治和公共生活的第</w:t>
      </w:r>
      <w:r w:rsidRPr="00FC77CC">
        <w:rPr>
          <w:rFonts w:hint="eastAsia"/>
          <w:u w:color="0070C0"/>
          <w:bdr w:val="nil"/>
        </w:rPr>
        <w:t>23</w:t>
      </w:r>
      <w:r w:rsidRPr="00FC77CC">
        <w:rPr>
          <w:rFonts w:hint="eastAsia"/>
          <w:u w:color="0070C0"/>
          <w:bdr w:val="nil"/>
        </w:rPr>
        <w:t>号一般性建议（</w:t>
      </w:r>
      <w:r w:rsidRPr="00FC77CC">
        <w:rPr>
          <w:rFonts w:hint="eastAsia"/>
          <w:u w:color="0070C0"/>
          <w:bdr w:val="nil"/>
        </w:rPr>
        <w:t>1997</w:t>
      </w:r>
      <w:r w:rsidRPr="00FC77CC">
        <w:rPr>
          <w:rFonts w:hint="eastAsia"/>
          <w:u w:color="0070C0"/>
          <w:bdr w:val="nil"/>
        </w:rPr>
        <w:t>年）中，消除对妇女一切形式歧视委员会确定了若干妨碍妇女平等参与政治和公共生活的障碍，其中包括传统文化价值观和宗教信仰、缺乏社会服务、对妇女的暴力、妇女对男子的经济依赖、</w:t>
      </w:r>
      <w:r w:rsidRPr="00FC77CC">
        <w:rPr>
          <w:snapToGrid w:val="0"/>
        </w:rPr>
        <w:t>对妇女的负面社会态度</w:t>
      </w:r>
      <w:r w:rsidRPr="00FC77CC">
        <w:rPr>
          <w:rFonts w:hint="eastAsia"/>
          <w:u w:color="0070C0"/>
          <w:bdr w:val="nil"/>
        </w:rPr>
        <w:t>和</w:t>
      </w:r>
      <w:r w:rsidRPr="00FC77CC">
        <w:rPr>
          <w:snapToGrid w:val="0"/>
        </w:rPr>
        <w:t>有害的性别偏见</w:t>
      </w:r>
      <w:r w:rsidRPr="00FC77CC">
        <w:rPr>
          <w:rFonts w:hint="eastAsia"/>
          <w:u w:color="0070C0"/>
          <w:bdr w:val="nil"/>
        </w:rPr>
        <w:t>。委员会还指出，妇女被排除在政府高层职位、公务员、公共管理、司法部门和司法系统之外。截至</w:t>
      </w:r>
      <w:r w:rsidRPr="00FC77CC">
        <w:rPr>
          <w:rFonts w:hint="eastAsia"/>
          <w:u w:color="0070C0"/>
          <w:bdr w:val="nil"/>
        </w:rPr>
        <w:t>2015</w:t>
      </w:r>
      <w:r w:rsidRPr="00FC77CC">
        <w:rPr>
          <w:rFonts w:hint="eastAsia"/>
          <w:u w:color="0070C0"/>
          <w:bdr w:val="nil"/>
        </w:rPr>
        <w:t>年</w:t>
      </w:r>
      <w:r w:rsidRPr="00FC77CC">
        <w:rPr>
          <w:rFonts w:hint="eastAsia"/>
          <w:u w:color="0070C0"/>
          <w:bdr w:val="nil"/>
        </w:rPr>
        <w:t>5</w:t>
      </w:r>
      <w:r w:rsidRPr="00FC77CC">
        <w:rPr>
          <w:rFonts w:hint="eastAsia"/>
          <w:u w:color="0070C0"/>
          <w:bdr w:val="nil"/>
        </w:rPr>
        <w:t>月</w:t>
      </w:r>
      <w:r w:rsidRPr="00FC77CC">
        <w:rPr>
          <w:rFonts w:hint="eastAsia"/>
          <w:u w:color="0070C0"/>
          <w:bdr w:val="nil"/>
        </w:rPr>
        <w:t>1</w:t>
      </w:r>
      <w:r w:rsidRPr="00FC77CC">
        <w:rPr>
          <w:rFonts w:hint="eastAsia"/>
          <w:u w:color="0070C0"/>
          <w:bdr w:val="nil"/>
        </w:rPr>
        <w:t>日，全球妇女在议会中所占比例平均仅为</w:t>
      </w:r>
      <w:r w:rsidRPr="00FC77CC">
        <w:rPr>
          <w:rFonts w:hint="eastAsia"/>
          <w:u w:color="0070C0"/>
          <w:bdr w:val="nil"/>
        </w:rPr>
        <w:t>22.1%</w:t>
      </w:r>
      <w:r w:rsidRPr="00FC77CC">
        <w:rPr>
          <w:rFonts w:hint="eastAsia"/>
          <w:u w:color="0070C0"/>
          <w:bdr w:val="nil"/>
        </w:rPr>
        <w:t>。</w:t>
      </w:r>
      <w:r w:rsidRPr="005B17D2">
        <w:rPr>
          <w:vertAlign w:val="superscript"/>
        </w:rPr>
        <w:footnoteReference w:id="32"/>
      </w:r>
    </w:p>
    <w:p w:rsidR="005B17D2" w:rsidRDefault="005B17D2" w:rsidP="006B577A">
      <w:pPr>
        <w:pStyle w:val="SingleTxt"/>
        <w:rPr>
          <w:u w:color="0070C0"/>
          <w:bdr w:val="nil"/>
        </w:rPr>
      </w:pPr>
      <w:r w:rsidRPr="00FC77CC">
        <w:rPr>
          <w:rFonts w:eastAsia="Calibri"/>
          <w:u w:color="000000"/>
          <w:bdr w:val="nil"/>
        </w:rPr>
        <w:t>25.</w:t>
      </w:r>
      <w:r w:rsidR="006B577A">
        <w:rPr>
          <w:rFonts w:eastAsiaTheme="minorEastAsia" w:hint="eastAsia"/>
          <w:u w:color="000000"/>
          <w:bdr w:val="nil"/>
        </w:rPr>
        <w:t xml:space="preserve">  </w:t>
      </w:r>
      <w:r w:rsidRPr="00FC77CC">
        <w:rPr>
          <w:snapToGrid w:val="0"/>
        </w:rPr>
        <w:t>法律和实践中的歧视妇女问题工作组</w:t>
      </w:r>
      <w:r w:rsidRPr="00FC77CC">
        <w:rPr>
          <w:rFonts w:hint="eastAsia"/>
          <w:u w:color="0070C0"/>
          <w:bdr w:val="nil"/>
        </w:rPr>
        <w:t>确定了妇女参与政治和公共事务的其他一些障碍，如政党不愿意将妇女列在其候选人名单</w:t>
      </w:r>
      <w:r w:rsidRPr="00FC77CC">
        <w:rPr>
          <w:snapToGrid w:val="0"/>
        </w:rPr>
        <w:t>能够实际参选的</w:t>
      </w:r>
      <w:r w:rsidRPr="00FC77CC">
        <w:rPr>
          <w:rFonts w:hint="eastAsia"/>
          <w:u w:color="0070C0"/>
          <w:bdr w:val="nil"/>
        </w:rPr>
        <w:t>位置</w:t>
      </w:r>
      <w:r w:rsidRPr="00FC77CC">
        <w:rPr>
          <w:rFonts w:hint="eastAsia"/>
          <w:u w:color="0070C0"/>
          <w:bdr w:val="nil"/>
        </w:rPr>
        <w:t xml:space="preserve">; </w:t>
      </w:r>
      <w:r w:rsidRPr="00FC77CC">
        <w:rPr>
          <w:rFonts w:hint="eastAsia"/>
          <w:u w:color="0070C0"/>
          <w:bdr w:val="nil"/>
        </w:rPr>
        <w:t>妇女往往比男子竞选活动资源更少</w:t>
      </w:r>
      <w:r w:rsidRPr="00FC77CC">
        <w:rPr>
          <w:rFonts w:hint="eastAsia"/>
          <w:u w:color="0070C0"/>
          <w:bdr w:val="nil"/>
        </w:rPr>
        <w:t>;</w:t>
      </w:r>
      <w:r w:rsidRPr="00FC77CC">
        <w:rPr>
          <w:rFonts w:hint="eastAsia"/>
          <w:u w:color="0070C0"/>
          <w:bdr w:val="nil"/>
        </w:rPr>
        <w:t>对妇女候选人的攻击、威胁和性骚扰</w:t>
      </w:r>
      <w:r w:rsidRPr="00FC77CC">
        <w:rPr>
          <w:rFonts w:hint="eastAsia"/>
          <w:u w:color="0070C0"/>
          <w:bdr w:val="nil"/>
        </w:rPr>
        <w:t xml:space="preserve">; </w:t>
      </w:r>
      <w:r w:rsidRPr="00FC77CC">
        <w:rPr>
          <w:rFonts w:hint="eastAsia"/>
          <w:u w:color="0070C0"/>
          <w:bdr w:val="nil"/>
        </w:rPr>
        <w:t>和不承认和平集会和结社自由的权利等。与此同时，</w:t>
      </w:r>
      <w:r w:rsidRPr="00FC77CC">
        <w:rPr>
          <w:snapToGrid w:val="0"/>
        </w:rPr>
        <w:t>直言不讳的妇女领袖、社区工作者、人权维护者和政治家</w:t>
      </w:r>
      <w:r w:rsidRPr="00FC77CC">
        <w:rPr>
          <w:rFonts w:hint="eastAsia"/>
          <w:u w:color="0070C0"/>
          <w:bdr w:val="nil"/>
        </w:rPr>
        <w:t>经常面临</w:t>
      </w:r>
      <w:r w:rsidRPr="00FC77CC">
        <w:rPr>
          <w:snapToGrid w:val="0"/>
        </w:rPr>
        <w:t>骚扰</w:t>
      </w:r>
      <w:r w:rsidRPr="00FC77CC">
        <w:rPr>
          <w:rFonts w:hint="eastAsia"/>
          <w:snapToGrid w:val="0"/>
        </w:rPr>
        <w:t>和</w:t>
      </w:r>
      <w:r w:rsidRPr="00FC77CC">
        <w:rPr>
          <w:snapToGrid w:val="0"/>
        </w:rPr>
        <w:t>诋毁，</w:t>
      </w:r>
      <w:r w:rsidRPr="00FC77CC">
        <w:rPr>
          <w:rFonts w:hint="eastAsia"/>
          <w:u w:color="0070C0"/>
          <w:bdr w:val="nil"/>
        </w:rPr>
        <w:t>因为她们被视为是在破坏传统家庭价值观。</w:t>
      </w:r>
      <w:r w:rsidRPr="005B17D2">
        <w:rPr>
          <w:rFonts w:eastAsia="Calibri"/>
          <w:vertAlign w:val="superscript"/>
        </w:rPr>
        <w:footnoteReference w:id="33"/>
      </w:r>
      <w:r w:rsidR="0098609A">
        <w:rPr>
          <w:rFonts w:hint="eastAsia"/>
          <w:u w:color="0070C0"/>
          <w:bdr w:val="nil"/>
        </w:rPr>
        <w:t xml:space="preserve"> </w:t>
      </w:r>
      <w:r w:rsidRPr="00FC77CC">
        <w:rPr>
          <w:rFonts w:hint="eastAsia"/>
          <w:u w:color="0070C0"/>
          <w:bdr w:val="nil"/>
        </w:rPr>
        <w:t>此外，女性人权</w:t>
      </w:r>
      <w:r w:rsidRPr="00FC77CC">
        <w:rPr>
          <w:snapToGrid w:val="0"/>
        </w:rPr>
        <w:t>维护者</w:t>
      </w:r>
      <w:r w:rsidRPr="00FC77CC">
        <w:rPr>
          <w:rFonts w:hint="eastAsia"/>
          <w:u w:color="0070C0"/>
          <w:bdr w:val="nil"/>
        </w:rPr>
        <w:t>遭受</w:t>
      </w:r>
      <w:r w:rsidRPr="00FC77CC">
        <w:rPr>
          <w:rFonts w:hint="eastAsia"/>
          <w:snapToGrid w:val="0"/>
        </w:rPr>
        <w:t>针对</w:t>
      </w:r>
      <w:r w:rsidRPr="00FC77CC">
        <w:rPr>
          <w:snapToGrid w:val="0"/>
        </w:rPr>
        <w:t>性别的</w:t>
      </w:r>
      <w:r w:rsidRPr="00FC77CC">
        <w:rPr>
          <w:rFonts w:hint="eastAsia"/>
          <w:u w:color="0070C0"/>
          <w:bdr w:val="nil"/>
        </w:rPr>
        <w:t>威胁和暴力，包括基于性别的谩骂、性虐待或强奸、恐吓和谋杀。</w:t>
      </w:r>
      <w:r w:rsidRPr="005B17D2">
        <w:rPr>
          <w:vertAlign w:val="superscript"/>
        </w:rPr>
        <w:footnoteReference w:id="34"/>
      </w:r>
    </w:p>
    <w:p w:rsidR="005B17D2" w:rsidRPr="00FC77CC" w:rsidRDefault="005B17D2" w:rsidP="006B577A">
      <w:pPr>
        <w:pStyle w:val="Sponsors"/>
        <w:rPr>
          <w:u w:color="000000"/>
          <w:bdr w:val="nil"/>
        </w:rPr>
      </w:pPr>
      <w:r w:rsidRPr="00FC77CC">
        <w:rPr>
          <w:rFonts w:eastAsia="Cambria"/>
          <w:u w:color="000000"/>
          <w:bdr w:val="nil"/>
        </w:rPr>
        <w:tab/>
      </w:r>
      <w:r w:rsidRPr="00FC77CC">
        <w:rPr>
          <w:rFonts w:eastAsia="Cambria"/>
          <w:u w:color="000000"/>
          <w:bdr w:val="nil"/>
        </w:rPr>
        <w:tab/>
      </w:r>
      <w:r w:rsidRPr="00FC77CC">
        <w:rPr>
          <w:rFonts w:hint="eastAsia"/>
          <w:u w:color="000000"/>
          <w:bdr w:val="nil"/>
        </w:rPr>
        <w:t>土著人民</w:t>
      </w:r>
    </w:p>
    <w:p w:rsidR="006B577A" w:rsidRPr="006B577A" w:rsidRDefault="006B577A" w:rsidP="006B577A">
      <w:pPr>
        <w:pStyle w:val="SingleTxt"/>
        <w:spacing w:after="0" w:line="120" w:lineRule="exact"/>
        <w:rPr>
          <w:sz w:val="10"/>
          <w:u w:color="000000"/>
          <w:bdr w:val="nil"/>
        </w:rPr>
      </w:pPr>
    </w:p>
    <w:p w:rsidR="005B17D2" w:rsidRPr="00FC77CC" w:rsidRDefault="005B17D2" w:rsidP="002B6253">
      <w:pPr>
        <w:pStyle w:val="SingleTxt"/>
        <w:rPr>
          <w:rFonts w:eastAsia="Calibri"/>
          <w:u w:color="000000"/>
          <w:bdr w:val="nil"/>
        </w:rPr>
      </w:pPr>
      <w:r w:rsidRPr="00FC77CC">
        <w:rPr>
          <w:u w:color="000000"/>
          <w:bdr w:val="nil"/>
        </w:rPr>
        <w:t>26.</w:t>
      </w:r>
      <w:r w:rsidR="006B577A">
        <w:rPr>
          <w:rFonts w:hint="eastAsia"/>
          <w:u w:color="000000"/>
          <w:bdr w:val="nil"/>
        </w:rPr>
        <w:t xml:space="preserve">  </w:t>
      </w:r>
      <w:r w:rsidRPr="00FC77CC">
        <w:rPr>
          <w:rFonts w:ascii="SimSun" w:hAnsi="SimSun" w:hint="eastAsia"/>
          <w:u w:color="000000"/>
          <w:bdr w:val="nil"/>
        </w:rPr>
        <w:t>在</w:t>
      </w:r>
      <w:r>
        <w:rPr>
          <w:snapToGrid w:val="0"/>
        </w:rPr>
        <w:t>关于土著人</w:t>
      </w:r>
      <w:r>
        <w:rPr>
          <w:rFonts w:hint="eastAsia"/>
          <w:snapToGrid w:val="0"/>
        </w:rPr>
        <w:t>民及</w:t>
      </w:r>
      <w:r w:rsidRPr="00FC77CC">
        <w:rPr>
          <w:snapToGrid w:val="0"/>
        </w:rPr>
        <w:t>参与决策权的第</w:t>
      </w:r>
      <w:r w:rsidRPr="00FC77CC">
        <w:rPr>
          <w:snapToGrid w:val="0"/>
        </w:rPr>
        <w:t>2</w:t>
      </w:r>
      <w:r w:rsidRPr="00FC77CC">
        <w:rPr>
          <w:snapToGrid w:val="0"/>
        </w:rPr>
        <w:t>号咨询意见</w:t>
      </w:r>
      <w:r w:rsidRPr="00FC77CC">
        <w:rPr>
          <w:snapToGrid w:val="0"/>
        </w:rPr>
        <w:t>(2011</w:t>
      </w:r>
      <w:r w:rsidRPr="00FC77CC">
        <w:rPr>
          <w:rFonts w:hint="eastAsia"/>
          <w:snapToGrid w:val="0"/>
        </w:rPr>
        <w:t>年</w:t>
      </w:r>
      <w:r w:rsidRPr="00FC77CC">
        <w:rPr>
          <w:snapToGrid w:val="0"/>
        </w:rPr>
        <w:t>)</w:t>
      </w:r>
      <w:r w:rsidR="002B6253">
        <w:rPr>
          <w:rFonts w:ascii="SimSun" w:hAnsi="SimSun" w:cs="SimSun" w:hint="eastAsia"/>
          <w:u w:color="000000"/>
          <w:bdr w:val="nil"/>
        </w:rPr>
        <w:t>(</w:t>
      </w:r>
      <w:r w:rsidRPr="00FC77CC">
        <w:rPr>
          <w:rFonts w:ascii="SimSun" w:hAnsi="SimSun" w:cs="SimSun" w:hint="eastAsia"/>
          <w:u w:color="000000"/>
          <w:bdr w:val="nil"/>
        </w:rPr>
        <w:t>见</w:t>
      </w:r>
      <w:r w:rsidR="00897B4D">
        <w:rPr>
          <w:rFonts w:eastAsia="Calibri" w:hint="eastAsia"/>
          <w:u w:color="000000"/>
          <w:bdr w:val="nil"/>
        </w:rPr>
        <w:t>A/HRC/</w:t>
      </w:r>
      <w:r w:rsidRPr="00FC77CC">
        <w:rPr>
          <w:rFonts w:eastAsia="Calibri" w:hint="eastAsia"/>
          <w:u w:color="000000"/>
          <w:bdr w:val="nil"/>
        </w:rPr>
        <w:t>18/42</w:t>
      </w:r>
      <w:r w:rsidRPr="00FC77CC">
        <w:rPr>
          <w:rFonts w:ascii="SimSun" w:hAnsi="SimSun" w:cs="SimSun" w:hint="eastAsia"/>
          <w:u w:color="000000"/>
          <w:bdr w:val="nil"/>
        </w:rPr>
        <w:t>，附件</w:t>
      </w:r>
      <w:r w:rsidR="002B6253">
        <w:rPr>
          <w:rFonts w:ascii="SimSun" w:hAnsi="SimSun" w:cs="SimSun" w:hint="eastAsia"/>
          <w:u w:color="000000"/>
          <w:bdr w:val="nil"/>
        </w:rPr>
        <w:t>)</w:t>
      </w:r>
      <w:r w:rsidRPr="00FC77CC">
        <w:rPr>
          <w:rFonts w:ascii="SimSun" w:hAnsi="SimSun" w:cs="SimSun" w:hint="eastAsia"/>
          <w:u w:color="000000"/>
          <w:bdr w:val="nil"/>
        </w:rPr>
        <w:t>中，土著人民权利专家机制指出，</w:t>
      </w:r>
      <w:r w:rsidRPr="00FC77CC">
        <w:rPr>
          <w:snapToGrid w:val="0"/>
        </w:rPr>
        <w:t>土著人民是</w:t>
      </w:r>
      <w:r w:rsidRPr="00FC77CC">
        <w:rPr>
          <w:rFonts w:hint="eastAsia"/>
          <w:snapToGrid w:val="0"/>
        </w:rPr>
        <w:t>世界上</w:t>
      </w:r>
      <w:r w:rsidRPr="00FC77CC">
        <w:rPr>
          <w:snapToGrid w:val="0"/>
        </w:rPr>
        <w:t>最受排挤、</w:t>
      </w:r>
      <w:r>
        <w:rPr>
          <w:rFonts w:hint="eastAsia"/>
          <w:snapToGrid w:val="0"/>
        </w:rPr>
        <w:t>最</w:t>
      </w:r>
      <w:r w:rsidRPr="00FC77CC">
        <w:rPr>
          <w:snapToGrid w:val="0"/>
        </w:rPr>
        <w:t>边缘化和</w:t>
      </w:r>
      <w:r w:rsidRPr="00FC77CC">
        <w:rPr>
          <w:rFonts w:hint="eastAsia"/>
          <w:snapToGrid w:val="0"/>
        </w:rPr>
        <w:t>处境</w:t>
      </w:r>
      <w:r w:rsidRPr="00FC77CC">
        <w:rPr>
          <w:snapToGrid w:val="0"/>
        </w:rPr>
        <w:t>最不利的社会</w:t>
      </w:r>
      <w:r w:rsidRPr="00FC77CC">
        <w:rPr>
          <w:rFonts w:hint="eastAsia"/>
          <w:snapToGrid w:val="0"/>
        </w:rPr>
        <w:t>群体</w:t>
      </w:r>
      <w:r w:rsidRPr="00FC77CC">
        <w:rPr>
          <w:rFonts w:ascii="SimSun" w:hAnsi="SimSun" w:cs="SimSun" w:hint="eastAsia"/>
          <w:u w:color="000000"/>
          <w:bdr w:val="nil"/>
        </w:rPr>
        <w:t>。对土著人民的歧视影响到</w:t>
      </w:r>
      <w:r w:rsidRPr="00FC77CC">
        <w:rPr>
          <w:snapToGrid w:val="0"/>
        </w:rPr>
        <w:t>其自由决定自己社区发展方向的能力</w:t>
      </w:r>
      <w:r w:rsidRPr="00FC77CC">
        <w:rPr>
          <w:rFonts w:ascii="SimSun" w:hAnsi="SimSun" w:cs="SimSun" w:hint="eastAsia"/>
          <w:u w:color="000000"/>
          <w:bdr w:val="nil"/>
        </w:rPr>
        <w:t>，</w:t>
      </w:r>
      <w:r w:rsidRPr="00FC77CC">
        <w:rPr>
          <w:snapToGrid w:val="0"/>
        </w:rPr>
        <w:t>影响到</w:t>
      </w:r>
      <w:r w:rsidRPr="00FC77CC">
        <w:rPr>
          <w:rFonts w:hint="eastAsia"/>
          <w:snapToGrid w:val="0"/>
        </w:rPr>
        <w:t>其对</w:t>
      </w:r>
      <w:r w:rsidRPr="00FC77CC">
        <w:rPr>
          <w:rFonts w:ascii="SimSun" w:hAnsi="SimSun" w:cs="SimSun" w:hint="eastAsia"/>
          <w:u w:color="000000"/>
          <w:bdr w:val="nil"/>
        </w:rPr>
        <w:t>自然资源控制的能力和就影响他们的人权问题参与决策、包括参与立法的能力。</w:t>
      </w:r>
    </w:p>
    <w:p w:rsidR="005B17D2" w:rsidRPr="00FC77CC" w:rsidRDefault="005B17D2" w:rsidP="006B577A">
      <w:pPr>
        <w:pStyle w:val="SingleTxt"/>
        <w:rPr>
          <w:u w:color="000000"/>
          <w:bdr w:val="nil"/>
        </w:rPr>
      </w:pPr>
      <w:r w:rsidRPr="00FC77CC">
        <w:rPr>
          <w:u w:color="000000"/>
          <w:bdr w:val="nil"/>
        </w:rPr>
        <w:t>27.</w:t>
      </w:r>
      <w:r w:rsidR="006B577A">
        <w:rPr>
          <w:rFonts w:hint="eastAsia"/>
          <w:u w:color="000000"/>
          <w:bdr w:val="nil"/>
        </w:rPr>
        <w:t xml:space="preserve">  </w:t>
      </w:r>
      <w:r w:rsidRPr="00FC77CC">
        <w:rPr>
          <w:rFonts w:ascii="SimSun" w:hAnsi="SimSun" w:cs="SimSun" w:hint="eastAsia"/>
          <w:u w:color="000000"/>
          <w:bdr w:val="nil"/>
        </w:rPr>
        <w:t>在</w:t>
      </w:r>
      <w:r w:rsidRPr="00FC77CC">
        <w:rPr>
          <w:rFonts w:eastAsia="Calibri" w:hint="eastAsia"/>
          <w:u w:color="000000"/>
          <w:bdr w:val="nil"/>
        </w:rPr>
        <w:t>2014</w:t>
      </w:r>
      <w:r>
        <w:rPr>
          <w:rFonts w:ascii="SimSun" w:hAnsi="SimSun" w:cs="SimSun" w:hint="eastAsia"/>
          <w:u w:color="000000"/>
          <w:bdr w:val="nil"/>
        </w:rPr>
        <w:t>年</w:t>
      </w:r>
      <w:r w:rsidRPr="00FC77CC">
        <w:rPr>
          <w:rFonts w:ascii="SimSun" w:hAnsi="SimSun" w:cs="SimSun" w:hint="eastAsia"/>
          <w:u w:color="000000"/>
          <w:bdr w:val="nil"/>
        </w:rPr>
        <w:t>年度报告中，</w:t>
      </w:r>
      <w:r w:rsidRPr="00FC77CC">
        <w:rPr>
          <w:snapToGrid w:val="0"/>
        </w:rPr>
        <w:t>土著人民权利问题特别报告员</w:t>
      </w:r>
      <w:r w:rsidRPr="00FC77CC">
        <w:rPr>
          <w:rFonts w:ascii="SimSun" w:hAnsi="SimSun" w:cs="SimSun" w:hint="eastAsia"/>
          <w:u w:color="000000"/>
          <w:bdr w:val="nil"/>
        </w:rPr>
        <w:t>确定了影响土著人民充分享有参与政治和公共事务权利的的若干障碍，其中包括</w:t>
      </w:r>
      <w:r>
        <w:rPr>
          <w:snapToGrid w:val="0"/>
        </w:rPr>
        <w:t>政府没有或不愿承认土著人民；制定实际执行措施方面的</w:t>
      </w:r>
      <w:r>
        <w:rPr>
          <w:rFonts w:hint="eastAsia"/>
          <w:snapToGrid w:val="0"/>
        </w:rPr>
        <w:t>挑战</w:t>
      </w:r>
      <w:r w:rsidRPr="00FC77CC">
        <w:rPr>
          <w:snapToGrid w:val="0"/>
        </w:rPr>
        <w:t>；</w:t>
      </w:r>
      <w:r>
        <w:rPr>
          <w:rFonts w:hint="eastAsia"/>
          <w:snapToGrid w:val="0"/>
        </w:rPr>
        <w:t>土</w:t>
      </w:r>
      <w:r w:rsidRPr="00FC77CC">
        <w:rPr>
          <w:snapToGrid w:val="0"/>
        </w:rPr>
        <w:t>著人民生活于其中的更广大社会仍对土著人民存有负面情绪；妨碍土著人民充分享有其</w:t>
      </w:r>
      <w:r w:rsidRPr="00FC77CC">
        <w:rPr>
          <w:rFonts w:hint="eastAsia"/>
          <w:snapToGrid w:val="0"/>
        </w:rPr>
        <w:t>人</w:t>
      </w:r>
      <w:r w:rsidRPr="00FC77CC">
        <w:rPr>
          <w:snapToGrid w:val="0"/>
        </w:rPr>
        <w:t>权</w:t>
      </w:r>
      <w:r w:rsidRPr="00FC77CC">
        <w:rPr>
          <w:rFonts w:hint="eastAsia"/>
          <w:snapToGrid w:val="0"/>
        </w:rPr>
        <w:t>的</w:t>
      </w:r>
      <w:r w:rsidRPr="00FC77CC">
        <w:rPr>
          <w:snapToGrid w:val="0"/>
        </w:rPr>
        <w:t>社会和经济条件</w:t>
      </w:r>
      <w:r w:rsidRPr="00FC77CC">
        <w:rPr>
          <w:rFonts w:ascii="SimSun" w:hAnsi="SimSun" w:cs="SimSun" w:hint="eastAsia"/>
          <w:u w:color="000000"/>
          <w:bdr w:val="nil"/>
        </w:rPr>
        <w:t>。</w:t>
      </w:r>
      <w:r w:rsidRPr="005B17D2">
        <w:rPr>
          <w:vertAlign w:val="superscript"/>
        </w:rPr>
        <w:footnoteReference w:id="35"/>
      </w:r>
    </w:p>
    <w:p w:rsidR="006B577A" w:rsidRPr="006B577A" w:rsidRDefault="006B577A" w:rsidP="006B577A">
      <w:pPr>
        <w:pStyle w:val="Sponsors"/>
        <w:spacing w:line="120" w:lineRule="exact"/>
        <w:rPr>
          <w:sz w:val="10"/>
          <w:u w:color="000000"/>
          <w:bdr w:val="nil"/>
        </w:rPr>
      </w:pPr>
    </w:p>
    <w:p w:rsidR="006B577A" w:rsidRPr="006B577A" w:rsidRDefault="006B577A" w:rsidP="006B577A">
      <w:pPr>
        <w:pStyle w:val="Sponsors"/>
        <w:spacing w:line="120" w:lineRule="exact"/>
        <w:rPr>
          <w:sz w:val="10"/>
          <w:u w:color="000000"/>
          <w:bdr w:val="nil"/>
        </w:rPr>
      </w:pPr>
    </w:p>
    <w:p w:rsidR="005B17D2" w:rsidRPr="00FC77CC" w:rsidRDefault="005B17D2" w:rsidP="006B577A">
      <w:pPr>
        <w:pStyle w:val="Sponsors"/>
        <w:rPr>
          <w:u w:color="000000"/>
          <w:bdr w:val="nil"/>
        </w:rPr>
      </w:pPr>
      <w:r w:rsidRPr="00FC77CC">
        <w:rPr>
          <w:rFonts w:hint="eastAsia"/>
          <w:u w:color="000000"/>
          <w:bdr w:val="nil"/>
        </w:rPr>
        <w:tab/>
      </w:r>
      <w:r w:rsidRPr="00FC77CC">
        <w:rPr>
          <w:rFonts w:hint="eastAsia"/>
          <w:u w:color="000000"/>
          <w:bdr w:val="nil"/>
        </w:rPr>
        <w:tab/>
        <w:t>少数民族</w:t>
      </w:r>
    </w:p>
    <w:p w:rsidR="006B577A" w:rsidRPr="006B577A" w:rsidRDefault="006B577A" w:rsidP="006B577A">
      <w:pPr>
        <w:pStyle w:val="SingleTxt"/>
        <w:spacing w:after="0" w:line="120" w:lineRule="exact"/>
        <w:rPr>
          <w:sz w:val="10"/>
          <w:u w:color="000000"/>
          <w:bdr w:val="nil"/>
        </w:rPr>
      </w:pPr>
    </w:p>
    <w:p w:rsidR="005B17D2" w:rsidRPr="00FC77CC" w:rsidRDefault="005B17D2" w:rsidP="006B577A">
      <w:pPr>
        <w:pStyle w:val="SingleTxt"/>
        <w:rPr>
          <w:rFonts w:eastAsia="Calibri"/>
          <w:u w:color="000000"/>
          <w:bdr w:val="nil"/>
        </w:rPr>
      </w:pPr>
      <w:r w:rsidRPr="00FC77CC">
        <w:rPr>
          <w:u w:color="000000"/>
          <w:bdr w:val="nil"/>
        </w:rPr>
        <w:t>28.</w:t>
      </w:r>
      <w:r w:rsidR="006B577A">
        <w:rPr>
          <w:rFonts w:hint="eastAsia"/>
          <w:u w:color="000000"/>
          <w:bdr w:val="nil"/>
        </w:rPr>
        <w:t xml:space="preserve">  </w:t>
      </w:r>
      <w:r w:rsidRPr="00FC77CC">
        <w:rPr>
          <w:snapToGrid w:val="0"/>
        </w:rPr>
        <w:t>《在民族或族裔、宗教和语言上属于少数群体的人的权利宣言》</w:t>
      </w:r>
      <w:r w:rsidRPr="00FC77CC">
        <w:rPr>
          <w:rFonts w:hint="eastAsia"/>
          <w:snapToGrid w:val="0"/>
        </w:rPr>
        <w:t>申明了</w:t>
      </w:r>
      <w:r w:rsidRPr="00FC77CC">
        <w:rPr>
          <w:rFonts w:ascii="SimSun" w:hAnsi="SimSun" w:cs="SimSun" w:hint="eastAsia"/>
          <w:u w:color="000000"/>
          <w:bdr w:val="nil"/>
        </w:rPr>
        <w:t>少数</w:t>
      </w:r>
      <w:r>
        <w:rPr>
          <w:rFonts w:ascii="SimSun" w:hAnsi="SimSun" w:cs="SimSun" w:hint="eastAsia"/>
          <w:u w:color="000000"/>
          <w:bdr w:val="nil"/>
        </w:rPr>
        <w:t>群体</w:t>
      </w:r>
      <w:r w:rsidRPr="00FC77CC">
        <w:rPr>
          <w:snapToGrid w:val="0"/>
        </w:rPr>
        <w:t>有效参</w:t>
      </w:r>
      <w:r w:rsidRPr="00FC77CC">
        <w:rPr>
          <w:rFonts w:hint="eastAsia"/>
          <w:snapToGrid w:val="0"/>
        </w:rPr>
        <w:t>与</w:t>
      </w:r>
      <w:r w:rsidRPr="00FC77CC">
        <w:rPr>
          <w:snapToGrid w:val="0"/>
        </w:rPr>
        <w:t>文化、宗教、社会、经济和公共生活</w:t>
      </w:r>
      <w:r w:rsidRPr="00FC77CC">
        <w:rPr>
          <w:rFonts w:hint="eastAsia"/>
          <w:snapToGrid w:val="0"/>
        </w:rPr>
        <w:t>的权利</w:t>
      </w:r>
      <w:r w:rsidRPr="00FC77CC">
        <w:rPr>
          <w:rFonts w:ascii="SimSun" w:hAnsi="SimSun" w:cs="SimSun" w:hint="eastAsia"/>
          <w:u w:color="000000"/>
          <w:bdr w:val="nil"/>
        </w:rPr>
        <w:t>。</w:t>
      </w:r>
      <w:r w:rsidRPr="005B17D2">
        <w:rPr>
          <w:vertAlign w:val="superscript"/>
        </w:rPr>
        <w:footnoteReference w:id="36"/>
      </w:r>
      <w:r w:rsidRPr="00FC77CC">
        <w:rPr>
          <w:rFonts w:ascii="SimSun" w:hAnsi="SimSun" w:cs="SimSun" w:hint="eastAsia"/>
          <w:u w:color="000000"/>
          <w:bdr w:val="nil"/>
        </w:rPr>
        <w:t xml:space="preserve"> 然而，</w:t>
      </w:r>
      <w:r w:rsidRPr="00FC77CC">
        <w:rPr>
          <w:snapToGrid w:val="0"/>
        </w:rPr>
        <w:t>在大多数国家，</w:t>
      </w:r>
      <w:r w:rsidRPr="00FC77CC">
        <w:rPr>
          <w:rFonts w:hint="eastAsia"/>
          <w:snapToGrid w:val="0"/>
        </w:rPr>
        <w:t>他们在</w:t>
      </w:r>
      <w:r w:rsidRPr="00FC77CC">
        <w:rPr>
          <w:snapToGrid w:val="0"/>
        </w:rPr>
        <w:t>政治和公共进程及治理机构中的代表性仍然不足</w:t>
      </w:r>
      <w:r w:rsidRPr="00FC77CC">
        <w:rPr>
          <w:rFonts w:ascii="SimSun" w:hAnsi="SimSun" w:cs="SimSun" w:hint="eastAsia"/>
          <w:u w:color="000000"/>
          <w:bdr w:val="nil"/>
        </w:rPr>
        <w:t>。人们主动或有意地限制他们的参与，或缺乏政治意愿，消除妨碍他们充分参与的结构性障碍。</w:t>
      </w:r>
      <w:r w:rsidRPr="005B17D2">
        <w:rPr>
          <w:vertAlign w:val="superscript"/>
        </w:rPr>
        <w:footnoteReference w:id="37"/>
      </w:r>
    </w:p>
    <w:p w:rsidR="005B17D2" w:rsidRPr="00FC77CC" w:rsidRDefault="005B17D2" w:rsidP="006B577A">
      <w:pPr>
        <w:pStyle w:val="SingleTxt"/>
        <w:rPr>
          <w:u w:color="000000"/>
          <w:bdr w:val="nil"/>
        </w:rPr>
      </w:pPr>
      <w:r w:rsidRPr="00FC77CC">
        <w:rPr>
          <w:u w:color="000000"/>
          <w:bdr w:val="nil"/>
        </w:rPr>
        <w:t>29.</w:t>
      </w:r>
      <w:r w:rsidR="006B577A">
        <w:rPr>
          <w:rFonts w:hint="eastAsia"/>
          <w:u w:color="000000"/>
          <w:bdr w:val="nil"/>
        </w:rPr>
        <w:t xml:space="preserve">  </w:t>
      </w:r>
      <w:r>
        <w:rPr>
          <w:rFonts w:hint="eastAsia"/>
          <w:u w:color="000000"/>
          <w:bdr w:val="nil"/>
        </w:rPr>
        <w:t>体</w:t>
      </w:r>
      <w:r w:rsidRPr="00FC77CC">
        <w:rPr>
          <w:rFonts w:hint="eastAsia"/>
          <w:u w:color="000000"/>
          <w:bdr w:val="nil"/>
        </w:rPr>
        <w:t>制性歧视可能导致多重剥夺。例如，有证据表明，在许多国家，刑事司法系统中少数群体比例过高。加上对囚犯投票权的限制，这种情况对实现少数群体参与政治和公共事务的权利产生了不成比例的影响。</w:t>
      </w:r>
      <w:r w:rsidRPr="005B17D2">
        <w:rPr>
          <w:vertAlign w:val="superscript"/>
        </w:rPr>
        <w:footnoteReference w:id="38"/>
      </w:r>
      <w:r w:rsidR="006B577A">
        <w:rPr>
          <w:rFonts w:hint="eastAsia"/>
          <w:u w:color="000000"/>
          <w:bdr w:val="nil"/>
        </w:rPr>
        <w:t xml:space="preserve"> </w:t>
      </w:r>
      <w:r>
        <w:rPr>
          <w:rFonts w:hint="eastAsia"/>
          <w:u w:color="000000"/>
          <w:bdr w:val="nil"/>
        </w:rPr>
        <w:t>在许多情况下，少数群体在获得民事登记和身份证件方面还面临系统</w:t>
      </w:r>
      <w:r w:rsidRPr="00FC77CC">
        <w:rPr>
          <w:rFonts w:hint="eastAsia"/>
          <w:u w:color="000000"/>
          <w:bdr w:val="nil"/>
        </w:rPr>
        <w:t>性歧视，这进一步妨碍了其参与权的实现。</w:t>
      </w:r>
    </w:p>
    <w:p w:rsidR="006B577A" w:rsidRPr="006B577A" w:rsidRDefault="006B577A" w:rsidP="006B577A">
      <w:pPr>
        <w:pStyle w:val="Sponsors"/>
        <w:spacing w:line="120" w:lineRule="exact"/>
        <w:rPr>
          <w:rFonts w:eastAsia="Cambria"/>
          <w:sz w:val="10"/>
          <w:u w:color="000000"/>
          <w:bdr w:val="nil"/>
        </w:rPr>
      </w:pPr>
    </w:p>
    <w:p w:rsidR="006B577A" w:rsidRPr="006B577A" w:rsidRDefault="006B577A" w:rsidP="006B577A">
      <w:pPr>
        <w:pStyle w:val="Sponsors"/>
        <w:spacing w:line="120" w:lineRule="exact"/>
        <w:rPr>
          <w:rFonts w:eastAsia="Cambria"/>
          <w:sz w:val="10"/>
          <w:u w:color="000000"/>
          <w:bdr w:val="nil"/>
        </w:rPr>
      </w:pPr>
    </w:p>
    <w:p w:rsidR="005B17D2" w:rsidRPr="0064426F" w:rsidRDefault="005B17D2" w:rsidP="006B577A">
      <w:pPr>
        <w:pStyle w:val="Sponsors"/>
        <w:rPr>
          <w:u w:color="000000"/>
          <w:bdr w:val="nil"/>
        </w:rPr>
      </w:pPr>
      <w:r>
        <w:rPr>
          <w:rFonts w:eastAsia="Cambria"/>
          <w:u w:color="000000"/>
          <w:bdr w:val="nil"/>
        </w:rPr>
        <w:tab/>
      </w:r>
      <w:r>
        <w:rPr>
          <w:rFonts w:eastAsia="Cambria"/>
          <w:u w:color="000000"/>
          <w:bdr w:val="nil"/>
        </w:rPr>
        <w:tab/>
      </w:r>
      <w:r w:rsidRPr="005124D9">
        <w:rPr>
          <w:rFonts w:hint="eastAsia"/>
          <w:u w:color="000000"/>
          <w:bdr w:val="nil"/>
        </w:rPr>
        <w:t>残疾人</w:t>
      </w:r>
    </w:p>
    <w:p w:rsidR="006B577A" w:rsidRPr="006B577A" w:rsidRDefault="006B577A" w:rsidP="006B577A">
      <w:pPr>
        <w:pStyle w:val="SingleTxt"/>
        <w:spacing w:after="0" w:line="120" w:lineRule="exact"/>
        <w:rPr>
          <w:sz w:val="10"/>
          <w:u w:color="000000"/>
          <w:bdr w:val="nil"/>
        </w:rPr>
      </w:pPr>
    </w:p>
    <w:p w:rsidR="005B17D2" w:rsidRPr="00B77547" w:rsidRDefault="005B17D2" w:rsidP="006B577A">
      <w:pPr>
        <w:pStyle w:val="SingleTxt"/>
        <w:rPr>
          <w:u w:color="000000"/>
          <w:bdr w:val="nil"/>
        </w:rPr>
      </w:pPr>
      <w:r w:rsidRPr="00B77547">
        <w:rPr>
          <w:u w:color="000000"/>
          <w:bdr w:val="nil"/>
        </w:rPr>
        <w:t>30.</w:t>
      </w:r>
      <w:r w:rsidR="006B577A">
        <w:rPr>
          <w:rFonts w:hint="eastAsia"/>
          <w:u w:color="000000"/>
          <w:bdr w:val="nil"/>
        </w:rPr>
        <w:t xml:space="preserve">  </w:t>
      </w:r>
      <w:r w:rsidRPr="00B77547">
        <w:rPr>
          <w:rFonts w:hint="eastAsia"/>
          <w:u w:color="000000"/>
          <w:bdr w:val="nil"/>
        </w:rPr>
        <w:t>有些残疾人由于其法律地位、难以获得信息和人们的偏见态度无法充分参与政治和公共事务。在</w:t>
      </w:r>
      <w:r w:rsidRPr="00B77547">
        <w:rPr>
          <w:snapToGrid w:val="0"/>
        </w:rPr>
        <w:t>关于在法律面前获得平等承认的第</w:t>
      </w:r>
      <w:r w:rsidRPr="00B77547">
        <w:rPr>
          <w:snapToGrid w:val="0"/>
        </w:rPr>
        <w:t>1</w:t>
      </w:r>
      <w:r w:rsidRPr="00B77547">
        <w:rPr>
          <w:snapToGrid w:val="0"/>
        </w:rPr>
        <w:t>号一般性意见</w:t>
      </w:r>
      <w:r w:rsidRPr="00B77547">
        <w:rPr>
          <w:snapToGrid w:val="0"/>
        </w:rPr>
        <w:t>(2014</w:t>
      </w:r>
      <w:r w:rsidRPr="00B77547">
        <w:rPr>
          <w:snapToGrid w:val="0"/>
        </w:rPr>
        <w:t>年）</w:t>
      </w:r>
      <w:r w:rsidRPr="00B77547">
        <w:rPr>
          <w:rFonts w:hint="eastAsia"/>
          <w:snapToGrid w:val="0"/>
        </w:rPr>
        <w:t>中，</w:t>
      </w:r>
      <w:r w:rsidRPr="00B77547">
        <w:rPr>
          <w:rFonts w:hint="eastAsia"/>
          <w:u w:color="000000"/>
          <w:bdr w:val="nil"/>
        </w:rPr>
        <w:t>残疾人权利委员会指出，对法律能力的限制被用来排除残疾人的政治参与，特别是在选举权方面。有些国家法律中有自动或半自动排除的规定，剥夺了保护措施之下所有人的政治参与权，而不论其行为能力的实际水平如何。</w:t>
      </w:r>
      <w:r w:rsidRPr="005B17D2">
        <w:rPr>
          <w:vertAlign w:val="superscript"/>
        </w:rPr>
        <w:footnoteReference w:id="39"/>
      </w:r>
    </w:p>
    <w:p w:rsidR="005B17D2" w:rsidRPr="00B77547" w:rsidRDefault="005B17D2" w:rsidP="006B577A">
      <w:pPr>
        <w:pStyle w:val="SingleTxt"/>
        <w:rPr>
          <w:u w:color="000000"/>
          <w:bdr w:val="nil"/>
        </w:rPr>
      </w:pPr>
      <w:r w:rsidRPr="00B77547">
        <w:rPr>
          <w:u w:color="000000"/>
          <w:bdr w:val="nil"/>
        </w:rPr>
        <w:t>31.</w:t>
      </w:r>
      <w:r w:rsidR="006B577A">
        <w:rPr>
          <w:rFonts w:hint="eastAsia"/>
          <w:u w:color="000000"/>
          <w:bdr w:val="nil"/>
        </w:rPr>
        <w:t xml:space="preserve">  </w:t>
      </w:r>
      <w:r w:rsidRPr="00B77547">
        <w:rPr>
          <w:rFonts w:hint="eastAsia"/>
          <w:u w:color="000000"/>
          <w:bdr w:val="nil"/>
        </w:rPr>
        <w:t>而且，即使在残疾人参与方面没有任何法律障碍，这种参与也常常受到</w:t>
      </w:r>
      <w:r w:rsidRPr="00B77547">
        <w:rPr>
          <w:snapToGrid w:val="0"/>
        </w:rPr>
        <w:t>不友好的环境</w:t>
      </w:r>
      <w:r w:rsidRPr="00B77547">
        <w:rPr>
          <w:rFonts w:hint="eastAsia"/>
          <w:u w:color="000000"/>
          <w:bdr w:val="nil"/>
        </w:rPr>
        <w:t>和实际限制的妨碍，如无法进入投票站、缺乏信息、竞选材料并非无障碍形式和</w:t>
      </w:r>
      <w:r w:rsidRPr="00B77547">
        <w:rPr>
          <w:snapToGrid w:val="0"/>
        </w:rPr>
        <w:t>普遍较高</w:t>
      </w:r>
      <w:r w:rsidRPr="00B77547">
        <w:rPr>
          <w:rFonts w:hint="eastAsia"/>
          <w:snapToGrid w:val="0"/>
        </w:rPr>
        <w:t>的</w:t>
      </w:r>
      <w:r w:rsidRPr="00B77547">
        <w:rPr>
          <w:rFonts w:hint="eastAsia"/>
          <w:u w:color="000000"/>
          <w:bdr w:val="nil"/>
        </w:rPr>
        <w:t>偏见。</w:t>
      </w:r>
      <w:r w:rsidRPr="005B17D2">
        <w:rPr>
          <w:vertAlign w:val="superscript"/>
        </w:rPr>
        <w:footnoteReference w:id="40"/>
      </w:r>
    </w:p>
    <w:p w:rsidR="005B17D2" w:rsidRPr="00B77547" w:rsidRDefault="005B17D2" w:rsidP="006B577A">
      <w:pPr>
        <w:pStyle w:val="Sponsors"/>
        <w:rPr>
          <w:rFonts w:eastAsia="Calibri"/>
          <w:u w:color="000000"/>
          <w:bdr w:val="nil"/>
        </w:rPr>
      </w:pPr>
      <w:r w:rsidRPr="00B77547">
        <w:rPr>
          <w:rFonts w:eastAsia="Calibri"/>
          <w:u w:color="000000"/>
          <w:bdr w:val="nil"/>
        </w:rPr>
        <w:tab/>
      </w:r>
      <w:r w:rsidRPr="00B77547">
        <w:rPr>
          <w:rFonts w:eastAsia="Calibri"/>
          <w:u w:color="000000"/>
          <w:bdr w:val="nil"/>
        </w:rPr>
        <w:tab/>
      </w:r>
      <w:r w:rsidRPr="00B77547">
        <w:rPr>
          <w:rFonts w:hint="eastAsia"/>
          <w:u w:color="000000"/>
          <w:bdr w:val="nil"/>
        </w:rPr>
        <w:t>其他脆弱群体</w:t>
      </w:r>
    </w:p>
    <w:p w:rsidR="006B577A" w:rsidRPr="006B577A" w:rsidRDefault="006B577A" w:rsidP="006B577A">
      <w:pPr>
        <w:pStyle w:val="SingleTxt"/>
        <w:spacing w:after="0" w:line="120" w:lineRule="exact"/>
        <w:rPr>
          <w:sz w:val="10"/>
          <w:u w:color="0070C0"/>
          <w:bdr w:val="nil"/>
        </w:rPr>
      </w:pPr>
    </w:p>
    <w:p w:rsidR="005B17D2" w:rsidRPr="00B77547" w:rsidRDefault="005B17D2" w:rsidP="006B577A">
      <w:pPr>
        <w:pStyle w:val="SingleTxt"/>
        <w:rPr>
          <w:u w:color="0070C0"/>
          <w:bdr w:val="nil"/>
        </w:rPr>
      </w:pPr>
      <w:r w:rsidRPr="00B77547">
        <w:rPr>
          <w:u w:color="0070C0"/>
          <w:bdr w:val="nil"/>
        </w:rPr>
        <w:t>32.</w:t>
      </w:r>
      <w:r w:rsidR="006B577A">
        <w:rPr>
          <w:rFonts w:hint="eastAsia"/>
          <w:u w:color="0070C0"/>
          <w:bdr w:val="nil"/>
        </w:rPr>
        <w:t xml:space="preserve">  </w:t>
      </w:r>
      <w:r w:rsidRPr="00B77547">
        <w:rPr>
          <w:rFonts w:hint="eastAsia"/>
          <w:u w:color="0070C0"/>
          <w:bdr w:val="nil"/>
        </w:rPr>
        <w:t>非公民（包括移民、难民和无国籍人）在其居住国的公共和政治事务中很少有发言权。</w:t>
      </w:r>
      <w:r w:rsidRPr="00B77547">
        <w:rPr>
          <w:snapToGrid w:val="0"/>
        </w:rPr>
        <w:t>移民人权问题特别报告员</w:t>
      </w:r>
      <w:r w:rsidRPr="00B77547">
        <w:rPr>
          <w:rFonts w:hint="eastAsia"/>
          <w:u w:color="0070C0"/>
          <w:bdr w:val="nil"/>
        </w:rPr>
        <w:t>指出，</w:t>
      </w:r>
      <w:r w:rsidRPr="00B77547">
        <w:rPr>
          <w:snapToGrid w:val="0"/>
        </w:rPr>
        <w:t>原为移徙者的群体，即便其多数成员已经是国民，在政治</w:t>
      </w:r>
      <w:r w:rsidRPr="00B77547">
        <w:rPr>
          <w:rFonts w:hint="eastAsia"/>
          <w:snapToGrid w:val="0"/>
        </w:rPr>
        <w:t>进程</w:t>
      </w:r>
      <w:r w:rsidRPr="00B77547">
        <w:rPr>
          <w:snapToGrid w:val="0"/>
        </w:rPr>
        <w:t>中也往往没有足够的代表，</w:t>
      </w:r>
      <w:r w:rsidRPr="00B77547">
        <w:rPr>
          <w:rFonts w:hint="eastAsia"/>
          <w:u w:color="0070C0"/>
          <w:bdr w:val="nil"/>
        </w:rPr>
        <w:t>而且</w:t>
      </w:r>
      <w:r>
        <w:rPr>
          <w:rFonts w:hint="eastAsia"/>
          <w:snapToGrid w:val="0"/>
        </w:rPr>
        <w:t>有效</w:t>
      </w:r>
      <w:r w:rsidRPr="00B77547">
        <w:rPr>
          <w:snapToGrid w:val="0"/>
        </w:rPr>
        <w:t>公民资格取决于是否具有结构性参与机会和利用这些机会的广泛酌处权</w:t>
      </w:r>
      <w:r w:rsidRPr="00B77547">
        <w:rPr>
          <w:rFonts w:hint="eastAsia"/>
          <w:u w:color="0070C0"/>
          <w:bdr w:val="nil"/>
        </w:rPr>
        <w:t>。</w:t>
      </w:r>
      <w:r w:rsidRPr="005B17D2">
        <w:rPr>
          <w:vertAlign w:val="superscript"/>
        </w:rPr>
        <w:footnoteReference w:id="41"/>
      </w:r>
    </w:p>
    <w:p w:rsidR="005B17D2" w:rsidRPr="00B77547" w:rsidRDefault="005B17D2" w:rsidP="006B577A">
      <w:pPr>
        <w:pStyle w:val="SingleTxt"/>
        <w:rPr>
          <w:u w:color="000000"/>
          <w:bdr w:val="nil"/>
        </w:rPr>
      </w:pPr>
      <w:r w:rsidRPr="00B77547">
        <w:rPr>
          <w:u w:color="000000"/>
          <w:bdr w:val="nil"/>
        </w:rPr>
        <w:t>33.</w:t>
      </w:r>
      <w:r w:rsidR="006B577A">
        <w:rPr>
          <w:rFonts w:hint="eastAsia"/>
          <w:u w:color="000000"/>
          <w:bdr w:val="nil"/>
        </w:rPr>
        <w:t xml:space="preserve">  </w:t>
      </w:r>
      <w:r w:rsidRPr="00B77547">
        <w:rPr>
          <w:rFonts w:hint="eastAsia"/>
          <w:u w:color="000000"/>
          <w:bdr w:val="nil"/>
        </w:rPr>
        <w:t>有关</w:t>
      </w:r>
      <w:r w:rsidRPr="00B77547">
        <w:rPr>
          <w:rFonts w:hint="eastAsia"/>
          <w:u w:color="0070C0"/>
          <w:bdr w:val="nil"/>
        </w:rPr>
        <w:t>获得公民身份的歧视性要求或过分严格的条件往往妨碍有效参与。在许多国家，</w:t>
      </w:r>
      <w:r w:rsidRPr="00B77547">
        <w:rPr>
          <w:snapToGrid w:val="0"/>
        </w:rPr>
        <w:t>少数群体、长期居民、公民的外国籍家属、无国籍人士及其他群体公民资格的</w:t>
      </w:r>
      <w:r w:rsidRPr="00B77547">
        <w:rPr>
          <w:rFonts w:hint="eastAsia"/>
          <w:snapToGrid w:val="0"/>
        </w:rPr>
        <w:t>要</w:t>
      </w:r>
      <w:r w:rsidRPr="00B77547">
        <w:rPr>
          <w:snapToGrid w:val="0"/>
        </w:rPr>
        <w:t>求遭到</w:t>
      </w:r>
      <w:r w:rsidRPr="00B77547">
        <w:rPr>
          <w:rFonts w:hint="eastAsia"/>
          <w:snapToGrid w:val="0"/>
        </w:rPr>
        <w:t>不当</w:t>
      </w:r>
      <w:r w:rsidRPr="00B77547">
        <w:rPr>
          <w:snapToGrid w:val="0"/>
        </w:rPr>
        <w:t>拒绝</w:t>
      </w:r>
      <w:r w:rsidRPr="00B77547">
        <w:rPr>
          <w:u w:color="0070C0"/>
          <w:bdr w:val="nil"/>
        </w:rPr>
        <w:t>。</w:t>
      </w:r>
      <w:r w:rsidRPr="00B77547">
        <w:rPr>
          <w:rFonts w:hint="eastAsia"/>
          <w:u w:color="0070C0"/>
          <w:bdr w:val="nil"/>
        </w:rPr>
        <w:t>非公民、移民和难民也经常被原籍国拒绝参与公共和政治事务，造成双重剥夺。</w:t>
      </w:r>
      <w:r w:rsidRPr="005B17D2">
        <w:rPr>
          <w:vertAlign w:val="superscript"/>
        </w:rPr>
        <w:footnoteReference w:id="42"/>
      </w:r>
    </w:p>
    <w:p w:rsidR="005B17D2" w:rsidRPr="00B77547" w:rsidRDefault="005B17D2" w:rsidP="006B577A">
      <w:pPr>
        <w:pStyle w:val="SingleTxt"/>
        <w:rPr>
          <w:u w:color="0070C0"/>
          <w:bdr w:val="nil"/>
        </w:rPr>
      </w:pPr>
      <w:r w:rsidRPr="00B77547">
        <w:rPr>
          <w:u w:color="000000"/>
          <w:bdr w:val="nil"/>
        </w:rPr>
        <w:t>34.</w:t>
      </w:r>
      <w:r w:rsidR="006B577A">
        <w:rPr>
          <w:rFonts w:hint="eastAsia"/>
          <w:u w:color="000000"/>
          <w:bdr w:val="nil"/>
        </w:rPr>
        <w:t xml:space="preserve">  </w:t>
      </w:r>
      <w:r w:rsidRPr="00B77547">
        <w:rPr>
          <w:rFonts w:hint="eastAsia"/>
          <w:u w:color="0070C0"/>
          <w:bdr w:val="nil"/>
        </w:rPr>
        <w:t>无家可归者和境内流离失所者生活在社会的边缘，往往面临歧视和无法获得信息。此外，行政限制，如居住证明或身份证明文件的要求，很可能会妨碍他们行使投票权。</w:t>
      </w:r>
      <w:r w:rsidRPr="005B17D2">
        <w:rPr>
          <w:vertAlign w:val="superscript"/>
        </w:rPr>
        <w:footnoteReference w:id="43"/>
      </w:r>
    </w:p>
    <w:p w:rsidR="005B17D2" w:rsidRPr="00B77547" w:rsidRDefault="005B17D2" w:rsidP="006B577A">
      <w:pPr>
        <w:pStyle w:val="SingleTxt"/>
        <w:rPr>
          <w:u w:color="0070C0"/>
          <w:bdr w:val="nil"/>
        </w:rPr>
      </w:pPr>
      <w:r w:rsidRPr="00B77547">
        <w:rPr>
          <w:u w:color="000000"/>
          <w:bdr w:val="nil"/>
        </w:rPr>
        <w:t>35.</w:t>
      </w:r>
      <w:r w:rsidR="006B577A">
        <w:rPr>
          <w:rFonts w:hint="eastAsia"/>
          <w:u w:color="000000"/>
          <w:bdr w:val="nil"/>
        </w:rPr>
        <w:t xml:space="preserve">  </w:t>
      </w:r>
      <w:r w:rsidRPr="00B77547">
        <w:rPr>
          <w:rFonts w:hint="eastAsia"/>
          <w:u w:color="0070C0"/>
          <w:bdr w:val="nil"/>
        </w:rPr>
        <w:t>世界各地的</w:t>
      </w:r>
      <w:r>
        <w:rPr>
          <w:snapToGrid w:val="0"/>
        </w:rPr>
        <w:t>男女同性恋、双性恋、变性</w:t>
      </w:r>
      <w:r>
        <w:rPr>
          <w:rFonts w:hint="eastAsia"/>
          <w:snapToGrid w:val="0"/>
        </w:rPr>
        <w:t>人</w:t>
      </w:r>
      <w:r w:rsidRPr="00B77547">
        <w:rPr>
          <w:snapToGrid w:val="0"/>
        </w:rPr>
        <w:t>和两性人</w:t>
      </w:r>
      <w:r w:rsidRPr="00B77547">
        <w:rPr>
          <w:rFonts w:hint="eastAsia"/>
          <w:snapToGrid w:val="0"/>
        </w:rPr>
        <w:t>在</w:t>
      </w:r>
      <w:r w:rsidRPr="00B77547">
        <w:rPr>
          <w:rFonts w:hint="eastAsia"/>
          <w:u w:color="0070C0"/>
          <w:bdr w:val="nil"/>
        </w:rPr>
        <w:t>维护自己参与处理公共事务的权利方面面临多重障碍，其中包括基于性取向、性别认同或性别表达的歧视、侮辱、暴力、法律制裁和任意限制其言论、结社和和平集会的自由。</w:t>
      </w:r>
      <w:r w:rsidRPr="005B17D2">
        <w:rPr>
          <w:vertAlign w:val="superscript"/>
        </w:rPr>
        <w:footnoteReference w:id="44"/>
      </w:r>
      <w:r w:rsidR="002B6253">
        <w:rPr>
          <w:rFonts w:hint="eastAsia"/>
          <w:u w:color="0070C0"/>
          <w:bdr w:val="nil"/>
        </w:rPr>
        <w:t xml:space="preserve"> </w:t>
      </w:r>
      <w:r w:rsidRPr="00B77547">
        <w:rPr>
          <w:rFonts w:hint="eastAsia"/>
          <w:u w:color="0070C0"/>
          <w:bdr w:val="nil"/>
        </w:rPr>
        <w:t>此外，由于身份证是切实享受多项人权的一个先决条件，包括选举权，无法获得反映其所选性别的身份证件的变性人事实上遭到剥夺。</w:t>
      </w:r>
      <w:r w:rsidRPr="005B17D2">
        <w:rPr>
          <w:vertAlign w:val="superscript"/>
        </w:rPr>
        <w:footnoteReference w:id="45"/>
      </w:r>
    </w:p>
    <w:p w:rsidR="006B577A" w:rsidRPr="006B577A" w:rsidRDefault="006B577A" w:rsidP="006B577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6B577A" w:rsidRPr="006B577A" w:rsidRDefault="006B577A" w:rsidP="006B577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6B577A" w:rsidRPr="006B577A" w:rsidRDefault="006B577A" w:rsidP="006B577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sz w:val="10"/>
          <w:u w:color="000000"/>
          <w:bdr w:val="nil"/>
        </w:rPr>
      </w:pPr>
    </w:p>
    <w:p w:rsidR="005B17D2" w:rsidRPr="006B577A" w:rsidRDefault="005B17D2" w:rsidP="006B577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mbria"/>
          <w:u w:color="000000"/>
          <w:bdr w:val="nil"/>
        </w:rPr>
      </w:pPr>
      <w:r w:rsidRPr="006B577A">
        <w:rPr>
          <w:rFonts w:eastAsia="Cambria"/>
          <w:u w:color="000000"/>
          <w:bdr w:val="nil"/>
        </w:rPr>
        <w:tab/>
      </w:r>
      <w:r w:rsidRPr="006B577A">
        <w:rPr>
          <w:rFonts w:hint="eastAsia"/>
          <w:u w:color="000000"/>
          <w:bdr w:val="nil"/>
        </w:rPr>
        <w:t>四</w:t>
      </w:r>
      <w:r w:rsidRPr="006B577A">
        <w:rPr>
          <w:rFonts w:eastAsia="Cambria"/>
          <w:u w:color="000000"/>
          <w:bdr w:val="nil"/>
        </w:rPr>
        <w:t>.</w:t>
      </w:r>
      <w:r w:rsidRPr="006B577A">
        <w:rPr>
          <w:rFonts w:eastAsia="Cambria"/>
          <w:u w:color="000000"/>
          <w:bdr w:val="nil"/>
        </w:rPr>
        <w:tab/>
      </w:r>
      <w:r w:rsidRPr="006B577A">
        <w:rPr>
          <w:rFonts w:hint="eastAsia"/>
          <w:u w:color="000000"/>
          <w:bdr w:val="nil"/>
        </w:rPr>
        <w:t>参与政治和公共事务权方面的最佳做法和经验</w:t>
      </w:r>
    </w:p>
    <w:p w:rsidR="006B577A" w:rsidRPr="006B577A" w:rsidRDefault="006B577A" w:rsidP="006B577A">
      <w:pPr>
        <w:pStyle w:val="SingleTxt"/>
        <w:spacing w:after="0" w:line="120" w:lineRule="exact"/>
        <w:rPr>
          <w:rFonts w:eastAsia="Calibri"/>
          <w:sz w:val="10"/>
          <w:u w:color="000000"/>
          <w:bdr w:val="nil"/>
        </w:rPr>
      </w:pPr>
    </w:p>
    <w:p w:rsidR="006B577A" w:rsidRPr="006B577A" w:rsidRDefault="006B577A" w:rsidP="006B577A">
      <w:pPr>
        <w:pStyle w:val="SingleTxt"/>
        <w:spacing w:after="0" w:line="120" w:lineRule="exact"/>
        <w:rPr>
          <w:rFonts w:eastAsia="Calibri"/>
          <w:sz w:val="10"/>
          <w:u w:color="000000"/>
          <w:bdr w:val="nil"/>
        </w:rPr>
      </w:pPr>
    </w:p>
    <w:p w:rsidR="005B17D2" w:rsidRPr="00B77547" w:rsidRDefault="005B17D2" w:rsidP="006B577A">
      <w:pPr>
        <w:pStyle w:val="SingleTxt"/>
        <w:rPr>
          <w:u w:color="000000"/>
          <w:bdr w:val="nil"/>
        </w:rPr>
      </w:pPr>
      <w:r w:rsidRPr="00B77547">
        <w:rPr>
          <w:rFonts w:eastAsia="Calibri"/>
          <w:u w:color="000000"/>
          <w:bdr w:val="nil"/>
        </w:rPr>
        <w:t>36.</w:t>
      </w:r>
      <w:r w:rsidR="006B577A">
        <w:rPr>
          <w:rFonts w:eastAsiaTheme="minorEastAsia" w:hint="eastAsia"/>
          <w:u w:color="000000"/>
          <w:bdr w:val="nil"/>
        </w:rPr>
        <w:t xml:space="preserve">  </w:t>
      </w:r>
      <w:r w:rsidRPr="00B77547">
        <w:rPr>
          <w:rFonts w:ascii="SimSun" w:hAnsi="SimSun" w:cs="SimSun" w:hint="eastAsia"/>
          <w:u w:color="000000"/>
          <w:bdr w:val="nil"/>
        </w:rPr>
        <w:t>本节汇编了各国报告和来自其他来源的不同形式政治和公共参与的最佳做法和经验。公共参与的进程有许多好处，包括提高政策和立法决策的质量，反映真正的需求，有丰富的第一手经验和专业知识</w:t>
      </w:r>
      <w:r w:rsidRPr="00B77547">
        <w:rPr>
          <w:rFonts w:ascii="SimSun" w:hAnsi="SimSun" w:hint="eastAsia"/>
          <w:u w:color="000000"/>
          <w:bdr w:val="nil"/>
        </w:rPr>
        <w:t>；</w:t>
      </w:r>
      <w:r w:rsidRPr="00B77547">
        <w:rPr>
          <w:rFonts w:ascii="SimSun" w:hAnsi="SimSun" w:cs="SimSun" w:hint="eastAsia"/>
          <w:u w:color="000000"/>
          <w:bdr w:val="nil"/>
        </w:rPr>
        <w:t>增强成功执行的潜力；最终增加公众对国家机构的信任。</w:t>
      </w:r>
      <w:r w:rsidRPr="005B17D2">
        <w:rPr>
          <w:vertAlign w:val="superscript"/>
        </w:rPr>
        <w:footnoteReference w:id="46"/>
      </w:r>
    </w:p>
    <w:p w:rsidR="006B577A" w:rsidRPr="006B577A" w:rsidRDefault="006B577A"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Arial Unicode MS"/>
          <w:sz w:val="10"/>
          <w:u w:color="000000"/>
          <w:bdr w:val="nil"/>
        </w:rPr>
      </w:pPr>
    </w:p>
    <w:p w:rsidR="006B577A" w:rsidRPr="006B577A" w:rsidRDefault="006B577A"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Arial Unicode MS"/>
          <w:sz w:val="10"/>
          <w:u w:color="000000"/>
          <w:bdr w:val="nil"/>
        </w:rPr>
      </w:pPr>
    </w:p>
    <w:p w:rsidR="005B17D2" w:rsidRPr="006B577A" w:rsidRDefault="005B17D2"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Arial Unicode MS"/>
          <w:u w:color="000000"/>
          <w:bdr w:val="nil"/>
        </w:rPr>
      </w:pPr>
      <w:r w:rsidRPr="006B577A">
        <w:rPr>
          <w:rFonts w:eastAsia="Arial Unicode MS"/>
          <w:u w:color="000000"/>
          <w:bdr w:val="nil"/>
        </w:rPr>
        <w:tab/>
        <w:t>A.</w:t>
      </w:r>
      <w:r w:rsidRPr="006B577A">
        <w:rPr>
          <w:rFonts w:eastAsia="Arial Unicode MS"/>
          <w:u w:color="000000"/>
          <w:bdr w:val="nil"/>
        </w:rPr>
        <w:tab/>
      </w:r>
      <w:r w:rsidRPr="006B577A">
        <w:rPr>
          <w:rFonts w:hint="eastAsia"/>
          <w:u w:color="000000"/>
          <w:bdr w:val="nil"/>
        </w:rPr>
        <w:t>选举权和被选举权</w:t>
      </w:r>
    </w:p>
    <w:p w:rsidR="006B577A" w:rsidRPr="006B577A" w:rsidRDefault="006B577A" w:rsidP="006B577A">
      <w:pPr>
        <w:pStyle w:val="SingleTxt"/>
        <w:spacing w:after="0" w:line="120" w:lineRule="exact"/>
        <w:rPr>
          <w:rFonts w:eastAsia="Calibri"/>
          <w:sz w:val="10"/>
          <w:u w:color="000000"/>
          <w:bdr w:val="nil"/>
        </w:rPr>
      </w:pPr>
    </w:p>
    <w:p w:rsidR="006B577A" w:rsidRPr="006B577A" w:rsidRDefault="006B577A" w:rsidP="006B577A">
      <w:pPr>
        <w:pStyle w:val="SingleTxt"/>
        <w:spacing w:after="0" w:line="120" w:lineRule="exact"/>
        <w:rPr>
          <w:rFonts w:eastAsia="Calibri"/>
          <w:sz w:val="10"/>
          <w:u w:color="000000"/>
          <w:bdr w:val="nil"/>
        </w:rPr>
      </w:pPr>
    </w:p>
    <w:p w:rsidR="006B577A" w:rsidRDefault="005B17D2" w:rsidP="006B577A">
      <w:pPr>
        <w:pStyle w:val="SingleTxt"/>
        <w:rPr>
          <w:rFonts w:ascii="SimSun" w:hAnsi="SimSun" w:cs="SimSun"/>
          <w:u w:color="000000"/>
          <w:bdr w:val="nil"/>
        </w:rPr>
      </w:pPr>
      <w:r w:rsidRPr="00B77547">
        <w:rPr>
          <w:rFonts w:eastAsia="Calibri"/>
          <w:u w:color="000000"/>
          <w:bdr w:val="nil"/>
        </w:rPr>
        <w:t>37.</w:t>
      </w:r>
      <w:r w:rsidR="006B577A">
        <w:rPr>
          <w:rFonts w:eastAsiaTheme="minorEastAsia" w:hint="eastAsia"/>
          <w:u w:color="000000"/>
          <w:bdr w:val="nil"/>
        </w:rPr>
        <w:t xml:space="preserve">  </w:t>
      </w:r>
      <w:r w:rsidRPr="00B77547">
        <w:rPr>
          <w:rFonts w:ascii="SimSun" w:hAnsi="SimSun" w:cs="SimSun" w:hint="eastAsia"/>
          <w:u w:color="000000"/>
          <w:bdr w:val="nil"/>
        </w:rPr>
        <w:t>选举制度的特征，包括候选人名单、分区大小和门槛水平，</w:t>
      </w:r>
      <w:r w:rsidRPr="00B77547">
        <w:rPr>
          <w:rFonts w:ascii="SimSun" w:hAnsi="SimSun" w:hint="eastAsia"/>
          <w:u w:color="000000"/>
          <w:bdr w:val="nil"/>
        </w:rPr>
        <w:t>都可能</w:t>
      </w:r>
      <w:r w:rsidRPr="00B77547">
        <w:rPr>
          <w:rFonts w:ascii="SimSun" w:hAnsi="SimSun" w:cs="SimSun" w:hint="eastAsia"/>
          <w:u w:color="000000"/>
          <w:bdr w:val="nil"/>
        </w:rPr>
        <w:t>对包容性和代表性不足群体中当选者人数产生重大影响。</w:t>
      </w:r>
      <w:r w:rsidRPr="005B17D2">
        <w:rPr>
          <w:vertAlign w:val="superscript"/>
        </w:rPr>
        <w:footnoteReference w:id="47"/>
      </w:r>
      <w:r w:rsidRPr="00B77547">
        <w:rPr>
          <w:rFonts w:ascii="SimSun" w:hAnsi="SimSun" w:cs="SimSun" w:hint="eastAsia"/>
          <w:u w:color="000000"/>
          <w:bdr w:val="nil"/>
        </w:rPr>
        <w:t xml:space="preserve"> 加纳报告说，《人民代表法》规定</w:t>
      </w:r>
    </w:p>
    <w:p w:rsidR="005B17D2" w:rsidRPr="00B77547" w:rsidRDefault="005B17D2" w:rsidP="006B577A">
      <w:pPr>
        <w:pStyle w:val="SingleTxt"/>
        <w:rPr>
          <w:u w:color="000000"/>
          <w:bdr w:val="nil"/>
        </w:rPr>
      </w:pPr>
      <w:r w:rsidRPr="00B77547">
        <w:rPr>
          <w:rFonts w:ascii="SimSun" w:hAnsi="SimSun" w:cs="SimSun" w:hint="eastAsia"/>
          <w:u w:color="000000"/>
          <w:bdr w:val="nil"/>
        </w:rPr>
        <w:t>将该国划分为较小的政治单位，以便利公共参与。为努力便利所有有关个人投票，许多国家都采用替代投票方法，如移动投票站、邮寄投票和提前投票。澳大利亚通过海陆空方式在全国各地部署远程移动投票工作队</w:t>
      </w:r>
      <w:r w:rsidRPr="00B77547">
        <w:rPr>
          <w:rFonts w:ascii="SimSun" w:hAnsi="SimSun" w:hint="eastAsia"/>
          <w:u w:color="000000"/>
          <w:bdr w:val="nil"/>
        </w:rPr>
        <w:t>，</w:t>
      </w:r>
      <w:r w:rsidRPr="00B77547">
        <w:rPr>
          <w:rFonts w:ascii="SimSun" w:hAnsi="SimSun" w:cs="SimSun" w:hint="eastAsia"/>
          <w:u w:color="000000"/>
          <w:bdr w:val="nil"/>
        </w:rPr>
        <w:t>使偏远地区人们，包括土著社区，都能够投票。波兰在医院、社会福利设施、拘留设施和大学学生宿舍设立独立的选区。</w:t>
      </w:r>
    </w:p>
    <w:p w:rsidR="005B17D2" w:rsidRPr="00B77547" w:rsidRDefault="005B17D2" w:rsidP="006B577A">
      <w:pPr>
        <w:pStyle w:val="SingleTxt"/>
        <w:rPr>
          <w:rFonts w:eastAsia="Calibri"/>
          <w:u w:color="000000"/>
          <w:bdr w:val="nil"/>
        </w:rPr>
      </w:pPr>
      <w:r w:rsidRPr="00B77547">
        <w:rPr>
          <w:u w:color="000000"/>
          <w:bdr w:val="nil"/>
        </w:rPr>
        <w:t>38.</w:t>
      </w:r>
      <w:r w:rsidR="006B577A">
        <w:rPr>
          <w:rFonts w:hint="eastAsia"/>
          <w:u w:color="000000"/>
          <w:bdr w:val="nil"/>
        </w:rPr>
        <w:t xml:space="preserve">  </w:t>
      </w:r>
      <w:r w:rsidRPr="00B77547">
        <w:rPr>
          <w:rFonts w:ascii="SimSun" w:hAnsi="SimSun" w:cs="SimSun" w:hint="eastAsia"/>
          <w:u w:color="000000"/>
          <w:bdr w:val="nil"/>
        </w:rPr>
        <w:t>如果方便使用并能保证</w:t>
      </w:r>
      <w:r w:rsidRPr="00B77547">
        <w:rPr>
          <w:snapToGrid w:val="0"/>
        </w:rPr>
        <w:t>投票秘密</w:t>
      </w:r>
      <w:r w:rsidRPr="00B77547">
        <w:rPr>
          <w:rFonts w:ascii="SimSun" w:hAnsi="SimSun" w:cs="SimSun" w:hint="eastAsia"/>
          <w:u w:color="000000"/>
          <w:bdr w:val="nil"/>
        </w:rPr>
        <w:t>，电子投票也可能有助于打破妨碍政治参与的障碍，特别是对残疾人而言，并有助于提高投票率。在爱沙尼亚，所有选民都可以从自己家中或世界任何其他地方</w:t>
      </w:r>
      <w:r w:rsidRPr="00B77547">
        <w:rPr>
          <w:snapToGrid w:val="0"/>
        </w:rPr>
        <w:t>以电子方式</w:t>
      </w:r>
      <w:r w:rsidRPr="00B77547">
        <w:rPr>
          <w:rFonts w:hint="eastAsia"/>
          <w:snapToGrid w:val="0"/>
        </w:rPr>
        <w:t>在</w:t>
      </w:r>
      <w:r w:rsidRPr="00B77547">
        <w:rPr>
          <w:rFonts w:ascii="SimSun" w:hAnsi="SimSun" w:cs="SimSun" w:hint="eastAsia"/>
          <w:u w:color="000000"/>
          <w:bdr w:val="nil"/>
        </w:rPr>
        <w:t>任何选举中投票。电子投票网站还为有视力障碍的人提供支持。</w:t>
      </w:r>
    </w:p>
    <w:p w:rsidR="005B17D2" w:rsidRPr="00B77547" w:rsidRDefault="005B17D2" w:rsidP="006B577A">
      <w:pPr>
        <w:pStyle w:val="SingleTxt"/>
        <w:rPr>
          <w:u w:color="000000"/>
          <w:bdr w:val="nil"/>
        </w:rPr>
      </w:pPr>
      <w:r w:rsidRPr="00B77547">
        <w:rPr>
          <w:u w:color="000000"/>
          <w:bdr w:val="nil"/>
        </w:rPr>
        <w:t>39.</w:t>
      </w:r>
      <w:r w:rsidR="006B577A">
        <w:rPr>
          <w:rFonts w:hint="eastAsia"/>
          <w:u w:color="000000"/>
          <w:bdr w:val="nil"/>
        </w:rPr>
        <w:t xml:space="preserve">  </w:t>
      </w:r>
      <w:r w:rsidRPr="00B77547">
        <w:rPr>
          <w:rFonts w:ascii="SimSun" w:hAnsi="SimSun" w:cs="SimSun" w:hint="eastAsia"/>
          <w:u w:color="000000"/>
          <w:bdr w:val="nil"/>
        </w:rPr>
        <w:t>许多国家对代表性不足的群体实行配额制，以减轻延续实质性不平等状况的条件。近年来，在阿富汗和约旦等历来妇女政治参与有限的国家实行了性别配额。配额</w:t>
      </w:r>
      <w:r w:rsidRPr="00B77547">
        <w:rPr>
          <w:snapToGrid w:val="0"/>
        </w:rPr>
        <w:t>效果最佳，</w:t>
      </w:r>
      <w:r w:rsidRPr="00B77547">
        <w:rPr>
          <w:rFonts w:hint="eastAsia"/>
          <w:snapToGrid w:val="0"/>
        </w:rPr>
        <w:t>是</w:t>
      </w:r>
      <w:r w:rsidRPr="00B77547">
        <w:rPr>
          <w:rFonts w:ascii="SimSun" w:hAnsi="SimSun" w:cs="SimSun" w:hint="eastAsia"/>
          <w:u w:color="000000"/>
          <w:bdr w:val="nil"/>
        </w:rPr>
        <w:t>在如不遵守即予制裁之时，是在得到独立机构密切监测之时，包括国家选举机构和人权机构的监测。</w:t>
      </w:r>
      <w:r w:rsidRPr="005B17D2">
        <w:rPr>
          <w:rFonts w:eastAsia="Calibri"/>
          <w:vertAlign w:val="superscript"/>
        </w:rPr>
        <w:footnoteReference w:id="48"/>
      </w:r>
      <w:r w:rsidR="006B577A">
        <w:rPr>
          <w:rFonts w:ascii="SimSun" w:hAnsi="SimSun" w:cs="SimSun" w:hint="eastAsia"/>
          <w:u w:color="000000"/>
          <w:bdr w:val="nil"/>
        </w:rPr>
        <w:t xml:space="preserve"> </w:t>
      </w:r>
      <w:r w:rsidRPr="00B77547">
        <w:rPr>
          <w:rFonts w:ascii="SimSun" w:hAnsi="SimSun" w:cs="SimSun" w:hint="eastAsia"/>
          <w:u w:color="000000"/>
          <w:bdr w:val="nil"/>
        </w:rPr>
        <w:t>一旦当选，至关重要的是，属于被边缘化群体的个人有平等的机会行使权力和职权。</w:t>
      </w:r>
      <w:r w:rsidRPr="005B17D2">
        <w:rPr>
          <w:rFonts w:eastAsia="Calibri"/>
          <w:vertAlign w:val="superscript"/>
        </w:rPr>
        <w:footnoteReference w:id="49"/>
      </w:r>
      <w:r w:rsidR="006B577A">
        <w:rPr>
          <w:rFonts w:ascii="SimSun" w:hAnsi="SimSun" w:cs="SimSun" w:hint="eastAsia"/>
          <w:u w:color="000000"/>
          <w:bdr w:val="nil"/>
        </w:rPr>
        <w:t xml:space="preserve"> </w:t>
      </w:r>
      <w:r w:rsidRPr="00B77547">
        <w:rPr>
          <w:rFonts w:ascii="SimSun" w:hAnsi="SimSun" w:cs="SimSun" w:hint="eastAsia"/>
          <w:u w:color="000000"/>
          <w:bdr w:val="nil"/>
        </w:rPr>
        <w:t>这可以部分通过政治辩论和谈判技巧培训和建立信任措施来实现。</w:t>
      </w:r>
      <w:r w:rsidRPr="005B17D2">
        <w:rPr>
          <w:rFonts w:eastAsia="Calibri"/>
          <w:vertAlign w:val="superscript"/>
        </w:rPr>
        <w:footnoteReference w:id="50"/>
      </w:r>
    </w:p>
    <w:p w:rsidR="006B577A" w:rsidRPr="006B577A" w:rsidRDefault="006B577A"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u w:color="000000"/>
          <w:bdr w:val="nil"/>
        </w:rPr>
      </w:pPr>
    </w:p>
    <w:p w:rsidR="006B577A" w:rsidRPr="006B577A" w:rsidRDefault="006B577A"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u w:color="000000"/>
          <w:bdr w:val="nil"/>
        </w:rPr>
      </w:pPr>
    </w:p>
    <w:p w:rsidR="005B17D2" w:rsidRPr="006B577A" w:rsidRDefault="005B17D2" w:rsidP="006B577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Bold"/>
          <w:u w:color="000000"/>
          <w:bdr w:val="nil"/>
        </w:rPr>
      </w:pPr>
      <w:r w:rsidRPr="006B577A">
        <w:rPr>
          <w:rFonts w:eastAsia="Calibri"/>
          <w:u w:color="000000"/>
          <w:bdr w:val="nil"/>
        </w:rPr>
        <w:tab/>
        <w:t>B.</w:t>
      </w:r>
      <w:r w:rsidRPr="006B577A">
        <w:rPr>
          <w:rFonts w:eastAsia="Calibri"/>
          <w:u w:color="000000"/>
          <w:bdr w:val="nil"/>
        </w:rPr>
        <w:tab/>
      </w:r>
      <w:r w:rsidRPr="006B577A">
        <w:rPr>
          <w:rFonts w:hint="eastAsia"/>
          <w:u w:color="000000"/>
          <w:bdr w:val="nil"/>
        </w:rPr>
        <w:t>参与处理公共事务</w:t>
      </w:r>
    </w:p>
    <w:p w:rsidR="006B577A" w:rsidRPr="006B577A" w:rsidRDefault="006B577A" w:rsidP="006B577A">
      <w:pPr>
        <w:pStyle w:val="SingleTxt"/>
        <w:spacing w:after="0" w:line="120" w:lineRule="exact"/>
        <w:rPr>
          <w:sz w:val="10"/>
          <w:u w:color="000000"/>
          <w:bdr w:val="nil"/>
        </w:rPr>
      </w:pPr>
    </w:p>
    <w:p w:rsidR="006B577A" w:rsidRPr="006B577A" w:rsidRDefault="006B577A" w:rsidP="006B577A">
      <w:pPr>
        <w:pStyle w:val="SingleTxt"/>
        <w:spacing w:after="0" w:line="120" w:lineRule="exact"/>
        <w:rPr>
          <w:sz w:val="10"/>
          <w:u w:color="000000"/>
          <w:bdr w:val="nil"/>
        </w:rPr>
      </w:pPr>
    </w:p>
    <w:p w:rsidR="005B17D2" w:rsidRPr="00554A5E" w:rsidRDefault="005B17D2" w:rsidP="006B577A">
      <w:pPr>
        <w:pStyle w:val="SingleTxt"/>
        <w:rPr>
          <w:u w:color="000000"/>
          <w:bdr w:val="nil"/>
        </w:rPr>
      </w:pPr>
      <w:r w:rsidRPr="00554A5E">
        <w:rPr>
          <w:u w:color="000000"/>
          <w:bdr w:val="nil"/>
        </w:rPr>
        <w:t>40.</w:t>
      </w:r>
      <w:r w:rsidR="006B577A">
        <w:rPr>
          <w:rFonts w:hint="eastAsia"/>
          <w:u w:color="000000"/>
          <w:bdr w:val="nil"/>
        </w:rPr>
        <w:t xml:space="preserve">  </w:t>
      </w:r>
      <w:r w:rsidRPr="00554A5E">
        <w:rPr>
          <w:rFonts w:hint="eastAsia"/>
          <w:u w:color="000000"/>
          <w:bdr w:val="nil"/>
        </w:rPr>
        <w:t>具有坚实的法律基础是</w:t>
      </w:r>
      <w:r w:rsidRPr="00554A5E">
        <w:rPr>
          <w:snapToGrid w:val="0"/>
        </w:rPr>
        <w:t>充分和有效参与政治和公共事务</w:t>
      </w:r>
      <w:r w:rsidRPr="00554A5E">
        <w:rPr>
          <w:rFonts w:hint="eastAsia"/>
          <w:snapToGrid w:val="0"/>
        </w:rPr>
        <w:t>的最佳</w:t>
      </w:r>
      <w:r w:rsidRPr="00554A5E">
        <w:rPr>
          <w:rFonts w:hint="eastAsia"/>
          <w:u w:color="000000"/>
          <w:bdr w:val="nil"/>
        </w:rPr>
        <w:t>保证。匈牙利、立陶宛、罗马尼亚和保加利亚都通过了关于公众参与的法律，要求政府官员与受影响者进行磋商，并在决策时考虑到他们的意见。《芬兰宪法》规定，公共机构必须促进个人参与社会事务并影响影响到他们的决策的所有可能性。在多民族玻利维亚国，</w:t>
      </w:r>
      <w:r w:rsidRPr="00554A5E">
        <w:rPr>
          <w:rFonts w:hint="eastAsia"/>
          <w:u w:color="000000"/>
          <w:bdr w:val="nil"/>
        </w:rPr>
        <w:t>1994</w:t>
      </w:r>
      <w:r w:rsidRPr="00554A5E">
        <w:rPr>
          <w:rFonts w:hint="eastAsia"/>
          <w:u w:color="000000"/>
          <w:bdr w:val="nil"/>
        </w:rPr>
        <w:t>年《民众参与法》使来自社区的若干举措转化为市政公共政策。</w:t>
      </w:r>
      <w:r w:rsidRPr="005B17D2">
        <w:rPr>
          <w:vertAlign w:val="superscript"/>
        </w:rPr>
        <w:footnoteReference w:id="51"/>
      </w:r>
      <w:r w:rsidRPr="00554A5E">
        <w:rPr>
          <w:rFonts w:hint="eastAsia"/>
        </w:rPr>
        <w:t xml:space="preserve"> </w:t>
      </w:r>
    </w:p>
    <w:p w:rsidR="005B17D2" w:rsidRPr="00554A5E" w:rsidRDefault="005B17D2" w:rsidP="006B577A">
      <w:pPr>
        <w:pStyle w:val="SingleTxt"/>
        <w:rPr>
          <w:rFonts w:eastAsia="Calibri"/>
          <w:u w:color="000000"/>
          <w:bdr w:val="nil"/>
        </w:rPr>
      </w:pPr>
      <w:r w:rsidRPr="00554A5E">
        <w:rPr>
          <w:rFonts w:eastAsia="Calibri"/>
          <w:u w:color="000000"/>
          <w:bdr w:val="nil"/>
        </w:rPr>
        <w:t>41.</w:t>
      </w:r>
      <w:r w:rsidR="006B577A">
        <w:rPr>
          <w:rFonts w:eastAsiaTheme="minorEastAsia" w:hint="eastAsia"/>
          <w:u w:color="000000"/>
          <w:bdr w:val="nil"/>
        </w:rPr>
        <w:t xml:space="preserve">  </w:t>
      </w:r>
      <w:r w:rsidRPr="00554A5E">
        <w:rPr>
          <w:rFonts w:hint="eastAsia"/>
          <w:u w:color="000000"/>
          <w:bdr w:val="nil"/>
        </w:rPr>
        <w:t>行使参与权还取决于透明</w:t>
      </w:r>
      <w:r>
        <w:rPr>
          <w:rFonts w:hint="eastAsia"/>
          <w:u w:color="000000"/>
          <w:bdr w:val="nil"/>
        </w:rPr>
        <w:t>度和对获得完整的信息。免费、相关、最新、可以理解，并在任何参与</w:t>
      </w:r>
      <w:r w:rsidRPr="00554A5E">
        <w:rPr>
          <w:rFonts w:hint="eastAsia"/>
          <w:u w:color="000000"/>
          <w:bdr w:val="nil"/>
        </w:rPr>
        <w:t>过程之前提供的信息能够使个人和社区能够作出知情的选择。</w:t>
      </w:r>
      <w:r w:rsidRPr="005B17D2">
        <w:rPr>
          <w:vertAlign w:val="superscript"/>
        </w:rPr>
        <w:footnoteReference w:id="52"/>
      </w:r>
      <w:r w:rsidRPr="00554A5E">
        <w:rPr>
          <w:rFonts w:hint="eastAsia"/>
          <w:u w:color="000000"/>
          <w:bdr w:val="nil"/>
        </w:rPr>
        <w:t xml:space="preserve"> </w:t>
      </w:r>
      <w:r w:rsidRPr="006B577A">
        <w:rPr>
          <w:rFonts w:hint="eastAsia"/>
          <w:spacing w:val="-4"/>
          <w:u w:color="000000"/>
          <w:bdr w:val="nil"/>
        </w:rPr>
        <w:t>波兰通过了若干法律，使国家机构有义务公布政府正在审议的所有法律法规草案。</w:t>
      </w:r>
      <w:r w:rsidRPr="005B17D2">
        <w:rPr>
          <w:rFonts w:eastAsia="Calibri"/>
          <w:vertAlign w:val="superscript"/>
        </w:rPr>
        <w:footnoteReference w:id="53"/>
      </w:r>
      <w:r w:rsidRPr="00554A5E">
        <w:rPr>
          <w:rFonts w:hint="eastAsia"/>
          <w:u w:color="000000"/>
          <w:bdr w:val="nil"/>
        </w:rPr>
        <w:t xml:space="preserve"> </w:t>
      </w:r>
      <w:r w:rsidRPr="00554A5E">
        <w:rPr>
          <w:rFonts w:hint="eastAsia"/>
          <w:u w:color="000000"/>
          <w:bdr w:val="nil"/>
        </w:rPr>
        <w:t>希腊每个城市都有义务建立官方网站，张贴市政机关发布的所有决定。在大不列颠及北爱尔兰联合王国，《信息自由法》（</w:t>
      </w:r>
      <w:r w:rsidRPr="00554A5E">
        <w:rPr>
          <w:rFonts w:hint="eastAsia"/>
          <w:u w:color="000000"/>
          <w:bdr w:val="nil"/>
        </w:rPr>
        <w:t>2000</w:t>
      </w:r>
      <w:r w:rsidRPr="00554A5E">
        <w:rPr>
          <w:rFonts w:hint="eastAsia"/>
          <w:u w:color="000000"/>
          <w:bdr w:val="nil"/>
        </w:rPr>
        <w:t>年）授权任何人向公共当局要求信息，公共当局须在收到请求之日起</w:t>
      </w:r>
      <w:r w:rsidRPr="00554A5E">
        <w:rPr>
          <w:rFonts w:hint="eastAsia"/>
          <w:u w:color="000000"/>
          <w:bdr w:val="nil"/>
        </w:rPr>
        <w:t>12</w:t>
      </w:r>
      <w:r w:rsidRPr="00554A5E">
        <w:rPr>
          <w:rFonts w:hint="eastAsia"/>
          <w:u w:color="000000"/>
          <w:bdr w:val="nil"/>
        </w:rPr>
        <w:t>天内转达信息。</w:t>
      </w:r>
      <w:r w:rsidRPr="005B17D2">
        <w:rPr>
          <w:rFonts w:eastAsia="Calibri"/>
          <w:vertAlign w:val="superscript"/>
        </w:rPr>
        <w:footnoteReference w:id="54"/>
      </w:r>
      <w:r w:rsidRPr="00554A5E">
        <w:rPr>
          <w:rFonts w:hint="eastAsia"/>
          <w:u w:color="000000"/>
          <w:bdr w:val="nil"/>
        </w:rPr>
        <w:t xml:space="preserve"> </w:t>
      </w:r>
      <w:r w:rsidRPr="00554A5E">
        <w:rPr>
          <w:rFonts w:hint="eastAsia"/>
          <w:u w:color="000000"/>
          <w:bdr w:val="nil"/>
        </w:rPr>
        <w:t>在有些国家，包括哥斯达黎加、爱沙尼亚、芬兰和法国，上网被承认为一项权利。</w:t>
      </w:r>
      <w:r w:rsidRPr="005B17D2">
        <w:rPr>
          <w:rFonts w:eastAsia="Calibri"/>
          <w:vertAlign w:val="superscript"/>
        </w:rPr>
        <w:footnoteReference w:id="55"/>
      </w:r>
      <w:r w:rsidR="006737C5">
        <w:rPr>
          <w:rFonts w:hint="eastAsia"/>
          <w:u w:color="000000"/>
          <w:bdr w:val="nil"/>
        </w:rPr>
        <w:t xml:space="preserve"> </w:t>
      </w:r>
      <w:r w:rsidRPr="00554A5E">
        <w:rPr>
          <w:rFonts w:ascii="SimSun" w:hAnsi="SimSun" w:hint="eastAsia"/>
          <w:u w:color="000000"/>
          <w:bdr w:val="nil"/>
        </w:rPr>
        <w:t>在</w:t>
      </w:r>
      <w:r w:rsidRPr="00554A5E">
        <w:rPr>
          <w:snapToGrid w:val="0"/>
        </w:rPr>
        <w:t>以可获取的方式提供给</w:t>
      </w:r>
      <w:r w:rsidRPr="00554A5E">
        <w:rPr>
          <w:rFonts w:hint="eastAsia"/>
          <w:snapToGrid w:val="0"/>
        </w:rPr>
        <w:t>处境</w:t>
      </w:r>
      <w:r w:rsidRPr="00554A5E">
        <w:rPr>
          <w:snapToGrid w:val="0"/>
        </w:rPr>
        <w:t>最</w:t>
      </w:r>
      <w:r w:rsidRPr="00554A5E">
        <w:rPr>
          <w:rFonts w:hint="eastAsia"/>
          <w:snapToGrid w:val="0"/>
        </w:rPr>
        <w:t>不利者、并考虑</w:t>
      </w:r>
      <w:r w:rsidRPr="00554A5E">
        <w:rPr>
          <w:snapToGrid w:val="0"/>
        </w:rPr>
        <w:t>到他们的</w:t>
      </w:r>
      <w:r w:rsidRPr="00554A5E">
        <w:rPr>
          <w:rFonts w:hint="eastAsia"/>
          <w:snapToGrid w:val="0"/>
        </w:rPr>
        <w:t>各</w:t>
      </w:r>
      <w:r w:rsidRPr="00554A5E">
        <w:rPr>
          <w:snapToGrid w:val="0"/>
        </w:rPr>
        <w:t>种</w:t>
      </w:r>
      <w:r w:rsidRPr="00554A5E">
        <w:rPr>
          <w:rFonts w:hint="eastAsia"/>
          <w:snapToGrid w:val="0"/>
        </w:rPr>
        <w:t>制约</w:t>
      </w:r>
      <w:r w:rsidRPr="00554A5E">
        <w:rPr>
          <w:snapToGrid w:val="0"/>
        </w:rPr>
        <w:t>，包括文盲</w:t>
      </w:r>
      <w:r w:rsidRPr="00554A5E">
        <w:rPr>
          <w:rFonts w:hint="eastAsia"/>
          <w:snapToGrid w:val="0"/>
        </w:rPr>
        <w:t>、</w:t>
      </w:r>
      <w:r w:rsidRPr="00554A5E">
        <w:rPr>
          <w:snapToGrid w:val="0"/>
        </w:rPr>
        <w:t>语言障碍</w:t>
      </w:r>
      <w:r w:rsidRPr="00554A5E">
        <w:rPr>
          <w:rFonts w:hint="eastAsia"/>
          <w:snapToGrid w:val="0"/>
        </w:rPr>
        <w:t>和</w:t>
      </w:r>
      <w:r w:rsidRPr="00554A5E">
        <w:rPr>
          <w:rFonts w:hint="eastAsia"/>
          <w:u w:color="000000"/>
          <w:bdr w:val="nil"/>
        </w:rPr>
        <w:t>“数字鸿沟”之时，信息权得到最好的保障。在阿根廷，土著人民有专门的电台和电视台，以他们的语言播送信息。</w:t>
      </w:r>
    </w:p>
    <w:p w:rsidR="005B17D2" w:rsidRPr="00554A5E" w:rsidRDefault="005B17D2" w:rsidP="00953514">
      <w:pPr>
        <w:pStyle w:val="SingleTxt"/>
        <w:rPr>
          <w:rFonts w:eastAsia="Calibri"/>
          <w:u w:color="000000"/>
          <w:bdr w:val="nil"/>
        </w:rPr>
      </w:pPr>
      <w:r w:rsidRPr="00554A5E">
        <w:rPr>
          <w:rFonts w:eastAsia="Calibri"/>
          <w:u w:color="000000"/>
          <w:bdr w:val="nil"/>
        </w:rPr>
        <w:t>42.</w:t>
      </w:r>
      <w:r w:rsidR="00953514">
        <w:rPr>
          <w:rFonts w:eastAsiaTheme="minorEastAsia" w:hint="eastAsia"/>
          <w:u w:color="000000"/>
          <w:bdr w:val="nil"/>
        </w:rPr>
        <w:t xml:space="preserve">  </w:t>
      </w:r>
      <w:r w:rsidRPr="00554A5E">
        <w:rPr>
          <w:rFonts w:ascii="SimSun" w:hAnsi="SimSun" w:cs="SimSun" w:hint="eastAsia"/>
          <w:u w:color="000000"/>
          <w:bdr w:val="nil"/>
        </w:rPr>
        <w:t>数个国家</w:t>
      </w:r>
      <w:r w:rsidRPr="00554A5E">
        <w:rPr>
          <w:rFonts w:ascii="SimSun" w:hAnsi="SimSun" w:cs="SimSun" w:hint="eastAsia"/>
          <w:u w:color="000000"/>
          <w:bdr w:val="nil"/>
          <w:lang w:val="fr-CH"/>
        </w:rPr>
        <w:t>设</w:t>
      </w:r>
      <w:r w:rsidRPr="00554A5E">
        <w:rPr>
          <w:rFonts w:ascii="SimSun" w:hAnsi="SimSun" w:cs="SimSun" w:hint="eastAsia"/>
          <w:u w:color="000000"/>
          <w:bdr w:val="nil"/>
        </w:rPr>
        <w:t>有协商机制，将代表性不足的群体组织纳入法律和政策的制定。格鲁吉亚表示，它也在寻求这方面的国际专门知识。挪威为移民和当局设立了一个</w:t>
      </w:r>
      <w:r w:rsidRPr="00554A5E">
        <w:rPr>
          <w:snapToGrid w:val="0"/>
        </w:rPr>
        <w:t>联络</w:t>
      </w:r>
      <w:r w:rsidRPr="00554A5E">
        <w:rPr>
          <w:rFonts w:ascii="SimSun" w:hAnsi="SimSun" w:cs="SimSun" w:hint="eastAsia"/>
          <w:u w:color="000000"/>
          <w:bdr w:val="nil"/>
        </w:rPr>
        <w:t>委员会，就有移民背景的人对国家政策的意见向政府提供咨询意见。保加利亚为残疾人设立了一个机构，参与起草影响到他们的监管法。捷克政府有许多咨询机构（如涉及罗姆人、少数民族、性别平等和老年人的机构），汇集了公共行政、地方政府、非政府部门和学术界的代表。爱沙尼亚规定，各部委在准备决定、法律草案和编制发展规划中，必须纳入民间社会组织的代表。克罗地亚最近采用一个高度参与的磋商程序，制定一项战略，创造有利于民间社会的有利环境，从协商最初阶段就纳入关键的利益攸关方，以便各利益集团可以提出意见和建议。使用了各种纳入办法，从促进会议和工作组到电子磋商和调查。</w:t>
      </w:r>
      <w:r w:rsidRPr="005B17D2">
        <w:rPr>
          <w:rFonts w:eastAsia="Calibri"/>
          <w:vertAlign w:val="superscript"/>
        </w:rPr>
        <w:footnoteReference w:id="56"/>
      </w:r>
    </w:p>
    <w:p w:rsidR="005B17D2" w:rsidRPr="00554A5E" w:rsidRDefault="005B17D2" w:rsidP="00953514">
      <w:pPr>
        <w:pStyle w:val="SingleTxt"/>
        <w:rPr>
          <w:u w:color="000000"/>
          <w:bdr w:val="nil"/>
        </w:rPr>
      </w:pPr>
      <w:r w:rsidRPr="00554A5E">
        <w:rPr>
          <w:rFonts w:eastAsia="Calibri"/>
          <w:u w:color="000000"/>
          <w:bdr w:val="nil"/>
        </w:rPr>
        <w:t>43.</w:t>
      </w:r>
      <w:r w:rsidR="00953514">
        <w:rPr>
          <w:rFonts w:eastAsiaTheme="minorEastAsia" w:hint="eastAsia"/>
          <w:u w:color="000000"/>
          <w:bdr w:val="nil"/>
        </w:rPr>
        <w:t xml:space="preserve">  </w:t>
      </w:r>
      <w:r w:rsidRPr="00554A5E">
        <w:rPr>
          <w:rFonts w:ascii="SimSun" w:hAnsi="SimSun" w:hint="eastAsia"/>
          <w:u w:color="000000"/>
          <w:bdr w:val="nil"/>
        </w:rPr>
        <w:t>在</w:t>
      </w:r>
      <w:r w:rsidRPr="00554A5E">
        <w:rPr>
          <w:rFonts w:ascii="SimSun" w:hAnsi="SimSun" w:cs="SimSun" w:hint="eastAsia"/>
          <w:u w:color="000000"/>
          <w:bdr w:val="nil"/>
        </w:rPr>
        <w:t>提出有意义的决定-包括关于资源分配的决定-供审议和讨论之时，参与的结果最好。《多米尼加共和国宪法》预计就涉及基本权利的未来宪法修正案进行认可性公民投票。德国一些联邦州开展一个广泛和包容性的进程，以确保公民参与公共部门改革，有些城市则实行参与式预算。波兰报告说，它在市镇一级实行了参与式预算。请居民就有关项目投票，获得最高票数的项目获选。希腊各市镇和地区可以设立民间社会代表组成的委员会，地方政府拟定预算和社会政策措施之前</w:t>
      </w:r>
      <w:r>
        <w:rPr>
          <w:rFonts w:ascii="SimSun" w:hAnsi="SimSun" w:cs="SimSun" w:hint="eastAsia"/>
          <w:u w:color="000000"/>
          <w:bdr w:val="nil"/>
        </w:rPr>
        <w:t>要</w:t>
      </w:r>
      <w:r w:rsidRPr="00554A5E">
        <w:rPr>
          <w:rFonts w:ascii="SimSun" w:hAnsi="SimSun" w:cs="SimSun" w:hint="eastAsia"/>
          <w:u w:color="000000"/>
          <w:bdr w:val="nil"/>
        </w:rPr>
        <w:t>与这些委员会协商。</w:t>
      </w:r>
    </w:p>
    <w:p w:rsidR="005B17D2" w:rsidRPr="00554A5E" w:rsidRDefault="005B17D2" w:rsidP="00953514">
      <w:pPr>
        <w:pStyle w:val="SingleTxt"/>
        <w:rPr>
          <w:u w:color="000000"/>
          <w:bdr w:val="nil"/>
        </w:rPr>
      </w:pPr>
      <w:r w:rsidRPr="00554A5E">
        <w:rPr>
          <w:rFonts w:eastAsia="Calibri"/>
          <w:u w:color="000000"/>
          <w:bdr w:val="nil"/>
        </w:rPr>
        <w:t>44.</w:t>
      </w:r>
      <w:r w:rsidR="00953514">
        <w:rPr>
          <w:rFonts w:eastAsiaTheme="minorEastAsia" w:hint="eastAsia"/>
          <w:u w:color="000000"/>
          <w:bdr w:val="nil"/>
        </w:rPr>
        <w:t xml:space="preserve">  </w:t>
      </w:r>
      <w:r w:rsidRPr="00554A5E">
        <w:rPr>
          <w:rFonts w:ascii="SimSun" w:hAnsi="SimSun" w:hint="eastAsia"/>
          <w:u w:color="000000"/>
          <w:bdr w:val="nil"/>
        </w:rPr>
        <w:t>在以</w:t>
      </w:r>
      <w:r w:rsidRPr="00554A5E">
        <w:rPr>
          <w:rFonts w:ascii="SimSun" w:hAnsi="SimSun" w:cs="SimSun" w:hint="eastAsia"/>
          <w:u w:color="000000"/>
          <w:bdr w:val="nil"/>
        </w:rPr>
        <w:t>赋权为基础、以建设能力、社会资本、信心、个人权利意识和知识为目标之时，参与机制最为有效。</w:t>
      </w:r>
      <w:r w:rsidRPr="005B17D2">
        <w:rPr>
          <w:rFonts w:eastAsia="Calibri"/>
          <w:vertAlign w:val="superscript"/>
        </w:rPr>
        <w:footnoteReference w:id="57"/>
      </w:r>
      <w:r w:rsidRPr="00554A5E">
        <w:rPr>
          <w:rFonts w:ascii="SimSun" w:hAnsi="SimSun" w:cs="SimSun" w:hint="eastAsia"/>
          <w:u w:color="000000"/>
          <w:bdr w:val="nil"/>
        </w:rPr>
        <w:t xml:space="preserve"> 其中包括加强</w:t>
      </w:r>
      <w:r>
        <w:rPr>
          <w:rFonts w:ascii="SimSun" w:hAnsi="SimSun" w:cs="SimSun" w:hint="eastAsia"/>
          <w:u w:color="000000"/>
          <w:bdr w:val="nil"/>
        </w:rPr>
        <w:t>公众和官员的技能和能力，和将资源用于长期、可持续的参与机制。若干</w:t>
      </w:r>
      <w:r w:rsidRPr="00554A5E">
        <w:rPr>
          <w:rFonts w:ascii="SimSun" w:hAnsi="SimSun" w:cs="SimSun" w:hint="eastAsia"/>
          <w:u w:color="000000"/>
          <w:bdr w:val="nil"/>
        </w:rPr>
        <w:t>国家，如爱沙尼亚，通过公共机构手册启动或加强拟订法律草案、政策和发展规划的参与性做法。</w:t>
      </w:r>
    </w:p>
    <w:p w:rsidR="005B17D2" w:rsidRPr="00554A5E" w:rsidRDefault="005B17D2" w:rsidP="00953514">
      <w:pPr>
        <w:pStyle w:val="SingleTxt"/>
        <w:rPr>
          <w:u w:color="000000"/>
          <w:bdr w:val="nil"/>
        </w:rPr>
      </w:pPr>
      <w:r w:rsidRPr="00554A5E">
        <w:rPr>
          <w:rFonts w:eastAsia="Calibri"/>
          <w:u w:color="000000"/>
          <w:bdr w:val="nil"/>
        </w:rPr>
        <w:t>45.</w:t>
      </w:r>
      <w:r w:rsidR="00953514">
        <w:rPr>
          <w:rFonts w:eastAsiaTheme="minorEastAsia" w:hint="eastAsia"/>
          <w:u w:color="000000"/>
          <w:bdr w:val="nil"/>
        </w:rPr>
        <w:t xml:space="preserve">  </w:t>
      </w:r>
      <w:r w:rsidRPr="00554A5E">
        <w:rPr>
          <w:rFonts w:ascii="SimSun" w:hAnsi="SimSun" w:cs="SimSun" w:hint="eastAsia"/>
          <w:u w:color="000000"/>
          <w:bdr w:val="nil"/>
        </w:rPr>
        <w:t>同样重要的是，要</w:t>
      </w:r>
      <w:r w:rsidRPr="00554A5E">
        <w:rPr>
          <w:rFonts w:ascii="SimSun" w:hAnsi="SimSun" w:hint="eastAsia"/>
          <w:u w:color="000000"/>
          <w:bdr w:val="nil"/>
        </w:rPr>
        <w:t>通过法律</w:t>
      </w:r>
      <w:r>
        <w:rPr>
          <w:rFonts w:ascii="SimSun" w:hAnsi="SimSun" w:cs="SimSun" w:hint="eastAsia"/>
          <w:u w:color="000000"/>
          <w:bdr w:val="nil"/>
        </w:rPr>
        <w:t>强制执行参与权，应可通过法院以低的费用</w:t>
      </w:r>
      <w:r w:rsidRPr="00554A5E">
        <w:rPr>
          <w:rFonts w:ascii="SimSun" w:hAnsi="SimSun" w:cs="SimSun" w:hint="eastAsia"/>
          <w:u w:color="000000"/>
          <w:bdr w:val="nil"/>
        </w:rPr>
        <w:t>质疑剥夺参与的事项。通过电话、电子邮件或通过该机构网站上的电子投诉表格，奥地利监察员委员会保证向所有个人提供免费法律援助。捷克共和国向歧视和其他侵犯人权行为的受害者提供一种免费或低价的法律援助制度。</w:t>
      </w:r>
    </w:p>
    <w:p w:rsidR="00953514" w:rsidRPr="00953514" w:rsidRDefault="00953514"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u w:color="000000"/>
          <w:bdr w:val="nil"/>
        </w:rPr>
      </w:pPr>
    </w:p>
    <w:p w:rsidR="00953514" w:rsidRPr="00953514" w:rsidRDefault="00953514"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u w:color="000000"/>
          <w:bdr w:val="nil"/>
        </w:rPr>
      </w:pPr>
    </w:p>
    <w:p w:rsidR="005B17D2" w:rsidRPr="00953514" w:rsidRDefault="005B17D2"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libri"/>
          <w:u w:color="000000"/>
          <w:bdr w:val="nil"/>
        </w:rPr>
      </w:pPr>
      <w:r w:rsidRPr="00953514">
        <w:rPr>
          <w:rFonts w:eastAsia="Calibri"/>
          <w:u w:color="000000"/>
          <w:bdr w:val="nil"/>
        </w:rPr>
        <w:tab/>
        <w:t>C.</w:t>
      </w:r>
      <w:r w:rsidRPr="00953514">
        <w:rPr>
          <w:rFonts w:eastAsia="Calibri"/>
          <w:u w:color="000000"/>
          <w:bdr w:val="nil"/>
        </w:rPr>
        <w:tab/>
      </w:r>
      <w:r w:rsidRPr="00953514">
        <w:t>平等参加公务的权利</w:t>
      </w:r>
    </w:p>
    <w:p w:rsidR="00953514" w:rsidRPr="00953514" w:rsidRDefault="00953514" w:rsidP="00953514">
      <w:pPr>
        <w:pStyle w:val="SingleTxt"/>
        <w:spacing w:after="0" w:line="120" w:lineRule="exact"/>
        <w:rPr>
          <w:rFonts w:eastAsia="Calibri"/>
          <w:sz w:val="10"/>
          <w:u w:color="000000"/>
          <w:bdr w:val="nil"/>
        </w:rPr>
      </w:pPr>
    </w:p>
    <w:p w:rsidR="00953514" w:rsidRPr="00953514" w:rsidRDefault="00953514" w:rsidP="00953514">
      <w:pPr>
        <w:pStyle w:val="SingleTxt"/>
        <w:spacing w:after="0" w:line="120" w:lineRule="exact"/>
        <w:rPr>
          <w:rFonts w:eastAsia="Calibri"/>
          <w:sz w:val="10"/>
          <w:u w:color="000000"/>
          <w:bdr w:val="nil"/>
        </w:rPr>
      </w:pPr>
    </w:p>
    <w:p w:rsidR="005B17D2" w:rsidRPr="00617F84" w:rsidRDefault="005B17D2" w:rsidP="00953514">
      <w:pPr>
        <w:pStyle w:val="SingleTxt"/>
        <w:rPr>
          <w:u w:color="000000"/>
          <w:bdr w:val="nil"/>
        </w:rPr>
      </w:pPr>
      <w:r w:rsidRPr="00617F84">
        <w:rPr>
          <w:rFonts w:eastAsia="Calibri"/>
          <w:u w:color="000000"/>
          <w:bdr w:val="nil"/>
        </w:rPr>
        <w:t>46.</w:t>
      </w:r>
      <w:r w:rsidR="00953514">
        <w:rPr>
          <w:rFonts w:eastAsiaTheme="minorEastAsia" w:hint="eastAsia"/>
          <w:u w:color="000000"/>
          <w:bdr w:val="nil"/>
        </w:rPr>
        <w:t xml:space="preserve">  </w:t>
      </w:r>
      <w:r>
        <w:rPr>
          <w:rFonts w:ascii="SimSun" w:hAnsi="SimSun" w:cs="SimSun" w:hint="eastAsia"/>
          <w:u w:color="000000"/>
          <w:bdr w:val="nil"/>
        </w:rPr>
        <w:t>若干</w:t>
      </w:r>
      <w:r w:rsidRPr="00617F84">
        <w:rPr>
          <w:rFonts w:ascii="SimSun" w:hAnsi="SimSun" w:cs="SimSun" w:hint="eastAsia"/>
          <w:u w:color="000000"/>
          <w:bdr w:val="nil"/>
        </w:rPr>
        <w:t>国家报告在公开竞争担任公职的原则基础上，平等地对待所有人。然而，在根深蒂固的结构性不平等的情况下，公开竞争本身，实际上就可能构成歧视。在这方面，消除种族歧视委员会指出，</w:t>
      </w:r>
      <w:r>
        <w:rPr>
          <w:snapToGrid w:val="0"/>
        </w:rPr>
        <w:t>以平等方式对待客观</w:t>
      </w:r>
      <w:r w:rsidRPr="00617F84">
        <w:rPr>
          <w:snapToGrid w:val="0"/>
        </w:rPr>
        <w:t>情况不同</w:t>
      </w:r>
      <w:r>
        <w:rPr>
          <w:snapToGrid w:val="0"/>
        </w:rPr>
        <w:t>的个人或群体将构成事实上的歧视，与不平等地对待客观情况相同的个人一样</w:t>
      </w:r>
      <w:r w:rsidRPr="00617F84">
        <w:rPr>
          <w:rFonts w:hint="eastAsia"/>
          <w:snapToGrid w:val="0"/>
        </w:rPr>
        <w:t>。</w:t>
      </w:r>
      <w:r w:rsidRPr="005B17D2">
        <w:rPr>
          <w:vertAlign w:val="superscript"/>
        </w:rPr>
        <w:footnoteReference w:id="58"/>
      </w:r>
    </w:p>
    <w:p w:rsidR="005B17D2" w:rsidRPr="00617F84" w:rsidRDefault="005B17D2" w:rsidP="00953514">
      <w:pPr>
        <w:pStyle w:val="SingleTxt"/>
        <w:rPr>
          <w:u w:color="000000"/>
          <w:bdr w:val="nil"/>
        </w:rPr>
      </w:pPr>
      <w:r w:rsidRPr="00617F84">
        <w:rPr>
          <w:u w:color="000000"/>
          <w:bdr w:val="nil"/>
        </w:rPr>
        <w:t>47.</w:t>
      </w:r>
      <w:r w:rsidR="00953514">
        <w:rPr>
          <w:rFonts w:hint="eastAsia"/>
          <w:u w:color="000000"/>
          <w:bdr w:val="nil"/>
        </w:rPr>
        <w:t xml:space="preserve">  </w:t>
      </w:r>
      <w:r w:rsidRPr="00617F84">
        <w:rPr>
          <w:rFonts w:ascii="SimSun" w:hAnsi="SimSun" w:cs="SimSun" w:hint="eastAsia"/>
          <w:u w:color="000000"/>
          <w:bdr w:val="nil"/>
        </w:rPr>
        <w:t>澳大利亚说，要求公共</w:t>
      </w:r>
      <w:r>
        <w:rPr>
          <w:rFonts w:ascii="SimSun" w:hAnsi="SimSun" w:cs="SimSun" w:hint="eastAsia"/>
          <w:u w:color="000000"/>
          <w:bdr w:val="nil"/>
        </w:rPr>
        <w:t>部门</w:t>
      </w:r>
      <w:r w:rsidRPr="00617F84">
        <w:rPr>
          <w:rFonts w:ascii="SimSun" w:hAnsi="SimSun" w:cs="SimSun" w:hint="eastAsia"/>
          <w:u w:color="000000"/>
          <w:bdr w:val="nil"/>
        </w:rPr>
        <w:t>机构确定多样化方案，包括扶持措施，确保旨在吸引、招聘和留住员工的战略反映澳大利亚社会的多样性。大韩民国对一些代表性不足的群体使用单独的招聘程序；波兰表示，如果通过招聘程序，一名残疾人</w:t>
      </w:r>
      <w:r>
        <w:rPr>
          <w:rFonts w:ascii="SimSun" w:hAnsi="SimSun" w:cs="SimSun" w:hint="eastAsia"/>
          <w:u w:color="000000"/>
          <w:bdr w:val="nil"/>
        </w:rPr>
        <w:t>被列入</w:t>
      </w:r>
      <w:r w:rsidRPr="00617F84">
        <w:rPr>
          <w:rFonts w:ascii="SimSun" w:hAnsi="SimSun" w:cs="SimSun" w:hint="eastAsia"/>
          <w:u w:color="000000"/>
          <w:bdr w:val="nil"/>
        </w:rPr>
        <w:t>候选人短名单，他或她将得到首先考虑</w:t>
      </w:r>
      <w:r w:rsidRPr="00617F84">
        <w:rPr>
          <w:rFonts w:ascii="SimSun" w:hAnsi="SimSun" w:hint="eastAsia"/>
          <w:u w:color="000000"/>
          <w:bdr w:val="nil"/>
        </w:rPr>
        <w:t>。</w:t>
      </w:r>
      <w:r w:rsidRPr="00617F84">
        <w:rPr>
          <w:rFonts w:ascii="SimSun" w:hAnsi="SimSun" w:cs="SimSun" w:hint="eastAsia"/>
          <w:u w:color="000000"/>
          <w:bdr w:val="nil"/>
        </w:rPr>
        <w:t>巴拉圭和土耳其通过法律，分别为招聘残疾人担任公共部门职位规定了</w:t>
      </w:r>
      <w:r w:rsidRPr="00617F84">
        <w:rPr>
          <w:rFonts w:eastAsia="Calibri" w:hint="eastAsia"/>
          <w:u w:color="000000"/>
          <w:bdr w:val="nil"/>
        </w:rPr>
        <w:t>5</w:t>
      </w:r>
      <w:r w:rsidRPr="00617F84">
        <w:rPr>
          <w:rFonts w:ascii="SimSun" w:hAnsi="SimSun" w:cs="SimSun" w:hint="eastAsia"/>
          <w:u w:color="000000"/>
          <w:bdr w:val="nil"/>
        </w:rPr>
        <w:t>％和</w:t>
      </w:r>
      <w:r w:rsidRPr="00617F84">
        <w:rPr>
          <w:rFonts w:eastAsia="Calibri" w:hint="eastAsia"/>
          <w:u w:color="000000"/>
          <w:bdr w:val="nil"/>
        </w:rPr>
        <w:t>3</w:t>
      </w:r>
      <w:r>
        <w:rPr>
          <w:rFonts w:ascii="SimSun" w:hAnsi="SimSun" w:cs="SimSun" w:hint="eastAsia"/>
          <w:u w:color="000000"/>
          <w:bdr w:val="nil"/>
        </w:rPr>
        <w:t>％的最低配额。乌拉圭确定了带有立非洲裔人、残疾人和变性人</w:t>
      </w:r>
      <w:r w:rsidRPr="00617F84">
        <w:rPr>
          <w:rFonts w:ascii="SimSun" w:hAnsi="SimSun" w:cs="SimSun" w:hint="eastAsia"/>
          <w:u w:color="000000"/>
          <w:bdr w:val="nil"/>
        </w:rPr>
        <w:t>具体配额</w:t>
      </w:r>
      <w:r>
        <w:rPr>
          <w:rFonts w:ascii="SimSun" w:hAnsi="SimSun" w:cs="SimSun" w:hint="eastAsia"/>
          <w:u w:color="000000"/>
          <w:bdr w:val="nil"/>
        </w:rPr>
        <w:t>的</w:t>
      </w:r>
      <w:r w:rsidRPr="00617F84">
        <w:rPr>
          <w:rFonts w:ascii="SimSun" w:hAnsi="SimSun" w:cs="SimSun" w:hint="eastAsia"/>
          <w:u w:color="000000"/>
          <w:bdr w:val="nil"/>
        </w:rPr>
        <w:t>公共就业计划。</w:t>
      </w:r>
    </w:p>
    <w:p w:rsidR="00953514" w:rsidRPr="00953514" w:rsidRDefault="00953514"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u w:color="000000"/>
          <w:bdr w:val="nil"/>
        </w:rPr>
      </w:pPr>
    </w:p>
    <w:p w:rsidR="00953514" w:rsidRPr="00953514" w:rsidRDefault="00953514"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libri"/>
          <w:sz w:val="10"/>
          <w:u w:color="000000"/>
          <w:bdr w:val="nil"/>
        </w:rPr>
      </w:pPr>
    </w:p>
    <w:p w:rsidR="005B17D2" w:rsidRPr="00953514" w:rsidRDefault="005B17D2"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Times New Roman Bold"/>
          <w:u w:color="000000"/>
          <w:bdr w:val="nil"/>
        </w:rPr>
      </w:pPr>
      <w:r w:rsidRPr="00953514">
        <w:rPr>
          <w:rFonts w:eastAsia="Calibri"/>
          <w:u w:color="000000"/>
          <w:bdr w:val="nil"/>
        </w:rPr>
        <w:tab/>
        <w:t>D.</w:t>
      </w:r>
      <w:r w:rsidRPr="00953514">
        <w:rPr>
          <w:rFonts w:eastAsia="Calibri"/>
          <w:u w:color="000000"/>
          <w:bdr w:val="nil"/>
        </w:rPr>
        <w:tab/>
      </w:r>
      <w:r w:rsidRPr="00953514">
        <w:rPr>
          <w:rFonts w:hint="eastAsia"/>
          <w:u w:color="000000"/>
          <w:bdr w:val="nil"/>
        </w:rPr>
        <w:t>政治和公众参与的其他形式</w:t>
      </w:r>
    </w:p>
    <w:p w:rsidR="00953514" w:rsidRPr="00953514" w:rsidRDefault="00953514" w:rsidP="00953514">
      <w:pPr>
        <w:pStyle w:val="SingleTxt"/>
        <w:spacing w:after="0" w:line="120" w:lineRule="exact"/>
        <w:rPr>
          <w:rFonts w:eastAsia="Arial Unicode MS"/>
          <w:sz w:val="10"/>
          <w:bdr w:val="nil"/>
        </w:rPr>
      </w:pPr>
    </w:p>
    <w:p w:rsidR="00953514" w:rsidRPr="00953514" w:rsidRDefault="00953514" w:rsidP="00953514">
      <w:pPr>
        <w:pStyle w:val="SingleTxt"/>
        <w:spacing w:after="0" w:line="120" w:lineRule="exact"/>
        <w:rPr>
          <w:rFonts w:eastAsia="Arial Unicode MS"/>
          <w:sz w:val="10"/>
          <w:bdr w:val="nil"/>
        </w:rPr>
      </w:pPr>
    </w:p>
    <w:p w:rsidR="005B17D2" w:rsidRPr="00617F84" w:rsidRDefault="005B17D2" w:rsidP="00953514">
      <w:pPr>
        <w:pStyle w:val="SingleTxt"/>
        <w:rPr>
          <w:rFonts w:eastAsia="Arial Unicode MS"/>
          <w:bdr w:val="nil"/>
        </w:rPr>
      </w:pPr>
      <w:r w:rsidRPr="00617F84">
        <w:rPr>
          <w:rFonts w:eastAsia="Arial Unicode MS"/>
          <w:bdr w:val="nil"/>
        </w:rPr>
        <w:t>48.</w:t>
      </w:r>
      <w:r w:rsidR="00953514">
        <w:rPr>
          <w:rFonts w:eastAsia="Arial Unicode MS" w:hint="eastAsia"/>
          <w:bdr w:val="nil"/>
        </w:rPr>
        <w:t xml:space="preserve">  </w:t>
      </w:r>
      <w:r>
        <w:rPr>
          <w:rFonts w:ascii="SimSun" w:hAnsi="SimSun" w:hint="eastAsia"/>
          <w:u w:color="000000"/>
          <w:bdr w:val="nil"/>
        </w:rPr>
        <w:t>许多</w:t>
      </w:r>
      <w:r w:rsidRPr="00617F84">
        <w:rPr>
          <w:rFonts w:ascii="SimSun" w:hAnsi="SimSun" w:cs="SimSun" w:hint="eastAsia"/>
          <w:u w:color="000000"/>
          <w:bdr w:val="nil"/>
        </w:rPr>
        <w:t>国家报告说，得到一定数量签名支持的公民倡议可以成为国家或市政机构的立法提案。芬兰报告说，关于同性婚姻立法的倡议非常成功，议会随后在</w:t>
      </w:r>
      <w:r w:rsidRPr="00617F84">
        <w:rPr>
          <w:rFonts w:eastAsia="Calibri" w:hint="eastAsia"/>
          <w:u w:color="000000"/>
          <w:bdr w:val="nil"/>
        </w:rPr>
        <w:t>2014</w:t>
      </w:r>
      <w:r>
        <w:rPr>
          <w:rFonts w:ascii="SimSun" w:hAnsi="SimSun" w:cs="SimSun" w:hint="eastAsia"/>
          <w:u w:color="000000"/>
          <w:bdr w:val="nil"/>
        </w:rPr>
        <w:t>年批准了该法。爱尔兰设</w:t>
      </w:r>
      <w:r w:rsidRPr="00617F84">
        <w:rPr>
          <w:rFonts w:ascii="SimSun" w:hAnsi="SimSun" w:cs="SimSun" w:hint="eastAsia"/>
          <w:u w:color="000000"/>
          <w:bdr w:val="nil"/>
        </w:rPr>
        <w:t>立了一个在线议会请愿系统，使公众可以直接将其政策关切提到议会并影响议会议程。有些国家，如波兰、瑞士、美利坚合众国和委内瑞拉玻利瓦尔共和国规定可以撤销选举，从而使预先确定的</w:t>
      </w:r>
      <w:r w:rsidRPr="00617F84">
        <w:rPr>
          <w:rFonts w:ascii="PMingLiU" w:eastAsia="PMingLiU" w:hAnsi="PMingLiU" w:cs="PMingLiU" w:hint="eastAsia"/>
          <w:snapToGrid w:val="0"/>
        </w:rPr>
        <w:t>最低数量</w:t>
      </w:r>
      <w:r w:rsidRPr="00617F84">
        <w:rPr>
          <w:rFonts w:ascii="SimSun" w:hAnsi="SimSun" w:cs="PMingLiU" w:hint="eastAsia"/>
          <w:snapToGrid w:val="0"/>
        </w:rPr>
        <w:t>的</w:t>
      </w:r>
      <w:r w:rsidRPr="00617F84">
        <w:rPr>
          <w:rFonts w:ascii="SimSun" w:hAnsi="SimSun" w:cs="SimSun" w:hint="eastAsia"/>
          <w:u w:color="000000"/>
          <w:bdr w:val="nil"/>
        </w:rPr>
        <w:t>选民可以触发</w:t>
      </w:r>
      <w:r w:rsidRPr="00617F84">
        <w:rPr>
          <w:snapToGrid w:val="0"/>
        </w:rPr>
        <w:t>公民投票</w:t>
      </w:r>
      <w:r>
        <w:rPr>
          <w:rFonts w:ascii="SimSun" w:hAnsi="SimSun" w:cs="SimSun" w:hint="eastAsia"/>
          <w:u w:color="000000"/>
          <w:bdr w:val="nil"/>
        </w:rPr>
        <w:t>，在任期结束前罢免</w:t>
      </w:r>
      <w:r w:rsidRPr="00617F84">
        <w:rPr>
          <w:rFonts w:ascii="SimSun" w:hAnsi="SimSun" w:cs="SimSun" w:hint="eastAsia"/>
          <w:u w:color="000000"/>
          <w:bdr w:val="nil"/>
        </w:rPr>
        <w:t>选任官员。</w:t>
      </w:r>
    </w:p>
    <w:p w:rsidR="005B17D2" w:rsidRPr="00617F84" w:rsidRDefault="005B17D2" w:rsidP="00953514">
      <w:pPr>
        <w:pStyle w:val="SingleTxt"/>
        <w:rPr>
          <w:bdr w:val="nil"/>
        </w:rPr>
      </w:pPr>
      <w:r w:rsidRPr="00617F84">
        <w:rPr>
          <w:bdr w:val="nil"/>
        </w:rPr>
        <w:t>49.</w:t>
      </w:r>
      <w:r w:rsidR="00953514">
        <w:rPr>
          <w:rFonts w:hint="eastAsia"/>
          <w:bdr w:val="nil"/>
        </w:rPr>
        <w:t xml:space="preserve">  </w:t>
      </w:r>
      <w:r w:rsidRPr="00617F84">
        <w:rPr>
          <w:rFonts w:ascii="SimSun" w:hAnsi="SimSun" w:cs="SimSun" w:hint="eastAsia"/>
          <w:u w:color="000000"/>
          <w:bdr w:val="nil"/>
        </w:rPr>
        <w:t>近年来，各国采用信息和通信技术，促进更有效地提供服务，让更多公众获取信息。</w:t>
      </w:r>
      <w:r w:rsidRPr="00617F84">
        <w:rPr>
          <w:rFonts w:eastAsia="Calibri" w:hint="eastAsia"/>
          <w:u w:color="000000"/>
          <w:bdr w:val="nil"/>
        </w:rPr>
        <w:t>2014</w:t>
      </w:r>
      <w:r w:rsidRPr="00617F84">
        <w:rPr>
          <w:rFonts w:ascii="SimSun" w:hAnsi="SimSun" w:cs="SimSun" w:hint="eastAsia"/>
          <w:u w:color="000000"/>
          <w:bdr w:val="nil"/>
        </w:rPr>
        <w:t>年，联合国所有</w:t>
      </w:r>
      <w:r w:rsidRPr="00617F84">
        <w:rPr>
          <w:rFonts w:eastAsia="Calibri" w:hint="eastAsia"/>
          <w:u w:color="000000"/>
          <w:bdr w:val="nil"/>
        </w:rPr>
        <w:t>193</w:t>
      </w:r>
      <w:r w:rsidRPr="00617F84">
        <w:rPr>
          <w:rFonts w:ascii="SimSun" w:hAnsi="SimSun" w:cs="SimSun" w:hint="eastAsia"/>
          <w:u w:color="000000"/>
          <w:bdr w:val="nil"/>
        </w:rPr>
        <w:t>个会员国首次都有了国家网站，显著提高了透明度，改善了获取信息手段。联合国</w:t>
      </w:r>
      <w:r w:rsidRPr="00617F84">
        <w:rPr>
          <w:rFonts w:eastAsia="Calibri" w:hint="eastAsia"/>
          <w:u w:color="000000"/>
          <w:bdr w:val="nil"/>
        </w:rPr>
        <w:t>2014</w:t>
      </w:r>
      <w:r>
        <w:rPr>
          <w:rFonts w:ascii="SimSun" w:hAnsi="SimSun" w:cs="SimSun" w:hint="eastAsia"/>
          <w:u w:color="000000"/>
          <w:bdr w:val="nil"/>
        </w:rPr>
        <w:t>年电子政务调查将大韩民国、澳大利亚和新加坡列为电子政务</w:t>
      </w:r>
      <w:r w:rsidRPr="00617F84">
        <w:rPr>
          <w:rFonts w:ascii="SimSun" w:hAnsi="SimSun" w:cs="SimSun" w:hint="eastAsia"/>
          <w:u w:color="000000"/>
          <w:bdr w:val="nil"/>
        </w:rPr>
        <w:t>最透明和高效的国家。</w:t>
      </w:r>
    </w:p>
    <w:p w:rsidR="005B17D2" w:rsidRPr="00617F84" w:rsidRDefault="005B17D2" w:rsidP="00953514">
      <w:pPr>
        <w:pStyle w:val="SingleTxt"/>
        <w:rPr>
          <w:bdr w:val="nil"/>
        </w:rPr>
      </w:pPr>
      <w:r w:rsidRPr="00617F84">
        <w:rPr>
          <w:bdr w:val="nil"/>
        </w:rPr>
        <w:t>50.</w:t>
      </w:r>
      <w:r w:rsidR="00953514">
        <w:rPr>
          <w:rFonts w:hint="eastAsia"/>
          <w:bdr w:val="nil"/>
        </w:rPr>
        <w:t xml:space="preserve">  </w:t>
      </w:r>
      <w:r w:rsidRPr="00617F84">
        <w:rPr>
          <w:rFonts w:hint="eastAsia"/>
          <w:bdr w:val="nil"/>
        </w:rPr>
        <w:t>信息和通信技术的增长也影响到公民政治感知参与和民主的方式。</w:t>
      </w:r>
      <w:r w:rsidRPr="005B17D2">
        <w:rPr>
          <w:vertAlign w:val="superscript"/>
        </w:rPr>
        <w:footnoteReference w:id="59"/>
      </w:r>
      <w:r w:rsidR="00953514">
        <w:rPr>
          <w:rFonts w:hint="eastAsia"/>
          <w:bdr w:val="nil"/>
        </w:rPr>
        <w:t xml:space="preserve"> </w:t>
      </w:r>
      <w:r w:rsidRPr="00617F84">
        <w:rPr>
          <w:rFonts w:hint="eastAsia"/>
          <w:bdr w:val="nil"/>
        </w:rPr>
        <w:t>在线运动和通过互联网组织抗议为政治动员开辟了新的途径。在塞拉利昂，选举观察员使用手机和互联网报告选举期间的违规行为。社交媒体在北非和中东</w:t>
      </w:r>
      <w:r w:rsidRPr="00617F84">
        <w:rPr>
          <w:rFonts w:hint="eastAsia"/>
          <w:bdr w:val="nil"/>
        </w:rPr>
        <w:t>2011</w:t>
      </w:r>
      <w:r w:rsidRPr="00617F84">
        <w:rPr>
          <w:rFonts w:hint="eastAsia"/>
          <w:bdr w:val="nil"/>
        </w:rPr>
        <w:t>年起义中发挥了重要作用，这一实例经常被引用。</w:t>
      </w:r>
      <w:r w:rsidRPr="005B17D2">
        <w:rPr>
          <w:vertAlign w:val="superscript"/>
        </w:rPr>
        <w:footnoteReference w:id="60"/>
      </w:r>
    </w:p>
    <w:p w:rsidR="00953514" w:rsidRPr="00953514" w:rsidRDefault="00953514"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bCs/>
          <w:sz w:val="10"/>
          <w:u w:color="000000"/>
          <w:bdr w:val="nil"/>
        </w:rPr>
      </w:pPr>
    </w:p>
    <w:p w:rsidR="00953514" w:rsidRPr="00953514" w:rsidRDefault="00953514"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eastAsia="Cambria"/>
          <w:bCs/>
          <w:sz w:val="10"/>
          <w:u w:color="000000"/>
          <w:bdr w:val="nil"/>
        </w:rPr>
      </w:pPr>
    </w:p>
    <w:p w:rsidR="005B17D2" w:rsidRPr="00953514" w:rsidRDefault="005B17D2" w:rsidP="0095351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Cambria"/>
          <w:bCs/>
          <w:u w:color="000000"/>
          <w:bdr w:val="nil"/>
        </w:rPr>
      </w:pPr>
      <w:r w:rsidRPr="00953514">
        <w:rPr>
          <w:rFonts w:eastAsia="Cambria"/>
          <w:bCs/>
          <w:u w:color="000000"/>
          <w:bdr w:val="nil"/>
        </w:rPr>
        <w:tab/>
        <w:t>E.</w:t>
      </w:r>
      <w:r w:rsidRPr="00953514">
        <w:rPr>
          <w:rFonts w:eastAsia="Cambria"/>
          <w:bCs/>
          <w:u w:color="000000"/>
          <w:bdr w:val="nil"/>
        </w:rPr>
        <w:tab/>
      </w:r>
      <w:r w:rsidRPr="00953514">
        <w:rPr>
          <w:rFonts w:hint="eastAsia"/>
          <w:bdr w:val="nil"/>
        </w:rPr>
        <w:t>关于妇女和特定群体的最佳做法</w:t>
      </w:r>
    </w:p>
    <w:p w:rsidR="00953514" w:rsidRPr="00953514" w:rsidRDefault="00953514" w:rsidP="00953514">
      <w:pPr>
        <w:pStyle w:val="SingleTxt"/>
        <w:spacing w:after="0" w:line="120" w:lineRule="exact"/>
        <w:rPr>
          <w:rFonts w:eastAsia="Arial Unicode MS"/>
          <w:sz w:val="10"/>
          <w:bdr w:val="nil"/>
        </w:rPr>
      </w:pPr>
    </w:p>
    <w:p w:rsidR="00953514" w:rsidRPr="00953514" w:rsidRDefault="00953514" w:rsidP="00953514">
      <w:pPr>
        <w:pStyle w:val="SingleTxt"/>
        <w:spacing w:after="0" w:line="120" w:lineRule="exact"/>
        <w:rPr>
          <w:rFonts w:eastAsia="Arial Unicode MS"/>
          <w:sz w:val="10"/>
          <w:bdr w:val="nil"/>
        </w:rPr>
      </w:pPr>
    </w:p>
    <w:p w:rsidR="005B17D2" w:rsidRPr="00617F84" w:rsidRDefault="00953514" w:rsidP="00953514">
      <w:pPr>
        <w:pStyle w:val="Sponsors"/>
        <w:rPr>
          <w:bdr w:val="nil"/>
        </w:rPr>
      </w:pPr>
      <w:r>
        <w:rPr>
          <w:rFonts w:hint="eastAsia"/>
          <w:bdr w:val="nil"/>
        </w:rPr>
        <w:tab/>
      </w:r>
      <w:r>
        <w:rPr>
          <w:rFonts w:hint="eastAsia"/>
          <w:bdr w:val="nil"/>
        </w:rPr>
        <w:tab/>
      </w:r>
      <w:r w:rsidR="005B17D2" w:rsidRPr="00617F84">
        <w:rPr>
          <w:rFonts w:hint="eastAsia"/>
          <w:bdr w:val="nil"/>
        </w:rPr>
        <w:t>妇女</w:t>
      </w:r>
    </w:p>
    <w:p w:rsidR="00953514" w:rsidRPr="00953514" w:rsidRDefault="00953514" w:rsidP="00953514">
      <w:pPr>
        <w:pStyle w:val="SingleTxt"/>
        <w:spacing w:after="0" w:line="120" w:lineRule="exact"/>
        <w:rPr>
          <w:rFonts w:eastAsia="Arial Unicode MS"/>
          <w:sz w:val="10"/>
          <w:bdr w:val="nil"/>
        </w:rPr>
      </w:pPr>
    </w:p>
    <w:p w:rsidR="005B17D2" w:rsidRPr="00617F84" w:rsidRDefault="005B17D2" w:rsidP="00953514">
      <w:pPr>
        <w:pStyle w:val="SingleTxt"/>
        <w:rPr>
          <w:rFonts w:eastAsia="Arial Unicode MS"/>
          <w:bdr w:val="nil"/>
        </w:rPr>
      </w:pPr>
      <w:r w:rsidRPr="00617F84">
        <w:rPr>
          <w:rFonts w:eastAsia="Arial Unicode MS"/>
          <w:bdr w:val="nil"/>
        </w:rPr>
        <w:t>51.</w:t>
      </w:r>
      <w:r w:rsidR="00953514">
        <w:rPr>
          <w:rFonts w:eastAsia="Arial Unicode MS" w:hint="eastAsia"/>
          <w:bdr w:val="nil"/>
        </w:rPr>
        <w:t xml:space="preserve">  </w:t>
      </w:r>
      <w:r w:rsidRPr="00617F84">
        <w:rPr>
          <w:rFonts w:hint="eastAsia"/>
          <w:bdr w:val="nil"/>
        </w:rPr>
        <w:t>各国分享了将妇女纳入公共决策的最佳做法。巴林设立了</w:t>
      </w:r>
      <w:r w:rsidRPr="00617F84">
        <w:rPr>
          <w:snapToGrid w:val="0"/>
        </w:rPr>
        <w:t>妇女事务最高委员会</w:t>
      </w:r>
      <w:r w:rsidRPr="00617F84">
        <w:rPr>
          <w:rFonts w:hint="eastAsia"/>
          <w:bdr w:val="nil"/>
        </w:rPr>
        <w:t>，就有关妇女地位的问题发表意见并作出决定，执行妇女政治赋权方案。莫桑比克使</w:t>
      </w:r>
      <w:r w:rsidRPr="00953514">
        <w:rPr>
          <w:rFonts w:hint="eastAsia"/>
          <w:spacing w:val="-4"/>
          <w:bdr w:val="nil"/>
        </w:rPr>
        <w:t>妇女团体参与修订土地政策框架，此举有助于列入坚持男女平等的重要法律条款。</w:t>
      </w:r>
      <w:r w:rsidRPr="005B17D2">
        <w:rPr>
          <w:vertAlign w:val="superscript"/>
        </w:rPr>
        <w:footnoteReference w:id="61"/>
      </w:r>
      <w:r w:rsidRPr="00617F84">
        <w:rPr>
          <w:rFonts w:eastAsia="Arial Unicode MS"/>
          <w:bdr w:val="nil"/>
        </w:rPr>
        <w:t xml:space="preserve"> </w:t>
      </w:r>
    </w:p>
    <w:p w:rsidR="005B17D2" w:rsidRPr="00617F84" w:rsidRDefault="005B17D2" w:rsidP="00A97F79">
      <w:pPr>
        <w:pStyle w:val="SingleTxt"/>
        <w:rPr>
          <w:bdr w:val="nil"/>
        </w:rPr>
      </w:pPr>
      <w:r w:rsidRPr="00617F84">
        <w:rPr>
          <w:rFonts w:eastAsia="Arial Unicode MS"/>
          <w:bdr w:val="nil"/>
        </w:rPr>
        <w:t>52.</w:t>
      </w:r>
      <w:r w:rsidR="00A97F79">
        <w:rPr>
          <w:rFonts w:eastAsia="Arial Unicode MS" w:hint="eastAsia"/>
          <w:bdr w:val="nil"/>
        </w:rPr>
        <w:t xml:space="preserve">  </w:t>
      </w:r>
      <w:r w:rsidRPr="00617F84">
        <w:rPr>
          <w:rFonts w:hint="eastAsia"/>
          <w:bdr w:val="nil"/>
        </w:rPr>
        <w:t>若干国家报告说，它们鼓励各政党采取有效措施，确保妇女被置于候选人名单的前列，以增加她们在政党结构高级职位有充分代表的机会。其他一些国家确定了《消除对妇女一切形式歧视公约》第四条</w:t>
      </w:r>
      <w:r>
        <w:rPr>
          <w:rFonts w:hint="eastAsia"/>
          <w:bdr w:val="nil"/>
        </w:rPr>
        <w:t>第</w:t>
      </w:r>
      <w:r>
        <w:rPr>
          <w:rFonts w:hint="eastAsia"/>
          <w:bdr w:val="nil"/>
        </w:rPr>
        <w:t>1</w:t>
      </w:r>
      <w:r>
        <w:rPr>
          <w:rFonts w:hint="eastAsia"/>
          <w:bdr w:val="nil"/>
        </w:rPr>
        <w:t>款</w:t>
      </w:r>
      <w:r w:rsidRPr="00617F84">
        <w:rPr>
          <w:rFonts w:hint="eastAsia"/>
          <w:bdr w:val="nil"/>
        </w:rPr>
        <w:t>设想的临时特别措施，如配额，要求各政党在候选人名单中包括一定比例的妇女。阿尔巴尼亚法律规定，所有政府机构和政治机构必须包括至少</w:t>
      </w:r>
      <w:r w:rsidRPr="00617F84">
        <w:rPr>
          <w:rFonts w:hint="eastAsia"/>
          <w:bdr w:val="nil"/>
        </w:rPr>
        <w:t>30</w:t>
      </w:r>
      <w:r w:rsidRPr="00617F84">
        <w:rPr>
          <w:rFonts w:hint="eastAsia"/>
          <w:bdr w:val="nil"/>
        </w:rPr>
        <w:t>％</w:t>
      </w:r>
      <w:r w:rsidRPr="00617F84">
        <w:rPr>
          <w:snapToGrid w:val="0"/>
        </w:rPr>
        <w:t>代表性不足的性别</w:t>
      </w:r>
      <w:r w:rsidRPr="00617F84">
        <w:rPr>
          <w:rFonts w:hint="eastAsia"/>
          <w:bdr w:val="nil"/>
        </w:rPr>
        <w:t>的代表，包括公共行政、司法部门、警察、</w:t>
      </w:r>
      <w:r w:rsidRPr="00617F84">
        <w:rPr>
          <w:snapToGrid w:val="0"/>
        </w:rPr>
        <w:t>维和特派团</w:t>
      </w:r>
      <w:r w:rsidRPr="00617F84">
        <w:rPr>
          <w:rFonts w:hint="eastAsia"/>
          <w:snapToGrid w:val="0"/>
        </w:rPr>
        <w:t>以及</w:t>
      </w:r>
      <w:r w:rsidRPr="00617F84">
        <w:rPr>
          <w:rFonts w:hint="eastAsia"/>
          <w:bdr w:val="nil"/>
        </w:rPr>
        <w:t>高级政治和选举进程的所有决策职位。巴拿马选举法要求政党提交初选和内部选举的提名名单至少包括</w:t>
      </w:r>
      <w:r w:rsidRPr="00617F84">
        <w:rPr>
          <w:rFonts w:hint="eastAsia"/>
          <w:bdr w:val="nil"/>
        </w:rPr>
        <w:t>50</w:t>
      </w:r>
      <w:r w:rsidRPr="00617F84">
        <w:rPr>
          <w:rFonts w:hint="eastAsia"/>
          <w:bdr w:val="nil"/>
        </w:rPr>
        <w:t>％的妇女。这些意见还表明了将有关妇女的问题纳入选举活动和平台的重要性，以及任命妇女担任行政、立法和司法机构高级职位的重要性。</w:t>
      </w:r>
    </w:p>
    <w:p w:rsidR="005B17D2" w:rsidRPr="00617F84" w:rsidRDefault="005B17D2" w:rsidP="00A97F79">
      <w:pPr>
        <w:pStyle w:val="SingleTxt"/>
        <w:rPr>
          <w:rFonts w:eastAsia="Calibri"/>
          <w:u w:color="000000"/>
          <w:bdr w:val="nil"/>
        </w:rPr>
      </w:pPr>
      <w:r w:rsidRPr="00617F84">
        <w:rPr>
          <w:u w:color="000000"/>
          <w:bdr w:val="nil"/>
        </w:rPr>
        <w:t>53.</w:t>
      </w:r>
      <w:r w:rsidR="00A97F79">
        <w:rPr>
          <w:rFonts w:hint="eastAsia"/>
          <w:u w:color="000000"/>
          <w:bdr w:val="nil"/>
        </w:rPr>
        <w:t xml:space="preserve">  </w:t>
      </w:r>
      <w:r w:rsidRPr="00617F84">
        <w:rPr>
          <w:rFonts w:ascii="SimSun" w:hAnsi="SimSun" w:cs="SimSun" w:hint="eastAsia"/>
          <w:u w:color="000000"/>
          <w:bdr w:val="nil"/>
        </w:rPr>
        <w:t>许多国家表示，它们已将性别均衡编入了选举名单，特别是通过关于政党名单男女候选人交替的</w:t>
      </w:r>
      <w:r w:rsidRPr="00617F84">
        <w:rPr>
          <w:rFonts w:ascii="Calibri" w:eastAsia="Calibri" w:hAnsi="Calibri" w:cs="Calibri"/>
          <w:u w:color="000000"/>
          <w:bdr w:val="nil"/>
        </w:rPr>
        <w:t>“</w:t>
      </w:r>
      <w:r w:rsidRPr="00617F84">
        <w:rPr>
          <w:rFonts w:ascii="SimSun" w:hAnsi="SimSun" w:cs="SimSun" w:hint="eastAsia"/>
          <w:u w:color="000000"/>
          <w:bdr w:val="nil"/>
        </w:rPr>
        <w:t>拉链</w:t>
      </w:r>
      <w:r w:rsidRPr="00617F84">
        <w:rPr>
          <w:rFonts w:ascii="Calibri" w:eastAsia="Calibri" w:hAnsi="Calibri" w:cs="Calibri"/>
          <w:u w:color="000000"/>
          <w:bdr w:val="nil"/>
        </w:rPr>
        <w:t>”</w:t>
      </w:r>
      <w:r w:rsidRPr="00617F84">
        <w:rPr>
          <w:rFonts w:ascii="SimSun" w:hAnsi="SimSun" w:cs="SimSun" w:hint="eastAsia"/>
          <w:u w:color="000000"/>
          <w:bdr w:val="nil"/>
        </w:rPr>
        <w:t>要求。</w:t>
      </w:r>
      <w:r w:rsidRPr="005B17D2">
        <w:rPr>
          <w:rFonts w:eastAsia="Calibri"/>
          <w:vertAlign w:val="superscript"/>
        </w:rPr>
        <w:footnoteReference w:id="62"/>
      </w:r>
      <w:r w:rsidRPr="00617F84">
        <w:rPr>
          <w:rFonts w:ascii="SimSun" w:hAnsi="SimSun" w:cs="SimSun" w:hint="eastAsia"/>
          <w:u w:color="000000"/>
          <w:bdr w:val="nil"/>
        </w:rPr>
        <w:t xml:space="preserve"> 有些国家，如突尼斯，在有关政党不遵守旨在确保性别平等的法律措施时，发布制裁令，例如从选票中勾销该党选举名单。</w:t>
      </w:r>
    </w:p>
    <w:p w:rsidR="005B17D2" w:rsidRPr="00460CB6" w:rsidRDefault="005B17D2" w:rsidP="00A97F79">
      <w:pPr>
        <w:pStyle w:val="SingleTxt"/>
        <w:rPr>
          <w:u w:color="000000"/>
          <w:bdr w:val="nil"/>
        </w:rPr>
      </w:pPr>
      <w:r w:rsidRPr="00617F84">
        <w:rPr>
          <w:rFonts w:eastAsia="Helvetica"/>
        </w:rPr>
        <w:t>54.</w:t>
      </w:r>
      <w:r w:rsidR="00A97F79">
        <w:rPr>
          <w:rFonts w:eastAsiaTheme="minorEastAsia" w:hint="eastAsia"/>
        </w:rPr>
        <w:t xml:space="preserve">  </w:t>
      </w:r>
      <w:r w:rsidRPr="00617F84">
        <w:rPr>
          <w:rFonts w:ascii="SimSun" w:hAnsi="SimSun" w:cs="SimSun" w:hint="eastAsia"/>
          <w:u w:color="000000"/>
          <w:bdr w:val="nil"/>
        </w:rPr>
        <w:t>公共资金也可以是促进性别平等的一个激励因素，例如，使向各政党拨付公共资金以遵守有关妇女参与的要求为条件。在格鲁吉亚，候选人名单中妇女至少占</w:t>
      </w:r>
      <w:r w:rsidRPr="00617F84">
        <w:rPr>
          <w:rFonts w:eastAsia="Calibri" w:hint="eastAsia"/>
          <w:u w:color="000000"/>
          <w:bdr w:val="nil"/>
        </w:rPr>
        <w:t>30</w:t>
      </w:r>
      <w:r w:rsidRPr="00617F84">
        <w:rPr>
          <w:rFonts w:ascii="SimSun" w:hAnsi="SimSun" w:cs="SimSun" w:hint="eastAsia"/>
          <w:u w:color="000000"/>
          <w:bdr w:val="nil"/>
        </w:rPr>
        <w:t>％的政党得到的资金援助比其他党派多</w:t>
      </w:r>
      <w:r w:rsidRPr="00617F84">
        <w:rPr>
          <w:rFonts w:eastAsia="Calibri" w:hint="eastAsia"/>
          <w:u w:color="000000"/>
          <w:bdr w:val="nil"/>
        </w:rPr>
        <w:t>30</w:t>
      </w:r>
      <w:r w:rsidRPr="00617F84">
        <w:rPr>
          <w:rFonts w:ascii="SimSun" w:hAnsi="SimSun" w:cs="SimSun" w:hint="eastAsia"/>
          <w:u w:color="000000"/>
          <w:bdr w:val="nil"/>
        </w:rPr>
        <w:t>％。摩尔多瓦议会一读批准了关于政党和竞选活动筹资法草案，使供资取决于获得选任职务的妇女人数。在爱尔兰，不挑选至少</w:t>
      </w:r>
      <w:r w:rsidRPr="00617F84">
        <w:rPr>
          <w:rFonts w:eastAsia="Calibri" w:hint="eastAsia"/>
          <w:u w:color="000000"/>
          <w:bdr w:val="nil"/>
        </w:rPr>
        <w:t>30</w:t>
      </w:r>
      <w:r w:rsidRPr="00617F84">
        <w:rPr>
          <w:rFonts w:ascii="SimSun" w:hAnsi="SimSun" w:cs="SimSun" w:hint="eastAsia"/>
          <w:u w:color="000000"/>
          <w:bdr w:val="nil"/>
        </w:rPr>
        <w:t>％女候选人参加大选的政党，面临丧失一半的国家供资。在洪都拉斯，拨付给每个政党的公共资金</w:t>
      </w:r>
      <w:r w:rsidRPr="00617F84">
        <w:rPr>
          <w:rFonts w:eastAsia="Calibri" w:hint="eastAsia"/>
          <w:u w:color="000000"/>
          <w:bdr w:val="nil"/>
        </w:rPr>
        <w:t>10</w:t>
      </w:r>
      <w:r w:rsidRPr="00617F84">
        <w:rPr>
          <w:rFonts w:ascii="SimSun" w:hAnsi="SimSun" w:cs="SimSun" w:hint="eastAsia"/>
          <w:u w:color="000000"/>
          <w:bdr w:val="nil"/>
        </w:rPr>
        <w:t>％专用于</w:t>
      </w:r>
      <w:r>
        <w:rPr>
          <w:rFonts w:ascii="SimSun" w:hAnsi="SimSun" w:cs="SimSun" w:hint="eastAsia"/>
          <w:u w:color="000000"/>
          <w:bdr w:val="nil"/>
        </w:rPr>
        <w:t>对</w:t>
      </w:r>
      <w:r w:rsidRPr="00617F84">
        <w:rPr>
          <w:rFonts w:ascii="SimSun" w:hAnsi="SimSun" w:cs="SimSun" w:hint="eastAsia"/>
          <w:u w:color="000000"/>
          <w:bdr w:val="nil"/>
        </w:rPr>
        <w:t>妇女</w:t>
      </w:r>
      <w:r>
        <w:rPr>
          <w:rFonts w:ascii="SimSun" w:hAnsi="SimSun" w:cs="SimSun" w:hint="eastAsia"/>
          <w:u w:color="000000"/>
          <w:bdr w:val="nil"/>
        </w:rPr>
        <w:t>进行</w:t>
      </w:r>
      <w:r w:rsidRPr="00617F84">
        <w:rPr>
          <w:rFonts w:ascii="SimSun" w:hAnsi="SimSun" w:cs="SimSun" w:hint="eastAsia"/>
          <w:u w:color="000000"/>
          <w:bdr w:val="nil"/>
        </w:rPr>
        <w:t>政治培训和提高</w:t>
      </w:r>
      <w:r>
        <w:rPr>
          <w:rFonts w:ascii="SimSun" w:hAnsi="SimSun" w:cs="SimSun" w:hint="eastAsia"/>
          <w:u w:color="000000"/>
          <w:bdr w:val="nil"/>
        </w:rPr>
        <w:t>其地位</w:t>
      </w:r>
      <w:r w:rsidRPr="00617F84">
        <w:rPr>
          <w:rFonts w:ascii="SimSun" w:hAnsi="SimSun" w:cs="SimSun" w:hint="eastAsia"/>
          <w:u w:color="000000"/>
          <w:bdr w:val="nil"/>
        </w:rPr>
        <w:t>。</w:t>
      </w:r>
    </w:p>
    <w:p w:rsidR="00A97F79" w:rsidRPr="00A97F79" w:rsidRDefault="00A97F79" w:rsidP="00A97F79">
      <w:pPr>
        <w:pStyle w:val="Sponsors"/>
        <w:spacing w:line="120" w:lineRule="exact"/>
        <w:rPr>
          <w:rFonts w:eastAsia="Cambria"/>
          <w:sz w:val="10"/>
          <w:u w:color="000000"/>
          <w:bdr w:val="nil"/>
        </w:rPr>
      </w:pPr>
    </w:p>
    <w:p w:rsidR="00A97F79" w:rsidRPr="00A97F79" w:rsidRDefault="00A97F79" w:rsidP="00A97F79">
      <w:pPr>
        <w:pStyle w:val="Sponsors"/>
        <w:spacing w:line="120" w:lineRule="exact"/>
        <w:rPr>
          <w:rFonts w:eastAsia="Cambria"/>
          <w:sz w:val="10"/>
          <w:u w:color="000000"/>
          <w:bdr w:val="nil"/>
        </w:rPr>
      </w:pPr>
    </w:p>
    <w:p w:rsidR="005B17D2" w:rsidRPr="00617F84" w:rsidRDefault="005B17D2" w:rsidP="00A97F79">
      <w:pPr>
        <w:pStyle w:val="Sponsors"/>
        <w:rPr>
          <w:u w:color="000000"/>
          <w:bdr w:val="nil"/>
        </w:rPr>
      </w:pPr>
      <w:r w:rsidRPr="00617F84">
        <w:rPr>
          <w:rFonts w:eastAsia="Cambria"/>
          <w:u w:color="000000"/>
          <w:bdr w:val="nil"/>
        </w:rPr>
        <w:tab/>
      </w:r>
      <w:r w:rsidRPr="00617F84">
        <w:rPr>
          <w:rFonts w:eastAsia="Cambria"/>
          <w:u w:color="000000"/>
          <w:bdr w:val="nil"/>
        </w:rPr>
        <w:tab/>
      </w:r>
      <w:r w:rsidRPr="00617F84">
        <w:rPr>
          <w:rFonts w:hint="eastAsia"/>
          <w:u w:color="000000"/>
          <w:bdr w:val="nil"/>
        </w:rPr>
        <w:t>土著人民</w:t>
      </w:r>
    </w:p>
    <w:p w:rsidR="00A97F79" w:rsidRPr="00A97F79" w:rsidRDefault="00A97F79" w:rsidP="00A97F79">
      <w:pPr>
        <w:pStyle w:val="SingleTxt"/>
        <w:spacing w:after="0" w:line="120" w:lineRule="exact"/>
        <w:rPr>
          <w:sz w:val="10"/>
          <w:u w:color="000000"/>
          <w:bdr w:val="nil"/>
        </w:rPr>
      </w:pPr>
    </w:p>
    <w:p w:rsidR="005B17D2" w:rsidRPr="00617F84" w:rsidRDefault="005B17D2" w:rsidP="00A97F79">
      <w:pPr>
        <w:pStyle w:val="SingleTxt"/>
        <w:rPr>
          <w:u w:color="000000"/>
          <w:bdr w:val="nil"/>
        </w:rPr>
      </w:pPr>
      <w:r w:rsidRPr="00617F84">
        <w:rPr>
          <w:u w:color="000000"/>
          <w:bdr w:val="nil"/>
        </w:rPr>
        <w:t>55.</w:t>
      </w:r>
      <w:r w:rsidR="00A97F79">
        <w:rPr>
          <w:rFonts w:hint="eastAsia"/>
          <w:u w:color="000000"/>
          <w:bdr w:val="nil"/>
        </w:rPr>
        <w:t xml:space="preserve">  </w:t>
      </w:r>
      <w:r>
        <w:rPr>
          <w:rFonts w:ascii="SimSun" w:hAnsi="SimSun" w:cs="SimSun" w:hint="eastAsia"/>
          <w:u w:color="000000"/>
          <w:bdr w:val="nil"/>
        </w:rPr>
        <w:t>土著人民参与处理公共事务的权利应当得到诚意保证，应</w:t>
      </w:r>
      <w:r w:rsidRPr="00617F84">
        <w:rPr>
          <w:rFonts w:ascii="SimSun" w:hAnsi="SimSun" w:cs="SimSun" w:hint="eastAsia"/>
          <w:u w:color="000000"/>
          <w:bdr w:val="nil"/>
        </w:rPr>
        <w:t>通过他们按照自己的程序选出的代表得到保证。</w:t>
      </w:r>
      <w:r w:rsidRPr="005B17D2">
        <w:rPr>
          <w:vertAlign w:val="superscript"/>
        </w:rPr>
        <w:footnoteReference w:id="63"/>
      </w:r>
      <w:r w:rsidRPr="00617F84">
        <w:rPr>
          <w:rFonts w:ascii="SimSun" w:hAnsi="SimSun" w:cs="SimSun" w:hint="eastAsia"/>
          <w:u w:color="000000"/>
          <w:bdr w:val="nil"/>
        </w:rPr>
        <w:t xml:space="preserve"> 挪威中央政府和萨米议会之间就协商程序达成了协议。国家主管部门应尽早告知有关萨米议会可能直接影响萨米人的相关举措，包括语言、宗教、保护文化遗产、教育、土地所有权和土地利用、渔业、矿产勘查、开采活动，生物多样性和自然保护等问题。阿根廷设立了土著参与问题理事会，以确保土著人民参与影响其权利的所有问题。</w:t>
      </w:r>
      <w:r w:rsidRPr="005B17D2">
        <w:rPr>
          <w:rFonts w:eastAsia="Calibri"/>
          <w:vertAlign w:val="superscript"/>
        </w:rPr>
        <w:footnoteReference w:id="64"/>
      </w:r>
    </w:p>
    <w:p w:rsidR="005B17D2" w:rsidRPr="00617F84" w:rsidRDefault="005B17D2" w:rsidP="00A97F79">
      <w:pPr>
        <w:pStyle w:val="SingleTxt"/>
        <w:rPr>
          <w:u w:color="000000"/>
          <w:bdr w:val="nil"/>
        </w:rPr>
      </w:pPr>
      <w:r w:rsidRPr="00617F84">
        <w:rPr>
          <w:u w:color="000000"/>
          <w:bdr w:val="nil"/>
        </w:rPr>
        <w:t>56.</w:t>
      </w:r>
      <w:r w:rsidR="00A97F79">
        <w:rPr>
          <w:rFonts w:hint="eastAsia"/>
          <w:u w:color="000000"/>
          <w:bdr w:val="nil"/>
        </w:rPr>
        <w:t xml:space="preserve">  </w:t>
      </w:r>
      <w:r w:rsidRPr="00617F84">
        <w:rPr>
          <w:rFonts w:ascii="SimSun" w:hAnsi="SimSun" w:cs="SimSun" w:hint="eastAsia"/>
          <w:u w:color="000000"/>
          <w:bdr w:val="nil"/>
        </w:rPr>
        <w:t>若干国家和地区法庭在适用国际劳工组织</w:t>
      </w:r>
      <w:r w:rsidRPr="00617F84">
        <w:rPr>
          <w:rFonts w:hint="eastAsia"/>
          <w:snapToGrid w:val="0"/>
          <w:u w:color="00B050"/>
        </w:rPr>
        <w:t>《</w:t>
      </w:r>
      <w:r w:rsidRPr="00617F84">
        <w:rPr>
          <w:snapToGrid w:val="0"/>
        </w:rPr>
        <w:t>土著和部落人民公约》</w:t>
      </w:r>
      <w:r w:rsidRPr="00617F84">
        <w:rPr>
          <w:snapToGrid w:val="0"/>
        </w:rPr>
        <w:t>1989</w:t>
      </w:r>
      <w:r w:rsidRPr="00617F84">
        <w:rPr>
          <w:snapToGrid w:val="0"/>
        </w:rPr>
        <w:t>年</w:t>
      </w:r>
      <w:r w:rsidRPr="00617F84">
        <w:rPr>
          <w:snapToGrid w:val="0"/>
        </w:rPr>
        <w:t>(</w:t>
      </w:r>
      <w:r w:rsidRPr="00617F84">
        <w:rPr>
          <w:snapToGrid w:val="0"/>
        </w:rPr>
        <w:t>第</w:t>
      </w:r>
      <w:r w:rsidRPr="00617F84">
        <w:rPr>
          <w:snapToGrid w:val="0"/>
        </w:rPr>
        <w:t>169</w:t>
      </w:r>
      <w:r w:rsidRPr="00617F84">
        <w:rPr>
          <w:snapToGrid w:val="0"/>
        </w:rPr>
        <w:t>号公约）</w:t>
      </w:r>
      <w:r w:rsidRPr="00617F84">
        <w:rPr>
          <w:rFonts w:hint="eastAsia"/>
          <w:snapToGrid w:val="0"/>
        </w:rPr>
        <w:t>中</w:t>
      </w:r>
      <w:r w:rsidRPr="00617F84">
        <w:rPr>
          <w:rFonts w:ascii="SimSun" w:hAnsi="SimSun" w:cs="SimSun" w:hint="eastAsia"/>
          <w:u w:color="000000"/>
          <w:bdr w:val="nil"/>
        </w:rPr>
        <w:t>发现，不参与有关磋商或决策进程侵犯了土著群体的权利，因此，已通过</w:t>
      </w:r>
      <w:r w:rsidRPr="00617F84">
        <w:rPr>
          <w:snapToGrid w:val="0"/>
        </w:rPr>
        <w:t>司法命令</w:t>
      </w:r>
      <w:r w:rsidRPr="00617F84">
        <w:rPr>
          <w:rFonts w:hint="eastAsia"/>
          <w:snapToGrid w:val="0"/>
        </w:rPr>
        <w:t>采取一系列</w:t>
      </w:r>
      <w:r w:rsidRPr="00617F84">
        <w:rPr>
          <w:rFonts w:ascii="SimSun" w:hAnsi="SimSun" w:cs="SimSun" w:hint="eastAsia"/>
          <w:u w:color="000000"/>
          <w:bdr w:val="nil"/>
        </w:rPr>
        <w:t>广泛的措施，从宣布对政府项目的批准无效，尤其是在采矿、林业和能源部门，到补救受影响者。</w:t>
      </w:r>
      <w:r w:rsidRPr="005B17D2">
        <w:rPr>
          <w:rFonts w:eastAsia="Calibri"/>
          <w:u w:color="000000"/>
          <w:bdr w:val="nil"/>
          <w:vertAlign w:val="superscript"/>
          <w:lang w:eastAsia="fr-CH"/>
        </w:rPr>
        <w:footnoteReference w:id="65"/>
      </w:r>
      <w:r w:rsidRPr="00617F84">
        <w:rPr>
          <w:rFonts w:hint="eastAsia"/>
          <w:u w:color="000000"/>
          <w:bdr w:val="nil"/>
        </w:rPr>
        <w:t xml:space="preserve"> </w:t>
      </w:r>
      <w:r w:rsidRPr="00617F84">
        <w:rPr>
          <w:rFonts w:eastAsia="Calibri" w:hint="eastAsia"/>
          <w:u w:color="000000"/>
          <w:bdr w:val="nil"/>
        </w:rPr>
        <w:t>2010</w:t>
      </w:r>
      <w:r w:rsidRPr="00617F84">
        <w:rPr>
          <w:rFonts w:ascii="SimSun" w:hAnsi="SimSun" w:cs="SimSun" w:hint="eastAsia"/>
          <w:u w:color="000000"/>
          <w:bdr w:val="nil"/>
        </w:rPr>
        <w:t>年</w:t>
      </w:r>
      <w:r w:rsidRPr="00617F84">
        <w:rPr>
          <w:rFonts w:eastAsia="Calibri" w:hint="eastAsia"/>
          <w:u w:color="000000"/>
          <w:bdr w:val="nil"/>
        </w:rPr>
        <w:t>3</w:t>
      </w:r>
      <w:r w:rsidRPr="00617F84">
        <w:rPr>
          <w:rFonts w:ascii="SimSun" w:hAnsi="SimSun" w:cs="SimSun" w:hint="eastAsia"/>
          <w:u w:color="000000"/>
          <w:bdr w:val="nil"/>
        </w:rPr>
        <w:t>月，厄瓜多尔宪法法院宣布，如宪法所规定，在土著、非洲裔厄瓜多尔人和</w:t>
      </w:r>
      <w:r w:rsidRPr="00617F84">
        <w:rPr>
          <w:rFonts w:eastAsia="Calibri" w:hint="eastAsia"/>
          <w:u w:color="000000"/>
          <w:bdr w:val="nil"/>
        </w:rPr>
        <w:t>Montubian</w:t>
      </w:r>
      <w:r w:rsidRPr="00617F84">
        <w:rPr>
          <w:rFonts w:ascii="SimSun" w:hAnsi="SimSun" w:cs="SimSun" w:hint="eastAsia"/>
          <w:u w:color="000000"/>
          <w:bdr w:val="nil"/>
        </w:rPr>
        <w:t>社区、人民和民族领土，矿业勘探必须总是与有关社区事先协商。</w:t>
      </w:r>
      <w:r w:rsidRPr="00617F84">
        <w:rPr>
          <w:rFonts w:eastAsia="Calibri" w:hint="eastAsia"/>
          <w:u w:color="000000"/>
          <w:bdr w:val="nil"/>
        </w:rPr>
        <w:t>2014</w:t>
      </w:r>
      <w:r w:rsidRPr="00617F84">
        <w:rPr>
          <w:rFonts w:ascii="SimSun" w:hAnsi="SimSun" w:cs="SimSun" w:hint="eastAsia"/>
          <w:u w:color="000000"/>
          <w:bdr w:val="nil"/>
        </w:rPr>
        <w:t>年</w:t>
      </w:r>
      <w:r w:rsidRPr="00617F84">
        <w:rPr>
          <w:rFonts w:eastAsia="Calibri" w:hint="eastAsia"/>
          <w:u w:color="000000"/>
          <w:bdr w:val="nil"/>
        </w:rPr>
        <w:t>9</w:t>
      </w:r>
      <w:r w:rsidRPr="00617F84">
        <w:rPr>
          <w:rFonts w:ascii="SimSun" w:hAnsi="SimSun" w:cs="SimSun" w:hint="eastAsia"/>
          <w:u w:color="000000"/>
          <w:bdr w:val="nil"/>
        </w:rPr>
        <w:t>月，美利坚合众国一名联邦法官下令阿拉斯加州为英语有限的阿拉斯加土著选民将提前投票和与</w:t>
      </w:r>
      <w:r w:rsidRPr="00617F84">
        <w:rPr>
          <w:rFonts w:eastAsia="Calibri" w:hint="eastAsia"/>
          <w:u w:color="000000"/>
          <w:bdr w:val="nil"/>
        </w:rPr>
        <w:t>2014</w:t>
      </w:r>
      <w:r w:rsidRPr="00617F84">
        <w:rPr>
          <w:rFonts w:ascii="SimSun" w:hAnsi="SimSun" w:cs="SimSun" w:hint="eastAsia"/>
          <w:u w:color="000000"/>
          <w:bdr w:val="nil"/>
        </w:rPr>
        <w:t>年</w:t>
      </w:r>
      <w:r w:rsidRPr="00617F84">
        <w:rPr>
          <w:rFonts w:eastAsia="Calibri" w:hint="eastAsia"/>
          <w:u w:color="000000"/>
          <w:bdr w:val="nil"/>
        </w:rPr>
        <w:t>11</w:t>
      </w:r>
      <w:r w:rsidRPr="00617F84">
        <w:rPr>
          <w:rFonts w:ascii="SimSun" w:hAnsi="SimSun" w:cs="SimSun" w:hint="eastAsia"/>
          <w:u w:color="000000"/>
          <w:bdr w:val="nil"/>
        </w:rPr>
        <w:t>月投票有关的信息翻译成</w:t>
      </w:r>
      <w:r w:rsidRPr="00617F84">
        <w:rPr>
          <w:rFonts w:eastAsia="Calibri" w:hint="eastAsia"/>
          <w:u w:color="000000"/>
          <w:bdr w:val="nil"/>
        </w:rPr>
        <w:t>Yup'ik</w:t>
      </w:r>
      <w:r w:rsidRPr="00617F84">
        <w:rPr>
          <w:rFonts w:ascii="SimSun" w:hAnsi="SimSun" w:cs="SimSun" w:hint="eastAsia"/>
          <w:u w:color="000000"/>
          <w:bdr w:val="nil"/>
        </w:rPr>
        <w:t>方言。</w:t>
      </w:r>
      <w:r w:rsidRPr="005B17D2">
        <w:rPr>
          <w:rFonts w:eastAsia="Calibri"/>
          <w:vertAlign w:val="superscript"/>
        </w:rPr>
        <w:footnoteReference w:id="66"/>
      </w:r>
    </w:p>
    <w:p w:rsidR="00A97F79" w:rsidRPr="00A97F79" w:rsidRDefault="00A97F79" w:rsidP="00A97F79">
      <w:pPr>
        <w:pStyle w:val="Sponsors"/>
        <w:spacing w:line="120" w:lineRule="exact"/>
        <w:rPr>
          <w:sz w:val="10"/>
          <w:u w:color="000000"/>
          <w:bdr w:val="nil"/>
        </w:rPr>
      </w:pPr>
    </w:p>
    <w:p w:rsidR="00A97F79" w:rsidRPr="00A97F79" w:rsidRDefault="00A97F79" w:rsidP="00A97F79">
      <w:pPr>
        <w:pStyle w:val="Sponsors"/>
        <w:spacing w:line="120" w:lineRule="exact"/>
        <w:rPr>
          <w:sz w:val="10"/>
          <w:u w:color="000000"/>
          <w:bdr w:val="nil"/>
        </w:rPr>
      </w:pPr>
    </w:p>
    <w:p w:rsidR="005B17D2" w:rsidRPr="0064426F" w:rsidRDefault="005B17D2" w:rsidP="00A97F79">
      <w:pPr>
        <w:pStyle w:val="Sponsors"/>
        <w:rPr>
          <w:u w:color="000000"/>
          <w:bdr w:val="nil"/>
        </w:rPr>
      </w:pPr>
      <w:r>
        <w:rPr>
          <w:u w:color="000000"/>
          <w:bdr w:val="nil"/>
        </w:rPr>
        <w:tab/>
      </w:r>
      <w:r>
        <w:rPr>
          <w:u w:color="000000"/>
          <w:bdr w:val="nil"/>
        </w:rPr>
        <w:tab/>
      </w:r>
      <w:r>
        <w:rPr>
          <w:rFonts w:hint="eastAsia"/>
          <w:u w:color="000000"/>
          <w:bdr w:val="nil"/>
        </w:rPr>
        <w:t>少数群体</w:t>
      </w:r>
    </w:p>
    <w:p w:rsidR="00A97F79" w:rsidRPr="00A97F79" w:rsidRDefault="00A97F79" w:rsidP="00A97F79">
      <w:pPr>
        <w:pStyle w:val="SingleTxt"/>
        <w:spacing w:after="0" w:line="120" w:lineRule="exact"/>
        <w:rPr>
          <w:sz w:val="10"/>
          <w:u w:color="000000"/>
          <w:bdr w:val="nil"/>
        </w:rPr>
      </w:pPr>
    </w:p>
    <w:p w:rsidR="005B17D2" w:rsidRPr="00D07C27" w:rsidRDefault="005B17D2" w:rsidP="00A97F79">
      <w:pPr>
        <w:pStyle w:val="SingleTxt"/>
        <w:rPr>
          <w:u w:color="000000"/>
          <w:bdr w:val="nil"/>
        </w:rPr>
      </w:pPr>
      <w:r w:rsidRPr="00D07C27">
        <w:rPr>
          <w:u w:color="000000"/>
          <w:bdr w:val="nil"/>
        </w:rPr>
        <w:t>57.</w:t>
      </w:r>
      <w:r w:rsidR="00A97F79">
        <w:rPr>
          <w:rFonts w:hint="eastAsia"/>
          <w:u w:color="000000"/>
          <w:bdr w:val="nil"/>
        </w:rPr>
        <w:t xml:space="preserve">  </w:t>
      </w:r>
      <w:r w:rsidRPr="00D07C27">
        <w:rPr>
          <w:rFonts w:hint="eastAsia"/>
          <w:u w:color="000000"/>
          <w:bdr w:val="nil"/>
        </w:rPr>
        <w:t>各国以各种方式确保少数群体参与。除基于比例代表制的选举制度外，在选举产生的机构中为少数群体保留席位和选区的有利划分等措施也有助于支持少数群体的政治参与。</w:t>
      </w:r>
      <w:r w:rsidRPr="005B17D2">
        <w:rPr>
          <w:vertAlign w:val="superscript"/>
        </w:rPr>
        <w:footnoteReference w:id="67"/>
      </w:r>
      <w:r w:rsidRPr="00D07C27">
        <w:rPr>
          <w:rFonts w:hint="eastAsia"/>
          <w:u w:color="000000"/>
          <w:bdr w:val="nil"/>
        </w:rPr>
        <w:t xml:space="preserve"> </w:t>
      </w:r>
      <w:r w:rsidRPr="00D07C27">
        <w:rPr>
          <w:rFonts w:hint="eastAsia"/>
          <w:u w:color="000000"/>
          <w:bdr w:val="nil"/>
        </w:rPr>
        <w:t>哈萨克斯坦报告说，该国通过将选举材料翻译成少数群体语文使语言上的少数群体能够获得</w:t>
      </w:r>
      <w:r w:rsidRPr="00D07C27">
        <w:rPr>
          <w:rFonts w:hint="eastAsia"/>
          <w:u w:color="000000"/>
          <w:bdr w:val="nil"/>
          <w:lang w:val="fr-CH"/>
        </w:rPr>
        <w:t>有关信息</w:t>
      </w:r>
      <w:r w:rsidRPr="00D07C27">
        <w:rPr>
          <w:rFonts w:hint="eastAsia"/>
          <w:u w:color="000000"/>
          <w:bdr w:val="nil"/>
        </w:rPr>
        <w:t>。</w:t>
      </w:r>
    </w:p>
    <w:p w:rsidR="005B17D2" w:rsidRPr="00D07C27" w:rsidRDefault="005B17D2" w:rsidP="00A97F79">
      <w:pPr>
        <w:pStyle w:val="SingleTxt"/>
        <w:rPr>
          <w:u w:color="000000"/>
          <w:bdr w:val="nil"/>
        </w:rPr>
      </w:pPr>
      <w:r w:rsidRPr="00D07C27">
        <w:rPr>
          <w:u w:color="000000"/>
          <w:bdr w:val="nil"/>
        </w:rPr>
        <w:t>58.</w:t>
      </w:r>
      <w:r w:rsidR="00A97F79">
        <w:rPr>
          <w:rFonts w:hint="eastAsia"/>
          <w:u w:color="000000"/>
          <w:bdr w:val="nil"/>
        </w:rPr>
        <w:t xml:space="preserve">  </w:t>
      </w:r>
      <w:r w:rsidRPr="00D07C27">
        <w:rPr>
          <w:rFonts w:hint="eastAsia"/>
          <w:u w:color="000000"/>
          <w:bdr w:val="nil"/>
        </w:rPr>
        <w:t>一些国家报告说，少数群体受益于进入民选机构的较低门槛。在斯洛文尼亚，选举法规定，如果在地方</w:t>
      </w:r>
      <w:r>
        <w:rPr>
          <w:rFonts w:hint="eastAsia"/>
          <w:u w:color="000000"/>
          <w:bdr w:val="nil"/>
        </w:rPr>
        <w:t>大选中，没有罗姆人代表成功获得足够票数当选，在罗姆人口较多的市镇为罗姆人进行单</w:t>
      </w:r>
      <w:r w:rsidRPr="00D07C27">
        <w:rPr>
          <w:rFonts w:hint="eastAsia"/>
          <w:u w:color="000000"/>
          <w:bdr w:val="nil"/>
        </w:rPr>
        <w:t>独的选举。其他措施包括</w:t>
      </w:r>
      <w:r w:rsidRPr="00D07C27">
        <w:rPr>
          <w:snapToGrid w:val="0"/>
        </w:rPr>
        <w:t>通过联邦或自治安排下放某些权力；少数群体代表组成的非正式委员会或者一个法定机构，行政机关在有关少数群体的事项上向其咨询。</w:t>
      </w:r>
      <w:r w:rsidRPr="005B17D2">
        <w:rPr>
          <w:vertAlign w:val="superscript"/>
        </w:rPr>
        <w:footnoteReference w:id="68"/>
      </w:r>
    </w:p>
    <w:p w:rsidR="005B17D2" w:rsidRPr="00D07C27" w:rsidRDefault="005B17D2" w:rsidP="00A97F79">
      <w:pPr>
        <w:pStyle w:val="SingleTxt"/>
        <w:rPr>
          <w:u w:color="000000"/>
          <w:bdr w:val="nil"/>
        </w:rPr>
      </w:pPr>
      <w:r w:rsidRPr="00D07C27">
        <w:rPr>
          <w:u w:color="000000"/>
          <w:bdr w:val="nil"/>
        </w:rPr>
        <w:t>59.</w:t>
      </w:r>
      <w:r w:rsidR="00A97F79">
        <w:rPr>
          <w:rFonts w:hint="eastAsia"/>
          <w:u w:color="000000"/>
          <w:bdr w:val="nil"/>
        </w:rPr>
        <w:t xml:space="preserve">  </w:t>
      </w:r>
      <w:r>
        <w:rPr>
          <w:rFonts w:hint="eastAsia"/>
          <w:u w:color="000000"/>
          <w:bdr w:val="nil"/>
        </w:rPr>
        <w:t>少数群体代表获得议会席位后，他们的地位可通过</w:t>
      </w:r>
      <w:r w:rsidRPr="00D07C27">
        <w:rPr>
          <w:rFonts w:hint="eastAsia"/>
          <w:u w:color="000000"/>
          <w:bdr w:val="nil"/>
        </w:rPr>
        <w:t>特定措施进一步加强。特别是，可以在涉及少数群体的问题上给他们以特别程序权，其范围从</w:t>
      </w:r>
      <w:r w:rsidRPr="00D07C27">
        <w:rPr>
          <w:snapToGrid w:val="0"/>
        </w:rPr>
        <w:t>着手制定</w:t>
      </w:r>
      <w:r w:rsidRPr="00D07C27">
        <w:rPr>
          <w:rFonts w:hint="eastAsia"/>
          <w:snapToGrid w:val="0"/>
        </w:rPr>
        <w:t>有关</w:t>
      </w:r>
      <w:r w:rsidRPr="00D07C27">
        <w:rPr>
          <w:rFonts w:hint="eastAsia"/>
          <w:u w:color="000000"/>
          <w:bdr w:val="nil"/>
        </w:rPr>
        <w:t>少数群体问题的新法到否决有关法案。</w:t>
      </w:r>
      <w:r w:rsidRPr="005B17D2">
        <w:rPr>
          <w:vertAlign w:val="superscript"/>
        </w:rPr>
        <w:footnoteReference w:id="69"/>
      </w:r>
      <w:r w:rsidRPr="00D07C27">
        <w:rPr>
          <w:rFonts w:hint="eastAsia"/>
          <w:u w:color="000000"/>
          <w:bdr w:val="nil"/>
        </w:rPr>
        <w:t xml:space="preserve"> </w:t>
      </w:r>
      <w:r w:rsidRPr="00D07C27">
        <w:rPr>
          <w:rFonts w:hint="eastAsia"/>
          <w:u w:color="000000"/>
          <w:bdr w:val="nil"/>
        </w:rPr>
        <w:t>在比利时，国民议会和</w:t>
      </w:r>
      <w:r>
        <w:rPr>
          <w:rFonts w:hint="eastAsia"/>
          <w:u w:color="000000"/>
          <w:bdr w:val="nil"/>
        </w:rPr>
        <w:t>参议院就某些问题按语言分组，然后由每组简单多数和总票数三分之二</w:t>
      </w:r>
      <w:r w:rsidRPr="00D07C27">
        <w:rPr>
          <w:rFonts w:hint="eastAsia"/>
          <w:u w:color="000000"/>
          <w:bdr w:val="nil"/>
        </w:rPr>
        <w:t>绝对多数作出决定。</w:t>
      </w:r>
      <w:r w:rsidRPr="005B17D2">
        <w:rPr>
          <w:vertAlign w:val="superscript"/>
        </w:rPr>
        <w:footnoteReference w:id="70"/>
      </w:r>
    </w:p>
    <w:p w:rsidR="00A97F79" w:rsidRPr="00A97F79" w:rsidRDefault="00A97F79" w:rsidP="00A97F79">
      <w:pPr>
        <w:pStyle w:val="Sponsors"/>
        <w:spacing w:line="120" w:lineRule="exact"/>
        <w:rPr>
          <w:sz w:val="10"/>
          <w:szCs w:val="24"/>
          <w:u w:color="000000"/>
          <w:bdr w:val="nil"/>
        </w:rPr>
      </w:pPr>
    </w:p>
    <w:p w:rsidR="00A97F79" w:rsidRPr="00A97F79" w:rsidRDefault="00A97F79" w:rsidP="00A97F79">
      <w:pPr>
        <w:pStyle w:val="Sponsors"/>
        <w:spacing w:line="120" w:lineRule="exact"/>
        <w:rPr>
          <w:i/>
          <w:iCs/>
          <w:sz w:val="10"/>
          <w:szCs w:val="24"/>
          <w:u w:color="000000"/>
          <w:bdr w:val="nil"/>
        </w:rPr>
      </w:pPr>
    </w:p>
    <w:p w:rsidR="005B17D2" w:rsidRPr="00D07C27" w:rsidRDefault="005B17D2" w:rsidP="00473883">
      <w:pPr>
        <w:pStyle w:val="Sponsors"/>
        <w:rPr>
          <w:u w:color="000000"/>
          <w:bdr w:val="nil"/>
        </w:rPr>
      </w:pPr>
      <w:r w:rsidRPr="00D07C27">
        <w:rPr>
          <w:i/>
          <w:iCs/>
          <w:sz w:val="24"/>
          <w:szCs w:val="24"/>
          <w:u w:color="000000"/>
          <w:bdr w:val="nil"/>
        </w:rPr>
        <w:tab/>
      </w:r>
      <w:r w:rsidRPr="00D07C27">
        <w:rPr>
          <w:i/>
          <w:iCs/>
          <w:sz w:val="24"/>
          <w:szCs w:val="24"/>
          <w:u w:color="000000"/>
          <w:bdr w:val="nil"/>
        </w:rPr>
        <w:tab/>
      </w:r>
      <w:r w:rsidRPr="00D07C27">
        <w:rPr>
          <w:rFonts w:hint="eastAsia"/>
          <w:u w:color="000000"/>
          <w:bdr w:val="nil"/>
        </w:rPr>
        <w:t>残疾人</w:t>
      </w:r>
    </w:p>
    <w:p w:rsidR="00A97F79" w:rsidRPr="00A97F79" w:rsidRDefault="00A97F79" w:rsidP="00A97F79">
      <w:pPr>
        <w:pStyle w:val="SingleTxt"/>
        <w:spacing w:after="0" w:line="120" w:lineRule="exact"/>
        <w:rPr>
          <w:sz w:val="10"/>
          <w:u w:color="000000"/>
          <w:bdr w:val="nil"/>
        </w:rPr>
      </w:pPr>
    </w:p>
    <w:p w:rsidR="005B17D2" w:rsidRPr="00D07C27" w:rsidRDefault="005B17D2" w:rsidP="00A97F79">
      <w:pPr>
        <w:pStyle w:val="SingleTxt"/>
        <w:rPr>
          <w:u w:color="000000"/>
          <w:bdr w:val="nil"/>
        </w:rPr>
      </w:pPr>
      <w:r w:rsidRPr="00D07C27">
        <w:rPr>
          <w:u w:color="000000"/>
          <w:bdr w:val="nil"/>
        </w:rPr>
        <w:t>60.</w:t>
      </w:r>
      <w:r w:rsidR="00A97F79">
        <w:rPr>
          <w:rFonts w:hint="eastAsia"/>
          <w:u w:color="000000"/>
          <w:bdr w:val="nil"/>
        </w:rPr>
        <w:t xml:space="preserve">  </w:t>
      </w:r>
      <w:r w:rsidRPr="00D07C27">
        <w:rPr>
          <w:rFonts w:ascii="SimSun" w:hAnsi="SimSun" w:cs="SimSun" w:hint="eastAsia"/>
          <w:u w:color="000000"/>
          <w:bdr w:val="nil"/>
        </w:rPr>
        <w:t>厄瓜多尔</w:t>
      </w:r>
      <w:r w:rsidRPr="00D07C27">
        <w:rPr>
          <w:rFonts w:hint="eastAsia"/>
          <w:u w:color="000000"/>
          <w:bdr w:val="nil"/>
        </w:rPr>
        <w:t>等国报告说，它们开展了宣传运动和提高认识主动行动，以促进残疾人参与政治和公共生活。许多国家还采取了一系列广泛的立法、政策和实际措施，消除现有的有形障碍，提高投票站的无障碍性。白俄罗斯表示，用盲文为盲人提供了有关候选人的信息资料，选票有盲文模字并为视力不佳的选民备有放大镜。这些措施使有视觉障碍的选民能够独立投票。各国还提供了采取的有关措施的信息，允许残疾人</w:t>
      </w:r>
      <w:r w:rsidRPr="00D07C27">
        <w:rPr>
          <w:snapToGrid w:val="0"/>
        </w:rPr>
        <w:t>在其所选人员陪伴下投票</w:t>
      </w:r>
      <w:r w:rsidRPr="00D07C27">
        <w:rPr>
          <w:rFonts w:hint="eastAsia"/>
          <w:u w:color="000000"/>
          <w:bdr w:val="nil"/>
        </w:rPr>
        <w:t>。有些国家报告说，他们定期组织培训，为所有负责选举的官员提供机会，培训他们如何与不同类型障碍的残疾人互动，以及如何支持残疾人行使投票权。</w:t>
      </w:r>
    </w:p>
    <w:p w:rsidR="005B17D2" w:rsidRPr="00D07C27" w:rsidRDefault="005B17D2" w:rsidP="00A97F79">
      <w:pPr>
        <w:pStyle w:val="SingleTxt"/>
        <w:rPr>
          <w:u w:color="000000"/>
          <w:bdr w:val="nil"/>
        </w:rPr>
      </w:pPr>
      <w:r w:rsidRPr="00D07C27">
        <w:rPr>
          <w:u w:color="000000"/>
          <w:bdr w:val="nil"/>
        </w:rPr>
        <w:t>61.</w:t>
      </w:r>
      <w:r w:rsidR="00A97F79">
        <w:rPr>
          <w:rFonts w:hint="eastAsia"/>
          <w:u w:color="000000"/>
          <w:bdr w:val="nil"/>
        </w:rPr>
        <w:t xml:space="preserve">  </w:t>
      </w:r>
      <w:r w:rsidRPr="00D07C27">
        <w:rPr>
          <w:rFonts w:hint="eastAsia"/>
          <w:u w:color="000000"/>
          <w:bdr w:val="nil"/>
        </w:rPr>
        <w:t>保证所采取措施适当的最佳方法是使残疾人参与其设计。挪威说，代表残疾人的组织参与了选举设备的测试，并说，在</w:t>
      </w:r>
      <w:r w:rsidRPr="00D07C27">
        <w:rPr>
          <w:rFonts w:hint="eastAsia"/>
          <w:u w:color="000000"/>
          <w:bdr w:val="nil"/>
        </w:rPr>
        <w:t>2009</w:t>
      </w:r>
      <w:r w:rsidRPr="00D07C27">
        <w:rPr>
          <w:rFonts w:hint="eastAsia"/>
          <w:u w:color="000000"/>
          <w:bdr w:val="nil"/>
        </w:rPr>
        <w:t>年大选中，残疾人和普通人口在选民参与方面没有明显差异。</w:t>
      </w:r>
    </w:p>
    <w:p w:rsidR="005B17D2" w:rsidRPr="00D07C27" w:rsidRDefault="005B17D2" w:rsidP="00A97F79">
      <w:pPr>
        <w:pStyle w:val="SingleTxt"/>
        <w:rPr>
          <w:u w:color="000000"/>
          <w:bdr w:val="nil"/>
        </w:rPr>
      </w:pPr>
      <w:r w:rsidRPr="00D07C27">
        <w:rPr>
          <w:u w:color="000000"/>
          <w:bdr w:val="nil"/>
        </w:rPr>
        <w:t>62.</w:t>
      </w:r>
      <w:r w:rsidR="00A97F79">
        <w:rPr>
          <w:rFonts w:hint="eastAsia"/>
          <w:u w:color="000000"/>
          <w:bdr w:val="nil"/>
        </w:rPr>
        <w:t xml:space="preserve">  </w:t>
      </w:r>
      <w:r w:rsidRPr="00D07C27">
        <w:rPr>
          <w:rFonts w:hint="eastAsia"/>
          <w:u w:color="000000"/>
          <w:bdr w:val="nil"/>
        </w:rPr>
        <w:t>取消对</w:t>
      </w:r>
      <w:r w:rsidRPr="00D07C27">
        <w:rPr>
          <w:snapToGrid w:val="0"/>
        </w:rPr>
        <w:t>心理残疾或智障人士</w:t>
      </w:r>
      <w:r w:rsidRPr="00D07C27">
        <w:rPr>
          <w:rFonts w:hint="eastAsia"/>
          <w:u w:color="000000"/>
          <w:bdr w:val="nil"/>
        </w:rPr>
        <w:t>政治参与的所有限制，是全面落实</w:t>
      </w:r>
      <w:r w:rsidRPr="00D07C27">
        <w:rPr>
          <w:snapToGrid w:val="0"/>
        </w:rPr>
        <w:t>参与政治和公共事务权利的</w:t>
      </w:r>
      <w:r w:rsidRPr="00D07C27">
        <w:rPr>
          <w:rFonts w:hint="eastAsia"/>
          <w:u w:color="000000"/>
          <w:bdr w:val="nil"/>
        </w:rPr>
        <w:t>另一关键步骤。</w:t>
      </w:r>
      <w:r w:rsidRPr="005B17D2">
        <w:rPr>
          <w:vertAlign w:val="superscript"/>
        </w:rPr>
        <w:footnoteReference w:id="71"/>
      </w:r>
      <w:r w:rsidR="00473883">
        <w:rPr>
          <w:rFonts w:hint="eastAsia"/>
          <w:u w:color="000000"/>
          <w:bdr w:val="nil"/>
        </w:rPr>
        <w:t xml:space="preserve"> </w:t>
      </w:r>
      <w:r w:rsidRPr="00D07C27">
        <w:rPr>
          <w:rFonts w:hint="eastAsia"/>
          <w:u w:color="000000"/>
          <w:bdr w:val="nil"/>
        </w:rPr>
        <w:t>奥地利取消了对残疾人选举权和被选举权的所有限制；</w:t>
      </w:r>
      <w:r w:rsidRPr="00D07C27">
        <w:rPr>
          <w:snapToGrid w:val="0"/>
        </w:rPr>
        <w:t>心理残疾或智障人士</w:t>
      </w:r>
      <w:r w:rsidRPr="00D07C27">
        <w:rPr>
          <w:rFonts w:hint="eastAsia"/>
          <w:u w:color="000000"/>
          <w:bdr w:val="nil"/>
        </w:rPr>
        <w:t>被允许在与其他人平等的基础上行使自己的政治权利。</w:t>
      </w:r>
      <w:r w:rsidRPr="005B17D2">
        <w:rPr>
          <w:vertAlign w:val="superscript"/>
        </w:rPr>
        <w:footnoteReference w:id="72"/>
      </w:r>
      <w:r w:rsidRPr="00D07C27">
        <w:rPr>
          <w:u w:color="000000"/>
          <w:bdr w:val="nil"/>
        </w:rPr>
        <w:t xml:space="preserve"> </w:t>
      </w:r>
    </w:p>
    <w:p w:rsidR="00A97F79" w:rsidRPr="00A97F79" w:rsidRDefault="00A97F79" w:rsidP="00A97F79">
      <w:pPr>
        <w:pStyle w:val="Sponsors"/>
        <w:spacing w:line="120" w:lineRule="exact"/>
        <w:rPr>
          <w:rFonts w:eastAsia="Calibri"/>
          <w:sz w:val="10"/>
          <w:u w:color="000000"/>
          <w:bdr w:val="nil"/>
        </w:rPr>
      </w:pPr>
    </w:p>
    <w:p w:rsidR="00A97F79" w:rsidRPr="00A97F79" w:rsidRDefault="00A97F79" w:rsidP="00A97F79">
      <w:pPr>
        <w:pStyle w:val="Sponsors"/>
        <w:spacing w:line="120" w:lineRule="exact"/>
        <w:rPr>
          <w:rFonts w:eastAsia="Calibri"/>
          <w:sz w:val="10"/>
          <w:u w:color="000000"/>
          <w:bdr w:val="nil"/>
        </w:rPr>
      </w:pPr>
    </w:p>
    <w:p w:rsidR="005B17D2" w:rsidRPr="00D07C27" w:rsidRDefault="005B17D2" w:rsidP="00A97F79">
      <w:pPr>
        <w:pStyle w:val="Sponsors"/>
        <w:rPr>
          <w:u w:color="000000"/>
          <w:bdr w:val="nil"/>
        </w:rPr>
      </w:pPr>
      <w:r w:rsidRPr="00D07C27">
        <w:rPr>
          <w:rFonts w:eastAsia="Calibri"/>
          <w:u w:color="000000"/>
          <w:bdr w:val="nil"/>
        </w:rPr>
        <w:tab/>
      </w:r>
      <w:r w:rsidRPr="00D07C27">
        <w:rPr>
          <w:rFonts w:eastAsia="Calibri"/>
          <w:u w:color="000000"/>
          <w:bdr w:val="nil"/>
        </w:rPr>
        <w:tab/>
      </w:r>
      <w:r w:rsidRPr="00D07C27">
        <w:rPr>
          <w:rFonts w:hint="eastAsia"/>
          <w:u w:color="000000"/>
          <w:bdr w:val="nil"/>
        </w:rPr>
        <w:t>其他弱势群体</w:t>
      </w:r>
    </w:p>
    <w:p w:rsidR="00A97F79" w:rsidRPr="00A97F79" w:rsidRDefault="00A97F79" w:rsidP="00A97F79">
      <w:pPr>
        <w:pStyle w:val="SingleTxt"/>
        <w:spacing w:after="0" w:line="120" w:lineRule="exact"/>
        <w:rPr>
          <w:rFonts w:eastAsia="Calibri"/>
          <w:sz w:val="10"/>
          <w:u w:color="000000"/>
          <w:bdr w:val="nil"/>
        </w:rPr>
      </w:pPr>
    </w:p>
    <w:p w:rsidR="005B17D2" w:rsidRPr="00D07C27" w:rsidRDefault="005B17D2" w:rsidP="00A97F79">
      <w:pPr>
        <w:pStyle w:val="SingleTxt"/>
        <w:rPr>
          <w:u w:color="000000"/>
          <w:bdr w:val="nil"/>
        </w:rPr>
      </w:pPr>
      <w:r w:rsidRPr="00D07C27">
        <w:rPr>
          <w:rFonts w:eastAsia="Calibri"/>
          <w:u w:color="000000"/>
          <w:bdr w:val="nil"/>
        </w:rPr>
        <w:t>63.</w:t>
      </w:r>
      <w:r w:rsidR="00A97F79">
        <w:rPr>
          <w:rFonts w:eastAsiaTheme="minorEastAsia" w:hint="eastAsia"/>
          <w:u w:color="000000"/>
          <w:bdr w:val="nil"/>
        </w:rPr>
        <w:t xml:space="preserve">  </w:t>
      </w:r>
      <w:r w:rsidRPr="00D07C27">
        <w:rPr>
          <w:rFonts w:hint="eastAsia"/>
          <w:u w:color="000000"/>
          <w:bdr w:val="nil"/>
        </w:rPr>
        <w:t>越来越多的国家允许非公民以某种形式参与其境内的地方选举。</w:t>
      </w:r>
      <w:r w:rsidRPr="005B17D2">
        <w:rPr>
          <w:rFonts w:eastAsia="Calibri"/>
          <w:vertAlign w:val="superscript"/>
        </w:rPr>
        <w:footnoteReference w:id="73"/>
      </w:r>
      <w:r w:rsidR="00A97F79">
        <w:rPr>
          <w:rFonts w:hint="eastAsia"/>
          <w:u w:color="000000"/>
          <w:bdr w:val="nil"/>
        </w:rPr>
        <w:t xml:space="preserve"> </w:t>
      </w:r>
      <w:r>
        <w:rPr>
          <w:rFonts w:hint="eastAsia"/>
          <w:u w:color="000000"/>
          <w:bdr w:val="nil"/>
        </w:rPr>
        <w:t>挪威报告说，向移民组织提供了赠款，以协助参与、对话和互动。许多国家</w:t>
      </w:r>
      <w:r w:rsidRPr="00D07C27">
        <w:rPr>
          <w:rFonts w:hint="eastAsia"/>
          <w:u w:color="000000"/>
          <w:bdr w:val="nil"/>
        </w:rPr>
        <w:t>制定了国家和地方各级与移民社区协商的制度。意大利一些市镇为代表一国或地区的外国人建立了</w:t>
      </w:r>
      <w:r w:rsidRPr="00D07C27">
        <w:rPr>
          <w:snapToGrid w:val="0"/>
        </w:rPr>
        <w:t>协商委员会</w:t>
      </w:r>
      <w:r w:rsidRPr="00D07C27">
        <w:rPr>
          <w:rFonts w:hint="eastAsia"/>
          <w:u w:color="000000"/>
          <w:bdr w:val="nil"/>
        </w:rPr>
        <w:t>。</w:t>
      </w:r>
      <w:r w:rsidRPr="005B17D2">
        <w:rPr>
          <w:rFonts w:eastAsia="Calibri"/>
          <w:vertAlign w:val="superscript"/>
        </w:rPr>
        <w:footnoteReference w:id="74"/>
      </w:r>
      <w:r w:rsidR="00A97F79">
        <w:rPr>
          <w:rFonts w:hint="eastAsia"/>
          <w:u w:color="000000"/>
          <w:bdr w:val="nil"/>
        </w:rPr>
        <w:t xml:space="preserve"> </w:t>
      </w:r>
      <w:r w:rsidRPr="00D07C27">
        <w:rPr>
          <w:rFonts w:hint="eastAsia"/>
          <w:u w:color="000000"/>
          <w:bdr w:val="nil"/>
        </w:rPr>
        <w:t>葡萄牙任命了一位移民和</w:t>
      </w:r>
      <w:r w:rsidRPr="00D07C27">
        <w:rPr>
          <w:snapToGrid w:val="0"/>
        </w:rPr>
        <w:t>少数族裔</w:t>
      </w:r>
      <w:r w:rsidRPr="00D07C27">
        <w:rPr>
          <w:rFonts w:hint="eastAsia"/>
          <w:snapToGrid w:val="0"/>
        </w:rPr>
        <w:t>事务</w:t>
      </w:r>
      <w:r w:rsidRPr="00D07C27">
        <w:rPr>
          <w:rFonts w:hint="eastAsia"/>
          <w:u w:color="000000"/>
          <w:bdr w:val="nil"/>
        </w:rPr>
        <w:t>高级专员，其作用是就法律草案和实施直接影响移民的法律问题与移民组织协商。</w:t>
      </w:r>
      <w:r w:rsidRPr="005B17D2">
        <w:rPr>
          <w:rFonts w:eastAsia="Calibri"/>
          <w:vertAlign w:val="superscript"/>
        </w:rPr>
        <w:footnoteReference w:id="75"/>
      </w:r>
    </w:p>
    <w:p w:rsidR="005B17D2" w:rsidRPr="00D07C27" w:rsidRDefault="005B17D2" w:rsidP="00A97F79">
      <w:pPr>
        <w:pStyle w:val="SingleTxt"/>
        <w:rPr>
          <w:u w:color="000000"/>
          <w:bdr w:val="nil"/>
        </w:rPr>
      </w:pPr>
      <w:r w:rsidRPr="00D07C27">
        <w:rPr>
          <w:rFonts w:eastAsia="Arial Unicode MS"/>
          <w:bdr w:val="nil"/>
        </w:rPr>
        <w:t>64.</w:t>
      </w:r>
      <w:r w:rsidR="00A97F79">
        <w:rPr>
          <w:rFonts w:eastAsia="Arial Unicode MS" w:hint="eastAsia"/>
          <w:bdr w:val="nil"/>
        </w:rPr>
        <w:t xml:space="preserve">  </w:t>
      </w:r>
      <w:r w:rsidRPr="00A97F79">
        <w:rPr>
          <w:rFonts w:hint="eastAsia"/>
          <w:spacing w:val="4"/>
          <w:u w:color="000000"/>
          <w:bdr w:val="nil"/>
        </w:rPr>
        <w:t>儿童权利委员会呼吁各国政府做出新的努力，确保儿童的意见得到听取和考虑。</w:t>
      </w:r>
      <w:r w:rsidRPr="005B17D2">
        <w:rPr>
          <w:vertAlign w:val="superscript"/>
        </w:rPr>
        <w:footnoteReference w:id="76"/>
      </w:r>
      <w:r>
        <w:rPr>
          <w:rFonts w:hint="eastAsia"/>
          <w:u w:color="000000"/>
          <w:bdr w:val="nil"/>
        </w:rPr>
        <w:t xml:space="preserve"> </w:t>
      </w:r>
      <w:r w:rsidRPr="00D07C27">
        <w:rPr>
          <w:rFonts w:hint="eastAsia"/>
          <w:u w:color="000000"/>
          <w:bdr w:val="nil"/>
        </w:rPr>
        <w:t>这方面的一个积极的举措是，南非推出了“儿童行动”项目，以便将儿童参与纳入议会听证和公开辩论。</w:t>
      </w:r>
      <w:r w:rsidRPr="005B17D2">
        <w:rPr>
          <w:rFonts w:eastAsia="Arial Unicode MS"/>
          <w:vertAlign w:val="superscript"/>
        </w:rPr>
        <w:footnoteReference w:id="77"/>
      </w:r>
      <w:r>
        <w:rPr>
          <w:rFonts w:hint="eastAsia"/>
          <w:u w:color="000000"/>
          <w:bdr w:val="nil"/>
        </w:rPr>
        <w:t xml:space="preserve"> </w:t>
      </w:r>
      <w:r w:rsidRPr="00D07C27">
        <w:rPr>
          <w:rFonts w:hint="eastAsia"/>
          <w:u w:color="000000"/>
          <w:bdr w:val="nil"/>
        </w:rPr>
        <w:t>厄瓜多尔《宪法》规定了儿童和青少年的社会参与权和就影响他们的事务得到咨询的权利，该国据此于</w:t>
      </w:r>
      <w:r w:rsidRPr="00D07C27">
        <w:rPr>
          <w:rFonts w:hint="eastAsia"/>
          <w:u w:color="000000"/>
          <w:bdr w:val="nil"/>
        </w:rPr>
        <w:t>2007</w:t>
      </w:r>
      <w:r w:rsidRPr="00D07C27">
        <w:rPr>
          <w:rFonts w:hint="eastAsia"/>
          <w:u w:color="000000"/>
          <w:bdr w:val="nil"/>
        </w:rPr>
        <w:t>年设立了儿童和青少年咨询委员会。至于</w:t>
      </w:r>
      <w:r>
        <w:rPr>
          <w:rFonts w:hint="eastAsia"/>
          <w:u w:color="000000"/>
          <w:bdr w:val="nil"/>
        </w:rPr>
        <w:t>青</w:t>
      </w:r>
      <w:r w:rsidRPr="00D07C27">
        <w:rPr>
          <w:rFonts w:hint="eastAsia"/>
          <w:u w:color="000000"/>
          <w:bdr w:val="nil"/>
        </w:rPr>
        <w:t>年选民，阿根廷于</w:t>
      </w:r>
      <w:r w:rsidRPr="00D07C27">
        <w:rPr>
          <w:rFonts w:hint="eastAsia"/>
          <w:u w:color="000000"/>
          <w:bdr w:val="nil"/>
        </w:rPr>
        <w:t>2012</w:t>
      </w:r>
      <w:r w:rsidRPr="00D07C27">
        <w:rPr>
          <w:rFonts w:hint="eastAsia"/>
          <w:u w:color="000000"/>
          <w:bdr w:val="nil"/>
        </w:rPr>
        <w:t>年将投票年龄从</w:t>
      </w:r>
      <w:r w:rsidRPr="00D07C27">
        <w:rPr>
          <w:rFonts w:hint="eastAsia"/>
          <w:u w:color="000000"/>
          <w:bdr w:val="nil"/>
        </w:rPr>
        <w:t>18</w:t>
      </w:r>
      <w:r w:rsidRPr="00D07C27">
        <w:rPr>
          <w:rFonts w:hint="eastAsia"/>
          <w:u w:color="000000"/>
          <w:bdr w:val="nil"/>
        </w:rPr>
        <w:t>岁下调到</w:t>
      </w:r>
      <w:r w:rsidRPr="00D07C27">
        <w:rPr>
          <w:rFonts w:hint="eastAsia"/>
          <w:u w:color="000000"/>
          <w:bdr w:val="nil"/>
        </w:rPr>
        <w:t>16</w:t>
      </w:r>
      <w:r w:rsidRPr="00D07C27">
        <w:rPr>
          <w:rFonts w:hint="eastAsia"/>
          <w:u w:color="000000"/>
          <w:bdr w:val="nil"/>
        </w:rPr>
        <w:t>岁，其从而使近</w:t>
      </w:r>
      <w:r>
        <w:rPr>
          <w:rFonts w:hint="eastAsia"/>
          <w:u w:color="000000"/>
          <w:bdr w:val="nil"/>
        </w:rPr>
        <w:t>150</w:t>
      </w:r>
      <w:r>
        <w:rPr>
          <w:rFonts w:hint="eastAsia"/>
          <w:u w:color="000000"/>
          <w:bdr w:val="nil"/>
        </w:rPr>
        <w:t>万</w:t>
      </w:r>
      <w:r w:rsidRPr="00D07C27">
        <w:rPr>
          <w:rFonts w:hint="eastAsia"/>
          <w:u w:color="000000"/>
          <w:bdr w:val="nil"/>
        </w:rPr>
        <w:t>年轻人被列入选民名册。其他允许</w:t>
      </w:r>
      <w:r w:rsidRPr="00D07C27">
        <w:rPr>
          <w:rFonts w:hint="eastAsia"/>
          <w:u w:color="000000"/>
          <w:bdr w:val="nil"/>
        </w:rPr>
        <w:t>16</w:t>
      </w:r>
      <w:r w:rsidRPr="00D07C27">
        <w:rPr>
          <w:rFonts w:hint="eastAsia"/>
          <w:u w:color="000000"/>
          <w:bdr w:val="nil"/>
        </w:rPr>
        <w:t>岁投票的国家包括奥地利、古巴、厄瓜多尔和尼加拉瓜。埃及采用法定配额，规定四分之一的地方议会席位分配给</w:t>
      </w:r>
      <w:r w:rsidRPr="00D07C27">
        <w:rPr>
          <w:rFonts w:hint="eastAsia"/>
          <w:u w:color="000000"/>
          <w:bdr w:val="nil"/>
        </w:rPr>
        <w:t>35</w:t>
      </w:r>
      <w:r w:rsidRPr="00D07C27">
        <w:rPr>
          <w:rFonts w:hint="eastAsia"/>
          <w:u w:color="000000"/>
          <w:bdr w:val="nil"/>
        </w:rPr>
        <w:t>以下的年轻人。</w:t>
      </w:r>
    </w:p>
    <w:p w:rsidR="005B17D2" w:rsidRPr="00D07C27" w:rsidRDefault="005B17D2" w:rsidP="00A97F79">
      <w:pPr>
        <w:pStyle w:val="SingleTxt"/>
        <w:rPr>
          <w:bdr w:val="nil"/>
        </w:rPr>
      </w:pPr>
      <w:r w:rsidRPr="00D07C27">
        <w:rPr>
          <w:bdr w:val="nil"/>
        </w:rPr>
        <w:t>65.</w:t>
      </w:r>
      <w:r w:rsidR="00A97F79">
        <w:rPr>
          <w:rFonts w:hint="eastAsia"/>
          <w:bdr w:val="nil"/>
        </w:rPr>
        <w:t xml:space="preserve">  </w:t>
      </w:r>
      <w:r w:rsidRPr="00D07C27">
        <w:rPr>
          <w:u w:color="000000"/>
          <w:bdr w:val="nil"/>
        </w:rPr>
        <w:t>为了克服障碍，切实保护男女同性恋、双性恋、变性</w:t>
      </w:r>
      <w:r>
        <w:rPr>
          <w:u w:color="000000"/>
          <w:bdr w:val="nil"/>
        </w:rPr>
        <w:t>人和两性人参与政治和公共事务的权利，各国打击暴力、废除歧视性法律，并确保</w:t>
      </w:r>
      <w:r>
        <w:rPr>
          <w:rFonts w:hint="eastAsia"/>
          <w:u w:color="000000"/>
          <w:bdr w:val="nil"/>
        </w:rPr>
        <w:t>反</w:t>
      </w:r>
      <w:r w:rsidRPr="00D07C27">
        <w:rPr>
          <w:u w:color="000000"/>
          <w:bdr w:val="nil"/>
        </w:rPr>
        <w:t>歧视法</w:t>
      </w:r>
      <w:r w:rsidRPr="00D07C27">
        <w:rPr>
          <w:rFonts w:hint="eastAsia"/>
          <w:u w:color="000000"/>
          <w:bdr w:val="nil"/>
        </w:rPr>
        <w:t>律</w:t>
      </w:r>
      <w:r w:rsidRPr="00D07C27">
        <w:rPr>
          <w:snapToGrid w:val="0"/>
        </w:rPr>
        <w:t>将性取向和性别认同列入被禁止的理由，并保护双性人免遭歧视</w:t>
      </w:r>
      <w:r w:rsidRPr="00D07C27">
        <w:rPr>
          <w:rFonts w:hint="eastAsia"/>
          <w:u w:color="000000"/>
          <w:bdr w:val="nil"/>
        </w:rPr>
        <w:t>十分关键。</w:t>
      </w:r>
      <w:r w:rsidRPr="005B17D2">
        <w:rPr>
          <w:rFonts w:eastAsia="Arial Unicode MS"/>
          <w:vertAlign w:val="superscript"/>
        </w:rPr>
        <w:footnoteReference w:id="78"/>
      </w:r>
      <w:r>
        <w:rPr>
          <w:rFonts w:hint="eastAsia"/>
          <w:u w:color="000000"/>
          <w:bdr w:val="nil"/>
        </w:rPr>
        <w:t xml:space="preserve"> </w:t>
      </w:r>
      <w:r w:rsidRPr="00D07C27">
        <w:rPr>
          <w:u w:color="000000"/>
          <w:bdr w:val="nil"/>
        </w:rPr>
        <w:t>斐济最近在《宪法》中增加</w:t>
      </w:r>
      <w:r w:rsidRPr="00D07C27">
        <w:rPr>
          <w:rFonts w:hint="eastAsia"/>
          <w:u w:color="000000"/>
          <w:bdr w:val="nil"/>
        </w:rPr>
        <w:t>了</w:t>
      </w:r>
      <w:r w:rsidRPr="00D07C27">
        <w:rPr>
          <w:u w:color="000000"/>
          <w:bdr w:val="nil"/>
        </w:rPr>
        <w:t>禁止</w:t>
      </w:r>
      <w:r w:rsidRPr="00D07C27">
        <w:rPr>
          <w:rFonts w:hint="eastAsia"/>
          <w:u w:color="000000"/>
          <w:bdr w:val="nil"/>
        </w:rPr>
        <w:t>基于</w:t>
      </w:r>
      <w:r w:rsidRPr="00D07C27">
        <w:rPr>
          <w:u w:color="000000"/>
          <w:bdr w:val="nil"/>
        </w:rPr>
        <w:t>性取向、性别认同和性别表达理由歧视的条款。反歧视法</w:t>
      </w:r>
      <w:r w:rsidRPr="00D07C27">
        <w:rPr>
          <w:rFonts w:hint="eastAsia"/>
          <w:u w:color="000000"/>
          <w:bdr w:val="nil"/>
        </w:rPr>
        <w:t>在若干国家</w:t>
      </w:r>
      <w:r w:rsidRPr="00D07C27">
        <w:rPr>
          <w:u w:color="000000"/>
          <w:bdr w:val="nil"/>
        </w:rPr>
        <w:t>也得到加强，</w:t>
      </w:r>
      <w:r w:rsidRPr="00D07C27">
        <w:rPr>
          <w:rFonts w:hint="eastAsia"/>
          <w:u w:color="000000"/>
          <w:bdr w:val="nil"/>
        </w:rPr>
        <w:t>其中包括</w:t>
      </w:r>
      <w:r w:rsidRPr="00D07C27">
        <w:rPr>
          <w:u w:color="000000"/>
          <w:bdr w:val="nil"/>
        </w:rPr>
        <w:t>澳大利亚、智利、古巴、格鲁吉亚、马耳他、摩尔多瓦和黑山。此外，巴西、加拿大、法国、挪威、南非</w:t>
      </w:r>
      <w:r w:rsidRPr="00D07C27">
        <w:rPr>
          <w:rFonts w:hint="eastAsia"/>
          <w:u w:color="000000"/>
          <w:bdr w:val="nil"/>
        </w:rPr>
        <w:t>、</w:t>
      </w:r>
      <w:r w:rsidRPr="00D07C27">
        <w:rPr>
          <w:u w:color="000000"/>
          <w:bdr w:val="nil"/>
        </w:rPr>
        <w:t>大不列颠及北爱尔兰联合王国和乌拉圭</w:t>
      </w:r>
      <w:r w:rsidRPr="00D07C27">
        <w:rPr>
          <w:rFonts w:hint="eastAsia"/>
          <w:u w:color="000000"/>
          <w:bdr w:val="nil"/>
        </w:rPr>
        <w:t>正在</w:t>
      </w:r>
      <w:r w:rsidRPr="00D07C27">
        <w:rPr>
          <w:u w:color="000000"/>
          <w:bdr w:val="nil"/>
        </w:rPr>
        <w:t>通过</w:t>
      </w:r>
      <w:r w:rsidRPr="00D07C27">
        <w:rPr>
          <w:snapToGrid w:val="0"/>
        </w:rPr>
        <w:t>反仇恨罪法、</w:t>
      </w:r>
      <w:r w:rsidRPr="00D07C27">
        <w:rPr>
          <w:u w:color="000000"/>
          <w:bdr w:val="nil"/>
        </w:rPr>
        <w:t>旨在</w:t>
      </w:r>
      <w:r w:rsidRPr="00D07C27">
        <w:rPr>
          <w:rFonts w:hint="eastAsia"/>
          <w:u w:color="000000"/>
          <w:bdr w:val="nil"/>
        </w:rPr>
        <w:t>打击</w:t>
      </w:r>
      <w:r w:rsidRPr="00D07C27">
        <w:rPr>
          <w:snapToGrid w:val="0"/>
        </w:rPr>
        <w:t>仇视同性恋和</w:t>
      </w:r>
      <w:r>
        <w:rPr>
          <w:rFonts w:hint="eastAsia"/>
          <w:snapToGrid w:val="0"/>
        </w:rPr>
        <w:t>仇视</w:t>
      </w:r>
      <w:r w:rsidRPr="00D07C27">
        <w:rPr>
          <w:snapToGrid w:val="0"/>
        </w:rPr>
        <w:t>变性</w:t>
      </w:r>
      <w:r>
        <w:rPr>
          <w:rFonts w:hint="eastAsia"/>
          <w:snapToGrid w:val="0"/>
        </w:rPr>
        <w:t>人</w:t>
      </w:r>
      <w:r w:rsidRPr="00D07C27">
        <w:rPr>
          <w:snapToGrid w:val="0"/>
        </w:rPr>
        <w:t>暴力</w:t>
      </w:r>
      <w:r w:rsidRPr="00D07C27">
        <w:rPr>
          <w:u w:color="000000"/>
          <w:bdr w:val="nil"/>
        </w:rPr>
        <w:t>和歧视</w:t>
      </w:r>
      <w:r w:rsidRPr="00D07C27">
        <w:rPr>
          <w:rFonts w:hint="eastAsia"/>
          <w:u w:color="000000"/>
          <w:bdr w:val="nil"/>
        </w:rPr>
        <w:t>的</w:t>
      </w:r>
      <w:r w:rsidRPr="00D07C27">
        <w:rPr>
          <w:u w:color="000000"/>
          <w:bdr w:val="nil"/>
        </w:rPr>
        <w:t>国家行动计划和公众教育活动，</w:t>
      </w:r>
      <w:r w:rsidRPr="00D07C27">
        <w:rPr>
          <w:rFonts w:hint="eastAsia"/>
          <w:u w:color="000000"/>
          <w:bdr w:val="nil"/>
        </w:rPr>
        <w:t>反对</w:t>
      </w:r>
      <w:r w:rsidRPr="00D07C27">
        <w:rPr>
          <w:u w:color="000000"/>
          <w:bdr w:val="nil"/>
        </w:rPr>
        <w:t>暴力和</w:t>
      </w:r>
      <w:r w:rsidRPr="00D07C27">
        <w:rPr>
          <w:rFonts w:hint="eastAsia"/>
          <w:u w:color="000000"/>
          <w:bdr w:val="nil"/>
        </w:rPr>
        <w:t>羞</w:t>
      </w:r>
      <w:r w:rsidRPr="00D07C27">
        <w:rPr>
          <w:u w:color="000000"/>
          <w:bdr w:val="nil"/>
        </w:rPr>
        <w:t>辱。</w:t>
      </w:r>
      <w:r w:rsidRPr="005B17D2">
        <w:rPr>
          <w:vertAlign w:val="superscript"/>
        </w:rPr>
        <w:footnoteReference w:id="79"/>
      </w:r>
    </w:p>
    <w:p w:rsidR="00A97F79" w:rsidRPr="00A97F79" w:rsidRDefault="00A97F79" w:rsidP="00A97F7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u w:color="000000"/>
          <w:bdr w:val="nil"/>
        </w:rPr>
      </w:pPr>
    </w:p>
    <w:p w:rsidR="00A97F79" w:rsidRPr="00A97F79" w:rsidRDefault="00A97F79" w:rsidP="00A97F7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u w:color="000000"/>
          <w:bdr w:val="nil"/>
        </w:rPr>
      </w:pPr>
    </w:p>
    <w:p w:rsidR="00A97F79" w:rsidRPr="00A97F79" w:rsidRDefault="00A97F79" w:rsidP="00A97F7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u w:color="000000"/>
          <w:bdr w:val="nil"/>
        </w:rPr>
      </w:pPr>
    </w:p>
    <w:p w:rsidR="005B17D2" w:rsidRPr="00A97F79" w:rsidRDefault="005B17D2" w:rsidP="0047388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u w:color="000000"/>
          <w:bdr w:val="nil"/>
        </w:rPr>
      </w:pPr>
      <w:r w:rsidRPr="00A97F79">
        <w:rPr>
          <w:u w:color="000000"/>
          <w:bdr w:val="nil"/>
        </w:rPr>
        <w:tab/>
      </w:r>
      <w:r w:rsidRPr="00A97F79">
        <w:rPr>
          <w:rFonts w:hint="eastAsia"/>
          <w:u w:color="000000"/>
          <w:bdr w:val="nil"/>
        </w:rPr>
        <w:t>五</w:t>
      </w:r>
      <w:r w:rsidRPr="00A97F79">
        <w:rPr>
          <w:u w:color="000000"/>
          <w:bdr w:val="nil"/>
        </w:rPr>
        <w:t>.</w:t>
      </w:r>
      <w:r w:rsidRPr="00A97F79">
        <w:rPr>
          <w:u w:color="000000"/>
          <w:bdr w:val="nil"/>
        </w:rPr>
        <w:tab/>
      </w:r>
      <w:r w:rsidR="00473883">
        <w:rPr>
          <w:rFonts w:hint="eastAsia"/>
          <w:u w:color="000000"/>
          <w:bdr w:val="nil"/>
        </w:rPr>
        <w:t>结论和建议</w:t>
      </w:r>
    </w:p>
    <w:p w:rsidR="00A97F79" w:rsidRPr="00A97F79" w:rsidRDefault="00A97F79" w:rsidP="00A97F79">
      <w:pPr>
        <w:pStyle w:val="SingleTxt"/>
        <w:spacing w:after="0" w:line="120" w:lineRule="exact"/>
        <w:rPr>
          <w:rFonts w:ascii="SimHei" w:eastAsia="SimHei" w:hAnsi="SimHei"/>
          <w:sz w:val="10"/>
          <w:u w:color="000000"/>
          <w:bdr w:val="nil"/>
        </w:rPr>
      </w:pPr>
    </w:p>
    <w:p w:rsidR="00A97F79" w:rsidRPr="00A97F79" w:rsidRDefault="00A97F79" w:rsidP="00A97F79">
      <w:pPr>
        <w:pStyle w:val="SingleTxt"/>
        <w:spacing w:after="0" w:line="120" w:lineRule="exact"/>
        <w:rPr>
          <w:rFonts w:ascii="SimHei" w:eastAsia="SimHei" w:hAnsi="SimHei"/>
          <w:sz w:val="10"/>
          <w:u w:color="000000"/>
          <w:bdr w:val="nil"/>
        </w:rPr>
      </w:pP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66.</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参与政治和公共事务的权利作为一项人权本身和作为享有其他各项人权的推动因素都至关重要，但该项权利的充分实现继续面临各种障碍。不合理和歧视性的限制，无论是基于种族、肤色、性别、残疾、语言、宗教、政治或其他见解、国籍或社会出身、财产、出生或其他身份的限制，都非法限制了这一权利的行使。</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67.</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没有足够的政治意愿让公众充分参与，阻止参与和限制民主空间的法律或实际措施构成对落实</w:t>
      </w:r>
      <w:r w:rsidRPr="005B17D2">
        <w:rPr>
          <w:rFonts w:ascii="SimHei" w:eastAsia="SimHei" w:hAnsi="SimHei"/>
          <w:b/>
          <w:bCs/>
          <w:snapToGrid w:val="0"/>
        </w:rPr>
        <w:t>参与政治和公共事务的权利</w:t>
      </w:r>
      <w:r w:rsidRPr="005B17D2">
        <w:rPr>
          <w:rFonts w:ascii="SimHei" w:eastAsia="SimHei" w:hAnsi="SimHei" w:hint="eastAsia"/>
          <w:b/>
          <w:bCs/>
          <w:u w:color="000000"/>
          <w:bdr w:val="nil"/>
        </w:rPr>
        <w:t>的主要挑战。现有的结构性不平等，如贫困，以及传统政治参与形式的衰落对政治和公共参与构成了更多的挑战。</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68.</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歧视，包括交叉和多重形式的歧视，和有关群体面临的具体挑战，妨碍了妇女和边缘化群体的充分参与，如土著人民、少数民族成员、残疾人和男女同性恋、双性恋、变性人和两性人。此种歧视的范围从性别定型观念到不承认土著人民，从少数群体成员在管理机构中缺乏代表性到使残疾人无法进入投票站的有形障碍。</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69.</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为了充分享受参与政治和公共事务的权利，要求行使其他许多国际上受保护的权利，如见解和言论自由（包括获取信息）、结社自由及和平集会自由。必须保证所有人的这些权利，包括非公民、移民、难民、寻求庇护者和无国籍人。</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70.</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各国采取了许多措施，以克服上述挑战，增加政治和公共事务的参与程度。关于选举权和被选举权，有几个国家已采用了替代投票办法，如电子投票、移动投票站、邮寄投票和提前投票，以增加选举的参与程度。越来越多的国家将有限投票权扩大到非公民，有些国家允许非公民作为候选人参加地方选举，和成为自治机构理事会成员。配额可能会增加妇女、男女同性恋、双性恋、变性人和少数群体成员获得选任职位的机会。配额在得到监督并伴有违规处罚时，效果最佳。</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71.</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在该项权利本身，以及平等和不歧视的权利得到国家法律承认，在对这一权利的限制为例外并符合合理和客观的标准时，充分和有效参与政治和公共事务的参与才能得到最佳的保证。参与政治和公共事务的权利应可依法强制执行，剥夺这项权利的事项应受到司法质疑</w:t>
      </w:r>
      <w:r w:rsidRPr="005B17D2">
        <w:rPr>
          <w:rFonts w:ascii="SimHei" w:eastAsia="SimHei" w:hAnsi="SimHei"/>
          <w:b/>
          <w:bCs/>
          <w:u w:color="000000"/>
          <w:bdr w:val="nil"/>
        </w:rPr>
        <w:t>。</w:t>
      </w:r>
      <w:r w:rsidRPr="005B17D2">
        <w:rPr>
          <w:rFonts w:ascii="SimHei" w:eastAsia="SimHei" w:hAnsi="SimHei" w:hint="eastAsia"/>
          <w:b/>
          <w:bCs/>
          <w:u w:color="000000"/>
          <w:bdr w:val="nil"/>
        </w:rPr>
        <w:t>如果确定有违反事项，应有适当的补救办法。</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72.</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阐明个人和团体参与设计、实施和评价</w:t>
      </w:r>
      <w:r w:rsidRPr="005B17D2">
        <w:rPr>
          <w:rFonts w:ascii="SimHei" w:eastAsia="SimHei" w:hAnsi="SimHei"/>
          <w:b/>
          <w:bCs/>
          <w:snapToGrid w:val="0"/>
        </w:rPr>
        <w:t>地方、国家</w:t>
      </w:r>
      <w:r w:rsidRPr="005B17D2">
        <w:rPr>
          <w:rFonts w:ascii="SimHei" w:eastAsia="SimHei" w:hAnsi="SimHei" w:hint="eastAsia"/>
          <w:b/>
          <w:bCs/>
          <w:snapToGrid w:val="0"/>
        </w:rPr>
        <w:t>和</w:t>
      </w:r>
      <w:r w:rsidRPr="005B17D2">
        <w:rPr>
          <w:rFonts w:ascii="SimHei" w:eastAsia="SimHei" w:hAnsi="SimHei"/>
          <w:b/>
          <w:bCs/>
          <w:snapToGrid w:val="0"/>
        </w:rPr>
        <w:t>国际各级</w:t>
      </w:r>
      <w:r w:rsidRPr="005B17D2">
        <w:rPr>
          <w:rFonts w:ascii="SimHei" w:eastAsia="SimHei" w:hAnsi="SimHei" w:hint="eastAsia"/>
          <w:b/>
          <w:bCs/>
          <w:u w:color="000000"/>
          <w:bdr w:val="nil"/>
        </w:rPr>
        <w:t>影响到他们权利任何政策、计划或战略的明确权利的法律框架，最有利于充分实现参与政治和公共事务的权利。</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73.</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参与政治和公共事务的权利的行使还取决于透明度和获得全面、最新和可理解的信息。这些信息应提前足够时间免费提供。在重要决定、如关于预算和资源分配开放供讨论之时，参与政治和公共事务得到加强。参与机制应基于赋予权力和能力建设。</w:t>
      </w:r>
    </w:p>
    <w:p w:rsidR="005B17D2" w:rsidRPr="005B17D2" w:rsidRDefault="005B17D2" w:rsidP="00A97F79">
      <w:pPr>
        <w:pStyle w:val="SingleTxt"/>
        <w:rPr>
          <w:rFonts w:ascii="SimHei" w:eastAsia="SimHei" w:hAnsi="SimHei"/>
          <w:b/>
          <w:bCs/>
          <w:bdr w:val="nil"/>
        </w:rPr>
      </w:pPr>
      <w:r w:rsidRPr="005B17D2">
        <w:rPr>
          <w:rFonts w:ascii="SimHei" w:eastAsia="SimHei" w:hAnsi="SimHei"/>
          <w:u w:color="000000"/>
          <w:bdr w:val="nil"/>
        </w:rPr>
        <w:t>74.</w:t>
      </w:r>
      <w:r w:rsidR="00A97F79">
        <w:rPr>
          <w:rFonts w:ascii="SimHei" w:eastAsia="SimHei" w:hAnsi="SimHei" w:hint="eastAsia"/>
          <w:u w:color="000000"/>
          <w:bdr w:val="nil"/>
        </w:rPr>
        <w:t xml:space="preserve">  </w:t>
      </w:r>
      <w:r w:rsidRPr="005B17D2">
        <w:rPr>
          <w:rFonts w:ascii="SimHei" w:eastAsia="SimHei" w:hAnsi="SimHei" w:hint="eastAsia"/>
          <w:b/>
          <w:bCs/>
          <w:bdr w:val="nil"/>
        </w:rPr>
        <w:t>可以通过多样化方案、单独招聘程序或扶持措施促进</w:t>
      </w:r>
      <w:r w:rsidRPr="005B17D2">
        <w:rPr>
          <w:rFonts w:ascii="SimHei" w:eastAsia="SimHei" w:hAnsi="SimHei" w:hint="eastAsia"/>
          <w:b/>
          <w:bCs/>
          <w:u w:color="000000"/>
          <w:bdr w:val="nil"/>
        </w:rPr>
        <w:t>作为政治和公共参与权组成部分的平等机会担任公职</w:t>
      </w:r>
      <w:r w:rsidRPr="005B17D2">
        <w:rPr>
          <w:rFonts w:ascii="SimHei" w:eastAsia="SimHei" w:hAnsi="SimHei" w:hint="eastAsia"/>
          <w:b/>
          <w:bCs/>
          <w:bdr w:val="nil"/>
        </w:rPr>
        <w:t>。</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75.</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公共生活</w:t>
      </w:r>
      <w:r w:rsidRPr="005B17D2">
        <w:rPr>
          <w:rFonts w:ascii="SimHei" w:eastAsia="SimHei" w:hAnsi="SimHei" w:hint="eastAsia"/>
          <w:u w:color="000000"/>
          <w:bdr w:val="nil"/>
        </w:rPr>
        <w:t>还</w:t>
      </w:r>
      <w:r w:rsidRPr="005B17D2">
        <w:rPr>
          <w:rFonts w:ascii="SimHei" w:eastAsia="SimHei" w:hAnsi="SimHei" w:hint="eastAsia"/>
          <w:b/>
          <w:bCs/>
          <w:u w:color="000000"/>
          <w:bdr w:val="nil"/>
        </w:rPr>
        <w:t>通过新的参与形式，如公民倡议和电子政务，以及通过使用信息和通信技术得到丰富。</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76.</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关于妇女参与政治和公共事务，各国报告说，鼓励各政党采取有效措施，确保将妇女置于候选人名单的前列，以便有更好的机会当选，和在政党结构高层职位有充分的代表性。同样重要的是，要</w:t>
      </w:r>
      <w:r w:rsidRPr="005B17D2">
        <w:rPr>
          <w:rFonts w:ascii="SimHei" w:eastAsia="SimHei" w:hAnsi="SimHei" w:hint="eastAsia"/>
          <w:b/>
          <w:bCs/>
          <w:snapToGrid w:val="0"/>
          <w:bdr w:val="nil"/>
        </w:rPr>
        <w:t>将有关妇女的问题纳入选举活动和平台，并任命妇女担任行政、立法和司法机构高级职位</w:t>
      </w:r>
      <w:r w:rsidRPr="005B17D2">
        <w:rPr>
          <w:rFonts w:ascii="SimHei" w:eastAsia="SimHei" w:hAnsi="SimHei" w:hint="eastAsia"/>
          <w:snapToGrid w:val="0"/>
          <w:bdr w:val="nil"/>
        </w:rPr>
        <w:t>。</w:t>
      </w:r>
      <w:r w:rsidRPr="005B17D2">
        <w:rPr>
          <w:rFonts w:ascii="SimHei" w:eastAsia="SimHei" w:hAnsi="SimHei" w:hint="eastAsia"/>
          <w:b/>
          <w:bCs/>
          <w:u w:color="000000"/>
          <w:bdr w:val="nil"/>
        </w:rPr>
        <w:t>许多国家提到选举名单男女候选人交替的“拉链”要求，提到国家向各政党供资以遵守增加妇女代表性的要求为条件。</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77.</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关于土著人民，增加其参与程度的措施包括以土著语文提供信息和与土著机构协商。如果没有进行协商，则通过司法命令责令采取各种措施，从宣布对政府项目的批准无效，尤其是在采矿、林业和能源部门，到补救受影响者。</w:t>
      </w:r>
    </w:p>
    <w:p w:rsidR="005B17D2" w:rsidRPr="005B17D2" w:rsidRDefault="005B17D2" w:rsidP="00A97F79">
      <w:pPr>
        <w:pStyle w:val="SingleTxt"/>
        <w:rPr>
          <w:rFonts w:ascii="SimHei" w:eastAsia="SimHei" w:hAnsi="SimHei"/>
          <w:b/>
          <w:bCs/>
          <w:u w:color="000000"/>
          <w:bdr w:val="nil"/>
        </w:rPr>
      </w:pPr>
      <w:r w:rsidRPr="005B17D2">
        <w:rPr>
          <w:rFonts w:ascii="SimHei" w:eastAsia="SimHei" w:hAnsi="SimHei"/>
          <w:u w:color="000000"/>
          <w:bdr w:val="nil"/>
        </w:rPr>
        <w:t>78.</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各国还提到与少数群体成员参与政治和公共事务有关的许多最佳做法。有些国家报告了降低少数群体参加选任机构的门槛；其他一些国家提到在选任机构为少数群体代表保留席位，选区做对其有利的划分，或设立少数群体代表组成的理事会。还可给予议会中的少数群体以特别程序权，如就直接影响到他们的问题提出或否决法案的权利。</w:t>
      </w:r>
    </w:p>
    <w:p w:rsidR="00442DDC" w:rsidRDefault="005B17D2" w:rsidP="00A97F79">
      <w:pPr>
        <w:pStyle w:val="SingleTxt"/>
        <w:rPr>
          <w:rFonts w:ascii="SimHei" w:eastAsia="SimHei" w:hAnsi="SimHei"/>
          <w:b/>
          <w:bCs/>
          <w:u w:color="000000"/>
          <w:bdr w:val="nil"/>
        </w:rPr>
      </w:pPr>
      <w:r w:rsidRPr="005B17D2">
        <w:rPr>
          <w:rFonts w:ascii="SimHei" w:eastAsia="SimHei" w:hAnsi="SimHei"/>
          <w:u w:color="000000"/>
          <w:bdr w:val="nil"/>
        </w:rPr>
        <w:t>79.</w:t>
      </w:r>
      <w:r w:rsidR="00A97F79">
        <w:rPr>
          <w:rFonts w:ascii="SimHei" w:eastAsia="SimHei" w:hAnsi="SimHei" w:hint="eastAsia"/>
          <w:u w:color="000000"/>
          <w:bdr w:val="nil"/>
        </w:rPr>
        <w:t xml:space="preserve">  </w:t>
      </w:r>
      <w:r w:rsidRPr="005B17D2">
        <w:rPr>
          <w:rFonts w:ascii="SimHei" w:eastAsia="SimHei" w:hAnsi="SimHei" w:hint="eastAsia"/>
          <w:b/>
          <w:bCs/>
          <w:u w:color="000000"/>
          <w:bdr w:val="nil"/>
        </w:rPr>
        <w:t>各国采取措施落实残疾人参与政治和公共事务的权利的实例包括：开展宣传活动;消除现有有形障碍;以无障碍形式提供信息和选票，包括通过使用新技术;和使残疾人参与在选举设备的设计和测试。为负责选举的官员举办培训班和消除对心理残疾或智障人士政治参与的限制也十分重要。</w:t>
      </w:r>
    </w:p>
    <w:p w:rsidR="00A97F79" w:rsidRPr="00A97F79" w:rsidRDefault="00A97F79" w:rsidP="00A97F79">
      <w:pPr>
        <w:pStyle w:val="SingleTxt"/>
        <w:spacing w:after="0" w:line="240" w:lineRule="auto"/>
        <w:rPr>
          <w:sz w:val="20"/>
          <w:lang w:val="en-GB"/>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A97F79" w:rsidRPr="00A97F79" w:rsidSect="00442DDC">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9T08:12:00Z" w:initials="Start">
    <w:p w:rsidR="00E14CCD" w:rsidRDefault="00E14CCD">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NO&gt;&gt;N1516394C&lt;&lt;ODS JOB NO&gt;&gt;</w:t>
      </w:r>
    </w:p>
    <w:p w:rsidR="00E14CCD" w:rsidRDefault="00E14CCD">
      <w:pPr>
        <w:pStyle w:val="CommentText"/>
      </w:pPr>
      <w:r>
        <w:t>&lt;&lt;ODS DOC SYMBOL1&gt;&gt;A/HRC/30/26&lt;&lt;ODS DOC SYMBOL1&gt;&gt;</w:t>
      </w:r>
    </w:p>
    <w:p w:rsidR="00E14CCD" w:rsidRDefault="00E14CC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CD" w:rsidRDefault="00E14CCD">
      <w:r>
        <w:separator/>
      </w:r>
    </w:p>
  </w:endnote>
  <w:endnote w:type="continuationSeparator" w:id="0">
    <w:p w:rsidR="00E14CCD" w:rsidRDefault="00E1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14CCD" w:rsidTr="00442DDC">
      <w:trPr>
        <w:jc w:val="center"/>
      </w:trPr>
      <w:tc>
        <w:tcPr>
          <w:tcW w:w="5126" w:type="dxa"/>
          <w:shd w:val="clear" w:color="auto" w:fill="auto"/>
        </w:tcPr>
        <w:p w:rsidR="00E14CCD" w:rsidRPr="00442DDC" w:rsidRDefault="00E14CCD" w:rsidP="00442DD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54DAB">
            <w:rPr>
              <w:b w:val="0"/>
              <w:w w:val="103"/>
              <w:sz w:val="14"/>
            </w:rPr>
            <w:t>GE.15-12429 (C)</w:t>
          </w:r>
          <w:r>
            <w:rPr>
              <w:b w:val="0"/>
              <w:w w:val="103"/>
              <w:sz w:val="14"/>
            </w:rPr>
            <w:fldChar w:fldCharType="end"/>
          </w:r>
        </w:p>
      </w:tc>
      <w:tc>
        <w:tcPr>
          <w:tcW w:w="5127" w:type="dxa"/>
          <w:shd w:val="clear" w:color="auto" w:fill="auto"/>
        </w:tcPr>
        <w:p w:rsidR="00E14CCD" w:rsidRPr="00442DDC" w:rsidRDefault="00E14CCD" w:rsidP="00442DDC">
          <w:pPr>
            <w:pStyle w:val="Footer"/>
            <w:jc w:val="left"/>
            <w:rPr>
              <w:w w:val="103"/>
            </w:rPr>
          </w:pPr>
          <w:r>
            <w:rPr>
              <w:w w:val="103"/>
            </w:rPr>
            <w:fldChar w:fldCharType="begin"/>
          </w:r>
          <w:r>
            <w:rPr>
              <w:w w:val="103"/>
            </w:rPr>
            <w:instrText xml:space="preserve"> PAGE  \* Arabic  \* MERGEFORMAT </w:instrText>
          </w:r>
          <w:r>
            <w:rPr>
              <w:w w:val="103"/>
            </w:rPr>
            <w:fldChar w:fldCharType="separate"/>
          </w:r>
          <w:r w:rsidR="008907D3">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907D3">
            <w:rPr>
              <w:w w:val="103"/>
            </w:rPr>
            <w:t>16</w:t>
          </w:r>
          <w:r>
            <w:rPr>
              <w:w w:val="103"/>
            </w:rPr>
            <w:fldChar w:fldCharType="end"/>
          </w:r>
        </w:p>
      </w:tc>
    </w:tr>
  </w:tbl>
  <w:p w:rsidR="00E14CCD" w:rsidRPr="00442DDC" w:rsidRDefault="00E14CCD" w:rsidP="00442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14CCD" w:rsidTr="00442DDC">
      <w:trPr>
        <w:jc w:val="center"/>
      </w:trPr>
      <w:tc>
        <w:tcPr>
          <w:tcW w:w="5126" w:type="dxa"/>
          <w:shd w:val="clear" w:color="auto" w:fill="auto"/>
        </w:tcPr>
        <w:p w:rsidR="00E14CCD" w:rsidRPr="00442DDC" w:rsidRDefault="00E14CCD" w:rsidP="00442DDC">
          <w:pPr>
            <w:pStyle w:val="Footer"/>
            <w:jc w:val="right"/>
          </w:pPr>
          <w:r>
            <w:fldChar w:fldCharType="begin"/>
          </w:r>
          <w:r>
            <w:instrText xml:space="preserve"> PAGE  \* Arabic  \* MERGEFORMAT </w:instrText>
          </w:r>
          <w:r>
            <w:fldChar w:fldCharType="separate"/>
          </w:r>
          <w:r w:rsidR="008907D3">
            <w:t>17</w:t>
          </w:r>
          <w:r>
            <w:fldChar w:fldCharType="end"/>
          </w:r>
          <w:r>
            <w:t>/</w:t>
          </w:r>
          <w:r w:rsidR="008907D3">
            <w:fldChar w:fldCharType="begin"/>
          </w:r>
          <w:r w:rsidR="008907D3">
            <w:instrText xml:space="preserve"> NUMPAGES  \* Arabic  \* MERGEFORMAT </w:instrText>
          </w:r>
          <w:r w:rsidR="008907D3">
            <w:fldChar w:fldCharType="separate"/>
          </w:r>
          <w:r w:rsidR="008907D3">
            <w:t>17</w:t>
          </w:r>
          <w:r w:rsidR="008907D3">
            <w:fldChar w:fldCharType="end"/>
          </w:r>
        </w:p>
      </w:tc>
      <w:tc>
        <w:tcPr>
          <w:tcW w:w="5127" w:type="dxa"/>
          <w:shd w:val="clear" w:color="auto" w:fill="auto"/>
        </w:tcPr>
        <w:p w:rsidR="00E14CCD" w:rsidRPr="00442DDC" w:rsidRDefault="00E14CCD" w:rsidP="00442DDC">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54DAB">
            <w:rPr>
              <w:b w:val="0"/>
              <w:w w:val="103"/>
              <w:sz w:val="14"/>
            </w:rPr>
            <w:t>GE.15-12429 (C)</w:t>
          </w:r>
          <w:r>
            <w:rPr>
              <w:b w:val="0"/>
              <w:w w:val="103"/>
              <w:sz w:val="14"/>
            </w:rPr>
            <w:fldChar w:fldCharType="end"/>
          </w:r>
        </w:p>
      </w:tc>
    </w:tr>
  </w:tbl>
  <w:p w:rsidR="00E14CCD" w:rsidRPr="00442DDC" w:rsidRDefault="00E14CCD" w:rsidP="00442D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E14CCD" w:rsidTr="00442DDC">
      <w:tc>
        <w:tcPr>
          <w:tcW w:w="3873" w:type="dxa"/>
        </w:tcPr>
        <w:p w:rsidR="00E14CCD" w:rsidRDefault="00E14CCD" w:rsidP="00180DBF">
          <w:pPr>
            <w:pStyle w:val="Release"/>
          </w:pPr>
          <w:r>
            <w:rPr>
              <w:noProof/>
              <w:lang w:val="en-GB" w:eastAsia="en-GB"/>
            </w:rPr>
            <w:drawing>
              <wp:anchor distT="0" distB="0" distL="114300" distR="114300" simplePos="0" relativeHeight="251658240" behindDoc="0" locked="0" layoutInCell="1" allowOverlap="1" wp14:anchorId="7CAF5561" wp14:editId="6D6B69B0">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26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6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8907D3">
            <w:fldChar w:fldCharType="begin"/>
          </w:r>
          <w:r w:rsidR="008907D3">
            <w:instrText xml:space="preserve"> DOCVARIABLE "jobn" \* MERGEFORMAT </w:instrText>
          </w:r>
          <w:r w:rsidR="008907D3">
            <w:fldChar w:fldCharType="separate"/>
          </w:r>
          <w:r w:rsidR="00454DAB">
            <w:t>GE.15-12429 (C)</w:t>
          </w:r>
          <w:r w:rsidR="008907D3">
            <w:fldChar w:fldCharType="end"/>
          </w:r>
          <w:r>
            <w:t xml:space="preserve">    1</w:t>
          </w:r>
          <w:r>
            <w:rPr>
              <w:rFonts w:hint="eastAsia"/>
            </w:rPr>
            <w:t>8</w:t>
          </w:r>
          <w:r>
            <w:t>0815    190815</w:t>
          </w:r>
        </w:p>
        <w:p w:rsidR="00E14CCD" w:rsidRPr="00442DDC" w:rsidRDefault="00E14CCD" w:rsidP="00442DDC">
          <w:pPr>
            <w:spacing w:before="80" w:line="210" w:lineRule="exact"/>
            <w:rPr>
              <w:rFonts w:ascii="Barcode 3 of 9 by request" w:hAnsi="Barcode 3 of 9 by request"/>
              <w:sz w:val="24"/>
            </w:rPr>
          </w:pPr>
          <w:r>
            <w:rPr>
              <w:rFonts w:ascii="Barcode 3 of 9 by request" w:hAnsi="Barcode 3 of 9 by request"/>
              <w:sz w:val="24"/>
            </w:rPr>
            <w:t>*1512429*</w:t>
          </w:r>
        </w:p>
      </w:tc>
      <w:tc>
        <w:tcPr>
          <w:tcW w:w="5127" w:type="dxa"/>
        </w:tcPr>
        <w:p w:rsidR="00E14CCD" w:rsidRDefault="00E14CCD" w:rsidP="00442DDC">
          <w:pPr>
            <w:pStyle w:val="Footer"/>
            <w:jc w:val="right"/>
            <w:rPr>
              <w:b w:val="0"/>
              <w:sz w:val="21"/>
            </w:rPr>
          </w:pPr>
          <w:r>
            <w:rPr>
              <w:b w:val="0"/>
              <w:sz w:val="21"/>
              <w:lang w:val="en-GB" w:eastAsia="en-GB"/>
            </w:rPr>
            <w:drawing>
              <wp:inline distT="0" distB="0" distL="0" distR="0" wp14:anchorId="6BAAFE15" wp14:editId="19E253C8">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E14CCD" w:rsidRPr="00442DDC" w:rsidRDefault="00E14CCD" w:rsidP="00442DDC">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CD" w:rsidRPr="005B17D2" w:rsidRDefault="00E14CCD" w:rsidP="005B17D2">
      <w:pPr>
        <w:pStyle w:val="Footer"/>
        <w:spacing w:after="80"/>
        <w:ind w:left="792"/>
        <w:rPr>
          <w:sz w:val="16"/>
        </w:rPr>
      </w:pPr>
      <w:r w:rsidRPr="005B17D2">
        <w:rPr>
          <w:sz w:val="16"/>
        </w:rPr>
        <w:t>__________________</w:t>
      </w:r>
    </w:p>
  </w:footnote>
  <w:footnote w:type="continuationSeparator" w:id="0">
    <w:p w:rsidR="00E14CCD" w:rsidRPr="005B17D2" w:rsidRDefault="00E14CCD" w:rsidP="005B17D2">
      <w:pPr>
        <w:pStyle w:val="Footer"/>
        <w:spacing w:after="80"/>
        <w:ind w:left="792"/>
        <w:rPr>
          <w:sz w:val="16"/>
        </w:rPr>
      </w:pPr>
      <w:r w:rsidRPr="005B17D2">
        <w:rPr>
          <w:sz w:val="16"/>
        </w:rPr>
        <w:t>__________________</w:t>
      </w:r>
    </w:p>
  </w:footnote>
  <w:footnote w:id="1">
    <w:p w:rsidR="00E14CCD" w:rsidRPr="005B17D2" w:rsidRDefault="00E14CCD" w:rsidP="00102361">
      <w:pPr>
        <w:pStyle w:val="FootnoteText"/>
        <w:tabs>
          <w:tab w:val="clear" w:pos="418"/>
          <w:tab w:val="right" w:pos="1195"/>
          <w:tab w:val="left" w:pos="1264"/>
          <w:tab w:val="left" w:pos="1695"/>
          <w:tab w:val="left" w:pos="2126"/>
          <w:tab w:val="left" w:pos="2557"/>
        </w:tabs>
        <w:ind w:left="1264" w:right="1264" w:hanging="432"/>
      </w:pPr>
      <w:r>
        <w:tab/>
      </w:r>
      <w:r w:rsidRPr="005B17D2">
        <w:rPr>
          <w:rStyle w:val="FootnoteReference"/>
        </w:rPr>
        <w:footnoteRef/>
      </w:r>
      <w:r w:rsidRPr="005B17D2">
        <w:tab/>
      </w:r>
      <w:r w:rsidRPr="005B17D2">
        <w:rPr>
          <w:rFonts w:hint="eastAsia"/>
        </w:rPr>
        <w:t>见</w:t>
      </w:r>
      <w:r w:rsidR="00102361">
        <w:rPr>
          <w:rFonts w:hint="eastAsia"/>
        </w:rPr>
        <w:t>www.ohchr.org/EN/Issues/Pages/EqualParticipation.aspx</w:t>
      </w:r>
      <w:r w:rsidR="001B3FB3">
        <w:rPr>
          <w:rFonts w:hint="eastAsia"/>
        </w:rPr>
        <w:t>。</w:t>
      </w:r>
    </w:p>
  </w:footnote>
  <w:footnote w:id="2">
    <w:p w:rsidR="00E14CCD" w:rsidRPr="005B17D2" w:rsidRDefault="00E14CCD" w:rsidP="005B17D2">
      <w:pPr>
        <w:pStyle w:val="FootnoteText"/>
        <w:tabs>
          <w:tab w:val="clear" w:pos="418"/>
          <w:tab w:val="right" w:pos="1195"/>
          <w:tab w:val="left" w:pos="1264"/>
          <w:tab w:val="left" w:pos="1695"/>
          <w:tab w:val="left" w:pos="2126"/>
          <w:tab w:val="left" w:pos="2557"/>
        </w:tabs>
        <w:ind w:left="1264" w:right="1264" w:hanging="432"/>
      </w:pPr>
      <w:r w:rsidRPr="005B17D2">
        <w:tab/>
      </w:r>
      <w:r w:rsidRPr="005B17D2">
        <w:rPr>
          <w:rStyle w:val="FootnoteReference"/>
        </w:rPr>
        <w:footnoteRef/>
      </w:r>
      <w:r w:rsidRPr="005B17D2">
        <w:tab/>
      </w:r>
      <w:r w:rsidRPr="005B17D2">
        <w:rPr>
          <w:rFonts w:hint="eastAsia"/>
        </w:rPr>
        <w:t>见</w:t>
      </w:r>
      <w:r w:rsidRPr="005B17D2">
        <w:t xml:space="preserve">A/HRC/27/29, </w:t>
      </w:r>
      <w:r w:rsidRPr="005B17D2">
        <w:rPr>
          <w:rFonts w:hint="eastAsia"/>
        </w:rPr>
        <w:t>第</w:t>
      </w:r>
      <w:r w:rsidRPr="005B17D2">
        <w:t>8</w:t>
      </w:r>
      <w:r w:rsidRPr="005B17D2">
        <w:rPr>
          <w:rFonts w:hint="eastAsia"/>
        </w:rPr>
        <w:t>段。</w:t>
      </w:r>
    </w:p>
  </w:footnote>
  <w:footnote w:id="3">
    <w:p w:rsidR="00E14CCD" w:rsidRPr="005B17D2" w:rsidRDefault="00E14CCD" w:rsidP="00816BB7">
      <w:pPr>
        <w:pStyle w:val="FootnoteText"/>
        <w:tabs>
          <w:tab w:val="clear" w:pos="418"/>
          <w:tab w:val="right" w:pos="1195"/>
          <w:tab w:val="left" w:pos="1264"/>
          <w:tab w:val="left" w:pos="1695"/>
          <w:tab w:val="left" w:pos="2126"/>
          <w:tab w:val="left" w:pos="2557"/>
        </w:tabs>
        <w:ind w:left="1264" w:right="1264" w:hanging="432"/>
      </w:pPr>
      <w:r w:rsidRPr="005B17D2">
        <w:tab/>
      </w:r>
      <w:r w:rsidRPr="005B17D2">
        <w:rPr>
          <w:rStyle w:val="FootnoteReference"/>
        </w:rPr>
        <w:footnoteRef/>
      </w:r>
      <w:r w:rsidRPr="005B17D2">
        <w:tab/>
        <w:t xml:space="preserve">A/HRC/27/29, </w:t>
      </w:r>
      <w:r w:rsidRPr="005B17D2">
        <w:rPr>
          <w:rFonts w:hint="eastAsia"/>
        </w:rPr>
        <w:t>第</w:t>
      </w:r>
      <w:r w:rsidRPr="005B17D2">
        <w:t>12</w:t>
      </w:r>
      <w:r w:rsidRPr="005B17D2">
        <w:rPr>
          <w:rFonts w:hint="eastAsia"/>
        </w:rPr>
        <w:t>段和人权事务委员会</w:t>
      </w:r>
      <w:r w:rsidRPr="005B17D2">
        <w:t>关于参与公共事务的权利、表决权和平等</w:t>
      </w:r>
      <w:r w:rsidRPr="005B17D2">
        <w:rPr>
          <w:rFonts w:hint="eastAsia"/>
        </w:rPr>
        <w:t>参与公共事务</w:t>
      </w:r>
      <w:r w:rsidRPr="005B17D2">
        <w:t>权利问题的第</w:t>
      </w:r>
      <w:r w:rsidRPr="005B17D2">
        <w:t>25</w:t>
      </w:r>
      <w:r w:rsidRPr="005B17D2">
        <w:t>号一般性意见</w:t>
      </w:r>
      <w:r w:rsidRPr="005B17D2">
        <w:t>(1996</w:t>
      </w:r>
      <w:r w:rsidRPr="005B17D2">
        <w:t>年</w:t>
      </w:r>
      <w:r w:rsidRPr="005B17D2">
        <w:t>)</w:t>
      </w:r>
      <w:r w:rsidRPr="005B17D2">
        <w:rPr>
          <w:rFonts w:hint="eastAsia"/>
        </w:rPr>
        <w:t>，第</w:t>
      </w:r>
      <w:r w:rsidRPr="005B17D2">
        <w:t>12</w:t>
      </w:r>
      <w:r w:rsidRPr="005B17D2">
        <w:rPr>
          <w:rFonts w:hint="eastAsia"/>
        </w:rPr>
        <w:t>、</w:t>
      </w:r>
      <w:r w:rsidR="00816BB7">
        <w:t>26</w:t>
      </w:r>
      <w:r w:rsidRPr="005B17D2">
        <w:rPr>
          <w:rFonts w:hint="eastAsia"/>
        </w:rPr>
        <w:t>和</w:t>
      </w:r>
      <w:r w:rsidRPr="005B17D2">
        <w:t>27</w:t>
      </w:r>
      <w:r w:rsidRPr="005B17D2">
        <w:rPr>
          <w:rFonts w:hint="eastAsia"/>
        </w:rPr>
        <w:t>段。另见</w:t>
      </w:r>
      <w:r w:rsidRPr="005B17D2">
        <w:t xml:space="preserve"> A/HRC/27/51, </w:t>
      </w:r>
      <w:r w:rsidRPr="005B17D2">
        <w:rPr>
          <w:rFonts w:hint="eastAsia"/>
        </w:rPr>
        <w:t>第</w:t>
      </w:r>
      <w:r w:rsidRPr="005B17D2">
        <w:t>61</w:t>
      </w:r>
      <w:r w:rsidRPr="005B17D2">
        <w:rPr>
          <w:rFonts w:hint="eastAsia"/>
        </w:rPr>
        <w:t>段和</w:t>
      </w:r>
      <w:r w:rsidRPr="005B17D2">
        <w:t xml:space="preserve">A/HRC/23/36, </w:t>
      </w:r>
      <w:r w:rsidRPr="005B17D2">
        <w:rPr>
          <w:rFonts w:hint="eastAsia"/>
        </w:rPr>
        <w:t>第</w:t>
      </w:r>
      <w:r w:rsidRPr="005B17D2">
        <w:t>24</w:t>
      </w:r>
      <w:r w:rsidRPr="005B17D2">
        <w:rPr>
          <w:rFonts w:hint="eastAsia"/>
        </w:rPr>
        <w:t>段。</w:t>
      </w:r>
    </w:p>
  </w:footnote>
  <w:footnote w:id="4">
    <w:p w:rsidR="00E14CCD" w:rsidRPr="005B17D2" w:rsidRDefault="00E14CCD" w:rsidP="005B17D2">
      <w:pPr>
        <w:pStyle w:val="FootnoteText"/>
        <w:tabs>
          <w:tab w:val="clear" w:pos="418"/>
          <w:tab w:val="right" w:pos="1195"/>
          <w:tab w:val="left" w:pos="1264"/>
          <w:tab w:val="left" w:pos="1695"/>
          <w:tab w:val="left" w:pos="2126"/>
          <w:tab w:val="left" w:pos="2557"/>
        </w:tabs>
        <w:ind w:left="1264" w:right="1264" w:hanging="432"/>
      </w:pPr>
      <w:r w:rsidRPr="005B17D2">
        <w:tab/>
      </w:r>
      <w:r w:rsidRPr="005B17D2">
        <w:rPr>
          <w:rStyle w:val="FootnoteReference"/>
        </w:rPr>
        <w:footnoteRef/>
      </w:r>
      <w:r w:rsidRPr="005B17D2">
        <w:tab/>
      </w:r>
      <w:r w:rsidRPr="005B17D2">
        <w:rPr>
          <w:rFonts w:hint="eastAsia"/>
        </w:rPr>
        <w:t>见</w:t>
      </w:r>
      <w:r w:rsidRPr="005B17D2">
        <w:t xml:space="preserve">A/HRC/27/29, </w:t>
      </w:r>
      <w:r w:rsidRPr="005B17D2">
        <w:rPr>
          <w:rFonts w:hint="eastAsia"/>
        </w:rPr>
        <w:t>第</w:t>
      </w:r>
      <w:r w:rsidRPr="005B17D2">
        <w:rPr>
          <w:rFonts w:hint="eastAsia"/>
        </w:rPr>
        <w:t>16</w:t>
      </w:r>
      <w:r w:rsidRPr="005B17D2">
        <w:rPr>
          <w:rFonts w:hint="eastAsia"/>
        </w:rPr>
        <w:t>段。</w:t>
      </w:r>
    </w:p>
  </w:footnote>
  <w:footnote w:id="5">
    <w:p w:rsidR="00E14CCD" w:rsidRPr="00D77592"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t>见国际残疾人联盟</w:t>
      </w:r>
      <w:r>
        <w:rPr>
          <w:rFonts w:hint="eastAsia"/>
        </w:rPr>
        <w:t>、欧洲非盈利法中心和</w:t>
      </w:r>
      <w:r>
        <w:t>国际民主和选举援助学会</w:t>
      </w:r>
      <w:r>
        <w:t>(</w:t>
      </w:r>
      <w:r>
        <w:t>民主选举学会</w:t>
      </w:r>
      <w:r w:rsidR="00EE4ECE">
        <w:t>)</w:t>
      </w:r>
      <w:r>
        <w:rPr>
          <w:rFonts w:hint="eastAsia"/>
        </w:rPr>
        <w:t>的意见。卡特中心和民主报告国际也呼吁修订第</w:t>
      </w:r>
      <w:r>
        <w:rPr>
          <w:rFonts w:hint="eastAsia"/>
        </w:rPr>
        <w:t>25</w:t>
      </w:r>
      <w:r>
        <w:rPr>
          <w:rFonts w:hint="eastAsia"/>
        </w:rPr>
        <w:t>号一般性意见，“加强国际法，支持民主治理和</w:t>
      </w:r>
      <w:r>
        <w:t>真正选举</w:t>
      </w:r>
      <w:r>
        <w:rPr>
          <w:rFonts w:hint="eastAsia"/>
          <w:i/>
          <w:iCs/>
        </w:rPr>
        <w:t>”</w:t>
      </w:r>
      <w:r>
        <w:t xml:space="preserve"> (2012</w:t>
      </w:r>
      <w:r>
        <w:rPr>
          <w:rFonts w:hint="eastAsia"/>
        </w:rPr>
        <w:t>年</w:t>
      </w:r>
      <w:r>
        <w:rPr>
          <w:rFonts w:hint="eastAsia"/>
        </w:rPr>
        <w:t>4</w:t>
      </w:r>
      <w:r>
        <w:rPr>
          <w:rFonts w:hint="eastAsia"/>
        </w:rPr>
        <w:t>月</w:t>
      </w:r>
      <w:r>
        <w:t>)</w:t>
      </w:r>
      <w:r>
        <w:rPr>
          <w:rFonts w:hint="eastAsia"/>
        </w:rPr>
        <w:t>。</w:t>
      </w:r>
    </w:p>
  </w:footnote>
  <w:footnote w:id="6">
    <w:p w:rsidR="00E14CCD" w:rsidRPr="00D77592" w:rsidRDefault="00E14CCD" w:rsidP="005B17D2">
      <w:pPr>
        <w:pStyle w:val="FootnoteText"/>
        <w:tabs>
          <w:tab w:val="clear" w:pos="418"/>
          <w:tab w:val="right" w:pos="1195"/>
          <w:tab w:val="left" w:pos="1264"/>
          <w:tab w:val="left" w:pos="1695"/>
          <w:tab w:val="left" w:pos="2126"/>
          <w:tab w:val="left" w:pos="2557"/>
        </w:tabs>
        <w:ind w:left="1264" w:right="1264" w:hanging="432"/>
      </w:pPr>
      <w:r w:rsidRPr="00B93C7E">
        <w:tab/>
      </w:r>
      <w:r w:rsidRPr="008C4DD0">
        <w:rPr>
          <w:rStyle w:val="FootnoteReference"/>
        </w:rPr>
        <w:footnoteRef/>
      </w:r>
      <w:r w:rsidRPr="00B93C7E">
        <w:rPr>
          <w:vertAlign w:val="superscript"/>
        </w:rPr>
        <w:tab/>
      </w:r>
      <w:r>
        <w:t>见人权事务委员会第</w:t>
      </w:r>
      <w:r>
        <w:t>25</w:t>
      </w:r>
      <w:r>
        <w:t>号一般性意见</w:t>
      </w:r>
      <w:r>
        <w:rPr>
          <w:rFonts w:hint="eastAsia"/>
        </w:rPr>
        <w:t>，</w:t>
      </w:r>
      <w:r>
        <w:t>第</w:t>
      </w:r>
      <w:r>
        <w:t>12</w:t>
      </w:r>
      <w:r>
        <w:rPr>
          <w:rFonts w:hint="eastAsia"/>
        </w:rPr>
        <w:t>、</w:t>
      </w:r>
      <w:r w:rsidRPr="00D77592">
        <w:t xml:space="preserve">26 </w:t>
      </w:r>
      <w:r>
        <w:rPr>
          <w:rFonts w:hint="eastAsia"/>
        </w:rPr>
        <w:t>和</w:t>
      </w:r>
      <w:r w:rsidRPr="00D77592">
        <w:t>27</w:t>
      </w:r>
      <w:r>
        <w:rPr>
          <w:rFonts w:hint="eastAsia"/>
        </w:rPr>
        <w:t>段和</w:t>
      </w:r>
      <w:r>
        <w:t xml:space="preserve">A/HRC/27/29, </w:t>
      </w:r>
      <w:r>
        <w:t>第</w:t>
      </w:r>
      <w:r>
        <w:t>12</w:t>
      </w:r>
      <w:r>
        <w:rPr>
          <w:rFonts w:hint="eastAsia"/>
        </w:rPr>
        <w:t>段。</w:t>
      </w:r>
    </w:p>
  </w:footnote>
  <w:footnote w:id="7">
    <w:p w:rsidR="00E14CCD" w:rsidRPr="00D77592"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D77592">
        <w:rPr>
          <w:vertAlign w:val="superscript"/>
        </w:rPr>
        <w:tab/>
      </w:r>
      <w:r>
        <w:t>见</w:t>
      </w:r>
      <w:r w:rsidRPr="00D77592">
        <w:t xml:space="preserve"> </w:t>
      </w:r>
      <w:r w:rsidRPr="00F9553B">
        <w:t>A/HRC/27/</w:t>
      </w:r>
      <w:r>
        <w:t>2</w:t>
      </w:r>
      <w:r w:rsidRPr="00F9553B">
        <w:t>9</w:t>
      </w:r>
      <w:r w:rsidRPr="002C4E8A">
        <w:t xml:space="preserve">, </w:t>
      </w:r>
      <w:r>
        <w:rPr>
          <w:rFonts w:hint="eastAsia"/>
        </w:rPr>
        <w:t>第</w:t>
      </w:r>
      <w:r w:rsidRPr="002C4E8A">
        <w:t>10</w:t>
      </w:r>
      <w:r>
        <w:rPr>
          <w:rFonts w:hint="eastAsia"/>
        </w:rPr>
        <w:t>段。</w:t>
      </w:r>
    </w:p>
  </w:footnote>
  <w:footnote w:id="8">
    <w:p w:rsidR="00E14CCD" w:rsidRPr="00B93C7E" w:rsidRDefault="00E14CCD" w:rsidP="005B17D2">
      <w:pPr>
        <w:pStyle w:val="FootnoteText"/>
        <w:tabs>
          <w:tab w:val="clear" w:pos="418"/>
          <w:tab w:val="right" w:pos="1195"/>
          <w:tab w:val="left" w:pos="1264"/>
          <w:tab w:val="left" w:pos="1695"/>
          <w:tab w:val="left" w:pos="2126"/>
          <w:tab w:val="left" w:pos="2557"/>
        </w:tabs>
        <w:ind w:left="1264" w:right="1264" w:hanging="432"/>
      </w:pPr>
      <w:r w:rsidRPr="00B93C7E">
        <w:tab/>
      </w:r>
      <w:r w:rsidRPr="008C4DD0">
        <w:rPr>
          <w:rStyle w:val="FootnoteReference"/>
        </w:rPr>
        <w:footnoteRef/>
      </w:r>
      <w:r w:rsidRPr="00B93C7E">
        <w:tab/>
      </w:r>
      <w:r>
        <w:t>人权事务委员会第</w:t>
      </w:r>
      <w:r>
        <w:t>25</w:t>
      </w:r>
      <w:r>
        <w:t>号一般性意见</w:t>
      </w:r>
      <w:r>
        <w:t xml:space="preserve">, </w:t>
      </w:r>
      <w:r>
        <w:rPr>
          <w:rFonts w:hint="eastAsia"/>
        </w:rPr>
        <w:t>第</w:t>
      </w:r>
      <w:r w:rsidRPr="00295A8E">
        <w:t>10</w:t>
      </w:r>
      <w:r>
        <w:rPr>
          <w:rFonts w:hint="eastAsia"/>
        </w:rPr>
        <w:t>和</w:t>
      </w:r>
      <w:r w:rsidRPr="00B93C7E">
        <w:t>15</w:t>
      </w:r>
      <w:r>
        <w:rPr>
          <w:rFonts w:hint="eastAsia"/>
        </w:rPr>
        <w:t>段。</w:t>
      </w:r>
    </w:p>
  </w:footnote>
  <w:footnote w:id="9">
    <w:p w:rsidR="00E14CCD" w:rsidRPr="00B93C7E" w:rsidRDefault="00E14CCD" w:rsidP="005B17D2">
      <w:pPr>
        <w:pStyle w:val="FootnoteText"/>
        <w:tabs>
          <w:tab w:val="clear" w:pos="418"/>
          <w:tab w:val="right" w:pos="1195"/>
          <w:tab w:val="left" w:pos="1264"/>
          <w:tab w:val="left" w:pos="1695"/>
          <w:tab w:val="left" w:pos="2126"/>
          <w:tab w:val="left" w:pos="2557"/>
        </w:tabs>
        <w:ind w:left="1264" w:right="1264" w:hanging="432"/>
      </w:pPr>
      <w:r w:rsidRPr="00B93C7E">
        <w:tab/>
      </w:r>
      <w:r w:rsidRPr="008C4DD0">
        <w:rPr>
          <w:rStyle w:val="FootnoteReference"/>
        </w:rPr>
        <w:footnoteRef/>
      </w:r>
      <w:r w:rsidRPr="00B93C7E">
        <w:tab/>
      </w:r>
      <w:r>
        <w:t>同上，</w:t>
      </w:r>
      <w:r>
        <w:rPr>
          <w:rFonts w:hint="eastAsia"/>
        </w:rPr>
        <w:t>第</w:t>
      </w:r>
      <w:r w:rsidRPr="00B93C7E">
        <w:t>10–13</w:t>
      </w:r>
      <w:r>
        <w:rPr>
          <w:rFonts w:hint="eastAsia"/>
        </w:rPr>
        <w:t>段；另见</w:t>
      </w:r>
      <w:r w:rsidRPr="00B93C7E">
        <w:t xml:space="preserve">A/HRC/27/29, </w:t>
      </w:r>
      <w:r>
        <w:t>第</w:t>
      </w:r>
      <w:r>
        <w:t>16</w:t>
      </w:r>
      <w:r>
        <w:rPr>
          <w:rFonts w:hint="eastAsia"/>
        </w:rPr>
        <w:t>段。</w:t>
      </w:r>
    </w:p>
  </w:footnote>
  <w:footnote w:id="10">
    <w:p w:rsidR="00E14CCD" w:rsidRPr="00D77592" w:rsidRDefault="00E14CCD" w:rsidP="005B17D2">
      <w:pPr>
        <w:pStyle w:val="FootnoteText"/>
        <w:tabs>
          <w:tab w:val="clear" w:pos="418"/>
          <w:tab w:val="right" w:pos="1195"/>
          <w:tab w:val="left" w:pos="1264"/>
          <w:tab w:val="left" w:pos="1695"/>
          <w:tab w:val="left" w:pos="2126"/>
          <w:tab w:val="left" w:pos="2557"/>
        </w:tabs>
        <w:ind w:left="1264" w:right="1264" w:hanging="432"/>
      </w:pPr>
      <w:r w:rsidRPr="00B93C7E">
        <w:tab/>
      </w:r>
      <w:r w:rsidRPr="008C4DD0">
        <w:rPr>
          <w:rStyle w:val="FootnoteReference"/>
        </w:rPr>
        <w:footnoteRef/>
      </w:r>
      <w:r w:rsidRPr="00B93C7E">
        <w:rPr>
          <w:vertAlign w:val="superscript"/>
        </w:rPr>
        <w:tab/>
      </w:r>
      <w:r>
        <w:t>人权事务委员会第</w:t>
      </w:r>
      <w:r>
        <w:t>25</w:t>
      </w:r>
      <w:r>
        <w:t>号一般性意见</w:t>
      </w:r>
      <w:r w:rsidRPr="00B93C7E">
        <w:t xml:space="preserve">, </w:t>
      </w:r>
      <w:r>
        <w:t>第</w:t>
      </w:r>
      <w:r w:rsidRPr="00D77592">
        <w:t>5</w:t>
      </w:r>
      <w:r>
        <w:rPr>
          <w:rFonts w:hint="eastAsia"/>
        </w:rPr>
        <w:t>段。</w:t>
      </w:r>
    </w:p>
  </w:footnote>
  <w:footnote w:id="11">
    <w:p w:rsidR="00E14CCD" w:rsidRPr="00D77592" w:rsidRDefault="00E14CCD" w:rsidP="005B17D2">
      <w:pPr>
        <w:pStyle w:val="FootnoteText"/>
        <w:tabs>
          <w:tab w:val="clear" w:pos="418"/>
          <w:tab w:val="right" w:pos="1195"/>
          <w:tab w:val="left" w:pos="1264"/>
          <w:tab w:val="left" w:pos="1695"/>
          <w:tab w:val="left" w:pos="2126"/>
          <w:tab w:val="left" w:pos="2557"/>
        </w:tabs>
        <w:ind w:left="1264" w:right="1264" w:hanging="432"/>
      </w:pPr>
      <w:r w:rsidRPr="00D77592">
        <w:tab/>
      </w:r>
      <w:r w:rsidRPr="008C4DD0">
        <w:rPr>
          <w:rStyle w:val="FootnoteReference"/>
        </w:rPr>
        <w:footnoteRef/>
      </w:r>
      <w:r>
        <w:tab/>
      </w:r>
      <w:r>
        <w:t>见人权事务委员会关于见解和言论自由的第</w:t>
      </w:r>
      <w:r>
        <w:t>34</w:t>
      </w:r>
      <w:r>
        <w:t>号一般性意见</w:t>
      </w:r>
      <w:r>
        <w:t>(2011</w:t>
      </w:r>
      <w:r>
        <w:t>年</w:t>
      </w:r>
      <w:r>
        <w:t>) (</w:t>
      </w:r>
      <w:r>
        <w:rPr>
          <w:rFonts w:hint="eastAsia"/>
        </w:rPr>
        <w:t>第十九条</w:t>
      </w:r>
      <w:r>
        <w:t>)</w:t>
      </w:r>
      <w:r w:rsidRPr="00D77592">
        <w:t xml:space="preserve">, </w:t>
      </w:r>
      <w:r>
        <w:t>第</w:t>
      </w:r>
      <w:r>
        <w:rPr>
          <w:rFonts w:hint="eastAsia"/>
        </w:rPr>
        <w:t>1</w:t>
      </w:r>
      <w:r w:rsidRPr="00D77592">
        <w:t>9</w:t>
      </w:r>
      <w:r>
        <w:rPr>
          <w:rFonts w:hint="eastAsia"/>
        </w:rPr>
        <w:t>段。</w:t>
      </w:r>
    </w:p>
  </w:footnote>
  <w:footnote w:id="12">
    <w:p w:rsidR="00E14CCD" w:rsidRPr="00D77592"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t>见《残疾人权利公约》</w:t>
      </w:r>
      <w:r>
        <w:rPr>
          <w:rFonts w:hint="eastAsia"/>
        </w:rPr>
        <w:t>；</w:t>
      </w:r>
      <w:r>
        <w:t>《关于个人、群体和社会机构在促进和保护普遍公认的人权和基本自由方面的</w:t>
      </w:r>
      <w:r>
        <w:t xml:space="preserve"> </w:t>
      </w:r>
      <w:r>
        <w:t>权利和义务宣言》，</w:t>
      </w:r>
      <w:r>
        <w:rPr>
          <w:rFonts w:hint="eastAsia"/>
        </w:rPr>
        <w:t>第八条</w:t>
      </w:r>
      <w:r w:rsidRPr="00D77592">
        <w:t xml:space="preserve">; </w:t>
      </w:r>
      <w:r>
        <w:rPr>
          <w:rFonts w:hint="eastAsia"/>
        </w:rPr>
        <w:t>另见</w:t>
      </w:r>
      <w:r w:rsidRPr="00D77592">
        <w:t xml:space="preserve">A/HRC/13/23, </w:t>
      </w:r>
      <w:r>
        <w:t>第</w:t>
      </w:r>
      <w:r w:rsidRPr="00D77592">
        <w:t>31</w:t>
      </w:r>
      <w:r>
        <w:t>–</w:t>
      </w:r>
      <w:r w:rsidR="00EE4ECE">
        <w:t>33</w:t>
      </w:r>
      <w:r>
        <w:rPr>
          <w:rFonts w:hint="eastAsia"/>
        </w:rPr>
        <w:t>段和第</w:t>
      </w:r>
      <w:r w:rsidRPr="00D77592">
        <w:t>52</w:t>
      </w:r>
      <w:r>
        <w:rPr>
          <w:rFonts w:hint="eastAsia"/>
        </w:rPr>
        <w:t>段。</w:t>
      </w:r>
    </w:p>
  </w:footnote>
  <w:footnote w:id="13">
    <w:p w:rsidR="00E14CCD" w:rsidRPr="00DE32A2"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DE32A2">
        <w:rPr>
          <w:vertAlign w:val="superscript"/>
        </w:rPr>
        <w:tab/>
      </w:r>
      <w:r>
        <w:t>A</w:t>
      </w:r>
      <w:r w:rsidRPr="00DE32A2">
        <w:t xml:space="preserve">/HRC/23/36, </w:t>
      </w:r>
      <w:r>
        <w:t>第</w:t>
      </w:r>
      <w:r w:rsidR="00EE4ECE">
        <w:t>26</w:t>
      </w:r>
      <w:r>
        <w:rPr>
          <w:rFonts w:hint="eastAsia"/>
        </w:rPr>
        <w:t>和</w:t>
      </w:r>
      <w:r>
        <w:t>79</w:t>
      </w:r>
      <w:r>
        <w:rPr>
          <w:rFonts w:hint="eastAsia"/>
        </w:rPr>
        <w:t>段。</w:t>
      </w:r>
    </w:p>
  </w:footnote>
  <w:footnote w:id="14">
    <w:p w:rsidR="00E14CCD" w:rsidRPr="00B93C7E" w:rsidRDefault="00E14CCD" w:rsidP="00897B4D">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DE32A2">
        <w:rPr>
          <w:vertAlign w:val="superscript"/>
        </w:rPr>
        <w:tab/>
      </w:r>
      <w:r>
        <w:rPr>
          <w:rFonts w:hint="eastAsia"/>
        </w:rPr>
        <w:t>欧洲经济委员会，</w:t>
      </w:r>
      <w:r w:rsidR="001F675B">
        <w:rPr>
          <w:rFonts w:hint="eastAsia"/>
        </w:rPr>
        <w:t>“</w:t>
      </w:r>
      <w:r>
        <w:t>《奥胡斯公约》：一项执行指南</w:t>
      </w:r>
      <w:r w:rsidR="001F675B">
        <w:rPr>
          <w:rFonts w:hint="eastAsia"/>
        </w:rPr>
        <w:t>”</w:t>
      </w:r>
      <w:r>
        <w:t>(2000</w:t>
      </w:r>
      <w:r>
        <w:rPr>
          <w:rFonts w:hint="eastAsia"/>
        </w:rPr>
        <w:t>年，纽约</w:t>
      </w:r>
      <w:r>
        <w:t>/</w:t>
      </w:r>
      <w:r>
        <w:rPr>
          <w:rFonts w:hint="eastAsia"/>
        </w:rPr>
        <w:t>日内瓦</w:t>
      </w:r>
      <w:r>
        <w:t>)</w:t>
      </w:r>
      <w:r>
        <w:rPr>
          <w:rFonts w:hint="eastAsia"/>
        </w:rPr>
        <w:t>，第</w:t>
      </w:r>
      <w:r w:rsidRPr="00B93C7E">
        <w:t>19</w:t>
      </w:r>
      <w:r w:rsidR="00897B4D">
        <w:rPr>
          <w:rFonts w:hint="eastAsia"/>
        </w:rPr>
        <w:t>页</w:t>
      </w:r>
      <w:r>
        <w:rPr>
          <w:rFonts w:hint="eastAsia"/>
        </w:rPr>
        <w:t>。</w:t>
      </w:r>
    </w:p>
  </w:footnote>
  <w:footnote w:id="15">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93C7E">
        <w:tab/>
      </w:r>
      <w:r w:rsidRPr="008C4DD0">
        <w:rPr>
          <w:rStyle w:val="FootnoteReference"/>
        </w:rPr>
        <w:footnoteRef/>
      </w:r>
      <w:r w:rsidRPr="00B85F6A">
        <w:rPr>
          <w:vertAlign w:val="superscript"/>
        </w:rPr>
        <w:tab/>
      </w:r>
      <w:r w:rsidRPr="00B85F6A">
        <w:t xml:space="preserve">A/HRC/19/36, </w:t>
      </w:r>
      <w:r>
        <w:rPr>
          <w:lang w:val="es-ES"/>
        </w:rPr>
        <w:t>第</w:t>
      </w:r>
      <w:r>
        <w:t>12</w:t>
      </w:r>
      <w:r>
        <w:rPr>
          <w:rFonts w:hint="eastAsia"/>
        </w:rPr>
        <w:t>段。</w:t>
      </w:r>
    </w:p>
  </w:footnote>
  <w:footnote w:id="16">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B85F6A">
        <w:rPr>
          <w:vertAlign w:val="superscript"/>
        </w:rPr>
        <w:tab/>
      </w:r>
      <w:r w:rsidRPr="00B85F6A">
        <w:t xml:space="preserve">A/HRC/27/29, </w:t>
      </w:r>
      <w:r>
        <w:rPr>
          <w:lang w:val="es-ES"/>
        </w:rPr>
        <w:t>第</w:t>
      </w:r>
      <w:r>
        <w:t>22–30</w:t>
      </w:r>
      <w:r>
        <w:rPr>
          <w:rFonts w:hint="eastAsia"/>
        </w:rPr>
        <w:t>段。</w:t>
      </w:r>
    </w:p>
  </w:footnote>
  <w:footnote w:id="17">
    <w:p w:rsidR="00E14CCD" w:rsidRPr="009D0B94"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9D0B94">
        <w:rPr>
          <w:vertAlign w:val="superscript"/>
        </w:rPr>
        <w:tab/>
      </w:r>
      <w:r w:rsidRPr="009D0B94">
        <w:t xml:space="preserve">A/HRC/17/27, </w:t>
      </w:r>
      <w:r>
        <w:rPr>
          <w:lang w:val="es-ES"/>
        </w:rPr>
        <w:t>第</w:t>
      </w:r>
      <w:r w:rsidRPr="009D0B94">
        <w:t>60–66</w:t>
      </w:r>
      <w:r>
        <w:rPr>
          <w:rFonts w:hint="eastAsia"/>
          <w:lang w:val="es-ES"/>
        </w:rPr>
        <w:t>段。</w:t>
      </w:r>
    </w:p>
  </w:footnote>
  <w:footnote w:id="18">
    <w:p w:rsidR="00E14CCD" w:rsidRPr="009D0B94" w:rsidRDefault="00E14CCD" w:rsidP="005B17D2">
      <w:pPr>
        <w:pStyle w:val="FootnoteText"/>
        <w:tabs>
          <w:tab w:val="clear" w:pos="418"/>
          <w:tab w:val="right" w:pos="1195"/>
          <w:tab w:val="left" w:pos="1264"/>
          <w:tab w:val="left" w:pos="1695"/>
          <w:tab w:val="left" w:pos="2126"/>
          <w:tab w:val="left" w:pos="2557"/>
        </w:tabs>
        <w:ind w:left="1264" w:right="1264" w:hanging="432"/>
      </w:pPr>
      <w:r w:rsidRPr="009D0B94">
        <w:tab/>
      </w:r>
      <w:r w:rsidRPr="008C4DD0">
        <w:rPr>
          <w:rStyle w:val="FootnoteReference"/>
        </w:rPr>
        <w:footnoteRef/>
      </w:r>
      <w:r w:rsidRPr="009D0B94">
        <w:tab/>
      </w:r>
      <w:r>
        <w:t>人权事务委员会第</w:t>
      </w:r>
      <w:r w:rsidRPr="009D0B94">
        <w:t>25</w:t>
      </w:r>
      <w:r>
        <w:t>号一般性意见</w:t>
      </w:r>
      <w:r w:rsidRPr="009D0B94">
        <w:t xml:space="preserve">, </w:t>
      </w:r>
      <w:r>
        <w:rPr>
          <w:lang w:val="es-ES"/>
        </w:rPr>
        <w:t>第</w:t>
      </w:r>
      <w:r w:rsidRPr="009D0B94">
        <w:t>4</w:t>
      </w:r>
      <w:r>
        <w:rPr>
          <w:rFonts w:hint="eastAsia"/>
          <w:lang w:val="es-ES"/>
        </w:rPr>
        <w:t>段。</w:t>
      </w:r>
    </w:p>
  </w:footnote>
  <w:footnote w:id="19">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rPr>
          <w:lang w:val="es-ES"/>
        </w:rPr>
      </w:pPr>
      <w:r w:rsidRPr="009D0B94">
        <w:tab/>
      </w:r>
      <w:r w:rsidRPr="008C4DD0">
        <w:rPr>
          <w:rStyle w:val="FootnoteReference"/>
        </w:rPr>
        <w:footnoteRef/>
      </w:r>
      <w:r w:rsidRPr="005C52ED">
        <w:rPr>
          <w:lang w:val="es-ES"/>
        </w:rPr>
        <w:tab/>
      </w:r>
      <w:r>
        <w:rPr>
          <w:rFonts w:hint="eastAsia"/>
          <w:lang w:val="es-ES"/>
        </w:rPr>
        <w:t>例如，</w:t>
      </w:r>
      <w:r>
        <w:t>见</w:t>
      </w:r>
      <w:r>
        <w:rPr>
          <w:bCs/>
        </w:rPr>
        <w:t>人权事务委员会</w:t>
      </w:r>
      <w:r>
        <w:t>关于迁徙自由的第</w:t>
      </w:r>
      <w:r w:rsidRPr="0075259F">
        <w:rPr>
          <w:lang w:val="es-ES"/>
        </w:rPr>
        <w:t>27</w:t>
      </w:r>
      <w:r>
        <w:t>号一般性意见</w:t>
      </w:r>
      <w:r w:rsidRPr="0075259F">
        <w:rPr>
          <w:lang w:val="es-ES"/>
        </w:rPr>
        <w:t>(1999</w:t>
      </w:r>
      <w:r>
        <w:t>年</w:t>
      </w:r>
      <w:r w:rsidRPr="0075259F">
        <w:rPr>
          <w:lang w:val="es-ES"/>
        </w:rPr>
        <w:t>)</w:t>
      </w:r>
      <w:r w:rsidRPr="005C52ED">
        <w:rPr>
          <w:lang w:val="es-ES"/>
        </w:rPr>
        <w:t xml:space="preserve"> (</w:t>
      </w:r>
      <w:r>
        <w:rPr>
          <w:rFonts w:hint="eastAsia"/>
          <w:lang w:val="es-ES"/>
        </w:rPr>
        <w:t>第十二条</w:t>
      </w:r>
      <w:r w:rsidRPr="005C52ED">
        <w:rPr>
          <w:lang w:val="es-ES"/>
        </w:rPr>
        <w:t xml:space="preserve">), </w:t>
      </w:r>
      <w:r>
        <w:rPr>
          <w:lang w:val="es-ES"/>
        </w:rPr>
        <w:t>第</w:t>
      </w:r>
      <w:r>
        <w:rPr>
          <w:lang w:val="es-ES"/>
        </w:rPr>
        <w:t>11–18</w:t>
      </w:r>
      <w:r>
        <w:rPr>
          <w:rFonts w:hint="eastAsia"/>
          <w:lang w:val="es-ES"/>
        </w:rPr>
        <w:t>段。</w:t>
      </w:r>
    </w:p>
  </w:footnote>
  <w:footnote w:id="20">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rPr>
          <w:lang w:val="es-ES"/>
        </w:rPr>
      </w:pPr>
      <w:r w:rsidRPr="00B85F6A">
        <w:rPr>
          <w:lang w:val="es-ES"/>
        </w:rPr>
        <w:tab/>
      </w:r>
      <w:r w:rsidRPr="008C4DD0">
        <w:rPr>
          <w:rStyle w:val="FootnoteReference"/>
        </w:rPr>
        <w:footnoteRef/>
      </w:r>
      <w:r w:rsidRPr="00B85F6A">
        <w:rPr>
          <w:vertAlign w:val="superscript"/>
          <w:lang w:val="es-ES"/>
        </w:rPr>
        <w:tab/>
      </w:r>
      <w:r>
        <w:rPr>
          <w:rFonts w:hint="eastAsia"/>
          <w:lang w:val="es-ES"/>
        </w:rPr>
        <w:t>例如，</w:t>
      </w:r>
      <w:r>
        <w:t>见</w:t>
      </w:r>
      <w:r w:rsidRPr="00B85F6A">
        <w:rPr>
          <w:lang w:val="es-ES"/>
        </w:rPr>
        <w:t xml:space="preserve">A/HRC/20/27, </w:t>
      </w:r>
      <w:r>
        <w:t>第</w:t>
      </w:r>
      <w:r w:rsidRPr="00B85F6A">
        <w:rPr>
          <w:lang w:val="es-ES"/>
        </w:rPr>
        <w:t>16</w:t>
      </w:r>
      <w:r>
        <w:rPr>
          <w:rFonts w:hint="eastAsia"/>
          <w:lang w:val="es-ES"/>
        </w:rPr>
        <w:t>段</w:t>
      </w:r>
      <w:r w:rsidRPr="00B85F6A">
        <w:rPr>
          <w:lang w:val="es-ES"/>
        </w:rPr>
        <w:t xml:space="preserve">; </w:t>
      </w:r>
      <w:r>
        <w:rPr>
          <w:rFonts w:hint="eastAsia"/>
          <w:lang w:val="es-ES"/>
        </w:rPr>
        <w:t>和</w:t>
      </w:r>
      <w:r w:rsidRPr="00B85F6A">
        <w:rPr>
          <w:lang w:val="es-ES"/>
        </w:rPr>
        <w:t xml:space="preserve">A/66/290, </w:t>
      </w:r>
      <w:r>
        <w:rPr>
          <w:lang w:val="es-ES"/>
        </w:rPr>
        <w:t>第</w:t>
      </w:r>
      <w:r w:rsidRPr="00B85F6A">
        <w:rPr>
          <w:lang w:val="es-ES"/>
        </w:rPr>
        <w:t>12</w:t>
      </w:r>
      <w:r>
        <w:rPr>
          <w:rFonts w:hint="eastAsia"/>
          <w:lang w:val="es-ES"/>
        </w:rPr>
        <w:t>和</w:t>
      </w:r>
      <w:r>
        <w:rPr>
          <w:lang w:val="es-ES"/>
        </w:rPr>
        <w:t>17</w:t>
      </w:r>
      <w:r>
        <w:rPr>
          <w:rFonts w:hint="eastAsia"/>
          <w:lang w:val="es-ES"/>
        </w:rPr>
        <w:t>段。</w:t>
      </w:r>
    </w:p>
  </w:footnote>
  <w:footnote w:id="21">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rPr>
          <w:lang w:val="es-ES"/>
        </w:rPr>
      </w:pPr>
      <w:r w:rsidRPr="00B85F6A">
        <w:rPr>
          <w:lang w:val="es-ES"/>
        </w:rPr>
        <w:tab/>
      </w:r>
      <w:r w:rsidRPr="008C4DD0">
        <w:rPr>
          <w:rStyle w:val="FootnoteReference"/>
        </w:rPr>
        <w:footnoteRef/>
      </w:r>
      <w:r w:rsidRPr="00B85F6A">
        <w:rPr>
          <w:lang w:val="es-ES"/>
        </w:rPr>
        <w:tab/>
      </w:r>
      <w:r>
        <w:t>人权事务委员会第</w:t>
      </w:r>
      <w:r w:rsidRPr="00B85F6A">
        <w:rPr>
          <w:lang w:val="es-ES"/>
        </w:rPr>
        <w:t>25</w:t>
      </w:r>
      <w:r>
        <w:t>号一般性意见</w:t>
      </w:r>
      <w:r w:rsidRPr="00B85F6A">
        <w:rPr>
          <w:lang w:val="es-ES"/>
        </w:rPr>
        <w:t xml:space="preserve">, </w:t>
      </w:r>
      <w:r>
        <w:t>第</w:t>
      </w:r>
      <w:r w:rsidR="001F675B">
        <w:rPr>
          <w:lang w:val="es-ES"/>
        </w:rPr>
        <w:t>10</w:t>
      </w:r>
      <w:r>
        <w:rPr>
          <w:rFonts w:hint="eastAsia"/>
          <w:lang w:val="es-ES"/>
        </w:rPr>
        <w:t>和</w:t>
      </w:r>
      <w:r w:rsidRPr="00B85F6A">
        <w:rPr>
          <w:lang w:val="es-ES"/>
        </w:rPr>
        <w:t>15</w:t>
      </w:r>
      <w:r>
        <w:rPr>
          <w:rFonts w:hint="eastAsia"/>
          <w:lang w:val="es-ES"/>
        </w:rPr>
        <w:t>段；和</w:t>
      </w:r>
      <w:r w:rsidRPr="00B85F6A">
        <w:rPr>
          <w:lang w:val="es-ES"/>
        </w:rPr>
        <w:t xml:space="preserve">A/HRC/27/29, </w:t>
      </w:r>
      <w:r>
        <w:rPr>
          <w:lang w:val="es-ES"/>
        </w:rPr>
        <w:t>第</w:t>
      </w:r>
      <w:r w:rsidR="001F675B">
        <w:rPr>
          <w:lang w:val="es-ES"/>
        </w:rPr>
        <w:t>32</w:t>
      </w:r>
      <w:r>
        <w:rPr>
          <w:rFonts w:hint="eastAsia"/>
          <w:lang w:val="es-ES"/>
        </w:rPr>
        <w:t>和</w:t>
      </w:r>
      <w:r w:rsidRPr="00B85F6A">
        <w:rPr>
          <w:lang w:val="es-ES"/>
        </w:rPr>
        <w:t>33</w:t>
      </w:r>
      <w:r>
        <w:rPr>
          <w:rFonts w:hint="eastAsia"/>
          <w:lang w:val="es-ES"/>
        </w:rPr>
        <w:t>段；参见</w:t>
      </w:r>
      <w:r w:rsidRPr="00B85F6A">
        <w:rPr>
          <w:lang w:val="es-ES"/>
        </w:rPr>
        <w:t xml:space="preserve">CRPD/C/TUN/CO/1, </w:t>
      </w:r>
      <w:r>
        <w:rPr>
          <w:lang w:val="es-ES"/>
        </w:rPr>
        <w:t>第</w:t>
      </w:r>
      <w:r w:rsidRPr="00B85F6A">
        <w:rPr>
          <w:lang w:val="es-ES"/>
        </w:rPr>
        <w:t>35</w:t>
      </w:r>
      <w:r>
        <w:rPr>
          <w:rFonts w:hint="eastAsia"/>
          <w:lang w:val="es-ES"/>
        </w:rPr>
        <w:t>段</w:t>
      </w:r>
      <w:r w:rsidRPr="00B85F6A">
        <w:rPr>
          <w:lang w:val="es-ES"/>
        </w:rPr>
        <w:t xml:space="preserve">; </w:t>
      </w:r>
      <w:r>
        <w:rPr>
          <w:rFonts w:hint="eastAsia"/>
          <w:lang w:val="es-ES"/>
        </w:rPr>
        <w:t>和</w:t>
      </w:r>
      <w:r w:rsidRPr="00B85F6A">
        <w:rPr>
          <w:lang w:val="es-ES"/>
        </w:rPr>
        <w:t xml:space="preserve">CRPD/C/ESP/CO/1, </w:t>
      </w:r>
      <w:r>
        <w:rPr>
          <w:lang w:val="es-ES"/>
        </w:rPr>
        <w:t>第</w:t>
      </w:r>
      <w:r>
        <w:rPr>
          <w:lang w:val="es-ES"/>
        </w:rPr>
        <w:t>47</w:t>
      </w:r>
      <w:r>
        <w:rPr>
          <w:rFonts w:hint="eastAsia"/>
          <w:lang w:val="es-ES"/>
        </w:rPr>
        <w:t>段。</w:t>
      </w:r>
    </w:p>
  </w:footnote>
  <w:footnote w:id="22">
    <w:p w:rsidR="00E14CCD" w:rsidRPr="00111DDB" w:rsidRDefault="00E14CCD" w:rsidP="00382994">
      <w:pPr>
        <w:pStyle w:val="FootnoteText"/>
        <w:tabs>
          <w:tab w:val="clear" w:pos="418"/>
          <w:tab w:val="right" w:pos="1195"/>
          <w:tab w:val="left" w:pos="1264"/>
          <w:tab w:val="left" w:pos="1695"/>
          <w:tab w:val="left" w:pos="2126"/>
          <w:tab w:val="left" w:pos="2557"/>
        </w:tabs>
        <w:ind w:left="1264" w:right="1264" w:hanging="432"/>
        <w:rPr>
          <w:lang w:val="es-ES"/>
        </w:rPr>
      </w:pPr>
      <w:r w:rsidRPr="00B85F6A">
        <w:rPr>
          <w:lang w:val="es-ES"/>
        </w:rPr>
        <w:tab/>
      </w:r>
      <w:r w:rsidRPr="008C4DD0">
        <w:rPr>
          <w:rStyle w:val="FootnoteReference"/>
        </w:rPr>
        <w:footnoteRef/>
      </w:r>
      <w:r w:rsidRPr="00111DDB">
        <w:rPr>
          <w:lang w:val="es-ES"/>
        </w:rPr>
        <w:tab/>
      </w:r>
      <w:r>
        <w:t>见联合国人权事务高级专员</w:t>
      </w:r>
      <w:r>
        <w:rPr>
          <w:rFonts w:hint="eastAsia"/>
          <w:lang w:val="es-ES"/>
        </w:rPr>
        <w:t>关于</w:t>
      </w:r>
      <w:r w:rsidR="00382994">
        <w:rPr>
          <w:rFonts w:hint="eastAsia"/>
          <w:lang w:val="es-ES"/>
        </w:rPr>
        <w:t>“</w:t>
      </w:r>
      <w:r>
        <w:rPr>
          <w:rFonts w:hint="eastAsia"/>
          <w:lang w:val="es-ES"/>
        </w:rPr>
        <w:t>包容与参与公共生活的权利</w:t>
      </w:r>
      <w:r w:rsidR="00382994">
        <w:rPr>
          <w:rFonts w:hint="eastAsia"/>
          <w:lang w:val="es-ES"/>
        </w:rPr>
        <w:t>”</w:t>
      </w:r>
      <w:r>
        <w:rPr>
          <w:rFonts w:hint="eastAsia"/>
          <w:lang w:val="es-ES"/>
        </w:rPr>
        <w:t>的声明，</w:t>
      </w:r>
      <w:r w:rsidRPr="00111DDB">
        <w:rPr>
          <w:lang w:val="es-ES"/>
        </w:rPr>
        <w:t>2012</w:t>
      </w:r>
      <w:r>
        <w:rPr>
          <w:rFonts w:hint="eastAsia"/>
          <w:lang w:val="es-ES"/>
        </w:rPr>
        <w:t>年</w:t>
      </w:r>
      <w:r>
        <w:rPr>
          <w:rFonts w:hint="eastAsia"/>
          <w:lang w:val="es-ES"/>
        </w:rPr>
        <w:t>12</w:t>
      </w:r>
      <w:r>
        <w:rPr>
          <w:rFonts w:hint="eastAsia"/>
          <w:lang w:val="es-ES"/>
        </w:rPr>
        <w:t>月</w:t>
      </w:r>
      <w:r>
        <w:rPr>
          <w:rFonts w:hint="eastAsia"/>
          <w:lang w:val="es-ES"/>
        </w:rPr>
        <w:t>10</w:t>
      </w:r>
      <w:r>
        <w:rPr>
          <w:rFonts w:hint="eastAsia"/>
          <w:lang w:val="es-ES"/>
        </w:rPr>
        <w:t>日</w:t>
      </w:r>
      <w:r w:rsidRPr="00111DDB">
        <w:rPr>
          <w:lang w:val="es-ES"/>
        </w:rPr>
        <w:t xml:space="preserve">, </w:t>
      </w:r>
      <w:r>
        <w:rPr>
          <w:rFonts w:hint="eastAsia"/>
          <w:lang w:val="es-ES"/>
        </w:rPr>
        <w:t>可查阅</w:t>
      </w:r>
      <w:r w:rsidRPr="00111DDB">
        <w:rPr>
          <w:lang w:val="es-ES"/>
        </w:rPr>
        <w:t>http://www.ohchr.org/en/NewsEvents/Pages/Display</w:t>
      </w:r>
      <w:r>
        <w:rPr>
          <w:lang w:val="es-ES"/>
        </w:rPr>
        <w:t>News.aspx?NewsID=12865&amp;LangID=E</w:t>
      </w:r>
      <w:r>
        <w:rPr>
          <w:rFonts w:hint="eastAsia"/>
          <w:lang w:val="es-ES"/>
        </w:rPr>
        <w:t>。</w:t>
      </w:r>
    </w:p>
  </w:footnote>
  <w:footnote w:id="23">
    <w:p w:rsidR="00E14CCD" w:rsidRPr="008E5B04" w:rsidRDefault="00E14CCD" w:rsidP="005B17D2">
      <w:pPr>
        <w:pStyle w:val="FootnoteText"/>
        <w:tabs>
          <w:tab w:val="clear" w:pos="418"/>
          <w:tab w:val="right" w:pos="1195"/>
          <w:tab w:val="left" w:pos="1264"/>
          <w:tab w:val="left" w:pos="1695"/>
          <w:tab w:val="left" w:pos="2126"/>
          <w:tab w:val="left" w:pos="2557"/>
        </w:tabs>
        <w:ind w:left="1264" w:right="1264" w:hanging="432"/>
        <w:rPr>
          <w:lang w:val="es-ES"/>
        </w:rPr>
      </w:pPr>
      <w:r w:rsidRPr="00111DDB">
        <w:rPr>
          <w:lang w:val="es-ES"/>
        </w:rPr>
        <w:tab/>
      </w:r>
      <w:r w:rsidRPr="008C4DD0">
        <w:rPr>
          <w:rStyle w:val="FootnoteReference"/>
        </w:rPr>
        <w:footnoteRef/>
      </w:r>
      <w:r w:rsidRPr="008E5B04">
        <w:rPr>
          <w:lang w:val="es-ES"/>
        </w:rPr>
        <w:tab/>
        <w:t xml:space="preserve">A/HRC/25/55, </w:t>
      </w:r>
      <w:r>
        <w:t>第</w:t>
      </w:r>
      <w:r w:rsidRPr="008E5B04">
        <w:rPr>
          <w:lang w:val="es-ES"/>
        </w:rPr>
        <w:t>59</w:t>
      </w:r>
      <w:r>
        <w:rPr>
          <w:rFonts w:hint="eastAsia"/>
        </w:rPr>
        <w:t>段。另见</w:t>
      </w:r>
      <w:r>
        <w:rPr>
          <w:rFonts w:hint="eastAsia"/>
          <w:lang w:val="es-ES"/>
        </w:rPr>
        <w:t>“‘缩小的’公民空间危及民主，人权专家在第三委员会审议国家报告时说”</w:t>
      </w:r>
      <w:r w:rsidRPr="008E5B04">
        <w:rPr>
          <w:lang w:val="es-ES"/>
        </w:rPr>
        <w:t xml:space="preserve">, </w:t>
      </w:r>
      <w:r>
        <w:t>联合国新闻发布</w:t>
      </w:r>
      <w:r>
        <w:rPr>
          <w:rFonts w:hint="eastAsia"/>
          <w:lang w:val="es-ES"/>
        </w:rPr>
        <w:t>，</w:t>
      </w:r>
      <w:r w:rsidR="00382994">
        <w:rPr>
          <w:lang w:val="es-ES"/>
        </w:rPr>
        <w:t>2014</w:t>
      </w:r>
      <w:r>
        <w:rPr>
          <w:rFonts w:hint="eastAsia"/>
          <w:lang w:val="es-ES"/>
        </w:rPr>
        <w:t>年</w:t>
      </w:r>
      <w:r>
        <w:rPr>
          <w:rFonts w:hint="eastAsia"/>
          <w:lang w:val="es-ES"/>
        </w:rPr>
        <w:t>10</w:t>
      </w:r>
      <w:r>
        <w:rPr>
          <w:rFonts w:hint="eastAsia"/>
          <w:lang w:val="es-ES"/>
        </w:rPr>
        <w:t>月</w:t>
      </w:r>
      <w:r>
        <w:rPr>
          <w:rFonts w:hint="eastAsia"/>
          <w:lang w:val="es-ES"/>
        </w:rPr>
        <w:t>28</w:t>
      </w:r>
      <w:r>
        <w:rPr>
          <w:rFonts w:hint="eastAsia"/>
          <w:lang w:val="es-ES"/>
        </w:rPr>
        <w:t>日</w:t>
      </w:r>
      <w:r w:rsidRPr="008E5B04">
        <w:rPr>
          <w:lang w:val="es-ES"/>
        </w:rPr>
        <w:t>(GA/SHC/4112)</w:t>
      </w:r>
      <w:r>
        <w:rPr>
          <w:rFonts w:hint="eastAsia"/>
          <w:lang w:val="es-ES"/>
        </w:rPr>
        <w:t>。</w:t>
      </w:r>
    </w:p>
  </w:footnote>
  <w:footnote w:id="24">
    <w:p w:rsidR="00E14CCD" w:rsidRPr="00DE32A2" w:rsidRDefault="00E14CCD" w:rsidP="005B17D2">
      <w:pPr>
        <w:pStyle w:val="FootnoteText"/>
        <w:tabs>
          <w:tab w:val="clear" w:pos="418"/>
          <w:tab w:val="right" w:pos="1195"/>
          <w:tab w:val="left" w:pos="1264"/>
          <w:tab w:val="left" w:pos="1695"/>
          <w:tab w:val="left" w:pos="2126"/>
          <w:tab w:val="left" w:pos="2557"/>
        </w:tabs>
        <w:ind w:left="1264" w:right="1264" w:hanging="432"/>
      </w:pPr>
      <w:r w:rsidRPr="008E5B04">
        <w:rPr>
          <w:lang w:val="es-ES"/>
        </w:rPr>
        <w:tab/>
      </w:r>
      <w:r w:rsidRPr="008C4DD0">
        <w:rPr>
          <w:rStyle w:val="FootnoteReference"/>
        </w:rPr>
        <w:footnoteRef/>
      </w:r>
      <w:r>
        <w:tab/>
      </w:r>
      <w:r w:rsidRPr="00DE32A2">
        <w:t xml:space="preserve">A/HRC/27/37, </w:t>
      </w:r>
      <w:r>
        <w:t>第</w:t>
      </w:r>
      <w:r w:rsidRPr="00DE32A2">
        <w:t>14</w:t>
      </w:r>
      <w:r>
        <w:rPr>
          <w:rFonts w:hint="eastAsia"/>
        </w:rPr>
        <w:t>段。</w:t>
      </w:r>
    </w:p>
  </w:footnote>
  <w:footnote w:id="25">
    <w:p w:rsidR="00E14CCD" w:rsidRPr="00DE32A2"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DE32A2">
        <w:rPr>
          <w:vertAlign w:val="superscript"/>
        </w:rPr>
        <w:tab/>
      </w:r>
      <w:r>
        <w:t>民主选举所</w:t>
      </w:r>
      <w:r w:rsidR="00A3350D">
        <w:t>,</w:t>
      </w:r>
      <w:r>
        <w:rPr>
          <w:rFonts w:hint="eastAsia"/>
        </w:rPr>
        <w:t>“</w:t>
      </w:r>
      <w:r w:rsidRPr="00382994">
        <w:t>1945</w:t>
      </w:r>
      <w:r w:rsidRPr="00382994">
        <w:rPr>
          <w:rFonts w:hint="eastAsia"/>
        </w:rPr>
        <w:t>年以来的投票率</w:t>
      </w:r>
      <w:r w:rsidRPr="00382994">
        <w:t xml:space="preserve">: </w:t>
      </w:r>
      <w:r w:rsidRPr="00382994">
        <w:rPr>
          <w:rFonts w:hint="eastAsia"/>
        </w:rPr>
        <w:t>全球报告</w:t>
      </w:r>
      <w:r>
        <w:rPr>
          <w:rFonts w:hint="eastAsia"/>
          <w:i/>
          <w:iCs/>
        </w:rPr>
        <w:t>”</w:t>
      </w:r>
      <w:r>
        <w:t>(2002</w:t>
      </w:r>
      <w:r>
        <w:rPr>
          <w:rFonts w:hint="eastAsia"/>
        </w:rPr>
        <w:t>年，斯德哥尔摩</w:t>
      </w:r>
      <w:r>
        <w:t xml:space="preserve">), </w:t>
      </w:r>
      <w:r>
        <w:t>第</w:t>
      </w:r>
      <w:r>
        <w:t>85</w:t>
      </w:r>
      <w:r>
        <w:rPr>
          <w:rFonts w:hint="eastAsia"/>
        </w:rPr>
        <w:t>页。</w:t>
      </w:r>
    </w:p>
  </w:footnote>
  <w:footnote w:id="26">
    <w:p w:rsidR="00E14CCD" w:rsidRPr="00B93C7E"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t>见欧洲安全与合作组织民主制度和人权办公室</w:t>
      </w:r>
      <w:r>
        <w:rPr>
          <w:rFonts w:hint="eastAsia"/>
        </w:rPr>
        <w:t>的意见，</w:t>
      </w:r>
      <w:r>
        <w:t>第</w:t>
      </w:r>
      <w:r>
        <w:t>8–9</w:t>
      </w:r>
      <w:r>
        <w:rPr>
          <w:rFonts w:hint="eastAsia"/>
        </w:rPr>
        <w:t>页。</w:t>
      </w:r>
    </w:p>
  </w:footnote>
  <w:footnote w:id="27">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93C7E">
        <w:tab/>
      </w:r>
      <w:r w:rsidRPr="008C4DD0">
        <w:rPr>
          <w:rStyle w:val="FootnoteReference"/>
        </w:rPr>
        <w:footnoteRef/>
      </w:r>
      <w:r w:rsidRPr="00B85F6A">
        <w:rPr>
          <w:vertAlign w:val="superscript"/>
        </w:rPr>
        <w:tab/>
      </w:r>
      <w:r w:rsidRPr="00B85F6A">
        <w:t xml:space="preserve">A/HRC/24/38, </w:t>
      </w:r>
      <w:r>
        <w:rPr>
          <w:lang w:val="es-ES"/>
        </w:rPr>
        <w:t>第</w:t>
      </w:r>
      <w:r>
        <w:t>16</w:t>
      </w:r>
      <w:r>
        <w:rPr>
          <w:rFonts w:hint="eastAsia"/>
        </w:rPr>
        <w:t>段。</w:t>
      </w:r>
    </w:p>
  </w:footnote>
  <w:footnote w:id="28">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B85F6A">
        <w:rPr>
          <w:vertAlign w:val="superscript"/>
        </w:rPr>
        <w:tab/>
      </w:r>
      <w:r w:rsidRPr="00B85F6A">
        <w:t xml:space="preserve">A/HRC/23/36, </w:t>
      </w:r>
      <w:r>
        <w:rPr>
          <w:lang w:val="es-ES"/>
        </w:rPr>
        <w:t>第</w:t>
      </w:r>
      <w:r w:rsidRPr="00B85F6A">
        <w:t xml:space="preserve"> </w:t>
      </w:r>
      <w:r>
        <w:t>14</w:t>
      </w:r>
      <w:r>
        <w:rPr>
          <w:rFonts w:hint="eastAsia"/>
        </w:rPr>
        <w:t>段。</w:t>
      </w:r>
    </w:p>
  </w:footnote>
  <w:footnote w:id="29">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B85F6A">
        <w:tab/>
      </w:r>
      <w:r>
        <w:rPr>
          <w:iCs/>
          <w:lang w:val="es-ES"/>
        </w:rPr>
        <w:t>同上</w:t>
      </w:r>
      <w:r w:rsidRPr="00B85F6A">
        <w:rPr>
          <w:iCs/>
        </w:rPr>
        <w:t>，</w:t>
      </w:r>
      <w:r>
        <w:rPr>
          <w:lang w:val="es-ES"/>
        </w:rPr>
        <w:t>第</w:t>
      </w:r>
      <w:r w:rsidRPr="00B85F6A">
        <w:t>12</w:t>
      </w:r>
      <w:r>
        <w:rPr>
          <w:rFonts w:hint="eastAsia"/>
        </w:rPr>
        <w:t>和</w:t>
      </w:r>
      <w:r>
        <w:t>13</w:t>
      </w:r>
      <w:r>
        <w:rPr>
          <w:rFonts w:hint="eastAsia"/>
        </w:rPr>
        <w:t>段。</w:t>
      </w:r>
    </w:p>
  </w:footnote>
  <w:footnote w:id="30">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B85F6A">
        <w:tab/>
        <w:t xml:space="preserve">A/HRC/23/36, </w:t>
      </w:r>
      <w:r>
        <w:rPr>
          <w:lang w:val="es-ES"/>
        </w:rPr>
        <w:t>第</w:t>
      </w:r>
      <w:r w:rsidRPr="00B85F6A">
        <w:t>72</w:t>
      </w:r>
      <w:r>
        <w:rPr>
          <w:rFonts w:hint="eastAsia"/>
        </w:rPr>
        <w:t>段。</w:t>
      </w:r>
    </w:p>
  </w:footnote>
  <w:footnote w:id="31">
    <w:p w:rsidR="00E14CCD" w:rsidRPr="007120BE" w:rsidRDefault="00E14CCD" w:rsidP="00382994">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B85F6A">
        <w:tab/>
      </w:r>
      <w:r w:rsidRPr="00477E0F">
        <w:rPr>
          <w:bCs/>
          <w:spacing w:val="-4"/>
        </w:rPr>
        <w:t xml:space="preserve">A/HRC/24/38, </w:t>
      </w:r>
      <w:r w:rsidRPr="00477E0F">
        <w:rPr>
          <w:bCs/>
          <w:spacing w:val="-4"/>
          <w:lang w:val="es-ES"/>
        </w:rPr>
        <w:t>第</w:t>
      </w:r>
      <w:r w:rsidRPr="00477E0F">
        <w:rPr>
          <w:spacing w:val="-4"/>
        </w:rPr>
        <w:t>27</w:t>
      </w:r>
      <w:r w:rsidRPr="00477E0F">
        <w:rPr>
          <w:rFonts w:hint="eastAsia"/>
          <w:spacing w:val="-4"/>
        </w:rPr>
        <w:t>段。另见人权高专办</w:t>
      </w:r>
      <w:r w:rsidRPr="00477E0F">
        <w:rPr>
          <w:spacing w:val="-4"/>
        </w:rPr>
        <w:t>, “</w:t>
      </w:r>
      <w:r w:rsidRPr="00477E0F">
        <w:rPr>
          <w:rFonts w:hint="eastAsia"/>
          <w:spacing w:val="-4"/>
        </w:rPr>
        <w:t>秘密谈判贸易条约，对人权的威胁</w:t>
      </w:r>
      <w:r w:rsidRPr="00477E0F">
        <w:rPr>
          <w:spacing w:val="-4"/>
        </w:rPr>
        <w:t>”, 2015</w:t>
      </w:r>
      <w:r w:rsidRPr="00477E0F">
        <w:rPr>
          <w:rFonts w:hint="eastAsia"/>
          <w:spacing w:val="-4"/>
        </w:rPr>
        <w:t>年</w:t>
      </w:r>
      <w:r w:rsidRPr="00477E0F">
        <w:rPr>
          <w:rFonts w:hint="eastAsia"/>
          <w:spacing w:val="-4"/>
        </w:rPr>
        <w:t>4</w:t>
      </w:r>
      <w:r w:rsidRPr="00477E0F">
        <w:rPr>
          <w:rFonts w:hint="eastAsia"/>
          <w:spacing w:val="-4"/>
        </w:rPr>
        <w:t>月</w:t>
      </w:r>
      <w:r w:rsidRPr="00477E0F">
        <w:rPr>
          <w:rFonts w:hint="eastAsia"/>
          <w:spacing w:val="-4"/>
        </w:rPr>
        <w:t>23</w:t>
      </w:r>
      <w:r w:rsidRPr="00477E0F">
        <w:rPr>
          <w:rFonts w:hint="eastAsia"/>
          <w:spacing w:val="-4"/>
        </w:rPr>
        <w:t>日</w:t>
      </w:r>
      <w:r w:rsidRPr="00477E0F">
        <w:rPr>
          <w:spacing w:val="-4"/>
        </w:rPr>
        <w:t>新闻稿</w:t>
      </w:r>
      <w:r w:rsidRPr="00477E0F">
        <w:rPr>
          <w:rFonts w:hint="eastAsia"/>
          <w:spacing w:val="-4"/>
        </w:rPr>
        <w:t>，可查</w:t>
      </w:r>
      <w:r w:rsidR="00382994" w:rsidRPr="00477E0F">
        <w:rPr>
          <w:rFonts w:hint="eastAsia"/>
          <w:spacing w:val="-4"/>
        </w:rPr>
        <w:t>阅</w:t>
      </w:r>
      <w:hyperlink r:id="rId1" w:history="1">
        <w:r w:rsidRPr="00A510C1">
          <w:rPr>
            <w:rStyle w:val="Hyperlink"/>
          </w:rPr>
          <w:t>www.ohchr.org/EN/NewsEvents/Pages/DisplayNews.aspx?NewsID=15883&amp;LangID=E</w:t>
        </w:r>
      </w:hyperlink>
      <w:r>
        <w:rPr>
          <w:rFonts w:hint="eastAsia"/>
        </w:rPr>
        <w:t>。</w:t>
      </w:r>
    </w:p>
  </w:footnote>
  <w:footnote w:id="32">
    <w:p w:rsidR="00E14CCD" w:rsidRPr="0003697B"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03697B">
        <w:tab/>
      </w:r>
      <w:r>
        <w:t>见</w:t>
      </w:r>
      <w:hyperlink r:id="rId2" w:history="1">
        <w:r w:rsidRPr="00A510C1">
          <w:rPr>
            <w:rStyle w:val="Hyperlink"/>
          </w:rPr>
          <w:t>www.ipu.org/wmn-e/world.htm</w:t>
        </w:r>
      </w:hyperlink>
      <w:r>
        <w:rPr>
          <w:rFonts w:hint="eastAsia"/>
        </w:rPr>
        <w:t>。</w:t>
      </w:r>
    </w:p>
  </w:footnote>
  <w:footnote w:id="33">
    <w:p w:rsidR="00E14CCD" w:rsidRPr="00B85F6A" w:rsidRDefault="00E14CCD" w:rsidP="00382994">
      <w:pPr>
        <w:pStyle w:val="FootnoteText"/>
        <w:tabs>
          <w:tab w:val="clear" w:pos="418"/>
          <w:tab w:val="right" w:pos="1195"/>
          <w:tab w:val="left" w:pos="1288"/>
          <w:tab w:val="left" w:pos="2126"/>
          <w:tab w:val="left" w:pos="2557"/>
        </w:tabs>
        <w:ind w:left="1264" w:right="1264" w:hanging="432"/>
      </w:pPr>
      <w:r w:rsidRPr="0003697B">
        <w:tab/>
      </w:r>
      <w:r w:rsidRPr="008C4DD0">
        <w:rPr>
          <w:rStyle w:val="FootnoteReference"/>
        </w:rPr>
        <w:footnoteRef/>
      </w:r>
      <w:r w:rsidRPr="00B85F6A">
        <w:tab/>
        <w:t xml:space="preserve">A/HRC/23/50, </w:t>
      </w:r>
      <w:r>
        <w:rPr>
          <w:lang w:val="es-ES"/>
        </w:rPr>
        <w:t>第</w:t>
      </w:r>
      <w:r w:rsidRPr="00B85F6A">
        <w:t>53–76.</w:t>
      </w:r>
      <w:r>
        <w:rPr>
          <w:rFonts w:hint="eastAsia"/>
        </w:rPr>
        <w:t>段。</w:t>
      </w:r>
    </w:p>
  </w:footnote>
  <w:footnote w:id="34">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B85F6A">
        <w:tab/>
        <w:t xml:space="preserve">A/HRC/25/55, </w:t>
      </w:r>
      <w:r>
        <w:rPr>
          <w:lang w:val="es-ES"/>
        </w:rPr>
        <w:t>第</w:t>
      </w:r>
      <w:r>
        <w:t>99</w:t>
      </w:r>
      <w:r>
        <w:rPr>
          <w:rFonts w:hint="eastAsia"/>
        </w:rPr>
        <w:t>段。</w:t>
      </w:r>
    </w:p>
  </w:footnote>
  <w:footnote w:id="35">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B85F6A">
        <w:tab/>
      </w:r>
      <w:r>
        <w:rPr>
          <w:lang w:val="es-ES"/>
        </w:rPr>
        <w:t>见</w:t>
      </w:r>
      <w:r w:rsidRPr="00B85F6A">
        <w:t xml:space="preserve">A/HRC/27/52, </w:t>
      </w:r>
      <w:r>
        <w:rPr>
          <w:lang w:val="es-ES"/>
        </w:rPr>
        <w:t>第</w:t>
      </w:r>
      <w:r>
        <w:t>11</w:t>
      </w:r>
      <w:r>
        <w:rPr>
          <w:rFonts w:hint="eastAsia"/>
        </w:rPr>
        <w:t>段。</w:t>
      </w:r>
    </w:p>
  </w:footnote>
  <w:footnote w:id="36">
    <w:p w:rsidR="00E14CCD" w:rsidRPr="00FC77CC"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FC77CC">
        <w:tab/>
        <w:t xml:space="preserve">E/CN.4/Sub.2/AC.5/2005/2, </w:t>
      </w:r>
      <w:r>
        <w:rPr>
          <w:lang w:val="es-ES"/>
        </w:rPr>
        <w:t>第</w:t>
      </w:r>
      <w:r w:rsidRPr="00FC77CC">
        <w:t>42–44</w:t>
      </w:r>
      <w:r>
        <w:rPr>
          <w:rFonts w:hint="eastAsia"/>
          <w:lang w:val="es-ES"/>
        </w:rPr>
        <w:t>段。</w:t>
      </w:r>
    </w:p>
  </w:footnote>
  <w:footnote w:id="37">
    <w:p w:rsidR="00E14CCD" w:rsidRPr="00B56875" w:rsidRDefault="00E14CCD" w:rsidP="005B17D2">
      <w:pPr>
        <w:pStyle w:val="FootnoteText"/>
        <w:tabs>
          <w:tab w:val="clear" w:pos="418"/>
          <w:tab w:val="right" w:pos="1195"/>
          <w:tab w:val="left" w:pos="1264"/>
          <w:tab w:val="left" w:pos="1695"/>
          <w:tab w:val="left" w:pos="2126"/>
          <w:tab w:val="left" w:pos="2557"/>
        </w:tabs>
        <w:ind w:left="1264" w:right="1264" w:hanging="432"/>
        <w:rPr>
          <w:lang w:val="es-ES"/>
        </w:rPr>
      </w:pPr>
      <w:r w:rsidRPr="00FC77CC">
        <w:tab/>
      </w:r>
      <w:r w:rsidRPr="008C4DD0">
        <w:rPr>
          <w:rStyle w:val="FootnoteReference"/>
        </w:rPr>
        <w:footnoteRef/>
      </w:r>
      <w:r w:rsidRPr="00B56875">
        <w:rPr>
          <w:lang w:val="es-ES"/>
        </w:rPr>
        <w:tab/>
      </w:r>
      <w:r>
        <w:t>见</w:t>
      </w:r>
      <w:r w:rsidRPr="00B56875">
        <w:rPr>
          <w:lang w:val="es-ES"/>
        </w:rPr>
        <w:t xml:space="preserve"> A/HRC/13/25, </w:t>
      </w:r>
      <w:r>
        <w:t>第</w:t>
      </w:r>
      <w:r w:rsidRPr="00B56875">
        <w:rPr>
          <w:lang w:val="es-ES"/>
        </w:rPr>
        <w:t>6</w:t>
      </w:r>
      <w:r>
        <w:rPr>
          <w:rFonts w:hint="eastAsia"/>
          <w:lang w:val="es-ES"/>
        </w:rPr>
        <w:t>段</w:t>
      </w:r>
      <w:r w:rsidRPr="00B56875">
        <w:rPr>
          <w:lang w:val="es-ES"/>
        </w:rPr>
        <w:t xml:space="preserve">; </w:t>
      </w:r>
      <w:r>
        <w:rPr>
          <w:rFonts w:hint="eastAsia"/>
          <w:lang w:val="es-ES"/>
        </w:rPr>
        <w:t>和</w:t>
      </w:r>
      <w:r w:rsidRPr="00B56875">
        <w:rPr>
          <w:lang w:val="es-ES"/>
        </w:rPr>
        <w:t>2009</w:t>
      </w:r>
      <w:r>
        <w:rPr>
          <w:rFonts w:hint="eastAsia"/>
          <w:lang w:val="es-ES"/>
        </w:rPr>
        <w:t>年</w:t>
      </w:r>
      <w:r>
        <w:rPr>
          <w:rFonts w:hint="eastAsia"/>
          <w:lang w:val="es-ES"/>
        </w:rPr>
        <w:t>4</w:t>
      </w:r>
      <w:r>
        <w:rPr>
          <w:rFonts w:hint="eastAsia"/>
          <w:lang w:val="es-ES"/>
        </w:rPr>
        <w:t>月</w:t>
      </w:r>
      <w:r>
        <w:rPr>
          <w:rFonts w:hint="eastAsia"/>
          <w:lang w:val="es-ES"/>
        </w:rPr>
        <w:t>20</w:t>
      </w:r>
      <w:r>
        <w:rPr>
          <w:rFonts w:hint="eastAsia"/>
          <w:lang w:val="es-ES"/>
        </w:rPr>
        <w:t>日至</w:t>
      </w:r>
      <w:r>
        <w:rPr>
          <w:rFonts w:hint="eastAsia"/>
          <w:lang w:val="es-ES"/>
        </w:rPr>
        <w:t>24</w:t>
      </w:r>
      <w:r>
        <w:rPr>
          <w:rFonts w:hint="eastAsia"/>
          <w:lang w:val="es-ES"/>
        </w:rPr>
        <w:t>日在日内瓦举行的德班审查会议通过的</w:t>
      </w:r>
      <w:r>
        <w:t>《德班宣言和行动纲领》</w:t>
      </w:r>
      <w:r>
        <w:rPr>
          <w:rFonts w:hint="eastAsia"/>
          <w:lang w:val="es-ES"/>
        </w:rPr>
        <w:t>。</w:t>
      </w:r>
    </w:p>
  </w:footnote>
  <w:footnote w:id="38">
    <w:p w:rsidR="00E14CCD" w:rsidRPr="00512457" w:rsidRDefault="00E14CCD" w:rsidP="005B17D2">
      <w:pPr>
        <w:pStyle w:val="FootnoteText"/>
        <w:tabs>
          <w:tab w:val="clear" w:pos="418"/>
          <w:tab w:val="right" w:pos="1195"/>
          <w:tab w:val="left" w:pos="1264"/>
          <w:tab w:val="left" w:pos="1695"/>
          <w:tab w:val="left" w:pos="2126"/>
          <w:tab w:val="left" w:pos="2557"/>
        </w:tabs>
        <w:ind w:left="1264" w:right="1264" w:hanging="432"/>
        <w:rPr>
          <w:lang w:val="es-ES"/>
        </w:rPr>
      </w:pPr>
      <w:r w:rsidRPr="00B56875">
        <w:rPr>
          <w:lang w:val="es-ES"/>
        </w:rPr>
        <w:tab/>
      </w:r>
      <w:r w:rsidRPr="008C4DD0">
        <w:rPr>
          <w:rStyle w:val="FootnoteReference"/>
        </w:rPr>
        <w:footnoteRef/>
      </w:r>
      <w:r w:rsidRPr="00512457">
        <w:rPr>
          <w:lang w:val="es-ES"/>
        </w:rPr>
        <w:tab/>
      </w:r>
      <w:r>
        <w:rPr>
          <w:lang w:val="es-ES"/>
        </w:rPr>
        <w:t>见</w:t>
      </w:r>
      <w:r w:rsidRPr="00512457">
        <w:rPr>
          <w:lang w:val="es-ES"/>
        </w:rPr>
        <w:t xml:space="preserve"> CCPR/C/USA/CO/3/Rev.1, </w:t>
      </w:r>
      <w:r>
        <w:rPr>
          <w:lang w:val="es-ES"/>
        </w:rPr>
        <w:t>第</w:t>
      </w:r>
      <w:r w:rsidRPr="00512457">
        <w:rPr>
          <w:lang w:val="es-ES"/>
        </w:rPr>
        <w:t>35</w:t>
      </w:r>
      <w:r>
        <w:rPr>
          <w:rFonts w:hint="eastAsia"/>
        </w:rPr>
        <w:t>段。</w:t>
      </w:r>
    </w:p>
  </w:footnote>
  <w:footnote w:id="39">
    <w:p w:rsidR="00E14CCD" w:rsidRPr="00512457" w:rsidRDefault="00E14CCD" w:rsidP="005B17D2">
      <w:pPr>
        <w:pStyle w:val="FootnoteText"/>
        <w:tabs>
          <w:tab w:val="clear" w:pos="418"/>
          <w:tab w:val="right" w:pos="1195"/>
          <w:tab w:val="left" w:pos="1264"/>
          <w:tab w:val="left" w:pos="1695"/>
          <w:tab w:val="left" w:pos="2126"/>
          <w:tab w:val="left" w:pos="2557"/>
        </w:tabs>
        <w:ind w:left="1264" w:right="1264" w:hanging="432"/>
        <w:rPr>
          <w:lang w:val="es-ES"/>
        </w:rPr>
      </w:pPr>
      <w:r w:rsidRPr="00512457">
        <w:rPr>
          <w:u w:color="00B050"/>
          <w:lang w:val="es-ES"/>
        </w:rPr>
        <w:tab/>
      </w:r>
      <w:r w:rsidRPr="008C4DD0">
        <w:rPr>
          <w:rStyle w:val="FootnoteReference"/>
        </w:rPr>
        <w:footnoteRef/>
      </w:r>
      <w:r w:rsidRPr="00512457">
        <w:rPr>
          <w:u w:color="00B050"/>
          <w:lang w:val="es-ES"/>
        </w:rPr>
        <w:tab/>
        <w:t xml:space="preserve">A/HRC/19/36, </w:t>
      </w:r>
      <w:r w:rsidRPr="00DF2DF1">
        <w:rPr>
          <w:rFonts w:eastAsiaTheme="majorEastAsia"/>
          <w:u w:color="00B050"/>
          <w:lang w:val="es-ES"/>
        </w:rPr>
        <w:t>第</w:t>
      </w:r>
      <w:r w:rsidRPr="00DF2DF1">
        <w:rPr>
          <w:rFonts w:eastAsiaTheme="majorEastAsia"/>
          <w:u w:color="00B050"/>
          <w:lang w:val="es-ES"/>
        </w:rPr>
        <w:t>38</w:t>
      </w:r>
      <w:r w:rsidRPr="00DF2DF1">
        <w:rPr>
          <w:rFonts w:eastAsiaTheme="majorEastAsia" w:hint="eastAsia"/>
          <w:u w:color="00B050"/>
        </w:rPr>
        <w:t>段。</w:t>
      </w:r>
    </w:p>
  </w:footnote>
  <w:footnote w:id="40">
    <w:p w:rsidR="00E14CCD" w:rsidRPr="00512457" w:rsidRDefault="00E14CCD" w:rsidP="005B17D2">
      <w:pPr>
        <w:pStyle w:val="FootnoteText"/>
        <w:tabs>
          <w:tab w:val="clear" w:pos="418"/>
          <w:tab w:val="right" w:pos="1195"/>
          <w:tab w:val="left" w:pos="1264"/>
          <w:tab w:val="left" w:pos="1695"/>
          <w:tab w:val="left" w:pos="2126"/>
          <w:tab w:val="left" w:pos="2557"/>
        </w:tabs>
        <w:ind w:left="1264" w:right="1264" w:hanging="432"/>
        <w:rPr>
          <w:rFonts w:eastAsia="Arial Unicode MS"/>
          <w:u w:color="00B050"/>
          <w:lang w:val="es-ES"/>
        </w:rPr>
      </w:pPr>
      <w:r w:rsidRPr="00512457">
        <w:rPr>
          <w:rFonts w:eastAsia="Arial Unicode MS"/>
          <w:u w:color="00B050"/>
          <w:lang w:val="es-ES"/>
        </w:rPr>
        <w:tab/>
      </w:r>
      <w:r w:rsidRPr="008C4DD0">
        <w:rPr>
          <w:rStyle w:val="FootnoteReference"/>
        </w:rPr>
        <w:footnoteRef/>
      </w:r>
      <w:r w:rsidRPr="00512457">
        <w:rPr>
          <w:rFonts w:eastAsia="Arial Unicode MS"/>
          <w:u w:color="00B050"/>
          <w:lang w:val="es-ES"/>
        </w:rPr>
        <w:tab/>
      </w:r>
      <w:r w:rsidRPr="00B85F6A">
        <w:rPr>
          <w:rFonts w:eastAsiaTheme="majorEastAsia"/>
          <w:u w:color="00B050"/>
        </w:rPr>
        <w:t>见</w:t>
      </w:r>
      <w:r>
        <w:t>国际残疾人联盟</w:t>
      </w:r>
      <w:r>
        <w:rPr>
          <w:rFonts w:hint="eastAsia"/>
        </w:rPr>
        <w:t>的意见</w:t>
      </w:r>
      <w:r>
        <w:rPr>
          <w:rFonts w:eastAsia="Arial Unicode MS" w:hint="eastAsia"/>
          <w:u w:color="00B050"/>
        </w:rPr>
        <w:t>。</w:t>
      </w:r>
    </w:p>
  </w:footnote>
  <w:footnote w:id="41">
    <w:p w:rsidR="00E14CCD" w:rsidRPr="00B93C7E" w:rsidRDefault="00E14CCD" w:rsidP="005B17D2">
      <w:pPr>
        <w:pStyle w:val="FootnoteText"/>
        <w:tabs>
          <w:tab w:val="clear" w:pos="418"/>
          <w:tab w:val="right" w:pos="1195"/>
          <w:tab w:val="left" w:pos="1264"/>
          <w:tab w:val="left" w:pos="1695"/>
          <w:tab w:val="left" w:pos="2126"/>
          <w:tab w:val="left" w:pos="2557"/>
        </w:tabs>
        <w:ind w:left="1264" w:right="1264" w:hanging="432"/>
      </w:pPr>
      <w:r w:rsidRPr="00512457">
        <w:rPr>
          <w:lang w:val="es-ES"/>
        </w:rPr>
        <w:tab/>
      </w:r>
      <w:r w:rsidRPr="008C4DD0">
        <w:rPr>
          <w:rStyle w:val="FootnoteReference"/>
        </w:rPr>
        <w:footnoteRef/>
      </w:r>
      <w:r w:rsidRPr="00B93C7E">
        <w:tab/>
      </w:r>
      <w:r>
        <w:t>见</w:t>
      </w:r>
      <w:r w:rsidRPr="00B93C7E">
        <w:t xml:space="preserve"> A/HRC/17/33, </w:t>
      </w:r>
      <w:r>
        <w:t>第</w:t>
      </w:r>
      <w:r>
        <w:t>65</w:t>
      </w:r>
      <w:r>
        <w:rPr>
          <w:rFonts w:hint="eastAsia"/>
        </w:rPr>
        <w:t>段。</w:t>
      </w:r>
    </w:p>
  </w:footnote>
  <w:footnote w:id="42">
    <w:p w:rsidR="00E14CCD" w:rsidRPr="00B93C7E" w:rsidRDefault="00E14CCD" w:rsidP="005B17D2">
      <w:pPr>
        <w:pStyle w:val="FootnoteText"/>
        <w:tabs>
          <w:tab w:val="clear" w:pos="418"/>
          <w:tab w:val="right" w:pos="1195"/>
          <w:tab w:val="left" w:pos="1264"/>
          <w:tab w:val="left" w:pos="1695"/>
          <w:tab w:val="left" w:pos="2126"/>
          <w:tab w:val="left" w:pos="2557"/>
        </w:tabs>
        <w:ind w:left="1264" w:right="1264" w:hanging="432"/>
      </w:pPr>
      <w:r w:rsidRPr="00B93C7E">
        <w:tab/>
      </w:r>
      <w:r w:rsidRPr="008C4DD0">
        <w:rPr>
          <w:rStyle w:val="FootnoteReference"/>
        </w:rPr>
        <w:footnoteRef/>
      </w:r>
      <w:r w:rsidRPr="00B93C7E">
        <w:rPr>
          <w:vertAlign w:val="superscript"/>
        </w:rPr>
        <w:tab/>
      </w:r>
      <w:r>
        <w:t>同上，第</w:t>
      </w:r>
      <w:r>
        <w:t>65–69</w:t>
      </w:r>
      <w:r>
        <w:rPr>
          <w:rFonts w:hint="eastAsia"/>
        </w:rPr>
        <w:t>段。</w:t>
      </w:r>
    </w:p>
  </w:footnote>
  <w:footnote w:id="43">
    <w:p w:rsidR="00E14CCD" w:rsidRPr="007120BE" w:rsidRDefault="00E14CCD" w:rsidP="005B17D2">
      <w:pPr>
        <w:pStyle w:val="FootnoteText"/>
        <w:tabs>
          <w:tab w:val="clear" w:pos="418"/>
          <w:tab w:val="right" w:pos="1195"/>
          <w:tab w:val="left" w:pos="1264"/>
          <w:tab w:val="left" w:pos="1695"/>
          <w:tab w:val="left" w:pos="2126"/>
          <w:tab w:val="left" w:pos="2557"/>
        </w:tabs>
        <w:ind w:left="1264" w:right="1264" w:hanging="432"/>
      </w:pPr>
      <w:r w:rsidRPr="00B93C7E">
        <w:rPr>
          <w:b/>
          <w:bCs/>
        </w:rPr>
        <w:tab/>
      </w:r>
      <w:r w:rsidRPr="008C4DD0">
        <w:rPr>
          <w:rStyle w:val="FootnoteReference"/>
        </w:rPr>
        <w:footnoteRef/>
      </w:r>
      <w:r w:rsidRPr="00B93C7E">
        <w:rPr>
          <w:b/>
          <w:bCs/>
        </w:rPr>
        <w:tab/>
      </w:r>
      <w:r>
        <w:rPr>
          <w:bCs/>
        </w:rPr>
        <w:t>人权事务委员会第</w:t>
      </w:r>
      <w:r>
        <w:rPr>
          <w:bCs/>
        </w:rPr>
        <w:t>25</w:t>
      </w:r>
      <w:r>
        <w:rPr>
          <w:bCs/>
        </w:rPr>
        <w:t>号一般性意见</w:t>
      </w:r>
      <w:r>
        <w:t>,</w:t>
      </w:r>
      <w:r w:rsidRPr="00B93C7E">
        <w:t xml:space="preserve"> </w:t>
      </w:r>
      <w:r>
        <w:t>第</w:t>
      </w:r>
      <w:r w:rsidRPr="007120BE">
        <w:t>11</w:t>
      </w:r>
      <w:r>
        <w:rPr>
          <w:rFonts w:hint="eastAsia"/>
        </w:rPr>
        <w:t>段</w:t>
      </w:r>
      <w:r>
        <w:t xml:space="preserve">; </w:t>
      </w:r>
      <w:r>
        <w:rPr>
          <w:rFonts w:hint="eastAsia"/>
        </w:rPr>
        <w:t>另</w:t>
      </w:r>
      <w:r>
        <w:t>见国际移民组织</w:t>
      </w:r>
      <w:r>
        <w:rPr>
          <w:rFonts w:hint="eastAsia"/>
        </w:rPr>
        <w:t>的意见，</w:t>
      </w:r>
      <w:r>
        <w:t>第</w:t>
      </w:r>
      <w:r w:rsidRPr="007120BE">
        <w:t>2</w:t>
      </w:r>
      <w:r>
        <w:t>–3</w:t>
      </w:r>
      <w:r>
        <w:rPr>
          <w:rFonts w:hint="eastAsia"/>
        </w:rPr>
        <w:t>页。</w:t>
      </w:r>
    </w:p>
  </w:footnote>
  <w:footnote w:id="44">
    <w:p w:rsidR="00E14CCD" w:rsidRPr="009D0B94"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9D0B94">
        <w:tab/>
        <w:t xml:space="preserve">A/HRC/29/23, </w:t>
      </w:r>
      <w:r>
        <w:rPr>
          <w:lang w:val="es-ES"/>
        </w:rPr>
        <w:t>第</w:t>
      </w:r>
      <w:r w:rsidRPr="009D0B94">
        <w:t>48–49, 60–63</w:t>
      </w:r>
      <w:r>
        <w:rPr>
          <w:rFonts w:hint="eastAsia"/>
          <w:lang w:val="es-ES"/>
        </w:rPr>
        <w:t>段。</w:t>
      </w:r>
    </w:p>
  </w:footnote>
  <w:footnote w:id="45">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pPr>
      <w:r w:rsidRPr="009D0B94">
        <w:tab/>
      </w:r>
      <w:r w:rsidRPr="008C4DD0">
        <w:rPr>
          <w:rStyle w:val="FootnoteReference"/>
        </w:rPr>
        <w:footnoteRef/>
      </w:r>
      <w:r>
        <w:tab/>
      </w:r>
      <w:r>
        <w:t>见法律资源中心</w:t>
      </w:r>
      <w:r>
        <w:rPr>
          <w:rFonts w:hint="eastAsia"/>
        </w:rPr>
        <w:t>的意见</w:t>
      </w:r>
      <w:r w:rsidRPr="00B318C4">
        <w:t>;</w:t>
      </w:r>
      <w:r>
        <w:t xml:space="preserve"> </w:t>
      </w:r>
      <w:r>
        <w:rPr>
          <w:rFonts w:hint="eastAsia"/>
        </w:rPr>
        <w:t>和</w:t>
      </w:r>
      <w:r w:rsidRPr="00B318C4">
        <w:t xml:space="preserve">A/HRC/29/23, </w:t>
      </w:r>
      <w:r>
        <w:t>第</w:t>
      </w:r>
      <w:r w:rsidRPr="00B318C4">
        <w:t>69</w:t>
      </w:r>
      <w:r>
        <w:rPr>
          <w:rFonts w:hint="eastAsia"/>
        </w:rPr>
        <w:t>和</w:t>
      </w:r>
      <w:r>
        <w:t>70</w:t>
      </w:r>
      <w:r>
        <w:rPr>
          <w:rFonts w:hint="eastAsia"/>
        </w:rPr>
        <w:t>段。</w:t>
      </w:r>
    </w:p>
  </w:footnote>
  <w:footnote w:id="46">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B318C4">
        <w:rPr>
          <w:vertAlign w:val="superscript"/>
        </w:rPr>
        <w:tab/>
      </w:r>
      <w:r>
        <w:t>见</w:t>
      </w:r>
      <w:r>
        <w:rPr>
          <w:rFonts w:hint="eastAsia"/>
        </w:rPr>
        <w:t>欧洲非盈利法中心和</w:t>
      </w:r>
      <w:r>
        <w:t>民主选举所</w:t>
      </w:r>
      <w:r>
        <w:rPr>
          <w:rFonts w:hint="eastAsia"/>
        </w:rPr>
        <w:t>的意见。</w:t>
      </w:r>
    </w:p>
  </w:footnote>
  <w:footnote w:id="47">
    <w:p w:rsidR="00E14CCD" w:rsidRPr="00B318C4" w:rsidRDefault="00E14CCD" w:rsidP="00477E0F">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B318C4">
        <w:rPr>
          <w:vertAlign w:val="superscript"/>
        </w:rPr>
        <w:tab/>
      </w:r>
      <w:r>
        <w:t>见联合国政治事务部</w:t>
      </w:r>
      <w:r w:rsidRPr="00B318C4">
        <w:t>/</w:t>
      </w:r>
      <w:r>
        <w:t>选举援助司</w:t>
      </w:r>
      <w:r>
        <w:rPr>
          <w:rFonts w:hint="eastAsia"/>
        </w:rPr>
        <w:t>。另</w:t>
      </w:r>
      <w:r>
        <w:t>见民主选举所</w:t>
      </w:r>
      <w:r>
        <w:rPr>
          <w:rFonts w:hint="eastAsia"/>
        </w:rPr>
        <w:t>，“克服政治排斥：边缘群体成功参与政治决策战略</w:t>
      </w:r>
      <w:r w:rsidR="00477E0F">
        <w:rPr>
          <w:rFonts w:hint="eastAsia"/>
        </w:rPr>
        <w:t>”</w:t>
      </w:r>
      <w:r>
        <w:rPr>
          <w:rFonts w:hint="eastAsia"/>
          <w:i/>
          <w:iCs/>
        </w:rPr>
        <w:t>，</w:t>
      </w:r>
      <w:r>
        <w:t>(2013</w:t>
      </w:r>
      <w:r>
        <w:rPr>
          <w:rFonts w:hint="eastAsia"/>
        </w:rPr>
        <w:t>年，斯德哥尔摩</w:t>
      </w:r>
      <w:r>
        <w:t>),</w:t>
      </w:r>
      <w:r w:rsidRPr="00B318C4">
        <w:t xml:space="preserve"> </w:t>
      </w:r>
      <w:r>
        <w:t>第</w:t>
      </w:r>
      <w:r>
        <w:t>16</w:t>
      </w:r>
      <w:r>
        <w:rPr>
          <w:rFonts w:hint="eastAsia"/>
        </w:rPr>
        <w:t>页。</w:t>
      </w:r>
    </w:p>
  </w:footnote>
  <w:footnote w:id="48">
    <w:p w:rsidR="00E14CCD" w:rsidRPr="007120BE" w:rsidRDefault="00E14CCD" w:rsidP="006B577A">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rsidRPr="007120BE">
        <w:t xml:space="preserve">A/HRC/23/50, </w:t>
      </w:r>
      <w:r>
        <w:t>第</w:t>
      </w:r>
      <w:r w:rsidRPr="007120BE">
        <w:t>37</w:t>
      </w:r>
      <w:r>
        <w:rPr>
          <w:rFonts w:hint="eastAsia"/>
        </w:rPr>
        <w:t>-</w:t>
      </w:r>
      <w:r w:rsidRPr="007120BE">
        <w:t>40</w:t>
      </w:r>
      <w:r>
        <w:rPr>
          <w:rFonts w:hint="eastAsia"/>
        </w:rPr>
        <w:t>段。</w:t>
      </w:r>
    </w:p>
  </w:footnote>
  <w:footnote w:id="49">
    <w:p w:rsidR="00E14CCD" w:rsidRDefault="00E14CCD" w:rsidP="006737C5">
      <w:pPr>
        <w:pStyle w:val="FootnoteText"/>
        <w:tabs>
          <w:tab w:val="clear" w:pos="418"/>
          <w:tab w:val="right" w:pos="1195"/>
          <w:tab w:val="left" w:pos="1264"/>
          <w:tab w:val="left" w:pos="1695"/>
          <w:tab w:val="left" w:pos="2126"/>
          <w:tab w:val="left" w:pos="2557"/>
        </w:tabs>
        <w:ind w:left="1264" w:right="1264" w:hanging="432"/>
      </w:pPr>
      <w:r>
        <w:rPr>
          <w:i/>
        </w:rPr>
        <w:tab/>
      </w:r>
      <w:r w:rsidRPr="008C4DD0">
        <w:rPr>
          <w:rStyle w:val="FootnoteReference"/>
        </w:rPr>
        <w:footnoteRef/>
      </w:r>
      <w:r>
        <w:rPr>
          <w:i/>
        </w:rPr>
        <w:tab/>
      </w:r>
      <w:r>
        <w:rPr>
          <w:iCs/>
        </w:rPr>
        <w:t>见</w:t>
      </w:r>
      <w:r>
        <w:t>民主选举所</w:t>
      </w:r>
      <w:r>
        <w:rPr>
          <w:rFonts w:hint="eastAsia"/>
          <w:iCs/>
        </w:rPr>
        <w:t>和</w:t>
      </w:r>
      <w:r>
        <w:t>科菲</w:t>
      </w:r>
      <w:r w:rsidR="006737C5">
        <w:rPr>
          <w:rFonts w:hint="eastAsia"/>
        </w:rPr>
        <w:t>·</w:t>
      </w:r>
      <w:r>
        <w:t>安南基金会</w:t>
      </w:r>
      <w:r>
        <w:rPr>
          <w:rFonts w:hint="eastAsia"/>
          <w:iCs/>
        </w:rPr>
        <w:t>，</w:t>
      </w:r>
      <w:r>
        <w:t>“</w:t>
      </w:r>
      <w:r>
        <w:t>深化民主：增进世界范围一体化的战略</w:t>
      </w:r>
      <w:r>
        <w:t>(2012</w:t>
      </w:r>
      <w:r>
        <w:rPr>
          <w:rFonts w:hint="eastAsia"/>
        </w:rPr>
        <w:t>年，</w:t>
      </w:r>
    </w:p>
    <w:p w:rsidR="00E14CCD" w:rsidRPr="007120BE" w:rsidRDefault="00E14CCD" w:rsidP="00605FCE">
      <w:pPr>
        <w:pStyle w:val="FootnoteText"/>
        <w:tabs>
          <w:tab w:val="clear" w:pos="418"/>
          <w:tab w:val="right" w:pos="1195"/>
          <w:tab w:val="left" w:pos="1264"/>
          <w:tab w:val="left" w:pos="1695"/>
          <w:tab w:val="left" w:pos="2126"/>
          <w:tab w:val="left" w:pos="2557"/>
        </w:tabs>
        <w:ind w:left="1264" w:right="1264" w:hanging="432"/>
      </w:pPr>
      <w:r>
        <w:rPr>
          <w:rFonts w:hint="eastAsia"/>
        </w:rPr>
        <w:tab/>
      </w:r>
      <w:r>
        <w:rPr>
          <w:rFonts w:hint="eastAsia"/>
        </w:rPr>
        <w:tab/>
      </w:r>
      <w:r>
        <w:rPr>
          <w:rFonts w:hint="eastAsia"/>
        </w:rPr>
        <w:t>斯德哥尔摩</w:t>
      </w:r>
      <w:r w:rsidR="00605FCE">
        <w:rPr>
          <w:rFonts w:hint="eastAsia"/>
        </w:rPr>
        <w:t>/</w:t>
      </w:r>
      <w:r>
        <w:rPr>
          <w:rFonts w:hint="eastAsia"/>
        </w:rPr>
        <w:t>日内瓦</w:t>
      </w:r>
      <w:r>
        <w:t>)</w:t>
      </w:r>
      <w:r>
        <w:rPr>
          <w:rFonts w:hint="eastAsia"/>
        </w:rPr>
        <w:t>，</w:t>
      </w:r>
      <w:r>
        <w:t>第</w:t>
      </w:r>
      <w:r>
        <w:t>65</w:t>
      </w:r>
      <w:r>
        <w:rPr>
          <w:rFonts w:hint="eastAsia"/>
        </w:rPr>
        <w:t>段。</w:t>
      </w:r>
    </w:p>
  </w:footnote>
  <w:footnote w:id="50">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t>见民主选举所</w:t>
      </w:r>
      <w:r>
        <w:rPr>
          <w:rFonts w:hint="eastAsia"/>
        </w:rPr>
        <w:t>，“克服政治排斥</w:t>
      </w:r>
      <w:r w:rsidRPr="00605FCE">
        <w:rPr>
          <w:rFonts w:hint="eastAsia"/>
        </w:rPr>
        <w:t>”</w:t>
      </w:r>
      <w:r>
        <w:rPr>
          <w:rFonts w:hint="eastAsia"/>
          <w:i/>
          <w:iCs/>
        </w:rPr>
        <w:t>，</w:t>
      </w:r>
      <w:r>
        <w:t>第</w:t>
      </w:r>
      <w:r w:rsidRPr="00B318C4">
        <w:t>83</w:t>
      </w:r>
      <w:r>
        <w:rPr>
          <w:rFonts w:hint="eastAsia"/>
        </w:rPr>
        <w:t>页</w:t>
      </w:r>
      <w:r>
        <w:t>(</w:t>
      </w:r>
      <w:r>
        <w:t>见</w:t>
      </w:r>
      <w:r>
        <w:rPr>
          <w:rFonts w:hint="eastAsia"/>
        </w:rPr>
        <w:t>脚注</w:t>
      </w:r>
      <w:r>
        <w:t>47)</w:t>
      </w:r>
      <w:r>
        <w:rPr>
          <w:rFonts w:hint="eastAsia"/>
        </w:rPr>
        <w:t>。</w:t>
      </w:r>
    </w:p>
  </w:footnote>
  <w:footnote w:id="51">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bCs/>
        </w:rPr>
      </w:pPr>
      <w:r w:rsidRPr="0003697B">
        <w:rPr>
          <w:bCs/>
        </w:rPr>
        <w:tab/>
      </w:r>
      <w:r w:rsidRPr="008C4DD0">
        <w:rPr>
          <w:rStyle w:val="FootnoteReference"/>
        </w:rPr>
        <w:footnoteRef/>
      </w:r>
      <w:r w:rsidRPr="00B318C4">
        <w:rPr>
          <w:bCs/>
        </w:rPr>
        <w:tab/>
      </w:r>
      <w:r>
        <w:rPr>
          <w:bCs/>
        </w:rPr>
        <w:t>见</w:t>
      </w:r>
      <w:r>
        <w:t>拉丁美洲和加勒比经济委员会</w:t>
      </w:r>
      <w:r>
        <w:rPr>
          <w:rFonts w:hint="eastAsia"/>
        </w:rPr>
        <w:t>的意见。</w:t>
      </w:r>
    </w:p>
  </w:footnote>
  <w:footnote w:id="52">
    <w:p w:rsidR="00E14CCD" w:rsidRPr="00B85F6A" w:rsidRDefault="00E14CCD" w:rsidP="006B577A">
      <w:pPr>
        <w:pStyle w:val="FootnoteText"/>
        <w:tabs>
          <w:tab w:val="clear" w:pos="418"/>
          <w:tab w:val="right" w:pos="1195"/>
          <w:tab w:val="left" w:pos="1264"/>
          <w:tab w:val="left" w:pos="1695"/>
          <w:tab w:val="left" w:pos="2126"/>
          <w:tab w:val="left" w:pos="2557"/>
        </w:tabs>
        <w:ind w:left="1264" w:right="1264" w:hanging="432"/>
      </w:pPr>
      <w:r w:rsidRPr="0003697B">
        <w:tab/>
      </w:r>
      <w:r w:rsidRPr="008C4DD0">
        <w:rPr>
          <w:rStyle w:val="FootnoteReference"/>
        </w:rPr>
        <w:footnoteRef/>
      </w:r>
      <w:r w:rsidRPr="00B85F6A">
        <w:tab/>
        <w:t xml:space="preserve">A/HRC/23/36, </w:t>
      </w:r>
      <w:r>
        <w:rPr>
          <w:lang w:val="es-ES"/>
        </w:rPr>
        <w:t>第</w:t>
      </w:r>
      <w:r>
        <w:t>60</w:t>
      </w:r>
      <w:r>
        <w:rPr>
          <w:rFonts w:hint="eastAsia"/>
        </w:rPr>
        <w:t>-</w:t>
      </w:r>
      <w:r>
        <w:t>64</w:t>
      </w:r>
      <w:r>
        <w:rPr>
          <w:rFonts w:hint="eastAsia"/>
        </w:rPr>
        <w:t>段。</w:t>
      </w:r>
    </w:p>
  </w:footnote>
  <w:footnote w:id="53">
    <w:p w:rsidR="00E14CCD" w:rsidRPr="00B85F6A"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rsidRPr="00B85F6A">
        <w:tab/>
      </w:r>
      <w:r>
        <w:rPr>
          <w:iCs/>
          <w:lang w:val="es-ES"/>
        </w:rPr>
        <w:t>同上</w:t>
      </w:r>
      <w:r w:rsidRPr="00B85F6A">
        <w:rPr>
          <w:iCs/>
        </w:rPr>
        <w:t>，</w:t>
      </w:r>
      <w:r>
        <w:t>第</w:t>
      </w:r>
      <w:r w:rsidRPr="00B85F6A">
        <w:t>23</w:t>
      </w:r>
      <w:r>
        <w:rPr>
          <w:rFonts w:hint="eastAsia"/>
        </w:rPr>
        <w:t>页。</w:t>
      </w:r>
    </w:p>
  </w:footnote>
  <w:footnote w:id="54">
    <w:p w:rsidR="00E14CCD" w:rsidRPr="00E844CE" w:rsidRDefault="00E14CCD" w:rsidP="005B17D2">
      <w:pPr>
        <w:pStyle w:val="FootnoteText"/>
        <w:tabs>
          <w:tab w:val="clear" w:pos="418"/>
          <w:tab w:val="right" w:pos="1195"/>
          <w:tab w:val="left" w:pos="1264"/>
          <w:tab w:val="left" w:pos="1695"/>
          <w:tab w:val="left" w:pos="2126"/>
          <w:tab w:val="left" w:pos="2557"/>
        </w:tabs>
        <w:ind w:left="1264" w:right="1264" w:hanging="432"/>
      </w:pPr>
      <w:r w:rsidRPr="00B85F6A">
        <w:tab/>
      </w:r>
      <w:r w:rsidRPr="008C4DD0">
        <w:rPr>
          <w:rStyle w:val="FootnoteReference"/>
        </w:rPr>
        <w:footnoteRef/>
      </w:r>
      <w:r>
        <w:tab/>
      </w:r>
      <w:r>
        <w:t>见</w:t>
      </w:r>
      <w:r>
        <w:rPr>
          <w:rFonts w:hint="eastAsia"/>
        </w:rPr>
        <w:t>欧洲非盈利法中心，</w:t>
      </w:r>
      <w:r>
        <w:t>第</w:t>
      </w:r>
      <w:r>
        <w:t>13</w:t>
      </w:r>
      <w:r w:rsidR="006737C5">
        <w:rPr>
          <w:rFonts w:hint="eastAsia"/>
        </w:rPr>
        <w:t>页</w:t>
      </w:r>
      <w:r>
        <w:rPr>
          <w:rFonts w:hint="eastAsia"/>
        </w:rPr>
        <w:t>。</w:t>
      </w:r>
    </w:p>
  </w:footnote>
  <w:footnote w:id="55">
    <w:p w:rsidR="00E14CCD" w:rsidRPr="007120BE"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rsidRPr="007120BE">
        <w:t xml:space="preserve">A/HRC/17/27, </w:t>
      </w:r>
      <w:r>
        <w:t>第</w:t>
      </w:r>
      <w:r w:rsidRPr="007120BE">
        <w:t>65</w:t>
      </w:r>
      <w:r>
        <w:rPr>
          <w:rFonts w:hint="eastAsia"/>
        </w:rPr>
        <w:t>段。</w:t>
      </w:r>
    </w:p>
  </w:footnote>
  <w:footnote w:id="56">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rsidR="006737C5">
        <w:t>Tina Divjak</w:t>
      </w:r>
      <w:r>
        <w:rPr>
          <w:rFonts w:hint="eastAsia"/>
        </w:rPr>
        <w:t>和</w:t>
      </w:r>
      <w:r w:rsidRPr="00B318C4">
        <w:t xml:space="preserve">Goran Forbici, </w:t>
      </w:r>
      <w:r>
        <w:rPr>
          <w:rFonts w:hint="eastAsia"/>
        </w:rPr>
        <w:t>“</w:t>
      </w:r>
      <w:r>
        <w:t>公众广泛参与决策</w:t>
      </w:r>
      <w:r>
        <w:rPr>
          <w:rFonts w:hint="eastAsia"/>
        </w:rPr>
        <w:t>进</w:t>
      </w:r>
      <w:r>
        <w:t>程</w:t>
      </w:r>
      <w:r>
        <w:rPr>
          <w:rFonts w:hint="eastAsia"/>
        </w:rPr>
        <w:t>：法律框架的国际分析及良好做法集”</w:t>
      </w:r>
      <w:r w:rsidRPr="00B93C7E">
        <w:rPr>
          <w:i/>
          <w:iCs/>
        </w:rPr>
        <w:t xml:space="preserve"> </w:t>
      </w:r>
      <w:r>
        <w:t>(2014</w:t>
      </w:r>
      <w:r>
        <w:rPr>
          <w:rFonts w:hint="eastAsia"/>
        </w:rPr>
        <w:t>年</w:t>
      </w:r>
      <w:r>
        <w:rPr>
          <w:rFonts w:hint="eastAsia"/>
        </w:rPr>
        <w:t>12</w:t>
      </w:r>
      <w:r>
        <w:rPr>
          <w:rFonts w:hint="eastAsia"/>
        </w:rPr>
        <w:t>月，</w:t>
      </w:r>
      <w:r>
        <w:t>卢布尔雅那</w:t>
      </w:r>
      <w:r>
        <w:t>)</w:t>
      </w:r>
      <w:r w:rsidRPr="00B318C4">
        <w:t xml:space="preserve">, </w:t>
      </w:r>
      <w:r>
        <w:t>第</w:t>
      </w:r>
      <w:r>
        <w:t>60</w:t>
      </w:r>
      <w:r>
        <w:rPr>
          <w:rFonts w:hint="eastAsia"/>
        </w:rPr>
        <w:t>页。</w:t>
      </w:r>
    </w:p>
  </w:footnote>
  <w:footnote w:id="57">
    <w:p w:rsidR="00E14CCD" w:rsidRPr="007120BE" w:rsidRDefault="00E14CCD" w:rsidP="005B17D2">
      <w:pPr>
        <w:pStyle w:val="FootnoteText"/>
        <w:tabs>
          <w:tab w:val="clear" w:pos="418"/>
          <w:tab w:val="right" w:pos="1195"/>
          <w:tab w:val="left" w:pos="1264"/>
          <w:tab w:val="left" w:pos="1695"/>
          <w:tab w:val="left" w:pos="2126"/>
          <w:tab w:val="left" w:pos="2557"/>
        </w:tabs>
        <w:ind w:left="1264" w:right="1264" w:hanging="432"/>
      </w:pPr>
      <w:r>
        <w:rPr>
          <w:u w:color="00B050"/>
        </w:rPr>
        <w:tab/>
      </w:r>
      <w:r w:rsidRPr="008C4DD0">
        <w:rPr>
          <w:rStyle w:val="FootnoteReference"/>
        </w:rPr>
        <w:footnoteRef/>
      </w:r>
      <w:r>
        <w:rPr>
          <w:u w:color="00B050"/>
        </w:rPr>
        <w:tab/>
      </w:r>
      <w:r w:rsidRPr="007120BE">
        <w:rPr>
          <w:u w:color="00B050"/>
        </w:rPr>
        <w:t xml:space="preserve">A/HRC/23/36, </w:t>
      </w:r>
      <w:r>
        <w:rPr>
          <w:u w:color="00B050"/>
        </w:rPr>
        <w:t>第</w:t>
      </w:r>
      <w:r w:rsidRPr="007120BE">
        <w:rPr>
          <w:u w:color="00B050"/>
        </w:rPr>
        <w:t>71</w:t>
      </w:r>
      <w:r>
        <w:rPr>
          <w:rFonts w:hint="eastAsia"/>
          <w:u w:color="00B050"/>
        </w:rPr>
        <w:t>段。</w:t>
      </w:r>
    </w:p>
  </w:footnote>
  <w:footnote w:id="58">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sidRPr="00B318C4">
        <w:rPr>
          <w:u w:color="00B050"/>
        </w:rPr>
        <w:tab/>
      </w:r>
      <w:r>
        <w:rPr>
          <w:u w:color="00B050"/>
        </w:rPr>
        <w:t>见</w:t>
      </w:r>
      <w:r w:rsidRPr="00176C7B">
        <w:rPr>
          <w:rFonts w:ascii="SimSun" w:hAnsi="SimSun" w:cs="SimSun" w:hint="eastAsia"/>
          <w:sz w:val="20"/>
          <w:u w:color="000000"/>
          <w:bdr w:val="nil"/>
        </w:rPr>
        <w:t>消除种族歧视</w:t>
      </w:r>
      <w:r>
        <w:rPr>
          <w:rFonts w:ascii="SimSun" w:hAnsi="SimSun" w:cs="SimSun" w:hint="eastAsia"/>
          <w:sz w:val="20"/>
          <w:u w:color="000000"/>
          <w:bdr w:val="nil"/>
        </w:rPr>
        <w:t>委员会</w:t>
      </w:r>
      <w:r>
        <w:t>关于《消除一切形式种族歧视国际公约》特别措施的</w:t>
      </w:r>
      <w:r>
        <w:rPr>
          <w:rFonts w:hint="eastAsia"/>
        </w:rPr>
        <w:t>意</w:t>
      </w:r>
      <w:r>
        <w:t>义和范围的第</w:t>
      </w:r>
      <w:r>
        <w:t>32</w:t>
      </w:r>
      <w:r>
        <w:t>号一般性建议</w:t>
      </w:r>
      <w:r>
        <w:t>(2009</w:t>
      </w:r>
      <w:r>
        <w:t>年</w:t>
      </w:r>
      <w:r>
        <w:t>)</w:t>
      </w:r>
      <w:r w:rsidRPr="00B318C4">
        <w:rPr>
          <w:u w:color="00B050"/>
        </w:rPr>
        <w:t xml:space="preserve">, </w:t>
      </w:r>
      <w:r>
        <w:rPr>
          <w:u w:color="00B050"/>
        </w:rPr>
        <w:t>第</w:t>
      </w:r>
      <w:r w:rsidRPr="00B318C4">
        <w:rPr>
          <w:u w:color="00B050"/>
        </w:rPr>
        <w:t>8</w:t>
      </w:r>
      <w:r>
        <w:rPr>
          <w:rFonts w:hint="eastAsia"/>
          <w:u w:color="00B050"/>
        </w:rPr>
        <w:t>段。</w:t>
      </w:r>
    </w:p>
  </w:footnote>
  <w:footnote w:id="59">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sidRPr="00B318C4">
        <w:rPr>
          <w:u w:color="00B050"/>
        </w:rPr>
        <w:tab/>
      </w:r>
      <w:r>
        <w:rPr>
          <w:u w:color="00B050"/>
        </w:rPr>
        <w:t>见</w:t>
      </w:r>
      <w:r>
        <w:rPr>
          <w:rFonts w:hint="eastAsia"/>
          <w:u w:color="00B050"/>
        </w:rPr>
        <w:t>欧</w:t>
      </w:r>
      <w:r>
        <w:t>安组织</w:t>
      </w:r>
      <w:r>
        <w:t>/</w:t>
      </w:r>
      <w:r>
        <w:t>民主人权办</w:t>
      </w:r>
      <w:r>
        <w:rPr>
          <w:rFonts w:hint="eastAsia"/>
          <w:u w:color="00B050"/>
        </w:rPr>
        <w:t>的意见</w:t>
      </w:r>
      <w:r w:rsidRPr="00B318C4">
        <w:rPr>
          <w:u w:color="00B050"/>
        </w:rPr>
        <w:t xml:space="preserve">, </w:t>
      </w:r>
      <w:r>
        <w:rPr>
          <w:u w:color="00B050"/>
        </w:rPr>
        <w:t>第</w:t>
      </w:r>
      <w:r>
        <w:rPr>
          <w:u w:color="00B050"/>
        </w:rPr>
        <w:t>9</w:t>
      </w:r>
      <w:r>
        <w:rPr>
          <w:rFonts w:hint="eastAsia"/>
          <w:u w:color="00B050"/>
        </w:rPr>
        <w:t>页。</w:t>
      </w:r>
    </w:p>
  </w:footnote>
  <w:footnote w:id="60">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sidRPr="008D615C">
        <w:rPr>
          <w:u w:color="00B050"/>
        </w:rPr>
        <w:tab/>
        <w:t xml:space="preserve">A/HRC/27/33, </w:t>
      </w:r>
      <w:r>
        <w:rPr>
          <w:u w:color="00B050"/>
        </w:rPr>
        <w:t>第</w:t>
      </w:r>
      <w:r w:rsidRPr="008D615C">
        <w:rPr>
          <w:u w:color="00B050"/>
        </w:rPr>
        <w:t>2</w:t>
      </w:r>
      <w:r w:rsidR="006737C5">
        <w:rPr>
          <w:rFonts w:hint="eastAsia"/>
          <w:u w:color="00B050"/>
        </w:rPr>
        <w:t>3</w:t>
      </w:r>
      <w:r>
        <w:rPr>
          <w:rFonts w:hint="eastAsia"/>
          <w:u w:color="00B050"/>
        </w:rPr>
        <w:t>段</w:t>
      </w:r>
      <w:r w:rsidRPr="008D615C">
        <w:rPr>
          <w:u w:color="00B050"/>
        </w:rPr>
        <w:t xml:space="preserve">; </w:t>
      </w:r>
      <w:r>
        <w:rPr>
          <w:rFonts w:hint="eastAsia"/>
          <w:u w:color="00B050"/>
        </w:rPr>
        <w:t>和</w:t>
      </w:r>
      <w:r w:rsidRPr="008D615C">
        <w:rPr>
          <w:u w:color="00B050"/>
        </w:rPr>
        <w:t xml:space="preserve">A/HRC/17/27, </w:t>
      </w:r>
      <w:r>
        <w:rPr>
          <w:u w:color="00B050"/>
        </w:rPr>
        <w:t>第</w:t>
      </w:r>
      <w:r w:rsidRPr="00B318C4">
        <w:rPr>
          <w:u w:color="00B050"/>
        </w:rPr>
        <w:t>2</w:t>
      </w:r>
      <w:r>
        <w:rPr>
          <w:rFonts w:hint="eastAsia"/>
          <w:u w:color="00B050"/>
        </w:rPr>
        <w:t>段。</w:t>
      </w:r>
    </w:p>
  </w:footnote>
  <w:footnote w:id="61">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Pr>
          <w:u w:color="00B050"/>
        </w:rPr>
        <w:tab/>
      </w:r>
      <w:r>
        <w:rPr>
          <w:u w:color="00B050"/>
        </w:rPr>
        <w:t>见</w:t>
      </w:r>
      <w:r>
        <w:rPr>
          <w:rFonts w:hint="eastAsia"/>
          <w:u w:color="00B050"/>
        </w:rPr>
        <w:t>联合国粮食及农业组织的意见，</w:t>
      </w:r>
      <w:r>
        <w:rPr>
          <w:u w:color="00B050"/>
        </w:rPr>
        <w:t>第</w:t>
      </w:r>
      <w:r>
        <w:rPr>
          <w:u w:color="00B050"/>
        </w:rPr>
        <w:t>2</w:t>
      </w:r>
      <w:r>
        <w:rPr>
          <w:rFonts w:hint="eastAsia"/>
          <w:u w:color="00B050"/>
        </w:rPr>
        <w:t>页。</w:t>
      </w:r>
    </w:p>
  </w:footnote>
  <w:footnote w:id="62">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Pr>
          <w:u w:color="00B050"/>
        </w:rPr>
        <w:tab/>
      </w:r>
      <w:r w:rsidRPr="00B318C4">
        <w:rPr>
          <w:u w:color="00B050"/>
        </w:rPr>
        <w:t xml:space="preserve">A/68/184, </w:t>
      </w:r>
      <w:r>
        <w:rPr>
          <w:u w:color="00B050"/>
        </w:rPr>
        <w:t>第</w:t>
      </w:r>
      <w:r>
        <w:rPr>
          <w:u w:color="00B050"/>
        </w:rPr>
        <w:t>37</w:t>
      </w:r>
      <w:r>
        <w:rPr>
          <w:rFonts w:hint="eastAsia"/>
          <w:u w:color="00B050"/>
        </w:rPr>
        <w:t>段。</w:t>
      </w:r>
    </w:p>
  </w:footnote>
  <w:footnote w:id="63">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sidRPr="00B318C4">
        <w:rPr>
          <w:u w:color="00B050"/>
          <w:vertAlign w:val="superscript"/>
        </w:rPr>
        <w:t xml:space="preserve"> </w:t>
      </w:r>
      <w:r>
        <w:rPr>
          <w:u w:color="00B050"/>
        </w:rPr>
        <w:tab/>
      </w:r>
      <w:r>
        <w:rPr>
          <w:u w:color="00B050"/>
        </w:rPr>
        <w:t>见</w:t>
      </w:r>
      <w:r>
        <w:t>《联合国土著人民权利宣言》</w:t>
      </w:r>
      <w:r>
        <w:rPr>
          <w:rFonts w:hint="eastAsia"/>
          <w:u w:color="00B050"/>
        </w:rPr>
        <w:t>第</w:t>
      </w:r>
      <w:r w:rsidRPr="00B318C4">
        <w:rPr>
          <w:u w:color="00B050"/>
        </w:rPr>
        <w:t>5</w:t>
      </w:r>
      <w:r>
        <w:rPr>
          <w:rFonts w:hint="eastAsia"/>
          <w:u w:color="00B050"/>
        </w:rPr>
        <w:t>、</w:t>
      </w:r>
      <w:r w:rsidRPr="00B318C4">
        <w:rPr>
          <w:u w:color="00B050"/>
        </w:rPr>
        <w:t>18</w:t>
      </w:r>
      <w:r>
        <w:rPr>
          <w:rFonts w:hint="eastAsia"/>
          <w:u w:color="00B050"/>
        </w:rPr>
        <w:t>和</w:t>
      </w:r>
      <w:r w:rsidRPr="00B318C4">
        <w:rPr>
          <w:u w:color="00B050"/>
        </w:rPr>
        <w:t>19</w:t>
      </w:r>
      <w:r>
        <w:rPr>
          <w:rFonts w:hint="eastAsia"/>
          <w:u w:color="00B050"/>
        </w:rPr>
        <w:t>条</w:t>
      </w:r>
      <w:r>
        <w:rPr>
          <w:u w:color="00B050"/>
        </w:rPr>
        <w:t xml:space="preserve">; </w:t>
      </w:r>
      <w:r>
        <w:rPr>
          <w:rFonts w:hint="eastAsia"/>
          <w:u w:color="00B050"/>
        </w:rPr>
        <w:t>和劳工组织《</w:t>
      </w:r>
      <w:r>
        <w:t>土著和部落人民公约</w:t>
      </w:r>
      <w:r>
        <w:rPr>
          <w:rFonts w:hint="eastAsia"/>
        </w:rPr>
        <w:t>》</w:t>
      </w:r>
      <w:r>
        <w:t>1989</w:t>
      </w:r>
      <w:r>
        <w:t>年</w:t>
      </w:r>
      <w:r>
        <w:t>(</w:t>
      </w:r>
      <w:r>
        <w:t>第</w:t>
      </w:r>
      <w:r>
        <w:t>169</w:t>
      </w:r>
      <w:r>
        <w:t>号公约</w:t>
      </w:r>
      <w:r>
        <w:rPr>
          <w:rFonts w:hint="eastAsia"/>
        </w:rPr>
        <w:t>）。</w:t>
      </w:r>
    </w:p>
  </w:footnote>
  <w:footnote w:id="64">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sidRPr="00B318C4">
        <w:rPr>
          <w:u w:color="00B050"/>
          <w:vertAlign w:val="superscript"/>
        </w:rPr>
        <w:t xml:space="preserve"> </w:t>
      </w:r>
      <w:r>
        <w:rPr>
          <w:u w:color="00B050"/>
        </w:rPr>
        <w:tab/>
      </w:r>
      <w:r>
        <w:rPr>
          <w:rFonts w:hint="eastAsia"/>
          <w:u w:color="00B050"/>
        </w:rPr>
        <w:t>关于土著人民参与处理公共事务权利的其他最佳做法，</w:t>
      </w:r>
      <w:r>
        <w:rPr>
          <w:u w:color="00B050"/>
        </w:rPr>
        <w:t>见</w:t>
      </w:r>
      <w:r>
        <w:rPr>
          <w:u w:color="00B050"/>
        </w:rPr>
        <w:t>A/HRC/18/42</w:t>
      </w:r>
      <w:r>
        <w:rPr>
          <w:rFonts w:hint="eastAsia"/>
          <w:u w:color="00B050"/>
        </w:rPr>
        <w:t>。</w:t>
      </w:r>
    </w:p>
  </w:footnote>
  <w:footnote w:id="65">
    <w:p w:rsidR="00E14CCD" w:rsidRPr="008D615C" w:rsidRDefault="00E14CCD" w:rsidP="00605FCE">
      <w:pPr>
        <w:pStyle w:val="FootnoteText"/>
        <w:tabs>
          <w:tab w:val="clear" w:pos="418"/>
          <w:tab w:val="right" w:pos="1195"/>
          <w:tab w:val="left" w:pos="1264"/>
          <w:tab w:val="left" w:pos="1695"/>
          <w:tab w:val="left" w:pos="2126"/>
          <w:tab w:val="left" w:pos="2557"/>
        </w:tabs>
        <w:ind w:left="1264" w:right="1264" w:hanging="432"/>
      </w:pPr>
      <w:r>
        <w:tab/>
      </w:r>
      <w:r>
        <w:rPr>
          <w:rStyle w:val="FootnoteReference"/>
        </w:rPr>
        <w:footnoteRef/>
      </w:r>
      <w:r>
        <w:tab/>
      </w:r>
      <w:r>
        <w:rPr>
          <w:u w:color="00B050"/>
        </w:rPr>
        <w:t>见</w:t>
      </w:r>
      <w:r>
        <w:rPr>
          <w:rFonts w:hint="eastAsia"/>
          <w:u w:color="00B050"/>
        </w:rPr>
        <w:t>劳工组织</w:t>
      </w:r>
      <w:r w:rsidRPr="00B318C4">
        <w:rPr>
          <w:u w:color="00B050"/>
        </w:rPr>
        <w:t xml:space="preserve">, </w:t>
      </w:r>
      <w:r>
        <w:rPr>
          <w:rFonts w:hint="eastAsia"/>
          <w:u w:color="00B050"/>
        </w:rPr>
        <w:t>“</w:t>
      </w:r>
      <w:r>
        <w:t>拉丁美洲国内和国际法庭适用第</w:t>
      </w:r>
      <w:r>
        <w:t>169</w:t>
      </w:r>
      <w:r>
        <w:t>号公约情况</w:t>
      </w:r>
      <w:r w:rsidR="00605FCE">
        <w:rPr>
          <w:rFonts w:hint="eastAsia"/>
        </w:rPr>
        <w:t>”</w:t>
      </w:r>
      <w:r>
        <w:t>，案例法年鉴</w:t>
      </w:r>
      <w:r>
        <w:rPr>
          <w:rFonts w:hint="eastAsia"/>
          <w:i/>
          <w:iCs/>
          <w:u w:color="00B050"/>
        </w:rPr>
        <w:t>，</w:t>
      </w:r>
      <w:r>
        <w:rPr>
          <w:u w:color="00B050"/>
        </w:rPr>
        <w:t>(</w:t>
      </w:r>
      <w:r>
        <w:t>2009</w:t>
      </w:r>
      <w:r>
        <w:t>年</w:t>
      </w:r>
      <w:r>
        <w:rPr>
          <w:u w:color="00B050"/>
        </w:rPr>
        <w:t>)</w:t>
      </w:r>
      <w:r>
        <w:rPr>
          <w:rFonts w:hint="eastAsia"/>
          <w:u w:color="00B050"/>
        </w:rPr>
        <w:t>。</w:t>
      </w:r>
    </w:p>
  </w:footnote>
  <w:footnote w:id="66">
    <w:p w:rsidR="00E14CCD" w:rsidRPr="00DC1240"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t>美联社</w:t>
      </w:r>
      <w:r>
        <w:t>, “</w:t>
      </w:r>
      <w:r>
        <w:rPr>
          <w:rFonts w:hint="eastAsia"/>
        </w:rPr>
        <w:t>法官判决阿拉斯加土著投票权案”，</w:t>
      </w:r>
      <w:r>
        <w:t>《纽约时报》</w:t>
      </w:r>
      <w:r>
        <w:rPr>
          <w:rFonts w:hint="eastAsia"/>
          <w:i/>
          <w:iCs/>
        </w:rPr>
        <w:t>，</w:t>
      </w:r>
      <w:r>
        <w:t>2014</w:t>
      </w:r>
      <w:r>
        <w:rPr>
          <w:rFonts w:hint="eastAsia"/>
        </w:rPr>
        <w:t>年</w:t>
      </w:r>
      <w:r>
        <w:rPr>
          <w:rFonts w:hint="eastAsia"/>
        </w:rPr>
        <w:t>9</w:t>
      </w:r>
      <w:r>
        <w:rPr>
          <w:rFonts w:hint="eastAsia"/>
        </w:rPr>
        <w:t>月</w:t>
      </w:r>
      <w:r>
        <w:rPr>
          <w:rFonts w:hint="eastAsia"/>
        </w:rPr>
        <w:t>22</w:t>
      </w:r>
      <w:r>
        <w:rPr>
          <w:rFonts w:hint="eastAsia"/>
        </w:rPr>
        <w:t>日。</w:t>
      </w:r>
    </w:p>
  </w:footnote>
  <w:footnote w:id="67">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Pr>
          <w:u w:color="00B050"/>
        </w:rPr>
        <w:tab/>
      </w:r>
      <w:r>
        <w:t>欧洲委员会，《少数群体参与决策进程》，</w:t>
      </w:r>
      <w:r>
        <w:rPr>
          <w:rFonts w:hint="eastAsia"/>
          <w:u w:color="00B050"/>
        </w:rPr>
        <w:t>专家研究报告，</w:t>
      </w:r>
      <w:r>
        <w:rPr>
          <w:u w:color="00B050"/>
        </w:rPr>
        <w:t>2000</w:t>
      </w:r>
      <w:r>
        <w:rPr>
          <w:rFonts w:hint="eastAsia"/>
          <w:u w:color="00B050"/>
        </w:rPr>
        <w:t>年</w:t>
      </w:r>
      <w:r>
        <w:rPr>
          <w:rFonts w:hint="eastAsia"/>
          <w:u w:color="00B050"/>
        </w:rPr>
        <w:t>11</w:t>
      </w:r>
      <w:r>
        <w:rPr>
          <w:rFonts w:hint="eastAsia"/>
          <w:u w:color="00B050"/>
        </w:rPr>
        <w:t>月</w:t>
      </w:r>
      <w:r>
        <w:rPr>
          <w:u w:color="00B050"/>
        </w:rPr>
        <w:t xml:space="preserve"> (DH-MIN(2000)1), </w:t>
      </w:r>
      <w:r>
        <w:rPr>
          <w:u w:color="00B050"/>
        </w:rPr>
        <w:t>第</w:t>
      </w:r>
      <w:r>
        <w:rPr>
          <w:u w:color="00B050"/>
        </w:rPr>
        <w:t>6</w:t>
      </w:r>
      <w:r>
        <w:rPr>
          <w:rFonts w:hint="eastAsia"/>
          <w:u w:color="00B050"/>
        </w:rPr>
        <w:t>页。</w:t>
      </w:r>
    </w:p>
  </w:footnote>
  <w:footnote w:id="68">
    <w:p w:rsidR="00E14CCD" w:rsidRPr="007120BE" w:rsidRDefault="00E14CCD" w:rsidP="005B17D2">
      <w:pPr>
        <w:pStyle w:val="FootnoteText"/>
        <w:tabs>
          <w:tab w:val="clear" w:pos="418"/>
          <w:tab w:val="right" w:pos="1195"/>
          <w:tab w:val="left" w:pos="1264"/>
          <w:tab w:val="left" w:pos="1695"/>
          <w:tab w:val="left" w:pos="2126"/>
          <w:tab w:val="left" w:pos="2557"/>
        </w:tabs>
        <w:ind w:left="1264" w:right="1264" w:hanging="432"/>
      </w:pPr>
      <w:r>
        <w:rPr>
          <w:u w:color="00B050"/>
        </w:rPr>
        <w:tab/>
      </w:r>
      <w:r w:rsidRPr="008C4DD0">
        <w:rPr>
          <w:rStyle w:val="FootnoteReference"/>
        </w:rPr>
        <w:footnoteRef/>
      </w:r>
      <w:r>
        <w:rPr>
          <w:u w:color="00B050"/>
        </w:rPr>
        <w:tab/>
      </w:r>
      <w:r w:rsidRPr="007120BE">
        <w:rPr>
          <w:u w:color="00B050"/>
        </w:rPr>
        <w:t xml:space="preserve">A/65/287, </w:t>
      </w:r>
      <w:r>
        <w:rPr>
          <w:u w:color="00B050"/>
        </w:rPr>
        <w:t>第</w:t>
      </w:r>
      <w:r w:rsidRPr="007120BE">
        <w:rPr>
          <w:u w:color="00B050"/>
        </w:rPr>
        <w:t>41</w:t>
      </w:r>
      <w:r>
        <w:rPr>
          <w:rFonts w:hint="eastAsia"/>
          <w:u w:color="00B050"/>
        </w:rPr>
        <w:t>段。</w:t>
      </w:r>
    </w:p>
  </w:footnote>
  <w:footnote w:id="69">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rPr>
          <w:u w:color="00B050"/>
        </w:rPr>
      </w:pPr>
      <w:r>
        <w:rPr>
          <w:u w:color="00B050"/>
        </w:rPr>
        <w:tab/>
      </w:r>
      <w:r w:rsidRPr="008C4DD0">
        <w:rPr>
          <w:rStyle w:val="FootnoteReference"/>
        </w:rPr>
        <w:footnoteRef/>
      </w:r>
      <w:r>
        <w:rPr>
          <w:u w:color="00B050"/>
        </w:rPr>
        <w:tab/>
      </w:r>
      <w:r>
        <w:t>欧洲委员会</w:t>
      </w:r>
      <w:r w:rsidRPr="007120BE">
        <w:rPr>
          <w:u w:color="00B050"/>
        </w:rPr>
        <w:t xml:space="preserve">, </w:t>
      </w:r>
      <w:r>
        <w:t>《少数群体参与》</w:t>
      </w:r>
      <w:r>
        <w:rPr>
          <w:rFonts w:hint="eastAsia"/>
          <w:u w:color="00B050"/>
        </w:rPr>
        <w:t>，</w:t>
      </w:r>
      <w:r>
        <w:rPr>
          <w:u w:color="00B050"/>
        </w:rPr>
        <w:t>第</w:t>
      </w:r>
      <w:r w:rsidRPr="007120BE">
        <w:rPr>
          <w:u w:color="00B050"/>
        </w:rPr>
        <w:t>11</w:t>
      </w:r>
      <w:r>
        <w:rPr>
          <w:rFonts w:hint="eastAsia"/>
          <w:u w:color="00B050"/>
        </w:rPr>
        <w:t>页</w:t>
      </w:r>
      <w:r>
        <w:rPr>
          <w:u w:color="00B050"/>
        </w:rPr>
        <w:t>(</w:t>
      </w:r>
      <w:r>
        <w:rPr>
          <w:u w:color="00B050"/>
        </w:rPr>
        <w:t>见</w:t>
      </w:r>
      <w:r>
        <w:rPr>
          <w:rFonts w:hint="eastAsia"/>
          <w:u w:color="00B050"/>
        </w:rPr>
        <w:t>脚注</w:t>
      </w:r>
      <w:r>
        <w:rPr>
          <w:u w:color="00B050"/>
        </w:rPr>
        <w:t>67)</w:t>
      </w:r>
      <w:r>
        <w:rPr>
          <w:rFonts w:hint="eastAsia"/>
          <w:u w:color="00B050"/>
        </w:rPr>
        <w:t>。</w:t>
      </w:r>
    </w:p>
  </w:footnote>
  <w:footnote w:id="70">
    <w:p w:rsidR="00E14CCD" w:rsidRPr="006B3EEA" w:rsidRDefault="00E14CCD" w:rsidP="005B17D2">
      <w:pPr>
        <w:pStyle w:val="FootnoteText"/>
        <w:tabs>
          <w:tab w:val="clear" w:pos="418"/>
          <w:tab w:val="right" w:pos="1195"/>
          <w:tab w:val="left" w:pos="1264"/>
          <w:tab w:val="left" w:pos="1695"/>
          <w:tab w:val="left" w:pos="2126"/>
          <w:tab w:val="left" w:pos="2557"/>
        </w:tabs>
        <w:ind w:left="1264" w:right="1264" w:hanging="432"/>
      </w:pPr>
      <w:r>
        <w:rPr>
          <w:u w:color="00B050"/>
        </w:rPr>
        <w:tab/>
      </w:r>
      <w:r w:rsidRPr="008C4DD0">
        <w:rPr>
          <w:rStyle w:val="FootnoteReference"/>
        </w:rPr>
        <w:footnoteRef/>
      </w:r>
      <w:r w:rsidRPr="006B3EEA">
        <w:rPr>
          <w:u w:color="00B050"/>
        </w:rPr>
        <w:tab/>
      </w:r>
      <w:r>
        <w:rPr>
          <w:iCs/>
          <w:u w:color="00B050"/>
        </w:rPr>
        <w:t>同上，</w:t>
      </w:r>
      <w:r>
        <w:rPr>
          <w:u w:color="00B050"/>
        </w:rPr>
        <w:t>第</w:t>
      </w:r>
      <w:r w:rsidRPr="006B3EEA">
        <w:rPr>
          <w:u w:color="00B050"/>
        </w:rPr>
        <w:t>11</w:t>
      </w:r>
      <w:r>
        <w:rPr>
          <w:rFonts w:hint="eastAsia"/>
          <w:u w:color="00B050"/>
        </w:rPr>
        <w:t>页。</w:t>
      </w:r>
    </w:p>
  </w:footnote>
  <w:footnote w:id="71">
    <w:p w:rsidR="00E14CCD" w:rsidRPr="00B318C4" w:rsidRDefault="00E14CCD" w:rsidP="005B17D2">
      <w:pPr>
        <w:pStyle w:val="FootnoteText"/>
        <w:tabs>
          <w:tab w:val="clear" w:pos="418"/>
          <w:tab w:val="right" w:pos="1195"/>
          <w:tab w:val="left" w:pos="1264"/>
          <w:tab w:val="left" w:pos="1695"/>
          <w:tab w:val="left" w:pos="2126"/>
          <w:tab w:val="left" w:pos="2557"/>
        </w:tabs>
        <w:ind w:left="1264" w:right="1264" w:hanging="432"/>
      </w:pPr>
      <w:r w:rsidRPr="006B3EEA">
        <w:tab/>
      </w:r>
      <w:r w:rsidRPr="008C4DD0">
        <w:rPr>
          <w:rStyle w:val="FootnoteReference"/>
        </w:rPr>
        <w:footnoteRef/>
      </w:r>
      <w:r w:rsidRPr="006B3EEA">
        <w:tab/>
        <w:t xml:space="preserve">A/HRC/19/36, </w:t>
      </w:r>
      <w:r>
        <w:t>第</w:t>
      </w:r>
      <w:r>
        <w:t>39</w:t>
      </w:r>
      <w:r>
        <w:rPr>
          <w:rFonts w:hint="eastAsia"/>
        </w:rPr>
        <w:t>、</w:t>
      </w:r>
      <w:r w:rsidRPr="00B318C4">
        <w:t>69</w:t>
      </w:r>
      <w:r>
        <w:rPr>
          <w:rFonts w:hint="eastAsia"/>
        </w:rPr>
        <w:t>段。</w:t>
      </w:r>
    </w:p>
  </w:footnote>
  <w:footnote w:id="72">
    <w:p w:rsidR="00E14CCD" w:rsidRPr="007120BE"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B318C4">
        <w:rPr>
          <w:vertAlign w:val="superscript"/>
        </w:rPr>
        <w:t xml:space="preserve"> </w:t>
      </w:r>
      <w:r>
        <w:tab/>
      </w:r>
      <w:r>
        <w:rPr>
          <w:rFonts w:hint="eastAsia"/>
        </w:rPr>
        <w:t>关于残疾人参与处理公共事务权利最佳做法的其他实例，</w:t>
      </w:r>
      <w:r>
        <w:t>见</w:t>
      </w:r>
      <w:r>
        <w:t>A/HRC/19/36</w:t>
      </w:r>
      <w:r>
        <w:rPr>
          <w:rFonts w:hint="eastAsia"/>
        </w:rPr>
        <w:t>。</w:t>
      </w:r>
    </w:p>
  </w:footnote>
  <w:footnote w:id="73">
    <w:p w:rsidR="00E14CCD" w:rsidRPr="007120BE"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B318C4">
        <w:rPr>
          <w:vertAlign w:val="superscript"/>
        </w:rPr>
        <w:t xml:space="preserve"> </w:t>
      </w:r>
      <w:r>
        <w:tab/>
      </w:r>
      <w:r>
        <w:rPr>
          <w:rFonts w:hint="eastAsia"/>
        </w:rPr>
        <w:t>包括</w:t>
      </w:r>
      <w:r>
        <w:t>阿塞拜疆</w:t>
      </w:r>
      <w:r>
        <w:rPr>
          <w:rFonts w:hint="eastAsia"/>
        </w:rPr>
        <w:t>、</w:t>
      </w:r>
      <w:r>
        <w:t>白俄罗斯</w:t>
      </w:r>
      <w:r>
        <w:rPr>
          <w:rFonts w:hint="eastAsia"/>
        </w:rPr>
        <w:t>、</w:t>
      </w:r>
      <w:r>
        <w:t>比利时</w:t>
      </w:r>
      <w:r>
        <w:rPr>
          <w:rFonts w:hint="eastAsia"/>
        </w:rPr>
        <w:t>、</w:t>
      </w:r>
      <w:r>
        <w:t>多民族玻利维亚国</w:t>
      </w:r>
      <w:r>
        <w:rPr>
          <w:rFonts w:hint="eastAsia"/>
        </w:rPr>
        <w:t>、</w:t>
      </w:r>
      <w:r>
        <w:t>丹麦</w:t>
      </w:r>
      <w:r>
        <w:rPr>
          <w:rFonts w:hint="eastAsia"/>
        </w:rPr>
        <w:t>、</w:t>
      </w:r>
      <w:r>
        <w:t>芬兰</w:t>
      </w:r>
      <w:r>
        <w:rPr>
          <w:rFonts w:hint="eastAsia"/>
        </w:rPr>
        <w:t>、</w:t>
      </w:r>
      <w:r>
        <w:t>希腊</w:t>
      </w:r>
      <w:r>
        <w:rPr>
          <w:rFonts w:hint="eastAsia"/>
        </w:rPr>
        <w:t>、</w:t>
      </w:r>
      <w:r>
        <w:t>冰岛</w:t>
      </w:r>
      <w:r>
        <w:rPr>
          <w:rFonts w:hint="eastAsia"/>
        </w:rPr>
        <w:t>、</w:t>
      </w:r>
      <w:r>
        <w:t>爱尔兰</w:t>
      </w:r>
      <w:r>
        <w:rPr>
          <w:rFonts w:hint="eastAsia"/>
        </w:rPr>
        <w:t>、</w:t>
      </w:r>
      <w:r>
        <w:t>荷兰</w:t>
      </w:r>
      <w:r>
        <w:rPr>
          <w:rFonts w:hint="eastAsia"/>
        </w:rPr>
        <w:t>、</w:t>
      </w:r>
      <w:r>
        <w:t>挪威</w:t>
      </w:r>
      <w:r>
        <w:rPr>
          <w:rFonts w:hint="eastAsia"/>
        </w:rPr>
        <w:t>、</w:t>
      </w:r>
      <w:r>
        <w:t>大韩民国</w:t>
      </w:r>
      <w:r>
        <w:rPr>
          <w:rFonts w:hint="eastAsia"/>
        </w:rPr>
        <w:t>、</w:t>
      </w:r>
      <w:r>
        <w:t>斯洛伐克</w:t>
      </w:r>
      <w:r>
        <w:rPr>
          <w:rFonts w:hint="eastAsia"/>
        </w:rPr>
        <w:t>、</w:t>
      </w:r>
      <w:r>
        <w:t>瑞典</w:t>
      </w:r>
      <w:r>
        <w:rPr>
          <w:rFonts w:hint="eastAsia"/>
        </w:rPr>
        <w:t>和瑞士的一些州，外国居民在这些国家和州地方一级有选举权和被选举权。</w:t>
      </w:r>
    </w:p>
  </w:footnote>
  <w:footnote w:id="74">
    <w:p w:rsidR="00E14CCD" w:rsidRPr="00B318C4" w:rsidRDefault="00E14CCD" w:rsidP="00473883">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B318C4">
        <w:rPr>
          <w:vertAlign w:val="superscript"/>
        </w:rPr>
        <w:t xml:space="preserve"> </w:t>
      </w:r>
      <w:r w:rsidRPr="00B318C4">
        <w:rPr>
          <w:vertAlign w:val="superscript"/>
        </w:rPr>
        <w:tab/>
      </w:r>
      <w:r>
        <w:rPr>
          <w:rFonts w:hint="eastAsia"/>
        </w:rPr>
        <w:t>欧洲委员会，</w:t>
      </w:r>
      <w:r w:rsidR="00473883">
        <w:rPr>
          <w:rFonts w:hint="eastAsia"/>
        </w:rPr>
        <w:t>“</w:t>
      </w:r>
      <w:r>
        <w:rPr>
          <w:rFonts w:hint="eastAsia"/>
        </w:rPr>
        <w:t>移民通过协商机构的政治和社会参与</w:t>
      </w:r>
      <w:r w:rsidR="00473883">
        <w:rPr>
          <w:rFonts w:hint="eastAsia"/>
        </w:rPr>
        <w:t>”</w:t>
      </w:r>
      <w:r w:rsidRPr="00B318C4">
        <w:t>1999</w:t>
      </w:r>
      <w:r>
        <w:rPr>
          <w:rFonts w:hint="eastAsia"/>
        </w:rPr>
        <w:t>年</w:t>
      </w:r>
      <w:r>
        <w:t>(CDMG (99) 21)</w:t>
      </w:r>
      <w:r w:rsidRPr="00B318C4">
        <w:t xml:space="preserve">, </w:t>
      </w:r>
      <w:r>
        <w:t>第</w:t>
      </w:r>
      <w:r w:rsidRPr="00B318C4">
        <w:t>46</w:t>
      </w:r>
      <w:r>
        <w:rPr>
          <w:rFonts w:hint="eastAsia"/>
        </w:rPr>
        <w:t>页。</w:t>
      </w:r>
    </w:p>
  </w:footnote>
  <w:footnote w:id="75">
    <w:p w:rsidR="00E14CCD" w:rsidRPr="007120BE"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t>同上，第</w:t>
      </w:r>
      <w:r>
        <w:t>56</w:t>
      </w:r>
      <w:r>
        <w:rPr>
          <w:rFonts w:hint="eastAsia"/>
        </w:rPr>
        <w:t>页。</w:t>
      </w:r>
    </w:p>
  </w:footnote>
  <w:footnote w:id="76">
    <w:p w:rsidR="00E14CCD" w:rsidRPr="00B318C4" w:rsidRDefault="00E14CCD" w:rsidP="00473883">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B318C4">
        <w:rPr>
          <w:vertAlign w:val="superscript"/>
        </w:rPr>
        <w:t xml:space="preserve"> </w:t>
      </w:r>
      <w:r w:rsidRPr="00B318C4">
        <w:rPr>
          <w:vertAlign w:val="superscript"/>
        </w:rPr>
        <w:tab/>
      </w:r>
      <w:r>
        <w:t>人权高专办</w:t>
      </w:r>
      <w:r>
        <w:t xml:space="preserve">, </w:t>
      </w:r>
      <w:r w:rsidR="00473883">
        <w:rPr>
          <w:rFonts w:hint="eastAsia"/>
        </w:rPr>
        <w:t>“</w:t>
      </w:r>
      <w:r>
        <w:rPr>
          <w:rFonts w:hint="eastAsia"/>
        </w:rPr>
        <w:t>联合国专家敦促就其权利与儿童真正对话</w:t>
      </w:r>
      <w:r w:rsidR="00473883">
        <w:rPr>
          <w:rFonts w:hint="eastAsia"/>
        </w:rPr>
        <w:t>”</w:t>
      </w:r>
      <w:r>
        <w:rPr>
          <w:rFonts w:hint="eastAsia"/>
        </w:rPr>
        <w:t>，新闻稿</w:t>
      </w:r>
      <w:r w:rsidRPr="00B318C4">
        <w:t>, 2014</w:t>
      </w:r>
      <w:r>
        <w:rPr>
          <w:rFonts w:hint="eastAsia"/>
        </w:rPr>
        <w:t>年</w:t>
      </w:r>
      <w:r w:rsidR="00473883">
        <w:rPr>
          <w:rFonts w:hint="eastAsia"/>
        </w:rPr>
        <w:t>9</w:t>
      </w:r>
      <w:r w:rsidRPr="00473883">
        <w:t>月</w:t>
      </w:r>
      <w:r w:rsidR="00473883">
        <w:rPr>
          <w:rFonts w:hint="eastAsia"/>
        </w:rPr>
        <w:t>23</w:t>
      </w:r>
      <w:r w:rsidRPr="00473883">
        <w:t>日</w:t>
      </w:r>
      <w:r>
        <w:t xml:space="preserve">, </w:t>
      </w:r>
      <w:r>
        <w:rPr>
          <w:rFonts w:hint="eastAsia"/>
        </w:rPr>
        <w:t>可查阅</w:t>
      </w:r>
      <w:hyperlink r:id="rId3" w:history="1">
        <w:r w:rsidR="00473883" w:rsidRPr="002B4E61">
          <w:rPr>
            <w:rStyle w:val="Hyperlink"/>
          </w:rPr>
          <w:t>www.ohchr.org/EN/NewsEvents/Pages/DisplayNews.aspx</w:t>
        </w:r>
      </w:hyperlink>
      <w:r w:rsidRPr="00B318C4">
        <w:t>?</w:t>
      </w:r>
      <w:r w:rsidR="00473883">
        <w:rPr>
          <w:rFonts w:hint="eastAsia"/>
        </w:rPr>
        <w:t xml:space="preserve"> </w:t>
      </w:r>
      <w:r w:rsidR="00473883">
        <w:t xml:space="preserve"> </w:t>
      </w:r>
      <w:r>
        <w:t>NewsID=15084&amp;LangID=E</w:t>
      </w:r>
      <w:r>
        <w:rPr>
          <w:rFonts w:hint="eastAsia"/>
        </w:rPr>
        <w:t>。</w:t>
      </w:r>
    </w:p>
  </w:footnote>
  <w:footnote w:id="77">
    <w:p w:rsidR="00E14CCD" w:rsidRPr="007120BE" w:rsidRDefault="00E14CCD" w:rsidP="00473883">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rsidRPr="00B318C4">
        <w:rPr>
          <w:vertAlign w:val="superscript"/>
        </w:rPr>
        <w:t xml:space="preserve"> </w:t>
      </w:r>
      <w:r>
        <w:tab/>
        <w:t>John Wall</w:t>
      </w:r>
      <w:r>
        <w:rPr>
          <w:rFonts w:hint="eastAsia"/>
        </w:rPr>
        <w:t>和</w:t>
      </w:r>
      <w:r w:rsidRPr="007120BE">
        <w:t xml:space="preserve">Anandini Dar, </w:t>
      </w:r>
      <w:r w:rsidR="00473883">
        <w:rPr>
          <w:rFonts w:hint="eastAsia"/>
        </w:rPr>
        <w:t>“</w:t>
      </w:r>
      <w:r>
        <w:rPr>
          <w:rFonts w:hint="eastAsia"/>
        </w:rPr>
        <w:t>儿童的政治代表性：</w:t>
      </w:r>
      <w:r>
        <w:t>有所作为</w:t>
      </w:r>
      <w:r>
        <w:rPr>
          <w:rFonts w:hint="eastAsia"/>
        </w:rPr>
        <w:t>的权利</w:t>
      </w:r>
      <w:r w:rsidR="00473883">
        <w:rPr>
          <w:rFonts w:hint="eastAsia"/>
        </w:rPr>
        <w:t>”</w:t>
      </w:r>
      <w:r>
        <w:t>,</w:t>
      </w:r>
      <w:r w:rsidRPr="007120BE">
        <w:t xml:space="preserve"> </w:t>
      </w:r>
      <w:r>
        <w:t>《国际儿童权利杂志》</w:t>
      </w:r>
      <w:r>
        <w:rPr>
          <w:rFonts w:hint="eastAsia"/>
        </w:rPr>
        <w:t>，</w:t>
      </w:r>
      <w:r>
        <w:t>第</w:t>
      </w:r>
      <w:r>
        <w:t>19</w:t>
      </w:r>
      <w:r>
        <w:t>卷，第</w:t>
      </w:r>
      <w:r>
        <w:rPr>
          <w:rFonts w:hint="eastAsia"/>
        </w:rPr>
        <w:t>４</w:t>
      </w:r>
      <w:r>
        <w:t>号</w:t>
      </w:r>
      <w:r>
        <w:t>(2011</w:t>
      </w:r>
      <w:r>
        <w:rPr>
          <w:rFonts w:hint="eastAsia"/>
        </w:rPr>
        <w:t>年</w:t>
      </w:r>
      <w:r>
        <w:t>),</w:t>
      </w:r>
      <w:r w:rsidRPr="007120BE">
        <w:t xml:space="preserve"> </w:t>
      </w:r>
      <w:r>
        <w:t>第</w:t>
      </w:r>
      <w:r>
        <w:t>377</w:t>
      </w:r>
      <w:r>
        <w:rPr>
          <w:rFonts w:hint="eastAsia"/>
        </w:rPr>
        <w:t>页。</w:t>
      </w:r>
    </w:p>
  </w:footnote>
  <w:footnote w:id="78">
    <w:p w:rsidR="00E14CCD" w:rsidRPr="00A41E7B"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t xml:space="preserve">A/HRC/29/23, </w:t>
      </w:r>
      <w:r>
        <w:t>第</w:t>
      </w:r>
      <w:r>
        <w:t>19</w:t>
      </w:r>
      <w:r>
        <w:rPr>
          <w:rFonts w:hint="eastAsia"/>
        </w:rPr>
        <w:t>、</w:t>
      </w:r>
      <w:r w:rsidR="00473883">
        <w:t>78</w:t>
      </w:r>
      <w:r>
        <w:rPr>
          <w:rFonts w:hint="eastAsia"/>
        </w:rPr>
        <w:t>和</w:t>
      </w:r>
      <w:r>
        <w:t>79</w:t>
      </w:r>
      <w:r>
        <w:rPr>
          <w:rFonts w:hint="eastAsia"/>
        </w:rPr>
        <w:t>段。</w:t>
      </w:r>
    </w:p>
  </w:footnote>
  <w:footnote w:id="79">
    <w:p w:rsidR="00E14CCD" w:rsidRPr="007120BE" w:rsidRDefault="00E14CCD" w:rsidP="005B17D2">
      <w:pPr>
        <w:pStyle w:val="FootnoteText"/>
        <w:tabs>
          <w:tab w:val="clear" w:pos="418"/>
          <w:tab w:val="right" w:pos="1195"/>
          <w:tab w:val="left" w:pos="1264"/>
          <w:tab w:val="left" w:pos="1695"/>
          <w:tab w:val="left" w:pos="2126"/>
          <w:tab w:val="left" w:pos="2557"/>
        </w:tabs>
        <w:ind w:left="1264" w:right="1264" w:hanging="432"/>
      </w:pPr>
      <w:r>
        <w:tab/>
      </w:r>
      <w:r w:rsidRPr="008C4DD0">
        <w:rPr>
          <w:rStyle w:val="FootnoteReference"/>
        </w:rPr>
        <w:footnoteRef/>
      </w:r>
      <w:r>
        <w:tab/>
      </w:r>
      <w:r>
        <w:rPr>
          <w:rFonts w:hint="eastAsia"/>
        </w:rPr>
        <w:t>另</w:t>
      </w:r>
      <w:r>
        <w:t>见</w:t>
      </w:r>
      <w:r w:rsidRPr="007120BE">
        <w:t xml:space="preserve">A/HRC/29/23, </w:t>
      </w:r>
      <w:r>
        <w:t>第</w:t>
      </w:r>
      <w:r w:rsidRPr="007120BE">
        <w:t>71</w:t>
      </w:r>
      <w:r>
        <w:t>–75</w:t>
      </w:r>
      <w:r>
        <w:rPr>
          <w:rFonts w:hint="eastAsia"/>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14CCD" w:rsidTr="00442DDC">
      <w:trPr>
        <w:trHeight w:hRule="exact" w:val="864"/>
        <w:jc w:val="center"/>
      </w:trPr>
      <w:tc>
        <w:tcPr>
          <w:tcW w:w="4882" w:type="dxa"/>
          <w:shd w:val="clear" w:color="auto" w:fill="auto"/>
          <w:vAlign w:val="bottom"/>
        </w:tcPr>
        <w:p w:rsidR="00E14CCD" w:rsidRPr="00442DDC" w:rsidRDefault="00E14CCD" w:rsidP="00442DDC">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454DAB">
            <w:rPr>
              <w:b/>
              <w:sz w:val="17"/>
            </w:rPr>
            <w:t>A/HRC/30/26</w:t>
          </w:r>
          <w:r>
            <w:rPr>
              <w:b/>
              <w:sz w:val="17"/>
            </w:rPr>
            <w:fldChar w:fldCharType="end"/>
          </w:r>
        </w:p>
      </w:tc>
      <w:tc>
        <w:tcPr>
          <w:tcW w:w="5127" w:type="dxa"/>
          <w:shd w:val="clear" w:color="auto" w:fill="auto"/>
          <w:vAlign w:val="bottom"/>
        </w:tcPr>
        <w:p w:rsidR="00E14CCD" w:rsidRDefault="00E14CCD" w:rsidP="00442DDC">
          <w:pPr>
            <w:pStyle w:val="Header"/>
          </w:pPr>
        </w:p>
      </w:tc>
    </w:tr>
  </w:tbl>
  <w:p w:rsidR="00E14CCD" w:rsidRPr="00442DDC" w:rsidRDefault="00E14CCD" w:rsidP="00442D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E14CCD" w:rsidTr="00442DDC">
      <w:trPr>
        <w:trHeight w:hRule="exact" w:val="864"/>
        <w:jc w:val="center"/>
      </w:trPr>
      <w:tc>
        <w:tcPr>
          <w:tcW w:w="4882" w:type="dxa"/>
          <w:shd w:val="clear" w:color="auto" w:fill="auto"/>
          <w:vAlign w:val="bottom"/>
        </w:tcPr>
        <w:p w:rsidR="00E14CCD" w:rsidRDefault="00E14CCD" w:rsidP="00442DDC">
          <w:pPr>
            <w:pStyle w:val="Header"/>
          </w:pPr>
        </w:p>
      </w:tc>
      <w:tc>
        <w:tcPr>
          <w:tcW w:w="5127" w:type="dxa"/>
          <w:shd w:val="clear" w:color="auto" w:fill="auto"/>
          <w:vAlign w:val="bottom"/>
        </w:tcPr>
        <w:p w:rsidR="00E14CCD" w:rsidRPr="00442DDC" w:rsidRDefault="00E14CCD" w:rsidP="00442DDC">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454DAB">
            <w:rPr>
              <w:b/>
              <w:sz w:val="17"/>
            </w:rPr>
            <w:t>A/HRC/30/26</w:t>
          </w:r>
          <w:r>
            <w:rPr>
              <w:b/>
              <w:sz w:val="17"/>
            </w:rPr>
            <w:fldChar w:fldCharType="end"/>
          </w:r>
        </w:p>
      </w:tc>
    </w:tr>
  </w:tbl>
  <w:p w:rsidR="00E14CCD" w:rsidRPr="00442DDC" w:rsidRDefault="00E14CCD" w:rsidP="00442D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E14CCD" w:rsidTr="00442DDC">
      <w:trPr>
        <w:trHeight w:hRule="exact" w:val="864"/>
      </w:trPr>
      <w:tc>
        <w:tcPr>
          <w:tcW w:w="1267" w:type="dxa"/>
          <w:tcBorders>
            <w:bottom w:val="single" w:sz="4" w:space="0" w:color="auto"/>
          </w:tcBorders>
          <w:shd w:val="clear" w:color="auto" w:fill="auto"/>
          <w:vAlign w:val="bottom"/>
        </w:tcPr>
        <w:p w:rsidR="00E14CCD" w:rsidRDefault="00E14CCD" w:rsidP="00442DDC">
          <w:pPr>
            <w:pStyle w:val="Header"/>
            <w:spacing w:after="120"/>
          </w:pPr>
        </w:p>
      </w:tc>
      <w:tc>
        <w:tcPr>
          <w:tcW w:w="1872" w:type="dxa"/>
          <w:tcBorders>
            <w:bottom w:val="single" w:sz="4" w:space="0" w:color="auto"/>
          </w:tcBorders>
          <w:shd w:val="clear" w:color="auto" w:fill="auto"/>
          <w:vAlign w:val="bottom"/>
        </w:tcPr>
        <w:p w:rsidR="00E14CCD" w:rsidRPr="00442DDC" w:rsidRDefault="00E14CCD" w:rsidP="00442DDC">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E14CCD" w:rsidRDefault="00E14CCD" w:rsidP="00442DDC">
          <w:pPr>
            <w:pStyle w:val="Header"/>
            <w:spacing w:after="120"/>
          </w:pPr>
        </w:p>
      </w:tc>
      <w:tc>
        <w:tcPr>
          <w:tcW w:w="6653" w:type="dxa"/>
          <w:gridSpan w:val="4"/>
          <w:tcBorders>
            <w:bottom w:val="single" w:sz="4" w:space="0" w:color="auto"/>
          </w:tcBorders>
          <w:shd w:val="clear" w:color="auto" w:fill="auto"/>
          <w:vAlign w:val="bottom"/>
        </w:tcPr>
        <w:p w:rsidR="00E14CCD" w:rsidRPr="00442DDC" w:rsidRDefault="00E14CCD" w:rsidP="00442DDC">
          <w:pPr>
            <w:spacing w:after="80" w:line="240" w:lineRule="auto"/>
            <w:jc w:val="right"/>
            <w:rPr>
              <w:position w:val="-4"/>
            </w:rPr>
          </w:pPr>
          <w:r>
            <w:rPr>
              <w:position w:val="-4"/>
              <w:sz w:val="40"/>
            </w:rPr>
            <w:t>A</w:t>
          </w:r>
          <w:r>
            <w:rPr>
              <w:position w:val="-4"/>
            </w:rPr>
            <w:t>/HRC/30/26</w:t>
          </w:r>
        </w:p>
      </w:tc>
    </w:tr>
    <w:tr w:rsidR="00E14CCD" w:rsidRPr="00442DDC" w:rsidTr="00442DDC">
      <w:trPr>
        <w:gridAfter w:val="1"/>
        <w:wAfter w:w="18" w:type="dxa"/>
        <w:trHeight w:hRule="exact" w:val="2880"/>
      </w:trPr>
      <w:tc>
        <w:tcPr>
          <w:tcW w:w="1267" w:type="dxa"/>
          <w:tcBorders>
            <w:top w:val="single" w:sz="4" w:space="0" w:color="auto"/>
            <w:bottom w:val="single" w:sz="12" w:space="0" w:color="auto"/>
          </w:tcBorders>
          <w:shd w:val="clear" w:color="auto" w:fill="auto"/>
        </w:tcPr>
        <w:p w:rsidR="00E14CCD" w:rsidRPr="00442DDC" w:rsidRDefault="00E14CCD" w:rsidP="00442DDC">
          <w:pPr>
            <w:pStyle w:val="Header"/>
            <w:spacing w:before="109"/>
            <w:ind w:left="-72"/>
          </w:pPr>
          <w:r>
            <w:t xml:space="preserve"> </w:t>
          </w:r>
          <w:r>
            <w:rPr>
              <w:lang w:val="en-GB" w:eastAsia="en-GB"/>
            </w:rPr>
            <w:drawing>
              <wp:inline distT="0" distB="0" distL="0" distR="0" wp14:anchorId="25FA0362" wp14:editId="036097AE">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14CCD" w:rsidRPr="00442DDC" w:rsidRDefault="00E14CCD" w:rsidP="00442DDC">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E14CCD" w:rsidRPr="00442DDC" w:rsidRDefault="00E14CCD" w:rsidP="00442DDC">
          <w:pPr>
            <w:pStyle w:val="Header"/>
            <w:spacing w:before="109"/>
          </w:pPr>
        </w:p>
      </w:tc>
      <w:tc>
        <w:tcPr>
          <w:tcW w:w="3280" w:type="dxa"/>
          <w:tcBorders>
            <w:top w:val="single" w:sz="4" w:space="0" w:color="auto"/>
            <w:bottom w:val="single" w:sz="12" w:space="0" w:color="auto"/>
          </w:tcBorders>
          <w:shd w:val="clear" w:color="auto" w:fill="auto"/>
        </w:tcPr>
        <w:p w:rsidR="00E14CCD" w:rsidRDefault="00E14CCD" w:rsidP="00442DDC">
          <w:pPr>
            <w:pStyle w:val="Distr"/>
          </w:pPr>
          <w:r>
            <w:t>Distr.: General</w:t>
          </w:r>
        </w:p>
        <w:p w:rsidR="00E14CCD" w:rsidRDefault="00E14CCD" w:rsidP="00442DDC">
          <w:pPr>
            <w:pStyle w:val="Publication"/>
          </w:pPr>
          <w:r>
            <w:t>23 July 2015</w:t>
          </w:r>
        </w:p>
        <w:p w:rsidR="00E14CCD" w:rsidRDefault="00E14CCD" w:rsidP="00442DDC">
          <w:pPr>
            <w:spacing w:line="240" w:lineRule="exact"/>
          </w:pPr>
          <w:r>
            <w:t>Chinese</w:t>
          </w:r>
        </w:p>
        <w:p w:rsidR="00E14CCD" w:rsidRDefault="00E14CCD" w:rsidP="00442DDC">
          <w:pPr>
            <w:pStyle w:val="Original"/>
          </w:pPr>
          <w:r>
            <w:t>Original: English</w:t>
          </w:r>
        </w:p>
        <w:p w:rsidR="00E14CCD" w:rsidRPr="00442DDC" w:rsidRDefault="00E14CCD" w:rsidP="00442DDC"/>
      </w:tc>
    </w:tr>
  </w:tbl>
  <w:p w:rsidR="00E14CCD" w:rsidRPr="00442DDC" w:rsidRDefault="00E14CCD" w:rsidP="00442DD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067"/>
        </w:tabs>
        <w:ind w:left="1067"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429*"/>
    <w:docVar w:name="CreationDt" w:val="19/08/2015 08:12:08"/>
    <w:docVar w:name="DocCategory" w:val="Doc"/>
    <w:docVar w:name="DocType" w:val="Final"/>
    <w:docVar w:name="DutyStation" w:val="Geneva"/>
    <w:docVar w:name="FooterJN" w:val="GE.15-12429 (C)"/>
    <w:docVar w:name="jobn" w:val="GE.15-12429 (C)"/>
    <w:docVar w:name="jobnDT" w:val="15-12429 (C)   190815"/>
    <w:docVar w:name="jobnDTDT" w:val="15-12429 (C)   190815   190815"/>
    <w:docVar w:name="JobNo" w:val="GE.1512429C"/>
    <w:docVar w:name="LocalDrive" w:val="0"/>
    <w:docVar w:name="OandT" w:val="mlu"/>
    <w:docVar w:name="PaperSize" w:val="A4"/>
    <w:docVar w:name="sss1" w:val="A/HRC/30/26"/>
    <w:docVar w:name="sss2" w:val="-"/>
    <w:docVar w:name="Symbol1" w:val="A/HRC/30/26"/>
    <w:docVar w:name="Symbol2" w:val="-"/>
  </w:docVars>
  <w:rsids>
    <w:rsidRoot w:val="00C835FD"/>
    <w:rsid w:val="00000689"/>
    <w:rsid w:val="00001354"/>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B3C"/>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00CE"/>
    <w:rsid w:val="000D32BA"/>
    <w:rsid w:val="000E240F"/>
    <w:rsid w:val="000E49A4"/>
    <w:rsid w:val="000F1058"/>
    <w:rsid w:val="000F55DC"/>
    <w:rsid w:val="00101C4E"/>
    <w:rsid w:val="00101D5B"/>
    <w:rsid w:val="00101F86"/>
    <w:rsid w:val="00102361"/>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0DBF"/>
    <w:rsid w:val="001845DB"/>
    <w:rsid w:val="001873A2"/>
    <w:rsid w:val="001944A4"/>
    <w:rsid w:val="001A4A37"/>
    <w:rsid w:val="001B0DFD"/>
    <w:rsid w:val="001B2814"/>
    <w:rsid w:val="001B3FB3"/>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7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53"/>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299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42DDC"/>
    <w:rsid w:val="00453BB0"/>
    <w:rsid w:val="00454DAB"/>
    <w:rsid w:val="00460162"/>
    <w:rsid w:val="004620A8"/>
    <w:rsid w:val="0046458E"/>
    <w:rsid w:val="00466BB5"/>
    <w:rsid w:val="004700CF"/>
    <w:rsid w:val="00473883"/>
    <w:rsid w:val="00474C34"/>
    <w:rsid w:val="00477E0F"/>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514E"/>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7D2"/>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05FCE"/>
    <w:rsid w:val="006068E9"/>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37C5"/>
    <w:rsid w:val="006740A7"/>
    <w:rsid w:val="006767D5"/>
    <w:rsid w:val="00691524"/>
    <w:rsid w:val="006926DF"/>
    <w:rsid w:val="006A2730"/>
    <w:rsid w:val="006A5CFB"/>
    <w:rsid w:val="006A654B"/>
    <w:rsid w:val="006B577A"/>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338"/>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06D6"/>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16BB7"/>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07D3"/>
    <w:rsid w:val="008927AD"/>
    <w:rsid w:val="00893A33"/>
    <w:rsid w:val="00896D38"/>
    <w:rsid w:val="00897B4D"/>
    <w:rsid w:val="008A0216"/>
    <w:rsid w:val="008A0650"/>
    <w:rsid w:val="008A1208"/>
    <w:rsid w:val="008B0240"/>
    <w:rsid w:val="008B0349"/>
    <w:rsid w:val="008B1481"/>
    <w:rsid w:val="008B5DE8"/>
    <w:rsid w:val="008B6642"/>
    <w:rsid w:val="008C076B"/>
    <w:rsid w:val="008C3296"/>
    <w:rsid w:val="008C3413"/>
    <w:rsid w:val="008D6C74"/>
    <w:rsid w:val="008E2511"/>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3514"/>
    <w:rsid w:val="00957134"/>
    <w:rsid w:val="0096193C"/>
    <w:rsid w:val="009769E1"/>
    <w:rsid w:val="00977E0D"/>
    <w:rsid w:val="00982D5C"/>
    <w:rsid w:val="0098609A"/>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614"/>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50D"/>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97F79"/>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35FD"/>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4CCD"/>
    <w:rsid w:val="00E16655"/>
    <w:rsid w:val="00E16A6B"/>
    <w:rsid w:val="00E20D64"/>
    <w:rsid w:val="00E21275"/>
    <w:rsid w:val="00E25442"/>
    <w:rsid w:val="00E25A1F"/>
    <w:rsid w:val="00E34E6A"/>
    <w:rsid w:val="00E35B72"/>
    <w:rsid w:val="00E37B54"/>
    <w:rsid w:val="00E37EEB"/>
    <w:rsid w:val="00E440B3"/>
    <w:rsid w:val="00E474BD"/>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E4ECE"/>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Normal"/>
    <w:link w:val="SingleTxtGChar"/>
    <w:uiPriority w:val="99"/>
    <w:rsid w:val="00180DBF"/>
    <w:pPr>
      <w:suppressAutoHyphens/>
      <w:spacing w:after="120" w:line="240" w:lineRule="atLeast"/>
      <w:ind w:left="1134" w:right="1134"/>
    </w:pPr>
    <w:rPr>
      <w:rFonts w:eastAsiaTheme="minorEastAsia"/>
      <w:kern w:val="0"/>
      <w:sz w:val="20"/>
      <w:lang w:val="en-GB" w:eastAsia="en-US"/>
    </w:rPr>
  </w:style>
  <w:style w:type="character" w:customStyle="1" w:styleId="SingleTxtGChar">
    <w:name w:val="_ Single Txt_G Char"/>
    <w:link w:val="SingleTxtG"/>
    <w:uiPriority w:val="99"/>
    <w:locked/>
    <w:rsid w:val="00180DBF"/>
    <w:rPr>
      <w:lang w:eastAsia="en-US"/>
    </w:rPr>
  </w:style>
  <w:style w:type="paragraph" w:customStyle="1" w:styleId="HChG">
    <w:name w:val="_ H _Ch_G"/>
    <w:basedOn w:val="Normal"/>
    <w:next w:val="Normal"/>
    <w:link w:val="HChGChar"/>
    <w:qFormat/>
    <w:rsid w:val="00180DBF"/>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H1G">
    <w:name w:val="_ H_1_G"/>
    <w:basedOn w:val="Normal"/>
    <w:next w:val="Normal"/>
    <w:rsid w:val="00180DBF"/>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character" w:customStyle="1" w:styleId="HChGChar">
    <w:name w:val="_ H _Ch_G Char"/>
    <w:link w:val="HChG"/>
    <w:locked/>
    <w:rsid w:val="00180DBF"/>
    <w:rPr>
      <w:b/>
      <w:sz w:val="28"/>
      <w:lang w:eastAsia="en-US"/>
    </w:rPr>
  </w:style>
  <w:style w:type="paragraph" w:customStyle="1" w:styleId="GB23126">
    <w:name w:val="样式 (中文) 楷体_GB2312 六号 蓝色 右 段后: 6 磅 行距: 单倍行距"/>
    <w:basedOn w:val="Normal"/>
    <w:rsid w:val="00180DBF"/>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80DBF"/>
    <w:pPr>
      <w:spacing w:after="120"/>
      <w:jc w:val="left"/>
    </w:pPr>
    <w:rPr>
      <w:rFonts w:eastAsia="SimSun" w:cs="SimSun"/>
    </w:rPr>
  </w:style>
  <w:style w:type="paragraph" w:customStyle="1" w:styleId="SLG">
    <w:name w:val="__S_L_G"/>
    <w:basedOn w:val="Normal"/>
    <w:next w:val="Normal"/>
    <w:rsid w:val="005B17D2"/>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H23G">
    <w:name w:val="_ H_2/3_G"/>
    <w:basedOn w:val="Normal"/>
    <w:next w:val="Normal"/>
    <w:rsid w:val="005B17D2"/>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character" w:customStyle="1" w:styleId="FootnoteTextChar">
    <w:name w:val="Footnote Text Char"/>
    <w:aliases w:val="5_G Char"/>
    <w:link w:val="FootnoteText"/>
    <w:rsid w:val="005B17D2"/>
    <w:rPr>
      <w:rFonts w:eastAsia="SimSun"/>
      <w:noProof/>
      <w:kern w:val="14"/>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basedOn w:val="FootnoteReference"/>
    <w:semiHidden/>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Normal"/>
    <w:link w:val="SingleTxtGChar"/>
    <w:uiPriority w:val="99"/>
    <w:rsid w:val="00180DBF"/>
    <w:pPr>
      <w:suppressAutoHyphens/>
      <w:spacing w:after="120" w:line="240" w:lineRule="atLeast"/>
      <w:ind w:left="1134" w:right="1134"/>
    </w:pPr>
    <w:rPr>
      <w:rFonts w:eastAsiaTheme="minorEastAsia"/>
      <w:kern w:val="0"/>
      <w:sz w:val="20"/>
      <w:lang w:val="en-GB" w:eastAsia="en-US"/>
    </w:rPr>
  </w:style>
  <w:style w:type="character" w:customStyle="1" w:styleId="SingleTxtGChar">
    <w:name w:val="_ Single Txt_G Char"/>
    <w:link w:val="SingleTxtG"/>
    <w:uiPriority w:val="99"/>
    <w:locked/>
    <w:rsid w:val="00180DBF"/>
    <w:rPr>
      <w:lang w:eastAsia="en-US"/>
    </w:rPr>
  </w:style>
  <w:style w:type="paragraph" w:customStyle="1" w:styleId="HChG">
    <w:name w:val="_ H _Ch_G"/>
    <w:basedOn w:val="Normal"/>
    <w:next w:val="Normal"/>
    <w:link w:val="HChGChar"/>
    <w:qFormat/>
    <w:rsid w:val="00180DBF"/>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H1G">
    <w:name w:val="_ H_1_G"/>
    <w:basedOn w:val="Normal"/>
    <w:next w:val="Normal"/>
    <w:rsid w:val="00180DBF"/>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character" w:customStyle="1" w:styleId="HChGChar">
    <w:name w:val="_ H _Ch_G Char"/>
    <w:link w:val="HChG"/>
    <w:locked/>
    <w:rsid w:val="00180DBF"/>
    <w:rPr>
      <w:b/>
      <w:sz w:val="28"/>
      <w:lang w:eastAsia="en-US"/>
    </w:rPr>
  </w:style>
  <w:style w:type="paragraph" w:customStyle="1" w:styleId="GB23126">
    <w:name w:val="样式 (中文) 楷体_GB2312 六号 蓝色 右 段后: 6 磅 行距: 单倍行距"/>
    <w:basedOn w:val="Normal"/>
    <w:rsid w:val="00180DBF"/>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80DBF"/>
    <w:pPr>
      <w:spacing w:after="120"/>
      <w:jc w:val="left"/>
    </w:pPr>
    <w:rPr>
      <w:rFonts w:eastAsia="SimSun" w:cs="SimSun"/>
    </w:rPr>
  </w:style>
  <w:style w:type="paragraph" w:customStyle="1" w:styleId="SLG">
    <w:name w:val="__S_L_G"/>
    <w:basedOn w:val="Normal"/>
    <w:next w:val="Normal"/>
    <w:rsid w:val="005B17D2"/>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H23G">
    <w:name w:val="_ H_2/3_G"/>
    <w:basedOn w:val="Normal"/>
    <w:next w:val="Normal"/>
    <w:rsid w:val="005B17D2"/>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character" w:customStyle="1" w:styleId="FootnoteTextChar">
    <w:name w:val="Footnote Text Char"/>
    <w:aliases w:val="5_G Char"/>
    <w:link w:val="FootnoteText"/>
    <w:rsid w:val="005B17D2"/>
    <w:rPr>
      <w:rFonts w:eastAsia="SimSun"/>
      <w:noProof/>
      <w:kern w:val="14"/>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NewsEvents/Pages/DisplayNews.aspx" TargetMode="External"/><Relationship Id="rId2" Type="http://schemas.openxmlformats.org/officeDocument/2006/relationships/hyperlink" Target="http://www.ipu.org/wmn-e/world.htm" TargetMode="External"/><Relationship Id="rId1" Type="http://schemas.openxmlformats.org/officeDocument/2006/relationships/hyperlink" Target="http://www.ohchr.org/EN/NewsEvents/Pages/DisplayNews.aspx?NewsID=15883&amp;LangI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7458F-5B1B-4B96-B470-A1A3A41CF328}"/>
</file>

<file path=customXml/itemProps2.xml><?xml version="1.0" encoding="utf-8"?>
<ds:datastoreItem xmlns:ds="http://schemas.openxmlformats.org/officeDocument/2006/customXml" ds:itemID="{1AC16156-0A39-490F-B69F-5C9DE4AAA725}"/>
</file>

<file path=customXml/itemProps3.xml><?xml version="1.0" encoding="utf-8"?>
<ds:datastoreItem xmlns:ds="http://schemas.openxmlformats.org/officeDocument/2006/customXml" ds:itemID="{C5765160-E098-4CF1-AD71-39B5A4D605D9}"/>
</file>

<file path=docProps/app.xml><?xml version="1.0" encoding="utf-8"?>
<Properties xmlns="http://schemas.openxmlformats.org/officeDocument/2006/extended-properties" xmlns:vt="http://schemas.openxmlformats.org/officeDocument/2006/docPropsVTypes">
  <Template>Normal</Template>
  <TotalTime>1</TotalTime>
  <Pages>17</Pages>
  <Words>2056</Words>
  <Characters>11720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experiences and challenges and ways to overcome them with regard to the promotion, protection and implementation of the right to participate in Chinese</dc:title>
  <dc:creator>mlu</dc:creator>
  <cp:lastModifiedBy>Somova Iuliia</cp:lastModifiedBy>
  <cp:revision>2</cp:revision>
  <cp:lastPrinted>2015-08-19T13:38:00Z</cp:lastPrinted>
  <dcterms:created xsi:type="dcterms:W3CDTF">2015-09-07T09:15:00Z</dcterms:created>
  <dcterms:modified xsi:type="dcterms:W3CDTF">2015-09-07T09:15:00Z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1512429</vt:lpwstr>
  </property>
  <property fmtid="{D5CDD505-2E9C-101B-9397-08002B2CF9AE}" pid="3" name="ODSRefJobNo">
    <vt:lpwstr>1516394C</vt:lpwstr>
  </property>
  <property fmtid="{D5CDD505-2E9C-101B-9397-08002B2CF9AE}" pid="4" name="Symbol1">
    <vt:lpwstr>A/HRC/30/26</vt:lpwstr>
  </property>
  <property fmtid="{D5CDD505-2E9C-101B-9397-08002B2CF9AE}" pid="5" name="Symbol2">
    <vt:lpwstr/>
  </property>
  <property fmtid="{D5CDD505-2E9C-101B-9397-08002B2CF9AE}" pid="6" name="Translator">
    <vt:lpwstr/>
  </property>
  <property fmtid="{D5CDD505-2E9C-101B-9397-08002B2CF9AE}" pid="7" name="Operator">
    <vt:lpwstr>mlu</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23 July 2015</vt:lpwstr>
  </property>
  <property fmtid="{D5CDD505-2E9C-101B-9397-08002B2CF9AE}" pid="12" name="Original">
    <vt:lpwstr>English</vt:lpwstr>
  </property>
  <property fmtid="{D5CDD505-2E9C-101B-9397-08002B2CF9AE}" pid="13" name="Release Date">
    <vt:lpwstr>190815</vt:lpwstr>
  </property>
  <property fmtid="{D5CDD505-2E9C-101B-9397-08002B2CF9AE}" pid="14" name="ContentTypeId">
    <vt:lpwstr>0x010100EF670F518423CB4F888C4265EEC2C475</vt:lpwstr>
  </property>
  <property fmtid="{D5CDD505-2E9C-101B-9397-08002B2CF9AE}" pid="15" name="Order">
    <vt:r8>23400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