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913" w:rsidRPr="00D72844" w:rsidRDefault="00EC0913" w:rsidP="00EC0913">
      <w:pPr>
        <w:spacing w:line="60" w:lineRule="exact"/>
        <w:rPr>
          <w:color w:val="010000"/>
          <w:sz w:val="6"/>
        </w:rPr>
        <w:sectPr w:rsidR="00EC0913" w:rsidRPr="00D72844" w:rsidSect="00EC0913">
          <w:headerReference w:type="even" r:id="rId9"/>
          <w:headerReference w:type="default" r:id="rId10"/>
          <w:footerReference w:type="even" r:id="rId11"/>
          <w:footerReference w:type="default" r:id="rId12"/>
          <w:headerReference w:type="first" r:id="rId13"/>
          <w:footerReference w:type="first" r:id="rId14"/>
          <w:endnotePr>
            <w:numFmt w:val="decimal"/>
          </w:endnotePr>
          <w:pgSz w:w="11909" w:h="16834"/>
          <w:pgMar w:top="1742" w:right="936" w:bottom="1898" w:left="936" w:header="576" w:footer="1030" w:gutter="0"/>
          <w:pgNumType w:start="1"/>
          <w:cols w:space="720"/>
          <w:noEndnote/>
          <w:titlePg/>
          <w:docGrid w:linePitch="360"/>
        </w:sectPr>
      </w:pPr>
      <w:bookmarkStart w:id="0" w:name="_GoBack"/>
      <w:bookmarkEnd w:id="0"/>
    </w:p>
    <w:p w:rsidR="00D72844" w:rsidRDefault="00D72844" w:rsidP="00D72844">
      <w:pPr>
        <w:spacing w:before="120"/>
        <w:rPr>
          <w:b/>
          <w:sz w:val="24"/>
          <w:szCs w:val="24"/>
        </w:rPr>
      </w:pPr>
      <w:r w:rsidRPr="001313C8">
        <w:rPr>
          <w:b/>
          <w:sz w:val="24"/>
          <w:szCs w:val="24"/>
        </w:rPr>
        <w:lastRenderedPageBreak/>
        <w:t>Совет по правам человека</w:t>
      </w:r>
    </w:p>
    <w:p w:rsidR="00D72844" w:rsidRPr="00466DB5" w:rsidRDefault="00D72844" w:rsidP="00D72844">
      <w:pPr>
        <w:rPr>
          <w:b/>
        </w:rPr>
      </w:pPr>
      <w:r w:rsidRPr="00466DB5">
        <w:rPr>
          <w:b/>
        </w:rPr>
        <w:t>Тридцатая сессия</w:t>
      </w:r>
    </w:p>
    <w:p w:rsidR="00D72844" w:rsidRPr="00466DB5" w:rsidRDefault="00D72844" w:rsidP="00D72844">
      <w:r w:rsidRPr="00466DB5">
        <w:t>Пункт 3 повестки дня</w:t>
      </w:r>
    </w:p>
    <w:p w:rsidR="00D72844" w:rsidRDefault="00D72844" w:rsidP="00D72844">
      <w:pPr>
        <w:rPr>
          <w:b/>
          <w:lang w:val="en-US"/>
        </w:rPr>
      </w:pPr>
      <w:r w:rsidRPr="00466DB5">
        <w:rPr>
          <w:b/>
        </w:rPr>
        <w:t>Поощрение и защита всех прав человека,</w:t>
      </w:r>
      <w:r>
        <w:rPr>
          <w:b/>
        </w:rPr>
        <w:t xml:space="preserve"> </w:t>
      </w:r>
      <w:r w:rsidRPr="00466DB5">
        <w:rPr>
          <w:b/>
        </w:rPr>
        <w:br/>
        <w:t>гражданских, политических, экономических,</w:t>
      </w:r>
      <w:r w:rsidRPr="00466DB5">
        <w:rPr>
          <w:b/>
        </w:rPr>
        <w:br/>
        <w:t>социальных и культурных прав,</w:t>
      </w:r>
      <w:r w:rsidRPr="00466DB5">
        <w:rPr>
          <w:b/>
        </w:rPr>
        <w:br/>
        <w:t>включая право на развитие</w:t>
      </w:r>
    </w:p>
    <w:p w:rsidR="00D72844" w:rsidRPr="00D72844" w:rsidRDefault="00D72844" w:rsidP="00D72844">
      <w:pPr>
        <w:pStyle w:val="SingleTxt"/>
        <w:spacing w:after="0" w:line="120" w:lineRule="exact"/>
        <w:rPr>
          <w:sz w:val="10"/>
          <w:lang w:val="en-US"/>
        </w:rPr>
      </w:pPr>
    </w:p>
    <w:p w:rsidR="00D72844" w:rsidRPr="00D72844" w:rsidRDefault="00D72844" w:rsidP="00D72844">
      <w:pPr>
        <w:pStyle w:val="SingleTxt"/>
        <w:spacing w:after="0" w:line="120" w:lineRule="exact"/>
        <w:rPr>
          <w:sz w:val="10"/>
          <w:lang w:val="en-US"/>
        </w:rPr>
      </w:pPr>
    </w:p>
    <w:p w:rsidR="00D72844" w:rsidRPr="00D72844" w:rsidRDefault="00D72844" w:rsidP="00D72844">
      <w:pPr>
        <w:pStyle w:val="SingleTxt"/>
        <w:spacing w:after="0" w:line="120" w:lineRule="exact"/>
        <w:rPr>
          <w:sz w:val="10"/>
          <w:lang w:val="en-US"/>
        </w:rPr>
      </w:pPr>
    </w:p>
    <w:p w:rsidR="00D72844" w:rsidRPr="00147D04" w:rsidRDefault="00D72844" w:rsidP="00D7284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Pr>
          <w:lang w:val="en-US"/>
        </w:rPr>
        <w:tab/>
      </w:r>
      <w:r>
        <w:rPr>
          <w:lang w:val="en-US"/>
        </w:rPr>
        <w:tab/>
      </w:r>
      <w:r w:rsidRPr="00147D04">
        <w:t>Ежегодный доклад Рабочей группы</w:t>
      </w:r>
      <w:r>
        <w:t xml:space="preserve"> по вопросу</w:t>
      </w:r>
      <w:r w:rsidRPr="00D72844">
        <w:t xml:space="preserve"> </w:t>
      </w:r>
      <w:r>
        <w:t>об</w:t>
      </w:r>
      <w:r>
        <w:rPr>
          <w:lang w:val="en-US"/>
        </w:rPr>
        <w:t> </w:t>
      </w:r>
      <w:r w:rsidRPr="00147D04">
        <w:t>использовании наемников</w:t>
      </w:r>
      <w:r>
        <w:t xml:space="preserve"> </w:t>
      </w:r>
      <w:r w:rsidRPr="00147D04">
        <w:t>как средстве нарушения прав человека</w:t>
      </w:r>
      <w:r>
        <w:t xml:space="preserve"> </w:t>
      </w:r>
      <w:r w:rsidRPr="00147D04">
        <w:t>и противодействия осуществлению права народов на самоопределение</w:t>
      </w:r>
    </w:p>
    <w:p w:rsidR="00D72844" w:rsidRPr="00D72844" w:rsidRDefault="00D72844" w:rsidP="00D72844">
      <w:pPr>
        <w:pStyle w:val="SingleTxt"/>
        <w:spacing w:after="0" w:line="120" w:lineRule="exact"/>
        <w:rPr>
          <w:sz w:val="10"/>
        </w:rPr>
      </w:pPr>
    </w:p>
    <w:p w:rsidR="00D72844" w:rsidRPr="00D72844" w:rsidRDefault="00D72844" w:rsidP="00D72844">
      <w:pPr>
        <w:pStyle w:val="SingleTxt"/>
        <w:spacing w:after="0" w:line="120" w:lineRule="exact"/>
        <w:rPr>
          <w:sz w:val="10"/>
        </w:rPr>
      </w:pPr>
    </w:p>
    <w:p w:rsidR="00D72844" w:rsidRDefault="00D72844" w:rsidP="00D72844">
      <w:pPr>
        <w:pStyle w:val="SingleTxt"/>
        <w:spacing w:after="0" w:line="120" w:lineRule="exact"/>
        <w:rPr>
          <w:sz w:val="10"/>
          <w:lang w:val="en-US"/>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D72844" w:rsidTr="004408E3">
        <w:trPr>
          <w:trHeight w:val="620"/>
        </w:trPr>
        <w:tc>
          <w:tcPr>
            <w:tcW w:w="10051" w:type="dxa"/>
            <w:tcBorders>
              <w:top w:val="single" w:sz="2" w:space="0" w:color="auto"/>
            </w:tcBorders>
            <w:shd w:val="clear" w:color="auto" w:fill="auto"/>
          </w:tcPr>
          <w:p w:rsidR="00D72844" w:rsidRPr="00D72844" w:rsidRDefault="00D72844" w:rsidP="00D72844">
            <w:pPr>
              <w:tabs>
                <w:tab w:val="left" w:pos="240"/>
              </w:tabs>
              <w:spacing w:before="240" w:after="120"/>
              <w:rPr>
                <w:i/>
                <w:sz w:val="24"/>
                <w:lang w:val="en-US"/>
              </w:rPr>
            </w:pPr>
            <w:r>
              <w:rPr>
                <w:i/>
                <w:sz w:val="24"/>
                <w:lang w:val="en-US"/>
              </w:rPr>
              <w:tab/>
              <w:t>Резюме</w:t>
            </w:r>
          </w:p>
        </w:tc>
      </w:tr>
      <w:tr w:rsidR="00D72844" w:rsidRPr="00D72844" w:rsidTr="004408E3">
        <w:trPr>
          <w:trHeight w:val="1336"/>
        </w:trPr>
        <w:tc>
          <w:tcPr>
            <w:tcW w:w="10051" w:type="dxa"/>
            <w:shd w:val="clear" w:color="auto" w:fill="auto"/>
          </w:tcPr>
          <w:p w:rsidR="00D72844" w:rsidRPr="00D72844" w:rsidRDefault="00D72844" w:rsidP="00D72844">
            <w:pPr>
              <w:pStyle w:val="SingleTxt"/>
            </w:pPr>
            <w:r w:rsidRPr="00D72844">
              <w:tab/>
            </w:r>
            <w:r>
              <w:t>В настоящем докладе содержится обзор деятельности Рабочей группы по вопросу использования наемников как средстве нарушения прав человека и противодействия осуществлению права народов на самоопределение за отчетный период и информация о сессиях Рабочей группы, сообщениях и посещениях стран.</w:t>
            </w:r>
          </w:p>
        </w:tc>
      </w:tr>
      <w:tr w:rsidR="00D72844" w:rsidRPr="00D72844" w:rsidTr="00D72844">
        <w:tc>
          <w:tcPr>
            <w:tcW w:w="10051" w:type="dxa"/>
            <w:shd w:val="clear" w:color="auto" w:fill="auto"/>
          </w:tcPr>
          <w:p w:rsidR="00D72844" w:rsidRPr="00D72844" w:rsidRDefault="00FC17EA" w:rsidP="00D72844">
            <w:pPr>
              <w:pStyle w:val="SingleTxt"/>
            </w:pPr>
            <w:r w:rsidRPr="004B255C">
              <w:tab/>
            </w:r>
            <w:r>
              <w:t>В докладе излагаются выводы проводимого Рабочей группой глобального исследования национальных законов и правил, касающихся частных военных и/или охранных компаний. Рабочая группа уделяет основное внимание законам и правилам восьми стран Центральной Америки и Карибского бассейна (Гватемала, Гондурас, Коста-Рика, Куба, Мексика, Никарагуа, Панама и Сальвадор), восьми стран Южной Америки (Аргентина, Боливия (Многонациональное Государство), Бразилия, Колумбия, Перу, Уругвай, Чили и Эквадор) и четырех стран Европы (Венгрия, Соединенное Королевство Великобритании и Северной Ирландии, Франция и Швейцария). Глобальное исследование Рабочей группы имеет своей целью оценку существующих национальных законов, касающихся частных военных и охранных компаний, и их эффективности в деле защиты прав человека и обеспечения подотчетности за нарушения. Кроме того, оно направлено на выявление возможных общих элементов, передовой практики и пробелов в нормативной базе.</w:t>
            </w:r>
          </w:p>
        </w:tc>
      </w:tr>
      <w:tr w:rsidR="00D72844" w:rsidRPr="00D72844" w:rsidTr="00D72844">
        <w:tc>
          <w:tcPr>
            <w:tcW w:w="10051" w:type="dxa"/>
            <w:tcBorders>
              <w:bottom w:val="nil"/>
            </w:tcBorders>
            <w:shd w:val="clear" w:color="auto" w:fill="auto"/>
          </w:tcPr>
          <w:p w:rsidR="00D72844" w:rsidRPr="00D72844" w:rsidRDefault="00FC17EA" w:rsidP="004408E3">
            <w:pPr>
              <w:pStyle w:val="SingleTxt"/>
              <w:pageBreakBefore/>
            </w:pPr>
            <w:r>
              <w:rPr>
                <w:lang w:val="en-US"/>
              </w:rPr>
              <w:lastRenderedPageBreak/>
              <w:tab/>
            </w:r>
            <w:r>
              <w:t>Рабочая группа отмечает, что хотя в законах этих стран встречаются общие элементы, в них применяется неодинаковый подход к регулированию деятельности военных и охранных компаний. Рабочая группа вновь подчеркивает необходимость эффективного регулирования деятельности частных военных и охранных компаний и предлагает всем государствам-членам содействовать ее исследованию, которое призвано помочь им при осуществлении эффективного контроля за деятельностью таких компаний.</w:t>
            </w:r>
          </w:p>
        </w:tc>
      </w:tr>
      <w:tr w:rsidR="00D72844" w:rsidRPr="00D72844" w:rsidTr="00D72844">
        <w:tc>
          <w:tcPr>
            <w:tcW w:w="10051" w:type="dxa"/>
            <w:tcBorders>
              <w:bottom w:val="single" w:sz="2" w:space="0" w:color="auto"/>
            </w:tcBorders>
            <w:shd w:val="clear" w:color="auto" w:fill="auto"/>
          </w:tcPr>
          <w:p w:rsidR="00D72844" w:rsidRPr="00D72844" w:rsidRDefault="00D72844" w:rsidP="00D72844">
            <w:pPr>
              <w:pStyle w:val="SingleTxt"/>
            </w:pPr>
          </w:p>
        </w:tc>
      </w:tr>
    </w:tbl>
    <w:p w:rsidR="00D72844" w:rsidRPr="00FC17EA" w:rsidRDefault="00D72844" w:rsidP="00D72844">
      <w:pPr>
        <w:pStyle w:val="SingleTxt"/>
        <w:rPr>
          <w:lang w:val="en-US"/>
        </w:rPr>
      </w:pPr>
    </w:p>
    <w:p w:rsidR="00DD0548" w:rsidRPr="00DD0548" w:rsidRDefault="00D72844" w:rsidP="00DD0548">
      <w:pPr>
        <w:pStyle w:val="HCh"/>
        <w:spacing w:after="120"/>
        <w:rPr>
          <w:b w:val="0"/>
          <w:lang w:val="en-US"/>
        </w:rPr>
      </w:pPr>
      <w:r w:rsidRPr="002F442B">
        <w:br w:type="page"/>
      </w:r>
      <w:r w:rsidR="00DD0548">
        <w:rPr>
          <w:b w:val="0"/>
        </w:rPr>
        <w:t>Содержание</w:t>
      </w:r>
    </w:p>
    <w:tbl>
      <w:tblPr>
        <w:tblW w:w="9729" w:type="dxa"/>
        <w:tblInd w:w="-2" w:type="dxa"/>
        <w:tblLayout w:type="fixed"/>
        <w:tblCellMar>
          <w:left w:w="0" w:type="dxa"/>
          <w:right w:w="0" w:type="dxa"/>
        </w:tblCellMar>
        <w:tblLook w:val="0000" w:firstRow="0" w:lastRow="0" w:firstColumn="0" w:lastColumn="0" w:noHBand="0" w:noVBand="0"/>
      </w:tblPr>
      <w:tblGrid>
        <w:gridCol w:w="11"/>
        <w:gridCol w:w="8998"/>
        <w:gridCol w:w="6"/>
        <w:gridCol w:w="714"/>
      </w:tblGrid>
      <w:tr w:rsidR="00127518" w:rsidRPr="00DD0548" w:rsidTr="004408E3">
        <w:tc>
          <w:tcPr>
            <w:tcW w:w="9015" w:type="dxa"/>
            <w:gridSpan w:val="3"/>
            <w:shd w:val="clear" w:color="auto" w:fill="auto"/>
          </w:tcPr>
          <w:p w:rsidR="00127518" w:rsidRPr="00DD0548" w:rsidRDefault="00127518" w:rsidP="00DD0548">
            <w:pPr>
              <w:spacing w:after="120" w:line="240" w:lineRule="auto"/>
              <w:ind w:right="40"/>
              <w:jc w:val="right"/>
              <w:rPr>
                <w:i/>
                <w:sz w:val="14"/>
                <w:lang w:val="en-US"/>
              </w:rPr>
            </w:pPr>
          </w:p>
        </w:tc>
        <w:tc>
          <w:tcPr>
            <w:tcW w:w="714" w:type="dxa"/>
            <w:shd w:val="clear" w:color="auto" w:fill="auto"/>
          </w:tcPr>
          <w:p w:rsidR="00127518" w:rsidRPr="00DD0548" w:rsidRDefault="00127518" w:rsidP="00DD0548">
            <w:pPr>
              <w:spacing w:after="120" w:line="240" w:lineRule="auto"/>
              <w:ind w:right="40"/>
              <w:jc w:val="right"/>
              <w:rPr>
                <w:i/>
                <w:sz w:val="14"/>
                <w:lang w:val="en-US"/>
              </w:rPr>
            </w:pPr>
            <w:r>
              <w:rPr>
                <w:i/>
                <w:sz w:val="14"/>
                <w:lang w:val="en-US"/>
              </w:rPr>
              <w:t>Стр.</w:t>
            </w:r>
          </w:p>
        </w:tc>
      </w:tr>
      <w:tr w:rsidR="00DD0548" w:rsidTr="00DD0548">
        <w:tblPrEx>
          <w:tblCellMar>
            <w:left w:w="108" w:type="dxa"/>
            <w:right w:w="108" w:type="dxa"/>
          </w:tblCellMar>
        </w:tblPrEx>
        <w:trPr>
          <w:gridBefore w:val="1"/>
          <w:wBefore w:w="11" w:type="dxa"/>
        </w:trPr>
        <w:tc>
          <w:tcPr>
            <w:tcW w:w="8998" w:type="dxa"/>
          </w:tcPr>
          <w:p w:rsidR="00DD0548" w:rsidRDefault="00DD0548" w:rsidP="003070ED">
            <w:pPr>
              <w:numPr>
                <w:ilvl w:val="0"/>
                <w:numId w:val="22"/>
              </w:numPr>
              <w:tabs>
                <w:tab w:val="right" w:pos="1080"/>
                <w:tab w:val="left" w:pos="1296"/>
                <w:tab w:val="left" w:pos="1728"/>
                <w:tab w:val="right" w:leader="dot" w:pos="9245"/>
              </w:tabs>
              <w:suppressAutoHyphens/>
              <w:spacing w:after="120"/>
              <w:rPr>
                <w:lang w:val="en-US"/>
              </w:rPr>
            </w:pPr>
            <w:r>
              <w:rPr>
                <w:lang w:val="en-US"/>
              </w:rPr>
              <w:tab/>
            </w:r>
            <w:r w:rsidRPr="002F442B">
              <w:t>Введение</w:t>
            </w:r>
            <w:r w:rsidR="00127518">
              <w:rPr>
                <w:spacing w:val="60"/>
                <w:sz w:val="17"/>
              </w:rPr>
              <w:tab/>
            </w:r>
          </w:p>
        </w:tc>
        <w:tc>
          <w:tcPr>
            <w:tcW w:w="720" w:type="dxa"/>
            <w:gridSpan w:val="2"/>
            <w:vAlign w:val="bottom"/>
          </w:tcPr>
          <w:p w:rsidR="00DD0548" w:rsidRPr="00162CC7" w:rsidRDefault="00162CC7" w:rsidP="00DD0548">
            <w:pPr>
              <w:spacing w:after="120"/>
              <w:ind w:right="40"/>
              <w:jc w:val="right"/>
            </w:pPr>
            <w:r>
              <w:t>4</w:t>
            </w:r>
          </w:p>
        </w:tc>
      </w:tr>
      <w:tr w:rsidR="00127518" w:rsidTr="00DD0548">
        <w:tblPrEx>
          <w:tblCellMar>
            <w:left w:w="108" w:type="dxa"/>
            <w:right w:w="108" w:type="dxa"/>
          </w:tblCellMar>
        </w:tblPrEx>
        <w:trPr>
          <w:gridBefore w:val="1"/>
          <w:wBefore w:w="11" w:type="dxa"/>
        </w:trPr>
        <w:tc>
          <w:tcPr>
            <w:tcW w:w="8998" w:type="dxa"/>
          </w:tcPr>
          <w:p w:rsidR="00127518" w:rsidRDefault="00127518" w:rsidP="003070ED">
            <w:pPr>
              <w:numPr>
                <w:ilvl w:val="0"/>
                <w:numId w:val="22"/>
              </w:numPr>
              <w:tabs>
                <w:tab w:val="right" w:pos="1080"/>
                <w:tab w:val="left" w:pos="1296"/>
                <w:tab w:val="left" w:pos="1728"/>
                <w:tab w:val="left" w:pos="2160"/>
                <w:tab w:val="left" w:pos="2592"/>
                <w:tab w:val="left" w:pos="3024"/>
                <w:tab w:val="left" w:pos="3456"/>
                <w:tab w:val="left" w:pos="3888"/>
                <w:tab w:val="right" w:leader="dot" w:pos="9245"/>
              </w:tabs>
              <w:suppressAutoHyphens/>
              <w:spacing w:after="120"/>
              <w:rPr>
                <w:lang w:val="en-US"/>
              </w:rPr>
            </w:pPr>
            <w:r>
              <w:rPr>
                <w:lang w:val="en-US"/>
              </w:rPr>
              <w:tab/>
            </w:r>
            <w:r>
              <w:t>Деятельность</w:t>
            </w:r>
            <w:r w:rsidRPr="00270907">
              <w:t xml:space="preserve"> </w:t>
            </w:r>
            <w:r>
              <w:t>Рабочей</w:t>
            </w:r>
            <w:r w:rsidRPr="00270907">
              <w:t xml:space="preserve"> </w:t>
            </w:r>
            <w:r>
              <w:t>группы</w:t>
            </w:r>
            <w:r>
              <w:rPr>
                <w:spacing w:val="60"/>
                <w:sz w:val="17"/>
              </w:rPr>
              <w:tab/>
            </w:r>
          </w:p>
        </w:tc>
        <w:tc>
          <w:tcPr>
            <w:tcW w:w="720" w:type="dxa"/>
            <w:gridSpan w:val="2"/>
            <w:vAlign w:val="bottom"/>
          </w:tcPr>
          <w:p w:rsidR="00127518" w:rsidRPr="00162CC7" w:rsidRDefault="00162CC7" w:rsidP="00DD0548">
            <w:pPr>
              <w:spacing w:after="120"/>
              <w:ind w:right="40"/>
              <w:jc w:val="right"/>
            </w:pPr>
            <w:r>
              <w:t>4</w:t>
            </w:r>
          </w:p>
        </w:tc>
      </w:tr>
      <w:tr w:rsidR="00127518" w:rsidRPr="00127518" w:rsidTr="00DD0548">
        <w:tblPrEx>
          <w:tblCellMar>
            <w:left w:w="108" w:type="dxa"/>
            <w:right w:w="108" w:type="dxa"/>
          </w:tblCellMar>
        </w:tblPrEx>
        <w:trPr>
          <w:gridBefore w:val="1"/>
          <w:wBefore w:w="11" w:type="dxa"/>
        </w:trPr>
        <w:tc>
          <w:tcPr>
            <w:tcW w:w="8998" w:type="dxa"/>
          </w:tcPr>
          <w:p w:rsidR="00127518" w:rsidRPr="00127518" w:rsidRDefault="00127518" w:rsidP="003070ED">
            <w:pPr>
              <w:numPr>
                <w:ilvl w:val="1"/>
                <w:numId w:val="22"/>
              </w:numPr>
              <w:tabs>
                <w:tab w:val="right" w:pos="1080"/>
                <w:tab w:val="left" w:pos="1296"/>
                <w:tab w:val="left" w:pos="1728"/>
                <w:tab w:val="left" w:pos="2160"/>
                <w:tab w:val="left" w:pos="2592"/>
                <w:tab w:val="left" w:pos="3024"/>
                <w:tab w:val="right" w:leader="dot" w:pos="9245"/>
              </w:tabs>
              <w:suppressAutoHyphens/>
              <w:spacing w:after="120"/>
            </w:pPr>
            <w:r>
              <w:t>Двадцать</w:t>
            </w:r>
            <w:r w:rsidRPr="00270907">
              <w:t xml:space="preserve"> </w:t>
            </w:r>
            <w:r>
              <w:t>вторая</w:t>
            </w:r>
            <w:r w:rsidRPr="00270907">
              <w:t>−</w:t>
            </w:r>
            <w:r>
              <w:t>двадцать</w:t>
            </w:r>
            <w:r w:rsidRPr="00270907">
              <w:t xml:space="preserve"> </w:t>
            </w:r>
            <w:r>
              <w:t>четвертая</w:t>
            </w:r>
            <w:r w:rsidRPr="00270907">
              <w:t xml:space="preserve"> </w:t>
            </w:r>
            <w:r>
              <w:t>сессии</w:t>
            </w:r>
            <w:r w:rsidRPr="00270907">
              <w:t xml:space="preserve"> </w:t>
            </w:r>
            <w:r>
              <w:t>Рабочей</w:t>
            </w:r>
            <w:r w:rsidRPr="00270907">
              <w:t xml:space="preserve"> </w:t>
            </w:r>
            <w:r>
              <w:t>группы</w:t>
            </w:r>
            <w:r>
              <w:rPr>
                <w:spacing w:val="60"/>
                <w:sz w:val="17"/>
              </w:rPr>
              <w:tab/>
            </w:r>
          </w:p>
        </w:tc>
        <w:tc>
          <w:tcPr>
            <w:tcW w:w="720" w:type="dxa"/>
            <w:gridSpan w:val="2"/>
            <w:vAlign w:val="bottom"/>
          </w:tcPr>
          <w:p w:rsidR="00127518" w:rsidRPr="00127518" w:rsidRDefault="00162CC7" w:rsidP="00DD0548">
            <w:pPr>
              <w:spacing w:after="120"/>
              <w:ind w:right="40"/>
              <w:jc w:val="right"/>
            </w:pPr>
            <w:r>
              <w:t>4</w:t>
            </w:r>
          </w:p>
        </w:tc>
      </w:tr>
      <w:tr w:rsidR="00127518" w:rsidRPr="00127518" w:rsidTr="00DD0548">
        <w:tblPrEx>
          <w:tblCellMar>
            <w:left w:w="108" w:type="dxa"/>
            <w:right w:w="108" w:type="dxa"/>
          </w:tblCellMar>
        </w:tblPrEx>
        <w:trPr>
          <w:gridBefore w:val="1"/>
          <w:wBefore w:w="11" w:type="dxa"/>
        </w:trPr>
        <w:tc>
          <w:tcPr>
            <w:tcW w:w="8998" w:type="dxa"/>
          </w:tcPr>
          <w:p w:rsidR="00127518" w:rsidRDefault="00127518" w:rsidP="003070ED">
            <w:pPr>
              <w:numPr>
                <w:ilvl w:val="1"/>
                <w:numId w:val="22"/>
              </w:numPr>
              <w:tabs>
                <w:tab w:val="right" w:pos="1080"/>
                <w:tab w:val="left" w:pos="1296"/>
                <w:tab w:val="right" w:leader="dot" w:pos="9245"/>
              </w:tabs>
              <w:suppressAutoHyphens/>
              <w:spacing w:after="120"/>
            </w:pPr>
            <w:r>
              <w:t>Сообщения</w:t>
            </w:r>
            <w:r>
              <w:rPr>
                <w:spacing w:val="60"/>
                <w:sz w:val="17"/>
              </w:rPr>
              <w:tab/>
            </w:r>
          </w:p>
        </w:tc>
        <w:tc>
          <w:tcPr>
            <w:tcW w:w="720" w:type="dxa"/>
            <w:gridSpan w:val="2"/>
            <w:vAlign w:val="bottom"/>
          </w:tcPr>
          <w:p w:rsidR="00127518" w:rsidRPr="00127518" w:rsidRDefault="00162CC7" w:rsidP="00DD0548">
            <w:pPr>
              <w:spacing w:after="120"/>
              <w:ind w:right="40"/>
              <w:jc w:val="right"/>
            </w:pPr>
            <w:r>
              <w:t>5</w:t>
            </w:r>
          </w:p>
        </w:tc>
      </w:tr>
      <w:tr w:rsidR="00127518" w:rsidRPr="00127518" w:rsidTr="00DD0548">
        <w:tblPrEx>
          <w:tblCellMar>
            <w:left w:w="108" w:type="dxa"/>
            <w:right w:w="108" w:type="dxa"/>
          </w:tblCellMar>
        </w:tblPrEx>
        <w:trPr>
          <w:gridBefore w:val="1"/>
          <w:wBefore w:w="11" w:type="dxa"/>
        </w:trPr>
        <w:tc>
          <w:tcPr>
            <w:tcW w:w="8998" w:type="dxa"/>
          </w:tcPr>
          <w:p w:rsidR="00127518" w:rsidRDefault="00127518" w:rsidP="003070ED">
            <w:pPr>
              <w:numPr>
                <w:ilvl w:val="1"/>
                <w:numId w:val="22"/>
              </w:numPr>
              <w:tabs>
                <w:tab w:val="right" w:pos="1080"/>
                <w:tab w:val="left" w:pos="1296"/>
                <w:tab w:val="right" w:leader="dot" w:pos="9245"/>
              </w:tabs>
              <w:suppressAutoHyphens/>
              <w:spacing w:after="120"/>
            </w:pPr>
            <w:r>
              <w:t>Посещения</w:t>
            </w:r>
            <w:r w:rsidRPr="00270907">
              <w:t xml:space="preserve"> </w:t>
            </w:r>
            <w:r>
              <w:t>стран</w:t>
            </w:r>
            <w:r>
              <w:rPr>
                <w:spacing w:val="60"/>
                <w:sz w:val="17"/>
              </w:rPr>
              <w:tab/>
            </w:r>
          </w:p>
        </w:tc>
        <w:tc>
          <w:tcPr>
            <w:tcW w:w="720" w:type="dxa"/>
            <w:gridSpan w:val="2"/>
            <w:vAlign w:val="bottom"/>
          </w:tcPr>
          <w:p w:rsidR="00127518" w:rsidRPr="00127518" w:rsidRDefault="00162CC7" w:rsidP="00DD0548">
            <w:pPr>
              <w:spacing w:after="120"/>
              <w:ind w:right="40"/>
              <w:jc w:val="right"/>
            </w:pPr>
            <w:r>
              <w:t>5</w:t>
            </w:r>
          </w:p>
        </w:tc>
      </w:tr>
      <w:tr w:rsidR="00127518" w:rsidRPr="00127518" w:rsidTr="00DD0548">
        <w:tblPrEx>
          <w:tblCellMar>
            <w:left w:w="108" w:type="dxa"/>
            <w:right w:w="108" w:type="dxa"/>
          </w:tblCellMar>
        </w:tblPrEx>
        <w:trPr>
          <w:gridBefore w:val="1"/>
          <w:wBefore w:w="11" w:type="dxa"/>
        </w:trPr>
        <w:tc>
          <w:tcPr>
            <w:tcW w:w="8998" w:type="dxa"/>
          </w:tcPr>
          <w:p w:rsidR="00127518" w:rsidRDefault="00127518" w:rsidP="003070ED">
            <w:pPr>
              <w:numPr>
                <w:ilvl w:val="1"/>
                <w:numId w:val="22"/>
              </w:numPr>
              <w:tabs>
                <w:tab w:val="right" w:pos="1080"/>
                <w:tab w:val="left" w:pos="1296"/>
                <w:tab w:val="right" w:leader="dot" w:pos="9245"/>
              </w:tabs>
              <w:suppressAutoHyphens/>
              <w:spacing w:after="120"/>
            </w:pPr>
            <w:r>
              <w:t>Информация</w:t>
            </w:r>
            <w:r w:rsidRPr="00270907">
              <w:t xml:space="preserve"> </w:t>
            </w:r>
            <w:r>
              <w:t>о</w:t>
            </w:r>
            <w:r w:rsidRPr="00270907">
              <w:t xml:space="preserve"> </w:t>
            </w:r>
            <w:r>
              <w:t>лицах</w:t>
            </w:r>
            <w:r w:rsidRPr="00270907">
              <w:t xml:space="preserve">, </w:t>
            </w:r>
            <w:r>
              <w:t>осужденных</w:t>
            </w:r>
            <w:r w:rsidRPr="00270907">
              <w:t xml:space="preserve"> </w:t>
            </w:r>
            <w:r>
              <w:t>за</w:t>
            </w:r>
            <w:r w:rsidRPr="00270907">
              <w:t xml:space="preserve"> </w:t>
            </w:r>
            <w:r>
              <w:t>наемническую</w:t>
            </w:r>
            <w:r w:rsidRPr="00270907">
              <w:t xml:space="preserve"> </w:t>
            </w:r>
            <w:r>
              <w:t>деятельность</w:t>
            </w:r>
            <w:r>
              <w:rPr>
                <w:spacing w:val="60"/>
                <w:sz w:val="17"/>
              </w:rPr>
              <w:tab/>
            </w:r>
          </w:p>
        </w:tc>
        <w:tc>
          <w:tcPr>
            <w:tcW w:w="720" w:type="dxa"/>
            <w:gridSpan w:val="2"/>
            <w:vAlign w:val="bottom"/>
          </w:tcPr>
          <w:p w:rsidR="00127518" w:rsidRPr="00127518" w:rsidRDefault="00162CC7" w:rsidP="00DD0548">
            <w:pPr>
              <w:spacing w:after="120"/>
              <w:ind w:right="40"/>
              <w:jc w:val="right"/>
            </w:pPr>
            <w:r>
              <w:t>5</w:t>
            </w:r>
          </w:p>
        </w:tc>
      </w:tr>
      <w:tr w:rsidR="00127518" w:rsidRPr="00127518" w:rsidTr="00DD0548">
        <w:tblPrEx>
          <w:tblCellMar>
            <w:left w:w="108" w:type="dxa"/>
            <w:right w:w="108" w:type="dxa"/>
          </w:tblCellMar>
        </w:tblPrEx>
        <w:trPr>
          <w:gridBefore w:val="1"/>
          <w:wBefore w:w="11" w:type="dxa"/>
        </w:trPr>
        <w:tc>
          <w:tcPr>
            <w:tcW w:w="8998" w:type="dxa"/>
          </w:tcPr>
          <w:p w:rsidR="00127518" w:rsidRDefault="00127518" w:rsidP="003070ED">
            <w:pPr>
              <w:numPr>
                <w:ilvl w:val="1"/>
                <w:numId w:val="22"/>
              </w:numPr>
              <w:tabs>
                <w:tab w:val="right" w:pos="1080"/>
                <w:tab w:val="left" w:pos="1296"/>
                <w:tab w:val="right" w:leader="dot" w:pos="9245"/>
              </w:tabs>
              <w:suppressAutoHyphens/>
              <w:spacing w:after="120"/>
            </w:pPr>
            <w:r>
              <w:t>Прочая</w:t>
            </w:r>
            <w:r w:rsidRPr="00270907">
              <w:t xml:space="preserve"> </w:t>
            </w:r>
            <w:r>
              <w:t>деятельность</w:t>
            </w:r>
            <w:r w:rsidRPr="00270907">
              <w:t xml:space="preserve"> </w:t>
            </w:r>
            <w:r>
              <w:t>членов</w:t>
            </w:r>
            <w:r w:rsidRPr="00270907">
              <w:t xml:space="preserve"> </w:t>
            </w:r>
            <w:r>
              <w:t>Рабочей</w:t>
            </w:r>
            <w:r w:rsidRPr="00270907">
              <w:t xml:space="preserve"> </w:t>
            </w:r>
            <w:r>
              <w:t>группы</w:t>
            </w:r>
            <w:r>
              <w:rPr>
                <w:spacing w:val="60"/>
                <w:sz w:val="17"/>
              </w:rPr>
              <w:tab/>
            </w:r>
          </w:p>
        </w:tc>
        <w:tc>
          <w:tcPr>
            <w:tcW w:w="720" w:type="dxa"/>
            <w:gridSpan w:val="2"/>
            <w:vAlign w:val="bottom"/>
          </w:tcPr>
          <w:p w:rsidR="00127518" w:rsidRPr="00127518" w:rsidRDefault="00162CC7" w:rsidP="00DD0548">
            <w:pPr>
              <w:spacing w:after="120"/>
              <w:ind w:right="40"/>
              <w:jc w:val="right"/>
            </w:pPr>
            <w:r>
              <w:t>5</w:t>
            </w:r>
          </w:p>
        </w:tc>
      </w:tr>
      <w:tr w:rsidR="00127518" w:rsidRPr="00127518" w:rsidTr="00DD0548">
        <w:tblPrEx>
          <w:tblCellMar>
            <w:left w:w="108" w:type="dxa"/>
            <w:right w:w="108" w:type="dxa"/>
          </w:tblCellMar>
        </w:tblPrEx>
        <w:trPr>
          <w:gridBefore w:val="1"/>
          <w:wBefore w:w="11" w:type="dxa"/>
        </w:trPr>
        <w:tc>
          <w:tcPr>
            <w:tcW w:w="8998" w:type="dxa"/>
          </w:tcPr>
          <w:p w:rsidR="00127518" w:rsidRDefault="00127518" w:rsidP="003070ED">
            <w:pPr>
              <w:numPr>
                <w:ilvl w:val="0"/>
                <w:numId w:val="22"/>
              </w:numPr>
              <w:tabs>
                <w:tab w:val="right" w:pos="1080"/>
                <w:tab w:val="left" w:pos="1296"/>
                <w:tab w:val="left" w:pos="1728"/>
                <w:tab w:val="left" w:pos="2160"/>
                <w:tab w:val="left" w:pos="2592"/>
                <w:tab w:val="left" w:pos="3024"/>
                <w:tab w:val="right" w:leader="dot" w:pos="9245"/>
              </w:tabs>
              <w:suppressAutoHyphens/>
              <w:spacing w:after="120"/>
            </w:pPr>
            <w:r>
              <w:rPr>
                <w:lang w:val="en-US"/>
              </w:rPr>
              <w:tab/>
            </w:r>
            <w:r>
              <w:t>Исследование национального законодательства о частных военных</w:t>
            </w:r>
            <w:r>
              <w:br/>
              <w:t>и охранных компаниях</w:t>
            </w:r>
            <w:r>
              <w:rPr>
                <w:spacing w:val="60"/>
                <w:sz w:val="17"/>
              </w:rPr>
              <w:tab/>
            </w:r>
          </w:p>
        </w:tc>
        <w:tc>
          <w:tcPr>
            <w:tcW w:w="720" w:type="dxa"/>
            <w:gridSpan w:val="2"/>
            <w:vAlign w:val="bottom"/>
          </w:tcPr>
          <w:p w:rsidR="00127518" w:rsidRPr="00127518" w:rsidRDefault="00162CC7" w:rsidP="00DD0548">
            <w:pPr>
              <w:spacing w:after="120"/>
              <w:ind w:right="40"/>
              <w:jc w:val="right"/>
            </w:pPr>
            <w:r>
              <w:t>6</w:t>
            </w:r>
          </w:p>
        </w:tc>
      </w:tr>
      <w:tr w:rsidR="00127518" w:rsidRPr="00127518" w:rsidTr="00DD0548">
        <w:tblPrEx>
          <w:tblCellMar>
            <w:left w:w="108" w:type="dxa"/>
            <w:right w:w="108" w:type="dxa"/>
          </w:tblCellMar>
        </w:tblPrEx>
        <w:trPr>
          <w:gridBefore w:val="1"/>
          <w:wBefore w:w="11" w:type="dxa"/>
        </w:trPr>
        <w:tc>
          <w:tcPr>
            <w:tcW w:w="8998" w:type="dxa"/>
          </w:tcPr>
          <w:p w:rsidR="00127518" w:rsidRDefault="00127518" w:rsidP="003070ED">
            <w:pPr>
              <w:numPr>
                <w:ilvl w:val="1"/>
                <w:numId w:val="22"/>
              </w:numPr>
              <w:tabs>
                <w:tab w:val="right" w:pos="1080"/>
                <w:tab w:val="left" w:pos="1296"/>
                <w:tab w:val="left" w:pos="1728"/>
                <w:tab w:val="left" w:pos="2160"/>
                <w:tab w:val="right" w:leader="dot" w:pos="9245"/>
              </w:tabs>
              <w:suppressAutoHyphens/>
              <w:spacing w:after="120"/>
              <w:rPr>
                <w:lang w:val="en-US"/>
              </w:rPr>
            </w:pPr>
            <w:r>
              <w:t>Введение</w:t>
            </w:r>
            <w:r>
              <w:rPr>
                <w:spacing w:val="60"/>
                <w:sz w:val="17"/>
              </w:rPr>
              <w:tab/>
            </w:r>
          </w:p>
        </w:tc>
        <w:tc>
          <w:tcPr>
            <w:tcW w:w="720" w:type="dxa"/>
            <w:gridSpan w:val="2"/>
            <w:vAlign w:val="bottom"/>
          </w:tcPr>
          <w:p w:rsidR="00127518" w:rsidRPr="00127518" w:rsidRDefault="00162CC7" w:rsidP="00DD0548">
            <w:pPr>
              <w:spacing w:after="120"/>
              <w:ind w:right="40"/>
              <w:jc w:val="right"/>
            </w:pPr>
            <w:r>
              <w:t>6</w:t>
            </w:r>
          </w:p>
        </w:tc>
      </w:tr>
      <w:tr w:rsidR="00127518" w:rsidRPr="00127518" w:rsidTr="00DD0548">
        <w:tblPrEx>
          <w:tblCellMar>
            <w:left w:w="108" w:type="dxa"/>
            <w:right w:w="108" w:type="dxa"/>
          </w:tblCellMar>
        </w:tblPrEx>
        <w:trPr>
          <w:gridBefore w:val="1"/>
          <w:wBefore w:w="11" w:type="dxa"/>
        </w:trPr>
        <w:tc>
          <w:tcPr>
            <w:tcW w:w="8998" w:type="dxa"/>
          </w:tcPr>
          <w:p w:rsidR="00127518" w:rsidRDefault="00127518" w:rsidP="003070ED">
            <w:pPr>
              <w:numPr>
                <w:ilvl w:val="1"/>
                <w:numId w:val="22"/>
              </w:numPr>
              <w:tabs>
                <w:tab w:val="right" w:pos="1080"/>
                <w:tab w:val="left" w:pos="1296"/>
                <w:tab w:val="left" w:pos="1728"/>
                <w:tab w:val="left" w:pos="2160"/>
                <w:tab w:val="right" w:leader="dot" w:pos="9245"/>
              </w:tabs>
              <w:suppressAutoHyphens/>
              <w:spacing w:after="120"/>
            </w:pPr>
            <w:r>
              <w:t>Анализ</w:t>
            </w:r>
            <w:r>
              <w:rPr>
                <w:spacing w:val="60"/>
                <w:sz w:val="17"/>
              </w:rPr>
              <w:tab/>
            </w:r>
          </w:p>
        </w:tc>
        <w:tc>
          <w:tcPr>
            <w:tcW w:w="720" w:type="dxa"/>
            <w:gridSpan w:val="2"/>
            <w:vAlign w:val="bottom"/>
          </w:tcPr>
          <w:p w:rsidR="00127518" w:rsidRPr="00127518" w:rsidRDefault="00162CC7" w:rsidP="00DD0548">
            <w:pPr>
              <w:spacing w:after="120"/>
              <w:ind w:right="40"/>
              <w:jc w:val="right"/>
            </w:pPr>
            <w:r>
              <w:t>7</w:t>
            </w:r>
          </w:p>
        </w:tc>
      </w:tr>
      <w:tr w:rsidR="00127518" w:rsidRPr="00127518" w:rsidTr="00DD0548">
        <w:tblPrEx>
          <w:tblCellMar>
            <w:left w:w="108" w:type="dxa"/>
            <w:right w:w="108" w:type="dxa"/>
          </w:tblCellMar>
        </w:tblPrEx>
        <w:trPr>
          <w:gridBefore w:val="1"/>
          <w:wBefore w:w="11" w:type="dxa"/>
        </w:trPr>
        <w:tc>
          <w:tcPr>
            <w:tcW w:w="8998" w:type="dxa"/>
          </w:tcPr>
          <w:p w:rsidR="00127518" w:rsidRDefault="00127518" w:rsidP="003070ED">
            <w:pPr>
              <w:numPr>
                <w:ilvl w:val="0"/>
                <w:numId w:val="22"/>
              </w:numPr>
              <w:tabs>
                <w:tab w:val="right" w:pos="1080"/>
                <w:tab w:val="left" w:pos="1296"/>
                <w:tab w:val="left" w:pos="1728"/>
                <w:tab w:val="left" w:pos="2160"/>
                <w:tab w:val="left" w:pos="2592"/>
                <w:tab w:val="left" w:pos="3024"/>
                <w:tab w:val="right" w:leader="dot" w:pos="9245"/>
              </w:tabs>
              <w:suppressAutoHyphens/>
              <w:spacing w:after="120"/>
              <w:rPr>
                <w:lang w:val="en-US"/>
              </w:rPr>
            </w:pPr>
            <w:r>
              <w:tab/>
              <w:t>Выводы</w:t>
            </w:r>
            <w:r w:rsidRPr="00270907">
              <w:t xml:space="preserve"> </w:t>
            </w:r>
            <w:r>
              <w:t>и</w:t>
            </w:r>
            <w:r w:rsidRPr="00270907">
              <w:t xml:space="preserve"> </w:t>
            </w:r>
            <w:r>
              <w:t>рекомендации</w:t>
            </w:r>
            <w:r>
              <w:rPr>
                <w:spacing w:val="60"/>
                <w:sz w:val="17"/>
              </w:rPr>
              <w:tab/>
            </w:r>
          </w:p>
        </w:tc>
        <w:tc>
          <w:tcPr>
            <w:tcW w:w="720" w:type="dxa"/>
            <w:gridSpan w:val="2"/>
            <w:vAlign w:val="bottom"/>
          </w:tcPr>
          <w:p w:rsidR="00127518" w:rsidRPr="00127518" w:rsidRDefault="00162CC7" w:rsidP="00DD0548">
            <w:pPr>
              <w:spacing w:after="120"/>
              <w:ind w:right="40"/>
              <w:jc w:val="right"/>
            </w:pPr>
            <w:r>
              <w:t>26</w:t>
            </w:r>
          </w:p>
        </w:tc>
      </w:tr>
    </w:tbl>
    <w:p w:rsidR="00D72844" w:rsidRDefault="00D72844" w:rsidP="0012751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70907">
        <w:br w:type="page"/>
      </w:r>
      <w:r w:rsidRPr="00270907">
        <w:tab/>
      </w:r>
      <w:r w:rsidRPr="00435B22">
        <w:t>I</w:t>
      </w:r>
      <w:r w:rsidRPr="00270907">
        <w:t>.</w:t>
      </w:r>
      <w:r w:rsidRPr="00270907">
        <w:tab/>
      </w:r>
      <w:r>
        <w:t>Введение</w:t>
      </w:r>
    </w:p>
    <w:p w:rsidR="00127518" w:rsidRPr="00127518" w:rsidRDefault="00127518" w:rsidP="00127518">
      <w:pPr>
        <w:pStyle w:val="SingleTxt"/>
        <w:spacing w:after="0" w:line="120" w:lineRule="exact"/>
        <w:rPr>
          <w:sz w:val="10"/>
        </w:rPr>
      </w:pPr>
    </w:p>
    <w:p w:rsidR="00127518" w:rsidRPr="00127518" w:rsidRDefault="00127518" w:rsidP="00127518">
      <w:pPr>
        <w:pStyle w:val="SingleTxt"/>
        <w:spacing w:after="0" w:line="120" w:lineRule="exact"/>
        <w:rPr>
          <w:sz w:val="10"/>
        </w:rPr>
      </w:pPr>
    </w:p>
    <w:p w:rsidR="00D72844" w:rsidRPr="00C0324C" w:rsidRDefault="00D72844" w:rsidP="00D72844">
      <w:pPr>
        <w:pStyle w:val="SingleTxt"/>
      </w:pPr>
      <w:r>
        <w:t>1.</w:t>
      </w:r>
      <w:r>
        <w:tab/>
        <w:t>В настоящем докладе освещается деятельность Рабочей группы по вопросу об использовании наемников как средстве нарушения прав человека и противодействия осуществлению права народа на самоопределение за период, прошедший после представления предыдущего доклада Совету по правам человека (А/</w:t>
      </w:r>
      <w:r>
        <w:rPr>
          <w:lang w:val="en-US"/>
        </w:rPr>
        <w:t>HRC</w:t>
      </w:r>
      <w:r w:rsidRPr="00134257">
        <w:t>/</w:t>
      </w:r>
      <w:r>
        <w:t>27</w:t>
      </w:r>
      <w:r w:rsidRPr="00134257">
        <w:t>/</w:t>
      </w:r>
      <w:r>
        <w:t>50)</w:t>
      </w:r>
      <w:r w:rsidRPr="00670042">
        <w:t>.</w:t>
      </w:r>
      <w:r>
        <w:t xml:space="preserve"> В нем приводятся результаты проводимого Рабочей группой исследования национального законодательства о частных военных и охранных компаниях в странах Центральной Америки и Карибского бассейна, Южной Америки и Европы.</w:t>
      </w:r>
    </w:p>
    <w:p w:rsidR="00D72844" w:rsidRPr="00C0324C" w:rsidRDefault="00D72844" w:rsidP="00D72844">
      <w:pPr>
        <w:pStyle w:val="SingleTxt"/>
      </w:pPr>
      <w:r>
        <w:t>2.</w:t>
      </w:r>
      <w:r>
        <w:tab/>
        <w:t>Настоящий доклад представляется во исполнение резолюции Комиссии по правам человека 2005/2, в которой Комиссия утвердила мандат Рабочей группы, и резолюции 27/10 Совета по правам человека, в которой Совет продлил срок действия этого мандата.</w:t>
      </w:r>
    </w:p>
    <w:p w:rsidR="00D72844" w:rsidRDefault="00D72844" w:rsidP="00D72844">
      <w:pPr>
        <w:pStyle w:val="SingleTxt"/>
      </w:pPr>
      <w:r>
        <w:t>3.</w:t>
      </w:r>
      <w:r>
        <w:tab/>
        <w:t>В состав Рабочей группы входят пять независимых экспертов: Саи</w:t>
      </w:r>
      <w:r w:rsidRPr="00C0324C">
        <w:t>д Мокбил (Йе</w:t>
      </w:r>
      <w:r>
        <w:t xml:space="preserve">мен), Эльжбета Карска (Польша), </w:t>
      </w:r>
      <w:r w:rsidRPr="00C0324C">
        <w:t>Габор Рона (Соединенные Штаты Америки)</w:t>
      </w:r>
      <w:r>
        <w:t>, Патрисия Ариас (Чили) и Антон Кац (Южная Африка). На двадцать третьей сессии в декабре 2014 года г-жа Карска была избрана Председател</w:t>
      </w:r>
      <w:r w:rsidR="00CC5F24">
        <w:t>ем</w:t>
      </w:r>
      <w:r w:rsidR="00162CC7">
        <w:t>-</w:t>
      </w:r>
      <w:r>
        <w:t>Докладчиком на период с января по декабрь 2015 года.</w:t>
      </w:r>
    </w:p>
    <w:p w:rsidR="00127518" w:rsidRPr="00127518" w:rsidRDefault="00127518" w:rsidP="00127518">
      <w:pPr>
        <w:pStyle w:val="SingleTxt"/>
        <w:spacing w:after="0" w:line="120" w:lineRule="exact"/>
        <w:rPr>
          <w:sz w:val="10"/>
        </w:rPr>
      </w:pPr>
    </w:p>
    <w:p w:rsidR="00127518" w:rsidRPr="00127518" w:rsidRDefault="00127518" w:rsidP="00127518">
      <w:pPr>
        <w:pStyle w:val="SingleTxt"/>
        <w:spacing w:after="0" w:line="120" w:lineRule="exact"/>
        <w:rPr>
          <w:sz w:val="10"/>
        </w:rPr>
      </w:pPr>
    </w:p>
    <w:p w:rsidR="00D72844" w:rsidRDefault="00D72844" w:rsidP="0012751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0324C">
        <w:tab/>
      </w:r>
      <w:r w:rsidRPr="00677F78">
        <w:rPr>
          <w:lang w:val="en-US"/>
        </w:rPr>
        <w:t>II</w:t>
      </w:r>
      <w:r w:rsidRPr="00435B22">
        <w:t>.</w:t>
      </w:r>
      <w:r w:rsidRPr="00435B22">
        <w:tab/>
      </w:r>
      <w:r>
        <w:t>Деятельность</w:t>
      </w:r>
      <w:r w:rsidRPr="00435B22">
        <w:t xml:space="preserve"> </w:t>
      </w:r>
      <w:r>
        <w:t>Рабочей</w:t>
      </w:r>
      <w:r w:rsidRPr="00435B22">
        <w:t xml:space="preserve"> </w:t>
      </w:r>
      <w:r>
        <w:t>группы</w:t>
      </w:r>
    </w:p>
    <w:p w:rsidR="00127518" w:rsidRPr="00127518" w:rsidRDefault="00127518" w:rsidP="00127518">
      <w:pPr>
        <w:pStyle w:val="SingleTxt"/>
        <w:spacing w:after="0" w:line="120" w:lineRule="exact"/>
        <w:rPr>
          <w:sz w:val="10"/>
        </w:rPr>
      </w:pPr>
    </w:p>
    <w:p w:rsidR="00127518" w:rsidRPr="00127518" w:rsidRDefault="00127518" w:rsidP="00127518">
      <w:pPr>
        <w:pStyle w:val="SingleTxt"/>
        <w:spacing w:after="0" w:line="120" w:lineRule="exact"/>
        <w:rPr>
          <w:sz w:val="10"/>
        </w:rPr>
      </w:pPr>
    </w:p>
    <w:p w:rsidR="00D72844" w:rsidRDefault="00D72844" w:rsidP="00D72844">
      <w:pPr>
        <w:pStyle w:val="SingleTxt"/>
      </w:pPr>
      <w:bookmarkStart w:id="1" w:name="_Toc325369047"/>
      <w:r>
        <w:t>4.</w:t>
      </w:r>
      <w:r>
        <w:tab/>
        <w:t xml:space="preserve">Частная военная и охранная компания определяется как </w:t>
      </w:r>
      <w:r w:rsidR="001A4E7E">
        <w:t>«</w:t>
      </w:r>
      <w:r>
        <w:t>корпоративное образование, предоставляющее на компенсационной основе военные и/или охранные услуги, обеспечиваемые физическими и/или юридическими лицами</w:t>
      </w:r>
      <w:r w:rsidR="001A4E7E">
        <w:t>»</w:t>
      </w:r>
      <w:r>
        <w:t xml:space="preserve">. Военные услуги означают </w:t>
      </w:r>
      <w:r w:rsidR="001A4E7E">
        <w:t>«</w:t>
      </w:r>
      <w:r w:rsidRPr="00B95A8D">
        <w:t>специализированные услуги, связанные с военной деятельностью, включая стратегическое планирование, стратегическую разведку, исследования, наземную, морскую и воздушную разведку, воздушные операции любого типа с использованием как пилотируемых, так и беспилотных летательных аппаратов, спутниковую разведку, передачу любого рода знаний военного применения, материально-техническую поддержку вооруженных сил и другие соответствующие виды де</w:t>
      </w:r>
      <w:r w:rsidR="001A4E7E">
        <w:t>ятельности»</w:t>
      </w:r>
      <w:r>
        <w:t>. П</w:t>
      </w:r>
      <w:r w:rsidRPr="00B95A8D">
        <w:t>од</w:t>
      </w:r>
      <w:r w:rsidR="001A4E7E">
        <w:t xml:space="preserve"> охранными услугами понимаются «</w:t>
      </w:r>
      <w:r w:rsidRPr="00B95A8D">
        <w:t>вооруженная охрана или защита зданий, установок, имущества и людей, передача любого рода знаний, применяемых для обеспечения безопасности и порядка, разработка и применение мер информационной защиты и другие соответствующие виды деятельности</w:t>
      </w:r>
      <w:r w:rsidR="001A4E7E">
        <w:t>»</w:t>
      </w:r>
      <w:r w:rsidR="004408E3" w:rsidRPr="004408E3">
        <w:rPr>
          <w:rStyle w:val="FootnoteReference"/>
        </w:rPr>
        <w:footnoteReference w:id="1"/>
      </w:r>
      <w:r>
        <w:t>.</w:t>
      </w:r>
    </w:p>
    <w:p w:rsidR="00127518" w:rsidRPr="00127518" w:rsidRDefault="00127518" w:rsidP="00127518">
      <w:pPr>
        <w:pStyle w:val="SingleTxt"/>
        <w:spacing w:after="0" w:line="120" w:lineRule="exact"/>
        <w:rPr>
          <w:sz w:val="10"/>
        </w:rPr>
      </w:pPr>
    </w:p>
    <w:p w:rsidR="00127518" w:rsidRPr="00127518" w:rsidRDefault="00127518" w:rsidP="00127518">
      <w:pPr>
        <w:pStyle w:val="SingleTxt"/>
        <w:spacing w:after="0" w:line="120" w:lineRule="exact"/>
        <w:rPr>
          <w:sz w:val="10"/>
        </w:rPr>
      </w:pPr>
    </w:p>
    <w:p w:rsidR="00D72844" w:rsidRDefault="00D72844" w:rsidP="0012751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F442B">
        <w:tab/>
      </w:r>
      <w:r>
        <w:t>А</w:t>
      </w:r>
      <w:r w:rsidRPr="00786067">
        <w:t>.</w:t>
      </w:r>
      <w:r w:rsidRPr="00786067">
        <w:tab/>
      </w:r>
      <w:r>
        <w:t>Двадцать</w:t>
      </w:r>
      <w:r w:rsidRPr="00786067">
        <w:t xml:space="preserve"> </w:t>
      </w:r>
      <w:r>
        <w:t>вторая</w:t>
      </w:r>
      <w:r w:rsidRPr="00786067">
        <w:t>−</w:t>
      </w:r>
      <w:r>
        <w:t>двадцать</w:t>
      </w:r>
      <w:r w:rsidRPr="00786067">
        <w:t xml:space="preserve"> </w:t>
      </w:r>
      <w:r>
        <w:t>четвертая</w:t>
      </w:r>
      <w:r w:rsidRPr="00786067">
        <w:t xml:space="preserve"> </w:t>
      </w:r>
      <w:r>
        <w:t>сессии</w:t>
      </w:r>
      <w:r w:rsidRPr="00786067">
        <w:t xml:space="preserve"> </w:t>
      </w:r>
      <w:r>
        <w:t>Рабочей</w:t>
      </w:r>
      <w:r w:rsidRPr="00786067">
        <w:t xml:space="preserve"> </w:t>
      </w:r>
      <w:r>
        <w:t>группы</w:t>
      </w:r>
    </w:p>
    <w:p w:rsidR="00127518" w:rsidRPr="00127518" w:rsidRDefault="00127518" w:rsidP="00127518">
      <w:pPr>
        <w:pStyle w:val="SingleTxt"/>
        <w:spacing w:after="0" w:line="120" w:lineRule="exact"/>
        <w:rPr>
          <w:sz w:val="10"/>
        </w:rPr>
      </w:pPr>
    </w:p>
    <w:p w:rsidR="00127518" w:rsidRPr="00127518" w:rsidRDefault="00127518" w:rsidP="00127518">
      <w:pPr>
        <w:pStyle w:val="SingleTxt"/>
        <w:spacing w:after="0" w:line="120" w:lineRule="exact"/>
        <w:rPr>
          <w:sz w:val="10"/>
        </w:rPr>
      </w:pPr>
    </w:p>
    <w:p w:rsidR="00D72844" w:rsidRPr="00B95A8D" w:rsidRDefault="00D72844" w:rsidP="00D72844">
      <w:pPr>
        <w:pStyle w:val="SingleTxt"/>
      </w:pPr>
      <w:r>
        <w:t>5.</w:t>
      </w:r>
      <w:r>
        <w:tab/>
        <w:t>В период с 1 июля 2014 года по 31 марта 2015 года Рабочая группа провела три сессии. Во время двадцать второй сессии, состоявшейся в Нью-Йорке 14</w:t>
      </w:r>
      <w:r w:rsidRPr="00B95A8D">
        <w:t>−</w:t>
      </w:r>
      <w:r w:rsidR="00CC5F24">
        <w:t>18 </w:t>
      </w:r>
      <w:r>
        <w:t>июля 2014 года, она встретилась с должностными лицами Организации Объединенных Наций для обсуждения исследования по вопросу об использовании этой Организацией частных охранных компаний, которое легло в основу доклада Рабочей группы Генеральной Ассамблее (A</w:t>
      </w:r>
      <w:r w:rsidRPr="00B95A8D">
        <w:t>/69/338</w:t>
      </w:r>
      <w:r>
        <w:t xml:space="preserve">). Она также организовала экспертное совещание по рассмотрению возможного международного юридически обязывающего документа о частных военных и охранных компаниях. </w:t>
      </w:r>
    </w:p>
    <w:p w:rsidR="00D72844" w:rsidRPr="00B95A8D" w:rsidRDefault="00D72844" w:rsidP="00D72844">
      <w:pPr>
        <w:pStyle w:val="SingleTxt"/>
      </w:pPr>
      <w:r>
        <w:t>6.</w:t>
      </w:r>
      <w:r>
        <w:tab/>
        <w:t>На своей двадцать третьей сессии в Женеве 1</w:t>
      </w:r>
      <w:r w:rsidRPr="00B95A8D">
        <w:t>−</w:t>
      </w:r>
      <w:r>
        <w:t>5 декабря 2014 года Рабочая группа провела экспертное совещание по проблеме иностранных боевиков и встретилась с представителями государств-членов для обсуждения посещения стран и вопросов, касающихся ее мандата.</w:t>
      </w:r>
    </w:p>
    <w:p w:rsidR="00D72844" w:rsidRDefault="00D72844" w:rsidP="00D72844">
      <w:pPr>
        <w:pStyle w:val="SingleTxt"/>
      </w:pPr>
      <w:r>
        <w:t>7.</w:t>
      </w:r>
      <w:r>
        <w:tab/>
        <w:t>На своей двадцать четвертой сессии, которая проходила в Женеве</w:t>
      </w:r>
      <w:r w:rsidR="00CC5F24">
        <w:t xml:space="preserve"> </w:t>
      </w:r>
      <w:r>
        <w:t>2–6 марта 2015 года, Рабочая группа созвала второе экспертное совещание по проблеме иностранных боевиков. Она также рассмотрела пересмотренный проект конвенции о частных военных и охранных компаниях, а также соответствующую концептуальную записку.</w:t>
      </w:r>
    </w:p>
    <w:p w:rsidR="00127518" w:rsidRPr="00127518" w:rsidRDefault="00127518" w:rsidP="00127518">
      <w:pPr>
        <w:pStyle w:val="SingleTxt"/>
        <w:spacing w:after="0" w:line="120" w:lineRule="exact"/>
        <w:rPr>
          <w:sz w:val="10"/>
        </w:rPr>
      </w:pPr>
    </w:p>
    <w:p w:rsidR="00127518" w:rsidRPr="00127518" w:rsidRDefault="00127518" w:rsidP="00127518">
      <w:pPr>
        <w:pStyle w:val="SingleTxt"/>
        <w:spacing w:after="0" w:line="120" w:lineRule="exact"/>
        <w:rPr>
          <w:sz w:val="10"/>
        </w:rPr>
      </w:pPr>
    </w:p>
    <w:p w:rsidR="00D72844" w:rsidRDefault="00D72844" w:rsidP="00127518">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6F7AD5">
        <w:tab/>
      </w:r>
      <w:r w:rsidRPr="00B71DE8">
        <w:t>B</w:t>
      </w:r>
      <w:r w:rsidRPr="00270907">
        <w:t>.</w:t>
      </w:r>
      <w:r w:rsidRPr="00270907">
        <w:tab/>
      </w:r>
      <w:r>
        <w:t>Сообщения</w:t>
      </w:r>
    </w:p>
    <w:p w:rsidR="00127518" w:rsidRPr="00127518" w:rsidRDefault="00127518" w:rsidP="00127518">
      <w:pPr>
        <w:pStyle w:val="SingleTxt"/>
        <w:spacing w:after="0" w:line="120" w:lineRule="exact"/>
        <w:rPr>
          <w:sz w:val="10"/>
        </w:rPr>
      </w:pPr>
    </w:p>
    <w:p w:rsidR="00127518" w:rsidRPr="00127518" w:rsidRDefault="00127518" w:rsidP="00127518">
      <w:pPr>
        <w:pStyle w:val="SingleTxt"/>
        <w:spacing w:after="0" w:line="120" w:lineRule="exact"/>
        <w:rPr>
          <w:sz w:val="10"/>
        </w:rPr>
      </w:pPr>
    </w:p>
    <w:p w:rsidR="00D72844" w:rsidRDefault="00D72844" w:rsidP="00D72844">
      <w:pPr>
        <w:pStyle w:val="SingleTxt"/>
      </w:pPr>
      <w:r>
        <w:t>8.</w:t>
      </w:r>
      <w:r>
        <w:tab/>
        <w:t>Со времени представления своего последнего доклада Совету по правам человека Рабочая группа совместно с другими мандатариями специальных процедур направляла сообщения Всемирному банку и правительствам Австралии, Индонезии и Папуа-Новой Гвинеи</w:t>
      </w:r>
      <w:r w:rsidRPr="004408E3">
        <w:rPr>
          <w:rStyle w:val="FootnoteReference"/>
        </w:rPr>
        <w:footnoteReference w:id="2"/>
      </w:r>
      <w:r>
        <w:t>.</w:t>
      </w:r>
    </w:p>
    <w:p w:rsidR="00127518" w:rsidRPr="00127518" w:rsidRDefault="00127518" w:rsidP="00127518">
      <w:pPr>
        <w:pStyle w:val="SingleTxt"/>
        <w:spacing w:after="0" w:line="120" w:lineRule="exact"/>
        <w:rPr>
          <w:sz w:val="10"/>
        </w:rPr>
      </w:pPr>
    </w:p>
    <w:p w:rsidR="00127518" w:rsidRPr="00127518" w:rsidRDefault="00127518" w:rsidP="00127518">
      <w:pPr>
        <w:pStyle w:val="SingleTxt"/>
        <w:spacing w:after="0" w:line="120" w:lineRule="exact"/>
        <w:rPr>
          <w:sz w:val="10"/>
        </w:rPr>
      </w:pPr>
    </w:p>
    <w:p w:rsidR="00D72844" w:rsidRDefault="00D72844" w:rsidP="0012751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0324C">
        <w:tab/>
      </w:r>
      <w:r w:rsidRPr="00751173">
        <w:t>C</w:t>
      </w:r>
      <w:r w:rsidRPr="00270907">
        <w:t>.</w:t>
      </w:r>
      <w:r w:rsidRPr="00270907">
        <w:tab/>
      </w:r>
      <w:r>
        <w:t>Посещение</w:t>
      </w:r>
      <w:r w:rsidRPr="00270907">
        <w:t xml:space="preserve"> </w:t>
      </w:r>
      <w:r>
        <w:t>стран</w:t>
      </w:r>
    </w:p>
    <w:p w:rsidR="00127518" w:rsidRPr="00127518" w:rsidRDefault="00127518" w:rsidP="00127518">
      <w:pPr>
        <w:pStyle w:val="SingleTxt"/>
        <w:spacing w:after="0" w:line="120" w:lineRule="exact"/>
        <w:rPr>
          <w:sz w:val="10"/>
        </w:rPr>
      </w:pPr>
    </w:p>
    <w:p w:rsidR="00127518" w:rsidRPr="00127518" w:rsidRDefault="00127518" w:rsidP="00127518">
      <w:pPr>
        <w:pStyle w:val="SingleTxt"/>
        <w:spacing w:after="0" w:line="120" w:lineRule="exact"/>
        <w:rPr>
          <w:sz w:val="10"/>
        </w:rPr>
      </w:pPr>
    </w:p>
    <w:p w:rsidR="00D72844" w:rsidRDefault="00D72844" w:rsidP="00D72844">
      <w:pPr>
        <w:pStyle w:val="SingleTxt"/>
      </w:pPr>
      <w:r>
        <w:t>9.</w:t>
      </w:r>
      <w:r>
        <w:tab/>
        <w:t>Рабочая группа посетила с официальным визитом Кот-д</w:t>
      </w:r>
      <w:r w:rsidRPr="005A52A2">
        <w:t>'</w:t>
      </w:r>
      <w:r>
        <w:t xml:space="preserve">Ивуар с 7 по 10 октября 2014 года (см. </w:t>
      </w:r>
      <w:r w:rsidRPr="00751173">
        <w:t>A/HRC/30/34/Add.1</w:t>
      </w:r>
      <w:r>
        <w:t>)</w:t>
      </w:r>
      <w:r w:rsidRPr="002F442B">
        <w:t>.</w:t>
      </w:r>
    </w:p>
    <w:p w:rsidR="00127518" w:rsidRPr="00127518" w:rsidRDefault="00127518" w:rsidP="00127518">
      <w:pPr>
        <w:pStyle w:val="SingleTxt"/>
        <w:spacing w:after="0" w:line="120" w:lineRule="exact"/>
        <w:rPr>
          <w:sz w:val="10"/>
        </w:rPr>
      </w:pPr>
    </w:p>
    <w:p w:rsidR="00127518" w:rsidRPr="00127518" w:rsidRDefault="00127518" w:rsidP="00127518">
      <w:pPr>
        <w:pStyle w:val="SingleTxt"/>
        <w:spacing w:after="0" w:line="120" w:lineRule="exact"/>
        <w:rPr>
          <w:sz w:val="10"/>
        </w:rPr>
      </w:pPr>
    </w:p>
    <w:p w:rsidR="00D72844" w:rsidRDefault="00D72844" w:rsidP="0012751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D</w:t>
      </w:r>
      <w:r w:rsidRPr="005A52A2">
        <w:t>.</w:t>
      </w:r>
      <w:r w:rsidRPr="005A52A2">
        <w:tab/>
      </w:r>
      <w:r>
        <w:t>Информация о лицах, осужденных на наемническую деятельность</w:t>
      </w:r>
    </w:p>
    <w:p w:rsidR="00127518" w:rsidRPr="00127518" w:rsidRDefault="00127518" w:rsidP="00127518">
      <w:pPr>
        <w:pStyle w:val="SingleTxt"/>
        <w:spacing w:after="0" w:line="120" w:lineRule="exact"/>
        <w:rPr>
          <w:sz w:val="10"/>
        </w:rPr>
      </w:pPr>
    </w:p>
    <w:p w:rsidR="00127518" w:rsidRPr="00127518" w:rsidRDefault="00127518" w:rsidP="00127518">
      <w:pPr>
        <w:pStyle w:val="SingleTxt"/>
        <w:spacing w:after="0" w:line="120" w:lineRule="exact"/>
        <w:rPr>
          <w:sz w:val="10"/>
        </w:rPr>
      </w:pPr>
    </w:p>
    <w:p w:rsidR="00D72844" w:rsidRDefault="00D72844" w:rsidP="00D72844">
      <w:pPr>
        <w:pStyle w:val="SingleTxt"/>
      </w:pPr>
      <w:r>
        <w:t>10.</w:t>
      </w:r>
      <w:r>
        <w:tab/>
        <w:t>Совет по правам человека в своей резолюции 21/8 просил Рабочую группу создать базу данных о лицах, осужденных на наемническую деятельность. 22 января 2013 года Рабочая группа направила всем государствам-членам вербальную ноту с просьбой представить информацию по делам об осужденных национальными судами</w:t>
      </w:r>
      <w:r w:rsidRPr="00A85EEC">
        <w:t xml:space="preserve"> </w:t>
      </w:r>
      <w:r>
        <w:t>наемниках. 6 марта 2013 года были разосланы напоминания. В отчетный период ответов на эти сообщения не получено.</w:t>
      </w:r>
    </w:p>
    <w:p w:rsidR="00127518" w:rsidRPr="00127518" w:rsidRDefault="00127518" w:rsidP="00127518">
      <w:pPr>
        <w:pStyle w:val="SingleTxt"/>
        <w:spacing w:after="0" w:line="120" w:lineRule="exact"/>
        <w:rPr>
          <w:sz w:val="10"/>
        </w:rPr>
      </w:pPr>
    </w:p>
    <w:p w:rsidR="00127518" w:rsidRPr="00127518" w:rsidRDefault="00127518" w:rsidP="00127518">
      <w:pPr>
        <w:pStyle w:val="SingleTxt"/>
        <w:spacing w:after="0" w:line="120" w:lineRule="exact"/>
        <w:rPr>
          <w:sz w:val="10"/>
        </w:rPr>
      </w:pPr>
    </w:p>
    <w:p w:rsidR="00D72844" w:rsidRDefault="00D72844" w:rsidP="0012751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Е</w:t>
      </w:r>
      <w:r w:rsidRPr="00D05CA4">
        <w:t>.</w:t>
      </w:r>
      <w:r w:rsidRPr="00D05CA4">
        <w:tab/>
      </w:r>
      <w:r>
        <w:t>Прочая</w:t>
      </w:r>
      <w:r w:rsidRPr="00D05CA4">
        <w:t xml:space="preserve"> </w:t>
      </w:r>
      <w:r>
        <w:t>деятельность</w:t>
      </w:r>
      <w:r w:rsidRPr="00D05CA4">
        <w:t xml:space="preserve"> </w:t>
      </w:r>
      <w:r>
        <w:t>членов Рабочей</w:t>
      </w:r>
      <w:r w:rsidRPr="00D05CA4">
        <w:t xml:space="preserve"> </w:t>
      </w:r>
      <w:r>
        <w:t>группы</w:t>
      </w:r>
    </w:p>
    <w:p w:rsidR="00127518" w:rsidRPr="00127518" w:rsidRDefault="00127518" w:rsidP="00127518">
      <w:pPr>
        <w:pStyle w:val="SingleTxt"/>
        <w:spacing w:after="0" w:line="120" w:lineRule="exact"/>
        <w:rPr>
          <w:sz w:val="10"/>
        </w:rPr>
      </w:pPr>
    </w:p>
    <w:p w:rsidR="00127518" w:rsidRPr="00127518" w:rsidRDefault="00127518" w:rsidP="00127518">
      <w:pPr>
        <w:pStyle w:val="SingleTxt"/>
        <w:spacing w:after="0" w:line="120" w:lineRule="exact"/>
        <w:rPr>
          <w:sz w:val="10"/>
        </w:rPr>
      </w:pPr>
    </w:p>
    <w:p w:rsidR="00D72844" w:rsidRPr="005A52A2" w:rsidRDefault="00D72844" w:rsidP="00D72844">
      <w:pPr>
        <w:pStyle w:val="SingleTxt"/>
      </w:pPr>
      <w:r>
        <w:t>11.</w:t>
      </w:r>
      <w:r>
        <w:tab/>
        <w:t xml:space="preserve">С 5 по 6 ноября 2014 года г-жа Карска участвовала в проходившей в Дохе конференции по вопросам безопасности и прав человека. В качестве Председателя Рабочей группы она сделала сообщение на четвертом заседании межправительственной рабочей групп открытого состава (27 апреля </w:t>
      </w:r>
      <w:r w:rsidRPr="005A52A2">
        <w:t>−</w:t>
      </w:r>
      <w:r>
        <w:t xml:space="preserve"> 1 мая 2015 года) по рассмотрению возможности разработки международных рамок регулирования, мониторинга и контроля деятельности частных военных и охранных компаний. </w:t>
      </w:r>
    </w:p>
    <w:p w:rsidR="00D72844" w:rsidRPr="005A52A2" w:rsidRDefault="00D72844" w:rsidP="00D72844">
      <w:pPr>
        <w:pStyle w:val="SingleTxt"/>
      </w:pPr>
      <w:r>
        <w:t>12.</w:t>
      </w:r>
      <w:r>
        <w:tab/>
        <w:t>Г-жа Ариас приняла участие в семинаре по частным военным и охранным компаниям в Гватемале, который проходил с 4 по 8 мая 2015 года.</w:t>
      </w:r>
    </w:p>
    <w:p w:rsidR="00D72844" w:rsidRPr="005A52A2" w:rsidRDefault="00D72844" w:rsidP="00D72844">
      <w:pPr>
        <w:pStyle w:val="SingleTxt"/>
      </w:pPr>
      <w:r>
        <w:t>13.</w:t>
      </w:r>
      <w:r>
        <w:tab/>
        <w:t>Г-н Габор Рона выступил с презентацией по вопросу применения Рабочей группой Руководящих принципов предпринимательской деятельности в аспекте прав человека на практикуме по руководящим принципам Организации Объединенных Наций, постконфликтным ситуациям и слабым государствам, который проходил в Ноттингемском университете, Соединенное Королевство Великобритании и Северной Ирландии, 20 и 21 мая 2015 года.</w:t>
      </w:r>
    </w:p>
    <w:p w:rsidR="00D72844" w:rsidRDefault="00D72844" w:rsidP="00D72844">
      <w:pPr>
        <w:pStyle w:val="SingleTxt"/>
      </w:pPr>
      <w:r>
        <w:t>14.</w:t>
      </w:r>
      <w:r>
        <w:tab/>
        <w:t>25 мая 2015 года в Эр-Рияде г-н Мокбил провел встречу с руководством антитеррористического комитета Саудовской Аравии. Он также взаимодействовал с подготовительным комитетом к меж</w:t>
      </w:r>
      <w:r w:rsidR="00CC5F24">
        <w:t>дународной конференции по теме «</w:t>
      </w:r>
      <w:r>
        <w:t>Безопасность и неприкосновенность частной жизни в противовес терроризму</w:t>
      </w:r>
      <w:r w:rsidR="00CC5F24">
        <w:t>»</w:t>
      </w:r>
      <w:r>
        <w:t>, которая намечена к проведению в Венеции, Италия, в сентябре 2015 года.</w:t>
      </w:r>
    </w:p>
    <w:p w:rsidR="003070ED" w:rsidRPr="003070ED" w:rsidRDefault="003070ED" w:rsidP="003070ED">
      <w:pPr>
        <w:pStyle w:val="SingleTxt"/>
        <w:spacing w:after="0" w:line="120" w:lineRule="exact"/>
        <w:rPr>
          <w:sz w:val="10"/>
        </w:rPr>
      </w:pPr>
    </w:p>
    <w:p w:rsidR="003070ED" w:rsidRPr="003070ED" w:rsidRDefault="003070ED" w:rsidP="003070ED">
      <w:pPr>
        <w:pStyle w:val="SingleTxt"/>
        <w:spacing w:after="0" w:line="120" w:lineRule="exact"/>
        <w:rPr>
          <w:sz w:val="10"/>
        </w:rPr>
      </w:pPr>
    </w:p>
    <w:p w:rsidR="00D72844" w:rsidRDefault="00D72844" w:rsidP="003070E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A52A2">
        <w:tab/>
      </w:r>
      <w:r>
        <w:rPr>
          <w:lang w:val="en-US"/>
        </w:rPr>
        <w:t>III</w:t>
      </w:r>
      <w:r w:rsidRPr="00D05CA4">
        <w:t>.</w:t>
      </w:r>
      <w:r w:rsidRPr="00D05CA4">
        <w:tab/>
      </w:r>
      <w:r>
        <w:t>Исследование национального законодательства</w:t>
      </w:r>
      <w:r>
        <w:br/>
        <w:t>о частных военных и охранных компаниях</w:t>
      </w:r>
    </w:p>
    <w:p w:rsidR="003070ED" w:rsidRPr="003070ED" w:rsidRDefault="003070ED" w:rsidP="003070ED">
      <w:pPr>
        <w:pStyle w:val="SingleTxt"/>
        <w:spacing w:after="0" w:line="120" w:lineRule="exact"/>
        <w:rPr>
          <w:sz w:val="10"/>
        </w:rPr>
      </w:pPr>
    </w:p>
    <w:p w:rsidR="003070ED" w:rsidRPr="003070ED" w:rsidRDefault="003070ED" w:rsidP="003070ED">
      <w:pPr>
        <w:pStyle w:val="SingleTxt"/>
        <w:spacing w:after="0" w:line="120" w:lineRule="exact"/>
        <w:rPr>
          <w:sz w:val="10"/>
        </w:rPr>
      </w:pPr>
    </w:p>
    <w:bookmarkEnd w:id="1"/>
    <w:p w:rsidR="00D72844" w:rsidRDefault="00D72844" w:rsidP="003070E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D05CA4">
        <w:tab/>
      </w:r>
      <w:r w:rsidRPr="00733BE4">
        <w:t>A</w:t>
      </w:r>
      <w:r w:rsidRPr="00270907">
        <w:t>.</w:t>
      </w:r>
      <w:r w:rsidRPr="00270907">
        <w:tab/>
      </w:r>
      <w:r>
        <w:t>Введение</w:t>
      </w:r>
    </w:p>
    <w:p w:rsidR="003070ED" w:rsidRPr="003070ED" w:rsidRDefault="003070ED" w:rsidP="003070ED">
      <w:pPr>
        <w:pStyle w:val="SingleTxt"/>
        <w:spacing w:after="0" w:line="120" w:lineRule="exact"/>
        <w:rPr>
          <w:sz w:val="10"/>
        </w:rPr>
      </w:pPr>
    </w:p>
    <w:p w:rsidR="003070ED" w:rsidRPr="003070ED" w:rsidRDefault="003070ED" w:rsidP="003070ED">
      <w:pPr>
        <w:pStyle w:val="SingleTxt"/>
        <w:spacing w:after="0" w:line="120" w:lineRule="exact"/>
        <w:rPr>
          <w:sz w:val="10"/>
        </w:rPr>
      </w:pPr>
    </w:p>
    <w:p w:rsidR="00D72844" w:rsidRPr="00FF7ECF" w:rsidRDefault="00D72844" w:rsidP="00D72844">
      <w:pPr>
        <w:pStyle w:val="SingleTxt"/>
      </w:pPr>
      <w:r>
        <w:t>15.</w:t>
      </w:r>
      <w:r>
        <w:tab/>
        <w:t>Рабочая группа продолжала глобальное исследование национального законодательства о деятельности частных военных и охранных компаний с целью оценки его эффективности в деле защиты прав человека и обеспечения подотчетности за нарушения. Это исследование предполагает выявление возможных общих элементов, передовой практики и возможных нормативных пробелов. Настоящий доклад посвящен законодательству и нормативным документам восьми стран Центральной Америки и Карибского бассейна (Гватемала, Гондурас, Коста-Рика, Куба, Мексика, Никарагуа, Панама и Сальвадор), восьми стран Южной Америки (Аргентина, Боливия (Многонациональное Государство), Бразилия, Колумбия, Перу, Уругвай, Чили и Эквадор) и четырех стран Европы (Венгрия, Соединенное Королевство, Франция и Швейцария). В</w:t>
      </w:r>
      <w:r w:rsidRPr="00FF7ECF">
        <w:t xml:space="preserve"> </w:t>
      </w:r>
      <w:r>
        <w:t>своем</w:t>
      </w:r>
      <w:r w:rsidRPr="00FF7ECF">
        <w:t xml:space="preserve"> </w:t>
      </w:r>
      <w:r>
        <w:t>докладе</w:t>
      </w:r>
      <w:r w:rsidRPr="00FF7ECF">
        <w:t xml:space="preserve"> </w:t>
      </w:r>
      <w:r>
        <w:t>Совету</w:t>
      </w:r>
      <w:r w:rsidRPr="00FF7ECF">
        <w:t xml:space="preserve"> </w:t>
      </w:r>
      <w:r>
        <w:t>по</w:t>
      </w:r>
      <w:r w:rsidRPr="00FF7ECF">
        <w:t xml:space="preserve"> </w:t>
      </w:r>
      <w:r>
        <w:t>правам</w:t>
      </w:r>
      <w:r w:rsidRPr="00FF7ECF">
        <w:t xml:space="preserve"> </w:t>
      </w:r>
      <w:r>
        <w:t>человека за</w:t>
      </w:r>
      <w:r w:rsidRPr="00FF7ECF">
        <w:t xml:space="preserve"> 2014 </w:t>
      </w:r>
      <w:r>
        <w:t>год Рабочая</w:t>
      </w:r>
      <w:r w:rsidRPr="00FF7ECF">
        <w:t xml:space="preserve"> </w:t>
      </w:r>
      <w:r>
        <w:t>группа</w:t>
      </w:r>
      <w:r w:rsidRPr="00FF7ECF">
        <w:t xml:space="preserve"> </w:t>
      </w:r>
      <w:r>
        <w:t>сосредоточила</w:t>
      </w:r>
      <w:r w:rsidRPr="00FF7ECF">
        <w:t xml:space="preserve"> </w:t>
      </w:r>
      <w:r>
        <w:t>свое</w:t>
      </w:r>
      <w:r w:rsidRPr="00FF7ECF">
        <w:t xml:space="preserve"> </w:t>
      </w:r>
      <w:r>
        <w:t>внимание</w:t>
      </w:r>
      <w:r w:rsidRPr="00FF7ECF">
        <w:t xml:space="preserve"> </w:t>
      </w:r>
      <w:r>
        <w:t>на</w:t>
      </w:r>
      <w:r w:rsidRPr="00FF7ECF">
        <w:t xml:space="preserve"> 8 </w:t>
      </w:r>
      <w:r>
        <w:t>франкоязычных</w:t>
      </w:r>
      <w:r w:rsidRPr="00FF7ECF">
        <w:t xml:space="preserve"> </w:t>
      </w:r>
      <w:r>
        <w:t>африканских</w:t>
      </w:r>
      <w:r w:rsidRPr="00FF7ECF">
        <w:t xml:space="preserve"> </w:t>
      </w:r>
      <w:r>
        <w:t>государствах</w:t>
      </w:r>
      <w:r w:rsidRPr="004408E3">
        <w:rPr>
          <w:rStyle w:val="FootnoteReference"/>
        </w:rPr>
        <w:footnoteReference w:id="3"/>
      </w:r>
      <w:r w:rsidRPr="00FF7ECF">
        <w:t xml:space="preserve"> </w:t>
      </w:r>
      <w:r>
        <w:t>и</w:t>
      </w:r>
      <w:r w:rsidRPr="00FF7ECF">
        <w:t xml:space="preserve"> 8 </w:t>
      </w:r>
      <w:r>
        <w:t>государствах Азии</w:t>
      </w:r>
      <w:r w:rsidRPr="00FF7ECF">
        <w:t xml:space="preserve"> (</w:t>
      </w:r>
      <w:r w:rsidRPr="00733BE4">
        <w:t>A</w:t>
      </w:r>
      <w:r w:rsidRPr="00FF7ECF">
        <w:t>/</w:t>
      </w:r>
      <w:r w:rsidRPr="00733BE4">
        <w:t>HRC</w:t>
      </w:r>
      <w:r w:rsidRPr="00FF7ECF">
        <w:t>/27/50)</w:t>
      </w:r>
      <w:r w:rsidRPr="004408E3">
        <w:rPr>
          <w:rStyle w:val="FootnoteReference"/>
        </w:rPr>
        <w:footnoteReference w:id="4"/>
      </w:r>
      <w:r w:rsidRPr="00FF7ECF">
        <w:t xml:space="preserve">; </w:t>
      </w:r>
      <w:r>
        <w:t>доклад</w:t>
      </w:r>
      <w:r w:rsidRPr="00FF7ECF">
        <w:t xml:space="preserve"> </w:t>
      </w:r>
      <w:r>
        <w:t>за</w:t>
      </w:r>
      <w:r w:rsidRPr="00FF7ECF">
        <w:t xml:space="preserve"> 2013 </w:t>
      </w:r>
      <w:r>
        <w:t>год</w:t>
      </w:r>
      <w:r w:rsidRPr="00FF7ECF">
        <w:t xml:space="preserve"> </w:t>
      </w:r>
      <w:r>
        <w:t>был</w:t>
      </w:r>
      <w:r w:rsidRPr="00FF7ECF">
        <w:t xml:space="preserve"> </w:t>
      </w:r>
      <w:r>
        <w:t>посвящен</w:t>
      </w:r>
      <w:r w:rsidRPr="00FF7ECF">
        <w:t xml:space="preserve"> 13 </w:t>
      </w:r>
      <w:r>
        <w:t>англоязычным</w:t>
      </w:r>
      <w:r w:rsidRPr="00FF7ECF">
        <w:t xml:space="preserve"> </w:t>
      </w:r>
      <w:r>
        <w:t>африканским</w:t>
      </w:r>
      <w:r w:rsidRPr="00FF7ECF">
        <w:t xml:space="preserve"> </w:t>
      </w:r>
      <w:r>
        <w:t>государствам</w:t>
      </w:r>
      <w:r w:rsidRPr="00FF7ECF">
        <w:t xml:space="preserve"> (</w:t>
      </w:r>
      <w:r w:rsidRPr="00733BE4">
        <w:t>A</w:t>
      </w:r>
      <w:r w:rsidRPr="00FF7ECF">
        <w:t>/</w:t>
      </w:r>
      <w:r w:rsidRPr="00733BE4">
        <w:t>HRC</w:t>
      </w:r>
      <w:r w:rsidRPr="00FF7ECF">
        <w:t>/24/45)</w:t>
      </w:r>
      <w:r w:rsidRPr="004408E3">
        <w:rPr>
          <w:rStyle w:val="FootnoteReference"/>
        </w:rPr>
        <w:footnoteReference w:id="5"/>
      </w:r>
      <w:r>
        <w:t>.</w:t>
      </w:r>
      <w:r w:rsidRPr="00FF7ECF">
        <w:t xml:space="preserve"> </w:t>
      </w:r>
      <w:r>
        <w:t>В своем следующем докладе Совету, который будет представлен в 2016 году, Рабочая группа планирует уделить основное внимание национальному законодательству стран Восточной Европы, Тихого океана и Северной Америки.</w:t>
      </w:r>
    </w:p>
    <w:p w:rsidR="00D72844" w:rsidRDefault="00D72844" w:rsidP="00D72844">
      <w:pPr>
        <w:pStyle w:val="SingleTxt"/>
      </w:pPr>
      <w:r>
        <w:t>16.</w:t>
      </w:r>
      <w:r>
        <w:tab/>
        <w:t xml:space="preserve">Рабочая группа рассчитывает, что на основе своего глобального исследования она сможет выработать руководящие принципы, которые помогут государствам-членам регулировать деятельность растущего числа частных военных и охранных компаний. В настоящем докладе анализ национальных законов о деятельности таких компаний опирался на следующие элементы: а) сфера применения законодательства; </w:t>
      </w:r>
      <w:r>
        <w:rPr>
          <w:lang w:val="en-US"/>
        </w:rPr>
        <w:t>b</w:t>
      </w:r>
      <w:r w:rsidRPr="00DE1374">
        <w:t>)</w:t>
      </w:r>
      <w:r>
        <w:t xml:space="preserve"> лицензирование, аккредитация и регистрация; с) отбор и подготовка персонала; </w:t>
      </w:r>
      <w:r>
        <w:rPr>
          <w:lang w:val="en-US"/>
        </w:rPr>
        <w:t>d</w:t>
      </w:r>
      <w:r w:rsidRPr="00DE1374">
        <w:t xml:space="preserve">) </w:t>
      </w:r>
      <w:r>
        <w:t>разрешенные и запрещенные виды деятель</w:t>
      </w:r>
      <w:r w:rsidR="00CC5F24">
        <w:t>ности; е) </w:t>
      </w:r>
      <w:r>
        <w:t xml:space="preserve">правила приобретения оружия; </w:t>
      </w:r>
      <w:r>
        <w:rPr>
          <w:lang w:val="en-US"/>
        </w:rPr>
        <w:t>f</w:t>
      </w:r>
      <w:r w:rsidRPr="00DE1374">
        <w:t>)</w:t>
      </w:r>
      <w:r>
        <w:t xml:space="preserve"> применение силы и огнестрельного оружия; </w:t>
      </w:r>
      <w:r>
        <w:rPr>
          <w:lang w:val="en-US"/>
        </w:rPr>
        <w:t>g</w:t>
      </w:r>
      <w:r w:rsidRPr="00DE1374">
        <w:t>)</w:t>
      </w:r>
      <w:r>
        <w:t xml:space="preserve"> подотчетность за нарушения и средства правовой защиты жертв; </w:t>
      </w:r>
      <w:r>
        <w:rPr>
          <w:lang w:val="en-US"/>
        </w:rPr>
        <w:t>h</w:t>
      </w:r>
      <w:r w:rsidRPr="00DE1374">
        <w:t>)</w:t>
      </w:r>
      <w:r>
        <w:t xml:space="preserve"> </w:t>
      </w:r>
      <w:r w:rsidRPr="0041332E">
        <w:t>ратификация Международной конвенции</w:t>
      </w:r>
      <w:r w:rsidRPr="00BC2D0B">
        <w:t xml:space="preserve"> о борьбе с вербовкой, использованием, финансированием и обучением наемников</w:t>
      </w:r>
      <w:r>
        <w:t>.</w:t>
      </w:r>
    </w:p>
    <w:p w:rsidR="00D72844" w:rsidRDefault="00D72844" w:rsidP="00CC5F24">
      <w:pPr>
        <w:pStyle w:val="H1"/>
        <w:pageBreakBefore/>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 w:rsidRPr="00FF7ECF">
        <w:tab/>
      </w:r>
      <w:r w:rsidRPr="00E34AEC">
        <w:t>B</w:t>
      </w:r>
      <w:r w:rsidRPr="00270907">
        <w:t>.</w:t>
      </w:r>
      <w:r w:rsidRPr="00270907">
        <w:tab/>
      </w:r>
      <w:r>
        <w:t>Анализ</w:t>
      </w:r>
    </w:p>
    <w:p w:rsidR="003070ED" w:rsidRPr="003070ED" w:rsidRDefault="003070ED" w:rsidP="003070ED">
      <w:pPr>
        <w:pStyle w:val="SingleTxt"/>
        <w:spacing w:after="0" w:line="120" w:lineRule="exact"/>
        <w:rPr>
          <w:sz w:val="10"/>
        </w:rPr>
      </w:pPr>
    </w:p>
    <w:p w:rsidR="003070ED" w:rsidRPr="003070ED" w:rsidRDefault="003070ED" w:rsidP="003070ED">
      <w:pPr>
        <w:pStyle w:val="SingleTxt"/>
        <w:spacing w:after="0" w:line="120" w:lineRule="exact"/>
        <w:rPr>
          <w:sz w:val="10"/>
        </w:rPr>
      </w:pPr>
    </w:p>
    <w:p w:rsidR="00D72844" w:rsidRDefault="00D72844" w:rsidP="003070E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Западная</w:t>
      </w:r>
      <w:r w:rsidRPr="00270907">
        <w:t xml:space="preserve"> </w:t>
      </w:r>
      <w:r>
        <w:t>Европа</w:t>
      </w:r>
    </w:p>
    <w:p w:rsidR="003070ED" w:rsidRPr="003070ED" w:rsidRDefault="003070ED" w:rsidP="003070ED">
      <w:pPr>
        <w:pStyle w:val="SingleTxt"/>
        <w:spacing w:after="0" w:line="120" w:lineRule="exact"/>
        <w:rPr>
          <w:sz w:val="10"/>
        </w:rPr>
      </w:pPr>
    </w:p>
    <w:p w:rsidR="00D72844" w:rsidRDefault="00D72844" w:rsidP="003070ED">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70907">
        <w:tab/>
      </w:r>
      <w:r w:rsidRPr="00270907">
        <w:tab/>
      </w:r>
      <w:r>
        <w:t>Сфера применения законодательства</w:t>
      </w:r>
    </w:p>
    <w:p w:rsidR="003070ED" w:rsidRPr="003070ED" w:rsidRDefault="003070ED" w:rsidP="003070ED">
      <w:pPr>
        <w:pStyle w:val="SingleTxt"/>
        <w:spacing w:after="0" w:line="120" w:lineRule="exact"/>
        <w:rPr>
          <w:sz w:val="10"/>
        </w:rPr>
      </w:pPr>
    </w:p>
    <w:p w:rsidR="00D72844" w:rsidRPr="00DE1374" w:rsidRDefault="00D72844" w:rsidP="00D72844">
      <w:pPr>
        <w:pStyle w:val="SingleTxt"/>
      </w:pPr>
      <w:r>
        <w:t>17.</w:t>
      </w:r>
      <w:r>
        <w:tab/>
        <w:t>В Венгрии, Соединенном Королевстве, Франции и Швейцарии имеется национальное законодательство о частной охранной деятельности. Однако в Соединенном Королевстве действуют только отдельные положения, касающиеся лицензирования и аккредитации таких компаний, и применяется подход, основанный на саморегулировании в рамках Британской ассоциации частных охранных компаний, охватывающий такие аспекты, как финансовые санкции, обязательные курсы подготовки, инспекции на местах и приостановление или прекращение членских прав</w:t>
      </w:r>
      <w:r w:rsidRPr="004408E3">
        <w:rPr>
          <w:rStyle w:val="FootnoteReference"/>
        </w:rPr>
        <w:footnoteReference w:id="6"/>
      </w:r>
      <w:r>
        <w:t>.</w:t>
      </w:r>
    </w:p>
    <w:p w:rsidR="00D72844" w:rsidRPr="004B28AE" w:rsidRDefault="00D72844" w:rsidP="00D72844">
      <w:pPr>
        <w:pStyle w:val="SingleTxt"/>
      </w:pPr>
      <w:r>
        <w:t>18.</w:t>
      </w:r>
      <w:r>
        <w:tab/>
        <w:t>Во всех четырех странах применяется национальное законодательство о деятельности частных охранных компаний</w:t>
      </w:r>
      <w:r w:rsidRPr="004408E3">
        <w:rPr>
          <w:rStyle w:val="FootnoteReference"/>
        </w:rPr>
        <w:footnoteReference w:id="7"/>
      </w:r>
      <w:r>
        <w:t xml:space="preserve">, включая наблюдение, защиту и охрану физических лиц и имущества или товаров, перевозку, защиту и отправку наличности, драгоценностей, ценных металлов и других ценных грузов, а также проведение расследований. В </w:t>
      </w:r>
      <w:r w:rsidRPr="009C4EB7">
        <w:t>Соединенно</w:t>
      </w:r>
      <w:r>
        <w:t>м Королевстве регулированием охватываются услуги, предоставляемые консультант</w:t>
      </w:r>
      <w:r w:rsidR="00CC5F24">
        <w:t>ами по вопросам безопасности. В </w:t>
      </w:r>
      <w:r>
        <w:t>Швейцарии регулированию подлежит деятельность, связанная с управлением дорожным движением, оказанием помощи государственным органам, перевозкой задержанных и частными детективными услугами.</w:t>
      </w:r>
    </w:p>
    <w:p w:rsidR="00D72844" w:rsidRDefault="00D72844" w:rsidP="00D72844">
      <w:pPr>
        <w:pStyle w:val="SingleTxt"/>
      </w:pPr>
      <w:r>
        <w:t>19.</w:t>
      </w:r>
      <w:r>
        <w:tab/>
        <w:t>В плане географического охвата законодательство различается по своему диапазону и содержанию. Законодательство</w:t>
      </w:r>
      <w:r w:rsidRPr="004B28AE">
        <w:t xml:space="preserve"> </w:t>
      </w:r>
      <w:r>
        <w:t>Венгрии</w:t>
      </w:r>
      <w:r w:rsidRPr="004B28AE">
        <w:t xml:space="preserve"> </w:t>
      </w:r>
      <w:r>
        <w:t>и</w:t>
      </w:r>
      <w:r w:rsidRPr="004B28AE">
        <w:t xml:space="preserve"> </w:t>
      </w:r>
      <w:r>
        <w:t>Франции</w:t>
      </w:r>
      <w:r w:rsidRPr="004B28AE">
        <w:t xml:space="preserve"> </w:t>
      </w:r>
      <w:r>
        <w:t>не</w:t>
      </w:r>
      <w:r w:rsidRPr="004B28AE">
        <w:t xml:space="preserve"> </w:t>
      </w:r>
      <w:r>
        <w:t>имеет</w:t>
      </w:r>
      <w:r w:rsidRPr="004B28AE">
        <w:t xml:space="preserve"> </w:t>
      </w:r>
      <w:r>
        <w:t>экстратерриториального</w:t>
      </w:r>
      <w:r w:rsidRPr="004B28AE">
        <w:t xml:space="preserve"> </w:t>
      </w:r>
      <w:r>
        <w:t>применения</w:t>
      </w:r>
      <w:r w:rsidRPr="004408E3">
        <w:rPr>
          <w:rStyle w:val="FootnoteReference"/>
        </w:rPr>
        <w:footnoteReference w:id="8"/>
      </w:r>
      <w:r w:rsidRPr="004B28AE">
        <w:t>.</w:t>
      </w:r>
      <w:r>
        <w:t xml:space="preserve"> В свою очередь швейцарское законодательство охватывает не только деятельность местных и частных охранных компаний</w:t>
      </w:r>
      <w:r w:rsidRPr="004408E3">
        <w:rPr>
          <w:rStyle w:val="FootnoteReference"/>
        </w:rPr>
        <w:footnoteReference w:id="9"/>
      </w:r>
      <w:r>
        <w:t>, но и услуги, оказываемые такими компаниями, нанятыми на местной основе или за рубежом правительством этой страны</w:t>
      </w:r>
      <w:r w:rsidRPr="004408E3">
        <w:rPr>
          <w:rStyle w:val="FootnoteReference"/>
        </w:rPr>
        <w:footnoteReference w:id="10"/>
      </w:r>
      <w:r>
        <w:t>, а</w:t>
      </w:r>
      <w:r w:rsidRPr="004B28AE">
        <w:t xml:space="preserve"> </w:t>
      </w:r>
      <w:r>
        <w:t>также</w:t>
      </w:r>
      <w:r w:rsidRPr="004B28AE">
        <w:t xml:space="preserve"> </w:t>
      </w:r>
      <w:r>
        <w:t>частными</w:t>
      </w:r>
      <w:r w:rsidRPr="004B28AE">
        <w:t xml:space="preserve"> </w:t>
      </w:r>
      <w:r>
        <w:t>охранными</w:t>
      </w:r>
      <w:r w:rsidRPr="004B28AE">
        <w:t xml:space="preserve"> </w:t>
      </w:r>
      <w:r>
        <w:t>компаниями</w:t>
      </w:r>
      <w:r w:rsidRPr="004B28AE">
        <w:t xml:space="preserve"> </w:t>
      </w:r>
      <w:r>
        <w:t>других</w:t>
      </w:r>
      <w:r w:rsidRPr="004B28AE">
        <w:t xml:space="preserve"> </w:t>
      </w:r>
      <w:r>
        <w:t>стран</w:t>
      </w:r>
      <w:r w:rsidRPr="004408E3">
        <w:rPr>
          <w:rStyle w:val="FootnoteReference"/>
        </w:rPr>
        <w:footnoteReference w:id="11"/>
      </w:r>
      <w:r w:rsidRPr="004B28AE">
        <w:t>.</w:t>
      </w:r>
      <w:r>
        <w:t xml:space="preserve"> Правовая система Соединенного королевства строится на принципе территориальности, согласно которой отдельные лица не могут привлекаться к ответственности в Соединенном Королевстве за преступления, совершенные за рубежом </w:t>
      </w:r>
      <w:r w:rsidRPr="004B28AE">
        <w:t>(</w:t>
      </w:r>
      <w:r>
        <w:t>см.</w:t>
      </w:r>
      <w:r w:rsidRPr="004B28AE">
        <w:t xml:space="preserve"> </w:t>
      </w:r>
      <w:r w:rsidRPr="00EC56A2">
        <w:rPr>
          <w:szCs w:val="18"/>
        </w:rPr>
        <w:t>A</w:t>
      </w:r>
      <w:r w:rsidRPr="002F442B">
        <w:rPr>
          <w:szCs w:val="18"/>
        </w:rPr>
        <w:t>/</w:t>
      </w:r>
      <w:r w:rsidRPr="00EC56A2">
        <w:rPr>
          <w:szCs w:val="18"/>
        </w:rPr>
        <w:t>HRC</w:t>
      </w:r>
      <w:r w:rsidRPr="002F442B">
        <w:rPr>
          <w:szCs w:val="18"/>
        </w:rPr>
        <w:t>/10/14/</w:t>
      </w:r>
      <w:r w:rsidRPr="00EC56A2">
        <w:rPr>
          <w:szCs w:val="18"/>
        </w:rPr>
        <w:t>Add</w:t>
      </w:r>
      <w:r w:rsidRPr="002F442B">
        <w:rPr>
          <w:szCs w:val="18"/>
        </w:rPr>
        <w:t>.2</w:t>
      </w:r>
      <w:r w:rsidRPr="002F442B">
        <w:t>).</w:t>
      </w:r>
    </w:p>
    <w:p w:rsidR="003070ED" w:rsidRPr="003070ED" w:rsidRDefault="003070ED" w:rsidP="003070ED">
      <w:pPr>
        <w:pStyle w:val="SingleTxt"/>
        <w:spacing w:after="0" w:line="120" w:lineRule="exact"/>
        <w:rPr>
          <w:sz w:val="10"/>
        </w:rPr>
      </w:pPr>
    </w:p>
    <w:p w:rsidR="00D72844" w:rsidRDefault="00D72844" w:rsidP="003070ED">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F442B">
        <w:tab/>
      </w:r>
      <w:r w:rsidRPr="002F442B">
        <w:tab/>
      </w:r>
      <w:r w:rsidRPr="0063049A">
        <w:t xml:space="preserve">Лицензирование, аккредитация и регистрация </w:t>
      </w:r>
    </w:p>
    <w:p w:rsidR="003070ED" w:rsidRPr="003070ED" w:rsidRDefault="003070ED" w:rsidP="003070ED">
      <w:pPr>
        <w:pStyle w:val="SingleTxt"/>
        <w:spacing w:after="0" w:line="120" w:lineRule="exact"/>
        <w:rPr>
          <w:sz w:val="10"/>
        </w:rPr>
      </w:pPr>
    </w:p>
    <w:p w:rsidR="00D72844" w:rsidRPr="0047736E" w:rsidRDefault="003070ED" w:rsidP="00D72844">
      <w:pPr>
        <w:pStyle w:val="SingleTxt"/>
      </w:pPr>
      <w:r>
        <w:t>20.</w:t>
      </w:r>
      <w:r w:rsidR="00D72844">
        <w:tab/>
        <w:t>В Соединенном Королевстве и Франции органы, занимающиеся аккредитацией и выдачей лицензий, назначаются министерством, которое несет ответственность за внутреннюю безопасность, или входят в его структуру. Во Франции таким органом является префект департамента (или в Париже префект полиции)</w:t>
      </w:r>
      <w:r w:rsidR="00D72844" w:rsidRPr="004408E3">
        <w:rPr>
          <w:rStyle w:val="FootnoteReference"/>
        </w:rPr>
        <w:footnoteReference w:id="12"/>
      </w:r>
      <w:r w:rsidR="00D72844">
        <w:t>, который аккредитуется Государственным советом, а в Соединенном Королевстве – Управление охранной деятельностью, которое выдает охранным предприятиям лицензии на деятельность внутри страны</w:t>
      </w:r>
      <w:r w:rsidR="00D72844" w:rsidRPr="004408E3">
        <w:rPr>
          <w:rStyle w:val="FootnoteReference"/>
        </w:rPr>
        <w:footnoteReference w:id="13"/>
      </w:r>
      <w:r w:rsidR="00D72844">
        <w:t>.</w:t>
      </w:r>
    </w:p>
    <w:p w:rsidR="00D72844" w:rsidRPr="0047736E" w:rsidRDefault="00D72844" w:rsidP="00D72844">
      <w:pPr>
        <w:pStyle w:val="SingleTxt"/>
      </w:pPr>
      <w:r>
        <w:t>21.</w:t>
      </w:r>
      <w:r>
        <w:tab/>
        <w:t>В контексте аккредитации, законы Венгрии и Франции не требуют соблюдения стандартов в области прав человека. Вместе с тем аккредитации не подлежат руководители и сотрудники, осужденные за совершение административного правонарушения или преступления.</w:t>
      </w:r>
    </w:p>
    <w:p w:rsidR="00D72844" w:rsidRPr="0047736E" w:rsidRDefault="00D72844" w:rsidP="00D72844">
      <w:pPr>
        <w:pStyle w:val="SingleTxt"/>
      </w:pPr>
      <w:r>
        <w:t>22.</w:t>
      </w:r>
      <w:r>
        <w:tab/>
        <w:t>В законодательстве Соединенного Королевства стандарты в области прав человека не упоминаются. Как отмечала Рабочая</w:t>
      </w:r>
      <w:r w:rsidR="00CC5F24">
        <w:t xml:space="preserve"> группа в своем докладе за 2008 </w:t>
      </w:r>
      <w:r>
        <w:t>год (</w:t>
      </w:r>
      <w:r w:rsidRPr="00094181">
        <w:t>A</w:t>
      </w:r>
      <w:r w:rsidRPr="0047736E">
        <w:t>/</w:t>
      </w:r>
      <w:r w:rsidRPr="00094181">
        <w:t>HRC</w:t>
      </w:r>
      <w:r w:rsidRPr="0047736E">
        <w:t>/10/14/</w:t>
      </w:r>
      <w:r w:rsidRPr="00094181">
        <w:t>Add</w:t>
      </w:r>
      <w:r w:rsidRPr="0047736E">
        <w:t>.2</w:t>
      </w:r>
      <w:r>
        <w:t>), отбор компаний производится по критериям, определяемым государственными службами закупок. Все контракты содержат положения, предусматривающие расторжение контракта в случае нарушения прав человека. Однако в стране отсутствует формальная система, непосредственно предназначенная для проверки контрактов.</w:t>
      </w:r>
    </w:p>
    <w:p w:rsidR="00D72844" w:rsidRPr="0047736E" w:rsidRDefault="00D72844" w:rsidP="00D72844">
      <w:pPr>
        <w:pStyle w:val="SingleTxt"/>
      </w:pPr>
      <w:r>
        <w:t>23.</w:t>
      </w:r>
      <w:r>
        <w:tab/>
        <w:t xml:space="preserve">По швейцарскому законодательству </w:t>
      </w:r>
      <w:r w:rsidR="001A4E7E">
        <w:t>«компетентные органы»</w:t>
      </w:r>
      <w:r>
        <w:t xml:space="preserve"> вправе принимать решения о полном или частичном запрете определенных видов деятельности, поскольку они могут противоречить целям законодательства, включая услуги, которые могут использоваться для совершения нарушений прав человека.</w:t>
      </w:r>
    </w:p>
    <w:p w:rsidR="00D72844" w:rsidRDefault="00D72844" w:rsidP="00D72844">
      <w:pPr>
        <w:pStyle w:val="SingleTxt"/>
      </w:pPr>
      <w:r>
        <w:t>24.</w:t>
      </w:r>
      <w:r>
        <w:tab/>
        <w:t>В отношении регистрации ни в одна из стран, законодательство которых было проанализировано в настоящем докладе, не требует прохождения частными военными и охранными компаниями процедуры специальной регистрации; им достаточно общей регистрации в торговых и коммерческих регистрах.</w:t>
      </w:r>
    </w:p>
    <w:p w:rsidR="003070ED" w:rsidRPr="003070ED" w:rsidRDefault="003070ED" w:rsidP="003070ED">
      <w:pPr>
        <w:pStyle w:val="SingleTxt"/>
        <w:spacing w:after="0" w:line="120" w:lineRule="exact"/>
        <w:rPr>
          <w:sz w:val="10"/>
        </w:rPr>
      </w:pPr>
    </w:p>
    <w:p w:rsidR="00D72844" w:rsidRDefault="00D72844" w:rsidP="003070ED">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3049A">
        <w:tab/>
      </w:r>
      <w:r w:rsidRPr="0063049A">
        <w:tab/>
        <w:t>Отбор и подготовка персонала частной военной и охранной компании</w:t>
      </w:r>
    </w:p>
    <w:p w:rsidR="003070ED" w:rsidRPr="003070ED" w:rsidRDefault="003070ED" w:rsidP="003070ED">
      <w:pPr>
        <w:pStyle w:val="SingleTxt"/>
        <w:spacing w:after="0" w:line="120" w:lineRule="exact"/>
        <w:rPr>
          <w:iCs/>
          <w:sz w:val="10"/>
        </w:rPr>
      </w:pPr>
    </w:p>
    <w:p w:rsidR="00D72844" w:rsidRPr="00786067" w:rsidRDefault="00D72844" w:rsidP="00D72844">
      <w:pPr>
        <w:pStyle w:val="SingleTxt"/>
      </w:pPr>
      <w:r>
        <w:t>25.</w:t>
      </w:r>
      <w:r>
        <w:tab/>
        <w:t>Швейцарское законодательство содержит наибольшее количество ссылок на стандарты в области прав человека. Оно требует от компаний обеспечивать подготовку своего персонала по вопросам применимого национального и международного права, в том числе по основным правам, и в случае отсутствия таких компаний контракты могут заключаться максимум на шесть месяцев.</w:t>
      </w:r>
    </w:p>
    <w:p w:rsidR="00D72844" w:rsidRDefault="00D72844" w:rsidP="00D72844">
      <w:pPr>
        <w:pStyle w:val="SingleTxt"/>
      </w:pPr>
      <w:r>
        <w:t>26.</w:t>
      </w:r>
      <w:r>
        <w:tab/>
        <w:t>В законах Венгрии, Соединенного Королевства и Франции не содержится положений о подготовке персонала по проблематике прав человека.</w:t>
      </w:r>
    </w:p>
    <w:p w:rsidR="003070ED" w:rsidRPr="003070ED" w:rsidRDefault="003070ED" w:rsidP="003070ED">
      <w:pPr>
        <w:pStyle w:val="SingleTxt"/>
        <w:spacing w:after="0" w:line="120" w:lineRule="exact"/>
        <w:rPr>
          <w:sz w:val="10"/>
        </w:rPr>
      </w:pPr>
    </w:p>
    <w:p w:rsidR="00D72844" w:rsidRDefault="00D72844" w:rsidP="003070ED">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3049A">
        <w:tab/>
      </w:r>
      <w:r w:rsidRPr="0063049A">
        <w:tab/>
        <w:t xml:space="preserve">Разрешенные и запрещенные виды деятельности </w:t>
      </w:r>
    </w:p>
    <w:p w:rsidR="003070ED" w:rsidRPr="003070ED" w:rsidRDefault="003070ED" w:rsidP="003070ED">
      <w:pPr>
        <w:pStyle w:val="SingleTxt"/>
        <w:spacing w:after="0" w:line="120" w:lineRule="exact"/>
        <w:rPr>
          <w:iCs/>
          <w:sz w:val="10"/>
        </w:rPr>
      </w:pPr>
    </w:p>
    <w:p w:rsidR="00D72844" w:rsidRPr="00786067" w:rsidRDefault="00D72844" w:rsidP="00D72844">
      <w:pPr>
        <w:pStyle w:val="SingleTxt"/>
      </w:pPr>
      <w:r>
        <w:t>27.</w:t>
      </w:r>
      <w:r>
        <w:tab/>
        <w:t>Во французском законодательстве подчеркивается, что охранные структуры могут заниматься только охраной и защитой физических лиц и имущества или товаров, а также обеспечивать защиту при перевозке денежных средств, драгоценностей и драгоценных металлов</w:t>
      </w:r>
      <w:r w:rsidRPr="004408E3">
        <w:rPr>
          <w:rStyle w:val="FootnoteReference"/>
        </w:rPr>
        <w:footnoteReference w:id="14"/>
      </w:r>
      <w:r>
        <w:t>. Частные охранные компании обязаны четко обозначать частный характер своей деятельности во избежание ее истолкования в качестве деятельности таких государственных охранных структур, как полиция. Подобным образом в венгерском законодательстве закреплено, что структуры, занимающиеся частной охранной деятельностью, не обладают полномочиями государственных органов, должны использовать форменную одежду, не могут пользоваться званиями и знаками различия государственных органов и не могут препятствовать таковым в осуществлении ими своей деятельности. Соответствующий закон Соединенного Королевства не содержит перечня запрещенных видов деятельности, однако, включает положение, согласно которому осуществление лицензируемой деятельности без получения лицензии является преступлением</w:t>
      </w:r>
      <w:r w:rsidRPr="004408E3">
        <w:rPr>
          <w:rStyle w:val="FootnoteReference"/>
        </w:rPr>
        <w:footnoteReference w:id="15"/>
      </w:r>
      <w:r>
        <w:t>.</w:t>
      </w:r>
    </w:p>
    <w:p w:rsidR="00D72844" w:rsidRPr="00E27B3F" w:rsidRDefault="00D72844" w:rsidP="00D72844">
      <w:pPr>
        <w:pStyle w:val="SingleTxt"/>
      </w:pPr>
      <w:r>
        <w:t>28.</w:t>
      </w:r>
      <w:r>
        <w:tab/>
        <w:t>Швейцарское законодательство предусматривает безоговорочный запрет прямого участия в военных действиях в рамках вооруженного конфликта за рубежом, в том числе посредством найма, подготовки и предоставления охранного персонала для непосредственного участия в боевых действиях за рубежом либо путем создания, управления работой или контроля в Швейцарии компании, участвующей в такой деятельности</w:t>
      </w:r>
      <w:r w:rsidRPr="004408E3">
        <w:rPr>
          <w:rStyle w:val="FootnoteReference"/>
        </w:rPr>
        <w:footnoteReference w:id="16"/>
      </w:r>
      <w:r>
        <w:t>.</w:t>
      </w:r>
      <w:r w:rsidRPr="00E27B3F">
        <w:t xml:space="preserve"> </w:t>
      </w:r>
      <w:r>
        <w:t>В законодательстве Соединенного Королевства не определяется, какие виды военной или охранной деятельности могут передаваться по системе аутсорсинга частным компаниям, но при этом существует понимание того, что военная деятельность в условиях вооруженного конфликта может осуществляться только военнослужащими под командой военнослужащего в офицерском звании</w:t>
      </w:r>
      <w:r w:rsidRPr="004408E3">
        <w:rPr>
          <w:rStyle w:val="FootnoteReference"/>
        </w:rPr>
        <w:footnoteReference w:id="17"/>
      </w:r>
      <w:r>
        <w:t>.</w:t>
      </w:r>
      <w:r w:rsidRPr="00E27B3F">
        <w:t xml:space="preserve"> </w:t>
      </w:r>
      <w:r>
        <w:t>Венгерское законодательство не регулирует прямое участие персонала компании в военных действиях, однако его нормы не применяются к личному составу вооруженных сил и государственных правоохранительных органов</w:t>
      </w:r>
      <w:r w:rsidRPr="004408E3">
        <w:rPr>
          <w:rStyle w:val="FootnoteReference"/>
        </w:rPr>
        <w:footnoteReference w:id="18"/>
      </w:r>
      <w:r>
        <w:t>. Во французском законодательстве не имеется положений о прямом участии в военных действиях сотрудников частных военных и охранных компаний.</w:t>
      </w:r>
    </w:p>
    <w:p w:rsidR="00D72844" w:rsidRDefault="00D72844" w:rsidP="00D72844">
      <w:pPr>
        <w:pStyle w:val="SingleTxt"/>
      </w:pPr>
      <w:r w:rsidRPr="00E27B3F">
        <w:t>29.</w:t>
      </w:r>
      <w:r w:rsidRPr="00E27B3F">
        <w:tab/>
      </w:r>
      <w:r>
        <w:t>Что касается участия сотрудников правоохранительных органов в деятельности частных военных и охранных компаний, то во Франции в качестве общего правила бывшим сотрудникам полиции или военнослужащим запрещено занимать должности в таких компаниях</w:t>
      </w:r>
      <w:r w:rsidRPr="004408E3">
        <w:rPr>
          <w:rStyle w:val="FootnoteReference"/>
        </w:rPr>
        <w:footnoteReference w:id="19"/>
      </w:r>
      <w:r>
        <w:t>.</w:t>
      </w:r>
      <w:r w:rsidRPr="00E27B3F">
        <w:t xml:space="preserve"> </w:t>
      </w:r>
      <w:r>
        <w:t>В законодательстве Венгрии подчеркивается, что сотрудники полиции и национальных служб гражданской безопасности, выполняющие официальные обязанности, а также отдельные лица, не являющиеся кадровыми сотрудниками, но помогающие в выполнении соответствующих официальных обязанностей, не могут быть сотрудниками или руководителями компаний, оказывающих частные охранные услуги. Этот вопрос не затрагивается в положениях законодательства Швейцарии и Соединенного Королевства.</w:t>
      </w:r>
    </w:p>
    <w:p w:rsidR="00FC6C53" w:rsidRPr="00FC6C53" w:rsidRDefault="00FC6C53" w:rsidP="00FC6C53">
      <w:pPr>
        <w:pStyle w:val="SingleTxt"/>
        <w:spacing w:after="0" w:line="120" w:lineRule="exact"/>
        <w:rPr>
          <w:sz w:val="10"/>
        </w:rPr>
      </w:pPr>
    </w:p>
    <w:p w:rsidR="00D72844" w:rsidRDefault="00D72844" w:rsidP="00FC6C53">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D72844">
        <w:tab/>
      </w:r>
      <w:r w:rsidRPr="00D72844">
        <w:tab/>
      </w:r>
      <w:r w:rsidRPr="0063049A">
        <w:t>Правила</w:t>
      </w:r>
      <w:r w:rsidRPr="002F442B">
        <w:t xml:space="preserve"> </w:t>
      </w:r>
      <w:r w:rsidRPr="0063049A">
        <w:t>приобретения</w:t>
      </w:r>
      <w:r w:rsidRPr="002F442B">
        <w:t xml:space="preserve"> </w:t>
      </w:r>
      <w:r w:rsidRPr="0063049A">
        <w:t>оружия</w:t>
      </w:r>
    </w:p>
    <w:p w:rsidR="00FC6C53" w:rsidRPr="00FC6C53" w:rsidRDefault="00FC6C53" w:rsidP="00FC6C53">
      <w:pPr>
        <w:pStyle w:val="SingleTxt"/>
        <w:spacing w:after="0" w:line="120" w:lineRule="exact"/>
        <w:rPr>
          <w:iCs/>
          <w:sz w:val="10"/>
        </w:rPr>
      </w:pPr>
    </w:p>
    <w:p w:rsidR="00D72844" w:rsidRPr="00AF543E" w:rsidRDefault="00D72844" w:rsidP="00D72844">
      <w:pPr>
        <w:pStyle w:val="SingleTxt"/>
      </w:pPr>
      <w:r>
        <w:t>30.</w:t>
      </w:r>
      <w:r>
        <w:tab/>
        <w:t>В Венгрии, Франции и Швейцарии не существует правил относительно незаконного приобретения оружия. В Соединенном Королевстве законом об экспортном контроле 2002 года предусматриваются меры контроля за торговлей военными, полувоенными и другими определенными товарами между странами за пределами Соединенного Королевства (такие меры контроля касаются граждан Соединенного Королевства во всех районах мира, а также деятельности, полностью или частично осуществляемой на территории Соединенного Королевства)</w:t>
      </w:r>
      <w:r w:rsidRPr="004408E3">
        <w:rPr>
          <w:rStyle w:val="FootnoteReference"/>
        </w:rPr>
        <w:footnoteReference w:id="20"/>
      </w:r>
      <w:r>
        <w:t xml:space="preserve">, которые могут также применяться к персоналу частных военных и охранных компаний, хотя закон четко не ориентирован на регулирование сферы частных военных услуг. </w:t>
      </w:r>
    </w:p>
    <w:p w:rsidR="00D72844" w:rsidRPr="00AF543E" w:rsidRDefault="00D72844" w:rsidP="00D72844">
      <w:pPr>
        <w:pStyle w:val="SingleTxt"/>
      </w:pPr>
      <w:r>
        <w:t>31.</w:t>
      </w:r>
      <w:r>
        <w:tab/>
        <w:t>Отсутствие конкретных положений о незаконном приобретении оружия и об обороте оружия персоналом компаний является очевидным пробелом в нормативной базе.</w:t>
      </w:r>
    </w:p>
    <w:p w:rsidR="00D72844" w:rsidRDefault="00D72844" w:rsidP="00D72844">
      <w:pPr>
        <w:pStyle w:val="SingleTxt"/>
      </w:pPr>
      <w:r>
        <w:t>32.</w:t>
      </w:r>
      <w:r>
        <w:tab/>
        <w:t>Во Франции сотрудники государственных охранных компаний, осуществляющих деятельность по наблюдению или по охране имущества либо товаров, могут быть вооружены при условии выполнения требований, прописанных в декрете Государственного совета. Аналогичным образом в Венгрии охранники пользуются правом ношения огнестрельного оружия, которое может быть использовано только в целях самообороны или в чрезвычайных обстоятельствах</w:t>
      </w:r>
      <w:r w:rsidRPr="004408E3">
        <w:rPr>
          <w:rStyle w:val="FootnoteReference"/>
        </w:rPr>
        <w:footnoteReference w:id="21"/>
      </w:r>
      <w:r>
        <w:t>.</w:t>
      </w:r>
    </w:p>
    <w:p w:rsidR="004318AA" w:rsidRPr="004318AA" w:rsidRDefault="004318AA" w:rsidP="004318AA">
      <w:pPr>
        <w:pStyle w:val="SingleTxt"/>
        <w:spacing w:after="0" w:line="120" w:lineRule="exact"/>
        <w:rPr>
          <w:sz w:val="10"/>
        </w:rPr>
      </w:pPr>
    </w:p>
    <w:p w:rsidR="00D72844" w:rsidRDefault="00D72844" w:rsidP="004318AA">
      <w:pPr>
        <w:pStyle w:val="H4"/>
        <w:keepNext w:val="0"/>
        <w:keepLines w:val="0"/>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 w:rsidRPr="0063049A">
        <w:tab/>
      </w:r>
      <w:r w:rsidRPr="0063049A">
        <w:tab/>
        <w:t xml:space="preserve">Применение силы и огнестрельного оружия </w:t>
      </w:r>
    </w:p>
    <w:p w:rsidR="00FC6C53" w:rsidRPr="00FC6C53" w:rsidRDefault="00FC6C53" w:rsidP="00FC6C53">
      <w:pPr>
        <w:pStyle w:val="SingleTxt"/>
        <w:spacing w:after="0" w:line="120" w:lineRule="exact"/>
        <w:rPr>
          <w:iCs/>
          <w:sz w:val="10"/>
        </w:rPr>
      </w:pPr>
    </w:p>
    <w:p w:rsidR="00D72844" w:rsidRDefault="00D72844" w:rsidP="00D72844">
      <w:pPr>
        <w:pStyle w:val="SingleTxt"/>
      </w:pPr>
      <w:r>
        <w:t>33.</w:t>
      </w:r>
      <w:r>
        <w:tab/>
        <w:t>В Швейцарии сотрудники частных охранных компаний не могут быть вооружены при нахождении за рубежом</w:t>
      </w:r>
      <w:r w:rsidRPr="004408E3">
        <w:rPr>
          <w:rStyle w:val="FootnoteReference"/>
        </w:rPr>
        <w:footnoteReference w:id="22"/>
      </w:r>
      <w:r>
        <w:t>, однако, если исключительные обстоятельства требуют наличия у персонала оружия на случай законной самообороны или необходимости, заключающий договор орган обязан указать это в контракте. В противоположность этому в Соединенном Королевстве нет законодательных актов о применении силы или огнестрельного оружия сотрудниками частных военных и охранных компаний.</w:t>
      </w:r>
    </w:p>
    <w:p w:rsidR="00FC6C53" w:rsidRPr="00FC6C53" w:rsidRDefault="00FC6C53" w:rsidP="00FC6C53">
      <w:pPr>
        <w:pStyle w:val="SingleTxt"/>
        <w:spacing w:after="0" w:line="120" w:lineRule="exact"/>
        <w:rPr>
          <w:sz w:val="10"/>
        </w:rPr>
      </w:pPr>
    </w:p>
    <w:p w:rsidR="00D72844" w:rsidRDefault="00D72844" w:rsidP="00FC6C53">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3049A">
        <w:tab/>
      </w:r>
      <w:r w:rsidRPr="002F442B">
        <w:tab/>
      </w:r>
      <w:r w:rsidRPr="0063049A">
        <w:t>Подотчетность за нарушения и средства правовой защиты жертв</w:t>
      </w:r>
    </w:p>
    <w:p w:rsidR="00FC6C53" w:rsidRPr="00FC6C53" w:rsidRDefault="00FC6C53" w:rsidP="00FC6C53">
      <w:pPr>
        <w:pStyle w:val="SingleTxt"/>
        <w:spacing w:after="0" w:line="120" w:lineRule="exact"/>
        <w:rPr>
          <w:iCs/>
          <w:sz w:val="10"/>
        </w:rPr>
      </w:pPr>
    </w:p>
    <w:p w:rsidR="00D72844" w:rsidRPr="00AF543E" w:rsidRDefault="00D72844" w:rsidP="00D72844">
      <w:pPr>
        <w:pStyle w:val="SingleTxt"/>
      </w:pPr>
      <w:r>
        <w:t>34.</w:t>
      </w:r>
      <w:r>
        <w:tab/>
        <w:t>Ни в одном из рассмотренных законов не содержится положений об обязательствах сообщать о нарушениях закона, совершенных сотрудниками государственных охранных компаний или об эффективных средствах правовой защиты жертв нарушений прав человека, допущенных таким персоналом.</w:t>
      </w:r>
    </w:p>
    <w:p w:rsidR="00D72844" w:rsidRPr="000A2A6C" w:rsidRDefault="00D72844" w:rsidP="00D72844">
      <w:pPr>
        <w:pStyle w:val="SingleTxt"/>
      </w:pPr>
      <w:r w:rsidRPr="00AF543E">
        <w:t>35.</w:t>
      </w:r>
      <w:r w:rsidRPr="00AF543E">
        <w:tab/>
      </w:r>
      <w:r>
        <w:t>Кроме того, законы по-разному регулируют мониторинг деятельности частных военных и охранных компаний. Во Франции постоянный контроль за такими компаниями осуществляют сотрудники полиции и жандармы</w:t>
      </w:r>
      <w:r w:rsidRPr="004408E3">
        <w:rPr>
          <w:rStyle w:val="FootnoteReference"/>
        </w:rPr>
        <w:footnoteReference w:id="23"/>
      </w:r>
      <w:r>
        <w:t>. В</w:t>
      </w:r>
      <w:r w:rsidRPr="00AF543E">
        <w:t xml:space="preserve"> </w:t>
      </w:r>
      <w:r>
        <w:t>Швейцарии</w:t>
      </w:r>
      <w:r w:rsidRPr="00AF543E">
        <w:t xml:space="preserve"> </w:t>
      </w:r>
      <w:r>
        <w:t>контроль</w:t>
      </w:r>
      <w:r w:rsidRPr="00AF543E">
        <w:t xml:space="preserve"> </w:t>
      </w:r>
      <w:r>
        <w:t>за</w:t>
      </w:r>
      <w:r w:rsidRPr="00AF543E">
        <w:t xml:space="preserve"> </w:t>
      </w:r>
      <w:r>
        <w:t>деятельностью</w:t>
      </w:r>
      <w:r w:rsidRPr="00AF543E">
        <w:t xml:space="preserve"> </w:t>
      </w:r>
      <w:r>
        <w:t>таких</w:t>
      </w:r>
      <w:r w:rsidRPr="00AF543E">
        <w:t xml:space="preserve"> </w:t>
      </w:r>
      <w:r>
        <w:t>компаний</w:t>
      </w:r>
      <w:r w:rsidRPr="00AF543E">
        <w:t xml:space="preserve"> </w:t>
      </w:r>
      <w:r>
        <w:t>за</w:t>
      </w:r>
      <w:r w:rsidRPr="00AF543E">
        <w:t xml:space="preserve"> </w:t>
      </w:r>
      <w:r>
        <w:t>рубежом</w:t>
      </w:r>
      <w:r w:rsidRPr="00AF543E">
        <w:t xml:space="preserve"> </w:t>
      </w:r>
      <w:r>
        <w:t>осуществляет</w:t>
      </w:r>
      <w:r w:rsidRPr="00AF543E">
        <w:t xml:space="preserve"> </w:t>
      </w:r>
      <w:r>
        <w:t>компетентный аккредитующий орган</w:t>
      </w:r>
      <w:r w:rsidRPr="004408E3">
        <w:rPr>
          <w:rStyle w:val="FootnoteReference"/>
        </w:rPr>
        <w:footnoteReference w:id="24"/>
      </w:r>
      <w:r>
        <w:t>. Швейцарское законодательство предусматривает конкретные санкции, включая штрафы и тюремное заключение, за такие нарушения как прямое участие в боевых действиях и серьезные нарушения прав человека. Закон требует страхования гражданской ответственности по рискам, связанным с деятельностью компании. Такую</w:t>
      </w:r>
      <w:r w:rsidRPr="002F442B">
        <w:t xml:space="preserve"> </w:t>
      </w:r>
      <w:r>
        <w:t>практику</w:t>
      </w:r>
      <w:r w:rsidRPr="002F442B">
        <w:t xml:space="preserve"> </w:t>
      </w:r>
      <w:r>
        <w:t>можно</w:t>
      </w:r>
      <w:r w:rsidRPr="002F442B">
        <w:t xml:space="preserve"> </w:t>
      </w:r>
      <w:r>
        <w:t>считать</w:t>
      </w:r>
      <w:r w:rsidRPr="002F442B">
        <w:t xml:space="preserve"> </w:t>
      </w:r>
      <w:r>
        <w:t>передовой</w:t>
      </w:r>
      <w:r w:rsidRPr="002F442B">
        <w:t>.</w:t>
      </w:r>
    </w:p>
    <w:p w:rsidR="00D72844" w:rsidRPr="00F04B10" w:rsidRDefault="00D72844" w:rsidP="00D72844">
      <w:pPr>
        <w:pStyle w:val="SingleTxt"/>
      </w:pPr>
      <w:r>
        <w:t>36.</w:t>
      </w:r>
      <w:r>
        <w:tab/>
        <w:t>В Венгрии компании, оказывающие частные охранные услуги, находятся под контролем полиции, которая следит за законностью их деятельности</w:t>
      </w:r>
      <w:r w:rsidRPr="004408E3">
        <w:rPr>
          <w:rStyle w:val="FootnoteReference"/>
        </w:rPr>
        <w:footnoteReference w:id="25"/>
      </w:r>
      <w:r>
        <w:t>. В Соединенном Королевстве не существует общенациональных нормативных положений относительно представления информации о предполагаемых противоправных действиях и нарушениях, но при этом понимается, что ответственность, которая по международному гуманитарному праву возлагается на совершающих военные преступления военнослужащих, будет также возлагаться и на персонал частных военных компаний, участвующих в вооруженном конфликте.</w:t>
      </w:r>
    </w:p>
    <w:p w:rsidR="00D72844" w:rsidRDefault="00D72844" w:rsidP="00D72844">
      <w:pPr>
        <w:pStyle w:val="SingleTxt"/>
      </w:pPr>
      <w:r>
        <w:t>37.</w:t>
      </w:r>
      <w:r>
        <w:tab/>
        <w:t>По своим формам и содержанию механизмы мониторинга отличаются друг от друга, за исключением Швейцарии, где законодательство не содержит требований о соблюдении компаниями или их сотрудниками международных стандартов в области прав человека. Необходимо обеспечивать подотчетность частных военных и охранных компаний и их сотрудников перед правительством своей страны происхождения, регистрации или деятельности. Следует создать унифицированные и эффективные механизмы подотчетности с целью обеспечения принудительного применения в судебном порядке режимов регулирования деятельности частных военных и охранных компаний, а также надлежащей уголовной подотчетности и гражданской ответственности</w:t>
      </w:r>
      <w:r w:rsidRPr="002B57CF">
        <w:t xml:space="preserve"> </w:t>
      </w:r>
      <w:r>
        <w:t>за нарушения прав человека как отдельными лицами, так и корпоративными субъектами</w:t>
      </w:r>
      <w:r w:rsidRPr="004408E3">
        <w:rPr>
          <w:rStyle w:val="FootnoteReference"/>
        </w:rPr>
        <w:footnoteReference w:id="26"/>
      </w:r>
      <w:r>
        <w:t>.</w:t>
      </w:r>
    </w:p>
    <w:p w:rsidR="00FC6C53" w:rsidRPr="00FC6C53" w:rsidRDefault="00FC6C53" w:rsidP="00FC6C53">
      <w:pPr>
        <w:pStyle w:val="SingleTxt"/>
        <w:spacing w:after="0" w:line="120" w:lineRule="exact"/>
        <w:rPr>
          <w:sz w:val="10"/>
        </w:rPr>
      </w:pPr>
    </w:p>
    <w:p w:rsidR="00D72844" w:rsidRDefault="00D72844" w:rsidP="00FC6C53">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3049A">
        <w:tab/>
      </w:r>
      <w:r w:rsidRPr="0063049A">
        <w:tab/>
        <w:t>Ратификация конвенций о наемниках</w:t>
      </w:r>
    </w:p>
    <w:p w:rsidR="00FC6C53" w:rsidRPr="00FC6C53" w:rsidRDefault="00FC6C53" w:rsidP="00FC6C53">
      <w:pPr>
        <w:pStyle w:val="SingleTxt"/>
        <w:spacing w:after="0" w:line="120" w:lineRule="exact"/>
        <w:rPr>
          <w:sz w:val="10"/>
        </w:rPr>
      </w:pPr>
    </w:p>
    <w:p w:rsidR="00D72844" w:rsidRDefault="00D72844" w:rsidP="00D72844">
      <w:pPr>
        <w:pStyle w:val="SingleTxt"/>
      </w:pPr>
      <w:r>
        <w:t>38.</w:t>
      </w:r>
      <w:r>
        <w:tab/>
        <w:t xml:space="preserve">Ни одна из четырех стран не подписала и не ратифицировала Международную конвенцию о борьбе с вербовкой, использованием, финансированием и обучением наемников, однако все они являются участниками Дополнительного протокола к Женевским конвенциям от 12 августа 1949 года, касающегося защиты жертв международных вооруженных конфликтов (Протокол </w:t>
      </w:r>
      <w:r>
        <w:rPr>
          <w:lang w:val="en-US"/>
        </w:rPr>
        <w:t>I</w:t>
      </w:r>
      <w:r w:rsidRPr="00A84D7B">
        <w:t>)</w:t>
      </w:r>
      <w:r>
        <w:t>, в статье 47 котор</w:t>
      </w:r>
      <w:r w:rsidR="001A4E7E">
        <w:t>ого дается определение термина «</w:t>
      </w:r>
      <w:r>
        <w:t>наемник</w:t>
      </w:r>
      <w:r w:rsidR="001A4E7E">
        <w:t>»</w:t>
      </w:r>
      <w:r>
        <w:t>.</w:t>
      </w:r>
    </w:p>
    <w:p w:rsidR="00FC6C53" w:rsidRPr="00FC6C53" w:rsidRDefault="00FC6C53" w:rsidP="00FC6C53">
      <w:pPr>
        <w:pStyle w:val="SingleTxt"/>
        <w:spacing w:after="0" w:line="120" w:lineRule="exact"/>
        <w:rPr>
          <w:sz w:val="10"/>
        </w:rPr>
      </w:pPr>
    </w:p>
    <w:p w:rsidR="00D72844" w:rsidRDefault="00D72844" w:rsidP="00FC6C5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84D7B">
        <w:tab/>
      </w:r>
      <w:r w:rsidRPr="00A84D7B">
        <w:tab/>
      </w:r>
      <w:r>
        <w:t>Центральная Америка</w:t>
      </w:r>
    </w:p>
    <w:p w:rsidR="00FC6C53" w:rsidRPr="00FC6C53" w:rsidRDefault="00FC6C53" w:rsidP="00FC6C53">
      <w:pPr>
        <w:pStyle w:val="SingleTxt"/>
        <w:spacing w:after="0" w:line="120" w:lineRule="exact"/>
        <w:rPr>
          <w:sz w:val="10"/>
        </w:rPr>
      </w:pPr>
    </w:p>
    <w:p w:rsidR="00D72844" w:rsidRDefault="00D72844" w:rsidP="00FC6C53">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3049A">
        <w:tab/>
      </w:r>
      <w:r w:rsidRPr="0063049A">
        <w:tab/>
        <w:t>Сфера применения законодательства</w:t>
      </w:r>
    </w:p>
    <w:p w:rsidR="00FC6C53" w:rsidRPr="00FC6C53" w:rsidRDefault="00FC6C53" w:rsidP="00FC6C53">
      <w:pPr>
        <w:pStyle w:val="SingleTxt"/>
        <w:spacing w:after="0" w:line="120" w:lineRule="exact"/>
        <w:rPr>
          <w:sz w:val="10"/>
        </w:rPr>
      </w:pPr>
    </w:p>
    <w:p w:rsidR="00D72844" w:rsidRPr="00A84D7B" w:rsidRDefault="00D72844" w:rsidP="00D72844">
      <w:pPr>
        <w:pStyle w:val="SingleTxt"/>
      </w:pPr>
      <w:r>
        <w:t>39.</w:t>
      </w:r>
      <w:r>
        <w:tab/>
        <w:t>Соответствующие законы применяются только внутри страны (ни один из законов не предусматривает экстратерриториальное применение).</w:t>
      </w:r>
    </w:p>
    <w:p w:rsidR="00D72844" w:rsidRPr="00A84D7B" w:rsidRDefault="00D72844" w:rsidP="00D72844">
      <w:pPr>
        <w:pStyle w:val="SingleTxt"/>
      </w:pPr>
      <w:r>
        <w:t>40.</w:t>
      </w:r>
      <w:r>
        <w:tab/>
        <w:t>Во всех законах прописаны определенные виды деятельности, в частности охрана и защита имущества и физических лиц, поддержание порядка на общественных мероприятиях, оказание услуг телохранителей, обеспечение безопасных перевозок, производство и маркетинг оборудования и систем безопасности, а также оказание консультативной помощи по вопросам безопасности.</w:t>
      </w:r>
    </w:p>
    <w:p w:rsidR="00D72844" w:rsidRDefault="00D72844" w:rsidP="00D72844">
      <w:pPr>
        <w:pStyle w:val="SingleTxt"/>
      </w:pPr>
      <w:r>
        <w:t>41.</w:t>
      </w:r>
      <w:r>
        <w:tab/>
        <w:t>Что касается ссылок на права человека, то по законодательству Гватемалы права человека подлежат защите наряду с личными и коллективными правами на безопасность. В</w:t>
      </w:r>
      <w:r w:rsidRPr="000A2A6C">
        <w:t xml:space="preserve"> </w:t>
      </w:r>
      <w:r>
        <w:t>Сальвадоре</w:t>
      </w:r>
      <w:r w:rsidRPr="000A2A6C">
        <w:t xml:space="preserve"> </w:t>
      </w:r>
      <w:r>
        <w:t>особое</w:t>
      </w:r>
      <w:r w:rsidRPr="000A2A6C">
        <w:t xml:space="preserve"> </w:t>
      </w:r>
      <w:r>
        <w:t>внимание</w:t>
      </w:r>
      <w:r w:rsidRPr="000A2A6C">
        <w:t xml:space="preserve"> </w:t>
      </w:r>
      <w:r>
        <w:t>уделяется</w:t>
      </w:r>
      <w:r w:rsidRPr="000A2A6C">
        <w:t xml:space="preserve"> </w:t>
      </w:r>
      <w:r>
        <w:t>также</w:t>
      </w:r>
      <w:r w:rsidRPr="000A2A6C">
        <w:t xml:space="preserve"> </w:t>
      </w:r>
      <w:r>
        <w:t>общественной</w:t>
      </w:r>
      <w:r w:rsidRPr="000A2A6C">
        <w:t xml:space="preserve"> </w:t>
      </w:r>
      <w:r>
        <w:t>безопасности</w:t>
      </w:r>
      <w:r w:rsidRPr="000A2A6C">
        <w:t xml:space="preserve">. </w:t>
      </w:r>
      <w:r>
        <w:t>Ни в одном из проанализированных нормативных актов не упоминается международное гуманитарное право. Ссылки на международные договоры в области прав человека присутствуют в законодательстве Гватемалы, а в законах Коста-Рики международные договоры упоминаются в контексте обеспечения безопасности дипломатических представительств.</w:t>
      </w:r>
      <w:r w:rsidRPr="00A84D7B">
        <w:t xml:space="preserve"> </w:t>
      </w:r>
    </w:p>
    <w:p w:rsidR="00FC6C53" w:rsidRPr="00FC6C53" w:rsidRDefault="00FC6C53" w:rsidP="00FC6C53">
      <w:pPr>
        <w:pStyle w:val="SingleTxt"/>
        <w:spacing w:after="0" w:line="120" w:lineRule="exact"/>
        <w:rPr>
          <w:sz w:val="10"/>
        </w:rPr>
      </w:pPr>
    </w:p>
    <w:p w:rsidR="00D72844" w:rsidRDefault="00D72844" w:rsidP="00FC6C53">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F442B">
        <w:tab/>
      </w:r>
      <w:r w:rsidRPr="002F442B">
        <w:tab/>
      </w:r>
      <w:r w:rsidRPr="0063049A">
        <w:t>Лицензирование</w:t>
      </w:r>
      <w:r w:rsidRPr="002F442B">
        <w:t xml:space="preserve">, </w:t>
      </w:r>
      <w:r w:rsidRPr="0063049A">
        <w:t>аккредитация</w:t>
      </w:r>
      <w:r w:rsidRPr="002F442B">
        <w:t xml:space="preserve"> </w:t>
      </w:r>
      <w:r w:rsidRPr="0063049A">
        <w:t>и</w:t>
      </w:r>
      <w:r w:rsidRPr="002F442B">
        <w:t xml:space="preserve"> </w:t>
      </w:r>
      <w:r w:rsidRPr="0063049A">
        <w:t>регистрация</w:t>
      </w:r>
    </w:p>
    <w:p w:rsidR="00FC6C53" w:rsidRPr="00FC6C53" w:rsidRDefault="00FC6C53" w:rsidP="00FC6C53">
      <w:pPr>
        <w:pStyle w:val="SingleTxt"/>
        <w:spacing w:after="0" w:line="120" w:lineRule="exact"/>
        <w:rPr>
          <w:sz w:val="10"/>
        </w:rPr>
      </w:pPr>
    </w:p>
    <w:p w:rsidR="00D72844" w:rsidRPr="00A84D7B" w:rsidRDefault="00D72844" w:rsidP="00D72844">
      <w:pPr>
        <w:pStyle w:val="SingleTxt"/>
      </w:pPr>
      <w:r>
        <w:t>42.</w:t>
      </w:r>
      <w:r>
        <w:tab/>
        <w:t>Хотя во всех странах имеются нормативные положения об аккредитации и получении разрешений на осуществление деятельности, в большинстве из них не делается ссылок на конкретные законы о правах человека, как на условия получения таких разрешений. Исключение составляют Гватемала, Коста-Рика и Сальвадор, которые, однако, не включают нарушения прав человека в перечень административных правонарушений.</w:t>
      </w:r>
    </w:p>
    <w:p w:rsidR="00D72844" w:rsidRPr="00A84D7B" w:rsidRDefault="00D72844" w:rsidP="00D72844">
      <w:pPr>
        <w:pStyle w:val="SingleTxt"/>
      </w:pPr>
      <w:r>
        <w:t>43.</w:t>
      </w:r>
      <w:r>
        <w:tab/>
        <w:t>Надзорные функции осуществляются министерствами, которые несут ответственность за поддержание общественной безопасности и, в отдельных случаях, полицией. Такие структуры отвечают за обеспечение выполнения законов, которые регулируют деятельность частных охранных компаний. В целом они следят за соблюдением установленных требований, выдают аккредитации и разрешения на деятельность. В случае несоблюдения правил они применяют санкции, начиная от предупреждения и штрафа до приостановления или отзыва разрешения на деятельность. Они также продлевают срок действия аккредитаций и разрешений. В определенных случаях они определяют и санкционируют осуществление учебных программ и применение учебных планов (Гватемала). Они также проводят периодические инспекции и хранят отчетность, представляемую частными охранными структурами.</w:t>
      </w:r>
    </w:p>
    <w:p w:rsidR="00D72844" w:rsidRPr="00AA5C37" w:rsidRDefault="00D72844" w:rsidP="00D72844">
      <w:pPr>
        <w:pStyle w:val="SingleTxt"/>
      </w:pPr>
      <w:r w:rsidRPr="00AA5C37">
        <w:t>44.</w:t>
      </w:r>
      <w:r w:rsidRPr="00AA5C37">
        <w:tab/>
      </w:r>
      <w:r>
        <w:t>Во всех охваченных обзором странах требуется подача письменного заявления в компетентный орган и представление документации в зависимости от типа оказываемых услуг, а также от того, предоставляет ли их физическое лицо или компания. Для получения разрешения требуется устав компании, послужные списки сотрудников и руководителей, сведения о предполагаемых видах деятельности и сотрудниках. Все правила предусматривают выплату сборов, оформление страховки за ущерб третьим сторонам и медицинского страхования персонала. При наличии у частной охранной компании огнестрельного оружия, она обязана иметь защищенное место его хранения и удостоверить прохождение надлежащей подготовки своими сотрудниками. Должны также сообщаться дополнительные сведения об объектах, оборудовании и огнестрельном оружии компании. Инструкции по его применению подлежат утверждению полномочным органом. Разрешения могут продлеваться на установленный срок (на два года в Никарагуа и Гондурасе, на три года в Гватемале и Сальвадоре и на пять лет в Коста-Рике и на Кубе) и могут быть отклонены, приостановлены, аннулированы или отменены за несоблюдение законных требований и обязательств.</w:t>
      </w:r>
    </w:p>
    <w:p w:rsidR="00D72844" w:rsidRPr="00AA5C37" w:rsidRDefault="00D72844" w:rsidP="00D72844">
      <w:pPr>
        <w:pStyle w:val="SingleTxt"/>
      </w:pPr>
      <w:r>
        <w:t>45.</w:t>
      </w:r>
      <w:r>
        <w:tab/>
        <w:t>Законодательство Кубы по многим важным моментам отличается от других стран. В частности, статья 3 закона 186/1998 устанавливает и регулирует систему охраны и услуги, которые могут предоставляться в этом секторе.</w:t>
      </w:r>
    </w:p>
    <w:p w:rsidR="00D72844" w:rsidRPr="00AA5C37" w:rsidRDefault="00D72844" w:rsidP="00D72844">
      <w:pPr>
        <w:pStyle w:val="SingleTxt"/>
      </w:pPr>
      <w:r>
        <w:t>46.</w:t>
      </w:r>
      <w:r>
        <w:tab/>
        <w:t xml:space="preserve">По законодательству Панамы владельцами компании должны быть граждане этой страны (закон № 21/1992, статья 4), а иностранцы должны получать особое разрешение в Министерстве государственного управления и юстиции. Федеральное законодательство Мексики требует, чтобы лица, планирующие создание компаний, имели мексиканское гражданство (статья 25, </w:t>
      </w:r>
      <w:r>
        <w:rPr>
          <w:lang w:val="en-US"/>
        </w:rPr>
        <w:t>I</w:t>
      </w:r>
      <w:r w:rsidRPr="00AA5C37">
        <w:t xml:space="preserve"> </w:t>
      </w:r>
      <w:r>
        <w:t xml:space="preserve">и </w:t>
      </w:r>
      <w:r>
        <w:rPr>
          <w:lang w:val="en-US"/>
        </w:rPr>
        <w:t>VI</w:t>
      </w:r>
      <w:r>
        <w:t>). По законодательству Коста-Рики проживающие в стране иностранцы могут оказывать услуги охранников, а иностранные компании в Гондурасе, запрашивающие разрешение на работу, должны объединяться с гондурасскими компаниями, осуществляющими аналогичную деятельность, и назначать управляющего из числа лиц, рожденных в Гондурасе (статья 138).</w:t>
      </w:r>
    </w:p>
    <w:p w:rsidR="00D72844" w:rsidRDefault="00D72844" w:rsidP="00D72844">
      <w:pPr>
        <w:pStyle w:val="SingleTxt"/>
      </w:pPr>
      <w:r>
        <w:t>47.</w:t>
      </w:r>
      <w:r>
        <w:tab/>
        <w:t>Во всех рассмотренных странах имеется надзирающий орган, который ведет регистр частных охранных структур, содержащий информацию об их деятельности и персонале</w:t>
      </w:r>
      <w:r w:rsidRPr="004408E3">
        <w:rPr>
          <w:rStyle w:val="FootnoteReference"/>
        </w:rPr>
        <w:footnoteReference w:id="27"/>
      </w:r>
      <w:r>
        <w:t>.</w:t>
      </w:r>
    </w:p>
    <w:p w:rsidR="00FC6C53" w:rsidRPr="00FC6C53" w:rsidRDefault="00FC6C53" w:rsidP="00FC6C53">
      <w:pPr>
        <w:pStyle w:val="SingleTxt"/>
        <w:spacing w:after="0" w:line="120" w:lineRule="exact"/>
        <w:rPr>
          <w:sz w:val="10"/>
        </w:rPr>
      </w:pPr>
    </w:p>
    <w:p w:rsidR="00D72844" w:rsidRDefault="00D72844" w:rsidP="00FC6C53">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3049A">
        <w:tab/>
      </w:r>
      <w:r w:rsidRPr="0063049A">
        <w:tab/>
        <w:t>Отбор и подготовка персонала частных военных и охранных компаний</w:t>
      </w:r>
    </w:p>
    <w:p w:rsidR="00FC6C53" w:rsidRPr="00FC6C53" w:rsidRDefault="00FC6C53" w:rsidP="00FC6C53">
      <w:pPr>
        <w:pStyle w:val="SingleTxt"/>
        <w:spacing w:after="0" w:line="120" w:lineRule="exact"/>
        <w:rPr>
          <w:sz w:val="10"/>
        </w:rPr>
      </w:pPr>
    </w:p>
    <w:p w:rsidR="00D72844" w:rsidRPr="00FE747E" w:rsidRDefault="00D72844" w:rsidP="00D72844">
      <w:pPr>
        <w:pStyle w:val="SingleTxt"/>
      </w:pPr>
      <w:r>
        <w:t>48.</w:t>
      </w:r>
      <w:r>
        <w:tab/>
        <w:t>В целом в странах-объектах обзора не имеется описания процессов отбора кадров, однако действуют требования в отношении управления компанией и персоналом. Они разнятся в зависимости от того, вооружены или нет сотрудники, а также от конкретных предоставляемых услуг.</w:t>
      </w:r>
    </w:p>
    <w:p w:rsidR="00D72844" w:rsidRDefault="00D72844" w:rsidP="00D72844">
      <w:pPr>
        <w:pStyle w:val="SingleTxt"/>
      </w:pPr>
      <w:r w:rsidRPr="00FE747E">
        <w:t>49.</w:t>
      </w:r>
      <w:r>
        <w:tab/>
        <w:t xml:space="preserve">Сотрудниками частных военных и охранных компаний могут быть только совершеннолетние лица, имеющие минимальный уровень образования, как правило, начального или базового. В нормативных актах Гондураса и </w:t>
      </w:r>
      <w:r w:rsidRPr="0041332E">
        <w:t>Кубы</w:t>
      </w:r>
      <w:r>
        <w:t xml:space="preserve"> этот момент не рассматривается. В Гондурасе, Никарагуа и Мексике сотрудники должны быть гражданами этих стран</w:t>
      </w:r>
      <w:r w:rsidRPr="004408E3">
        <w:rPr>
          <w:rStyle w:val="FootnoteReference"/>
        </w:rPr>
        <w:footnoteReference w:id="28"/>
      </w:r>
      <w:r>
        <w:t xml:space="preserve">. На Кубе они должны проживать в стране. В Коста-Рике и Сальвадоре персонал таких компаний может включать проживающих в стране иностранцев, а в законодательстве Гватемалы вопросы гражданства не затрагиваются. Постоянно проживающие в стране иностранцы должны быть зарегистрированы в стране своего происхождения и в течение последних пяти лет проживать в стране. </w:t>
      </w:r>
    </w:p>
    <w:p w:rsidR="00D72844" w:rsidRPr="00435B22" w:rsidRDefault="00D72844" w:rsidP="00D72844">
      <w:pPr>
        <w:pStyle w:val="SingleTxt"/>
      </w:pPr>
      <w:r>
        <w:t>50.</w:t>
      </w:r>
      <w:r>
        <w:tab/>
        <w:t>Общим критерием найма персонала является его пригодность и надлежащие моральные качества, подтверждаемые безупречным полицейским досье. Законодательство Коста-Рики требует, чтобы кандидаты не имели конфликтов с законом в течение предыдущих десяти лет</w:t>
      </w:r>
      <w:r w:rsidRPr="004408E3">
        <w:rPr>
          <w:rStyle w:val="FootnoteReference"/>
        </w:rPr>
        <w:footnoteReference w:id="29"/>
      </w:r>
      <w:r>
        <w:t>; по законодательству Сальвадора охранники не должны иметь приводов в полицию, а Гватемала является единственной страной, требующей от кандидатов доказательства того, что их предыдущая работа по контракту не была прервана из-за совершения ими преступлений или нарушений прав человека. В Панаме кандидаты не должны быть уволены из государственного учреждения за совершение преступления или серьезного административного нарушения</w:t>
      </w:r>
      <w:r w:rsidRPr="004408E3">
        <w:rPr>
          <w:rStyle w:val="FootnoteReference"/>
        </w:rPr>
        <w:footnoteReference w:id="30"/>
      </w:r>
      <w:r>
        <w:t>.</w:t>
      </w:r>
    </w:p>
    <w:p w:rsidR="00D72844" w:rsidRPr="005E43B7" w:rsidRDefault="00D72844" w:rsidP="00D72844">
      <w:pPr>
        <w:pStyle w:val="SingleTxt"/>
      </w:pPr>
      <w:r>
        <w:t>51.</w:t>
      </w:r>
      <w:r>
        <w:tab/>
        <w:t>Гватемала, Коста-Рика и Сальвадор требуют прохождения психологического и физического освидетельствования. В Никарагуа и Сальвадоре также действует требование, в соответствии с которым кандидат должен быть психически и физически здоров.</w:t>
      </w:r>
    </w:p>
    <w:p w:rsidR="00D72844" w:rsidRPr="005E43B7" w:rsidRDefault="00D72844" w:rsidP="00D72844">
      <w:pPr>
        <w:pStyle w:val="SingleTxt"/>
      </w:pPr>
      <w:r>
        <w:t>52.</w:t>
      </w:r>
      <w:r>
        <w:tab/>
        <w:t>В кубинских нормативных документах не прописаны требования, которым должен соответствовать оперативный персонал. Такие требования регулируются министерствами внутренних дел, труда и социального обеспечения.</w:t>
      </w:r>
    </w:p>
    <w:p w:rsidR="00D72844" w:rsidRPr="005E43B7" w:rsidRDefault="00D72844" w:rsidP="00D72844">
      <w:pPr>
        <w:pStyle w:val="SingleTxt"/>
      </w:pPr>
      <w:r>
        <w:t>53.</w:t>
      </w:r>
      <w:r>
        <w:tab/>
        <w:t>В целом в нормативной базе этих стран отсутствуют требования, касающиеся соблюдения прав человека, за исключением Гватемалы, где кандидаты, прошедшие службу в армии, сотрудники национальной гражданской полиции, государственных разведслужб или другой частной охранной компании должны доказать, что если они были уволены</w:t>
      </w:r>
      <w:r w:rsidRPr="001D45D2">
        <w:t xml:space="preserve"> </w:t>
      </w:r>
      <w:r>
        <w:t xml:space="preserve">из этих структур, то это не произошло из-за совершения ими преступления или нарушения прав человека. </w:t>
      </w:r>
    </w:p>
    <w:p w:rsidR="00D72844" w:rsidRPr="0006034E" w:rsidRDefault="00D72844" w:rsidP="00D72844">
      <w:pPr>
        <w:pStyle w:val="SingleTxt"/>
      </w:pPr>
      <w:r>
        <w:t>54.</w:t>
      </w:r>
      <w:r>
        <w:tab/>
        <w:t>Большинство правил предусматривает прохождения обучения на курсах в признанных по закону учреждениях. Однако в законах и правилах не оговаривается содержание учебных планов или их продолжительность, за исключением отдельных случаев, когда такая информация носит общий характер. Не существует установленных стандартов и процедур контроля качества подготовки, хотя действуют определенные требования в отношении применения огнестрельного оружия.</w:t>
      </w:r>
    </w:p>
    <w:p w:rsidR="00D72844" w:rsidRPr="0006034E" w:rsidRDefault="00D72844" w:rsidP="00D72844">
      <w:pPr>
        <w:pStyle w:val="SingleTxt"/>
      </w:pPr>
      <w:r>
        <w:t>55.</w:t>
      </w:r>
      <w:r>
        <w:tab/>
        <w:t>В Никарагуа запрещается использовать боевое огнестрельное оружие. Панама предписывает кандидатам проходить подготовку по вопросам обращения с огнестрельным оружием и его применения, и не менее двух раз в год практиковаться в стрельбе в тире</w:t>
      </w:r>
      <w:r w:rsidRPr="004408E3">
        <w:rPr>
          <w:rStyle w:val="FootnoteReference"/>
        </w:rPr>
        <w:footnoteReference w:id="31"/>
      </w:r>
      <w:r>
        <w:t>. Персонал частных охранных компаний Коста-Рики должен проходить курс обучения в национальной полицейской академии.</w:t>
      </w:r>
    </w:p>
    <w:p w:rsidR="00D72844" w:rsidRPr="00983770" w:rsidRDefault="00D72844" w:rsidP="00D72844">
      <w:pPr>
        <w:pStyle w:val="SingleTxt"/>
      </w:pPr>
      <w:r w:rsidRPr="00435B22">
        <w:t>56.</w:t>
      </w:r>
      <w:r w:rsidRPr="00435B22">
        <w:tab/>
        <w:t xml:space="preserve"> В большинстве стран, за исключением Гватемалы, Мексики и Сальвадора, не уточняются учебные планы в области прав человека. Согласно мексиканскому законодательству предоставляющие услуги структуры обязаны организовывать курсы подготовки для своих сотрудников по утвержденному образцу, предусматривающие освещение проблематики прав человек</w:t>
      </w:r>
      <w:r w:rsidR="00AE2FCA">
        <w:t>а не менее одного раза в год. В </w:t>
      </w:r>
      <w:r w:rsidRPr="00435B22">
        <w:t>законодательстве Сальвадора уточняются определенные подробности содержания таких учебных планов и упоминаются курсы, охватывающие процедуры ознакомления частных агентов с правами человека. В Гватемале предусматривается теоретическая и практическая подготовка по правам человека в соответствии с международными стандартами, а также по применению силы и огнестрельного оружия</w:t>
      </w:r>
      <w:r w:rsidRPr="004408E3">
        <w:rPr>
          <w:rStyle w:val="FootnoteReference"/>
        </w:rPr>
        <w:footnoteReference w:id="32"/>
      </w:r>
      <w:r w:rsidRPr="00435B22">
        <w:t>.</w:t>
      </w:r>
    </w:p>
    <w:p w:rsidR="00D72844" w:rsidRDefault="00D72844" w:rsidP="00D72844">
      <w:pPr>
        <w:pStyle w:val="SingleTxt"/>
      </w:pPr>
      <w:r>
        <w:t>57.</w:t>
      </w:r>
      <w:r>
        <w:tab/>
        <w:t xml:space="preserve">Слабость требований к содержанию курсов подготовки и их продолжительности создает риски в отношении соблюдения и защиты прав человека, особенно в тех случаях, когда к персоналу применяются достаточно низкие требования по уровню образования. И в том и в другом отношении необходимо ввести минимальные стандарты, что обеспечит получение сотрудниками базовых знаний и закрепление стандартов прав человека в качестве этической и юридической основы деятельности частных охранных агентств. Они должны действовать с сознанием своей ответственности в ситуациях, связанных с возможным законным применением силы, особенно поскольку все нормативные акты допускают применение оружия. </w:t>
      </w:r>
    </w:p>
    <w:p w:rsidR="00FC6C53" w:rsidRPr="00FC6C53" w:rsidRDefault="00FC6C53" w:rsidP="00FC6C53">
      <w:pPr>
        <w:pStyle w:val="SingleTxt"/>
        <w:spacing w:after="0" w:line="120" w:lineRule="exact"/>
        <w:rPr>
          <w:sz w:val="10"/>
        </w:rPr>
      </w:pPr>
    </w:p>
    <w:p w:rsidR="00D72844" w:rsidRDefault="00D72844" w:rsidP="004318AA">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3049A">
        <w:tab/>
      </w:r>
      <w:r w:rsidRPr="0063049A">
        <w:tab/>
        <w:t>Разрешенные и запрещенные виды деятельности</w:t>
      </w:r>
    </w:p>
    <w:p w:rsidR="00FC6C53" w:rsidRPr="00FC6C53" w:rsidRDefault="00FC6C53" w:rsidP="00FC6C53">
      <w:pPr>
        <w:pStyle w:val="SingleTxt"/>
        <w:spacing w:after="0" w:line="120" w:lineRule="exact"/>
        <w:rPr>
          <w:iCs/>
          <w:sz w:val="10"/>
        </w:rPr>
      </w:pPr>
    </w:p>
    <w:p w:rsidR="00D72844" w:rsidRPr="00915E81" w:rsidRDefault="00D72844" w:rsidP="00D72844">
      <w:pPr>
        <w:pStyle w:val="SingleTxt"/>
      </w:pPr>
      <w:r>
        <w:t>58.</w:t>
      </w:r>
      <w:r>
        <w:tab/>
        <w:t>Разрешенные виды деятельности включают охрану и защиту имущества, физических лиц и общественных мероприятий, предоставление услуг телохранителей, услуги по безопасной перевозке грузов, производство и продажу систем охраны и оказание консультативных услуг по вопросам безопасности. Во всех странах, за исключением Никарагуа, допускается проведение частных расследований. Мексиканское федеральное законодательство включает оказание охранными компаниями услуг по сбору информации, включая подготовку информационных-аналитических справок, а также предусматривает установку и продажу систем броневой защиты.</w:t>
      </w:r>
    </w:p>
    <w:p w:rsidR="00D72844" w:rsidRPr="002F442B" w:rsidRDefault="00D72844" w:rsidP="00D72844">
      <w:pPr>
        <w:pStyle w:val="SingleTxt"/>
      </w:pPr>
      <w:r>
        <w:t>59.</w:t>
      </w:r>
      <w:r>
        <w:tab/>
        <w:t>Частные компании могут действовать только в местах или зданиях, на охрану которых они имеют договор. В исключительных случаях, например в Никарагуа, сотрудникам частных охранных предприятий разрешено работать в общественных местах. Во избежание путаницы не допускается использование форменной одежды, удостоверений личности, логотипов и окраски автомобилей, аналогичной тем, которые используются полицией или вооруженными силами. Запрещено</w:t>
      </w:r>
      <w:r w:rsidRPr="002F442B">
        <w:t xml:space="preserve"> </w:t>
      </w:r>
      <w:r>
        <w:t>также</w:t>
      </w:r>
      <w:r w:rsidRPr="002F442B">
        <w:t xml:space="preserve"> </w:t>
      </w:r>
      <w:r>
        <w:t>применение</w:t>
      </w:r>
      <w:r w:rsidRPr="002F442B">
        <w:t xml:space="preserve"> </w:t>
      </w:r>
      <w:r>
        <w:t>и</w:t>
      </w:r>
      <w:r w:rsidRPr="002F442B">
        <w:t xml:space="preserve"> </w:t>
      </w:r>
      <w:r>
        <w:t>ношение</w:t>
      </w:r>
      <w:r w:rsidRPr="002F442B">
        <w:t xml:space="preserve"> </w:t>
      </w:r>
      <w:r>
        <w:t>оружия</w:t>
      </w:r>
      <w:r w:rsidRPr="002F442B">
        <w:t xml:space="preserve"> </w:t>
      </w:r>
      <w:r>
        <w:t>без</w:t>
      </w:r>
      <w:r w:rsidRPr="002F442B">
        <w:t xml:space="preserve"> </w:t>
      </w:r>
      <w:r>
        <w:t>надлежащего</w:t>
      </w:r>
      <w:r w:rsidRPr="002F442B">
        <w:t xml:space="preserve"> </w:t>
      </w:r>
      <w:r>
        <w:t>разрешения</w:t>
      </w:r>
      <w:r w:rsidRPr="002F442B">
        <w:t>.</w:t>
      </w:r>
    </w:p>
    <w:p w:rsidR="00D72844" w:rsidRPr="00232C6B" w:rsidRDefault="00D72844" w:rsidP="00D72844">
      <w:pPr>
        <w:pStyle w:val="SingleTxt"/>
      </w:pPr>
      <w:r w:rsidRPr="00915E81">
        <w:t>60.</w:t>
      </w:r>
      <w:r w:rsidRPr="00915E81">
        <w:tab/>
      </w:r>
      <w:r>
        <w:t>Действует общий запрет в отношении видов деятельности, которые закреплены за полицией и вооруженными силами. Законодательством Коста-Рики за</w:t>
      </w:r>
      <w:r w:rsidR="00AE2FCA">
        <w:t>прещено «</w:t>
      </w:r>
      <w:r>
        <w:t>имитировать или подменять роль, выполняемую административными или судебными органами или вмешиваться в их работу</w:t>
      </w:r>
      <w:r w:rsidR="00AE2FCA">
        <w:t>»</w:t>
      </w:r>
      <w:r>
        <w:t>, а также оказывать услуги в местах лишения свободы</w:t>
      </w:r>
      <w:r w:rsidRPr="004408E3">
        <w:rPr>
          <w:rStyle w:val="FootnoteReference"/>
        </w:rPr>
        <w:footnoteReference w:id="33"/>
      </w:r>
      <w:r>
        <w:t>. В Сальвадоре запрещается проводить расследования, которые относятся к исключительной компетенции прокуратуры или национальной полиции</w:t>
      </w:r>
      <w:r w:rsidRPr="004408E3">
        <w:rPr>
          <w:rStyle w:val="FootnoteReference"/>
        </w:rPr>
        <w:footnoteReference w:id="34"/>
      </w:r>
      <w:r>
        <w:t>. Законодательство Гватемалы наиболее подробно разработано в этом отношении и запрещает частным охранным компаниям выполнять функции, которые относятся к числу задач правительства</w:t>
      </w:r>
      <w:r w:rsidRPr="004408E3">
        <w:rPr>
          <w:rStyle w:val="FootnoteReference"/>
        </w:rPr>
        <w:footnoteReference w:id="35"/>
      </w:r>
      <w:r>
        <w:t>.</w:t>
      </w:r>
      <w:r w:rsidRPr="00915E81">
        <w:t xml:space="preserve"> </w:t>
      </w:r>
      <w:r>
        <w:t>Мексиканское законодательство запрещает сотрудникам частных охранных компаний исполнять работу, которая возложена на прокуратуру и полицию, например, собирать исходную информацию о физических лицах</w:t>
      </w:r>
      <w:r w:rsidRPr="004408E3">
        <w:rPr>
          <w:rStyle w:val="FootnoteReference"/>
        </w:rPr>
        <w:footnoteReference w:id="36"/>
      </w:r>
      <w:r>
        <w:t xml:space="preserve">. В Гондурасе запрещено использовать объекты или оборудование национальной полиции в целях подготовки сотрудников или компаний, которые предоставляют охранные услуги. </w:t>
      </w:r>
    </w:p>
    <w:p w:rsidR="00D72844" w:rsidRPr="00C5497C" w:rsidRDefault="00D72844" w:rsidP="00D72844">
      <w:pPr>
        <w:pStyle w:val="SingleTxt"/>
      </w:pPr>
      <w:r w:rsidRPr="003635FA">
        <w:t>61.</w:t>
      </w:r>
      <w:r w:rsidRPr="00232C6B">
        <w:tab/>
      </w:r>
      <w:r>
        <w:t>Несколько стран</w:t>
      </w:r>
      <w:r w:rsidRPr="00232C6B">
        <w:t xml:space="preserve"> </w:t>
      </w:r>
      <w:r>
        <w:t>ввели</w:t>
      </w:r>
      <w:r w:rsidRPr="00232C6B">
        <w:t xml:space="preserve"> </w:t>
      </w:r>
      <w:r>
        <w:t>запреты</w:t>
      </w:r>
      <w:r w:rsidRPr="00232C6B">
        <w:t xml:space="preserve">, </w:t>
      </w:r>
      <w:r>
        <w:t>которые</w:t>
      </w:r>
      <w:r w:rsidRPr="00232C6B">
        <w:t xml:space="preserve"> </w:t>
      </w:r>
      <w:r>
        <w:t>могут</w:t>
      </w:r>
      <w:r w:rsidRPr="00232C6B">
        <w:t xml:space="preserve"> </w:t>
      </w:r>
      <w:r>
        <w:t>быть</w:t>
      </w:r>
      <w:r w:rsidRPr="00232C6B">
        <w:t xml:space="preserve"> </w:t>
      </w:r>
      <w:r>
        <w:t>связаны</w:t>
      </w:r>
      <w:r w:rsidRPr="00232C6B">
        <w:t xml:space="preserve"> </w:t>
      </w:r>
      <w:r>
        <w:t>с</w:t>
      </w:r>
      <w:r w:rsidRPr="00232C6B">
        <w:t xml:space="preserve"> </w:t>
      </w:r>
      <w:r>
        <w:t>деятельностью</w:t>
      </w:r>
      <w:r w:rsidRPr="00232C6B">
        <w:t xml:space="preserve"> </w:t>
      </w:r>
      <w:r>
        <w:t>военного</w:t>
      </w:r>
      <w:r w:rsidRPr="00232C6B">
        <w:t xml:space="preserve"> </w:t>
      </w:r>
      <w:r>
        <w:t>характера</w:t>
      </w:r>
      <w:r w:rsidRPr="00232C6B">
        <w:t xml:space="preserve"> </w:t>
      </w:r>
      <w:r>
        <w:t>или</w:t>
      </w:r>
      <w:r w:rsidRPr="00232C6B">
        <w:t xml:space="preserve"> </w:t>
      </w:r>
      <w:r>
        <w:t>с</w:t>
      </w:r>
      <w:r w:rsidRPr="00232C6B">
        <w:t xml:space="preserve"> </w:t>
      </w:r>
      <w:r>
        <w:t>деятельностью</w:t>
      </w:r>
      <w:r w:rsidRPr="00232C6B">
        <w:t xml:space="preserve"> </w:t>
      </w:r>
      <w:r>
        <w:t>ополчения</w:t>
      </w:r>
      <w:r w:rsidRPr="00232C6B">
        <w:t xml:space="preserve"> </w:t>
      </w:r>
      <w:r>
        <w:t>либо</w:t>
      </w:r>
      <w:r w:rsidRPr="00232C6B">
        <w:t xml:space="preserve"> </w:t>
      </w:r>
      <w:r>
        <w:t>наемников</w:t>
      </w:r>
      <w:r w:rsidRPr="00232C6B">
        <w:t xml:space="preserve">. </w:t>
      </w:r>
      <w:r>
        <w:t>В Коста-Рике и Сальвадоре законодательство запрещает существование или деятельность любых вооруженных частных групп, не прошедших аккредитацию и не соблюдающих требования закона</w:t>
      </w:r>
      <w:r w:rsidRPr="004408E3">
        <w:rPr>
          <w:rStyle w:val="FootnoteReference"/>
        </w:rPr>
        <w:footnoteReference w:id="37"/>
      </w:r>
      <w:r>
        <w:t>. Гондурас запрещает гражданам своей страны или иностранцам проходить подготовку или практические занятия с целью оказания частных охранных услуг за рубежом</w:t>
      </w:r>
      <w:r w:rsidRPr="004408E3">
        <w:rPr>
          <w:rStyle w:val="FootnoteReference"/>
        </w:rPr>
        <w:footnoteReference w:id="38"/>
      </w:r>
      <w:r>
        <w:t>. Законодательством</w:t>
      </w:r>
      <w:r w:rsidRPr="00232C6B">
        <w:t xml:space="preserve"> </w:t>
      </w:r>
      <w:r>
        <w:t>Коста</w:t>
      </w:r>
      <w:r w:rsidRPr="00232C6B">
        <w:t>-</w:t>
      </w:r>
      <w:r>
        <w:t>Рики</w:t>
      </w:r>
      <w:r w:rsidRPr="00232C6B">
        <w:t xml:space="preserve"> </w:t>
      </w:r>
      <w:r>
        <w:t>запрещается</w:t>
      </w:r>
      <w:r w:rsidRPr="00232C6B">
        <w:t xml:space="preserve"> </w:t>
      </w:r>
      <w:r>
        <w:t>задержание</w:t>
      </w:r>
      <w:r w:rsidRPr="00232C6B">
        <w:t xml:space="preserve">, </w:t>
      </w:r>
      <w:r>
        <w:t>допрос</w:t>
      </w:r>
      <w:r w:rsidRPr="00232C6B">
        <w:t xml:space="preserve">, </w:t>
      </w:r>
      <w:r>
        <w:t>реквизиция</w:t>
      </w:r>
      <w:r w:rsidRPr="00232C6B">
        <w:t xml:space="preserve"> </w:t>
      </w:r>
      <w:r>
        <w:t>или</w:t>
      </w:r>
      <w:r w:rsidRPr="00232C6B">
        <w:t xml:space="preserve"> </w:t>
      </w:r>
      <w:r>
        <w:t>конфискация, нарушение достоинства или физической неприкосновенности человека, перехват корреспонденции и вмешательство в коммуникации. Законодательство Мексики, которое допускает возможность запрета деятельности за несоблюдение международных стандартов прав человека, предусматривает, что охранные службы во всех случаях должны избегать совершения, дозволения или разрешения актов пыток или жестокого обращения, а также жестоких, бесчеловечных или унижающих достоинство действий даже при исполнении приказа вышестоящего начальника или в предположительно особых обстоятельствах, как например при возникновении угрозы общественной безопасности</w:t>
      </w:r>
      <w:r w:rsidRPr="004408E3">
        <w:rPr>
          <w:rStyle w:val="FootnoteReference"/>
        </w:rPr>
        <w:footnoteReference w:id="39"/>
      </w:r>
      <w:r>
        <w:t>. Аналогичным образом в нормативных документах Коста-Рики указано, что ни при каких обстоятельствах не допускаются ссылки на простое исполнение приказа в обоснование пыток или другого обращения либо жестокого, унижающего достоинство или бесчеловечного наказания, либо безнаказанности за такие действия</w:t>
      </w:r>
      <w:r w:rsidRPr="004408E3">
        <w:rPr>
          <w:rStyle w:val="FootnoteReference"/>
        </w:rPr>
        <w:footnoteReference w:id="40"/>
      </w:r>
      <w:r>
        <w:t>.</w:t>
      </w:r>
    </w:p>
    <w:p w:rsidR="00D72844" w:rsidRDefault="00D72844" w:rsidP="00D72844">
      <w:pPr>
        <w:pStyle w:val="SingleTxt"/>
      </w:pPr>
      <w:r w:rsidRPr="00C5497C">
        <w:t>62.</w:t>
      </w:r>
      <w:r>
        <w:tab/>
        <w:t>Гондурас и Коста-Рика ввели специальные правила об ограничении числа сотрудников, которых могут нанимать частные охранные компании. Коста-Рика запрещает таким компаниям, в зависимости от типа оказываемых ими услуг</w:t>
      </w:r>
      <w:r w:rsidRPr="004408E3">
        <w:rPr>
          <w:rStyle w:val="FootnoteReference"/>
        </w:rPr>
        <w:footnoteReference w:id="41"/>
      </w:r>
      <w:r>
        <w:t>, содержать такое количество охранников, которое составляет более 10% личного состава полиции.</w:t>
      </w:r>
      <w:r w:rsidRPr="00C5497C">
        <w:t xml:space="preserve"> </w:t>
      </w:r>
      <w:r>
        <w:t>В законодательстве Гондураса прописано, что количество используемых такими компаниями охранников не может превышать 6% численного состава сил национальной полиции. С учетом расширения деятельности частных охранных предприятий в этом регионе и большого числа сотрудников охраны по сравнению с полицией этот закон признается передовой практикой.</w:t>
      </w:r>
    </w:p>
    <w:p w:rsidR="00FC6C53" w:rsidRPr="00FC6C53" w:rsidRDefault="00FC6C53" w:rsidP="00FC6C53">
      <w:pPr>
        <w:pStyle w:val="SingleTxt"/>
        <w:spacing w:after="0" w:line="120" w:lineRule="exact"/>
        <w:rPr>
          <w:sz w:val="10"/>
        </w:rPr>
      </w:pPr>
    </w:p>
    <w:p w:rsidR="00D72844" w:rsidRDefault="00D72844" w:rsidP="00FC6C53">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3049A">
        <w:tab/>
      </w:r>
      <w:r w:rsidRPr="002F442B">
        <w:tab/>
      </w:r>
      <w:r w:rsidRPr="0063049A">
        <w:t>Правила приобретения оружия</w:t>
      </w:r>
    </w:p>
    <w:p w:rsidR="00FC6C53" w:rsidRPr="00FC6C53" w:rsidRDefault="00FC6C53" w:rsidP="00FC6C53">
      <w:pPr>
        <w:pStyle w:val="SingleTxt"/>
        <w:spacing w:after="0" w:line="120" w:lineRule="exact"/>
        <w:rPr>
          <w:iCs/>
          <w:sz w:val="10"/>
        </w:rPr>
      </w:pPr>
    </w:p>
    <w:p w:rsidR="00D72844" w:rsidRDefault="00D72844" w:rsidP="00D72844">
      <w:pPr>
        <w:pStyle w:val="SingleTxt"/>
      </w:pPr>
      <w:r>
        <w:t>63.</w:t>
      </w:r>
      <w:r>
        <w:tab/>
        <w:t>Большинство охваченных обзором стран не принимали специальных нормативных актов, касающихся происхождения и приобретения оружия. В нескольких странах приобретение частными охранными компаниями оружия на незаконных национальных или международных рынках не регулируется, а в законе № 21 Панамы уточняется, что огнестрельное оружие может закупаться только на внутреннем рынке</w:t>
      </w:r>
      <w:r w:rsidRPr="004408E3">
        <w:rPr>
          <w:rStyle w:val="FootnoteReference"/>
        </w:rPr>
        <w:footnoteReference w:id="42"/>
      </w:r>
      <w:r>
        <w:t>. Отсутствие регулирования в этой области является одним из пробелов в нормативной базе в этом регионе.</w:t>
      </w:r>
    </w:p>
    <w:p w:rsidR="00FC6C53" w:rsidRPr="00FC6C53" w:rsidRDefault="00FC6C53" w:rsidP="00FC6C53">
      <w:pPr>
        <w:pStyle w:val="SingleTxt"/>
        <w:spacing w:after="0" w:line="120" w:lineRule="exact"/>
        <w:rPr>
          <w:sz w:val="10"/>
        </w:rPr>
      </w:pPr>
    </w:p>
    <w:p w:rsidR="00D72844" w:rsidRDefault="00D72844" w:rsidP="00FC6C53">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3049A">
        <w:tab/>
      </w:r>
      <w:r w:rsidRPr="0063049A">
        <w:tab/>
        <w:t>Применение силы и огнестрельного оружия</w:t>
      </w:r>
    </w:p>
    <w:p w:rsidR="00FC6C53" w:rsidRPr="00FC6C53" w:rsidRDefault="00FC6C53" w:rsidP="00FC6C53">
      <w:pPr>
        <w:pStyle w:val="SingleTxt"/>
        <w:spacing w:after="0" w:line="120" w:lineRule="exact"/>
        <w:rPr>
          <w:sz w:val="10"/>
        </w:rPr>
      </w:pPr>
    </w:p>
    <w:p w:rsidR="00D72844" w:rsidRPr="00A36935" w:rsidRDefault="00D72844" w:rsidP="00D72844">
      <w:pPr>
        <w:pStyle w:val="SingleTxt"/>
      </w:pPr>
      <w:r>
        <w:t>64.</w:t>
      </w:r>
      <w:r>
        <w:tab/>
        <w:t>Законодательство всех стран в определенных пределах допускает ношение и применение огнестрельного оружия персоналом частных охранных компаний. Различия существуют не только в типах разрешенного оружия, но и в требованиях в отношении владения таким оружием и его применения. Так например, по панамскому законодательству каждая единица огнестрельного оружия должна быть закреплена за конкретным охранником, и невыполнение этого положения считается административным нарушением</w:t>
      </w:r>
      <w:r w:rsidRPr="004408E3">
        <w:rPr>
          <w:rStyle w:val="FootnoteReference"/>
        </w:rPr>
        <w:footnoteReference w:id="43"/>
      </w:r>
      <w:r>
        <w:t>. В Сальвадоре использование агентами частных охранных компаний своего собственного огнестрельного оружия допускается только после уведомления об этом полиции</w:t>
      </w:r>
      <w:r w:rsidRPr="004408E3">
        <w:rPr>
          <w:rStyle w:val="FootnoteReference"/>
        </w:rPr>
        <w:footnoteReference w:id="44"/>
      </w:r>
      <w:r>
        <w:t>.</w:t>
      </w:r>
    </w:p>
    <w:p w:rsidR="00D72844" w:rsidRPr="00746F1B" w:rsidRDefault="00D72844" w:rsidP="00D72844">
      <w:pPr>
        <w:pStyle w:val="SingleTxt"/>
      </w:pPr>
      <w:r>
        <w:t>65.</w:t>
      </w:r>
      <w:r>
        <w:tab/>
        <w:t>В целом разрешенное огнестрельное оружие подлежит применению сотрудниками при исполнении своих обязанностей. В Панаме ношение огнестрельного оружия допускается исключительно во время поездок. На Кубе ношение огнестрельного оружия в общественных местах возможно лишь с разрешения министра внутренних дел</w:t>
      </w:r>
      <w:r w:rsidRPr="004408E3">
        <w:rPr>
          <w:rStyle w:val="FootnoteReference"/>
        </w:rPr>
        <w:footnoteReference w:id="45"/>
      </w:r>
      <w:r>
        <w:t>.</w:t>
      </w:r>
    </w:p>
    <w:p w:rsidR="00D72844" w:rsidRPr="00746F1B" w:rsidRDefault="00D72844" w:rsidP="00D72844">
      <w:pPr>
        <w:pStyle w:val="SingleTxt"/>
      </w:pPr>
      <w:r>
        <w:t>66.</w:t>
      </w:r>
      <w:r>
        <w:tab/>
        <w:t>В большинстве нормативных документов не уточняется калибр огнестрельного оружия. Мексиканское законодательство обязывает предоставляющего услуги субъекта применять только зарегистрированное огнестрельное оружие, а в законодательстве Кубы не оговаривается калибр, разрешаемый Министерством внутренних дел</w:t>
      </w:r>
      <w:r w:rsidRPr="004408E3">
        <w:rPr>
          <w:rStyle w:val="FootnoteReference"/>
        </w:rPr>
        <w:footnoteReference w:id="46"/>
      </w:r>
      <w:r>
        <w:t>.</w:t>
      </w:r>
    </w:p>
    <w:p w:rsidR="00D72844" w:rsidRPr="00746F1B" w:rsidRDefault="00D72844" w:rsidP="00D72844">
      <w:pPr>
        <w:pStyle w:val="SingleTxt"/>
      </w:pPr>
      <w:r w:rsidRPr="00746F1B">
        <w:t>67.</w:t>
      </w:r>
      <w:r w:rsidRPr="00746F1B">
        <w:tab/>
      </w:r>
      <w:r>
        <w:t>Согласно законодательным положениям Никарагуа лица, виновные в совершении преступления против общественного порядка или государственной безопасности либо причастные к совершению террористического акта, обороту наркотиков, насилию в семье, торговле людьми и сексуальным преступлениям, не могут владеть огнестрельным оружием и носить его для использования в гражданских целях</w:t>
      </w:r>
      <w:r w:rsidRPr="004408E3">
        <w:rPr>
          <w:rStyle w:val="FootnoteReference"/>
        </w:rPr>
        <w:footnoteReference w:id="47"/>
      </w:r>
      <w:r>
        <w:t>.</w:t>
      </w:r>
      <w:r w:rsidRPr="00746F1B">
        <w:t xml:space="preserve"> </w:t>
      </w:r>
      <w:r>
        <w:t>В Панаме в случае внутреннего конфликта или объявления войны огнестрельное оружие, принадлежащее частным охранным компаниям, поступает под прямой контроль Министерства государственного управления и юстиции</w:t>
      </w:r>
      <w:r w:rsidRPr="004408E3">
        <w:rPr>
          <w:rStyle w:val="FootnoteReference"/>
        </w:rPr>
        <w:footnoteReference w:id="48"/>
      </w:r>
      <w:r>
        <w:t>. В Сальвадоре в условиях забастовки или законного приостановления частных охранных услуг надзирающий орган передает оружие, боеприпасы и прочее снаряжение национальной полиции и возвращает его после нормализации положения</w:t>
      </w:r>
      <w:r w:rsidRPr="004408E3">
        <w:rPr>
          <w:rStyle w:val="FootnoteReference"/>
        </w:rPr>
        <w:footnoteReference w:id="49"/>
      </w:r>
      <w:r>
        <w:t>. Такой тип ограничения считается передовой практикой, поскольку он направлен на уменьшение опасности ношения и применения огнестрельного оружия в обстановке</w:t>
      </w:r>
      <w:r w:rsidRPr="00657B56">
        <w:t xml:space="preserve"> </w:t>
      </w:r>
      <w:r>
        <w:t xml:space="preserve">нестабильности. </w:t>
      </w:r>
    </w:p>
    <w:p w:rsidR="00D72844" w:rsidRDefault="00D72844" w:rsidP="00D72844">
      <w:pPr>
        <w:pStyle w:val="SingleTxt"/>
      </w:pPr>
      <w:r>
        <w:t>68.</w:t>
      </w:r>
      <w:r>
        <w:tab/>
        <w:t>В Гватемале запрещается применять ненадлежащую силу и предписывается принимать меры для предотвращения вреда здоровью и физической неприкосновенности лиц и нарушения других прав человека</w:t>
      </w:r>
      <w:r w:rsidRPr="004408E3">
        <w:rPr>
          <w:rStyle w:val="FootnoteReference"/>
        </w:rPr>
        <w:footnoteReference w:id="50"/>
      </w:r>
      <w:r>
        <w:t>. В Коста-Рике к частным охранным компаниям применяются этико-правовые принципы руководства деятельностью полиции, включая принцип применения силы только в случае крайней необходимости.</w:t>
      </w:r>
    </w:p>
    <w:p w:rsidR="00D72844" w:rsidRDefault="00FC6C53" w:rsidP="00D72844">
      <w:pPr>
        <w:pStyle w:val="SingleTxt"/>
      </w:pPr>
      <w:r>
        <w:t>69</w:t>
      </w:r>
      <w:r w:rsidR="00D72844">
        <w:t>.</w:t>
      </w:r>
      <w:r w:rsidR="00D72844">
        <w:tab/>
        <w:t>Отсутствие нормативных положений о применении огнестрельного оружия и соответствующих санкций является тем пробелом, который создает опасность для граждан. Этот вопрос следует рассмотреть в свете допускаемого применения огнестрельного оружия сотрудниками частных охранных компаний.</w:t>
      </w:r>
    </w:p>
    <w:p w:rsidR="00FC6C53" w:rsidRPr="00FC6C53" w:rsidRDefault="00FC6C53" w:rsidP="00FC6C53">
      <w:pPr>
        <w:pStyle w:val="SingleTxt"/>
        <w:spacing w:after="0" w:line="120" w:lineRule="exact"/>
        <w:rPr>
          <w:sz w:val="10"/>
        </w:rPr>
      </w:pPr>
    </w:p>
    <w:p w:rsidR="00D72844" w:rsidRDefault="00D72844" w:rsidP="00FC6C53">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3049A">
        <w:tab/>
      </w:r>
      <w:r w:rsidRPr="002F442B">
        <w:tab/>
      </w:r>
      <w:r w:rsidRPr="0063049A">
        <w:t>Подотчетность за нарушения и средства правовой защиты жертв</w:t>
      </w:r>
    </w:p>
    <w:p w:rsidR="00FC6C53" w:rsidRPr="00FC6C53" w:rsidRDefault="00FC6C53" w:rsidP="00FC6C53">
      <w:pPr>
        <w:pStyle w:val="SingleTxt"/>
        <w:spacing w:after="0" w:line="120" w:lineRule="exact"/>
        <w:rPr>
          <w:iCs/>
          <w:sz w:val="10"/>
        </w:rPr>
      </w:pPr>
    </w:p>
    <w:p w:rsidR="00D72844" w:rsidRPr="003C76D3" w:rsidRDefault="00D72844" w:rsidP="00D72844">
      <w:pPr>
        <w:pStyle w:val="SingleTxt"/>
      </w:pPr>
      <w:r>
        <w:t>70.</w:t>
      </w:r>
      <w:r>
        <w:tab/>
        <w:t>В проанализированных законах отмечены определенные различия в санкциях за нарушение прав человека. В Гватемале серьезным административным нарушением считается ущемление права на соблюдение достоинства, неприкосновенность частной или семейной жизни и конфиденциальных сообщений или любого иного права, защищаемого по Конституции и международным договорам о правах человека</w:t>
      </w:r>
      <w:r w:rsidRPr="004408E3">
        <w:rPr>
          <w:rStyle w:val="FootnoteReference"/>
        </w:rPr>
        <w:footnoteReference w:id="51"/>
      </w:r>
      <w:r>
        <w:t>.</w:t>
      </w:r>
    </w:p>
    <w:p w:rsidR="00D72844" w:rsidRPr="00C75774" w:rsidRDefault="00D72844" w:rsidP="00D72844">
      <w:pPr>
        <w:pStyle w:val="SingleTxt"/>
      </w:pPr>
      <w:r>
        <w:t>71.</w:t>
      </w:r>
      <w:r>
        <w:tab/>
        <w:t>Из числа государств, в которых был проведен обзор, только Гватемала запрещает частным охранным компаниям нанимать сотрудника, который работал на другую подобную компанию и был уволен за нарушения прав человека. В Коста-Рике предусмотрены санкции в отношении отдельного лица или компании за нарушение запрета задерживать кого-либо или лишать его или ее свободы.</w:t>
      </w:r>
    </w:p>
    <w:p w:rsidR="00D72844" w:rsidRDefault="00D72844" w:rsidP="00D72844">
      <w:pPr>
        <w:pStyle w:val="SingleTxt"/>
      </w:pPr>
      <w:r w:rsidRPr="00A85385">
        <w:t>72.</w:t>
      </w:r>
      <w:r w:rsidRPr="00A85385">
        <w:tab/>
      </w:r>
      <w:r>
        <w:t>Законодательство</w:t>
      </w:r>
      <w:r w:rsidRPr="00A85385">
        <w:t xml:space="preserve"> </w:t>
      </w:r>
      <w:r>
        <w:t>Мексики</w:t>
      </w:r>
      <w:r w:rsidRPr="00A85385">
        <w:t xml:space="preserve"> </w:t>
      </w:r>
      <w:r>
        <w:t>предусматривает</w:t>
      </w:r>
      <w:r w:rsidRPr="00A85385">
        <w:t xml:space="preserve"> </w:t>
      </w:r>
      <w:r>
        <w:t>критерии</w:t>
      </w:r>
      <w:r w:rsidRPr="00A85385">
        <w:t xml:space="preserve"> </w:t>
      </w:r>
      <w:r>
        <w:t>определения</w:t>
      </w:r>
      <w:r w:rsidRPr="00A85385">
        <w:t xml:space="preserve"> </w:t>
      </w:r>
      <w:r>
        <w:t>надлежащих</w:t>
      </w:r>
      <w:r w:rsidRPr="00A85385">
        <w:t xml:space="preserve"> </w:t>
      </w:r>
      <w:r>
        <w:t>мер</w:t>
      </w:r>
      <w:r w:rsidRPr="00A85385">
        <w:t xml:space="preserve"> </w:t>
      </w:r>
      <w:r>
        <w:t>наказания</w:t>
      </w:r>
      <w:r w:rsidRPr="00A85385">
        <w:t xml:space="preserve"> </w:t>
      </w:r>
      <w:r>
        <w:t>за</w:t>
      </w:r>
      <w:r w:rsidRPr="00A85385">
        <w:t xml:space="preserve"> </w:t>
      </w:r>
      <w:r>
        <w:t>то</w:t>
      </w:r>
      <w:r w:rsidRPr="00A85385">
        <w:t xml:space="preserve"> </w:t>
      </w:r>
      <w:r>
        <w:t>или</w:t>
      </w:r>
      <w:r w:rsidRPr="00A85385">
        <w:t xml:space="preserve"> </w:t>
      </w:r>
      <w:r>
        <w:t>иное</w:t>
      </w:r>
      <w:r w:rsidRPr="00A85385">
        <w:t xml:space="preserve"> </w:t>
      </w:r>
      <w:r>
        <w:t>административное</w:t>
      </w:r>
      <w:r w:rsidRPr="00A85385">
        <w:t xml:space="preserve"> </w:t>
      </w:r>
      <w:r>
        <w:t>нарушение</w:t>
      </w:r>
      <w:r w:rsidRPr="00A85385">
        <w:t xml:space="preserve">. </w:t>
      </w:r>
      <w:r>
        <w:t>В Гватемал</w:t>
      </w:r>
      <w:r w:rsidR="001A4E7E">
        <w:t>е введено понятие преступления «</w:t>
      </w:r>
      <w:r>
        <w:t>в форме незаконного оказания частных охранных услуг</w:t>
      </w:r>
      <w:r w:rsidR="001A4E7E">
        <w:t>»</w:t>
      </w:r>
      <w:r>
        <w:t>, если такие услуги предоставляются без аккредитации, и предусмотрено наказание в виде тюремного заключения на срок от 6 до 12 лет и штрафа</w:t>
      </w:r>
      <w:r w:rsidRPr="004408E3">
        <w:rPr>
          <w:rStyle w:val="FootnoteReference"/>
        </w:rPr>
        <w:footnoteReference w:id="52"/>
      </w:r>
      <w:r>
        <w:t>. В Коста-Рике сотрудники частных охранных компаний, имеющие разрешение, действие которых было приостановлено или отменено, могут быть наказаны тюремным заключением на срок от 3 месяцев до 2 лет</w:t>
      </w:r>
      <w:r w:rsidRPr="004408E3">
        <w:rPr>
          <w:rStyle w:val="FootnoteReference"/>
        </w:rPr>
        <w:footnoteReference w:id="53"/>
      </w:r>
      <w:r>
        <w:t>.</w:t>
      </w:r>
    </w:p>
    <w:p w:rsidR="00FC6C53" w:rsidRPr="00FC6C53" w:rsidRDefault="00FC6C53" w:rsidP="00FC6C53">
      <w:pPr>
        <w:pStyle w:val="SingleTxt"/>
        <w:spacing w:after="0" w:line="120" w:lineRule="exact"/>
        <w:rPr>
          <w:sz w:val="10"/>
        </w:rPr>
      </w:pPr>
    </w:p>
    <w:p w:rsidR="00D72844" w:rsidRDefault="00D72844" w:rsidP="00FC6C53">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3049A">
        <w:tab/>
      </w:r>
      <w:r w:rsidRPr="002F442B">
        <w:tab/>
      </w:r>
      <w:r w:rsidRPr="0063049A">
        <w:t>Ратификация конвенций о наемниках</w:t>
      </w:r>
    </w:p>
    <w:p w:rsidR="00FC6C53" w:rsidRPr="00FC6C53" w:rsidRDefault="00FC6C53" w:rsidP="00FC6C53">
      <w:pPr>
        <w:pStyle w:val="SingleTxt"/>
        <w:spacing w:after="0" w:line="120" w:lineRule="exact"/>
        <w:rPr>
          <w:iCs/>
          <w:sz w:val="10"/>
        </w:rPr>
      </w:pPr>
    </w:p>
    <w:p w:rsidR="00D72844" w:rsidRDefault="00D72844" w:rsidP="00D72844">
      <w:pPr>
        <w:pStyle w:val="SingleTxt"/>
      </w:pPr>
      <w:r>
        <w:t>73.</w:t>
      </w:r>
      <w:r>
        <w:tab/>
        <w:t xml:space="preserve">Только три из восьми изученных стран ратифицировали Международную конвенцию о борьбе с </w:t>
      </w:r>
      <w:r w:rsidRPr="006A1B55">
        <w:t>вербовкой, использованием, финансированием и обучением наемников</w:t>
      </w:r>
      <w:r>
        <w:t xml:space="preserve">: Гондурас (2007 год), Коста-Рика </w:t>
      </w:r>
      <w:r w:rsidR="00AE2FCA">
        <w:t>(2001 год) и Куба (2008 год). В </w:t>
      </w:r>
      <w:r>
        <w:t>изученных законах эта Конвенция не упоминается.</w:t>
      </w:r>
    </w:p>
    <w:p w:rsidR="00FC6C53" w:rsidRPr="00FC6C53" w:rsidRDefault="00FC6C53" w:rsidP="00FC6C53">
      <w:pPr>
        <w:pStyle w:val="SingleTxt"/>
        <w:spacing w:after="0" w:line="120" w:lineRule="exact"/>
        <w:rPr>
          <w:sz w:val="10"/>
        </w:rPr>
      </w:pPr>
    </w:p>
    <w:p w:rsidR="00D72844" w:rsidRDefault="00D72844" w:rsidP="00FC6C5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75774">
        <w:tab/>
      </w:r>
      <w:r w:rsidRPr="00C75774">
        <w:tab/>
      </w:r>
      <w:r>
        <w:t>Южная Америка</w:t>
      </w:r>
    </w:p>
    <w:p w:rsidR="00FC6C53" w:rsidRPr="00FC6C53" w:rsidRDefault="00FC6C53" w:rsidP="00FC6C53">
      <w:pPr>
        <w:pStyle w:val="SingleTxt"/>
        <w:spacing w:after="0" w:line="120" w:lineRule="exact"/>
        <w:rPr>
          <w:sz w:val="10"/>
        </w:rPr>
      </w:pPr>
    </w:p>
    <w:p w:rsidR="00D72844" w:rsidRDefault="00D72844" w:rsidP="00FC6C53">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3049A">
        <w:tab/>
      </w:r>
      <w:r w:rsidRPr="0063049A">
        <w:tab/>
        <w:t>Сфера применения законодательства</w:t>
      </w:r>
    </w:p>
    <w:p w:rsidR="00FC6C53" w:rsidRPr="00FC6C53" w:rsidRDefault="00FC6C53" w:rsidP="00FC6C53">
      <w:pPr>
        <w:pStyle w:val="SingleTxt"/>
        <w:spacing w:after="0" w:line="120" w:lineRule="exact"/>
        <w:rPr>
          <w:iCs/>
          <w:sz w:val="10"/>
        </w:rPr>
      </w:pPr>
    </w:p>
    <w:p w:rsidR="00D72844" w:rsidRPr="000B58D9" w:rsidRDefault="00D72844" w:rsidP="00D72844">
      <w:pPr>
        <w:pStyle w:val="SingleTxt"/>
      </w:pPr>
      <w:r w:rsidRPr="000B58D9">
        <w:t>7</w:t>
      </w:r>
      <w:r>
        <w:t>4.</w:t>
      </w:r>
      <w:r>
        <w:tab/>
        <w:t>В Аргентине, имеющей федеральное устройство, при котором регулирование осуществляется каждой провинцией, были проанализированы нормативные акты автономного города Буэнос-Айреса.</w:t>
      </w:r>
    </w:p>
    <w:p w:rsidR="00D72844" w:rsidRPr="002F442B" w:rsidRDefault="00D72844" w:rsidP="00D72844">
      <w:pPr>
        <w:pStyle w:val="SingleTxt"/>
      </w:pPr>
      <w:r>
        <w:t>75.</w:t>
      </w:r>
      <w:r>
        <w:tab/>
        <w:t>Все рассмотренные положения охватывают оказание частных охранных услуг в пределах этой страны. Отсутствуют законы, которые бы применялись за пределами национальных границ и ссылки на их экстратерриториальное применение. Экспорт</w:t>
      </w:r>
      <w:r w:rsidRPr="002F442B">
        <w:t xml:space="preserve"> </w:t>
      </w:r>
      <w:r>
        <w:t>и</w:t>
      </w:r>
      <w:r w:rsidRPr="002F442B">
        <w:t xml:space="preserve"> </w:t>
      </w:r>
      <w:r>
        <w:t>импорт</w:t>
      </w:r>
      <w:r w:rsidRPr="002F442B">
        <w:t xml:space="preserve"> </w:t>
      </w:r>
      <w:r>
        <w:t>частных</w:t>
      </w:r>
      <w:r w:rsidRPr="002F442B">
        <w:t xml:space="preserve"> </w:t>
      </w:r>
      <w:r>
        <w:t>охранных</w:t>
      </w:r>
      <w:r w:rsidRPr="002F442B">
        <w:t xml:space="preserve"> </w:t>
      </w:r>
      <w:r>
        <w:t>услуг</w:t>
      </w:r>
      <w:r w:rsidRPr="002F442B">
        <w:t xml:space="preserve"> </w:t>
      </w:r>
      <w:r>
        <w:t>не</w:t>
      </w:r>
      <w:r w:rsidRPr="002F442B">
        <w:t xml:space="preserve"> </w:t>
      </w:r>
      <w:r>
        <w:t>регулируется</w:t>
      </w:r>
      <w:r w:rsidRPr="002F442B">
        <w:t>.</w:t>
      </w:r>
    </w:p>
    <w:p w:rsidR="00D72844" w:rsidRPr="000B58D9" w:rsidRDefault="00D72844" w:rsidP="00D72844">
      <w:pPr>
        <w:pStyle w:val="SingleTxt"/>
      </w:pPr>
      <w:r>
        <w:t>76.</w:t>
      </w:r>
      <w:r>
        <w:tab/>
        <w:t>Действующие нормативные акты не регулируют предоставление частных охранных услуг и не содержат упоминаний о военных или частных охранных компаниях.</w:t>
      </w:r>
    </w:p>
    <w:p w:rsidR="00D72844" w:rsidRPr="000B58D9" w:rsidRDefault="00D72844" w:rsidP="00D72844">
      <w:pPr>
        <w:pStyle w:val="SingleTxt"/>
      </w:pPr>
      <w:r>
        <w:t>77.</w:t>
      </w:r>
      <w:r>
        <w:tab/>
        <w:t xml:space="preserve">В целом частные охранные услуги предоставляются в интересах охраны имущества и физических лиц, в том числе на общественных мероприятиях, силами личных телохранителей, детективов или частных расследователей, посредством консультативной помощи, услуг по наблюдению и тревожной сигнализации с применением технических средств, торговли оборудованием для охраны и обеспечения безопасности, а также для перевозки ценных грузов. В части транспортировки грузов в бронированной технике в Аргентине закон № </w:t>
      </w:r>
      <w:r w:rsidRPr="000B58D9">
        <w:t>12.297/1999</w:t>
      </w:r>
      <w:r>
        <w:t xml:space="preserve"> (Буэнос-Айрес) охватывает перевозку, охрану и защиту любого законного груза, за исключением перевозки денежных средств. Он также распространяется на такие частные услуги, как сбор доказательств в целях подачи гражданских исков. </w:t>
      </w:r>
    </w:p>
    <w:p w:rsidR="00D72844" w:rsidRPr="000B58D9" w:rsidRDefault="00D72844" w:rsidP="00D72844">
      <w:pPr>
        <w:pStyle w:val="SingleTxt"/>
      </w:pPr>
      <w:r>
        <w:t>78.</w:t>
      </w:r>
      <w:r>
        <w:tab/>
        <w:t>В некоторых нормативных актах частные охранные услуги делятся на вооруженные и невооруженные</w:t>
      </w:r>
      <w:r w:rsidRPr="0041332E">
        <w:t>. По законодательству Колумбии такие услуги</w:t>
      </w:r>
      <w:r>
        <w:t xml:space="preserve"> могут предоставляться лицами, не имеющими огнестрельного оружия. В Эквадоре такие услуги квалифицируются как охрана объекта, мобильная охрана и частные расследования</w:t>
      </w:r>
      <w:r w:rsidRPr="004408E3">
        <w:rPr>
          <w:rStyle w:val="FootnoteReference"/>
        </w:rPr>
        <w:footnoteReference w:id="54"/>
      </w:r>
      <w:r>
        <w:t xml:space="preserve">. В Многонациональном Государстве Боливия охранники не имеют права на ношение оружия. </w:t>
      </w:r>
    </w:p>
    <w:p w:rsidR="00D72844" w:rsidRPr="00BF4DF1" w:rsidRDefault="00D72844" w:rsidP="00D72844">
      <w:pPr>
        <w:pStyle w:val="SingleTxt"/>
      </w:pPr>
      <w:r>
        <w:t>79.</w:t>
      </w:r>
      <w:r>
        <w:tab/>
        <w:t>В некоторых законах, в частности в законодательстве Колумбии, также признаются частные охранные услуги, которые являются элементом обеспечения собственной безопасности</w:t>
      </w:r>
      <w:r w:rsidRPr="001448FA">
        <w:t xml:space="preserve"> </w:t>
      </w:r>
      <w:r>
        <w:t>компании</w:t>
      </w:r>
      <w:r w:rsidRPr="004408E3">
        <w:rPr>
          <w:rStyle w:val="FootnoteReference"/>
        </w:rPr>
        <w:footnoteReference w:id="55"/>
      </w:r>
      <w:r>
        <w:t>. Имеются также специальные охранные службы и частные службы по охране безопасности общин, которые функционируют в качестве кооперативов, общественных инициативных групп или предприятий, которые принадлежат общинам и оказывают своим членам услуги по обеспечению безопасности. Согласно законодательству Чили банковские и финансовые учреждения, государственные органы, компании, использующие бронированные транспортные средства, стратегические компании и государственные службы</w:t>
      </w:r>
      <w:r w:rsidRPr="00EA2083">
        <w:t xml:space="preserve"> </w:t>
      </w:r>
      <w:r>
        <w:t>должны иметь собственные охранные службы</w:t>
      </w:r>
      <w:r w:rsidRPr="004408E3">
        <w:rPr>
          <w:rStyle w:val="FootnoteReference"/>
        </w:rPr>
        <w:footnoteReference w:id="56"/>
      </w:r>
      <w:r>
        <w:t xml:space="preserve">. </w:t>
      </w:r>
    </w:p>
    <w:p w:rsidR="00D72844" w:rsidRPr="00BF4DF1" w:rsidRDefault="00D72844" w:rsidP="00D72844">
      <w:pPr>
        <w:pStyle w:val="SingleTxt"/>
      </w:pPr>
      <w:r>
        <w:t>80.</w:t>
      </w:r>
      <w:r>
        <w:tab/>
        <w:t>Большинство законов не содержат упоминаний международных конвенций и договоров о правах человека, за исключением законодательства Бразилии, Колумбии и Перу</w:t>
      </w:r>
      <w:r w:rsidRPr="004408E3">
        <w:rPr>
          <w:rStyle w:val="FootnoteReference"/>
        </w:rPr>
        <w:footnoteReference w:id="57"/>
      </w:r>
      <w:r>
        <w:t xml:space="preserve">. В Перу запрещена деятельность наемников. В бразильском постановлении 2012 года содержится ссылка на права человека в приложениях, касающихся учебных планов курсов подготовки. В законодательстве Колумбии указывается, что </w:t>
      </w:r>
      <w:r w:rsidR="00AE2FCA">
        <w:t>«</w:t>
      </w:r>
      <w:r>
        <w:t>граждане должны иметь достаточные возможности для обращения в суд с целью осуществления своих конституционных прав, которые эффективно обеспечивают и поддерживают соблюдение… международных договоров и конвенций о правах человека</w:t>
      </w:r>
      <w:r w:rsidR="00AE2FCA">
        <w:t>»</w:t>
      </w:r>
      <w:r w:rsidRPr="004408E3">
        <w:rPr>
          <w:rStyle w:val="FootnoteReference"/>
        </w:rPr>
        <w:footnoteReference w:id="58"/>
      </w:r>
      <w:r>
        <w:t>.</w:t>
      </w:r>
    </w:p>
    <w:p w:rsidR="00D72844" w:rsidRPr="00BF4DF1" w:rsidRDefault="00D72844" w:rsidP="00D72844">
      <w:pPr>
        <w:pStyle w:val="SingleTxt"/>
      </w:pPr>
      <w:r>
        <w:t>81.</w:t>
      </w:r>
      <w:r>
        <w:tab/>
        <w:t xml:space="preserve">В соответствии с законодательством Колумбии сотрудники частных охранных компаний обязаны информировать компетентные органы, когда при выполнении служебных обязанностей им становится известно о совершении любого уголовного преступления или нарушения прав человека. </w:t>
      </w:r>
    </w:p>
    <w:p w:rsidR="00D72844" w:rsidRDefault="00D72844" w:rsidP="00D72844">
      <w:pPr>
        <w:pStyle w:val="SingleTxt"/>
      </w:pPr>
      <w:r>
        <w:t>82.</w:t>
      </w:r>
      <w:r>
        <w:tab/>
        <w:t>Большинство стран, законодательство которых было проанализировано, прямо запрещают действующим служащим полиции и военнослужащим участвовать в мероприятиях частных охранных компаний. В Уругвае (закон № </w:t>
      </w:r>
      <w:r w:rsidRPr="000E5022">
        <w:t>275/1999</w:t>
      </w:r>
      <w:r>
        <w:t>) руководящим сотрудникам полиции запрещается участвовать в работе охранных компаний в качестве их владельцев, партнеров и представителей, а также поддерживать любые связи или отношения с частными охранными компаниями. Эквадорское законодательство распространяет этот запрет на супругов и родственников во втором колене, на действующих служащих полиции и должностных лиц, наемных работников и гражданских служащих, работающих в интересах Министерства национальной обороны, Министерства государственного управления, национальной полиции, вооруженных сил или в управлении контроля за деятельностью коммерческих предприятий. В Колумбии личный состав вооруженных сил, действующие сотрудники полиции, штатные сотрудники Министерства национальной обороны и полиции, Административного управления безопасности и Управления наблюдения и частной охранной деятельности не могут быть партнерами или наемными работниками охранных компаний</w:t>
      </w:r>
      <w:r w:rsidRPr="004408E3">
        <w:rPr>
          <w:rStyle w:val="FootnoteReference"/>
        </w:rPr>
        <w:footnoteReference w:id="59"/>
      </w:r>
      <w:r>
        <w:t>. В Буэнос-Айресе аналогичное требование распространяется на персонал охранных предприятий и сотрудников разведывательных служб и пенитенциарных учреждений</w:t>
      </w:r>
      <w:r w:rsidRPr="004408E3">
        <w:rPr>
          <w:rStyle w:val="FootnoteReference"/>
        </w:rPr>
        <w:footnoteReference w:id="60"/>
      </w:r>
      <w:r>
        <w:t>. Такой</w:t>
      </w:r>
      <w:r w:rsidRPr="0025392E">
        <w:t xml:space="preserve"> </w:t>
      </w:r>
      <w:r>
        <w:t>запрет</w:t>
      </w:r>
      <w:r w:rsidRPr="0025392E">
        <w:t xml:space="preserve"> </w:t>
      </w:r>
      <w:r>
        <w:t>не</w:t>
      </w:r>
      <w:r w:rsidRPr="0025392E">
        <w:t xml:space="preserve"> </w:t>
      </w:r>
      <w:r>
        <w:t>применяется</w:t>
      </w:r>
      <w:r w:rsidRPr="0025392E">
        <w:t xml:space="preserve"> </w:t>
      </w:r>
      <w:r>
        <w:t>в</w:t>
      </w:r>
      <w:r w:rsidRPr="0025392E">
        <w:t xml:space="preserve"> </w:t>
      </w:r>
      <w:r>
        <w:t>Перу</w:t>
      </w:r>
      <w:r w:rsidRPr="0025392E">
        <w:t xml:space="preserve"> </w:t>
      </w:r>
      <w:r>
        <w:t>и</w:t>
      </w:r>
      <w:r w:rsidRPr="0025392E">
        <w:t xml:space="preserve"> </w:t>
      </w:r>
      <w:r>
        <w:t>Чили</w:t>
      </w:r>
      <w:r w:rsidRPr="0025392E">
        <w:t>.</w:t>
      </w:r>
      <w:r>
        <w:t xml:space="preserve"> </w:t>
      </w:r>
    </w:p>
    <w:p w:rsidR="00D72844" w:rsidRDefault="00D72844" w:rsidP="00D72844">
      <w:pPr>
        <w:pStyle w:val="SingleTxt"/>
      </w:pPr>
      <w:r>
        <w:t>83.</w:t>
      </w:r>
      <w:r>
        <w:tab/>
        <w:t>Особого внимания заслуживает Многонациональное Государство Боливия, поскольку участие в деятельности частных охранных компаний в нем запрещено не только военнослужащим и сотрудникам национальной полиции, но и действующим государственным должностным лицам любого уровня</w:t>
      </w:r>
      <w:r w:rsidRPr="004408E3">
        <w:rPr>
          <w:rStyle w:val="FootnoteReference"/>
        </w:rPr>
        <w:footnoteReference w:id="61"/>
      </w:r>
      <w:r>
        <w:t>. Это уникальный случай, который объясняется существованием так называемого батальона частной физической охраны, являющегося частью национальной полиции и нанимающего в качестве охранников офицеров полиции. Критика в адрес этого батальона основана на том, что национальная полиция является тем органом, который аккредитует, контролирует и проверяет частные охранные компании, утверждающие, что поскольку им не разрешается ношение оружия, они находятся в неблагоприятном конкурентном положении по сравнению с этим батальоном</w:t>
      </w:r>
      <w:r w:rsidRPr="004408E3">
        <w:rPr>
          <w:rStyle w:val="FootnoteReference"/>
        </w:rPr>
        <w:footnoteReference w:id="62"/>
      </w:r>
      <w:r>
        <w:t>.</w:t>
      </w:r>
    </w:p>
    <w:p w:rsidR="00D72844" w:rsidRDefault="00D72844" w:rsidP="00D72844">
      <w:pPr>
        <w:pStyle w:val="SingleTxt"/>
      </w:pPr>
      <w:r>
        <w:t>84.</w:t>
      </w:r>
      <w:r>
        <w:tab/>
        <w:t>За исключением Чили бывшие сотрудники полиции и военнослужащие, которые были уволены за совершение административных правонарушений или преступлений, не имеют права оказывать частные охранные услуги.</w:t>
      </w:r>
    </w:p>
    <w:p w:rsidR="00D72844" w:rsidRDefault="00D72844" w:rsidP="00D72844">
      <w:pPr>
        <w:pStyle w:val="SingleTxt"/>
      </w:pPr>
      <w:r>
        <w:t>85.</w:t>
      </w:r>
      <w:r>
        <w:tab/>
        <w:t>Частная охранная деятельность, как правило, ограничивается объектами, зданиями и частными пространствами, которые оговариваются в контрактах</w:t>
      </w:r>
      <w:r w:rsidRPr="004408E3">
        <w:rPr>
          <w:rStyle w:val="FootnoteReference"/>
        </w:rPr>
        <w:footnoteReference w:id="63"/>
      </w:r>
      <w:r>
        <w:t xml:space="preserve">. Менее детальные ограничения применяются в отношении такой деятельности, как услуги по охране общин в Колумбии и перевозка ценных грузов с использованием бронированных транспортных средств, которые охватывают более широкие области. </w:t>
      </w:r>
    </w:p>
    <w:p w:rsidR="00D72844" w:rsidRDefault="00D72844" w:rsidP="00D72844">
      <w:pPr>
        <w:pStyle w:val="SingleTxt"/>
      </w:pPr>
      <w:r>
        <w:t>86.</w:t>
      </w:r>
      <w:r>
        <w:tab/>
        <w:t>В общем и целом деятельность частных охранных предприятий дополняет работу полиции и носит по отношению к ней вспомогательный характер. Некоторые нормативные акты вводят обязанность частных охранных компаний сотрудничать с полицией в установленных законом случаях. В Колумбии такие компании должны сотрудничать в вопросах профилактики преступности и оказывать полиции поддержку в чрезвычайных обстоятельствах</w:t>
      </w:r>
      <w:r w:rsidRPr="004408E3">
        <w:rPr>
          <w:rStyle w:val="FootnoteReference"/>
        </w:rPr>
        <w:footnoteReference w:id="64"/>
      </w:r>
      <w:r>
        <w:t>. В Уругвае предусматривается, что они обязаны помогать полиции и сотрудничать с ней, например путем предоставления ей информации</w:t>
      </w:r>
      <w:r w:rsidRPr="004408E3">
        <w:rPr>
          <w:rStyle w:val="FootnoteReference"/>
        </w:rPr>
        <w:footnoteReference w:id="65"/>
      </w:r>
      <w:r>
        <w:t>. Законодательство Перу предусматривает сотрудничество по запросам исполнительных органов в условиях чрезвычайного положения</w:t>
      </w:r>
      <w:r w:rsidRPr="004408E3">
        <w:rPr>
          <w:rStyle w:val="FootnoteReference"/>
        </w:rPr>
        <w:footnoteReference w:id="66"/>
      </w:r>
      <w:r>
        <w:t>. В Эквадоре во время чрезвычайного положения частные охранные компании обязаны незамедлительно налаживать сотрудничество с национальной полицией и подчиняться вооруженным силам. В Буэнос-Айресе частные охранные структуры должны помогать деятельности полиции</w:t>
      </w:r>
      <w:r w:rsidRPr="004408E3">
        <w:rPr>
          <w:rStyle w:val="FootnoteReference"/>
        </w:rPr>
        <w:footnoteReference w:id="67"/>
      </w:r>
      <w:r>
        <w:t xml:space="preserve"> и предоставлять ей свои технические и кадровые ресурсы в случае катастрофы или чрезвычайного положения</w:t>
      </w:r>
      <w:r w:rsidRPr="004408E3">
        <w:rPr>
          <w:rStyle w:val="FootnoteReference"/>
        </w:rPr>
        <w:footnoteReference w:id="68"/>
      </w:r>
      <w:r>
        <w:t>. Согласно нормативным документам Боливии частные охранные компании обязаны при необходимости взаимодействовать с полицией</w:t>
      </w:r>
      <w:r w:rsidRPr="004408E3">
        <w:rPr>
          <w:rStyle w:val="FootnoteReference"/>
        </w:rPr>
        <w:footnoteReference w:id="69"/>
      </w:r>
      <w:r>
        <w:t>. Тщательного изучения заслуживают правозащитные последствия требований о сотрудничестве с силами национальной безопасности.</w:t>
      </w:r>
    </w:p>
    <w:p w:rsidR="00FC6C53" w:rsidRPr="00FC6C53" w:rsidRDefault="00FC6C53" w:rsidP="00FC6C53">
      <w:pPr>
        <w:pStyle w:val="SingleTxt"/>
        <w:spacing w:after="0" w:line="120" w:lineRule="exact"/>
        <w:rPr>
          <w:sz w:val="10"/>
        </w:rPr>
      </w:pPr>
    </w:p>
    <w:p w:rsidR="00D72844" w:rsidRDefault="00D72844" w:rsidP="00FC6C53">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E5751">
        <w:tab/>
      </w:r>
      <w:r w:rsidRPr="006E5751">
        <w:tab/>
        <w:t xml:space="preserve">Лицензирование, аккредитация и регистрация </w:t>
      </w:r>
    </w:p>
    <w:p w:rsidR="00FC6C53" w:rsidRPr="00FC6C53" w:rsidRDefault="00FC6C53" w:rsidP="00FC6C53">
      <w:pPr>
        <w:pStyle w:val="SingleTxt"/>
        <w:spacing w:after="0" w:line="120" w:lineRule="exact"/>
        <w:rPr>
          <w:sz w:val="10"/>
        </w:rPr>
      </w:pPr>
    </w:p>
    <w:p w:rsidR="00D72844" w:rsidRDefault="00D72844" w:rsidP="00D72844">
      <w:pPr>
        <w:pStyle w:val="SingleTxt"/>
      </w:pPr>
      <w:r>
        <w:t>87.</w:t>
      </w:r>
      <w:r>
        <w:tab/>
        <w:t xml:space="preserve">В большинстве стран функции надзора и контроля за лицензированием частных охранных компаний возлагаются на министерство, ведающее вопросами государственной безопасности. Исключение составляет Колумбия, где такие обязанности исполняет </w:t>
      </w:r>
      <w:r w:rsidRPr="00E61440">
        <w:t>Управление по делам наблюдения и частной охранной деятельности</w:t>
      </w:r>
      <w:r>
        <w:t>, как национальное техническое учреждение, обладающее финансовой и административной самостоятельностью в структуре Министерства национальной обороны.</w:t>
      </w:r>
    </w:p>
    <w:p w:rsidR="00D72844" w:rsidRDefault="00D72844" w:rsidP="00D72844">
      <w:pPr>
        <w:pStyle w:val="SingleTxt"/>
      </w:pPr>
      <w:r>
        <w:t>88.</w:t>
      </w:r>
      <w:r>
        <w:tab/>
        <w:t>Во всех рассматриваемых странах частные компании должны получать аккредитацию и разрешения на оказание частных охранных услуг. Такие требования могут носить общий (Буэнос-Айрес) или профильный характер, определяемый конкретными услугами. Частные охранные предприятия во всех случаях могут заниматься только той деятельностью, на осуществление которой они прошли аккредитацию и получили разрешение, оговариваемые в контрактах.</w:t>
      </w:r>
    </w:p>
    <w:p w:rsidR="00D72844" w:rsidRDefault="00D72844" w:rsidP="00D72844">
      <w:pPr>
        <w:pStyle w:val="SingleTxt"/>
      </w:pPr>
      <w:r>
        <w:t>89.</w:t>
      </w:r>
      <w:r>
        <w:tab/>
        <w:t>В интересах обеспечения профпригодности и высокого морального уровня личного состава широко применяется требование представления сотрудниками частных охранных предприятий выписки из полицейского и судебного досье. Бразилия предоставила полную подробную информацию о требованиях в отношении получения разрешения, включая подтверждение отсутствия приводов в полицию судебными системами федерального уровня и штатов, а также военной и электоральной юстиции.</w:t>
      </w:r>
    </w:p>
    <w:p w:rsidR="00D72844" w:rsidRDefault="00D72844" w:rsidP="00D72844">
      <w:pPr>
        <w:pStyle w:val="SingleTxt"/>
      </w:pPr>
      <w:r>
        <w:t>90.</w:t>
      </w:r>
      <w:r>
        <w:tab/>
        <w:t>Большинство законов не содержит конкретных требований в отношении учета нарушений прав человека. Исключением является Буэнос-Айрес, в котором частным охранным компаниям запрещено иметь партнеров, попавших под амнистии № 23.492 и 23.521 и обвиненных в нарушениях прав человека. В подтверждение этого требуется предъявление сертификата, выданного компетентными правозащитными организациями</w:t>
      </w:r>
      <w:r w:rsidRPr="004408E3">
        <w:rPr>
          <w:rStyle w:val="FootnoteReference"/>
        </w:rPr>
        <w:footnoteReference w:id="70"/>
      </w:r>
      <w:r>
        <w:t xml:space="preserve">. Отсутствие полицейского досье должно быть доказано справкой из Национального бюро рецидивной преступности и уголовной статистики, сертификатом Министерства юстиции и безопасности, а также данным под присягой заявлением о непричастности к судебным делам по фактам совершения тяжких уголовных преступлений или мелких правонарушений в связи с охранной деятельностью. Такие требования представляют собой передовую практику в плане проверки биографии сотрудников. </w:t>
      </w:r>
    </w:p>
    <w:p w:rsidR="00D72844" w:rsidRDefault="00D72844" w:rsidP="00D72844">
      <w:pPr>
        <w:pStyle w:val="SingleTxt"/>
      </w:pPr>
      <w:r>
        <w:t>91.</w:t>
      </w:r>
      <w:r>
        <w:tab/>
        <w:t>Общим условием получения разрешения является обязанность заключения договора страхования ответственности перед третьими сторонами (Боливия (Многонациональное Государство), Колумбия и Эквадор, а также автономный город Буэнос-Айрес) или страхования сотрудников (Бразилия и Чили); представление предлагаемых образцов форменной одежды и удостоверений личности, которые должны отличаться от используемых полицией, и доказательство наличия помещений для хранения огнестрельного оружия. Аккредитации и разрешения выдаются на определенный срок, который неодинаково определяется в разных странах.</w:t>
      </w:r>
    </w:p>
    <w:p w:rsidR="00D72844" w:rsidRDefault="00D72844" w:rsidP="00D72844">
      <w:pPr>
        <w:pStyle w:val="SingleTxt"/>
      </w:pPr>
      <w:r>
        <w:t>92.</w:t>
      </w:r>
      <w:r>
        <w:tab/>
        <w:t>Законодательство большинства стран требует ведения специального регистра частных охранных компаний (не всегда на национальном уровне) и регистра физических лиц, которые предоставляют охранные услуги. В целом частные охранные компании обязаны вести учет своего персонала, контрактов, проведенных инспекций, клиентов, а также вопросов, связанных с огнестрельным оружием и боеприпасами. Исключение составляет Многонациональное Государство Боливия, в котором требуется вести регистры и учет повседневной деятельности, контрактов, происшествий, найма и увольнения персонала, переводов и разрешений</w:t>
      </w:r>
      <w:r w:rsidRPr="004408E3">
        <w:rPr>
          <w:rStyle w:val="FootnoteReference"/>
        </w:rPr>
        <w:footnoteReference w:id="71"/>
      </w:r>
      <w:r>
        <w:t>.</w:t>
      </w:r>
    </w:p>
    <w:p w:rsidR="00D72844" w:rsidRDefault="00D72844" w:rsidP="00D72844">
      <w:pPr>
        <w:pStyle w:val="SingleTxt"/>
      </w:pPr>
      <w:r>
        <w:t>93.</w:t>
      </w:r>
      <w:r>
        <w:tab/>
        <w:t>В Бразилии компании заносятся в регистр федеральной полиции, а компании, специализирующиеся на оказании услуг с применением бронированных автомобилей, должны регистрироваться в вооруженных силах</w:t>
      </w:r>
      <w:r w:rsidRPr="004408E3">
        <w:rPr>
          <w:rStyle w:val="FootnoteReference"/>
        </w:rPr>
        <w:footnoteReference w:id="72"/>
      </w:r>
      <w:r>
        <w:t>. В Эквадоре они обязаны быть зарегистрированы в специальном разделе регистра коммерческих предприятий</w:t>
      </w:r>
      <w:r w:rsidRPr="004408E3">
        <w:rPr>
          <w:rStyle w:val="FootnoteReference"/>
        </w:rPr>
        <w:footnoteReference w:id="73"/>
      </w:r>
      <w:r>
        <w:t xml:space="preserve">. В Перу регистр компаний и их персонала ведет Управление контроля служб безопасности, огнестрельного оружия, боеприпасов и взрывчатых веществ, применяемых в гражданских целях. В Чили регистр ведут префектуры </w:t>
      </w:r>
      <w:r>
        <w:rPr>
          <w:lang w:val="en-US"/>
        </w:rPr>
        <w:t>carabineros</w:t>
      </w:r>
      <w:r w:rsidRPr="004408E3">
        <w:rPr>
          <w:rStyle w:val="FootnoteReference"/>
        </w:rPr>
        <w:footnoteReference w:id="74"/>
      </w:r>
      <w:r>
        <w:t>, а в Колумбии – Управление по делам наблюдения и частной охранной деятельности</w:t>
      </w:r>
      <w:r w:rsidRPr="004408E3">
        <w:rPr>
          <w:rStyle w:val="FootnoteReference"/>
        </w:rPr>
        <w:footnoteReference w:id="75"/>
      </w:r>
      <w:r>
        <w:t>.</w:t>
      </w:r>
    </w:p>
    <w:p w:rsidR="00D72844" w:rsidRDefault="00D72844" w:rsidP="00D72844">
      <w:pPr>
        <w:pStyle w:val="SingleTxt"/>
      </w:pPr>
      <w:r>
        <w:t>94.</w:t>
      </w:r>
      <w:r>
        <w:tab/>
        <w:t>В Буэнос-Айресе надзирающий орган обязан вести учет лиц, имеющих разрешение на оказание частных охранных услуг, а также лиц, которым было отказано в найме в связи с нарушениями закона № 12.297. Ведение такого регистра является одним из примеров передовой практики и, в случае его создания на национальном уровне, будет способствовать более эффективному мониторингу сотрудников частных охранных предприятий, которые совершили административное нарушения.</w:t>
      </w:r>
    </w:p>
    <w:p w:rsidR="00FC6C53" w:rsidRPr="00FC6C53" w:rsidRDefault="00FC6C53" w:rsidP="00FC6C53">
      <w:pPr>
        <w:pStyle w:val="SingleTxt"/>
        <w:spacing w:after="0" w:line="120" w:lineRule="exact"/>
        <w:rPr>
          <w:sz w:val="10"/>
        </w:rPr>
      </w:pPr>
    </w:p>
    <w:p w:rsidR="00D72844" w:rsidRDefault="00D72844" w:rsidP="004408E3">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E5751">
        <w:tab/>
      </w:r>
      <w:r w:rsidRPr="006E5751">
        <w:tab/>
        <w:t xml:space="preserve">Отбор и подготовка персонала </w:t>
      </w:r>
    </w:p>
    <w:p w:rsidR="00FC6C53" w:rsidRPr="00FC6C53" w:rsidRDefault="00FC6C53" w:rsidP="00FC6C53">
      <w:pPr>
        <w:pStyle w:val="SingleTxt"/>
        <w:spacing w:after="0" w:line="120" w:lineRule="exact"/>
        <w:rPr>
          <w:iCs/>
          <w:sz w:val="10"/>
        </w:rPr>
      </w:pPr>
    </w:p>
    <w:p w:rsidR="00D72844" w:rsidRDefault="00D72844" w:rsidP="00D72844">
      <w:pPr>
        <w:pStyle w:val="SingleTxt"/>
      </w:pPr>
      <w:r>
        <w:t>95.</w:t>
      </w:r>
      <w:r>
        <w:tab/>
        <w:t>Согласно общим требованиям, которые предъявляются к частному охранному персоналу, сотрудники должны быть совершеннолетними и иметь безупречное полицейское досье. Еще одним условием является освидетельствование физического и психологического здоровья (Бразилия, Перу, Уругвай, Чили, Эквадор и Буэнос-Айрес). Сотрудниками охранных фирм не могут быть бывшие служащие полиции или военнослужащие, уволенные за административные нарушения.</w:t>
      </w:r>
    </w:p>
    <w:p w:rsidR="00D72844" w:rsidRDefault="00D72844" w:rsidP="00D72844">
      <w:pPr>
        <w:pStyle w:val="SingleTxt"/>
      </w:pPr>
      <w:r>
        <w:t>96.</w:t>
      </w:r>
      <w:r>
        <w:tab/>
        <w:t>Несколько стран требуют, чтобы сотрудниками компаний были их граждане (Бразилия, Колумбия, Чили и Эквадор). В Перу охранники могут быть иностранцами, а в Многонациональном Государстве Боливия допускается деятельность иностранных консультантов и требуется представление сертификата от Интерпола о кадровой проверке. В Колумбии партнеры частных охранных компаний и члены частных охранных кооперативов должны быть рождены в этой стране</w:t>
      </w:r>
      <w:r w:rsidRPr="004408E3">
        <w:rPr>
          <w:rStyle w:val="FootnoteReference"/>
        </w:rPr>
        <w:footnoteReference w:id="76"/>
      </w:r>
      <w:r>
        <w:t>.</w:t>
      </w:r>
    </w:p>
    <w:p w:rsidR="00D72844" w:rsidRPr="00D72844" w:rsidRDefault="00D72844" w:rsidP="00D72844">
      <w:pPr>
        <w:pStyle w:val="SingleTxt"/>
      </w:pPr>
      <w:r>
        <w:t>97.</w:t>
      </w:r>
      <w:r>
        <w:tab/>
        <w:t>В большинстве случаев охранники обязаны иметь законченное базовое или начальное образование. В</w:t>
      </w:r>
      <w:r w:rsidRPr="00D72844">
        <w:t xml:space="preserve"> </w:t>
      </w:r>
      <w:r>
        <w:t>Перу</w:t>
      </w:r>
      <w:r w:rsidRPr="00D72844">
        <w:t xml:space="preserve"> </w:t>
      </w:r>
      <w:r>
        <w:t>требуется</w:t>
      </w:r>
      <w:r w:rsidRPr="00D72844">
        <w:t xml:space="preserve"> </w:t>
      </w:r>
      <w:r>
        <w:t>полное</w:t>
      </w:r>
      <w:r w:rsidRPr="00D72844">
        <w:t xml:space="preserve"> </w:t>
      </w:r>
      <w:r>
        <w:t>среднее</w:t>
      </w:r>
      <w:r w:rsidRPr="00D72844">
        <w:t xml:space="preserve"> </w:t>
      </w:r>
      <w:r>
        <w:t>образование</w:t>
      </w:r>
      <w:r w:rsidRPr="00D72844">
        <w:t xml:space="preserve">. </w:t>
      </w:r>
    </w:p>
    <w:p w:rsidR="00D72844" w:rsidRDefault="00D72844" w:rsidP="00D72844">
      <w:pPr>
        <w:pStyle w:val="SingleTxt"/>
      </w:pPr>
      <w:r>
        <w:t>98.</w:t>
      </w:r>
      <w:r>
        <w:tab/>
        <w:t>Все страны требуют доказательства безупречного полицейского досье</w:t>
      </w:r>
      <w:r w:rsidRPr="004408E3">
        <w:rPr>
          <w:rStyle w:val="FootnoteReference"/>
        </w:rPr>
        <w:footnoteReference w:id="77"/>
      </w:r>
      <w:r>
        <w:t xml:space="preserve">. </w:t>
      </w:r>
      <w:r w:rsidR="004318AA">
        <w:t>В </w:t>
      </w:r>
      <w:r>
        <w:t>Эквадоре из числа кандидатов исключается любое лицо, которое было приговорено к тюремному заключению или уволено из другой частной охранной компании за доказанные преступления</w:t>
      </w:r>
      <w:r w:rsidRPr="004408E3">
        <w:rPr>
          <w:rStyle w:val="FootnoteReference"/>
        </w:rPr>
        <w:footnoteReference w:id="78"/>
      </w:r>
      <w:r>
        <w:t>. В Бразилии сотрудники не должны быть причастны к преступлениям или быть осуждены федеральным, военным или электоральным судом. Это, однако, не является препятствием для регистрации, если данное лицо проходило лишь в качестве обвиняемого или было предано суду за совершение преступления, приговорено к тюремному заключению и реабилитировано, в случаях истечения не менее пяти лет после отбытия наказания, а также условного приостановления этой процедуры</w:t>
      </w:r>
      <w:r w:rsidRPr="004408E3">
        <w:rPr>
          <w:rStyle w:val="FootnoteReference"/>
        </w:rPr>
        <w:footnoteReference w:id="79"/>
      </w:r>
      <w:r>
        <w:t>.</w:t>
      </w:r>
    </w:p>
    <w:p w:rsidR="00D72844" w:rsidRDefault="00D72844" w:rsidP="00D72844">
      <w:pPr>
        <w:pStyle w:val="SingleTxt"/>
      </w:pPr>
      <w:r>
        <w:t>99.</w:t>
      </w:r>
      <w:r>
        <w:tab/>
        <w:t xml:space="preserve">Все страны, в которых проводился обзор законодательства, требуют наличия в разрешении отметки о типе огнестрельного оружия и санкции на его ношение. </w:t>
      </w:r>
    </w:p>
    <w:p w:rsidR="00D72844" w:rsidRDefault="00D72844" w:rsidP="00D72844">
      <w:pPr>
        <w:pStyle w:val="SingleTxt"/>
      </w:pPr>
      <w:r>
        <w:t>100.</w:t>
      </w:r>
      <w:r>
        <w:tab/>
        <w:t xml:space="preserve">Ссылки на права человека обычно не увязываются с кадровой проверкой персонала частных охранных компаний, за исключением Буэнос-Айреса. Нарушения сотрудниками основных прав не охвачены в нормативных положениях, что является серьезным недостатком. </w:t>
      </w:r>
    </w:p>
    <w:p w:rsidR="00D72844" w:rsidRDefault="00D72844" w:rsidP="00D72844">
      <w:pPr>
        <w:pStyle w:val="SingleTxt"/>
      </w:pPr>
      <w:r>
        <w:t>101.</w:t>
      </w:r>
      <w:r>
        <w:tab/>
        <w:t>Аккредитации, разрешения и личные служебные документы охранников имеют разный срок действия: от двух лет на оказание спецуслуг в Колумбии до пяти лет в Бразилии.</w:t>
      </w:r>
    </w:p>
    <w:p w:rsidR="00D72844" w:rsidRDefault="00D72844" w:rsidP="00D72844">
      <w:pPr>
        <w:pStyle w:val="SingleTxt"/>
      </w:pPr>
      <w:r>
        <w:t>102.</w:t>
      </w:r>
      <w:r>
        <w:tab/>
        <w:t>За исключением Многонационального Государства Боливия персонал частных охранных предприятий должен проходить специальную подготовку. В Буэнос-Айрисе аккредитацией учебных центров и утверждением их программ обучения ведает надзирающий орган</w:t>
      </w:r>
      <w:r w:rsidRPr="004408E3">
        <w:rPr>
          <w:rStyle w:val="FootnoteReference"/>
        </w:rPr>
        <w:footnoteReference w:id="80"/>
      </w:r>
      <w:r>
        <w:t xml:space="preserve">. В нормативных актах Чили не уточняются учебные планы или их продолжительность, а разработкой инструкций и утверждением программ и их содержания занимаются </w:t>
      </w:r>
      <w:r>
        <w:rPr>
          <w:lang w:val="en-US"/>
        </w:rPr>
        <w:t>carabin</w:t>
      </w:r>
      <w:r>
        <w:rPr>
          <w:lang w:val="en-US"/>
        </w:rPr>
        <w:t>e</w:t>
      </w:r>
      <w:r>
        <w:rPr>
          <w:lang w:val="en-US"/>
        </w:rPr>
        <w:t>ros</w:t>
      </w:r>
      <w:r w:rsidRPr="004408E3">
        <w:rPr>
          <w:rStyle w:val="FootnoteReference"/>
        </w:rPr>
        <w:footnoteReference w:id="81"/>
      </w:r>
      <w:r>
        <w:t>. В Эквадоре национальной полиции разрешается создавать учебные центры, однако вопросы прав человека не входят в их учебную программу.</w:t>
      </w:r>
    </w:p>
    <w:p w:rsidR="00D72844" w:rsidRDefault="00D72844" w:rsidP="00D72844">
      <w:pPr>
        <w:pStyle w:val="SingleTxt"/>
      </w:pPr>
      <w:r>
        <w:t>103.</w:t>
      </w:r>
      <w:r>
        <w:tab/>
        <w:t xml:space="preserve">Перу признает специализированные учебные центры частных охранных предприятий, которые должны быть аккредитованы при Министерстве образования и Министерстве внутренних дел. В рамках курсов подготовки не затрагиваются вопросы прав человека, однако в строгом соответствии с обязательствами Перу по действующим международным договорам и соглашениям специализированным учебным центрам запрещено осуществлять обучение и практическую подготовку наемников. Перу является единственной страной из числа охваченных обзором, в которой наемники упоминаются в законе о частной охранной деятельности. </w:t>
      </w:r>
    </w:p>
    <w:p w:rsidR="00D72844" w:rsidRDefault="00D72844" w:rsidP="00D72844">
      <w:pPr>
        <w:pStyle w:val="SingleTxt"/>
      </w:pPr>
      <w:r>
        <w:t>104.</w:t>
      </w:r>
      <w:r>
        <w:tab/>
        <w:t>Согласно законодательству Колумбии в рамках подготовки персонала особый упор следует делать на вопросы соблюдения прав человека</w:t>
      </w:r>
      <w:r w:rsidRPr="004408E3">
        <w:rPr>
          <w:rStyle w:val="FootnoteReference"/>
        </w:rPr>
        <w:footnoteReference w:id="82"/>
      </w:r>
      <w:r>
        <w:t>. В части особых охранных услуг и услуг по охране общин среди прочих тем правительство поощряет специальные программы подготовки по правам человека и международному гуманитарному праву</w:t>
      </w:r>
      <w:r w:rsidRPr="004408E3">
        <w:rPr>
          <w:rStyle w:val="FootnoteReference"/>
        </w:rPr>
        <w:footnoteReference w:id="83"/>
      </w:r>
      <w:r w:rsidR="001A4E7E">
        <w:t>. Термин «права человека»</w:t>
      </w:r>
      <w:r>
        <w:t xml:space="preserve"> неоднократно упоминается в бразильском законодательстве</w:t>
      </w:r>
      <w:r w:rsidRPr="004408E3">
        <w:rPr>
          <w:rStyle w:val="FootnoteReference"/>
        </w:rPr>
        <w:footnoteReference w:id="84"/>
      </w:r>
      <w:r>
        <w:t xml:space="preserve">. В действующих правилах также указывается, что программы подготовки должны охватывать вопросы обеспечения физической неприкосновенности лиц, сталкивающихся в своей работе с применением силы, в соответствии с принципами прав человека, провозглашенными Организацией Объединенных Наций. </w:t>
      </w:r>
    </w:p>
    <w:p w:rsidR="004408E3" w:rsidRPr="004408E3" w:rsidRDefault="004408E3" w:rsidP="004408E3">
      <w:pPr>
        <w:pStyle w:val="SingleTxt"/>
        <w:spacing w:after="0" w:line="120" w:lineRule="exact"/>
        <w:rPr>
          <w:sz w:val="10"/>
        </w:rPr>
      </w:pPr>
    </w:p>
    <w:p w:rsidR="00D72844" w:rsidRDefault="00D72844" w:rsidP="004408E3">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E5751">
        <w:tab/>
      </w:r>
      <w:r w:rsidRPr="006E5751">
        <w:tab/>
        <w:t>Разрешенные и запрещенные виды деятельности</w:t>
      </w:r>
    </w:p>
    <w:p w:rsidR="004408E3" w:rsidRPr="004408E3" w:rsidRDefault="004408E3" w:rsidP="004408E3">
      <w:pPr>
        <w:pStyle w:val="SingleTxt"/>
        <w:spacing w:after="0" w:line="120" w:lineRule="exact"/>
        <w:rPr>
          <w:iCs/>
          <w:sz w:val="10"/>
        </w:rPr>
      </w:pPr>
    </w:p>
    <w:p w:rsidR="00D72844" w:rsidRDefault="00D72844" w:rsidP="00D72844">
      <w:pPr>
        <w:pStyle w:val="SingleTxt"/>
      </w:pPr>
      <w:r>
        <w:t>105.</w:t>
      </w:r>
      <w:r>
        <w:tab/>
        <w:t>Разрешенными по закону видами деятельности являются наблюдение и защита физических лиц и имущества на основании действующих нормативных актов. Вся такая деятельность разрешается, если она осуществляется в соответствии с законом и положениями контрактов.</w:t>
      </w:r>
    </w:p>
    <w:p w:rsidR="00D72844" w:rsidRPr="006E5751" w:rsidRDefault="00D72844" w:rsidP="00D72844">
      <w:pPr>
        <w:pStyle w:val="SingleTxt"/>
      </w:pPr>
      <w:r>
        <w:t>106.</w:t>
      </w:r>
      <w:r>
        <w:tab/>
        <w:t>В отношении частных охранных компаний применяется общее ограничение, согласно которому они обязаны воздерживаться от участия в деятельности, закрепленной за органами общественной безопасности. Закон о национальной полиции Боливии запрещает деятельность, которая аналогична деятельности национальной полиции</w:t>
      </w:r>
      <w:r w:rsidRPr="004408E3">
        <w:rPr>
          <w:rStyle w:val="FootnoteReference"/>
        </w:rPr>
        <w:footnoteReference w:id="85"/>
      </w:r>
      <w:r>
        <w:t>. По законодательству Уругвая права по поддержанию общественного порядка отдельных лиц и компаний, получивших разрешения на оказание таких услуг, ограничиваются теми, которые законодательство предоставляет частным лицам. В Перу компаниям запрещается заниматься любым видом деятельности, который осуществляют вооруженные силы или национальная полиция</w:t>
      </w:r>
      <w:r w:rsidRPr="004408E3">
        <w:rPr>
          <w:rStyle w:val="FootnoteReference"/>
        </w:rPr>
        <w:footnoteReference w:id="86"/>
      </w:r>
      <w:r>
        <w:t>. В Эквадоре частная охранная деятельность не может вторгаться в сферу ответственности полиции</w:t>
      </w:r>
      <w:r w:rsidRPr="004408E3">
        <w:rPr>
          <w:rStyle w:val="FootnoteReference"/>
        </w:rPr>
        <w:footnoteReference w:id="87"/>
      </w:r>
      <w:r>
        <w:t>. Аналогичное</w:t>
      </w:r>
      <w:r w:rsidRPr="006E5751">
        <w:t xml:space="preserve"> </w:t>
      </w:r>
      <w:r>
        <w:t>правило</w:t>
      </w:r>
      <w:r w:rsidRPr="006E5751">
        <w:t xml:space="preserve"> </w:t>
      </w:r>
      <w:r>
        <w:t>действует</w:t>
      </w:r>
      <w:r w:rsidR="004318AA">
        <w:t xml:space="preserve"> </w:t>
      </w:r>
      <w:r>
        <w:t>в</w:t>
      </w:r>
      <w:r w:rsidRPr="006E5751">
        <w:t xml:space="preserve"> </w:t>
      </w:r>
      <w:r>
        <w:t>Колумбии</w:t>
      </w:r>
      <w:r w:rsidRPr="004408E3">
        <w:rPr>
          <w:rStyle w:val="FootnoteReference"/>
        </w:rPr>
        <w:footnoteReference w:id="88"/>
      </w:r>
      <w:r w:rsidRPr="006E5751">
        <w:t>.</w:t>
      </w:r>
    </w:p>
    <w:p w:rsidR="00D72844" w:rsidRDefault="00D72844" w:rsidP="00D72844">
      <w:pPr>
        <w:pStyle w:val="SingleTxt"/>
      </w:pPr>
      <w:r>
        <w:t>107.</w:t>
      </w:r>
      <w:r>
        <w:tab/>
        <w:t>В Перу применяются подробно разработанные положения о запрещенных видах деятельности, в том числе конкурирующих с функциями вооруженных сил и национальной полиции</w:t>
      </w:r>
      <w:r w:rsidRPr="004408E3">
        <w:rPr>
          <w:rStyle w:val="FootnoteReference"/>
        </w:rPr>
        <w:footnoteReference w:id="89"/>
      </w:r>
      <w:r>
        <w:t>. Такие запреты вероятно являются следствием скандала с компанией ФОРЦА. Эти правила дополнительно содержат общее положение о запрете осуществления такими компаниями деятельности, нарушающей закрепленные в Конституции Перу права человека</w:t>
      </w:r>
      <w:r w:rsidRPr="004408E3">
        <w:rPr>
          <w:rStyle w:val="FootnoteReference"/>
        </w:rPr>
        <w:footnoteReference w:id="90"/>
      </w:r>
      <w:r>
        <w:t>. В Колумбии частным компании запрещается участвовать в мероприятиях, связанных с оказанием особых охранных услуг и охраной общин, разведывательной деятельностью, боевой подготовкой, конфискациями, обысками, перехватами или другой незаконной деятельностью</w:t>
      </w:r>
      <w:r w:rsidRPr="004408E3">
        <w:rPr>
          <w:rStyle w:val="FootnoteReference"/>
        </w:rPr>
        <w:footnoteReference w:id="91"/>
      </w:r>
      <w:r>
        <w:t>. Статьей 5 закона № 3.607 Чили</w:t>
      </w:r>
      <w:r w:rsidR="00AE2FCA">
        <w:t xml:space="preserve"> предусмотрено, что в случаях, «</w:t>
      </w:r>
      <w:r>
        <w:t>если этого требуют национальные интересы</w:t>
      </w:r>
      <w:r w:rsidR="00AE2FCA">
        <w:t>»</w:t>
      </w:r>
      <w:r>
        <w:t xml:space="preserve">, всем физическим лицам и компаниям запрещается оказывать услуги с помощью вооруженных охранников. </w:t>
      </w:r>
    </w:p>
    <w:p w:rsidR="00D72844" w:rsidRDefault="00D72844" w:rsidP="00D72844">
      <w:pPr>
        <w:pStyle w:val="SingleTxt"/>
      </w:pPr>
      <w:r>
        <w:t>108.</w:t>
      </w:r>
      <w:r>
        <w:tab/>
        <w:t>В законодательстве Уругвая и Буэнос-Айреса имеются положения о запретах, которые направлены на защиту конституционных гарантий и прав</w:t>
      </w:r>
      <w:r w:rsidRPr="004408E3">
        <w:rPr>
          <w:rStyle w:val="FootnoteReference"/>
        </w:rPr>
        <w:footnoteReference w:id="92"/>
      </w:r>
      <w:r>
        <w:t xml:space="preserve">, в соответствии с которыми компании, в частности, не могут вмешиваться в политические, трудовые или религиозные конфликты и не могут оказывать влияние на политические, профсоюзные и религиозные взгляды. </w:t>
      </w:r>
    </w:p>
    <w:p w:rsidR="004408E3" w:rsidRPr="004408E3" w:rsidRDefault="004408E3" w:rsidP="004408E3">
      <w:pPr>
        <w:pStyle w:val="SingleTxt"/>
        <w:spacing w:after="0" w:line="120" w:lineRule="exact"/>
        <w:rPr>
          <w:sz w:val="10"/>
        </w:rPr>
      </w:pPr>
    </w:p>
    <w:p w:rsidR="00D72844" w:rsidRDefault="00D72844" w:rsidP="004408E3">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D72844">
        <w:tab/>
      </w:r>
      <w:r w:rsidRPr="00D72844">
        <w:tab/>
      </w:r>
      <w:r w:rsidRPr="006E5751">
        <w:t>Приобретение</w:t>
      </w:r>
      <w:r w:rsidRPr="00D72844">
        <w:t xml:space="preserve"> </w:t>
      </w:r>
      <w:r w:rsidRPr="006E5751">
        <w:t xml:space="preserve">оружия </w:t>
      </w:r>
    </w:p>
    <w:p w:rsidR="004408E3" w:rsidRPr="004408E3" w:rsidRDefault="004408E3" w:rsidP="004408E3">
      <w:pPr>
        <w:pStyle w:val="SingleTxt"/>
        <w:spacing w:after="0" w:line="120" w:lineRule="exact"/>
        <w:rPr>
          <w:iCs/>
          <w:sz w:val="10"/>
        </w:rPr>
      </w:pPr>
    </w:p>
    <w:p w:rsidR="00D72844" w:rsidRDefault="00D72844" w:rsidP="00D72844">
      <w:pPr>
        <w:pStyle w:val="SingleTxt"/>
      </w:pPr>
      <w:r>
        <w:t>109.</w:t>
      </w:r>
      <w:r>
        <w:tab/>
        <w:t xml:space="preserve">Все семь стран, допускающих ношение огнестрельного оружия, требуют получения компаниями и отдельными охранниками разрешения на ношение разрешенных типов огнестрельного оружия. Эти требование охватывает вопросы владения огнестрельным оружием и его ношения. Компании должны соблюдать установленный порядок его применения и хранения. В качестве общего правила не допускается применение запрещенных типов огнестрельного оружия, а возможность применения определенных типов такого оружия ограничивается полицией или вооруженными силами. Охранники обязаны постоянно иметь при себе удостоверения личности с указанием типа разрешенного огнестрельного оружия. Многонациональное Государство Боливия является единственной страной из числа включенных в обзор, которая не допускает ношение огнестрельного оружия сотрудниками частных охранных структур. </w:t>
      </w:r>
    </w:p>
    <w:p w:rsidR="00D72844" w:rsidRDefault="00D72844" w:rsidP="00D72844">
      <w:pPr>
        <w:pStyle w:val="SingleTxt"/>
      </w:pPr>
      <w:r>
        <w:t>110.</w:t>
      </w:r>
      <w:r>
        <w:tab/>
        <w:t>В законодательстве всех стран уточняется, какие услуги могут предоставляться с использованием огнестрельного оружия или без такового; в некоторых случаях охранной структуре предоставляется определенный выбор. Так например, перуанское законодательство запрещает применение огнестрельного оружия при несении отдельным лицом охранной служб</w:t>
      </w:r>
      <w:r w:rsidR="004318AA">
        <w:t>ы в интересах третьих сторон. В </w:t>
      </w:r>
      <w:r>
        <w:t>Колумбии отдельным лицам разрешается предоставлять частные охранные услуги, но только без оружия</w:t>
      </w:r>
      <w:r w:rsidRPr="004408E3">
        <w:rPr>
          <w:rStyle w:val="FootnoteReference"/>
        </w:rPr>
        <w:footnoteReference w:id="93"/>
      </w:r>
      <w:r>
        <w:t>. В Чили компаниям не разрешается иметь вооруженных охранников. В Бразилии охранник имеет право на ношение огнестрельного оружия только при исполнении служебных обязанностей</w:t>
      </w:r>
      <w:r w:rsidRPr="004408E3">
        <w:rPr>
          <w:rStyle w:val="FootnoteReference"/>
        </w:rPr>
        <w:footnoteReference w:id="94"/>
      </w:r>
      <w:r>
        <w:t xml:space="preserve">. </w:t>
      </w:r>
      <w:r w:rsidR="00AE2FCA">
        <w:t>В Перу в законе </w:t>
      </w:r>
      <w:r>
        <w:t>№</w:t>
      </w:r>
      <w:r w:rsidR="004318AA">
        <w:t> </w:t>
      </w:r>
      <w:r>
        <w:t>28.879 прописано, что специализированные частные охранные компании должны иметь разрешения на свое огнестрельное оружие не боевого назначения и боеприпасы к нему. В Колумбии в законе об огнестрельном оружии проводится различие между разрешением на владение оружием отдельными лицами и компаниями и разрешением на ношение огнестрельного оружия отдельными лицами и охранниками, а также частными охранными компаниями. В нем также предусматривается, что частная охранная компания может иметь максимум одну единицу огнестрельного оружия для самозащиты в расчете на трех состоящих в ее штате охранников. В Эквадоре разрешенное количество единиц оружия определяется в увязке с возможностями компании по предоставлению услуг</w:t>
      </w:r>
      <w:r w:rsidRPr="004408E3">
        <w:rPr>
          <w:rStyle w:val="FootnoteReference"/>
        </w:rPr>
        <w:footnoteReference w:id="95"/>
      </w:r>
      <w:r>
        <w:t>. В прочих случаях, например в Чили, каждому частному охраннику разрешается иметь одну единицу оружия.</w:t>
      </w:r>
    </w:p>
    <w:p w:rsidR="00D72844" w:rsidRDefault="00D72844" w:rsidP="00D72844">
      <w:pPr>
        <w:pStyle w:val="SingleTxt"/>
      </w:pPr>
      <w:r>
        <w:t>111.</w:t>
      </w:r>
      <w:r>
        <w:tab/>
        <w:t>Частные охранные компании, как правило, должны располагать надлежащей инфраструктурой для хранения огнестрельного оружия и боеприпасов, например, на те периоды времени, когда охранники не находятся при исполнении своих служебных обязанностей. Они также должны вести учет выдачи и сдачи огнестрельного оружия.</w:t>
      </w:r>
    </w:p>
    <w:p w:rsidR="00D72844" w:rsidRDefault="00D72844" w:rsidP="00D72844">
      <w:pPr>
        <w:pStyle w:val="SingleTxt"/>
      </w:pPr>
      <w:r>
        <w:t>112.</w:t>
      </w:r>
      <w:r>
        <w:tab/>
        <w:t>В проанализированных законодательных актах не встречается упоминание незаконно приобретенного огнестрельного оружия или торговли незарегистрированным оружием. Не прописано также никаких административных нарушений, которые влекут за собой запрет на покупку или ношение незаконно приобретенного оружия.</w:t>
      </w:r>
    </w:p>
    <w:p w:rsidR="004408E3" w:rsidRPr="004408E3" w:rsidRDefault="004408E3" w:rsidP="004408E3">
      <w:pPr>
        <w:pStyle w:val="SingleTxt"/>
        <w:spacing w:after="0" w:line="120" w:lineRule="exact"/>
        <w:rPr>
          <w:sz w:val="10"/>
        </w:rPr>
      </w:pPr>
    </w:p>
    <w:p w:rsidR="00D72844" w:rsidRDefault="00D72844" w:rsidP="004408E3">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E5751">
        <w:tab/>
      </w:r>
      <w:r w:rsidRPr="006E5751">
        <w:tab/>
        <w:t>Применение силы и огнестрельного оружия</w:t>
      </w:r>
    </w:p>
    <w:p w:rsidR="004408E3" w:rsidRPr="004408E3" w:rsidRDefault="004408E3" w:rsidP="004408E3">
      <w:pPr>
        <w:pStyle w:val="SingleTxt"/>
        <w:spacing w:after="0" w:line="120" w:lineRule="exact"/>
        <w:rPr>
          <w:iCs/>
          <w:sz w:val="10"/>
        </w:rPr>
      </w:pPr>
    </w:p>
    <w:p w:rsidR="00D72844" w:rsidRDefault="00D72844" w:rsidP="00D72844">
      <w:pPr>
        <w:pStyle w:val="SingleTxt"/>
      </w:pPr>
      <w:r>
        <w:t>113.</w:t>
      </w:r>
      <w:r>
        <w:tab/>
        <w:t>Владение огнестрельным оружием и его ношение ограничивается теми местами, в которых по контракту предоставляются услуги по обеспечению безопасности и охране, а невыполнение этих требований влечет за собой конфискацию огнестрельного оружия и прочие предусмотренные законом санкции</w:t>
      </w:r>
      <w:r w:rsidRPr="004408E3">
        <w:rPr>
          <w:rStyle w:val="FootnoteReference"/>
        </w:rPr>
        <w:footnoteReference w:id="96"/>
      </w:r>
      <w:r>
        <w:t xml:space="preserve">. Огнестрельное оружие должно хранится в защищенном месте, когда охранники свободны от несения службы. </w:t>
      </w:r>
    </w:p>
    <w:p w:rsidR="00D72844" w:rsidRDefault="00D72844" w:rsidP="00D72844">
      <w:pPr>
        <w:pStyle w:val="SingleTxt"/>
      </w:pPr>
      <w:r>
        <w:t>114.</w:t>
      </w:r>
      <w:r>
        <w:tab/>
        <w:t>Все восемь стран требуют подготовки сотрудников по применению огнестрельного оружия, хотя в каждой стране такие требования имеют свои особенности. Законы об огнестрельном оружии дополняют и уточняют правила ношения и применения огнестрельного оружия. Если в законах о частной охранной деятельности не устанавливается максимально допустимый калибр оружия, то в них упоминают</w:t>
      </w:r>
      <w:r w:rsidR="00AE2FCA">
        <w:t>ся общие ограничения, например «</w:t>
      </w:r>
      <w:r>
        <w:t>небоевое оружие</w:t>
      </w:r>
      <w:r w:rsidR="00AE2FCA">
        <w:t>» или «</w:t>
      </w:r>
      <w:r>
        <w:t>предназначенное для гражданского использования</w:t>
      </w:r>
      <w:r w:rsidR="00AE2FCA">
        <w:t>»</w:t>
      </w:r>
      <w:r>
        <w:t>.</w:t>
      </w:r>
    </w:p>
    <w:p w:rsidR="00D72844" w:rsidRDefault="00D72844" w:rsidP="00D72844">
      <w:pPr>
        <w:pStyle w:val="SingleTxt"/>
      </w:pPr>
      <w:r>
        <w:t>115.</w:t>
      </w:r>
      <w:r>
        <w:tab/>
        <w:t>Подобно любым другим структурам по отношению к частным охранным компаниям применяются механизмы обеспечения подотчетности. Не существует каких-либо нормативных положений, предусматривающих более строгие наказания за поведение их сотрудников, нежели рядовых граждан. Это несмотря на тот факт, что сотрудники частных охранных компаний являются лицами, которым разрешается ношение огнестрельного оружие, в большинстве случаев, и которые действуют в рамках делегированных им полномочий на законное применение силы.</w:t>
      </w:r>
    </w:p>
    <w:p w:rsidR="00D72844" w:rsidRDefault="00D72844" w:rsidP="00D72844">
      <w:pPr>
        <w:pStyle w:val="SingleTxt"/>
      </w:pPr>
      <w:r>
        <w:t>116.</w:t>
      </w:r>
      <w:r>
        <w:tab/>
        <w:t xml:space="preserve">В законодательстве большинства стран имеется крайне мало конкретных положений о применении силы и огнестрельного оружия с учетом стандартов в области прав человека. Весьма важная практика нашла свое отражение в бразильском постановлении (2012 года), в котором подробно расписан учебный план для подготовки частных охранников, включающий вопросы прав человека. </w:t>
      </w:r>
    </w:p>
    <w:p w:rsidR="004408E3" w:rsidRPr="004408E3" w:rsidRDefault="004408E3" w:rsidP="004408E3">
      <w:pPr>
        <w:pStyle w:val="SingleTxt"/>
        <w:spacing w:after="0" w:line="120" w:lineRule="exact"/>
        <w:rPr>
          <w:sz w:val="10"/>
        </w:rPr>
      </w:pPr>
    </w:p>
    <w:p w:rsidR="00D72844" w:rsidRDefault="00D72844" w:rsidP="004408E3">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D72844">
        <w:tab/>
      </w:r>
      <w:r w:rsidRPr="00D72844">
        <w:tab/>
      </w:r>
      <w:r w:rsidRPr="006E5751">
        <w:t>Подотчетность за нарушения и средства правовой защиты жертв</w:t>
      </w:r>
    </w:p>
    <w:p w:rsidR="004408E3" w:rsidRPr="004408E3" w:rsidRDefault="004408E3" w:rsidP="004408E3">
      <w:pPr>
        <w:pStyle w:val="SingleTxt"/>
        <w:spacing w:after="0" w:line="120" w:lineRule="exact"/>
        <w:rPr>
          <w:iCs/>
          <w:sz w:val="10"/>
        </w:rPr>
      </w:pPr>
    </w:p>
    <w:p w:rsidR="00D72844" w:rsidRDefault="00D72844" w:rsidP="00D72844">
      <w:pPr>
        <w:pStyle w:val="SingleTxt"/>
      </w:pPr>
      <w:r>
        <w:t>117.</w:t>
      </w:r>
      <w:r>
        <w:tab/>
        <w:t>В проанализированных законах не предусмотрены конкретные процедуры на случай нарушений прав человека. Ни в одном из разделов, касающихся инспекций и санкций, нарушения прав человека не упоминаются, равно как и компенсация жертвам таких нарушений.</w:t>
      </w:r>
    </w:p>
    <w:p w:rsidR="00D72844" w:rsidRDefault="00D72844" w:rsidP="00D72844">
      <w:pPr>
        <w:pStyle w:val="SingleTxt"/>
      </w:pPr>
      <w:r>
        <w:t>118.</w:t>
      </w:r>
      <w:r>
        <w:tab/>
        <w:t xml:space="preserve">В большинстве стран административные нарушения классифицируются по степени нарастания степени их тяжести. Вводимые санкции могут быть самыми разными, начиная с предупреждения до штрафа, приостановления или отзыва разрешения на осуществление деятельности. Такие нарушения в первую очередь связываются с несоблюдением формальностей и требований в отношении разрешений и лицензий, правил владения огнестрельным оружием и его ношения, требований к использованию форменной одежды и знаков различия, а также с действиями и бездействием при исполнении служебных обязанностей и несоблюдением запретов. </w:t>
      </w:r>
    </w:p>
    <w:p w:rsidR="00D72844" w:rsidRPr="00D72844" w:rsidRDefault="00D72844" w:rsidP="00D72844">
      <w:pPr>
        <w:pStyle w:val="SingleTxt"/>
      </w:pPr>
      <w:r>
        <w:t>119.</w:t>
      </w:r>
      <w:r>
        <w:tab/>
        <w:t>В законодательстве Колумбии отмечается, что частные охранные структуры должны соблюдать основные права и свободы общественности</w:t>
      </w:r>
      <w:r w:rsidRPr="004408E3">
        <w:rPr>
          <w:rStyle w:val="FootnoteReference"/>
        </w:rPr>
        <w:footnoteReference w:id="97"/>
      </w:r>
      <w:r>
        <w:t>. Компании, которые предоставляют охранные услуги и услуги по обеспечению безопасности обязаны сотрудничать с Управлением по делам наблюдения и частной охраной деятельности в рамках проводимых инспекций и создать механизмы внутреннего контроля. В случаях оказания специальных услуг или охраны общин правила предусматривают обязанность информировать власти о любых уголовных деяниях и нарушениях прав человека и международного гуманитарного права, о которых стало известно при исполнении служебных обязанностей. В целях контроля за действиями по оказанию услуг общинам создается надзорный совет, который представляет ежеквартальные отчеты Управлению с рекомендациями по обеспечению общественной безопасности, информирует о проводимой деятельности для ее проверки общественностью и обеспечивает эффективный мониторинг</w:t>
      </w:r>
      <w:r w:rsidRPr="004408E3">
        <w:rPr>
          <w:rStyle w:val="FootnoteReference"/>
        </w:rPr>
        <w:footnoteReference w:id="98"/>
      </w:r>
      <w:r>
        <w:t>. Такая</w:t>
      </w:r>
      <w:r w:rsidRPr="00D72844">
        <w:t xml:space="preserve"> </w:t>
      </w:r>
      <w:r>
        <w:t>практика</w:t>
      </w:r>
      <w:r w:rsidRPr="00D72844">
        <w:t xml:space="preserve"> </w:t>
      </w:r>
      <w:r>
        <w:t>признана</w:t>
      </w:r>
      <w:r w:rsidRPr="00D72844">
        <w:t xml:space="preserve"> </w:t>
      </w:r>
      <w:r>
        <w:t>передовой</w:t>
      </w:r>
      <w:r w:rsidRPr="00D72844">
        <w:t xml:space="preserve">. </w:t>
      </w:r>
    </w:p>
    <w:p w:rsidR="00D72844" w:rsidRDefault="00D72844" w:rsidP="00D72844">
      <w:pPr>
        <w:pStyle w:val="SingleTxt"/>
      </w:pPr>
      <w:r>
        <w:t>120.</w:t>
      </w:r>
      <w:r>
        <w:tab/>
        <w:t>В Бразилии деятельность частных компаний контролирует одно из управлений федеральной полиции. Действующие нормативные положения требуют от частных охранных компаний немедленно сообщать представителям специализированных частных охранных компаний или действующим в данном районе инспекционным комиссиям о незаконной деятельности, к которой причастны их охранники</w:t>
      </w:r>
      <w:r w:rsidRPr="004408E3">
        <w:rPr>
          <w:rStyle w:val="FootnoteReference"/>
        </w:rPr>
        <w:footnoteReference w:id="99"/>
      </w:r>
      <w:r>
        <w:t>.</w:t>
      </w:r>
    </w:p>
    <w:p w:rsidR="00D72844" w:rsidRDefault="00D72844" w:rsidP="00D72844">
      <w:pPr>
        <w:pStyle w:val="SingleTxt"/>
      </w:pPr>
      <w:r>
        <w:t>121. В Буэнос-Айресе надзирающий орган организует проверки и применяет санкции и должен проводить не менее одной ежегодной инспекции. В Эквадоре закон предусматривает осуществление мониторинга и регулирования деятельности частных охранных компаний силами Министерства государственного управления и полиции совместно с Управлением контроля коммерческой деятельности, при этом инспекции должны проводиться в любое время и при любых обстоятельствах, а за допущенные нарушения Министерство применя</w:t>
      </w:r>
      <w:r w:rsidR="00AE2FCA">
        <w:t>ет санкции. В </w:t>
      </w:r>
      <w:r>
        <w:t>Многонациональном Государстве Боливия национальный орган, который отвечает за деятельность частных компаний, контролирует и отслеживает операции таких компаний и обеспечивает соблюдение ими действующих правил, эффективное и транспарентное проведение мероприятий, периодическое инспектирование компаний и объявление предупреждений</w:t>
      </w:r>
      <w:r w:rsidRPr="004408E3">
        <w:rPr>
          <w:rStyle w:val="FootnoteReference"/>
        </w:rPr>
        <w:footnoteReference w:id="100"/>
      </w:r>
      <w:r>
        <w:t xml:space="preserve">. В действующих правилах вводится ответственность за управление компаниями и их персоналом, за халатность при выполнении обязанностей, а также за совершение преступлений в процессе работы. </w:t>
      </w:r>
    </w:p>
    <w:p w:rsidR="00D72844" w:rsidRDefault="00D72844" w:rsidP="00D72844">
      <w:pPr>
        <w:pStyle w:val="SingleTxt"/>
        <w:rPr>
          <w:iCs/>
        </w:rPr>
      </w:pPr>
      <w:r>
        <w:t>122.</w:t>
      </w:r>
      <w:r>
        <w:tab/>
        <w:t xml:space="preserve"> В Перу Управление контроля за службами безопасности, огнестрельным оружием, боеприпасами и взрывчатыми веществами, применяемыми в гражданских целях, надзирает за деятельностью частных охранных компаний и применяет санкции в отношении тех из них, которые нарушают закрепленные в Конституции права человека</w:t>
      </w:r>
      <w:r w:rsidRPr="004408E3">
        <w:rPr>
          <w:rStyle w:val="FootnoteReference"/>
        </w:rPr>
        <w:footnoteReference w:id="101"/>
      </w:r>
      <w:r>
        <w:t xml:space="preserve">. В Уругвае Министерство внутренних дел несет ответственность за регулирование и проверку работы частных охранных компаний, а также вносит предложения по санкциям в случае допущенных нарушений. </w:t>
      </w:r>
      <w:r w:rsidRPr="0041332E">
        <w:t xml:space="preserve">В Чили контролем, проверкой и регулированием </w:t>
      </w:r>
      <w:r>
        <w:t xml:space="preserve">деятельности </w:t>
      </w:r>
      <w:r w:rsidRPr="0041332E">
        <w:t xml:space="preserve">компаний, в штат которых входят вооруженные и невооруженные охранники, занимается префектура </w:t>
      </w:r>
      <w:r w:rsidRPr="0041332E">
        <w:rPr>
          <w:iCs/>
        </w:rPr>
        <w:t>carabineros.</w:t>
      </w:r>
    </w:p>
    <w:p w:rsidR="004408E3" w:rsidRPr="004408E3" w:rsidRDefault="004408E3" w:rsidP="004408E3">
      <w:pPr>
        <w:pStyle w:val="SingleTxt"/>
        <w:spacing w:after="0" w:line="120" w:lineRule="exact"/>
        <w:rPr>
          <w:iCs/>
          <w:sz w:val="10"/>
        </w:rPr>
      </w:pPr>
    </w:p>
    <w:p w:rsidR="00D72844" w:rsidRDefault="00D72844" w:rsidP="004408E3">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1332E">
        <w:tab/>
      </w:r>
      <w:r w:rsidRPr="0041332E">
        <w:tab/>
      </w:r>
      <w:r w:rsidRPr="006E5751">
        <w:t>Ратификация</w:t>
      </w:r>
      <w:r w:rsidRPr="00D72844">
        <w:t xml:space="preserve"> </w:t>
      </w:r>
      <w:r w:rsidRPr="006E5751">
        <w:t>конвенций</w:t>
      </w:r>
      <w:r w:rsidRPr="00D72844">
        <w:t xml:space="preserve"> </w:t>
      </w:r>
      <w:r w:rsidRPr="006E5751">
        <w:t>о</w:t>
      </w:r>
      <w:r w:rsidRPr="00D72844">
        <w:t xml:space="preserve"> </w:t>
      </w:r>
      <w:r w:rsidRPr="006E5751">
        <w:t>наемниках</w:t>
      </w:r>
    </w:p>
    <w:p w:rsidR="004408E3" w:rsidRPr="004408E3" w:rsidRDefault="004408E3" w:rsidP="004408E3">
      <w:pPr>
        <w:pStyle w:val="SingleTxt"/>
        <w:spacing w:after="0" w:line="120" w:lineRule="exact"/>
        <w:rPr>
          <w:iCs/>
          <w:sz w:val="10"/>
        </w:rPr>
      </w:pPr>
    </w:p>
    <w:p w:rsidR="004408E3" w:rsidRDefault="00D72844" w:rsidP="00D72844">
      <w:pPr>
        <w:pStyle w:val="SingleTxt"/>
      </w:pPr>
      <w:r>
        <w:t>123.</w:t>
      </w:r>
      <w:r>
        <w:tab/>
        <w:t>Только две страны ратифицировали Международную конвенцию о борьбе с вербовкой, использованием, финансированием и обучением наемников: Перу (2007 год) и Уругвай (1999 год). В регионе нет нормативных актов, регулирующих деятельность наемников. Концепция наемнической деятельности упоминается только в законодательстве Перу о частных охранных услугах.</w:t>
      </w:r>
    </w:p>
    <w:p w:rsidR="004408E3" w:rsidRPr="004408E3" w:rsidRDefault="004408E3" w:rsidP="004408E3">
      <w:pPr>
        <w:pStyle w:val="SingleTxt"/>
        <w:spacing w:after="0" w:line="120" w:lineRule="exact"/>
        <w:rPr>
          <w:sz w:val="10"/>
        </w:rPr>
      </w:pPr>
    </w:p>
    <w:p w:rsidR="004408E3" w:rsidRPr="004408E3" w:rsidRDefault="004408E3" w:rsidP="004408E3">
      <w:pPr>
        <w:pStyle w:val="SingleTxt"/>
        <w:spacing w:after="0" w:line="120" w:lineRule="exact"/>
        <w:rPr>
          <w:sz w:val="10"/>
        </w:rPr>
      </w:pPr>
    </w:p>
    <w:p w:rsidR="00D72844" w:rsidRDefault="00D72844" w:rsidP="004408E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Pr>
          <w:lang w:val="en-US"/>
        </w:rPr>
        <w:t>IV</w:t>
      </w:r>
      <w:r w:rsidRPr="006E5751">
        <w:t>.</w:t>
      </w:r>
      <w:r w:rsidRPr="006E5751">
        <w:tab/>
      </w:r>
      <w:r>
        <w:t>Выводы</w:t>
      </w:r>
      <w:r w:rsidRPr="006E5751">
        <w:t xml:space="preserve"> </w:t>
      </w:r>
      <w:r>
        <w:t>и</w:t>
      </w:r>
      <w:r w:rsidRPr="006E5751">
        <w:t xml:space="preserve"> </w:t>
      </w:r>
      <w:r>
        <w:t>рекомендации</w:t>
      </w:r>
    </w:p>
    <w:p w:rsidR="004408E3" w:rsidRPr="004408E3" w:rsidRDefault="004408E3" w:rsidP="004408E3">
      <w:pPr>
        <w:pStyle w:val="SingleTxt"/>
        <w:spacing w:after="0" w:line="120" w:lineRule="exact"/>
        <w:rPr>
          <w:sz w:val="10"/>
        </w:rPr>
      </w:pPr>
    </w:p>
    <w:p w:rsidR="004408E3" w:rsidRPr="004408E3" w:rsidRDefault="004408E3" w:rsidP="004408E3">
      <w:pPr>
        <w:pStyle w:val="SingleTxt"/>
        <w:spacing w:after="0" w:line="120" w:lineRule="exact"/>
        <w:rPr>
          <w:sz w:val="10"/>
        </w:rPr>
      </w:pPr>
    </w:p>
    <w:p w:rsidR="00D72844" w:rsidRPr="004408E3" w:rsidRDefault="00D72844" w:rsidP="00D72844">
      <w:pPr>
        <w:pStyle w:val="SingleTxt"/>
        <w:rPr>
          <w:b/>
        </w:rPr>
      </w:pPr>
      <w:r>
        <w:t>124.</w:t>
      </w:r>
      <w:r>
        <w:tab/>
      </w:r>
      <w:r w:rsidRPr="004408E3">
        <w:rPr>
          <w:b/>
        </w:rPr>
        <w:t>В результате проведенного исследования установлено, что хотя все проанализированные страны имеют законы о регулировании частных охранных компаний, каждая страна по-своему подходит к приватизации охранной деятельности, что приводит к ее неупорядоченному и непоследовательному регулированию. Рабочая группа подчеркивает, что разные подходы и нормативные пробелы, выявленные в ходе исследования, могут привести к серьезному подрыву верховенства права и подотчетности персонала частных военных и охранных компаний за нарушения закона. Кроме того, существующие нормативные пробелы создают потенциальные риски для различных основных прав человека, в частности для права на безопасность, права на жизнь, запрета произвольного лишения свободы, пыток, жестокого, бесчеловечного или унижающего достоинство обращения и права жертв на эффективные средства судебной защиты.</w:t>
      </w:r>
    </w:p>
    <w:p w:rsidR="00D72844" w:rsidRPr="004408E3" w:rsidRDefault="00D72844" w:rsidP="00D72844">
      <w:pPr>
        <w:pStyle w:val="SingleTxt"/>
        <w:rPr>
          <w:b/>
        </w:rPr>
      </w:pPr>
      <w:r>
        <w:t>125.</w:t>
      </w:r>
      <w:r>
        <w:tab/>
      </w:r>
      <w:r w:rsidRPr="004408E3">
        <w:rPr>
          <w:b/>
        </w:rPr>
        <w:t>Лишь несколько стран имеют национальные законы, охватывающие деятельность частных военных и охранных компаний за рубежом. С учетом транснационального характера частных охранных и военных услуг недостаточное регулирование сферы применения проанализированных законодательных актов серьезно ослабляет верховенство права. В условиях прозрачности границ между странами необходимо заполнить существующие пробелы и поощрять заключение региональных и субрегиональных соглашений о регулировании деятельности частных военных и охранных компаний в интересах действенной защиты верховенства права, прав человека и осуществления права народов на самоопределение.</w:t>
      </w:r>
    </w:p>
    <w:p w:rsidR="00D72844" w:rsidRPr="004408E3" w:rsidRDefault="00D72844" w:rsidP="00D72844">
      <w:pPr>
        <w:pStyle w:val="SingleTxt"/>
        <w:rPr>
          <w:b/>
        </w:rPr>
      </w:pPr>
      <w:r>
        <w:t>126.</w:t>
      </w:r>
      <w:r>
        <w:tab/>
      </w:r>
      <w:r w:rsidRPr="004408E3">
        <w:rPr>
          <w:b/>
        </w:rPr>
        <w:t>Еще один важный пробел состоит в том, что такие нормативные акты прямо не затрагивают военизированную деятельность частных военных и охранных компаний. Транснациональные и военные услуги, предоставляемые в условиях вооруженного конфликта и других сложных сцен</w:t>
      </w:r>
      <w:r w:rsidR="0000281F">
        <w:rPr>
          <w:b/>
        </w:rPr>
        <w:t>ариев, например так называемой «войны с наркотиками»</w:t>
      </w:r>
      <w:r w:rsidRPr="004408E3">
        <w:rPr>
          <w:b/>
        </w:rPr>
        <w:t>, повышают вероятность применения огнестрельного оружия сотрудниками частных военных и охранных компаний, а также опасность нарушения прав человека. Таким образом возникает потребность в разработке детальных правил регулирования применения силы и огнестрельного оружия в целях обеспечения возможности преследования виновных за п</w:t>
      </w:r>
      <w:r w:rsidR="00AE2FCA">
        <w:rPr>
          <w:b/>
        </w:rPr>
        <w:t>ределами национальных границ. В </w:t>
      </w:r>
      <w:r w:rsidRPr="004408E3">
        <w:rPr>
          <w:b/>
        </w:rPr>
        <w:t>Бразилии действуют подзаконные акты, требующие организации подготовки кадров по методам применения постепенно и последовательно нарастающей силы в целях обеспечения физической неприкосновенности лиц, сталкивающихся с применением силы в ходе частных охранных мероприятий, в соответствии с принципами Организации Объединенных Наций в области прав человека. Рабочая группа рекомендует такой подход в качестве примера передовой практики.</w:t>
      </w:r>
    </w:p>
    <w:p w:rsidR="00D72844" w:rsidRPr="004408E3" w:rsidRDefault="00D72844" w:rsidP="00D72844">
      <w:pPr>
        <w:pStyle w:val="SingleTxt"/>
        <w:rPr>
          <w:b/>
        </w:rPr>
      </w:pPr>
      <w:r>
        <w:t>127.</w:t>
      </w:r>
      <w:r>
        <w:tab/>
      </w:r>
      <w:r w:rsidRPr="004408E3">
        <w:rPr>
          <w:b/>
        </w:rPr>
        <w:t>Проведенное исследование также показывает наличие серьезных нормативных пробелом в части незаконного приобретения оружия и торговли оружием сотрудниками частных военных и охранных компаний и вытекающие из этого последствия, а также существование различных подходов к применению силы и огнестрельного оружия. В качестве примера передовой практики общенационального масштаба можно рекомендовать подход Сальвадора, в котором предусмотрена передача национальной полиции оружия, боеприпасов и другого имеющегося оснащения в случае забастовки или законного приостановления деятельности частных охранных компаний. Международная конвенция обеспечила бы сотрудников частных военных и охранных компаний определенными стандартными правилами и методами приобретения, экспорта, импорта, владения оружием и его применения, а также предоставила бы возможность привлекать сотрудников частных военных и охранных компаний к ответственности за незаконное приобретение оружия, торговлю оружием и запрещенное применение силы во всех районах мира.</w:t>
      </w:r>
    </w:p>
    <w:p w:rsidR="00D72844" w:rsidRPr="004408E3" w:rsidRDefault="00D72844" w:rsidP="00D72844">
      <w:pPr>
        <w:pStyle w:val="SingleTxt"/>
        <w:rPr>
          <w:b/>
        </w:rPr>
      </w:pPr>
      <w:r>
        <w:t>128.</w:t>
      </w:r>
      <w:r>
        <w:tab/>
      </w:r>
      <w:r w:rsidRPr="004408E3">
        <w:rPr>
          <w:b/>
        </w:rPr>
        <w:t>В целом в законодательстве всех регионов отсутствуют ссылки на соблюдение компаниями или их сотрудниками стандартов международного права прав человека и гуманитарного права, на уголовную подотчетность и гражданскую ответственность лиц и корпоративных субъектов, а также на эффективные средства правовой защиты жертв. С учетом права жертв нарушений прав человека на эффективные средства правовой защиты отсутствие соответствующих правил способствует неэффективному регулированию частной охранной деятельности. Принятие международной конвенции обеспечило бы подотчетность частных военных и охранных компаний за счет создания стандартизированных эффективных механизмов обеспечения подотчетности. Такие механизмы смогли бы также обеспечить применение режимов регулирования деятельности частных военных и охранных компаний, а также необходимую уголовную подотчетность и гражданскую ответственность отдельных лиц и корпоративных субъектов за нарушения прав человека.</w:t>
      </w:r>
    </w:p>
    <w:p w:rsidR="00D72844" w:rsidRPr="004408E3" w:rsidRDefault="00D72844" w:rsidP="00D72844">
      <w:pPr>
        <w:pStyle w:val="SingleTxt"/>
        <w:rPr>
          <w:b/>
        </w:rPr>
      </w:pPr>
      <w:r>
        <w:t>129.</w:t>
      </w:r>
      <w:r>
        <w:tab/>
      </w:r>
      <w:r w:rsidRPr="004408E3">
        <w:rPr>
          <w:b/>
        </w:rPr>
        <w:t>Слабость систем отбора и кадровой проверки, а также подготовки оперативного персонала еще более осложняет надлежащее понимание и интегрирование правовых норм и принципов. В целях решения этих проблем необходимо ввести стандарты оценки деятельности, не ограничивающиеся простым соблюдением формальностей, что послужило бы укреплению уважения к правам и наказанию нарушений соответствующими санкциями. Процедуры отбора и проверки кадров должны быть усовершенствованы с особым учетом международного права прав человека и гуманитарного права в контексте критериев отбора и требований к подготовке кадров, удовлетворяющих минимальным стандартам по сроку действия и наличию специальных модулей подготовки по правам человека.</w:t>
      </w:r>
    </w:p>
    <w:p w:rsidR="00D72844" w:rsidRPr="004408E3" w:rsidRDefault="00D72844" w:rsidP="00D72844">
      <w:pPr>
        <w:pStyle w:val="SingleTxt"/>
        <w:rPr>
          <w:b/>
        </w:rPr>
      </w:pPr>
      <w:r>
        <w:t>130.</w:t>
      </w:r>
      <w:r>
        <w:tab/>
      </w:r>
      <w:r w:rsidRPr="004408E3">
        <w:rPr>
          <w:b/>
        </w:rPr>
        <w:t>В целом в государствах имеются подробно разработанные правила в отношении частных охранных услуг, однако в соответствующих законах отсутствует упоминание единого специально назначенного органа, отвечающего за лицензирование и мониторинг деятельности частных военных и охранных компаний, либо специальных правил в отношении содержательной части мероприятий по осуществлению мониторинга и инспекций.</w:t>
      </w:r>
    </w:p>
    <w:p w:rsidR="00D72844" w:rsidRPr="004408E3" w:rsidRDefault="00D72844" w:rsidP="00D72844">
      <w:pPr>
        <w:pStyle w:val="SingleTxt"/>
        <w:rPr>
          <w:b/>
        </w:rPr>
      </w:pPr>
      <w:r>
        <w:t>131.</w:t>
      </w:r>
      <w:r>
        <w:tab/>
      </w:r>
      <w:r w:rsidRPr="004408E3">
        <w:rPr>
          <w:b/>
        </w:rPr>
        <w:t>Рабочая группа вновь подчеркивает свое мнение о том, что всеобъемлющий и юридически обязывающий международный нормативный документ является оптимальным инструментом обеспечения во всем мире согласованного регулирования и надлежащей защиты прав человека всех сторон, затрагиваемых деятельностью частных военных и охранных компаний. Рабочая группа особо отмечает насущную потребность государств в установлении минимальных международных стандартов регулирования деятельности частных военных и охранных компаний и их персонала в порядке реализации основных прав человека в соответствии с международными стандартами в области прав человека и гуманитарного права. Международная конвенция способствовала бы введению стандартизированных рамок регулирования и единого полномочного органа по различным ключевым аспектам деятельности частных военных и охранных компаний, обеспечила бы подотчетность персонала частных военных и гражданских компаний, а также гарантировала бы право всех жертв на эффективные средства правовой защиты по всему миру. Положения международной конвенции о лицензировании, аккредитации, отборе и подготовке персонала частных военных и охранных компаний способствовали бы выработке единого и согласованного режима регулирования, который требуется для обеспечения эффективной проверки деятельности частных военных и охранных компаний, а также для реализации необходимых международных стандартов в области прав человека наряду с подотчетностью персонала частных военных и охранных компаний за нарушения закона.</w:t>
      </w:r>
    </w:p>
    <w:p w:rsidR="00D72844" w:rsidRPr="004408E3" w:rsidRDefault="00D72844" w:rsidP="00D72844">
      <w:pPr>
        <w:pStyle w:val="SingleTxt"/>
        <w:rPr>
          <w:b/>
        </w:rPr>
      </w:pPr>
      <w:r>
        <w:t>132.</w:t>
      </w:r>
      <w:r>
        <w:tab/>
      </w:r>
      <w:r w:rsidRPr="004408E3">
        <w:rPr>
          <w:b/>
        </w:rPr>
        <w:t xml:space="preserve">Налицо очевидная потребность в продолжении исследования национальных стратегий регулирования в интересах выявления тенденций, пробелов и передовой практики в области регулирования деятельности частных военных и охранных компаний. С этой целью Рабочая группа призывает государства-участники, которые еще не откликнулись на ее запрос, поделиться с ней своими законами и подзаконными актами о деятельности частных военных и охранных компаний. </w:t>
      </w:r>
    </w:p>
    <w:p w:rsidR="00D72844" w:rsidRDefault="00D72844" w:rsidP="00D72844">
      <w:pPr>
        <w:pStyle w:val="SingleTxt"/>
        <w:rPr>
          <w:b/>
        </w:rPr>
      </w:pPr>
      <w:r>
        <w:t>133.</w:t>
      </w:r>
      <w:r>
        <w:tab/>
      </w:r>
      <w:r w:rsidRPr="004408E3">
        <w:rPr>
          <w:b/>
        </w:rPr>
        <w:t xml:space="preserve">В настоящем исследовании Рабочая группа отметила, что только пять изученных стран ратифицировали Международную конвенцию о борьбе с вербовкой, использованием, финансированием и обучением наемников, и что только одна из них, Перу, запрещает деятельность наемников внутри страны. Рабочая группа призывает страны, являющиеся сторонами этой Конвенции, включить запрет такой деятельности в свое внутреннее законодательство. </w:t>
      </w:r>
    </w:p>
    <w:p w:rsidR="00172EE4" w:rsidRPr="004408E3" w:rsidRDefault="00172EE4" w:rsidP="00D72844">
      <w:pPr>
        <w:pStyle w:val="SingleTxt"/>
        <w:rPr>
          <w:b/>
        </w:rPr>
      </w:pPr>
    </w:p>
    <w:p w:rsidR="00EC0913" w:rsidRPr="004408E3" w:rsidRDefault="00D72844" w:rsidP="00D72844">
      <w:pPr>
        <w:pStyle w:val="SingleTxt"/>
        <w:rPr>
          <w:b/>
        </w:rPr>
      </w:pPr>
      <w:r>
        <w:t>134.</w:t>
      </w:r>
      <w:r>
        <w:tab/>
      </w:r>
      <w:r w:rsidRPr="004408E3">
        <w:rPr>
          <w:b/>
        </w:rPr>
        <w:t>Рабочая группа также призывает правительства стран упомянутых регионов поощрять обсуждение роли частных охранных компаний в контексте региональной безопасности в рамках повестки дня межправительственных, региональных и субрегиональных организаций.</w:t>
      </w:r>
    </w:p>
    <w:p w:rsidR="00D72844" w:rsidRPr="00D72844" w:rsidRDefault="00D72844" w:rsidP="00D72844">
      <w:pPr>
        <w:pStyle w:val="SingleTxt"/>
      </w:pPr>
      <w:r>
        <w:rPr>
          <w:noProof/>
          <w:w w:val="100"/>
          <w:lang w:val="en-GB" w:eastAsia="en-GB"/>
        </w:rPr>
        <mc:AlternateContent>
          <mc:Choice Requires="wps">
            <w:drawing>
              <wp:anchor distT="0" distB="0" distL="114300" distR="114300" simplePos="0" relativeHeight="251659264" behindDoc="0" locked="0" layoutInCell="1" allowOverlap="1" wp14:anchorId="2F6173BE" wp14:editId="48A201E3">
                <wp:simplePos x="0" y="0"/>
                <wp:positionH relativeFrom="column">
                  <wp:posOffset>2669540</wp:posOffset>
                </wp:positionH>
                <wp:positionV relativeFrom="paragraph">
                  <wp:posOffset>381000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30pt" to="282.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" strokecolor="#010000" strokeweight=".25pt"/>
            </w:pict>
          </mc:Fallback>
        </mc:AlternateContent>
      </w:r>
    </w:p>
    <w:sectPr w:rsidR="00D72844" w:rsidRPr="00D72844" w:rsidSect="00EC0913">
      <w:type w:val="continuous"/>
      <w:pgSz w:w="11909" w:h="16834"/>
      <w:pgMar w:top="1742" w:right="936" w:bottom="1898" w:left="936" w:header="576" w:footer="103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8E3" w:rsidRDefault="004408E3" w:rsidP="008A1A7A">
      <w:pPr>
        <w:spacing w:line="240" w:lineRule="auto"/>
      </w:pPr>
      <w:r>
        <w:separator/>
      </w:r>
    </w:p>
  </w:endnote>
  <w:endnote w:type="continuationSeparator" w:id="0">
    <w:p w:rsidR="004408E3" w:rsidRDefault="004408E3" w:rsidP="008A1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Ubuntu">
    <w:altName w:val="Arial"/>
    <w:charset w:val="01"/>
    <w:family w:val="swiss"/>
    <w:pitch w:val="default"/>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4408E3" w:rsidTr="00EC0913">
      <w:trPr>
        <w:jc w:val="center"/>
      </w:trPr>
      <w:tc>
        <w:tcPr>
          <w:tcW w:w="5126" w:type="dxa"/>
          <w:shd w:val="clear" w:color="auto" w:fill="auto"/>
          <w:vAlign w:val="bottom"/>
        </w:tcPr>
        <w:p w:rsidR="004408E3" w:rsidRPr="00EC0913" w:rsidRDefault="004408E3" w:rsidP="00EC0913">
          <w:pPr>
            <w:pStyle w:val="Footer"/>
            <w:rPr>
              <w:color w:val="000000"/>
            </w:rPr>
          </w:pPr>
          <w:r>
            <w:fldChar w:fldCharType="begin"/>
          </w:r>
          <w:r>
            <w:instrText xml:space="preserve"> PAGE  \* Arabic  \* MERGEFORMAT </w:instrText>
          </w:r>
          <w:r>
            <w:fldChar w:fldCharType="separate"/>
          </w:r>
          <w:r w:rsidR="00796BDD">
            <w:rPr>
              <w:noProof/>
            </w:rPr>
            <w:t>28</w:t>
          </w:r>
          <w:r>
            <w:fldChar w:fldCharType="end"/>
          </w:r>
          <w:r>
            <w:t>/</w:t>
          </w:r>
          <w:fldSimple w:instr=" NUMPAGES  \* Arabic  \* MERGEFORMAT ">
            <w:r w:rsidR="00796BDD">
              <w:rPr>
                <w:noProof/>
              </w:rPr>
              <w:t>28</w:t>
            </w:r>
          </w:fldSimple>
        </w:p>
      </w:tc>
      <w:tc>
        <w:tcPr>
          <w:tcW w:w="5127" w:type="dxa"/>
          <w:shd w:val="clear" w:color="auto" w:fill="auto"/>
          <w:vAlign w:val="bottom"/>
        </w:tcPr>
        <w:p w:rsidR="004408E3" w:rsidRPr="00EC0913" w:rsidRDefault="004408E3" w:rsidP="00EC0913">
          <w:pPr>
            <w:pStyle w:val="Footer"/>
            <w:jc w:val="right"/>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162CC7">
            <w:rPr>
              <w:b w:val="0"/>
              <w:color w:val="000000"/>
              <w:sz w:val="14"/>
            </w:rPr>
            <w:t>GE.15-11553</w:t>
          </w:r>
          <w:r>
            <w:rPr>
              <w:b w:val="0"/>
              <w:color w:val="000000"/>
              <w:sz w:val="14"/>
            </w:rPr>
            <w:fldChar w:fldCharType="end"/>
          </w:r>
        </w:p>
      </w:tc>
    </w:tr>
  </w:tbl>
  <w:p w:rsidR="004408E3" w:rsidRPr="00EC0913" w:rsidRDefault="004408E3" w:rsidP="00EC09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4408E3" w:rsidTr="00EC0913">
      <w:trPr>
        <w:jc w:val="center"/>
      </w:trPr>
      <w:tc>
        <w:tcPr>
          <w:tcW w:w="5126" w:type="dxa"/>
          <w:shd w:val="clear" w:color="auto" w:fill="auto"/>
          <w:vAlign w:val="bottom"/>
        </w:tcPr>
        <w:p w:rsidR="004408E3" w:rsidRPr="00EC0913" w:rsidRDefault="004408E3" w:rsidP="00EC0913">
          <w:pPr>
            <w:pStyle w:val="Footer"/>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162CC7">
            <w:rPr>
              <w:b w:val="0"/>
              <w:color w:val="000000"/>
              <w:sz w:val="14"/>
            </w:rPr>
            <w:t>GE.15-11553</w:t>
          </w:r>
          <w:r>
            <w:rPr>
              <w:b w:val="0"/>
              <w:color w:val="000000"/>
              <w:sz w:val="14"/>
            </w:rPr>
            <w:fldChar w:fldCharType="end"/>
          </w:r>
        </w:p>
      </w:tc>
      <w:tc>
        <w:tcPr>
          <w:tcW w:w="5127" w:type="dxa"/>
          <w:shd w:val="clear" w:color="auto" w:fill="auto"/>
          <w:vAlign w:val="bottom"/>
        </w:tcPr>
        <w:p w:rsidR="004408E3" w:rsidRPr="00EC0913" w:rsidRDefault="004408E3" w:rsidP="00EC0913">
          <w:pPr>
            <w:pStyle w:val="Footer"/>
            <w:jc w:val="right"/>
          </w:pPr>
          <w:r>
            <w:fldChar w:fldCharType="begin"/>
          </w:r>
          <w:r>
            <w:instrText xml:space="preserve"> PAGE  \* Arabic  \* MERGEFORMAT </w:instrText>
          </w:r>
          <w:r>
            <w:fldChar w:fldCharType="separate"/>
          </w:r>
          <w:r w:rsidR="00796BDD">
            <w:rPr>
              <w:noProof/>
            </w:rPr>
            <w:t>29</w:t>
          </w:r>
          <w:r>
            <w:fldChar w:fldCharType="end"/>
          </w:r>
          <w:r>
            <w:t>/</w:t>
          </w:r>
          <w:fldSimple w:instr=" NUMPAGES  \* Arabic  \* MERGEFORMAT ">
            <w:r w:rsidR="00796BDD">
              <w:rPr>
                <w:noProof/>
              </w:rPr>
              <w:t>29</w:t>
            </w:r>
          </w:fldSimple>
        </w:p>
      </w:tc>
    </w:tr>
  </w:tbl>
  <w:p w:rsidR="004408E3" w:rsidRPr="00EC0913" w:rsidRDefault="004408E3" w:rsidP="00EC09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4408E3" w:rsidTr="00EC0913">
      <w:tc>
        <w:tcPr>
          <w:tcW w:w="3873" w:type="dxa"/>
        </w:tcPr>
        <w:p w:rsidR="004408E3" w:rsidRDefault="004408E3" w:rsidP="00EC0913">
          <w:pPr>
            <w:pStyle w:val="ReleaseDate"/>
            <w:rPr>
              <w:color w:val="010000"/>
            </w:rPr>
          </w:pPr>
          <w:r>
            <w:rPr>
              <w:noProof/>
              <w:lang w:val="en-GB" w:eastAsia="en-GB"/>
            </w:rPr>
            <w:drawing>
              <wp:anchor distT="0" distB="0" distL="114300" distR="114300" simplePos="0" relativeHeight="251658240" behindDoc="0" locked="0" layoutInCell="1" allowOverlap="1" wp14:anchorId="777355BE" wp14:editId="1EAD3FDA">
                <wp:simplePos x="0" y="0"/>
                <wp:positionH relativeFrom="column">
                  <wp:posOffset>5659755</wp:posOffset>
                </wp:positionH>
                <wp:positionV relativeFrom="paragraph">
                  <wp:posOffset>-347345</wp:posOffset>
                </wp:positionV>
                <wp:extent cx="694690" cy="694690"/>
                <wp:effectExtent l="0" t="0" r="0" b="0"/>
                <wp:wrapNone/>
                <wp:docPr id="3" name="Picture 3" descr="http://undocs.org/m2/QRCode2.ashx?DS=A/HRC/30/34&amp;Size =1&amp;Lang =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34&amp;Size =1&amp;Lang = 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t>GE.15-11553 (R)</w:t>
          </w:r>
          <w:r>
            <w:rPr>
              <w:color w:val="010000"/>
            </w:rPr>
            <w:t xml:space="preserve">    2</w:t>
          </w:r>
          <w:r>
            <w:rPr>
              <w:color w:val="010000"/>
              <w:lang w:val="en-US"/>
            </w:rPr>
            <w:t>0</w:t>
          </w:r>
          <w:r>
            <w:rPr>
              <w:color w:val="010000"/>
            </w:rPr>
            <w:t>0715    220715</w:t>
          </w:r>
        </w:p>
        <w:p w:rsidR="004408E3" w:rsidRPr="00EC0913" w:rsidRDefault="004408E3" w:rsidP="00EC0913">
          <w:pPr>
            <w:spacing w:before="80" w:line="210" w:lineRule="exact"/>
            <w:rPr>
              <w:rFonts w:ascii="Barcode 3 of 9 by request" w:hAnsi="Barcode 3 of 9 by request"/>
              <w:w w:val="100"/>
              <w:sz w:val="24"/>
            </w:rPr>
          </w:pPr>
          <w:r>
            <w:rPr>
              <w:rFonts w:ascii="Barcode 3 of 9 by request" w:hAnsi="Barcode 3 of 9 by request"/>
              <w:w w:val="100"/>
              <w:sz w:val="24"/>
            </w:rPr>
            <w:t>*1511553*</w:t>
          </w:r>
        </w:p>
      </w:tc>
      <w:tc>
        <w:tcPr>
          <w:tcW w:w="5127" w:type="dxa"/>
        </w:tcPr>
        <w:p w:rsidR="004408E3" w:rsidRDefault="004408E3" w:rsidP="00EC0913">
          <w:pPr>
            <w:pStyle w:val="Footer"/>
            <w:spacing w:line="240" w:lineRule="atLeast"/>
            <w:jc w:val="right"/>
            <w:rPr>
              <w:b w:val="0"/>
              <w:sz w:val="20"/>
            </w:rPr>
          </w:pPr>
          <w:r>
            <w:rPr>
              <w:b w:val="0"/>
              <w:noProof/>
              <w:sz w:val="20"/>
              <w:lang w:val="en-GB" w:eastAsia="en-GB"/>
            </w:rPr>
            <w:drawing>
              <wp:inline distT="0" distB="0" distL="0" distR="0" wp14:anchorId="77776256" wp14:editId="3A047CC5">
                <wp:extent cx="2703582" cy="231648"/>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703582" cy="231648"/>
                        </a:xfrm>
                        <a:prstGeom prst="rect">
                          <a:avLst/>
                        </a:prstGeom>
                      </pic:spPr>
                    </pic:pic>
                  </a:graphicData>
                </a:graphic>
              </wp:inline>
            </w:drawing>
          </w:r>
        </w:p>
      </w:tc>
    </w:tr>
  </w:tbl>
  <w:p w:rsidR="004408E3" w:rsidRPr="00EC0913" w:rsidRDefault="004408E3" w:rsidP="00EC0913">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8E3" w:rsidRPr="004408E3" w:rsidRDefault="004408E3" w:rsidP="004408E3">
      <w:pPr>
        <w:pStyle w:val="Footer"/>
        <w:spacing w:after="80"/>
        <w:ind w:left="792"/>
        <w:rPr>
          <w:sz w:val="16"/>
        </w:rPr>
      </w:pPr>
      <w:r w:rsidRPr="004408E3">
        <w:rPr>
          <w:sz w:val="16"/>
        </w:rPr>
        <w:t>__________________</w:t>
      </w:r>
    </w:p>
  </w:footnote>
  <w:footnote w:type="continuationSeparator" w:id="0">
    <w:p w:rsidR="004408E3" w:rsidRPr="004408E3" w:rsidRDefault="004408E3" w:rsidP="004408E3">
      <w:pPr>
        <w:pStyle w:val="Footer"/>
        <w:spacing w:after="80"/>
        <w:ind w:left="792"/>
        <w:rPr>
          <w:sz w:val="16"/>
        </w:rPr>
      </w:pPr>
      <w:r w:rsidRPr="004408E3">
        <w:rPr>
          <w:sz w:val="16"/>
        </w:rPr>
        <w:t>__________________</w:t>
      </w:r>
    </w:p>
  </w:footnote>
  <w:footnote w:id="1">
    <w:p w:rsidR="004408E3" w:rsidRDefault="004408E3" w:rsidP="004408E3">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r>
      <w:r w:rsidRPr="0063049A">
        <w:t>Проект конвенции о частных военных и охранных компаниях (см. A</w:t>
      </w:r>
      <w:r w:rsidRPr="002F442B">
        <w:t>/</w:t>
      </w:r>
      <w:r w:rsidRPr="0063049A">
        <w:t>HRC</w:t>
      </w:r>
      <w:r w:rsidRPr="002F442B">
        <w:t>/15/25</w:t>
      </w:r>
      <w:r w:rsidRPr="0063049A">
        <w:t>, приложение).</w:t>
      </w:r>
    </w:p>
  </w:footnote>
  <w:footnote w:id="2">
    <w:p w:rsidR="004408E3" w:rsidRPr="00E31837" w:rsidRDefault="004408E3" w:rsidP="004408E3">
      <w:pPr>
        <w:pStyle w:val="FootnoteText"/>
        <w:tabs>
          <w:tab w:val="right" w:pos="1195"/>
          <w:tab w:val="left" w:pos="1267"/>
          <w:tab w:val="left" w:pos="1742"/>
          <w:tab w:val="left" w:pos="2218"/>
          <w:tab w:val="left" w:pos="2693"/>
        </w:tabs>
        <w:ind w:left="1267" w:right="1260" w:hanging="432"/>
      </w:pPr>
      <w:r w:rsidRPr="006F7AD5">
        <w:rPr>
          <w:szCs w:val="18"/>
        </w:rPr>
        <w:tab/>
      </w:r>
      <w:r w:rsidRPr="00735EDC">
        <w:rPr>
          <w:rStyle w:val="FootnoteReference"/>
          <w:szCs w:val="18"/>
        </w:rPr>
        <w:footnoteRef/>
      </w:r>
      <w:r w:rsidRPr="00270907">
        <w:rPr>
          <w:szCs w:val="18"/>
        </w:rPr>
        <w:tab/>
      </w:r>
      <w:r>
        <w:rPr>
          <w:szCs w:val="18"/>
        </w:rPr>
        <w:t>Резюме сообщений будет включено в доклад, который будет представлен Комитету по правам человека на его тридцатой сессии.</w:t>
      </w:r>
    </w:p>
  </w:footnote>
  <w:footnote w:id="3">
    <w:p w:rsidR="004408E3" w:rsidRPr="00A85385" w:rsidRDefault="004408E3" w:rsidP="004408E3">
      <w:pPr>
        <w:pStyle w:val="FootnoteText"/>
        <w:tabs>
          <w:tab w:val="right" w:pos="1195"/>
          <w:tab w:val="left" w:pos="1267"/>
          <w:tab w:val="left" w:pos="1742"/>
          <w:tab w:val="left" w:pos="2218"/>
          <w:tab w:val="left" w:pos="2693"/>
        </w:tabs>
        <w:ind w:left="1267" w:right="1260" w:hanging="432"/>
      </w:pPr>
      <w:r w:rsidRPr="005A52A2">
        <w:rPr>
          <w:szCs w:val="18"/>
        </w:rPr>
        <w:tab/>
      </w:r>
      <w:r w:rsidRPr="00735EDC">
        <w:rPr>
          <w:rStyle w:val="FootnoteReference"/>
          <w:szCs w:val="18"/>
        </w:rPr>
        <w:footnoteRef/>
      </w:r>
      <w:r w:rsidRPr="00270907">
        <w:rPr>
          <w:szCs w:val="18"/>
        </w:rPr>
        <w:tab/>
      </w:r>
      <w:r>
        <w:rPr>
          <w:szCs w:val="18"/>
        </w:rPr>
        <w:t>Буркина-Фасо, Демократическая Республика Конго, Камерун, Кот-д</w:t>
      </w:r>
      <w:r w:rsidRPr="00DE1374">
        <w:rPr>
          <w:szCs w:val="18"/>
        </w:rPr>
        <w:t>'</w:t>
      </w:r>
      <w:r>
        <w:rPr>
          <w:szCs w:val="18"/>
        </w:rPr>
        <w:t>Ивуар, Мали, Марокко, Сенегал и Тунис.</w:t>
      </w:r>
    </w:p>
  </w:footnote>
  <w:footnote w:id="4">
    <w:p w:rsidR="004408E3" w:rsidRPr="00A85385" w:rsidRDefault="004408E3" w:rsidP="004408E3">
      <w:pPr>
        <w:pStyle w:val="FootnoteText"/>
        <w:tabs>
          <w:tab w:val="right" w:pos="1195"/>
          <w:tab w:val="left" w:pos="1267"/>
          <w:tab w:val="left" w:pos="1742"/>
          <w:tab w:val="left" w:pos="2218"/>
          <w:tab w:val="left" w:pos="2693"/>
        </w:tabs>
        <w:ind w:left="1267" w:right="1260" w:hanging="432"/>
      </w:pPr>
      <w:r w:rsidRPr="00DE1374">
        <w:rPr>
          <w:szCs w:val="18"/>
        </w:rPr>
        <w:tab/>
      </w:r>
      <w:r w:rsidRPr="00735EDC">
        <w:rPr>
          <w:rStyle w:val="FootnoteReference"/>
          <w:szCs w:val="18"/>
        </w:rPr>
        <w:footnoteRef/>
      </w:r>
      <w:r w:rsidRPr="00270907">
        <w:rPr>
          <w:szCs w:val="18"/>
        </w:rPr>
        <w:tab/>
      </w:r>
      <w:r>
        <w:rPr>
          <w:szCs w:val="18"/>
        </w:rPr>
        <w:t>Индия, Китай, Малайзия, Объединенные Арабские Эмираты, Пакистан, Сингапур, Филиппины и Шри-Ланка.</w:t>
      </w:r>
    </w:p>
  </w:footnote>
  <w:footnote w:id="5">
    <w:p w:rsidR="004408E3" w:rsidRPr="00A85385" w:rsidRDefault="004408E3" w:rsidP="004408E3">
      <w:pPr>
        <w:pStyle w:val="FootnoteText"/>
        <w:tabs>
          <w:tab w:val="right" w:pos="1195"/>
          <w:tab w:val="left" w:pos="1267"/>
          <w:tab w:val="left" w:pos="1742"/>
          <w:tab w:val="left" w:pos="2218"/>
          <w:tab w:val="left" w:pos="2693"/>
        </w:tabs>
        <w:ind w:left="1267" w:right="1260" w:hanging="432"/>
      </w:pPr>
      <w:r w:rsidRPr="00DE1374">
        <w:rPr>
          <w:szCs w:val="18"/>
          <w:vertAlign w:val="superscript"/>
        </w:rPr>
        <w:tab/>
      </w:r>
      <w:r w:rsidRPr="00735EDC">
        <w:rPr>
          <w:rStyle w:val="FootnoteReference"/>
          <w:szCs w:val="18"/>
        </w:rPr>
        <w:footnoteRef/>
      </w:r>
      <w:r w:rsidRPr="00270907">
        <w:rPr>
          <w:szCs w:val="18"/>
          <w:vertAlign w:val="superscript"/>
        </w:rPr>
        <w:tab/>
      </w:r>
      <w:r>
        <w:rPr>
          <w:szCs w:val="18"/>
        </w:rPr>
        <w:t>Ботсвана, Гамбия, Гана, Зимбабве, Кения, Лесото, Маврикий, Намибия, Нигерия, Свазиленд, Сьерра-Леоне, Уганда и Южная Африка.</w:t>
      </w:r>
    </w:p>
  </w:footnote>
  <w:footnote w:id="6">
    <w:p w:rsidR="004408E3" w:rsidRPr="00D72844" w:rsidRDefault="004408E3" w:rsidP="004408E3">
      <w:pPr>
        <w:pStyle w:val="FootnoteText"/>
        <w:tabs>
          <w:tab w:val="right" w:pos="1195"/>
          <w:tab w:val="left" w:pos="1267"/>
          <w:tab w:val="left" w:pos="1742"/>
          <w:tab w:val="left" w:pos="2218"/>
          <w:tab w:val="left" w:pos="2693"/>
        </w:tabs>
        <w:ind w:left="1267" w:right="1260" w:hanging="432"/>
        <w:rPr>
          <w:lang w:val="en-US"/>
        </w:rPr>
      </w:pPr>
      <w:r w:rsidRPr="00DE1374">
        <w:rPr>
          <w:szCs w:val="18"/>
        </w:rPr>
        <w:tab/>
      </w:r>
      <w:r w:rsidRPr="00735EDC">
        <w:rPr>
          <w:rStyle w:val="FootnoteReference"/>
          <w:szCs w:val="18"/>
        </w:rPr>
        <w:footnoteRef/>
      </w:r>
      <w:r w:rsidRPr="00D72844">
        <w:rPr>
          <w:szCs w:val="18"/>
          <w:lang w:val="en-US"/>
        </w:rPr>
        <w:tab/>
        <w:t xml:space="preserve">Kerry Alexander and Nigel White, </w:t>
      </w:r>
      <w:r w:rsidR="00CC5F24" w:rsidRPr="00CC5F24">
        <w:rPr>
          <w:szCs w:val="18"/>
          <w:lang w:val="en-US"/>
        </w:rPr>
        <w:t>"</w:t>
      </w:r>
      <w:r w:rsidRPr="00D72844">
        <w:rPr>
          <w:szCs w:val="18"/>
          <w:lang w:val="en-US"/>
        </w:rPr>
        <w:t>The regulatory context of private military and security services in the UK</w:t>
      </w:r>
      <w:r w:rsidRPr="00EC20A9">
        <w:rPr>
          <w:szCs w:val="18"/>
          <w:lang w:val="en-US"/>
        </w:rPr>
        <w:t>"</w:t>
      </w:r>
      <w:r w:rsidRPr="00D72844">
        <w:rPr>
          <w:szCs w:val="18"/>
          <w:lang w:val="en-US"/>
        </w:rPr>
        <w:t xml:space="preserve">, (University of Sheffield, 30 June 2009), pp. 16−18. </w:t>
      </w:r>
    </w:p>
  </w:footnote>
  <w:footnote w:id="7">
    <w:p w:rsidR="004408E3" w:rsidRPr="00A85385" w:rsidRDefault="004408E3" w:rsidP="004408E3">
      <w:pPr>
        <w:pStyle w:val="FootnoteText"/>
        <w:tabs>
          <w:tab w:val="right" w:pos="1195"/>
          <w:tab w:val="left" w:pos="1267"/>
          <w:tab w:val="left" w:pos="1742"/>
          <w:tab w:val="left" w:pos="2218"/>
          <w:tab w:val="left" w:pos="2693"/>
        </w:tabs>
        <w:ind w:left="1267" w:right="1260" w:hanging="432"/>
      </w:pPr>
      <w:r w:rsidRPr="00D72844">
        <w:rPr>
          <w:szCs w:val="18"/>
          <w:lang w:val="en-US"/>
        </w:rPr>
        <w:tab/>
      </w:r>
      <w:r w:rsidRPr="00735EDC">
        <w:rPr>
          <w:rStyle w:val="FootnoteReference"/>
          <w:szCs w:val="18"/>
        </w:rPr>
        <w:footnoteRef/>
      </w:r>
      <w:r w:rsidRPr="000A2A6C">
        <w:rPr>
          <w:szCs w:val="18"/>
        </w:rPr>
        <w:tab/>
      </w:r>
      <w:r>
        <w:rPr>
          <w:szCs w:val="18"/>
        </w:rPr>
        <w:t xml:space="preserve">Во Франции действует закон № 88-629; в Швейцарии имеется договор об охранных компаниях 1996 года, а также применяется декрет о найме частных охранных компаний 2007 года; в Венгрии применяется закон № </w:t>
      </w:r>
      <w:r w:rsidRPr="00735EDC">
        <w:rPr>
          <w:szCs w:val="18"/>
        </w:rPr>
        <w:t>CXXXIII</w:t>
      </w:r>
      <w:r>
        <w:rPr>
          <w:szCs w:val="18"/>
        </w:rPr>
        <w:t xml:space="preserve"> </w:t>
      </w:r>
      <w:r w:rsidRPr="0047736E">
        <w:rPr>
          <w:szCs w:val="18"/>
        </w:rPr>
        <w:t>2005</w:t>
      </w:r>
      <w:r>
        <w:rPr>
          <w:szCs w:val="18"/>
        </w:rPr>
        <w:t xml:space="preserve"> года; и в Соединенном Королевстве действует закон о частных охранных предприятиях </w:t>
      </w:r>
      <w:r>
        <w:rPr>
          <w:szCs w:val="18"/>
        </w:rPr>
        <w:br/>
        <w:t>2001 года.</w:t>
      </w:r>
    </w:p>
  </w:footnote>
  <w:footnote w:id="8">
    <w:p w:rsidR="004408E3" w:rsidRPr="00A85385" w:rsidRDefault="004408E3" w:rsidP="004408E3">
      <w:pPr>
        <w:pStyle w:val="FootnoteText"/>
        <w:tabs>
          <w:tab w:val="right" w:pos="1195"/>
          <w:tab w:val="left" w:pos="1267"/>
          <w:tab w:val="left" w:pos="1742"/>
          <w:tab w:val="left" w:pos="2218"/>
          <w:tab w:val="left" w:pos="2693"/>
        </w:tabs>
        <w:ind w:left="1267" w:right="1260" w:hanging="432"/>
      </w:pPr>
      <w:r w:rsidRPr="0047736E">
        <w:rPr>
          <w:szCs w:val="18"/>
          <w:vertAlign w:val="superscript"/>
        </w:rPr>
        <w:tab/>
      </w:r>
      <w:r w:rsidRPr="00735EDC">
        <w:rPr>
          <w:rStyle w:val="FootnoteReference"/>
          <w:szCs w:val="18"/>
        </w:rPr>
        <w:footnoteRef/>
      </w:r>
      <w:r w:rsidRPr="00D72844">
        <w:rPr>
          <w:szCs w:val="18"/>
          <w:vertAlign w:val="superscript"/>
          <w:lang w:val="en-US"/>
        </w:rPr>
        <w:tab/>
      </w:r>
      <w:r>
        <w:rPr>
          <w:szCs w:val="18"/>
        </w:rPr>
        <w:t>Женевский</w:t>
      </w:r>
      <w:r w:rsidRPr="00D72844">
        <w:rPr>
          <w:szCs w:val="18"/>
          <w:lang w:val="en-US"/>
        </w:rPr>
        <w:t xml:space="preserve"> </w:t>
      </w:r>
      <w:r>
        <w:rPr>
          <w:szCs w:val="18"/>
        </w:rPr>
        <w:t>центр</w:t>
      </w:r>
      <w:r w:rsidRPr="00D72844">
        <w:rPr>
          <w:szCs w:val="18"/>
          <w:lang w:val="en-US"/>
        </w:rPr>
        <w:t xml:space="preserve"> </w:t>
      </w:r>
      <w:r>
        <w:rPr>
          <w:szCs w:val="18"/>
        </w:rPr>
        <w:t>по</w:t>
      </w:r>
      <w:r w:rsidRPr="00D72844">
        <w:rPr>
          <w:szCs w:val="18"/>
          <w:lang w:val="en-US"/>
        </w:rPr>
        <w:t xml:space="preserve"> </w:t>
      </w:r>
      <w:r>
        <w:rPr>
          <w:szCs w:val="18"/>
        </w:rPr>
        <w:t>демократическому</w:t>
      </w:r>
      <w:r w:rsidRPr="00D72844">
        <w:rPr>
          <w:szCs w:val="18"/>
          <w:lang w:val="en-US"/>
        </w:rPr>
        <w:t xml:space="preserve"> </w:t>
      </w:r>
      <w:r>
        <w:rPr>
          <w:szCs w:val="18"/>
        </w:rPr>
        <w:t>контролю</w:t>
      </w:r>
      <w:r w:rsidRPr="00D72844">
        <w:rPr>
          <w:szCs w:val="18"/>
          <w:lang w:val="en-US"/>
        </w:rPr>
        <w:t xml:space="preserve"> </w:t>
      </w:r>
      <w:r>
        <w:rPr>
          <w:szCs w:val="18"/>
        </w:rPr>
        <w:t>над</w:t>
      </w:r>
      <w:r w:rsidRPr="00D72844">
        <w:rPr>
          <w:szCs w:val="18"/>
          <w:lang w:val="en-US"/>
        </w:rPr>
        <w:t xml:space="preserve"> </w:t>
      </w:r>
      <w:r>
        <w:rPr>
          <w:szCs w:val="18"/>
        </w:rPr>
        <w:t>вооруженными</w:t>
      </w:r>
      <w:r w:rsidRPr="00D72844">
        <w:rPr>
          <w:szCs w:val="18"/>
          <w:lang w:val="en-US"/>
        </w:rPr>
        <w:t xml:space="preserve"> </w:t>
      </w:r>
      <w:r>
        <w:rPr>
          <w:szCs w:val="18"/>
        </w:rPr>
        <w:t>силами</w:t>
      </w:r>
      <w:r w:rsidRPr="00D72844">
        <w:rPr>
          <w:szCs w:val="18"/>
          <w:lang w:val="en-US"/>
        </w:rPr>
        <w:t xml:space="preserve">, </w:t>
      </w:r>
      <w:r w:rsidRPr="00D72844">
        <w:rPr>
          <w:i/>
          <w:iCs/>
          <w:szCs w:val="18"/>
          <w:lang w:val="en-US"/>
        </w:rPr>
        <w:t xml:space="preserve">Report on Swiss-based Military and Security Service Providers Operating in Crisis and Conflict Regions, Phase II: Comparative Study of Regulatory Approaches </w:t>
      </w:r>
      <w:r w:rsidRPr="00D72844">
        <w:rPr>
          <w:szCs w:val="18"/>
          <w:lang w:val="en-US"/>
        </w:rPr>
        <w:t xml:space="preserve">(2007). </w:t>
      </w:r>
      <w:r>
        <w:rPr>
          <w:szCs w:val="18"/>
        </w:rPr>
        <w:t>Размещено</w:t>
      </w:r>
      <w:r w:rsidRPr="008B63EE">
        <w:rPr>
          <w:szCs w:val="18"/>
        </w:rPr>
        <w:t xml:space="preserve"> </w:t>
      </w:r>
      <w:r>
        <w:rPr>
          <w:szCs w:val="18"/>
        </w:rPr>
        <w:t>по адресу</w:t>
      </w:r>
      <w:r w:rsidRPr="008B63EE">
        <w:rPr>
          <w:szCs w:val="18"/>
        </w:rPr>
        <w:t xml:space="preserve"> </w:t>
      </w:r>
      <w:r w:rsidRPr="00735EDC">
        <w:rPr>
          <w:szCs w:val="18"/>
        </w:rPr>
        <w:t>at</w:t>
      </w:r>
      <w:r w:rsidRPr="00E34AEC">
        <w:rPr>
          <w:szCs w:val="18"/>
        </w:rPr>
        <w:t>https</w:t>
      </w:r>
      <w:r w:rsidRPr="008B63EE">
        <w:rPr>
          <w:szCs w:val="18"/>
        </w:rPr>
        <w:t>://</w:t>
      </w:r>
      <w:r w:rsidRPr="00E34AEC">
        <w:rPr>
          <w:szCs w:val="18"/>
        </w:rPr>
        <w:t>www</w:t>
      </w:r>
      <w:r w:rsidRPr="008B63EE">
        <w:rPr>
          <w:szCs w:val="18"/>
        </w:rPr>
        <w:t>.</w:t>
      </w:r>
      <w:r w:rsidRPr="00E34AEC">
        <w:rPr>
          <w:szCs w:val="18"/>
        </w:rPr>
        <w:t>bj</w:t>
      </w:r>
      <w:r w:rsidRPr="008B63EE">
        <w:rPr>
          <w:szCs w:val="18"/>
        </w:rPr>
        <w:t>.</w:t>
      </w:r>
      <w:r w:rsidRPr="00E34AEC">
        <w:rPr>
          <w:szCs w:val="18"/>
        </w:rPr>
        <w:t>admin</w:t>
      </w:r>
      <w:r w:rsidRPr="008B63EE">
        <w:rPr>
          <w:szCs w:val="18"/>
        </w:rPr>
        <w:t>.</w:t>
      </w:r>
      <w:r w:rsidRPr="00E34AEC">
        <w:rPr>
          <w:szCs w:val="18"/>
        </w:rPr>
        <w:t>ch</w:t>
      </w:r>
      <w:r w:rsidRPr="008B63EE">
        <w:rPr>
          <w:szCs w:val="18"/>
        </w:rPr>
        <w:t>/</w:t>
      </w:r>
      <w:r w:rsidRPr="00E34AEC">
        <w:rPr>
          <w:szCs w:val="18"/>
        </w:rPr>
        <w:t>dam</w:t>
      </w:r>
      <w:r w:rsidRPr="008B63EE">
        <w:rPr>
          <w:szCs w:val="18"/>
        </w:rPr>
        <w:t>/</w:t>
      </w:r>
      <w:r w:rsidRPr="00E34AEC">
        <w:rPr>
          <w:szCs w:val="18"/>
        </w:rPr>
        <w:t>data</w:t>
      </w:r>
      <w:r w:rsidRPr="008B63EE">
        <w:rPr>
          <w:szCs w:val="18"/>
        </w:rPr>
        <w:t>/</w:t>
      </w:r>
      <w:r w:rsidRPr="00E34AEC">
        <w:rPr>
          <w:szCs w:val="18"/>
        </w:rPr>
        <w:t>bj</w:t>
      </w:r>
      <w:r w:rsidRPr="008B63EE">
        <w:rPr>
          <w:szCs w:val="18"/>
        </w:rPr>
        <w:t>/</w:t>
      </w:r>
      <w:r w:rsidRPr="00E34AEC">
        <w:rPr>
          <w:szCs w:val="18"/>
        </w:rPr>
        <w:t>sicherheit</w:t>
      </w:r>
      <w:r w:rsidRPr="008B63EE">
        <w:rPr>
          <w:szCs w:val="18"/>
        </w:rPr>
        <w:t>/</w:t>
      </w:r>
      <w:r w:rsidRPr="00E34AEC">
        <w:rPr>
          <w:szCs w:val="18"/>
        </w:rPr>
        <w:t>gesetzgebung</w:t>
      </w:r>
      <w:r w:rsidRPr="008B63EE">
        <w:rPr>
          <w:szCs w:val="18"/>
        </w:rPr>
        <w:t>/</w:t>
      </w:r>
      <w:r w:rsidRPr="00E34AEC">
        <w:rPr>
          <w:szCs w:val="18"/>
        </w:rPr>
        <w:t>sicherheitsfirmen</w:t>
      </w:r>
      <w:r w:rsidRPr="008B63EE">
        <w:rPr>
          <w:szCs w:val="18"/>
        </w:rPr>
        <w:t>/</w:t>
      </w:r>
      <w:r w:rsidRPr="00E34AEC">
        <w:rPr>
          <w:szCs w:val="18"/>
        </w:rPr>
        <w:t>ber</w:t>
      </w:r>
      <w:r w:rsidRPr="008B63EE">
        <w:rPr>
          <w:szCs w:val="18"/>
        </w:rPr>
        <w:t>-</w:t>
      </w:r>
      <w:r w:rsidRPr="00E34AEC">
        <w:rPr>
          <w:szCs w:val="18"/>
        </w:rPr>
        <w:t>dcaf</w:t>
      </w:r>
      <w:r w:rsidRPr="008B63EE">
        <w:rPr>
          <w:szCs w:val="18"/>
        </w:rPr>
        <w:t>-</w:t>
      </w:r>
      <w:r w:rsidR="004318AA">
        <w:rPr>
          <w:szCs w:val="18"/>
        </w:rPr>
        <w:br/>
      </w:r>
      <w:r w:rsidRPr="00E34AEC">
        <w:rPr>
          <w:szCs w:val="18"/>
        </w:rPr>
        <w:t>teil</w:t>
      </w:r>
      <w:r w:rsidRPr="008B63EE">
        <w:rPr>
          <w:szCs w:val="18"/>
        </w:rPr>
        <w:t>2-</w:t>
      </w:r>
      <w:r w:rsidRPr="00E34AEC">
        <w:rPr>
          <w:szCs w:val="18"/>
        </w:rPr>
        <w:t>e</w:t>
      </w:r>
      <w:r w:rsidRPr="008B63EE">
        <w:rPr>
          <w:szCs w:val="18"/>
        </w:rPr>
        <w:t>.</w:t>
      </w:r>
      <w:r w:rsidRPr="00E34AEC">
        <w:rPr>
          <w:szCs w:val="18"/>
        </w:rPr>
        <w:t>pdf</w:t>
      </w:r>
      <w:r w:rsidRPr="008B63EE">
        <w:rPr>
          <w:szCs w:val="18"/>
        </w:rPr>
        <w:t>.</w:t>
      </w:r>
    </w:p>
  </w:footnote>
  <w:footnote w:id="9">
    <w:p w:rsidR="004408E3" w:rsidRPr="00A85385" w:rsidRDefault="004408E3" w:rsidP="004408E3">
      <w:pPr>
        <w:pStyle w:val="FootnoteText"/>
        <w:tabs>
          <w:tab w:val="right" w:pos="1195"/>
          <w:tab w:val="left" w:pos="1267"/>
          <w:tab w:val="left" w:pos="1742"/>
          <w:tab w:val="left" w:pos="2218"/>
          <w:tab w:val="left" w:pos="2693"/>
        </w:tabs>
        <w:ind w:left="1267" w:right="1260" w:hanging="432"/>
      </w:pPr>
      <w:r w:rsidRPr="008B63EE">
        <w:rPr>
          <w:szCs w:val="18"/>
          <w:vertAlign w:val="superscript"/>
        </w:rPr>
        <w:tab/>
      </w:r>
      <w:r w:rsidRPr="00735EDC">
        <w:rPr>
          <w:rStyle w:val="FootnoteReference"/>
          <w:szCs w:val="18"/>
        </w:rPr>
        <w:footnoteRef/>
      </w:r>
      <w:r w:rsidRPr="000A2A6C">
        <w:rPr>
          <w:szCs w:val="18"/>
          <w:vertAlign w:val="superscript"/>
        </w:rPr>
        <w:tab/>
      </w:r>
      <w:r>
        <w:rPr>
          <w:szCs w:val="18"/>
        </w:rPr>
        <w:t>Договор об услугах частных охранных компаний 2010 года.</w:t>
      </w:r>
    </w:p>
  </w:footnote>
  <w:footnote w:id="10">
    <w:p w:rsidR="004408E3" w:rsidRPr="00A85385" w:rsidRDefault="004408E3" w:rsidP="004408E3">
      <w:pPr>
        <w:pStyle w:val="FootnoteText"/>
        <w:tabs>
          <w:tab w:val="right" w:pos="1195"/>
          <w:tab w:val="left" w:pos="1267"/>
          <w:tab w:val="left" w:pos="1742"/>
          <w:tab w:val="left" w:pos="2218"/>
          <w:tab w:val="left" w:pos="2693"/>
        </w:tabs>
        <w:ind w:left="1267" w:right="1260" w:hanging="432"/>
      </w:pPr>
      <w:r w:rsidRPr="008B63EE">
        <w:rPr>
          <w:szCs w:val="18"/>
        </w:rPr>
        <w:tab/>
      </w:r>
      <w:r w:rsidRPr="00735EDC">
        <w:rPr>
          <w:rStyle w:val="FootnoteReference"/>
          <w:szCs w:val="18"/>
        </w:rPr>
        <w:footnoteRef/>
      </w:r>
      <w:r w:rsidRPr="000A2A6C">
        <w:rPr>
          <w:szCs w:val="18"/>
        </w:rPr>
        <w:tab/>
      </w:r>
      <w:r>
        <w:rPr>
          <w:szCs w:val="18"/>
        </w:rPr>
        <w:t>Декрет о найме частных охранных компаний 2007 года.</w:t>
      </w:r>
    </w:p>
  </w:footnote>
  <w:footnote w:id="11">
    <w:p w:rsidR="004408E3" w:rsidRPr="00A85385" w:rsidRDefault="004408E3" w:rsidP="004408E3">
      <w:pPr>
        <w:pStyle w:val="FootnoteText"/>
        <w:tabs>
          <w:tab w:val="right" w:pos="1195"/>
          <w:tab w:val="left" w:pos="1267"/>
          <w:tab w:val="left" w:pos="1742"/>
          <w:tab w:val="left" w:pos="2218"/>
          <w:tab w:val="left" w:pos="2693"/>
        </w:tabs>
        <w:ind w:left="1267" w:right="1260" w:hanging="432"/>
      </w:pPr>
      <w:r w:rsidRPr="008B63EE">
        <w:rPr>
          <w:szCs w:val="18"/>
          <w:vertAlign w:val="superscript"/>
        </w:rPr>
        <w:tab/>
      </w:r>
      <w:r w:rsidRPr="00735EDC">
        <w:rPr>
          <w:rStyle w:val="FootnoteReference"/>
          <w:szCs w:val="18"/>
        </w:rPr>
        <w:footnoteRef/>
      </w:r>
      <w:r w:rsidRPr="000A2A6C">
        <w:rPr>
          <w:szCs w:val="18"/>
          <w:vertAlign w:val="superscript"/>
        </w:rPr>
        <w:tab/>
      </w:r>
      <w:r>
        <w:rPr>
          <w:szCs w:val="18"/>
        </w:rPr>
        <w:t>Федеральный закон об оказании за рубежом частных охранных услуг 2013 года.</w:t>
      </w:r>
    </w:p>
  </w:footnote>
  <w:footnote w:id="12">
    <w:p w:rsidR="004408E3" w:rsidRPr="000A2A6C" w:rsidRDefault="004408E3" w:rsidP="004408E3">
      <w:pPr>
        <w:pStyle w:val="FootnoteText"/>
        <w:tabs>
          <w:tab w:val="right" w:pos="1195"/>
          <w:tab w:val="left" w:pos="1267"/>
          <w:tab w:val="left" w:pos="1742"/>
          <w:tab w:val="left" w:pos="2218"/>
          <w:tab w:val="left" w:pos="2693"/>
        </w:tabs>
        <w:ind w:left="1267" w:right="1260" w:hanging="432"/>
      </w:pPr>
      <w:r w:rsidRPr="008B63EE">
        <w:rPr>
          <w:szCs w:val="18"/>
          <w:vertAlign w:val="superscript"/>
        </w:rPr>
        <w:tab/>
      </w:r>
      <w:r w:rsidRPr="00735EDC">
        <w:rPr>
          <w:rStyle w:val="FootnoteReference"/>
          <w:szCs w:val="18"/>
        </w:rPr>
        <w:footnoteRef/>
      </w:r>
      <w:r w:rsidRPr="000A2A6C">
        <w:rPr>
          <w:szCs w:val="18"/>
          <w:vertAlign w:val="superscript"/>
        </w:rPr>
        <w:tab/>
      </w:r>
      <w:r>
        <w:rPr>
          <w:szCs w:val="18"/>
        </w:rPr>
        <w:t>См</w:t>
      </w:r>
      <w:r w:rsidRPr="000A2A6C">
        <w:rPr>
          <w:szCs w:val="18"/>
        </w:rPr>
        <w:t xml:space="preserve">. </w:t>
      </w:r>
      <w:r>
        <w:rPr>
          <w:szCs w:val="18"/>
        </w:rPr>
        <w:t>закон</w:t>
      </w:r>
      <w:r w:rsidRPr="000A2A6C">
        <w:rPr>
          <w:szCs w:val="18"/>
        </w:rPr>
        <w:t xml:space="preserve"> № 83-629, </w:t>
      </w:r>
      <w:r>
        <w:rPr>
          <w:szCs w:val="18"/>
        </w:rPr>
        <w:t>статьи</w:t>
      </w:r>
      <w:r w:rsidRPr="000A2A6C">
        <w:rPr>
          <w:szCs w:val="18"/>
        </w:rPr>
        <w:t xml:space="preserve"> 7 </w:t>
      </w:r>
      <w:r>
        <w:rPr>
          <w:szCs w:val="18"/>
        </w:rPr>
        <w:t>и</w:t>
      </w:r>
      <w:r w:rsidRPr="000A2A6C">
        <w:rPr>
          <w:szCs w:val="18"/>
        </w:rPr>
        <w:t xml:space="preserve"> 25.</w:t>
      </w:r>
    </w:p>
  </w:footnote>
  <w:footnote w:id="13">
    <w:p w:rsidR="004408E3" w:rsidRPr="000A2A6C" w:rsidRDefault="004408E3" w:rsidP="004408E3">
      <w:pPr>
        <w:pStyle w:val="FootnoteText"/>
        <w:tabs>
          <w:tab w:val="right" w:pos="1195"/>
          <w:tab w:val="left" w:pos="1267"/>
          <w:tab w:val="left" w:pos="1742"/>
          <w:tab w:val="left" w:pos="2218"/>
          <w:tab w:val="left" w:pos="2693"/>
        </w:tabs>
        <w:ind w:left="1267" w:right="1260" w:hanging="432"/>
        <w:rPr>
          <w:szCs w:val="18"/>
        </w:rPr>
      </w:pPr>
      <w:r w:rsidRPr="000A2A6C">
        <w:rPr>
          <w:szCs w:val="18"/>
        </w:rPr>
        <w:tab/>
      </w:r>
      <w:r w:rsidRPr="00735EDC">
        <w:rPr>
          <w:rStyle w:val="FootnoteReference"/>
          <w:szCs w:val="18"/>
        </w:rPr>
        <w:footnoteRef/>
      </w:r>
      <w:r w:rsidRPr="000A2A6C">
        <w:rPr>
          <w:szCs w:val="18"/>
        </w:rPr>
        <w:tab/>
      </w:r>
      <w:r>
        <w:rPr>
          <w:szCs w:val="18"/>
        </w:rPr>
        <w:t>См. закон о частных охранных предприятиях 2001 года, статья 7.</w:t>
      </w:r>
    </w:p>
  </w:footnote>
  <w:footnote w:id="14">
    <w:p w:rsidR="004408E3" w:rsidRPr="000A2A6C" w:rsidRDefault="004408E3" w:rsidP="004408E3">
      <w:pPr>
        <w:pStyle w:val="FootnoteText"/>
        <w:tabs>
          <w:tab w:val="right" w:pos="1195"/>
          <w:tab w:val="left" w:pos="1267"/>
          <w:tab w:val="left" w:pos="1742"/>
          <w:tab w:val="left" w:pos="2218"/>
          <w:tab w:val="left" w:pos="2693"/>
        </w:tabs>
        <w:ind w:left="1267" w:right="1260" w:hanging="432"/>
      </w:pPr>
      <w:r w:rsidRPr="008B63EE">
        <w:rPr>
          <w:szCs w:val="18"/>
          <w:vertAlign w:val="superscript"/>
        </w:rPr>
        <w:tab/>
      </w:r>
      <w:r w:rsidRPr="00735EDC">
        <w:rPr>
          <w:rStyle w:val="FootnoteReference"/>
          <w:szCs w:val="18"/>
        </w:rPr>
        <w:footnoteRef/>
      </w:r>
      <w:r w:rsidRPr="000A2A6C">
        <w:rPr>
          <w:szCs w:val="18"/>
          <w:vertAlign w:val="superscript"/>
        </w:rPr>
        <w:tab/>
      </w:r>
      <w:r>
        <w:rPr>
          <w:szCs w:val="18"/>
        </w:rPr>
        <w:t>Закон</w:t>
      </w:r>
      <w:r w:rsidRPr="000A2A6C">
        <w:rPr>
          <w:szCs w:val="18"/>
        </w:rPr>
        <w:t xml:space="preserve"> № 83-629, </w:t>
      </w:r>
      <w:r>
        <w:rPr>
          <w:szCs w:val="18"/>
        </w:rPr>
        <w:t>статьи</w:t>
      </w:r>
      <w:r w:rsidRPr="000A2A6C">
        <w:rPr>
          <w:szCs w:val="18"/>
        </w:rPr>
        <w:t xml:space="preserve"> 1, 2 </w:t>
      </w:r>
      <w:r>
        <w:rPr>
          <w:szCs w:val="18"/>
        </w:rPr>
        <w:t>и</w:t>
      </w:r>
      <w:r w:rsidRPr="000A2A6C">
        <w:rPr>
          <w:szCs w:val="18"/>
        </w:rPr>
        <w:t xml:space="preserve"> 21.</w:t>
      </w:r>
    </w:p>
  </w:footnote>
  <w:footnote w:id="15">
    <w:p w:rsidR="004408E3" w:rsidRPr="00A85385" w:rsidRDefault="004408E3" w:rsidP="004408E3">
      <w:pPr>
        <w:pStyle w:val="FootnoteText"/>
        <w:tabs>
          <w:tab w:val="right" w:pos="1195"/>
          <w:tab w:val="left" w:pos="1267"/>
          <w:tab w:val="left" w:pos="1742"/>
          <w:tab w:val="left" w:pos="2218"/>
          <w:tab w:val="left" w:pos="2693"/>
        </w:tabs>
        <w:ind w:left="1267" w:right="1260" w:hanging="432"/>
      </w:pPr>
      <w:r w:rsidRPr="000A2A6C">
        <w:rPr>
          <w:szCs w:val="18"/>
        </w:rPr>
        <w:tab/>
      </w:r>
      <w:r w:rsidRPr="00735EDC">
        <w:rPr>
          <w:rStyle w:val="FootnoteReference"/>
          <w:szCs w:val="18"/>
        </w:rPr>
        <w:footnoteRef/>
      </w:r>
      <w:r w:rsidRPr="000A2A6C">
        <w:rPr>
          <w:szCs w:val="18"/>
        </w:rPr>
        <w:tab/>
      </w:r>
      <w:r>
        <w:rPr>
          <w:szCs w:val="18"/>
        </w:rPr>
        <w:t>Закон о частных охранных предприятиях 2001 года, статья 3 (1).</w:t>
      </w:r>
    </w:p>
  </w:footnote>
  <w:footnote w:id="16">
    <w:p w:rsidR="004408E3" w:rsidRPr="00A85385" w:rsidRDefault="004408E3" w:rsidP="004408E3">
      <w:pPr>
        <w:pStyle w:val="FootnoteText"/>
        <w:tabs>
          <w:tab w:val="right" w:pos="1195"/>
          <w:tab w:val="left" w:pos="1267"/>
          <w:tab w:val="left" w:pos="1742"/>
          <w:tab w:val="left" w:pos="2218"/>
          <w:tab w:val="left" w:pos="2693"/>
        </w:tabs>
        <w:ind w:left="1267" w:right="1260" w:hanging="432"/>
      </w:pPr>
      <w:r w:rsidRPr="00E27B3F">
        <w:rPr>
          <w:szCs w:val="18"/>
        </w:rPr>
        <w:tab/>
      </w:r>
      <w:r w:rsidRPr="00735EDC">
        <w:rPr>
          <w:rStyle w:val="FootnoteReference"/>
          <w:szCs w:val="18"/>
        </w:rPr>
        <w:footnoteRef/>
      </w:r>
      <w:r w:rsidRPr="000A2A6C">
        <w:rPr>
          <w:szCs w:val="18"/>
        </w:rPr>
        <w:tab/>
      </w:r>
      <w:r>
        <w:rPr>
          <w:szCs w:val="18"/>
        </w:rPr>
        <w:t xml:space="preserve">Федеральный закон об оказании за рубежом частных охранных услуг 2013 года, </w:t>
      </w:r>
      <w:r>
        <w:rPr>
          <w:szCs w:val="18"/>
        </w:rPr>
        <w:br/>
        <w:t>статья 8.</w:t>
      </w:r>
    </w:p>
  </w:footnote>
  <w:footnote w:id="17">
    <w:p w:rsidR="004408E3" w:rsidRPr="00A85385" w:rsidRDefault="004408E3" w:rsidP="004408E3">
      <w:pPr>
        <w:pStyle w:val="FootnoteText"/>
        <w:tabs>
          <w:tab w:val="right" w:pos="1195"/>
          <w:tab w:val="left" w:pos="1267"/>
          <w:tab w:val="left" w:pos="1742"/>
          <w:tab w:val="left" w:pos="2218"/>
          <w:tab w:val="left" w:pos="2693"/>
        </w:tabs>
        <w:ind w:left="1267" w:right="1260" w:hanging="432"/>
      </w:pPr>
      <w:r w:rsidRPr="00E27B3F">
        <w:rPr>
          <w:szCs w:val="18"/>
          <w:vertAlign w:val="superscript"/>
        </w:rPr>
        <w:tab/>
      </w:r>
      <w:r w:rsidRPr="00735EDC">
        <w:rPr>
          <w:rStyle w:val="FootnoteReference"/>
          <w:szCs w:val="18"/>
        </w:rPr>
        <w:footnoteRef/>
      </w:r>
      <w:r w:rsidRPr="000A2A6C">
        <w:rPr>
          <w:szCs w:val="18"/>
          <w:vertAlign w:val="superscript"/>
        </w:rPr>
        <w:tab/>
      </w:r>
      <w:r>
        <w:rPr>
          <w:szCs w:val="18"/>
        </w:rPr>
        <w:t xml:space="preserve">См. </w:t>
      </w:r>
      <w:r w:rsidRPr="00735EDC">
        <w:rPr>
          <w:szCs w:val="18"/>
        </w:rPr>
        <w:t>A</w:t>
      </w:r>
      <w:r w:rsidRPr="00E27B3F">
        <w:rPr>
          <w:szCs w:val="18"/>
        </w:rPr>
        <w:t>/</w:t>
      </w:r>
      <w:r w:rsidRPr="00735EDC">
        <w:rPr>
          <w:szCs w:val="18"/>
        </w:rPr>
        <w:t>HRC</w:t>
      </w:r>
      <w:r w:rsidRPr="00E27B3F">
        <w:rPr>
          <w:szCs w:val="18"/>
        </w:rPr>
        <w:t>/22/41</w:t>
      </w:r>
      <w:r>
        <w:rPr>
          <w:szCs w:val="18"/>
        </w:rPr>
        <w:t>, пункт 53 и ответ правительства Соединенного Королевства на запрос Рабочей группы относительно национального законодател</w:t>
      </w:r>
      <w:r w:rsidR="004318AA">
        <w:rPr>
          <w:szCs w:val="18"/>
        </w:rPr>
        <w:t>ьства и нормативных положений о </w:t>
      </w:r>
      <w:r>
        <w:rPr>
          <w:szCs w:val="18"/>
        </w:rPr>
        <w:t>деятельности частных военных и охранных компаний.</w:t>
      </w:r>
    </w:p>
  </w:footnote>
  <w:footnote w:id="18">
    <w:p w:rsidR="004408E3" w:rsidRPr="00A85385" w:rsidRDefault="004408E3" w:rsidP="004408E3">
      <w:pPr>
        <w:pStyle w:val="FootnoteText"/>
        <w:tabs>
          <w:tab w:val="right" w:pos="1195"/>
          <w:tab w:val="left" w:pos="1267"/>
          <w:tab w:val="left" w:pos="1742"/>
          <w:tab w:val="left" w:pos="2218"/>
          <w:tab w:val="left" w:pos="2693"/>
        </w:tabs>
        <w:ind w:left="1267" w:right="1260" w:hanging="432"/>
      </w:pPr>
      <w:r w:rsidRPr="00E27B3F">
        <w:rPr>
          <w:szCs w:val="18"/>
          <w:vertAlign w:val="superscript"/>
        </w:rPr>
        <w:tab/>
      </w:r>
      <w:r w:rsidRPr="00735EDC">
        <w:rPr>
          <w:rStyle w:val="FootnoteReference"/>
          <w:szCs w:val="18"/>
        </w:rPr>
        <w:footnoteRef/>
      </w:r>
      <w:r w:rsidRPr="00A36935">
        <w:rPr>
          <w:szCs w:val="18"/>
          <w:vertAlign w:val="superscript"/>
        </w:rPr>
        <w:tab/>
      </w:r>
      <w:r>
        <w:rPr>
          <w:szCs w:val="18"/>
        </w:rPr>
        <w:t xml:space="preserve">Закон </w:t>
      </w:r>
      <w:r w:rsidRPr="00735EDC">
        <w:rPr>
          <w:szCs w:val="18"/>
        </w:rPr>
        <w:t>CXXXIII</w:t>
      </w:r>
      <w:r>
        <w:rPr>
          <w:szCs w:val="18"/>
        </w:rPr>
        <w:t xml:space="preserve"> 2005 года, статья 2.</w:t>
      </w:r>
    </w:p>
  </w:footnote>
  <w:footnote w:id="19">
    <w:p w:rsidR="004408E3" w:rsidRPr="000A2A6C" w:rsidRDefault="004408E3" w:rsidP="004408E3">
      <w:pPr>
        <w:pStyle w:val="FootnoteText"/>
        <w:tabs>
          <w:tab w:val="right" w:pos="1195"/>
          <w:tab w:val="left" w:pos="1267"/>
          <w:tab w:val="left" w:pos="1742"/>
          <w:tab w:val="left" w:pos="2218"/>
          <w:tab w:val="left" w:pos="2693"/>
        </w:tabs>
        <w:ind w:left="1267" w:right="1260" w:hanging="432"/>
      </w:pPr>
      <w:r w:rsidRPr="00A36935">
        <w:rPr>
          <w:szCs w:val="18"/>
        </w:rPr>
        <w:tab/>
      </w:r>
      <w:r w:rsidRPr="00735EDC">
        <w:rPr>
          <w:rStyle w:val="FootnoteReference"/>
          <w:szCs w:val="18"/>
        </w:rPr>
        <w:footnoteRef/>
      </w:r>
      <w:r w:rsidRPr="000A2A6C">
        <w:rPr>
          <w:szCs w:val="18"/>
        </w:rPr>
        <w:tab/>
      </w:r>
      <w:r>
        <w:rPr>
          <w:szCs w:val="18"/>
        </w:rPr>
        <w:t>Закон</w:t>
      </w:r>
      <w:r w:rsidRPr="000A2A6C">
        <w:rPr>
          <w:szCs w:val="18"/>
        </w:rPr>
        <w:t xml:space="preserve"> № 83-629, </w:t>
      </w:r>
      <w:r>
        <w:rPr>
          <w:szCs w:val="18"/>
        </w:rPr>
        <w:t>статья</w:t>
      </w:r>
      <w:r w:rsidRPr="000A2A6C">
        <w:rPr>
          <w:szCs w:val="18"/>
        </w:rPr>
        <w:t xml:space="preserve"> 9.</w:t>
      </w:r>
    </w:p>
  </w:footnote>
  <w:footnote w:id="20">
    <w:p w:rsidR="004408E3" w:rsidRPr="000A2A6C" w:rsidRDefault="004408E3" w:rsidP="004408E3">
      <w:pPr>
        <w:pStyle w:val="FootnoteText"/>
        <w:tabs>
          <w:tab w:val="right" w:pos="1195"/>
          <w:tab w:val="left" w:pos="1267"/>
          <w:tab w:val="left" w:pos="1742"/>
          <w:tab w:val="left" w:pos="2218"/>
          <w:tab w:val="left" w:pos="2693"/>
        </w:tabs>
        <w:ind w:left="1267" w:right="1260" w:hanging="432"/>
        <w:rPr>
          <w:szCs w:val="18"/>
        </w:rPr>
      </w:pPr>
      <w:r w:rsidRPr="000A2A6C">
        <w:rPr>
          <w:szCs w:val="18"/>
        </w:rPr>
        <w:tab/>
      </w:r>
      <w:r w:rsidRPr="00735EDC">
        <w:rPr>
          <w:rStyle w:val="FootnoteReference"/>
          <w:szCs w:val="18"/>
        </w:rPr>
        <w:footnoteRef/>
      </w:r>
      <w:r w:rsidRPr="000A2A6C">
        <w:rPr>
          <w:szCs w:val="18"/>
        </w:rPr>
        <w:tab/>
      </w:r>
      <w:r>
        <w:rPr>
          <w:szCs w:val="18"/>
        </w:rPr>
        <w:t>Закон об экспортном контроле 2002 года, положения 1</w:t>
      </w:r>
      <w:r w:rsidRPr="00F04B10">
        <w:rPr>
          <w:szCs w:val="18"/>
        </w:rPr>
        <w:t>−</w:t>
      </w:r>
      <w:r>
        <w:rPr>
          <w:szCs w:val="18"/>
        </w:rPr>
        <w:t>4.</w:t>
      </w:r>
    </w:p>
  </w:footnote>
  <w:footnote w:id="21">
    <w:p w:rsidR="004408E3" w:rsidRPr="002F442B" w:rsidRDefault="004408E3" w:rsidP="004408E3">
      <w:pPr>
        <w:pStyle w:val="FootnoteText"/>
        <w:tabs>
          <w:tab w:val="right" w:pos="1195"/>
          <w:tab w:val="left" w:pos="1267"/>
          <w:tab w:val="left" w:pos="1742"/>
          <w:tab w:val="left" w:pos="2218"/>
          <w:tab w:val="left" w:pos="2693"/>
        </w:tabs>
        <w:ind w:left="1267" w:right="1260" w:hanging="432"/>
        <w:rPr>
          <w:szCs w:val="18"/>
        </w:rPr>
      </w:pPr>
      <w:r w:rsidRPr="00F04B10">
        <w:rPr>
          <w:szCs w:val="18"/>
        </w:rPr>
        <w:tab/>
      </w:r>
      <w:r w:rsidRPr="00735EDC">
        <w:rPr>
          <w:rStyle w:val="FootnoteReference"/>
          <w:szCs w:val="18"/>
        </w:rPr>
        <w:footnoteRef/>
      </w:r>
      <w:r w:rsidRPr="002F442B">
        <w:rPr>
          <w:szCs w:val="18"/>
        </w:rPr>
        <w:tab/>
      </w:r>
      <w:r>
        <w:rPr>
          <w:szCs w:val="18"/>
        </w:rPr>
        <w:t>Закон</w:t>
      </w:r>
      <w:r w:rsidRPr="002F442B">
        <w:rPr>
          <w:szCs w:val="18"/>
        </w:rPr>
        <w:t xml:space="preserve"> № </w:t>
      </w:r>
      <w:r w:rsidRPr="00735EDC">
        <w:rPr>
          <w:szCs w:val="18"/>
        </w:rPr>
        <w:t>CXXXIII</w:t>
      </w:r>
      <w:r w:rsidRPr="002F442B">
        <w:rPr>
          <w:szCs w:val="18"/>
        </w:rPr>
        <w:t xml:space="preserve"> 2005 </w:t>
      </w:r>
      <w:r>
        <w:rPr>
          <w:szCs w:val="18"/>
        </w:rPr>
        <w:t>года</w:t>
      </w:r>
      <w:r w:rsidRPr="002F442B">
        <w:rPr>
          <w:szCs w:val="18"/>
        </w:rPr>
        <w:t xml:space="preserve">, </w:t>
      </w:r>
      <w:r>
        <w:rPr>
          <w:szCs w:val="18"/>
        </w:rPr>
        <w:t>статья</w:t>
      </w:r>
      <w:r w:rsidRPr="002F442B">
        <w:rPr>
          <w:szCs w:val="18"/>
        </w:rPr>
        <w:t xml:space="preserve"> 27 (4).</w:t>
      </w:r>
    </w:p>
  </w:footnote>
  <w:footnote w:id="22">
    <w:p w:rsidR="004408E3" w:rsidRPr="00A85385" w:rsidRDefault="004408E3" w:rsidP="004408E3">
      <w:pPr>
        <w:pStyle w:val="FootnoteText"/>
        <w:tabs>
          <w:tab w:val="right" w:pos="1195"/>
          <w:tab w:val="left" w:pos="1267"/>
          <w:tab w:val="left" w:pos="1742"/>
          <w:tab w:val="left" w:pos="2218"/>
          <w:tab w:val="left" w:pos="2693"/>
        </w:tabs>
        <w:ind w:left="1267" w:right="1260" w:hanging="432"/>
      </w:pPr>
      <w:r w:rsidRPr="002F442B">
        <w:rPr>
          <w:szCs w:val="18"/>
          <w:vertAlign w:val="superscript"/>
        </w:rPr>
        <w:tab/>
      </w:r>
      <w:r w:rsidRPr="00735EDC">
        <w:rPr>
          <w:rStyle w:val="FootnoteReference"/>
          <w:szCs w:val="18"/>
        </w:rPr>
        <w:footnoteRef/>
      </w:r>
      <w:r w:rsidRPr="000A2A6C">
        <w:rPr>
          <w:szCs w:val="18"/>
          <w:vertAlign w:val="superscript"/>
        </w:rPr>
        <w:tab/>
      </w:r>
      <w:r>
        <w:rPr>
          <w:szCs w:val="18"/>
        </w:rPr>
        <w:t>Федеральный</w:t>
      </w:r>
      <w:r w:rsidRPr="000A2A6C">
        <w:rPr>
          <w:szCs w:val="18"/>
        </w:rPr>
        <w:t xml:space="preserve"> </w:t>
      </w:r>
      <w:r>
        <w:rPr>
          <w:szCs w:val="18"/>
        </w:rPr>
        <w:t>закон</w:t>
      </w:r>
      <w:r w:rsidRPr="000A2A6C">
        <w:rPr>
          <w:szCs w:val="18"/>
        </w:rPr>
        <w:t xml:space="preserve"> </w:t>
      </w:r>
      <w:r>
        <w:rPr>
          <w:szCs w:val="18"/>
        </w:rPr>
        <w:t>об</w:t>
      </w:r>
      <w:r w:rsidRPr="000A2A6C">
        <w:rPr>
          <w:szCs w:val="18"/>
        </w:rPr>
        <w:t xml:space="preserve"> </w:t>
      </w:r>
      <w:r>
        <w:rPr>
          <w:szCs w:val="18"/>
        </w:rPr>
        <w:t>оказании</w:t>
      </w:r>
      <w:r w:rsidRPr="000A2A6C">
        <w:rPr>
          <w:szCs w:val="18"/>
        </w:rPr>
        <w:t xml:space="preserve"> </w:t>
      </w:r>
      <w:r>
        <w:rPr>
          <w:szCs w:val="18"/>
        </w:rPr>
        <w:t>за</w:t>
      </w:r>
      <w:r w:rsidRPr="000A2A6C">
        <w:rPr>
          <w:szCs w:val="18"/>
        </w:rPr>
        <w:t xml:space="preserve"> </w:t>
      </w:r>
      <w:r>
        <w:rPr>
          <w:szCs w:val="18"/>
        </w:rPr>
        <w:t>рубежом</w:t>
      </w:r>
      <w:r w:rsidRPr="000A2A6C">
        <w:rPr>
          <w:szCs w:val="18"/>
        </w:rPr>
        <w:t xml:space="preserve"> </w:t>
      </w:r>
      <w:r>
        <w:rPr>
          <w:szCs w:val="18"/>
        </w:rPr>
        <w:t xml:space="preserve">частных охранных услуг 2013 года, </w:t>
      </w:r>
      <w:r>
        <w:rPr>
          <w:szCs w:val="18"/>
        </w:rPr>
        <w:br/>
        <w:t>статья 34 (1).</w:t>
      </w:r>
    </w:p>
  </w:footnote>
  <w:footnote w:id="23">
    <w:p w:rsidR="004408E3" w:rsidRPr="002F442B" w:rsidRDefault="004408E3" w:rsidP="004408E3">
      <w:pPr>
        <w:pStyle w:val="FootnoteText"/>
        <w:tabs>
          <w:tab w:val="right" w:pos="1195"/>
          <w:tab w:val="left" w:pos="1267"/>
          <w:tab w:val="left" w:pos="1742"/>
          <w:tab w:val="left" w:pos="2218"/>
          <w:tab w:val="left" w:pos="2693"/>
        </w:tabs>
        <w:ind w:left="1267" w:right="1260" w:hanging="432"/>
      </w:pPr>
      <w:r w:rsidRPr="00F04B10">
        <w:rPr>
          <w:szCs w:val="18"/>
        </w:rPr>
        <w:tab/>
      </w:r>
      <w:r w:rsidRPr="00735EDC">
        <w:rPr>
          <w:rStyle w:val="FootnoteReference"/>
          <w:szCs w:val="18"/>
        </w:rPr>
        <w:footnoteRef/>
      </w:r>
      <w:r w:rsidRPr="002F442B">
        <w:rPr>
          <w:szCs w:val="18"/>
        </w:rPr>
        <w:tab/>
      </w:r>
      <w:r>
        <w:rPr>
          <w:szCs w:val="18"/>
        </w:rPr>
        <w:t>Закон</w:t>
      </w:r>
      <w:r w:rsidRPr="002F442B">
        <w:rPr>
          <w:szCs w:val="18"/>
        </w:rPr>
        <w:t xml:space="preserve"> № 83-629, </w:t>
      </w:r>
      <w:r>
        <w:rPr>
          <w:szCs w:val="18"/>
        </w:rPr>
        <w:t>статьи</w:t>
      </w:r>
      <w:r w:rsidRPr="002F442B">
        <w:rPr>
          <w:szCs w:val="18"/>
        </w:rPr>
        <w:t xml:space="preserve"> 13 </w:t>
      </w:r>
      <w:r>
        <w:rPr>
          <w:szCs w:val="18"/>
        </w:rPr>
        <w:t>и</w:t>
      </w:r>
      <w:r w:rsidRPr="002F442B">
        <w:rPr>
          <w:szCs w:val="18"/>
        </w:rPr>
        <w:t xml:space="preserve"> 30.</w:t>
      </w:r>
    </w:p>
  </w:footnote>
  <w:footnote w:id="24">
    <w:p w:rsidR="004408E3" w:rsidRPr="00A85385" w:rsidRDefault="004408E3" w:rsidP="004408E3">
      <w:pPr>
        <w:pStyle w:val="FootnoteText"/>
        <w:tabs>
          <w:tab w:val="right" w:pos="1195"/>
          <w:tab w:val="left" w:pos="1267"/>
          <w:tab w:val="left" w:pos="1742"/>
          <w:tab w:val="left" w:pos="2218"/>
          <w:tab w:val="left" w:pos="2693"/>
        </w:tabs>
        <w:ind w:left="1267" w:right="1260" w:hanging="432"/>
      </w:pPr>
      <w:r w:rsidRPr="002F442B">
        <w:rPr>
          <w:szCs w:val="18"/>
        </w:rPr>
        <w:tab/>
      </w:r>
      <w:r w:rsidRPr="00735EDC">
        <w:rPr>
          <w:rStyle w:val="FootnoteReference"/>
          <w:szCs w:val="18"/>
        </w:rPr>
        <w:footnoteRef/>
      </w:r>
      <w:r w:rsidRPr="000A2A6C">
        <w:rPr>
          <w:szCs w:val="18"/>
        </w:rPr>
        <w:tab/>
      </w:r>
      <w:r>
        <w:rPr>
          <w:szCs w:val="18"/>
        </w:rPr>
        <w:t>Федеральный</w:t>
      </w:r>
      <w:r w:rsidRPr="000A2A6C">
        <w:rPr>
          <w:szCs w:val="18"/>
        </w:rPr>
        <w:t xml:space="preserve"> </w:t>
      </w:r>
      <w:r>
        <w:rPr>
          <w:szCs w:val="18"/>
        </w:rPr>
        <w:t>закон</w:t>
      </w:r>
      <w:r w:rsidRPr="000A2A6C">
        <w:rPr>
          <w:szCs w:val="18"/>
        </w:rPr>
        <w:t xml:space="preserve"> </w:t>
      </w:r>
      <w:r>
        <w:rPr>
          <w:szCs w:val="18"/>
        </w:rPr>
        <w:t>об</w:t>
      </w:r>
      <w:r w:rsidRPr="000A2A6C">
        <w:rPr>
          <w:szCs w:val="18"/>
        </w:rPr>
        <w:t xml:space="preserve"> </w:t>
      </w:r>
      <w:r>
        <w:rPr>
          <w:szCs w:val="18"/>
        </w:rPr>
        <w:t>оказании</w:t>
      </w:r>
      <w:r w:rsidRPr="000A2A6C">
        <w:rPr>
          <w:szCs w:val="18"/>
        </w:rPr>
        <w:t xml:space="preserve"> </w:t>
      </w:r>
      <w:r>
        <w:rPr>
          <w:szCs w:val="18"/>
        </w:rPr>
        <w:t>за</w:t>
      </w:r>
      <w:r w:rsidRPr="000A2A6C">
        <w:rPr>
          <w:szCs w:val="18"/>
        </w:rPr>
        <w:t xml:space="preserve"> </w:t>
      </w:r>
      <w:r>
        <w:rPr>
          <w:szCs w:val="18"/>
        </w:rPr>
        <w:t>рубежом</w:t>
      </w:r>
      <w:r w:rsidRPr="000A2A6C">
        <w:rPr>
          <w:szCs w:val="18"/>
        </w:rPr>
        <w:t xml:space="preserve"> </w:t>
      </w:r>
      <w:r>
        <w:rPr>
          <w:szCs w:val="18"/>
        </w:rPr>
        <w:t>частных</w:t>
      </w:r>
      <w:r w:rsidRPr="000A2A6C">
        <w:rPr>
          <w:szCs w:val="18"/>
        </w:rPr>
        <w:t xml:space="preserve"> </w:t>
      </w:r>
      <w:r>
        <w:rPr>
          <w:szCs w:val="18"/>
        </w:rPr>
        <w:t xml:space="preserve">охранных услуг 2013 года, </w:t>
      </w:r>
      <w:r>
        <w:rPr>
          <w:szCs w:val="18"/>
        </w:rPr>
        <w:br/>
        <w:t>статья 37.</w:t>
      </w:r>
    </w:p>
  </w:footnote>
  <w:footnote w:id="25">
    <w:p w:rsidR="004408E3" w:rsidRPr="000A2A6C" w:rsidRDefault="004408E3" w:rsidP="004408E3">
      <w:pPr>
        <w:pStyle w:val="FootnoteText"/>
        <w:tabs>
          <w:tab w:val="right" w:pos="1195"/>
          <w:tab w:val="left" w:pos="1267"/>
          <w:tab w:val="left" w:pos="1742"/>
          <w:tab w:val="left" w:pos="2218"/>
          <w:tab w:val="left" w:pos="2693"/>
        </w:tabs>
        <w:ind w:left="1267" w:right="1260" w:hanging="432"/>
      </w:pPr>
      <w:r w:rsidRPr="00F04B10">
        <w:rPr>
          <w:szCs w:val="18"/>
        </w:rPr>
        <w:tab/>
      </w:r>
      <w:r w:rsidRPr="00735EDC">
        <w:rPr>
          <w:rStyle w:val="FootnoteReference"/>
          <w:szCs w:val="18"/>
        </w:rPr>
        <w:footnoteRef/>
      </w:r>
      <w:r w:rsidRPr="000A2A6C">
        <w:rPr>
          <w:szCs w:val="18"/>
        </w:rPr>
        <w:tab/>
      </w:r>
      <w:r>
        <w:rPr>
          <w:szCs w:val="18"/>
        </w:rPr>
        <w:t>Закон</w:t>
      </w:r>
      <w:r w:rsidRPr="000A2A6C">
        <w:rPr>
          <w:szCs w:val="18"/>
        </w:rPr>
        <w:t xml:space="preserve"> № </w:t>
      </w:r>
      <w:r w:rsidRPr="00735EDC">
        <w:rPr>
          <w:szCs w:val="18"/>
        </w:rPr>
        <w:t>CXXXIII</w:t>
      </w:r>
      <w:r w:rsidRPr="000A2A6C">
        <w:rPr>
          <w:szCs w:val="18"/>
        </w:rPr>
        <w:t xml:space="preserve"> 2005 </w:t>
      </w:r>
      <w:r>
        <w:rPr>
          <w:szCs w:val="18"/>
        </w:rPr>
        <w:t>года</w:t>
      </w:r>
      <w:r w:rsidRPr="000A2A6C">
        <w:rPr>
          <w:szCs w:val="18"/>
        </w:rPr>
        <w:t xml:space="preserve">, </w:t>
      </w:r>
      <w:r>
        <w:rPr>
          <w:szCs w:val="18"/>
        </w:rPr>
        <w:t>статья</w:t>
      </w:r>
      <w:r w:rsidRPr="000A2A6C">
        <w:rPr>
          <w:szCs w:val="18"/>
        </w:rPr>
        <w:t xml:space="preserve"> 8 (5).</w:t>
      </w:r>
    </w:p>
  </w:footnote>
  <w:footnote w:id="26">
    <w:p w:rsidR="004408E3" w:rsidRPr="000A2A6C" w:rsidRDefault="004408E3" w:rsidP="004408E3">
      <w:pPr>
        <w:pStyle w:val="FootnoteText"/>
        <w:tabs>
          <w:tab w:val="right" w:pos="1195"/>
          <w:tab w:val="left" w:pos="1267"/>
          <w:tab w:val="left" w:pos="1742"/>
          <w:tab w:val="left" w:pos="2218"/>
          <w:tab w:val="left" w:pos="2693"/>
        </w:tabs>
        <w:ind w:left="1267" w:right="1260" w:hanging="432"/>
      </w:pPr>
      <w:r w:rsidRPr="000A2A6C">
        <w:rPr>
          <w:szCs w:val="18"/>
        </w:rPr>
        <w:tab/>
      </w:r>
      <w:r w:rsidRPr="00735EDC">
        <w:rPr>
          <w:rStyle w:val="FootnoteReference"/>
          <w:szCs w:val="18"/>
        </w:rPr>
        <w:footnoteRef/>
      </w:r>
      <w:r w:rsidRPr="000A2A6C">
        <w:rPr>
          <w:szCs w:val="18"/>
        </w:rPr>
        <w:tab/>
      </w:r>
      <w:r w:rsidRPr="004318AA">
        <w:rPr>
          <w:rStyle w:val="Hyperlink"/>
          <w:szCs w:val="18"/>
          <w:u w:val="none"/>
        </w:rPr>
        <w:t>См. Руководящие принципы предпринимательской деятельности в аспекте прав человека.</w:t>
      </w:r>
    </w:p>
  </w:footnote>
  <w:footnote w:id="27">
    <w:p w:rsidR="004408E3" w:rsidRPr="002F442B" w:rsidRDefault="004408E3" w:rsidP="004408E3">
      <w:pPr>
        <w:pStyle w:val="FootnoteText"/>
        <w:tabs>
          <w:tab w:val="right" w:pos="1195"/>
          <w:tab w:val="left" w:pos="1267"/>
          <w:tab w:val="left" w:pos="1742"/>
          <w:tab w:val="left" w:pos="2218"/>
          <w:tab w:val="left" w:pos="2693"/>
        </w:tabs>
        <w:ind w:left="1267" w:right="1260" w:hanging="432"/>
      </w:pPr>
      <w:r w:rsidRPr="00AA4351">
        <w:rPr>
          <w:szCs w:val="18"/>
        </w:rPr>
        <w:tab/>
      </w:r>
      <w:r w:rsidRPr="00735EDC">
        <w:rPr>
          <w:rStyle w:val="FootnoteReference"/>
          <w:szCs w:val="18"/>
        </w:rPr>
        <w:footnoteRef/>
      </w:r>
      <w:r w:rsidRPr="002F442B">
        <w:rPr>
          <w:rStyle w:val="FootnoteReference"/>
          <w:szCs w:val="18"/>
        </w:rPr>
        <w:tab/>
      </w:r>
      <w:r>
        <w:rPr>
          <w:szCs w:val="18"/>
        </w:rPr>
        <w:t>Закон</w:t>
      </w:r>
      <w:r w:rsidRPr="002F442B">
        <w:rPr>
          <w:szCs w:val="18"/>
        </w:rPr>
        <w:t xml:space="preserve"> 2006 </w:t>
      </w:r>
      <w:r>
        <w:rPr>
          <w:szCs w:val="18"/>
        </w:rPr>
        <w:t>года</w:t>
      </w:r>
      <w:r w:rsidRPr="002F442B">
        <w:rPr>
          <w:szCs w:val="18"/>
        </w:rPr>
        <w:t xml:space="preserve">, </w:t>
      </w:r>
      <w:r>
        <w:rPr>
          <w:szCs w:val="18"/>
        </w:rPr>
        <w:t>статья</w:t>
      </w:r>
      <w:r w:rsidRPr="002F442B">
        <w:rPr>
          <w:szCs w:val="18"/>
        </w:rPr>
        <w:t xml:space="preserve"> 8.</w:t>
      </w:r>
    </w:p>
  </w:footnote>
  <w:footnote w:id="28">
    <w:p w:rsidR="004408E3" w:rsidRPr="000A2A6C" w:rsidRDefault="004408E3" w:rsidP="004408E3">
      <w:pPr>
        <w:pStyle w:val="FootnoteText"/>
        <w:tabs>
          <w:tab w:val="right" w:pos="1195"/>
          <w:tab w:val="left" w:pos="1267"/>
          <w:tab w:val="left" w:pos="1742"/>
          <w:tab w:val="left" w:pos="2218"/>
          <w:tab w:val="left" w:pos="2693"/>
        </w:tabs>
        <w:ind w:left="1267" w:right="1260" w:hanging="432"/>
        <w:rPr>
          <w:szCs w:val="18"/>
        </w:rPr>
      </w:pPr>
      <w:r w:rsidRPr="002F442B">
        <w:rPr>
          <w:szCs w:val="18"/>
        </w:rPr>
        <w:tab/>
      </w:r>
      <w:r w:rsidRPr="00735EDC">
        <w:rPr>
          <w:rStyle w:val="FootnoteReference"/>
          <w:szCs w:val="18"/>
        </w:rPr>
        <w:footnoteRef/>
      </w:r>
      <w:r w:rsidRPr="000A2A6C">
        <w:rPr>
          <w:rStyle w:val="FootnoteReference"/>
          <w:szCs w:val="18"/>
        </w:rPr>
        <w:tab/>
      </w:r>
      <w:r>
        <w:rPr>
          <w:szCs w:val="18"/>
        </w:rPr>
        <w:t>Гондурас</w:t>
      </w:r>
      <w:r w:rsidRPr="000A2A6C">
        <w:rPr>
          <w:szCs w:val="18"/>
        </w:rPr>
        <w:t xml:space="preserve">, </w:t>
      </w:r>
      <w:r>
        <w:rPr>
          <w:szCs w:val="18"/>
        </w:rPr>
        <w:t>соглашение</w:t>
      </w:r>
      <w:r w:rsidRPr="000A2A6C">
        <w:rPr>
          <w:szCs w:val="18"/>
        </w:rPr>
        <w:t xml:space="preserve"> № 013/2009, </w:t>
      </w:r>
      <w:r>
        <w:rPr>
          <w:szCs w:val="18"/>
        </w:rPr>
        <w:t>статья</w:t>
      </w:r>
      <w:r w:rsidRPr="000A2A6C">
        <w:rPr>
          <w:szCs w:val="18"/>
        </w:rPr>
        <w:t xml:space="preserve"> 34 </w:t>
      </w:r>
      <w:r>
        <w:rPr>
          <w:szCs w:val="18"/>
        </w:rPr>
        <w:t>b</w:t>
      </w:r>
      <w:r w:rsidRPr="000A2A6C">
        <w:rPr>
          <w:szCs w:val="18"/>
        </w:rPr>
        <w:t>).</w:t>
      </w:r>
    </w:p>
  </w:footnote>
  <w:footnote w:id="29">
    <w:p w:rsidR="004408E3" w:rsidRPr="000A2A6C" w:rsidRDefault="004408E3" w:rsidP="004408E3">
      <w:pPr>
        <w:pStyle w:val="FootnoteText"/>
        <w:tabs>
          <w:tab w:val="right" w:pos="1195"/>
          <w:tab w:val="left" w:pos="1267"/>
          <w:tab w:val="left" w:pos="1742"/>
          <w:tab w:val="left" w:pos="2218"/>
          <w:tab w:val="left" w:pos="2693"/>
        </w:tabs>
        <w:ind w:left="1267" w:right="1260" w:hanging="432"/>
      </w:pPr>
      <w:r w:rsidRPr="000A2A6C">
        <w:rPr>
          <w:szCs w:val="18"/>
        </w:rPr>
        <w:tab/>
      </w:r>
      <w:r w:rsidRPr="00735EDC">
        <w:rPr>
          <w:rStyle w:val="FootnoteReference"/>
          <w:szCs w:val="18"/>
        </w:rPr>
        <w:footnoteRef/>
      </w:r>
      <w:r w:rsidRPr="000A2A6C">
        <w:rPr>
          <w:rStyle w:val="FootnoteReference"/>
          <w:szCs w:val="18"/>
        </w:rPr>
        <w:tab/>
      </w:r>
      <w:r>
        <w:rPr>
          <w:szCs w:val="18"/>
        </w:rPr>
        <w:t>Закон</w:t>
      </w:r>
      <w:r w:rsidRPr="000A2A6C">
        <w:rPr>
          <w:szCs w:val="18"/>
        </w:rPr>
        <w:t xml:space="preserve"> № 227/2000, </w:t>
      </w:r>
      <w:r>
        <w:rPr>
          <w:szCs w:val="18"/>
        </w:rPr>
        <w:t>статья</w:t>
      </w:r>
      <w:r w:rsidRPr="000A2A6C">
        <w:rPr>
          <w:szCs w:val="18"/>
        </w:rPr>
        <w:t xml:space="preserve"> 14 </w:t>
      </w:r>
      <w:r>
        <w:rPr>
          <w:szCs w:val="18"/>
        </w:rPr>
        <w:t>с</w:t>
      </w:r>
      <w:r w:rsidRPr="000A2A6C">
        <w:rPr>
          <w:szCs w:val="18"/>
        </w:rPr>
        <w:t>).</w:t>
      </w:r>
    </w:p>
  </w:footnote>
  <w:footnote w:id="30">
    <w:p w:rsidR="004408E3" w:rsidRPr="000A2A6C" w:rsidRDefault="004408E3" w:rsidP="004408E3">
      <w:pPr>
        <w:pStyle w:val="FootnoteText"/>
        <w:tabs>
          <w:tab w:val="right" w:pos="1195"/>
          <w:tab w:val="left" w:pos="1267"/>
          <w:tab w:val="left" w:pos="1742"/>
          <w:tab w:val="left" w:pos="2218"/>
          <w:tab w:val="left" w:pos="2693"/>
        </w:tabs>
        <w:ind w:left="1267" w:right="1260" w:hanging="432"/>
      </w:pPr>
      <w:r w:rsidRPr="000A2A6C">
        <w:rPr>
          <w:szCs w:val="18"/>
        </w:rPr>
        <w:tab/>
      </w:r>
      <w:r w:rsidRPr="00735EDC">
        <w:rPr>
          <w:rStyle w:val="FootnoteReference"/>
          <w:szCs w:val="18"/>
        </w:rPr>
        <w:footnoteRef/>
      </w:r>
      <w:r w:rsidRPr="000A2A6C">
        <w:rPr>
          <w:rStyle w:val="FootnoteReference"/>
          <w:szCs w:val="18"/>
        </w:rPr>
        <w:tab/>
      </w:r>
      <w:r>
        <w:rPr>
          <w:szCs w:val="18"/>
        </w:rPr>
        <w:t>Исполнительный</w:t>
      </w:r>
      <w:r w:rsidRPr="000A2A6C">
        <w:rPr>
          <w:szCs w:val="18"/>
        </w:rPr>
        <w:t xml:space="preserve"> </w:t>
      </w:r>
      <w:r>
        <w:rPr>
          <w:szCs w:val="18"/>
        </w:rPr>
        <w:t>приказ</w:t>
      </w:r>
      <w:r w:rsidRPr="000A2A6C">
        <w:rPr>
          <w:szCs w:val="18"/>
        </w:rPr>
        <w:t xml:space="preserve"> № 21/1992, </w:t>
      </w:r>
      <w:r>
        <w:rPr>
          <w:szCs w:val="18"/>
        </w:rPr>
        <w:t>статьи</w:t>
      </w:r>
      <w:r w:rsidRPr="000A2A6C">
        <w:rPr>
          <w:szCs w:val="18"/>
        </w:rPr>
        <w:t xml:space="preserve"> 1 </w:t>
      </w:r>
      <w:r>
        <w:rPr>
          <w:szCs w:val="18"/>
        </w:rPr>
        <w:t>и</w:t>
      </w:r>
      <w:r w:rsidRPr="000A2A6C">
        <w:rPr>
          <w:szCs w:val="18"/>
        </w:rPr>
        <w:t xml:space="preserve"> 9.</w:t>
      </w:r>
    </w:p>
  </w:footnote>
  <w:footnote w:id="31">
    <w:p w:rsidR="004408E3" w:rsidRPr="000A2A6C" w:rsidRDefault="004408E3" w:rsidP="004408E3">
      <w:pPr>
        <w:pStyle w:val="FootnoteText"/>
        <w:tabs>
          <w:tab w:val="right" w:pos="1195"/>
          <w:tab w:val="left" w:pos="1267"/>
          <w:tab w:val="left" w:pos="1742"/>
          <w:tab w:val="left" w:pos="2218"/>
          <w:tab w:val="left" w:pos="2693"/>
        </w:tabs>
        <w:ind w:left="1267" w:right="1260" w:hanging="432"/>
      </w:pPr>
      <w:r w:rsidRPr="000A2A6C">
        <w:rPr>
          <w:szCs w:val="18"/>
        </w:rPr>
        <w:tab/>
      </w:r>
      <w:r w:rsidRPr="00735EDC">
        <w:rPr>
          <w:rStyle w:val="FootnoteReference"/>
          <w:szCs w:val="18"/>
        </w:rPr>
        <w:footnoteRef/>
      </w:r>
      <w:r w:rsidRPr="000A2A6C">
        <w:rPr>
          <w:rStyle w:val="FootnoteReference"/>
          <w:szCs w:val="18"/>
        </w:rPr>
        <w:tab/>
      </w:r>
      <w:r>
        <w:rPr>
          <w:szCs w:val="18"/>
        </w:rPr>
        <w:t>Исполнительный</w:t>
      </w:r>
      <w:r w:rsidRPr="000A2A6C">
        <w:rPr>
          <w:szCs w:val="18"/>
        </w:rPr>
        <w:t xml:space="preserve"> </w:t>
      </w:r>
      <w:r>
        <w:rPr>
          <w:szCs w:val="18"/>
        </w:rPr>
        <w:t>приказ</w:t>
      </w:r>
      <w:r w:rsidRPr="000A2A6C">
        <w:rPr>
          <w:szCs w:val="18"/>
        </w:rPr>
        <w:t xml:space="preserve"> № 22/1992, </w:t>
      </w:r>
      <w:r>
        <w:rPr>
          <w:szCs w:val="18"/>
        </w:rPr>
        <w:t>статья</w:t>
      </w:r>
      <w:r w:rsidRPr="000A2A6C">
        <w:rPr>
          <w:szCs w:val="18"/>
        </w:rPr>
        <w:t xml:space="preserve"> 3.</w:t>
      </w:r>
    </w:p>
  </w:footnote>
  <w:footnote w:id="32">
    <w:p w:rsidR="004408E3" w:rsidRPr="000A2A6C" w:rsidRDefault="004408E3" w:rsidP="004408E3">
      <w:pPr>
        <w:pStyle w:val="FootnoteText"/>
        <w:tabs>
          <w:tab w:val="right" w:pos="1195"/>
          <w:tab w:val="left" w:pos="1267"/>
          <w:tab w:val="left" w:pos="1742"/>
          <w:tab w:val="left" w:pos="2218"/>
          <w:tab w:val="left" w:pos="2693"/>
        </w:tabs>
        <w:ind w:left="1267" w:right="1260" w:hanging="432"/>
      </w:pPr>
      <w:r w:rsidRPr="000A2A6C">
        <w:rPr>
          <w:szCs w:val="18"/>
        </w:rPr>
        <w:tab/>
      </w:r>
      <w:r w:rsidRPr="00735EDC">
        <w:rPr>
          <w:rStyle w:val="FootnoteReference"/>
          <w:szCs w:val="18"/>
        </w:rPr>
        <w:footnoteRef/>
      </w:r>
      <w:r w:rsidRPr="000A2A6C">
        <w:rPr>
          <w:rStyle w:val="FootnoteReference"/>
          <w:szCs w:val="18"/>
        </w:rPr>
        <w:tab/>
      </w:r>
      <w:r>
        <w:rPr>
          <w:szCs w:val="18"/>
        </w:rPr>
        <w:t>Закон</w:t>
      </w:r>
      <w:r w:rsidRPr="000A2A6C">
        <w:rPr>
          <w:szCs w:val="18"/>
        </w:rPr>
        <w:t xml:space="preserve"> № 52/2010, </w:t>
      </w:r>
      <w:r>
        <w:rPr>
          <w:szCs w:val="18"/>
        </w:rPr>
        <w:t>статья 51 с</w:t>
      </w:r>
      <w:r w:rsidRPr="000A2A6C">
        <w:rPr>
          <w:szCs w:val="18"/>
        </w:rPr>
        <w:t xml:space="preserve">). </w:t>
      </w:r>
    </w:p>
  </w:footnote>
  <w:footnote w:id="33">
    <w:p w:rsidR="004408E3" w:rsidRPr="00092BB8" w:rsidRDefault="004408E3" w:rsidP="004408E3">
      <w:pPr>
        <w:pStyle w:val="FootnoteText"/>
        <w:tabs>
          <w:tab w:val="right" w:pos="1195"/>
          <w:tab w:val="left" w:pos="1267"/>
          <w:tab w:val="left" w:pos="1742"/>
          <w:tab w:val="left" w:pos="2218"/>
          <w:tab w:val="left" w:pos="2693"/>
        </w:tabs>
        <w:ind w:left="1267" w:right="1260" w:hanging="432"/>
      </w:pPr>
      <w:r w:rsidRPr="000A2A6C">
        <w:rPr>
          <w:szCs w:val="18"/>
        </w:rPr>
        <w:tab/>
      </w:r>
      <w:r w:rsidRPr="00735EDC">
        <w:rPr>
          <w:rStyle w:val="FootnoteReference"/>
          <w:szCs w:val="18"/>
        </w:rPr>
        <w:footnoteRef/>
      </w:r>
      <w:r w:rsidRPr="00092BB8">
        <w:rPr>
          <w:rStyle w:val="FootnoteReference"/>
          <w:szCs w:val="18"/>
        </w:rPr>
        <w:tab/>
      </w:r>
      <w:r>
        <w:rPr>
          <w:szCs w:val="18"/>
        </w:rPr>
        <w:t>Закон</w:t>
      </w:r>
      <w:r w:rsidRPr="00092BB8">
        <w:rPr>
          <w:szCs w:val="18"/>
        </w:rPr>
        <w:t xml:space="preserve"> № 8395/2003, </w:t>
      </w:r>
      <w:r>
        <w:rPr>
          <w:szCs w:val="18"/>
        </w:rPr>
        <w:t>статья</w:t>
      </w:r>
      <w:r w:rsidRPr="00092BB8">
        <w:rPr>
          <w:szCs w:val="18"/>
        </w:rPr>
        <w:t xml:space="preserve"> 45 </w:t>
      </w:r>
      <w:r w:rsidRPr="00EC56A2">
        <w:rPr>
          <w:szCs w:val="18"/>
        </w:rPr>
        <w:t>h</w:t>
      </w:r>
      <w:r w:rsidRPr="00092BB8">
        <w:rPr>
          <w:szCs w:val="18"/>
        </w:rPr>
        <w:t>)</w:t>
      </w:r>
      <w:r>
        <w:rPr>
          <w:szCs w:val="18"/>
        </w:rPr>
        <w:t xml:space="preserve"> </w:t>
      </w:r>
      <w:r w:rsidRPr="00092BB8">
        <w:rPr>
          <w:szCs w:val="18"/>
        </w:rPr>
        <w:t>(</w:t>
      </w:r>
      <w:r w:rsidRPr="00EC56A2">
        <w:rPr>
          <w:szCs w:val="18"/>
        </w:rPr>
        <w:t>I</w:t>
      </w:r>
      <w:r w:rsidRPr="00092BB8">
        <w:rPr>
          <w:szCs w:val="18"/>
        </w:rPr>
        <w:t>)</w:t>
      </w:r>
      <w:r>
        <w:rPr>
          <w:szCs w:val="18"/>
        </w:rPr>
        <w:t>.</w:t>
      </w:r>
    </w:p>
  </w:footnote>
  <w:footnote w:id="34">
    <w:p w:rsidR="004408E3" w:rsidRPr="000A2A6C" w:rsidRDefault="004408E3" w:rsidP="004408E3">
      <w:pPr>
        <w:pStyle w:val="FootnoteText"/>
        <w:tabs>
          <w:tab w:val="right" w:pos="1195"/>
          <w:tab w:val="left" w:pos="1267"/>
          <w:tab w:val="left" w:pos="1742"/>
          <w:tab w:val="left" w:pos="2218"/>
          <w:tab w:val="left" w:pos="2693"/>
        </w:tabs>
        <w:ind w:left="1267" w:right="1260" w:hanging="432"/>
      </w:pPr>
      <w:r w:rsidRPr="00092BB8">
        <w:rPr>
          <w:szCs w:val="18"/>
        </w:rPr>
        <w:tab/>
      </w:r>
      <w:r w:rsidRPr="00735EDC">
        <w:rPr>
          <w:rStyle w:val="FootnoteReference"/>
          <w:szCs w:val="18"/>
        </w:rPr>
        <w:footnoteRef/>
      </w:r>
      <w:r w:rsidRPr="000A2A6C">
        <w:rPr>
          <w:rStyle w:val="FootnoteReference"/>
          <w:szCs w:val="18"/>
        </w:rPr>
        <w:tab/>
      </w:r>
      <w:r>
        <w:t>Закон</w:t>
      </w:r>
      <w:r w:rsidRPr="000A2A6C">
        <w:t xml:space="preserve"> № 227/2000, </w:t>
      </w:r>
      <w:r>
        <w:t>статья 49 k</w:t>
      </w:r>
      <w:r w:rsidRPr="000A2A6C">
        <w:t>).</w:t>
      </w:r>
    </w:p>
  </w:footnote>
  <w:footnote w:id="35">
    <w:p w:rsidR="004408E3" w:rsidRPr="000A2A6C" w:rsidRDefault="004408E3" w:rsidP="004408E3">
      <w:pPr>
        <w:pStyle w:val="FootnoteText"/>
        <w:tabs>
          <w:tab w:val="right" w:pos="1195"/>
          <w:tab w:val="left" w:pos="1267"/>
          <w:tab w:val="left" w:pos="1742"/>
          <w:tab w:val="left" w:pos="2218"/>
          <w:tab w:val="left" w:pos="2693"/>
        </w:tabs>
        <w:ind w:left="1267" w:right="1260" w:hanging="432"/>
      </w:pPr>
      <w:r w:rsidRPr="000A2A6C">
        <w:rPr>
          <w:szCs w:val="18"/>
        </w:rPr>
        <w:tab/>
      </w:r>
      <w:r w:rsidRPr="00735EDC">
        <w:rPr>
          <w:rStyle w:val="FootnoteReference"/>
          <w:szCs w:val="18"/>
        </w:rPr>
        <w:footnoteRef/>
      </w:r>
      <w:r w:rsidRPr="000A2A6C">
        <w:rPr>
          <w:rStyle w:val="FootnoteReference"/>
          <w:szCs w:val="18"/>
        </w:rPr>
        <w:tab/>
      </w:r>
      <w:r>
        <w:rPr>
          <w:szCs w:val="18"/>
        </w:rPr>
        <w:t>Закон</w:t>
      </w:r>
      <w:r w:rsidRPr="000A2A6C">
        <w:rPr>
          <w:szCs w:val="18"/>
        </w:rPr>
        <w:t xml:space="preserve"> № 51/2010, </w:t>
      </w:r>
      <w:r>
        <w:rPr>
          <w:szCs w:val="18"/>
        </w:rPr>
        <w:t>статья</w:t>
      </w:r>
      <w:r w:rsidRPr="000A2A6C">
        <w:rPr>
          <w:szCs w:val="18"/>
        </w:rPr>
        <w:t xml:space="preserve"> 59.</w:t>
      </w:r>
    </w:p>
  </w:footnote>
  <w:footnote w:id="36">
    <w:p w:rsidR="004408E3" w:rsidRPr="00A85385" w:rsidRDefault="004408E3" w:rsidP="004408E3">
      <w:pPr>
        <w:pStyle w:val="FootnoteText"/>
        <w:tabs>
          <w:tab w:val="right" w:pos="1195"/>
          <w:tab w:val="left" w:pos="1267"/>
          <w:tab w:val="left" w:pos="1742"/>
          <w:tab w:val="left" w:pos="2218"/>
          <w:tab w:val="left" w:pos="2693"/>
        </w:tabs>
        <w:ind w:left="1267" w:right="1260" w:hanging="432"/>
      </w:pPr>
      <w:r w:rsidRPr="000A2A6C">
        <w:rPr>
          <w:szCs w:val="18"/>
        </w:rPr>
        <w:tab/>
      </w:r>
      <w:r w:rsidRPr="00735EDC">
        <w:rPr>
          <w:rStyle w:val="FootnoteReference"/>
          <w:szCs w:val="18"/>
        </w:rPr>
        <w:footnoteRef/>
      </w:r>
      <w:r w:rsidRPr="000A2A6C">
        <w:rPr>
          <w:rStyle w:val="FootnoteReference"/>
          <w:szCs w:val="18"/>
        </w:rPr>
        <w:tab/>
      </w:r>
      <w:r>
        <w:rPr>
          <w:szCs w:val="18"/>
        </w:rPr>
        <w:t>Федеральный закон Мексики от 18 октября 2011 года, статья 5 (III</w:t>
      </w:r>
      <w:r w:rsidRPr="00C5497C">
        <w:rPr>
          <w:szCs w:val="18"/>
        </w:rPr>
        <w:t>).</w:t>
      </w:r>
    </w:p>
  </w:footnote>
  <w:footnote w:id="37">
    <w:p w:rsidR="004408E3" w:rsidRPr="00A85385" w:rsidRDefault="004408E3" w:rsidP="004408E3">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Закон № 8395/03, статья 6 и закон № 227, статья 60, соответственно.</w:t>
      </w:r>
    </w:p>
  </w:footnote>
  <w:footnote w:id="38">
    <w:p w:rsidR="004408E3" w:rsidRPr="000A2A6C" w:rsidRDefault="004408E3" w:rsidP="004408E3">
      <w:pPr>
        <w:pStyle w:val="FootnoteText"/>
        <w:tabs>
          <w:tab w:val="right" w:pos="1195"/>
          <w:tab w:val="left" w:pos="1267"/>
          <w:tab w:val="left" w:pos="1742"/>
          <w:tab w:val="left" w:pos="2218"/>
          <w:tab w:val="left" w:pos="2693"/>
        </w:tabs>
        <w:ind w:left="1267" w:right="1260" w:hanging="432"/>
      </w:pPr>
      <w:r w:rsidRPr="00C5497C">
        <w:rPr>
          <w:szCs w:val="18"/>
        </w:rPr>
        <w:tab/>
      </w:r>
      <w:r w:rsidRPr="00735EDC">
        <w:rPr>
          <w:rStyle w:val="FootnoteReference"/>
          <w:szCs w:val="18"/>
        </w:rPr>
        <w:footnoteRef/>
      </w:r>
      <w:r w:rsidRPr="000A2A6C">
        <w:rPr>
          <w:rStyle w:val="FootnoteReference"/>
          <w:szCs w:val="18"/>
        </w:rPr>
        <w:tab/>
      </w:r>
      <w:r>
        <w:rPr>
          <w:szCs w:val="18"/>
        </w:rPr>
        <w:t>Закон</w:t>
      </w:r>
      <w:r w:rsidRPr="000A2A6C">
        <w:rPr>
          <w:szCs w:val="18"/>
        </w:rPr>
        <w:t xml:space="preserve"> № 67/2008, </w:t>
      </w:r>
      <w:r>
        <w:rPr>
          <w:szCs w:val="18"/>
        </w:rPr>
        <w:t>статья</w:t>
      </w:r>
      <w:r w:rsidRPr="000A2A6C">
        <w:rPr>
          <w:szCs w:val="18"/>
        </w:rPr>
        <w:t xml:space="preserve"> 140.</w:t>
      </w:r>
    </w:p>
  </w:footnote>
  <w:footnote w:id="39">
    <w:p w:rsidR="004408E3" w:rsidRPr="00A85385" w:rsidRDefault="004408E3" w:rsidP="004408E3">
      <w:pPr>
        <w:pStyle w:val="FootnoteText"/>
        <w:tabs>
          <w:tab w:val="right" w:pos="1195"/>
          <w:tab w:val="left" w:pos="1267"/>
          <w:tab w:val="left" w:pos="1742"/>
          <w:tab w:val="left" w:pos="2218"/>
          <w:tab w:val="left" w:pos="2693"/>
        </w:tabs>
        <w:ind w:left="1267" w:right="1260" w:hanging="432"/>
      </w:pPr>
      <w:r w:rsidRPr="000A2A6C">
        <w:rPr>
          <w:szCs w:val="18"/>
        </w:rPr>
        <w:tab/>
      </w:r>
      <w:r w:rsidRPr="00735EDC">
        <w:rPr>
          <w:rStyle w:val="FootnoteReference"/>
          <w:szCs w:val="18"/>
        </w:rPr>
        <w:footnoteRef/>
      </w:r>
      <w:r w:rsidRPr="000A2A6C">
        <w:rPr>
          <w:rStyle w:val="FootnoteReference"/>
          <w:szCs w:val="18"/>
        </w:rPr>
        <w:tab/>
      </w:r>
      <w:r>
        <w:rPr>
          <w:szCs w:val="18"/>
        </w:rPr>
        <w:t>Федеральный закон Мексики, статья 32 (Х).</w:t>
      </w:r>
    </w:p>
  </w:footnote>
  <w:footnote w:id="40">
    <w:p w:rsidR="004408E3" w:rsidRPr="000A2A6C" w:rsidRDefault="004408E3" w:rsidP="004408E3">
      <w:pPr>
        <w:pStyle w:val="FootnoteText"/>
        <w:tabs>
          <w:tab w:val="right" w:pos="1195"/>
          <w:tab w:val="left" w:pos="1267"/>
          <w:tab w:val="left" w:pos="1742"/>
          <w:tab w:val="left" w:pos="2218"/>
          <w:tab w:val="left" w:pos="2693"/>
        </w:tabs>
        <w:ind w:left="1267" w:right="1260" w:hanging="432"/>
      </w:pPr>
      <w:r w:rsidRPr="00C5497C">
        <w:rPr>
          <w:szCs w:val="18"/>
        </w:rPr>
        <w:tab/>
      </w:r>
      <w:r w:rsidRPr="00735EDC">
        <w:rPr>
          <w:rStyle w:val="FootnoteReference"/>
          <w:szCs w:val="18"/>
        </w:rPr>
        <w:footnoteRef/>
      </w:r>
      <w:r w:rsidRPr="000A2A6C">
        <w:rPr>
          <w:rStyle w:val="FootnoteReference"/>
          <w:szCs w:val="18"/>
        </w:rPr>
        <w:tab/>
      </w:r>
      <w:r>
        <w:rPr>
          <w:szCs w:val="18"/>
        </w:rPr>
        <w:t xml:space="preserve">Постановление </w:t>
      </w:r>
      <w:r w:rsidRPr="000A2A6C">
        <w:rPr>
          <w:szCs w:val="18"/>
        </w:rPr>
        <w:t xml:space="preserve">№ 33128, </w:t>
      </w:r>
      <w:r>
        <w:rPr>
          <w:szCs w:val="18"/>
        </w:rPr>
        <w:t>статья</w:t>
      </w:r>
      <w:r w:rsidRPr="000A2A6C">
        <w:rPr>
          <w:szCs w:val="18"/>
        </w:rPr>
        <w:t xml:space="preserve"> 29 (3).</w:t>
      </w:r>
    </w:p>
  </w:footnote>
  <w:footnote w:id="41">
    <w:p w:rsidR="004408E3" w:rsidRPr="000A2A6C" w:rsidRDefault="004408E3" w:rsidP="004408E3">
      <w:pPr>
        <w:pStyle w:val="FootnoteText"/>
        <w:tabs>
          <w:tab w:val="right" w:pos="1195"/>
          <w:tab w:val="left" w:pos="1267"/>
          <w:tab w:val="left" w:pos="1742"/>
          <w:tab w:val="left" w:pos="2218"/>
          <w:tab w:val="left" w:pos="2693"/>
        </w:tabs>
        <w:ind w:left="1267" w:right="1260" w:hanging="432"/>
      </w:pPr>
      <w:r w:rsidRPr="000A2A6C">
        <w:rPr>
          <w:szCs w:val="18"/>
        </w:rPr>
        <w:tab/>
      </w:r>
      <w:r w:rsidRPr="00735EDC">
        <w:rPr>
          <w:rStyle w:val="FootnoteReference"/>
          <w:szCs w:val="18"/>
        </w:rPr>
        <w:footnoteRef/>
      </w:r>
      <w:r w:rsidRPr="000A2A6C">
        <w:rPr>
          <w:rStyle w:val="FootnoteReference"/>
          <w:szCs w:val="18"/>
        </w:rPr>
        <w:tab/>
      </w:r>
      <w:r>
        <w:rPr>
          <w:szCs w:val="18"/>
        </w:rPr>
        <w:t>Закон</w:t>
      </w:r>
      <w:r w:rsidRPr="000A2A6C">
        <w:rPr>
          <w:szCs w:val="18"/>
        </w:rPr>
        <w:t xml:space="preserve"> № 8395/2003, </w:t>
      </w:r>
      <w:r>
        <w:rPr>
          <w:szCs w:val="18"/>
        </w:rPr>
        <w:t>статья</w:t>
      </w:r>
      <w:r w:rsidRPr="000A2A6C">
        <w:rPr>
          <w:szCs w:val="18"/>
        </w:rPr>
        <w:t xml:space="preserve"> 19.</w:t>
      </w:r>
    </w:p>
  </w:footnote>
  <w:footnote w:id="42">
    <w:p w:rsidR="004408E3" w:rsidRPr="000A2A6C" w:rsidRDefault="004408E3" w:rsidP="004408E3">
      <w:pPr>
        <w:pStyle w:val="FootnoteText"/>
        <w:tabs>
          <w:tab w:val="right" w:pos="1195"/>
          <w:tab w:val="left" w:pos="1267"/>
          <w:tab w:val="left" w:pos="1742"/>
          <w:tab w:val="left" w:pos="2218"/>
          <w:tab w:val="left" w:pos="2693"/>
        </w:tabs>
        <w:ind w:left="1267" w:right="1260" w:hanging="432"/>
      </w:pPr>
      <w:r w:rsidRPr="000A2A6C">
        <w:rPr>
          <w:szCs w:val="18"/>
        </w:rPr>
        <w:tab/>
      </w:r>
      <w:r w:rsidRPr="00735EDC">
        <w:rPr>
          <w:rStyle w:val="FootnoteReference"/>
          <w:szCs w:val="18"/>
        </w:rPr>
        <w:footnoteRef/>
      </w:r>
      <w:r w:rsidRPr="000A2A6C">
        <w:rPr>
          <w:rStyle w:val="FootnoteReference"/>
          <w:szCs w:val="18"/>
        </w:rPr>
        <w:tab/>
      </w:r>
      <w:r>
        <w:rPr>
          <w:szCs w:val="18"/>
        </w:rPr>
        <w:t>Закон</w:t>
      </w:r>
      <w:r w:rsidRPr="000A2A6C">
        <w:rPr>
          <w:szCs w:val="18"/>
        </w:rPr>
        <w:t xml:space="preserve"> № 21/1992, </w:t>
      </w:r>
      <w:r>
        <w:rPr>
          <w:szCs w:val="18"/>
        </w:rPr>
        <w:t>статья</w:t>
      </w:r>
      <w:r w:rsidRPr="000A2A6C">
        <w:rPr>
          <w:szCs w:val="18"/>
        </w:rPr>
        <w:t xml:space="preserve"> 8.</w:t>
      </w:r>
    </w:p>
  </w:footnote>
  <w:footnote w:id="43">
    <w:p w:rsidR="004408E3" w:rsidRPr="00A85385" w:rsidRDefault="004408E3" w:rsidP="004408E3">
      <w:pPr>
        <w:pStyle w:val="FootnoteText"/>
        <w:tabs>
          <w:tab w:val="right" w:pos="1195"/>
          <w:tab w:val="left" w:pos="1267"/>
          <w:tab w:val="left" w:pos="1742"/>
          <w:tab w:val="left" w:pos="2218"/>
          <w:tab w:val="left" w:pos="2693"/>
        </w:tabs>
        <w:ind w:left="1267" w:right="1260" w:hanging="432"/>
      </w:pPr>
      <w:r w:rsidRPr="000A2A6C">
        <w:rPr>
          <w:szCs w:val="18"/>
        </w:rPr>
        <w:tab/>
      </w:r>
      <w:r w:rsidRPr="00735EDC">
        <w:rPr>
          <w:rStyle w:val="FootnoteReference"/>
          <w:szCs w:val="18"/>
        </w:rPr>
        <w:footnoteRef/>
      </w:r>
      <w:r w:rsidRPr="000A2A6C">
        <w:rPr>
          <w:rStyle w:val="FootnoteReference"/>
          <w:szCs w:val="18"/>
        </w:rPr>
        <w:tab/>
      </w:r>
      <w:r>
        <w:rPr>
          <w:szCs w:val="18"/>
        </w:rPr>
        <w:t>Исполнительный приказ № 21/1992, статья 27 d</w:t>
      </w:r>
      <w:r w:rsidRPr="00A85385">
        <w:rPr>
          <w:szCs w:val="18"/>
        </w:rPr>
        <w:t>)</w:t>
      </w:r>
      <w:r>
        <w:rPr>
          <w:szCs w:val="18"/>
        </w:rPr>
        <w:t>.</w:t>
      </w:r>
    </w:p>
  </w:footnote>
  <w:footnote w:id="44">
    <w:p w:rsidR="004408E3" w:rsidRPr="000A2A6C" w:rsidRDefault="004408E3" w:rsidP="004408E3">
      <w:pPr>
        <w:pStyle w:val="FootnoteText"/>
        <w:tabs>
          <w:tab w:val="right" w:pos="1195"/>
          <w:tab w:val="left" w:pos="1267"/>
          <w:tab w:val="left" w:pos="1742"/>
          <w:tab w:val="left" w:pos="2218"/>
          <w:tab w:val="left" w:pos="2693"/>
        </w:tabs>
        <w:ind w:left="1267" w:right="1260" w:hanging="432"/>
      </w:pPr>
      <w:r w:rsidRPr="00A85385">
        <w:rPr>
          <w:szCs w:val="18"/>
        </w:rPr>
        <w:tab/>
      </w:r>
      <w:r w:rsidRPr="00735EDC">
        <w:rPr>
          <w:rStyle w:val="FootnoteReference"/>
          <w:szCs w:val="18"/>
        </w:rPr>
        <w:footnoteRef/>
      </w:r>
      <w:r w:rsidRPr="00A85385">
        <w:rPr>
          <w:rStyle w:val="FootnoteReference"/>
          <w:szCs w:val="18"/>
        </w:rPr>
        <w:tab/>
      </w:r>
      <w:r>
        <w:rPr>
          <w:szCs w:val="18"/>
        </w:rPr>
        <w:t>Закон</w:t>
      </w:r>
      <w:r w:rsidRPr="000A2A6C">
        <w:rPr>
          <w:szCs w:val="18"/>
        </w:rPr>
        <w:t xml:space="preserve"> № 227/2000, </w:t>
      </w:r>
      <w:r>
        <w:rPr>
          <w:szCs w:val="18"/>
        </w:rPr>
        <w:t>статья</w:t>
      </w:r>
      <w:r w:rsidRPr="000A2A6C">
        <w:rPr>
          <w:szCs w:val="18"/>
        </w:rPr>
        <w:t xml:space="preserve"> 27.</w:t>
      </w:r>
    </w:p>
  </w:footnote>
  <w:footnote w:id="45">
    <w:p w:rsidR="004408E3" w:rsidRPr="000A2A6C" w:rsidRDefault="004408E3" w:rsidP="004408E3">
      <w:pPr>
        <w:pStyle w:val="FootnoteText"/>
        <w:tabs>
          <w:tab w:val="right" w:pos="1195"/>
          <w:tab w:val="left" w:pos="1267"/>
          <w:tab w:val="left" w:pos="1742"/>
          <w:tab w:val="left" w:pos="2218"/>
          <w:tab w:val="left" w:pos="2693"/>
        </w:tabs>
        <w:ind w:left="1267" w:right="1260" w:hanging="432"/>
      </w:pPr>
      <w:r w:rsidRPr="000A2A6C">
        <w:rPr>
          <w:szCs w:val="18"/>
        </w:rPr>
        <w:tab/>
      </w:r>
      <w:r w:rsidRPr="00735EDC">
        <w:rPr>
          <w:rStyle w:val="FootnoteReference"/>
          <w:szCs w:val="18"/>
        </w:rPr>
        <w:footnoteRef/>
      </w:r>
      <w:r w:rsidRPr="000A2A6C">
        <w:rPr>
          <w:rStyle w:val="FootnoteReference"/>
          <w:szCs w:val="18"/>
        </w:rPr>
        <w:tab/>
      </w:r>
      <w:r>
        <w:rPr>
          <w:szCs w:val="18"/>
        </w:rPr>
        <w:t>Декрет</w:t>
      </w:r>
      <w:r w:rsidRPr="000A2A6C">
        <w:rPr>
          <w:szCs w:val="18"/>
        </w:rPr>
        <w:t xml:space="preserve"> № 186/1998, </w:t>
      </w:r>
      <w:r>
        <w:rPr>
          <w:szCs w:val="18"/>
        </w:rPr>
        <w:t>статья</w:t>
      </w:r>
      <w:r w:rsidRPr="000A2A6C">
        <w:rPr>
          <w:szCs w:val="18"/>
        </w:rPr>
        <w:t xml:space="preserve"> 34.</w:t>
      </w:r>
    </w:p>
  </w:footnote>
  <w:footnote w:id="46">
    <w:p w:rsidR="004408E3" w:rsidRPr="000A2A6C" w:rsidRDefault="004408E3" w:rsidP="004408E3">
      <w:pPr>
        <w:pStyle w:val="FootnoteText"/>
        <w:tabs>
          <w:tab w:val="right" w:pos="1195"/>
          <w:tab w:val="left" w:pos="1267"/>
          <w:tab w:val="left" w:pos="1742"/>
          <w:tab w:val="left" w:pos="2218"/>
          <w:tab w:val="left" w:pos="2693"/>
        </w:tabs>
        <w:ind w:left="1267" w:right="1260" w:hanging="432"/>
      </w:pPr>
      <w:r w:rsidRPr="000A2A6C">
        <w:rPr>
          <w:szCs w:val="18"/>
        </w:rPr>
        <w:tab/>
      </w:r>
      <w:r w:rsidRPr="00735EDC">
        <w:rPr>
          <w:rStyle w:val="FootnoteReference"/>
          <w:szCs w:val="18"/>
        </w:rPr>
        <w:footnoteRef/>
      </w:r>
      <w:r w:rsidRPr="000A2A6C">
        <w:rPr>
          <w:rStyle w:val="FootnoteReference"/>
          <w:szCs w:val="18"/>
        </w:rPr>
        <w:tab/>
      </w:r>
      <w:r>
        <w:rPr>
          <w:szCs w:val="18"/>
        </w:rPr>
        <w:t>Закон</w:t>
      </w:r>
      <w:r w:rsidRPr="000A2A6C">
        <w:rPr>
          <w:szCs w:val="18"/>
        </w:rPr>
        <w:t xml:space="preserve"> № 52/1982, </w:t>
      </w:r>
      <w:r>
        <w:rPr>
          <w:szCs w:val="18"/>
        </w:rPr>
        <w:t>статья</w:t>
      </w:r>
      <w:r w:rsidRPr="000A2A6C">
        <w:rPr>
          <w:szCs w:val="18"/>
        </w:rPr>
        <w:t xml:space="preserve"> 6.</w:t>
      </w:r>
    </w:p>
  </w:footnote>
  <w:footnote w:id="47">
    <w:p w:rsidR="004408E3" w:rsidRPr="000A2A6C" w:rsidRDefault="004408E3" w:rsidP="004408E3">
      <w:pPr>
        <w:pStyle w:val="FootnoteText"/>
        <w:tabs>
          <w:tab w:val="right" w:pos="1195"/>
          <w:tab w:val="left" w:pos="1267"/>
          <w:tab w:val="left" w:pos="1742"/>
          <w:tab w:val="left" w:pos="2218"/>
          <w:tab w:val="left" w:pos="2693"/>
        </w:tabs>
        <w:ind w:left="1267" w:right="1260" w:hanging="432"/>
      </w:pPr>
      <w:r w:rsidRPr="000A2A6C">
        <w:rPr>
          <w:szCs w:val="18"/>
        </w:rPr>
        <w:tab/>
      </w:r>
      <w:r w:rsidRPr="00735EDC">
        <w:rPr>
          <w:rStyle w:val="FootnoteReference"/>
          <w:szCs w:val="18"/>
        </w:rPr>
        <w:footnoteRef/>
      </w:r>
      <w:r w:rsidRPr="000A2A6C">
        <w:rPr>
          <w:rStyle w:val="FootnoteReference"/>
          <w:szCs w:val="18"/>
        </w:rPr>
        <w:tab/>
      </w:r>
      <w:r>
        <w:rPr>
          <w:szCs w:val="18"/>
        </w:rPr>
        <w:t>Закон</w:t>
      </w:r>
      <w:r w:rsidRPr="000A2A6C">
        <w:rPr>
          <w:szCs w:val="18"/>
        </w:rPr>
        <w:t xml:space="preserve"> № 510/2005, </w:t>
      </w:r>
      <w:r>
        <w:rPr>
          <w:szCs w:val="18"/>
        </w:rPr>
        <w:t>статья</w:t>
      </w:r>
      <w:r w:rsidRPr="000A2A6C">
        <w:rPr>
          <w:szCs w:val="18"/>
        </w:rPr>
        <w:t xml:space="preserve"> 15.</w:t>
      </w:r>
    </w:p>
  </w:footnote>
  <w:footnote w:id="48">
    <w:p w:rsidR="004408E3" w:rsidRPr="00A85385" w:rsidRDefault="004408E3" w:rsidP="004408E3">
      <w:pPr>
        <w:pStyle w:val="FootnoteText"/>
        <w:tabs>
          <w:tab w:val="right" w:pos="1195"/>
          <w:tab w:val="left" w:pos="1267"/>
          <w:tab w:val="left" w:pos="1742"/>
          <w:tab w:val="left" w:pos="2218"/>
          <w:tab w:val="left" w:pos="2693"/>
        </w:tabs>
        <w:ind w:left="1267" w:right="1260" w:hanging="432"/>
      </w:pPr>
      <w:r w:rsidRPr="000A2A6C">
        <w:rPr>
          <w:szCs w:val="18"/>
        </w:rPr>
        <w:tab/>
      </w:r>
      <w:r w:rsidRPr="00735EDC">
        <w:rPr>
          <w:rStyle w:val="FootnoteReference"/>
          <w:szCs w:val="18"/>
        </w:rPr>
        <w:footnoteRef/>
      </w:r>
      <w:r w:rsidRPr="000A2A6C">
        <w:rPr>
          <w:rStyle w:val="FootnoteReference"/>
          <w:szCs w:val="18"/>
        </w:rPr>
        <w:tab/>
      </w:r>
      <w:r>
        <w:rPr>
          <w:szCs w:val="18"/>
        </w:rPr>
        <w:t>Исполнительный приказ № 21/1992, статья 18.</w:t>
      </w:r>
    </w:p>
  </w:footnote>
  <w:footnote w:id="49">
    <w:p w:rsidR="004408E3" w:rsidRPr="000A2A6C" w:rsidRDefault="004408E3" w:rsidP="004408E3">
      <w:pPr>
        <w:pStyle w:val="FootnoteText"/>
        <w:tabs>
          <w:tab w:val="right" w:pos="1195"/>
          <w:tab w:val="left" w:pos="1267"/>
          <w:tab w:val="left" w:pos="1742"/>
          <w:tab w:val="left" w:pos="2218"/>
          <w:tab w:val="left" w:pos="2693"/>
        </w:tabs>
        <w:ind w:left="1267" w:right="1260" w:hanging="432"/>
      </w:pPr>
      <w:r w:rsidRPr="00A85385">
        <w:rPr>
          <w:szCs w:val="18"/>
        </w:rPr>
        <w:tab/>
      </w:r>
      <w:r w:rsidRPr="00735EDC">
        <w:rPr>
          <w:rStyle w:val="FootnoteReference"/>
          <w:szCs w:val="18"/>
        </w:rPr>
        <w:footnoteRef/>
      </w:r>
      <w:r w:rsidRPr="00A85385">
        <w:rPr>
          <w:rStyle w:val="FootnoteReference"/>
          <w:szCs w:val="18"/>
        </w:rPr>
        <w:tab/>
      </w:r>
      <w:r>
        <w:rPr>
          <w:szCs w:val="18"/>
        </w:rPr>
        <w:t>Закон</w:t>
      </w:r>
      <w:r w:rsidRPr="000A2A6C">
        <w:rPr>
          <w:szCs w:val="18"/>
        </w:rPr>
        <w:t xml:space="preserve"> № 227/2000, </w:t>
      </w:r>
      <w:r>
        <w:rPr>
          <w:szCs w:val="18"/>
        </w:rPr>
        <w:t>статья</w:t>
      </w:r>
      <w:r w:rsidRPr="000A2A6C">
        <w:rPr>
          <w:szCs w:val="18"/>
        </w:rPr>
        <w:t xml:space="preserve"> 16.</w:t>
      </w:r>
    </w:p>
  </w:footnote>
  <w:footnote w:id="50">
    <w:p w:rsidR="004408E3" w:rsidRPr="000A2A6C" w:rsidRDefault="004408E3" w:rsidP="004408E3">
      <w:pPr>
        <w:pStyle w:val="FootnoteText"/>
        <w:tabs>
          <w:tab w:val="right" w:pos="1195"/>
          <w:tab w:val="left" w:pos="1267"/>
          <w:tab w:val="left" w:pos="1742"/>
          <w:tab w:val="left" w:pos="2218"/>
          <w:tab w:val="left" w:pos="2693"/>
        </w:tabs>
        <w:ind w:left="1267" w:right="1260" w:hanging="432"/>
      </w:pPr>
      <w:r w:rsidRPr="000A2A6C">
        <w:rPr>
          <w:szCs w:val="18"/>
        </w:rPr>
        <w:tab/>
      </w:r>
      <w:r w:rsidRPr="00735EDC">
        <w:rPr>
          <w:rStyle w:val="FootnoteReference"/>
          <w:szCs w:val="18"/>
        </w:rPr>
        <w:footnoteRef/>
      </w:r>
      <w:r w:rsidRPr="000A2A6C">
        <w:rPr>
          <w:rStyle w:val="FootnoteReference"/>
          <w:szCs w:val="18"/>
        </w:rPr>
        <w:tab/>
      </w:r>
      <w:r>
        <w:rPr>
          <w:szCs w:val="18"/>
        </w:rPr>
        <w:t>Закон</w:t>
      </w:r>
      <w:r w:rsidRPr="000A2A6C">
        <w:rPr>
          <w:szCs w:val="18"/>
        </w:rPr>
        <w:t xml:space="preserve"> № 51/2010, </w:t>
      </w:r>
      <w:r>
        <w:rPr>
          <w:szCs w:val="18"/>
        </w:rPr>
        <w:t>статья 59 j</w:t>
      </w:r>
      <w:r w:rsidRPr="000A2A6C">
        <w:rPr>
          <w:szCs w:val="18"/>
        </w:rPr>
        <w:t>).</w:t>
      </w:r>
    </w:p>
  </w:footnote>
  <w:footnote w:id="51">
    <w:p w:rsidR="004408E3" w:rsidRPr="000A2A6C" w:rsidRDefault="004408E3" w:rsidP="004408E3">
      <w:pPr>
        <w:pStyle w:val="FootnoteText"/>
        <w:tabs>
          <w:tab w:val="right" w:pos="1195"/>
          <w:tab w:val="left" w:pos="1267"/>
          <w:tab w:val="left" w:pos="1742"/>
          <w:tab w:val="left" w:pos="2218"/>
          <w:tab w:val="left" w:pos="2693"/>
        </w:tabs>
        <w:ind w:left="1267" w:right="1260" w:hanging="432"/>
      </w:pPr>
      <w:r w:rsidRPr="000A2A6C">
        <w:rPr>
          <w:szCs w:val="18"/>
        </w:rPr>
        <w:tab/>
      </w:r>
      <w:r w:rsidRPr="00735EDC">
        <w:rPr>
          <w:rStyle w:val="FootnoteReference"/>
          <w:szCs w:val="18"/>
        </w:rPr>
        <w:footnoteRef/>
      </w:r>
      <w:r w:rsidRPr="000A2A6C">
        <w:rPr>
          <w:rStyle w:val="FootnoteReference"/>
          <w:szCs w:val="18"/>
        </w:rPr>
        <w:tab/>
      </w:r>
      <w:r>
        <w:rPr>
          <w:szCs w:val="18"/>
        </w:rPr>
        <w:t>Закон</w:t>
      </w:r>
      <w:r w:rsidRPr="000A2A6C">
        <w:rPr>
          <w:szCs w:val="18"/>
        </w:rPr>
        <w:t xml:space="preserve"> № 51/2010, </w:t>
      </w:r>
      <w:r>
        <w:rPr>
          <w:szCs w:val="18"/>
        </w:rPr>
        <w:t xml:space="preserve">статья 58 </w:t>
      </w:r>
      <w:r w:rsidRPr="000A2A6C">
        <w:rPr>
          <w:szCs w:val="18"/>
        </w:rPr>
        <w:t>3</w:t>
      </w:r>
      <w:r>
        <w:rPr>
          <w:szCs w:val="18"/>
        </w:rPr>
        <w:t>b</w:t>
      </w:r>
      <w:r w:rsidRPr="000A2A6C">
        <w:rPr>
          <w:szCs w:val="18"/>
        </w:rPr>
        <w:t>).</w:t>
      </w:r>
    </w:p>
  </w:footnote>
  <w:footnote w:id="52">
    <w:p w:rsidR="004408E3" w:rsidRPr="000A2A6C" w:rsidRDefault="004408E3" w:rsidP="004408E3">
      <w:pPr>
        <w:pStyle w:val="FootnoteText"/>
        <w:tabs>
          <w:tab w:val="right" w:pos="1195"/>
          <w:tab w:val="left" w:pos="1267"/>
          <w:tab w:val="left" w:pos="1742"/>
          <w:tab w:val="left" w:pos="2218"/>
          <w:tab w:val="left" w:pos="2693"/>
        </w:tabs>
        <w:ind w:left="1267" w:right="1260" w:hanging="432"/>
      </w:pPr>
      <w:r w:rsidRPr="000A2A6C">
        <w:rPr>
          <w:szCs w:val="18"/>
        </w:rPr>
        <w:tab/>
      </w:r>
      <w:r w:rsidRPr="00735EDC">
        <w:rPr>
          <w:rStyle w:val="FootnoteReference"/>
          <w:szCs w:val="18"/>
        </w:rPr>
        <w:footnoteRef/>
      </w:r>
      <w:r w:rsidRPr="000A2A6C">
        <w:rPr>
          <w:rStyle w:val="FootnoteReference"/>
          <w:szCs w:val="18"/>
        </w:rPr>
        <w:tab/>
      </w:r>
      <w:r>
        <w:rPr>
          <w:szCs w:val="18"/>
        </w:rPr>
        <w:t>Закон</w:t>
      </w:r>
      <w:r w:rsidRPr="000A2A6C">
        <w:rPr>
          <w:szCs w:val="18"/>
        </w:rPr>
        <w:t xml:space="preserve"> № 51/2010, </w:t>
      </w:r>
      <w:r>
        <w:rPr>
          <w:szCs w:val="18"/>
        </w:rPr>
        <w:t>статья</w:t>
      </w:r>
      <w:r w:rsidRPr="000A2A6C">
        <w:rPr>
          <w:szCs w:val="18"/>
        </w:rPr>
        <w:t xml:space="preserve"> 66.</w:t>
      </w:r>
    </w:p>
  </w:footnote>
  <w:footnote w:id="53">
    <w:p w:rsidR="004408E3" w:rsidRPr="002F442B" w:rsidRDefault="004408E3" w:rsidP="004408E3">
      <w:pPr>
        <w:pStyle w:val="FootnoteText"/>
        <w:tabs>
          <w:tab w:val="right" w:pos="1195"/>
          <w:tab w:val="left" w:pos="1267"/>
          <w:tab w:val="left" w:pos="1742"/>
          <w:tab w:val="left" w:pos="2218"/>
          <w:tab w:val="left" w:pos="2693"/>
        </w:tabs>
        <w:ind w:left="1267" w:right="1260" w:hanging="432"/>
      </w:pPr>
      <w:r w:rsidRPr="000A2A6C">
        <w:rPr>
          <w:szCs w:val="18"/>
        </w:rPr>
        <w:tab/>
      </w:r>
      <w:r w:rsidRPr="00735EDC">
        <w:rPr>
          <w:rStyle w:val="FootnoteReference"/>
          <w:szCs w:val="18"/>
        </w:rPr>
        <w:footnoteRef/>
      </w:r>
      <w:r w:rsidRPr="002F442B">
        <w:rPr>
          <w:rStyle w:val="FootnoteReference"/>
          <w:szCs w:val="18"/>
        </w:rPr>
        <w:tab/>
      </w:r>
      <w:r>
        <w:rPr>
          <w:szCs w:val="18"/>
        </w:rPr>
        <w:t>Закон</w:t>
      </w:r>
      <w:r w:rsidRPr="002F442B">
        <w:rPr>
          <w:szCs w:val="18"/>
        </w:rPr>
        <w:t xml:space="preserve"> № 8395/2003, </w:t>
      </w:r>
      <w:r>
        <w:rPr>
          <w:szCs w:val="18"/>
        </w:rPr>
        <w:t>статья</w:t>
      </w:r>
      <w:r w:rsidRPr="002F442B">
        <w:rPr>
          <w:szCs w:val="18"/>
        </w:rPr>
        <w:t xml:space="preserve"> 53.</w:t>
      </w:r>
    </w:p>
  </w:footnote>
  <w:footnote w:id="54">
    <w:p w:rsidR="004408E3" w:rsidRPr="002F442B" w:rsidRDefault="004408E3" w:rsidP="004408E3">
      <w:pPr>
        <w:pStyle w:val="FootnoteText"/>
        <w:tabs>
          <w:tab w:val="right" w:pos="1195"/>
          <w:tab w:val="left" w:pos="1267"/>
          <w:tab w:val="left" w:pos="1742"/>
          <w:tab w:val="left" w:pos="2218"/>
          <w:tab w:val="left" w:pos="2693"/>
        </w:tabs>
        <w:ind w:left="1267" w:right="1260" w:hanging="432"/>
      </w:pPr>
      <w:r w:rsidRPr="002F442B">
        <w:rPr>
          <w:szCs w:val="18"/>
        </w:rPr>
        <w:tab/>
      </w:r>
      <w:r w:rsidRPr="00735EDC">
        <w:rPr>
          <w:rStyle w:val="FootnoteReference"/>
          <w:szCs w:val="18"/>
        </w:rPr>
        <w:footnoteRef/>
      </w:r>
      <w:r w:rsidRPr="002F442B">
        <w:rPr>
          <w:rStyle w:val="FootnoteReference"/>
          <w:szCs w:val="18"/>
        </w:rPr>
        <w:tab/>
      </w:r>
      <w:r>
        <w:rPr>
          <w:szCs w:val="18"/>
        </w:rPr>
        <w:t>Закон</w:t>
      </w:r>
      <w:r w:rsidRPr="002F442B">
        <w:rPr>
          <w:szCs w:val="18"/>
        </w:rPr>
        <w:t xml:space="preserve"> № 2003/12, </w:t>
      </w:r>
      <w:r>
        <w:rPr>
          <w:szCs w:val="18"/>
        </w:rPr>
        <w:t>статья</w:t>
      </w:r>
      <w:r w:rsidRPr="002F442B">
        <w:rPr>
          <w:szCs w:val="18"/>
        </w:rPr>
        <w:t xml:space="preserve"> 2.</w:t>
      </w:r>
    </w:p>
  </w:footnote>
  <w:footnote w:id="55">
    <w:p w:rsidR="004408E3" w:rsidRPr="002F442B" w:rsidRDefault="004408E3" w:rsidP="004408E3">
      <w:pPr>
        <w:pStyle w:val="FootnoteText"/>
        <w:tabs>
          <w:tab w:val="right" w:pos="1195"/>
          <w:tab w:val="left" w:pos="1267"/>
          <w:tab w:val="left" w:pos="1742"/>
          <w:tab w:val="left" w:pos="2218"/>
          <w:tab w:val="left" w:pos="2693"/>
        </w:tabs>
        <w:ind w:left="1267" w:right="1260" w:hanging="432"/>
      </w:pPr>
      <w:r w:rsidRPr="002F442B">
        <w:rPr>
          <w:szCs w:val="18"/>
        </w:rPr>
        <w:tab/>
      </w:r>
      <w:r w:rsidRPr="00735EDC">
        <w:rPr>
          <w:rStyle w:val="FootnoteReference"/>
          <w:szCs w:val="18"/>
        </w:rPr>
        <w:footnoteRef/>
      </w:r>
      <w:r w:rsidRPr="002F442B">
        <w:rPr>
          <w:rStyle w:val="FootnoteReference"/>
          <w:szCs w:val="18"/>
        </w:rPr>
        <w:tab/>
      </w:r>
      <w:r>
        <w:rPr>
          <w:szCs w:val="18"/>
        </w:rPr>
        <w:t>Закон</w:t>
      </w:r>
      <w:r w:rsidRPr="002F442B">
        <w:rPr>
          <w:szCs w:val="18"/>
        </w:rPr>
        <w:t xml:space="preserve"> № 356/1994, </w:t>
      </w:r>
      <w:r>
        <w:rPr>
          <w:szCs w:val="18"/>
        </w:rPr>
        <w:t>статья</w:t>
      </w:r>
      <w:r w:rsidRPr="002F442B">
        <w:rPr>
          <w:szCs w:val="18"/>
        </w:rPr>
        <w:t xml:space="preserve"> 17.</w:t>
      </w:r>
    </w:p>
  </w:footnote>
  <w:footnote w:id="56">
    <w:p w:rsidR="004408E3" w:rsidRPr="002F442B" w:rsidRDefault="004408E3" w:rsidP="004408E3">
      <w:pPr>
        <w:pStyle w:val="FootnoteText"/>
        <w:tabs>
          <w:tab w:val="right" w:pos="1195"/>
          <w:tab w:val="left" w:pos="1267"/>
          <w:tab w:val="left" w:pos="1742"/>
          <w:tab w:val="left" w:pos="2218"/>
          <w:tab w:val="left" w:pos="2693"/>
        </w:tabs>
        <w:ind w:left="1267" w:right="1260" w:hanging="432"/>
      </w:pPr>
      <w:r w:rsidRPr="002F442B">
        <w:rPr>
          <w:szCs w:val="18"/>
        </w:rPr>
        <w:tab/>
      </w:r>
      <w:r w:rsidRPr="00735EDC">
        <w:rPr>
          <w:rStyle w:val="FootnoteReference"/>
          <w:szCs w:val="18"/>
        </w:rPr>
        <w:footnoteRef/>
      </w:r>
      <w:r w:rsidRPr="002F442B">
        <w:rPr>
          <w:rStyle w:val="FootnoteReference"/>
          <w:szCs w:val="18"/>
        </w:rPr>
        <w:tab/>
      </w:r>
      <w:r>
        <w:rPr>
          <w:szCs w:val="18"/>
        </w:rPr>
        <w:t>Закон</w:t>
      </w:r>
      <w:r w:rsidRPr="002F442B">
        <w:rPr>
          <w:szCs w:val="18"/>
        </w:rPr>
        <w:t xml:space="preserve"> № 3.607, </w:t>
      </w:r>
      <w:r>
        <w:rPr>
          <w:szCs w:val="18"/>
        </w:rPr>
        <w:t>статья</w:t>
      </w:r>
      <w:r w:rsidRPr="002F442B">
        <w:rPr>
          <w:szCs w:val="18"/>
        </w:rPr>
        <w:t xml:space="preserve"> 3.</w:t>
      </w:r>
    </w:p>
  </w:footnote>
  <w:footnote w:id="57">
    <w:p w:rsidR="004408E3" w:rsidRPr="002F442B" w:rsidRDefault="004408E3" w:rsidP="004408E3">
      <w:pPr>
        <w:pStyle w:val="FootnoteText"/>
        <w:tabs>
          <w:tab w:val="right" w:pos="1195"/>
          <w:tab w:val="left" w:pos="1267"/>
          <w:tab w:val="left" w:pos="1742"/>
          <w:tab w:val="left" w:pos="2218"/>
          <w:tab w:val="left" w:pos="2693"/>
        </w:tabs>
        <w:ind w:left="1267" w:right="1260" w:hanging="432"/>
        <w:rPr>
          <w:szCs w:val="18"/>
        </w:rPr>
      </w:pPr>
      <w:r w:rsidRPr="002F442B">
        <w:rPr>
          <w:szCs w:val="18"/>
        </w:rPr>
        <w:tab/>
      </w:r>
      <w:r w:rsidRPr="00735EDC">
        <w:rPr>
          <w:rStyle w:val="FootnoteReference"/>
          <w:szCs w:val="18"/>
        </w:rPr>
        <w:footnoteRef/>
      </w:r>
      <w:r w:rsidRPr="00092BB8">
        <w:rPr>
          <w:rStyle w:val="FootnoteReference"/>
          <w:szCs w:val="18"/>
        </w:rPr>
        <w:tab/>
      </w:r>
      <w:r>
        <w:rPr>
          <w:szCs w:val="18"/>
        </w:rPr>
        <w:t>Нормативные</w:t>
      </w:r>
      <w:r w:rsidRPr="00092BB8">
        <w:rPr>
          <w:szCs w:val="18"/>
        </w:rPr>
        <w:t xml:space="preserve"> </w:t>
      </w:r>
      <w:r>
        <w:rPr>
          <w:szCs w:val="18"/>
        </w:rPr>
        <w:t>акты</w:t>
      </w:r>
      <w:r w:rsidRPr="00092BB8">
        <w:rPr>
          <w:szCs w:val="18"/>
        </w:rPr>
        <w:t xml:space="preserve"> </w:t>
      </w:r>
      <w:r>
        <w:rPr>
          <w:szCs w:val="18"/>
        </w:rPr>
        <w:t>Эквадора</w:t>
      </w:r>
      <w:r w:rsidRPr="00092BB8">
        <w:rPr>
          <w:szCs w:val="18"/>
        </w:rPr>
        <w:t xml:space="preserve"> </w:t>
      </w:r>
      <w:r>
        <w:rPr>
          <w:szCs w:val="18"/>
        </w:rPr>
        <w:t>о</w:t>
      </w:r>
      <w:r w:rsidRPr="00092BB8">
        <w:rPr>
          <w:szCs w:val="18"/>
        </w:rPr>
        <w:t xml:space="preserve"> </w:t>
      </w:r>
      <w:r>
        <w:rPr>
          <w:szCs w:val="18"/>
        </w:rPr>
        <w:t>частных</w:t>
      </w:r>
      <w:r w:rsidRPr="00092BB8">
        <w:rPr>
          <w:szCs w:val="18"/>
        </w:rPr>
        <w:t xml:space="preserve"> </w:t>
      </w:r>
      <w:r>
        <w:rPr>
          <w:szCs w:val="18"/>
        </w:rPr>
        <w:t>расследованиях</w:t>
      </w:r>
      <w:r w:rsidRPr="00270907">
        <w:rPr>
          <w:szCs w:val="18"/>
        </w:rPr>
        <w:t xml:space="preserve"> (</w:t>
      </w:r>
      <w:r>
        <w:rPr>
          <w:szCs w:val="18"/>
        </w:rPr>
        <w:t>Закон</w:t>
      </w:r>
      <w:r w:rsidRPr="00270907">
        <w:rPr>
          <w:szCs w:val="18"/>
        </w:rPr>
        <w:t xml:space="preserve"> №. </w:t>
      </w:r>
      <w:r w:rsidRPr="002F442B">
        <w:rPr>
          <w:szCs w:val="18"/>
        </w:rPr>
        <w:t xml:space="preserve">1181/2008, </w:t>
      </w:r>
      <w:r>
        <w:rPr>
          <w:szCs w:val="18"/>
        </w:rPr>
        <w:t>статья</w:t>
      </w:r>
      <w:r w:rsidRPr="002F442B">
        <w:rPr>
          <w:szCs w:val="18"/>
        </w:rPr>
        <w:t xml:space="preserve"> 7).</w:t>
      </w:r>
    </w:p>
  </w:footnote>
  <w:footnote w:id="58">
    <w:p w:rsidR="004408E3" w:rsidRPr="002F442B" w:rsidRDefault="004408E3" w:rsidP="004408E3">
      <w:pPr>
        <w:pStyle w:val="FootnoteText"/>
        <w:tabs>
          <w:tab w:val="right" w:pos="1195"/>
          <w:tab w:val="left" w:pos="1267"/>
          <w:tab w:val="left" w:pos="1742"/>
          <w:tab w:val="left" w:pos="2218"/>
          <w:tab w:val="left" w:pos="2693"/>
        </w:tabs>
        <w:ind w:left="1267" w:right="1260" w:hanging="432"/>
      </w:pPr>
      <w:r w:rsidRPr="002F442B">
        <w:rPr>
          <w:szCs w:val="18"/>
        </w:rPr>
        <w:tab/>
      </w:r>
      <w:r w:rsidRPr="00735EDC">
        <w:rPr>
          <w:rStyle w:val="FootnoteReference"/>
          <w:szCs w:val="18"/>
        </w:rPr>
        <w:footnoteRef/>
      </w:r>
      <w:r w:rsidRPr="002F442B">
        <w:rPr>
          <w:rStyle w:val="FootnoteReference"/>
          <w:szCs w:val="18"/>
        </w:rPr>
        <w:tab/>
      </w:r>
      <w:r>
        <w:rPr>
          <w:szCs w:val="18"/>
        </w:rPr>
        <w:t>Закон</w:t>
      </w:r>
      <w:r w:rsidRPr="002F442B">
        <w:rPr>
          <w:szCs w:val="18"/>
        </w:rPr>
        <w:t xml:space="preserve"> № 2974/1997.</w:t>
      </w:r>
    </w:p>
  </w:footnote>
  <w:footnote w:id="59">
    <w:p w:rsidR="004408E3" w:rsidRPr="002F442B" w:rsidRDefault="004408E3" w:rsidP="004408E3">
      <w:pPr>
        <w:pStyle w:val="FootnoteText"/>
        <w:tabs>
          <w:tab w:val="right" w:pos="1195"/>
          <w:tab w:val="left" w:pos="1267"/>
          <w:tab w:val="left" w:pos="1742"/>
          <w:tab w:val="left" w:pos="2218"/>
          <w:tab w:val="left" w:pos="2693"/>
        </w:tabs>
        <w:ind w:left="1267" w:right="1260" w:hanging="432"/>
      </w:pPr>
      <w:r w:rsidRPr="002F442B">
        <w:rPr>
          <w:szCs w:val="18"/>
        </w:rPr>
        <w:tab/>
      </w:r>
      <w:r w:rsidRPr="00735EDC">
        <w:rPr>
          <w:rStyle w:val="FootnoteReference"/>
          <w:szCs w:val="18"/>
        </w:rPr>
        <w:footnoteRef/>
      </w:r>
      <w:r w:rsidRPr="002F442B">
        <w:rPr>
          <w:rStyle w:val="FootnoteReference"/>
          <w:szCs w:val="18"/>
        </w:rPr>
        <w:tab/>
      </w:r>
      <w:r w:rsidRPr="002F442B">
        <w:rPr>
          <w:szCs w:val="18"/>
        </w:rPr>
        <w:t>Закон №</w:t>
      </w:r>
      <w:r w:rsidRPr="00735EDC">
        <w:rPr>
          <w:szCs w:val="18"/>
        </w:rPr>
        <w:t> </w:t>
      </w:r>
      <w:r w:rsidRPr="002F442B">
        <w:rPr>
          <w:szCs w:val="18"/>
        </w:rPr>
        <w:t>356/1994, статья 78.</w:t>
      </w:r>
    </w:p>
  </w:footnote>
  <w:footnote w:id="60">
    <w:p w:rsidR="004408E3" w:rsidRPr="002F442B" w:rsidRDefault="004408E3" w:rsidP="004408E3">
      <w:pPr>
        <w:pStyle w:val="FootnoteText"/>
        <w:tabs>
          <w:tab w:val="right" w:pos="1195"/>
          <w:tab w:val="left" w:pos="1267"/>
          <w:tab w:val="left" w:pos="1742"/>
          <w:tab w:val="left" w:pos="2218"/>
          <w:tab w:val="left" w:pos="2693"/>
        </w:tabs>
        <w:ind w:left="1267" w:right="1260" w:hanging="432"/>
      </w:pPr>
      <w:r w:rsidRPr="002F442B">
        <w:rPr>
          <w:szCs w:val="18"/>
        </w:rPr>
        <w:tab/>
      </w:r>
      <w:r w:rsidRPr="00735EDC">
        <w:rPr>
          <w:rStyle w:val="FootnoteReference"/>
          <w:szCs w:val="18"/>
        </w:rPr>
        <w:footnoteRef/>
      </w:r>
      <w:r w:rsidRPr="002F442B">
        <w:rPr>
          <w:rStyle w:val="FootnoteReference"/>
          <w:szCs w:val="18"/>
        </w:rPr>
        <w:tab/>
      </w:r>
      <w:r>
        <w:rPr>
          <w:szCs w:val="18"/>
        </w:rPr>
        <w:t>Закон №</w:t>
      </w:r>
      <w:r w:rsidRPr="00735EDC">
        <w:rPr>
          <w:szCs w:val="18"/>
        </w:rPr>
        <w:t> </w:t>
      </w:r>
      <w:r w:rsidRPr="002F442B">
        <w:rPr>
          <w:szCs w:val="18"/>
        </w:rPr>
        <w:t>12.297/1999, статья 8.</w:t>
      </w:r>
    </w:p>
  </w:footnote>
  <w:footnote w:id="61">
    <w:p w:rsidR="004408E3" w:rsidRPr="00D72844" w:rsidRDefault="004408E3" w:rsidP="004408E3">
      <w:pPr>
        <w:pStyle w:val="FootnoteText"/>
        <w:tabs>
          <w:tab w:val="right" w:pos="1195"/>
          <w:tab w:val="left" w:pos="1267"/>
          <w:tab w:val="left" w:pos="1742"/>
          <w:tab w:val="left" w:pos="2218"/>
          <w:tab w:val="left" w:pos="2693"/>
        </w:tabs>
        <w:ind w:left="1267" w:right="1260" w:hanging="432"/>
        <w:rPr>
          <w:rFonts w:eastAsia="SimSun"/>
          <w:lang w:val="es-ES"/>
        </w:rPr>
      </w:pPr>
      <w:r w:rsidRPr="002F442B">
        <w:rPr>
          <w:szCs w:val="18"/>
        </w:rPr>
        <w:tab/>
      </w:r>
      <w:r>
        <w:rPr>
          <w:rStyle w:val="FootnoteReference"/>
          <w:szCs w:val="18"/>
        </w:rPr>
        <w:footnoteRef/>
      </w:r>
      <w:r w:rsidRPr="00D72844">
        <w:rPr>
          <w:rStyle w:val="FootnoteReference"/>
          <w:szCs w:val="18"/>
          <w:lang w:val="es-ES"/>
        </w:rPr>
        <w:tab/>
      </w:r>
      <w:r>
        <w:rPr>
          <w:szCs w:val="18"/>
        </w:rPr>
        <w:t>Закон</w:t>
      </w:r>
      <w:r w:rsidRPr="00D72844">
        <w:rPr>
          <w:szCs w:val="18"/>
          <w:lang w:val="es-ES"/>
        </w:rPr>
        <w:t xml:space="preserve"> № 222544/2004, </w:t>
      </w:r>
      <w:r>
        <w:rPr>
          <w:szCs w:val="18"/>
        </w:rPr>
        <w:t>статья</w:t>
      </w:r>
      <w:r w:rsidRPr="00D72844">
        <w:rPr>
          <w:szCs w:val="18"/>
          <w:lang w:val="es-ES"/>
        </w:rPr>
        <w:t xml:space="preserve"> 38.</w:t>
      </w:r>
    </w:p>
  </w:footnote>
  <w:footnote w:id="62">
    <w:p w:rsidR="004408E3" w:rsidRPr="00D72844" w:rsidRDefault="004408E3" w:rsidP="004408E3">
      <w:pPr>
        <w:pStyle w:val="FootnoteText"/>
        <w:tabs>
          <w:tab w:val="right" w:pos="1195"/>
          <w:tab w:val="left" w:pos="1267"/>
          <w:tab w:val="left" w:pos="1742"/>
          <w:tab w:val="left" w:pos="2218"/>
          <w:tab w:val="left" w:pos="2693"/>
        </w:tabs>
        <w:ind w:left="1267" w:right="1260" w:hanging="432"/>
        <w:rPr>
          <w:rFonts w:eastAsia="SimSun"/>
          <w:lang w:val="es-ES"/>
        </w:rPr>
      </w:pPr>
      <w:r w:rsidRPr="00D72844">
        <w:rPr>
          <w:szCs w:val="18"/>
          <w:lang w:val="es-ES"/>
        </w:rPr>
        <w:tab/>
      </w:r>
      <w:r>
        <w:rPr>
          <w:rStyle w:val="FootnoteReference"/>
          <w:szCs w:val="18"/>
        </w:rPr>
        <w:footnoteRef/>
      </w:r>
      <w:r>
        <w:rPr>
          <w:rStyle w:val="FootnoteReference"/>
          <w:szCs w:val="18"/>
          <w:lang w:val="es-ES"/>
        </w:rPr>
        <w:tab/>
      </w:r>
      <w:r>
        <w:rPr>
          <w:szCs w:val="18"/>
        </w:rPr>
        <w:t>См</w:t>
      </w:r>
      <w:r w:rsidRPr="00D72844">
        <w:rPr>
          <w:szCs w:val="18"/>
          <w:lang w:val="es-ES"/>
        </w:rPr>
        <w:t xml:space="preserve">. </w:t>
      </w:r>
      <w:r>
        <w:rPr>
          <w:szCs w:val="18"/>
          <w:lang w:val="es-ES"/>
        </w:rPr>
        <w:t>Patricia Arias, “Seguridad privada en Am</w:t>
      </w:r>
      <w:r w:rsidRPr="00D72844">
        <w:rPr>
          <w:szCs w:val="18"/>
          <w:lang w:val="es-ES"/>
        </w:rPr>
        <w:t>é</w:t>
      </w:r>
      <w:r>
        <w:rPr>
          <w:szCs w:val="18"/>
          <w:lang w:val="es-ES"/>
        </w:rPr>
        <w:t>rica Latina: el lucro and los dilemas de una regulation deficitaria”, FLACSO-Chile (2008), p. 34</w:t>
      </w:r>
      <w:r w:rsidRPr="00D72844">
        <w:rPr>
          <w:szCs w:val="18"/>
          <w:lang w:val="es-ES"/>
        </w:rPr>
        <w:t>.</w:t>
      </w:r>
    </w:p>
  </w:footnote>
  <w:footnote w:id="63">
    <w:p w:rsidR="004408E3" w:rsidRPr="002F442B" w:rsidRDefault="004408E3" w:rsidP="004408E3">
      <w:pPr>
        <w:pStyle w:val="FootnoteText"/>
        <w:tabs>
          <w:tab w:val="right" w:pos="1195"/>
          <w:tab w:val="left" w:pos="1267"/>
          <w:tab w:val="left" w:pos="1742"/>
          <w:tab w:val="left" w:pos="2218"/>
          <w:tab w:val="left" w:pos="2693"/>
        </w:tabs>
        <w:ind w:left="1267" w:right="1260" w:hanging="432"/>
        <w:rPr>
          <w:rFonts w:eastAsia="SimSun"/>
        </w:rPr>
      </w:pPr>
      <w:r>
        <w:rPr>
          <w:szCs w:val="18"/>
          <w:lang w:val="es-ES"/>
        </w:rPr>
        <w:tab/>
      </w:r>
      <w:r>
        <w:rPr>
          <w:rStyle w:val="FootnoteReference"/>
          <w:szCs w:val="18"/>
        </w:rPr>
        <w:footnoteRef/>
      </w:r>
      <w:r w:rsidRPr="002F442B">
        <w:rPr>
          <w:rStyle w:val="FootnoteReference"/>
          <w:szCs w:val="18"/>
        </w:rPr>
        <w:tab/>
      </w:r>
      <w:r>
        <w:rPr>
          <w:szCs w:val="18"/>
        </w:rPr>
        <w:t>Чили</w:t>
      </w:r>
      <w:r w:rsidRPr="002F442B">
        <w:rPr>
          <w:szCs w:val="18"/>
        </w:rPr>
        <w:t xml:space="preserve">, </w:t>
      </w:r>
      <w:r>
        <w:rPr>
          <w:szCs w:val="18"/>
        </w:rPr>
        <w:t>закон</w:t>
      </w:r>
      <w:r w:rsidRPr="002F442B">
        <w:rPr>
          <w:szCs w:val="18"/>
        </w:rPr>
        <w:t xml:space="preserve"> № 3.607, </w:t>
      </w:r>
      <w:r>
        <w:rPr>
          <w:szCs w:val="18"/>
        </w:rPr>
        <w:t>статья</w:t>
      </w:r>
      <w:r w:rsidRPr="002F442B">
        <w:rPr>
          <w:szCs w:val="18"/>
        </w:rPr>
        <w:t xml:space="preserve"> 1.</w:t>
      </w:r>
    </w:p>
  </w:footnote>
  <w:footnote w:id="64">
    <w:p w:rsidR="004408E3" w:rsidRPr="002F442B" w:rsidRDefault="004408E3" w:rsidP="004408E3">
      <w:pPr>
        <w:pStyle w:val="FootnoteText"/>
        <w:tabs>
          <w:tab w:val="right" w:pos="1195"/>
          <w:tab w:val="left" w:pos="1267"/>
          <w:tab w:val="left" w:pos="1742"/>
          <w:tab w:val="left" w:pos="2218"/>
          <w:tab w:val="left" w:pos="2693"/>
        </w:tabs>
        <w:ind w:left="1267" w:right="1260" w:hanging="432"/>
        <w:rPr>
          <w:rFonts w:eastAsia="SimSun"/>
        </w:rPr>
      </w:pPr>
      <w:r w:rsidRPr="002F442B">
        <w:rPr>
          <w:szCs w:val="18"/>
        </w:rPr>
        <w:tab/>
      </w:r>
      <w:r>
        <w:rPr>
          <w:rStyle w:val="FootnoteReference"/>
          <w:szCs w:val="18"/>
        </w:rPr>
        <w:footnoteRef/>
      </w:r>
      <w:r w:rsidRPr="002F442B">
        <w:rPr>
          <w:rStyle w:val="FootnoteReference"/>
          <w:szCs w:val="18"/>
        </w:rPr>
        <w:tab/>
      </w:r>
      <w:r>
        <w:rPr>
          <w:szCs w:val="18"/>
        </w:rPr>
        <w:t>Закон</w:t>
      </w:r>
      <w:r w:rsidRPr="002F442B">
        <w:rPr>
          <w:szCs w:val="18"/>
        </w:rPr>
        <w:t xml:space="preserve"> № 356/1994, </w:t>
      </w:r>
      <w:r>
        <w:rPr>
          <w:szCs w:val="18"/>
        </w:rPr>
        <w:t>статья</w:t>
      </w:r>
      <w:r w:rsidRPr="002F442B">
        <w:rPr>
          <w:szCs w:val="18"/>
        </w:rPr>
        <w:t xml:space="preserve"> 74 (6) </w:t>
      </w:r>
      <w:r>
        <w:rPr>
          <w:szCs w:val="18"/>
        </w:rPr>
        <w:t>и</w:t>
      </w:r>
      <w:r w:rsidRPr="002F442B">
        <w:rPr>
          <w:szCs w:val="18"/>
        </w:rPr>
        <w:t xml:space="preserve"> (12).</w:t>
      </w:r>
    </w:p>
  </w:footnote>
  <w:footnote w:id="65">
    <w:p w:rsidR="004408E3" w:rsidRPr="002F442B" w:rsidRDefault="004408E3" w:rsidP="004408E3">
      <w:pPr>
        <w:pStyle w:val="FootnoteText"/>
        <w:tabs>
          <w:tab w:val="right" w:pos="1195"/>
          <w:tab w:val="left" w:pos="1267"/>
          <w:tab w:val="left" w:pos="1742"/>
          <w:tab w:val="left" w:pos="2218"/>
          <w:tab w:val="left" w:pos="2693"/>
        </w:tabs>
        <w:ind w:left="1267" w:right="1260" w:hanging="432"/>
        <w:rPr>
          <w:rFonts w:eastAsia="SimSun"/>
        </w:rPr>
      </w:pPr>
      <w:r w:rsidRPr="002F442B">
        <w:rPr>
          <w:szCs w:val="18"/>
        </w:rPr>
        <w:tab/>
      </w:r>
      <w:r>
        <w:rPr>
          <w:rStyle w:val="FootnoteReference"/>
          <w:szCs w:val="18"/>
        </w:rPr>
        <w:footnoteRef/>
      </w:r>
      <w:r w:rsidRPr="002F442B">
        <w:rPr>
          <w:rStyle w:val="FootnoteReference"/>
          <w:szCs w:val="18"/>
        </w:rPr>
        <w:tab/>
      </w:r>
      <w:r>
        <w:rPr>
          <w:szCs w:val="18"/>
        </w:rPr>
        <w:t>Закон</w:t>
      </w:r>
      <w:r w:rsidRPr="002F442B">
        <w:rPr>
          <w:szCs w:val="18"/>
        </w:rPr>
        <w:t xml:space="preserve"> № 275/1999, </w:t>
      </w:r>
      <w:r>
        <w:rPr>
          <w:szCs w:val="18"/>
        </w:rPr>
        <w:t>статья</w:t>
      </w:r>
      <w:r w:rsidRPr="002F442B">
        <w:rPr>
          <w:szCs w:val="18"/>
        </w:rPr>
        <w:t xml:space="preserve"> 2 (2.3).</w:t>
      </w:r>
    </w:p>
  </w:footnote>
  <w:footnote w:id="66">
    <w:p w:rsidR="004408E3" w:rsidRPr="002F442B" w:rsidRDefault="004408E3" w:rsidP="004408E3">
      <w:pPr>
        <w:pStyle w:val="FootnoteText"/>
        <w:tabs>
          <w:tab w:val="right" w:pos="1195"/>
          <w:tab w:val="left" w:pos="1267"/>
          <w:tab w:val="left" w:pos="1742"/>
          <w:tab w:val="left" w:pos="2218"/>
          <w:tab w:val="left" w:pos="2693"/>
        </w:tabs>
        <w:ind w:left="1267" w:right="1260" w:hanging="432"/>
        <w:rPr>
          <w:rFonts w:eastAsia="SimSun"/>
        </w:rPr>
      </w:pPr>
      <w:r w:rsidRPr="002F442B">
        <w:rPr>
          <w:szCs w:val="18"/>
        </w:rPr>
        <w:tab/>
      </w:r>
      <w:r>
        <w:rPr>
          <w:rStyle w:val="FootnoteReference"/>
          <w:szCs w:val="18"/>
        </w:rPr>
        <w:footnoteRef/>
      </w:r>
      <w:r w:rsidRPr="002F442B">
        <w:rPr>
          <w:rStyle w:val="FootnoteReference"/>
          <w:szCs w:val="18"/>
        </w:rPr>
        <w:tab/>
      </w:r>
      <w:r>
        <w:rPr>
          <w:szCs w:val="18"/>
        </w:rPr>
        <w:t>Закон</w:t>
      </w:r>
      <w:r w:rsidRPr="002F442B">
        <w:rPr>
          <w:szCs w:val="18"/>
        </w:rPr>
        <w:t xml:space="preserve"> № 28.879/2006, </w:t>
      </w:r>
      <w:r>
        <w:rPr>
          <w:szCs w:val="18"/>
        </w:rPr>
        <w:t>статья 23 j</w:t>
      </w:r>
      <w:r w:rsidRPr="002F442B">
        <w:rPr>
          <w:szCs w:val="18"/>
        </w:rPr>
        <w:t>).</w:t>
      </w:r>
    </w:p>
  </w:footnote>
  <w:footnote w:id="67">
    <w:p w:rsidR="004408E3" w:rsidRPr="00D72844" w:rsidRDefault="004408E3" w:rsidP="004408E3">
      <w:pPr>
        <w:pStyle w:val="FootnoteText"/>
        <w:tabs>
          <w:tab w:val="right" w:pos="1195"/>
          <w:tab w:val="left" w:pos="1267"/>
          <w:tab w:val="left" w:pos="1742"/>
          <w:tab w:val="left" w:pos="2218"/>
          <w:tab w:val="left" w:pos="2693"/>
        </w:tabs>
        <w:ind w:left="1267" w:right="1260" w:hanging="432"/>
        <w:rPr>
          <w:rFonts w:eastAsia="SimSun"/>
        </w:rPr>
      </w:pPr>
      <w:r w:rsidRPr="002F442B">
        <w:rPr>
          <w:szCs w:val="18"/>
        </w:rPr>
        <w:tab/>
      </w:r>
      <w:r>
        <w:rPr>
          <w:rStyle w:val="FootnoteReference"/>
          <w:szCs w:val="18"/>
        </w:rPr>
        <w:footnoteRef/>
      </w:r>
      <w:r w:rsidRPr="00D72844">
        <w:rPr>
          <w:rStyle w:val="FootnoteReference"/>
          <w:szCs w:val="18"/>
        </w:rPr>
        <w:tab/>
      </w:r>
      <w:r>
        <w:rPr>
          <w:szCs w:val="18"/>
        </w:rPr>
        <w:t>Закон</w:t>
      </w:r>
      <w:r w:rsidRPr="00D72844">
        <w:rPr>
          <w:szCs w:val="18"/>
        </w:rPr>
        <w:t xml:space="preserve"> № 12.297/1999, </w:t>
      </w:r>
      <w:r>
        <w:rPr>
          <w:szCs w:val="18"/>
        </w:rPr>
        <w:t>статья</w:t>
      </w:r>
      <w:r w:rsidRPr="00D72844">
        <w:rPr>
          <w:szCs w:val="18"/>
        </w:rPr>
        <w:t xml:space="preserve"> 1.</w:t>
      </w:r>
    </w:p>
  </w:footnote>
  <w:footnote w:id="68">
    <w:p w:rsidR="004408E3" w:rsidRPr="00D72844" w:rsidRDefault="004408E3" w:rsidP="004408E3">
      <w:pPr>
        <w:pStyle w:val="FootnoteText"/>
        <w:tabs>
          <w:tab w:val="right" w:pos="1195"/>
          <w:tab w:val="left" w:pos="1267"/>
          <w:tab w:val="left" w:pos="1742"/>
          <w:tab w:val="left" w:pos="2218"/>
          <w:tab w:val="left" w:pos="2693"/>
        </w:tabs>
        <w:ind w:left="1267" w:right="1260" w:hanging="432"/>
        <w:rPr>
          <w:rFonts w:eastAsia="SimSun"/>
        </w:rPr>
      </w:pPr>
      <w:r w:rsidRPr="00D72844">
        <w:rPr>
          <w:szCs w:val="18"/>
        </w:rPr>
        <w:tab/>
      </w:r>
      <w:r>
        <w:rPr>
          <w:rStyle w:val="FootnoteReference"/>
          <w:szCs w:val="18"/>
        </w:rPr>
        <w:footnoteRef/>
      </w:r>
      <w:r w:rsidRPr="00D72844">
        <w:rPr>
          <w:rStyle w:val="FootnoteReference"/>
          <w:szCs w:val="18"/>
        </w:rPr>
        <w:tab/>
      </w:r>
      <w:r>
        <w:rPr>
          <w:szCs w:val="18"/>
        </w:rPr>
        <w:t>Закон</w:t>
      </w:r>
      <w:r w:rsidRPr="00D72844">
        <w:rPr>
          <w:szCs w:val="18"/>
        </w:rPr>
        <w:t xml:space="preserve"> № 12.297/1999, </w:t>
      </w:r>
      <w:r>
        <w:rPr>
          <w:szCs w:val="18"/>
        </w:rPr>
        <w:t>статьи</w:t>
      </w:r>
      <w:r w:rsidRPr="00D72844">
        <w:rPr>
          <w:szCs w:val="18"/>
        </w:rPr>
        <w:t xml:space="preserve"> 9–11.</w:t>
      </w:r>
    </w:p>
  </w:footnote>
  <w:footnote w:id="69">
    <w:p w:rsidR="004408E3" w:rsidRPr="00D72844" w:rsidRDefault="004408E3" w:rsidP="004408E3">
      <w:pPr>
        <w:pStyle w:val="FootnoteText"/>
        <w:tabs>
          <w:tab w:val="right" w:pos="1195"/>
          <w:tab w:val="left" w:pos="1267"/>
          <w:tab w:val="left" w:pos="1742"/>
          <w:tab w:val="left" w:pos="2218"/>
          <w:tab w:val="left" w:pos="2693"/>
        </w:tabs>
        <w:ind w:left="1267" w:right="1260" w:hanging="432"/>
        <w:rPr>
          <w:rFonts w:eastAsia="SimSun"/>
        </w:rPr>
      </w:pPr>
      <w:r w:rsidRPr="00D72844">
        <w:rPr>
          <w:szCs w:val="18"/>
        </w:rPr>
        <w:tab/>
      </w:r>
      <w:r>
        <w:rPr>
          <w:rStyle w:val="FootnoteReference"/>
          <w:szCs w:val="18"/>
        </w:rPr>
        <w:footnoteRef/>
      </w:r>
      <w:r w:rsidRPr="00D72844">
        <w:rPr>
          <w:rStyle w:val="FootnoteReference"/>
          <w:szCs w:val="18"/>
        </w:rPr>
        <w:tab/>
      </w:r>
      <w:r>
        <w:rPr>
          <w:szCs w:val="18"/>
        </w:rPr>
        <w:t>Закон</w:t>
      </w:r>
      <w:r w:rsidRPr="00D72844">
        <w:rPr>
          <w:szCs w:val="18"/>
        </w:rPr>
        <w:t xml:space="preserve"> № 222.544/2004, </w:t>
      </w:r>
      <w:r>
        <w:rPr>
          <w:szCs w:val="18"/>
        </w:rPr>
        <w:t>статья</w:t>
      </w:r>
      <w:r w:rsidRPr="00D72844">
        <w:rPr>
          <w:szCs w:val="18"/>
        </w:rPr>
        <w:t xml:space="preserve"> 34.</w:t>
      </w:r>
    </w:p>
  </w:footnote>
  <w:footnote w:id="70">
    <w:p w:rsidR="004408E3" w:rsidRPr="002F442B" w:rsidRDefault="004408E3" w:rsidP="004408E3">
      <w:pPr>
        <w:pStyle w:val="FootnoteText"/>
        <w:tabs>
          <w:tab w:val="right" w:pos="1195"/>
          <w:tab w:val="left" w:pos="1267"/>
          <w:tab w:val="left" w:pos="1742"/>
          <w:tab w:val="left" w:pos="2218"/>
          <w:tab w:val="left" w:pos="2693"/>
        </w:tabs>
        <w:ind w:left="1267" w:right="1260" w:hanging="432"/>
        <w:rPr>
          <w:rFonts w:eastAsia="SimSun"/>
        </w:rPr>
      </w:pPr>
      <w:r w:rsidRPr="00D72844">
        <w:rPr>
          <w:szCs w:val="18"/>
        </w:rPr>
        <w:tab/>
      </w:r>
      <w:r>
        <w:rPr>
          <w:rStyle w:val="FootnoteReference"/>
          <w:szCs w:val="18"/>
        </w:rPr>
        <w:footnoteRef/>
      </w:r>
      <w:r w:rsidRPr="002F442B">
        <w:rPr>
          <w:rStyle w:val="FootnoteReference"/>
          <w:szCs w:val="18"/>
        </w:rPr>
        <w:tab/>
      </w:r>
      <w:r>
        <w:rPr>
          <w:szCs w:val="18"/>
        </w:rPr>
        <w:t>Закон</w:t>
      </w:r>
      <w:r w:rsidRPr="002F442B">
        <w:rPr>
          <w:szCs w:val="18"/>
        </w:rPr>
        <w:t xml:space="preserve"> № 12.297, </w:t>
      </w:r>
      <w:r>
        <w:rPr>
          <w:szCs w:val="18"/>
        </w:rPr>
        <w:t>статья</w:t>
      </w:r>
      <w:r w:rsidRPr="002F442B">
        <w:rPr>
          <w:szCs w:val="18"/>
        </w:rPr>
        <w:t xml:space="preserve"> 8 (2); </w:t>
      </w:r>
      <w:r>
        <w:rPr>
          <w:szCs w:val="18"/>
        </w:rPr>
        <w:t>законы</w:t>
      </w:r>
      <w:r w:rsidRPr="002F442B">
        <w:rPr>
          <w:szCs w:val="18"/>
        </w:rPr>
        <w:t xml:space="preserve"> № 23.492 </w:t>
      </w:r>
      <w:r>
        <w:rPr>
          <w:szCs w:val="18"/>
        </w:rPr>
        <w:t>и</w:t>
      </w:r>
      <w:r w:rsidRPr="002F442B">
        <w:rPr>
          <w:szCs w:val="18"/>
        </w:rPr>
        <w:t xml:space="preserve"> 23.521.</w:t>
      </w:r>
    </w:p>
  </w:footnote>
  <w:footnote w:id="71">
    <w:p w:rsidR="004408E3" w:rsidRPr="002F442B" w:rsidRDefault="004408E3" w:rsidP="004408E3">
      <w:pPr>
        <w:pStyle w:val="FootnoteText"/>
        <w:tabs>
          <w:tab w:val="right" w:pos="1195"/>
          <w:tab w:val="left" w:pos="1267"/>
          <w:tab w:val="left" w:pos="1742"/>
          <w:tab w:val="left" w:pos="2218"/>
          <w:tab w:val="left" w:pos="2693"/>
        </w:tabs>
        <w:ind w:left="1267" w:right="1260" w:hanging="432"/>
        <w:rPr>
          <w:rFonts w:eastAsia="SimSun"/>
        </w:rPr>
      </w:pPr>
      <w:r w:rsidRPr="002F442B">
        <w:rPr>
          <w:szCs w:val="18"/>
        </w:rPr>
        <w:tab/>
      </w:r>
      <w:r>
        <w:rPr>
          <w:rStyle w:val="FootnoteReference"/>
          <w:szCs w:val="18"/>
        </w:rPr>
        <w:footnoteRef/>
      </w:r>
      <w:r w:rsidRPr="002F442B">
        <w:rPr>
          <w:rStyle w:val="FootnoteReference"/>
          <w:szCs w:val="18"/>
        </w:rPr>
        <w:tab/>
      </w:r>
      <w:r>
        <w:rPr>
          <w:szCs w:val="18"/>
        </w:rPr>
        <w:t>Закон</w:t>
      </w:r>
      <w:r w:rsidRPr="002F442B">
        <w:rPr>
          <w:szCs w:val="18"/>
        </w:rPr>
        <w:t xml:space="preserve"> № 222544/2004, </w:t>
      </w:r>
      <w:r>
        <w:rPr>
          <w:szCs w:val="18"/>
        </w:rPr>
        <w:t>статья</w:t>
      </w:r>
      <w:r w:rsidRPr="002F442B">
        <w:rPr>
          <w:szCs w:val="18"/>
          <w:shd w:val="clear" w:color="auto" w:fill="FFFFFF"/>
        </w:rPr>
        <w:t xml:space="preserve"> 26</w:t>
      </w:r>
      <w:r w:rsidRPr="002F442B">
        <w:rPr>
          <w:szCs w:val="18"/>
        </w:rPr>
        <w:t>.</w:t>
      </w:r>
    </w:p>
  </w:footnote>
  <w:footnote w:id="72">
    <w:p w:rsidR="004408E3" w:rsidRPr="002F442B" w:rsidRDefault="004408E3" w:rsidP="004408E3">
      <w:pPr>
        <w:pStyle w:val="FootnoteText"/>
        <w:tabs>
          <w:tab w:val="right" w:pos="1195"/>
          <w:tab w:val="left" w:pos="1267"/>
          <w:tab w:val="left" w:pos="1742"/>
          <w:tab w:val="left" w:pos="2218"/>
          <w:tab w:val="left" w:pos="2693"/>
        </w:tabs>
        <w:ind w:left="1267" w:right="1260" w:hanging="432"/>
        <w:rPr>
          <w:rFonts w:eastAsia="SimSun"/>
        </w:rPr>
      </w:pPr>
      <w:r w:rsidRPr="002F442B">
        <w:rPr>
          <w:szCs w:val="18"/>
        </w:rPr>
        <w:tab/>
      </w:r>
      <w:r>
        <w:rPr>
          <w:rStyle w:val="FootnoteReference"/>
          <w:szCs w:val="18"/>
        </w:rPr>
        <w:footnoteRef/>
      </w:r>
      <w:r w:rsidRPr="002F442B">
        <w:rPr>
          <w:rStyle w:val="FootnoteReference"/>
          <w:szCs w:val="18"/>
        </w:rPr>
        <w:tab/>
      </w:r>
      <w:r>
        <w:rPr>
          <w:szCs w:val="18"/>
        </w:rPr>
        <w:t>Закон</w:t>
      </w:r>
      <w:r w:rsidRPr="002F442B">
        <w:rPr>
          <w:szCs w:val="18"/>
        </w:rPr>
        <w:t xml:space="preserve"> № 7.102/1983, </w:t>
      </w:r>
      <w:r>
        <w:rPr>
          <w:szCs w:val="18"/>
        </w:rPr>
        <w:t>статьи</w:t>
      </w:r>
      <w:r w:rsidRPr="002F442B">
        <w:rPr>
          <w:szCs w:val="18"/>
        </w:rPr>
        <w:t xml:space="preserve"> 17 </w:t>
      </w:r>
      <w:r>
        <w:rPr>
          <w:szCs w:val="18"/>
        </w:rPr>
        <w:t>и</w:t>
      </w:r>
      <w:r w:rsidRPr="002F442B">
        <w:rPr>
          <w:szCs w:val="18"/>
        </w:rPr>
        <w:t xml:space="preserve"> 31.</w:t>
      </w:r>
    </w:p>
  </w:footnote>
  <w:footnote w:id="73">
    <w:p w:rsidR="004408E3" w:rsidRDefault="004408E3" w:rsidP="004408E3">
      <w:pPr>
        <w:pStyle w:val="FootnoteText"/>
        <w:tabs>
          <w:tab w:val="right" w:pos="1195"/>
          <w:tab w:val="left" w:pos="1267"/>
          <w:tab w:val="left" w:pos="1742"/>
          <w:tab w:val="left" w:pos="2218"/>
          <w:tab w:val="left" w:pos="2693"/>
        </w:tabs>
        <w:ind w:left="1267" w:right="1260" w:hanging="432"/>
        <w:rPr>
          <w:rFonts w:eastAsia="SimSun"/>
        </w:rPr>
      </w:pPr>
      <w:r w:rsidRPr="002F442B">
        <w:rPr>
          <w:szCs w:val="18"/>
        </w:rPr>
        <w:tab/>
      </w:r>
      <w:r>
        <w:rPr>
          <w:rStyle w:val="FootnoteReference"/>
          <w:szCs w:val="18"/>
        </w:rPr>
        <w:footnoteRef/>
      </w:r>
      <w:r w:rsidRPr="002F442B">
        <w:rPr>
          <w:rStyle w:val="FootnoteReference"/>
          <w:szCs w:val="18"/>
        </w:rPr>
        <w:tab/>
      </w:r>
      <w:r>
        <w:rPr>
          <w:szCs w:val="18"/>
        </w:rPr>
        <w:t>Закон № 2003/12, статьи 10 и 11, и закон № 1181/2008, статья 12.</w:t>
      </w:r>
    </w:p>
  </w:footnote>
  <w:footnote w:id="74">
    <w:p w:rsidR="004408E3" w:rsidRPr="002F442B" w:rsidRDefault="004408E3" w:rsidP="004408E3">
      <w:pPr>
        <w:pStyle w:val="FootnoteText"/>
        <w:tabs>
          <w:tab w:val="right" w:pos="1195"/>
          <w:tab w:val="left" w:pos="1267"/>
          <w:tab w:val="left" w:pos="1742"/>
          <w:tab w:val="left" w:pos="2218"/>
          <w:tab w:val="left" w:pos="2693"/>
        </w:tabs>
        <w:ind w:left="1267" w:right="1260" w:hanging="432"/>
        <w:rPr>
          <w:rFonts w:eastAsia="SimSun"/>
        </w:rPr>
      </w:pPr>
      <w:r>
        <w:rPr>
          <w:szCs w:val="18"/>
        </w:rPr>
        <w:tab/>
      </w:r>
      <w:r>
        <w:rPr>
          <w:rStyle w:val="FootnoteReference"/>
          <w:szCs w:val="18"/>
        </w:rPr>
        <w:footnoteRef/>
      </w:r>
      <w:r w:rsidRPr="002F442B">
        <w:rPr>
          <w:rStyle w:val="FootnoteReference"/>
          <w:szCs w:val="18"/>
        </w:rPr>
        <w:tab/>
      </w:r>
      <w:r>
        <w:rPr>
          <w:szCs w:val="18"/>
        </w:rPr>
        <w:t>Закон</w:t>
      </w:r>
      <w:r w:rsidRPr="002F442B">
        <w:rPr>
          <w:szCs w:val="18"/>
        </w:rPr>
        <w:t xml:space="preserve"> № 1773/1994, </w:t>
      </w:r>
      <w:r>
        <w:rPr>
          <w:szCs w:val="18"/>
        </w:rPr>
        <w:t>статья</w:t>
      </w:r>
      <w:r w:rsidRPr="002F442B">
        <w:rPr>
          <w:szCs w:val="18"/>
        </w:rPr>
        <w:t xml:space="preserve"> 23.</w:t>
      </w:r>
    </w:p>
  </w:footnote>
  <w:footnote w:id="75">
    <w:p w:rsidR="004408E3" w:rsidRPr="00D72844" w:rsidRDefault="004408E3" w:rsidP="004408E3">
      <w:pPr>
        <w:pStyle w:val="FootnoteText"/>
        <w:tabs>
          <w:tab w:val="right" w:pos="1195"/>
          <w:tab w:val="left" w:pos="1267"/>
          <w:tab w:val="left" w:pos="1742"/>
          <w:tab w:val="left" w:pos="2218"/>
          <w:tab w:val="left" w:pos="2693"/>
        </w:tabs>
        <w:ind w:left="1267" w:right="1260" w:hanging="432"/>
        <w:rPr>
          <w:rFonts w:eastAsia="SimSun"/>
        </w:rPr>
      </w:pPr>
      <w:r w:rsidRPr="002F442B">
        <w:rPr>
          <w:szCs w:val="18"/>
        </w:rPr>
        <w:tab/>
      </w:r>
      <w:r>
        <w:rPr>
          <w:rStyle w:val="FootnoteReference"/>
          <w:szCs w:val="18"/>
        </w:rPr>
        <w:footnoteRef/>
      </w:r>
      <w:r w:rsidRPr="00D72844">
        <w:rPr>
          <w:rStyle w:val="FootnoteReference"/>
          <w:szCs w:val="18"/>
        </w:rPr>
        <w:tab/>
      </w:r>
      <w:r>
        <w:rPr>
          <w:szCs w:val="18"/>
        </w:rPr>
        <w:t>Закон</w:t>
      </w:r>
      <w:r w:rsidRPr="00D72844">
        <w:rPr>
          <w:szCs w:val="18"/>
        </w:rPr>
        <w:t xml:space="preserve"> №</w:t>
      </w:r>
      <w:r>
        <w:rPr>
          <w:szCs w:val="18"/>
        </w:rPr>
        <w:t> </w:t>
      </w:r>
      <w:r w:rsidRPr="00D72844">
        <w:rPr>
          <w:szCs w:val="18"/>
        </w:rPr>
        <w:t xml:space="preserve">2355/2006, </w:t>
      </w:r>
      <w:r>
        <w:rPr>
          <w:szCs w:val="18"/>
        </w:rPr>
        <w:t>статья</w:t>
      </w:r>
      <w:r w:rsidRPr="00D72844">
        <w:rPr>
          <w:szCs w:val="18"/>
        </w:rPr>
        <w:t xml:space="preserve"> 4 (4) </w:t>
      </w:r>
      <w:r>
        <w:rPr>
          <w:szCs w:val="18"/>
        </w:rPr>
        <w:t>и</w:t>
      </w:r>
      <w:r w:rsidRPr="00D72844">
        <w:rPr>
          <w:szCs w:val="18"/>
        </w:rPr>
        <w:t xml:space="preserve"> (9).</w:t>
      </w:r>
    </w:p>
  </w:footnote>
  <w:footnote w:id="76">
    <w:p w:rsidR="004408E3" w:rsidRPr="002F442B" w:rsidRDefault="004408E3" w:rsidP="004408E3">
      <w:pPr>
        <w:pStyle w:val="FootnoteText"/>
        <w:tabs>
          <w:tab w:val="right" w:pos="1195"/>
          <w:tab w:val="left" w:pos="1267"/>
          <w:tab w:val="left" w:pos="1742"/>
          <w:tab w:val="left" w:pos="2218"/>
          <w:tab w:val="left" w:pos="2693"/>
        </w:tabs>
        <w:ind w:left="1267" w:right="1260" w:hanging="432"/>
        <w:rPr>
          <w:rFonts w:eastAsia="SimSun"/>
        </w:rPr>
      </w:pPr>
      <w:r w:rsidRPr="00D72844">
        <w:rPr>
          <w:szCs w:val="18"/>
        </w:rPr>
        <w:tab/>
      </w:r>
      <w:r>
        <w:rPr>
          <w:rStyle w:val="FootnoteReference"/>
          <w:szCs w:val="18"/>
        </w:rPr>
        <w:footnoteRef/>
      </w:r>
      <w:r w:rsidRPr="002F442B">
        <w:rPr>
          <w:rStyle w:val="FootnoteReference"/>
          <w:szCs w:val="18"/>
        </w:rPr>
        <w:tab/>
      </w:r>
      <w:r>
        <w:rPr>
          <w:szCs w:val="18"/>
        </w:rPr>
        <w:t>Закон</w:t>
      </w:r>
      <w:r w:rsidRPr="002F442B">
        <w:rPr>
          <w:szCs w:val="18"/>
        </w:rPr>
        <w:t xml:space="preserve"> № 356/199, </w:t>
      </w:r>
      <w:r>
        <w:rPr>
          <w:szCs w:val="18"/>
        </w:rPr>
        <w:t>статья</w:t>
      </w:r>
      <w:r w:rsidRPr="002F442B">
        <w:rPr>
          <w:szCs w:val="18"/>
        </w:rPr>
        <w:t xml:space="preserve"> 12 (4).</w:t>
      </w:r>
    </w:p>
  </w:footnote>
  <w:footnote w:id="77">
    <w:p w:rsidR="004408E3" w:rsidRDefault="004408E3" w:rsidP="004408E3">
      <w:pPr>
        <w:pStyle w:val="FootnoteText"/>
        <w:tabs>
          <w:tab w:val="right" w:pos="1195"/>
          <w:tab w:val="left" w:pos="1267"/>
          <w:tab w:val="left" w:pos="1742"/>
          <w:tab w:val="left" w:pos="2218"/>
          <w:tab w:val="left" w:pos="2693"/>
        </w:tabs>
        <w:ind w:left="1267" w:right="1260" w:hanging="432"/>
        <w:rPr>
          <w:rFonts w:eastAsia="SimSun"/>
        </w:rPr>
      </w:pPr>
      <w:r w:rsidRPr="002F442B">
        <w:rPr>
          <w:szCs w:val="18"/>
        </w:rPr>
        <w:tab/>
      </w:r>
      <w:r>
        <w:rPr>
          <w:rStyle w:val="FootnoteReference"/>
          <w:szCs w:val="18"/>
        </w:rPr>
        <w:footnoteRef/>
      </w:r>
      <w:r w:rsidRPr="002F442B">
        <w:rPr>
          <w:rStyle w:val="FootnoteReference"/>
          <w:szCs w:val="18"/>
        </w:rPr>
        <w:tab/>
      </w:r>
      <w:r>
        <w:rPr>
          <w:szCs w:val="18"/>
        </w:rPr>
        <w:t>Закон</w:t>
      </w:r>
      <w:r w:rsidRPr="002F442B">
        <w:rPr>
          <w:szCs w:val="18"/>
        </w:rPr>
        <w:t xml:space="preserve"> № 003/201</w:t>
      </w:r>
      <w:r>
        <w:rPr>
          <w:szCs w:val="18"/>
        </w:rPr>
        <w:t>1, статьи 18 с) и 41 d).</w:t>
      </w:r>
    </w:p>
  </w:footnote>
  <w:footnote w:id="78">
    <w:p w:rsidR="004408E3" w:rsidRPr="002F442B" w:rsidRDefault="004408E3" w:rsidP="004408E3">
      <w:pPr>
        <w:pStyle w:val="FootnoteText"/>
        <w:tabs>
          <w:tab w:val="right" w:pos="1195"/>
          <w:tab w:val="left" w:pos="1267"/>
          <w:tab w:val="left" w:pos="1742"/>
          <w:tab w:val="left" w:pos="2218"/>
          <w:tab w:val="left" w:pos="2693"/>
        </w:tabs>
        <w:ind w:left="1267" w:right="1260" w:hanging="432"/>
      </w:pPr>
      <w:r>
        <w:rPr>
          <w:szCs w:val="18"/>
        </w:rPr>
        <w:tab/>
      </w:r>
      <w:r>
        <w:rPr>
          <w:rStyle w:val="FootnoteReference"/>
          <w:szCs w:val="18"/>
        </w:rPr>
        <w:footnoteRef/>
      </w:r>
      <w:r w:rsidRPr="002F442B">
        <w:rPr>
          <w:rStyle w:val="FootnoteReference"/>
          <w:szCs w:val="18"/>
        </w:rPr>
        <w:tab/>
      </w:r>
      <w:r>
        <w:rPr>
          <w:szCs w:val="18"/>
        </w:rPr>
        <w:t>Закон</w:t>
      </w:r>
      <w:r w:rsidRPr="002F442B">
        <w:rPr>
          <w:szCs w:val="18"/>
        </w:rPr>
        <w:t xml:space="preserve"> № 003/2011, </w:t>
      </w:r>
      <w:r>
        <w:rPr>
          <w:szCs w:val="18"/>
        </w:rPr>
        <w:t>статьи</w:t>
      </w:r>
      <w:r w:rsidRPr="002F442B">
        <w:rPr>
          <w:szCs w:val="18"/>
        </w:rPr>
        <w:t xml:space="preserve"> 4 </w:t>
      </w:r>
      <w:r>
        <w:rPr>
          <w:szCs w:val="18"/>
        </w:rPr>
        <w:t>и</w:t>
      </w:r>
      <w:r w:rsidRPr="002F442B">
        <w:rPr>
          <w:szCs w:val="18"/>
        </w:rPr>
        <w:t xml:space="preserve"> 5.</w:t>
      </w:r>
    </w:p>
  </w:footnote>
  <w:footnote w:id="79">
    <w:p w:rsidR="004408E3" w:rsidRPr="00D72844" w:rsidRDefault="004408E3" w:rsidP="004408E3">
      <w:pPr>
        <w:pStyle w:val="FootnoteText"/>
        <w:tabs>
          <w:tab w:val="right" w:pos="1195"/>
          <w:tab w:val="left" w:pos="1267"/>
          <w:tab w:val="left" w:pos="1742"/>
          <w:tab w:val="left" w:pos="2218"/>
          <w:tab w:val="left" w:pos="2693"/>
        </w:tabs>
        <w:ind w:left="1267" w:right="1260" w:hanging="432"/>
        <w:rPr>
          <w:rFonts w:eastAsia="SimSun"/>
        </w:rPr>
      </w:pPr>
      <w:r w:rsidRPr="002F442B">
        <w:rPr>
          <w:szCs w:val="18"/>
        </w:rPr>
        <w:tab/>
      </w:r>
      <w:r>
        <w:rPr>
          <w:rStyle w:val="FootnoteReference"/>
          <w:szCs w:val="18"/>
        </w:rPr>
        <w:footnoteRef/>
      </w:r>
      <w:r w:rsidRPr="00D72844">
        <w:rPr>
          <w:rStyle w:val="FootnoteReference"/>
          <w:szCs w:val="18"/>
        </w:rPr>
        <w:tab/>
      </w:r>
      <w:r>
        <w:rPr>
          <w:szCs w:val="18"/>
        </w:rPr>
        <w:t>Указ</w:t>
      </w:r>
      <w:r w:rsidRPr="00D72844">
        <w:rPr>
          <w:szCs w:val="18"/>
        </w:rPr>
        <w:t xml:space="preserve"> № 3233/2012, </w:t>
      </w:r>
      <w:r>
        <w:rPr>
          <w:szCs w:val="18"/>
        </w:rPr>
        <w:t>статья</w:t>
      </w:r>
      <w:r w:rsidRPr="00D72844">
        <w:rPr>
          <w:szCs w:val="18"/>
        </w:rPr>
        <w:t xml:space="preserve"> 155 (</w:t>
      </w:r>
      <w:r>
        <w:rPr>
          <w:szCs w:val="18"/>
        </w:rPr>
        <w:t>VIII</w:t>
      </w:r>
      <w:r w:rsidRPr="00D72844">
        <w:rPr>
          <w:szCs w:val="18"/>
        </w:rPr>
        <w:t>, 4).</w:t>
      </w:r>
    </w:p>
  </w:footnote>
  <w:footnote w:id="80">
    <w:p w:rsidR="004408E3" w:rsidRPr="002F442B" w:rsidRDefault="004408E3" w:rsidP="004408E3">
      <w:pPr>
        <w:pStyle w:val="FootnoteText"/>
        <w:tabs>
          <w:tab w:val="right" w:pos="1195"/>
          <w:tab w:val="left" w:pos="1267"/>
          <w:tab w:val="left" w:pos="1742"/>
          <w:tab w:val="left" w:pos="2218"/>
          <w:tab w:val="left" w:pos="2693"/>
        </w:tabs>
        <w:ind w:left="1267" w:right="1260" w:hanging="432"/>
        <w:rPr>
          <w:rFonts w:eastAsia="SimSun"/>
        </w:rPr>
      </w:pPr>
      <w:r w:rsidRPr="00D72844">
        <w:rPr>
          <w:szCs w:val="18"/>
        </w:rPr>
        <w:tab/>
      </w:r>
      <w:r>
        <w:rPr>
          <w:rStyle w:val="FootnoteReference"/>
          <w:szCs w:val="18"/>
        </w:rPr>
        <w:footnoteRef/>
      </w:r>
      <w:r w:rsidRPr="002F442B">
        <w:rPr>
          <w:rStyle w:val="FootnoteReference"/>
          <w:szCs w:val="18"/>
        </w:rPr>
        <w:tab/>
      </w:r>
      <w:r>
        <w:rPr>
          <w:szCs w:val="18"/>
        </w:rPr>
        <w:t>Закон</w:t>
      </w:r>
      <w:r w:rsidRPr="002F442B">
        <w:rPr>
          <w:szCs w:val="18"/>
        </w:rPr>
        <w:t xml:space="preserve"> № 12.297/1999, </w:t>
      </w:r>
      <w:r>
        <w:rPr>
          <w:szCs w:val="18"/>
        </w:rPr>
        <w:t>статья</w:t>
      </w:r>
      <w:r w:rsidRPr="002F442B">
        <w:rPr>
          <w:szCs w:val="18"/>
        </w:rPr>
        <w:t xml:space="preserve"> 18.</w:t>
      </w:r>
    </w:p>
  </w:footnote>
  <w:footnote w:id="81">
    <w:p w:rsidR="004408E3" w:rsidRPr="002F442B" w:rsidRDefault="004408E3" w:rsidP="004408E3">
      <w:pPr>
        <w:pStyle w:val="FootnoteText"/>
        <w:tabs>
          <w:tab w:val="right" w:pos="1195"/>
          <w:tab w:val="left" w:pos="1267"/>
          <w:tab w:val="left" w:pos="1742"/>
          <w:tab w:val="left" w:pos="2218"/>
          <w:tab w:val="left" w:pos="2693"/>
        </w:tabs>
        <w:ind w:left="1267" w:right="1260" w:hanging="432"/>
        <w:rPr>
          <w:rFonts w:eastAsia="SimSun"/>
        </w:rPr>
      </w:pPr>
      <w:r w:rsidRPr="002F442B">
        <w:rPr>
          <w:szCs w:val="18"/>
        </w:rPr>
        <w:tab/>
      </w:r>
      <w:r>
        <w:rPr>
          <w:rStyle w:val="FootnoteReference"/>
          <w:szCs w:val="18"/>
        </w:rPr>
        <w:footnoteRef/>
      </w:r>
      <w:r w:rsidRPr="002F442B">
        <w:rPr>
          <w:rStyle w:val="FootnoteReference"/>
          <w:szCs w:val="18"/>
        </w:rPr>
        <w:tab/>
      </w:r>
      <w:r>
        <w:rPr>
          <w:szCs w:val="18"/>
        </w:rPr>
        <w:t>Закон</w:t>
      </w:r>
      <w:r w:rsidRPr="002F442B">
        <w:rPr>
          <w:szCs w:val="18"/>
        </w:rPr>
        <w:t xml:space="preserve"> № 93/85, </w:t>
      </w:r>
      <w:r>
        <w:rPr>
          <w:szCs w:val="18"/>
        </w:rPr>
        <w:t>статья</w:t>
      </w:r>
      <w:r w:rsidRPr="002F442B">
        <w:rPr>
          <w:szCs w:val="18"/>
        </w:rPr>
        <w:t xml:space="preserve"> 9.</w:t>
      </w:r>
    </w:p>
  </w:footnote>
  <w:footnote w:id="82">
    <w:p w:rsidR="004408E3" w:rsidRPr="002F442B" w:rsidRDefault="004408E3" w:rsidP="004408E3">
      <w:pPr>
        <w:pStyle w:val="FootnoteText"/>
        <w:tabs>
          <w:tab w:val="right" w:pos="1195"/>
          <w:tab w:val="left" w:pos="1267"/>
          <w:tab w:val="left" w:pos="1742"/>
          <w:tab w:val="left" w:pos="2218"/>
          <w:tab w:val="left" w:pos="2693"/>
        </w:tabs>
        <w:ind w:left="1267" w:right="1260" w:hanging="432"/>
        <w:rPr>
          <w:rFonts w:eastAsia="SimSun"/>
        </w:rPr>
      </w:pPr>
      <w:r w:rsidRPr="002F442B">
        <w:rPr>
          <w:szCs w:val="18"/>
        </w:rPr>
        <w:tab/>
      </w:r>
      <w:r>
        <w:rPr>
          <w:rStyle w:val="FootnoteReference"/>
          <w:szCs w:val="18"/>
        </w:rPr>
        <w:footnoteRef/>
      </w:r>
      <w:r w:rsidRPr="002F442B">
        <w:rPr>
          <w:rStyle w:val="FootnoteReference"/>
          <w:szCs w:val="18"/>
        </w:rPr>
        <w:tab/>
      </w:r>
      <w:r>
        <w:rPr>
          <w:szCs w:val="18"/>
        </w:rPr>
        <w:t>Закон</w:t>
      </w:r>
      <w:r w:rsidRPr="002F442B">
        <w:rPr>
          <w:szCs w:val="18"/>
        </w:rPr>
        <w:t xml:space="preserve"> № 365/1994, </w:t>
      </w:r>
      <w:r>
        <w:rPr>
          <w:szCs w:val="18"/>
        </w:rPr>
        <w:t>статья</w:t>
      </w:r>
      <w:r w:rsidRPr="002F442B">
        <w:rPr>
          <w:szCs w:val="18"/>
        </w:rPr>
        <w:t xml:space="preserve"> 74.</w:t>
      </w:r>
    </w:p>
  </w:footnote>
  <w:footnote w:id="83">
    <w:p w:rsidR="004408E3" w:rsidRPr="002F442B" w:rsidRDefault="004408E3" w:rsidP="004408E3">
      <w:pPr>
        <w:pStyle w:val="FootnoteText"/>
        <w:tabs>
          <w:tab w:val="right" w:pos="1195"/>
          <w:tab w:val="left" w:pos="1267"/>
          <w:tab w:val="left" w:pos="1742"/>
          <w:tab w:val="left" w:pos="2218"/>
          <w:tab w:val="left" w:pos="2693"/>
        </w:tabs>
        <w:ind w:left="1267" w:right="1260" w:hanging="432"/>
        <w:rPr>
          <w:rFonts w:eastAsia="SimSun"/>
        </w:rPr>
      </w:pPr>
      <w:r w:rsidRPr="002F442B">
        <w:rPr>
          <w:szCs w:val="18"/>
        </w:rPr>
        <w:tab/>
      </w:r>
      <w:r>
        <w:rPr>
          <w:rStyle w:val="FootnoteReference"/>
          <w:szCs w:val="18"/>
        </w:rPr>
        <w:footnoteRef/>
      </w:r>
      <w:r>
        <w:rPr>
          <w:szCs w:val="18"/>
        </w:rPr>
        <w:tab/>
        <w:t>Закон</w:t>
      </w:r>
      <w:r w:rsidRPr="002F442B">
        <w:rPr>
          <w:szCs w:val="18"/>
        </w:rPr>
        <w:t xml:space="preserve"> № 2974/1997, </w:t>
      </w:r>
      <w:r>
        <w:rPr>
          <w:szCs w:val="18"/>
        </w:rPr>
        <w:t>статья</w:t>
      </w:r>
      <w:r w:rsidRPr="002F442B">
        <w:rPr>
          <w:szCs w:val="18"/>
        </w:rPr>
        <w:t xml:space="preserve"> 21.</w:t>
      </w:r>
    </w:p>
  </w:footnote>
  <w:footnote w:id="84">
    <w:p w:rsidR="004408E3" w:rsidRDefault="004408E3" w:rsidP="004408E3">
      <w:pPr>
        <w:pStyle w:val="FootnoteText"/>
        <w:tabs>
          <w:tab w:val="right" w:pos="1195"/>
          <w:tab w:val="left" w:pos="1267"/>
          <w:tab w:val="left" w:pos="1742"/>
          <w:tab w:val="left" w:pos="2218"/>
          <w:tab w:val="left" w:pos="2693"/>
        </w:tabs>
        <w:ind w:left="1267" w:right="1260" w:hanging="432"/>
        <w:rPr>
          <w:rFonts w:eastAsia="SimSun"/>
        </w:rPr>
      </w:pPr>
      <w:r w:rsidRPr="002F442B">
        <w:rPr>
          <w:szCs w:val="18"/>
        </w:rPr>
        <w:tab/>
      </w:r>
      <w:r>
        <w:rPr>
          <w:rStyle w:val="FootnoteReference"/>
          <w:szCs w:val="18"/>
        </w:rPr>
        <w:footnoteRef/>
      </w:r>
      <w:r w:rsidRPr="002F442B">
        <w:rPr>
          <w:rStyle w:val="FootnoteReference"/>
          <w:szCs w:val="18"/>
        </w:rPr>
        <w:tab/>
      </w:r>
      <w:r>
        <w:rPr>
          <w:szCs w:val="18"/>
        </w:rPr>
        <w:t xml:space="preserve">Указ № 3233, приложения; закон № 7.102/1983, статья 16; и указ № 3233/2012, </w:t>
      </w:r>
      <w:r>
        <w:rPr>
          <w:szCs w:val="18"/>
        </w:rPr>
        <w:br/>
        <w:t>статья 155</w:t>
      </w:r>
      <w:r w:rsidR="004318AA">
        <w:rPr>
          <w:szCs w:val="18"/>
        </w:rPr>
        <w:t xml:space="preserve"> </w:t>
      </w:r>
      <w:r>
        <w:rPr>
          <w:szCs w:val="18"/>
        </w:rPr>
        <w:t>(VI).</w:t>
      </w:r>
    </w:p>
  </w:footnote>
  <w:footnote w:id="85">
    <w:p w:rsidR="004408E3" w:rsidRPr="00D72844" w:rsidRDefault="004408E3" w:rsidP="004408E3">
      <w:pPr>
        <w:pStyle w:val="FootnoteText"/>
        <w:tabs>
          <w:tab w:val="right" w:pos="1195"/>
          <w:tab w:val="left" w:pos="1267"/>
          <w:tab w:val="left" w:pos="1742"/>
          <w:tab w:val="left" w:pos="2218"/>
          <w:tab w:val="left" w:pos="2693"/>
        </w:tabs>
        <w:ind w:left="1267" w:right="1260" w:hanging="432"/>
        <w:rPr>
          <w:rFonts w:eastAsia="SimSun"/>
        </w:rPr>
      </w:pPr>
      <w:r>
        <w:rPr>
          <w:szCs w:val="18"/>
        </w:rPr>
        <w:tab/>
      </w:r>
      <w:r>
        <w:rPr>
          <w:rStyle w:val="FootnoteReference"/>
          <w:szCs w:val="18"/>
        </w:rPr>
        <w:footnoteRef/>
      </w:r>
      <w:r w:rsidRPr="00D72844">
        <w:rPr>
          <w:rStyle w:val="FootnoteReference"/>
          <w:szCs w:val="18"/>
        </w:rPr>
        <w:tab/>
      </w:r>
      <w:r>
        <w:rPr>
          <w:szCs w:val="18"/>
        </w:rPr>
        <w:t>Закон</w:t>
      </w:r>
      <w:r w:rsidRPr="00D72844">
        <w:rPr>
          <w:szCs w:val="18"/>
        </w:rPr>
        <w:t xml:space="preserve"> № 734, </w:t>
      </w:r>
      <w:r>
        <w:rPr>
          <w:szCs w:val="18"/>
        </w:rPr>
        <w:t>статья</w:t>
      </w:r>
      <w:r w:rsidRPr="00D72844">
        <w:rPr>
          <w:szCs w:val="18"/>
        </w:rPr>
        <w:t xml:space="preserve"> 135.</w:t>
      </w:r>
    </w:p>
  </w:footnote>
  <w:footnote w:id="86">
    <w:p w:rsidR="004408E3" w:rsidRPr="002F442B" w:rsidRDefault="004408E3" w:rsidP="004408E3">
      <w:pPr>
        <w:pStyle w:val="FootnoteText"/>
        <w:tabs>
          <w:tab w:val="right" w:pos="1195"/>
          <w:tab w:val="left" w:pos="1267"/>
          <w:tab w:val="left" w:pos="1742"/>
          <w:tab w:val="left" w:pos="2218"/>
          <w:tab w:val="left" w:pos="2693"/>
        </w:tabs>
        <w:ind w:left="1267" w:right="1260" w:hanging="432"/>
        <w:rPr>
          <w:rFonts w:eastAsia="SimSun"/>
        </w:rPr>
      </w:pPr>
      <w:r w:rsidRPr="00D72844">
        <w:rPr>
          <w:szCs w:val="18"/>
        </w:rPr>
        <w:tab/>
      </w:r>
      <w:r>
        <w:rPr>
          <w:rStyle w:val="FootnoteReference"/>
          <w:szCs w:val="18"/>
        </w:rPr>
        <w:footnoteRef/>
      </w:r>
      <w:r w:rsidRPr="002F442B">
        <w:rPr>
          <w:rStyle w:val="FootnoteReference"/>
          <w:szCs w:val="18"/>
        </w:rPr>
        <w:tab/>
      </w:r>
      <w:r>
        <w:rPr>
          <w:szCs w:val="18"/>
        </w:rPr>
        <w:t>Закон</w:t>
      </w:r>
      <w:r w:rsidRPr="002F442B">
        <w:rPr>
          <w:szCs w:val="18"/>
        </w:rPr>
        <w:t xml:space="preserve"> № 28.878/2006, </w:t>
      </w:r>
      <w:r>
        <w:rPr>
          <w:szCs w:val="18"/>
        </w:rPr>
        <w:t>статьи</w:t>
      </w:r>
      <w:r w:rsidRPr="002F442B">
        <w:rPr>
          <w:szCs w:val="18"/>
        </w:rPr>
        <w:t xml:space="preserve"> 24 </w:t>
      </w:r>
      <w:r>
        <w:rPr>
          <w:szCs w:val="18"/>
        </w:rPr>
        <w:t>c</w:t>
      </w:r>
      <w:r w:rsidRPr="002F442B">
        <w:rPr>
          <w:szCs w:val="18"/>
        </w:rPr>
        <w:t xml:space="preserve">) </w:t>
      </w:r>
      <w:r>
        <w:rPr>
          <w:szCs w:val="18"/>
        </w:rPr>
        <w:t>и</w:t>
      </w:r>
      <w:r w:rsidRPr="002F442B">
        <w:rPr>
          <w:szCs w:val="18"/>
        </w:rPr>
        <w:t xml:space="preserve"> 28.</w:t>
      </w:r>
    </w:p>
  </w:footnote>
  <w:footnote w:id="87">
    <w:p w:rsidR="004408E3" w:rsidRDefault="004408E3" w:rsidP="004408E3">
      <w:pPr>
        <w:pStyle w:val="FootnoteText"/>
        <w:tabs>
          <w:tab w:val="right" w:pos="1195"/>
          <w:tab w:val="left" w:pos="1267"/>
          <w:tab w:val="left" w:pos="1742"/>
          <w:tab w:val="left" w:pos="2218"/>
          <w:tab w:val="left" w:pos="2693"/>
        </w:tabs>
        <w:ind w:left="1267" w:right="1260" w:hanging="432"/>
        <w:rPr>
          <w:rFonts w:eastAsia="SimSun"/>
        </w:rPr>
      </w:pPr>
      <w:r w:rsidRPr="002F442B">
        <w:rPr>
          <w:szCs w:val="18"/>
        </w:rPr>
        <w:tab/>
      </w:r>
      <w:r>
        <w:rPr>
          <w:rStyle w:val="FootnoteReference"/>
          <w:szCs w:val="18"/>
        </w:rPr>
        <w:footnoteRef/>
      </w:r>
      <w:r w:rsidRPr="002F442B">
        <w:rPr>
          <w:rStyle w:val="FootnoteReference"/>
          <w:szCs w:val="18"/>
        </w:rPr>
        <w:tab/>
      </w:r>
      <w:r>
        <w:rPr>
          <w:szCs w:val="18"/>
        </w:rPr>
        <w:t>Общее положение № 9, закон № 2003/12.</w:t>
      </w:r>
    </w:p>
  </w:footnote>
  <w:footnote w:id="88">
    <w:p w:rsidR="004408E3" w:rsidRPr="002F442B" w:rsidRDefault="004408E3" w:rsidP="004408E3">
      <w:pPr>
        <w:pStyle w:val="FootnoteText"/>
        <w:tabs>
          <w:tab w:val="right" w:pos="1195"/>
          <w:tab w:val="left" w:pos="1267"/>
          <w:tab w:val="left" w:pos="1742"/>
          <w:tab w:val="left" w:pos="2218"/>
          <w:tab w:val="left" w:pos="2693"/>
        </w:tabs>
        <w:ind w:left="1267" w:right="1260" w:hanging="432"/>
        <w:rPr>
          <w:rFonts w:eastAsia="SimSun"/>
        </w:rPr>
      </w:pPr>
      <w:r>
        <w:rPr>
          <w:szCs w:val="18"/>
        </w:rPr>
        <w:tab/>
      </w:r>
      <w:r>
        <w:rPr>
          <w:rStyle w:val="FootnoteReference"/>
          <w:szCs w:val="18"/>
        </w:rPr>
        <w:footnoteRef/>
      </w:r>
      <w:r>
        <w:rPr>
          <w:rStyle w:val="FootnoteReference"/>
          <w:szCs w:val="18"/>
        </w:rPr>
        <w:tab/>
      </w:r>
      <w:r>
        <w:rPr>
          <w:szCs w:val="18"/>
        </w:rPr>
        <w:t>Закон</w:t>
      </w:r>
      <w:r w:rsidRPr="002F442B">
        <w:rPr>
          <w:szCs w:val="18"/>
        </w:rPr>
        <w:t xml:space="preserve"> № 356/1994, </w:t>
      </w:r>
      <w:r>
        <w:rPr>
          <w:szCs w:val="18"/>
        </w:rPr>
        <w:t>статьи</w:t>
      </w:r>
      <w:r w:rsidRPr="002F442B">
        <w:rPr>
          <w:szCs w:val="18"/>
        </w:rPr>
        <w:t xml:space="preserve"> 73 </w:t>
      </w:r>
      <w:r>
        <w:rPr>
          <w:szCs w:val="18"/>
        </w:rPr>
        <w:t>и</w:t>
      </w:r>
      <w:r w:rsidRPr="002F442B">
        <w:rPr>
          <w:szCs w:val="18"/>
        </w:rPr>
        <w:t xml:space="preserve"> 74 (2).</w:t>
      </w:r>
    </w:p>
  </w:footnote>
  <w:footnote w:id="89">
    <w:p w:rsidR="004408E3" w:rsidRPr="002F442B" w:rsidRDefault="004408E3" w:rsidP="004408E3">
      <w:pPr>
        <w:pStyle w:val="FootnoteText"/>
        <w:tabs>
          <w:tab w:val="right" w:pos="1195"/>
          <w:tab w:val="left" w:pos="1267"/>
          <w:tab w:val="left" w:pos="1742"/>
          <w:tab w:val="left" w:pos="2218"/>
          <w:tab w:val="left" w:pos="2693"/>
        </w:tabs>
        <w:ind w:left="1267" w:right="1260" w:hanging="432"/>
        <w:rPr>
          <w:rFonts w:eastAsia="SimSun"/>
        </w:rPr>
      </w:pPr>
      <w:r w:rsidRPr="002F442B">
        <w:rPr>
          <w:szCs w:val="18"/>
        </w:rPr>
        <w:tab/>
      </w:r>
      <w:r>
        <w:rPr>
          <w:rStyle w:val="FootnoteReference"/>
          <w:szCs w:val="18"/>
        </w:rPr>
        <w:footnoteRef/>
      </w:r>
      <w:r w:rsidRPr="002F442B">
        <w:rPr>
          <w:rStyle w:val="FootnoteReference"/>
          <w:szCs w:val="18"/>
        </w:rPr>
        <w:tab/>
      </w:r>
      <w:r>
        <w:rPr>
          <w:szCs w:val="18"/>
        </w:rPr>
        <w:t>Закон</w:t>
      </w:r>
      <w:r w:rsidRPr="002F442B">
        <w:rPr>
          <w:szCs w:val="18"/>
        </w:rPr>
        <w:t xml:space="preserve"> № 28.879, </w:t>
      </w:r>
      <w:r>
        <w:rPr>
          <w:szCs w:val="18"/>
        </w:rPr>
        <w:t>статья</w:t>
      </w:r>
      <w:r w:rsidRPr="002F442B">
        <w:rPr>
          <w:szCs w:val="18"/>
        </w:rPr>
        <w:t xml:space="preserve"> 24.</w:t>
      </w:r>
    </w:p>
  </w:footnote>
  <w:footnote w:id="90">
    <w:p w:rsidR="004408E3" w:rsidRDefault="004408E3" w:rsidP="004408E3">
      <w:pPr>
        <w:pStyle w:val="FootnoteText"/>
        <w:tabs>
          <w:tab w:val="right" w:pos="1195"/>
          <w:tab w:val="left" w:pos="1267"/>
          <w:tab w:val="left" w:pos="1742"/>
          <w:tab w:val="left" w:pos="2218"/>
          <w:tab w:val="left" w:pos="2693"/>
        </w:tabs>
        <w:ind w:left="1267" w:right="1260" w:hanging="432"/>
        <w:rPr>
          <w:rFonts w:eastAsia="SimSun"/>
        </w:rPr>
      </w:pPr>
      <w:r w:rsidRPr="002F442B">
        <w:rPr>
          <w:szCs w:val="18"/>
        </w:rPr>
        <w:tab/>
      </w:r>
      <w:r>
        <w:rPr>
          <w:rStyle w:val="FootnoteReference"/>
          <w:szCs w:val="18"/>
        </w:rPr>
        <w:footnoteRef/>
      </w:r>
      <w:r w:rsidRPr="002F442B">
        <w:rPr>
          <w:rStyle w:val="FootnoteReference"/>
          <w:szCs w:val="18"/>
        </w:rPr>
        <w:tab/>
      </w:r>
      <w:r>
        <w:rPr>
          <w:szCs w:val="18"/>
        </w:rPr>
        <w:t>Постановление № 28.879, статья 60 j).</w:t>
      </w:r>
    </w:p>
  </w:footnote>
  <w:footnote w:id="91">
    <w:p w:rsidR="004408E3" w:rsidRPr="002F442B" w:rsidRDefault="004408E3" w:rsidP="004408E3">
      <w:pPr>
        <w:pStyle w:val="FootnoteText"/>
        <w:tabs>
          <w:tab w:val="right" w:pos="1195"/>
          <w:tab w:val="left" w:pos="1267"/>
          <w:tab w:val="left" w:pos="1742"/>
          <w:tab w:val="left" w:pos="2218"/>
          <w:tab w:val="left" w:pos="2693"/>
        </w:tabs>
        <w:ind w:left="1267" w:right="1260" w:hanging="432"/>
        <w:rPr>
          <w:rFonts w:eastAsia="SimSun"/>
        </w:rPr>
      </w:pPr>
      <w:r>
        <w:rPr>
          <w:szCs w:val="18"/>
        </w:rPr>
        <w:tab/>
      </w:r>
      <w:r>
        <w:rPr>
          <w:rStyle w:val="FootnoteReference"/>
          <w:szCs w:val="18"/>
        </w:rPr>
        <w:footnoteRef/>
      </w:r>
      <w:r>
        <w:rPr>
          <w:rStyle w:val="FootnoteReference"/>
          <w:szCs w:val="18"/>
        </w:rPr>
        <w:tab/>
      </w:r>
      <w:r>
        <w:rPr>
          <w:szCs w:val="18"/>
        </w:rPr>
        <w:t>Закон</w:t>
      </w:r>
      <w:r w:rsidRPr="002F442B">
        <w:rPr>
          <w:szCs w:val="18"/>
        </w:rPr>
        <w:t xml:space="preserve"> № 2974/1997, </w:t>
      </w:r>
      <w:r>
        <w:rPr>
          <w:szCs w:val="18"/>
        </w:rPr>
        <w:t>статья</w:t>
      </w:r>
      <w:r w:rsidRPr="002F442B">
        <w:rPr>
          <w:szCs w:val="18"/>
        </w:rPr>
        <w:t xml:space="preserve"> 22.</w:t>
      </w:r>
    </w:p>
  </w:footnote>
  <w:footnote w:id="92">
    <w:p w:rsidR="004408E3" w:rsidRPr="002F442B" w:rsidRDefault="004408E3" w:rsidP="004408E3">
      <w:pPr>
        <w:pStyle w:val="FootnoteText"/>
        <w:tabs>
          <w:tab w:val="right" w:pos="1195"/>
          <w:tab w:val="left" w:pos="1267"/>
          <w:tab w:val="left" w:pos="1742"/>
          <w:tab w:val="left" w:pos="2218"/>
          <w:tab w:val="left" w:pos="2693"/>
        </w:tabs>
        <w:ind w:left="1267" w:right="1260" w:hanging="432"/>
        <w:rPr>
          <w:szCs w:val="18"/>
        </w:rPr>
      </w:pPr>
      <w:r w:rsidRPr="002F442B">
        <w:rPr>
          <w:szCs w:val="18"/>
        </w:rPr>
        <w:tab/>
      </w:r>
      <w:r>
        <w:rPr>
          <w:rStyle w:val="FootnoteReference"/>
          <w:szCs w:val="18"/>
        </w:rPr>
        <w:footnoteRef/>
      </w:r>
      <w:r w:rsidRPr="002F442B">
        <w:rPr>
          <w:rStyle w:val="FootnoteReference"/>
          <w:szCs w:val="18"/>
        </w:rPr>
        <w:tab/>
      </w:r>
      <w:r>
        <w:rPr>
          <w:szCs w:val="18"/>
        </w:rPr>
        <w:t>Закон № 12.297/1999, статья 14. В Уругвае, закон № 275/1999, статья 4 (4</w:t>
      </w:r>
      <w:r w:rsidR="00AE2FCA">
        <w:rPr>
          <w:szCs w:val="18"/>
        </w:rPr>
        <w:t>–</w:t>
      </w:r>
      <w:r>
        <w:rPr>
          <w:szCs w:val="18"/>
        </w:rPr>
        <w:t>2).</w:t>
      </w:r>
    </w:p>
  </w:footnote>
  <w:footnote w:id="93">
    <w:p w:rsidR="004408E3" w:rsidRPr="006E5751" w:rsidRDefault="004408E3" w:rsidP="004408E3">
      <w:pPr>
        <w:pStyle w:val="FootnoteText"/>
        <w:tabs>
          <w:tab w:val="right" w:pos="1195"/>
          <w:tab w:val="left" w:pos="1267"/>
          <w:tab w:val="left" w:pos="1742"/>
          <w:tab w:val="left" w:pos="2218"/>
          <w:tab w:val="left" w:pos="2693"/>
        </w:tabs>
        <w:ind w:left="1267" w:right="1260" w:hanging="432"/>
        <w:rPr>
          <w:szCs w:val="18"/>
        </w:rPr>
      </w:pPr>
      <w:r>
        <w:rPr>
          <w:szCs w:val="18"/>
        </w:rPr>
        <w:tab/>
      </w:r>
      <w:r>
        <w:rPr>
          <w:rStyle w:val="FootnoteReference"/>
          <w:szCs w:val="18"/>
        </w:rPr>
        <w:footnoteRef/>
      </w:r>
      <w:r w:rsidRPr="00D72844">
        <w:rPr>
          <w:rStyle w:val="FootnoteReference"/>
          <w:szCs w:val="18"/>
        </w:rPr>
        <w:tab/>
      </w:r>
      <w:r>
        <w:rPr>
          <w:szCs w:val="18"/>
        </w:rPr>
        <w:t>Закон</w:t>
      </w:r>
      <w:r w:rsidRPr="00D72844">
        <w:rPr>
          <w:szCs w:val="18"/>
        </w:rPr>
        <w:t xml:space="preserve"> № 2187/2</w:t>
      </w:r>
      <w:r>
        <w:rPr>
          <w:szCs w:val="18"/>
        </w:rPr>
        <w:t>001, статья 2.</w:t>
      </w:r>
    </w:p>
  </w:footnote>
  <w:footnote w:id="94">
    <w:p w:rsidR="004408E3" w:rsidRDefault="004408E3" w:rsidP="004408E3">
      <w:pPr>
        <w:pStyle w:val="FootnoteText"/>
        <w:tabs>
          <w:tab w:val="right" w:pos="1195"/>
          <w:tab w:val="left" w:pos="1267"/>
          <w:tab w:val="left" w:pos="1742"/>
          <w:tab w:val="left" w:pos="2218"/>
          <w:tab w:val="left" w:pos="2693"/>
        </w:tabs>
        <w:ind w:left="1267" w:right="1260" w:hanging="432"/>
        <w:rPr>
          <w:rFonts w:eastAsia="SimSun"/>
        </w:rPr>
      </w:pPr>
      <w:r>
        <w:rPr>
          <w:szCs w:val="18"/>
        </w:rPr>
        <w:tab/>
      </w:r>
      <w:r>
        <w:rPr>
          <w:rStyle w:val="FootnoteReference"/>
          <w:szCs w:val="18"/>
        </w:rPr>
        <w:footnoteRef/>
      </w:r>
      <w:r>
        <w:rPr>
          <w:rStyle w:val="FootnoteReference"/>
          <w:szCs w:val="18"/>
        </w:rPr>
        <w:tab/>
      </w:r>
      <w:r>
        <w:rPr>
          <w:szCs w:val="18"/>
        </w:rPr>
        <w:t>Указ № 3233/2012, статья 164.</w:t>
      </w:r>
    </w:p>
  </w:footnote>
  <w:footnote w:id="95">
    <w:p w:rsidR="004408E3" w:rsidRDefault="004408E3" w:rsidP="004408E3">
      <w:pPr>
        <w:pStyle w:val="FootnoteText"/>
        <w:tabs>
          <w:tab w:val="right" w:pos="1195"/>
          <w:tab w:val="left" w:pos="1267"/>
          <w:tab w:val="left" w:pos="1742"/>
          <w:tab w:val="left" w:pos="2218"/>
          <w:tab w:val="left" w:pos="2693"/>
        </w:tabs>
        <w:ind w:left="1267" w:right="1260" w:hanging="432"/>
        <w:rPr>
          <w:rFonts w:eastAsia="SimSun"/>
        </w:rPr>
      </w:pPr>
      <w:r>
        <w:rPr>
          <w:szCs w:val="18"/>
        </w:rPr>
        <w:tab/>
      </w:r>
      <w:r>
        <w:rPr>
          <w:rStyle w:val="FootnoteReference"/>
          <w:szCs w:val="18"/>
        </w:rPr>
        <w:footnoteRef/>
      </w:r>
      <w:r>
        <w:rPr>
          <w:rStyle w:val="FootnoteReference"/>
          <w:szCs w:val="18"/>
        </w:rPr>
        <w:tab/>
      </w:r>
      <w:r>
        <w:rPr>
          <w:szCs w:val="18"/>
        </w:rPr>
        <w:t>Закон № 2535/1993, статья 11.</w:t>
      </w:r>
    </w:p>
  </w:footnote>
  <w:footnote w:id="96">
    <w:p w:rsidR="004408E3" w:rsidRPr="004318AA" w:rsidRDefault="004408E3" w:rsidP="004408E3">
      <w:pPr>
        <w:pStyle w:val="FootnoteText"/>
        <w:tabs>
          <w:tab w:val="right" w:pos="1195"/>
          <w:tab w:val="left" w:pos="1267"/>
          <w:tab w:val="left" w:pos="1742"/>
          <w:tab w:val="left" w:pos="2218"/>
          <w:tab w:val="left" w:pos="2693"/>
        </w:tabs>
        <w:ind w:left="1267" w:right="1260" w:hanging="432"/>
        <w:rPr>
          <w:szCs w:val="18"/>
        </w:rPr>
      </w:pPr>
      <w:r>
        <w:rPr>
          <w:szCs w:val="18"/>
        </w:rPr>
        <w:tab/>
      </w:r>
      <w:r>
        <w:rPr>
          <w:rStyle w:val="FootnoteReference"/>
          <w:szCs w:val="18"/>
        </w:rPr>
        <w:footnoteRef/>
      </w:r>
      <w:r w:rsidRPr="006E5751">
        <w:rPr>
          <w:rStyle w:val="FootnoteReference"/>
          <w:szCs w:val="18"/>
        </w:rPr>
        <w:tab/>
      </w:r>
      <w:r w:rsidRPr="0041332E">
        <w:rPr>
          <w:szCs w:val="18"/>
        </w:rPr>
        <w:t>Закон Эквадора № 1181, статья 4, и закон Колумбии № 365, статья 97 (2).</w:t>
      </w:r>
    </w:p>
  </w:footnote>
  <w:footnote w:id="97">
    <w:p w:rsidR="004408E3" w:rsidRDefault="004408E3" w:rsidP="004408E3">
      <w:pPr>
        <w:pStyle w:val="FootnoteText"/>
        <w:tabs>
          <w:tab w:val="right" w:pos="1195"/>
          <w:tab w:val="left" w:pos="1267"/>
          <w:tab w:val="left" w:pos="1742"/>
          <w:tab w:val="left" w:pos="2218"/>
          <w:tab w:val="left" w:pos="2693"/>
        </w:tabs>
        <w:ind w:left="1267" w:right="1260" w:hanging="432"/>
        <w:rPr>
          <w:rFonts w:eastAsia="SimSun"/>
        </w:rPr>
      </w:pPr>
      <w:r w:rsidRPr="006E5751">
        <w:rPr>
          <w:szCs w:val="18"/>
        </w:rPr>
        <w:tab/>
      </w:r>
      <w:r>
        <w:rPr>
          <w:rStyle w:val="FootnoteReference"/>
          <w:szCs w:val="18"/>
        </w:rPr>
        <w:footnoteRef/>
      </w:r>
      <w:r>
        <w:rPr>
          <w:szCs w:val="18"/>
        </w:rPr>
        <w:tab/>
        <w:t>Закон № 365/1994, статьи 72 и 74 (2).</w:t>
      </w:r>
    </w:p>
  </w:footnote>
  <w:footnote w:id="98">
    <w:p w:rsidR="004408E3" w:rsidRPr="006E5751" w:rsidRDefault="004408E3" w:rsidP="004408E3">
      <w:pPr>
        <w:pStyle w:val="FootnoteText"/>
        <w:tabs>
          <w:tab w:val="right" w:pos="1195"/>
          <w:tab w:val="left" w:pos="1267"/>
          <w:tab w:val="left" w:pos="1742"/>
          <w:tab w:val="left" w:pos="2218"/>
          <w:tab w:val="left" w:pos="2693"/>
        </w:tabs>
        <w:ind w:left="1267" w:right="1260" w:hanging="432"/>
        <w:rPr>
          <w:rFonts w:eastAsia="SimSun"/>
        </w:rPr>
      </w:pPr>
      <w:r>
        <w:rPr>
          <w:szCs w:val="18"/>
        </w:rPr>
        <w:tab/>
      </w:r>
      <w:r>
        <w:rPr>
          <w:rStyle w:val="FootnoteReference"/>
          <w:szCs w:val="18"/>
        </w:rPr>
        <w:footnoteRef/>
      </w:r>
      <w:r w:rsidRPr="006E5751">
        <w:rPr>
          <w:rStyle w:val="FootnoteReference"/>
          <w:szCs w:val="18"/>
        </w:rPr>
        <w:tab/>
      </w:r>
      <w:r>
        <w:rPr>
          <w:szCs w:val="18"/>
        </w:rPr>
        <w:t>Закон</w:t>
      </w:r>
      <w:r w:rsidRPr="006E5751">
        <w:rPr>
          <w:szCs w:val="18"/>
        </w:rPr>
        <w:t xml:space="preserve"> № 2974/1997, </w:t>
      </w:r>
      <w:r>
        <w:rPr>
          <w:szCs w:val="18"/>
        </w:rPr>
        <w:t>статья</w:t>
      </w:r>
      <w:r w:rsidRPr="006E5751">
        <w:rPr>
          <w:szCs w:val="18"/>
        </w:rPr>
        <w:t xml:space="preserve"> 13.</w:t>
      </w:r>
    </w:p>
  </w:footnote>
  <w:footnote w:id="99">
    <w:p w:rsidR="004408E3" w:rsidRPr="006E5751" w:rsidRDefault="004408E3" w:rsidP="004408E3">
      <w:pPr>
        <w:pStyle w:val="FootnoteText"/>
        <w:tabs>
          <w:tab w:val="right" w:pos="1195"/>
          <w:tab w:val="left" w:pos="1267"/>
          <w:tab w:val="left" w:pos="1742"/>
          <w:tab w:val="left" w:pos="2218"/>
          <w:tab w:val="left" w:pos="2693"/>
        </w:tabs>
        <w:ind w:left="1267" w:right="1260" w:hanging="432"/>
      </w:pPr>
      <w:r w:rsidRPr="006E5751">
        <w:rPr>
          <w:szCs w:val="18"/>
        </w:rPr>
        <w:tab/>
      </w:r>
      <w:r>
        <w:rPr>
          <w:rStyle w:val="FootnoteReference"/>
          <w:szCs w:val="18"/>
        </w:rPr>
        <w:footnoteRef/>
      </w:r>
      <w:r w:rsidRPr="006E5751">
        <w:rPr>
          <w:rStyle w:val="FootnoteReference"/>
          <w:szCs w:val="18"/>
        </w:rPr>
        <w:tab/>
      </w:r>
      <w:r>
        <w:rPr>
          <w:szCs w:val="18"/>
        </w:rPr>
        <w:t>Указ</w:t>
      </w:r>
      <w:r w:rsidRPr="006E5751">
        <w:rPr>
          <w:szCs w:val="18"/>
        </w:rPr>
        <w:t xml:space="preserve"> №.3233/1012, </w:t>
      </w:r>
      <w:r>
        <w:rPr>
          <w:szCs w:val="18"/>
        </w:rPr>
        <w:t>статья</w:t>
      </w:r>
      <w:r w:rsidRPr="006E5751">
        <w:rPr>
          <w:szCs w:val="18"/>
        </w:rPr>
        <w:t xml:space="preserve"> 165.</w:t>
      </w:r>
    </w:p>
  </w:footnote>
  <w:footnote w:id="100">
    <w:p w:rsidR="004408E3" w:rsidRPr="006E5751" w:rsidRDefault="004408E3" w:rsidP="004408E3">
      <w:pPr>
        <w:pStyle w:val="FootnoteText"/>
        <w:tabs>
          <w:tab w:val="right" w:pos="1195"/>
          <w:tab w:val="left" w:pos="1267"/>
          <w:tab w:val="left" w:pos="1742"/>
          <w:tab w:val="left" w:pos="2218"/>
          <w:tab w:val="left" w:pos="2693"/>
        </w:tabs>
        <w:ind w:left="1267" w:right="1260" w:hanging="432"/>
      </w:pPr>
      <w:r w:rsidRPr="006E5751">
        <w:rPr>
          <w:szCs w:val="18"/>
        </w:rPr>
        <w:tab/>
      </w:r>
      <w:r>
        <w:rPr>
          <w:rStyle w:val="FootnoteReference"/>
          <w:szCs w:val="18"/>
        </w:rPr>
        <w:footnoteRef/>
      </w:r>
      <w:r w:rsidRPr="006E5751">
        <w:rPr>
          <w:rStyle w:val="FootnoteReference"/>
          <w:szCs w:val="18"/>
        </w:rPr>
        <w:tab/>
      </w:r>
      <w:r>
        <w:rPr>
          <w:szCs w:val="18"/>
        </w:rPr>
        <w:t>Закон</w:t>
      </w:r>
      <w:r w:rsidRPr="006E5751">
        <w:rPr>
          <w:szCs w:val="18"/>
        </w:rPr>
        <w:t xml:space="preserve"> №.222544, </w:t>
      </w:r>
      <w:r>
        <w:rPr>
          <w:szCs w:val="18"/>
        </w:rPr>
        <w:t>статья</w:t>
      </w:r>
      <w:r w:rsidRPr="006E5751">
        <w:rPr>
          <w:szCs w:val="18"/>
        </w:rPr>
        <w:t xml:space="preserve"> 7.</w:t>
      </w:r>
    </w:p>
  </w:footnote>
  <w:footnote w:id="101">
    <w:p w:rsidR="004408E3" w:rsidRDefault="004408E3" w:rsidP="004408E3">
      <w:pPr>
        <w:pStyle w:val="FootnoteText"/>
        <w:tabs>
          <w:tab w:val="right" w:pos="1195"/>
          <w:tab w:val="left" w:pos="1267"/>
          <w:tab w:val="left" w:pos="1742"/>
          <w:tab w:val="left" w:pos="2218"/>
          <w:tab w:val="left" w:pos="2693"/>
        </w:tabs>
        <w:ind w:left="1267" w:right="1260" w:hanging="432"/>
      </w:pPr>
      <w:r w:rsidRPr="006E5751">
        <w:rPr>
          <w:szCs w:val="18"/>
        </w:rPr>
        <w:tab/>
      </w:r>
      <w:r>
        <w:rPr>
          <w:rStyle w:val="FootnoteReference"/>
          <w:szCs w:val="18"/>
        </w:rPr>
        <w:footnoteRef/>
      </w:r>
      <w:r>
        <w:rPr>
          <w:rStyle w:val="FootnoteReference"/>
          <w:szCs w:val="18"/>
        </w:rPr>
        <w:tab/>
      </w:r>
      <w:r>
        <w:rPr>
          <w:szCs w:val="18"/>
        </w:rPr>
        <w:t>Закон №.003/2011, статьи 55, 59 и 60 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4408E3" w:rsidTr="00EC0913">
      <w:trPr>
        <w:trHeight w:hRule="exact" w:val="864"/>
        <w:jc w:val="center"/>
      </w:trPr>
      <w:tc>
        <w:tcPr>
          <w:tcW w:w="4882" w:type="dxa"/>
          <w:shd w:val="clear" w:color="auto" w:fill="auto"/>
          <w:vAlign w:val="bottom"/>
        </w:tcPr>
        <w:p w:rsidR="004408E3" w:rsidRPr="00EC0913" w:rsidRDefault="004408E3" w:rsidP="00EC0913">
          <w:pPr>
            <w:pStyle w:val="Header"/>
            <w:spacing w:after="80"/>
            <w:rPr>
              <w:b/>
            </w:rPr>
          </w:pPr>
          <w:r>
            <w:rPr>
              <w:b/>
            </w:rPr>
            <w:fldChar w:fldCharType="begin"/>
          </w:r>
          <w:r>
            <w:rPr>
              <w:b/>
            </w:rPr>
            <w:instrText xml:space="preserve"> DOCVARIABLE "sss1" \* MERGEFORMAT </w:instrText>
          </w:r>
          <w:r>
            <w:rPr>
              <w:b/>
            </w:rPr>
            <w:fldChar w:fldCharType="separate"/>
          </w:r>
          <w:r w:rsidR="00162CC7">
            <w:rPr>
              <w:b/>
            </w:rPr>
            <w:t>A/HRC/30/34</w:t>
          </w:r>
          <w:r>
            <w:rPr>
              <w:b/>
            </w:rPr>
            <w:fldChar w:fldCharType="end"/>
          </w:r>
        </w:p>
      </w:tc>
      <w:tc>
        <w:tcPr>
          <w:tcW w:w="5127" w:type="dxa"/>
          <w:shd w:val="clear" w:color="auto" w:fill="auto"/>
          <w:vAlign w:val="bottom"/>
        </w:tcPr>
        <w:p w:rsidR="004408E3" w:rsidRDefault="004408E3" w:rsidP="00EC0913">
          <w:pPr>
            <w:pStyle w:val="Header"/>
          </w:pPr>
        </w:p>
      </w:tc>
    </w:tr>
  </w:tbl>
  <w:p w:rsidR="004408E3" w:rsidRPr="00EC0913" w:rsidRDefault="004408E3" w:rsidP="00EC09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4408E3" w:rsidTr="00EC0913">
      <w:trPr>
        <w:trHeight w:hRule="exact" w:val="864"/>
        <w:jc w:val="center"/>
      </w:trPr>
      <w:tc>
        <w:tcPr>
          <w:tcW w:w="4882" w:type="dxa"/>
          <w:shd w:val="clear" w:color="auto" w:fill="auto"/>
          <w:vAlign w:val="bottom"/>
        </w:tcPr>
        <w:p w:rsidR="004408E3" w:rsidRDefault="004408E3" w:rsidP="00EC0913">
          <w:pPr>
            <w:pStyle w:val="Header"/>
          </w:pPr>
        </w:p>
      </w:tc>
      <w:tc>
        <w:tcPr>
          <w:tcW w:w="5127" w:type="dxa"/>
          <w:shd w:val="clear" w:color="auto" w:fill="auto"/>
          <w:vAlign w:val="bottom"/>
        </w:tcPr>
        <w:p w:rsidR="004408E3" w:rsidRPr="00EC0913" w:rsidRDefault="004408E3" w:rsidP="00EC0913">
          <w:pPr>
            <w:pStyle w:val="Header"/>
            <w:spacing w:after="80"/>
            <w:jc w:val="right"/>
            <w:rPr>
              <w:b/>
            </w:rPr>
          </w:pPr>
          <w:r>
            <w:rPr>
              <w:b/>
            </w:rPr>
            <w:fldChar w:fldCharType="begin"/>
          </w:r>
          <w:r>
            <w:rPr>
              <w:b/>
            </w:rPr>
            <w:instrText xml:space="preserve"> DOCVARIABLE "sss1" \* MERGEFORMAT </w:instrText>
          </w:r>
          <w:r>
            <w:rPr>
              <w:b/>
            </w:rPr>
            <w:fldChar w:fldCharType="separate"/>
          </w:r>
          <w:r w:rsidR="00162CC7">
            <w:rPr>
              <w:b/>
            </w:rPr>
            <w:t>A/HRC/30/34</w:t>
          </w:r>
          <w:r>
            <w:rPr>
              <w:b/>
            </w:rPr>
            <w:fldChar w:fldCharType="end"/>
          </w:r>
        </w:p>
      </w:tc>
    </w:tr>
  </w:tbl>
  <w:p w:rsidR="004408E3" w:rsidRPr="00EC0913" w:rsidRDefault="004408E3" w:rsidP="00EC09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23" w:type="dxa"/>
      <w:tblLayout w:type="fixed"/>
      <w:tblCellMar>
        <w:left w:w="0" w:type="dxa"/>
        <w:right w:w="0" w:type="dxa"/>
      </w:tblCellMar>
      <w:tblLook w:val="0000" w:firstRow="0" w:lastRow="0" w:firstColumn="0" w:lastColumn="0" w:noHBand="0" w:noVBand="0"/>
    </w:tblPr>
    <w:tblGrid>
      <w:gridCol w:w="1267"/>
      <w:gridCol w:w="3154"/>
      <w:gridCol w:w="245"/>
      <w:gridCol w:w="1828"/>
      <w:gridCol w:w="245"/>
      <w:gridCol w:w="3284"/>
    </w:tblGrid>
    <w:tr w:rsidR="004408E3" w:rsidTr="00EC0913">
      <w:trPr>
        <w:trHeight w:hRule="exact" w:val="864"/>
      </w:trPr>
      <w:tc>
        <w:tcPr>
          <w:tcW w:w="4421" w:type="dxa"/>
          <w:gridSpan w:val="2"/>
          <w:tcBorders>
            <w:bottom w:val="single" w:sz="4" w:space="0" w:color="auto"/>
          </w:tcBorders>
          <w:shd w:val="clear" w:color="auto" w:fill="auto"/>
          <w:vAlign w:val="bottom"/>
        </w:tcPr>
        <w:p w:rsidR="004408E3" w:rsidRPr="00EC0913" w:rsidRDefault="004408E3" w:rsidP="00EC0913">
          <w:pPr>
            <w:pStyle w:val="HCh"/>
            <w:spacing w:after="80"/>
            <w:rPr>
              <w:b w:val="0"/>
              <w:spacing w:val="2"/>
              <w:w w:val="96"/>
            </w:rPr>
          </w:pPr>
          <w:r>
            <w:rPr>
              <w:b w:val="0"/>
              <w:spacing w:val="2"/>
              <w:w w:val="96"/>
            </w:rPr>
            <w:t>Организация Объединенных Наций</w:t>
          </w:r>
        </w:p>
      </w:tc>
      <w:tc>
        <w:tcPr>
          <w:tcW w:w="245" w:type="dxa"/>
          <w:tcBorders>
            <w:bottom w:val="single" w:sz="4" w:space="0" w:color="auto"/>
          </w:tcBorders>
          <w:shd w:val="clear" w:color="auto" w:fill="auto"/>
          <w:vAlign w:val="bottom"/>
        </w:tcPr>
        <w:p w:rsidR="004408E3" w:rsidRDefault="004408E3" w:rsidP="00EC0913">
          <w:pPr>
            <w:pStyle w:val="Header"/>
            <w:spacing w:after="120"/>
          </w:pPr>
        </w:p>
      </w:tc>
      <w:tc>
        <w:tcPr>
          <w:tcW w:w="5357" w:type="dxa"/>
          <w:gridSpan w:val="3"/>
          <w:tcBorders>
            <w:bottom w:val="single" w:sz="4" w:space="0" w:color="auto"/>
          </w:tcBorders>
          <w:shd w:val="clear" w:color="auto" w:fill="auto"/>
          <w:vAlign w:val="bottom"/>
        </w:tcPr>
        <w:p w:rsidR="004408E3" w:rsidRPr="00EC0913" w:rsidRDefault="004408E3" w:rsidP="00EC0913">
          <w:pPr>
            <w:pStyle w:val="Header"/>
            <w:spacing w:after="20"/>
            <w:jc w:val="right"/>
            <w:rPr>
              <w:sz w:val="20"/>
            </w:rPr>
          </w:pPr>
          <w:r>
            <w:rPr>
              <w:sz w:val="40"/>
            </w:rPr>
            <w:t>A</w:t>
          </w:r>
          <w:r>
            <w:rPr>
              <w:sz w:val="20"/>
            </w:rPr>
            <w:t>/HRC/30/34</w:t>
          </w:r>
        </w:p>
      </w:tc>
    </w:tr>
    <w:tr w:rsidR="004408E3" w:rsidRPr="00D72844" w:rsidTr="00EC0913">
      <w:trPr>
        <w:trHeight w:hRule="exact" w:val="2880"/>
      </w:trPr>
      <w:tc>
        <w:tcPr>
          <w:tcW w:w="1267" w:type="dxa"/>
          <w:tcBorders>
            <w:top w:val="single" w:sz="4" w:space="0" w:color="auto"/>
            <w:bottom w:val="single" w:sz="12" w:space="0" w:color="auto"/>
          </w:tcBorders>
          <w:shd w:val="clear" w:color="auto" w:fill="auto"/>
        </w:tcPr>
        <w:p w:rsidR="004408E3" w:rsidRPr="00EC0913" w:rsidRDefault="004408E3" w:rsidP="00EC0913">
          <w:pPr>
            <w:pStyle w:val="Header"/>
            <w:spacing w:before="120"/>
            <w:jc w:val="center"/>
          </w:pPr>
          <w:r>
            <w:t xml:space="preserve"> </w:t>
          </w:r>
          <w:r>
            <w:rPr>
              <w:noProof/>
              <w:lang w:val="en-GB" w:eastAsia="en-GB"/>
            </w:rPr>
            <w:drawing>
              <wp:inline distT="0" distB="0" distL="0" distR="0" wp14:anchorId="3C33AA97" wp14:editId="25242A31">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4408E3" w:rsidRPr="00EC0913" w:rsidRDefault="004408E3" w:rsidP="00EC0913">
          <w:pPr>
            <w:pStyle w:val="XLarge"/>
            <w:spacing w:before="109"/>
          </w:pPr>
          <w:r>
            <w:t>Генеральная Ассамблея</w:t>
          </w:r>
        </w:p>
      </w:tc>
      <w:tc>
        <w:tcPr>
          <w:tcW w:w="245" w:type="dxa"/>
          <w:tcBorders>
            <w:top w:val="single" w:sz="4" w:space="0" w:color="auto"/>
            <w:bottom w:val="single" w:sz="12" w:space="0" w:color="auto"/>
          </w:tcBorders>
          <w:shd w:val="clear" w:color="auto" w:fill="auto"/>
        </w:tcPr>
        <w:p w:rsidR="004408E3" w:rsidRPr="00EC0913" w:rsidRDefault="004408E3" w:rsidP="00EC0913">
          <w:pPr>
            <w:pStyle w:val="Header"/>
            <w:spacing w:before="109"/>
          </w:pPr>
        </w:p>
      </w:tc>
      <w:tc>
        <w:tcPr>
          <w:tcW w:w="3280" w:type="dxa"/>
          <w:tcBorders>
            <w:top w:val="single" w:sz="4" w:space="0" w:color="auto"/>
            <w:bottom w:val="single" w:sz="12" w:space="0" w:color="auto"/>
          </w:tcBorders>
          <w:shd w:val="clear" w:color="auto" w:fill="auto"/>
        </w:tcPr>
        <w:p w:rsidR="004408E3" w:rsidRPr="00D72844" w:rsidRDefault="004408E3" w:rsidP="00EC0913">
          <w:pPr>
            <w:pStyle w:val="Distribution"/>
            <w:rPr>
              <w:color w:val="000000"/>
              <w:lang w:val="en-US"/>
            </w:rPr>
          </w:pPr>
          <w:r w:rsidRPr="00D72844">
            <w:rPr>
              <w:color w:val="000000"/>
              <w:lang w:val="en-US"/>
            </w:rPr>
            <w:t>Distr.: General</w:t>
          </w:r>
        </w:p>
        <w:p w:rsidR="004408E3" w:rsidRPr="00D72844" w:rsidRDefault="004408E3" w:rsidP="00EC0913">
          <w:pPr>
            <w:pStyle w:val="Publication"/>
            <w:rPr>
              <w:color w:val="000000"/>
              <w:lang w:val="en-US"/>
            </w:rPr>
          </w:pPr>
          <w:r w:rsidRPr="00D72844">
            <w:rPr>
              <w:color w:val="000000"/>
              <w:lang w:val="en-US"/>
            </w:rPr>
            <w:t>8 July 2015</w:t>
          </w:r>
        </w:p>
        <w:p w:rsidR="004408E3" w:rsidRPr="00D72844" w:rsidRDefault="004408E3" w:rsidP="00EC0913">
          <w:pPr>
            <w:rPr>
              <w:color w:val="000000"/>
              <w:lang w:val="en-US"/>
            </w:rPr>
          </w:pPr>
          <w:r w:rsidRPr="00D72844">
            <w:rPr>
              <w:color w:val="000000"/>
              <w:lang w:val="en-US"/>
            </w:rPr>
            <w:t>Russian</w:t>
          </w:r>
        </w:p>
        <w:p w:rsidR="004408E3" w:rsidRPr="00D72844" w:rsidRDefault="004408E3" w:rsidP="00EC0913">
          <w:pPr>
            <w:pStyle w:val="Original"/>
            <w:rPr>
              <w:color w:val="000000"/>
              <w:lang w:val="en-US"/>
            </w:rPr>
          </w:pPr>
          <w:r w:rsidRPr="00D72844">
            <w:rPr>
              <w:color w:val="000000"/>
              <w:lang w:val="en-US"/>
            </w:rPr>
            <w:t>Original: English</w:t>
          </w:r>
        </w:p>
        <w:p w:rsidR="004408E3" w:rsidRPr="00D72844" w:rsidRDefault="004408E3" w:rsidP="00EC0913">
          <w:pPr>
            <w:rPr>
              <w:lang w:val="en-US"/>
            </w:rPr>
          </w:pPr>
        </w:p>
      </w:tc>
    </w:tr>
  </w:tbl>
  <w:p w:rsidR="004408E3" w:rsidRPr="00D72844" w:rsidRDefault="004408E3" w:rsidP="00EC0913">
    <w:pPr>
      <w:pStyle w:val="Header"/>
      <w:spacing w:line="20" w:lineRule="exact"/>
      <w:rPr>
        <w:sz w:val="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0274CA"/>
    <w:lvl w:ilvl="0">
      <w:start w:val="1"/>
      <w:numFmt w:val="decimal"/>
      <w:pStyle w:val="ListNumber5"/>
      <w:lvlText w:val="%1."/>
      <w:lvlJc w:val="left"/>
      <w:pPr>
        <w:tabs>
          <w:tab w:val="num" w:pos="1980"/>
        </w:tabs>
        <w:ind w:left="1980" w:hanging="360"/>
      </w:pPr>
    </w:lvl>
  </w:abstractNum>
  <w:abstractNum w:abstractNumId="1">
    <w:nsid w:val="FFFFFF7D"/>
    <w:multiLevelType w:val="singleLevel"/>
    <w:tmpl w:val="6D1A04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7822B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86A6CC"/>
    <w:lvl w:ilvl="0">
      <w:start w:val="1"/>
      <w:numFmt w:val="decimal"/>
      <w:pStyle w:val="ListNumber2"/>
      <w:lvlText w:val="%1."/>
      <w:lvlJc w:val="left"/>
      <w:pPr>
        <w:tabs>
          <w:tab w:val="num" w:pos="720"/>
        </w:tabs>
        <w:ind w:left="720" w:hanging="360"/>
      </w:pPr>
    </w:lvl>
  </w:abstractNum>
  <w:abstractNum w:abstractNumId="4">
    <w:nsid w:val="FFFFFF80"/>
    <w:multiLevelType w:val="singleLevel"/>
    <w:tmpl w:val="022A49F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0F62B7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EAD56"/>
    <w:lvl w:ilvl="0">
      <w:start w:val="1"/>
      <w:numFmt w:val="bullet"/>
      <w:pStyle w:val="Heading9"/>
      <w:lvlText w:val=""/>
      <w:lvlJc w:val="left"/>
      <w:pPr>
        <w:tabs>
          <w:tab w:val="num" w:pos="926"/>
        </w:tabs>
        <w:ind w:left="926" w:hanging="360"/>
      </w:pPr>
      <w:rPr>
        <w:rFonts w:ascii="Symbol" w:hAnsi="Symbol" w:hint="default"/>
      </w:rPr>
    </w:lvl>
  </w:abstractNum>
  <w:abstractNum w:abstractNumId="7">
    <w:nsid w:val="FFFFFF83"/>
    <w:multiLevelType w:val="singleLevel"/>
    <w:tmpl w:val="4F82C5B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B06E02E"/>
    <w:lvl w:ilvl="0">
      <w:start w:val="1"/>
      <w:numFmt w:val="decimal"/>
      <w:pStyle w:val="ListNumber"/>
      <w:lvlText w:val="%1."/>
      <w:lvlJc w:val="left"/>
      <w:pPr>
        <w:tabs>
          <w:tab w:val="num" w:pos="360"/>
        </w:tabs>
        <w:ind w:left="360" w:hanging="360"/>
      </w:pPr>
    </w:lvl>
  </w:abstractNum>
  <w:abstractNum w:abstractNumId="9">
    <w:nsid w:val="FFFFFF89"/>
    <w:multiLevelType w:val="singleLevel"/>
    <w:tmpl w:val="AA6A47F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F2036B"/>
    <w:multiLevelType w:val="hybridMultilevel"/>
    <w:tmpl w:val="ECFE84DE"/>
    <w:lvl w:ilvl="0" w:tplc="08090017">
      <w:start w:val="1"/>
      <w:numFmt w:val="lowerLetter"/>
      <w:pStyle w:val="Bullet1G"/>
      <w:lvlText w:val="%1)"/>
      <w:lvlJc w:val="left"/>
      <w:pPr>
        <w:tabs>
          <w:tab w:val="num" w:pos="1871"/>
        </w:tabs>
        <w:ind w:left="1871" w:hanging="170"/>
      </w:pPr>
      <w:rPr>
        <w:rFonts w:cs="Times New Roman" w:hint="default"/>
      </w:rPr>
    </w:lvl>
    <w:lvl w:ilvl="1" w:tplc="040C0003" w:tentative="1">
      <w:start w:val="1"/>
      <w:numFmt w:val="bullet"/>
      <w:lvlText w:val="o"/>
      <w:lvlJc w:val="left"/>
      <w:pPr>
        <w:tabs>
          <w:tab w:val="num" w:pos="1610"/>
        </w:tabs>
        <w:ind w:left="1610" w:hanging="360"/>
      </w:pPr>
      <w:rPr>
        <w:rFonts w:ascii="Courier New" w:hAnsi="Courier New" w:hint="default"/>
      </w:rPr>
    </w:lvl>
    <w:lvl w:ilvl="2" w:tplc="040C0005" w:tentative="1">
      <w:start w:val="1"/>
      <w:numFmt w:val="bullet"/>
      <w:lvlText w:val=""/>
      <w:lvlJc w:val="left"/>
      <w:pPr>
        <w:tabs>
          <w:tab w:val="num" w:pos="2330"/>
        </w:tabs>
        <w:ind w:left="2330" w:hanging="360"/>
      </w:pPr>
      <w:rPr>
        <w:rFonts w:ascii="Wingdings" w:hAnsi="Wingdings" w:hint="default"/>
      </w:rPr>
    </w:lvl>
    <w:lvl w:ilvl="3" w:tplc="040C0001" w:tentative="1">
      <w:start w:val="1"/>
      <w:numFmt w:val="bullet"/>
      <w:lvlText w:val=""/>
      <w:lvlJc w:val="left"/>
      <w:pPr>
        <w:tabs>
          <w:tab w:val="num" w:pos="3050"/>
        </w:tabs>
        <w:ind w:left="3050" w:hanging="360"/>
      </w:pPr>
      <w:rPr>
        <w:rFonts w:ascii="Symbol" w:hAnsi="Symbol" w:hint="default"/>
      </w:rPr>
    </w:lvl>
    <w:lvl w:ilvl="4" w:tplc="040C0003" w:tentative="1">
      <w:start w:val="1"/>
      <w:numFmt w:val="bullet"/>
      <w:lvlText w:val="o"/>
      <w:lvlJc w:val="left"/>
      <w:pPr>
        <w:tabs>
          <w:tab w:val="num" w:pos="3770"/>
        </w:tabs>
        <w:ind w:left="3770" w:hanging="360"/>
      </w:pPr>
      <w:rPr>
        <w:rFonts w:ascii="Courier New" w:hAnsi="Courier New" w:hint="default"/>
      </w:rPr>
    </w:lvl>
    <w:lvl w:ilvl="5" w:tplc="040C0005" w:tentative="1">
      <w:start w:val="1"/>
      <w:numFmt w:val="bullet"/>
      <w:lvlText w:val=""/>
      <w:lvlJc w:val="left"/>
      <w:pPr>
        <w:tabs>
          <w:tab w:val="num" w:pos="4490"/>
        </w:tabs>
        <w:ind w:left="4490" w:hanging="360"/>
      </w:pPr>
      <w:rPr>
        <w:rFonts w:ascii="Wingdings" w:hAnsi="Wingdings" w:hint="default"/>
      </w:rPr>
    </w:lvl>
    <w:lvl w:ilvl="6" w:tplc="040C0001" w:tentative="1">
      <w:start w:val="1"/>
      <w:numFmt w:val="bullet"/>
      <w:lvlText w:val=""/>
      <w:lvlJc w:val="left"/>
      <w:pPr>
        <w:tabs>
          <w:tab w:val="num" w:pos="5210"/>
        </w:tabs>
        <w:ind w:left="5210" w:hanging="360"/>
      </w:pPr>
      <w:rPr>
        <w:rFonts w:ascii="Symbol" w:hAnsi="Symbol" w:hint="default"/>
      </w:rPr>
    </w:lvl>
    <w:lvl w:ilvl="7" w:tplc="040C0003" w:tentative="1">
      <w:start w:val="1"/>
      <w:numFmt w:val="bullet"/>
      <w:lvlText w:val="o"/>
      <w:lvlJc w:val="left"/>
      <w:pPr>
        <w:tabs>
          <w:tab w:val="num" w:pos="5930"/>
        </w:tabs>
        <w:ind w:left="5930" w:hanging="360"/>
      </w:pPr>
      <w:rPr>
        <w:rFonts w:ascii="Courier New" w:hAnsi="Courier New" w:hint="default"/>
      </w:rPr>
    </w:lvl>
    <w:lvl w:ilvl="8" w:tplc="040C0005" w:tentative="1">
      <w:start w:val="1"/>
      <w:numFmt w:val="bullet"/>
      <w:lvlText w:val=""/>
      <w:lvlJc w:val="left"/>
      <w:pPr>
        <w:tabs>
          <w:tab w:val="num" w:pos="6650"/>
        </w:tabs>
        <w:ind w:left="6650" w:hanging="360"/>
      </w:pPr>
      <w:rPr>
        <w:rFonts w:ascii="Wingdings" w:hAnsi="Wingdings" w:hint="default"/>
      </w:rPr>
    </w:lvl>
  </w:abstractNum>
  <w:abstractNum w:abstractNumId="11">
    <w:nsid w:val="0AA332A2"/>
    <w:multiLevelType w:val="hybridMultilevel"/>
    <w:tmpl w:val="BE82049E"/>
    <w:lvl w:ilvl="0" w:tplc="981625E8">
      <w:start w:val="1"/>
      <w:numFmt w:val="bullet"/>
      <w:pStyle w:val="Bullet1"/>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C361C2C"/>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F4F6F35"/>
    <w:multiLevelType w:val="multilevel"/>
    <w:tmpl w:val="2488C386"/>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8"/>
      <w:lvlJc w:val="left"/>
      <w:pPr>
        <w:tabs>
          <w:tab w:val="num" w:pos="3888"/>
        </w:tabs>
        <w:ind w:left="3888" w:firstLine="0"/>
      </w:pPr>
    </w:lvl>
    <w:lvl w:ilvl="8">
      <w:start w:val="1"/>
      <w:numFmt w:val="none"/>
      <w:suff w:val="nothing"/>
      <w:lvlText w:val="%9"/>
      <w:lvlJc w:val="left"/>
      <w:pPr>
        <w:tabs>
          <w:tab w:val="num" w:pos="3888"/>
        </w:tabs>
        <w:ind w:left="3888" w:firstLine="0"/>
      </w:pPr>
    </w:lvl>
  </w:abstractNum>
  <w:abstractNum w:abstractNumId="14">
    <w:nsid w:val="44E42048"/>
    <w:multiLevelType w:val="hybridMultilevel"/>
    <w:tmpl w:val="5534289A"/>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8C6CF5"/>
    <w:multiLevelType w:val="hybridMultilevel"/>
    <w:tmpl w:val="93FCAD22"/>
    <w:lvl w:ilvl="0" w:tplc="F73C6636">
      <w:start w:val="1"/>
      <w:numFmt w:val="bullet"/>
      <w:pStyle w:val="Bullet2GR"/>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3676EF3"/>
    <w:multiLevelType w:val="multilevel"/>
    <w:tmpl w:val="04190023"/>
    <w:styleLink w:val="ArticleSection"/>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5BC90228"/>
    <w:multiLevelType w:val="hybridMultilevel"/>
    <w:tmpl w:val="E5464F8E"/>
    <w:lvl w:ilvl="0" w:tplc="FD0C5992">
      <w:start w:val="1"/>
      <w:numFmt w:val="decimal"/>
      <w:pStyle w:val="ParaNoGR"/>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5BF12F8"/>
    <w:multiLevelType w:val="hybridMultilevel"/>
    <w:tmpl w:val="43A6C61A"/>
    <w:lvl w:ilvl="0" w:tplc="A652453E">
      <w:start w:val="1"/>
      <w:numFmt w:val="bullet"/>
      <w:pStyle w:val="Bullet1GR"/>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76B2E12"/>
    <w:multiLevelType w:val="hybridMultilevel"/>
    <w:tmpl w:val="44F61EA4"/>
    <w:lvl w:ilvl="0" w:tplc="6A0EF176">
      <w:start w:val="1"/>
      <w:numFmt w:val="bullet"/>
      <w:pStyle w:val="Bullet2"/>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778310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8"/>
  </w:num>
  <w:num w:numId="3">
    <w:abstractNumId w:val="3"/>
  </w:num>
  <w:num w:numId="4">
    <w:abstractNumId w:val="2"/>
  </w:num>
  <w:num w:numId="5">
    <w:abstractNumId w:val="1"/>
  </w:num>
  <w:num w:numId="6">
    <w:abstractNumId w:val="0"/>
  </w:num>
  <w:num w:numId="7">
    <w:abstractNumId w:val="11"/>
  </w:num>
  <w:num w:numId="8">
    <w:abstractNumId w:val="19"/>
  </w:num>
  <w:num w:numId="9">
    <w:abstractNumId w:val="18"/>
  </w:num>
  <w:num w:numId="10">
    <w:abstractNumId w:val="15"/>
  </w:num>
  <w:num w:numId="11">
    <w:abstractNumId w:val="17"/>
  </w:num>
  <w:num w:numId="12">
    <w:abstractNumId w:val="20"/>
  </w:num>
  <w:num w:numId="13">
    <w:abstractNumId w:val="12"/>
  </w:num>
  <w:num w:numId="14">
    <w:abstractNumId w:val="9"/>
  </w:num>
  <w:num w:numId="15">
    <w:abstractNumId w:val="7"/>
  </w:num>
  <w:num w:numId="16">
    <w:abstractNumId w:val="6"/>
  </w:num>
  <w:num w:numId="17">
    <w:abstractNumId w:val="5"/>
  </w:num>
  <w:num w:numId="18">
    <w:abstractNumId w:val="4"/>
  </w:num>
  <w:num w:numId="19">
    <w:abstractNumId w:val="16"/>
  </w:num>
  <w:num w:numId="20">
    <w:abstractNumId w:val="10"/>
  </w:num>
  <w:num w:numId="21">
    <w:abstractNumId w:val="21"/>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475"/>
  <w:autoHyphenation/>
  <w:hyphenationZone w:val="220"/>
  <w:doNotHyphenateCaps/>
  <w:evenAndOddHeaders/>
  <w:drawingGridHorizontalSpacing w:val="209"/>
  <w:displayVerticalDrawingGridEvery w:val="2"/>
  <w:characterSpacingControl w:val="doNotCompress"/>
  <w:hdrShapeDefaults>
    <o:shapedefaults v:ext="edit" spidmax="6145"/>
  </w:hdrShapeDefaults>
  <w:footnotePr>
    <w:footnote w:id="-1"/>
    <w:footnote w:id="0"/>
  </w:footnotePr>
  <w:endnotePr>
    <w:numFmt w:val="decimal"/>
    <w:endnote w:id="-1"/>
    <w:endnote w:id="0"/>
  </w:endnotePr>
  <w:compat>
    <w:noColumnBalance/>
    <w:printColBlack/>
    <w:showBreaksInFrames/>
    <w:suppressBottomSpacing/>
    <w:suppressTopSpacing/>
    <w:suppressSpBfAfterPgBrk/>
    <w:shapeLayoutLikeWW8/>
    <w:forgetLastTabAlignment/>
    <w:doNotUseHTMLParagraphAutoSpacing/>
    <w:layoutRawTableWidth/>
    <w:doNotBreakWrappedTables/>
    <w:doNotSnapToGridInCell/>
    <w:selectFldWithFirstOrLastChar/>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Barcode" w:val="*1511553*"/>
    <w:docVar w:name="CreationDt" w:val="7/22/2015 12:00 PM"/>
    <w:docVar w:name="DocCategory" w:val="Doc"/>
    <w:docVar w:name="DocType" w:val="Final"/>
    <w:docVar w:name="DutyStation" w:val="Geneva"/>
    <w:docVar w:name="FooterJN" w:val="GE.15-11553"/>
    <w:docVar w:name="jobn" w:val="GE.15-11553 (R)"/>
    <w:docVar w:name="jobnDT" w:val="GE.15-11553 (R)   220715"/>
    <w:docVar w:name="jobnDTDT" w:val="GE.15-11553 (R)   220715   220715"/>
    <w:docVar w:name="JobNo" w:val="GE.1511553R"/>
    <w:docVar w:name="JobNo2" w:val="1515198R"/>
    <w:docVar w:name="LocalDrive" w:val="0"/>
    <w:docVar w:name="OandT" w:val="ei"/>
    <w:docVar w:name="PaperSize" w:val="A4"/>
    <w:docVar w:name="sss1" w:val="A/HRC/30/34"/>
    <w:docVar w:name="sss2" w:val="-"/>
    <w:docVar w:name="Symbol1" w:val="A/HRC/30/34"/>
    <w:docVar w:name="Symbol2" w:val="-"/>
  </w:docVars>
  <w:rsids>
    <w:rsidRoot w:val="00D11F70"/>
    <w:rsid w:val="0000281F"/>
    <w:rsid w:val="00004615"/>
    <w:rsid w:val="00004756"/>
    <w:rsid w:val="00015201"/>
    <w:rsid w:val="00024A67"/>
    <w:rsid w:val="00025CF3"/>
    <w:rsid w:val="0002669B"/>
    <w:rsid w:val="00033C1F"/>
    <w:rsid w:val="000513EF"/>
    <w:rsid w:val="0005420D"/>
    <w:rsid w:val="00055EA2"/>
    <w:rsid w:val="00067A90"/>
    <w:rsid w:val="00070C37"/>
    <w:rsid w:val="000738BD"/>
    <w:rsid w:val="00076F88"/>
    <w:rsid w:val="0008067C"/>
    <w:rsid w:val="00092464"/>
    <w:rsid w:val="00097A9D"/>
    <w:rsid w:val="000A111E"/>
    <w:rsid w:val="000A4A11"/>
    <w:rsid w:val="000C069D"/>
    <w:rsid w:val="000C67BC"/>
    <w:rsid w:val="000E0F08"/>
    <w:rsid w:val="000E30BA"/>
    <w:rsid w:val="000E35C6"/>
    <w:rsid w:val="000E3712"/>
    <w:rsid w:val="000E4411"/>
    <w:rsid w:val="000F1ACD"/>
    <w:rsid w:val="000F5D07"/>
    <w:rsid w:val="00105B0E"/>
    <w:rsid w:val="00113678"/>
    <w:rsid w:val="001235FD"/>
    <w:rsid w:val="00127518"/>
    <w:rsid w:val="001444A3"/>
    <w:rsid w:val="00153645"/>
    <w:rsid w:val="00153E8C"/>
    <w:rsid w:val="00160648"/>
    <w:rsid w:val="00161F29"/>
    <w:rsid w:val="00162CC7"/>
    <w:rsid w:val="00162E88"/>
    <w:rsid w:val="001726A4"/>
    <w:rsid w:val="00172EE4"/>
    <w:rsid w:val="00175AC4"/>
    <w:rsid w:val="00177361"/>
    <w:rsid w:val="001802BD"/>
    <w:rsid w:val="00193822"/>
    <w:rsid w:val="0019704E"/>
    <w:rsid w:val="001A39EE"/>
    <w:rsid w:val="001A4338"/>
    <w:rsid w:val="001A4E7E"/>
    <w:rsid w:val="001A6777"/>
    <w:rsid w:val="001C54CE"/>
    <w:rsid w:val="001D1749"/>
    <w:rsid w:val="001D2679"/>
    <w:rsid w:val="001D60ED"/>
    <w:rsid w:val="001E21CE"/>
    <w:rsid w:val="001E25A2"/>
    <w:rsid w:val="001E61AD"/>
    <w:rsid w:val="001E639C"/>
    <w:rsid w:val="001F4353"/>
    <w:rsid w:val="001F639D"/>
    <w:rsid w:val="00206603"/>
    <w:rsid w:val="002078A2"/>
    <w:rsid w:val="00211A7E"/>
    <w:rsid w:val="00215955"/>
    <w:rsid w:val="00217A24"/>
    <w:rsid w:val="00223C57"/>
    <w:rsid w:val="00242477"/>
    <w:rsid w:val="002524D1"/>
    <w:rsid w:val="002535D8"/>
    <w:rsid w:val="00254046"/>
    <w:rsid w:val="00261386"/>
    <w:rsid w:val="00261C41"/>
    <w:rsid w:val="00264124"/>
    <w:rsid w:val="00264A43"/>
    <w:rsid w:val="002726BA"/>
    <w:rsid w:val="00277697"/>
    <w:rsid w:val="00281B96"/>
    <w:rsid w:val="002A04A3"/>
    <w:rsid w:val="002A0BAE"/>
    <w:rsid w:val="002B6501"/>
    <w:rsid w:val="002B6E2A"/>
    <w:rsid w:val="002C0A4B"/>
    <w:rsid w:val="002C3DE6"/>
    <w:rsid w:val="002C66D0"/>
    <w:rsid w:val="002D396F"/>
    <w:rsid w:val="002D4606"/>
    <w:rsid w:val="002D666D"/>
    <w:rsid w:val="002E1F79"/>
    <w:rsid w:val="002F5C45"/>
    <w:rsid w:val="002F6149"/>
    <w:rsid w:val="003070ED"/>
    <w:rsid w:val="00326F5F"/>
    <w:rsid w:val="00332D90"/>
    <w:rsid w:val="00333B06"/>
    <w:rsid w:val="00337D91"/>
    <w:rsid w:val="00346BFB"/>
    <w:rsid w:val="00350756"/>
    <w:rsid w:val="003542EE"/>
    <w:rsid w:val="00362FFE"/>
    <w:rsid w:val="003658B0"/>
    <w:rsid w:val="0038044D"/>
    <w:rsid w:val="00384AEE"/>
    <w:rsid w:val="0038527A"/>
    <w:rsid w:val="00391367"/>
    <w:rsid w:val="0039505F"/>
    <w:rsid w:val="003A150E"/>
    <w:rsid w:val="003A2730"/>
    <w:rsid w:val="003B16B4"/>
    <w:rsid w:val="003B5A03"/>
    <w:rsid w:val="003C12AC"/>
    <w:rsid w:val="003C2842"/>
    <w:rsid w:val="003D0825"/>
    <w:rsid w:val="003D2003"/>
    <w:rsid w:val="003D5DA2"/>
    <w:rsid w:val="003E5193"/>
    <w:rsid w:val="00402244"/>
    <w:rsid w:val="00427FE5"/>
    <w:rsid w:val="004318AA"/>
    <w:rsid w:val="00433222"/>
    <w:rsid w:val="00436A23"/>
    <w:rsid w:val="00436F13"/>
    <w:rsid w:val="004408E3"/>
    <w:rsid w:val="004420FB"/>
    <w:rsid w:val="00445A4E"/>
    <w:rsid w:val="004504A6"/>
    <w:rsid w:val="00460D23"/>
    <w:rsid w:val="004645DD"/>
    <w:rsid w:val="0047759D"/>
    <w:rsid w:val="00487893"/>
    <w:rsid w:val="0049612D"/>
    <w:rsid w:val="004964B8"/>
    <w:rsid w:val="004A21EE"/>
    <w:rsid w:val="004A36EE"/>
    <w:rsid w:val="004A7499"/>
    <w:rsid w:val="004B1314"/>
    <w:rsid w:val="004B722C"/>
    <w:rsid w:val="004C1B79"/>
    <w:rsid w:val="004C6A2C"/>
    <w:rsid w:val="004D275F"/>
    <w:rsid w:val="004D474D"/>
    <w:rsid w:val="004D6276"/>
    <w:rsid w:val="004D656E"/>
    <w:rsid w:val="004E6443"/>
    <w:rsid w:val="004E7743"/>
    <w:rsid w:val="00504669"/>
    <w:rsid w:val="005058E0"/>
    <w:rsid w:val="00511EAC"/>
    <w:rsid w:val="005121DC"/>
    <w:rsid w:val="00513113"/>
    <w:rsid w:val="00515869"/>
    <w:rsid w:val="005214BA"/>
    <w:rsid w:val="00522E6D"/>
    <w:rsid w:val="00524A24"/>
    <w:rsid w:val="005251C4"/>
    <w:rsid w:val="00526E12"/>
    <w:rsid w:val="00533411"/>
    <w:rsid w:val="005427EA"/>
    <w:rsid w:val="00545562"/>
    <w:rsid w:val="0054563F"/>
    <w:rsid w:val="005469E1"/>
    <w:rsid w:val="00552E08"/>
    <w:rsid w:val="005635F7"/>
    <w:rsid w:val="00563A41"/>
    <w:rsid w:val="0056579C"/>
    <w:rsid w:val="00567706"/>
    <w:rsid w:val="00572298"/>
    <w:rsid w:val="005734C2"/>
    <w:rsid w:val="00574AA1"/>
    <w:rsid w:val="00574D85"/>
    <w:rsid w:val="0057633B"/>
    <w:rsid w:val="00577545"/>
    <w:rsid w:val="00585859"/>
    <w:rsid w:val="00590EDF"/>
    <w:rsid w:val="005933CB"/>
    <w:rsid w:val="00593E2F"/>
    <w:rsid w:val="005A002C"/>
    <w:rsid w:val="005A1D01"/>
    <w:rsid w:val="005A5601"/>
    <w:rsid w:val="005A62A9"/>
    <w:rsid w:val="005A7964"/>
    <w:rsid w:val="005B064E"/>
    <w:rsid w:val="005B499C"/>
    <w:rsid w:val="005C0440"/>
    <w:rsid w:val="005D38B6"/>
    <w:rsid w:val="005D7642"/>
    <w:rsid w:val="005E0A46"/>
    <w:rsid w:val="005E3D0D"/>
    <w:rsid w:val="005E7DCF"/>
    <w:rsid w:val="005F02E0"/>
    <w:rsid w:val="005F6E5C"/>
    <w:rsid w:val="00602F9D"/>
    <w:rsid w:val="0060593E"/>
    <w:rsid w:val="00616B8D"/>
    <w:rsid w:val="006261A6"/>
    <w:rsid w:val="0062751F"/>
    <w:rsid w:val="00632AFD"/>
    <w:rsid w:val="0063491E"/>
    <w:rsid w:val="00634A27"/>
    <w:rsid w:val="00635AF8"/>
    <w:rsid w:val="006409EF"/>
    <w:rsid w:val="00646363"/>
    <w:rsid w:val="00647668"/>
    <w:rsid w:val="00655212"/>
    <w:rsid w:val="00657EE4"/>
    <w:rsid w:val="006816AA"/>
    <w:rsid w:val="00682A27"/>
    <w:rsid w:val="00684FCA"/>
    <w:rsid w:val="0069689E"/>
    <w:rsid w:val="006A1698"/>
    <w:rsid w:val="006A1D06"/>
    <w:rsid w:val="006A3F10"/>
    <w:rsid w:val="006A71EB"/>
    <w:rsid w:val="006B34CB"/>
    <w:rsid w:val="006B452C"/>
    <w:rsid w:val="006B590B"/>
    <w:rsid w:val="006C59D5"/>
    <w:rsid w:val="006D58BE"/>
    <w:rsid w:val="006E1418"/>
    <w:rsid w:val="006F3683"/>
    <w:rsid w:val="00700738"/>
    <w:rsid w:val="00705549"/>
    <w:rsid w:val="0071210D"/>
    <w:rsid w:val="00716BC5"/>
    <w:rsid w:val="007170E5"/>
    <w:rsid w:val="00723115"/>
    <w:rsid w:val="00724550"/>
    <w:rsid w:val="00731830"/>
    <w:rsid w:val="00736A19"/>
    <w:rsid w:val="00743C8D"/>
    <w:rsid w:val="00745258"/>
    <w:rsid w:val="0077374B"/>
    <w:rsid w:val="007746A3"/>
    <w:rsid w:val="007766E6"/>
    <w:rsid w:val="00781ACA"/>
    <w:rsid w:val="00785F8F"/>
    <w:rsid w:val="00787B44"/>
    <w:rsid w:val="00790CD9"/>
    <w:rsid w:val="00791F20"/>
    <w:rsid w:val="00795A5A"/>
    <w:rsid w:val="00796BDD"/>
    <w:rsid w:val="00796EC3"/>
    <w:rsid w:val="007B098D"/>
    <w:rsid w:val="007B1DE5"/>
    <w:rsid w:val="007B5785"/>
    <w:rsid w:val="007B5CF3"/>
    <w:rsid w:val="007B67AE"/>
    <w:rsid w:val="007C62D1"/>
    <w:rsid w:val="007C706F"/>
    <w:rsid w:val="007C7320"/>
    <w:rsid w:val="007E0E39"/>
    <w:rsid w:val="007E2B60"/>
    <w:rsid w:val="007F0E54"/>
    <w:rsid w:val="007F5107"/>
    <w:rsid w:val="00803EC5"/>
    <w:rsid w:val="008040BA"/>
    <w:rsid w:val="008042D6"/>
    <w:rsid w:val="00806380"/>
    <w:rsid w:val="00821CE2"/>
    <w:rsid w:val="00830FF8"/>
    <w:rsid w:val="0083355D"/>
    <w:rsid w:val="00833A04"/>
    <w:rsid w:val="00833B8D"/>
    <w:rsid w:val="00843750"/>
    <w:rsid w:val="00844407"/>
    <w:rsid w:val="00853E2A"/>
    <w:rsid w:val="008541E9"/>
    <w:rsid w:val="00856EEB"/>
    <w:rsid w:val="008739EB"/>
    <w:rsid w:val="008776BB"/>
    <w:rsid w:val="00880540"/>
    <w:rsid w:val="0088396E"/>
    <w:rsid w:val="008A1A7A"/>
    <w:rsid w:val="008A45EE"/>
    <w:rsid w:val="008B0632"/>
    <w:rsid w:val="008B08A3"/>
    <w:rsid w:val="008B4F64"/>
    <w:rsid w:val="008B53C0"/>
    <w:rsid w:val="008B5F7F"/>
    <w:rsid w:val="008B64B1"/>
    <w:rsid w:val="008B6A49"/>
    <w:rsid w:val="008B709D"/>
    <w:rsid w:val="008C11F5"/>
    <w:rsid w:val="008C2A03"/>
    <w:rsid w:val="008C6372"/>
    <w:rsid w:val="008D0CE3"/>
    <w:rsid w:val="008E7A0A"/>
    <w:rsid w:val="008F12FD"/>
    <w:rsid w:val="008F13EA"/>
    <w:rsid w:val="008F24E6"/>
    <w:rsid w:val="00904F3C"/>
    <w:rsid w:val="0090623F"/>
    <w:rsid w:val="00906702"/>
    <w:rsid w:val="00907EDB"/>
    <w:rsid w:val="009110C5"/>
    <w:rsid w:val="00912FB5"/>
    <w:rsid w:val="00915944"/>
    <w:rsid w:val="009228D9"/>
    <w:rsid w:val="009327BF"/>
    <w:rsid w:val="00934047"/>
    <w:rsid w:val="00935F33"/>
    <w:rsid w:val="0094745A"/>
    <w:rsid w:val="00952B5F"/>
    <w:rsid w:val="00953546"/>
    <w:rsid w:val="0095649D"/>
    <w:rsid w:val="009565AD"/>
    <w:rsid w:val="00963BDB"/>
    <w:rsid w:val="00984EE4"/>
    <w:rsid w:val="0099354F"/>
    <w:rsid w:val="009B16EA"/>
    <w:rsid w:val="009B3444"/>
    <w:rsid w:val="009B5DCD"/>
    <w:rsid w:val="009B5EE6"/>
    <w:rsid w:val="009B7193"/>
    <w:rsid w:val="009C20B9"/>
    <w:rsid w:val="009C382E"/>
    <w:rsid w:val="009D28B9"/>
    <w:rsid w:val="009D6E3D"/>
    <w:rsid w:val="009F0808"/>
    <w:rsid w:val="00A1426A"/>
    <w:rsid w:val="00A14F1D"/>
    <w:rsid w:val="00A1703F"/>
    <w:rsid w:val="00A2180A"/>
    <w:rsid w:val="00A22293"/>
    <w:rsid w:val="00A344D5"/>
    <w:rsid w:val="00A46574"/>
    <w:rsid w:val="00A471A3"/>
    <w:rsid w:val="00A47B1B"/>
    <w:rsid w:val="00A63339"/>
    <w:rsid w:val="00A90F41"/>
    <w:rsid w:val="00A910E7"/>
    <w:rsid w:val="00A93B3B"/>
    <w:rsid w:val="00A951DD"/>
    <w:rsid w:val="00A9600A"/>
    <w:rsid w:val="00A96C80"/>
    <w:rsid w:val="00AA0ABF"/>
    <w:rsid w:val="00AA27C2"/>
    <w:rsid w:val="00AB49FD"/>
    <w:rsid w:val="00AC271B"/>
    <w:rsid w:val="00AD12DB"/>
    <w:rsid w:val="00AD6322"/>
    <w:rsid w:val="00AD6752"/>
    <w:rsid w:val="00AD78B1"/>
    <w:rsid w:val="00AE2FCA"/>
    <w:rsid w:val="00AF0B91"/>
    <w:rsid w:val="00AF1A65"/>
    <w:rsid w:val="00AF3B70"/>
    <w:rsid w:val="00B03D42"/>
    <w:rsid w:val="00B17439"/>
    <w:rsid w:val="00B17940"/>
    <w:rsid w:val="00B17A11"/>
    <w:rsid w:val="00B2296A"/>
    <w:rsid w:val="00B2472B"/>
    <w:rsid w:val="00B2753B"/>
    <w:rsid w:val="00B33139"/>
    <w:rsid w:val="00B36652"/>
    <w:rsid w:val="00B47187"/>
    <w:rsid w:val="00B5129B"/>
    <w:rsid w:val="00B56376"/>
    <w:rsid w:val="00B5741E"/>
    <w:rsid w:val="00B606B7"/>
    <w:rsid w:val="00B62C69"/>
    <w:rsid w:val="00B666EC"/>
    <w:rsid w:val="00B77560"/>
    <w:rsid w:val="00B77FC0"/>
    <w:rsid w:val="00BB052D"/>
    <w:rsid w:val="00BB1F92"/>
    <w:rsid w:val="00BB5B7F"/>
    <w:rsid w:val="00BB7E8A"/>
    <w:rsid w:val="00BC20A0"/>
    <w:rsid w:val="00BC75AA"/>
    <w:rsid w:val="00BD0770"/>
    <w:rsid w:val="00BD2F16"/>
    <w:rsid w:val="00BE2488"/>
    <w:rsid w:val="00BE2D25"/>
    <w:rsid w:val="00BE448A"/>
    <w:rsid w:val="00BE531D"/>
    <w:rsid w:val="00BF2725"/>
    <w:rsid w:val="00BF3D60"/>
    <w:rsid w:val="00BF5FCB"/>
    <w:rsid w:val="00C00290"/>
    <w:rsid w:val="00C05FFF"/>
    <w:rsid w:val="00C16B93"/>
    <w:rsid w:val="00C2210E"/>
    <w:rsid w:val="00C2524E"/>
    <w:rsid w:val="00C32802"/>
    <w:rsid w:val="00C40B0B"/>
    <w:rsid w:val="00C41B6F"/>
    <w:rsid w:val="00C42BBF"/>
    <w:rsid w:val="00C45A45"/>
    <w:rsid w:val="00C50728"/>
    <w:rsid w:val="00C56B0F"/>
    <w:rsid w:val="00C60105"/>
    <w:rsid w:val="00C623BF"/>
    <w:rsid w:val="00C62B8D"/>
    <w:rsid w:val="00C6396F"/>
    <w:rsid w:val="00C640D1"/>
    <w:rsid w:val="00C64551"/>
    <w:rsid w:val="00C65540"/>
    <w:rsid w:val="00C7011D"/>
    <w:rsid w:val="00C70D59"/>
    <w:rsid w:val="00C7432F"/>
    <w:rsid w:val="00C77473"/>
    <w:rsid w:val="00C856F4"/>
    <w:rsid w:val="00C91210"/>
    <w:rsid w:val="00C96443"/>
    <w:rsid w:val="00CA2CF3"/>
    <w:rsid w:val="00CB519E"/>
    <w:rsid w:val="00CC3D89"/>
    <w:rsid w:val="00CC5B37"/>
    <w:rsid w:val="00CC5F24"/>
    <w:rsid w:val="00CD2ED3"/>
    <w:rsid w:val="00CD3C62"/>
    <w:rsid w:val="00CE4211"/>
    <w:rsid w:val="00CF021B"/>
    <w:rsid w:val="00CF066B"/>
    <w:rsid w:val="00CF07BE"/>
    <w:rsid w:val="00CF5B33"/>
    <w:rsid w:val="00D028FF"/>
    <w:rsid w:val="00D03ECD"/>
    <w:rsid w:val="00D05963"/>
    <w:rsid w:val="00D07231"/>
    <w:rsid w:val="00D11640"/>
    <w:rsid w:val="00D11F70"/>
    <w:rsid w:val="00D1470E"/>
    <w:rsid w:val="00D20AA4"/>
    <w:rsid w:val="00D25A7B"/>
    <w:rsid w:val="00D32157"/>
    <w:rsid w:val="00D434AF"/>
    <w:rsid w:val="00D44FA6"/>
    <w:rsid w:val="00D554C9"/>
    <w:rsid w:val="00D61BB7"/>
    <w:rsid w:val="00D62DA9"/>
    <w:rsid w:val="00D70D97"/>
    <w:rsid w:val="00D7165D"/>
    <w:rsid w:val="00D72844"/>
    <w:rsid w:val="00D75705"/>
    <w:rsid w:val="00D961D6"/>
    <w:rsid w:val="00D97B17"/>
    <w:rsid w:val="00DA1A4A"/>
    <w:rsid w:val="00DA4AFE"/>
    <w:rsid w:val="00DA4BD0"/>
    <w:rsid w:val="00DB326E"/>
    <w:rsid w:val="00DC1E7E"/>
    <w:rsid w:val="00DC7A5F"/>
    <w:rsid w:val="00DD0548"/>
    <w:rsid w:val="00DD6A66"/>
    <w:rsid w:val="00DE0D15"/>
    <w:rsid w:val="00DF1CF0"/>
    <w:rsid w:val="00DF6656"/>
    <w:rsid w:val="00DF7388"/>
    <w:rsid w:val="00E04C73"/>
    <w:rsid w:val="00E079A3"/>
    <w:rsid w:val="00E12674"/>
    <w:rsid w:val="00E132AC"/>
    <w:rsid w:val="00E15CCC"/>
    <w:rsid w:val="00E15D7D"/>
    <w:rsid w:val="00E17234"/>
    <w:rsid w:val="00E23ABA"/>
    <w:rsid w:val="00E261F5"/>
    <w:rsid w:val="00E34A5B"/>
    <w:rsid w:val="00E4741B"/>
    <w:rsid w:val="00E478DE"/>
    <w:rsid w:val="00E5226F"/>
    <w:rsid w:val="00E53135"/>
    <w:rsid w:val="00E54D94"/>
    <w:rsid w:val="00E6111E"/>
    <w:rsid w:val="00E616D0"/>
    <w:rsid w:val="00E62CCE"/>
    <w:rsid w:val="00E64F51"/>
    <w:rsid w:val="00E65C07"/>
    <w:rsid w:val="00E8225E"/>
    <w:rsid w:val="00E86497"/>
    <w:rsid w:val="00E90547"/>
    <w:rsid w:val="00E970B0"/>
    <w:rsid w:val="00EA1656"/>
    <w:rsid w:val="00EA1819"/>
    <w:rsid w:val="00EA255B"/>
    <w:rsid w:val="00EB1F66"/>
    <w:rsid w:val="00EB646E"/>
    <w:rsid w:val="00EC0913"/>
    <w:rsid w:val="00EC34C1"/>
    <w:rsid w:val="00EC6F5D"/>
    <w:rsid w:val="00EC7A61"/>
    <w:rsid w:val="00ED1C96"/>
    <w:rsid w:val="00EE3586"/>
    <w:rsid w:val="00EE7954"/>
    <w:rsid w:val="00EF1FBD"/>
    <w:rsid w:val="00F07943"/>
    <w:rsid w:val="00F07DDF"/>
    <w:rsid w:val="00F16256"/>
    <w:rsid w:val="00F231E8"/>
    <w:rsid w:val="00F26EA8"/>
    <w:rsid w:val="00F30632"/>
    <w:rsid w:val="00F33544"/>
    <w:rsid w:val="00F35ACF"/>
    <w:rsid w:val="00F51C87"/>
    <w:rsid w:val="00F5214D"/>
    <w:rsid w:val="00F624BD"/>
    <w:rsid w:val="00F62A5E"/>
    <w:rsid w:val="00F634A6"/>
    <w:rsid w:val="00F6634F"/>
    <w:rsid w:val="00F72CD1"/>
    <w:rsid w:val="00F74A39"/>
    <w:rsid w:val="00F8138E"/>
    <w:rsid w:val="00F85203"/>
    <w:rsid w:val="00F87D5A"/>
    <w:rsid w:val="00F87EF6"/>
    <w:rsid w:val="00F92676"/>
    <w:rsid w:val="00F94262"/>
    <w:rsid w:val="00F9616B"/>
    <w:rsid w:val="00F979A8"/>
    <w:rsid w:val="00FA1B93"/>
    <w:rsid w:val="00FA5551"/>
    <w:rsid w:val="00FA7C7A"/>
    <w:rsid w:val="00FC17EA"/>
    <w:rsid w:val="00FC6C53"/>
    <w:rsid w:val="00FD213B"/>
    <w:rsid w:val="00FD3CE8"/>
    <w:rsid w:val="00FD5B91"/>
    <w:rsid w:val="00FD7513"/>
    <w:rsid w:val="00FE179A"/>
    <w:rsid w:val="00FE2684"/>
    <w:rsid w:val="00FF07F5"/>
    <w:rsid w:val="00FF12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semiHidden="0" w:uiPriority="99" w:unhideWhenUsed="0"/>
    <w:lsdException w:name="footer" w:semiHidden="0" w:uiPriority="99" w:unhideWhenUsed="0"/>
    <w:lsdException w:name="index heading" w:uiPriority="99"/>
    <w:lsdException w:name="caption" w:uiPriority="35" w:qFormat="1"/>
    <w:lsdException w:name="table of figures" w:uiPriority="99"/>
    <w:lsdException w:name="footnote reference" w:uiPriority="99"/>
    <w:lsdException w:name="annotation reference" w:uiPriority="99"/>
    <w:lsdException w:name="line number" w:semiHidden="0" w:unhideWhenUsed="0"/>
    <w:lsdException w:name="page number" w:uiPriority="99"/>
    <w:lsdException w:name="endnote reference" w:uiPriority="99"/>
    <w:lsdException w:name="endnote text" w:uiPriority="99"/>
    <w:lsdException w:name="table of authorities" w:uiPriority="99"/>
    <w:lsdException w:name="macro" w:uiPriority="99"/>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99" w:unhideWhenUsed="0" w:qFormat="1"/>
    <w:lsdException w:name="Default Paragraph Font" w:uiPriority="1"/>
    <w:lsdException w:name="Body Text" w:uiPriority="99"/>
    <w:lsdException w:name="List Continue" w:semiHidden="0" w:unhideWhenUsed="0"/>
    <w:lsdException w:name="List Continue 2" w:semiHidden="0" w:unhideWhenUsed="0"/>
    <w:lsdException w:name="Subtitle" w:unhideWhenUsed="0" w:qFormat="1"/>
    <w:lsdException w:name="Body Text 2" w:uiPriority="99"/>
    <w:lsdException w:name="Hyperlink" w:uiPriority="99"/>
    <w:lsdException w:name="FollowedHyperlink" w:uiPriority="99"/>
    <w:lsdException w:name="Strong" w:unhideWhenUsed="0" w:qFormat="1"/>
    <w:lsdException w:name="Emphasis" w:uiPriority="99" w:unhideWhenUsed="0" w:qFormat="1"/>
    <w:lsdException w:name="Document Map" w:uiPriority="99"/>
    <w:lsdException w:name="HTML Top of Form" w:uiPriority="99"/>
    <w:lsdException w:name="HTML Bottom of Form" w:uiPriority="99"/>
    <w:lsdException w:name="HTML Preformatted" w:uiPriority="99"/>
    <w:lsdException w:name="Normal Table" w:uiPriority="99"/>
    <w:lsdException w:name="annotation subject" w:uiPriority="99"/>
    <w:lsdException w:name="No List" w:uiPriority="99"/>
    <w:lsdException w:name="Table Web 3" w:uiPriority="99"/>
    <w:lsdException w:name="Balloon Text" w:uiPriority="99"/>
    <w:lsdException w:name="Table Grid" w:semiHidden="0" w:uiPriority="9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99"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515869"/>
    <w:pPr>
      <w:spacing w:after="0" w:line="240" w:lineRule="exact"/>
    </w:pPr>
    <w:rPr>
      <w:rFonts w:ascii="Times New Roman" w:hAnsi="Times New Roman" w:cs="Times New Roman"/>
      <w:spacing w:val="4"/>
      <w:w w:val="103"/>
      <w:kern w:val="14"/>
      <w:sz w:val="20"/>
      <w:lang w:val="ru-RU"/>
    </w:rPr>
  </w:style>
  <w:style w:type="paragraph" w:styleId="Heading1">
    <w:name w:val="heading 1"/>
    <w:aliases w:val="Table_GR,Table_G"/>
    <w:basedOn w:val="Normal"/>
    <w:next w:val="Normal"/>
    <w:link w:val="Heading1Char"/>
    <w:uiPriority w:val="99"/>
    <w:qFormat/>
    <w:rsid w:val="0088396E"/>
    <w:pPr>
      <w:keepNext/>
      <w:tabs>
        <w:tab w:val="num" w:pos="926"/>
      </w:tabs>
      <w:spacing w:before="240" w:after="60"/>
      <w:ind w:left="926" w:hanging="3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9"/>
    <w:qFormat/>
    <w:rsid w:val="0088396E"/>
    <w:pPr>
      <w:keepNext/>
      <w:numPr>
        <w:ilvl w:val="1"/>
        <w:numId w:val="16"/>
      </w:numPr>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9"/>
    <w:qFormat/>
    <w:rsid w:val="0071210D"/>
    <w:pPr>
      <w:keepNext/>
      <w:numPr>
        <w:ilvl w:val="2"/>
        <w:numId w:val="16"/>
      </w:numPr>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9"/>
    <w:qFormat/>
    <w:rsid w:val="00D72844"/>
    <w:pPr>
      <w:keepNext/>
      <w:numPr>
        <w:ilvl w:val="3"/>
        <w:numId w:val="16"/>
      </w:numPr>
      <w:spacing w:before="240" w:after="60" w:line="240" w:lineRule="atLeast"/>
      <w:ind w:left="864" w:hanging="144"/>
      <w:outlineLvl w:val="3"/>
    </w:pPr>
    <w:rPr>
      <w:rFonts w:eastAsia="Times New Roman"/>
      <w:b/>
      <w:bCs/>
      <w:sz w:val="28"/>
      <w:szCs w:val="28"/>
    </w:rPr>
  </w:style>
  <w:style w:type="paragraph" w:styleId="Heading5">
    <w:name w:val="heading 5"/>
    <w:basedOn w:val="Normal"/>
    <w:next w:val="Normal"/>
    <w:link w:val="Heading5Char"/>
    <w:uiPriority w:val="99"/>
    <w:qFormat/>
    <w:rsid w:val="00D72844"/>
    <w:pPr>
      <w:numPr>
        <w:ilvl w:val="4"/>
        <w:numId w:val="16"/>
      </w:numPr>
      <w:spacing w:before="240" w:after="60" w:line="240" w:lineRule="atLeast"/>
      <w:ind w:left="1008" w:hanging="432"/>
      <w:outlineLvl w:val="4"/>
    </w:pPr>
    <w:rPr>
      <w:rFonts w:eastAsia="Times New Roman"/>
      <w:b/>
      <w:bCs/>
      <w:i/>
      <w:iCs/>
      <w:sz w:val="26"/>
      <w:szCs w:val="26"/>
    </w:rPr>
  </w:style>
  <w:style w:type="paragraph" w:styleId="Heading6">
    <w:name w:val="heading 6"/>
    <w:basedOn w:val="Normal"/>
    <w:next w:val="Normal"/>
    <w:link w:val="Heading6Char"/>
    <w:uiPriority w:val="99"/>
    <w:qFormat/>
    <w:rsid w:val="00D72844"/>
    <w:pPr>
      <w:numPr>
        <w:ilvl w:val="5"/>
        <w:numId w:val="16"/>
      </w:numPr>
      <w:spacing w:before="240" w:after="60" w:line="240" w:lineRule="atLeast"/>
      <w:ind w:left="1152" w:hanging="432"/>
      <w:outlineLvl w:val="5"/>
    </w:pPr>
    <w:rPr>
      <w:rFonts w:eastAsia="Times New Roman"/>
      <w:b/>
      <w:bCs/>
      <w:sz w:val="22"/>
    </w:rPr>
  </w:style>
  <w:style w:type="paragraph" w:styleId="Heading7">
    <w:name w:val="heading 7"/>
    <w:basedOn w:val="Normal"/>
    <w:next w:val="Normal"/>
    <w:link w:val="Heading7Char"/>
    <w:uiPriority w:val="99"/>
    <w:qFormat/>
    <w:rsid w:val="00D72844"/>
    <w:pPr>
      <w:numPr>
        <w:ilvl w:val="6"/>
        <w:numId w:val="16"/>
      </w:numPr>
      <w:spacing w:before="240" w:after="60" w:line="240" w:lineRule="atLeast"/>
      <w:ind w:left="1296" w:hanging="288"/>
      <w:outlineLvl w:val="6"/>
    </w:pPr>
    <w:rPr>
      <w:rFonts w:eastAsia="Times New Roman"/>
      <w:sz w:val="24"/>
      <w:szCs w:val="20"/>
    </w:rPr>
  </w:style>
  <w:style w:type="paragraph" w:styleId="Heading8">
    <w:name w:val="heading 8"/>
    <w:basedOn w:val="Normal"/>
    <w:next w:val="Normal"/>
    <w:link w:val="Heading8Char"/>
    <w:uiPriority w:val="99"/>
    <w:qFormat/>
    <w:rsid w:val="00D72844"/>
    <w:pPr>
      <w:numPr>
        <w:ilvl w:val="7"/>
        <w:numId w:val="16"/>
      </w:numPr>
      <w:spacing w:before="240" w:after="60" w:line="240" w:lineRule="atLeast"/>
      <w:ind w:left="1440" w:hanging="432"/>
      <w:outlineLvl w:val="7"/>
    </w:pPr>
    <w:rPr>
      <w:rFonts w:eastAsia="Times New Roman"/>
      <w:i/>
      <w:iCs/>
      <w:sz w:val="24"/>
      <w:szCs w:val="20"/>
    </w:rPr>
  </w:style>
  <w:style w:type="paragraph" w:styleId="Heading9">
    <w:name w:val="heading 9"/>
    <w:basedOn w:val="Normal"/>
    <w:next w:val="Normal"/>
    <w:link w:val="Heading9Char"/>
    <w:uiPriority w:val="99"/>
    <w:qFormat/>
    <w:rsid w:val="00D72844"/>
    <w:pPr>
      <w:numPr>
        <w:ilvl w:val="8"/>
        <w:numId w:val="16"/>
      </w:numPr>
      <w:spacing w:before="240" w:after="60" w:line="240" w:lineRule="atLeast"/>
      <w:ind w:left="1584" w:hanging="144"/>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SingleTxt"/>
    <w:qFormat/>
    <w:rsid w:val="00935F33"/>
    <w:pPr>
      <w:keepNext/>
      <w:keepLines/>
      <w:spacing w:line="240" w:lineRule="exact"/>
      <w:outlineLvl w:val="1"/>
    </w:pPr>
    <w:rPr>
      <w:spacing w:val="2"/>
      <w:sz w:val="20"/>
    </w:rPr>
  </w:style>
  <w:style w:type="paragraph" w:customStyle="1" w:styleId="H4">
    <w:name w:val="_ H_4"/>
    <w:basedOn w:val="Normal"/>
    <w:next w:val="SingleTxt"/>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aliases w:val="3_GR,3_G"/>
    <w:basedOn w:val="Normal"/>
    <w:link w:val="FooterChar"/>
    <w:uiPriority w:val="99"/>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aliases w:val="3_GR Char,3_G Char"/>
    <w:basedOn w:val="DefaultParagraphFont"/>
    <w:link w:val="Footer"/>
    <w:uiPriority w:val="99"/>
    <w:rsid w:val="00BE531D"/>
    <w:rPr>
      <w:rFonts w:ascii="Times New Roman" w:hAnsi="Times New Roman"/>
      <w:b/>
      <w:sz w:val="17"/>
      <w:lang w:val="ru-RU"/>
    </w:rPr>
  </w:style>
  <w:style w:type="paragraph" w:styleId="Header">
    <w:name w:val="header"/>
    <w:aliases w:val="6_GR,6_G"/>
    <w:basedOn w:val="Normal"/>
    <w:link w:val="HeaderChar"/>
    <w:uiPriority w:val="99"/>
    <w:rsid w:val="0056579C"/>
    <w:pPr>
      <w:tabs>
        <w:tab w:val="center" w:pos="4320"/>
        <w:tab w:val="right" w:pos="8640"/>
      </w:tabs>
      <w:spacing w:line="240" w:lineRule="auto"/>
    </w:pPr>
    <w:rPr>
      <w:spacing w:val="0"/>
      <w:w w:val="100"/>
      <w:kern w:val="0"/>
      <w:sz w:val="17"/>
    </w:rPr>
  </w:style>
  <w:style w:type="character" w:customStyle="1" w:styleId="HeaderChar">
    <w:name w:val="Header Char"/>
    <w:aliases w:val="6_GR Char,6_G Char"/>
    <w:basedOn w:val="DefaultParagraphFont"/>
    <w:link w:val="Header"/>
    <w:uiPriority w:val="99"/>
    <w:rsid w:val="00BE531D"/>
    <w:rPr>
      <w:rFonts w:ascii="Times New Roman" w:hAnsi="Times New Roman"/>
      <w:sz w:val="17"/>
      <w:lang w:val="ru-RU"/>
    </w:rPr>
  </w:style>
  <w:style w:type="character" w:customStyle="1" w:styleId="Heading1Char">
    <w:name w:val="Heading 1 Char"/>
    <w:aliases w:val="Table_GR Char,Table_G Char"/>
    <w:basedOn w:val="DefaultParagraphFont"/>
    <w:link w:val="Heading1"/>
    <w:uiPriority w:val="99"/>
    <w:rsid w:val="0088396E"/>
    <w:rPr>
      <w:rFonts w:ascii="Arial" w:eastAsiaTheme="majorEastAsia" w:hAnsi="Arial" w:cstheme="majorBidi"/>
      <w:b/>
      <w:bCs/>
      <w:spacing w:val="4"/>
      <w:w w:val="103"/>
      <w:kern w:val="14"/>
      <w:sz w:val="32"/>
      <w:szCs w:val="28"/>
      <w:lang w:val="ru-RU"/>
    </w:rPr>
  </w:style>
  <w:style w:type="character" w:customStyle="1" w:styleId="Heading2Char">
    <w:name w:val="Heading 2 Char"/>
    <w:basedOn w:val="DefaultParagraphFont"/>
    <w:link w:val="Heading2"/>
    <w:uiPriority w:val="99"/>
    <w:rsid w:val="0088396E"/>
    <w:rPr>
      <w:rFonts w:ascii="Arial" w:eastAsiaTheme="majorEastAsia" w:hAnsi="Arial" w:cstheme="majorBidi"/>
      <w:b/>
      <w:bCs/>
      <w:i/>
      <w:spacing w:val="4"/>
      <w:w w:val="103"/>
      <w:kern w:val="14"/>
      <w:sz w:val="28"/>
      <w:szCs w:val="26"/>
      <w:lang w:val="ru-RU"/>
    </w:rPr>
  </w:style>
  <w:style w:type="character" w:customStyle="1" w:styleId="Heading3Char">
    <w:name w:val="Heading 3 Char"/>
    <w:basedOn w:val="DefaultParagraphFont"/>
    <w:link w:val="Heading3"/>
    <w:uiPriority w:val="99"/>
    <w:rsid w:val="0071210D"/>
    <w:rPr>
      <w:rFonts w:ascii="Arial" w:eastAsiaTheme="majorEastAsia" w:hAnsi="Arial" w:cstheme="majorBidi"/>
      <w:b/>
      <w:bCs/>
      <w:spacing w:val="4"/>
      <w:w w:val="103"/>
      <w:kern w:val="14"/>
      <w:sz w:val="26"/>
      <w:lang w:val="ru-RU"/>
    </w:rPr>
  </w:style>
  <w:style w:type="paragraph" w:styleId="ListContinue">
    <w:name w:val="List Continue"/>
    <w:basedOn w:val="Normal"/>
    <w:semiHidden/>
    <w:rsid w:val="00DA1A4A"/>
    <w:pPr>
      <w:spacing w:after="120"/>
      <w:ind w:left="360"/>
      <w:contextualSpacing/>
    </w:pPr>
  </w:style>
  <w:style w:type="paragraph" w:styleId="ListContinue2">
    <w:name w:val="List Continue 2"/>
    <w:basedOn w:val="Normal"/>
    <w:next w:val="Normal"/>
    <w:rsid w:val="00DA1A4A"/>
    <w:pPr>
      <w:numPr>
        <w:numId w:val="1"/>
      </w:numPr>
      <w:tabs>
        <w:tab w:val="left" w:pos="792"/>
      </w:tabs>
      <w:spacing w:after="120"/>
    </w:pPr>
  </w:style>
  <w:style w:type="paragraph" w:styleId="ListNumber">
    <w:name w:val="List Number"/>
    <w:basedOn w:val="H1"/>
    <w:next w:val="Normal"/>
    <w:rsid w:val="00DA1A4A"/>
    <w:pPr>
      <w:numPr>
        <w:numId w:val="2"/>
      </w:numPr>
      <w:contextualSpacing/>
    </w:pPr>
  </w:style>
  <w:style w:type="paragraph" w:styleId="ListNumber2">
    <w:name w:val="List Number 2"/>
    <w:basedOn w:val="H23"/>
    <w:next w:val="Normal"/>
    <w:rsid w:val="00004756"/>
    <w:pPr>
      <w:numPr>
        <w:numId w:val="3"/>
      </w:numPr>
      <w:tabs>
        <w:tab w:val="clear" w:pos="720"/>
        <w:tab w:val="left" w:pos="648"/>
      </w:tabs>
      <w:ind w:left="648"/>
      <w:contextualSpacing/>
    </w:pPr>
  </w:style>
  <w:style w:type="paragraph" w:styleId="ListNumber3">
    <w:name w:val="List Number 3"/>
    <w:basedOn w:val="H23"/>
    <w:next w:val="Normal"/>
    <w:rsid w:val="00004756"/>
    <w:pPr>
      <w:numPr>
        <w:numId w:val="4"/>
      </w:numPr>
      <w:tabs>
        <w:tab w:val="clear" w:pos="1080"/>
        <w:tab w:val="left" w:pos="922"/>
      </w:tabs>
      <w:ind w:left="922"/>
      <w:contextualSpacing/>
    </w:pPr>
  </w:style>
  <w:style w:type="paragraph" w:styleId="ListNumber4">
    <w:name w:val="List Number 4"/>
    <w:basedOn w:val="Normal"/>
    <w:rsid w:val="00004756"/>
    <w:pPr>
      <w:keepNext/>
      <w:keepLines/>
      <w:numPr>
        <w:numId w:val="5"/>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rsid w:val="00277697"/>
    <w:pPr>
      <w:numPr>
        <w:numId w:val="6"/>
      </w:numPr>
      <w:tabs>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aliases w:val="5_GR,5_G"/>
    <w:basedOn w:val="Normal"/>
    <w:link w:val="FootnoteTextChar"/>
    <w:uiPriority w:val="99"/>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aliases w:val="5_GR Char,5_G Char"/>
    <w:basedOn w:val="DefaultParagraphFont"/>
    <w:link w:val="FootnoteText"/>
    <w:uiPriority w:val="99"/>
    <w:rsid w:val="00CF07BE"/>
    <w:rPr>
      <w:rFonts w:ascii="Times New Roman" w:hAnsi="Times New Roman"/>
      <w:spacing w:val="5"/>
      <w:w w:val="104"/>
      <w:kern w:val="14"/>
      <w:sz w:val="17"/>
      <w:szCs w:val="20"/>
      <w:lang w:val="ru-RU"/>
    </w:rPr>
  </w:style>
  <w:style w:type="character" w:styleId="FootnoteReference">
    <w:name w:val="footnote reference"/>
    <w:aliases w:val="4_GR,4_G"/>
    <w:basedOn w:val="DefaultParagraphFont"/>
    <w:uiPriority w:val="99"/>
    <w:unhideWhenUsed/>
    <w:rsid w:val="00EC6F5D"/>
    <w:rPr>
      <w:spacing w:val="-5"/>
      <w:w w:val="130"/>
      <w:position w:val="-4"/>
      <w:vertAlign w:val="superscript"/>
    </w:rPr>
  </w:style>
  <w:style w:type="paragraph" w:styleId="EndnoteText">
    <w:name w:val="endnote text"/>
    <w:aliases w:val="2_GR,2_G"/>
    <w:basedOn w:val="Normal"/>
    <w:link w:val="EndnoteTextChar"/>
    <w:uiPriority w:val="99"/>
    <w:unhideWhenUsed/>
    <w:rsid w:val="00515869"/>
    <w:pPr>
      <w:suppressAutoHyphens/>
      <w:spacing w:line="240" w:lineRule="auto"/>
    </w:pPr>
    <w:rPr>
      <w:spacing w:val="5"/>
      <w:w w:val="104"/>
      <w:szCs w:val="20"/>
    </w:rPr>
  </w:style>
  <w:style w:type="character" w:customStyle="1" w:styleId="EndnoteTextChar">
    <w:name w:val="Endnote Text Char"/>
    <w:aliases w:val="2_GR Char,2_G Char"/>
    <w:basedOn w:val="DefaultParagraphFont"/>
    <w:link w:val="EndnoteText"/>
    <w:uiPriority w:val="99"/>
    <w:rsid w:val="00515869"/>
    <w:rPr>
      <w:rFonts w:ascii="Times New Roman" w:hAnsi="Times New Roman"/>
      <w:spacing w:val="5"/>
      <w:w w:val="104"/>
      <w:kern w:val="14"/>
      <w:sz w:val="20"/>
      <w:szCs w:val="20"/>
      <w:lang w:val="ru-RU"/>
    </w:rPr>
  </w:style>
  <w:style w:type="paragraph" w:customStyle="1" w:styleId="Bullet1">
    <w:name w:val="Bullet 1"/>
    <w:basedOn w:val="Normal"/>
    <w:qFormat/>
    <w:rsid w:val="00545562"/>
    <w:pPr>
      <w:numPr>
        <w:numId w:val="7"/>
      </w:numPr>
      <w:tabs>
        <w:tab w:val="left" w:pos="2217"/>
      </w:tabs>
      <w:spacing w:after="120"/>
      <w:ind w:left="1746" w:right="1264" w:hanging="130"/>
      <w:jc w:val="both"/>
    </w:pPr>
  </w:style>
  <w:style w:type="paragraph" w:customStyle="1" w:styleId="Bullet2">
    <w:name w:val="Bullet 2"/>
    <w:basedOn w:val="Normal"/>
    <w:qFormat/>
    <w:rsid w:val="00545562"/>
    <w:pPr>
      <w:numPr>
        <w:numId w:val="8"/>
      </w:numPr>
      <w:tabs>
        <w:tab w:val="left" w:pos="2217"/>
      </w:tabs>
      <w:spacing w:after="120"/>
      <w:ind w:left="2217" w:right="1264" w:hanging="130"/>
      <w:jc w:val="both"/>
    </w:pPr>
  </w:style>
  <w:style w:type="character" w:styleId="CommentReference">
    <w:name w:val="annotation reference"/>
    <w:basedOn w:val="DefaultParagraphFont"/>
    <w:uiPriority w:val="99"/>
    <w:unhideWhenUsed/>
    <w:rsid w:val="00EC0913"/>
    <w:rPr>
      <w:sz w:val="16"/>
      <w:szCs w:val="16"/>
    </w:rPr>
  </w:style>
  <w:style w:type="paragraph" w:styleId="CommentText">
    <w:name w:val="annotation text"/>
    <w:basedOn w:val="Normal"/>
    <w:link w:val="CommentTextChar"/>
    <w:uiPriority w:val="99"/>
    <w:unhideWhenUsed/>
    <w:rsid w:val="00EC0913"/>
    <w:pPr>
      <w:spacing w:line="240" w:lineRule="auto"/>
    </w:pPr>
    <w:rPr>
      <w:szCs w:val="20"/>
    </w:rPr>
  </w:style>
  <w:style w:type="character" w:customStyle="1" w:styleId="CommentTextChar">
    <w:name w:val="Comment Text Char"/>
    <w:basedOn w:val="DefaultParagraphFont"/>
    <w:link w:val="CommentText"/>
    <w:uiPriority w:val="99"/>
    <w:rsid w:val="00EC0913"/>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unhideWhenUsed/>
    <w:rsid w:val="00EC0913"/>
    <w:rPr>
      <w:b/>
      <w:bCs/>
    </w:rPr>
  </w:style>
  <w:style w:type="character" w:customStyle="1" w:styleId="CommentSubjectChar">
    <w:name w:val="Comment Subject Char"/>
    <w:basedOn w:val="CommentTextChar"/>
    <w:link w:val="CommentSubject"/>
    <w:uiPriority w:val="99"/>
    <w:rsid w:val="00EC0913"/>
    <w:rPr>
      <w:rFonts w:ascii="Times New Roman" w:hAnsi="Times New Roman" w:cs="Times New Roman"/>
      <w:b/>
      <w:bCs/>
      <w:spacing w:val="4"/>
      <w:w w:val="103"/>
      <w:kern w:val="14"/>
      <w:sz w:val="20"/>
      <w:szCs w:val="20"/>
      <w:lang w:val="ru-RU"/>
    </w:rPr>
  </w:style>
  <w:style w:type="character" w:customStyle="1" w:styleId="Heading4Char">
    <w:name w:val="Heading 4 Char"/>
    <w:basedOn w:val="DefaultParagraphFont"/>
    <w:link w:val="Heading4"/>
    <w:uiPriority w:val="99"/>
    <w:rsid w:val="00D72844"/>
    <w:rPr>
      <w:rFonts w:ascii="Times New Roman" w:eastAsia="Times New Roman" w:hAnsi="Times New Roman" w:cs="Times New Roman"/>
      <w:b/>
      <w:bCs/>
      <w:spacing w:val="4"/>
      <w:w w:val="103"/>
      <w:kern w:val="14"/>
      <w:sz w:val="28"/>
      <w:szCs w:val="28"/>
      <w:lang w:val="ru-RU"/>
    </w:rPr>
  </w:style>
  <w:style w:type="character" w:customStyle="1" w:styleId="Heading5Char">
    <w:name w:val="Heading 5 Char"/>
    <w:basedOn w:val="DefaultParagraphFont"/>
    <w:link w:val="Heading5"/>
    <w:uiPriority w:val="99"/>
    <w:rsid w:val="00D72844"/>
    <w:rPr>
      <w:rFonts w:ascii="Times New Roman" w:eastAsia="Times New Roman" w:hAnsi="Times New Roman" w:cs="Times New Roman"/>
      <w:b/>
      <w:bCs/>
      <w:i/>
      <w:iCs/>
      <w:spacing w:val="4"/>
      <w:w w:val="103"/>
      <w:kern w:val="14"/>
      <w:sz w:val="26"/>
      <w:szCs w:val="26"/>
      <w:lang w:val="ru-RU"/>
    </w:rPr>
  </w:style>
  <w:style w:type="character" w:customStyle="1" w:styleId="Heading6Char">
    <w:name w:val="Heading 6 Char"/>
    <w:basedOn w:val="DefaultParagraphFont"/>
    <w:link w:val="Heading6"/>
    <w:uiPriority w:val="99"/>
    <w:rsid w:val="00D72844"/>
    <w:rPr>
      <w:rFonts w:ascii="Times New Roman" w:eastAsia="Times New Roman" w:hAnsi="Times New Roman" w:cs="Times New Roman"/>
      <w:b/>
      <w:bCs/>
      <w:spacing w:val="4"/>
      <w:w w:val="103"/>
      <w:kern w:val="14"/>
      <w:lang w:val="ru-RU"/>
    </w:rPr>
  </w:style>
  <w:style w:type="character" w:customStyle="1" w:styleId="Heading7Char">
    <w:name w:val="Heading 7 Char"/>
    <w:basedOn w:val="DefaultParagraphFont"/>
    <w:link w:val="Heading7"/>
    <w:uiPriority w:val="99"/>
    <w:rsid w:val="00D72844"/>
    <w:rPr>
      <w:rFonts w:ascii="Times New Roman" w:eastAsia="Times New Roman" w:hAnsi="Times New Roman" w:cs="Times New Roman"/>
      <w:spacing w:val="4"/>
      <w:w w:val="103"/>
      <w:kern w:val="14"/>
      <w:sz w:val="24"/>
      <w:szCs w:val="20"/>
      <w:lang w:val="ru-RU"/>
    </w:rPr>
  </w:style>
  <w:style w:type="character" w:customStyle="1" w:styleId="Heading8Char">
    <w:name w:val="Heading 8 Char"/>
    <w:basedOn w:val="DefaultParagraphFont"/>
    <w:link w:val="Heading8"/>
    <w:uiPriority w:val="99"/>
    <w:rsid w:val="00D72844"/>
    <w:rPr>
      <w:rFonts w:ascii="Times New Roman" w:eastAsia="Times New Roman" w:hAnsi="Times New Roman" w:cs="Times New Roman"/>
      <w:i/>
      <w:iCs/>
      <w:spacing w:val="4"/>
      <w:w w:val="103"/>
      <w:kern w:val="14"/>
      <w:sz w:val="24"/>
      <w:szCs w:val="20"/>
      <w:lang w:val="ru-RU"/>
    </w:rPr>
  </w:style>
  <w:style w:type="character" w:customStyle="1" w:styleId="Heading9Char">
    <w:name w:val="Heading 9 Char"/>
    <w:basedOn w:val="DefaultParagraphFont"/>
    <w:link w:val="Heading9"/>
    <w:uiPriority w:val="99"/>
    <w:rsid w:val="00D72844"/>
    <w:rPr>
      <w:rFonts w:ascii="Arial" w:eastAsia="Times New Roman" w:hAnsi="Arial" w:cs="Arial"/>
      <w:spacing w:val="4"/>
      <w:w w:val="103"/>
      <w:kern w:val="14"/>
      <w:lang w:val="ru-RU"/>
    </w:rPr>
  </w:style>
  <w:style w:type="paragraph" w:customStyle="1" w:styleId="SLGR">
    <w:name w:val="__S_L_GR"/>
    <w:basedOn w:val="Normal"/>
    <w:next w:val="Normal"/>
    <w:rsid w:val="00D72844"/>
    <w:pPr>
      <w:keepNext/>
      <w:keepLines/>
      <w:suppressAutoHyphens/>
      <w:spacing w:before="240" w:after="240" w:line="580" w:lineRule="exact"/>
      <w:ind w:left="1134" w:right="1134"/>
    </w:pPr>
    <w:rPr>
      <w:rFonts w:eastAsia="Times New Roman"/>
      <w:b/>
      <w:sz w:val="56"/>
      <w:szCs w:val="20"/>
      <w:lang w:eastAsia="ru-RU"/>
    </w:rPr>
  </w:style>
  <w:style w:type="paragraph" w:customStyle="1" w:styleId="SMGR">
    <w:name w:val="__S_M_GR"/>
    <w:basedOn w:val="Normal"/>
    <w:next w:val="Normal"/>
    <w:rsid w:val="00D72844"/>
    <w:pPr>
      <w:keepNext/>
      <w:keepLines/>
      <w:suppressAutoHyphens/>
      <w:spacing w:before="240" w:after="240" w:line="420" w:lineRule="exact"/>
      <w:ind w:left="1134" w:right="1134"/>
    </w:pPr>
    <w:rPr>
      <w:rFonts w:eastAsia="Times New Roman"/>
      <w:b/>
      <w:sz w:val="40"/>
      <w:szCs w:val="20"/>
      <w:lang w:eastAsia="ru-RU"/>
    </w:rPr>
  </w:style>
  <w:style w:type="paragraph" w:customStyle="1" w:styleId="SSGR">
    <w:name w:val="__S_S_GR"/>
    <w:basedOn w:val="Normal"/>
    <w:next w:val="Normal"/>
    <w:rsid w:val="00D72844"/>
    <w:pPr>
      <w:keepNext/>
      <w:keepLines/>
      <w:suppressAutoHyphens/>
      <w:spacing w:before="240" w:after="240" w:line="300" w:lineRule="exact"/>
      <w:ind w:left="1134" w:right="1134"/>
    </w:pPr>
    <w:rPr>
      <w:rFonts w:eastAsia="Times New Roman"/>
      <w:b/>
      <w:sz w:val="28"/>
      <w:szCs w:val="20"/>
      <w:lang w:eastAsia="ru-RU"/>
    </w:rPr>
  </w:style>
  <w:style w:type="paragraph" w:customStyle="1" w:styleId="XLargeGR">
    <w:name w:val="__XLarge_GR"/>
    <w:basedOn w:val="Normal"/>
    <w:next w:val="Normal"/>
    <w:rsid w:val="00D72844"/>
    <w:pPr>
      <w:keepNext/>
      <w:keepLines/>
      <w:suppressAutoHyphens/>
      <w:spacing w:before="240" w:after="240" w:line="420" w:lineRule="exact"/>
      <w:ind w:left="1134" w:right="1134"/>
    </w:pPr>
    <w:rPr>
      <w:rFonts w:eastAsia="Times New Roman"/>
      <w:b/>
      <w:sz w:val="40"/>
      <w:szCs w:val="20"/>
      <w:lang w:eastAsia="ru-RU"/>
    </w:rPr>
  </w:style>
  <w:style w:type="paragraph" w:customStyle="1" w:styleId="Bullet1GR">
    <w:name w:val="_Bullet 1_GR"/>
    <w:basedOn w:val="Normal"/>
    <w:rsid w:val="00D72844"/>
    <w:pPr>
      <w:numPr>
        <w:numId w:val="9"/>
      </w:numPr>
      <w:spacing w:after="120" w:line="240" w:lineRule="atLeast"/>
      <w:ind w:right="1134"/>
      <w:jc w:val="both"/>
    </w:pPr>
    <w:rPr>
      <w:rFonts w:eastAsia="Times New Roman"/>
      <w:szCs w:val="20"/>
      <w:lang w:eastAsia="ru-RU"/>
    </w:rPr>
  </w:style>
  <w:style w:type="paragraph" w:customStyle="1" w:styleId="Bullet2GR">
    <w:name w:val="_Bullet 2_GR"/>
    <w:basedOn w:val="Normal"/>
    <w:rsid w:val="00D72844"/>
    <w:pPr>
      <w:numPr>
        <w:numId w:val="10"/>
      </w:numPr>
      <w:spacing w:after="120" w:line="240" w:lineRule="atLeast"/>
      <w:ind w:right="1134"/>
      <w:jc w:val="both"/>
    </w:pPr>
    <w:rPr>
      <w:rFonts w:eastAsia="Times New Roman"/>
      <w:szCs w:val="20"/>
      <w:lang w:eastAsia="ru-RU"/>
    </w:rPr>
  </w:style>
  <w:style w:type="numbering" w:styleId="111111">
    <w:name w:val="Outline List 2"/>
    <w:basedOn w:val="NoList"/>
    <w:semiHidden/>
    <w:rsid w:val="00D72844"/>
    <w:pPr>
      <w:numPr>
        <w:numId w:val="12"/>
      </w:numPr>
    </w:pPr>
  </w:style>
  <w:style w:type="numbering" w:styleId="1ai">
    <w:name w:val="Outline List 1"/>
    <w:basedOn w:val="NoList"/>
    <w:semiHidden/>
    <w:rsid w:val="00D72844"/>
    <w:pPr>
      <w:numPr>
        <w:numId w:val="13"/>
      </w:numPr>
    </w:pPr>
  </w:style>
  <w:style w:type="paragraph" w:styleId="HTMLAddress">
    <w:name w:val="HTML Address"/>
    <w:basedOn w:val="Normal"/>
    <w:link w:val="HTMLAddressChar"/>
    <w:semiHidden/>
    <w:rsid w:val="00D72844"/>
    <w:pPr>
      <w:spacing w:line="240" w:lineRule="atLeast"/>
    </w:pPr>
    <w:rPr>
      <w:rFonts w:eastAsia="Times New Roman"/>
      <w:i/>
      <w:iCs/>
      <w:szCs w:val="20"/>
    </w:rPr>
  </w:style>
  <w:style w:type="character" w:customStyle="1" w:styleId="HTMLAddressChar">
    <w:name w:val="HTML Address Char"/>
    <w:basedOn w:val="DefaultParagraphFont"/>
    <w:link w:val="HTMLAddress"/>
    <w:semiHidden/>
    <w:rsid w:val="00D72844"/>
    <w:rPr>
      <w:rFonts w:ascii="Times New Roman" w:eastAsia="Times New Roman" w:hAnsi="Times New Roman" w:cs="Times New Roman"/>
      <w:i/>
      <w:iCs/>
      <w:spacing w:val="4"/>
      <w:w w:val="103"/>
      <w:kern w:val="14"/>
      <w:sz w:val="20"/>
      <w:szCs w:val="20"/>
      <w:lang w:val="ru-RU"/>
    </w:rPr>
  </w:style>
  <w:style w:type="paragraph" w:styleId="EnvelopeAddress">
    <w:name w:val="envelope address"/>
    <w:basedOn w:val="Normal"/>
    <w:semiHidden/>
    <w:rsid w:val="00D72844"/>
    <w:pPr>
      <w:framePr w:w="7920" w:h="1980" w:hRule="exact" w:hSpace="180" w:wrap="auto" w:hAnchor="page" w:xAlign="center" w:yAlign="bottom"/>
      <w:spacing w:line="240" w:lineRule="atLeast"/>
      <w:ind w:left="2880"/>
    </w:pPr>
    <w:rPr>
      <w:rFonts w:ascii="Arial" w:eastAsia="Times New Roman" w:hAnsi="Arial" w:cs="Arial"/>
      <w:sz w:val="24"/>
      <w:szCs w:val="20"/>
    </w:rPr>
  </w:style>
  <w:style w:type="paragraph" w:styleId="Date">
    <w:name w:val="Date"/>
    <w:basedOn w:val="Normal"/>
    <w:next w:val="Normal"/>
    <w:link w:val="DateChar"/>
    <w:semiHidden/>
    <w:rsid w:val="00D72844"/>
    <w:pPr>
      <w:spacing w:line="240" w:lineRule="atLeast"/>
    </w:pPr>
    <w:rPr>
      <w:rFonts w:eastAsia="Times New Roman"/>
      <w:szCs w:val="20"/>
    </w:rPr>
  </w:style>
  <w:style w:type="character" w:customStyle="1" w:styleId="DateChar">
    <w:name w:val="Date Char"/>
    <w:basedOn w:val="DefaultParagraphFont"/>
    <w:link w:val="Date"/>
    <w:semiHidden/>
    <w:rsid w:val="00D72844"/>
    <w:rPr>
      <w:rFonts w:ascii="Times New Roman" w:eastAsia="Times New Roman" w:hAnsi="Times New Roman" w:cs="Times New Roman"/>
      <w:spacing w:val="4"/>
      <w:w w:val="103"/>
      <w:kern w:val="14"/>
      <w:sz w:val="20"/>
      <w:szCs w:val="20"/>
      <w:lang w:val="ru-RU"/>
    </w:rPr>
  </w:style>
  <w:style w:type="paragraph" w:styleId="ListBullet5">
    <w:name w:val="List Bullet 5"/>
    <w:basedOn w:val="Normal"/>
    <w:semiHidden/>
    <w:rsid w:val="00D72844"/>
    <w:pPr>
      <w:numPr>
        <w:numId w:val="18"/>
      </w:numPr>
      <w:spacing w:line="240" w:lineRule="atLeast"/>
    </w:pPr>
    <w:rPr>
      <w:rFonts w:eastAsia="Times New Roman"/>
      <w:szCs w:val="20"/>
    </w:rPr>
  </w:style>
  <w:style w:type="table" w:styleId="TableGrid">
    <w:name w:val="Table Grid"/>
    <w:basedOn w:val="TableNormal"/>
    <w:uiPriority w:val="99"/>
    <w:rsid w:val="00D72844"/>
    <w:pPr>
      <w:spacing w:after="0" w:line="240" w:lineRule="atLeast"/>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semiHidden/>
    <w:rsid w:val="00D72844"/>
    <w:pPr>
      <w:spacing w:after="0" w:line="240" w:lineRule="atLeast"/>
    </w:pPr>
    <w:rPr>
      <w:rFonts w:ascii="Times New Roman" w:eastAsia="Times New Roman" w:hAnsi="Times New Roman" w:cs="Times New Roman"/>
      <w:sz w:val="20"/>
      <w:szCs w:val="20"/>
      <w:lang w:val="ru-RU"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EndnoteReference">
    <w:name w:val="endnote reference"/>
    <w:aliases w:val="1_GR,1_G"/>
    <w:basedOn w:val="FootnoteReference"/>
    <w:uiPriority w:val="99"/>
    <w:rsid w:val="00D72844"/>
    <w:rPr>
      <w:rFonts w:ascii="Times New Roman" w:hAnsi="Times New Roman"/>
      <w:dstrike w:val="0"/>
      <w:spacing w:val="-5"/>
      <w:w w:val="130"/>
      <w:position w:val="-4"/>
      <w:sz w:val="18"/>
      <w:vertAlign w:val="superscript"/>
    </w:rPr>
  </w:style>
  <w:style w:type="character" w:styleId="PageNumber">
    <w:name w:val="page number"/>
    <w:aliases w:val="7_GR,7_G"/>
    <w:basedOn w:val="DefaultParagraphFont"/>
    <w:uiPriority w:val="99"/>
    <w:rsid w:val="00D72844"/>
    <w:rPr>
      <w:rFonts w:ascii="Times New Roman" w:hAnsi="Times New Roman"/>
      <w:b/>
      <w:sz w:val="18"/>
    </w:rPr>
  </w:style>
  <w:style w:type="paragraph" w:customStyle="1" w:styleId="ParaNoGR">
    <w:name w:val="_ParaNo._GR"/>
    <w:basedOn w:val="Normal"/>
    <w:next w:val="Normal"/>
    <w:rsid w:val="00D72844"/>
    <w:pPr>
      <w:numPr>
        <w:numId w:val="11"/>
      </w:numPr>
      <w:tabs>
        <w:tab w:val="left" w:pos="567"/>
      </w:tabs>
      <w:spacing w:after="120" w:line="240" w:lineRule="atLeast"/>
      <w:ind w:right="1134"/>
      <w:jc w:val="both"/>
      <w:outlineLvl w:val="0"/>
    </w:pPr>
    <w:rPr>
      <w:rFonts w:eastAsia="Times New Roman"/>
      <w:szCs w:val="20"/>
      <w:lang w:eastAsia="ru-RU"/>
    </w:rPr>
  </w:style>
  <w:style w:type="character" w:styleId="HTMLAcronym">
    <w:name w:val="HTML Acronym"/>
    <w:basedOn w:val="DefaultParagraphFont"/>
    <w:semiHidden/>
    <w:rsid w:val="00D72844"/>
  </w:style>
  <w:style w:type="table" w:styleId="TableWeb1">
    <w:name w:val="Table Web 1"/>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Emphasis">
    <w:name w:val="Emphasis"/>
    <w:basedOn w:val="DefaultParagraphFont"/>
    <w:uiPriority w:val="99"/>
    <w:qFormat/>
    <w:rsid w:val="00D72844"/>
    <w:rPr>
      <w:i/>
      <w:iCs/>
    </w:rPr>
  </w:style>
  <w:style w:type="paragraph" w:styleId="NoteHeading">
    <w:name w:val="Note Heading"/>
    <w:basedOn w:val="Normal"/>
    <w:next w:val="Normal"/>
    <w:link w:val="NoteHeadingChar"/>
    <w:semiHidden/>
    <w:rsid w:val="00D72844"/>
    <w:pPr>
      <w:spacing w:line="240" w:lineRule="atLeast"/>
    </w:pPr>
    <w:rPr>
      <w:rFonts w:eastAsia="Times New Roman"/>
      <w:szCs w:val="20"/>
    </w:rPr>
  </w:style>
  <w:style w:type="character" w:customStyle="1" w:styleId="NoteHeadingChar">
    <w:name w:val="Note Heading Char"/>
    <w:basedOn w:val="DefaultParagraphFont"/>
    <w:link w:val="NoteHeading"/>
    <w:semiHidden/>
    <w:rsid w:val="00D72844"/>
    <w:rPr>
      <w:rFonts w:ascii="Times New Roman" w:eastAsia="Times New Roman" w:hAnsi="Times New Roman" w:cs="Times New Roman"/>
      <w:spacing w:val="4"/>
      <w:w w:val="103"/>
      <w:kern w:val="14"/>
      <w:sz w:val="20"/>
      <w:szCs w:val="20"/>
      <w:lang w:val="ru-RU"/>
    </w:rPr>
  </w:style>
  <w:style w:type="table" w:styleId="TableElegant">
    <w:name w:val="Table Elegant"/>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ubtle1">
    <w:name w:val="Table Subtle 1"/>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Keyboard">
    <w:name w:val="HTML Keyboard"/>
    <w:basedOn w:val="DefaultParagraphFont"/>
    <w:semiHidden/>
    <w:rsid w:val="00D72844"/>
    <w:rPr>
      <w:rFonts w:ascii="Courier New" w:hAnsi="Courier New" w:cs="Courier New"/>
      <w:sz w:val="20"/>
      <w:szCs w:val="20"/>
    </w:rPr>
  </w:style>
  <w:style w:type="table" w:styleId="TableClassic1">
    <w:name w:val="Table Classic 1"/>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72844"/>
    <w:pPr>
      <w:spacing w:after="120" w:line="200" w:lineRule="atLeast"/>
    </w:pPr>
    <w:rPr>
      <w:rFonts w:ascii="Times New Roman" w:eastAsia="Times New Roman" w:hAnsi="Times New Roman" w:cs="Times New Roman"/>
      <w:color w:val="000080"/>
      <w:sz w:val="20"/>
      <w:szCs w:val="20"/>
      <w:lang w:val="ru-RU"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Code">
    <w:name w:val="HTML Code"/>
    <w:basedOn w:val="DefaultParagraphFont"/>
    <w:semiHidden/>
    <w:rsid w:val="00D72844"/>
    <w:rPr>
      <w:rFonts w:ascii="Courier New" w:hAnsi="Courier New" w:cs="Courier New"/>
      <w:sz w:val="20"/>
      <w:szCs w:val="20"/>
    </w:rPr>
  </w:style>
  <w:style w:type="paragraph" w:styleId="BodyText">
    <w:name w:val="Body Text"/>
    <w:basedOn w:val="Normal"/>
    <w:link w:val="BodyTextChar"/>
    <w:uiPriority w:val="99"/>
    <w:rsid w:val="00D72844"/>
    <w:pPr>
      <w:spacing w:line="240" w:lineRule="atLeast"/>
    </w:pPr>
    <w:rPr>
      <w:rFonts w:eastAsia="Times New Roman"/>
      <w:szCs w:val="20"/>
    </w:rPr>
  </w:style>
  <w:style w:type="character" w:customStyle="1" w:styleId="BodyTextChar">
    <w:name w:val="Body Text Char"/>
    <w:basedOn w:val="DefaultParagraphFont"/>
    <w:link w:val="BodyText"/>
    <w:uiPriority w:val="99"/>
    <w:rsid w:val="00D72844"/>
    <w:rPr>
      <w:rFonts w:ascii="Times New Roman" w:eastAsia="Times New Roman" w:hAnsi="Times New Roman" w:cs="Times New Roman"/>
      <w:spacing w:val="4"/>
      <w:w w:val="103"/>
      <w:kern w:val="14"/>
      <w:sz w:val="20"/>
      <w:szCs w:val="20"/>
      <w:lang w:val="ru-RU"/>
    </w:rPr>
  </w:style>
  <w:style w:type="paragraph" w:styleId="BodyTextFirstIndent">
    <w:name w:val="Body Text First Indent"/>
    <w:basedOn w:val="BodyText"/>
    <w:link w:val="BodyTextFirstIndentChar"/>
    <w:semiHidden/>
    <w:rsid w:val="00D72844"/>
    <w:pPr>
      <w:ind w:firstLine="210"/>
    </w:pPr>
  </w:style>
  <w:style w:type="character" w:customStyle="1" w:styleId="BodyTextFirstIndentChar">
    <w:name w:val="Body Text First Indent Char"/>
    <w:basedOn w:val="BodyTextChar"/>
    <w:link w:val="BodyTextFirstIndent"/>
    <w:semiHidden/>
    <w:rsid w:val="00D72844"/>
    <w:rPr>
      <w:rFonts w:ascii="Times New Roman" w:eastAsia="Times New Roman" w:hAnsi="Times New Roman" w:cs="Times New Roman"/>
      <w:spacing w:val="4"/>
      <w:w w:val="103"/>
      <w:kern w:val="14"/>
      <w:sz w:val="20"/>
      <w:szCs w:val="20"/>
      <w:lang w:val="ru-RU"/>
    </w:rPr>
  </w:style>
  <w:style w:type="paragraph" w:styleId="BodyTextIndent">
    <w:name w:val="Body Text Indent"/>
    <w:basedOn w:val="Normal"/>
    <w:link w:val="BodyTextIndentChar"/>
    <w:semiHidden/>
    <w:rsid w:val="00D72844"/>
    <w:pPr>
      <w:spacing w:line="240" w:lineRule="atLeast"/>
      <w:ind w:left="283"/>
    </w:pPr>
    <w:rPr>
      <w:rFonts w:eastAsia="Times New Roman"/>
      <w:szCs w:val="20"/>
    </w:rPr>
  </w:style>
  <w:style w:type="character" w:customStyle="1" w:styleId="BodyTextIndentChar">
    <w:name w:val="Body Text Indent Char"/>
    <w:basedOn w:val="DefaultParagraphFont"/>
    <w:link w:val="BodyTextIndent"/>
    <w:semiHidden/>
    <w:rsid w:val="00D72844"/>
    <w:rPr>
      <w:rFonts w:ascii="Times New Roman" w:eastAsia="Times New Roman" w:hAnsi="Times New Roman" w:cs="Times New Roman"/>
      <w:spacing w:val="4"/>
      <w:w w:val="103"/>
      <w:kern w:val="14"/>
      <w:sz w:val="20"/>
      <w:szCs w:val="20"/>
      <w:lang w:val="ru-RU"/>
    </w:rPr>
  </w:style>
  <w:style w:type="paragraph" w:styleId="BodyTextFirstIndent2">
    <w:name w:val="Body Text First Indent 2"/>
    <w:basedOn w:val="BodyTextIndent"/>
    <w:link w:val="BodyTextFirstIndent2Char"/>
    <w:semiHidden/>
    <w:rsid w:val="00D72844"/>
    <w:pPr>
      <w:ind w:firstLine="210"/>
    </w:pPr>
  </w:style>
  <w:style w:type="character" w:customStyle="1" w:styleId="BodyTextFirstIndent2Char">
    <w:name w:val="Body Text First Indent 2 Char"/>
    <w:basedOn w:val="BodyTextIndentChar"/>
    <w:link w:val="BodyTextFirstIndent2"/>
    <w:semiHidden/>
    <w:rsid w:val="00D72844"/>
    <w:rPr>
      <w:rFonts w:ascii="Times New Roman" w:eastAsia="Times New Roman" w:hAnsi="Times New Roman" w:cs="Times New Roman"/>
      <w:spacing w:val="4"/>
      <w:w w:val="103"/>
      <w:kern w:val="14"/>
      <w:sz w:val="20"/>
      <w:szCs w:val="20"/>
      <w:lang w:val="ru-RU"/>
    </w:rPr>
  </w:style>
  <w:style w:type="paragraph" w:styleId="ListBullet">
    <w:name w:val="List Bullet"/>
    <w:basedOn w:val="Normal"/>
    <w:semiHidden/>
    <w:rsid w:val="00D72844"/>
    <w:pPr>
      <w:numPr>
        <w:numId w:val="14"/>
      </w:numPr>
      <w:spacing w:line="240" w:lineRule="atLeast"/>
    </w:pPr>
    <w:rPr>
      <w:rFonts w:eastAsia="Times New Roman"/>
      <w:szCs w:val="20"/>
    </w:rPr>
  </w:style>
  <w:style w:type="paragraph" w:styleId="ListBullet2">
    <w:name w:val="List Bullet 2"/>
    <w:basedOn w:val="Normal"/>
    <w:semiHidden/>
    <w:rsid w:val="00D72844"/>
    <w:pPr>
      <w:numPr>
        <w:numId w:val="15"/>
      </w:numPr>
      <w:spacing w:line="240" w:lineRule="atLeast"/>
    </w:pPr>
    <w:rPr>
      <w:rFonts w:eastAsia="Times New Roman"/>
      <w:szCs w:val="20"/>
    </w:rPr>
  </w:style>
  <w:style w:type="paragraph" w:styleId="ListBullet3">
    <w:name w:val="List Bullet 3"/>
    <w:basedOn w:val="Normal"/>
    <w:semiHidden/>
    <w:rsid w:val="00D72844"/>
    <w:pPr>
      <w:tabs>
        <w:tab w:val="num" w:pos="926"/>
      </w:tabs>
      <w:spacing w:line="240" w:lineRule="atLeast"/>
      <w:ind w:left="926" w:hanging="360"/>
    </w:pPr>
    <w:rPr>
      <w:rFonts w:eastAsia="Times New Roman"/>
      <w:szCs w:val="20"/>
    </w:rPr>
  </w:style>
  <w:style w:type="paragraph" w:styleId="ListBullet4">
    <w:name w:val="List Bullet 4"/>
    <w:basedOn w:val="Normal"/>
    <w:semiHidden/>
    <w:rsid w:val="00D72844"/>
    <w:pPr>
      <w:numPr>
        <w:numId w:val="17"/>
      </w:numPr>
      <w:spacing w:line="240" w:lineRule="atLeast"/>
    </w:pPr>
    <w:rPr>
      <w:rFonts w:eastAsia="Times New Roman"/>
      <w:szCs w:val="20"/>
    </w:rPr>
  </w:style>
  <w:style w:type="paragraph" w:styleId="Title">
    <w:name w:val="Title"/>
    <w:basedOn w:val="Normal"/>
    <w:link w:val="TitleChar"/>
    <w:uiPriority w:val="99"/>
    <w:qFormat/>
    <w:rsid w:val="00D72844"/>
    <w:pPr>
      <w:spacing w:before="240" w:after="60" w:line="240" w:lineRule="atLeast"/>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99"/>
    <w:rsid w:val="00D72844"/>
    <w:rPr>
      <w:rFonts w:ascii="Arial" w:eastAsia="Times New Roman" w:hAnsi="Arial" w:cs="Arial"/>
      <w:b/>
      <w:bCs/>
      <w:spacing w:val="4"/>
      <w:w w:val="103"/>
      <w:kern w:val="28"/>
      <w:sz w:val="32"/>
      <w:szCs w:val="32"/>
      <w:lang w:val="ru-RU"/>
    </w:rPr>
  </w:style>
  <w:style w:type="character" w:styleId="LineNumber">
    <w:name w:val="line number"/>
    <w:basedOn w:val="DefaultParagraphFont"/>
    <w:rsid w:val="00D72844"/>
  </w:style>
  <w:style w:type="character" w:styleId="HTMLSample">
    <w:name w:val="HTML Sample"/>
    <w:basedOn w:val="DefaultParagraphFont"/>
    <w:semiHidden/>
    <w:rsid w:val="00D72844"/>
    <w:rPr>
      <w:rFonts w:ascii="Courier New" w:hAnsi="Courier New" w:cs="Courier New"/>
    </w:rPr>
  </w:style>
  <w:style w:type="paragraph" w:styleId="EnvelopeReturn">
    <w:name w:val="envelope return"/>
    <w:basedOn w:val="Normal"/>
    <w:semiHidden/>
    <w:rsid w:val="00D72844"/>
    <w:pPr>
      <w:spacing w:line="240" w:lineRule="atLeast"/>
    </w:pPr>
    <w:rPr>
      <w:rFonts w:ascii="Arial" w:eastAsia="Times New Roman" w:hAnsi="Arial" w:cs="Arial"/>
      <w:szCs w:val="20"/>
    </w:rPr>
  </w:style>
  <w:style w:type="table" w:styleId="Table3Deffects1">
    <w:name w:val="Table 3D effects 1"/>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semiHidden/>
    <w:rsid w:val="00D72844"/>
    <w:pPr>
      <w:spacing w:line="240" w:lineRule="atLeast"/>
    </w:pPr>
    <w:rPr>
      <w:rFonts w:eastAsia="Times New Roman"/>
      <w:sz w:val="24"/>
      <w:szCs w:val="20"/>
    </w:rPr>
  </w:style>
  <w:style w:type="paragraph" w:styleId="NormalIndent">
    <w:name w:val="Normal Indent"/>
    <w:basedOn w:val="Normal"/>
    <w:semiHidden/>
    <w:rsid w:val="00D72844"/>
    <w:pPr>
      <w:spacing w:line="240" w:lineRule="atLeast"/>
      <w:ind w:left="567"/>
    </w:pPr>
    <w:rPr>
      <w:rFonts w:eastAsia="Times New Roman"/>
      <w:szCs w:val="20"/>
    </w:rPr>
  </w:style>
  <w:style w:type="character" w:styleId="HTMLDefinition">
    <w:name w:val="HTML Definition"/>
    <w:basedOn w:val="DefaultParagraphFont"/>
    <w:semiHidden/>
    <w:rsid w:val="00D72844"/>
    <w:rPr>
      <w:i/>
      <w:iCs/>
    </w:rPr>
  </w:style>
  <w:style w:type="paragraph" w:styleId="BodyText2">
    <w:name w:val="Body Text 2"/>
    <w:basedOn w:val="Normal"/>
    <w:link w:val="BodyText2Char"/>
    <w:uiPriority w:val="99"/>
    <w:rsid w:val="00D72844"/>
    <w:pPr>
      <w:spacing w:line="480" w:lineRule="auto"/>
    </w:pPr>
    <w:rPr>
      <w:rFonts w:eastAsia="Times New Roman"/>
      <w:szCs w:val="20"/>
    </w:rPr>
  </w:style>
  <w:style w:type="character" w:customStyle="1" w:styleId="BodyText2Char">
    <w:name w:val="Body Text 2 Char"/>
    <w:basedOn w:val="DefaultParagraphFont"/>
    <w:link w:val="BodyText2"/>
    <w:uiPriority w:val="99"/>
    <w:rsid w:val="00D72844"/>
    <w:rPr>
      <w:rFonts w:ascii="Times New Roman" w:eastAsia="Times New Roman" w:hAnsi="Times New Roman" w:cs="Times New Roman"/>
      <w:spacing w:val="4"/>
      <w:w w:val="103"/>
      <w:kern w:val="14"/>
      <w:sz w:val="20"/>
      <w:szCs w:val="20"/>
      <w:lang w:val="ru-RU"/>
    </w:rPr>
  </w:style>
  <w:style w:type="paragraph" w:styleId="BodyText3">
    <w:name w:val="Body Text 3"/>
    <w:basedOn w:val="Normal"/>
    <w:link w:val="BodyText3Char"/>
    <w:semiHidden/>
    <w:rsid w:val="00D72844"/>
    <w:pPr>
      <w:spacing w:line="240" w:lineRule="atLeast"/>
    </w:pPr>
    <w:rPr>
      <w:rFonts w:eastAsia="Times New Roman"/>
      <w:sz w:val="16"/>
      <w:szCs w:val="16"/>
    </w:rPr>
  </w:style>
  <w:style w:type="character" w:customStyle="1" w:styleId="BodyText3Char">
    <w:name w:val="Body Text 3 Char"/>
    <w:basedOn w:val="DefaultParagraphFont"/>
    <w:link w:val="BodyText3"/>
    <w:semiHidden/>
    <w:rsid w:val="00D72844"/>
    <w:rPr>
      <w:rFonts w:ascii="Times New Roman" w:eastAsia="Times New Roman" w:hAnsi="Times New Roman" w:cs="Times New Roman"/>
      <w:spacing w:val="4"/>
      <w:w w:val="103"/>
      <w:kern w:val="14"/>
      <w:sz w:val="16"/>
      <w:szCs w:val="16"/>
      <w:lang w:val="ru-RU"/>
    </w:rPr>
  </w:style>
  <w:style w:type="paragraph" w:styleId="BodyTextIndent2">
    <w:name w:val="Body Text Indent 2"/>
    <w:basedOn w:val="Normal"/>
    <w:link w:val="BodyTextIndent2Char"/>
    <w:semiHidden/>
    <w:rsid w:val="00D72844"/>
    <w:pPr>
      <w:spacing w:line="480" w:lineRule="auto"/>
      <w:ind w:left="283"/>
    </w:pPr>
    <w:rPr>
      <w:rFonts w:eastAsia="Times New Roman"/>
      <w:szCs w:val="20"/>
    </w:rPr>
  </w:style>
  <w:style w:type="character" w:customStyle="1" w:styleId="BodyTextIndent2Char">
    <w:name w:val="Body Text Indent 2 Char"/>
    <w:basedOn w:val="DefaultParagraphFont"/>
    <w:link w:val="BodyTextIndent2"/>
    <w:semiHidden/>
    <w:rsid w:val="00D72844"/>
    <w:rPr>
      <w:rFonts w:ascii="Times New Roman" w:eastAsia="Times New Roman" w:hAnsi="Times New Roman" w:cs="Times New Roman"/>
      <w:spacing w:val="4"/>
      <w:w w:val="103"/>
      <w:kern w:val="14"/>
      <w:sz w:val="20"/>
      <w:szCs w:val="20"/>
      <w:lang w:val="ru-RU"/>
    </w:rPr>
  </w:style>
  <w:style w:type="paragraph" w:styleId="BodyTextIndent3">
    <w:name w:val="Body Text Indent 3"/>
    <w:basedOn w:val="Normal"/>
    <w:link w:val="BodyTextIndent3Char"/>
    <w:semiHidden/>
    <w:rsid w:val="00D72844"/>
    <w:pPr>
      <w:spacing w:line="240" w:lineRule="atLeast"/>
      <w:ind w:left="283"/>
    </w:pPr>
    <w:rPr>
      <w:rFonts w:eastAsia="Times New Roman"/>
      <w:sz w:val="16"/>
      <w:szCs w:val="16"/>
    </w:rPr>
  </w:style>
  <w:style w:type="character" w:customStyle="1" w:styleId="BodyTextIndent3Char">
    <w:name w:val="Body Text Indent 3 Char"/>
    <w:basedOn w:val="DefaultParagraphFont"/>
    <w:link w:val="BodyTextIndent3"/>
    <w:semiHidden/>
    <w:rsid w:val="00D72844"/>
    <w:rPr>
      <w:rFonts w:ascii="Times New Roman" w:eastAsia="Times New Roman" w:hAnsi="Times New Roman" w:cs="Times New Roman"/>
      <w:spacing w:val="4"/>
      <w:w w:val="103"/>
      <w:kern w:val="14"/>
      <w:sz w:val="16"/>
      <w:szCs w:val="16"/>
      <w:lang w:val="ru-RU"/>
    </w:rPr>
  </w:style>
  <w:style w:type="character" w:styleId="HTMLVariable">
    <w:name w:val="HTML Variable"/>
    <w:basedOn w:val="DefaultParagraphFont"/>
    <w:semiHidden/>
    <w:rsid w:val="00D72844"/>
    <w:rPr>
      <w:i/>
      <w:iCs/>
    </w:rPr>
  </w:style>
  <w:style w:type="character" w:styleId="HTMLTypewriter">
    <w:name w:val="HTML Typewriter"/>
    <w:basedOn w:val="DefaultParagraphFont"/>
    <w:semiHidden/>
    <w:rsid w:val="00D72844"/>
    <w:rPr>
      <w:rFonts w:ascii="Courier New" w:hAnsi="Courier New" w:cs="Courier New"/>
      <w:sz w:val="20"/>
      <w:szCs w:val="20"/>
    </w:rPr>
  </w:style>
  <w:style w:type="paragraph" w:styleId="Subtitle">
    <w:name w:val="Subtitle"/>
    <w:basedOn w:val="Normal"/>
    <w:link w:val="SubtitleChar"/>
    <w:qFormat/>
    <w:rsid w:val="00D72844"/>
    <w:pPr>
      <w:spacing w:after="60" w:line="240" w:lineRule="atLeast"/>
      <w:jc w:val="center"/>
      <w:outlineLvl w:val="1"/>
    </w:pPr>
    <w:rPr>
      <w:rFonts w:ascii="Arial" w:eastAsia="Times New Roman" w:hAnsi="Arial" w:cs="Arial"/>
      <w:sz w:val="24"/>
      <w:szCs w:val="20"/>
    </w:rPr>
  </w:style>
  <w:style w:type="character" w:customStyle="1" w:styleId="SubtitleChar">
    <w:name w:val="Subtitle Char"/>
    <w:basedOn w:val="DefaultParagraphFont"/>
    <w:link w:val="Subtitle"/>
    <w:rsid w:val="00D72844"/>
    <w:rPr>
      <w:rFonts w:ascii="Arial" w:eastAsia="Times New Roman" w:hAnsi="Arial" w:cs="Arial"/>
      <w:spacing w:val="4"/>
      <w:w w:val="103"/>
      <w:kern w:val="14"/>
      <w:sz w:val="24"/>
      <w:szCs w:val="20"/>
      <w:lang w:val="ru-RU"/>
    </w:rPr>
  </w:style>
  <w:style w:type="paragraph" w:styleId="Signature">
    <w:name w:val="Signature"/>
    <w:basedOn w:val="Normal"/>
    <w:link w:val="SignatureChar"/>
    <w:semiHidden/>
    <w:rsid w:val="00D72844"/>
    <w:pPr>
      <w:spacing w:line="240" w:lineRule="atLeast"/>
      <w:ind w:left="4252"/>
    </w:pPr>
    <w:rPr>
      <w:rFonts w:eastAsia="Times New Roman"/>
      <w:szCs w:val="20"/>
    </w:rPr>
  </w:style>
  <w:style w:type="character" w:customStyle="1" w:styleId="SignatureChar">
    <w:name w:val="Signature Char"/>
    <w:basedOn w:val="DefaultParagraphFont"/>
    <w:link w:val="Signature"/>
    <w:semiHidden/>
    <w:rsid w:val="00D72844"/>
    <w:rPr>
      <w:rFonts w:ascii="Times New Roman" w:eastAsia="Times New Roman" w:hAnsi="Times New Roman" w:cs="Times New Roman"/>
      <w:spacing w:val="4"/>
      <w:w w:val="103"/>
      <w:kern w:val="14"/>
      <w:sz w:val="20"/>
      <w:szCs w:val="20"/>
      <w:lang w:val="ru-RU"/>
    </w:rPr>
  </w:style>
  <w:style w:type="paragraph" w:styleId="Salutation">
    <w:name w:val="Salutation"/>
    <w:basedOn w:val="Normal"/>
    <w:next w:val="Normal"/>
    <w:link w:val="SalutationChar"/>
    <w:semiHidden/>
    <w:rsid w:val="00D72844"/>
    <w:pPr>
      <w:spacing w:line="240" w:lineRule="atLeast"/>
    </w:pPr>
    <w:rPr>
      <w:rFonts w:eastAsia="Times New Roman"/>
      <w:szCs w:val="20"/>
    </w:rPr>
  </w:style>
  <w:style w:type="character" w:customStyle="1" w:styleId="SalutationChar">
    <w:name w:val="Salutation Char"/>
    <w:basedOn w:val="DefaultParagraphFont"/>
    <w:link w:val="Salutation"/>
    <w:semiHidden/>
    <w:rsid w:val="00D72844"/>
    <w:rPr>
      <w:rFonts w:ascii="Times New Roman" w:eastAsia="Times New Roman" w:hAnsi="Times New Roman" w:cs="Times New Roman"/>
      <w:spacing w:val="4"/>
      <w:w w:val="103"/>
      <w:kern w:val="14"/>
      <w:sz w:val="20"/>
      <w:szCs w:val="20"/>
      <w:lang w:val="ru-RU"/>
    </w:rPr>
  </w:style>
  <w:style w:type="paragraph" w:styleId="ListContinue3">
    <w:name w:val="List Continue 3"/>
    <w:basedOn w:val="Normal"/>
    <w:semiHidden/>
    <w:rsid w:val="00D72844"/>
    <w:pPr>
      <w:spacing w:line="240" w:lineRule="atLeast"/>
      <w:ind w:left="849"/>
    </w:pPr>
    <w:rPr>
      <w:rFonts w:eastAsia="Times New Roman"/>
      <w:szCs w:val="20"/>
    </w:rPr>
  </w:style>
  <w:style w:type="paragraph" w:styleId="ListContinue4">
    <w:name w:val="List Continue 4"/>
    <w:basedOn w:val="Normal"/>
    <w:semiHidden/>
    <w:rsid w:val="00D72844"/>
    <w:pPr>
      <w:spacing w:line="240" w:lineRule="atLeast"/>
      <w:ind w:left="1132"/>
    </w:pPr>
    <w:rPr>
      <w:rFonts w:eastAsia="Times New Roman"/>
      <w:szCs w:val="20"/>
    </w:rPr>
  </w:style>
  <w:style w:type="paragraph" w:styleId="ListContinue5">
    <w:name w:val="List Continue 5"/>
    <w:basedOn w:val="Normal"/>
    <w:semiHidden/>
    <w:rsid w:val="00D72844"/>
    <w:pPr>
      <w:spacing w:line="240" w:lineRule="atLeast"/>
      <w:ind w:left="1415"/>
    </w:pPr>
    <w:rPr>
      <w:rFonts w:eastAsia="Times New Roman"/>
      <w:szCs w:val="20"/>
    </w:rPr>
  </w:style>
  <w:style w:type="character" w:styleId="FollowedHyperlink">
    <w:name w:val="FollowedHyperlink"/>
    <w:basedOn w:val="DefaultParagraphFont"/>
    <w:uiPriority w:val="99"/>
    <w:semiHidden/>
    <w:rsid w:val="00D72844"/>
    <w:rPr>
      <w:color w:val="800080"/>
      <w:u w:val="single"/>
    </w:rPr>
  </w:style>
  <w:style w:type="table" w:styleId="TableSimple2">
    <w:name w:val="Table Simple 2"/>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Closing">
    <w:name w:val="Closing"/>
    <w:basedOn w:val="Normal"/>
    <w:link w:val="ClosingChar"/>
    <w:semiHidden/>
    <w:rsid w:val="00D72844"/>
    <w:pPr>
      <w:spacing w:line="240" w:lineRule="atLeast"/>
      <w:ind w:left="4252"/>
    </w:pPr>
    <w:rPr>
      <w:rFonts w:eastAsia="Times New Roman"/>
      <w:szCs w:val="20"/>
    </w:rPr>
  </w:style>
  <w:style w:type="character" w:customStyle="1" w:styleId="ClosingChar">
    <w:name w:val="Closing Char"/>
    <w:basedOn w:val="DefaultParagraphFont"/>
    <w:link w:val="Closing"/>
    <w:semiHidden/>
    <w:rsid w:val="00D72844"/>
    <w:rPr>
      <w:rFonts w:ascii="Times New Roman" w:eastAsia="Times New Roman" w:hAnsi="Times New Roman" w:cs="Times New Roman"/>
      <w:spacing w:val="4"/>
      <w:w w:val="103"/>
      <w:kern w:val="14"/>
      <w:sz w:val="20"/>
      <w:szCs w:val="20"/>
      <w:lang w:val="ru-RU"/>
    </w:rPr>
  </w:style>
  <w:style w:type="table" w:styleId="TableGrid1">
    <w:name w:val="Table Grid 1"/>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72844"/>
    <w:pPr>
      <w:spacing w:after="120" w:line="200" w:lineRule="atLeast"/>
    </w:pPr>
    <w:rPr>
      <w:rFonts w:ascii="Times New Roman" w:eastAsia="Times New Roman" w:hAnsi="Times New Roman" w:cs="Times New Roman"/>
      <w:b/>
      <w:bCs/>
      <w:sz w:val="20"/>
      <w:szCs w:val="20"/>
      <w:lang w:val="ru-RU"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ntemporary">
    <w:name w:val="Table Contemporary"/>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
    <w:name w:val="List"/>
    <w:basedOn w:val="Normal"/>
    <w:semiHidden/>
    <w:rsid w:val="00D72844"/>
    <w:pPr>
      <w:spacing w:line="240" w:lineRule="atLeast"/>
      <w:ind w:left="283" w:hanging="283"/>
    </w:pPr>
    <w:rPr>
      <w:rFonts w:eastAsia="Times New Roman"/>
      <w:szCs w:val="20"/>
    </w:rPr>
  </w:style>
  <w:style w:type="paragraph" w:styleId="List2">
    <w:name w:val="List 2"/>
    <w:basedOn w:val="Normal"/>
    <w:semiHidden/>
    <w:rsid w:val="00D72844"/>
    <w:pPr>
      <w:spacing w:line="240" w:lineRule="atLeast"/>
      <w:ind w:left="566" w:hanging="283"/>
    </w:pPr>
    <w:rPr>
      <w:rFonts w:eastAsia="Times New Roman"/>
      <w:szCs w:val="20"/>
    </w:rPr>
  </w:style>
  <w:style w:type="paragraph" w:styleId="List3">
    <w:name w:val="List 3"/>
    <w:basedOn w:val="Normal"/>
    <w:semiHidden/>
    <w:rsid w:val="00D72844"/>
    <w:pPr>
      <w:spacing w:line="240" w:lineRule="atLeast"/>
      <w:ind w:left="849" w:hanging="283"/>
    </w:pPr>
    <w:rPr>
      <w:rFonts w:eastAsia="Times New Roman"/>
      <w:szCs w:val="20"/>
    </w:rPr>
  </w:style>
  <w:style w:type="paragraph" w:styleId="List4">
    <w:name w:val="List 4"/>
    <w:basedOn w:val="Normal"/>
    <w:semiHidden/>
    <w:rsid w:val="00D72844"/>
    <w:pPr>
      <w:spacing w:line="240" w:lineRule="atLeast"/>
      <w:ind w:left="1132" w:hanging="283"/>
    </w:pPr>
    <w:rPr>
      <w:rFonts w:eastAsia="Times New Roman"/>
      <w:szCs w:val="20"/>
    </w:rPr>
  </w:style>
  <w:style w:type="paragraph" w:styleId="List5">
    <w:name w:val="List 5"/>
    <w:basedOn w:val="Normal"/>
    <w:semiHidden/>
    <w:rsid w:val="00D72844"/>
    <w:pPr>
      <w:spacing w:line="240" w:lineRule="atLeast"/>
      <w:ind w:left="1415" w:hanging="283"/>
    </w:pPr>
    <w:rPr>
      <w:rFonts w:eastAsia="Times New Roman"/>
      <w:szCs w:val="20"/>
    </w:rPr>
  </w:style>
  <w:style w:type="paragraph" w:styleId="HTMLPreformatted">
    <w:name w:val="HTML Preformatted"/>
    <w:basedOn w:val="Normal"/>
    <w:link w:val="HTMLPreformattedChar"/>
    <w:uiPriority w:val="99"/>
    <w:rsid w:val="00D72844"/>
    <w:pPr>
      <w:spacing w:line="240" w:lineRule="atLeas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D72844"/>
    <w:rPr>
      <w:rFonts w:ascii="Courier New" w:eastAsia="Times New Roman" w:hAnsi="Courier New" w:cs="Courier New"/>
      <w:spacing w:val="4"/>
      <w:w w:val="103"/>
      <w:kern w:val="14"/>
      <w:sz w:val="20"/>
      <w:szCs w:val="20"/>
      <w:lang w:val="ru-RU"/>
    </w:rPr>
  </w:style>
  <w:style w:type="numbering" w:styleId="ArticleSection">
    <w:name w:val="Outline List 3"/>
    <w:basedOn w:val="NoList"/>
    <w:semiHidden/>
    <w:rsid w:val="00D72844"/>
    <w:pPr>
      <w:numPr>
        <w:numId w:val="19"/>
      </w:numPr>
    </w:pPr>
  </w:style>
  <w:style w:type="table" w:styleId="TableColumns1">
    <w:name w:val="Table Columns 1"/>
    <w:basedOn w:val="TableNormal"/>
    <w:semiHidden/>
    <w:rsid w:val="00D72844"/>
    <w:pPr>
      <w:spacing w:after="120" w:line="200" w:lineRule="atLeast"/>
    </w:pPr>
    <w:rPr>
      <w:rFonts w:ascii="Times New Roman" w:eastAsia="Times New Roman" w:hAnsi="Times New Roman" w:cs="Times New Roman"/>
      <w:b/>
      <w:bCs/>
      <w:sz w:val="20"/>
      <w:szCs w:val="20"/>
      <w:lang w:val="ru-RU"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72844"/>
    <w:pPr>
      <w:spacing w:after="120" w:line="200" w:lineRule="atLeast"/>
    </w:pPr>
    <w:rPr>
      <w:rFonts w:ascii="Times New Roman" w:eastAsia="Times New Roman" w:hAnsi="Times New Roman" w:cs="Times New Roman"/>
      <w:b/>
      <w:bCs/>
      <w:sz w:val="20"/>
      <w:szCs w:val="20"/>
      <w:lang w:val="ru-RU"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72844"/>
    <w:pPr>
      <w:spacing w:after="120" w:line="200" w:lineRule="atLeast"/>
    </w:pPr>
    <w:rPr>
      <w:rFonts w:ascii="Times New Roman" w:eastAsia="Times New Roman" w:hAnsi="Times New Roman" w:cs="Times New Roman"/>
      <w:b/>
      <w:bCs/>
      <w:sz w:val="20"/>
      <w:szCs w:val="20"/>
      <w:lang w:val="ru-RU"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Strong">
    <w:name w:val="Strong"/>
    <w:basedOn w:val="DefaultParagraphFont"/>
    <w:qFormat/>
    <w:rsid w:val="00D72844"/>
    <w:rPr>
      <w:b/>
      <w:bCs/>
    </w:rPr>
  </w:style>
  <w:style w:type="table" w:styleId="TableList1">
    <w:name w:val="Table List 1"/>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orful1">
    <w:name w:val="Table Colorful 1"/>
    <w:basedOn w:val="TableNormal"/>
    <w:semiHidden/>
    <w:rsid w:val="00D72844"/>
    <w:pPr>
      <w:spacing w:after="120" w:line="200" w:lineRule="atLeast"/>
    </w:pPr>
    <w:rPr>
      <w:rFonts w:ascii="Times New Roman" w:eastAsia="Times New Roman" w:hAnsi="Times New Roman" w:cs="Times New Roman"/>
      <w:color w:val="FFFFFF"/>
      <w:sz w:val="20"/>
      <w:szCs w:val="20"/>
      <w:lang w:val="ru-RU"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BlockText">
    <w:name w:val="Block Text"/>
    <w:basedOn w:val="Normal"/>
    <w:semiHidden/>
    <w:rsid w:val="00D72844"/>
    <w:pPr>
      <w:spacing w:line="240" w:lineRule="atLeast"/>
      <w:ind w:left="1440" w:right="1440"/>
    </w:pPr>
    <w:rPr>
      <w:rFonts w:eastAsia="Times New Roman"/>
      <w:szCs w:val="20"/>
    </w:rPr>
  </w:style>
  <w:style w:type="character" w:styleId="HTMLCite">
    <w:name w:val="HTML Cite"/>
    <w:basedOn w:val="DefaultParagraphFont"/>
    <w:semiHidden/>
    <w:rsid w:val="00D72844"/>
    <w:rPr>
      <w:i/>
      <w:iCs/>
    </w:rPr>
  </w:style>
  <w:style w:type="paragraph" w:styleId="E-mailSignature">
    <w:name w:val="E-mail Signature"/>
    <w:basedOn w:val="Normal"/>
    <w:link w:val="E-mailSignatureChar"/>
    <w:semiHidden/>
    <w:rsid w:val="00D72844"/>
    <w:pPr>
      <w:spacing w:line="240" w:lineRule="atLeast"/>
    </w:pPr>
    <w:rPr>
      <w:rFonts w:eastAsia="Times New Roman"/>
      <w:szCs w:val="20"/>
    </w:rPr>
  </w:style>
  <w:style w:type="character" w:customStyle="1" w:styleId="E-mailSignatureChar">
    <w:name w:val="E-mail Signature Char"/>
    <w:basedOn w:val="DefaultParagraphFont"/>
    <w:link w:val="E-mailSignature"/>
    <w:semiHidden/>
    <w:rsid w:val="00D72844"/>
    <w:rPr>
      <w:rFonts w:ascii="Times New Roman" w:eastAsia="Times New Roman" w:hAnsi="Times New Roman" w:cs="Times New Roman"/>
      <w:spacing w:val="4"/>
      <w:w w:val="103"/>
      <w:kern w:val="14"/>
      <w:sz w:val="20"/>
      <w:szCs w:val="20"/>
      <w:lang w:val="ru-RU"/>
    </w:rPr>
  </w:style>
  <w:style w:type="character" w:styleId="Hyperlink">
    <w:name w:val="Hyperlink"/>
    <w:basedOn w:val="DefaultParagraphFont"/>
    <w:uiPriority w:val="99"/>
    <w:rsid w:val="00D72844"/>
    <w:rPr>
      <w:color w:val="000000"/>
      <w:u w:val="single"/>
    </w:rPr>
  </w:style>
  <w:style w:type="paragraph" w:customStyle="1" w:styleId="H1GR">
    <w:name w:val="_ H_1_GR"/>
    <w:basedOn w:val="Normal"/>
    <w:next w:val="Normal"/>
    <w:rsid w:val="00D72844"/>
    <w:pPr>
      <w:keepNext/>
      <w:keepLines/>
      <w:tabs>
        <w:tab w:val="right" w:pos="851"/>
      </w:tabs>
      <w:suppressAutoHyphens/>
      <w:spacing w:before="360" w:after="240" w:line="270" w:lineRule="exact"/>
      <w:ind w:left="1134" w:right="1134" w:hanging="1134"/>
    </w:pPr>
    <w:rPr>
      <w:rFonts w:eastAsia="Times New Roman"/>
      <w:b/>
      <w:sz w:val="24"/>
      <w:szCs w:val="20"/>
      <w:lang w:eastAsia="ru-RU"/>
    </w:rPr>
  </w:style>
  <w:style w:type="paragraph" w:customStyle="1" w:styleId="H23GR">
    <w:name w:val="_ H_2/3_GR"/>
    <w:basedOn w:val="Normal"/>
    <w:next w:val="Normal"/>
    <w:rsid w:val="00D72844"/>
    <w:pPr>
      <w:keepNext/>
      <w:keepLines/>
      <w:tabs>
        <w:tab w:val="right" w:pos="851"/>
      </w:tabs>
      <w:suppressAutoHyphens/>
      <w:spacing w:before="240" w:after="120"/>
      <w:ind w:left="1134" w:right="1134" w:hanging="1134"/>
    </w:pPr>
    <w:rPr>
      <w:rFonts w:eastAsia="Times New Roman"/>
      <w:b/>
      <w:szCs w:val="20"/>
      <w:lang w:eastAsia="ru-RU"/>
    </w:rPr>
  </w:style>
  <w:style w:type="paragraph" w:customStyle="1" w:styleId="H4GR">
    <w:name w:val="_ H_4_GR"/>
    <w:basedOn w:val="Normal"/>
    <w:next w:val="Normal"/>
    <w:rsid w:val="00D72844"/>
    <w:pPr>
      <w:keepNext/>
      <w:keepLines/>
      <w:tabs>
        <w:tab w:val="right" w:pos="851"/>
      </w:tabs>
      <w:suppressAutoHyphens/>
      <w:spacing w:before="40" w:after="120" w:line="240" w:lineRule="auto"/>
      <w:outlineLvl w:val="3"/>
    </w:pPr>
    <w:rPr>
      <w:rFonts w:eastAsia="Times New Roman"/>
      <w:i/>
      <w:spacing w:val="3"/>
      <w:szCs w:val="20"/>
      <w:lang w:eastAsia="ru-RU"/>
    </w:rPr>
  </w:style>
  <w:style w:type="paragraph" w:customStyle="1" w:styleId="H56GR">
    <w:name w:val="_ H_5/6_GR"/>
    <w:basedOn w:val="Normal"/>
    <w:next w:val="Normal"/>
    <w:rsid w:val="00D72844"/>
    <w:pPr>
      <w:keepNext/>
      <w:keepLines/>
      <w:tabs>
        <w:tab w:val="right" w:pos="851"/>
      </w:tabs>
      <w:suppressAutoHyphens/>
      <w:spacing w:before="240" w:after="120"/>
      <w:ind w:left="1134" w:right="1134" w:hanging="1134"/>
    </w:pPr>
    <w:rPr>
      <w:rFonts w:eastAsia="Times New Roman"/>
      <w:szCs w:val="20"/>
      <w:lang w:eastAsia="ru-RU"/>
    </w:rPr>
  </w:style>
  <w:style w:type="table" w:styleId="TableProfessional">
    <w:name w:val="Table Professional"/>
    <w:basedOn w:val="TableNormal"/>
    <w:semiHidden/>
    <w:rsid w:val="00D72844"/>
    <w:pPr>
      <w:spacing w:after="0" w:line="240" w:lineRule="atLeast"/>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HChGR">
    <w:name w:val="_ H _Ch_GR"/>
    <w:basedOn w:val="Normal"/>
    <w:next w:val="Normal"/>
    <w:rsid w:val="00D72844"/>
    <w:pPr>
      <w:keepNext/>
      <w:keepLines/>
      <w:tabs>
        <w:tab w:val="right" w:pos="851"/>
      </w:tabs>
      <w:suppressAutoHyphens/>
      <w:spacing w:before="360" w:after="240" w:line="300" w:lineRule="exact"/>
      <w:ind w:left="1134" w:right="1134" w:hanging="1134"/>
    </w:pPr>
    <w:rPr>
      <w:rFonts w:eastAsia="Times New Roman"/>
      <w:b/>
      <w:sz w:val="28"/>
      <w:szCs w:val="20"/>
      <w:lang w:eastAsia="ru-RU"/>
    </w:rPr>
  </w:style>
  <w:style w:type="paragraph" w:customStyle="1" w:styleId="HMGR">
    <w:name w:val="_ H __M_GR"/>
    <w:basedOn w:val="Normal"/>
    <w:next w:val="Normal"/>
    <w:rsid w:val="00D72844"/>
    <w:pPr>
      <w:keepNext/>
      <w:keepLines/>
      <w:tabs>
        <w:tab w:val="right" w:pos="851"/>
      </w:tabs>
      <w:suppressAutoHyphens/>
      <w:spacing w:before="240" w:after="240" w:line="360" w:lineRule="exact"/>
      <w:ind w:left="1134" w:right="1134" w:hanging="1134"/>
    </w:pPr>
    <w:rPr>
      <w:rFonts w:eastAsia="Times New Roman"/>
      <w:b/>
      <w:sz w:val="34"/>
      <w:szCs w:val="20"/>
      <w:lang w:eastAsia="ru-RU"/>
    </w:rPr>
  </w:style>
  <w:style w:type="paragraph" w:styleId="TOAHeading">
    <w:name w:val="toa heading"/>
    <w:basedOn w:val="Normal"/>
    <w:next w:val="Normal"/>
    <w:semiHidden/>
    <w:rsid w:val="00D72844"/>
    <w:pPr>
      <w:spacing w:before="120" w:line="240" w:lineRule="atLeast"/>
    </w:pPr>
    <w:rPr>
      <w:rFonts w:ascii="Arial" w:eastAsia="Times New Roman" w:hAnsi="Arial" w:cs="Arial"/>
      <w:b/>
      <w:bCs/>
      <w:sz w:val="24"/>
      <w:szCs w:val="20"/>
    </w:rPr>
  </w:style>
  <w:style w:type="paragraph" w:customStyle="1" w:styleId="SingleTxtGR">
    <w:name w:val="_ Single Txt_GR"/>
    <w:basedOn w:val="Normal"/>
    <w:rsid w:val="00D72844"/>
    <w:pPr>
      <w:tabs>
        <w:tab w:val="left" w:pos="1701"/>
        <w:tab w:val="left" w:pos="2268"/>
        <w:tab w:val="left" w:pos="2835"/>
        <w:tab w:val="left" w:pos="3402"/>
        <w:tab w:val="left" w:pos="3969"/>
      </w:tabs>
      <w:spacing w:after="120" w:line="240" w:lineRule="atLeast"/>
      <w:ind w:left="1134" w:right="1134"/>
      <w:jc w:val="both"/>
    </w:pPr>
    <w:rPr>
      <w:rFonts w:eastAsia="Times New Roman"/>
      <w:szCs w:val="20"/>
    </w:rPr>
  </w:style>
  <w:style w:type="paragraph" w:styleId="PlainText">
    <w:name w:val="Plain Text"/>
    <w:basedOn w:val="Normal"/>
    <w:link w:val="PlainTextChar"/>
    <w:semiHidden/>
    <w:rsid w:val="00D72844"/>
    <w:pPr>
      <w:spacing w:line="240" w:lineRule="atLeast"/>
    </w:pPr>
    <w:rPr>
      <w:rFonts w:ascii="Courier New" w:eastAsia="Times New Roman" w:hAnsi="Courier New" w:cs="Courier New"/>
      <w:szCs w:val="20"/>
    </w:rPr>
  </w:style>
  <w:style w:type="character" w:customStyle="1" w:styleId="PlainTextChar">
    <w:name w:val="Plain Text Char"/>
    <w:basedOn w:val="DefaultParagraphFont"/>
    <w:link w:val="PlainText"/>
    <w:semiHidden/>
    <w:rsid w:val="00D72844"/>
    <w:rPr>
      <w:rFonts w:ascii="Courier New" w:eastAsia="Times New Roman" w:hAnsi="Courier New" w:cs="Courier New"/>
      <w:spacing w:val="4"/>
      <w:w w:val="103"/>
      <w:kern w:val="14"/>
      <w:sz w:val="20"/>
      <w:szCs w:val="20"/>
      <w:lang w:val="ru-RU"/>
    </w:rPr>
  </w:style>
  <w:style w:type="paragraph" w:styleId="MessageHeader">
    <w:name w:val="Message Header"/>
    <w:basedOn w:val="Normal"/>
    <w:link w:val="MessageHeaderChar"/>
    <w:semiHidden/>
    <w:rsid w:val="00D72844"/>
    <w:pPr>
      <w:pBdr>
        <w:top w:val="single" w:sz="6" w:space="1" w:color="auto"/>
        <w:left w:val="single" w:sz="6" w:space="1" w:color="auto"/>
        <w:bottom w:val="single" w:sz="6" w:space="1" w:color="auto"/>
        <w:right w:val="single" w:sz="6" w:space="1" w:color="auto"/>
      </w:pBdr>
      <w:shd w:val="pct20" w:color="auto" w:fill="auto"/>
      <w:spacing w:line="240" w:lineRule="atLeast"/>
      <w:ind w:left="1134" w:hanging="1134"/>
    </w:pPr>
    <w:rPr>
      <w:rFonts w:ascii="Arial" w:eastAsia="Times New Roman" w:hAnsi="Arial" w:cs="Arial"/>
      <w:sz w:val="24"/>
      <w:szCs w:val="20"/>
    </w:rPr>
  </w:style>
  <w:style w:type="character" w:customStyle="1" w:styleId="MessageHeaderChar">
    <w:name w:val="Message Header Char"/>
    <w:basedOn w:val="DefaultParagraphFont"/>
    <w:link w:val="MessageHeader"/>
    <w:semiHidden/>
    <w:rsid w:val="00D72844"/>
    <w:rPr>
      <w:rFonts w:ascii="Arial" w:eastAsia="Times New Roman" w:hAnsi="Arial" w:cs="Arial"/>
      <w:spacing w:val="4"/>
      <w:w w:val="103"/>
      <w:kern w:val="14"/>
      <w:sz w:val="24"/>
      <w:szCs w:val="20"/>
      <w:shd w:val="pct20" w:color="auto" w:fill="auto"/>
      <w:lang w:val="ru-RU"/>
    </w:rPr>
  </w:style>
  <w:style w:type="table" w:customStyle="1" w:styleId="TabNum">
    <w:name w:val="_TabNum"/>
    <w:basedOn w:val="TableNormal"/>
    <w:rsid w:val="00D72844"/>
    <w:pPr>
      <w:spacing w:before="40" w:after="40" w:line="220" w:lineRule="exact"/>
      <w:jc w:val="right"/>
    </w:pPr>
    <w:rPr>
      <w:rFonts w:ascii="Times New Roman" w:eastAsia="Times New Roman" w:hAnsi="Times New Roman" w:cs="Times New Roman"/>
      <w:sz w:val="18"/>
      <w:szCs w:val="20"/>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TableNormal"/>
    <w:rsid w:val="00D72844"/>
    <w:pPr>
      <w:spacing w:before="40" w:after="120" w:line="240" w:lineRule="atLeast"/>
    </w:pPr>
    <w:rPr>
      <w:rFonts w:ascii="Times New Roman" w:eastAsia="Times New Roman" w:hAnsi="Times New Roman" w:cs="Times New Roman"/>
      <w:sz w:val="20"/>
      <w:szCs w:val="20"/>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BalloonText">
    <w:name w:val="Balloon Text"/>
    <w:basedOn w:val="Normal"/>
    <w:link w:val="BalloonTextChar"/>
    <w:uiPriority w:val="99"/>
    <w:rsid w:val="00D72844"/>
    <w:pPr>
      <w:spacing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72844"/>
    <w:rPr>
      <w:rFonts w:ascii="Tahoma" w:eastAsia="Times New Roman" w:hAnsi="Tahoma" w:cs="Tahoma"/>
      <w:spacing w:val="4"/>
      <w:w w:val="103"/>
      <w:kern w:val="14"/>
      <w:sz w:val="16"/>
      <w:szCs w:val="16"/>
      <w:lang w:val="ru-RU"/>
    </w:rPr>
  </w:style>
  <w:style w:type="paragraph" w:customStyle="1" w:styleId="SingleTxtG">
    <w:name w:val="_ Single Txt_G"/>
    <w:basedOn w:val="Normal"/>
    <w:link w:val="SingleTxtGChar"/>
    <w:qFormat/>
    <w:rsid w:val="00D72844"/>
    <w:pPr>
      <w:suppressAutoHyphens/>
      <w:spacing w:after="120" w:line="240" w:lineRule="atLeast"/>
      <w:ind w:left="1134" w:right="1134"/>
      <w:jc w:val="both"/>
    </w:pPr>
    <w:rPr>
      <w:rFonts w:eastAsia="Times New Roman"/>
      <w:spacing w:val="0"/>
      <w:w w:val="100"/>
      <w:kern w:val="0"/>
      <w:szCs w:val="20"/>
      <w:lang w:val="en-GB"/>
    </w:rPr>
  </w:style>
  <w:style w:type="paragraph" w:customStyle="1" w:styleId="HMG">
    <w:name w:val="_ H __M_G"/>
    <w:basedOn w:val="Normal"/>
    <w:next w:val="Normal"/>
    <w:uiPriority w:val="99"/>
    <w:rsid w:val="00D72844"/>
    <w:pPr>
      <w:keepNext/>
      <w:keepLines/>
      <w:tabs>
        <w:tab w:val="right" w:pos="851"/>
      </w:tabs>
      <w:suppressAutoHyphens/>
      <w:spacing w:before="240" w:after="240" w:line="360" w:lineRule="exact"/>
      <w:ind w:left="1134" w:right="1134" w:hanging="1134"/>
    </w:pPr>
    <w:rPr>
      <w:rFonts w:eastAsia="Times New Roman"/>
      <w:b/>
      <w:spacing w:val="0"/>
      <w:w w:val="100"/>
      <w:kern w:val="0"/>
      <w:sz w:val="34"/>
      <w:szCs w:val="20"/>
      <w:lang w:val="en-GB"/>
    </w:rPr>
  </w:style>
  <w:style w:type="paragraph" w:customStyle="1" w:styleId="HChG">
    <w:name w:val="_ H _Ch_G"/>
    <w:basedOn w:val="Normal"/>
    <w:next w:val="Normal"/>
    <w:uiPriority w:val="99"/>
    <w:rsid w:val="00D72844"/>
    <w:pPr>
      <w:keepNext/>
      <w:keepLines/>
      <w:tabs>
        <w:tab w:val="right" w:pos="851"/>
      </w:tabs>
      <w:suppressAutoHyphens/>
      <w:spacing w:before="360" w:after="240" w:line="300" w:lineRule="exact"/>
      <w:ind w:left="1134" w:right="1134" w:hanging="1134"/>
    </w:pPr>
    <w:rPr>
      <w:rFonts w:eastAsia="Times New Roman"/>
      <w:b/>
      <w:spacing w:val="0"/>
      <w:w w:val="100"/>
      <w:kern w:val="0"/>
      <w:sz w:val="28"/>
      <w:szCs w:val="20"/>
      <w:lang w:val="en-GB"/>
    </w:rPr>
  </w:style>
  <w:style w:type="paragraph" w:customStyle="1" w:styleId="SMG">
    <w:name w:val="__S_M_G"/>
    <w:basedOn w:val="Normal"/>
    <w:next w:val="Normal"/>
    <w:uiPriority w:val="99"/>
    <w:rsid w:val="00D72844"/>
    <w:pPr>
      <w:keepNext/>
      <w:keepLines/>
      <w:suppressAutoHyphens/>
      <w:spacing w:before="240" w:after="240" w:line="420" w:lineRule="exact"/>
      <w:ind w:left="1134" w:right="1134"/>
    </w:pPr>
    <w:rPr>
      <w:rFonts w:eastAsia="Times New Roman"/>
      <w:b/>
      <w:spacing w:val="0"/>
      <w:w w:val="100"/>
      <w:kern w:val="0"/>
      <w:sz w:val="40"/>
      <w:szCs w:val="20"/>
      <w:lang w:val="en-GB"/>
    </w:rPr>
  </w:style>
  <w:style w:type="paragraph" w:customStyle="1" w:styleId="SLG">
    <w:name w:val="__S_L_G"/>
    <w:basedOn w:val="Normal"/>
    <w:next w:val="Normal"/>
    <w:uiPriority w:val="99"/>
    <w:rsid w:val="00D72844"/>
    <w:pPr>
      <w:keepNext/>
      <w:keepLines/>
      <w:suppressAutoHyphens/>
      <w:spacing w:before="240" w:after="240" w:line="580" w:lineRule="exact"/>
      <w:ind w:left="1134" w:right="1134"/>
    </w:pPr>
    <w:rPr>
      <w:rFonts w:eastAsia="Times New Roman"/>
      <w:b/>
      <w:spacing w:val="0"/>
      <w:w w:val="100"/>
      <w:kern w:val="0"/>
      <w:sz w:val="56"/>
      <w:szCs w:val="20"/>
      <w:lang w:val="en-GB"/>
    </w:rPr>
  </w:style>
  <w:style w:type="paragraph" w:customStyle="1" w:styleId="SSG">
    <w:name w:val="__S_S_G"/>
    <w:basedOn w:val="Normal"/>
    <w:next w:val="Normal"/>
    <w:uiPriority w:val="99"/>
    <w:rsid w:val="00D72844"/>
    <w:pPr>
      <w:keepNext/>
      <w:keepLines/>
      <w:suppressAutoHyphens/>
      <w:spacing w:before="240" w:after="240" w:line="300" w:lineRule="exact"/>
      <w:ind w:left="1134" w:right="1134"/>
    </w:pPr>
    <w:rPr>
      <w:rFonts w:eastAsia="Times New Roman"/>
      <w:b/>
      <w:spacing w:val="0"/>
      <w:w w:val="100"/>
      <w:kern w:val="0"/>
      <w:sz w:val="28"/>
      <w:szCs w:val="20"/>
      <w:lang w:val="en-GB"/>
    </w:rPr>
  </w:style>
  <w:style w:type="paragraph" w:customStyle="1" w:styleId="XLargeG">
    <w:name w:val="__XLarge_G"/>
    <w:basedOn w:val="Normal"/>
    <w:next w:val="Normal"/>
    <w:uiPriority w:val="99"/>
    <w:rsid w:val="00D72844"/>
    <w:pPr>
      <w:keepNext/>
      <w:keepLines/>
      <w:suppressAutoHyphens/>
      <w:spacing w:before="240" w:after="240" w:line="420" w:lineRule="exact"/>
      <w:ind w:left="1134" w:right="1134"/>
    </w:pPr>
    <w:rPr>
      <w:rFonts w:eastAsia="Times New Roman"/>
      <w:b/>
      <w:spacing w:val="0"/>
      <w:w w:val="100"/>
      <w:kern w:val="0"/>
      <w:sz w:val="40"/>
      <w:szCs w:val="20"/>
      <w:lang w:val="en-GB"/>
    </w:rPr>
  </w:style>
  <w:style w:type="paragraph" w:customStyle="1" w:styleId="Bullet1G">
    <w:name w:val="_Bullet 1_G"/>
    <w:basedOn w:val="Normal"/>
    <w:uiPriority w:val="99"/>
    <w:rsid w:val="00D72844"/>
    <w:pPr>
      <w:numPr>
        <w:numId w:val="20"/>
      </w:numPr>
      <w:suppressAutoHyphens/>
      <w:spacing w:after="120" w:line="240" w:lineRule="atLeast"/>
      <w:ind w:right="1134"/>
      <w:jc w:val="both"/>
    </w:pPr>
    <w:rPr>
      <w:rFonts w:eastAsia="Times New Roman"/>
      <w:spacing w:val="0"/>
      <w:w w:val="100"/>
      <w:kern w:val="0"/>
      <w:szCs w:val="20"/>
      <w:lang w:val="en-GB"/>
    </w:rPr>
  </w:style>
  <w:style w:type="paragraph" w:customStyle="1" w:styleId="Bullet2G">
    <w:name w:val="_Bullet 2_G"/>
    <w:basedOn w:val="Normal"/>
    <w:uiPriority w:val="99"/>
    <w:rsid w:val="00D72844"/>
    <w:pPr>
      <w:numPr>
        <w:numId w:val="21"/>
      </w:numPr>
      <w:suppressAutoHyphens/>
      <w:spacing w:after="120" w:line="240" w:lineRule="atLeast"/>
      <w:ind w:right="1134"/>
      <w:jc w:val="both"/>
    </w:pPr>
    <w:rPr>
      <w:rFonts w:eastAsia="Times New Roman"/>
      <w:spacing w:val="0"/>
      <w:w w:val="100"/>
      <w:kern w:val="0"/>
      <w:szCs w:val="20"/>
      <w:lang w:val="en-GB"/>
    </w:rPr>
  </w:style>
  <w:style w:type="paragraph" w:customStyle="1" w:styleId="H1G">
    <w:name w:val="_ H_1_G"/>
    <w:basedOn w:val="Normal"/>
    <w:next w:val="Normal"/>
    <w:uiPriority w:val="99"/>
    <w:rsid w:val="00D72844"/>
    <w:pPr>
      <w:keepNext/>
      <w:keepLines/>
      <w:tabs>
        <w:tab w:val="right" w:pos="851"/>
      </w:tabs>
      <w:suppressAutoHyphens/>
      <w:spacing w:before="360" w:after="240" w:line="270" w:lineRule="exact"/>
      <w:ind w:left="1134" w:right="1134" w:hanging="1134"/>
    </w:pPr>
    <w:rPr>
      <w:rFonts w:eastAsia="Times New Roman"/>
      <w:b/>
      <w:spacing w:val="0"/>
      <w:w w:val="100"/>
      <w:kern w:val="0"/>
      <w:sz w:val="24"/>
      <w:szCs w:val="20"/>
      <w:lang w:val="en-GB"/>
    </w:rPr>
  </w:style>
  <w:style w:type="paragraph" w:customStyle="1" w:styleId="H23G">
    <w:name w:val="_ H_2/3_G"/>
    <w:basedOn w:val="Normal"/>
    <w:next w:val="Normal"/>
    <w:uiPriority w:val="99"/>
    <w:rsid w:val="00D72844"/>
    <w:pPr>
      <w:keepNext/>
      <w:keepLines/>
      <w:tabs>
        <w:tab w:val="right" w:pos="851"/>
      </w:tabs>
      <w:suppressAutoHyphens/>
      <w:spacing w:before="240" w:after="120"/>
      <w:ind w:left="1134" w:right="1134" w:hanging="1134"/>
    </w:pPr>
    <w:rPr>
      <w:rFonts w:eastAsia="Times New Roman"/>
      <w:b/>
      <w:spacing w:val="0"/>
      <w:w w:val="100"/>
      <w:kern w:val="0"/>
      <w:szCs w:val="20"/>
      <w:lang w:val="en-GB"/>
    </w:rPr>
  </w:style>
  <w:style w:type="paragraph" w:customStyle="1" w:styleId="H4G">
    <w:name w:val="_ H_4_G"/>
    <w:basedOn w:val="Normal"/>
    <w:next w:val="Normal"/>
    <w:uiPriority w:val="99"/>
    <w:rsid w:val="00D72844"/>
    <w:pPr>
      <w:keepNext/>
      <w:keepLines/>
      <w:tabs>
        <w:tab w:val="right" w:pos="851"/>
      </w:tabs>
      <w:suppressAutoHyphens/>
      <w:spacing w:before="240" w:after="120"/>
      <w:ind w:left="1134" w:right="1134" w:hanging="1134"/>
    </w:pPr>
    <w:rPr>
      <w:rFonts w:eastAsia="Times New Roman"/>
      <w:i/>
      <w:spacing w:val="0"/>
      <w:w w:val="100"/>
      <w:kern w:val="0"/>
      <w:szCs w:val="20"/>
      <w:lang w:val="en-GB"/>
    </w:rPr>
  </w:style>
  <w:style w:type="paragraph" w:customStyle="1" w:styleId="H56G">
    <w:name w:val="_ H_5/6_G"/>
    <w:basedOn w:val="Normal"/>
    <w:next w:val="Normal"/>
    <w:uiPriority w:val="99"/>
    <w:rsid w:val="00D72844"/>
    <w:pPr>
      <w:keepNext/>
      <w:keepLines/>
      <w:tabs>
        <w:tab w:val="right" w:pos="851"/>
      </w:tabs>
      <w:suppressAutoHyphens/>
      <w:spacing w:before="240" w:after="120"/>
      <w:ind w:left="1134" w:right="1134" w:hanging="1134"/>
    </w:pPr>
    <w:rPr>
      <w:rFonts w:eastAsia="Times New Roman"/>
      <w:spacing w:val="0"/>
      <w:w w:val="100"/>
      <w:kern w:val="0"/>
      <w:szCs w:val="20"/>
      <w:lang w:val="en-GB"/>
    </w:rPr>
  </w:style>
  <w:style w:type="character" w:customStyle="1" w:styleId="SingleTxtGChar">
    <w:name w:val="_ Single Txt_G Char"/>
    <w:link w:val="SingleTxtG"/>
    <w:locked/>
    <w:rsid w:val="00D72844"/>
    <w:rPr>
      <w:rFonts w:ascii="Times New Roman" w:eastAsia="Times New Roman" w:hAnsi="Times New Roman" w:cs="Times New Roman"/>
      <w:sz w:val="20"/>
      <w:szCs w:val="20"/>
      <w:lang w:val="en-GB"/>
    </w:rPr>
  </w:style>
  <w:style w:type="character" w:customStyle="1" w:styleId="FootnoteCharacters">
    <w:name w:val="Footnote Characters"/>
    <w:uiPriority w:val="99"/>
    <w:rsid w:val="00D72844"/>
  </w:style>
  <w:style w:type="character" w:customStyle="1" w:styleId="Quotation">
    <w:name w:val="Quotation"/>
    <w:uiPriority w:val="99"/>
    <w:rsid w:val="00D72844"/>
    <w:rPr>
      <w:i/>
    </w:rPr>
  </w:style>
  <w:style w:type="paragraph" w:customStyle="1" w:styleId="ColorfulShading-Accent11">
    <w:name w:val="Colorful Shading - Accent 11"/>
    <w:hidden/>
    <w:uiPriority w:val="99"/>
    <w:semiHidden/>
    <w:rsid w:val="00D72844"/>
    <w:pPr>
      <w:spacing w:after="0" w:line="240" w:lineRule="auto"/>
    </w:pPr>
    <w:rPr>
      <w:rFonts w:ascii="Times New Roman" w:eastAsia="Times New Roman" w:hAnsi="Times New Roman" w:cs="Times New Roman"/>
      <w:sz w:val="20"/>
      <w:szCs w:val="20"/>
      <w:lang w:val="en-GB"/>
    </w:rPr>
  </w:style>
  <w:style w:type="character" w:customStyle="1" w:styleId="st">
    <w:name w:val="st"/>
    <w:uiPriority w:val="99"/>
    <w:rsid w:val="00D72844"/>
  </w:style>
  <w:style w:type="paragraph" w:customStyle="1" w:styleId="Default">
    <w:name w:val="Default"/>
    <w:uiPriority w:val="99"/>
    <w:rsid w:val="00D72844"/>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ListParagraph">
    <w:name w:val="List Paragraph"/>
    <w:basedOn w:val="Normal"/>
    <w:uiPriority w:val="99"/>
    <w:qFormat/>
    <w:rsid w:val="00D72844"/>
    <w:pPr>
      <w:spacing w:line="240" w:lineRule="auto"/>
      <w:ind w:left="720"/>
    </w:pPr>
    <w:rPr>
      <w:rFonts w:eastAsia="Times New Roman"/>
      <w:spacing w:val="0"/>
      <w:w w:val="100"/>
      <w:kern w:val="0"/>
      <w:szCs w:val="24"/>
      <w:lang w:val="en-GB" w:eastAsia="en-GB"/>
    </w:rPr>
  </w:style>
  <w:style w:type="paragraph" w:styleId="Revision">
    <w:name w:val="Revision"/>
    <w:hidden/>
    <w:uiPriority w:val="99"/>
    <w:semiHidden/>
    <w:rsid w:val="00D72844"/>
    <w:pPr>
      <w:spacing w:after="0" w:line="240" w:lineRule="auto"/>
    </w:pPr>
    <w:rPr>
      <w:rFonts w:ascii="Times New Roman" w:eastAsia="Times New Roman" w:hAnsi="Times New Roman" w:cs="Times New Roman"/>
      <w:sz w:val="20"/>
      <w:szCs w:val="20"/>
      <w:lang w:val="en-GB"/>
    </w:rPr>
  </w:style>
  <w:style w:type="character" w:customStyle="1" w:styleId="Caracteresdenotaalpie">
    <w:name w:val="Caracteres de nota al pie"/>
    <w:uiPriority w:val="99"/>
    <w:rsid w:val="00D72844"/>
  </w:style>
  <w:style w:type="paragraph" w:customStyle="1" w:styleId="Notaalpie">
    <w:name w:val="Nota al pie"/>
    <w:basedOn w:val="Normal"/>
    <w:uiPriority w:val="99"/>
    <w:rsid w:val="00D72844"/>
    <w:pPr>
      <w:suppressLineNumbers/>
      <w:tabs>
        <w:tab w:val="left" w:pos="708"/>
      </w:tabs>
      <w:suppressAutoHyphens/>
      <w:spacing w:line="100" w:lineRule="atLeast"/>
      <w:ind w:left="339" w:hanging="339"/>
      <w:jc w:val="both"/>
    </w:pPr>
    <w:rPr>
      <w:rFonts w:ascii="Calibri" w:eastAsia="Times New Roman" w:hAnsi="Calibri" w:cs="Calibri"/>
      <w:color w:val="00000A"/>
      <w:spacing w:val="0"/>
      <w:w w:val="100"/>
      <w:kern w:val="0"/>
      <w:szCs w:val="20"/>
      <w:lang w:val="es-ES"/>
    </w:rPr>
  </w:style>
  <w:style w:type="character" w:customStyle="1" w:styleId="apple-converted-space">
    <w:name w:val="apple-converted-space"/>
    <w:uiPriority w:val="99"/>
    <w:rsid w:val="00D72844"/>
  </w:style>
  <w:style w:type="character" w:customStyle="1" w:styleId="FootnoteAnchor">
    <w:name w:val="Footnote Anchor"/>
    <w:uiPriority w:val="99"/>
    <w:rsid w:val="00D72844"/>
    <w:rPr>
      <w:vertAlign w:val="superscript"/>
    </w:rPr>
  </w:style>
  <w:style w:type="paragraph" w:customStyle="1" w:styleId="Footnote">
    <w:name w:val="Footnote"/>
    <w:basedOn w:val="Normal"/>
    <w:uiPriority w:val="99"/>
    <w:rsid w:val="00D72844"/>
    <w:pPr>
      <w:suppressAutoHyphens/>
      <w:spacing w:line="240" w:lineRule="auto"/>
    </w:pPr>
    <w:rPr>
      <w:rFonts w:ascii="Ubuntu" w:eastAsia="Times New Roman" w:hAnsi="Ubuntu"/>
      <w:color w:val="00000A"/>
      <w:spacing w:val="0"/>
      <w:w w:val="100"/>
      <w:kern w:val="0"/>
      <w:sz w:val="18"/>
      <w:szCs w:val="20"/>
      <w:lang w:val="en-US" w:eastAsia="en-GB"/>
    </w:rPr>
  </w:style>
  <w:style w:type="character" w:customStyle="1" w:styleId="InternetLink">
    <w:name w:val="Internet Link"/>
    <w:uiPriority w:val="99"/>
    <w:rsid w:val="00D72844"/>
    <w:rPr>
      <w:color w:val="0563C1"/>
      <w:u w:val="single"/>
    </w:rPr>
  </w:style>
  <w:style w:type="character" w:customStyle="1" w:styleId="hps">
    <w:name w:val="hps"/>
    <w:uiPriority w:val="99"/>
    <w:rsid w:val="00D728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semiHidden="0" w:uiPriority="99" w:unhideWhenUsed="0"/>
    <w:lsdException w:name="footer" w:semiHidden="0" w:uiPriority="99" w:unhideWhenUsed="0"/>
    <w:lsdException w:name="index heading" w:uiPriority="99"/>
    <w:lsdException w:name="caption" w:uiPriority="35" w:qFormat="1"/>
    <w:lsdException w:name="table of figures" w:uiPriority="99"/>
    <w:lsdException w:name="footnote reference" w:uiPriority="99"/>
    <w:lsdException w:name="annotation reference" w:uiPriority="99"/>
    <w:lsdException w:name="line number" w:semiHidden="0" w:unhideWhenUsed="0"/>
    <w:lsdException w:name="page number" w:uiPriority="99"/>
    <w:lsdException w:name="endnote reference" w:uiPriority="99"/>
    <w:lsdException w:name="endnote text" w:uiPriority="99"/>
    <w:lsdException w:name="table of authorities" w:uiPriority="99"/>
    <w:lsdException w:name="macro" w:uiPriority="99"/>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99" w:unhideWhenUsed="0" w:qFormat="1"/>
    <w:lsdException w:name="Default Paragraph Font" w:uiPriority="1"/>
    <w:lsdException w:name="Body Text" w:uiPriority="99"/>
    <w:lsdException w:name="List Continue" w:semiHidden="0" w:unhideWhenUsed="0"/>
    <w:lsdException w:name="List Continue 2" w:semiHidden="0" w:unhideWhenUsed="0"/>
    <w:lsdException w:name="Subtitle" w:unhideWhenUsed="0" w:qFormat="1"/>
    <w:lsdException w:name="Body Text 2" w:uiPriority="99"/>
    <w:lsdException w:name="Hyperlink" w:uiPriority="99"/>
    <w:lsdException w:name="FollowedHyperlink" w:uiPriority="99"/>
    <w:lsdException w:name="Strong" w:unhideWhenUsed="0" w:qFormat="1"/>
    <w:lsdException w:name="Emphasis" w:uiPriority="99" w:unhideWhenUsed="0" w:qFormat="1"/>
    <w:lsdException w:name="Document Map" w:uiPriority="99"/>
    <w:lsdException w:name="HTML Top of Form" w:uiPriority="99"/>
    <w:lsdException w:name="HTML Bottom of Form" w:uiPriority="99"/>
    <w:lsdException w:name="HTML Preformatted" w:uiPriority="99"/>
    <w:lsdException w:name="Normal Table" w:uiPriority="99"/>
    <w:lsdException w:name="annotation subject" w:uiPriority="99"/>
    <w:lsdException w:name="No List" w:uiPriority="99"/>
    <w:lsdException w:name="Table Web 3" w:uiPriority="99"/>
    <w:lsdException w:name="Balloon Text" w:uiPriority="99"/>
    <w:lsdException w:name="Table Grid" w:semiHidden="0" w:uiPriority="9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99"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515869"/>
    <w:pPr>
      <w:spacing w:after="0" w:line="240" w:lineRule="exact"/>
    </w:pPr>
    <w:rPr>
      <w:rFonts w:ascii="Times New Roman" w:hAnsi="Times New Roman" w:cs="Times New Roman"/>
      <w:spacing w:val="4"/>
      <w:w w:val="103"/>
      <w:kern w:val="14"/>
      <w:sz w:val="20"/>
      <w:lang w:val="ru-RU"/>
    </w:rPr>
  </w:style>
  <w:style w:type="paragraph" w:styleId="Heading1">
    <w:name w:val="heading 1"/>
    <w:aliases w:val="Table_GR,Table_G"/>
    <w:basedOn w:val="Normal"/>
    <w:next w:val="Normal"/>
    <w:link w:val="Heading1Char"/>
    <w:uiPriority w:val="99"/>
    <w:qFormat/>
    <w:rsid w:val="0088396E"/>
    <w:pPr>
      <w:keepNext/>
      <w:tabs>
        <w:tab w:val="num" w:pos="926"/>
      </w:tabs>
      <w:spacing w:before="240" w:after="60"/>
      <w:ind w:left="926" w:hanging="3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9"/>
    <w:qFormat/>
    <w:rsid w:val="0088396E"/>
    <w:pPr>
      <w:keepNext/>
      <w:numPr>
        <w:ilvl w:val="1"/>
        <w:numId w:val="16"/>
      </w:numPr>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9"/>
    <w:qFormat/>
    <w:rsid w:val="0071210D"/>
    <w:pPr>
      <w:keepNext/>
      <w:numPr>
        <w:ilvl w:val="2"/>
        <w:numId w:val="16"/>
      </w:numPr>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9"/>
    <w:qFormat/>
    <w:rsid w:val="00D72844"/>
    <w:pPr>
      <w:keepNext/>
      <w:numPr>
        <w:ilvl w:val="3"/>
        <w:numId w:val="16"/>
      </w:numPr>
      <w:spacing w:before="240" w:after="60" w:line="240" w:lineRule="atLeast"/>
      <w:ind w:left="864" w:hanging="144"/>
      <w:outlineLvl w:val="3"/>
    </w:pPr>
    <w:rPr>
      <w:rFonts w:eastAsia="Times New Roman"/>
      <w:b/>
      <w:bCs/>
      <w:sz w:val="28"/>
      <w:szCs w:val="28"/>
    </w:rPr>
  </w:style>
  <w:style w:type="paragraph" w:styleId="Heading5">
    <w:name w:val="heading 5"/>
    <w:basedOn w:val="Normal"/>
    <w:next w:val="Normal"/>
    <w:link w:val="Heading5Char"/>
    <w:uiPriority w:val="99"/>
    <w:qFormat/>
    <w:rsid w:val="00D72844"/>
    <w:pPr>
      <w:numPr>
        <w:ilvl w:val="4"/>
        <w:numId w:val="16"/>
      </w:numPr>
      <w:spacing w:before="240" w:after="60" w:line="240" w:lineRule="atLeast"/>
      <w:ind w:left="1008" w:hanging="432"/>
      <w:outlineLvl w:val="4"/>
    </w:pPr>
    <w:rPr>
      <w:rFonts w:eastAsia="Times New Roman"/>
      <w:b/>
      <w:bCs/>
      <w:i/>
      <w:iCs/>
      <w:sz w:val="26"/>
      <w:szCs w:val="26"/>
    </w:rPr>
  </w:style>
  <w:style w:type="paragraph" w:styleId="Heading6">
    <w:name w:val="heading 6"/>
    <w:basedOn w:val="Normal"/>
    <w:next w:val="Normal"/>
    <w:link w:val="Heading6Char"/>
    <w:uiPriority w:val="99"/>
    <w:qFormat/>
    <w:rsid w:val="00D72844"/>
    <w:pPr>
      <w:numPr>
        <w:ilvl w:val="5"/>
        <w:numId w:val="16"/>
      </w:numPr>
      <w:spacing w:before="240" w:after="60" w:line="240" w:lineRule="atLeast"/>
      <w:ind w:left="1152" w:hanging="432"/>
      <w:outlineLvl w:val="5"/>
    </w:pPr>
    <w:rPr>
      <w:rFonts w:eastAsia="Times New Roman"/>
      <w:b/>
      <w:bCs/>
      <w:sz w:val="22"/>
    </w:rPr>
  </w:style>
  <w:style w:type="paragraph" w:styleId="Heading7">
    <w:name w:val="heading 7"/>
    <w:basedOn w:val="Normal"/>
    <w:next w:val="Normal"/>
    <w:link w:val="Heading7Char"/>
    <w:uiPriority w:val="99"/>
    <w:qFormat/>
    <w:rsid w:val="00D72844"/>
    <w:pPr>
      <w:numPr>
        <w:ilvl w:val="6"/>
        <w:numId w:val="16"/>
      </w:numPr>
      <w:spacing w:before="240" w:after="60" w:line="240" w:lineRule="atLeast"/>
      <w:ind w:left="1296" w:hanging="288"/>
      <w:outlineLvl w:val="6"/>
    </w:pPr>
    <w:rPr>
      <w:rFonts w:eastAsia="Times New Roman"/>
      <w:sz w:val="24"/>
      <w:szCs w:val="20"/>
    </w:rPr>
  </w:style>
  <w:style w:type="paragraph" w:styleId="Heading8">
    <w:name w:val="heading 8"/>
    <w:basedOn w:val="Normal"/>
    <w:next w:val="Normal"/>
    <w:link w:val="Heading8Char"/>
    <w:uiPriority w:val="99"/>
    <w:qFormat/>
    <w:rsid w:val="00D72844"/>
    <w:pPr>
      <w:numPr>
        <w:ilvl w:val="7"/>
        <w:numId w:val="16"/>
      </w:numPr>
      <w:spacing w:before="240" w:after="60" w:line="240" w:lineRule="atLeast"/>
      <w:ind w:left="1440" w:hanging="432"/>
      <w:outlineLvl w:val="7"/>
    </w:pPr>
    <w:rPr>
      <w:rFonts w:eastAsia="Times New Roman"/>
      <w:i/>
      <w:iCs/>
      <w:sz w:val="24"/>
      <w:szCs w:val="20"/>
    </w:rPr>
  </w:style>
  <w:style w:type="paragraph" w:styleId="Heading9">
    <w:name w:val="heading 9"/>
    <w:basedOn w:val="Normal"/>
    <w:next w:val="Normal"/>
    <w:link w:val="Heading9Char"/>
    <w:uiPriority w:val="99"/>
    <w:qFormat/>
    <w:rsid w:val="00D72844"/>
    <w:pPr>
      <w:numPr>
        <w:ilvl w:val="8"/>
        <w:numId w:val="16"/>
      </w:numPr>
      <w:spacing w:before="240" w:after="60" w:line="240" w:lineRule="atLeast"/>
      <w:ind w:left="1584" w:hanging="144"/>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SingleTxt"/>
    <w:qFormat/>
    <w:rsid w:val="00935F33"/>
    <w:pPr>
      <w:keepNext/>
      <w:keepLines/>
      <w:spacing w:line="240" w:lineRule="exact"/>
      <w:outlineLvl w:val="1"/>
    </w:pPr>
    <w:rPr>
      <w:spacing w:val="2"/>
      <w:sz w:val="20"/>
    </w:rPr>
  </w:style>
  <w:style w:type="paragraph" w:customStyle="1" w:styleId="H4">
    <w:name w:val="_ H_4"/>
    <w:basedOn w:val="Normal"/>
    <w:next w:val="SingleTxt"/>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aliases w:val="3_GR,3_G"/>
    <w:basedOn w:val="Normal"/>
    <w:link w:val="FooterChar"/>
    <w:uiPriority w:val="99"/>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aliases w:val="3_GR Char,3_G Char"/>
    <w:basedOn w:val="DefaultParagraphFont"/>
    <w:link w:val="Footer"/>
    <w:uiPriority w:val="99"/>
    <w:rsid w:val="00BE531D"/>
    <w:rPr>
      <w:rFonts w:ascii="Times New Roman" w:hAnsi="Times New Roman"/>
      <w:b/>
      <w:sz w:val="17"/>
      <w:lang w:val="ru-RU"/>
    </w:rPr>
  </w:style>
  <w:style w:type="paragraph" w:styleId="Header">
    <w:name w:val="header"/>
    <w:aliases w:val="6_GR,6_G"/>
    <w:basedOn w:val="Normal"/>
    <w:link w:val="HeaderChar"/>
    <w:uiPriority w:val="99"/>
    <w:rsid w:val="0056579C"/>
    <w:pPr>
      <w:tabs>
        <w:tab w:val="center" w:pos="4320"/>
        <w:tab w:val="right" w:pos="8640"/>
      </w:tabs>
      <w:spacing w:line="240" w:lineRule="auto"/>
    </w:pPr>
    <w:rPr>
      <w:spacing w:val="0"/>
      <w:w w:val="100"/>
      <w:kern w:val="0"/>
      <w:sz w:val="17"/>
    </w:rPr>
  </w:style>
  <w:style w:type="character" w:customStyle="1" w:styleId="HeaderChar">
    <w:name w:val="Header Char"/>
    <w:aliases w:val="6_GR Char,6_G Char"/>
    <w:basedOn w:val="DefaultParagraphFont"/>
    <w:link w:val="Header"/>
    <w:uiPriority w:val="99"/>
    <w:rsid w:val="00BE531D"/>
    <w:rPr>
      <w:rFonts w:ascii="Times New Roman" w:hAnsi="Times New Roman"/>
      <w:sz w:val="17"/>
      <w:lang w:val="ru-RU"/>
    </w:rPr>
  </w:style>
  <w:style w:type="character" w:customStyle="1" w:styleId="Heading1Char">
    <w:name w:val="Heading 1 Char"/>
    <w:aliases w:val="Table_GR Char,Table_G Char"/>
    <w:basedOn w:val="DefaultParagraphFont"/>
    <w:link w:val="Heading1"/>
    <w:uiPriority w:val="99"/>
    <w:rsid w:val="0088396E"/>
    <w:rPr>
      <w:rFonts w:ascii="Arial" w:eastAsiaTheme="majorEastAsia" w:hAnsi="Arial" w:cstheme="majorBidi"/>
      <w:b/>
      <w:bCs/>
      <w:spacing w:val="4"/>
      <w:w w:val="103"/>
      <w:kern w:val="14"/>
      <w:sz w:val="32"/>
      <w:szCs w:val="28"/>
      <w:lang w:val="ru-RU"/>
    </w:rPr>
  </w:style>
  <w:style w:type="character" w:customStyle="1" w:styleId="Heading2Char">
    <w:name w:val="Heading 2 Char"/>
    <w:basedOn w:val="DefaultParagraphFont"/>
    <w:link w:val="Heading2"/>
    <w:uiPriority w:val="99"/>
    <w:rsid w:val="0088396E"/>
    <w:rPr>
      <w:rFonts w:ascii="Arial" w:eastAsiaTheme="majorEastAsia" w:hAnsi="Arial" w:cstheme="majorBidi"/>
      <w:b/>
      <w:bCs/>
      <w:i/>
      <w:spacing w:val="4"/>
      <w:w w:val="103"/>
      <w:kern w:val="14"/>
      <w:sz w:val="28"/>
      <w:szCs w:val="26"/>
      <w:lang w:val="ru-RU"/>
    </w:rPr>
  </w:style>
  <w:style w:type="character" w:customStyle="1" w:styleId="Heading3Char">
    <w:name w:val="Heading 3 Char"/>
    <w:basedOn w:val="DefaultParagraphFont"/>
    <w:link w:val="Heading3"/>
    <w:uiPriority w:val="99"/>
    <w:rsid w:val="0071210D"/>
    <w:rPr>
      <w:rFonts w:ascii="Arial" w:eastAsiaTheme="majorEastAsia" w:hAnsi="Arial" w:cstheme="majorBidi"/>
      <w:b/>
      <w:bCs/>
      <w:spacing w:val="4"/>
      <w:w w:val="103"/>
      <w:kern w:val="14"/>
      <w:sz w:val="26"/>
      <w:lang w:val="ru-RU"/>
    </w:rPr>
  </w:style>
  <w:style w:type="paragraph" w:styleId="ListContinue">
    <w:name w:val="List Continue"/>
    <w:basedOn w:val="Normal"/>
    <w:semiHidden/>
    <w:rsid w:val="00DA1A4A"/>
    <w:pPr>
      <w:spacing w:after="120"/>
      <w:ind w:left="360"/>
      <w:contextualSpacing/>
    </w:pPr>
  </w:style>
  <w:style w:type="paragraph" w:styleId="ListContinue2">
    <w:name w:val="List Continue 2"/>
    <w:basedOn w:val="Normal"/>
    <w:next w:val="Normal"/>
    <w:rsid w:val="00DA1A4A"/>
    <w:pPr>
      <w:numPr>
        <w:numId w:val="1"/>
      </w:numPr>
      <w:tabs>
        <w:tab w:val="left" w:pos="792"/>
      </w:tabs>
      <w:spacing w:after="120"/>
    </w:pPr>
  </w:style>
  <w:style w:type="paragraph" w:styleId="ListNumber">
    <w:name w:val="List Number"/>
    <w:basedOn w:val="H1"/>
    <w:next w:val="Normal"/>
    <w:rsid w:val="00DA1A4A"/>
    <w:pPr>
      <w:numPr>
        <w:numId w:val="2"/>
      </w:numPr>
      <w:contextualSpacing/>
    </w:pPr>
  </w:style>
  <w:style w:type="paragraph" w:styleId="ListNumber2">
    <w:name w:val="List Number 2"/>
    <w:basedOn w:val="H23"/>
    <w:next w:val="Normal"/>
    <w:rsid w:val="00004756"/>
    <w:pPr>
      <w:numPr>
        <w:numId w:val="3"/>
      </w:numPr>
      <w:tabs>
        <w:tab w:val="clear" w:pos="720"/>
        <w:tab w:val="left" w:pos="648"/>
      </w:tabs>
      <w:ind w:left="648"/>
      <w:contextualSpacing/>
    </w:pPr>
  </w:style>
  <w:style w:type="paragraph" w:styleId="ListNumber3">
    <w:name w:val="List Number 3"/>
    <w:basedOn w:val="H23"/>
    <w:next w:val="Normal"/>
    <w:rsid w:val="00004756"/>
    <w:pPr>
      <w:numPr>
        <w:numId w:val="4"/>
      </w:numPr>
      <w:tabs>
        <w:tab w:val="clear" w:pos="1080"/>
        <w:tab w:val="left" w:pos="922"/>
      </w:tabs>
      <w:ind w:left="922"/>
      <w:contextualSpacing/>
    </w:pPr>
  </w:style>
  <w:style w:type="paragraph" w:styleId="ListNumber4">
    <w:name w:val="List Number 4"/>
    <w:basedOn w:val="Normal"/>
    <w:rsid w:val="00004756"/>
    <w:pPr>
      <w:keepNext/>
      <w:keepLines/>
      <w:numPr>
        <w:numId w:val="5"/>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rsid w:val="00277697"/>
    <w:pPr>
      <w:numPr>
        <w:numId w:val="6"/>
      </w:numPr>
      <w:tabs>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aliases w:val="5_GR,5_G"/>
    <w:basedOn w:val="Normal"/>
    <w:link w:val="FootnoteTextChar"/>
    <w:uiPriority w:val="99"/>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aliases w:val="5_GR Char,5_G Char"/>
    <w:basedOn w:val="DefaultParagraphFont"/>
    <w:link w:val="FootnoteText"/>
    <w:uiPriority w:val="99"/>
    <w:rsid w:val="00CF07BE"/>
    <w:rPr>
      <w:rFonts w:ascii="Times New Roman" w:hAnsi="Times New Roman"/>
      <w:spacing w:val="5"/>
      <w:w w:val="104"/>
      <w:kern w:val="14"/>
      <w:sz w:val="17"/>
      <w:szCs w:val="20"/>
      <w:lang w:val="ru-RU"/>
    </w:rPr>
  </w:style>
  <w:style w:type="character" w:styleId="FootnoteReference">
    <w:name w:val="footnote reference"/>
    <w:aliases w:val="4_GR,4_G"/>
    <w:basedOn w:val="DefaultParagraphFont"/>
    <w:uiPriority w:val="99"/>
    <w:unhideWhenUsed/>
    <w:rsid w:val="00EC6F5D"/>
    <w:rPr>
      <w:spacing w:val="-5"/>
      <w:w w:val="130"/>
      <w:position w:val="-4"/>
      <w:vertAlign w:val="superscript"/>
    </w:rPr>
  </w:style>
  <w:style w:type="paragraph" w:styleId="EndnoteText">
    <w:name w:val="endnote text"/>
    <w:aliases w:val="2_GR,2_G"/>
    <w:basedOn w:val="Normal"/>
    <w:link w:val="EndnoteTextChar"/>
    <w:uiPriority w:val="99"/>
    <w:unhideWhenUsed/>
    <w:rsid w:val="00515869"/>
    <w:pPr>
      <w:suppressAutoHyphens/>
      <w:spacing w:line="240" w:lineRule="auto"/>
    </w:pPr>
    <w:rPr>
      <w:spacing w:val="5"/>
      <w:w w:val="104"/>
      <w:szCs w:val="20"/>
    </w:rPr>
  </w:style>
  <w:style w:type="character" w:customStyle="1" w:styleId="EndnoteTextChar">
    <w:name w:val="Endnote Text Char"/>
    <w:aliases w:val="2_GR Char,2_G Char"/>
    <w:basedOn w:val="DefaultParagraphFont"/>
    <w:link w:val="EndnoteText"/>
    <w:uiPriority w:val="99"/>
    <w:rsid w:val="00515869"/>
    <w:rPr>
      <w:rFonts w:ascii="Times New Roman" w:hAnsi="Times New Roman"/>
      <w:spacing w:val="5"/>
      <w:w w:val="104"/>
      <w:kern w:val="14"/>
      <w:sz w:val="20"/>
      <w:szCs w:val="20"/>
      <w:lang w:val="ru-RU"/>
    </w:rPr>
  </w:style>
  <w:style w:type="paragraph" w:customStyle="1" w:styleId="Bullet1">
    <w:name w:val="Bullet 1"/>
    <w:basedOn w:val="Normal"/>
    <w:qFormat/>
    <w:rsid w:val="00545562"/>
    <w:pPr>
      <w:numPr>
        <w:numId w:val="7"/>
      </w:numPr>
      <w:tabs>
        <w:tab w:val="left" w:pos="2217"/>
      </w:tabs>
      <w:spacing w:after="120"/>
      <w:ind w:left="1746" w:right="1264" w:hanging="130"/>
      <w:jc w:val="both"/>
    </w:pPr>
  </w:style>
  <w:style w:type="paragraph" w:customStyle="1" w:styleId="Bullet2">
    <w:name w:val="Bullet 2"/>
    <w:basedOn w:val="Normal"/>
    <w:qFormat/>
    <w:rsid w:val="00545562"/>
    <w:pPr>
      <w:numPr>
        <w:numId w:val="8"/>
      </w:numPr>
      <w:tabs>
        <w:tab w:val="left" w:pos="2217"/>
      </w:tabs>
      <w:spacing w:after="120"/>
      <w:ind w:left="2217" w:right="1264" w:hanging="130"/>
      <w:jc w:val="both"/>
    </w:pPr>
  </w:style>
  <w:style w:type="character" w:styleId="CommentReference">
    <w:name w:val="annotation reference"/>
    <w:basedOn w:val="DefaultParagraphFont"/>
    <w:uiPriority w:val="99"/>
    <w:unhideWhenUsed/>
    <w:rsid w:val="00EC0913"/>
    <w:rPr>
      <w:sz w:val="16"/>
      <w:szCs w:val="16"/>
    </w:rPr>
  </w:style>
  <w:style w:type="paragraph" w:styleId="CommentText">
    <w:name w:val="annotation text"/>
    <w:basedOn w:val="Normal"/>
    <w:link w:val="CommentTextChar"/>
    <w:uiPriority w:val="99"/>
    <w:unhideWhenUsed/>
    <w:rsid w:val="00EC0913"/>
    <w:pPr>
      <w:spacing w:line="240" w:lineRule="auto"/>
    </w:pPr>
    <w:rPr>
      <w:szCs w:val="20"/>
    </w:rPr>
  </w:style>
  <w:style w:type="character" w:customStyle="1" w:styleId="CommentTextChar">
    <w:name w:val="Comment Text Char"/>
    <w:basedOn w:val="DefaultParagraphFont"/>
    <w:link w:val="CommentText"/>
    <w:uiPriority w:val="99"/>
    <w:rsid w:val="00EC0913"/>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unhideWhenUsed/>
    <w:rsid w:val="00EC0913"/>
    <w:rPr>
      <w:b/>
      <w:bCs/>
    </w:rPr>
  </w:style>
  <w:style w:type="character" w:customStyle="1" w:styleId="CommentSubjectChar">
    <w:name w:val="Comment Subject Char"/>
    <w:basedOn w:val="CommentTextChar"/>
    <w:link w:val="CommentSubject"/>
    <w:uiPriority w:val="99"/>
    <w:rsid w:val="00EC0913"/>
    <w:rPr>
      <w:rFonts w:ascii="Times New Roman" w:hAnsi="Times New Roman" w:cs="Times New Roman"/>
      <w:b/>
      <w:bCs/>
      <w:spacing w:val="4"/>
      <w:w w:val="103"/>
      <w:kern w:val="14"/>
      <w:sz w:val="20"/>
      <w:szCs w:val="20"/>
      <w:lang w:val="ru-RU"/>
    </w:rPr>
  </w:style>
  <w:style w:type="character" w:customStyle="1" w:styleId="Heading4Char">
    <w:name w:val="Heading 4 Char"/>
    <w:basedOn w:val="DefaultParagraphFont"/>
    <w:link w:val="Heading4"/>
    <w:uiPriority w:val="99"/>
    <w:rsid w:val="00D72844"/>
    <w:rPr>
      <w:rFonts w:ascii="Times New Roman" w:eastAsia="Times New Roman" w:hAnsi="Times New Roman" w:cs="Times New Roman"/>
      <w:b/>
      <w:bCs/>
      <w:spacing w:val="4"/>
      <w:w w:val="103"/>
      <w:kern w:val="14"/>
      <w:sz w:val="28"/>
      <w:szCs w:val="28"/>
      <w:lang w:val="ru-RU"/>
    </w:rPr>
  </w:style>
  <w:style w:type="character" w:customStyle="1" w:styleId="Heading5Char">
    <w:name w:val="Heading 5 Char"/>
    <w:basedOn w:val="DefaultParagraphFont"/>
    <w:link w:val="Heading5"/>
    <w:uiPriority w:val="99"/>
    <w:rsid w:val="00D72844"/>
    <w:rPr>
      <w:rFonts w:ascii="Times New Roman" w:eastAsia="Times New Roman" w:hAnsi="Times New Roman" w:cs="Times New Roman"/>
      <w:b/>
      <w:bCs/>
      <w:i/>
      <w:iCs/>
      <w:spacing w:val="4"/>
      <w:w w:val="103"/>
      <w:kern w:val="14"/>
      <w:sz w:val="26"/>
      <w:szCs w:val="26"/>
      <w:lang w:val="ru-RU"/>
    </w:rPr>
  </w:style>
  <w:style w:type="character" w:customStyle="1" w:styleId="Heading6Char">
    <w:name w:val="Heading 6 Char"/>
    <w:basedOn w:val="DefaultParagraphFont"/>
    <w:link w:val="Heading6"/>
    <w:uiPriority w:val="99"/>
    <w:rsid w:val="00D72844"/>
    <w:rPr>
      <w:rFonts w:ascii="Times New Roman" w:eastAsia="Times New Roman" w:hAnsi="Times New Roman" w:cs="Times New Roman"/>
      <w:b/>
      <w:bCs/>
      <w:spacing w:val="4"/>
      <w:w w:val="103"/>
      <w:kern w:val="14"/>
      <w:lang w:val="ru-RU"/>
    </w:rPr>
  </w:style>
  <w:style w:type="character" w:customStyle="1" w:styleId="Heading7Char">
    <w:name w:val="Heading 7 Char"/>
    <w:basedOn w:val="DefaultParagraphFont"/>
    <w:link w:val="Heading7"/>
    <w:uiPriority w:val="99"/>
    <w:rsid w:val="00D72844"/>
    <w:rPr>
      <w:rFonts w:ascii="Times New Roman" w:eastAsia="Times New Roman" w:hAnsi="Times New Roman" w:cs="Times New Roman"/>
      <w:spacing w:val="4"/>
      <w:w w:val="103"/>
      <w:kern w:val="14"/>
      <w:sz w:val="24"/>
      <w:szCs w:val="20"/>
      <w:lang w:val="ru-RU"/>
    </w:rPr>
  </w:style>
  <w:style w:type="character" w:customStyle="1" w:styleId="Heading8Char">
    <w:name w:val="Heading 8 Char"/>
    <w:basedOn w:val="DefaultParagraphFont"/>
    <w:link w:val="Heading8"/>
    <w:uiPriority w:val="99"/>
    <w:rsid w:val="00D72844"/>
    <w:rPr>
      <w:rFonts w:ascii="Times New Roman" w:eastAsia="Times New Roman" w:hAnsi="Times New Roman" w:cs="Times New Roman"/>
      <w:i/>
      <w:iCs/>
      <w:spacing w:val="4"/>
      <w:w w:val="103"/>
      <w:kern w:val="14"/>
      <w:sz w:val="24"/>
      <w:szCs w:val="20"/>
      <w:lang w:val="ru-RU"/>
    </w:rPr>
  </w:style>
  <w:style w:type="character" w:customStyle="1" w:styleId="Heading9Char">
    <w:name w:val="Heading 9 Char"/>
    <w:basedOn w:val="DefaultParagraphFont"/>
    <w:link w:val="Heading9"/>
    <w:uiPriority w:val="99"/>
    <w:rsid w:val="00D72844"/>
    <w:rPr>
      <w:rFonts w:ascii="Arial" w:eastAsia="Times New Roman" w:hAnsi="Arial" w:cs="Arial"/>
      <w:spacing w:val="4"/>
      <w:w w:val="103"/>
      <w:kern w:val="14"/>
      <w:lang w:val="ru-RU"/>
    </w:rPr>
  </w:style>
  <w:style w:type="paragraph" w:customStyle="1" w:styleId="SLGR">
    <w:name w:val="__S_L_GR"/>
    <w:basedOn w:val="Normal"/>
    <w:next w:val="Normal"/>
    <w:rsid w:val="00D72844"/>
    <w:pPr>
      <w:keepNext/>
      <w:keepLines/>
      <w:suppressAutoHyphens/>
      <w:spacing w:before="240" w:after="240" w:line="580" w:lineRule="exact"/>
      <w:ind w:left="1134" w:right="1134"/>
    </w:pPr>
    <w:rPr>
      <w:rFonts w:eastAsia="Times New Roman"/>
      <w:b/>
      <w:sz w:val="56"/>
      <w:szCs w:val="20"/>
      <w:lang w:eastAsia="ru-RU"/>
    </w:rPr>
  </w:style>
  <w:style w:type="paragraph" w:customStyle="1" w:styleId="SMGR">
    <w:name w:val="__S_M_GR"/>
    <w:basedOn w:val="Normal"/>
    <w:next w:val="Normal"/>
    <w:rsid w:val="00D72844"/>
    <w:pPr>
      <w:keepNext/>
      <w:keepLines/>
      <w:suppressAutoHyphens/>
      <w:spacing w:before="240" w:after="240" w:line="420" w:lineRule="exact"/>
      <w:ind w:left="1134" w:right="1134"/>
    </w:pPr>
    <w:rPr>
      <w:rFonts w:eastAsia="Times New Roman"/>
      <w:b/>
      <w:sz w:val="40"/>
      <w:szCs w:val="20"/>
      <w:lang w:eastAsia="ru-RU"/>
    </w:rPr>
  </w:style>
  <w:style w:type="paragraph" w:customStyle="1" w:styleId="SSGR">
    <w:name w:val="__S_S_GR"/>
    <w:basedOn w:val="Normal"/>
    <w:next w:val="Normal"/>
    <w:rsid w:val="00D72844"/>
    <w:pPr>
      <w:keepNext/>
      <w:keepLines/>
      <w:suppressAutoHyphens/>
      <w:spacing w:before="240" w:after="240" w:line="300" w:lineRule="exact"/>
      <w:ind w:left="1134" w:right="1134"/>
    </w:pPr>
    <w:rPr>
      <w:rFonts w:eastAsia="Times New Roman"/>
      <w:b/>
      <w:sz w:val="28"/>
      <w:szCs w:val="20"/>
      <w:lang w:eastAsia="ru-RU"/>
    </w:rPr>
  </w:style>
  <w:style w:type="paragraph" w:customStyle="1" w:styleId="XLargeGR">
    <w:name w:val="__XLarge_GR"/>
    <w:basedOn w:val="Normal"/>
    <w:next w:val="Normal"/>
    <w:rsid w:val="00D72844"/>
    <w:pPr>
      <w:keepNext/>
      <w:keepLines/>
      <w:suppressAutoHyphens/>
      <w:spacing w:before="240" w:after="240" w:line="420" w:lineRule="exact"/>
      <w:ind w:left="1134" w:right="1134"/>
    </w:pPr>
    <w:rPr>
      <w:rFonts w:eastAsia="Times New Roman"/>
      <w:b/>
      <w:sz w:val="40"/>
      <w:szCs w:val="20"/>
      <w:lang w:eastAsia="ru-RU"/>
    </w:rPr>
  </w:style>
  <w:style w:type="paragraph" w:customStyle="1" w:styleId="Bullet1GR">
    <w:name w:val="_Bullet 1_GR"/>
    <w:basedOn w:val="Normal"/>
    <w:rsid w:val="00D72844"/>
    <w:pPr>
      <w:numPr>
        <w:numId w:val="9"/>
      </w:numPr>
      <w:spacing w:after="120" w:line="240" w:lineRule="atLeast"/>
      <w:ind w:right="1134"/>
      <w:jc w:val="both"/>
    </w:pPr>
    <w:rPr>
      <w:rFonts w:eastAsia="Times New Roman"/>
      <w:szCs w:val="20"/>
      <w:lang w:eastAsia="ru-RU"/>
    </w:rPr>
  </w:style>
  <w:style w:type="paragraph" w:customStyle="1" w:styleId="Bullet2GR">
    <w:name w:val="_Bullet 2_GR"/>
    <w:basedOn w:val="Normal"/>
    <w:rsid w:val="00D72844"/>
    <w:pPr>
      <w:numPr>
        <w:numId w:val="10"/>
      </w:numPr>
      <w:spacing w:after="120" w:line="240" w:lineRule="atLeast"/>
      <w:ind w:right="1134"/>
      <w:jc w:val="both"/>
    </w:pPr>
    <w:rPr>
      <w:rFonts w:eastAsia="Times New Roman"/>
      <w:szCs w:val="20"/>
      <w:lang w:eastAsia="ru-RU"/>
    </w:rPr>
  </w:style>
  <w:style w:type="numbering" w:styleId="111111">
    <w:name w:val="Outline List 2"/>
    <w:basedOn w:val="NoList"/>
    <w:semiHidden/>
    <w:rsid w:val="00D72844"/>
    <w:pPr>
      <w:numPr>
        <w:numId w:val="12"/>
      </w:numPr>
    </w:pPr>
  </w:style>
  <w:style w:type="numbering" w:styleId="1ai">
    <w:name w:val="Outline List 1"/>
    <w:basedOn w:val="NoList"/>
    <w:semiHidden/>
    <w:rsid w:val="00D72844"/>
    <w:pPr>
      <w:numPr>
        <w:numId w:val="13"/>
      </w:numPr>
    </w:pPr>
  </w:style>
  <w:style w:type="paragraph" w:styleId="HTMLAddress">
    <w:name w:val="HTML Address"/>
    <w:basedOn w:val="Normal"/>
    <w:link w:val="HTMLAddressChar"/>
    <w:semiHidden/>
    <w:rsid w:val="00D72844"/>
    <w:pPr>
      <w:spacing w:line="240" w:lineRule="atLeast"/>
    </w:pPr>
    <w:rPr>
      <w:rFonts w:eastAsia="Times New Roman"/>
      <w:i/>
      <w:iCs/>
      <w:szCs w:val="20"/>
    </w:rPr>
  </w:style>
  <w:style w:type="character" w:customStyle="1" w:styleId="HTMLAddressChar">
    <w:name w:val="HTML Address Char"/>
    <w:basedOn w:val="DefaultParagraphFont"/>
    <w:link w:val="HTMLAddress"/>
    <w:semiHidden/>
    <w:rsid w:val="00D72844"/>
    <w:rPr>
      <w:rFonts w:ascii="Times New Roman" w:eastAsia="Times New Roman" w:hAnsi="Times New Roman" w:cs="Times New Roman"/>
      <w:i/>
      <w:iCs/>
      <w:spacing w:val="4"/>
      <w:w w:val="103"/>
      <w:kern w:val="14"/>
      <w:sz w:val="20"/>
      <w:szCs w:val="20"/>
      <w:lang w:val="ru-RU"/>
    </w:rPr>
  </w:style>
  <w:style w:type="paragraph" w:styleId="EnvelopeAddress">
    <w:name w:val="envelope address"/>
    <w:basedOn w:val="Normal"/>
    <w:semiHidden/>
    <w:rsid w:val="00D72844"/>
    <w:pPr>
      <w:framePr w:w="7920" w:h="1980" w:hRule="exact" w:hSpace="180" w:wrap="auto" w:hAnchor="page" w:xAlign="center" w:yAlign="bottom"/>
      <w:spacing w:line="240" w:lineRule="atLeast"/>
      <w:ind w:left="2880"/>
    </w:pPr>
    <w:rPr>
      <w:rFonts w:ascii="Arial" w:eastAsia="Times New Roman" w:hAnsi="Arial" w:cs="Arial"/>
      <w:sz w:val="24"/>
      <w:szCs w:val="20"/>
    </w:rPr>
  </w:style>
  <w:style w:type="paragraph" w:styleId="Date">
    <w:name w:val="Date"/>
    <w:basedOn w:val="Normal"/>
    <w:next w:val="Normal"/>
    <w:link w:val="DateChar"/>
    <w:semiHidden/>
    <w:rsid w:val="00D72844"/>
    <w:pPr>
      <w:spacing w:line="240" w:lineRule="atLeast"/>
    </w:pPr>
    <w:rPr>
      <w:rFonts w:eastAsia="Times New Roman"/>
      <w:szCs w:val="20"/>
    </w:rPr>
  </w:style>
  <w:style w:type="character" w:customStyle="1" w:styleId="DateChar">
    <w:name w:val="Date Char"/>
    <w:basedOn w:val="DefaultParagraphFont"/>
    <w:link w:val="Date"/>
    <w:semiHidden/>
    <w:rsid w:val="00D72844"/>
    <w:rPr>
      <w:rFonts w:ascii="Times New Roman" w:eastAsia="Times New Roman" w:hAnsi="Times New Roman" w:cs="Times New Roman"/>
      <w:spacing w:val="4"/>
      <w:w w:val="103"/>
      <w:kern w:val="14"/>
      <w:sz w:val="20"/>
      <w:szCs w:val="20"/>
      <w:lang w:val="ru-RU"/>
    </w:rPr>
  </w:style>
  <w:style w:type="paragraph" w:styleId="ListBullet5">
    <w:name w:val="List Bullet 5"/>
    <w:basedOn w:val="Normal"/>
    <w:semiHidden/>
    <w:rsid w:val="00D72844"/>
    <w:pPr>
      <w:numPr>
        <w:numId w:val="18"/>
      </w:numPr>
      <w:spacing w:line="240" w:lineRule="atLeast"/>
    </w:pPr>
    <w:rPr>
      <w:rFonts w:eastAsia="Times New Roman"/>
      <w:szCs w:val="20"/>
    </w:rPr>
  </w:style>
  <w:style w:type="table" w:styleId="TableGrid">
    <w:name w:val="Table Grid"/>
    <w:basedOn w:val="TableNormal"/>
    <w:uiPriority w:val="99"/>
    <w:rsid w:val="00D72844"/>
    <w:pPr>
      <w:spacing w:after="0" w:line="240" w:lineRule="atLeast"/>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semiHidden/>
    <w:rsid w:val="00D72844"/>
    <w:pPr>
      <w:spacing w:after="0" w:line="240" w:lineRule="atLeast"/>
    </w:pPr>
    <w:rPr>
      <w:rFonts w:ascii="Times New Roman" w:eastAsia="Times New Roman" w:hAnsi="Times New Roman" w:cs="Times New Roman"/>
      <w:sz w:val="20"/>
      <w:szCs w:val="20"/>
      <w:lang w:val="ru-RU"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EndnoteReference">
    <w:name w:val="endnote reference"/>
    <w:aliases w:val="1_GR,1_G"/>
    <w:basedOn w:val="FootnoteReference"/>
    <w:uiPriority w:val="99"/>
    <w:rsid w:val="00D72844"/>
    <w:rPr>
      <w:rFonts w:ascii="Times New Roman" w:hAnsi="Times New Roman"/>
      <w:dstrike w:val="0"/>
      <w:spacing w:val="-5"/>
      <w:w w:val="130"/>
      <w:position w:val="-4"/>
      <w:sz w:val="18"/>
      <w:vertAlign w:val="superscript"/>
    </w:rPr>
  </w:style>
  <w:style w:type="character" w:styleId="PageNumber">
    <w:name w:val="page number"/>
    <w:aliases w:val="7_GR,7_G"/>
    <w:basedOn w:val="DefaultParagraphFont"/>
    <w:uiPriority w:val="99"/>
    <w:rsid w:val="00D72844"/>
    <w:rPr>
      <w:rFonts w:ascii="Times New Roman" w:hAnsi="Times New Roman"/>
      <w:b/>
      <w:sz w:val="18"/>
    </w:rPr>
  </w:style>
  <w:style w:type="paragraph" w:customStyle="1" w:styleId="ParaNoGR">
    <w:name w:val="_ParaNo._GR"/>
    <w:basedOn w:val="Normal"/>
    <w:next w:val="Normal"/>
    <w:rsid w:val="00D72844"/>
    <w:pPr>
      <w:numPr>
        <w:numId w:val="11"/>
      </w:numPr>
      <w:tabs>
        <w:tab w:val="left" w:pos="567"/>
      </w:tabs>
      <w:spacing w:after="120" w:line="240" w:lineRule="atLeast"/>
      <w:ind w:right="1134"/>
      <w:jc w:val="both"/>
      <w:outlineLvl w:val="0"/>
    </w:pPr>
    <w:rPr>
      <w:rFonts w:eastAsia="Times New Roman"/>
      <w:szCs w:val="20"/>
      <w:lang w:eastAsia="ru-RU"/>
    </w:rPr>
  </w:style>
  <w:style w:type="character" w:styleId="HTMLAcronym">
    <w:name w:val="HTML Acronym"/>
    <w:basedOn w:val="DefaultParagraphFont"/>
    <w:semiHidden/>
    <w:rsid w:val="00D72844"/>
  </w:style>
  <w:style w:type="table" w:styleId="TableWeb1">
    <w:name w:val="Table Web 1"/>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Emphasis">
    <w:name w:val="Emphasis"/>
    <w:basedOn w:val="DefaultParagraphFont"/>
    <w:uiPriority w:val="99"/>
    <w:qFormat/>
    <w:rsid w:val="00D72844"/>
    <w:rPr>
      <w:i/>
      <w:iCs/>
    </w:rPr>
  </w:style>
  <w:style w:type="paragraph" w:styleId="NoteHeading">
    <w:name w:val="Note Heading"/>
    <w:basedOn w:val="Normal"/>
    <w:next w:val="Normal"/>
    <w:link w:val="NoteHeadingChar"/>
    <w:semiHidden/>
    <w:rsid w:val="00D72844"/>
    <w:pPr>
      <w:spacing w:line="240" w:lineRule="atLeast"/>
    </w:pPr>
    <w:rPr>
      <w:rFonts w:eastAsia="Times New Roman"/>
      <w:szCs w:val="20"/>
    </w:rPr>
  </w:style>
  <w:style w:type="character" w:customStyle="1" w:styleId="NoteHeadingChar">
    <w:name w:val="Note Heading Char"/>
    <w:basedOn w:val="DefaultParagraphFont"/>
    <w:link w:val="NoteHeading"/>
    <w:semiHidden/>
    <w:rsid w:val="00D72844"/>
    <w:rPr>
      <w:rFonts w:ascii="Times New Roman" w:eastAsia="Times New Roman" w:hAnsi="Times New Roman" w:cs="Times New Roman"/>
      <w:spacing w:val="4"/>
      <w:w w:val="103"/>
      <w:kern w:val="14"/>
      <w:sz w:val="20"/>
      <w:szCs w:val="20"/>
      <w:lang w:val="ru-RU"/>
    </w:rPr>
  </w:style>
  <w:style w:type="table" w:styleId="TableElegant">
    <w:name w:val="Table Elegant"/>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ubtle1">
    <w:name w:val="Table Subtle 1"/>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Keyboard">
    <w:name w:val="HTML Keyboard"/>
    <w:basedOn w:val="DefaultParagraphFont"/>
    <w:semiHidden/>
    <w:rsid w:val="00D72844"/>
    <w:rPr>
      <w:rFonts w:ascii="Courier New" w:hAnsi="Courier New" w:cs="Courier New"/>
      <w:sz w:val="20"/>
      <w:szCs w:val="20"/>
    </w:rPr>
  </w:style>
  <w:style w:type="table" w:styleId="TableClassic1">
    <w:name w:val="Table Classic 1"/>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72844"/>
    <w:pPr>
      <w:spacing w:after="120" w:line="200" w:lineRule="atLeast"/>
    </w:pPr>
    <w:rPr>
      <w:rFonts w:ascii="Times New Roman" w:eastAsia="Times New Roman" w:hAnsi="Times New Roman" w:cs="Times New Roman"/>
      <w:color w:val="000080"/>
      <w:sz w:val="20"/>
      <w:szCs w:val="20"/>
      <w:lang w:val="ru-RU"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Code">
    <w:name w:val="HTML Code"/>
    <w:basedOn w:val="DefaultParagraphFont"/>
    <w:semiHidden/>
    <w:rsid w:val="00D72844"/>
    <w:rPr>
      <w:rFonts w:ascii="Courier New" w:hAnsi="Courier New" w:cs="Courier New"/>
      <w:sz w:val="20"/>
      <w:szCs w:val="20"/>
    </w:rPr>
  </w:style>
  <w:style w:type="paragraph" w:styleId="BodyText">
    <w:name w:val="Body Text"/>
    <w:basedOn w:val="Normal"/>
    <w:link w:val="BodyTextChar"/>
    <w:uiPriority w:val="99"/>
    <w:rsid w:val="00D72844"/>
    <w:pPr>
      <w:spacing w:line="240" w:lineRule="atLeast"/>
    </w:pPr>
    <w:rPr>
      <w:rFonts w:eastAsia="Times New Roman"/>
      <w:szCs w:val="20"/>
    </w:rPr>
  </w:style>
  <w:style w:type="character" w:customStyle="1" w:styleId="BodyTextChar">
    <w:name w:val="Body Text Char"/>
    <w:basedOn w:val="DefaultParagraphFont"/>
    <w:link w:val="BodyText"/>
    <w:uiPriority w:val="99"/>
    <w:rsid w:val="00D72844"/>
    <w:rPr>
      <w:rFonts w:ascii="Times New Roman" w:eastAsia="Times New Roman" w:hAnsi="Times New Roman" w:cs="Times New Roman"/>
      <w:spacing w:val="4"/>
      <w:w w:val="103"/>
      <w:kern w:val="14"/>
      <w:sz w:val="20"/>
      <w:szCs w:val="20"/>
      <w:lang w:val="ru-RU"/>
    </w:rPr>
  </w:style>
  <w:style w:type="paragraph" w:styleId="BodyTextFirstIndent">
    <w:name w:val="Body Text First Indent"/>
    <w:basedOn w:val="BodyText"/>
    <w:link w:val="BodyTextFirstIndentChar"/>
    <w:semiHidden/>
    <w:rsid w:val="00D72844"/>
    <w:pPr>
      <w:ind w:firstLine="210"/>
    </w:pPr>
  </w:style>
  <w:style w:type="character" w:customStyle="1" w:styleId="BodyTextFirstIndentChar">
    <w:name w:val="Body Text First Indent Char"/>
    <w:basedOn w:val="BodyTextChar"/>
    <w:link w:val="BodyTextFirstIndent"/>
    <w:semiHidden/>
    <w:rsid w:val="00D72844"/>
    <w:rPr>
      <w:rFonts w:ascii="Times New Roman" w:eastAsia="Times New Roman" w:hAnsi="Times New Roman" w:cs="Times New Roman"/>
      <w:spacing w:val="4"/>
      <w:w w:val="103"/>
      <w:kern w:val="14"/>
      <w:sz w:val="20"/>
      <w:szCs w:val="20"/>
      <w:lang w:val="ru-RU"/>
    </w:rPr>
  </w:style>
  <w:style w:type="paragraph" w:styleId="BodyTextIndent">
    <w:name w:val="Body Text Indent"/>
    <w:basedOn w:val="Normal"/>
    <w:link w:val="BodyTextIndentChar"/>
    <w:semiHidden/>
    <w:rsid w:val="00D72844"/>
    <w:pPr>
      <w:spacing w:line="240" w:lineRule="atLeast"/>
      <w:ind w:left="283"/>
    </w:pPr>
    <w:rPr>
      <w:rFonts w:eastAsia="Times New Roman"/>
      <w:szCs w:val="20"/>
    </w:rPr>
  </w:style>
  <w:style w:type="character" w:customStyle="1" w:styleId="BodyTextIndentChar">
    <w:name w:val="Body Text Indent Char"/>
    <w:basedOn w:val="DefaultParagraphFont"/>
    <w:link w:val="BodyTextIndent"/>
    <w:semiHidden/>
    <w:rsid w:val="00D72844"/>
    <w:rPr>
      <w:rFonts w:ascii="Times New Roman" w:eastAsia="Times New Roman" w:hAnsi="Times New Roman" w:cs="Times New Roman"/>
      <w:spacing w:val="4"/>
      <w:w w:val="103"/>
      <w:kern w:val="14"/>
      <w:sz w:val="20"/>
      <w:szCs w:val="20"/>
      <w:lang w:val="ru-RU"/>
    </w:rPr>
  </w:style>
  <w:style w:type="paragraph" w:styleId="BodyTextFirstIndent2">
    <w:name w:val="Body Text First Indent 2"/>
    <w:basedOn w:val="BodyTextIndent"/>
    <w:link w:val="BodyTextFirstIndent2Char"/>
    <w:semiHidden/>
    <w:rsid w:val="00D72844"/>
    <w:pPr>
      <w:ind w:firstLine="210"/>
    </w:pPr>
  </w:style>
  <w:style w:type="character" w:customStyle="1" w:styleId="BodyTextFirstIndent2Char">
    <w:name w:val="Body Text First Indent 2 Char"/>
    <w:basedOn w:val="BodyTextIndentChar"/>
    <w:link w:val="BodyTextFirstIndent2"/>
    <w:semiHidden/>
    <w:rsid w:val="00D72844"/>
    <w:rPr>
      <w:rFonts w:ascii="Times New Roman" w:eastAsia="Times New Roman" w:hAnsi="Times New Roman" w:cs="Times New Roman"/>
      <w:spacing w:val="4"/>
      <w:w w:val="103"/>
      <w:kern w:val="14"/>
      <w:sz w:val="20"/>
      <w:szCs w:val="20"/>
      <w:lang w:val="ru-RU"/>
    </w:rPr>
  </w:style>
  <w:style w:type="paragraph" w:styleId="ListBullet">
    <w:name w:val="List Bullet"/>
    <w:basedOn w:val="Normal"/>
    <w:semiHidden/>
    <w:rsid w:val="00D72844"/>
    <w:pPr>
      <w:numPr>
        <w:numId w:val="14"/>
      </w:numPr>
      <w:spacing w:line="240" w:lineRule="atLeast"/>
    </w:pPr>
    <w:rPr>
      <w:rFonts w:eastAsia="Times New Roman"/>
      <w:szCs w:val="20"/>
    </w:rPr>
  </w:style>
  <w:style w:type="paragraph" w:styleId="ListBullet2">
    <w:name w:val="List Bullet 2"/>
    <w:basedOn w:val="Normal"/>
    <w:semiHidden/>
    <w:rsid w:val="00D72844"/>
    <w:pPr>
      <w:numPr>
        <w:numId w:val="15"/>
      </w:numPr>
      <w:spacing w:line="240" w:lineRule="atLeast"/>
    </w:pPr>
    <w:rPr>
      <w:rFonts w:eastAsia="Times New Roman"/>
      <w:szCs w:val="20"/>
    </w:rPr>
  </w:style>
  <w:style w:type="paragraph" w:styleId="ListBullet3">
    <w:name w:val="List Bullet 3"/>
    <w:basedOn w:val="Normal"/>
    <w:semiHidden/>
    <w:rsid w:val="00D72844"/>
    <w:pPr>
      <w:tabs>
        <w:tab w:val="num" w:pos="926"/>
      </w:tabs>
      <w:spacing w:line="240" w:lineRule="atLeast"/>
      <w:ind w:left="926" w:hanging="360"/>
    </w:pPr>
    <w:rPr>
      <w:rFonts w:eastAsia="Times New Roman"/>
      <w:szCs w:val="20"/>
    </w:rPr>
  </w:style>
  <w:style w:type="paragraph" w:styleId="ListBullet4">
    <w:name w:val="List Bullet 4"/>
    <w:basedOn w:val="Normal"/>
    <w:semiHidden/>
    <w:rsid w:val="00D72844"/>
    <w:pPr>
      <w:numPr>
        <w:numId w:val="17"/>
      </w:numPr>
      <w:spacing w:line="240" w:lineRule="atLeast"/>
    </w:pPr>
    <w:rPr>
      <w:rFonts w:eastAsia="Times New Roman"/>
      <w:szCs w:val="20"/>
    </w:rPr>
  </w:style>
  <w:style w:type="paragraph" w:styleId="Title">
    <w:name w:val="Title"/>
    <w:basedOn w:val="Normal"/>
    <w:link w:val="TitleChar"/>
    <w:uiPriority w:val="99"/>
    <w:qFormat/>
    <w:rsid w:val="00D72844"/>
    <w:pPr>
      <w:spacing w:before="240" w:after="60" w:line="240" w:lineRule="atLeast"/>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99"/>
    <w:rsid w:val="00D72844"/>
    <w:rPr>
      <w:rFonts w:ascii="Arial" w:eastAsia="Times New Roman" w:hAnsi="Arial" w:cs="Arial"/>
      <w:b/>
      <w:bCs/>
      <w:spacing w:val="4"/>
      <w:w w:val="103"/>
      <w:kern w:val="28"/>
      <w:sz w:val="32"/>
      <w:szCs w:val="32"/>
      <w:lang w:val="ru-RU"/>
    </w:rPr>
  </w:style>
  <w:style w:type="character" w:styleId="LineNumber">
    <w:name w:val="line number"/>
    <w:basedOn w:val="DefaultParagraphFont"/>
    <w:rsid w:val="00D72844"/>
  </w:style>
  <w:style w:type="character" w:styleId="HTMLSample">
    <w:name w:val="HTML Sample"/>
    <w:basedOn w:val="DefaultParagraphFont"/>
    <w:semiHidden/>
    <w:rsid w:val="00D72844"/>
    <w:rPr>
      <w:rFonts w:ascii="Courier New" w:hAnsi="Courier New" w:cs="Courier New"/>
    </w:rPr>
  </w:style>
  <w:style w:type="paragraph" w:styleId="EnvelopeReturn">
    <w:name w:val="envelope return"/>
    <w:basedOn w:val="Normal"/>
    <w:semiHidden/>
    <w:rsid w:val="00D72844"/>
    <w:pPr>
      <w:spacing w:line="240" w:lineRule="atLeast"/>
    </w:pPr>
    <w:rPr>
      <w:rFonts w:ascii="Arial" w:eastAsia="Times New Roman" w:hAnsi="Arial" w:cs="Arial"/>
      <w:szCs w:val="20"/>
    </w:rPr>
  </w:style>
  <w:style w:type="table" w:styleId="Table3Deffects1">
    <w:name w:val="Table 3D effects 1"/>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semiHidden/>
    <w:rsid w:val="00D72844"/>
    <w:pPr>
      <w:spacing w:line="240" w:lineRule="atLeast"/>
    </w:pPr>
    <w:rPr>
      <w:rFonts w:eastAsia="Times New Roman"/>
      <w:sz w:val="24"/>
      <w:szCs w:val="20"/>
    </w:rPr>
  </w:style>
  <w:style w:type="paragraph" w:styleId="NormalIndent">
    <w:name w:val="Normal Indent"/>
    <w:basedOn w:val="Normal"/>
    <w:semiHidden/>
    <w:rsid w:val="00D72844"/>
    <w:pPr>
      <w:spacing w:line="240" w:lineRule="atLeast"/>
      <w:ind w:left="567"/>
    </w:pPr>
    <w:rPr>
      <w:rFonts w:eastAsia="Times New Roman"/>
      <w:szCs w:val="20"/>
    </w:rPr>
  </w:style>
  <w:style w:type="character" w:styleId="HTMLDefinition">
    <w:name w:val="HTML Definition"/>
    <w:basedOn w:val="DefaultParagraphFont"/>
    <w:semiHidden/>
    <w:rsid w:val="00D72844"/>
    <w:rPr>
      <w:i/>
      <w:iCs/>
    </w:rPr>
  </w:style>
  <w:style w:type="paragraph" w:styleId="BodyText2">
    <w:name w:val="Body Text 2"/>
    <w:basedOn w:val="Normal"/>
    <w:link w:val="BodyText2Char"/>
    <w:uiPriority w:val="99"/>
    <w:rsid w:val="00D72844"/>
    <w:pPr>
      <w:spacing w:line="480" w:lineRule="auto"/>
    </w:pPr>
    <w:rPr>
      <w:rFonts w:eastAsia="Times New Roman"/>
      <w:szCs w:val="20"/>
    </w:rPr>
  </w:style>
  <w:style w:type="character" w:customStyle="1" w:styleId="BodyText2Char">
    <w:name w:val="Body Text 2 Char"/>
    <w:basedOn w:val="DefaultParagraphFont"/>
    <w:link w:val="BodyText2"/>
    <w:uiPriority w:val="99"/>
    <w:rsid w:val="00D72844"/>
    <w:rPr>
      <w:rFonts w:ascii="Times New Roman" w:eastAsia="Times New Roman" w:hAnsi="Times New Roman" w:cs="Times New Roman"/>
      <w:spacing w:val="4"/>
      <w:w w:val="103"/>
      <w:kern w:val="14"/>
      <w:sz w:val="20"/>
      <w:szCs w:val="20"/>
      <w:lang w:val="ru-RU"/>
    </w:rPr>
  </w:style>
  <w:style w:type="paragraph" w:styleId="BodyText3">
    <w:name w:val="Body Text 3"/>
    <w:basedOn w:val="Normal"/>
    <w:link w:val="BodyText3Char"/>
    <w:semiHidden/>
    <w:rsid w:val="00D72844"/>
    <w:pPr>
      <w:spacing w:line="240" w:lineRule="atLeast"/>
    </w:pPr>
    <w:rPr>
      <w:rFonts w:eastAsia="Times New Roman"/>
      <w:sz w:val="16"/>
      <w:szCs w:val="16"/>
    </w:rPr>
  </w:style>
  <w:style w:type="character" w:customStyle="1" w:styleId="BodyText3Char">
    <w:name w:val="Body Text 3 Char"/>
    <w:basedOn w:val="DefaultParagraphFont"/>
    <w:link w:val="BodyText3"/>
    <w:semiHidden/>
    <w:rsid w:val="00D72844"/>
    <w:rPr>
      <w:rFonts w:ascii="Times New Roman" w:eastAsia="Times New Roman" w:hAnsi="Times New Roman" w:cs="Times New Roman"/>
      <w:spacing w:val="4"/>
      <w:w w:val="103"/>
      <w:kern w:val="14"/>
      <w:sz w:val="16"/>
      <w:szCs w:val="16"/>
      <w:lang w:val="ru-RU"/>
    </w:rPr>
  </w:style>
  <w:style w:type="paragraph" w:styleId="BodyTextIndent2">
    <w:name w:val="Body Text Indent 2"/>
    <w:basedOn w:val="Normal"/>
    <w:link w:val="BodyTextIndent2Char"/>
    <w:semiHidden/>
    <w:rsid w:val="00D72844"/>
    <w:pPr>
      <w:spacing w:line="480" w:lineRule="auto"/>
      <w:ind w:left="283"/>
    </w:pPr>
    <w:rPr>
      <w:rFonts w:eastAsia="Times New Roman"/>
      <w:szCs w:val="20"/>
    </w:rPr>
  </w:style>
  <w:style w:type="character" w:customStyle="1" w:styleId="BodyTextIndent2Char">
    <w:name w:val="Body Text Indent 2 Char"/>
    <w:basedOn w:val="DefaultParagraphFont"/>
    <w:link w:val="BodyTextIndent2"/>
    <w:semiHidden/>
    <w:rsid w:val="00D72844"/>
    <w:rPr>
      <w:rFonts w:ascii="Times New Roman" w:eastAsia="Times New Roman" w:hAnsi="Times New Roman" w:cs="Times New Roman"/>
      <w:spacing w:val="4"/>
      <w:w w:val="103"/>
      <w:kern w:val="14"/>
      <w:sz w:val="20"/>
      <w:szCs w:val="20"/>
      <w:lang w:val="ru-RU"/>
    </w:rPr>
  </w:style>
  <w:style w:type="paragraph" w:styleId="BodyTextIndent3">
    <w:name w:val="Body Text Indent 3"/>
    <w:basedOn w:val="Normal"/>
    <w:link w:val="BodyTextIndent3Char"/>
    <w:semiHidden/>
    <w:rsid w:val="00D72844"/>
    <w:pPr>
      <w:spacing w:line="240" w:lineRule="atLeast"/>
      <w:ind w:left="283"/>
    </w:pPr>
    <w:rPr>
      <w:rFonts w:eastAsia="Times New Roman"/>
      <w:sz w:val="16"/>
      <w:szCs w:val="16"/>
    </w:rPr>
  </w:style>
  <w:style w:type="character" w:customStyle="1" w:styleId="BodyTextIndent3Char">
    <w:name w:val="Body Text Indent 3 Char"/>
    <w:basedOn w:val="DefaultParagraphFont"/>
    <w:link w:val="BodyTextIndent3"/>
    <w:semiHidden/>
    <w:rsid w:val="00D72844"/>
    <w:rPr>
      <w:rFonts w:ascii="Times New Roman" w:eastAsia="Times New Roman" w:hAnsi="Times New Roman" w:cs="Times New Roman"/>
      <w:spacing w:val="4"/>
      <w:w w:val="103"/>
      <w:kern w:val="14"/>
      <w:sz w:val="16"/>
      <w:szCs w:val="16"/>
      <w:lang w:val="ru-RU"/>
    </w:rPr>
  </w:style>
  <w:style w:type="character" w:styleId="HTMLVariable">
    <w:name w:val="HTML Variable"/>
    <w:basedOn w:val="DefaultParagraphFont"/>
    <w:semiHidden/>
    <w:rsid w:val="00D72844"/>
    <w:rPr>
      <w:i/>
      <w:iCs/>
    </w:rPr>
  </w:style>
  <w:style w:type="character" w:styleId="HTMLTypewriter">
    <w:name w:val="HTML Typewriter"/>
    <w:basedOn w:val="DefaultParagraphFont"/>
    <w:semiHidden/>
    <w:rsid w:val="00D72844"/>
    <w:rPr>
      <w:rFonts w:ascii="Courier New" w:hAnsi="Courier New" w:cs="Courier New"/>
      <w:sz w:val="20"/>
      <w:szCs w:val="20"/>
    </w:rPr>
  </w:style>
  <w:style w:type="paragraph" w:styleId="Subtitle">
    <w:name w:val="Subtitle"/>
    <w:basedOn w:val="Normal"/>
    <w:link w:val="SubtitleChar"/>
    <w:qFormat/>
    <w:rsid w:val="00D72844"/>
    <w:pPr>
      <w:spacing w:after="60" w:line="240" w:lineRule="atLeast"/>
      <w:jc w:val="center"/>
      <w:outlineLvl w:val="1"/>
    </w:pPr>
    <w:rPr>
      <w:rFonts w:ascii="Arial" w:eastAsia="Times New Roman" w:hAnsi="Arial" w:cs="Arial"/>
      <w:sz w:val="24"/>
      <w:szCs w:val="20"/>
    </w:rPr>
  </w:style>
  <w:style w:type="character" w:customStyle="1" w:styleId="SubtitleChar">
    <w:name w:val="Subtitle Char"/>
    <w:basedOn w:val="DefaultParagraphFont"/>
    <w:link w:val="Subtitle"/>
    <w:rsid w:val="00D72844"/>
    <w:rPr>
      <w:rFonts w:ascii="Arial" w:eastAsia="Times New Roman" w:hAnsi="Arial" w:cs="Arial"/>
      <w:spacing w:val="4"/>
      <w:w w:val="103"/>
      <w:kern w:val="14"/>
      <w:sz w:val="24"/>
      <w:szCs w:val="20"/>
      <w:lang w:val="ru-RU"/>
    </w:rPr>
  </w:style>
  <w:style w:type="paragraph" w:styleId="Signature">
    <w:name w:val="Signature"/>
    <w:basedOn w:val="Normal"/>
    <w:link w:val="SignatureChar"/>
    <w:semiHidden/>
    <w:rsid w:val="00D72844"/>
    <w:pPr>
      <w:spacing w:line="240" w:lineRule="atLeast"/>
      <w:ind w:left="4252"/>
    </w:pPr>
    <w:rPr>
      <w:rFonts w:eastAsia="Times New Roman"/>
      <w:szCs w:val="20"/>
    </w:rPr>
  </w:style>
  <w:style w:type="character" w:customStyle="1" w:styleId="SignatureChar">
    <w:name w:val="Signature Char"/>
    <w:basedOn w:val="DefaultParagraphFont"/>
    <w:link w:val="Signature"/>
    <w:semiHidden/>
    <w:rsid w:val="00D72844"/>
    <w:rPr>
      <w:rFonts w:ascii="Times New Roman" w:eastAsia="Times New Roman" w:hAnsi="Times New Roman" w:cs="Times New Roman"/>
      <w:spacing w:val="4"/>
      <w:w w:val="103"/>
      <w:kern w:val="14"/>
      <w:sz w:val="20"/>
      <w:szCs w:val="20"/>
      <w:lang w:val="ru-RU"/>
    </w:rPr>
  </w:style>
  <w:style w:type="paragraph" w:styleId="Salutation">
    <w:name w:val="Salutation"/>
    <w:basedOn w:val="Normal"/>
    <w:next w:val="Normal"/>
    <w:link w:val="SalutationChar"/>
    <w:semiHidden/>
    <w:rsid w:val="00D72844"/>
    <w:pPr>
      <w:spacing w:line="240" w:lineRule="atLeast"/>
    </w:pPr>
    <w:rPr>
      <w:rFonts w:eastAsia="Times New Roman"/>
      <w:szCs w:val="20"/>
    </w:rPr>
  </w:style>
  <w:style w:type="character" w:customStyle="1" w:styleId="SalutationChar">
    <w:name w:val="Salutation Char"/>
    <w:basedOn w:val="DefaultParagraphFont"/>
    <w:link w:val="Salutation"/>
    <w:semiHidden/>
    <w:rsid w:val="00D72844"/>
    <w:rPr>
      <w:rFonts w:ascii="Times New Roman" w:eastAsia="Times New Roman" w:hAnsi="Times New Roman" w:cs="Times New Roman"/>
      <w:spacing w:val="4"/>
      <w:w w:val="103"/>
      <w:kern w:val="14"/>
      <w:sz w:val="20"/>
      <w:szCs w:val="20"/>
      <w:lang w:val="ru-RU"/>
    </w:rPr>
  </w:style>
  <w:style w:type="paragraph" w:styleId="ListContinue3">
    <w:name w:val="List Continue 3"/>
    <w:basedOn w:val="Normal"/>
    <w:semiHidden/>
    <w:rsid w:val="00D72844"/>
    <w:pPr>
      <w:spacing w:line="240" w:lineRule="atLeast"/>
      <w:ind w:left="849"/>
    </w:pPr>
    <w:rPr>
      <w:rFonts w:eastAsia="Times New Roman"/>
      <w:szCs w:val="20"/>
    </w:rPr>
  </w:style>
  <w:style w:type="paragraph" w:styleId="ListContinue4">
    <w:name w:val="List Continue 4"/>
    <w:basedOn w:val="Normal"/>
    <w:semiHidden/>
    <w:rsid w:val="00D72844"/>
    <w:pPr>
      <w:spacing w:line="240" w:lineRule="atLeast"/>
      <w:ind w:left="1132"/>
    </w:pPr>
    <w:rPr>
      <w:rFonts w:eastAsia="Times New Roman"/>
      <w:szCs w:val="20"/>
    </w:rPr>
  </w:style>
  <w:style w:type="paragraph" w:styleId="ListContinue5">
    <w:name w:val="List Continue 5"/>
    <w:basedOn w:val="Normal"/>
    <w:semiHidden/>
    <w:rsid w:val="00D72844"/>
    <w:pPr>
      <w:spacing w:line="240" w:lineRule="atLeast"/>
      <w:ind w:left="1415"/>
    </w:pPr>
    <w:rPr>
      <w:rFonts w:eastAsia="Times New Roman"/>
      <w:szCs w:val="20"/>
    </w:rPr>
  </w:style>
  <w:style w:type="character" w:styleId="FollowedHyperlink">
    <w:name w:val="FollowedHyperlink"/>
    <w:basedOn w:val="DefaultParagraphFont"/>
    <w:uiPriority w:val="99"/>
    <w:semiHidden/>
    <w:rsid w:val="00D72844"/>
    <w:rPr>
      <w:color w:val="800080"/>
      <w:u w:val="single"/>
    </w:rPr>
  </w:style>
  <w:style w:type="table" w:styleId="TableSimple2">
    <w:name w:val="Table Simple 2"/>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Closing">
    <w:name w:val="Closing"/>
    <w:basedOn w:val="Normal"/>
    <w:link w:val="ClosingChar"/>
    <w:semiHidden/>
    <w:rsid w:val="00D72844"/>
    <w:pPr>
      <w:spacing w:line="240" w:lineRule="atLeast"/>
      <w:ind w:left="4252"/>
    </w:pPr>
    <w:rPr>
      <w:rFonts w:eastAsia="Times New Roman"/>
      <w:szCs w:val="20"/>
    </w:rPr>
  </w:style>
  <w:style w:type="character" w:customStyle="1" w:styleId="ClosingChar">
    <w:name w:val="Closing Char"/>
    <w:basedOn w:val="DefaultParagraphFont"/>
    <w:link w:val="Closing"/>
    <w:semiHidden/>
    <w:rsid w:val="00D72844"/>
    <w:rPr>
      <w:rFonts w:ascii="Times New Roman" w:eastAsia="Times New Roman" w:hAnsi="Times New Roman" w:cs="Times New Roman"/>
      <w:spacing w:val="4"/>
      <w:w w:val="103"/>
      <w:kern w:val="14"/>
      <w:sz w:val="20"/>
      <w:szCs w:val="20"/>
      <w:lang w:val="ru-RU"/>
    </w:rPr>
  </w:style>
  <w:style w:type="table" w:styleId="TableGrid1">
    <w:name w:val="Table Grid 1"/>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72844"/>
    <w:pPr>
      <w:spacing w:after="120" w:line="200" w:lineRule="atLeast"/>
    </w:pPr>
    <w:rPr>
      <w:rFonts w:ascii="Times New Roman" w:eastAsia="Times New Roman" w:hAnsi="Times New Roman" w:cs="Times New Roman"/>
      <w:b/>
      <w:bCs/>
      <w:sz w:val="20"/>
      <w:szCs w:val="20"/>
      <w:lang w:val="ru-RU"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ntemporary">
    <w:name w:val="Table Contemporary"/>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
    <w:name w:val="List"/>
    <w:basedOn w:val="Normal"/>
    <w:semiHidden/>
    <w:rsid w:val="00D72844"/>
    <w:pPr>
      <w:spacing w:line="240" w:lineRule="atLeast"/>
      <w:ind w:left="283" w:hanging="283"/>
    </w:pPr>
    <w:rPr>
      <w:rFonts w:eastAsia="Times New Roman"/>
      <w:szCs w:val="20"/>
    </w:rPr>
  </w:style>
  <w:style w:type="paragraph" w:styleId="List2">
    <w:name w:val="List 2"/>
    <w:basedOn w:val="Normal"/>
    <w:semiHidden/>
    <w:rsid w:val="00D72844"/>
    <w:pPr>
      <w:spacing w:line="240" w:lineRule="atLeast"/>
      <w:ind w:left="566" w:hanging="283"/>
    </w:pPr>
    <w:rPr>
      <w:rFonts w:eastAsia="Times New Roman"/>
      <w:szCs w:val="20"/>
    </w:rPr>
  </w:style>
  <w:style w:type="paragraph" w:styleId="List3">
    <w:name w:val="List 3"/>
    <w:basedOn w:val="Normal"/>
    <w:semiHidden/>
    <w:rsid w:val="00D72844"/>
    <w:pPr>
      <w:spacing w:line="240" w:lineRule="atLeast"/>
      <w:ind w:left="849" w:hanging="283"/>
    </w:pPr>
    <w:rPr>
      <w:rFonts w:eastAsia="Times New Roman"/>
      <w:szCs w:val="20"/>
    </w:rPr>
  </w:style>
  <w:style w:type="paragraph" w:styleId="List4">
    <w:name w:val="List 4"/>
    <w:basedOn w:val="Normal"/>
    <w:semiHidden/>
    <w:rsid w:val="00D72844"/>
    <w:pPr>
      <w:spacing w:line="240" w:lineRule="atLeast"/>
      <w:ind w:left="1132" w:hanging="283"/>
    </w:pPr>
    <w:rPr>
      <w:rFonts w:eastAsia="Times New Roman"/>
      <w:szCs w:val="20"/>
    </w:rPr>
  </w:style>
  <w:style w:type="paragraph" w:styleId="List5">
    <w:name w:val="List 5"/>
    <w:basedOn w:val="Normal"/>
    <w:semiHidden/>
    <w:rsid w:val="00D72844"/>
    <w:pPr>
      <w:spacing w:line="240" w:lineRule="atLeast"/>
      <w:ind w:left="1415" w:hanging="283"/>
    </w:pPr>
    <w:rPr>
      <w:rFonts w:eastAsia="Times New Roman"/>
      <w:szCs w:val="20"/>
    </w:rPr>
  </w:style>
  <w:style w:type="paragraph" w:styleId="HTMLPreformatted">
    <w:name w:val="HTML Preformatted"/>
    <w:basedOn w:val="Normal"/>
    <w:link w:val="HTMLPreformattedChar"/>
    <w:uiPriority w:val="99"/>
    <w:rsid w:val="00D72844"/>
    <w:pPr>
      <w:spacing w:line="240" w:lineRule="atLeas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D72844"/>
    <w:rPr>
      <w:rFonts w:ascii="Courier New" w:eastAsia="Times New Roman" w:hAnsi="Courier New" w:cs="Courier New"/>
      <w:spacing w:val="4"/>
      <w:w w:val="103"/>
      <w:kern w:val="14"/>
      <w:sz w:val="20"/>
      <w:szCs w:val="20"/>
      <w:lang w:val="ru-RU"/>
    </w:rPr>
  </w:style>
  <w:style w:type="numbering" w:styleId="ArticleSection">
    <w:name w:val="Outline List 3"/>
    <w:basedOn w:val="NoList"/>
    <w:semiHidden/>
    <w:rsid w:val="00D72844"/>
    <w:pPr>
      <w:numPr>
        <w:numId w:val="19"/>
      </w:numPr>
    </w:pPr>
  </w:style>
  <w:style w:type="table" w:styleId="TableColumns1">
    <w:name w:val="Table Columns 1"/>
    <w:basedOn w:val="TableNormal"/>
    <w:semiHidden/>
    <w:rsid w:val="00D72844"/>
    <w:pPr>
      <w:spacing w:after="120" w:line="200" w:lineRule="atLeast"/>
    </w:pPr>
    <w:rPr>
      <w:rFonts w:ascii="Times New Roman" w:eastAsia="Times New Roman" w:hAnsi="Times New Roman" w:cs="Times New Roman"/>
      <w:b/>
      <w:bCs/>
      <w:sz w:val="20"/>
      <w:szCs w:val="20"/>
      <w:lang w:val="ru-RU"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72844"/>
    <w:pPr>
      <w:spacing w:after="120" w:line="200" w:lineRule="atLeast"/>
    </w:pPr>
    <w:rPr>
      <w:rFonts w:ascii="Times New Roman" w:eastAsia="Times New Roman" w:hAnsi="Times New Roman" w:cs="Times New Roman"/>
      <w:b/>
      <w:bCs/>
      <w:sz w:val="20"/>
      <w:szCs w:val="20"/>
      <w:lang w:val="ru-RU"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72844"/>
    <w:pPr>
      <w:spacing w:after="120" w:line="200" w:lineRule="atLeast"/>
    </w:pPr>
    <w:rPr>
      <w:rFonts w:ascii="Times New Roman" w:eastAsia="Times New Roman" w:hAnsi="Times New Roman" w:cs="Times New Roman"/>
      <w:b/>
      <w:bCs/>
      <w:sz w:val="20"/>
      <w:szCs w:val="20"/>
      <w:lang w:val="ru-RU"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Strong">
    <w:name w:val="Strong"/>
    <w:basedOn w:val="DefaultParagraphFont"/>
    <w:qFormat/>
    <w:rsid w:val="00D72844"/>
    <w:rPr>
      <w:b/>
      <w:bCs/>
    </w:rPr>
  </w:style>
  <w:style w:type="table" w:styleId="TableList1">
    <w:name w:val="Table List 1"/>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orful1">
    <w:name w:val="Table Colorful 1"/>
    <w:basedOn w:val="TableNormal"/>
    <w:semiHidden/>
    <w:rsid w:val="00D72844"/>
    <w:pPr>
      <w:spacing w:after="120" w:line="200" w:lineRule="atLeast"/>
    </w:pPr>
    <w:rPr>
      <w:rFonts w:ascii="Times New Roman" w:eastAsia="Times New Roman" w:hAnsi="Times New Roman" w:cs="Times New Roman"/>
      <w:color w:val="FFFFFF"/>
      <w:sz w:val="20"/>
      <w:szCs w:val="20"/>
      <w:lang w:val="ru-RU"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72844"/>
    <w:pPr>
      <w:spacing w:after="120" w:line="200" w:lineRule="atLeast"/>
    </w:pPr>
    <w:rPr>
      <w:rFonts w:ascii="Times New Roman" w:eastAsia="Times New Roman" w:hAnsi="Times New Roman" w:cs="Times New Roman"/>
      <w:sz w:val="20"/>
      <w:szCs w:val="20"/>
      <w:lang w:val="ru-RU"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BlockText">
    <w:name w:val="Block Text"/>
    <w:basedOn w:val="Normal"/>
    <w:semiHidden/>
    <w:rsid w:val="00D72844"/>
    <w:pPr>
      <w:spacing w:line="240" w:lineRule="atLeast"/>
      <w:ind w:left="1440" w:right="1440"/>
    </w:pPr>
    <w:rPr>
      <w:rFonts w:eastAsia="Times New Roman"/>
      <w:szCs w:val="20"/>
    </w:rPr>
  </w:style>
  <w:style w:type="character" w:styleId="HTMLCite">
    <w:name w:val="HTML Cite"/>
    <w:basedOn w:val="DefaultParagraphFont"/>
    <w:semiHidden/>
    <w:rsid w:val="00D72844"/>
    <w:rPr>
      <w:i/>
      <w:iCs/>
    </w:rPr>
  </w:style>
  <w:style w:type="paragraph" w:styleId="E-mailSignature">
    <w:name w:val="E-mail Signature"/>
    <w:basedOn w:val="Normal"/>
    <w:link w:val="E-mailSignatureChar"/>
    <w:semiHidden/>
    <w:rsid w:val="00D72844"/>
    <w:pPr>
      <w:spacing w:line="240" w:lineRule="atLeast"/>
    </w:pPr>
    <w:rPr>
      <w:rFonts w:eastAsia="Times New Roman"/>
      <w:szCs w:val="20"/>
    </w:rPr>
  </w:style>
  <w:style w:type="character" w:customStyle="1" w:styleId="E-mailSignatureChar">
    <w:name w:val="E-mail Signature Char"/>
    <w:basedOn w:val="DefaultParagraphFont"/>
    <w:link w:val="E-mailSignature"/>
    <w:semiHidden/>
    <w:rsid w:val="00D72844"/>
    <w:rPr>
      <w:rFonts w:ascii="Times New Roman" w:eastAsia="Times New Roman" w:hAnsi="Times New Roman" w:cs="Times New Roman"/>
      <w:spacing w:val="4"/>
      <w:w w:val="103"/>
      <w:kern w:val="14"/>
      <w:sz w:val="20"/>
      <w:szCs w:val="20"/>
      <w:lang w:val="ru-RU"/>
    </w:rPr>
  </w:style>
  <w:style w:type="character" w:styleId="Hyperlink">
    <w:name w:val="Hyperlink"/>
    <w:basedOn w:val="DefaultParagraphFont"/>
    <w:uiPriority w:val="99"/>
    <w:rsid w:val="00D72844"/>
    <w:rPr>
      <w:color w:val="000000"/>
      <w:u w:val="single"/>
    </w:rPr>
  </w:style>
  <w:style w:type="paragraph" w:customStyle="1" w:styleId="H1GR">
    <w:name w:val="_ H_1_GR"/>
    <w:basedOn w:val="Normal"/>
    <w:next w:val="Normal"/>
    <w:rsid w:val="00D72844"/>
    <w:pPr>
      <w:keepNext/>
      <w:keepLines/>
      <w:tabs>
        <w:tab w:val="right" w:pos="851"/>
      </w:tabs>
      <w:suppressAutoHyphens/>
      <w:spacing w:before="360" w:after="240" w:line="270" w:lineRule="exact"/>
      <w:ind w:left="1134" w:right="1134" w:hanging="1134"/>
    </w:pPr>
    <w:rPr>
      <w:rFonts w:eastAsia="Times New Roman"/>
      <w:b/>
      <w:sz w:val="24"/>
      <w:szCs w:val="20"/>
      <w:lang w:eastAsia="ru-RU"/>
    </w:rPr>
  </w:style>
  <w:style w:type="paragraph" w:customStyle="1" w:styleId="H23GR">
    <w:name w:val="_ H_2/3_GR"/>
    <w:basedOn w:val="Normal"/>
    <w:next w:val="Normal"/>
    <w:rsid w:val="00D72844"/>
    <w:pPr>
      <w:keepNext/>
      <w:keepLines/>
      <w:tabs>
        <w:tab w:val="right" w:pos="851"/>
      </w:tabs>
      <w:suppressAutoHyphens/>
      <w:spacing w:before="240" w:after="120"/>
      <w:ind w:left="1134" w:right="1134" w:hanging="1134"/>
    </w:pPr>
    <w:rPr>
      <w:rFonts w:eastAsia="Times New Roman"/>
      <w:b/>
      <w:szCs w:val="20"/>
      <w:lang w:eastAsia="ru-RU"/>
    </w:rPr>
  </w:style>
  <w:style w:type="paragraph" w:customStyle="1" w:styleId="H4GR">
    <w:name w:val="_ H_4_GR"/>
    <w:basedOn w:val="Normal"/>
    <w:next w:val="Normal"/>
    <w:rsid w:val="00D72844"/>
    <w:pPr>
      <w:keepNext/>
      <w:keepLines/>
      <w:tabs>
        <w:tab w:val="right" w:pos="851"/>
      </w:tabs>
      <w:suppressAutoHyphens/>
      <w:spacing w:before="40" w:after="120" w:line="240" w:lineRule="auto"/>
      <w:outlineLvl w:val="3"/>
    </w:pPr>
    <w:rPr>
      <w:rFonts w:eastAsia="Times New Roman"/>
      <w:i/>
      <w:spacing w:val="3"/>
      <w:szCs w:val="20"/>
      <w:lang w:eastAsia="ru-RU"/>
    </w:rPr>
  </w:style>
  <w:style w:type="paragraph" w:customStyle="1" w:styleId="H56GR">
    <w:name w:val="_ H_5/6_GR"/>
    <w:basedOn w:val="Normal"/>
    <w:next w:val="Normal"/>
    <w:rsid w:val="00D72844"/>
    <w:pPr>
      <w:keepNext/>
      <w:keepLines/>
      <w:tabs>
        <w:tab w:val="right" w:pos="851"/>
      </w:tabs>
      <w:suppressAutoHyphens/>
      <w:spacing w:before="240" w:after="120"/>
      <w:ind w:left="1134" w:right="1134" w:hanging="1134"/>
    </w:pPr>
    <w:rPr>
      <w:rFonts w:eastAsia="Times New Roman"/>
      <w:szCs w:val="20"/>
      <w:lang w:eastAsia="ru-RU"/>
    </w:rPr>
  </w:style>
  <w:style w:type="table" w:styleId="TableProfessional">
    <w:name w:val="Table Professional"/>
    <w:basedOn w:val="TableNormal"/>
    <w:semiHidden/>
    <w:rsid w:val="00D72844"/>
    <w:pPr>
      <w:spacing w:after="0" w:line="240" w:lineRule="atLeast"/>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HChGR">
    <w:name w:val="_ H _Ch_GR"/>
    <w:basedOn w:val="Normal"/>
    <w:next w:val="Normal"/>
    <w:rsid w:val="00D72844"/>
    <w:pPr>
      <w:keepNext/>
      <w:keepLines/>
      <w:tabs>
        <w:tab w:val="right" w:pos="851"/>
      </w:tabs>
      <w:suppressAutoHyphens/>
      <w:spacing w:before="360" w:after="240" w:line="300" w:lineRule="exact"/>
      <w:ind w:left="1134" w:right="1134" w:hanging="1134"/>
    </w:pPr>
    <w:rPr>
      <w:rFonts w:eastAsia="Times New Roman"/>
      <w:b/>
      <w:sz w:val="28"/>
      <w:szCs w:val="20"/>
      <w:lang w:eastAsia="ru-RU"/>
    </w:rPr>
  </w:style>
  <w:style w:type="paragraph" w:customStyle="1" w:styleId="HMGR">
    <w:name w:val="_ H __M_GR"/>
    <w:basedOn w:val="Normal"/>
    <w:next w:val="Normal"/>
    <w:rsid w:val="00D72844"/>
    <w:pPr>
      <w:keepNext/>
      <w:keepLines/>
      <w:tabs>
        <w:tab w:val="right" w:pos="851"/>
      </w:tabs>
      <w:suppressAutoHyphens/>
      <w:spacing w:before="240" w:after="240" w:line="360" w:lineRule="exact"/>
      <w:ind w:left="1134" w:right="1134" w:hanging="1134"/>
    </w:pPr>
    <w:rPr>
      <w:rFonts w:eastAsia="Times New Roman"/>
      <w:b/>
      <w:sz w:val="34"/>
      <w:szCs w:val="20"/>
      <w:lang w:eastAsia="ru-RU"/>
    </w:rPr>
  </w:style>
  <w:style w:type="paragraph" w:styleId="TOAHeading">
    <w:name w:val="toa heading"/>
    <w:basedOn w:val="Normal"/>
    <w:next w:val="Normal"/>
    <w:semiHidden/>
    <w:rsid w:val="00D72844"/>
    <w:pPr>
      <w:spacing w:before="120" w:line="240" w:lineRule="atLeast"/>
    </w:pPr>
    <w:rPr>
      <w:rFonts w:ascii="Arial" w:eastAsia="Times New Roman" w:hAnsi="Arial" w:cs="Arial"/>
      <w:b/>
      <w:bCs/>
      <w:sz w:val="24"/>
      <w:szCs w:val="20"/>
    </w:rPr>
  </w:style>
  <w:style w:type="paragraph" w:customStyle="1" w:styleId="SingleTxtGR">
    <w:name w:val="_ Single Txt_GR"/>
    <w:basedOn w:val="Normal"/>
    <w:rsid w:val="00D72844"/>
    <w:pPr>
      <w:tabs>
        <w:tab w:val="left" w:pos="1701"/>
        <w:tab w:val="left" w:pos="2268"/>
        <w:tab w:val="left" w:pos="2835"/>
        <w:tab w:val="left" w:pos="3402"/>
        <w:tab w:val="left" w:pos="3969"/>
      </w:tabs>
      <w:spacing w:after="120" w:line="240" w:lineRule="atLeast"/>
      <w:ind w:left="1134" w:right="1134"/>
      <w:jc w:val="both"/>
    </w:pPr>
    <w:rPr>
      <w:rFonts w:eastAsia="Times New Roman"/>
      <w:szCs w:val="20"/>
    </w:rPr>
  </w:style>
  <w:style w:type="paragraph" w:styleId="PlainText">
    <w:name w:val="Plain Text"/>
    <w:basedOn w:val="Normal"/>
    <w:link w:val="PlainTextChar"/>
    <w:semiHidden/>
    <w:rsid w:val="00D72844"/>
    <w:pPr>
      <w:spacing w:line="240" w:lineRule="atLeast"/>
    </w:pPr>
    <w:rPr>
      <w:rFonts w:ascii="Courier New" w:eastAsia="Times New Roman" w:hAnsi="Courier New" w:cs="Courier New"/>
      <w:szCs w:val="20"/>
    </w:rPr>
  </w:style>
  <w:style w:type="character" w:customStyle="1" w:styleId="PlainTextChar">
    <w:name w:val="Plain Text Char"/>
    <w:basedOn w:val="DefaultParagraphFont"/>
    <w:link w:val="PlainText"/>
    <w:semiHidden/>
    <w:rsid w:val="00D72844"/>
    <w:rPr>
      <w:rFonts w:ascii="Courier New" w:eastAsia="Times New Roman" w:hAnsi="Courier New" w:cs="Courier New"/>
      <w:spacing w:val="4"/>
      <w:w w:val="103"/>
      <w:kern w:val="14"/>
      <w:sz w:val="20"/>
      <w:szCs w:val="20"/>
      <w:lang w:val="ru-RU"/>
    </w:rPr>
  </w:style>
  <w:style w:type="paragraph" w:styleId="MessageHeader">
    <w:name w:val="Message Header"/>
    <w:basedOn w:val="Normal"/>
    <w:link w:val="MessageHeaderChar"/>
    <w:semiHidden/>
    <w:rsid w:val="00D72844"/>
    <w:pPr>
      <w:pBdr>
        <w:top w:val="single" w:sz="6" w:space="1" w:color="auto"/>
        <w:left w:val="single" w:sz="6" w:space="1" w:color="auto"/>
        <w:bottom w:val="single" w:sz="6" w:space="1" w:color="auto"/>
        <w:right w:val="single" w:sz="6" w:space="1" w:color="auto"/>
      </w:pBdr>
      <w:shd w:val="pct20" w:color="auto" w:fill="auto"/>
      <w:spacing w:line="240" w:lineRule="atLeast"/>
      <w:ind w:left="1134" w:hanging="1134"/>
    </w:pPr>
    <w:rPr>
      <w:rFonts w:ascii="Arial" w:eastAsia="Times New Roman" w:hAnsi="Arial" w:cs="Arial"/>
      <w:sz w:val="24"/>
      <w:szCs w:val="20"/>
    </w:rPr>
  </w:style>
  <w:style w:type="character" w:customStyle="1" w:styleId="MessageHeaderChar">
    <w:name w:val="Message Header Char"/>
    <w:basedOn w:val="DefaultParagraphFont"/>
    <w:link w:val="MessageHeader"/>
    <w:semiHidden/>
    <w:rsid w:val="00D72844"/>
    <w:rPr>
      <w:rFonts w:ascii="Arial" w:eastAsia="Times New Roman" w:hAnsi="Arial" w:cs="Arial"/>
      <w:spacing w:val="4"/>
      <w:w w:val="103"/>
      <w:kern w:val="14"/>
      <w:sz w:val="24"/>
      <w:szCs w:val="20"/>
      <w:shd w:val="pct20" w:color="auto" w:fill="auto"/>
      <w:lang w:val="ru-RU"/>
    </w:rPr>
  </w:style>
  <w:style w:type="table" w:customStyle="1" w:styleId="TabNum">
    <w:name w:val="_TabNum"/>
    <w:basedOn w:val="TableNormal"/>
    <w:rsid w:val="00D72844"/>
    <w:pPr>
      <w:spacing w:before="40" w:after="40" w:line="220" w:lineRule="exact"/>
      <w:jc w:val="right"/>
    </w:pPr>
    <w:rPr>
      <w:rFonts w:ascii="Times New Roman" w:eastAsia="Times New Roman" w:hAnsi="Times New Roman" w:cs="Times New Roman"/>
      <w:sz w:val="18"/>
      <w:szCs w:val="20"/>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TableNormal"/>
    <w:rsid w:val="00D72844"/>
    <w:pPr>
      <w:spacing w:before="40" w:after="120" w:line="240" w:lineRule="atLeast"/>
    </w:pPr>
    <w:rPr>
      <w:rFonts w:ascii="Times New Roman" w:eastAsia="Times New Roman" w:hAnsi="Times New Roman" w:cs="Times New Roman"/>
      <w:sz w:val="20"/>
      <w:szCs w:val="20"/>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BalloonText">
    <w:name w:val="Balloon Text"/>
    <w:basedOn w:val="Normal"/>
    <w:link w:val="BalloonTextChar"/>
    <w:uiPriority w:val="99"/>
    <w:rsid w:val="00D72844"/>
    <w:pPr>
      <w:spacing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72844"/>
    <w:rPr>
      <w:rFonts w:ascii="Tahoma" w:eastAsia="Times New Roman" w:hAnsi="Tahoma" w:cs="Tahoma"/>
      <w:spacing w:val="4"/>
      <w:w w:val="103"/>
      <w:kern w:val="14"/>
      <w:sz w:val="16"/>
      <w:szCs w:val="16"/>
      <w:lang w:val="ru-RU"/>
    </w:rPr>
  </w:style>
  <w:style w:type="paragraph" w:customStyle="1" w:styleId="SingleTxtG">
    <w:name w:val="_ Single Txt_G"/>
    <w:basedOn w:val="Normal"/>
    <w:link w:val="SingleTxtGChar"/>
    <w:qFormat/>
    <w:rsid w:val="00D72844"/>
    <w:pPr>
      <w:suppressAutoHyphens/>
      <w:spacing w:after="120" w:line="240" w:lineRule="atLeast"/>
      <w:ind w:left="1134" w:right="1134"/>
      <w:jc w:val="both"/>
    </w:pPr>
    <w:rPr>
      <w:rFonts w:eastAsia="Times New Roman"/>
      <w:spacing w:val="0"/>
      <w:w w:val="100"/>
      <w:kern w:val="0"/>
      <w:szCs w:val="20"/>
      <w:lang w:val="en-GB"/>
    </w:rPr>
  </w:style>
  <w:style w:type="paragraph" w:customStyle="1" w:styleId="HMG">
    <w:name w:val="_ H __M_G"/>
    <w:basedOn w:val="Normal"/>
    <w:next w:val="Normal"/>
    <w:uiPriority w:val="99"/>
    <w:rsid w:val="00D72844"/>
    <w:pPr>
      <w:keepNext/>
      <w:keepLines/>
      <w:tabs>
        <w:tab w:val="right" w:pos="851"/>
      </w:tabs>
      <w:suppressAutoHyphens/>
      <w:spacing w:before="240" w:after="240" w:line="360" w:lineRule="exact"/>
      <w:ind w:left="1134" w:right="1134" w:hanging="1134"/>
    </w:pPr>
    <w:rPr>
      <w:rFonts w:eastAsia="Times New Roman"/>
      <w:b/>
      <w:spacing w:val="0"/>
      <w:w w:val="100"/>
      <w:kern w:val="0"/>
      <w:sz w:val="34"/>
      <w:szCs w:val="20"/>
      <w:lang w:val="en-GB"/>
    </w:rPr>
  </w:style>
  <w:style w:type="paragraph" w:customStyle="1" w:styleId="HChG">
    <w:name w:val="_ H _Ch_G"/>
    <w:basedOn w:val="Normal"/>
    <w:next w:val="Normal"/>
    <w:uiPriority w:val="99"/>
    <w:rsid w:val="00D72844"/>
    <w:pPr>
      <w:keepNext/>
      <w:keepLines/>
      <w:tabs>
        <w:tab w:val="right" w:pos="851"/>
      </w:tabs>
      <w:suppressAutoHyphens/>
      <w:spacing w:before="360" w:after="240" w:line="300" w:lineRule="exact"/>
      <w:ind w:left="1134" w:right="1134" w:hanging="1134"/>
    </w:pPr>
    <w:rPr>
      <w:rFonts w:eastAsia="Times New Roman"/>
      <w:b/>
      <w:spacing w:val="0"/>
      <w:w w:val="100"/>
      <w:kern w:val="0"/>
      <w:sz w:val="28"/>
      <w:szCs w:val="20"/>
      <w:lang w:val="en-GB"/>
    </w:rPr>
  </w:style>
  <w:style w:type="paragraph" w:customStyle="1" w:styleId="SMG">
    <w:name w:val="__S_M_G"/>
    <w:basedOn w:val="Normal"/>
    <w:next w:val="Normal"/>
    <w:uiPriority w:val="99"/>
    <w:rsid w:val="00D72844"/>
    <w:pPr>
      <w:keepNext/>
      <w:keepLines/>
      <w:suppressAutoHyphens/>
      <w:spacing w:before="240" w:after="240" w:line="420" w:lineRule="exact"/>
      <w:ind w:left="1134" w:right="1134"/>
    </w:pPr>
    <w:rPr>
      <w:rFonts w:eastAsia="Times New Roman"/>
      <w:b/>
      <w:spacing w:val="0"/>
      <w:w w:val="100"/>
      <w:kern w:val="0"/>
      <w:sz w:val="40"/>
      <w:szCs w:val="20"/>
      <w:lang w:val="en-GB"/>
    </w:rPr>
  </w:style>
  <w:style w:type="paragraph" w:customStyle="1" w:styleId="SLG">
    <w:name w:val="__S_L_G"/>
    <w:basedOn w:val="Normal"/>
    <w:next w:val="Normal"/>
    <w:uiPriority w:val="99"/>
    <w:rsid w:val="00D72844"/>
    <w:pPr>
      <w:keepNext/>
      <w:keepLines/>
      <w:suppressAutoHyphens/>
      <w:spacing w:before="240" w:after="240" w:line="580" w:lineRule="exact"/>
      <w:ind w:left="1134" w:right="1134"/>
    </w:pPr>
    <w:rPr>
      <w:rFonts w:eastAsia="Times New Roman"/>
      <w:b/>
      <w:spacing w:val="0"/>
      <w:w w:val="100"/>
      <w:kern w:val="0"/>
      <w:sz w:val="56"/>
      <w:szCs w:val="20"/>
      <w:lang w:val="en-GB"/>
    </w:rPr>
  </w:style>
  <w:style w:type="paragraph" w:customStyle="1" w:styleId="SSG">
    <w:name w:val="__S_S_G"/>
    <w:basedOn w:val="Normal"/>
    <w:next w:val="Normal"/>
    <w:uiPriority w:val="99"/>
    <w:rsid w:val="00D72844"/>
    <w:pPr>
      <w:keepNext/>
      <w:keepLines/>
      <w:suppressAutoHyphens/>
      <w:spacing w:before="240" w:after="240" w:line="300" w:lineRule="exact"/>
      <w:ind w:left="1134" w:right="1134"/>
    </w:pPr>
    <w:rPr>
      <w:rFonts w:eastAsia="Times New Roman"/>
      <w:b/>
      <w:spacing w:val="0"/>
      <w:w w:val="100"/>
      <w:kern w:val="0"/>
      <w:sz w:val="28"/>
      <w:szCs w:val="20"/>
      <w:lang w:val="en-GB"/>
    </w:rPr>
  </w:style>
  <w:style w:type="paragraph" w:customStyle="1" w:styleId="XLargeG">
    <w:name w:val="__XLarge_G"/>
    <w:basedOn w:val="Normal"/>
    <w:next w:val="Normal"/>
    <w:uiPriority w:val="99"/>
    <w:rsid w:val="00D72844"/>
    <w:pPr>
      <w:keepNext/>
      <w:keepLines/>
      <w:suppressAutoHyphens/>
      <w:spacing w:before="240" w:after="240" w:line="420" w:lineRule="exact"/>
      <w:ind w:left="1134" w:right="1134"/>
    </w:pPr>
    <w:rPr>
      <w:rFonts w:eastAsia="Times New Roman"/>
      <w:b/>
      <w:spacing w:val="0"/>
      <w:w w:val="100"/>
      <w:kern w:val="0"/>
      <w:sz w:val="40"/>
      <w:szCs w:val="20"/>
      <w:lang w:val="en-GB"/>
    </w:rPr>
  </w:style>
  <w:style w:type="paragraph" w:customStyle="1" w:styleId="Bullet1G">
    <w:name w:val="_Bullet 1_G"/>
    <w:basedOn w:val="Normal"/>
    <w:uiPriority w:val="99"/>
    <w:rsid w:val="00D72844"/>
    <w:pPr>
      <w:numPr>
        <w:numId w:val="20"/>
      </w:numPr>
      <w:suppressAutoHyphens/>
      <w:spacing w:after="120" w:line="240" w:lineRule="atLeast"/>
      <w:ind w:right="1134"/>
      <w:jc w:val="both"/>
    </w:pPr>
    <w:rPr>
      <w:rFonts w:eastAsia="Times New Roman"/>
      <w:spacing w:val="0"/>
      <w:w w:val="100"/>
      <w:kern w:val="0"/>
      <w:szCs w:val="20"/>
      <w:lang w:val="en-GB"/>
    </w:rPr>
  </w:style>
  <w:style w:type="paragraph" w:customStyle="1" w:styleId="Bullet2G">
    <w:name w:val="_Bullet 2_G"/>
    <w:basedOn w:val="Normal"/>
    <w:uiPriority w:val="99"/>
    <w:rsid w:val="00D72844"/>
    <w:pPr>
      <w:numPr>
        <w:numId w:val="21"/>
      </w:numPr>
      <w:suppressAutoHyphens/>
      <w:spacing w:after="120" w:line="240" w:lineRule="atLeast"/>
      <w:ind w:right="1134"/>
      <w:jc w:val="both"/>
    </w:pPr>
    <w:rPr>
      <w:rFonts w:eastAsia="Times New Roman"/>
      <w:spacing w:val="0"/>
      <w:w w:val="100"/>
      <w:kern w:val="0"/>
      <w:szCs w:val="20"/>
      <w:lang w:val="en-GB"/>
    </w:rPr>
  </w:style>
  <w:style w:type="paragraph" w:customStyle="1" w:styleId="H1G">
    <w:name w:val="_ H_1_G"/>
    <w:basedOn w:val="Normal"/>
    <w:next w:val="Normal"/>
    <w:uiPriority w:val="99"/>
    <w:rsid w:val="00D72844"/>
    <w:pPr>
      <w:keepNext/>
      <w:keepLines/>
      <w:tabs>
        <w:tab w:val="right" w:pos="851"/>
      </w:tabs>
      <w:suppressAutoHyphens/>
      <w:spacing w:before="360" w:after="240" w:line="270" w:lineRule="exact"/>
      <w:ind w:left="1134" w:right="1134" w:hanging="1134"/>
    </w:pPr>
    <w:rPr>
      <w:rFonts w:eastAsia="Times New Roman"/>
      <w:b/>
      <w:spacing w:val="0"/>
      <w:w w:val="100"/>
      <w:kern w:val="0"/>
      <w:sz w:val="24"/>
      <w:szCs w:val="20"/>
      <w:lang w:val="en-GB"/>
    </w:rPr>
  </w:style>
  <w:style w:type="paragraph" w:customStyle="1" w:styleId="H23G">
    <w:name w:val="_ H_2/3_G"/>
    <w:basedOn w:val="Normal"/>
    <w:next w:val="Normal"/>
    <w:uiPriority w:val="99"/>
    <w:rsid w:val="00D72844"/>
    <w:pPr>
      <w:keepNext/>
      <w:keepLines/>
      <w:tabs>
        <w:tab w:val="right" w:pos="851"/>
      </w:tabs>
      <w:suppressAutoHyphens/>
      <w:spacing w:before="240" w:after="120"/>
      <w:ind w:left="1134" w:right="1134" w:hanging="1134"/>
    </w:pPr>
    <w:rPr>
      <w:rFonts w:eastAsia="Times New Roman"/>
      <w:b/>
      <w:spacing w:val="0"/>
      <w:w w:val="100"/>
      <w:kern w:val="0"/>
      <w:szCs w:val="20"/>
      <w:lang w:val="en-GB"/>
    </w:rPr>
  </w:style>
  <w:style w:type="paragraph" w:customStyle="1" w:styleId="H4G">
    <w:name w:val="_ H_4_G"/>
    <w:basedOn w:val="Normal"/>
    <w:next w:val="Normal"/>
    <w:uiPriority w:val="99"/>
    <w:rsid w:val="00D72844"/>
    <w:pPr>
      <w:keepNext/>
      <w:keepLines/>
      <w:tabs>
        <w:tab w:val="right" w:pos="851"/>
      </w:tabs>
      <w:suppressAutoHyphens/>
      <w:spacing w:before="240" w:after="120"/>
      <w:ind w:left="1134" w:right="1134" w:hanging="1134"/>
    </w:pPr>
    <w:rPr>
      <w:rFonts w:eastAsia="Times New Roman"/>
      <w:i/>
      <w:spacing w:val="0"/>
      <w:w w:val="100"/>
      <w:kern w:val="0"/>
      <w:szCs w:val="20"/>
      <w:lang w:val="en-GB"/>
    </w:rPr>
  </w:style>
  <w:style w:type="paragraph" w:customStyle="1" w:styleId="H56G">
    <w:name w:val="_ H_5/6_G"/>
    <w:basedOn w:val="Normal"/>
    <w:next w:val="Normal"/>
    <w:uiPriority w:val="99"/>
    <w:rsid w:val="00D72844"/>
    <w:pPr>
      <w:keepNext/>
      <w:keepLines/>
      <w:tabs>
        <w:tab w:val="right" w:pos="851"/>
      </w:tabs>
      <w:suppressAutoHyphens/>
      <w:spacing w:before="240" w:after="120"/>
      <w:ind w:left="1134" w:right="1134" w:hanging="1134"/>
    </w:pPr>
    <w:rPr>
      <w:rFonts w:eastAsia="Times New Roman"/>
      <w:spacing w:val="0"/>
      <w:w w:val="100"/>
      <w:kern w:val="0"/>
      <w:szCs w:val="20"/>
      <w:lang w:val="en-GB"/>
    </w:rPr>
  </w:style>
  <w:style w:type="character" w:customStyle="1" w:styleId="SingleTxtGChar">
    <w:name w:val="_ Single Txt_G Char"/>
    <w:link w:val="SingleTxtG"/>
    <w:locked/>
    <w:rsid w:val="00D72844"/>
    <w:rPr>
      <w:rFonts w:ascii="Times New Roman" w:eastAsia="Times New Roman" w:hAnsi="Times New Roman" w:cs="Times New Roman"/>
      <w:sz w:val="20"/>
      <w:szCs w:val="20"/>
      <w:lang w:val="en-GB"/>
    </w:rPr>
  </w:style>
  <w:style w:type="character" w:customStyle="1" w:styleId="FootnoteCharacters">
    <w:name w:val="Footnote Characters"/>
    <w:uiPriority w:val="99"/>
    <w:rsid w:val="00D72844"/>
  </w:style>
  <w:style w:type="character" w:customStyle="1" w:styleId="Quotation">
    <w:name w:val="Quotation"/>
    <w:uiPriority w:val="99"/>
    <w:rsid w:val="00D72844"/>
    <w:rPr>
      <w:i/>
    </w:rPr>
  </w:style>
  <w:style w:type="paragraph" w:customStyle="1" w:styleId="ColorfulShading-Accent11">
    <w:name w:val="Colorful Shading - Accent 11"/>
    <w:hidden/>
    <w:uiPriority w:val="99"/>
    <w:semiHidden/>
    <w:rsid w:val="00D72844"/>
    <w:pPr>
      <w:spacing w:after="0" w:line="240" w:lineRule="auto"/>
    </w:pPr>
    <w:rPr>
      <w:rFonts w:ascii="Times New Roman" w:eastAsia="Times New Roman" w:hAnsi="Times New Roman" w:cs="Times New Roman"/>
      <w:sz w:val="20"/>
      <w:szCs w:val="20"/>
      <w:lang w:val="en-GB"/>
    </w:rPr>
  </w:style>
  <w:style w:type="character" w:customStyle="1" w:styleId="st">
    <w:name w:val="st"/>
    <w:uiPriority w:val="99"/>
    <w:rsid w:val="00D72844"/>
  </w:style>
  <w:style w:type="paragraph" w:customStyle="1" w:styleId="Default">
    <w:name w:val="Default"/>
    <w:uiPriority w:val="99"/>
    <w:rsid w:val="00D72844"/>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ListParagraph">
    <w:name w:val="List Paragraph"/>
    <w:basedOn w:val="Normal"/>
    <w:uiPriority w:val="99"/>
    <w:qFormat/>
    <w:rsid w:val="00D72844"/>
    <w:pPr>
      <w:spacing w:line="240" w:lineRule="auto"/>
      <w:ind w:left="720"/>
    </w:pPr>
    <w:rPr>
      <w:rFonts w:eastAsia="Times New Roman"/>
      <w:spacing w:val="0"/>
      <w:w w:val="100"/>
      <w:kern w:val="0"/>
      <w:szCs w:val="24"/>
      <w:lang w:val="en-GB" w:eastAsia="en-GB"/>
    </w:rPr>
  </w:style>
  <w:style w:type="paragraph" w:styleId="Revision">
    <w:name w:val="Revision"/>
    <w:hidden/>
    <w:uiPriority w:val="99"/>
    <w:semiHidden/>
    <w:rsid w:val="00D72844"/>
    <w:pPr>
      <w:spacing w:after="0" w:line="240" w:lineRule="auto"/>
    </w:pPr>
    <w:rPr>
      <w:rFonts w:ascii="Times New Roman" w:eastAsia="Times New Roman" w:hAnsi="Times New Roman" w:cs="Times New Roman"/>
      <w:sz w:val="20"/>
      <w:szCs w:val="20"/>
      <w:lang w:val="en-GB"/>
    </w:rPr>
  </w:style>
  <w:style w:type="character" w:customStyle="1" w:styleId="Caracteresdenotaalpie">
    <w:name w:val="Caracteres de nota al pie"/>
    <w:uiPriority w:val="99"/>
    <w:rsid w:val="00D72844"/>
  </w:style>
  <w:style w:type="paragraph" w:customStyle="1" w:styleId="Notaalpie">
    <w:name w:val="Nota al pie"/>
    <w:basedOn w:val="Normal"/>
    <w:uiPriority w:val="99"/>
    <w:rsid w:val="00D72844"/>
    <w:pPr>
      <w:suppressLineNumbers/>
      <w:tabs>
        <w:tab w:val="left" w:pos="708"/>
      </w:tabs>
      <w:suppressAutoHyphens/>
      <w:spacing w:line="100" w:lineRule="atLeast"/>
      <w:ind w:left="339" w:hanging="339"/>
      <w:jc w:val="both"/>
    </w:pPr>
    <w:rPr>
      <w:rFonts w:ascii="Calibri" w:eastAsia="Times New Roman" w:hAnsi="Calibri" w:cs="Calibri"/>
      <w:color w:val="00000A"/>
      <w:spacing w:val="0"/>
      <w:w w:val="100"/>
      <w:kern w:val="0"/>
      <w:szCs w:val="20"/>
      <w:lang w:val="es-ES"/>
    </w:rPr>
  </w:style>
  <w:style w:type="character" w:customStyle="1" w:styleId="apple-converted-space">
    <w:name w:val="apple-converted-space"/>
    <w:uiPriority w:val="99"/>
    <w:rsid w:val="00D72844"/>
  </w:style>
  <w:style w:type="character" w:customStyle="1" w:styleId="FootnoteAnchor">
    <w:name w:val="Footnote Anchor"/>
    <w:uiPriority w:val="99"/>
    <w:rsid w:val="00D72844"/>
    <w:rPr>
      <w:vertAlign w:val="superscript"/>
    </w:rPr>
  </w:style>
  <w:style w:type="paragraph" w:customStyle="1" w:styleId="Footnote">
    <w:name w:val="Footnote"/>
    <w:basedOn w:val="Normal"/>
    <w:uiPriority w:val="99"/>
    <w:rsid w:val="00D72844"/>
    <w:pPr>
      <w:suppressAutoHyphens/>
      <w:spacing w:line="240" w:lineRule="auto"/>
    </w:pPr>
    <w:rPr>
      <w:rFonts w:ascii="Ubuntu" w:eastAsia="Times New Roman" w:hAnsi="Ubuntu"/>
      <w:color w:val="00000A"/>
      <w:spacing w:val="0"/>
      <w:w w:val="100"/>
      <w:kern w:val="0"/>
      <w:sz w:val="18"/>
      <w:szCs w:val="20"/>
      <w:lang w:val="en-US" w:eastAsia="en-GB"/>
    </w:rPr>
  </w:style>
  <w:style w:type="character" w:customStyle="1" w:styleId="InternetLink">
    <w:name w:val="Internet Link"/>
    <w:uiPriority w:val="99"/>
    <w:rsid w:val="00D72844"/>
    <w:rPr>
      <w:color w:val="0563C1"/>
      <w:u w:val="single"/>
    </w:rPr>
  </w:style>
  <w:style w:type="character" w:customStyle="1" w:styleId="hps">
    <w:name w:val="hps"/>
    <w:uiPriority w:val="99"/>
    <w:rsid w:val="00D72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DCD322-B035-4D0E-A801-2122135D1B18}"/>
</file>

<file path=customXml/itemProps2.xml><?xml version="1.0" encoding="utf-8"?>
<ds:datastoreItem xmlns:ds="http://schemas.openxmlformats.org/officeDocument/2006/customXml" ds:itemID="{8E527433-ABFD-44B0-A072-175090A8DD0D}"/>
</file>

<file path=customXml/itemProps3.xml><?xml version="1.0" encoding="utf-8"?>
<ds:datastoreItem xmlns:ds="http://schemas.openxmlformats.org/officeDocument/2006/customXml" ds:itemID="{6020A48B-B2BD-40DF-9D35-37F70F4CCFD0}"/>
</file>

<file path=customXml/itemProps4.xml><?xml version="1.0" encoding="utf-8"?>
<ds:datastoreItem xmlns:ds="http://schemas.openxmlformats.org/officeDocument/2006/customXml" ds:itemID="{D83B53CB-CB44-4C6B-8B31-0C8C6B0EC9F5}"/>
</file>

<file path=docProps/app.xml><?xml version="1.0" encoding="utf-8"?>
<Properties xmlns="http://schemas.openxmlformats.org/officeDocument/2006/extended-properties" xmlns:vt="http://schemas.openxmlformats.org/officeDocument/2006/docPropsVTypes">
  <Template>Normal</Template>
  <TotalTime>0</TotalTime>
  <Pages>29</Pages>
  <Words>11491</Words>
  <Characters>65504</Characters>
  <Application>Microsoft Office Word</Application>
  <DocSecurity>4</DocSecurity>
  <Lines>545</Lines>
  <Paragraphs>153</Paragraphs>
  <ScaleCrop>false</ScaleCrop>
  <HeadingPairs>
    <vt:vector size="2" baseType="variant">
      <vt:variant>
        <vt:lpstr>Title</vt:lpstr>
      </vt:variant>
      <vt:variant>
        <vt:i4>1</vt:i4>
      </vt:variant>
    </vt:vector>
  </HeadingPairs>
  <TitlesOfParts>
    <vt:vector size="1" baseType="lpstr">
      <vt:lpstr>Revised 20150602</vt:lpstr>
    </vt:vector>
  </TitlesOfParts>
  <Company>DCM</Company>
  <LinksUpToDate>false</LinksUpToDate>
  <CharactersWithSpaces>76842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use of mercenaries in Russian</dc:title>
  <dc:creator>Izotova Elena</dc:creator>
  <cp:lastModifiedBy>Somova Iuliia</cp:lastModifiedBy>
  <cp:revision>2</cp:revision>
  <cp:lastPrinted>2015-07-22T10:55:00Z</cp:lastPrinted>
  <dcterms:created xsi:type="dcterms:W3CDTF">2015-08-07T14:49:00Z</dcterms:created>
  <dcterms:modified xsi:type="dcterms:W3CDTF">2015-08-07T14:49:00Z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1511553R</vt:lpwstr>
  </property>
  <property fmtid="{D5CDD505-2E9C-101B-9397-08002B2CF9AE}" pid="3" name="ODSRefJobNo">
    <vt:lpwstr>1515198R</vt:lpwstr>
  </property>
  <property fmtid="{D5CDD505-2E9C-101B-9397-08002B2CF9AE}" pid="4" name="Symbol1">
    <vt:lpwstr>A/HRC/30/34</vt:lpwstr>
  </property>
  <property fmtid="{D5CDD505-2E9C-101B-9397-08002B2CF9AE}" pid="5" name="Symbol2">
    <vt:lpwstr/>
  </property>
  <property fmtid="{D5CDD505-2E9C-101B-9397-08002B2CF9AE}" pid="6" name="Translator">
    <vt:lpwstr/>
  </property>
  <property fmtid="{D5CDD505-2E9C-101B-9397-08002B2CF9AE}" pid="7" name="Operator">
    <vt:lpwstr>ei</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8 July 2015</vt:lpwstr>
  </property>
  <property fmtid="{D5CDD505-2E9C-101B-9397-08002B2CF9AE}" pid="12" name="Original">
    <vt:lpwstr>English</vt:lpwstr>
  </property>
  <property fmtid="{D5CDD505-2E9C-101B-9397-08002B2CF9AE}" pid="13" name="Release Date">
    <vt:lpwstr>220715</vt:lpwstr>
  </property>
  <property fmtid="{D5CDD505-2E9C-101B-9397-08002B2CF9AE}" pid="14" name="ContentTypeId">
    <vt:lpwstr>0x010100EF670F518423CB4F888C4265EEC2C475</vt:lpwstr>
  </property>
  <property fmtid="{D5CDD505-2E9C-101B-9397-08002B2CF9AE}" pid="15" name="Order">
    <vt:r8>5400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