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107" w:rsidRPr="009F1D3E" w:rsidRDefault="00A03107" w:rsidP="00A03107">
      <w:pPr>
        <w:spacing w:line="60" w:lineRule="exact"/>
        <w:rPr>
          <w:sz w:val="6"/>
        </w:rPr>
        <w:sectPr w:rsidR="00A03107" w:rsidRPr="009F1D3E" w:rsidSect="00A03107">
          <w:headerReference w:type="even" r:id="rId9"/>
          <w:headerReference w:type="default" r:id="rId10"/>
          <w:footerReference w:type="even" r:id="rId11"/>
          <w:footerReference w:type="default" r:id="rId12"/>
          <w:headerReference w:type="first" r:id="rId13"/>
          <w:footerReference w:type="first" r:id="rId14"/>
          <w:type w:val="continuous"/>
          <w:pgSz w:w="11909" w:h="16834" w:code="1"/>
          <w:pgMar w:top="1742" w:right="936" w:bottom="1898" w:left="936" w:header="576" w:footer="1030" w:gutter="0"/>
          <w:cols w:space="425"/>
          <w:titlePg/>
          <w:docGrid w:linePitch="312"/>
        </w:sectPr>
      </w:pPr>
      <w:r w:rsidRPr="009F1D3E">
        <w:rPr>
          <w:rStyle w:val="a9"/>
        </w:rPr>
        <w:commentReference w:id="0"/>
      </w:r>
    </w:p>
    <w:p w:rsidR="00B31E9D" w:rsidRPr="009F1D3E" w:rsidRDefault="00B31E9D" w:rsidP="00A03107">
      <w:pPr>
        <w:spacing w:line="60" w:lineRule="exact"/>
        <w:rPr>
          <w:sz w:val="6"/>
        </w:rPr>
      </w:pPr>
    </w:p>
    <w:p w:rsidR="002567CA" w:rsidRPr="009F1D3E" w:rsidRDefault="002567CA" w:rsidP="002567CA">
      <w:pPr>
        <w:pStyle w:val="H1"/>
      </w:pPr>
      <w:r w:rsidRPr="009F1D3E">
        <w:rPr>
          <w:rFonts w:hint="eastAsia"/>
        </w:rPr>
        <w:t>人权理事会</w:t>
      </w:r>
    </w:p>
    <w:p w:rsidR="002567CA" w:rsidRPr="009F1D3E" w:rsidRDefault="002567CA" w:rsidP="002567CA">
      <w:pPr>
        <w:pStyle w:val="H23"/>
      </w:pPr>
      <w:r w:rsidRPr="009F1D3E">
        <w:rPr>
          <w:rFonts w:hint="eastAsia"/>
        </w:rPr>
        <w:t>第三十届会议</w:t>
      </w:r>
    </w:p>
    <w:p w:rsidR="002567CA" w:rsidRPr="009F1D3E" w:rsidRDefault="002567CA" w:rsidP="002567CA">
      <w:pPr>
        <w:pStyle w:val="H56"/>
      </w:pPr>
      <w:r w:rsidRPr="009F1D3E">
        <w:rPr>
          <w:rFonts w:hint="eastAsia"/>
        </w:rPr>
        <w:t>议程项目</w:t>
      </w:r>
      <w:r w:rsidRPr="009F1D3E">
        <w:t>3</w:t>
      </w:r>
    </w:p>
    <w:p w:rsidR="002567CA" w:rsidRPr="009F1D3E" w:rsidRDefault="002567CA" w:rsidP="002567CA">
      <w:pPr>
        <w:pStyle w:val="H23"/>
      </w:pPr>
      <w:r w:rsidRPr="009F1D3E">
        <w:rPr>
          <w:rFonts w:hint="eastAsia"/>
        </w:rPr>
        <w:t>增进和保护所有人权</w:t>
      </w:r>
      <w:r w:rsidRPr="009F1D3E">
        <w:rPr>
          <w:rFonts w:hint="eastAsia"/>
          <w:spacing w:val="-50"/>
        </w:rPr>
        <w:t>―</w:t>
      </w:r>
      <w:r w:rsidRPr="009F1D3E">
        <w:rPr>
          <w:rFonts w:hint="eastAsia"/>
        </w:rPr>
        <w:t>―公民权利、政治权利、</w:t>
      </w:r>
    </w:p>
    <w:p w:rsidR="002567CA" w:rsidRPr="009F1D3E" w:rsidRDefault="002567CA" w:rsidP="002567CA">
      <w:pPr>
        <w:rPr>
          <w:rFonts w:eastAsia="黑体"/>
        </w:rPr>
      </w:pPr>
      <w:r w:rsidRPr="009F1D3E">
        <w:rPr>
          <w:rFonts w:eastAsia="黑体" w:hint="eastAsia"/>
        </w:rPr>
        <w:t>经济、社会和文化权利，包括发展权</w:t>
      </w:r>
    </w:p>
    <w:p w:rsidR="009F1D3E" w:rsidRPr="009F1D3E" w:rsidRDefault="009F1D3E" w:rsidP="009F1D3E">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F1D3E" w:rsidRPr="009F1D3E" w:rsidRDefault="009F1D3E" w:rsidP="009F1D3E">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F1D3E" w:rsidRPr="009F1D3E" w:rsidRDefault="009F1D3E" w:rsidP="009F1D3E">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2567CA" w:rsidRPr="009F1D3E" w:rsidRDefault="002567CA" w:rsidP="002567CA">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sz w:val="20"/>
        </w:rPr>
      </w:pPr>
      <w:r w:rsidRPr="009F1D3E">
        <w:tab/>
      </w:r>
      <w:r w:rsidRPr="009F1D3E">
        <w:tab/>
      </w:r>
      <w:r w:rsidRPr="009F1D3E">
        <w:rPr>
          <w:rFonts w:hint="eastAsia"/>
        </w:rPr>
        <w:t>审议可否拟订一个关于监管、监测和监督私营军事和安保公司活动的国际规章框架问题不限成员名额政府间工作组第四届会议报告</w:t>
      </w:r>
      <w:r w:rsidRPr="00CB2802">
        <w:rPr>
          <w:rStyle w:val="a3"/>
          <w:rFonts w:asciiTheme="majorBidi" w:hAnsiTheme="majorBidi" w:cstheme="majorBidi"/>
          <w:szCs w:val="28"/>
          <w:vertAlign w:val="baseline"/>
        </w:rPr>
        <w:footnoteReference w:customMarkFollows="1" w:id="1"/>
        <w:t>*</w:t>
      </w: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2567CA" w:rsidRPr="009F1D3E" w:rsidRDefault="002567CA" w:rsidP="002567CA">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9F1D3E">
        <w:rPr>
          <w:rFonts w:hAnsi="宋体" w:cs="宋体" w:hint="eastAsia"/>
        </w:rPr>
        <w:tab/>
      </w:r>
      <w:r w:rsidRPr="009F1D3E">
        <w:rPr>
          <w:rFonts w:hAnsi="宋体" w:cs="宋体" w:hint="eastAsia"/>
        </w:rPr>
        <w:tab/>
        <w:t>主席兼报告员</w:t>
      </w:r>
      <w:r w:rsidRPr="009F1D3E">
        <w:rPr>
          <w:rFonts w:hint="eastAsia"/>
        </w:rPr>
        <w:t>：</w:t>
      </w:r>
      <w:r w:rsidRPr="0003336C">
        <w:rPr>
          <w:rFonts w:asciiTheme="majorBidi" w:eastAsiaTheme="minorEastAsia" w:hAnsiTheme="majorBidi" w:cstheme="majorBidi"/>
        </w:rPr>
        <w:t>Abdul S. Minty(</w:t>
      </w:r>
      <w:r w:rsidRPr="0003336C">
        <w:rPr>
          <w:rFonts w:asciiTheme="majorBidi" w:eastAsiaTheme="minorEastAsia" w:hAnsiTheme="majorBidi" w:cstheme="majorBidi"/>
        </w:rPr>
        <w:t>南非</w:t>
      </w:r>
      <w:r w:rsidRPr="0003336C">
        <w:rPr>
          <w:rFonts w:asciiTheme="majorBidi" w:eastAsiaTheme="minorEastAsia" w:hAnsiTheme="majorBidi" w:cstheme="majorBidi"/>
        </w:rPr>
        <w:t>)</w:t>
      </w:r>
    </w:p>
    <w:p w:rsidR="00A03107" w:rsidRPr="009F1D3E" w:rsidRDefault="00A03107" w:rsidP="002567CA">
      <w:pPr>
        <w:pStyle w:val="SingleTxt"/>
        <w:spacing w:after="0" w:line="120" w:lineRule="exact"/>
        <w:rPr>
          <w:sz w:val="10"/>
        </w:rPr>
      </w:pPr>
    </w:p>
    <w:p w:rsidR="002567CA" w:rsidRPr="009F1D3E" w:rsidRDefault="002567CA" w:rsidP="002567CA">
      <w:pPr>
        <w:pStyle w:val="SingleTxt"/>
        <w:spacing w:after="0" w:line="120" w:lineRule="exact"/>
        <w:rPr>
          <w:sz w:val="10"/>
        </w:rPr>
      </w:pPr>
    </w:p>
    <w:p w:rsidR="002567CA" w:rsidRPr="009F1D3E" w:rsidRDefault="002567CA" w:rsidP="002567CA">
      <w:pPr>
        <w:pStyle w:val="SingleTxt"/>
        <w:spacing w:after="0" w:line="120" w:lineRule="exact"/>
        <w:rPr>
          <w:sz w:val="10"/>
        </w:rPr>
      </w:pPr>
    </w:p>
    <w:tbl>
      <w:tblPr>
        <w:tblW w:w="0" w:type="auto"/>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850"/>
      </w:tblGrid>
      <w:tr w:rsidR="002567CA" w:rsidRPr="009F1D3E" w:rsidTr="002567CA">
        <w:tc>
          <w:tcPr>
            <w:tcW w:w="9850" w:type="dxa"/>
            <w:tcBorders>
              <w:top w:val="single" w:sz="2" w:space="0" w:color="auto"/>
            </w:tcBorders>
            <w:shd w:val="clear" w:color="auto" w:fill="auto"/>
          </w:tcPr>
          <w:p w:rsidR="002567CA" w:rsidRPr="009F1D3E" w:rsidRDefault="002567CA" w:rsidP="002567CA">
            <w:pPr>
              <w:tabs>
                <w:tab w:val="left" w:pos="240"/>
              </w:tabs>
              <w:spacing w:before="240" w:after="120"/>
              <w:rPr>
                <w:rFonts w:eastAsia="楷体"/>
                <w:sz w:val="24"/>
              </w:rPr>
            </w:pPr>
            <w:r w:rsidRPr="009F1D3E">
              <w:rPr>
                <w:rFonts w:eastAsia="楷体" w:hint="eastAsia"/>
                <w:sz w:val="24"/>
              </w:rPr>
              <w:tab/>
            </w:r>
            <w:r w:rsidRPr="009F1D3E">
              <w:rPr>
                <w:rFonts w:eastAsia="楷体" w:hint="eastAsia"/>
                <w:sz w:val="24"/>
              </w:rPr>
              <w:t>提要</w:t>
            </w:r>
          </w:p>
        </w:tc>
      </w:tr>
      <w:tr w:rsidR="002567CA" w:rsidRPr="009F1D3E" w:rsidTr="002567CA">
        <w:tc>
          <w:tcPr>
            <w:tcW w:w="9850" w:type="dxa"/>
            <w:shd w:val="clear" w:color="auto" w:fill="auto"/>
          </w:tcPr>
          <w:p w:rsidR="002567CA" w:rsidRPr="009F1D3E" w:rsidRDefault="002567CA" w:rsidP="002567CA">
            <w:pPr>
              <w:pStyle w:val="SingleTxt"/>
            </w:pPr>
            <w:r w:rsidRPr="009F1D3E">
              <w:tab/>
            </w:r>
            <w:r w:rsidRPr="009F1D3E">
              <w:rPr>
                <w:rFonts w:hint="eastAsia"/>
              </w:rPr>
              <w:t>人权理事会第</w:t>
            </w:r>
            <w:r w:rsidRPr="009F1D3E">
              <w:t>22/33</w:t>
            </w:r>
            <w:r w:rsidRPr="009F1D3E">
              <w:rPr>
                <w:rFonts w:hint="eastAsia"/>
              </w:rPr>
              <w:t>号决议决定将</w:t>
            </w:r>
            <w:r w:rsidRPr="009F1D3E">
              <w:rPr>
                <w:rFonts w:hint="eastAsia"/>
                <w:lang w:val="en-GB"/>
              </w:rPr>
              <w:t>审议可否拟订一个关于监管、监测和监督私营军事和安保公司活动的国际规章框架问题不限成员名额政府间工作组</w:t>
            </w:r>
            <w:r w:rsidRPr="009F1D3E">
              <w:rPr>
                <w:rFonts w:hint="eastAsia"/>
              </w:rPr>
              <w:t>的任务期限延长两年，以便工作组开展并完成其第二届会议报告</w:t>
            </w:r>
            <w:r w:rsidRPr="009F1D3E">
              <w:rPr>
                <w:lang w:val="en-GB"/>
              </w:rPr>
              <w:t>(A/HRC/22/41)</w:t>
            </w:r>
            <w:r w:rsidRPr="009F1D3E">
              <w:rPr>
                <w:rFonts w:hint="eastAsia"/>
              </w:rPr>
              <w:t>第</w:t>
            </w:r>
            <w:r w:rsidRPr="009F1D3E">
              <w:t>77</w:t>
            </w:r>
            <w:r w:rsidRPr="009F1D3E">
              <w:rPr>
                <w:rFonts w:hint="eastAsia"/>
              </w:rPr>
              <w:t>段中概述的任务。理事会还要求工作组在理事会第三十届会议上提交其建议。建议见本报告第五节。</w:t>
            </w:r>
          </w:p>
        </w:tc>
      </w:tr>
      <w:tr w:rsidR="002567CA" w:rsidRPr="009F1D3E" w:rsidTr="002567CA">
        <w:tc>
          <w:tcPr>
            <w:tcW w:w="9850" w:type="dxa"/>
            <w:tcBorders>
              <w:bottom w:val="single" w:sz="2" w:space="0" w:color="auto"/>
            </w:tcBorders>
            <w:shd w:val="clear" w:color="auto" w:fill="auto"/>
          </w:tcPr>
          <w:p w:rsidR="002567CA" w:rsidRPr="009F1D3E" w:rsidRDefault="002567CA" w:rsidP="002567CA">
            <w:pPr>
              <w:pStyle w:val="SingleTxt"/>
              <w:spacing w:after="0" w:line="120" w:lineRule="exact"/>
            </w:pPr>
          </w:p>
        </w:tc>
      </w:tr>
    </w:tbl>
    <w:p w:rsidR="002567CA" w:rsidRPr="009F1D3E" w:rsidRDefault="002567CA" w:rsidP="00A03107">
      <w:pPr>
        <w:pStyle w:val="SingleTxt"/>
      </w:pPr>
    </w:p>
    <w:p w:rsidR="00CA7A19" w:rsidRPr="009F1D3E" w:rsidRDefault="002567CA">
      <w:pPr>
        <w:spacing w:line="240" w:lineRule="auto"/>
        <w:jc w:val="left"/>
      </w:pPr>
      <w:r w:rsidRPr="009F1D3E">
        <w:br w:type="page"/>
      </w:r>
    </w:p>
    <w:p w:rsidR="00CA7A19" w:rsidRPr="009F1D3E" w:rsidRDefault="00CA7A19" w:rsidP="009F1D3E">
      <w:pPr>
        <w:pStyle w:val="HCh6"/>
      </w:pPr>
      <w:r w:rsidRPr="009F1D3E">
        <w:rPr>
          <w:rFonts w:hint="eastAsia"/>
        </w:rPr>
        <w:lastRenderedPageBreak/>
        <w:t>目录</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9F1D3E" w:rsidRPr="009F1D3E" w:rsidTr="009F1D3E">
        <w:tc>
          <w:tcPr>
            <w:tcW w:w="1060" w:type="dxa"/>
          </w:tcPr>
          <w:p w:rsidR="009F1D3E" w:rsidRPr="009F1D3E" w:rsidRDefault="009F1D3E" w:rsidP="009F1D3E">
            <w:pPr>
              <w:pStyle w:val="GB23126"/>
            </w:pPr>
          </w:p>
        </w:tc>
        <w:tc>
          <w:tcPr>
            <w:tcW w:w="7315" w:type="dxa"/>
          </w:tcPr>
          <w:p w:rsidR="009F1D3E" w:rsidRPr="009F1D3E" w:rsidRDefault="009F1D3E" w:rsidP="009F1D3E">
            <w:pPr>
              <w:spacing w:after="120" w:line="240" w:lineRule="auto"/>
              <w:rPr>
                <w:rFonts w:eastAsia="楷体_GB2312"/>
                <w:color w:val="0000FF"/>
                <w:sz w:val="15"/>
                <w:szCs w:val="15"/>
              </w:rPr>
            </w:pPr>
          </w:p>
        </w:tc>
        <w:tc>
          <w:tcPr>
            <w:tcW w:w="994" w:type="dxa"/>
          </w:tcPr>
          <w:p w:rsidR="009F1D3E" w:rsidRPr="009F1D3E" w:rsidRDefault="009F1D3E" w:rsidP="009F1D3E">
            <w:pPr>
              <w:pStyle w:val="GB23126"/>
            </w:pPr>
          </w:p>
        </w:tc>
        <w:tc>
          <w:tcPr>
            <w:tcW w:w="533" w:type="dxa"/>
          </w:tcPr>
          <w:p w:rsidR="009F1D3E" w:rsidRPr="009F1D3E" w:rsidRDefault="009F1D3E" w:rsidP="009F1D3E">
            <w:pPr>
              <w:pStyle w:val="GB23126"/>
            </w:pPr>
            <w:r w:rsidRPr="009F1D3E">
              <w:rPr>
                <w:rFonts w:hint="eastAsia"/>
              </w:rPr>
              <w:t>页次</w:t>
            </w:r>
          </w:p>
        </w:tc>
      </w:tr>
      <w:tr w:rsidR="00CB2802" w:rsidTr="00624E7B">
        <w:trPr>
          <w:cantSplit/>
        </w:trPr>
        <w:tc>
          <w:tcPr>
            <w:tcW w:w="9369" w:type="dxa"/>
            <w:gridSpan w:val="3"/>
          </w:tcPr>
          <w:p w:rsidR="00CB2802" w:rsidRDefault="00CB2802" w:rsidP="00CB2802">
            <w:pPr>
              <w:numPr>
                <w:ilvl w:val="0"/>
                <w:numId w:val="4"/>
              </w:numPr>
              <w:tabs>
                <w:tab w:val="right" w:pos="1080"/>
                <w:tab w:val="right" w:leader="dot" w:pos="9371"/>
              </w:tabs>
              <w:spacing w:after="120"/>
            </w:pPr>
            <w:r>
              <w:tab/>
            </w:r>
            <w:r w:rsidRPr="00CB2802">
              <w:rPr>
                <w:rFonts w:hint="eastAsia"/>
              </w:rPr>
              <w:t>导言</w:t>
            </w:r>
            <w:r>
              <w:tab/>
            </w:r>
          </w:p>
        </w:tc>
        <w:tc>
          <w:tcPr>
            <w:tcW w:w="533" w:type="dxa"/>
            <w:vAlign w:val="bottom"/>
          </w:tcPr>
          <w:p w:rsidR="00CB2802" w:rsidRDefault="0012670F" w:rsidP="00624E7B">
            <w:pPr>
              <w:spacing w:after="120"/>
              <w:ind w:right="28"/>
              <w:jc w:val="right"/>
            </w:pPr>
            <w:r>
              <w:rPr>
                <w:rFonts w:hint="eastAsia"/>
              </w:rPr>
              <w:t>3</w:t>
            </w:r>
          </w:p>
        </w:tc>
      </w:tr>
      <w:tr w:rsidR="00CB2802" w:rsidTr="00624E7B">
        <w:trPr>
          <w:cantSplit/>
        </w:trPr>
        <w:tc>
          <w:tcPr>
            <w:tcW w:w="9369" w:type="dxa"/>
            <w:gridSpan w:val="3"/>
          </w:tcPr>
          <w:p w:rsidR="00CB2802" w:rsidRDefault="00CB2802" w:rsidP="00CB2802">
            <w:pPr>
              <w:numPr>
                <w:ilvl w:val="0"/>
                <w:numId w:val="4"/>
              </w:numPr>
              <w:tabs>
                <w:tab w:val="right" w:pos="1080"/>
                <w:tab w:val="right" w:leader="dot" w:pos="9371"/>
              </w:tabs>
              <w:spacing w:after="120"/>
            </w:pPr>
            <w:r>
              <w:rPr>
                <w:rFonts w:hint="eastAsia"/>
              </w:rPr>
              <w:tab/>
            </w:r>
            <w:r w:rsidRPr="00CB2802">
              <w:rPr>
                <w:rFonts w:hint="eastAsia"/>
                <w:lang w:val="en-GB"/>
              </w:rPr>
              <w:t>第四届会议的安排</w:t>
            </w:r>
            <w:r>
              <w:tab/>
            </w:r>
          </w:p>
        </w:tc>
        <w:tc>
          <w:tcPr>
            <w:tcW w:w="533" w:type="dxa"/>
            <w:vAlign w:val="bottom"/>
          </w:tcPr>
          <w:p w:rsidR="00CB2802" w:rsidRDefault="0012670F" w:rsidP="00624E7B">
            <w:pPr>
              <w:spacing w:after="120"/>
              <w:ind w:right="28"/>
              <w:jc w:val="right"/>
            </w:pPr>
            <w:r>
              <w:rPr>
                <w:rFonts w:hint="eastAsia"/>
              </w:rPr>
              <w:t>4</w:t>
            </w:r>
          </w:p>
        </w:tc>
      </w:tr>
      <w:tr w:rsidR="009F1D3E" w:rsidRPr="009F1D3E" w:rsidTr="009F1D3E">
        <w:trPr>
          <w:cantSplit/>
        </w:trPr>
        <w:tc>
          <w:tcPr>
            <w:tcW w:w="9369" w:type="dxa"/>
            <w:gridSpan w:val="3"/>
          </w:tcPr>
          <w:p w:rsidR="009F1D3E" w:rsidRPr="009F1D3E" w:rsidRDefault="009F1D3E" w:rsidP="009F1D3E">
            <w:pPr>
              <w:tabs>
                <w:tab w:val="right" w:pos="1080"/>
                <w:tab w:val="left" w:pos="1728"/>
                <w:tab w:val="right" w:leader="dot" w:pos="9371"/>
              </w:tabs>
              <w:spacing w:after="120"/>
              <w:ind w:left="1728" w:hanging="432"/>
            </w:pPr>
            <w:r w:rsidRPr="009F1D3E">
              <w:rPr>
                <w:rFonts w:hint="eastAsia"/>
              </w:rPr>
              <w:t>A.</w:t>
            </w:r>
            <w:r w:rsidRPr="009F1D3E">
              <w:rPr>
                <w:rFonts w:hint="eastAsia"/>
              </w:rPr>
              <w:tab/>
            </w:r>
            <w:r w:rsidRPr="009F1D3E">
              <w:rPr>
                <w:rFonts w:hint="eastAsia"/>
                <w:lang w:val="en-GB"/>
              </w:rPr>
              <w:t>选举主席兼报告员</w:t>
            </w:r>
            <w:r w:rsidR="00CB2802">
              <w:rPr>
                <w:lang w:val="en-GB"/>
              </w:rPr>
              <w:tab/>
            </w:r>
          </w:p>
        </w:tc>
        <w:tc>
          <w:tcPr>
            <w:tcW w:w="533" w:type="dxa"/>
            <w:vAlign w:val="bottom"/>
          </w:tcPr>
          <w:p w:rsidR="009F1D3E" w:rsidRPr="009F1D3E" w:rsidRDefault="0012670F" w:rsidP="009F1D3E">
            <w:pPr>
              <w:spacing w:after="120"/>
              <w:ind w:right="28"/>
              <w:jc w:val="right"/>
            </w:pPr>
            <w:r>
              <w:rPr>
                <w:rFonts w:hint="eastAsia"/>
              </w:rPr>
              <w:t>4</w:t>
            </w:r>
          </w:p>
        </w:tc>
      </w:tr>
      <w:tr w:rsidR="009F1D3E" w:rsidRPr="009F1D3E" w:rsidTr="009F1D3E">
        <w:trPr>
          <w:cantSplit/>
        </w:trPr>
        <w:tc>
          <w:tcPr>
            <w:tcW w:w="9369" w:type="dxa"/>
            <w:gridSpan w:val="3"/>
          </w:tcPr>
          <w:p w:rsidR="009F1D3E" w:rsidRPr="009F1D3E" w:rsidRDefault="009F1D3E" w:rsidP="009F1D3E">
            <w:pPr>
              <w:tabs>
                <w:tab w:val="right" w:pos="1080"/>
                <w:tab w:val="left" w:pos="1728"/>
                <w:tab w:val="right" w:leader="dot" w:pos="9371"/>
              </w:tabs>
              <w:spacing w:after="120"/>
              <w:ind w:left="1728" w:hanging="432"/>
            </w:pPr>
            <w:r w:rsidRPr="009F1D3E">
              <w:rPr>
                <w:rFonts w:hint="eastAsia"/>
              </w:rPr>
              <w:t>B.</w:t>
            </w:r>
            <w:r w:rsidRPr="009F1D3E">
              <w:rPr>
                <w:rFonts w:hint="eastAsia"/>
              </w:rPr>
              <w:tab/>
            </w:r>
            <w:r w:rsidRPr="009F1D3E">
              <w:rPr>
                <w:rFonts w:hint="eastAsia"/>
                <w:lang w:val="en-GB"/>
              </w:rPr>
              <w:t>出席情况</w:t>
            </w:r>
            <w:r w:rsidR="00CB2802">
              <w:rPr>
                <w:lang w:val="en-GB"/>
              </w:rPr>
              <w:tab/>
            </w:r>
          </w:p>
        </w:tc>
        <w:tc>
          <w:tcPr>
            <w:tcW w:w="533" w:type="dxa"/>
            <w:vAlign w:val="bottom"/>
          </w:tcPr>
          <w:p w:rsidR="009F1D3E" w:rsidRPr="009F1D3E" w:rsidRDefault="0012670F" w:rsidP="009F1D3E">
            <w:pPr>
              <w:spacing w:after="120"/>
              <w:ind w:right="28"/>
              <w:jc w:val="right"/>
            </w:pPr>
            <w:r>
              <w:rPr>
                <w:rFonts w:hint="eastAsia"/>
              </w:rPr>
              <w:t>4</w:t>
            </w:r>
          </w:p>
        </w:tc>
      </w:tr>
      <w:tr w:rsidR="009F1D3E" w:rsidRPr="009F1D3E" w:rsidTr="009F1D3E">
        <w:trPr>
          <w:cantSplit/>
        </w:trPr>
        <w:tc>
          <w:tcPr>
            <w:tcW w:w="9369" w:type="dxa"/>
            <w:gridSpan w:val="3"/>
          </w:tcPr>
          <w:p w:rsidR="009F1D3E" w:rsidRPr="009F1D3E" w:rsidRDefault="009F1D3E" w:rsidP="009F1D3E">
            <w:pPr>
              <w:tabs>
                <w:tab w:val="right" w:pos="1080"/>
                <w:tab w:val="left" w:pos="1728"/>
                <w:tab w:val="right" w:leader="dot" w:pos="9371"/>
              </w:tabs>
              <w:spacing w:after="120"/>
              <w:ind w:left="1728" w:hanging="432"/>
            </w:pPr>
            <w:r w:rsidRPr="009F1D3E">
              <w:rPr>
                <w:rFonts w:hint="eastAsia"/>
              </w:rPr>
              <w:t>C.</w:t>
            </w:r>
            <w:r w:rsidRPr="009F1D3E">
              <w:rPr>
                <w:rFonts w:hint="eastAsia"/>
              </w:rPr>
              <w:tab/>
            </w:r>
            <w:r w:rsidRPr="009F1D3E">
              <w:rPr>
                <w:rFonts w:hint="eastAsia"/>
                <w:lang w:val="en-GB"/>
              </w:rPr>
              <w:t>会议安排</w:t>
            </w:r>
            <w:r w:rsidR="00CB2802">
              <w:rPr>
                <w:lang w:val="en-GB"/>
              </w:rPr>
              <w:tab/>
            </w:r>
          </w:p>
        </w:tc>
        <w:tc>
          <w:tcPr>
            <w:tcW w:w="533" w:type="dxa"/>
            <w:vAlign w:val="bottom"/>
          </w:tcPr>
          <w:p w:rsidR="009F1D3E" w:rsidRPr="009F1D3E" w:rsidRDefault="0012670F" w:rsidP="009F1D3E">
            <w:pPr>
              <w:spacing w:after="120"/>
              <w:ind w:right="28"/>
              <w:jc w:val="right"/>
            </w:pPr>
            <w:r>
              <w:rPr>
                <w:rFonts w:hint="eastAsia"/>
              </w:rPr>
              <w:t>4</w:t>
            </w:r>
          </w:p>
        </w:tc>
      </w:tr>
      <w:tr w:rsidR="009F1D3E" w:rsidRPr="009F1D3E" w:rsidTr="009F1D3E">
        <w:trPr>
          <w:cantSplit/>
        </w:trPr>
        <w:tc>
          <w:tcPr>
            <w:tcW w:w="9369" w:type="dxa"/>
            <w:gridSpan w:val="3"/>
          </w:tcPr>
          <w:p w:rsidR="009F1D3E" w:rsidRPr="009F1D3E" w:rsidRDefault="009F1D3E" w:rsidP="009F1D3E">
            <w:pPr>
              <w:tabs>
                <w:tab w:val="right" w:pos="1080"/>
                <w:tab w:val="left" w:pos="1728"/>
                <w:tab w:val="right" w:leader="dot" w:pos="9371"/>
              </w:tabs>
              <w:spacing w:after="120"/>
              <w:ind w:left="1728" w:hanging="432"/>
            </w:pPr>
            <w:r w:rsidRPr="009F1D3E">
              <w:rPr>
                <w:rFonts w:hint="eastAsia"/>
              </w:rPr>
              <w:t>D.</w:t>
            </w:r>
            <w:r w:rsidRPr="009F1D3E">
              <w:rPr>
                <w:rFonts w:hint="eastAsia"/>
              </w:rPr>
              <w:tab/>
            </w:r>
            <w:r w:rsidRPr="009F1D3E">
              <w:rPr>
                <w:rFonts w:hint="eastAsia"/>
                <w:lang w:val="en-GB"/>
              </w:rPr>
              <w:t>一般性讨论</w:t>
            </w:r>
            <w:r w:rsidR="00CB2802">
              <w:rPr>
                <w:lang w:val="en-GB"/>
              </w:rPr>
              <w:tab/>
            </w:r>
          </w:p>
        </w:tc>
        <w:tc>
          <w:tcPr>
            <w:tcW w:w="533" w:type="dxa"/>
            <w:vAlign w:val="bottom"/>
          </w:tcPr>
          <w:p w:rsidR="009F1D3E" w:rsidRPr="009F1D3E" w:rsidRDefault="0012670F" w:rsidP="009F1D3E">
            <w:pPr>
              <w:spacing w:after="120"/>
              <w:ind w:right="28"/>
              <w:jc w:val="right"/>
            </w:pPr>
            <w:r>
              <w:rPr>
                <w:rFonts w:hint="eastAsia"/>
              </w:rPr>
              <w:t>5</w:t>
            </w:r>
          </w:p>
        </w:tc>
      </w:tr>
      <w:tr w:rsidR="00CB2802" w:rsidTr="00624E7B">
        <w:trPr>
          <w:cantSplit/>
        </w:trPr>
        <w:tc>
          <w:tcPr>
            <w:tcW w:w="9369" w:type="dxa"/>
            <w:gridSpan w:val="3"/>
          </w:tcPr>
          <w:p w:rsidR="00CB2802" w:rsidRDefault="00CB2802" w:rsidP="00CB2802">
            <w:pPr>
              <w:numPr>
                <w:ilvl w:val="0"/>
                <w:numId w:val="4"/>
              </w:numPr>
              <w:tabs>
                <w:tab w:val="right" w:pos="1080"/>
                <w:tab w:val="right" w:leader="dot" w:pos="9371"/>
              </w:tabs>
              <w:spacing w:after="120"/>
            </w:pPr>
            <w:r>
              <w:tab/>
            </w:r>
            <w:r w:rsidRPr="00CB2802">
              <w:rPr>
                <w:rFonts w:hint="eastAsia"/>
                <w:lang w:val="en-GB"/>
              </w:rPr>
              <w:t>关于具体专题的讨论</w:t>
            </w:r>
            <w:r>
              <w:tab/>
            </w:r>
          </w:p>
        </w:tc>
        <w:tc>
          <w:tcPr>
            <w:tcW w:w="533" w:type="dxa"/>
            <w:vAlign w:val="bottom"/>
          </w:tcPr>
          <w:p w:rsidR="00CB2802" w:rsidRDefault="0012670F" w:rsidP="00624E7B">
            <w:pPr>
              <w:spacing w:after="120"/>
              <w:ind w:right="28"/>
              <w:jc w:val="right"/>
            </w:pPr>
            <w:r>
              <w:rPr>
                <w:rFonts w:hint="eastAsia"/>
              </w:rPr>
              <w:t>8</w:t>
            </w:r>
          </w:p>
        </w:tc>
      </w:tr>
      <w:tr w:rsidR="009F1D3E" w:rsidRPr="009F1D3E" w:rsidTr="009F1D3E">
        <w:trPr>
          <w:cantSplit/>
        </w:trPr>
        <w:tc>
          <w:tcPr>
            <w:tcW w:w="9369" w:type="dxa"/>
            <w:gridSpan w:val="3"/>
          </w:tcPr>
          <w:p w:rsidR="009F1D3E" w:rsidRPr="009F1D3E" w:rsidRDefault="009F1D3E" w:rsidP="009F1D3E">
            <w:pPr>
              <w:tabs>
                <w:tab w:val="right" w:pos="1080"/>
                <w:tab w:val="left" w:pos="1728"/>
                <w:tab w:val="right" w:leader="dot" w:pos="9371"/>
              </w:tabs>
              <w:spacing w:after="120"/>
              <w:ind w:left="1728" w:hanging="432"/>
            </w:pPr>
            <w:r w:rsidRPr="009F1D3E">
              <w:rPr>
                <w:rFonts w:hint="eastAsia"/>
              </w:rPr>
              <w:t>A.</w:t>
            </w:r>
            <w:r w:rsidRPr="009F1D3E">
              <w:rPr>
                <w:rFonts w:hint="eastAsia"/>
              </w:rPr>
              <w:tab/>
            </w:r>
            <w:r w:rsidRPr="009F1D3E">
              <w:rPr>
                <w:rFonts w:hint="eastAsia"/>
                <w:lang w:val="en-GB"/>
              </w:rPr>
              <w:t>工作组主席关于以雇佣军为手段侵犯人权并</w:t>
            </w:r>
            <w:r w:rsidRPr="009F1D3E">
              <w:rPr>
                <w:lang w:val="en-GB"/>
              </w:rPr>
              <w:br/>
            </w:r>
            <w:r w:rsidRPr="009F1D3E">
              <w:rPr>
                <w:rFonts w:hint="eastAsia"/>
                <w:lang w:val="en-GB"/>
              </w:rPr>
              <w:t>阻挠行使民族自决权问题的实质性报告</w:t>
            </w:r>
            <w:r w:rsidRPr="009F1D3E">
              <w:rPr>
                <w:lang w:val="en-GB"/>
              </w:rPr>
              <w:tab/>
            </w:r>
          </w:p>
        </w:tc>
        <w:tc>
          <w:tcPr>
            <w:tcW w:w="533" w:type="dxa"/>
            <w:vAlign w:val="bottom"/>
          </w:tcPr>
          <w:p w:rsidR="009F1D3E" w:rsidRPr="009F1D3E" w:rsidRDefault="0012670F" w:rsidP="009F1D3E">
            <w:pPr>
              <w:spacing w:after="120"/>
              <w:ind w:right="28"/>
              <w:jc w:val="right"/>
            </w:pPr>
            <w:r>
              <w:rPr>
                <w:rFonts w:hint="eastAsia"/>
              </w:rPr>
              <w:t>8</w:t>
            </w:r>
          </w:p>
        </w:tc>
      </w:tr>
      <w:tr w:rsidR="009F1D3E" w:rsidRPr="009F1D3E" w:rsidTr="009F1D3E">
        <w:trPr>
          <w:cantSplit/>
        </w:trPr>
        <w:tc>
          <w:tcPr>
            <w:tcW w:w="9369" w:type="dxa"/>
            <w:gridSpan w:val="3"/>
          </w:tcPr>
          <w:p w:rsidR="009F1D3E" w:rsidRPr="009F1D3E" w:rsidRDefault="009F1D3E" w:rsidP="009F1D3E">
            <w:pPr>
              <w:tabs>
                <w:tab w:val="right" w:pos="1080"/>
                <w:tab w:val="left" w:pos="1728"/>
                <w:tab w:val="right" w:leader="dot" w:pos="9371"/>
              </w:tabs>
              <w:spacing w:after="120"/>
              <w:ind w:left="1728" w:hanging="432"/>
            </w:pPr>
            <w:r w:rsidRPr="009F1D3E">
              <w:rPr>
                <w:rFonts w:hint="eastAsia"/>
              </w:rPr>
              <w:t>B.</w:t>
            </w:r>
            <w:r w:rsidRPr="009F1D3E">
              <w:rPr>
                <w:rFonts w:hint="eastAsia"/>
              </w:rPr>
              <w:tab/>
            </w:r>
            <w:r w:rsidRPr="009F1D3E">
              <w:rPr>
                <w:rFonts w:hint="eastAsia"/>
                <w:lang w:val="en-GB"/>
              </w:rPr>
              <w:t>与私营军事和安保公司代表的讨论</w:t>
            </w:r>
            <w:r w:rsidRPr="009F1D3E">
              <w:rPr>
                <w:lang w:val="en-GB"/>
              </w:rPr>
              <w:tab/>
            </w:r>
          </w:p>
        </w:tc>
        <w:tc>
          <w:tcPr>
            <w:tcW w:w="533" w:type="dxa"/>
            <w:vAlign w:val="bottom"/>
          </w:tcPr>
          <w:p w:rsidR="009F1D3E" w:rsidRPr="009F1D3E" w:rsidRDefault="0012670F" w:rsidP="009F1D3E">
            <w:pPr>
              <w:spacing w:after="120"/>
              <w:ind w:right="28"/>
              <w:jc w:val="right"/>
            </w:pPr>
            <w:r>
              <w:rPr>
                <w:rFonts w:hint="eastAsia"/>
              </w:rPr>
              <w:t>10</w:t>
            </w:r>
          </w:p>
        </w:tc>
      </w:tr>
      <w:tr w:rsidR="009F1D3E" w:rsidRPr="009F1D3E" w:rsidTr="009F1D3E">
        <w:trPr>
          <w:cantSplit/>
        </w:trPr>
        <w:tc>
          <w:tcPr>
            <w:tcW w:w="9369" w:type="dxa"/>
            <w:gridSpan w:val="3"/>
          </w:tcPr>
          <w:p w:rsidR="009F1D3E" w:rsidRPr="009F1D3E" w:rsidRDefault="009F1D3E" w:rsidP="009F1D3E">
            <w:pPr>
              <w:tabs>
                <w:tab w:val="right" w:pos="1080"/>
                <w:tab w:val="left" w:pos="1728"/>
                <w:tab w:val="right" w:leader="dot" w:pos="9371"/>
              </w:tabs>
              <w:spacing w:after="120"/>
              <w:ind w:left="1728" w:hanging="432"/>
            </w:pPr>
            <w:r w:rsidRPr="009F1D3E">
              <w:rPr>
                <w:rFonts w:hint="eastAsia"/>
              </w:rPr>
              <w:t>C.</w:t>
            </w:r>
            <w:r w:rsidRPr="009F1D3E">
              <w:rPr>
                <w:rFonts w:hint="eastAsia"/>
              </w:rPr>
              <w:tab/>
            </w:r>
            <w:r w:rsidRPr="009F1D3E">
              <w:rPr>
                <w:rFonts w:hint="eastAsia"/>
                <w:lang w:val="en-GB"/>
              </w:rPr>
              <w:t>监管海上私营安保活动的特殊性</w:t>
            </w:r>
          </w:p>
        </w:tc>
        <w:tc>
          <w:tcPr>
            <w:tcW w:w="533" w:type="dxa"/>
            <w:vAlign w:val="bottom"/>
          </w:tcPr>
          <w:p w:rsidR="009F1D3E" w:rsidRPr="009F1D3E" w:rsidRDefault="0012670F" w:rsidP="009F1D3E">
            <w:pPr>
              <w:spacing w:after="120"/>
              <w:ind w:right="28"/>
              <w:jc w:val="right"/>
            </w:pPr>
            <w:r>
              <w:rPr>
                <w:rFonts w:hint="eastAsia"/>
              </w:rPr>
              <w:t>13</w:t>
            </w:r>
          </w:p>
        </w:tc>
      </w:tr>
      <w:tr w:rsidR="009F1D3E" w:rsidRPr="009F1D3E" w:rsidTr="009F1D3E">
        <w:trPr>
          <w:cantSplit/>
        </w:trPr>
        <w:tc>
          <w:tcPr>
            <w:tcW w:w="9369" w:type="dxa"/>
            <w:gridSpan w:val="3"/>
          </w:tcPr>
          <w:p w:rsidR="009F1D3E" w:rsidRPr="009F1D3E" w:rsidRDefault="009F1D3E" w:rsidP="009F1D3E">
            <w:pPr>
              <w:tabs>
                <w:tab w:val="right" w:pos="1080"/>
                <w:tab w:val="left" w:pos="1728"/>
                <w:tab w:val="right" w:leader="dot" w:pos="9371"/>
              </w:tabs>
              <w:spacing w:after="120"/>
              <w:ind w:left="1728" w:hanging="432"/>
            </w:pPr>
            <w:r w:rsidRPr="009F1D3E">
              <w:rPr>
                <w:rFonts w:hint="eastAsia"/>
              </w:rPr>
              <w:t>D.</w:t>
            </w:r>
            <w:r w:rsidRPr="009F1D3E">
              <w:rPr>
                <w:rFonts w:hint="eastAsia"/>
              </w:rPr>
              <w:tab/>
            </w:r>
            <w:r w:rsidRPr="009F1D3E">
              <w:rPr>
                <w:rFonts w:hint="eastAsia"/>
                <w:lang w:val="en-GB"/>
              </w:rPr>
              <w:t>联合国使用私营安保公司的情况</w:t>
            </w:r>
          </w:p>
        </w:tc>
        <w:tc>
          <w:tcPr>
            <w:tcW w:w="533" w:type="dxa"/>
            <w:vAlign w:val="bottom"/>
          </w:tcPr>
          <w:p w:rsidR="009F1D3E" w:rsidRPr="009F1D3E" w:rsidRDefault="0012670F" w:rsidP="009F1D3E">
            <w:pPr>
              <w:spacing w:after="120"/>
              <w:ind w:right="28"/>
              <w:jc w:val="right"/>
            </w:pPr>
            <w:r>
              <w:rPr>
                <w:rFonts w:hint="eastAsia"/>
              </w:rPr>
              <w:t>15</w:t>
            </w:r>
          </w:p>
        </w:tc>
      </w:tr>
      <w:tr w:rsidR="00CB2802" w:rsidTr="00624E7B">
        <w:trPr>
          <w:cantSplit/>
        </w:trPr>
        <w:tc>
          <w:tcPr>
            <w:tcW w:w="9369" w:type="dxa"/>
            <w:gridSpan w:val="3"/>
          </w:tcPr>
          <w:p w:rsidR="00CB2802" w:rsidRDefault="00CB2802" w:rsidP="00CB2802">
            <w:pPr>
              <w:numPr>
                <w:ilvl w:val="0"/>
                <w:numId w:val="4"/>
              </w:numPr>
              <w:tabs>
                <w:tab w:val="right" w:pos="1080"/>
                <w:tab w:val="right" w:leader="dot" w:pos="9371"/>
              </w:tabs>
              <w:spacing w:after="120"/>
            </w:pPr>
            <w:r>
              <w:tab/>
            </w:r>
            <w:r w:rsidRPr="00CB2802">
              <w:rPr>
                <w:rFonts w:hint="eastAsia"/>
                <w:lang w:val="en-GB"/>
              </w:rPr>
              <w:t>最后发言</w:t>
            </w:r>
            <w:r>
              <w:tab/>
            </w:r>
          </w:p>
        </w:tc>
        <w:tc>
          <w:tcPr>
            <w:tcW w:w="533" w:type="dxa"/>
            <w:vAlign w:val="bottom"/>
          </w:tcPr>
          <w:p w:rsidR="00CB2802" w:rsidRDefault="0012670F" w:rsidP="00624E7B">
            <w:pPr>
              <w:spacing w:after="120"/>
              <w:ind w:right="28"/>
              <w:jc w:val="right"/>
            </w:pPr>
            <w:r>
              <w:rPr>
                <w:rFonts w:hint="eastAsia"/>
              </w:rPr>
              <w:t>17</w:t>
            </w:r>
          </w:p>
        </w:tc>
      </w:tr>
      <w:tr w:rsidR="00CB2802" w:rsidTr="00624E7B">
        <w:trPr>
          <w:cantSplit/>
        </w:trPr>
        <w:tc>
          <w:tcPr>
            <w:tcW w:w="9369" w:type="dxa"/>
            <w:gridSpan w:val="3"/>
          </w:tcPr>
          <w:p w:rsidR="00CB2802" w:rsidRDefault="00CB2802" w:rsidP="00CB2802">
            <w:pPr>
              <w:numPr>
                <w:ilvl w:val="0"/>
                <w:numId w:val="4"/>
              </w:numPr>
              <w:tabs>
                <w:tab w:val="right" w:pos="1080"/>
                <w:tab w:val="right" w:leader="dot" w:pos="9371"/>
              </w:tabs>
              <w:spacing w:after="120"/>
            </w:pPr>
            <w:r>
              <w:tab/>
            </w:r>
            <w:r w:rsidRPr="00CB2802">
              <w:rPr>
                <w:rFonts w:hint="eastAsia"/>
                <w:lang w:val="en-GB"/>
              </w:rPr>
              <w:t>结论和建议</w:t>
            </w:r>
            <w:r>
              <w:tab/>
            </w:r>
          </w:p>
        </w:tc>
        <w:tc>
          <w:tcPr>
            <w:tcW w:w="533" w:type="dxa"/>
            <w:vAlign w:val="bottom"/>
          </w:tcPr>
          <w:p w:rsidR="00CB2802" w:rsidRDefault="0012670F" w:rsidP="00624E7B">
            <w:pPr>
              <w:spacing w:after="120"/>
              <w:ind w:right="28"/>
              <w:jc w:val="right"/>
            </w:pPr>
            <w:r>
              <w:rPr>
                <w:rFonts w:hint="eastAsia"/>
              </w:rPr>
              <w:t>18</w:t>
            </w:r>
          </w:p>
        </w:tc>
      </w:tr>
      <w:tr w:rsidR="009F1D3E" w:rsidRPr="009F1D3E">
        <w:trPr>
          <w:cantSplit/>
        </w:trPr>
        <w:tc>
          <w:tcPr>
            <w:tcW w:w="9369" w:type="dxa"/>
            <w:gridSpan w:val="3"/>
          </w:tcPr>
          <w:p w:rsidR="009F1D3E" w:rsidRPr="009F1D3E" w:rsidRDefault="009F1D3E">
            <w:pPr>
              <w:tabs>
                <w:tab w:val="right" w:pos="1080"/>
                <w:tab w:val="left" w:pos="1296"/>
                <w:tab w:val="left" w:pos="1800"/>
                <w:tab w:val="left" w:pos="2232"/>
                <w:tab w:val="left" w:pos="2592"/>
                <w:tab w:val="left" w:pos="3024"/>
                <w:tab w:val="left" w:pos="3456"/>
                <w:tab w:val="right" w:leader="dot" w:pos="9360"/>
              </w:tabs>
              <w:spacing w:after="120"/>
              <w:ind w:left="539"/>
            </w:pPr>
            <w:bookmarkStart w:id="2" w:name="TmpSave"/>
            <w:bookmarkEnd w:id="2"/>
            <w:r w:rsidRPr="009F1D3E">
              <w:rPr>
                <w:rFonts w:hint="eastAsia"/>
              </w:rPr>
              <w:t>附件</w:t>
            </w:r>
          </w:p>
        </w:tc>
        <w:tc>
          <w:tcPr>
            <w:tcW w:w="533" w:type="dxa"/>
            <w:vAlign w:val="bottom"/>
          </w:tcPr>
          <w:p w:rsidR="009F1D3E" w:rsidRPr="009F1D3E" w:rsidRDefault="009F1D3E">
            <w:pPr>
              <w:spacing w:after="120"/>
              <w:jc w:val="right"/>
            </w:pPr>
          </w:p>
        </w:tc>
      </w:tr>
      <w:tr w:rsidR="00CB2802" w:rsidTr="00624E7B">
        <w:trPr>
          <w:cantSplit/>
        </w:trPr>
        <w:tc>
          <w:tcPr>
            <w:tcW w:w="9369" w:type="dxa"/>
            <w:gridSpan w:val="3"/>
          </w:tcPr>
          <w:p w:rsidR="00CB2802" w:rsidRDefault="00CB2802" w:rsidP="00CB2802">
            <w:pPr>
              <w:numPr>
                <w:ilvl w:val="0"/>
                <w:numId w:val="8"/>
              </w:numPr>
              <w:tabs>
                <w:tab w:val="right" w:pos="1080"/>
                <w:tab w:val="right" w:leader="dot" w:pos="9371"/>
              </w:tabs>
              <w:spacing w:after="120"/>
            </w:pPr>
            <w:r>
              <w:tab/>
            </w:r>
            <w:r w:rsidRPr="00CB2802">
              <w:rPr>
                <w:rFonts w:hint="eastAsia"/>
                <w:lang w:val="en-GB"/>
              </w:rPr>
              <w:t>与会者名单</w:t>
            </w:r>
            <w:r>
              <w:tab/>
            </w:r>
          </w:p>
        </w:tc>
        <w:tc>
          <w:tcPr>
            <w:tcW w:w="533" w:type="dxa"/>
            <w:vAlign w:val="bottom"/>
          </w:tcPr>
          <w:p w:rsidR="00CB2802" w:rsidRDefault="0012670F" w:rsidP="00624E7B">
            <w:pPr>
              <w:spacing w:after="120"/>
              <w:ind w:right="28"/>
              <w:jc w:val="right"/>
            </w:pPr>
            <w:r>
              <w:rPr>
                <w:rFonts w:hint="eastAsia"/>
              </w:rPr>
              <w:t>19</w:t>
            </w:r>
          </w:p>
        </w:tc>
      </w:tr>
      <w:tr w:rsidR="00CB2802" w:rsidTr="00624E7B">
        <w:trPr>
          <w:cantSplit/>
        </w:trPr>
        <w:tc>
          <w:tcPr>
            <w:tcW w:w="9369" w:type="dxa"/>
            <w:gridSpan w:val="3"/>
          </w:tcPr>
          <w:p w:rsidR="00CB2802" w:rsidRDefault="00CB2802" w:rsidP="00CB2802">
            <w:pPr>
              <w:numPr>
                <w:ilvl w:val="0"/>
                <w:numId w:val="8"/>
              </w:numPr>
              <w:tabs>
                <w:tab w:val="right" w:pos="1080"/>
                <w:tab w:val="right" w:leader="dot" w:pos="9371"/>
              </w:tabs>
              <w:spacing w:after="120"/>
            </w:pPr>
            <w:r>
              <w:tab/>
            </w:r>
            <w:r w:rsidRPr="00CB2802">
              <w:rPr>
                <w:rFonts w:hint="eastAsia"/>
                <w:lang w:val="en-GB"/>
              </w:rPr>
              <w:t>欧洲联盟的最后发言</w:t>
            </w:r>
            <w:r>
              <w:tab/>
            </w:r>
          </w:p>
        </w:tc>
        <w:tc>
          <w:tcPr>
            <w:tcW w:w="533" w:type="dxa"/>
            <w:vAlign w:val="bottom"/>
          </w:tcPr>
          <w:p w:rsidR="00CB2802" w:rsidRDefault="0012670F" w:rsidP="00624E7B">
            <w:pPr>
              <w:spacing w:after="120"/>
              <w:ind w:right="28"/>
              <w:jc w:val="right"/>
            </w:pPr>
            <w:r>
              <w:rPr>
                <w:rFonts w:hint="eastAsia"/>
              </w:rPr>
              <w:t>20</w:t>
            </w:r>
          </w:p>
        </w:tc>
      </w:tr>
      <w:tr w:rsidR="00CB2802" w:rsidTr="00624E7B">
        <w:trPr>
          <w:cantSplit/>
        </w:trPr>
        <w:tc>
          <w:tcPr>
            <w:tcW w:w="9369" w:type="dxa"/>
            <w:gridSpan w:val="3"/>
          </w:tcPr>
          <w:p w:rsidR="00CB2802" w:rsidRDefault="00CB2802" w:rsidP="00CB2802">
            <w:pPr>
              <w:numPr>
                <w:ilvl w:val="0"/>
                <w:numId w:val="8"/>
              </w:numPr>
              <w:tabs>
                <w:tab w:val="right" w:pos="1080"/>
                <w:tab w:val="right" w:leader="dot" w:pos="9371"/>
              </w:tabs>
              <w:spacing w:after="120"/>
            </w:pPr>
            <w:r>
              <w:tab/>
            </w:r>
            <w:r w:rsidRPr="00CB2802">
              <w:rPr>
                <w:rFonts w:hint="eastAsia"/>
                <w:lang w:val="fr-CH"/>
              </w:rPr>
              <w:t>非洲集团的声明和最终意见</w:t>
            </w:r>
            <w:r>
              <w:tab/>
            </w:r>
          </w:p>
        </w:tc>
        <w:tc>
          <w:tcPr>
            <w:tcW w:w="533" w:type="dxa"/>
            <w:vAlign w:val="bottom"/>
          </w:tcPr>
          <w:p w:rsidR="00CB2802" w:rsidRDefault="0012670F" w:rsidP="00624E7B">
            <w:pPr>
              <w:spacing w:after="120"/>
              <w:ind w:right="28"/>
              <w:jc w:val="right"/>
            </w:pPr>
            <w:r>
              <w:rPr>
                <w:rFonts w:hint="eastAsia"/>
              </w:rPr>
              <w:t>22</w:t>
            </w:r>
          </w:p>
        </w:tc>
      </w:tr>
    </w:tbl>
    <w:p w:rsidR="009F1D3E" w:rsidRPr="009F1D3E" w:rsidRDefault="009F1D3E"/>
    <w:p w:rsidR="009F1D3E" w:rsidRPr="009F1D3E" w:rsidRDefault="009F1D3E">
      <w:pPr>
        <w:spacing w:line="240" w:lineRule="auto"/>
        <w:jc w:val="left"/>
      </w:pPr>
      <w:r w:rsidRPr="009F1D3E">
        <w:br w:type="page"/>
      </w: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fr-CH"/>
        </w:rPr>
      </w:pPr>
      <w:r w:rsidRPr="009F1D3E">
        <w:rPr>
          <w:sz w:val="20"/>
          <w:lang w:val="fr-CH"/>
        </w:rPr>
        <w:tab/>
      </w:r>
      <w:r w:rsidRPr="009F1D3E">
        <w:rPr>
          <w:rFonts w:hint="eastAsia"/>
          <w:lang w:val="fr-CH"/>
        </w:rPr>
        <w:t>一</w:t>
      </w:r>
      <w:r w:rsidRPr="009F1D3E">
        <w:rPr>
          <w:lang w:val="fr-CH"/>
        </w:rPr>
        <w:t>.</w:t>
      </w:r>
      <w:r w:rsidRPr="009F1D3E">
        <w:rPr>
          <w:lang w:val="fr-CH"/>
        </w:rPr>
        <w:tab/>
      </w:r>
      <w:r w:rsidRPr="009F1D3E">
        <w:rPr>
          <w:rFonts w:hint="eastAsia"/>
          <w:szCs w:val="28"/>
          <w:lang w:val="fr-CH"/>
        </w:rPr>
        <w:t>导言</w:t>
      </w: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SingleTxt"/>
        <w:rPr>
          <w:lang w:val="fr-CH"/>
        </w:rPr>
      </w:pPr>
      <w:r w:rsidRPr="009F1D3E">
        <w:rPr>
          <w:lang w:val="fr-CH"/>
        </w:rPr>
        <w:t>1</w:t>
      </w:r>
      <w:r w:rsidR="001D27F5" w:rsidRPr="001D27F5">
        <w:rPr>
          <w:lang w:val="fr-CH"/>
        </w:rPr>
        <w:t xml:space="preserve">.  </w:t>
      </w:r>
      <w:r w:rsidRPr="009F1D3E">
        <w:rPr>
          <w:rFonts w:hint="eastAsia"/>
        </w:rPr>
        <w:t>人权理事会第</w:t>
      </w:r>
      <w:r w:rsidRPr="009F1D3E">
        <w:rPr>
          <w:lang w:val="fr-CH"/>
        </w:rPr>
        <w:t>15/26</w:t>
      </w:r>
      <w:r w:rsidRPr="009F1D3E">
        <w:rPr>
          <w:rFonts w:hint="eastAsia"/>
        </w:rPr>
        <w:t>号决议决定设立一个不限成员名额政府间工作组</w:t>
      </w:r>
      <w:r w:rsidRPr="009F1D3E">
        <w:rPr>
          <w:rFonts w:hint="eastAsia"/>
          <w:lang w:val="fr-CH"/>
        </w:rPr>
        <w:t>，</w:t>
      </w:r>
      <w:r w:rsidRPr="009F1D3E">
        <w:rPr>
          <w:rFonts w:hint="eastAsia"/>
        </w:rPr>
        <w:t>负责结合以雇佣军为手段侵犯人权和阻挠人民行使自决权问题工作组提出的原则、要点及案文草案</w:t>
      </w:r>
      <w:r w:rsidRPr="009F1D3E">
        <w:rPr>
          <w:rFonts w:hint="eastAsia"/>
          <w:lang w:val="fr-CH"/>
        </w:rPr>
        <w:t>，</w:t>
      </w:r>
      <w:r w:rsidRPr="009F1D3E">
        <w:rPr>
          <w:rFonts w:hint="eastAsia"/>
        </w:rPr>
        <w:t>审议可否拟订一个国际监管框架</w:t>
      </w:r>
      <w:r w:rsidRPr="009F1D3E">
        <w:rPr>
          <w:rFonts w:hint="eastAsia"/>
          <w:lang w:val="fr-CH"/>
        </w:rPr>
        <w:t>，</w:t>
      </w:r>
      <w:r w:rsidRPr="009F1D3E">
        <w:rPr>
          <w:rFonts w:hint="eastAsia"/>
        </w:rPr>
        <w:t>包括拟订一项具有法律约束力的文书</w:t>
      </w:r>
      <w:r w:rsidRPr="009F1D3E">
        <w:rPr>
          <w:rFonts w:hint="eastAsia"/>
          <w:lang w:val="fr-CH"/>
        </w:rPr>
        <w:t>，</w:t>
      </w:r>
      <w:r w:rsidRPr="009F1D3E">
        <w:rPr>
          <w:rFonts w:hint="eastAsia"/>
        </w:rPr>
        <w:t>以监管、监测和监督私营军事和安保公司的活动</w:t>
      </w:r>
      <w:r w:rsidRPr="009F1D3E">
        <w:rPr>
          <w:rFonts w:hint="eastAsia"/>
          <w:lang w:val="fr-CH"/>
        </w:rPr>
        <w:t>，</w:t>
      </w:r>
      <w:r w:rsidRPr="009F1D3E">
        <w:rPr>
          <w:rFonts w:hint="eastAsia"/>
        </w:rPr>
        <w:t>包括追究这类公司的责任。</w:t>
      </w:r>
    </w:p>
    <w:p w:rsidR="009F1D3E" w:rsidRPr="009F1D3E" w:rsidRDefault="009F1D3E" w:rsidP="009F1D3E">
      <w:pPr>
        <w:pStyle w:val="SingleTxt"/>
      </w:pPr>
      <w:r w:rsidRPr="009F1D3E">
        <w:t>2</w:t>
      </w:r>
      <w:r w:rsidR="001D27F5" w:rsidRPr="001D27F5">
        <w:t xml:space="preserve">.  </w:t>
      </w:r>
      <w:r w:rsidRPr="009F1D3E">
        <w:rPr>
          <w:rFonts w:hint="eastAsia"/>
        </w:rPr>
        <w:t>人权理事会第</w:t>
      </w:r>
      <w:r w:rsidRPr="009F1D3E">
        <w:t>22/33</w:t>
      </w:r>
      <w:r w:rsidRPr="009F1D3E">
        <w:rPr>
          <w:rFonts w:hint="eastAsia"/>
        </w:rPr>
        <w:t>号决议决定，将不限成员名额政府间工作组的任务期限再延长两年，以便工作组开展并完成其第二届会议报告</w:t>
      </w:r>
      <w:r w:rsidRPr="009F1D3E">
        <w:t>(A/HRC/22/41)</w:t>
      </w:r>
      <w:r w:rsidRPr="009F1D3E">
        <w:rPr>
          <w:rFonts w:hint="eastAsia"/>
        </w:rPr>
        <w:t>第</w:t>
      </w:r>
      <w:r w:rsidRPr="009F1D3E">
        <w:t>77</w:t>
      </w:r>
      <w:r w:rsidRPr="009F1D3E">
        <w:rPr>
          <w:rFonts w:hint="eastAsia"/>
        </w:rPr>
        <w:t>段中概述的任务。理事会还要求工作组在理事会第三十届会议上提交建议。建议基于工作组第三届和第四届会议的讨论，载于后文第五节。</w:t>
      </w:r>
    </w:p>
    <w:p w:rsidR="009F1D3E" w:rsidRPr="009F1D3E" w:rsidRDefault="009F1D3E" w:rsidP="009F1D3E">
      <w:pPr>
        <w:pStyle w:val="SingleTxt"/>
      </w:pPr>
      <w:r w:rsidRPr="009F1D3E">
        <w:t>3</w:t>
      </w:r>
      <w:r w:rsidR="001D27F5" w:rsidRPr="001D27F5">
        <w:t xml:space="preserve">.  </w:t>
      </w:r>
      <w:r w:rsidRPr="009F1D3E">
        <w:t>2015</w:t>
      </w:r>
      <w:r w:rsidRPr="009F1D3E">
        <w:rPr>
          <w:rFonts w:hint="eastAsia"/>
        </w:rPr>
        <w:t>年</w:t>
      </w:r>
      <w:r w:rsidRPr="009F1D3E">
        <w:t>3</w:t>
      </w:r>
      <w:r w:rsidRPr="009F1D3E">
        <w:rPr>
          <w:rFonts w:hint="eastAsia"/>
        </w:rPr>
        <w:t>月</w:t>
      </w:r>
      <w:r w:rsidRPr="009F1D3E">
        <w:t>26</w:t>
      </w:r>
      <w:r w:rsidRPr="009F1D3E">
        <w:rPr>
          <w:rFonts w:hint="eastAsia"/>
        </w:rPr>
        <w:t>日，人权理事会第</w:t>
      </w:r>
      <w:r w:rsidRPr="009F1D3E">
        <w:t>28/7</w:t>
      </w:r>
      <w:r w:rsidRPr="009F1D3E">
        <w:rPr>
          <w:rFonts w:hint="eastAsia"/>
        </w:rPr>
        <w:t>号决议决定将不限成员名额政府间工作组的任务期限再延长两年半，以便工作组开展并完成人权理事会第</w:t>
      </w:r>
      <w:r w:rsidRPr="009F1D3E">
        <w:t>22/33</w:t>
      </w:r>
      <w:r w:rsidRPr="009F1D3E">
        <w:rPr>
          <w:rFonts w:hint="eastAsia"/>
        </w:rPr>
        <w:t>号决议所载任务。</w:t>
      </w:r>
    </w:p>
    <w:p w:rsidR="009F1D3E" w:rsidRPr="009F1D3E" w:rsidRDefault="009F1D3E" w:rsidP="001C216D">
      <w:pPr>
        <w:pStyle w:val="SingleTxt"/>
      </w:pPr>
      <w:r w:rsidRPr="009F1D3E">
        <w:t>4</w:t>
      </w:r>
      <w:r w:rsidR="001D27F5" w:rsidRPr="001D27F5">
        <w:t xml:space="preserve">.  </w:t>
      </w:r>
      <w:r w:rsidRPr="009F1D3E">
        <w:rPr>
          <w:rFonts w:hint="eastAsia"/>
        </w:rPr>
        <w:t>不限成员名额政府间工作组已举行四届会议。</w:t>
      </w:r>
      <w:r w:rsidR="001C216D" w:rsidRPr="001C216D">
        <w:rPr>
          <w:rStyle w:val="a3"/>
        </w:rPr>
        <w:footnoteReference w:id="2"/>
      </w:r>
      <w:r w:rsidR="001C216D">
        <w:rPr>
          <w:rFonts w:hint="eastAsia"/>
        </w:rPr>
        <w:t xml:space="preserve"> </w:t>
      </w:r>
      <w:r w:rsidRPr="009F1D3E">
        <w:rPr>
          <w:rFonts w:hint="eastAsia"/>
        </w:rPr>
        <w:t>第四届会议于</w:t>
      </w:r>
      <w:r w:rsidRPr="009F1D3E">
        <w:t>2015</w:t>
      </w:r>
      <w:r w:rsidRPr="009F1D3E">
        <w:rPr>
          <w:rFonts w:hint="eastAsia"/>
        </w:rPr>
        <w:t>年</w:t>
      </w:r>
      <w:r w:rsidRPr="009F1D3E">
        <w:t>4</w:t>
      </w:r>
      <w:r w:rsidRPr="009F1D3E">
        <w:rPr>
          <w:rFonts w:hint="eastAsia"/>
        </w:rPr>
        <w:t>月</w:t>
      </w:r>
      <w:r w:rsidRPr="009F1D3E">
        <w:t>27</w:t>
      </w:r>
      <w:r w:rsidRPr="009F1D3E">
        <w:rPr>
          <w:rFonts w:hint="eastAsia"/>
        </w:rPr>
        <w:t>日至</w:t>
      </w:r>
      <w:r w:rsidRPr="009F1D3E">
        <w:t>5</w:t>
      </w:r>
      <w:r w:rsidRPr="009F1D3E">
        <w:rPr>
          <w:rFonts w:hint="eastAsia"/>
        </w:rPr>
        <w:t>月</w:t>
      </w:r>
      <w:r w:rsidRPr="009F1D3E">
        <w:t>1</w:t>
      </w:r>
      <w:r w:rsidRPr="009F1D3E">
        <w:rPr>
          <w:rFonts w:hint="eastAsia"/>
        </w:rPr>
        <w:t>日召开，法治、平等及不歧视处处长代表人权事务副高级专员宣布会议开幕。她着重谈到第三届会议以来取得的一些发展，包括人权理事会第</w:t>
      </w:r>
      <w:r w:rsidRPr="009F1D3E">
        <w:t>26/9</w:t>
      </w:r>
      <w:r w:rsidRPr="009F1D3E">
        <w:rPr>
          <w:rFonts w:hint="eastAsia"/>
        </w:rPr>
        <w:t>号决议设立了一个跨国公司和其他工商企业与人权的关系问题不限成员名额政府间工作组。她还表示联合国人权事务高级专员办事处</w:t>
      </w:r>
      <w:r w:rsidRPr="009F1D3E">
        <w:t>(</w:t>
      </w:r>
      <w:r w:rsidRPr="009F1D3E">
        <w:rPr>
          <w:rFonts w:hint="eastAsia"/>
        </w:rPr>
        <w:t>人权高专办</w:t>
      </w:r>
      <w:r w:rsidRPr="009F1D3E">
        <w:t>)</w:t>
      </w:r>
      <w:r w:rsidRPr="009F1D3E">
        <w:rPr>
          <w:rFonts w:hint="eastAsia"/>
        </w:rPr>
        <w:t>不久将</w:t>
      </w:r>
      <w:r w:rsidRPr="009F1D3E">
        <w:t>(</w:t>
      </w:r>
      <w:r w:rsidRPr="009F1D3E">
        <w:rPr>
          <w:rFonts w:hint="eastAsia"/>
        </w:rPr>
        <w:t>根据理事会第</w:t>
      </w:r>
      <w:r w:rsidRPr="009F1D3E">
        <w:t>26/22</w:t>
      </w:r>
      <w:r w:rsidRPr="009F1D3E">
        <w:rPr>
          <w:rFonts w:hint="eastAsia"/>
        </w:rPr>
        <w:t>号决议要求</w:t>
      </w:r>
      <w:r w:rsidRPr="009F1D3E">
        <w:t>)</w:t>
      </w:r>
      <w:r w:rsidRPr="009F1D3E">
        <w:rPr>
          <w:rFonts w:hint="eastAsia"/>
        </w:rPr>
        <w:t>发布关于改善与企业有关的侵犯人权行为受害者获取补救的途径的法律选项和实际措施的进展报告，</w:t>
      </w:r>
      <w:r w:rsidRPr="001C216D">
        <w:rPr>
          <w:rStyle w:val="a3"/>
        </w:rPr>
        <w:footnoteReference w:id="3"/>
      </w:r>
      <w:r w:rsidR="001C216D">
        <w:rPr>
          <w:rFonts w:hint="eastAsia"/>
        </w:rPr>
        <w:t xml:space="preserve"> </w:t>
      </w:r>
      <w:r w:rsidRPr="009F1D3E">
        <w:rPr>
          <w:rFonts w:hint="eastAsia"/>
        </w:rPr>
        <w:t>以便更有效地执行《工商企业与人权指导原则》</w:t>
      </w:r>
      <w:r w:rsidRPr="009F1D3E">
        <w:t>(</w:t>
      </w:r>
      <w:r w:rsidRPr="009F1D3E">
        <w:rPr>
          <w:rFonts w:hint="eastAsia"/>
        </w:rPr>
        <w:t>见</w:t>
      </w:r>
      <w:r w:rsidRPr="009F1D3E">
        <w:t>A/HRC/17/31</w:t>
      </w:r>
      <w:r w:rsidRPr="009F1D3E">
        <w:rPr>
          <w:rFonts w:hint="eastAsia"/>
        </w:rPr>
        <w:t>附件</w:t>
      </w:r>
      <w:r w:rsidRPr="009F1D3E">
        <w:t>)</w:t>
      </w:r>
      <w:r w:rsidRPr="009F1D3E">
        <w:rPr>
          <w:rFonts w:hint="eastAsia"/>
        </w:rPr>
        <w:t>。</w:t>
      </w:r>
      <w:r w:rsidRPr="001C216D">
        <w:rPr>
          <w:rStyle w:val="a3"/>
        </w:rPr>
        <w:footnoteReference w:id="4"/>
      </w:r>
    </w:p>
    <w:p w:rsidR="009F1D3E" w:rsidRPr="009F1D3E" w:rsidRDefault="009F1D3E" w:rsidP="009F1D3E">
      <w:pPr>
        <w:pStyle w:val="SingleTxt"/>
      </w:pPr>
      <w:r w:rsidRPr="009F1D3E">
        <w:t>5</w:t>
      </w:r>
      <w:r w:rsidR="001D27F5" w:rsidRPr="001D27F5">
        <w:t xml:space="preserve">.  </w:t>
      </w:r>
      <w:r w:rsidRPr="009F1D3E">
        <w:rPr>
          <w:rFonts w:hint="eastAsia"/>
        </w:rPr>
        <w:t>人权事务副高级专员强调，正如《工商企业与人权指导原则》规定的，私营军事和安保公司有责任尊重人权。这可能包括执行雇员培训程序、建立涉嫌侵犯人权案件的投诉程序、进行定期监测，以确保充分监督、立即停止侵权并追究侵权者责任。如果发生侵权案件，各国有责任确保将案件移交有关部门进行调查、起诉和赔偿。副高级专员从人权角度强调，必须确保私营军事和安保公司</w:t>
      </w:r>
      <w:r w:rsidRPr="009F1D3E">
        <w:t>(</w:t>
      </w:r>
      <w:r w:rsidRPr="009F1D3E">
        <w:rPr>
          <w:rFonts w:hint="eastAsia"/>
        </w:rPr>
        <w:t>包括跨国运营的此类公司</w:t>
      </w:r>
      <w:r w:rsidRPr="009F1D3E">
        <w:t>)</w:t>
      </w:r>
      <w:r w:rsidRPr="009F1D3E">
        <w:rPr>
          <w:rFonts w:hint="eastAsia"/>
        </w:rPr>
        <w:t>不存在保护缺口和免罚权。</w:t>
      </w:r>
    </w:p>
    <w:p w:rsidR="009F1D3E" w:rsidRPr="009F1D3E" w:rsidRDefault="009F1D3E" w:rsidP="009F1D3E">
      <w:pPr>
        <w:pStyle w:val="SingleTxt"/>
      </w:pPr>
      <w:r w:rsidRPr="009F1D3E">
        <w:t>6</w:t>
      </w:r>
      <w:r w:rsidR="001D27F5" w:rsidRPr="001D27F5">
        <w:t xml:space="preserve">.  </w:t>
      </w:r>
      <w:r w:rsidRPr="009F1D3E">
        <w:rPr>
          <w:rFonts w:hint="eastAsia"/>
        </w:rPr>
        <w:t>副高级专员指出，对</w:t>
      </w:r>
      <w:r w:rsidRPr="009F1D3E">
        <w:t>2007</w:t>
      </w:r>
      <w:r w:rsidRPr="009F1D3E">
        <w:rPr>
          <w:rFonts w:hint="eastAsia"/>
        </w:rPr>
        <w:t>年杀害</w:t>
      </w:r>
      <w:r w:rsidRPr="009F1D3E">
        <w:t>14</w:t>
      </w:r>
      <w:r w:rsidRPr="009F1D3E">
        <w:rPr>
          <w:rFonts w:hint="eastAsia"/>
        </w:rPr>
        <w:t>名伊拉克平民的</w:t>
      </w:r>
      <w:r w:rsidRPr="009F1D3E">
        <w:t>4</w:t>
      </w:r>
      <w:r w:rsidRPr="009F1D3E">
        <w:rPr>
          <w:rFonts w:hint="eastAsia"/>
        </w:rPr>
        <w:t>名黑水公司承包人员的起诉以及美国联邦法官最近的判决发出强烈信号，说明私营军事和安保公司实施的侵犯人权行为总应得到惩罚。然而，雇佣军问题工作组</w:t>
      </w:r>
      <w:r w:rsidRPr="009F1D3E">
        <w:t>2015</w:t>
      </w:r>
      <w:r w:rsidRPr="009F1D3E">
        <w:rPr>
          <w:rFonts w:hint="eastAsia"/>
        </w:rPr>
        <w:t>年</w:t>
      </w:r>
      <w:r w:rsidRPr="009F1D3E">
        <w:t>4</w:t>
      </w:r>
      <w:r w:rsidRPr="009F1D3E">
        <w:rPr>
          <w:rFonts w:hint="eastAsia"/>
        </w:rPr>
        <w:t>月</w:t>
      </w:r>
      <w:r w:rsidRPr="009F1D3E">
        <w:t>14</w:t>
      </w:r>
      <w:r w:rsidRPr="009F1D3E">
        <w:rPr>
          <w:rFonts w:hint="eastAsia"/>
        </w:rPr>
        <w:t>日在其新闻</w:t>
      </w:r>
      <w:r w:rsidRPr="001D27F5">
        <w:rPr>
          <w:rFonts w:hint="eastAsia"/>
          <w:spacing w:val="-2"/>
        </w:rPr>
        <w:t>稿中警告说：“正义在这起案件中得到了伸张，但还必须在全球范围内得到保障。”</w:t>
      </w:r>
      <w:r w:rsidRPr="001D27F5">
        <w:rPr>
          <w:rStyle w:val="a3"/>
          <w:spacing w:val="-2"/>
        </w:rPr>
        <w:footnoteReference w:id="5"/>
      </w:r>
      <w:r w:rsidRPr="009F1D3E">
        <w:rPr>
          <w:rFonts w:hint="eastAsia"/>
        </w:rPr>
        <w:lastRenderedPageBreak/>
        <w:t>副高级专员指出，在审议可否拟订一个关于监管、监测和监督私营军事和安保公司活动的国际监管框架时，其他倡议也有意义。这些倡议包括《私营安保公司国际行为守则》和《蒙特勒文件</w:t>
      </w:r>
      <w:r w:rsidRPr="001C216D">
        <w:rPr>
          <w:rFonts w:hint="eastAsia"/>
          <w:spacing w:val="-50"/>
        </w:rPr>
        <w:t>―</w:t>
      </w:r>
      <w:r w:rsidRPr="009F1D3E">
        <w:rPr>
          <w:rFonts w:hint="eastAsia"/>
        </w:rPr>
        <w:t>―武装冲突期间各国关于私营军事和安保服务公司营业的相关国际法律义务和良好惯例》。这些文件寻求鼓励此类公司在武装冲突中时刻遵守国际人道主义法和人权法。</w:t>
      </w: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9F1D3E">
        <w:tab/>
      </w:r>
      <w:r w:rsidRPr="009F1D3E">
        <w:rPr>
          <w:rFonts w:hint="eastAsia"/>
        </w:rPr>
        <w:t>二</w:t>
      </w:r>
      <w:r w:rsidRPr="009F1D3E">
        <w:t>.</w:t>
      </w:r>
      <w:r w:rsidRPr="009F1D3E">
        <w:tab/>
      </w:r>
      <w:r w:rsidRPr="009F1D3E">
        <w:rPr>
          <w:rFonts w:hint="eastAsia"/>
        </w:rPr>
        <w:t>第四届会议的安排</w:t>
      </w: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9F1D3E">
        <w:tab/>
        <w:t>A.</w:t>
      </w:r>
      <w:r w:rsidRPr="009F1D3E">
        <w:tab/>
      </w:r>
      <w:r w:rsidRPr="009F1D3E">
        <w:rPr>
          <w:rFonts w:hint="eastAsia"/>
        </w:rPr>
        <w:t>选举主席兼报告员</w:t>
      </w: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SingleTxt"/>
      </w:pPr>
      <w:r w:rsidRPr="009F1D3E">
        <w:t>7</w:t>
      </w:r>
      <w:r w:rsidR="001D27F5" w:rsidRPr="001D27F5">
        <w:t xml:space="preserve">.  </w:t>
      </w:r>
      <w:r w:rsidRPr="009F1D3E">
        <w:rPr>
          <w:rFonts w:hint="eastAsia"/>
        </w:rPr>
        <w:t>在</w:t>
      </w:r>
      <w:r w:rsidRPr="009F1D3E">
        <w:t>2015</w:t>
      </w:r>
      <w:r w:rsidRPr="009F1D3E">
        <w:rPr>
          <w:rFonts w:hint="eastAsia"/>
        </w:rPr>
        <w:t>年</w:t>
      </w:r>
      <w:r w:rsidRPr="009F1D3E">
        <w:t>4</w:t>
      </w:r>
      <w:r w:rsidRPr="009F1D3E">
        <w:rPr>
          <w:rFonts w:hint="eastAsia"/>
        </w:rPr>
        <w:t>月</w:t>
      </w:r>
      <w:r w:rsidRPr="009F1D3E">
        <w:t>27</w:t>
      </w:r>
      <w:r w:rsidRPr="009F1D3E">
        <w:rPr>
          <w:rFonts w:hint="eastAsia"/>
        </w:rPr>
        <w:t>日的第一次会议上，工作组选举南非常驻代表</w:t>
      </w:r>
      <w:r w:rsidRPr="009F1D3E">
        <w:t>Abdul S. Minty</w:t>
      </w:r>
      <w:r w:rsidRPr="009F1D3E">
        <w:rPr>
          <w:rFonts w:hint="eastAsia"/>
        </w:rPr>
        <w:t>担任主席兼报告员。</w:t>
      </w: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9F1D3E">
        <w:tab/>
        <w:t>B.</w:t>
      </w:r>
      <w:r w:rsidRPr="009F1D3E">
        <w:tab/>
      </w:r>
      <w:r w:rsidRPr="009F1D3E">
        <w:rPr>
          <w:rFonts w:hint="eastAsia"/>
        </w:rPr>
        <w:t>出席情况</w:t>
      </w: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SingleTxt"/>
      </w:pPr>
      <w:r w:rsidRPr="009F1D3E">
        <w:t>8</w:t>
      </w:r>
      <w:r w:rsidR="001D27F5" w:rsidRPr="001D27F5">
        <w:t xml:space="preserve">.  </w:t>
      </w:r>
      <w:r w:rsidRPr="009F1D3E">
        <w:rPr>
          <w:rFonts w:hint="eastAsia"/>
        </w:rPr>
        <w:t>与会者名单见本报告附件一。不限成员名额政府间工作组根据人权理事会第</w:t>
      </w:r>
      <w:r w:rsidRPr="009F1D3E">
        <w:t>28/7</w:t>
      </w:r>
      <w:r w:rsidRPr="009F1D3E">
        <w:rPr>
          <w:rFonts w:hint="eastAsia"/>
        </w:rPr>
        <w:t>号决议邀请专家和相关利益攸关方参与其工作，包括雇佣军问题工作组主席兼报告员</w:t>
      </w:r>
      <w:r w:rsidRPr="009F1D3E">
        <w:t>Elżbieta Karska</w:t>
      </w:r>
      <w:r w:rsidRPr="009F1D3E">
        <w:rPr>
          <w:rFonts w:hint="eastAsia"/>
        </w:rPr>
        <w:t>；复杂环境中的安保集团董事</w:t>
      </w:r>
      <w:r w:rsidRPr="009F1D3E">
        <w:t>Paul Gibson</w:t>
      </w:r>
      <w:r w:rsidRPr="009F1D3E">
        <w:rPr>
          <w:rFonts w:hint="eastAsia"/>
        </w:rPr>
        <w:t>；比勒陀利亚大学国际法问题高级研究员</w:t>
      </w:r>
      <w:r w:rsidRPr="009F1D3E">
        <w:t>Stuart Casey-Maslen</w:t>
      </w:r>
      <w:r w:rsidRPr="009F1D3E">
        <w:rPr>
          <w:rFonts w:hint="eastAsia"/>
        </w:rPr>
        <w:t>；以及联合国主管安全和安保事务的副秘书长。</w:t>
      </w: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9F1D3E">
        <w:tab/>
        <w:t>C.</w:t>
      </w:r>
      <w:r w:rsidRPr="009F1D3E">
        <w:tab/>
      </w:r>
      <w:r w:rsidRPr="009F1D3E">
        <w:rPr>
          <w:rFonts w:hint="eastAsia"/>
          <w:szCs w:val="24"/>
        </w:rPr>
        <w:t>会议安排</w:t>
      </w: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SingleTxt"/>
      </w:pPr>
      <w:r w:rsidRPr="009F1D3E">
        <w:t>9</w:t>
      </w:r>
      <w:r w:rsidR="001D27F5" w:rsidRPr="001D27F5">
        <w:t xml:space="preserve">.  </w:t>
      </w:r>
      <w:r w:rsidRPr="009F1D3E">
        <w:rPr>
          <w:rFonts w:hint="eastAsia"/>
          <w:color w:val="000000"/>
        </w:rPr>
        <w:t>主席兼报告员在介绍性发言中回顾了</w:t>
      </w:r>
      <w:r w:rsidRPr="009F1D3E">
        <w:rPr>
          <w:rFonts w:hint="eastAsia"/>
        </w:rPr>
        <w:t>不限成员名额政府间工作组的任务。他指出，前几届会议讨论了有效监管私营军事和安保公司活动的一系列问题和挑战，重点包括现行立法和惯例，与此类活动有关的侵犯人权行为的责任追究问题，以及向受害者提供适当的援助和救济问题。他</w:t>
      </w:r>
      <w:r w:rsidRPr="009F1D3E">
        <w:rPr>
          <w:rFonts w:hint="eastAsia"/>
          <w:color w:val="000000"/>
        </w:rPr>
        <w:t>还回顾道，各代表团</w:t>
      </w:r>
      <w:r w:rsidRPr="009F1D3E">
        <w:rPr>
          <w:rFonts w:hint="eastAsia"/>
        </w:rPr>
        <w:t>重申了保护人权和确保对私营军事和安保公司相关活动造成的侵权行为追究责任这一共同目标，并回顾说各代表团普遍认为当前的监管框架存在空白，特别是只有极少的国家拥有针对此类公司的具体法律。</w:t>
      </w:r>
      <w:r w:rsidRPr="009F1D3E">
        <w:rPr>
          <w:rFonts w:hint="eastAsia"/>
          <w:color w:val="000000"/>
        </w:rPr>
        <w:t>主席兼报告员表示如何确保有效救济和责任追究仍是核心挑战之一，他强调了工作组在这方面的明确任务。</w:t>
      </w:r>
    </w:p>
    <w:p w:rsidR="009F1D3E" w:rsidRPr="009F1D3E" w:rsidRDefault="009F1D3E" w:rsidP="009F1D3E">
      <w:pPr>
        <w:pStyle w:val="SingleTxt"/>
        <w:rPr>
          <w:u w:val="single"/>
          <w:lang w:val="fr-CH"/>
        </w:rPr>
      </w:pPr>
      <w:r w:rsidRPr="009F1D3E">
        <w:rPr>
          <w:lang w:val="fr-CH"/>
        </w:rPr>
        <w:t>10</w:t>
      </w:r>
      <w:r w:rsidR="001D27F5" w:rsidRPr="001D27F5">
        <w:rPr>
          <w:lang w:val="fr-CH"/>
        </w:rPr>
        <w:t xml:space="preserve">.  </w:t>
      </w:r>
      <w:r w:rsidRPr="009F1D3E">
        <w:rPr>
          <w:rFonts w:hint="eastAsia"/>
        </w:rPr>
        <w:t>不限成员名额政府间工作组</w:t>
      </w:r>
      <w:r w:rsidRPr="009F1D3E">
        <w:t>2015</w:t>
      </w:r>
      <w:r w:rsidRPr="009F1D3E">
        <w:rPr>
          <w:rFonts w:hint="eastAsia"/>
        </w:rPr>
        <w:t>年</w:t>
      </w:r>
      <w:r w:rsidRPr="009F1D3E">
        <w:t>4</w:t>
      </w:r>
      <w:r w:rsidRPr="009F1D3E">
        <w:rPr>
          <w:rFonts w:hint="eastAsia"/>
        </w:rPr>
        <w:t>月</w:t>
      </w:r>
      <w:r w:rsidRPr="009F1D3E">
        <w:t>27</w:t>
      </w:r>
      <w:r w:rsidRPr="009F1D3E">
        <w:rPr>
          <w:rFonts w:hint="eastAsia"/>
        </w:rPr>
        <w:t>日的第一次会议通过了议程</w:t>
      </w:r>
      <w:r w:rsidRPr="009F1D3E">
        <w:t>(A/HRC/WG.10/4/1)</w:t>
      </w:r>
      <w:r w:rsidRPr="009F1D3E">
        <w:rPr>
          <w:rFonts w:hint="eastAsia"/>
        </w:rPr>
        <w:t>和工作方案。</w:t>
      </w:r>
    </w:p>
    <w:p w:rsidR="009F1D3E" w:rsidRPr="009F1D3E" w:rsidRDefault="009F1D3E" w:rsidP="009F1D3E">
      <w:pPr>
        <w:pStyle w:val="SingleTxt"/>
      </w:pPr>
      <w:r w:rsidRPr="009F1D3E">
        <w:t>11</w:t>
      </w:r>
      <w:r w:rsidR="001D27F5" w:rsidRPr="001D27F5">
        <w:t xml:space="preserve">.  </w:t>
      </w:r>
      <w:r w:rsidRPr="009F1D3E">
        <w:rPr>
          <w:rFonts w:hint="eastAsia"/>
        </w:rPr>
        <w:t>有一个代表团称赞</w:t>
      </w:r>
      <w:r w:rsidRPr="009F1D3E">
        <w:rPr>
          <w:rFonts w:hint="eastAsia"/>
          <w:color w:val="000000"/>
        </w:rPr>
        <w:t>主席兼报告员过去凝聚共识的才干</w:t>
      </w:r>
      <w:r w:rsidRPr="009F1D3E">
        <w:rPr>
          <w:rFonts w:hint="eastAsia"/>
          <w:color w:val="000000"/>
          <w:lang w:val="fr-CH"/>
        </w:rPr>
        <w:t>，</w:t>
      </w:r>
      <w:r w:rsidRPr="009F1D3E">
        <w:rPr>
          <w:rFonts w:hint="eastAsia"/>
          <w:color w:val="000000"/>
        </w:rPr>
        <w:t>并特别提到文件</w:t>
      </w:r>
      <w:r w:rsidRPr="009F1D3E">
        <w:rPr>
          <w:lang w:val="fr-CH"/>
        </w:rPr>
        <w:t>A/HRC/22/41</w:t>
      </w:r>
      <w:r w:rsidRPr="009F1D3E">
        <w:rPr>
          <w:rFonts w:hint="eastAsia"/>
        </w:rPr>
        <w:t>第</w:t>
      </w:r>
      <w:r w:rsidRPr="009F1D3E">
        <w:rPr>
          <w:lang w:val="fr-CH"/>
        </w:rPr>
        <w:t>77</w:t>
      </w:r>
      <w:r w:rsidRPr="009F1D3E">
        <w:rPr>
          <w:rFonts w:hint="eastAsia"/>
        </w:rPr>
        <w:t>段。但该代表团遗憾的是，人权理事会第二十二届和第二十八届会议上所介绍决议的某提案国无视达成共识的可能，反而选择分化理事会，来讨论</w:t>
      </w:r>
      <w:r w:rsidRPr="009F1D3E">
        <w:t>2011</w:t>
      </w:r>
      <w:r w:rsidRPr="009F1D3E">
        <w:rPr>
          <w:rFonts w:hint="eastAsia"/>
        </w:rPr>
        <w:t>年未曾达成共识的一项公约草案。该代表团指出了一个根本问题，即如果本来就打算用票决来削弱共识，为什么一些代表团还要在不限成员名额政府间工作组会议期间竭力凝聚共识？该代表团还感到遗憾的是，其邀请利益攸关方介绍《私</w:t>
      </w:r>
      <w:r w:rsidRPr="009F1D3E">
        <w:rPr>
          <w:rFonts w:hint="eastAsia"/>
        </w:rPr>
        <w:lastRenderedPageBreak/>
        <w:t>营安保公司国际行为守则》和《蒙特勒文件》最新进展的请求没有得到满足。一些代表团指出第</w:t>
      </w:r>
      <w:r w:rsidRPr="009F1D3E">
        <w:t>77</w:t>
      </w:r>
      <w:r w:rsidRPr="009F1D3E">
        <w:rPr>
          <w:rFonts w:hint="eastAsia"/>
        </w:rPr>
        <w:t>段提出了工作组的任务范围和继续合作的基础。</w:t>
      </w:r>
    </w:p>
    <w:p w:rsidR="009F1D3E" w:rsidRPr="009F1D3E" w:rsidRDefault="009F1D3E" w:rsidP="009F1D3E">
      <w:pPr>
        <w:pStyle w:val="SingleTxt"/>
      </w:pPr>
      <w:r w:rsidRPr="009F1D3E">
        <w:t>12</w:t>
      </w:r>
      <w:r w:rsidR="001D27F5" w:rsidRPr="001D27F5">
        <w:t xml:space="preserve">.  </w:t>
      </w:r>
      <w:r w:rsidRPr="009F1D3E">
        <w:rPr>
          <w:rFonts w:hint="eastAsia"/>
        </w:rPr>
        <w:t>一些代表团强调需要使受害者享受有效救济包括赔偿的权利；强调针对私营军事和安保公司的活动，除了采取国内措施外，还需要制定有法律约束力的国际文书。这些代表团表示，此类公司具有特殊性，不应准其监管自身行为，而仅可由独立机构监管。代表团认为现行规范框架，包括《国际行为守则》和《蒙特勒文件》，没有注意到问题的复杂性，也没有建立适当的机制用于追究责任、为受害者提供有效救济，以及监管、监测和监督此类实体及其工作人员。一些代表团建议不限成员名额政府间工作组在第四届会议期间开始讨论具有法律约束力文书的具体要点。</w:t>
      </w:r>
    </w:p>
    <w:p w:rsidR="009F1D3E" w:rsidRPr="009F1D3E" w:rsidRDefault="009F1D3E" w:rsidP="009F1D3E">
      <w:pPr>
        <w:pStyle w:val="SingleTxt"/>
      </w:pPr>
      <w:r w:rsidRPr="009F1D3E">
        <w:t>13</w:t>
      </w:r>
      <w:r w:rsidR="001D27F5" w:rsidRPr="001D27F5">
        <w:t xml:space="preserve">.  </w:t>
      </w:r>
      <w:r w:rsidRPr="009F1D3E">
        <w:rPr>
          <w:rFonts w:hint="eastAsia"/>
        </w:rPr>
        <w:t>对此，巴基斯坦指出已经提交了潜在文书的要点草案，该草案基于各项人权文书、《蒙特勒文件》和《国际行为守则》以及雇佣军问题工作组准备的草案。</w:t>
      </w:r>
      <w:r w:rsidRPr="001C216D">
        <w:rPr>
          <w:rStyle w:val="a3"/>
        </w:rPr>
        <w:footnoteReference w:id="6"/>
      </w:r>
      <w:r w:rsidR="001D27F5">
        <w:rPr>
          <w:rFonts w:hint="eastAsia"/>
        </w:rPr>
        <w:t xml:space="preserve"> </w:t>
      </w:r>
      <w:r w:rsidRPr="009F1D3E">
        <w:rPr>
          <w:rFonts w:hint="eastAsia"/>
        </w:rPr>
        <w:t>巴基斯坦代表团敦促主席兼报告员介绍基于上述要点和会上讨论的草案案文，供各国在下届会议之前审议。南非提议在国际法中应制定规范，以便</w:t>
      </w:r>
      <w:r w:rsidR="008B012D">
        <w:rPr>
          <w:rFonts w:hint="eastAsia"/>
        </w:rPr>
        <w:t xml:space="preserve"> </w:t>
      </w:r>
      <w:r w:rsidRPr="009F1D3E">
        <w:t>(a)</w:t>
      </w:r>
      <w:r w:rsidR="001D27F5">
        <w:rPr>
          <w:rFonts w:hint="eastAsia"/>
        </w:rPr>
        <w:t xml:space="preserve"> </w:t>
      </w:r>
      <w:r w:rsidRPr="009F1D3E">
        <w:rPr>
          <w:rFonts w:hint="eastAsia"/>
        </w:rPr>
        <w:t>界定私营军事和安保公司；</w:t>
      </w:r>
      <w:r w:rsidRPr="009F1D3E">
        <w:t>(b)</w:t>
      </w:r>
      <w:r w:rsidR="001D27F5">
        <w:rPr>
          <w:rFonts w:hint="eastAsia"/>
        </w:rPr>
        <w:t xml:space="preserve"> </w:t>
      </w:r>
      <w:r w:rsidRPr="009F1D3E">
        <w:rPr>
          <w:rFonts w:hint="eastAsia"/>
        </w:rPr>
        <w:t>根据国际人道主义法和国际人权法追究此类公司责任。新的文书应用于补充国家和区域机制，尤其在打击有罪不罚行为和实施有效惩罚方面。新文书还应包含针对侵权案件的追索机制。此类机制还将包括一个监管、监督和监测私营军事和安保公司的委员会，一个调查程序和投诉程序，以及私营军事和安保公司遵守国际人权法和人道主义法新规范和新标准的报告机制。</w:t>
      </w:r>
    </w:p>
    <w:p w:rsidR="009F1D3E" w:rsidRPr="009F1D3E" w:rsidRDefault="009F1D3E" w:rsidP="009F1D3E">
      <w:pPr>
        <w:pStyle w:val="SingleTxt"/>
      </w:pPr>
      <w:r w:rsidRPr="009F1D3E">
        <w:t>14</w:t>
      </w:r>
      <w:r w:rsidR="001D27F5" w:rsidRPr="001D27F5">
        <w:t xml:space="preserve">.  </w:t>
      </w:r>
      <w:r w:rsidRPr="009F1D3E">
        <w:rPr>
          <w:rFonts w:hint="eastAsia"/>
        </w:rPr>
        <w:t>一些代表团还表示，国际监管须有有效的国内立法和政策与之相辅相成，使各国能调查和起诉侵犯国际人权法和人道主义法的行为。他们认为，作为第二步，是用有法律约束力的国际文书补充国内举措，填补责任追究、救济、许可和监督等方面的监管缺位。</w:t>
      </w: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9F1D3E">
        <w:tab/>
        <w:t>D.</w:t>
      </w:r>
      <w:r w:rsidRPr="009F1D3E">
        <w:tab/>
      </w:r>
      <w:r w:rsidRPr="009F1D3E">
        <w:rPr>
          <w:rFonts w:hint="eastAsia"/>
          <w:szCs w:val="24"/>
        </w:rPr>
        <w:t>一般性讨论</w:t>
      </w: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SingleTxt"/>
      </w:pPr>
      <w:r w:rsidRPr="009F1D3E">
        <w:t>15</w:t>
      </w:r>
      <w:r w:rsidR="001D27F5" w:rsidRPr="001D27F5">
        <w:t xml:space="preserve">.  </w:t>
      </w:r>
      <w:r w:rsidRPr="009F1D3E">
        <w:rPr>
          <w:rFonts w:hint="eastAsia"/>
        </w:rPr>
        <w:t>一些代表团介绍了《蒙特勒文件》和《国际行为守则》协会进程的最新进展。《蒙特勒文件》由</w:t>
      </w:r>
      <w:r w:rsidRPr="009F1D3E">
        <w:t>52</w:t>
      </w:r>
      <w:r w:rsidRPr="009F1D3E">
        <w:rPr>
          <w:rFonts w:hint="eastAsia"/>
        </w:rPr>
        <w:t>个国家和</w:t>
      </w:r>
      <w:r w:rsidRPr="009F1D3E">
        <w:t>3</w:t>
      </w:r>
      <w:r w:rsidRPr="009F1D3E">
        <w:rPr>
          <w:rFonts w:hint="eastAsia"/>
        </w:rPr>
        <w:t>个国际组织签署。该文件适用于在武装冲突期间运营的公司，回顾了依据国际人道主义法各国在武装冲突情形下的现有责任。蒙特勒文件论坛于</w:t>
      </w:r>
      <w:r w:rsidRPr="009F1D3E">
        <w:t>2014</w:t>
      </w:r>
      <w:r w:rsidRPr="009F1D3E">
        <w:rPr>
          <w:rFonts w:hint="eastAsia"/>
        </w:rPr>
        <w:t>年</w:t>
      </w:r>
      <w:r w:rsidRPr="009F1D3E">
        <w:t>12</w:t>
      </w:r>
      <w:r w:rsidRPr="009F1D3E">
        <w:rPr>
          <w:rFonts w:hint="eastAsia"/>
        </w:rPr>
        <w:t>月</w:t>
      </w:r>
      <w:r w:rsidRPr="009F1D3E">
        <w:t>16</w:t>
      </w:r>
      <w:r w:rsidRPr="009F1D3E">
        <w:rPr>
          <w:rFonts w:hint="eastAsia"/>
        </w:rPr>
        <w:t>日正式启动。一些代表团质疑《蒙特勒文件》的有效性，并提及“五年来的发展与机会：针对《蒙特勒文件》签字国的挑战和建议”中所表达的关切。</w:t>
      </w:r>
      <w:r w:rsidRPr="001C216D">
        <w:rPr>
          <w:rStyle w:val="a3"/>
        </w:rPr>
        <w:footnoteReference w:id="7"/>
      </w:r>
      <w:r w:rsidRPr="009F1D3E">
        <w:t xml:space="preserve"> </w:t>
      </w:r>
    </w:p>
    <w:p w:rsidR="009F1D3E" w:rsidRPr="009F1D3E" w:rsidRDefault="009F1D3E" w:rsidP="009F1D3E">
      <w:pPr>
        <w:pStyle w:val="SingleTxt"/>
      </w:pPr>
      <w:r w:rsidRPr="009F1D3E">
        <w:t>16</w:t>
      </w:r>
      <w:r w:rsidR="001D27F5" w:rsidRPr="001D27F5">
        <w:t xml:space="preserve">.  </w:t>
      </w:r>
      <w:r w:rsidRPr="009F1D3E">
        <w:rPr>
          <w:rFonts w:hint="eastAsia"/>
        </w:rPr>
        <w:t>一些代表团还提到《国际行为守则》协会最近的发展，该协会</w:t>
      </w:r>
      <w:r w:rsidRPr="009F1D3E">
        <w:t>2014</w:t>
      </w:r>
      <w:r w:rsidRPr="009F1D3E">
        <w:rPr>
          <w:rFonts w:hint="eastAsia"/>
        </w:rPr>
        <w:t>年</w:t>
      </w:r>
      <w:r w:rsidRPr="009F1D3E">
        <w:t>12</w:t>
      </w:r>
      <w:r w:rsidRPr="009F1D3E">
        <w:rPr>
          <w:rFonts w:hint="eastAsia"/>
        </w:rPr>
        <w:t>月召开了第一次年度全体会议。一些代表团指出，《国际行为守则》符合《工商企业与人权指导原则》，该协会也不是纯粹的自律组织，因为其理事会由国家、企业和社会团体共同组成。一些代表团表示该协会可以建立关于认证、监测和合规的监督机</w:t>
      </w:r>
      <w:r w:rsidRPr="009F1D3E">
        <w:rPr>
          <w:rFonts w:hint="eastAsia"/>
        </w:rPr>
        <w:lastRenderedPageBreak/>
        <w:t>制。一些代表团认为，《蒙特勒文件》和《国际行为守则》相互补充，再加上国内立法，证实不存在法律真空。</w:t>
      </w:r>
    </w:p>
    <w:p w:rsidR="009F1D3E" w:rsidRPr="009F1D3E" w:rsidRDefault="009F1D3E" w:rsidP="009F1D3E">
      <w:pPr>
        <w:pStyle w:val="SingleTxt"/>
      </w:pPr>
      <w:r w:rsidRPr="009F1D3E">
        <w:t>17</w:t>
      </w:r>
      <w:r w:rsidR="001D27F5" w:rsidRPr="001D27F5">
        <w:t xml:space="preserve">.  </w:t>
      </w:r>
      <w:r w:rsidRPr="009F1D3E">
        <w:rPr>
          <w:rFonts w:hint="eastAsia"/>
        </w:rPr>
        <w:t>一些代表团还提及国际标准化组织及其新的“私营安保运营管理制度：要求与指引”</w:t>
      </w:r>
      <w:r w:rsidRPr="009F1D3E">
        <w:t>(ISO 18788)</w:t>
      </w:r>
      <w:r w:rsidRPr="009F1D3E">
        <w:rPr>
          <w:rFonts w:hint="eastAsia"/>
        </w:rPr>
        <w:t>，</w:t>
      </w:r>
      <w:r w:rsidRPr="001C216D">
        <w:rPr>
          <w:rStyle w:val="a3"/>
        </w:rPr>
        <w:footnoteReference w:id="8"/>
      </w:r>
      <w:r w:rsidR="001D27F5">
        <w:rPr>
          <w:rFonts w:hint="eastAsia"/>
        </w:rPr>
        <w:t xml:space="preserve"> </w:t>
      </w:r>
      <w:r w:rsidRPr="009F1D3E">
        <w:rPr>
          <w:rFonts w:hint="eastAsia"/>
        </w:rPr>
        <w:t>该标准预计于</w:t>
      </w:r>
      <w:r w:rsidRPr="009F1D3E">
        <w:t>2015</w:t>
      </w:r>
      <w:r w:rsidRPr="009F1D3E">
        <w:rPr>
          <w:rFonts w:hint="eastAsia"/>
        </w:rPr>
        <w:t>年</w:t>
      </w:r>
      <w:r w:rsidRPr="009F1D3E">
        <w:t>6</w:t>
      </w:r>
      <w:r w:rsidRPr="009F1D3E">
        <w:rPr>
          <w:rFonts w:hint="eastAsia"/>
        </w:rPr>
        <w:t>月发布，其中吸收了《工商企业与人权指导原则》的相关要素。新的标准是对“私营安保公司运营质量管理制度：要求与指引”</w:t>
      </w:r>
      <w:r w:rsidRPr="009F1D3E">
        <w:t>(ANSI/ASIS PSC.1­2012)</w:t>
      </w:r>
      <w:r w:rsidRPr="009F1D3E">
        <w:rPr>
          <w:rFonts w:hint="eastAsia"/>
        </w:rPr>
        <w:t>的发展。有一个代表团提及了由人权高专办牵头、旨在改善与企业有关的侵权行为受害者获得救济途径的项目，该项目有可能找到有效方法在救济的获得方面取得进展。</w:t>
      </w: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r>
      <w:r w:rsidRPr="009F1D3E">
        <w:rPr>
          <w:rFonts w:hint="eastAsia"/>
        </w:rPr>
        <w:t>国家层面的发展</w:t>
      </w: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SingleTxt"/>
      </w:pPr>
      <w:r w:rsidRPr="009F1D3E">
        <w:t>18</w:t>
      </w:r>
      <w:r w:rsidR="001D27F5" w:rsidRPr="001D27F5">
        <w:t xml:space="preserve">.  </w:t>
      </w:r>
      <w:r w:rsidRPr="009F1D3E">
        <w:rPr>
          <w:rFonts w:hint="eastAsia"/>
        </w:rPr>
        <w:t>美利坚合众国着重强调，国务院要求投标承包其全球保护服务项目的企业是《国际行为守则》协会的合格会员，并确认遵守了</w:t>
      </w:r>
      <w:bookmarkStart w:id="3" w:name="OLE_LINK5"/>
      <w:bookmarkStart w:id="4" w:name="OLE_LINK6"/>
      <w:r w:rsidRPr="009F1D3E">
        <w:t>PSC 1­2012</w:t>
      </w:r>
      <w:bookmarkEnd w:id="3"/>
      <w:bookmarkEnd w:id="4"/>
      <w:r w:rsidRPr="009F1D3E">
        <w:rPr>
          <w:rFonts w:hint="eastAsia"/>
        </w:rPr>
        <w:t>的标准。美国代表团还提到可能根据《虚假陈述法》控告虚假声称遵守了必要标准的安保公司。该代表团进而提到国防部在几个独立的项目中与国际人道主义法研究所和联合国毒品和犯罪问题办公室合作，以帮助各国制定管理私营军事和安保公司使用武力的规则，支持《蒙特勒文件》的各项规定。美国代表团还提到最近对黑水公司</w:t>
      </w:r>
      <w:r w:rsidRPr="009F1D3E">
        <w:t>4</w:t>
      </w:r>
      <w:r w:rsidRPr="009F1D3E">
        <w:rPr>
          <w:rFonts w:hint="eastAsia"/>
        </w:rPr>
        <w:t>名承包人员的定罪，这显示了美国政府在承包人员暴力犯罪案件中寻求并取得正义的决心和能力。</w:t>
      </w:r>
    </w:p>
    <w:p w:rsidR="009F1D3E" w:rsidRPr="009F1D3E" w:rsidRDefault="009F1D3E" w:rsidP="009F1D3E">
      <w:pPr>
        <w:pStyle w:val="SingleTxt"/>
      </w:pPr>
      <w:r w:rsidRPr="009F1D3E">
        <w:t>19</w:t>
      </w:r>
      <w:r w:rsidR="001D27F5" w:rsidRPr="001D27F5">
        <w:t xml:space="preserve">.  </w:t>
      </w:r>
      <w:r w:rsidRPr="009F1D3E">
        <w:rPr>
          <w:rFonts w:hint="eastAsia"/>
        </w:rPr>
        <w:t>南非提及《外国军事援助管理法》</w:t>
      </w:r>
      <w:r w:rsidRPr="009F1D3E">
        <w:t>(1998</w:t>
      </w:r>
      <w:r w:rsidRPr="009F1D3E">
        <w:rPr>
          <w:rFonts w:hint="eastAsia"/>
        </w:rPr>
        <w:t>年第</w:t>
      </w:r>
      <w:r w:rsidRPr="009F1D3E">
        <w:t>15</w:t>
      </w:r>
      <w:r w:rsidRPr="009F1D3E">
        <w:rPr>
          <w:rFonts w:hint="eastAsia"/>
        </w:rPr>
        <w:t>号法</w:t>
      </w:r>
      <w:r w:rsidRPr="009F1D3E">
        <w:t>)</w:t>
      </w:r>
      <w:r w:rsidRPr="009F1D3E">
        <w:rPr>
          <w:rFonts w:hint="eastAsia"/>
        </w:rPr>
        <w:t>，该法管理“南非法人、公民、南非共和国永久居民对外提供军事援助的行为以及外国公民在南非境内提供军事援助的行为”。南非还表示，尽管执法机关一直寻求调查此类活动，但通常不成功，因为发生此类活动的国家不配合，而这些国家常常是参与《蒙特勒文件》和《国际行为守则》进程的国家。</w:t>
      </w:r>
    </w:p>
    <w:p w:rsidR="009F1D3E" w:rsidRPr="009F1D3E" w:rsidRDefault="009F1D3E" w:rsidP="009F1D3E">
      <w:pPr>
        <w:pStyle w:val="SingleTxt"/>
      </w:pPr>
      <w:r w:rsidRPr="009F1D3E">
        <w:t>20</w:t>
      </w:r>
      <w:r w:rsidR="001D27F5" w:rsidRPr="001D27F5">
        <w:t xml:space="preserve">.  </w:t>
      </w:r>
      <w:r w:rsidRPr="009F1D3E">
        <w:rPr>
          <w:rFonts w:hint="eastAsia"/>
        </w:rPr>
        <w:t>挪威提及针对在挪威领土内运营安保公司的《</w:t>
      </w:r>
      <w:r w:rsidRPr="009F1D3E">
        <w:t>2001</w:t>
      </w:r>
      <w:r w:rsidRPr="009F1D3E">
        <w:rPr>
          <w:rFonts w:hint="eastAsia"/>
        </w:rPr>
        <w:t>年法》。该法在</w:t>
      </w:r>
      <w:r w:rsidRPr="009F1D3E">
        <w:t>2011</w:t>
      </w:r>
      <w:r w:rsidRPr="009F1D3E">
        <w:rPr>
          <w:rFonts w:hint="eastAsia"/>
        </w:rPr>
        <w:t>年有重大修订。其宗旨是确保被私营安保公司人员处置者的权利；确保高服务质量；确保充分管控和监督此类业务；并确保此类公司在该法规定的范围内运营。挪威</w:t>
      </w:r>
      <w:r w:rsidRPr="009F1D3E">
        <w:t>2014</w:t>
      </w:r>
      <w:r w:rsidRPr="009F1D3E">
        <w:rPr>
          <w:rFonts w:hint="eastAsia"/>
        </w:rPr>
        <w:t>年初成为《国际行为守则》协会会员，相信该协会能发挥重要作用，以保证私营安保公司在复杂环境中遵守国际法，并改善监督和责任追究。</w:t>
      </w:r>
    </w:p>
    <w:p w:rsidR="009F1D3E" w:rsidRPr="009F1D3E" w:rsidRDefault="009F1D3E" w:rsidP="009F1D3E">
      <w:pPr>
        <w:pStyle w:val="SingleTxt"/>
        <w:rPr>
          <w:u w:val="single"/>
          <w:lang w:val="fr-CH"/>
        </w:rPr>
      </w:pPr>
      <w:r w:rsidRPr="009F1D3E">
        <w:rPr>
          <w:lang w:val="fr-CH"/>
        </w:rPr>
        <w:t>21</w:t>
      </w:r>
      <w:r w:rsidR="001D27F5" w:rsidRPr="001D27F5">
        <w:rPr>
          <w:lang w:val="fr-CH"/>
        </w:rPr>
        <w:t xml:space="preserve">.  </w:t>
      </w:r>
      <w:r w:rsidRPr="009F1D3E">
        <w:rPr>
          <w:rFonts w:hint="eastAsia"/>
        </w:rPr>
        <w:t>欧洲联盟回顾了自身的立场，即鉴于私营军事公司和私营安保公司活动范围广、种类多，应予以分别处理。关于追究责任和获得救济，欧洲联盟回顾了“布鲁塞尔一号条例”</w:t>
      </w:r>
      <w:r w:rsidRPr="009F1D3E">
        <w:t>(</w:t>
      </w:r>
      <w:r w:rsidRPr="009F1D3E">
        <w:rPr>
          <w:rFonts w:hint="eastAsia"/>
        </w:rPr>
        <w:t>修订版</w:t>
      </w:r>
      <w:r w:rsidRPr="009F1D3E">
        <w:t>)</w:t>
      </w:r>
      <w:r w:rsidRPr="009F1D3E">
        <w:rPr>
          <w:rFonts w:hint="eastAsia"/>
        </w:rPr>
        <w:t>中现行的实质性规定。欧洲联盟指出，各国和国际组织作为客户可以提高此类公司运营的标准。欧洲联盟表示欧盟与其成员国决心进一步考虑如何最好地利用《国际行为守则》，包括将其运用于采购过程。欧洲联盟还表示欧盟及其他各方已采取了诸多措施落实《工商企业与人权指导原则》，因为这些原则有助于防止和救济各个领域包括私营军事公司和私营安保公司实施的侵权行为。</w:t>
      </w:r>
    </w:p>
    <w:p w:rsidR="009F1D3E" w:rsidRPr="009F1D3E" w:rsidRDefault="009F1D3E" w:rsidP="009F1D3E">
      <w:pPr>
        <w:pStyle w:val="SingleTxt"/>
      </w:pPr>
      <w:r w:rsidRPr="009F1D3E">
        <w:lastRenderedPageBreak/>
        <w:t>22</w:t>
      </w:r>
      <w:r w:rsidR="001D27F5" w:rsidRPr="001D27F5">
        <w:t xml:space="preserve">.  </w:t>
      </w:r>
      <w:r w:rsidRPr="009F1D3E">
        <w:rPr>
          <w:rFonts w:hint="eastAsia"/>
        </w:rPr>
        <w:t>澳大利亚说该国是《蒙特勒文件》签字国，是《国际行为守则》协会的活跃会员，并参与制定了新标准。该国外交贸易部要求私营军事和安保公司必须签署《国际行为守则》，遵守《蒙特勒文件》的相关规定，才能提供特别服务。任何国际监管框架都应注重强化履行现行国际法，注重确保追究责任。包含国家立法和国际合作在内的多元做法是最有效的应对措施。</w:t>
      </w:r>
    </w:p>
    <w:p w:rsidR="009F1D3E" w:rsidRPr="009F1D3E" w:rsidRDefault="009F1D3E" w:rsidP="009F1D3E">
      <w:pPr>
        <w:pStyle w:val="SingleTxt"/>
      </w:pPr>
      <w:r w:rsidRPr="009F1D3E">
        <w:t>23</w:t>
      </w:r>
      <w:r w:rsidR="001D27F5" w:rsidRPr="001D27F5">
        <w:t xml:space="preserve">.  </w:t>
      </w:r>
      <w:r w:rsidRPr="009F1D3E">
        <w:rPr>
          <w:rFonts w:hint="eastAsia"/>
        </w:rPr>
        <w:t>大不列颠及北爱尔兰联合王国提及该国根据</w:t>
      </w:r>
      <w:r w:rsidRPr="009F1D3E">
        <w:t>2001</w:t>
      </w:r>
      <w:r w:rsidRPr="009F1D3E">
        <w:rPr>
          <w:rFonts w:hint="eastAsia"/>
        </w:rPr>
        <w:t>年《私营安保行业法》设立的安保行业管理委员会。委员会负责监管私营安保行业，包括对个体安保人员实行许可证制度，对安保公司实行自愿核准制度。此外，</w:t>
      </w:r>
      <w:r w:rsidRPr="009F1D3E">
        <w:t>2001</w:t>
      </w:r>
      <w:r w:rsidRPr="009F1D3E">
        <w:rPr>
          <w:rFonts w:hint="eastAsia"/>
        </w:rPr>
        <w:t>年《国际刑事法院法》规定了对英国公民在联合王国境内外实施某些犯罪进行起诉的管辖权。运输部还颁布了《挂联合王国国旗的船只在特殊情况下为抵御海盗威胁使用武装警卫的临时守则》。联合王国认可服务机构负责认可专业标准审核员，是国际认证论坛《多边相互承认协定》的签署方。</w:t>
      </w:r>
    </w:p>
    <w:p w:rsidR="009F1D3E" w:rsidRPr="009F1D3E" w:rsidRDefault="009F1D3E" w:rsidP="009F1D3E">
      <w:pPr>
        <w:pStyle w:val="SingleTxt"/>
      </w:pPr>
      <w:r w:rsidRPr="009F1D3E">
        <w:t>24</w:t>
      </w:r>
      <w:r w:rsidR="001D27F5" w:rsidRPr="001D27F5">
        <w:t xml:space="preserve">.  </w:t>
      </w:r>
      <w:r w:rsidRPr="009F1D3E">
        <w:rPr>
          <w:rFonts w:hint="eastAsia"/>
        </w:rPr>
        <w:t>瑞士提到其关于私营安保公司的新联邦法。该法于</w:t>
      </w:r>
      <w:r w:rsidRPr="009F1D3E">
        <w:t>2013</w:t>
      </w:r>
      <w:r w:rsidRPr="009F1D3E">
        <w:rPr>
          <w:rFonts w:hint="eastAsia"/>
        </w:rPr>
        <w:t>年</w:t>
      </w:r>
      <w:r w:rsidRPr="009F1D3E">
        <w:t>9</w:t>
      </w:r>
      <w:r w:rsidRPr="009F1D3E">
        <w:rPr>
          <w:rFonts w:hint="eastAsia"/>
        </w:rPr>
        <w:t>月通过，预计于</w:t>
      </w:r>
      <w:r w:rsidRPr="009F1D3E">
        <w:t>2015</w:t>
      </w:r>
      <w:r w:rsidRPr="009F1D3E">
        <w:rPr>
          <w:rFonts w:hint="eastAsia"/>
        </w:rPr>
        <w:t>年</w:t>
      </w:r>
      <w:r w:rsidRPr="009F1D3E">
        <w:t>9</w:t>
      </w:r>
      <w:r w:rsidRPr="009F1D3E">
        <w:rPr>
          <w:rFonts w:hint="eastAsia"/>
        </w:rPr>
        <w:t>月生效。该法将适用于公司和个人，他们或者从瑞士向国外提供安保服务，或者在瑞士提供与国外安保所提供安保服务相关的服务。该法还适用于在瑞士设立、对在国外活动的安保公司实施控制的公司，并禁止涉及直接参与敌对行动或严重侵犯人权的活动。</w:t>
      </w:r>
    </w:p>
    <w:p w:rsidR="009F1D3E" w:rsidRPr="009F1D3E" w:rsidRDefault="009F1D3E" w:rsidP="009F1D3E">
      <w:pPr>
        <w:pStyle w:val="SingleTxt"/>
      </w:pPr>
      <w:r w:rsidRPr="009F1D3E">
        <w:t>25</w:t>
      </w:r>
      <w:r w:rsidR="001D27F5" w:rsidRPr="001D27F5">
        <w:t xml:space="preserve">.  </w:t>
      </w:r>
      <w:r w:rsidRPr="009F1D3E">
        <w:rPr>
          <w:rFonts w:hint="eastAsia"/>
        </w:rPr>
        <w:t>俄罗斯联邦回顾道，其立法没有对私营军事和安保公司的治外的活动包括军事活动作出规定。这些职能只能由国家机关履行。鉴于全球发展趋势，俄罗斯联邦的法律和政治专家正在讨论拓展私营军事和安保公司活动以及外包某些国家职能的可取性问题。其中赞成的理由包括对其专业性、流动性、效果和效益的考量。俄罗斯联邦指出，采取任何此类措施都需遵守现行的国际人权法和国际人道主义法，并强调面临的挑战包括缺少国家对此类活动的管控，缺少救济措施和充分、有效的法律规范。</w:t>
      </w:r>
    </w:p>
    <w:p w:rsidR="009F1D3E" w:rsidRPr="009F1D3E" w:rsidRDefault="009F1D3E" w:rsidP="009F1D3E">
      <w:pPr>
        <w:pStyle w:val="SingleTxt"/>
      </w:pPr>
      <w:r w:rsidRPr="009F1D3E">
        <w:t>26</w:t>
      </w:r>
      <w:r w:rsidR="001D27F5" w:rsidRPr="001D27F5">
        <w:t xml:space="preserve">.  </w:t>
      </w:r>
      <w:r w:rsidRPr="009F1D3E">
        <w:rPr>
          <w:rFonts w:hint="eastAsia"/>
        </w:rPr>
        <w:t>主席兼报告员指出几个可以讨论的要点，比如各国对现行标准的执行情况，包括受害者的投诉程序、针对公司的案件以及案件结果。</w:t>
      </w:r>
    </w:p>
    <w:p w:rsidR="009F1D3E" w:rsidRPr="009F1D3E" w:rsidRDefault="009F1D3E" w:rsidP="009F1D3E">
      <w:pPr>
        <w:pStyle w:val="SingleTxt"/>
      </w:pPr>
      <w:r w:rsidRPr="009F1D3E">
        <w:t>27</w:t>
      </w:r>
      <w:r w:rsidR="001D27F5" w:rsidRPr="001D27F5">
        <w:t xml:space="preserve">.  </w:t>
      </w:r>
      <w:r w:rsidRPr="009F1D3E">
        <w:rPr>
          <w:rFonts w:hint="eastAsia"/>
        </w:rPr>
        <w:t>哥伦比亚法学家委员会提及人权事务委员会第</w:t>
      </w:r>
      <w:r w:rsidRPr="009F1D3E">
        <w:t>35</w:t>
      </w:r>
      <w:r w:rsidRPr="009F1D3E">
        <w:rPr>
          <w:rFonts w:hint="eastAsia"/>
        </w:rPr>
        <w:t>号一般性评论，其中包括如果缔约国授权或委托个人或实体行使拘捕或拘留权，则缔约国仍有责任遵守并确保被授权或委托者遵守《公民权利和政治权利国际公约》第</w:t>
      </w:r>
      <w:r w:rsidRPr="009F1D3E">
        <w:t>9</w:t>
      </w:r>
      <w:r w:rsidRPr="009F1D3E">
        <w:rPr>
          <w:rFonts w:hint="eastAsia"/>
        </w:rPr>
        <w:t>条的规定。</w:t>
      </w:r>
    </w:p>
    <w:p w:rsidR="009F1D3E" w:rsidRPr="009F1D3E" w:rsidRDefault="009F1D3E" w:rsidP="009F1D3E">
      <w:pPr>
        <w:pStyle w:val="SingleTxt"/>
      </w:pPr>
      <w:r w:rsidRPr="009F1D3E">
        <w:t>28</w:t>
      </w:r>
      <w:r w:rsidR="001D27F5" w:rsidRPr="001D27F5">
        <w:t xml:space="preserve">.  </w:t>
      </w:r>
      <w:r w:rsidRPr="009F1D3E">
        <w:rPr>
          <w:rFonts w:hint="eastAsia"/>
        </w:rPr>
        <w:t>《国际行为守则》协会执行董事</w:t>
      </w:r>
      <w:r w:rsidRPr="001C216D">
        <w:rPr>
          <w:rStyle w:val="a3"/>
        </w:rPr>
        <w:footnoteReference w:id="9"/>
      </w:r>
      <w:r w:rsidRPr="009F1D3E">
        <w:rPr>
          <w:rFonts w:hint="eastAsia"/>
        </w:rPr>
        <w:t>介绍了协会主要治理和监督职能的最新动态，指出协会理事会和协会大会即将审议一项认证程序草案。协会预期未来将在报告、监测和绩效评估功能方面取得长足发展，这个过程中将邀请广泛的利益攸关方参与。执行董事还谈到，私营安保公司的客户与协会进行了接触，商讨把拥有协会会员身</w:t>
      </w:r>
      <w:r w:rsidRPr="009F1D3E">
        <w:rPr>
          <w:rFonts w:hint="eastAsia"/>
        </w:rPr>
        <w:lastRenderedPageBreak/>
        <w:t>份定为与用户所签合同的必备条款以及国家</w:t>
      </w:r>
      <w:r w:rsidRPr="009F1D3E">
        <w:t>(</w:t>
      </w:r>
      <w:r w:rsidRPr="009F1D3E">
        <w:rPr>
          <w:rFonts w:hint="eastAsia"/>
        </w:rPr>
        <w:t>瑞士</w:t>
      </w:r>
      <w:r w:rsidRPr="009F1D3E">
        <w:t>)</w:t>
      </w:r>
      <w:r w:rsidRPr="009F1D3E">
        <w:rPr>
          <w:rFonts w:hint="eastAsia"/>
        </w:rPr>
        <w:t>立法中的授权标准。还有人提到美国国务院打算把拥有协会会员身份定为承包其全球保护服务项目的必要条件。</w:t>
      </w:r>
    </w:p>
    <w:p w:rsidR="009F1D3E" w:rsidRPr="009F1D3E" w:rsidRDefault="009F1D3E" w:rsidP="009F1D3E">
      <w:pPr>
        <w:pStyle w:val="SingleTxt"/>
      </w:pPr>
      <w:r w:rsidRPr="009F1D3E">
        <w:t>29</w:t>
      </w:r>
      <w:r w:rsidR="001D27F5" w:rsidRPr="001D27F5">
        <w:t xml:space="preserve">.  </w:t>
      </w:r>
      <w:r w:rsidRPr="009F1D3E">
        <w:rPr>
          <w:rFonts w:hint="eastAsia"/>
        </w:rPr>
        <w:t>第四届会议的第</w:t>
      </w:r>
      <w:r w:rsidRPr="009F1D3E">
        <w:t>2</w:t>
      </w:r>
      <w:r w:rsidRPr="009F1D3E">
        <w:rPr>
          <w:rFonts w:hint="eastAsia"/>
        </w:rPr>
        <w:t>次会议以互动对话结束。有一个代表团和主席兼报告员询问《国际行为守则》协会在调查投诉过程中确保追究责任、获得救济和透明性的能力。执行董事对此表示协会受制于其《章程》和会员</w:t>
      </w:r>
      <w:r w:rsidRPr="009F1D3E">
        <w:t>(</w:t>
      </w:r>
      <w:r w:rsidRPr="009F1D3E">
        <w:rPr>
          <w:rFonts w:hint="eastAsia"/>
        </w:rPr>
        <w:t>政府、企业和社会团体</w:t>
      </w:r>
      <w:r w:rsidRPr="009F1D3E">
        <w:t>)</w:t>
      </w:r>
      <w:r w:rsidRPr="009F1D3E">
        <w:rPr>
          <w:rFonts w:hint="eastAsia"/>
        </w:rPr>
        <w:t>赋予的权力。他还表示协会不可能取代国家立法和国家执法机构发挥作用，但肯定有能力从商业角度影响该行业。他总结说，尽管协会的投诉机制不如其认证机制先进，但是遵守国家和国际立法被视作一项基本责任。</w:t>
      </w: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9F1D3E">
        <w:tab/>
      </w:r>
      <w:r w:rsidRPr="009F1D3E">
        <w:rPr>
          <w:rFonts w:hint="eastAsia"/>
        </w:rPr>
        <w:t>三</w:t>
      </w:r>
      <w:r w:rsidRPr="009F1D3E">
        <w:t>.</w:t>
      </w:r>
      <w:r w:rsidRPr="009F1D3E">
        <w:tab/>
      </w:r>
      <w:r w:rsidRPr="009F1D3E">
        <w:rPr>
          <w:rFonts w:hint="eastAsia"/>
        </w:rPr>
        <w:t>关于具体专题的讨论</w:t>
      </w: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9F1D3E">
        <w:tab/>
        <w:t>A.</w:t>
      </w:r>
      <w:r w:rsidRPr="009F1D3E">
        <w:tab/>
      </w:r>
      <w:r w:rsidRPr="009F1D3E">
        <w:rPr>
          <w:rFonts w:hint="eastAsia"/>
        </w:rPr>
        <w:t>工作组主席关于以雇佣军为手段侵犯人权并阻挠行使民族自决权问题的实质性报告</w:t>
      </w: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SingleTxt"/>
      </w:pPr>
      <w:r w:rsidRPr="009F1D3E">
        <w:t>30</w:t>
      </w:r>
      <w:r w:rsidR="001D27F5" w:rsidRPr="001D27F5">
        <w:t xml:space="preserve">.  </w:t>
      </w:r>
      <w:r w:rsidRPr="009F1D3E">
        <w:t>Karska</w:t>
      </w:r>
      <w:r w:rsidRPr="009F1D3E">
        <w:rPr>
          <w:rFonts w:hint="eastAsia"/>
        </w:rPr>
        <w:t>女士在</w:t>
      </w:r>
      <w:r w:rsidRPr="009F1D3E">
        <w:t>2015</w:t>
      </w:r>
      <w:r w:rsidRPr="009F1D3E">
        <w:rPr>
          <w:rFonts w:hint="eastAsia"/>
        </w:rPr>
        <w:t>年</w:t>
      </w:r>
      <w:r w:rsidRPr="009F1D3E">
        <w:t>4</w:t>
      </w:r>
      <w:r w:rsidRPr="009F1D3E">
        <w:rPr>
          <w:rFonts w:hint="eastAsia"/>
        </w:rPr>
        <w:t>月</w:t>
      </w:r>
      <w:r w:rsidRPr="009F1D3E">
        <w:t>28</w:t>
      </w:r>
      <w:r w:rsidRPr="009F1D3E">
        <w:rPr>
          <w:rFonts w:hint="eastAsia"/>
        </w:rPr>
        <w:t>日的声明中说，雇佣军问题工作组进一步研究了中美洲和加勒比地区的</w:t>
      </w:r>
      <w:r w:rsidRPr="009F1D3E">
        <w:t>8</w:t>
      </w:r>
      <w:r w:rsidRPr="009F1D3E">
        <w:rPr>
          <w:rFonts w:hint="eastAsia"/>
        </w:rPr>
        <w:t>个国家、南美洲的</w:t>
      </w:r>
      <w:r w:rsidRPr="009F1D3E">
        <w:t>8</w:t>
      </w:r>
      <w:r w:rsidRPr="009F1D3E">
        <w:rPr>
          <w:rFonts w:hint="eastAsia"/>
        </w:rPr>
        <w:t>个国家和欧洲的</w:t>
      </w:r>
      <w:r w:rsidRPr="009F1D3E">
        <w:t>4</w:t>
      </w:r>
      <w:r w:rsidRPr="009F1D3E">
        <w:rPr>
          <w:rFonts w:hint="eastAsia"/>
        </w:rPr>
        <w:t>个国家关于私营</w:t>
      </w:r>
      <w:r w:rsidRPr="001D27F5">
        <w:rPr>
          <w:rFonts w:hint="eastAsia"/>
          <w:spacing w:val="-2"/>
        </w:rPr>
        <w:t>军事和安保公司的国内法律和法规</w:t>
      </w:r>
      <w:r w:rsidRPr="001D27F5">
        <w:rPr>
          <w:spacing w:val="-2"/>
        </w:rPr>
        <w:t>(A/HRC/30/34)</w:t>
      </w:r>
      <w:r w:rsidRPr="001D27F5">
        <w:rPr>
          <w:rFonts w:hint="eastAsia"/>
          <w:spacing w:val="-2"/>
        </w:rPr>
        <w:t>。</w:t>
      </w:r>
      <w:r w:rsidRPr="001D27F5">
        <w:rPr>
          <w:rStyle w:val="a3"/>
          <w:spacing w:val="-2"/>
        </w:rPr>
        <w:footnoteReference w:id="10"/>
      </w:r>
      <w:r w:rsidR="00275D16">
        <w:rPr>
          <w:rFonts w:hint="eastAsia"/>
          <w:spacing w:val="-2"/>
        </w:rPr>
        <w:t xml:space="preserve"> </w:t>
      </w:r>
      <w:r w:rsidRPr="001D27F5">
        <w:rPr>
          <w:rFonts w:hint="eastAsia"/>
          <w:spacing w:val="-2"/>
        </w:rPr>
        <w:t>另外</w:t>
      </w:r>
      <w:r w:rsidRPr="001D27F5">
        <w:rPr>
          <w:spacing w:val="-2"/>
        </w:rPr>
        <w:t>3</w:t>
      </w:r>
      <w:r w:rsidRPr="001D27F5">
        <w:rPr>
          <w:rFonts w:hint="eastAsia"/>
          <w:spacing w:val="-2"/>
        </w:rPr>
        <w:t>份报告已提交委员会。</w:t>
      </w:r>
      <w:r w:rsidRPr="001D27F5">
        <w:rPr>
          <w:rStyle w:val="a3"/>
          <w:spacing w:val="-2"/>
        </w:rPr>
        <w:footnoteReference w:id="11"/>
      </w:r>
      <w:r w:rsidRPr="009F1D3E">
        <w:rPr>
          <w:rFonts w:hint="eastAsia"/>
        </w:rPr>
        <w:t>工作组</w:t>
      </w:r>
      <w:r w:rsidRPr="009F1D3E">
        <w:t>2016</w:t>
      </w:r>
      <w:r w:rsidRPr="009F1D3E">
        <w:rPr>
          <w:rFonts w:hint="eastAsia"/>
        </w:rPr>
        <w:t>年提交委员会的报告将侧重东欧、北美和太平洋国家的国内立法。这些研究评估了关于私营军事和安保公司的现行国家立法及其在保护人权和促进对侵权行为追究责任方面的情况，并致力于确定共同点、良好做法以及可能存在的监管缺位。工作组将于</w:t>
      </w:r>
      <w:r w:rsidRPr="009F1D3E">
        <w:t>2016</w:t>
      </w:r>
      <w:r w:rsidRPr="009F1D3E">
        <w:rPr>
          <w:rFonts w:hint="eastAsia"/>
        </w:rPr>
        <w:t>年向联合国大会呈交一份全球分析。</w:t>
      </w:r>
    </w:p>
    <w:p w:rsidR="009F1D3E" w:rsidRPr="009F1D3E" w:rsidRDefault="009F1D3E" w:rsidP="009F1D3E">
      <w:pPr>
        <w:pStyle w:val="SingleTxt"/>
      </w:pPr>
      <w:r w:rsidRPr="009F1D3E">
        <w:t>31</w:t>
      </w:r>
      <w:r w:rsidR="001D27F5" w:rsidRPr="001D27F5">
        <w:t xml:space="preserve">.  </w:t>
      </w:r>
      <w:r w:rsidRPr="009F1D3E">
        <w:t>Karska</w:t>
      </w:r>
      <w:r w:rsidRPr="009F1D3E">
        <w:rPr>
          <w:rFonts w:hint="eastAsia"/>
        </w:rPr>
        <w:t>女士说工作组举办了两次专家会议并与利益攸关方协商了包括联合国使用私营军事和安保公司的问题。这些努力为工作组讨论能否制定关于监管此类公司的具有法律约束力的文书提供了材料。这些反思载入了雇佣军问题工作组编写的概念说明，以供不限成员名额政府间工作组在本届会议上审议。</w:t>
      </w:r>
      <w:r w:rsidRPr="001C216D">
        <w:rPr>
          <w:rStyle w:val="a3"/>
        </w:rPr>
        <w:footnoteReference w:id="12"/>
      </w:r>
    </w:p>
    <w:p w:rsidR="009F1D3E" w:rsidRPr="009F1D3E" w:rsidRDefault="009F1D3E" w:rsidP="0078624D">
      <w:pPr>
        <w:pStyle w:val="SingleTxt"/>
      </w:pPr>
      <w:r w:rsidRPr="009F1D3E">
        <w:t>32</w:t>
      </w:r>
      <w:r w:rsidR="001D27F5" w:rsidRPr="001D27F5">
        <w:t xml:space="preserve">.  </w:t>
      </w:r>
      <w:r w:rsidRPr="009F1D3E">
        <w:t>Karska</w:t>
      </w:r>
      <w:r w:rsidRPr="009F1D3E">
        <w:rPr>
          <w:rFonts w:hint="eastAsia"/>
        </w:rPr>
        <w:t>女士补充说，概念说明反映了政府官员、专家和社会团体代表的视角和经验，是工作组前成员广泛磋商的成果。潜在公约的草案初稿</w:t>
      </w:r>
      <w:r w:rsidRPr="009F1D3E">
        <w:t>(</w:t>
      </w:r>
      <w:r w:rsidRPr="009F1D3E">
        <w:rPr>
          <w:rFonts w:hint="eastAsia"/>
        </w:rPr>
        <w:t>见文件</w:t>
      </w:r>
      <w:r w:rsidRPr="009F1D3E">
        <w:t>A/HRC/15/25</w:t>
      </w:r>
      <w:r w:rsidRPr="009F1D3E">
        <w:rPr>
          <w:rFonts w:hint="eastAsia"/>
        </w:rPr>
        <w:t>附件</w:t>
      </w:r>
      <w:r w:rsidRPr="009F1D3E">
        <w:t>)</w:t>
      </w:r>
      <w:r w:rsidRPr="009F1D3E">
        <w:rPr>
          <w:rFonts w:hint="eastAsia"/>
        </w:rPr>
        <w:t>是反思的基础，而概念说明也是上文所述对国家层面立法正在开展的研究的成果。此外，概念说明代表了工作组的承诺，即制定一个前后连贯、重点突出并切实可行的框架供不限成员名额政府间工作组审议。</w:t>
      </w:r>
    </w:p>
    <w:p w:rsidR="009F1D3E" w:rsidRPr="009F1D3E" w:rsidRDefault="009F1D3E" w:rsidP="009F1D3E">
      <w:pPr>
        <w:pStyle w:val="SingleTxt"/>
      </w:pPr>
      <w:r w:rsidRPr="009F1D3E">
        <w:lastRenderedPageBreak/>
        <w:t>33</w:t>
      </w:r>
      <w:r w:rsidR="001D27F5" w:rsidRPr="001D27F5">
        <w:t xml:space="preserve">.  </w:t>
      </w:r>
      <w:r w:rsidRPr="009F1D3E">
        <w:rPr>
          <w:rFonts w:hint="eastAsia"/>
        </w:rPr>
        <w:t>为实现上述目标，雇佣军问题工作组将其主要关切提炼为以下八点：</w:t>
      </w:r>
    </w:p>
    <w:p w:rsidR="009F1D3E" w:rsidRPr="009F1D3E" w:rsidRDefault="009F1D3E" w:rsidP="009F1D3E">
      <w:pPr>
        <w:pStyle w:val="SingleTxt"/>
        <w:ind w:firstLine="431"/>
      </w:pPr>
      <w:r w:rsidRPr="009F1D3E">
        <w:t>(a)</w:t>
      </w:r>
      <w:r w:rsidRPr="009F1D3E">
        <w:tab/>
      </w:r>
      <w:r w:rsidRPr="009F1D3E">
        <w:rPr>
          <w:rFonts w:hint="eastAsia"/>
        </w:rPr>
        <w:t>工作组承认某些职能是国家的固有职能，即不论是否将该职能外包，国家都对其负有最终责任。国家的某些固有职能不能外包，包括在武装冲突中直接参与敌对行动和羁押、讯问战俘的职能，后者如</w:t>
      </w:r>
      <w:r w:rsidRPr="009F1D3E">
        <w:t>1949</w:t>
      </w:r>
      <w:r w:rsidRPr="009F1D3E">
        <w:rPr>
          <w:rFonts w:hint="eastAsia"/>
        </w:rPr>
        <w:t>年</w:t>
      </w:r>
      <w:r w:rsidRPr="009F1D3E">
        <w:t>8</w:t>
      </w:r>
      <w:r w:rsidRPr="009F1D3E">
        <w:rPr>
          <w:rFonts w:hint="eastAsia"/>
        </w:rPr>
        <w:t>月</w:t>
      </w:r>
      <w:r w:rsidRPr="009F1D3E">
        <w:t>12</w:t>
      </w:r>
      <w:r w:rsidRPr="009F1D3E">
        <w:rPr>
          <w:rFonts w:hint="eastAsia"/>
        </w:rPr>
        <w:t>日《关于战俘待遇之日内瓦公约》所定义。工作组提议将确认服务活动分类的建议纳入草案。这些分类的前提是识别出哪些活动由私人行为者承担时会增加侵权风险。这些分类还填补了仅适用于武装冲突的《蒙特勒文件》的空白。</w:t>
      </w:r>
    </w:p>
    <w:p w:rsidR="009F1D3E" w:rsidRPr="009F1D3E" w:rsidRDefault="009F1D3E" w:rsidP="009F1D3E">
      <w:pPr>
        <w:pStyle w:val="SingleTxt"/>
        <w:ind w:firstLine="431"/>
      </w:pPr>
      <w:r w:rsidRPr="009F1D3E">
        <w:t>(b)</w:t>
      </w:r>
      <w:r w:rsidRPr="009F1D3E">
        <w:tab/>
      </w:r>
      <w:r w:rsidRPr="009F1D3E">
        <w:rPr>
          <w:rFonts w:hint="eastAsia"/>
        </w:rPr>
        <w:t>政府间组织和各国都可成为公约缔约方。这点并不新鲜，但强化了对政府间组织的问责概念，并支持此类组织的发展趋势，即通过成为国际文书的缔约方，取得客观的国际法律人格。</w:t>
      </w:r>
    </w:p>
    <w:p w:rsidR="009F1D3E" w:rsidRPr="009F1D3E" w:rsidRDefault="009F1D3E" w:rsidP="009F1D3E">
      <w:pPr>
        <w:pStyle w:val="SingleTxt"/>
        <w:ind w:firstLine="431"/>
      </w:pPr>
      <w:r w:rsidRPr="009F1D3E">
        <w:t>(c)</w:t>
      </w:r>
      <w:r w:rsidRPr="009F1D3E">
        <w:tab/>
      </w:r>
      <w:r w:rsidRPr="009F1D3E">
        <w:rPr>
          <w:rFonts w:hint="eastAsia"/>
        </w:rPr>
        <w:t>工作组提出一条执行条款，由它将公约草案初稿中相关条款整合起来。该条款下的义务将适用于国内和国际企业以及向各国、政府间组织、非政府组织或企业客户提供的服务。</w:t>
      </w:r>
    </w:p>
    <w:p w:rsidR="009F1D3E" w:rsidRPr="009F1D3E" w:rsidRDefault="009F1D3E" w:rsidP="009F1D3E">
      <w:pPr>
        <w:pStyle w:val="SingleTxt"/>
        <w:ind w:firstLine="431"/>
      </w:pPr>
      <w:r w:rsidRPr="009F1D3E">
        <w:t>(d)</w:t>
      </w:r>
      <w:r w:rsidRPr="009F1D3E">
        <w:tab/>
      </w:r>
      <w:r w:rsidRPr="009F1D3E">
        <w:rPr>
          <w:rFonts w:hint="eastAsia"/>
        </w:rPr>
        <w:t>工作组提出了许可证的新定义，以之作为制定和执行标准的方式。</w:t>
      </w:r>
    </w:p>
    <w:p w:rsidR="009F1D3E" w:rsidRPr="009F1D3E" w:rsidRDefault="009F1D3E" w:rsidP="009F1D3E">
      <w:pPr>
        <w:pStyle w:val="SingleTxt"/>
        <w:ind w:firstLine="431"/>
      </w:pPr>
      <w:r w:rsidRPr="009F1D3E">
        <w:t>(e)</w:t>
      </w:r>
      <w:r w:rsidRPr="009F1D3E">
        <w:tab/>
      </w:r>
      <w:r w:rsidRPr="009F1D3E">
        <w:rPr>
          <w:rFonts w:hint="eastAsia"/>
        </w:rPr>
        <w:t>工作组提出一条涵盖五个重点领域的连贯的许可证条款，再次将公约草案初稿中相关要素整合起来。</w:t>
      </w:r>
    </w:p>
    <w:p w:rsidR="009F1D3E" w:rsidRPr="009F1D3E" w:rsidRDefault="009F1D3E" w:rsidP="009F1D3E">
      <w:pPr>
        <w:pStyle w:val="SingleTxt"/>
        <w:ind w:firstLine="431"/>
      </w:pPr>
      <w:r w:rsidRPr="009F1D3E">
        <w:t>(f)</w:t>
      </w:r>
      <w:r w:rsidRPr="009F1D3E">
        <w:tab/>
      </w:r>
      <w:r w:rsidRPr="009F1D3E">
        <w:rPr>
          <w:rFonts w:hint="eastAsia"/>
        </w:rPr>
        <w:t>注册应作为颁发许可证后的第二步进行。这一点在公约草案初稿的注册机制上更进一步，并将作为对相关行为者和活动的监测系统。</w:t>
      </w:r>
    </w:p>
    <w:p w:rsidR="009F1D3E" w:rsidRPr="009F1D3E" w:rsidRDefault="009F1D3E" w:rsidP="009F1D3E">
      <w:pPr>
        <w:pStyle w:val="SingleTxt"/>
        <w:ind w:firstLine="431"/>
      </w:pPr>
      <w:r w:rsidRPr="009F1D3E">
        <w:t>(g)</w:t>
      </w:r>
      <w:r w:rsidRPr="009F1D3E">
        <w:tab/>
      </w:r>
      <w:r w:rsidRPr="009F1D3E">
        <w:rPr>
          <w:rFonts w:hint="eastAsia"/>
        </w:rPr>
        <w:t>工作组引入了监督管辖权的新框架。新的草案旨在加强问责和治外条款，特别是涵盖安保行业运营经常所处的复杂环境。该框架按以下原则等级确定管辖权：主动属人管辖权，被动属人管辖权，属地原则，以及普遍管辖权。</w:t>
      </w:r>
    </w:p>
    <w:p w:rsidR="009F1D3E" w:rsidRPr="009F1D3E" w:rsidRDefault="009F1D3E" w:rsidP="009F1D3E">
      <w:pPr>
        <w:pStyle w:val="SingleTxt"/>
        <w:ind w:firstLine="431"/>
      </w:pPr>
      <w:r w:rsidRPr="009F1D3E">
        <w:t>(h)</w:t>
      </w:r>
      <w:r w:rsidRPr="009F1D3E">
        <w:tab/>
      </w:r>
      <w:r w:rsidRPr="009F1D3E">
        <w:rPr>
          <w:rFonts w:hint="eastAsia"/>
        </w:rPr>
        <w:t>工作组认为，为监督并确保受害者救济和赔偿设立专门机制至关重要。具体采用委员会、监察员或其他方式尚未决定，但任何能够定期有效且全面监测和调查并确保向受害者提供救济的机制都值得审议。</w:t>
      </w:r>
    </w:p>
    <w:p w:rsidR="009F1D3E" w:rsidRPr="009F1D3E" w:rsidRDefault="009F1D3E" w:rsidP="009F1D3E">
      <w:pPr>
        <w:pStyle w:val="SingleTxt"/>
        <w:rPr>
          <w:lang w:val="de-CH"/>
        </w:rPr>
      </w:pPr>
      <w:r w:rsidRPr="009F1D3E">
        <w:rPr>
          <w:lang w:val="de-CH"/>
        </w:rPr>
        <w:t>34</w:t>
      </w:r>
      <w:r w:rsidR="001D27F5" w:rsidRPr="001D27F5">
        <w:rPr>
          <w:lang w:val="de-CH"/>
        </w:rPr>
        <w:t xml:space="preserve">.  </w:t>
      </w:r>
      <w:r w:rsidRPr="009F1D3E">
        <w:rPr>
          <w:lang w:val="de-CH"/>
        </w:rPr>
        <w:t>Karska</w:t>
      </w:r>
      <w:r w:rsidRPr="009F1D3E">
        <w:rPr>
          <w:rFonts w:hint="eastAsia"/>
          <w:lang w:val="de-CH"/>
        </w:rPr>
        <w:t>女士最后表示希望新制定的主要原则将成为不限成员名额政府间工作组开展富有成果和建设性讨论的源泉，并为审议进程中的相互理解和一致立场奠定更坚实的基础。</w:t>
      </w:r>
    </w:p>
    <w:p w:rsidR="009F1D3E" w:rsidRPr="009F1D3E" w:rsidRDefault="009F1D3E" w:rsidP="009F1D3E">
      <w:pPr>
        <w:pStyle w:val="SingleTxt"/>
      </w:pPr>
      <w:r w:rsidRPr="009F1D3E">
        <w:t>35</w:t>
      </w:r>
      <w:r w:rsidR="001D27F5" w:rsidRPr="001D27F5">
        <w:t xml:space="preserve">.  </w:t>
      </w:r>
      <w:r w:rsidRPr="009F1D3E">
        <w:rPr>
          <w:rFonts w:hint="eastAsia"/>
        </w:rPr>
        <w:t>在随后的讨论中，一些代表团欢迎工作组编写的概念说明。有一个代表团表示，概念说明全面涵盖了有法律约束力文书中可能包含的要素，而正是为了制定这样的文书才组建了不限成员名额政府间工作组。该代表团还建议主席兼报告员整合所有提案，包括概念说明，供未来审议并作为未来工作的基础。此外，该代表团赞赏《国际行为守则》协会和瑞士政府有关《蒙特勒文件》的相关工作，并表示政府间工作组当前应全面整合这些努力。另一个代表团提议在政府间讨论该草案，而非仅在专家机构内部。</w:t>
      </w:r>
    </w:p>
    <w:p w:rsidR="009F1D3E" w:rsidRPr="009F1D3E" w:rsidRDefault="009F1D3E" w:rsidP="0078624D">
      <w:pPr>
        <w:pStyle w:val="SingleTxt"/>
      </w:pPr>
      <w:r w:rsidRPr="009F1D3E">
        <w:t>36</w:t>
      </w:r>
      <w:r w:rsidR="001D27F5" w:rsidRPr="001D27F5">
        <w:t xml:space="preserve">.  </w:t>
      </w:r>
      <w:r w:rsidRPr="009F1D3E">
        <w:rPr>
          <w:rFonts w:hint="eastAsia"/>
        </w:rPr>
        <w:t>有一个代表团指出，如果雇佣军问题工作组意在支持一个预设立场，即有法律约束力的文书是“确保充分保护人权的最佳办法”，而不去丰富能凸显其他选项优</w:t>
      </w:r>
      <w:r w:rsidRPr="009F1D3E">
        <w:rPr>
          <w:rFonts w:hint="eastAsia"/>
        </w:rPr>
        <w:lastRenderedPageBreak/>
        <w:t>势的论证，那么其研究关于私营军事和安保公司现行立法的工作可能会被削弱。该代表团对工作组进一步制定一项公约草案的计划表示关切，因为此举似乎越权，并有导致政府间进程讨论复杂化的风险。一些代表团表示不支持工作组制定的公约草案，因为它没有在不限成员名额政府间工作组首届会议上取得共识。他们回顾说不限成员名额政府间工作组的权限</w:t>
      </w:r>
      <w:r w:rsidRPr="009F1D3E">
        <w:t>(</w:t>
      </w:r>
      <w:r w:rsidRPr="009F1D3E">
        <w:rPr>
          <w:rFonts w:hint="eastAsia"/>
        </w:rPr>
        <w:t>见文件</w:t>
      </w:r>
      <w:r w:rsidRPr="009F1D3E">
        <w:t>A/HRC/22/41</w:t>
      </w:r>
      <w:r w:rsidRPr="009F1D3E">
        <w:rPr>
          <w:rFonts w:hint="eastAsia"/>
        </w:rPr>
        <w:t>第</w:t>
      </w:r>
      <w:r w:rsidRPr="009F1D3E">
        <w:t>77</w:t>
      </w:r>
      <w:r w:rsidRPr="009F1D3E">
        <w:rPr>
          <w:rFonts w:hint="eastAsia"/>
        </w:rPr>
        <w:t>段</w:t>
      </w:r>
      <w:r w:rsidRPr="009F1D3E">
        <w:t>)</w:t>
      </w:r>
      <w:r w:rsidRPr="009F1D3E">
        <w:rPr>
          <w:rFonts w:hint="eastAsia"/>
        </w:rPr>
        <w:t>被拓宽了。一些代表团重申，无必要订立一项公约，但是需要加强国内立法和执法，还需要考虑如何把《国际行为守则》和其他措施转化为实践。有一个代表团指出概念说明存在很大问题，因为它使讨论退回到</w:t>
      </w:r>
      <w:r w:rsidRPr="009F1D3E">
        <w:t>2011</w:t>
      </w:r>
      <w:r w:rsidRPr="009F1D3E">
        <w:rPr>
          <w:rFonts w:hint="eastAsia"/>
        </w:rPr>
        <w:t>年政府间工作组的首届会议。该代表团提议可探究其他选项，包括指引、可能的行动计划、示范法、良好做法和司法互助方案。</w:t>
      </w:r>
    </w:p>
    <w:p w:rsidR="009F1D3E" w:rsidRPr="009F1D3E" w:rsidRDefault="009F1D3E" w:rsidP="009F1D3E">
      <w:pPr>
        <w:pStyle w:val="SingleTxt"/>
      </w:pPr>
      <w:r w:rsidRPr="009F1D3E">
        <w:t>37</w:t>
      </w:r>
      <w:r w:rsidR="001D27F5" w:rsidRPr="001D27F5">
        <w:t xml:space="preserve">.  </w:t>
      </w:r>
      <w:r w:rsidRPr="009F1D3E">
        <w:rPr>
          <w:rFonts w:hint="eastAsia"/>
        </w:rPr>
        <w:t>哥伦比亚法学家委员会支持概念说明，称之为一个好的起点，但指出该说明与一套新的条文有关，而这些条文尚未起草出来，因此也无法对其作出恰当评论。</w:t>
      </w:r>
    </w:p>
    <w:p w:rsidR="009F1D3E" w:rsidRPr="009F1D3E" w:rsidRDefault="009F1D3E" w:rsidP="009F1D3E">
      <w:pPr>
        <w:pStyle w:val="SingleTxt"/>
      </w:pPr>
      <w:r w:rsidRPr="009F1D3E">
        <w:t>38</w:t>
      </w:r>
      <w:r w:rsidR="001D27F5" w:rsidRPr="001D27F5">
        <w:t xml:space="preserve">.  </w:t>
      </w:r>
      <w:r w:rsidRPr="009F1D3E">
        <w:t>Karska</w:t>
      </w:r>
      <w:r w:rsidRPr="009F1D3E">
        <w:rPr>
          <w:rFonts w:hint="eastAsia"/>
        </w:rPr>
        <w:t>女士回应各代表团的质疑说，工作组确信一项国际公约将是管理私营军事和安保公司问题的最佳办法。这并不排斥其他选项，包括指引、示范法和司法互助方案。工作组认为这些选项互为补充。国内法律仍然存在空白，工作组的分析未显示出在这方面有大的进展。因此，一项国际公约将是更好落实管控制度的有效机制。</w:t>
      </w:r>
      <w:r w:rsidRPr="009F1D3E">
        <w:t>Karska</w:t>
      </w:r>
      <w:r w:rsidRPr="009F1D3E">
        <w:rPr>
          <w:rFonts w:hint="eastAsia"/>
        </w:rPr>
        <w:t>女士强调说工作组欢迎各国所有关于其概念说明的评论和建议，因为工作组寻求在</w:t>
      </w:r>
      <w:r w:rsidRPr="009F1D3E">
        <w:t>2015</w:t>
      </w:r>
      <w:r w:rsidRPr="009F1D3E">
        <w:rPr>
          <w:rFonts w:hint="eastAsia"/>
        </w:rPr>
        <w:t>年年底前将提议的新公约草案定稿。对此，不限成员名额政府间工作组主席兼报告员提出，任何评论都应在</w:t>
      </w:r>
      <w:r w:rsidRPr="009F1D3E">
        <w:t>2015</w:t>
      </w:r>
      <w:r w:rsidRPr="009F1D3E">
        <w:rPr>
          <w:rFonts w:hint="eastAsia"/>
        </w:rPr>
        <w:t>年</w:t>
      </w:r>
      <w:r w:rsidRPr="009F1D3E">
        <w:t>5</w:t>
      </w:r>
      <w:r w:rsidRPr="009F1D3E">
        <w:rPr>
          <w:rFonts w:hint="eastAsia"/>
        </w:rPr>
        <w:t>月之前送交秘书处，以便转送雇佣军问题工作组。</w:t>
      </w:r>
    </w:p>
    <w:p w:rsidR="009F1D3E" w:rsidRPr="009F1D3E" w:rsidRDefault="009F1D3E" w:rsidP="009F1D3E">
      <w:pPr>
        <w:pStyle w:val="SingleTxt"/>
      </w:pPr>
      <w:r w:rsidRPr="009F1D3E">
        <w:t>39</w:t>
      </w:r>
      <w:r w:rsidR="001D27F5" w:rsidRPr="001D27F5">
        <w:t xml:space="preserve">.  </w:t>
      </w:r>
      <w:r w:rsidRPr="009F1D3E">
        <w:rPr>
          <w:rFonts w:hint="eastAsia"/>
        </w:rPr>
        <w:t>各代表团讨论了今后如何为不限成员名额政府间工作组的未来工作方案提出建议。有人指出，对于由雇佣军问题工作组制定并由政府间工作组</w:t>
      </w:r>
      <w:r w:rsidRPr="009F1D3E">
        <w:t>2011</w:t>
      </w:r>
      <w:r w:rsidRPr="009F1D3E">
        <w:rPr>
          <w:rFonts w:hint="eastAsia"/>
        </w:rPr>
        <w:t>年讨论的公约草案的任何后续讨论都未产生共识。有一个代表团表示不希望本届会议的建议提到概念说明或可否修订公约草案，但认可政府间工作组的报告将充分反映所有代表团和发言人所发表的意见。各代表团讨论了政府间工作组的任务。一个代表团说任务是研究制定一项新的文书，另一个代表团说其任务未明确要求起草一部有法律约束力的条约，而是要求审议制定一个国际规章框架的可能性。有一个代表团提到政府间工作组没有研究多个选项，反而是似乎试图讨论一项没有达成共识的草案。</w:t>
      </w: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9F1D3E">
        <w:tab/>
        <w:t>B.</w:t>
      </w:r>
      <w:r w:rsidRPr="009F1D3E">
        <w:tab/>
      </w:r>
      <w:r w:rsidRPr="009F1D3E">
        <w:rPr>
          <w:rFonts w:hint="eastAsia"/>
        </w:rPr>
        <w:t>与私营军事和安保公司代表的讨论</w:t>
      </w: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SingleTxt"/>
      </w:pPr>
      <w:r w:rsidRPr="009F1D3E">
        <w:t>40</w:t>
      </w:r>
      <w:r w:rsidR="001D27F5" w:rsidRPr="001D27F5">
        <w:t xml:space="preserve">.  </w:t>
      </w:r>
      <w:r w:rsidRPr="009F1D3E">
        <w:t>2015</w:t>
      </w:r>
      <w:r w:rsidRPr="009F1D3E">
        <w:rPr>
          <w:rFonts w:hint="eastAsia"/>
        </w:rPr>
        <w:t>年</w:t>
      </w:r>
      <w:r w:rsidRPr="009F1D3E">
        <w:t>4</w:t>
      </w:r>
      <w:r w:rsidRPr="009F1D3E">
        <w:rPr>
          <w:rFonts w:hint="eastAsia"/>
        </w:rPr>
        <w:t>月</w:t>
      </w:r>
      <w:r w:rsidRPr="009F1D3E">
        <w:t>28</w:t>
      </w:r>
      <w:r w:rsidRPr="009F1D3E">
        <w:rPr>
          <w:rFonts w:hint="eastAsia"/>
        </w:rPr>
        <w:t>日，复杂环境中的安保集团董事</w:t>
      </w:r>
      <w:r w:rsidRPr="009F1D3E">
        <w:t>Gibson</w:t>
      </w:r>
      <w:r w:rsidRPr="009F1D3E">
        <w:rPr>
          <w:rFonts w:hint="eastAsia"/>
        </w:rPr>
        <w:t>先生介绍了私营安保行业中负责任的公司如何利用标准和规则确保其运营是透明的、负责任的且是符合国际和国家立法包括人权法规定的。</w:t>
      </w:r>
    </w:p>
    <w:p w:rsidR="009F1D3E" w:rsidRPr="009F1D3E" w:rsidRDefault="009F1D3E" w:rsidP="009F1D3E">
      <w:pPr>
        <w:pStyle w:val="SingleTxt"/>
      </w:pPr>
      <w:r w:rsidRPr="009F1D3E">
        <w:t>41</w:t>
      </w:r>
      <w:r w:rsidR="001D27F5" w:rsidRPr="001D27F5">
        <w:t xml:space="preserve">.  </w:t>
      </w:r>
      <w:r w:rsidRPr="009F1D3E">
        <w:t>Gibson</w:t>
      </w:r>
      <w:r w:rsidRPr="009F1D3E">
        <w:rPr>
          <w:rFonts w:hint="eastAsia"/>
        </w:rPr>
        <w:t>先生首先着重谈到安保公司工作所处“复杂环境”的概念。他承认，迄今为止私营安保部门缺乏管理，还达不到国际公认标准，而且并非所有缺陷都得到了重视。但是，</w:t>
      </w:r>
      <w:r w:rsidRPr="009F1D3E">
        <w:t>Gibson</w:t>
      </w:r>
      <w:r w:rsidRPr="009F1D3E">
        <w:rPr>
          <w:rFonts w:hint="eastAsia"/>
        </w:rPr>
        <w:t>先生称他接触过的私营安保公司都明确接受标准和规则以确保自身运营适当、透明且合法。</w:t>
      </w:r>
    </w:p>
    <w:p w:rsidR="009F1D3E" w:rsidRPr="009F1D3E" w:rsidRDefault="009F1D3E" w:rsidP="009F1D3E">
      <w:pPr>
        <w:pStyle w:val="SingleTxt"/>
      </w:pPr>
      <w:r w:rsidRPr="009F1D3E">
        <w:t>42</w:t>
      </w:r>
      <w:r w:rsidR="001D27F5" w:rsidRPr="001D27F5">
        <w:t xml:space="preserve">.  </w:t>
      </w:r>
      <w:r w:rsidRPr="009F1D3E">
        <w:rPr>
          <w:rFonts w:hint="eastAsia"/>
        </w:rPr>
        <w:t>说到他所代表的公司，</w:t>
      </w:r>
      <w:r w:rsidRPr="009F1D3E">
        <w:t>Gibson</w:t>
      </w:r>
      <w:r w:rsidRPr="009F1D3E">
        <w:rPr>
          <w:rFonts w:hint="eastAsia"/>
        </w:rPr>
        <w:t>先生澄清这些公司不使用雇佣军。他称“雇佣军”这一说法是带有感情色彩的，暗指为取得经济利益而采取行动。那些公司并未</w:t>
      </w:r>
      <w:r w:rsidRPr="009F1D3E">
        <w:rPr>
          <w:rFonts w:hint="eastAsia"/>
        </w:rPr>
        <w:lastRenderedPageBreak/>
        <w:t>实施攻击性的军事行动，而是为客户提供各种风险管理和保护服务，且保护本质是防御性的。他表示武器几乎不开火，而是仅用于自卫。</w:t>
      </w:r>
    </w:p>
    <w:p w:rsidR="009F1D3E" w:rsidRPr="009F1D3E" w:rsidRDefault="009F1D3E" w:rsidP="009F1D3E">
      <w:pPr>
        <w:pStyle w:val="SingleTxt"/>
      </w:pPr>
      <w:r w:rsidRPr="009F1D3E">
        <w:t>43</w:t>
      </w:r>
      <w:r w:rsidR="001D27F5" w:rsidRPr="001D27F5">
        <w:t xml:space="preserve">.  </w:t>
      </w:r>
      <w:r w:rsidRPr="009F1D3E">
        <w:t>Gibson</w:t>
      </w:r>
      <w:r w:rsidRPr="009F1D3E">
        <w:rPr>
          <w:rFonts w:hint="eastAsia"/>
        </w:rPr>
        <w:t>先生接着概述了有关私营安保公司的各项自律倡议，包括《蒙特勒文件》和《国际行为守则》。他重点介绍了联合王国政府于</w:t>
      </w:r>
      <w:r w:rsidRPr="009F1D3E">
        <w:t>2013</w:t>
      </w:r>
      <w:r w:rsidRPr="009F1D3E">
        <w:rPr>
          <w:rFonts w:hint="eastAsia"/>
        </w:rPr>
        <w:t>年认可的</w:t>
      </w:r>
      <w:r w:rsidRPr="009F1D3E">
        <w:t>PSC­1</w:t>
      </w:r>
      <w:r w:rsidRPr="009F1D3E">
        <w:rPr>
          <w:rFonts w:hint="eastAsia"/>
        </w:rPr>
        <w:t>标准，并称正在按照该标准对英国的公司进行独立审核和认证。他回顾说该标准有望在</w:t>
      </w:r>
      <w:r w:rsidRPr="009F1D3E">
        <w:t>2015</w:t>
      </w:r>
      <w:r w:rsidRPr="009F1D3E">
        <w:rPr>
          <w:rFonts w:hint="eastAsia"/>
        </w:rPr>
        <w:t>年正式成为国际标准，名为</w:t>
      </w:r>
      <w:r w:rsidRPr="009F1D3E">
        <w:t>ISO 18788</w:t>
      </w:r>
      <w:r w:rsidRPr="009F1D3E">
        <w:rPr>
          <w:rFonts w:hint="eastAsia"/>
        </w:rPr>
        <w:t>。他提到复杂环境中的安保集团的正式成员必须证明自己在努力取得</w:t>
      </w:r>
      <w:r w:rsidRPr="009F1D3E">
        <w:t>PSC­1</w:t>
      </w:r>
      <w:r w:rsidRPr="009F1D3E">
        <w:rPr>
          <w:rFonts w:hint="eastAsia"/>
        </w:rPr>
        <w:t>标准的认证。</w:t>
      </w:r>
      <w:r w:rsidRPr="009F1D3E">
        <w:t>Gibson</w:t>
      </w:r>
      <w:r w:rsidRPr="009F1D3E">
        <w:rPr>
          <w:rFonts w:hint="eastAsia"/>
        </w:rPr>
        <w:t>先生还回顾了《国际行为守则》协会的核心职能，并说明了复杂环境中的安保集团与该协会的接触情况，包括鼓励其他组织制定连贯、透明且经济上可行的标准和监督机制。</w:t>
      </w:r>
      <w:r w:rsidRPr="009F1D3E">
        <w:t>Gibson</w:t>
      </w:r>
      <w:r w:rsidRPr="009F1D3E">
        <w:rPr>
          <w:rFonts w:hint="eastAsia"/>
        </w:rPr>
        <w:t>先生简要概括了海事部门监管方面的最近发展，他称</w:t>
      </w:r>
      <w:r w:rsidRPr="009F1D3E">
        <w:t>2015</w:t>
      </w:r>
      <w:r w:rsidRPr="009F1D3E">
        <w:rPr>
          <w:rFonts w:hint="eastAsia"/>
        </w:rPr>
        <w:t>年</w:t>
      </w:r>
      <w:r w:rsidRPr="009F1D3E">
        <w:t>3</w:t>
      </w:r>
      <w:r w:rsidRPr="009F1D3E">
        <w:rPr>
          <w:rFonts w:hint="eastAsia"/>
        </w:rPr>
        <w:t>月</w:t>
      </w:r>
      <w:r w:rsidRPr="009F1D3E">
        <w:t>ISO 28007</w:t>
      </w:r>
      <w:r w:rsidRPr="009F1D3E">
        <w:rPr>
          <w:rFonts w:hint="eastAsia"/>
        </w:rPr>
        <w:t>的发布改变了局面，为海上安保公司提供了有力且可审核的标准。</w:t>
      </w:r>
    </w:p>
    <w:p w:rsidR="009F1D3E" w:rsidRPr="009F1D3E" w:rsidRDefault="009F1D3E" w:rsidP="009F1D3E">
      <w:pPr>
        <w:pStyle w:val="SingleTxt"/>
      </w:pPr>
      <w:r w:rsidRPr="009F1D3E">
        <w:t>44</w:t>
      </w:r>
      <w:r w:rsidR="001D27F5" w:rsidRPr="001D27F5">
        <w:t xml:space="preserve">.  </w:t>
      </w:r>
      <w:r w:rsidRPr="009F1D3E">
        <w:t>Gibson</w:t>
      </w:r>
      <w:r w:rsidRPr="009F1D3E">
        <w:rPr>
          <w:rFonts w:hint="eastAsia"/>
        </w:rPr>
        <w:t>先生承认这些标准成功的关键在于找到独立的第三方认可机构，由它们确保声称遵守标准的公司所言为实且经得起审核。联合王国认可服务机构认可了</w:t>
      </w:r>
      <w:r w:rsidRPr="009F1D3E">
        <w:t>4</w:t>
      </w:r>
      <w:r w:rsidRPr="009F1D3E">
        <w:rPr>
          <w:rFonts w:hint="eastAsia"/>
        </w:rPr>
        <w:t>个认证机构，由它们对公司进行严格的第三方审核，按照</w:t>
      </w:r>
      <w:r w:rsidRPr="009F1D3E">
        <w:t>PSC­1</w:t>
      </w:r>
      <w:r w:rsidRPr="009F1D3E">
        <w:rPr>
          <w:rFonts w:hint="eastAsia"/>
        </w:rPr>
        <w:t>和</w:t>
      </w:r>
      <w:r w:rsidRPr="009F1D3E">
        <w:t>ISO 28007</w:t>
      </w:r>
      <w:r w:rsidRPr="009F1D3E">
        <w:rPr>
          <w:rFonts w:hint="eastAsia"/>
        </w:rPr>
        <w:t>标准颁发证书。例如，认证机构须评估某公司的人权影响评估被纳入管理过程的情况。为支持这些国际标准，复杂环境中的安保集团利用一个有公信力和受人尊重的国家机构“披露和限制服务机构”，建立起一个强化审查程序。</w:t>
      </w:r>
      <w:r w:rsidRPr="009F1D3E">
        <w:t>Gibson</w:t>
      </w:r>
      <w:r w:rsidRPr="009F1D3E">
        <w:rPr>
          <w:rFonts w:hint="eastAsia"/>
        </w:rPr>
        <w:t>先生还提到城市与百业集团制订了海上安保人员资质，其中纳入了</w:t>
      </w:r>
      <w:r w:rsidRPr="009F1D3E">
        <w:t>ISO 28007</w:t>
      </w:r>
      <w:r w:rsidRPr="009F1D3E">
        <w:rPr>
          <w:rFonts w:hint="eastAsia"/>
        </w:rPr>
        <w:t>要求的所有核心能力。他提到联合王国针对私营安保公司所用武器的出口、控制和处置出台了许可证制度。</w:t>
      </w:r>
    </w:p>
    <w:p w:rsidR="009F1D3E" w:rsidRPr="009F1D3E" w:rsidRDefault="009F1D3E" w:rsidP="009F1D3E">
      <w:pPr>
        <w:pStyle w:val="SingleTxt"/>
      </w:pPr>
      <w:r w:rsidRPr="009F1D3E">
        <w:t>45</w:t>
      </w:r>
      <w:r w:rsidR="001D27F5" w:rsidRPr="001D27F5">
        <w:t xml:space="preserve">.  </w:t>
      </w:r>
      <w:r w:rsidRPr="009F1D3E">
        <w:t>Gibson</w:t>
      </w:r>
      <w:r w:rsidRPr="009F1D3E">
        <w:rPr>
          <w:rFonts w:hint="eastAsia"/>
        </w:rPr>
        <w:t>先生还重点谈到，联合王国政府在处理影响该行业运作的问题上，包括对作为印度洋海上安保行动一大特色的浮动军械库持审慎态度，尽管可以理解，但该行业对此感到失望。</w:t>
      </w:r>
      <w:r w:rsidRPr="009F1D3E">
        <w:t>Gibson</w:t>
      </w:r>
      <w:r w:rsidRPr="009F1D3E">
        <w:rPr>
          <w:rFonts w:hint="eastAsia"/>
        </w:rPr>
        <w:t>先生指出，在持续的接触后，英国商务、创新和技能部宣布它将发放英国贸易执照，授权使用浮动军械库储存包括火器在内的管制装备。他说此举虽是重要一步，但还需继续努力促成浮动军械库在联合王国的旗帜下运作。他还称限制性火器立法目前阻碍了联合王国进行恰当的火器训练。</w:t>
      </w:r>
    </w:p>
    <w:p w:rsidR="009F1D3E" w:rsidRPr="009F1D3E" w:rsidRDefault="009F1D3E" w:rsidP="009F1D3E">
      <w:pPr>
        <w:pStyle w:val="SingleTxt"/>
        <w:rPr>
          <w:b/>
        </w:rPr>
      </w:pPr>
      <w:r w:rsidRPr="009F1D3E">
        <w:t>46</w:t>
      </w:r>
      <w:r w:rsidR="001D27F5" w:rsidRPr="001D27F5">
        <w:t xml:space="preserve">.  </w:t>
      </w:r>
      <w:r w:rsidRPr="009F1D3E">
        <w:rPr>
          <w:rFonts w:hint="eastAsia"/>
        </w:rPr>
        <w:t>最后，</w:t>
      </w:r>
      <w:r w:rsidRPr="009F1D3E">
        <w:t>Gibson</w:t>
      </w:r>
      <w:r w:rsidRPr="009F1D3E">
        <w:rPr>
          <w:rFonts w:hint="eastAsia"/>
        </w:rPr>
        <w:t>先生评论说西方国家国防开支减少而政治雄心没有相应减退，由此形成的战略赤字须由私营部门来填补。政府将不得不越来越多地把一些领域的项目外包给私营部门，而这些领域不久前还被视为军队的专属领域。他还回顾说私营安保公司以营利为目的，因此不应让加强监管产生的成本削弱公司竞争力，以免变相惩罚自愿守规的公司。他强调，人人有责任确保客户理解监管的重要性，认识到因此而产生的额外成本是值得接受的。</w:t>
      </w:r>
    </w:p>
    <w:p w:rsidR="009F1D3E" w:rsidRPr="009F1D3E" w:rsidRDefault="009F1D3E" w:rsidP="009F1D3E">
      <w:pPr>
        <w:pStyle w:val="SingleTxt"/>
      </w:pPr>
      <w:r w:rsidRPr="009F1D3E">
        <w:t>47</w:t>
      </w:r>
      <w:r w:rsidR="001D27F5" w:rsidRPr="001D27F5">
        <w:t xml:space="preserve">.  </w:t>
      </w:r>
      <w:r w:rsidRPr="009F1D3E">
        <w:rPr>
          <w:rFonts w:hint="eastAsia"/>
        </w:rPr>
        <w:t>一些代表团询问《国际行为守则》协会成为一个有效机制的可能性，以及不遵守相关法律的后果。对此，</w:t>
      </w:r>
      <w:r w:rsidRPr="009F1D3E">
        <w:t>Gibson</w:t>
      </w:r>
      <w:r w:rsidRPr="009F1D3E">
        <w:rPr>
          <w:rFonts w:hint="eastAsia"/>
        </w:rPr>
        <w:t>先生回应称协会仍处于运作的初期阶段，认证和监督之类的复杂问题仍在讨论之中。但他坚信协会内存在强烈共识，即将协会变成一个有“牙齿”的组织。协会代表同样回顾说协会有三大支柱，其中也包括国家和社会团体。大家一致认为协会必须建立有效的监督机制，必须有能力逐出不守规者，必须建立有效的投诉机制，包括提供救济。一些代表团澄清，自愿监管框架和请求救济途径不能取代应得到优先考虑的国家立法和监管，也不能取代刑事诉讼</w:t>
      </w:r>
      <w:r w:rsidRPr="009F1D3E">
        <w:t>(</w:t>
      </w:r>
      <w:r w:rsidRPr="009F1D3E">
        <w:rPr>
          <w:rFonts w:hint="eastAsia"/>
        </w:rPr>
        <w:t>如适用</w:t>
      </w:r>
      <w:r w:rsidRPr="009F1D3E">
        <w:t>)</w:t>
      </w:r>
      <w:r w:rsidRPr="009F1D3E">
        <w:rPr>
          <w:rFonts w:hint="eastAsia"/>
        </w:rPr>
        <w:t>。</w:t>
      </w:r>
      <w:r w:rsidRPr="009F1D3E">
        <w:t>Gibson</w:t>
      </w:r>
      <w:r w:rsidRPr="009F1D3E">
        <w:rPr>
          <w:rFonts w:hint="eastAsia"/>
        </w:rPr>
        <w:t>先生证实协会会员大多来自欧洲或美国，该计划能否成功取决于协会</w:t>
      </w:r>
      <w:r w:rsidRPr="009F1D3E">
        <w:rPr>
          <w:rFonts w:hint="eastAsia"/>
        </w:rPr>
        <w:lastRenderedPageBreak/>
        <w:t>向其他地区延伸的能力。协会执行董事又说，最近的入会申请大多来自非西方国家，说明其他地区对协会的兴趣和认知度已经提高。</w:t>
      </w:r>
    </w:p>
    <w:p w:rsidR="009F1D3E" w:rsidRPr="009F1D3E" w:rsidRDefault="009F1D3E" w:rsidP="009F1D3E">
      <w:pPr>
        <w:pStyle w:val="SingleTxt"/>
      </w:pPr>
      <w:r w:rsidRPr="009F1D3E">
        <w:t>48</w:t>
      </w:r>
      <w:r w:rsidR="001D27F5" w:rsidRPr="001D27F5">
        <w:t xml:space="preserve">.  </w:t>
      </w:r>
      <w:r w:rsidRPr="009F1D3E">
        <w:rPr>
          <w:rFonts w:hint="eastAsia"/>
        </w:rPr>
        <w:t>有代表团询问</w:t>
      </w:r>
      <w:r w:rsidRPr="009F1D3E">
        <w:t>Gibson</w:t>
      </w:r>
      <w:r w:rsidRPr="009F1D3E">
        <w:rPr>
          <w:rFonts w:hint="eastAsia"/>
        </w:rPr>
        <w:t>先生对于复杂环境中使用私营军事和安保公司诸问题的立场，例如：</w:t>
      </w:r>
      <w:r w:rsidRPr="009F1D3E">
        <w:t>(a)</w:t>
      </w:r>
      <w:r>
        <w:rPr>
          <w:rFonts w:hint="eastAsia"/>
        </w:rPr>
        <w:t xml:space="preserve"> </w:t>
      </w:r>
      <w:r w:rsidRPr="009F1D3E">
        <w:rPr>
          <w:rFonts w:hint="eastAsia"/>
        </w:rPr>
        <w:t>一些案件中外国公民参与军事行动并实施了侵权行为，但受益于外交豁免权；</w:t>
      </w:r>
      <w:r w:rsidRPr="009F1D3E">
        <w:t xml:space="preserve">(b) </w:t>
      </w:r>
      <w:r w:rsidRPr="009F1D3E">
        <w:rPr>
          <w:rFonts w:hint="eastAsia"/>
        </w:rPr>
        <w:t>一些案件中私营军事和安保公司负责管理羁押场所和监狱；</w:t>
      </w:r>
      <w:r w:rsidRPr="009F1D3E">
        <w:t xml:space="preserve">(c) </w:t>
      </w:r>
      <w:r w:rsidRPr="009F1D3E">
        <w:rPr>
          <w:rFonts w:hint="eastAsia"/>
        </w:rPr>
        <w:t>一些案件中私营军事和安保公司受雇保护采掘业，并实施了侵权行为；</w:t>
      </w:r>
      <w:r w:rsidRPr="009F1D3E">
        <w:t>(d)</w:t>
      </w:r>
      <w:r w:rsidR="0078624D">
        <w:rPr>
          <w:rFonts w:hint="eastAsia"/>
        </w:rPr>
        <w:t xml:space="preserve"> </w:t>
      </w:r>
      <w:r w:rsidRPr="009F1D3E">
        <w:rPr>
          <w:rFonts w:hint="eastAsia"/>
        </w:rPr>
        <w:t>有报告称浮动军械库被置于公海，以规避国家监管和控制；</w:t>
      </w:r>
      <w:r w:rsidRPr="009F1D3E">
        <w:t>(e)</w:t>
      </w:r>
      <w:r>
        <w:rPr>
          <w:rFonts w:hint="eastAsia"/>
        </w:rPr>
        <w:t xml:space="preserve"> </w:t>
      </w:r>
      <w:r w:rsidRPr="009F1D3E">
        <w:rPr>
          <w:rFonts w:hint="eastAsia"/>
        </w:rPr>
        <w:t>私营军事和安保公司违反南非法律雇佣南非公民，因为南非法律规定该国任何公民不得对外提供军事援助；以及</w:t>
      </w:r>
      <w:r w:rsidRPr="009F1D3E">
        <w:t>(f)</w:t>
      </w:r>
      <w:r>
        <w:rPr>
          <w:rFonts w:hint="eastAsia"/>
        </w:rPr>
        <w:t xml:space="preserve"> </w:t>
      </w:r>
      <w:r w:rsidRPr="009F1D3E">
        <w:rPr>
          <w:rFonts w:hint="eastAsia"/>
        </w:rPr>
        <w:t>该行业不否认也没有以可信的方式回应对私营军事和安保公司侵权的指控。</w:t>
      </w:r>
    </w:p>
    <w:p w:rsidR="009F1D3E" w:rsidRPr="009F1D3E" w:rsidRDefault="009F1D3E" w:rsidP="009F1D3E">
      <w:pPr>
        <w:pStyle w:val="SingleTxt"/>
      </w:pPr>
      <w:r w:rsidRPr="009F1D3E">
        <w:t>49</w:t>
      </w:r>
      <w:r w:rsidR="001D27F5" w:rsidRPr="001D27F5">
        <w:t xml:space="preserve">.  </w:t>
      </w:r>
      <w:r w:rsidRPr="009F1D3E">
        <w:t>Gibson</w:t>
      </w:r>
      <w:r w:rsidRPr="009F1D3E">
        <w:rPr>
          <w:rFonts w:hint="eastAsia"/>
        </w:rPr>
        <w:t>先生回应称，他所代表的公司没有外交豁免权，这些公司、公司雇员和分包商要根据国内和国际法充分承担责任。他确认有些公司的确参与管理羁押场所，应该受到监管并对任何侵权行为负责。他还承认，由于缺少法治，有些环境特别成问题。他强调，避免侵权关键是要审查和培训私营安保公司的雇员，并使客户理解自身有责任仅与可靠的公司签约。</w:t>
      </w:r>
    </w:p>
    <w:p w:rsidR="009F1D3E" w:rsidRPr="009F1D3E" w:rsidRDefault="009F1D3E" w:rsidP="009F1D3E">
      <w:pPr>
        <w:pStyle w:val="SingleTxt"/>
      </w:pPr>
      <w:r w:rsidRPr="009F1D3E">
        <w:t>50</w:t>
      </w:r>
      <w:r w:rsidR="001D27F5" w:rsidRPr="001D27F5">
        <w:t xml:space="preserve">.  </w:t>
      </w:r>
      <w:r w:rsidRPr="009F1D3E">
        <w:t>Gibson</w:t>
      </w:r>
      <w:r w:rsidRPr="009F1D3E">
        <w:rPr>
          <w:rFonts w:hint="eastAsia"/>
        </w:rPr>
        <w:t>先生解释说浮动军械库被置于印度洋需要保护的航道附近，而并非为了规避管制。他说这些军械库的管辖权属于船旗国，但也认同有些船旗国的监管框架不够健全的观点。有人提出海上安保公司雇员可能觉得“先开枪再问话”的做法更容易操作，</w:t>
      </w:r>
      <w:r w:rsidRPr="009F1D3E">
        <w:t>Gibson</w:t>
      </w:r>
      <w:r w:rsidRPr="009F1D3E">
        <w:rPr>
          <w:rFonts w:hint="eastAsia"/>
        </w:rPr>
        <w:t>先生对此进行了反驳。他解释道，这些公司根据严格的规则使用武力，规则授权采取轻重适当且逐级递增的措施；经验表明，鸣枪警示足以威慑和避免海盗袭击，而且海上安保公司不拘押海盗。他还称私人聘用的船上武装安保人员都佩戴有摄像装置的头盔，使其行动完全透明，以便充分追究责任。</w:t>
      </w:r>
    </w:p>
    <w:p w:rsidR="009F1D3E" w:rsidRPr="009F1D3E" w:rsidRDefault="009F1D3E" w:rsidP="009F1D3E">
      <w:pPr>
        <w:pStyle w:val="SingleTxt"/>
      </w:pPr>
      <w:r w:rsidRPr="009F1D3E">
        <w:t>51</w:t>
      </w:r>
      <w:r w:rsidR="001D27F5" w:rsidRPr="001D27F5">
        <w:t xml:space="preserve">.  </w:t>
      </w:r>
      <w:r w:rsidRPr="009F1D3E">
        <w:rPr>
          <w:rFonts w:hint="eastAsia"/>
        </w:rPr>
        <w:t>说到私营军事和安保公司雇佣南非公民的问题，</w:t>
      </w:r>
      <w:r w:rsidRPr="009F1D3E">
        <w:t>Gibson</w:t>
      </w:r>
      <w:r w:rsidRPr="009F1D3E">
        <w:rPr>
          <w:rFonts w:hint="eastAsia"/>
        </w:rPr>
        <w:t>先生赞同南非应得到一个深思熟虑的回应，说明为什么在《蒙特勒文件》和《国际行为守则》的背景下至今没有公司承诺不违反南非法律征募南非公民。《国际行为守则》协会的代表同意这一立场。关于有人提到私营安保公司没有回应侵权指控，</w:t>
      </w:r>
      <w:r w:rsidRPr="009F1D3E">
        <w:t>Gibson</w:t>
      </w:r>
      <w:r w:rsidRPr="009F1D3E">
        <w:rPr>
          <w:rFonts w:hint="eastAsia"/>
        </w:rPr>
        <w:t>先生表示他所接触的公司有嵌入自身业务模式的投诉机制，因而能对侵犯人权的指控进行彻底调查。该行业欢迎提出指控的社会团体及其他人走到台前，以加强相关调查的透明度和责任追究。在适当时候，协会将主持建立监督机制。</w:t>
      </w:r>
    </w:p>
    <w:p w:rsidR="009F1D3E" w:rsidRPr="009F1D3E" w:rsidRDefault="009F1D3E" w:rsidP="009F1D3E">
      <w:pPr>
        <w:pStyle w:val="SingleTxt"/>
      </w:pPr>
      <w:r w:rsidRPr="009F1D3E">
        <w:t>52</w:t>
      </w:r>
      <w:r w:rsidR="001D27F5" w:rsidRPr="001D27F5">
        <w:t xml:space="preserve">.  </w:t>
      </w:r>
      <w:r w:rsidRPr="009F1D3E">
        <w:rPr>
          <w:rFonts w:hint="eastAsia"/>
        </w:rPr>
        <w:t>有一个代表团称《国际行为守则》是一项“君子协定”，协会是一个“君子协会”，认为它们不足以保护侵权行为受害者。该代表团指出，银行业的自律制度已证明不够，因而怀疑能否信任自律程序，是否存在曾经满意运作过的自律制度。</w:t>
      </w:r>
      <w:r w:rsidRPr="009F1D3E">
        <w:t>Gibson</w:t>
      </w:r>
      <w:r w:rsidRPr="009F1D3E">
        <w:rPr>
          <w:rFonts w:hint="eastAsia"/>
        </w:rPr>
        <w:t>先生对此说明，他认为私营安保部门在自愿监管方面已取得相当多的成功。在该行业的推动下，短期内已有两个得到标准化组织确认的国际标准，并建立了协会。但是，</w:t>
      </w:r>
      <w:r w:rsidRPr="009F1D3E">
        <w:t>Gibson</w:t>
      </w:r>
      <w:r w:rsidRPr="009F1D3E">
        <w:rPr>
          <w:rFonts w:hint="eastAsia"/>
        </w:rPr>
        <w:t>先生又说该行业不会反对一项有法律约束力的国际文书，但关键是它必须在全球层面建立真正的公平竞争环境。如果实现了这一点，该行业将全力支持这一文书。一些代表团称赞</w:t>
      </w:r>
      <w:r w:rsidRPr="009F1D3E">
        <w:t>Gibson</w:t>
      </w:r>
      <w:r w:rsidRPr="009F1D3E">
        <w:rPr>
          <w:rFonts w:hint="eastAsia"/>
        </w:rPr>
        <w:t>先生的这一声明，并回顾他们的立场，即有必要制订一项设定最低标准的有约束力的全球性公约。</w:t>
      </w: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9F1D3E">
        <w:tab/>
        <w:t>C.</w:t>
      </w:r>
      <w:r w:rsidRPr="009F1D3E">
        <w:tab/>
      </w:r>
      <w:r w:rsidRPr="009F1D3E">
        <w:rPr>
          <w:rFonts w:hint="eastAsia"/>
        </w:rPr>
        <w:t>监管海上私营安保活动的特殊性</w:t>
      </w: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SingleTxt"/>
      </w:pPr>
      <w:r w:rsidRPr="009F1D3E">
        <w:t>53</w:t>
      </w:r>
      <w:r w:rsidR="001D27F5" w:rsidRPr="001D27F5">
        <w:t xml:space="preserve">.  </w:t>
      </w:r>
      <w:r w:rsidRPr="009F1D3E">
        <w:t>2015</w:t>
      </w:r>
      <w:r w:rsidRPr="009F1D3E">
        <w:rPr>
          <w:rFonts w:hint="eastAsia"/>
        </w:rPr>
        <w:t>年</w:t>
      </w:r>
      <w:r w:rsidRPr="009F1D3E">
        <w:t>4</w:t>
      </w:r>
      <w:r w:rsidRPr="009F1D3E">
        <w:rPr>
          <w:rFonts w:hint="eastAsia"/>
        </w:rPr>
        <w:t>月</w:t>
      </w:r>
      <w:r w:rsidRPr="009F1D3E">
        <w:t>29</w:t>
      </w:r>
      <w:r w:rsidRPr="009F1D3E">
        <w:rPr>
          <w:rFonts w:hint="eastAsia"/>
        </w:rPr>
        <w:t>日，比勒陀利亚大学国际法高级研究员</w:t>
      </w:r>
      <w:r w:rsidRPr="009F1D3E">
        <w:t>Casey-Maslen</w:t>
      </w:r>
      <w:r w:rsidRPr="009F1D3E">
        <w:rPr>
          <w:rFonts w:hint="eastAsia"/>
        </w:rPr>
        <w:t>先生介绍了关于私营海上安保服务提供商使用武力的问题，尤其是打击海盗行动中使用武力的情况以及这些行动可能对监管私营安保公司的潜在国际框架产生的影响。虽然安全理事会第</w:t>
      </w:r>
      <w:r w:rsidRPr="009F1D3E">
        <w:t>1851(2008)</w:t>
      </w:r>
      <w:r w:rsidRPr="009F1D3E">
        <w:rPr>
          <w:rFonts w:hint="eastAsia"/>
        </w:rPr>
        <w:t>号决议提到“适用的国际人道主义法”，但打击海盗的行动和措施并没有在武装冲突法的范畴内进行，而是在国际执法法下进行；而国际执法法结合了国际人权法、国内刑法的一般原则和国际刑事司法标准。</w:t>
      </w:r>
    </w:p>
    <w:p w:rsidR="009F1D3E" w:rsidRPr="009F1D3E" w:rsidRDefault="009F1D3E" w:rsidP="009F1D3E">
      <w:pPr>
        <w:pStyle w:val="SingleTxt"/>
      </w:pPr>
      <w:r w:rsidRPr="009F1D3E">
        <w:t>54</w:t>
      </w:r>
      <w:r w:rsidR="001D27F5" w:rsidRPr="001D27F5">
        <w:t xml:space="preserve">.  </w:t>
      </w:r>
      <w:r w:rsidRPr="009F1D3E">
        <w:rPr>
          <w:rFonts w:hint="eastAsia"/>
        </w:rPr>
        <w:t>使用武装私营安保提供商保护商船的做法近几年在增加，这也是促使海盗和海上武装抢劫行动得逞数量减少的一个重要因素。将武器带上商船有其风险，涉及船员的人身安全问题、遵守关于常规武器转移的国际法下国家责任问题，以及安保人员在特别难以确保有效监测和监督的环境中鲁莽或过度使用武力包括致命武力的风险。</w:t>
      </w:r>
    </w:p>
    <w:p w:rsidR="009F1D3E" w:rsidRPr="009F1D3E" w:rsidRDefault="009F1D3E" w:rsidP="009F1D3E">
      <w:pPr>
        <w:pStyle w:val="SingleTxt"/>
      </w:pPr>
      <w:r w:rsidRPr="009F1D3E">
        <w:t>55</w:t>
      </w:r>
      <w:r w:rsidR="001D27F5" w:rsidRPr="001D27F5">
        <w:t xml:space="preserve">.  </w:t>
      </w:r>
      <w:r w:rsidRPr="009F1D3E">
        <w:t>Casey-Maslen</w:t>
      </w:r>
      <w:r w:rsidRPr="009F1D3E">
        <w:rPr>
          <w:rFonts w:hint="eastAsia"/>
        </w:rPr>
        <w:t>先生指出，国家执法人员履职过程中应仅在必要时使用武力，且仅使用当时情况下必要的、与威胁程度相当的武力。</w:t>
      </w:r>
      <w:r w:rsidRPr="001C216D">
        <w:rPr>
          <w:rStyle w:val="a3"/>
        </w:rPr>
        <w:footnoteReference w:id="13"/>
      </w:r>
      <w:r w:rsidR="001D27F5">
        <w:rPr>
          <w:rFonts w:hint="eastAsia"/>
        </w:rPr>
        <w:t xml:space="preserve"> </w:t>
      </w:r>
      <w:r w:rsidRPr="009F1D3E">
        <w:rPr>
          <w:rFonts w:hint="eastAsia"/>
        </w:rPr>
        <w:t>私营海上安保服务提供商合法使用武力限于防卫任何人不遭受非法暴行。这可能包括面临袭击威胁时出于自卫或防卫他人而使用武力的合法行为。对某次在海洋环境中使用武力的情况是否符合法定标准的判断可能存在争议，因为在国内层面缺少关于合法与非法的详细指引；因为各国刑法关于合理使用武力自卫的门槛存在实质差异；还因为对合法性应由哪国国内法律决定缺少共识。</w:t>
      </w:r>
    </w:p>
    <w:p w:rsidR="009F1D3E" w:rsidRPr="009F1D3E" w:rsidRDefault="009F1D3E" w:rsidP="009F1D3E">
      <w:pPr>
        <w:pStyle w:val="SingleTxt"/>
      </w:pPr>
      <w:r w:rsidRPr="009F1D3E">
        <w:t>56</w:t>
      </w:r>
      <w:r w:rsidR="001D27F5" w:rsidRPr="001D27F5">
        <w:t xml:space="preserve">.  </w:t>
      </w:r>
      <w:r w:rsidRPr="009F1D3E">
        <w:t>Casey-Maslen</w:t>
      </w:r>
      <w:r w:rsidRPr="009F1D3E">
        <w:rPr>
          <w:rFonts w:hint="eastAsia"/>
        </w:rPr>
        <w:t>先生回顾了几个国家的司法管辖情况和标准，包括国际海事组织</w:t>
      </w:r>
      <w:r w:rsidRPr="009F1D3E">
        <w:t>2012</w:t>
      </w:r>
      <w:r w:rsidRPr="009F1D3E">
        <w:rPr>
          <w:rFonts w:hint="eastAsia"/>
        </w:rPr>
        <w:t>年的《临时指引》。</w:t>
      </w:r>
      <w:r w:rsidRPr="001C216D">
        <w:rPr>
          <w:rStyle w:val="a3"/>
        </w:rPr>
        <w:footnoteReference w:id="14"/>
      </w:r>
      <w:r w:rsidR="001D27F5">
        <w:rPr>
          <w:rFonts w:hint="eastAsia"/>
        </w:rPr>
        <w:t xml:space="preserve"> </w:t>
      </w:r>
      <w:r w:rsidRPr="009F1D3E">
        <w:rPr>
          <w:rFonts w:hint="eastAsia"/>
        </w:rPr>
        <w:t>他还提及印度法院受理的案件，该案中两名印度水兵据称对一艘船开火，导致船上两名印度渔民丧生。对这两名水兵的审判最近被推迟至</w:t>
      </w:r>
      <w:r w:rsidRPr="009F1D3E">
        <w:t>2015</w:t>
      </w:r>
      <w:r w:rsidRPr="009F1D3E">
        <w:rPr>
          <w:rFonts w:hint="eastAsia"/>
        </w:rPr>
        <w:t>年</w:t>
      </w:r>
      <w:r w:rsidRPr="009F1D3E">
        <w:t>7</w:t>
      </w:r>
      <w:r w:rsidRPr="009F1D3E">
        <w:rPr>
          <w:rFonts w:hint="eastAsia"/>
        </w:rPr>
        <w:t>月。</w:t>
      </w:r>
    </w:p>
    <w:p w:rsidR="009F1D3E" w:rsidRPr="009F1D3E" w:rsidRDefault="009F1D3E" w:rsidP="009F1D3E">
      <w:pPr>
        <w:pStyle w:val="SingleTxt"/>
      </w:pPr>
      <w:r w:rsidRPr="009F1D3E">
        <w:t>57</w:t>
      </w:r>
      <w:r w:rsidR="001D27F5" w:rsidRPr="001D27F5">
        <w:t xml:space="preserve">.  </w:t>
      </w:r>
      <w:r w:rsidRPr="009F1D3E">
        <w:t>Casey-Maslen</w:t>
      </w:r>
      <w:r w:rsidRPr="009F1D3E">
        <w:rPr>
          <w:rFonts w:hint="eastAsia"/>
        </w:rPr>
        <w:t>先生指出缺少一项关于海洋环境中使用武力的详细规范，且这一空白在提议的国际监管框架中得不到填补。他还提到日内瓦国际人道主义法和人权学院</w:t>
      </w:r>
      <w:r w:rsidRPr="009F1D3E">
        <w:t>2012</w:t>
      </w:r>
      <w:r w:rsidRPr="009F1D3E">
        <w:rPr>
          <w:rFonts w:hint="eastAsia"/>
        </w:rPr>
        <w:t>年制定的指引。</w:t>
      </w:r>
      <w:r w:rsidRPr="001C216D">
        <w:rPr>
          <w:rStyle w:val="a3"/>
        </w:rPr>
        <w:footnoteReference w:id="15"/>
      </w:r>
      <w:r w:rsidRPr="009F1D3E">
        <w:t xml:space="preserve"> </w:t>
      </w:r>
    </w:p>
    <w:p w:rsidR="009F1D3E" w:rsidRPr="009F1D3E" w:rsidRDefault="009F1D3E" w:rsidP="009F1D3E">
      <w:pPr>
        <w:pStyle w:val="SingleTxt"/>
      </w:pPr>
      <w:r w:rsidRPr="009F1D3E">
        <w:t>58</w:t>
      </w:r>
      <w:r w:rsidR="001D27F5" w:rsidRPr="001D27F5">
        <w:t xml:space="preserve">.  </w:t>
      </w:r>
      <w:r w:rsidRPr="009F1D3E">
        <w:rPr>
          <w:rFonts w:hint="eastAsia"/>
        </w:rPr>
        <w:t>他指出拘捕这一核心执法职能和随之而来的以武力对抗武力的合法拘捕是国家的固有职能。他补充说某种程度上，这些权力在海洋环境中被下放。不管私营安保服务提供商是否被赋予这些权力，他们都可能需要使用这些权力。这引发了对被羁押海盗嫌疑人待遇和能否尊重羁押合法性审查权这一基本权利的担忧。</w:t>
      </w:r>
    </w:p>
    <w:p w:rsidR="009F1D3E" w:rsidRPr="009F1D3E" w:rsidRDefault="009F1D3E" w:rsidP="009F1D3E">
      <w:pPr>
        <w:pStyle w:val="SingleTxt"/>
      </w:pPr>
      <w:r w:rsidRPr="009F1D3E">
        <w:lastRenderedPageBreak/>
        <w:t>59</w:t>
      </w:r>
      <w:r w:rsidR="001D27F5" w:rsidRPr="001D27F5">
        <w:t xml:space="preserve">.  </w:t>
      </w:r>
      <w:r w:rsidRPr="009F1D3E">
        <w:rPr>
          <w:rFonts w:hint="eastAsia"/>
        </w:rPr>
        <w:t>最后，如安全理事会第</w:t>
      </w:r>
      <w:r w:rsidRPr="009F1D3E">
        <w:t>2184(2014)</w:t>
      </w:r>
      <w:r w:rsidRPr="009F1D3E">
        <w:rPr>
          <w:rFonts w:hint="eastAsia"/>
        </w:rPr>
        <w:t>号决议所确认，海盗问题的解决方案在陆上而非在海上。</w:t>
      </w:r>
      <w:r w:rsidRPr="009F1D3E">
        <w:t>Casey-Maslen</w:t>
      </w:r>
      <w:r w:rsidRPr="009F1D3E">
        <w:rPr>
          <w:rFonts w:hint="eastAsia"/>
        </w:rPr>
        <w:t>先生最后说，在问题解决前，尽管有诸多风险，使用武装私营安保服务提供商的做法看来还会继续下去。</w:t>
      </w:r>
    </w:p>
    <w:p w:rsidR="009F1D3E" w:rsidRPr="009F1D3E" w:rsidRDefault="009F1D3E" w:rsidP="009F1D3E">
      <w:pPr>
        <w:pStyle w:val="SingleTxt"/>
      </w:pPr>
      <w:r w:rsidRPr="009F1D3E">
        <w:t>60</w:t>
      </w:r>
      <w:r w:rsidR="001D27F5" w:rsidRPr="001D27F5">
        <w:t xml:space="preserve">.  </w:t>
      </w:r>
      <w:r w:rsidRPr="009F1D3E">
        <w:rPr>
          <w:rFonts w:hint="eastAsia"/>
        </w:rPr>
        <w:t>有一个代表团提出有必要确认海事组织所做的工作；人权理事会不应重复海事组织已做的工作。另一个代表团强调海事组织在私营军事和安保公司海上活动中发挥首要作用，并强调海事组织</w:t>
      </w:r>
      <w:r w:rsidRPr="009F1D3E">
        <w:t>2012</w:t>
      </w:r>
      <w:r w:rsidRPr="009F1D3E">
        <w:rPr>
          <w:rFonts w:hint="eastAsia"/>
        </w:rPr>
        <w:t>年《临时指引》在这方面的意义。一些代表团要求提供更多关于海事组织《临时指引》及其落实情况的信息。有一个代表团和主席兼报告员对海事组织缺席本次会议表示遗憾。主席兼报告员确认他将继续邀请海事组织与不限成员名额政府间工作组合作并提供与其工作相关的任何信息。他还鼓励利益攸关方提供该问题的相关信息供工作组参考。他指出工作组尤其关注责任追究和确保侵权受害者得到救济的问题，并寻求澄清涉及此类问题的任何案件，包括海上事件的证据问题。</w:t>
      </w:r>
    </w:p>
    <w:p w:rsidR="009F1D3E" w:rsidRPr="009F1D3E" w:rsidRDefault="009F1D3E" w:rsidP="009F1D3E">
      <w:pPr>
        <w:pStyle w:val="SingleTxt"/>
      </w:pPr>
      <w:r w:rsidRPr="009F1D3E">
        <w:t>61</w:t>
      </w:r>
      <w:r w:rsidR="001D27F5" w:rsidRPr="001D27F5">
        <w:t xml:space="preserve">.  </w:t>
      </w:r>
      <w:r w:rsidRPr="009F1D3E">
        <w:rPr>
          <w:rFonts w:hint="eastAsia"/>
        </w:rPr>
        <w:t>有一个代表团询问位于领海之外的“浮动兵工厂”问题，称从其名称看可能指一种非官方战舰。该代表团还谈到武装商船驶入领海并获得火器临时许可的情形；实施了这一制度，相关船只被认为没有进入领海，而成为位于领海之外的浮动兵工厂。同一代表团询问如何能处理船旗国</w:t>
      </w:r>
      <w:r w:rsidRPr="009F1D3E">
        <w:t>(</w:t>
      </w:r>
      <w:r w:rsidRPr="009F1D3E">
        <w:rPr>
          <w:rFonts w:hint="eastAsia"/>
        </w:rPr>
        <w:t>在使用方便旗的情况下</w:t>
      </w:r>
      <w:r w:rsidRPr="009F1D3E">
        <w:t>)</w:t>
      </w:r>
      <w:r w:rsidRPr="009F1D3E">
        <w:rPr>
          <w:rFonts w:hint="eastAsia"/>
        </w:rPr>
        <w:t>面临的挑战。一些代表团要求提供关于海盗活动趋势以及影响世界哪些区域的信息。有一个代表团询问在缺少有法律约束力文书的情况下，国家立法如何能应对该行业公司治外性的问题。另一个代表团指出了其他进程，比如索马里沿海海盗问题联络小组。</w:t>
      </w:r>
    </w:p>
    <w:p w:rsidR="009F1D3E" w:rsidRPr="009F1D3E" w:rsidRDefault="009F1D3E" w:rsidP="009F1D3E">
      <w:pPr>
        <w:pStyle w:val="SingleTxt"/>
      </w:pPr>
      <w:r w:rsidRPr="009F1D3E">
        <w:t>62</w:t>
      </w:r>
      <w:r w:rsidR="001D27F5" w:rsidRPr="001D27F5">
        <w:t xml:space="preserve">.  </w:t>
      </w:r>
      <w:r w:rsidRPr="009F1D3E">
        <w:rPr>
          <w:rFonts w:hint="eastAsia"/>
        </w:rPr>
        <w:t>有人建议不使用“浮动兵工厂”的说法，而使用“浮动军械库”或“浮动保险箱”，</w:t>
      </w:r>
      <w:r w:rsidRPr="009F1D3E">
        <w:t>Casey-Maslen</w:t>
      </w:r>
      <w:r w:rsidRPr="009F1D3E">
        <w:rPr>
          <w:rFonts w:hint="eastAsia"/>
        </w:rPr>
        <w:t>先生对此表示认同，认为这些说法可能更恰当，但也承认使用这些说法的风险。他澄清此类设施是为解决武器被弃海的问题，因为船只寻求进入一些国家的港口时这些国家不许将武器带入其领海。他也承认方便旗和无旗船面临的挑战，并指出鉴于打击海盗行动的现实，可能需要考虑船旗国义务的一般原则</w:t>
      </w:r>
      <w:r w:rsidRPr="001C216D">
        <w:rPr>
          <w:rStyle w:val="a3"/>
        </w:rPr>
        <w:footnoteReference w:id="16"/>
      </w:r>
      <w:r w:rsidRPr="009F1D3E">
        <w:rPr>
          <w:rFonts w:hint="eastAsia"/>
        </w:rPr>
        <w:t>。</w:t>
      </w:r>
      <w:r w:rsidRPr="009F1D3E">
        <w:t>Casey-Maslen</w:t>
      </w:r>
      <w:r w:rsidRPr="009F1D3E">
        <w:rPr>
          <w:rFonts w:hint="eastAsia"/>
        </w:rPr>
        <w:t>先生进而对某些武装安保服务公司持有的资格证书表示怀疑。他指出，代表们广泛提到海事组织的《临时指引》，但认为《指引》对何时使用武力为合法规定不够详细。他提到印度正在进行的案件和自卫限度的问题。</w:t>
      </w:r>
    </w:p>
    <w:p w:rsidR="009F1D3E" w:rsidRPr="009F1D3E" w:rsidRDefault="009F1D3E" w:rsidP="0078624D">
      <w:pPr>
        <w:pStyle w:val="SingleTxt"/>
      </w:pPr>
      <w:r w:rsidRPr="009F1D3E">
        <w:t>63</w:t>
      </w:r>
      <w:r w:rsidR="001D27F5" w:rsidRPr="001D27F5">
        <w:t xml:space="preserve">.  </w:t>
      </w:r>
      <w:r w:rsidRPr="009F1D3E">
        <w:t>Casey-Maslen</w:t>
      </w:r>
      <w:r w:rsidRPr="009F1D3E">
        <w:rPr>
          <w:rFonts w:hint="eastAsia"/>
        </w:rPr>
        <w:t>先生指出，鉴于存在“先抓后放”的做法，索马里沿海海盗问题联络小组鼓励国家通过法律以允许起诉。他澄清说日内瓦国际人道主义法和人权学院编写准则就是为讨论贡献力量，并指出各国现有指引对自卫的规定不够详细。他说因感知到的实在风险增加，对武装安保服务的需求也在增加，特别是在亚丁湾、几内亚湾和南中国海；他还指出海事组织的报告中有海盗问题的更多详情。</w:t>
      </w:r>
      <w:r w:rsidRPr="001C216D">
        <w:rPr>
          <w:rStyle w:val="a3"/>
        </w:rPr>
        <w:footnoteReference w:id="17"/>
      </w:r>
      <w:r w:rsidR="008B012D">
        <w:rPr>
          <w:rFonts w:hint="eastAsia"/>
        </w:rPr>
        <w:t xml:space="preserve"> </w:t>
      </w:r>
      <w:r w:rsidRPr="009F1D3E">
        <w:rPr>
          <w:rFonts w:hint="eastAsia"/>
        </w:rPr>
        <w:t>海盗犯罪是一种国内犯罪，而国内立法可以支持国家在公海行使管辖权。联合王国说已采取行动应对海盗犯罪，称联合王国的临时指引适用于悬挂英国国旗的船只，而非用于对其他船只行使管辖权。最后，</w:t>
      </w:r>
      <w:r w:rsidRPr="009F1D3E">
        <w:t>Casey-Maslen</w:t>
      </w:r>
      <w:r w:rsidRPr="009F1D3E">
        <w:rPr>
          <w:rFonts w:hint="eastAsia"/>
        </w:rPr>
        <w:t>先生提出证据问题以及确保在船上尊重羁押合法性审查权这一基本权利是一项挑战。</w:t>
      </w:r>
    </w:p>
    <w:p w:rsidR="009F1D3E" w:rsidRPr="009F1D3E" w:rsidRDefault="009F1D3E" w:rsidP="009F1D3E">
      <w:pPr>
        <w:pStyle w:val="SingleTxt"/>
        <w:rPr>
          <w:u w:val="single"/>
        </w:rPr>
      </w:pPr>
      <w:r w:rsidRPr="009F1D3E">
        <w:lastRenderedPageBreak/>
        <w:t>64</w:t>
      </w:r>
      <w:r w:rsidR="001D27F5" w:rsidRPr="001D27F5">
        <w:t xml:space="preserve">.  </w:t>
      </w:r>
      <w:r w:rsidRPr="009F1D3E">
        <w:rPr>
          <w:rFonts w:hint="eastAsia"/>
        </w:rPr>
        <w:t>挪威进一步介绍了其国内法律法规的详情。在挪威登记的船只上使用私营安保公司不受私营安保公司相关法律的监管，而受关于船舶安保的第</w:t>
      </w:r>
      <w:r w:rsidRPr="009F1D3E">
        <w:t>972/2004</w:t>
      </w:r>
      <w:r w:rsidRPr="009F1D3E">
        <w:rPr>
          <w:rFonts w:hint="eastAsia"/>
        </w:rPr>
        <w:t>号条例监管。对船东使用私营安保公司的具体管理规定包含在</w:t>
      </w:r>
      <w:r w:rsidRPr="009F1D3E">
        <w:t>2011</w:t>
      </w:r>
      <w:r w:rsidRPr="009F1D3E">
        <w:rPr>
          <w:rFonts w:hint="eastAsia"/>
        </w:rPr>
        <w:t>年的条例中。该条例没有对私营安保公司本身作直接规定。而是强调船东有责任向挪威当局报告需要使用私营安保服务的时间和原因；评估相关公司的情况，包括其内部的招聘和培训程序；以及该公司对使用武器的规定。船东被要求在选择和使用船上私营安保警卫时注意海事组织的准则。挪威当局有资格决定挪威船东不能使用某些私营安保公司。条例还规定何时可以使用武装警卫；如何在船上储存武器；以及使用装备武器的程序。</w:t>
      </w:r>
      <w:r w:rsidRPr="009F1D3E">
        <w:t>2011</w:t>
      </w:r>
      <w:r w:rsidRPr="009F1D3E">
        <w:rPr>
          <w:rFonts w:hint="eastAsia"/>
        </w:rPr>
        <w:t>年，关于武器问题的第</w:t>
      </w:r>
      <w:r w:rsidRPr="009F1D3E">
        <w:t>904/2009</w:t>
      </w:r>
      <w:r w:rsidRPr="009F1D3E">
        <w:rPr>
          <w:rFonts w:hint="eastAsia"/>
        </w:rPr>
        <w:t>号条例增补了一条规定，用于监管可以在挪威登记船只上为私营安保公司储存武器的情形。此类储存应仅用于该船抵御恐怖袭击和海盗活动目的，并应得到挪威警方许可。船只只有得到海事组织《国际船舶和港口设施保安规则》认证才可能得到警方许可，且许可仅对在特定地理区域内行驶或驶入、驶出特定地理区域有效。继《条例》通过后还根据海事组织准则提出报告要求，包括在有理由相信使用武力导致了人身伤害或死亡时，向挪威国家刑事调查局报告。不论何时使用过武器，都应向海事司报告。</w:t>
      </w:r>
      <w:r w:rsidRPr="009F1D3E">
        <w:tab/>
      </w: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eastAsiaTheme="minorEastAsia"/>
        </w:rPr>
      </w:pPr>
      <w:r w:rsidRPr="009F1D3E">
        <w:tab/>
        <w:t>D.</w:t>
      </w:r>
      <w:r w:rsidRPr="009F1D3E">
        <w:tab/>
      </w:r>
      <w:r w:rsidRPr="009F1D3E">
        <w:rPr>
          <w:rFonts w:hint="eastAsia"/>
        </w:rPr>
        <w:t>联合国使用私营安保公司的情况</w:t>
      </w: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SingleTxt"/>
      </w:pPr>
      <w:r w:rsidRPr="009F1D3E">
        <w:rPr>
          <w:rFonts w:hint="eastAsia"/>
        </w:rPr>
        <w:t>65</w:t>
      </w:r>
      <w:r w:rsidR="001D27F5" w:rsidRPr="001D27F5">
        <w:rPr>
          <w:rFonts w:hint="eastAsia"/>
        </w:rPr>
        <w:t xml:space="preserve">.  </w:t>
      </w:r>
      <w:r w:rsidRPr="009F1D3E">
        <w:rPr>
          <w:rFonts w:hint="eastAsia"/>
        </w:rPr>
        <w:t>2015</w:t>
      </w:r>
      <w:r w:rsidRPr="009F1D3E">
        <w:rPr>
          <w:rFonts w:hint="eastAsia"/>
        </w:rPr>
        <w:t>年</w:t>
      </w:r>
      <w:r w:rsidRPr="009F1D3E">
        <w:rPr>
          <w:rFonts w:hint="eastAsia"/>
        </w:rPr>
        <w:t>4</w:t>
      </w:r>
      <w:r w:rsidRPr="009F1D3E">
        <w:rPr>
          <w:rFonts w:hint="eastAsia"/>
        </w:rPr>
        <w:t>月</w:t>
      </w:r>
      <w:r w:rsidRPr="009F1D3E">
        <w:rPr>
          <w:rFonts w:hint="eastAsia"/>
        </w:rPr>
        <w:t>29</w:t>
      </w:r>
      <w:r w:rsidRPr="009F1D3E">
        <w:rPr>
          <w:rFonts w:hint="eastAsia"/>
        </w:rPr>
        <w:t>日，主管安全和安保事务的副秘书长简要介绍了当前全球安全状况的主要特点。他提及最近一份关于“人道主义人员的安全保障和对联合国人员的保护”的报告</w:t>
      </w:r>
      <w:r w:rsidRPr="009F1D3E">
        <w:t>(A/69/406)</w:t>
      </w:r>
      <w:r w:rsidRPr="009F1D3E">
        <w:rPr>
          <w:rFonts w:hint="eastAsia"/>
        </w:rPr>
        <w:t>，</w:t>
      </w:r>
      <w:r w:rsidRPr="009F1D3E">
        <w:t>报告</w:t>
      </w:r>
      <w:r w:rsidRPr="009F1D3E">
        <w:rPr>
          <w:rFonts w:hint="eastAsia"/>
        </w:rPr>
        <w:t>指出</w:t>
      </w:r>
      <w:r w:rsidRPr="009F1D3E">
        <w:t>相关人员工作环境日益危险</w:t>
      </w:r>
      <w:r w:rsidRPr="009F1D3E">
        <w:rPr>
          <w:rFonts w:hint="eastAsia"/>
        </w:rPr>
        <w:t>，</w:t>
      </w:r>
      <w:r w:rsidRPr="009F1D3E">
        <w:t>所面临的各种威胁前所未有</w:t>
      </w:r>
      <w:r w:rsidRPr="009F1D3E">
        <w:rPr>
          <w:rFonts w:hint="eastAsia"/>
        </w:rPr>
        <w:t>。</w:t>
      </w:r>
      <w:r w:rsidRPr="009F1D3E">
        <w:t>他补充</w:t>
      </w:r>
      <w:r w:rsidRPr="009F1D3E">
        <w:rPr>
          <w:rFonts w:hint="eastAsia"/>
        </w:rPr>
        <w:t>说，犯罪集团和极端主义集团界限模糊、极端主义集团壮大、新的极端主义集团层出不穷，使目前的威胁加剧。在此背景下，作为最后的手段，联合国在选定工作地点聘用了武装私营安保公司，以加强联合国人员的安保并确保本组织在高风险环境下顺利执行各项计划和任务。这一情况尤其集中在尚未部署维和部队且存在严重政治或人道主义需要的高风险地区。目前，有</w:t>
      </w:r>
      <w:r w:rsidRPr="009F1D3E">
        <w:rPr>
          <w:rFonts w:hint="eastAsia"/>
        </w:rPr>
        <w:t>170</w:t>
      </w:r>
      <w:r w:rsidRPr="009F1D3E">
        <w:rPr>
          <w:rFonts w:hint="eastAsia"/>
        </w:rPr>
        <w:t>多个国家驻扎了联合国人员，在部署了维和部队和政治特派团的三个国家</w:t>
      </w:r>
      <w:r w:rsidRPr="009F1D3E">
        <w:rPr>
          <w:rFonts w:hint="eastAsia"/>
        </w:rPr>
        <w:t>(</w:t>
      </w:r>
      <w:r w:rsidRPr="009F1D3E">
        <w:rPr>
          <w:rFonts w:hint="eastAsia"/>
        </w:rPr>
        <w:t>阿富汗、海地和索马里</w:t>
      </w:r>
      <w:r w:rsidR="0078624D">
        <w:rPr>
          <w:rFonts w:hint="eastAsia"/>
        </w:rPr>
        <w:t>)</w:t>
      </w:r>
      <w:r w:rsidRPr="009F1D3E">
        <w:rPr>
          <w:rFonts w:hint="eastAsia"/>
        </w:rPr>
        <w:t>，联合国使用了武装私营安保服务。</w:t>
      </w:r>
    </w:p>
    <w:p w:rsidR="009F1D3E" w:rsidRPr="009F1D3E" w:rsidRDefault="009F1D3E" w:rsidP="009F1D3E">
      <w:pPr>
        <w:pStyle w:val="SingleTxt"/>
      </w:pPr>
      <w:r w:rsidRPr="009F1D3E">
        <w:rPr>
          <w:rFonts w:hint="eastAsia"/>
        </w:rPr>
        <w:t>66</w:t>
      </w:r>
      <w:r w:rsidR="001D27F5" w:rsidRPr="001D27F5">
        <w:rPr>
          <w:rFonts w:hint="eastAsia"/>
        </w:rPr>
        <w:t xml:space="preserve">.  </w:t>
      </w:r>
      <w:r w:rsidRPr="009F1D3E">
        <w:t>副秘书长强调</w:t>
      </w:r>
      <w:r w:rsidRPr="009F1D3E">
        <w:rPr>
          <w:rFonts w:hint="eastAsia"/>
        </w:rPr>
        <w:t>联合国以“最后手段原则”指导应在何时寻求武装私营安保服务。他补充说，仅在没有其他方案的特殊情况下使用武装私营安保服务，比如东道国或其他成员国没有提供安保服务，或联合国体系下的安保人员无法到位。这一原则在《</w:t>
      </w:r>
      <w:bookmarkStart w:id="5" w:name="OLE_LINK1"/>
      <w:bookmarkStart w:id="6" w:name="OLE_LINK2"/>
      <w:r w:rsidRPr="009F1D3E">
        <w:rPr>
          <w:rFonts w:hint="eastAsia"/>
        </w:rPr>
        <w:t>联合国关于武装私营保安公司的政策</w:t>
      </w:r>
      <w:bookmarkEnd w:id="5"/>
      <w:bookmarkEnd w:id="6"/>
      <w:r w:rsidRPr="009F1D3E">
        <w:rPr>
          <w:rFonts w:hint="eastAsia"/>
        </w:rPr>
        <w:t>》中有明确规定；</w:t>
      </w:r>
      <w:r w:rsidRPr="001C216D">
        <w:rPr>
          <w:rStyle w:val="a3"/>
        </w:rPr>
        <w:footnoteReference w:id="18"/>
      </w:r>
      <w:r w:rsidR="001D27F5">
        <w:rPr>
          <w:rFonts w:hint="eastAsia"/>
        </w:rPr>
        <w:t xml:space="preserve"> </w:t>
      </w:r>
      <w:r w:rsidRPr="009F1D3E">
        <w:rPr>
          <w:rFonts w:hint="eastAsia"/>
        </w:rPr>
        <w:t>该政策说明了推荐和核准使用具体公司方面的职能和责任，同时规定了被聘用人员的具体选用标准、筛选和培训要求。该政策还涉及管理和监督方面的职能和责任。</w:t>
      </w:r>
    </w:p>
    <w:p w:rsidR="009F1D3E" w:rsidRPr="009F1D3E" w:rsidRDefault="009F1D3E" w:rsidP="009F1D3E">
      <w:pPr>
        <w:pStyle w:val="SingleTxt"/>
      </w:pPr>
      <w:r w:rsidRPr="009F1D3E">
        <w:rPr>
          <w:rFonts w:hint="eastAsia"/>
        </w:rPr>
        <w:t>67</w:t>
      </w:r>
      <w:r w:rsidR="001D27F5" w:rsidRPr="001D27F5">
        <w:rPr>
          <w:rFonts w:hint="eastAsia"/>
        </w:rPr>
        <w:t xml:space="preserve">.  </w:t>
      </w:r>
      <w:r w:rsidRPr="009F1D3E">
        <w:rPr>
          <w:rFonts w:hint="eastAsia"/>
        </w:rPr>
        <w:t>《关于使用私营保安公司的武装保安服务的准则》与上述联合国政策配套，进一步明确了关于决定何时获取武装私营安保服务的职能和责任。</w:t>
      </w:r>
      <w:r w:rsidRPr="001C216D">
        <w:rPr>
          <w:rStyle w:val="a3"/>
        </w:rPr>
        <w:footnoteReference w:id="19"/>
      </w:r>
      <w:r w:rsidR="001D27F5">
        <w:rPr>
          <w:rFonts w:hint="eastAsia"/>
        </w:rPr>
        <w:t xml:space="preserve"> </w:t>
      </w:r>
      <w:r w:rsidRPr="009F1D3E">
        <w:rPr>
          <w:rFonts w:hint="eastAsia"/>
        </w:rPr>
        <w:t>《准则》说明</w:t>
      </w:r>
      <w:r w:rsidRPr="009F1D3E">
        <w:rPr>
          <w:rFonts w:hint="eastAsia"/>
        </w:rPr>
        <w:lastRenderedPageBreak/>
        <w:t>根据最近安全风险评估推荐使用具体武装私营安保公司的具体标准，同时确定了哪些服务可以外包给此类公司，哪些不可以。《准则》还规定了更多细节，包括被聘用人员的筛选和培训要求。</w:t>
      </w:r>
    </w:p>
    <w:p w:rsidR="009F1D3E" w:rsidRPr="009F1D3E" w:rsidRDefault="009F1D3E" w:rsidP="009F1D3E">
      <w:pPr>
        <w:pStyle w:val="SingleTxt"/>
      </w:pPr>
      <w:r w:rsidRPr="009F1D3E">
        <w:rPr>
          <w:rFonts w:hint="eastAsia"/>
        </w:rPr>
        <w:t>68</w:t>
      </w:r>
      <w:r w:rsidR="001D27F5" w:rsidRPr="001D27F5">
        <w:rPr>
          <w:rFonts w:hint="eastAsia"/>
        </w:rPr>
        <w:t xml:space="preserve">.  </w:t>
      </w:r>
      <w:r w:rsidRPr="009F1D3E">
        <w:t>副秘书长回顾</w:t>
      </w:r>
      <w:r w:rsidRPr="009F1D3E">
        <w:rPr>
          <w:rFonts w:hint="eastAsia"/>
        </w:rPr>
        <w:t>，</w:t>
      </w:r>
      <w:r w:rsidRPr="009F1D3E">
        <w:t>尊重国际人权法和国际人道主义法是包括安全和保安部在内</w:t>
      </w:r>
      <w:r w:rsidRPr="009F1D3E">
        <w:rPr>
          <w:rFonts w:hint="eastAsia"/>
        </w:rPr>
        <w:t>的</w:t>
      </w:r>
      <w:r w:rsidRPr="009F1D3E">
        <w:t>联合国的核心价值</w:t>
      </w:r>
      <w:r w:rsidRPr="009F1D3E">
        <w:rPr>
          <w:rFonts w:hint="eastAsia"/>
        </w:rPr>
        <w:t>。该部根据“人权先行”倡议采取了各种措施，包括与联合国其他部门、办事处、机构、基金和计划开展合作，制定各种政策、程序、标准和其他安排。这一倡议旨在将人权方面的考虑纳入联合国的所有活动和计划，促进联合国与成员国在人权问题上进行合作。根据《联合国安全管理系统政策手册》和相关准则的要求，只能与符合国际通行人权标准和原则、达到最高道德、能力和绩效标准的武装私营安保公司进行合作，严禁雇用因侵犯人权或刑事犯罪被定罪或受到牵连的组织和个人。与此同时，为确保国际人权和人道主义原则得到尊重，最有效的办法是恰如其分执行此类政策及其实施准则。</w:t>
      </w:r>
    </w:p>
    <w:p w:rsidR="009F1D3E" w:rsidRPr="009F1D3E" w:rsidRDefault="009F1D3E" w:rsidP="009F1D3E">
      <w:pPr>
        <w:pStyle w:val="SingleTxt"/>
      </w:pPr>
      <w:r w:rsidRPr="009F1D3E">
        <w:rPr>
          <w:rFonts w:hint="eastAsia"/>
        </w:rPr>
        <w:t>69</w:t>
      </w:r>
      <w:r w:rsidR="001D27F5" w:rsidRPr="001D27F5">
        <w:rPr>
          <w:rFonts w:hint="eastAsia"/>
        </w:rPr>
        <w:t xml:space="preserve">.  </w:t>
      </w:r>
      <w:r w:rsidRPr="009F1D3E">
        <w:t>副秘书长祝贺雇佣军工作组向大会提交了</w:t>
      </w:r>
      <w:r w:rsidRPr="009F1D3E">
        <w:rPr>
          <w:rFonts w:hint="eastAsia"/>
        </w:rPr>
        <w:t>内容</w:t>
      </w:r>
      <w:r w:rsidRPr="009F1D3E">
        <w:t>全面的报告</w:t>
      </w:r>
      <w:r w:rsidRPr="009F1D3E">
        <w:t>(A/69/338)</w:t>
      </w:r>
      <w:r w:rsidRPr="009F1D3E">
        <w:rPr>
          <w:rFonts w:hint="eastAsia"/>
        </w:rPr>
        <w:t>，</w:t>
      </w:r>
      <w:r w:rsidRPr="009F1D3E">
        <w:t>并衷心感谢有机会</w:t>
      </w:r>
      <w:r w:rsidRPr="009F1D3E">
        <w:rPr>
          <w:rFonts w:hint="eastAsia"/>
        </w:rPr>
        <w:t>就</w:t>
      </w:r>
      <w:r w:rsidRPr="009F1D3E">
        <w:t>其内容表达</w:t>
      </w:r>
      <w:r w:rsidRPr="009F1D3E">
        <w:rPr>
          <w:rFonts w:hint="eastAsia"/>
        </w:rPr>
        <w:t>观点。</w:t>
      </w:r>
      <w:r w:rsidRPr="009F1D3E">
        <w:t>他提及已根据该报告的建议采取</w:t>
      </w:r>
      <w:r w:rsidRPr="009F1D3E">
        <w:rPr>
          <w:rFonts w:hint="eastAsia"/>
        </w:rPr>
        <w:t>的</w:t>
      </w:r>
      <w:r w:rsidRPr="009F1D3E">
        <w:t>措施</w:t>
      </w:r>
      <w:r w:rsidRPr="009F1D3E">
        <w:rPr>
          <w:rFonts w:hint="eastAsia"/>
        </w:rPr>
        <w:t>，</w:t>
      </w:r>
      <w:r w:rsidRPr="009F1D3E">
        <w:t>即</w:t>
      </w:r>
      <w:r w:rsidRPr="009F1D3E">
        <w:rPr>
          <w:rFonts w:hint="eastAsia"/>
        </w:rPr>
        <w:t>：</w:t>
      </w:r>
      <w:r w:rsidRPr="009F1D3E">
        <w:t>将</w:t>
      </w:r>
      <w:r w:rsidRPr="009F1D3E">
        <w:rPr>
          <w:rFonts w:hint="eastAsia"/>
        </w:rPr>
        <w:t>《联合国安全管理系统政策手册》的适用范围扩大至非武装私营安保公司。根据这一建议，机构间安保管理网确认有必要进一步明确联合国关于使用非武装私营安保公司的立场，并因此支持设立关于该问题的工作组。</w:t>
      </w:r>
      <w:r w:rsidRPr="009F1D3E">
        <w:rPr>
          <w:rFonts w:hint="eastAsia"/>
        </w:rPr>
        <w:t>2015</w:t>
      </w:r>
      <w:r w:rsidRPr="009F1D3E">
        <w:rPr>
          <w:rFonts w:hint="eastAsia"/>
        </w:rPr>
        <w:t>年</w:t>
      </w:r>
      <w:r w:rsidRPr="009F1D3E">
        <w:rPr>
          <w:rFonts w:hint="eastAsia"/>
        </w:rPr>
        <w:t>3</w:t>
      </w:r>
      <w:r w:rsidRPr="009F1D3E">
        <w:rPr>
          <w:rFonts w:hint="eastAsia"/>
        </w:rPr>
        <w:t>月，非武装私营安保服务工作组正式成立，并通过了其职权范围，采取了初步措施，以确定是否需要就非武装私营安保服务的使用制订单独的政策和准则。</w:t>
      </w:r>
    </w:p>
    <w:p w:rsidR="009F1D3E" w:rsidRPr="009F1D3E" w:rsidRDefault="009F1D3E" w:rsidP="00571071">
      <w:pPr>
        <w:pStyle w:val="SingleTxt"/>
      </w:pPr>
      <w:r w:rsidRPr="009F1D3E">
        <w:rPr>
          <w:rFonts w:hint="eastAsia"/>
        </w:rPr>
        <w:t>70</w:t>
      </w:r>
      <w:r w:rsidR="001D27F5" w:rsidRPr="001D27F5">
        <w:rPr>
          <w:rFonts w:hint="eastAsia"/>
        </w:rPr>
        <w:t xml:space="preserve">.  </w:t>
      </w:r>
      <w:r w:rsidRPr="009F1D3E">
        <w:t>副秘书长指出</w:t>
      </w:r>
      <w:r w:rsidRPr="009F1D3E">
        <w:rPr>
          <w:rFonts w:hint="eastAsia"/>
        </w:rPr>
        <w:t>，如何</w:t>
      </w:r>
      <w:r w:rsidRPr="009F1D3E">
        <w:t>在操作和</w:t>
      </w:r>
      <w:r w:rsidRPr="009F1D3E">
        <w:rPr>
          <w:rFonts w:hint="eastAsia"/>
        </w:rPr>
        <w:t>技术</w:t>
      </w:r>
      <w:r w:rsidRPr="009F1D3E">
        <w:t>层面落实现行的</w:t>
      </w:r>
      <w:r w:rsidRPr="009F1D3E">
        <w:rPr>
          <w:rFonts w:hint="eastAsia"/>
        </w:rPr>
        <w:t>《联合国安全管理系统政策手册》及其相关准则，恐怕还需要采取更多措施。在这方面，最大挑战之一便是确保根据雇佣军工作组的建议，让受聘的私营安保公司设立健全的内部监督和问责机制，包括投诉和绩效报告机制。由于目前的经费有限，联合国尚未划拨建立外部监测机制的额外经费，以确保合同的正确执行，同时确保实施不当或不法行为的承包公司和人员承担责任。他指出，在政策层面，主要问题在于缺乏一个国际规范框架，规范使用私营安保公司的问题，无论是武装还是非武装安保公司。他表示这一问题无法依靠单一甚至多个国际组织解决。关键行动体</w:t>
      </w:r>
      <w:r w:rsidRPr="00571071">
        <w:rPr>
          <w:rFonts w:hint="eastAsia"/>
          <w:spacing w:val="-50"/>
        </w:rPr>
        <w:t>—</w:t>
      </w:r>
      <w:r w:rsidRPr="009F1D3E">
        <w:rPr>
          <w:rFonts w:hint="eastAsia"/>
        </w:rPr>
        <w:t>—包括作为私营安保公司基地或业务所在地的成员国和私营安保公司本身</w:t>
      </w:r>
      <w:r w:rsidR="00571071" w:rsidRPr="00571071">
        <w:rPr>
          <w:rFonts w:hint="eastAsia"/>
          <w:spacing w:val="-50"/>
        </w:rPr>
        <w:t>—</w:t>
      </w:r>
      <w:r w:rsidR="00571071" w:rsidRPr="009F1D3E">
        <w:rPr>
          <w:rFonts w:hint="eastAsia"/>
        </w:rPr>
        <w:t>—</w:t>
      </w:r>
      <w:r w:rsidRPr="009F1D3E">
        <w:rPr>
          <w:rFonts w:hint="eastAsia"/>
        </w:rPr>
        <w:t>也必须参与到一个正式的进程，以建立共同的、国际公认的规范框架。</w:t>
      </w:r>
    </w:p>
    <w:p w:rsidR="009F1D3E" w:rsidRPr="009F1D3E" w:rsidRDefault="009F1D3E" w:rsidP="009F1D3E">
      <w:pPr>
        <w:pStyle w:val="SingleTxt"/>
        <w:rPr>
          <w:lang w:eastAsia="de-CH"/>
        </w:rPr>
      </w:pPr>
      <w:r w:rsidRPr="009F1D3E">
        <w:rPr>
          <w:rFonts w:hint="eastAsia"/>
        </w:rPr>
        <w:t>71</w:t>
      </w:r>
      <w:r w:rsidR="00571071">
        <w:rPr>
          <w:rFonts w:hint="eastAsia"/>
        </w:rPr>
        <w:t>.</w:t>
      </w:r>
      <w:r w:rsidRPr="009F1D3E">
        <w:tab/>
      </w:r>
      <w:r w:rsidRPr="009F1D3E">
        <w:t>在随后的</w:t>
      </w:r>
      <w:r w:rsidRPr="009F1D3E">
        <w:rPr>
          <w:rFonts w:hint="eastAsia"/>
        </w:rPr>
        <w:t>讨论</w:t>
      </w:r>
      <w:r w:rsidRPr="009F1D3E">
        <w:t>中</w:t>
      </w:r>
      <w:r w:rsidRPr="009F1D3E">
        <w:rPr>
          <w:rFonts w:hint="eastAsia"/>
        </w:rPr>
        <w:t>，</w:t>
      </w:r>
      <w:r w:rsidRPr="009F1D3E">
        <w:t>代表团就以下</w:t>
      </w:r>
      <w:r w:rsidRPr="009F1D3E">
        <w:rPr>
          <w:rFonts w:hint="eastAsia"/>
        </w:rPr>
        <w:t>事项</w:t>
      </w:r>
      <w:r w:rsidRPr="009F1D3E">
        <w:t>提出了问题</w:t>
      </w:r>
      <w:r w:rsidRPr="009F1D3E">
        <w:rPr>
          <w:rFonts w:hint="eastAsia"/>
        </w:rPr>
        <w:t>：</w:t>
      </w:r>
      <w:r w:rsidRPr="009F1D3E">
        <w:rPr>
          <w:rFonts w:hint="eastAsia"/>
        </w:rPr>
        <w:t>(a)</w:t>
      </w:r>
      <w:r w:rsidR="00F65192">
        <w:rPr>
          <w:rFonts w:hint="eastAsia"/>
        </w:rPr>
        <w:t xml:space="preserve"> </w:t>
      </w:r>
      <w:r w:rsidRPr="009F1D3E">
        <w:rPr>
          <w:rFonts w:hint="eastAsia"/>
        </w:rPr>
        <w:t>联合国在多少个国家使用了非武装私营安保公司；</w:t>
      </w:r>
      <w:r w:rsidRPr="009F1D3E">
        <w:rPr>
          <w:rFonts w:hint="eastAsia"/>
        </w:rPr>
        <w:t>(b)</w:t>
      </w:r>
      <w:r w:rsidR="00F65192">
        <w:rPr>
          <w:rFonts w:hint="eastAsia"/>
        </w:rPr>
        <w:t xml:space="preserve"> </w:t>
      </w:r>
      <w:r w:rsidRPr="009F1D3E">
        <w:rPr>
          <w:rFonts w:hint="eastAsia"/>
        </w:rPr>
        <w:t>私营安保公司在多大程度上参与了维和行动，以及鉴于成员国越来越多地使用这些公司，他们参与维和行动的程度是否会增加；</w:t>
      </w:r>
      <w:r w:rsidRPr="009F1D3E">
        <w:rPr>
          <w:rFonts w:hint="eastAsia"/>
        </w:rPr>
        <w:t>(c)</w:t>
      </w:r>
      <w:r w:rsidR="00F65192">
        <w:rPr>
          <w:rFonts w:hint="eastAsia"/>
        </w:rPr>
        <w:t xml:space="preserve"> </w:t>
      </w:r>
      <w:r w:rsidRPr="009F1D3E">
        <w:rPr>
          <w:rFonts w:hint="eastAsia"/>
        </w:rPr>
        <w:t>被联合国雇用的公司是否存在直接参与战斗或参与审问羁押战犯的风险。</w:t>
      </w:r>
    </w:p>
    <w:p w:rsidR="009F1D3E" w:rsidRPr="009F1D3E" w:rsidRDefault="009F1D3E" w:rsidP="009F1D3E">
      <w:pPr>
        <w:pStyle w:val="SingleTxt"/>
        <w:rPr>
          <w:lang w:eastAsia="de-CH"/>
        </w:rPr>
      </w:pPr>
      <w:r w:rsidRPr="009F1D3E">
        <w:rPr>
          <w:rFonts w:hint="eastAsia"/>
        </w:rPr>
        <w:t>72</w:t>
      </w:r>
      <w:r w:rsidR="001D27F5" w:rsidRPr="001D27F5">
        <w:rPr>
          <w:rFonts w:hint="eastAsia"/>
        </w:rPr>
        <w:t xml:space="preserve">.  </w:t>
      </w:r>
      <w:r w:rsidRPr="009F1D3E">
        <w:rPr>
          <w:rFonts w:hint="eastAsia"/>
        </w:rPr>
        <w:t>副秘书长回答，目前联合国在维持和平行动部下的</w:t>
      </w:r>
      <w:r w:rsidRPr="009F1D3E">
        <w:rPr>
          <w:rFonts w:hint="eastAsia"/>
        </w:rPr>
        <w:t>10</w:t>
      </w:r>
      <w:r w:rsidRPr="009F1D3E">
        <w:rPr>
          <w:rFonts w:hint="eastAsia"/>
        </w:rPr>
        <w:t>个特派团、</w:t>
      </w:r>
      <w:r w:rsidRPr="009F1D3E">
        <w:rPr>
          <w:rFonts w:hint="eastAsia"/>
        </w:rPr>
        <w:t>11</w:t>
      </w:r>
      <w:r w:rsidRPr="009F1D3E">
        <w:rPr>
          <w:rFonts w:hint="eastAsia"/>
        </w:rPr>
        <w:t>个政治特派团和驻肯尼亚和西班牙的支助基地等地雇用了非武装安保公司。他希望以后不需要增加对私营安保公司的使用，同时强调了联合国行动所处的安全保障形势。雇用这些公司的决定不是随意作出的，而是根据安全风险评估和相关特派团保安队的建议，作为最后选项作出的。最后，副秘书长证实，联合国雇用的私营安保公司既没</w:t>
      </w:r>
      <w:r w:rsidRPr="009F1D3E">
        <w:rPr>
          <w:rFonts w:hint="eastAsia"/>
        </w:rPr>
        <w:lastRenderedPageBreak/>
        <w:t>有直接参与战斗也没有参与审问或羁押战俘。安保公司的主要角色是保护联合国人员、房舍和财产。</w:t>
      </w:r>
    </w:p>
    <w:p w:rsidR="009F1D3E" w:rsidRPr="009F1D3E" w:rsidRDefault="009F1D3E" w:rsidP="009F1D3E">
      <w:pPr>
        <w:pStyle w:val="SingleTxt"/>
      </w:pPr>
      <w:r w:rsidRPr="009F1D3E">
        <w:rPr>
          <w:rFonts w:hint="eastAsia"/>
        </w:rPr>
        <w:t>73</w:t>
      </w:r>
      <w:r w:rsidR="001D27F5" w:rsidRPr="001D27F5">
        <w:rPr>
          <w:rFonts w:hint="eastAsia"/>
        </w:rPr>
        <w:t xml:space="preserve">.  </w:t>
      </w:r>
      <w:r w:rsidRPr="009F1D3E">
        <w:t>有一个代表团强调</w:t>
      </w:r>
      <w:r w:rsidRPr="009F1D3E">
        <w:rPr>
          <w:rFonts w:hint="eastAsia"/>
        </w:rPr>
        <w:t>，</w:t>
      </w:r>
      <w:r w:rsidRPr="009F1D3E">
        <w:t>尽管成员国可能在聘用私营安保公司的问题上有不同</w:t>
      </w:r>
      <w:r w:rsidRPr="009F1D3E">
        <w:rPr>
          <w:rFonts w:hint="eastAsia"/>
        </w:rPr>
        <w:t>观点，但</w:t>
      </w:r>
      <w:r w:rsidRPr="009F1D3E">
        <w:t>所有成员国都是联合国的一部分</w:t>
      </w:r>
      <w:r w:rsidRPr="009F1D3E">
        <w:rPr>
          <w:rFonts w:hint="eastAsia"/>
        </w:rPr>
        <w:t>，</w:t>
      </w:r>
      <w:r w:rsidRPr="009F1D3E">
        <w:t>也许都</w:t>
      </w:r>
      <w:r w:rsidRPr="009F1D3E">
        <w:rPr>
          <w:rFonts w:hint="eastAsia"/>
        </w:rPr>
        <w:t>认识到</w:t>
      </w:r>
      <w:r w:rsidRPr="009F1D3E">
        <w:t>本组织在某些环境下雇用</w:t>
      </w:r>
      <w:r w:rsidRPr="009F1D3E">
        <w:rPr>
          <w:rFonts w:hint="eastAsia"/>
        </w:rPr>
        <w:t>私营安保</w:t>
      </w:r>
      <w:r w:rsidRPr="009F1D3E">
        <w:t>公司协助其</w:t>
      </w:r>
      <w:r w:rsidRPr="009F1D3E">
        <w:rPr>
          <w:rFonts w:hint="eastAsia"/>
        </w:rPr>
        <w:t>运作</w:t>
      </w:r>
      <w:r w:rsidRPr="009F1D3E">
        <w:t>即使不是</w:t>
      </w:r>
      <w:r w:rsidRPr="009F1D3E">
        <w:rPr>
          <w:rFonts w:hint="eastAsia"/>
        </w:rPr>
        <w:t>必须的，</w:t>
      </w:r>
      <w:r w:rsidRPr="009F1D3E">
        <w:t>也已成为惯例</w:t>
      </w:r>
      <w:r w:rsidRPr="009F1D3E">
        <w:rPr>
          <w:rFonts w:hint="eastAsia"/>
        </w:rPr>
        <w:t>。关于监督和问责，该代表团要求提供更多资料，以说明联合国接到多少例请求，要求其采取措施阻止虐待行为和为获得救济提供便利。</w:t>
      </w:r>
    </w:p>
    <w:p w:rsidR="009F1D3E" w:rsidRPr="009F1D3E" w:rsidRDefault="009F1D3E" w:rsidP="009F1D3E">
      <w:pPr>
        <w:pStyle w:val="SingleTxt"/>
        <w:rPr>
          <w:lang w:eastAsia="de-CH"/>
        </w:rPr>
      </w:pPr>
      <w:r w:rsidRPr="009F1D3E">
        <w:rPr>
          <w:rFonts w:hint="eastAsia"/>
        </w:rPr>
        <w:t>74</w:t>
      </w:r>
      <w:r w:rsidR="001D27F5" w:rsidRPr="001D27F5">
        <w:rPr>
          <w:rFonts w:hint="eastAsia"/>
        </w:rPr>
        <w:t xml:space="preserve">.  </w:t>
      </w:r>
      <w:r w:rsidRPr="009F1D3E">
        <w:t>副秘书长在回答时重申</w:t>
      </w:r>
      <w:r w:rsidRPr="009F1D3E">
        <w:rPr>
          <w:rFonts w:hint="eastAsia"/>
        </w:rPr>
        <w:t>，</w:t>
      </w:r>
      <w:r w:rsidRPr="009F1D3E">
        <w:t>现已采取</w:t>
      </w:r>
      <w:r w:rsidRPr="009F1D3E">
        <w:rPr>
          <w:rFonts w:hint="eastAsia"/>
        </w:rPr>
        <w:t>一切</w:t>
      </w:r>
      <w:r w:rsidRPr="009F1D3E">
        <w:t>措施确保国际人道主义法和人权法得到尊重</w:t>
      </w:r>
      <w:r w:rsidRPr="009F1D3E">
        <w:rPr>
          <w:rFonts w:hint="eastAsia"/>
        </w:rPr>
        <w:t>。</w:t>
      </w:r>
      <w:r w:rsidRPr="009F1D3E">
        <w:t>自其上任</w:t>
      </w:r>
      <w:r w:rsidRPr="009F1D3E">
        <w:rPr>
          <w:rFonts w:hint="eastAsia"/>
        </w:rPr>
        <w:t>以来以及在之前的</w:t>
      </w:r>
      <w:r w:rsidRPr="009F1D3E">
        <w:t>交接期</w:t>
      </w:r>
      <w:r w:rsidRPr="009F1D3E">
        <w:rPr>
          <w:rFonts w:hint="eastAsia"/>
        </w:rPr>
        <w:t>，</w:t>
      </w:r>
      <w:r w:rsidRPr="009F1D3E">
        <w:t>没有</w:t>
      </w:r>
      <w:r w:rsidRPr="009F1D3E">
        <w:rPr>
          <w:rFonts w:hint="eastAsia"/>
        </w:rPr>
        <w:t>接到虐待案件的报告。</w:t>
      </w:r>
      <w:r w:rsidRPr="009F1D3E">
        <w:t>每个月都进行</w:t>
      </w:r>
      <w:r w:rsidRPr="009F1D3E">
        <w:rPr>
          <w:rFonts w:hint="eastAsia"/>
        </w:rPr>
        <w:t>一次</w:t>
      </w:r>
      <w:r w:rsidRPr="009F1D3E">
        <w:t>审查</w:t>
      </w:r>
      <w:r w:rsidRPr="009F1D3E">
        <w:rPr>
          <w:rFonts w:hint="eastAsia"/>
        </w:rPr>
        <w:t>，安全和保安部的工作人员负责日常监督活动。另外，聘用程序严格，以尽可能减少虐待的发生。如有虐待事件发生，会向副秘书长汇报。</w:t>
      </w:r>
    </w:p>
    <w:p w:rsidR="009F1D3E" w:rsidRPr="009F1D3E" w:rsidRDefault="009F1D3E" w:rsidP="009F1D3E">
      <w:pPr>
        <w:pStyle w:val="SingleTxt"/>
      </w:pPr>
      <w:r w:rsidRPr="009F1D3E">
        <w:rPr>
          <w:rFonts w:hint="eastAsia"/>
        </w:rPr>
        <w:t>75</w:t>
      </w:r>
      <w:r w:rsidR="001D27F5" w:rsidRPr="001D27F5">
        <w:rPr>
          <w:rFonts w:hint="eastAsia"/>
        </w:rPr>
        <w:t xml:space="preserve">.  </w:t>
      </w:r>
      <w:r w:rsidRPr="009F1D3E">
        <w:t>主席兼报告员询问</w:t>
      </w:r>
      <w:r w:rsidRPr="009F1D3E">
        <w:rPr>
          <w:rFonts w:hint="eastAsia"/>
        </w:rPr>
        <w:t>，可否分享联合国使用非武装私营安保公司的经验，以及相关详细标准和准则，以此作为讨论的基础并在可能时为成员国所用。他还询问，在多大程度上及在什么条件下，维和特派团中的国家特遣队可以使用私营军事和安保公司。有一个代表团询问其他人道主义行动体所面临的安保局势，并询问联合国与困难安保环境中的行动体进行了怎样的合作。副秘书长回答说，联合国与成员国进行了密切合作，并在</w:t>
      </w:r>
      <w:r w:rsidRPr="009F1D3E">
        <w:rPr>
          <w:rFonts w:hint="eastAsia"/>
        </w:rPr>
        <w:t>2015</w:t>
      </w:r>
      <w:r w:rsidRPr="009F1D3E">
        <w:rPr>
          <w:rFonts w:hint="eastAsia"/>
        </w:rPr>
        <w:t>年</w:t>
      </w:r>
      <w:r w:rsidRPr="009F1D3E">
        <w:rPr>
          <w:rFonts w:hint="eastAsia"/>
        </w:rPr>
        <w:t>6</w:t>
      </w:r>
      <w:r w:rsidRPr="009F1D3E">
        <w:rPr>
          <w:rFonts w:hint="eastAsia"/>
        </w:rPr>
        <w:t>月举行了一次经验分享会，其中的议题就包括安保的供应。他还澄清，联合国雇用的是私营安保公司，不是私营军事公司。最后，他指出，联合国在复杂和困难的安保环境中，比如在阿拉伯叙利亚共和国和也门，与国际非政府组织进行了合作。</w:t>
      </w: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eastAsiaTheme="minorEastAsia"/>
        </w:rPr>
      </w:pPr>
      <w:r w:rsidRPr="009F1D3E">
        <w:tab/>
      </w:r>
      <w:r w:rsidRPr="009F1D3E">
        <w:rPr>
          <w:rFonts w:hint="eastAsia"/>
        </w:rPr>
        <w:t>四.</w:t>
      </w:r>
      <w:r w:rsidRPr="009F1D3E">
        <w:rPr>
          <w:rFonts w:eastAsiaTheme="minorEastAsia"/>
        </w:rPr>
        <w:tab/>
      </w:r>
      <w:r w:rsidRPr="009F1D3E">
        <w:rPr>
          <w:rFonts w:hint="eastAsia"/>
        </w:rPr>
        <w:t>最后发言</w:t>
      </w: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SingleTxt"/>
        <w:rPr>
          <w:rFonts w:asciiTheme="majorBidi" w:eastAsia="黑体" w:hAnsiTheme="majorBidi" w:cstheme="majorBidi"/>
        </w:rPr>
      </w:pPr>
      <w:r w:rsidRPr="009F1D3E">
        <w:rPr>
          <w:rFonts w:asciiTheme="majorBidi" w:eastAsia="黑体" w:hAnsiTheme="majorBidi" w:cstheme="majorBidi"/>
        </w:rPr>
        <w:t>76</w:t>
      </w:r>
      <w:r w:rsidR="001D27F5" w:rsidRPr="001D27F5">
        <w:rPr>
          <w:rFonts w:asciiTheme="majorBidi" w:eastAsia="黑体" w:hAnsiTheme="majorBidi" w:cstheme="majorBidi"/>
        </w:rPr>
        <w:t xml:space="preserve">.  </w:t>
      </w:r>
      <w:r w:rsidRPr="009F1D3E">
        <w:rPr>
          <w:rFonts w:asciiTheme="majorBidi" w:eastAsia="黑体" w:hAnsiTheme="majorBidi" w:cstheme="majorBidi"/>
        </w:rPr>
        <w:t>2015</w:t>
      </w:r>
      <w:r w:rsidRPr="009F1D3E">
        <w:rPr>
          <w:rFonts w:asciiTheme="majorBidi" w:eastAsia="黑体" w:hAnsiTheme="majorBidi" w:cstheme="majorBidi"/>
        </w:rPr>
        <w:t>年</w:t>
      </w:r>
      <w:r w:rsidRPr="009F1D3E">
        <w:rPr>
          <w:rFonts w:asciiTheme="majorBidi" w:eastAsia="黑体" w:hAnsiTheme="majorBidi" w:cstheme="majorBidi"/>
        </w:rPr>
        <w:t>5</w:t>
      </w:r>
      <w:r w:rsidRPr="009F1D3E">
        <w:rPr>
          <w:rFonts w:asciiTheme="majorBidi" w:eastAsia="黑体" w:hAnsiTheme="majorBidi" w:cstheme="majorBidi"/>
        </w:rPr>
        <w:t>月</w:t>
      </w:r>
      <w:r w:rsidRPr="009F1D3E">
        <w:rPr>
          <w:rFonts w:asciiTheme="majorBidi" w:eastAsia="黑体" w:hAnsiTheme="majorBidi" w:cstheme="majorBidi"/>
        </w:rPr>
        <w:t>1</w:t>
      </w:r>
      <w:r w:rsidRPr="009F1D3E">
        <w:rPr>
          <w:rFonts w:asciiTheme="majorBidi" w:eastAsia="黑体" w:hAnsiTheme="majorBidi" w:cstheme="majorBidi"/>
        </w:rPr>
        <w:t>日，主席兼报告员感谢了各代表团，并由衷感谢专家们作出的卓越贡献。他谈到，私营军事和安保公司正在越来越多地用于各种领域和环境，无论是陆地还是海上。讨论过的具体挑战包括：悬挂</w:t>
      </w:r>
      <w:r>
        <w:rPr>
          <w:rFonts w:asciiTheme="majorBidi" w:eastAsia="黑体" w:hAnsiTheme="majorBidi" w:cstheme="majorBidi" w:hint="eastAsia"/>
        </w:rPr>
        <w:t>“</w:t>
      </w:r>
      <w:r w:rsidRPr="009F1D3E">
        <w:rPr>
          <w:rFonts w:asciiTheme="majorBidi" w:eastAsia="黑体" w:hAnsiTheme="majorBidi" w:cstheme="majorBidi"/>
        </w:rPr>
        <w:t>方便旗</w:t>
      </w:r>
      <w:r>
        <w:rPr>
          <w:rFonts w:asciiTheme="majorBidi" w:eastAsia="黑体" w:hAnsiTheme="majorBidi" w:cstheme="majorBidi" w:hint="eastAsia"/>
        </w:rPr>
        <w:t>”</w:t>
      </w:r>
      <w:r w:rsidRPr="009F1D3E">
        <w:rPr>
          <w:rFonts w:asciiTheme="majorBidi" w:eastAsia="黑体" w:hAnsiTheme="majorBidi" w:cstheme="majorBidi"/>
        </w:rPr>
        <w:t>所涉司法管辖权问题；国际水</w:t>
      </w:r>
      <w:r w:rsidRPr="009F1D3E">
        <w:rPr>
          <w:rFonts w:ascii="黑体" w:eastAsia="黑体" w:hAnsi="黑体" w:cstheme="majorBidi"/>
        </w:rPr>
        <w:t>域“浮动军械库”涉及</w:t>
      </w:r>
      <w:r w:rsidRPr="009F1D3E">
        <w:rPr>
          <w:rFonts w:asciiTheme="majorBidi" w:eastAsia="黑体" w:hAnsiTheme="majorBidi" w:cstheme="majorBidi"/>
        </w:rPr>
        <w:t>的武器储存问题，包括可能规避有关国家限制武器进出口的法律；确保私营军事和安保公司尊重有关国家相关法律；以及国际法律事务合作尤其是法律互助中的挑战。</w:t>
      </w:r>
    </w:p>
    <w:p w:rsidR="009F1D3E" w:rsidRPr="009F1D3E" w:rsidRDefault="009F1D3E" w:rsidP="009F1D3E">
      <w:pPr>
        <w:pStyle w:val="SingleTxt"/>
        <w:rPr>
          <w:rFonts w:asciiTheme="majorBidi" w:eastAsia="黑体" w:hAnsiTheme="majorBidi" w:cstheme="majorBidi"/>
        </w:rPr>
      </w:pPr>
      <w:r w:rsidRPr="009F1D3E">
        <w:rPr>
          <w:rFonts w:asciiTheme="majorBidi" w:eastAsia="黑体" w:hAnsiTheme="majorBidi" w:cstheme="majorBidi"/>
        </w:rPr>
        <w:t>77.</w:t>
      </w:r>
      <w:r>
        <w:rPr>
          <w:rFonts w:asciiTheme="majorBidi" w:eastAsia="黑体" w:hAnsiTheme="majorBidi" w:cstheme="majorBidi" w:hint="eastAsia"/>
        </w:rPr>
        <w:t xml:space="preserve">  </w:t>
      </w:r>
      <w:r w:rsidRPr="009F1D3E">
        <w:rPr>
          <w:rFonts w:asciiTheme="majorBidi" w:eastAsia="黑体" w:hAnsiTheme="majorBidi" w:cstheme="majorBidi"/>
        </w:rPr>
        <w:t>主席兼报告员建议不限成员名额政府间工作组考虑将下述内容纳入其结论和建议：</w:t>
      </w:r>
    </w:p>
    <w:p w:rsidR="009F1D3E" w:rsidRPr="009F1D3E" w:rsidRDefault="009F1D3E" w:rsidP="009F1D3E">
      <w:pPr>
        <w:pStyle w:val="SingleTxt"/>
        <w:ind w:left="1701"/>
        <w:rPr>
          <w:rFonts w:asciiTheme="majorBidi" w:eastAsia="黑体" w:hAnsiTheme="majorBidi" w:cstheme="majorBidi"/>
          <w:sz w:val="24"/>
          <w:szCs w:val="24"/>
        </w:rPr>
      </w:pPr>
      <w:r w:rsidRPr="009F1D3E">
        <w:rPr>
          <w:rFonts w:asciiTheme="majorBidi" w:eastAsia="黑体" w:hAnsiTheme="majorBidi" w:cstheme="majorBidi"/>
          <w:b/>
        </w:rPr>
        <w:t>[</w:t>
      </w:r>
      <w:r w:rsidRPr="009F1D3E">
        <w:rPr>
          <w:rFonts w:asciiTheme="majorBidi" w:eastAsia="黑体" w:hAnsiTheme="majorBidi" w:cstheme="majorBidi"/>
        </w:rPr>
        <w:t>第</w:t>
      </w:r>
      <w:r w:rsidRPr="009F1D3E">
        <w:rPr>
          <w:rFonts w:asciiTheme="majorBidi" w:eastAsia="黑体" w:hAnsiTheme="majorBidi" w:cstheme="majorBidi"/>
        </w:rPr>
        <w:t>1</w:t>
      </w:r>
      <w:r w:rsidRPr="009F1D3E">
        <w:rPr>
          <w:rFonts w:asciiTheme="majorBidi" w:eastAsia="黑体" w:hAnsiTheme="majorBidi" w:cstheme="majorBidi"/>
        </w:rPr>
        <w:t>段</w:t>
      </w:r>
      <w:r w:rsidRPr="009F1D3E">
        <w:rPr>
          <w:rFonts w:asciiTheme="majorBidi" w:eastAsia="黑体" w:hAnsiTheme="majorBidi" w:cstheme="majorBidi"/>
          <w:b/>
        </w:rPr>
        <w:t>]</w:t>
      </w:r>
      <w:r w:rsidRPr="009F1D3E">
        <w:rPr>
          <w:rFonts w:asciiTheme="majorBidi" w:eastAsia="黑体" w:hAnsiTheme="majorBidi" w:cstheme="majorBidi"/>
        </w:rPr>
        <w:t xml:space="preserve"> </w:t>
      </w:r>
      <w:r w:rsidRPr="009F1D3E">
        <w:rPr>
          <w:rFonts w:asciiTheme="majorBidi" w:eastAsia="黑体" w:hAnsiTheme="majorBidi" w:cstheme="majorBidi"/>
        </w:rPr>
        <w:t>政府间工作组注意到其第三和第四届会议期间所讨论问题的多面性和多样性，包括：私营军事公司和私营安保公司活动的区分；有关私营军事和安保公司登记、发放执照和订立合同的办法；确保问责和向受害者提供援助和救济；建立国际监管框架的可能性；对私营安保公司的海上活动进行监管的特殊性；以及联合国使用私营安保公司的问题。政府间工作组注意到各利益攸关方就上述问题采取的措施，同时强调仍然存在的挑战。</w:t>
      </w:r>
    </w:p>
    <w:p w:rsidR="009F1D3E" w:rsidRPr="009F1D3E" w:rsidRDefault="009F1D3E" w:rsidP="009F1D3E">
      <w:pPr>
        <w:pStyle w:val="SingleTxt"/>
        <w:ind w:left="1701"/>
        <w:rPr>
          <w:rFonts w:asciiTheme="majorBidi" w:eastAsia="黑体" w:hAnsiTheme="majorBidi" w:cstheme="majorBidi"/>
        </w:rPr>
      </w:pPr>
      <w:r w:rsidRPr="009F1D3E">
        <w:rPr>
          <w:rFonts w:asciiTheme="majorBidi" w:eastAsia="黑体" w:hAnsiTheme="majorBidi" w:cstheme="majorBidi"/>
        </w:rPr>
        <w:lastRenderedPageBreak/>
        <w:t>[</w:t>
      </w:r>
      <w:r w:rsidRPr="009F1D3E">
        <w:rPr>
          <w:rFonts w:asciiTheme="majorBidi" w:eastAsia="黑体" w:hAnsiTheme="majorBidi" w:cstheme="majorBidi"/>
        </w:rPr>
        <w:t>第</w:t>
      </w:r>
      <w:r w:rsidRPr="009F1D3E">
        <w:rPr>
          <w:rFonts w:asciiTheme="majorBidi" w:eastAsia="黑体" w:hAnsiTheme="majorBidi" w:cstheme="majorBidi"/>
        </w:rPr>
        <w:t>2</w:t>
      </w:r>
      <w:r w:rsidRPr="009F1D3E">
        <w:rPr>
          <w:rFonts w:asciiTheme="majorBidi" w:eastAsia="黑体" w:hAnsiTheme="majorBidi" w:cstheme="majorBidi"/>
        </w:rPr>
        <w:t>段</w:t>
      </w:r>
      <w:r w:rsidRPr="009F1D3E">
        <w:rPr>
          <w:rFonts w:asciiTheme="majorBidi" w:eastAsia="黑体" w:hAnsiTheme="majorBidi" w:cstheme="majorBidi"/>
        </w:rPr>
        <w:t>]</w:t>
      </w:r>
      <w:r>
        <w:rPr>
          <w:rFonts w:asciiTheme="majorBidi" w:eastAsia="黑体" w:hAnsiTheme="majorBidi" w:cstheme="majorBidi" w:hint="eastAsia"/>
        </w:rPr>
        <w:t xml:space="preserve"> </w:t>
      </w:r>
      <w:r w:rsidRPr="009F1D3E">
        <w:rPr>
          <w:rFonts w:asciiTheme="majorBidi" w:eastAsia="黑体" w:hAnsiTheme="majorBidi" w:cstheme="majorBidi"/>
        </w:rPr>
        <w:t>关于如何实现保护人权和确保对私营军事和安保公司相关活动造成的侵权行为追究责任这一共同目标，与会者提出了不同观点。一些代表团建议政府间工作组开始酝酿一个对私营军事和安保公司进行监管、监测和监督的有法律约束力的文书，并提交条约草稿的要点供政府间工作组审议。其他代表团建议工作组审议可供探索的各种不同方案，以便进一步制定国际监管框架，包括设立国际标准和制定准则，可能包括行动计划或示范法、基于《蒙特勒文件》的合同模板、最佳做法和司法互助方案。</w:t>
      </w:r>
    </w:p>
    <w:p w:rsidR="009F1D3E" w:rsidRPr="009F1D3E" w:rsidRDefault="009F1D3E" w:rsidP="009F1D3E">
      <w:pPr>
        <w:pStyle w:val="SingleTxt"/>
        <w:ind w:left="1701"/>
        <w:rPr>
          <w:rFonts w:asciiTheme="majorBidi" w:eastAsia="黑体" w:hAnsiTheme="majorBidi" w:cstheme="majorBidi"/>
        </w:rPr>
      </w:pPr>
      <w:r w:rsidRPr="009F1D3E">
        <w:rPr>
          <w:rFonts w:asciiTheme="majorBidi" w:eastAsia="黑体" w:hAnsiTheme="majorBidi" w:cstheme="majorBidi"/>
        </w:rPr>
        <w:t>[</w:t>
      </w:r>
      <w:r w:rsidRPr="009F1D3E">
        <w:rPr>
          <w:rFonts w:asciiTheme="majorBidi" w:eastAsia="黑体" w:hAnsiTheme="majorBidi" w:cstheme="majorBidi"/>
        </w:rPr>
        <w:t>第</w:t>
      </w:r>
      <w:r w:rsidRPr="009F1D3E">
        <w:rPr>
          <w:rFonts w:asciiTheme="majorBidi" w:eastAsia="黑体" w:hAnsiTheme="majorBidi" w:cstheme="majorBidi"/>
        </w:rPr>
        <w:t>3</w:t>
      </w:r>
      <w:r w:rsidRPr="009F1D3E">
        <w:rPr>
          <w:rFonts w:asciiTheme="majorBidi" w:eastAsia="黑体" w:hAnsiTheme="majorBidi" w:cstheme="majorBidi"/>
        </w:rPr>
        <w:t>段</w:t>
      </w:r>
      <w:r w:rsidRPr="009F1D3E">
        <w:rPr>
          <w:rFonts w:asciiTheme="majorBidi" w:eastAsia="黑体" w:hAnsiTheme="majorBidi" w:cstheme="majorBidi"/>
        </w:rPr>
        <w:t>]</w:t>
      </w:r>
      <w:r w:rsidR="008B012D">
        <w:rPr>
          <w:rFonts w:asciiTheme="majorBidi" w:eastAsia="黑体" w:hAnsiTheme="majorBidi" w:cstheme="majorBidi" w:hint="eastAsia"/>
        </w:rPr>
        <w:t xml:space="preserve"> </w:t>
      </w:r>
      <w:r w:rsidRPr="009F1D3E">
        <w:rPr>
          <w:rFonts w:asciiTheme="majorBidi" w:eastAsia="黑体" w:hAnsiTheme="majorBidi" w:cstheme="majorBidi"/>
        </w:rPr>
        <w:t>考虑到人权理事会</w:t>
      </w:r>
      <w:r w:rsidRPr="009F1D3E">
        <w:rPr>
          <w:rFonts w:asciiTheme="majorBidi" w:eastAsia="黑体" w:hAnsiTheme="majorBidi" w:cstheme="majorBidi"/>
        </w:rPr>
        <w:t>2015</w:t>
      </w:r>
      <w:r w:rsidRPr="009F1D3E">
        <w:rPr>
          <w:rFonts w:asciiTheme="majorBidi" w:eastAsia="黑体" w:hAnsiTheme="majorBidi" w:cstheme="majorBidi"/>
        </w:rPr>
        <w:t>年</w:t>
      </w:r>
      <w:r w:rsidRPr="009F1D3E">
        <w:rPr>
          <w:rFonts w:asciiTheme="majorBidi" w:eastAsia="黑体" w:hAnsiTheme="majorBidi" w:cstheme="majorBidi"/>
        </w:rPr>
        <w:t>3</w:t>
      </w:r>
      <w:r w:rsidRPr="009F1D3E">
        <w:rPr>
          <w:rFonts w:asciiTheme="majorBidi" w:eastAsia="黑体" w:hAnsiTheme="majorBidi" w:cstheme="majorBidi"/>
        </w:rPr>
        <w:t>月</w:t>
      </w:r>
      <w:r w:rsidRPr="009F1D3E">
        <w:rPr>
          <w:rFonts w:asciiTheme="majorBidi" w:eastAsia="黑体" w:hAnsiTheme="majorBidi" w:cstheme="majorBidi"/>
        </w:rPr>
        <w:t>26</w:t>
      </w:r>
      <w:r w:rsidRPr="009F1D3E">
        <w:rPr>
          <w:rFonts w:asciiTheme="majorBidi" w:eastAsia="黑体" w:hAnsiTheme="majorBidi" w:cstheme="majorBidi"/>
        </w:rPr>
        <w:t>日的第</w:t>
      </w:r>
      <w:r w:rsidRPr="009F1D3E">
        <w:rPr>
          <w:rFonts w:asciiTheme="majorBidi" w:eastAsia="黑体" w:hAnsiTheme="majorBidi" w:cstheme="majorBidi"/>
        </w:rPr>
        <w:t>28/7</w:t>
      </w:r>
      <w:r w:rsidRPr="009F1D3E">
        <w:rPr>
          <w:rFonts w:asciiTheme="majorBidi" w:eastAsia="黑体" w:hAnsiTheme="majorBidi" w:cstheme="majorBidi"/>
        </w:rPr>
        <w:t>号决议，政府间工作组将继续就上述问题开展工作，并建议进一步审议包括以下问题在内的人权问题：</w:t>
      </w:r>
      <w:r w:rsidRPr="009F1D3E">
        <w:rPr>
          <w:rFonts w:asciiTheme="majorBidi" w:eastAsia="黑体" w:hAnsiTheme="majorBidi" w:cstheme="majorBidi"/>
        </w:rPr>
        <w:t>(a)</w:t>
      </w:r>
      <w:r>
        <w:rPr>
          <w:rFonts w:asciiTheme="majorBidi" w:eastAsia="黑体" w:hAnsiTheme="majorBidi" w:cstheme="majorBidi" w:hint="eastAsia"/>
        </w:rPr>
        <w:t xml:space="preserve"> </w:t>
      </w:r>
      <w:r w:rsidRPr="009F1D3E">
        <w:rPr>
          <w:rFonts w:asciiTheme="majorBidi" w:eastAsia="黑体" w:hAnsiTheme="majorBidi" w:cstheme="majorBidi"/>
        </w:rPr>
        <w:t>私营军事和安保公司在海洋环境中的运营；</w:t>
      </w:r>
      <w:r w:rsidRPr="009F1D3E">
        <w:rPr>
          <w:rFonts w:asciiTheme="majorBidi" w:eastAsia="黑体" w:hAnsiTheme="majorBidi" w:cstheme="majorBidi"/>
        </w:rPr>
        <w:t>(b)</w:t>
      </w:r>
      <w:r>
        <w:rPr>
          <w:rFonts w:asciiTheme="majorBidi" w:eastAsia="黑体" w:hAnsiTheme="majorBidi" w:cstheme="majorBidi" w:hint="eastAsia"/>
        </w:rPr>
        <w:t xml:space="preserve"> </w:t>
      </w:r>
      <w:r w:rsidRPr="009F1D3E">
        <w:rPr>
          <w:rFonts w:asciiTheme="majorBidi" w:eastAsia="黑体" w:hAnsiTheme="majorBidi" w:cstheme="majorBidi"/>
        </w:rPr>
        <w:t>人道主义行动体对私营军事和安保公司的使用；</w:t>
      </w:r>
      <w:r w:rsidRPr="009F1D3E">
        <w:rPr>
          <w:rFonts w:asciiTheme="majorBidi" w:eastAsia="黑体" w:hAnsiTheme="majorBidi" w:cstheme="majorBidi"/>
        </w:rPr>
        <w:t>(c)</w:t>
      </w:r>
      <w:r>
        <w:rPr>
          <w:rFonts w:asciiTheme="majorBidi" w:eastAsia="黑体" w:hAnsiTheme="majorBidi" w:cstheme="majorBidi" w:hint="eastAsia"/>
        </w:rPr>
        <w:t xml:space="preserve"> </w:t>
      </w:r>
      <w:r w:rsidRPr="009F1D3E">
        <w:rPr>
          <w:rFonts w:asciiTheme="majorBidi" w:eastAsia="黑体" w:hAnsiTheme="majorBidi" w:cstheme="majorBidi"/>
        </w:rPr>
        <w:t>与私营军事和安保公司活动相关的侵权和虐待受害者求助司法和获得救济的问题。</w:t>
      </w:r>
    </w:p>
    <w:p w:rsidR="009F1D3E" w:rsidRPr="009F1D3E" w:rsidRDefault="009F1D3E" w:rsidP="009F1D3E">
      <w:pPr>
        <w:pStyle w:val="SingleTxt"/>
        <w:rPr>
          <w:rFonts w:asciiTheme="majorBidi" w:eastAsia="黑体" w:hAnsiTheme="majorBidi" w:cstheme="majorBidi"/>
          <w:b/>
        </w:rPr>
      </w:pPr>
      <w:r w:rsidRPr="009F1D3E">
        <w:rPr>
          <w:rFonts w:asciiTheme="majorBidi" w:eastAsia="黑体" w:hAnsiTheme="majorBidi" w:cstheme="majorBidi"/>
        </w:rPr>
        <w:t>78</w:t>
      </w:r>
      <w:r w:rsidR="001D27F5" w:rsidRPr="001D27F5">
        <w:rPr>
          <w:rFonts w:asciiTheme="majorBidi" w:eastAsia="黑体" w:hAnsiTheme="majorBidi" w:cstheme="majorBidi"/>
        </w:rPr>
        <w:t xml:space="preserve">.  </w:t>
      </w:r>
      <w:r w:rsidRPr="009F1D3E">
        <w:rPr>
          <w:rFonts w:asciiTheme="majorBidi" w:eastAsia="黑体" w:hAnsiTheme="majorBidi" w:cstheme="majorBidi"/>
        </w:rPr>
        <w:t>主席兼报告员很遗憾，尽管一些代表团表示赞同，但没有就第</w:t>
      </w:r>
      <w:r w:rsidRPr="009F1D3E">
        <w:rPr>
          <w:rFonts w:asciiTheme="majorBidi" w:eastAsia="黑体" w:hAnsiTheme="majorBidi" w:cstheme="majorBidi"/>
        </w:rPr>
        <w:t>2</w:t>
      </w:r>
      <w:r w:rsidRPr="009F1D3E">
        <w:rPr>
          <w:rFonts w:asciiTheme="majorBidi" w:eastAsia="黑体" w:hAnsiTheme="majorBidi" w:cstheme="majorBidi"/>
        </w:rPr>
        <w:t>段和第</w:t>
      </w:r>
      <w:r w:rsidRPr="009F1D3E">
        <w:rPr>
          <w:rFonts w:asciiTheme="majorBidi" w:eastAsia="黑体" w:hAnsiTheme="majorBidi" w:cstheme="majorBidi"/>
        </w:rPr>
        <w:t>3</w:t>
      </w:r>
      <w:r w:rsidRPr="009F1D3E">
        <w:rPr>
          <w:rFonts w:asciiTheme="majorBidi" w:eastAsia="黑体" w:hAnsiTheme="majorBidi" w:cstheme="majorBidi"/>
        </w:rPr>
        <w:t>段达成共识。</w:t>
      </w:r>
    </w:p>
    <w:p w:rsidR="009F1D3E" w:rsidRPr="009F1D3E" w:rsidRDefault="009F1D3E" w:rsidP="009F1D3E">
      <w:pPr>
        <w:pStyle w:val="SingleTxt"/>
        <w:rPr>
          <w:rFonts w:asciiTheme="majorBidi" w:eastAsia="黑体" w:hAnsiTheme="majorBidi" w:cstheme="majorBidi"/>
        </w:rPr>
      </w:pPr>
      <w:r w:rsidRPr="009F1D3E">
        <w:rPr>
          <w:rFonts w:asciiTheme="majorBidi" w:eastAsia="黑体" w:hAnsiTheme="majorBidi" w:cstheme="majorBidi"/>
        </w:rPr>
        <w:t>79</w:t>
      </w:r>
      <w:r w:rsidR="001D27F5" w:rsidRPr="001D27F5">
        <w:rPr>
          <w:rFonts w:asciiTheme="majorBidi" w:eastAsia="黑体" w:hAnsiTheme="majorBidi" w:cstheme="majorBidi"/>
        </w:rPr>
        <w:t xml:space="preserve">.  </w:t>
      </w:r>
      <w:r w:rsidRPr="009F1D3E">
        <w:rPr>
          <w:rFonts w:asciiTheme="majorBidi" w:eastAsia="黑体" w:hAnsiTheme="majorBidi" w:cstheme="majorBidi"/>
        </w:rPr>
        <w:t>欧洲联盟和非洲集团的最后发言，仅以提交语言分别收录在附件二和附件三。</w:t>
      </w: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9F1D3E">
        <w:tab/>
        <w:t>五.</w:t>
      </w:r>
      <w:r w:rsidRPr="009F1D3E">
        <w:tab/>
        <w:t>结论和建议</w:t>
      </w: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宋体" w:cs="宋体"/>
          <w:sz w:val="10"/>
        </w:rPr>
      </w:pPr>
    </w:p>
    <w:p w:rsidR="009F1D3E" w:rsidRPr="009F1D3E" w:rsidRDefault="009F1D3E" w:rsidP="009F1D3E">
      <w:pPr>
        <w:pStyle w:val="SingleTxt"/>
        <w:rPr>
          <w:rFonts w:asciiTheme="majorBidi" w:eastAsia="黑体" w:hAnsiTheme="majorBidi" w:cstheme="majorBidi"/>
        </w:rPr>
      </w:pPr>
      <w:r w:rsidRPr="009F1D3E">
        <w:rPr>
          <w:rFonts w:asciiTheme="majorBidi" w:eastAsia="黑体" w:hAnsiTheme="majorBidi" w:cstheme="majorBidi"/>
        </w:rPr>
        <w:t>80</w:t>
      </w:r>
      <w:r w:rsidR="001D27F5" w:rsidRPr="001D27F5">
        <w:rPr>
          <w:rFonts w:asciiTheme="majorBidi" w:eastAsia="黑体" w:hAnsiTheme="majorBidi" w:cstheme="majorBidi"/>
        </w:rPr>
        <w:t xml:space="preserve">.  </w:t>
      </w:r>
      <w:r w:rsidRPr="009F1D3E">
        <w:rPr>
          <w:rFonts w:asciiTheme="majorBidi" w:eastAsia="黑体" w:hAnsiTheme="majorBidi" w:cstheme="majorBidi"/>
        </w:rPr>
        <w:t>政府间工作组注意到其第三和第四届会议期间所讨论问题的多面性和多样性，包括：私营军事公司和私营安保公司活动的区分；有关私营军事和安保公司登记、发放执照和订立合同的办法；确保问责和向受害者提供援助和救济；建立国际监管框架的可能性；对私营安保公司的海上活动进行监管的特殊性；以及联合国使用私营安保公司的问题。政府间工作组注意到各利益攸关方就上述问题采取的措施，同时强调仍然存在的挑战。</w:t>
      </w:r>
    </w:p>
    <w:p w:rsidR="009F1D3E" w:rsidRPr="009F1D3E" w:rsidRDefault="009F1D3E" w:rsidP="009F1D3E">
      <w:pPr>
        <w:pStyle w:val="SingleTxt"/>
        <w:rPr>
          <w:rFonts w:asciiTheme="majorBidi" w:eastAsia="黑体" w:hAnsiTheme="majorBidi" w:cstheme="majorBidi"/>
        </w:rPr>
      </w:pPr>
      <w:r w:rsidRPr="009F1D3E">
        <w:rPr>
          <w:rFonts w:asciiTheme="majorBidi" w:eastAsia="黑体" w:hAnsiTheme="majorBidi" w:cstheme="majorBidi"/>
        </w:rPr>
        <w:t>81</w:t>
      </w:r>
      <w:r w:rsidR="001D27F5" w:rsidRPr="001D27F5">
        <w:rPr>
          <w:rFonts w:asciiTheme="majorBidi" w:eastAsia="黑体" w:hAnsiTheme="majorBidi" w:cstheme="majorBidi"/>
        </w:rPr>
        <w:t xml:space="preserve">.  </w:t>
      </w:r>
      <w:r w:rsidRPr="009F1D3E">
        <w:rPr>
          <w:rFonts w:asciiTheme="majorBidi" w:eastAsia="黑体" w:hAnsiTheme="majorBidi" w:cstheme="majorBidi"/>
        </w:rPr>
        <w:t>政府间工作组将继续就上述问题开展工作，并建议进一步审议相关人权问题。</w:t>
      </w:r>
    </w:p>
    <w:p w:rsidR="009F1D3E" w:rsidRPr="009F1D3E" w:rsidRDefault="009F1D3E" w:rsidP="001D27F5">
      <w:pPr>
        <w:pStyle w:val="HChG"/>
        <w:rPr>
          <w:u w:val="single"/>
          <w:lang w:val="fr-CH" w:eastAsia="zh-CN"/>
        </w:rPr>
      </w:pPr>
      <w:r w:rsidRPr="009F1D3E">
        <w:rPr>
          <w:u w:val="single"/>
          <w:lang w:eastAsia="zh-CN"/>
        </w:rPr>
        <w:br w:type="page"/>
      </w:r>
    </w:p>
    <w:p w:rsidR="00F65192" w:rsidRPr="00F65192" w:rsidRDefault="00F65192" w:rsidP="00F65192">
      <w:pPr>
        <w:keepNext/>
        <w:keepLines/>
        <w:tabs>
          <w:tab w:val="right" w:pos="851"/>
        </w:tabs>
        <w:suppressAutoHyphens/>
        <w:kinsoku w:val="0"/>
        <w:overflowPunct w:val="0"/>
        <w:autoSpaceDE w:val="0"/>
        <w:autoSpaceDN w:val="0"/>
        <w:adjustRightInd w:val="0"/>
        <w:snapToGrid w:val="0"/>
        <w:spacing w:line="120" w:lineRule="exact"/>
        <w:ind w:left="1134" w:right="1134" w:hanging="1134"/>
        <w:jc w:val="left"/>
        <w:rPr>
          <w:rFonts w:eastAsiaTheme="minorHAnsi"/>
          <w:b/>
          <w:kern w:val="0"/>
          <w:sz w:val="10"/>
          <w:lang w:val="en-GB"/>
        </w:rPr>
      </w:pPr>
    </w:p>
    <w:p w:rsidR="00F65192" w:rsidRPr="00F65192" w:rsidRDefault="00F65192" w:rsidP="00F65192">
      <w:pPr>
        <w:keepNext/>
        <w:keepLines/>
        <w:tabs>
          <w:tab w:val="right" w:pos="851"/>
        </w:tabs>
        <w:suppressAutoHyphens/>
        <w:kinsoku w:val="0"/>
        <w:overflowPunct w:val="0"/>
        <w:autoSpaceDE w:val="0"/>
        <w:autoSpaceDN w:val="0"/>
        <w:adjustRightInd w:val="0"/>
        <w:snapToGrid w:val="0"/>
        <w:spacing w:line="120" w:lineRule="exact"/>
        <w:ind w:left="1134" w:right="1134" w:hanging="1134"/>
        <w:jc w:val="left"/>
        <w:rPr>
          <w:rFonts w:eastAsiaTheme="minorHAnsi"/>
          <w:b/>
          <w:kern w:val="0"/>
          <w:sz w:val="10"/>
          <w:lang w:val="en-GB"/>
        </w:rPr>
      </w:pPr>
    </w:p>
    <w:p w:rsidR="00F65192" w:rsidRPr="00F65192" w:rsidRDefault="00F65192" w:rsidP="00F65192">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jc w:val="left"/>
        <w:rPr>
          <w:rFonts w:eastAsiaTheme="minorHAnsi"/>
          <w:b/>
          <w:kern w:val="0"/>
          <w:sz w:val="28"/>
          <w:lang w:val="en-GB" w:eastAsia="en-US"/>
        </w:rPr>
      </w:pPr>
      <w:r w:rsidRPr="00F65192">
        <w:rPr>
          <w:rFonts w:eastAsiaTheme="minorHAnsi"/>
          <w:b/>
          <w:kern w:val="0"/>
          <w:sz w:val="28"/>
          <w:lang w:val="en-GB"/>
        </w:rPr>
        <w:tab/>
      </w:r>
      <w:r w:rsidRPr="00F65192">
        <w:rPr>
          <w:rFonts w:eastAsiaTheme="minorHAnsi"/>
          <w:b/>
          <w:kern w:val="0"/>
          <w:sz w:val="28"/>
          <w:lang w:val="en-GB"/>
        </w:rPr>
        <w:tab/>
      </w:r>
      <w:r w:rsidRPr="00F65192">
        <w:rPr>
          <w:rFonts w:eastAsiaTheme="minorHAnsi"/>
          <w:b/>
          <w:kern w:val="0"/>
          <w:sz w:val="28"/>
          <w:lang w:val="en-GB" w:eastAsia="en-US"/>
        </w:rPr>
        <w:t>Annex I</w:t>
      </w:r>
    </w:p>
    <w:p w:rsidR="00F65192" w:rsidRPr="00F65192" w:rsidRDefault="00F65192" w:rsidP="00F65192">
      <w:pPr>
        <w:suppressAutoHyphens/>
        <w:adjustRightInd w:val="0"/>
        <w:snapToGrid w:val="0"/>
        <w:spacing w:after="120" w:line="240" w:lineRule="atLeast"/>
        <w:ind w:left="1134" w:right="1134"/>
        <w:jc w:val="right"/>
        <w:rPr>
          <w:rFonts w:eastAsiaTheme="minorEastAsia"/>
          <w:i/>
          <w:iCs/>
          <w:kern w:val="0"/>
          <w:sz w:val="20"/>
          <w:lang w:val="x-none" w:eastAsia="en-US"/>
        </w:rPr>
      </w:pPr>
      <w:r w:rsidRPr="00F65192">
        <w:rPr>
          <w:rFonts w:eastAsiaTheme="minorEastAsia"/>
          <w:iCs/>
          <w:kern w:val="0"/>
          <w:sz w:val="20"/>
          <w:lang w:val="x-none" w:eastAsia="en-US"/>
        </w:rPr>
        <w:t>[</w:t>
      </w:r>
      <w:r w:rsidRPr="00F65192">
        <w:rPr>
          <w:rFonts w:eastAsiaTheme="minorEastAsia"/>
          <w:i/>
          <w:iCs/>
          <w:kern w:val="0"/>
          <w:sz w:val="20"/>
          <w:lang w:val="x-none" w:eastAsia="en-US"/>
        </w:rPr>
        <w:t>English</w:t>
      </w:r>
      <w:r w:rsidRPr="00F65192">
        <w:rPr>
          <w:rFonts w:eastAsiaTheme="minorEastAsia"/>
          <w:i/>
          <w:iCs/>
          <w:kern w:val="0"/>
          <w:sz w:val="20"/>
          <w:lang w:eastAsia="en-US"/>
        </w:rPr>
        <w:t xml:space="preserve"> only</w:t>
      </w:r>
      <w:r w:rsidRPr="00F65192">
        <w:rPr>
          <w:rFonts w:eastAsiaTheme="minorEastAsia"/>
          <w:iCs/>
          <w:kern w:val="0"/>
          <w:sz w:val="20"/>
          <w:lang w:val="x-none" w:eastAsia="en-US"/>
        </w:rPr>
        <w:t>]</w:t>
      </w:r>
    </w:p>
    <w:p w:rsidR="00F65192" w:rsidRPr="00F65192" w:rsidRDefault="00F65192" w:rsidP="00F65192">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jc w:val="left"/>
        <w:rPr>
          <w:rFonts w:eastAsiaTheme="minorHAnsi"/>
          <w:b/>
          <w:kern w:val="0"/>
          <w:sz w:val="28"/>
          <w:lang w:val="en-GB" w:eastAsia="en-US"/>
        </w:rPr>
      </w:pPr>
      <w:r w:rsidRPr="00F65192">
        <w:rPr>
          <w:rFonts w:eastAsiaTheme="minorHAnsi"/>
          <w:b/>
          <w:kern w:val="0"/>
          <w:sz w:val="28"/>
          <w:lang w:val="en-GB" w:eastAsia="en-US"/>
        </w:rPr>
        <w:tab/>
      </w:r>
      <w:r w:rsidRPr="00F65192">
        <w:rPr>
          <w:rFonts w:eastAsiaTheme="minorHAnsi"/>
          <w:b/>
          <w:kern w:val="0"/>
          <w:sz w:val="28"/>
          <w:lang w:val="en-GB" w:eastAsia="en-US"/>
        </w:rPr>
        <w:tab/>
        <w:t>List of participants</w:t>
      </w:r>
    </w:p>
    <w:p w:rsidR="00F65192" w:rsidRPr="00F65192" w:rsidRDefault="00F65192" w:rsidP="00F65192">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jc w:val="left"/>
        <w:rPr>
          <w:rFonts w:eastAsiaTheme="minorHAnsi"/>
          <w:b/>
          <w:kern w:val="0"/>
          <w:sz w:val="24"/>
          <w:lang w:val="en-GB" w:eastAsia="en-US"/>
        </w:rPr>
      </w:pPr>
      <w:r w:rsidRPr="00F65192">
        <w:rPr>
          <w:rFonts w:eastAsiaTheme="minorHAnsi"/>
          <w:b/>
          <w:kern w:val="0"/>
          <w:sz w:val="24"/>
          <w:lang w:val="en-GB" w:eastAsia="en-US"/>
        </w:rPr>
        <w:tab/>
      </w:r>
      <w:r w:rsidRPr="00F65192">
        <w:rPr>
          <w:rFonts w:eastAsiaTheme="minorHAnsi"/>
          <w:b/>
          <w:kern w:val="0"/>
          <w:sz w:val="24"/>
          <w:lang w:val="en-GB" w:eastAsia="en-US"/>
        </w:rPr>
        <w:tab/>
        <w:t xml:space="preserve">States Members of the United Nations </w:t>
      </w:r>
    </w:p>
    <w:p w:rsidR="00F65192" w:rsidRPr="00F65192" w:rsidRDefault="00F65192" w:rsidP="00F65192">
      <w:pPr>
        <w:suppressAutoHyphens/>
        <w:adjustRightInd w:val="0"/>
        <w:snapToGrid w:val="0"/>
        <w:spacing w:after="120" w:line="240" w:lineRule="atLeast"/>
        <w:ind w:left="1134" w:right="1134"/>
        <w:rPr>
          <w:rFonts w:eastAsiaTheme="minorEastAsia"/>
          <w:kern w:val="0"/>
          <w:sz w:val="20"/>
          <w:lang w:val="en-GB" w:eastAsia="en-US"/>
        </w:rPr>
      </w:pPr>
      <w:r w:rsidRPr="00F65192">
        <w:rPr>
          <w:rFonts w:eastAsiaTheme="minorEastAsia"/>
          <w:kern w:val="0"/>
          <w:sz w:val="20"/>
          <w:lang w:val="x-none" w:eastAsia="en-US"/>
        </w:rPr>
        <w:t xml:space="preserve">Algeria, Argentina, Australia, Bangladesh, Belgium, Brazil, Colombia, China, Cuba, Egypt, France, Germany, Greece, Guatemala, </w:t>
      </w:r>
      <w:r w:rsidRPr="00F65192">
        <w:rPr>
          <w:rFonts w:eastAsiaTheme="minorEastAsia"/>
          <w:kern w:val="0"/>
          <w:sz w:val="20"/>
          <w:lang w:val="en-GB" w:eastAsia="en-US"/>
        </w:rPr>
        <w:t xml:space="preserve">India, </w:t>
      </w:r>
      <w:r w:rsidRPr="00F65192">
        <w:rPr>
          <w:rFonts w:eastAsiaTheme="minorEastAsia"/>
          <w:kern w:val="0"/>
          <w:sz w:val="20"/>
          <w:lang w:val="x-none" w:eastAsia="en-US"/>
        </w:rPr>
        <w:t xml:space="preserve">Iran (Islamic Republic of), </w:t>
      </w:r>
      <w:r w:rsidRPr="00F65192">
        <w:rPr>
          <w:rFonts w:eastAsiaTheme="minorEastAsia"/>
          <w:kern w:val="0"/>
          <w:sz w:val="20"/>
          <w:lang w:val="en-GB" w:eastAsia="en-US"/>
        </w:rPr>
        <w:t xml:space="preserve">Ireland, </w:t>
      </w:r>
      <w:r w:rsidRPr="00F65192">
        <w:rPr>
          <w:rFonts w:eastAsiaTheme="minorEastAsia"/>
          <w:kern w:val="0"/>
          <w:sz w:val="20"/>
          <w:lang w:val="x-none" w:eastAsia="en-US"/>
        </w:rPr>
        <w:t xml:space="preserve">Italy, Japan, Jordan, Kazakhstan, Latvia, Libya, Luxembourg, Mexico, Morocco, </w:t>
      </w:r>
      <w:r w:rsidRPr="00F65192">
        <w:rPr>
          <w:rFonts w:eastAsiaTheme="minorEastAsia"/>
          <w:kern w:val="0"/>
          <w:sz w:val="20"/>
          <w:lang w:val="en-GB" w:eastAsia="en-US"/>
        </w:rPr>
        <w:t xml:space="preserve">Namibia, </w:t>
      </w:r>
      <w:r w:rsidRPr="00F65192">
        <w:rPr>
          <w:rFonts w:eastAsiaTheme="minorEastAsia"/>
          <w:kern w:val="0"/>
          <w:sz w:val="20"/>
          <w:lang w:val="x-none" w:eastAsia="en-US"/>
        </w:rPr>
        <w:t xml:space="preserve">Norway, Pakistan, Panama, Paraguay, Republic of Korea, Russian Federation, Saudi Arabia, Senegal, South Africa, Spain, Sri Lanka, </w:t>
      </w:r>
      <w:r w:rsidRPr="00F65192">
        <w:rPr>
          <w:rFonts w:eastAsiaTheme="minorEastAsia"/>
          <w:kern w:val="0"/>
          <w:sz w:val="20"/>
          <w:lang w:val="en-GB" w:eastAsia="en-US"/>
        </w:rPr>
        <w:t xml:space="preserve">Sudan, </w:t>
      </w:r>
      <w:r w:rsidRPr="00F65192">
        <w:rPr>
          <w:rFonts w:eastAsiaTheme="minorEastAsia"/>
          <w:kern w:val="0"/>
          <w:sz w:val="20"/>
          <w:lang w:val="x-none" w:eastAsia="en-US"/>
        </w:rPr>
        <w:t>Switzerland, Syrian Arab Republic, Thailand, Tunisia, United Kingdom of Great Britain and Northern Ireland, United States of America, Venezuela (Bolivarian Republic of)</w:t>
      </w:r>
      <w:r w:rsidRPr="00F65192">
        <w:rPr>
          <w:rFonts w:eastAsiaTheme="minorEastAsia"/>
          <w:kern w:val="0"/>
          <w:sz w:val="20"/>
          <w:lang w:val="en-GB" w:eastAsia="en-US"/>
        </w:rPr>
        <w:t>,</w:t>
      </w:r>
      <w:r w:rsidRPr="00F65192">
        <w:rPr>
          <w:rFonts w:eastAsiaTheme="minorEastAsia"/>
          <w:kern w:val="0"/>
          <w:sz w:val="20"/>
          <w:lang w:val="x-none" w:eastAsia="en-US"/>
        </w:rPr>
        <w:t xml:space="preserve"> Viet Nam</w:t>
      </w:r>
    </w:p>
    <w:p w:rsidR="00F65192" w:rsidRPr="00F65192" w:rsidRDefault="00F65192" w:rsidP="00F65192">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jc w:val="left"/>
        <w:rPr>
          <w:rFonts w:eastAsiaTheme="minorHAnsi"/>
          <w:b/>
          <w:kern w:val="0"/>
          <w:sz w:val="24"/>
          <w:lang w:val="en-GB" w:eastAsia="en-US"/>
        </w:rPr>
      </w:pPr>
      <w:r w:rsidRPr="00F65192">
        <w:rPr>
          <w:rFonts w:eastAsiaTheme="minorHAnsi"/>
          <w:b/>
          <w:kern w:val="0"/>
          <w:sz w:val="24"/>
          <w:lang w:val="en-GB" w:eastAsia="en-US"/>
        </w:rPr>
        <w:tab/>
      </w:r>
      <w:r w:rsidRPr="00F65192">
        <w:rPr>
          <w:rFonts w:eastAsiaTheme="minorHAnsi"/>
          <w:b/>
          <w:kern w:val="0"/>
          <w:sz w:val="24"/>
          <w:lang w:val="en-GB" w:eastAsia="en-US"/>
        </w:rPr>
        <w:tab/>
        <w:t>Non-member States represented by an observer</w:t>
      </w:r>
    </w:p>
    <w:p w:rsidR="00F65192" w:rsidRPr="00F65192" w:rsidRDefault="00F65192" w:rsidP="00F65192">
      <w:pPr>
        <w:suppressAutoHyphens/>
        <w:adjustRightInd w:val="0"/>
        <w:snapToGrid w:val="0"/>
        <w:spacing w:after="120" w:line="240" w:lineRule="atLeast"/>
        <w:ind w:left="1134" w:right="1134"/>
        <w:rPr>
          <w:rFonts w:eastAsiaTheme="minorEastAsia"/>
          <w:kern w:val="0"/>
          <w:sz w:val="20"/>
          <w:lang w:val="en-GB" w:eastAsia="en-US"/>
        </w:rPr>
      </w:pPr>
      <w:r w:rsidRPr="00F65192">
        <w:rPr>
          <w:rFonts w:eastAsiaTheme="minorEastAsia"/>
          <w:kern w:val="0"/>
          <w:sz w:val="20"/>
          <w:lang w:val="en-GB" w:eastAsia="en-US"/>
        </w:rPr>
        <w:t>State of Palestine</w:t>
      </w:r>
    </w:p>
    <w:p w:rsidR="00F65192" w:rsidRPr="00F65192" w:rsidRDefault="00F65192" w:rsidP="00F65192">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jc w:val="left"/>
        <w:rPr>
          <w:rFonts w:eastAsiaTheme="minorHAnsi"/>
          <w:b/>
          <w:kern w:val="0"/>
          <w:sz w:val="24"/>
          <w:lang w:val="en-GB" w:eastAsia="en-US"/>
        </w:rPr>
      </w:pPr>
      <w:r w:rsidRPr="00F65192">
        <w:rPr>
          <w:rFonts w:eastAsiaTheme="minorHAnsi"/>
          <w:b/>
          <w:kern w:val="0"/>
          <w:sz w:val="24"/>
          <w:lang w:val="en-GB" w:eastAsia="en-US"/>
        </w:rPr>
        <w:tab/>
      </w:r>
      <w:r w:rsidRPr="00F65192">
        <w:rPr>
          <w:rFonts w:eastAsiaTheme="minorHAnsi"/>
          <w:b/>
          <w:kern w:val="0"/>
          <w:sz w:val="24"/>
          <w:lang w:val="en-GB" w:eastAsia="en-US"/>
        </w:rPr>
        <w:tab/>
        <w:t xml:space="preserve">United Nations funds, programmes, specialized agencies </w:t>
      </w:r>
      <w:r w:rsidRPr="00F65192">
        <w:rPr>
          <w:rFonts w:eastAsiaTheme="minorHAnsi"/>
          <w:b/>
          <w:kern w:val="0"/>
          <w:sz w:val="24"/>
          <w:lang w:val="en-GB" w:eastAsia="en-US"/>
        </w:rPr>
        <w:br/>
        <w:t>and related organizations</w:t>
      </w:r>
    </w:p>
    <w:p w:rsidR="00F65192" w:rsidRPr="00F65192" w:rsidRDefault="00F65192" w:rsidP="00F65192">
      <w:pPr>
        <w:suppressAutoHyphens/>
        <w:adjustRightInd w:val="0"/>
        <w:snapToGrid w:val="0"/>
        <w:spacing w:after="120" w:line="240" w:lineRule="atLeast"/>
        <w:ind w:left="1134" w:right="1134"/>
        <w:rPr>
          <w:rFonts w:eastAsiaTheme="minorEastAsia"/>
          <w:kern w:val="0"/>
          <w:sz w:val="20"/>
          <w:lang w:val="en-GB" w:eastAsia="en-US"/>
        </w:rPr>
      </w:pPr>
      <w:r w:rsidRPr="00F65192">
        <w:rPr>
          <w:rFonts w:eastAsiaTheme="minorEastAsia"/>
          <w:kern w:val="0"/>
          <w:sz w:val="20"/>
          <w:lang w:val="en-GB" w:eastAsia="en-US"/>
        </w:rPr>
        <w:t>World Trade Organization</w:t>
      </w:r>
    </w:p>
    <w:p w:rsidR="00F65192" w:rsidRPr="00F65192" w:rsidRDefault="00F65192" w:rsidP="00F65192">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jc w:val="left"/>
        <w:rPr>
          <w:rFonts w:eastAsiaTheme="minorHAnsi"/>
          <w:b/>
          <w:kern w:val="0"/>
          <w:sz w:val="24"/>
          <w:lang w:val="en-GB" w:eastAsia="en-US"/>
        </w:rPr>
      </w:pPr>
      <w:r w:rsidRPr="00F65192">
        <w:rPr>
          <w:rFonts w:eastAsiaTheme="minorHAnsi"/>
          <w:b/>
          <w:kern w:val="0"/>
          <w:sz w:val="24"/>
          <w:lang w:val="en-GB" w:eastAsia="en-US"/>
        </w:rPr>
        <w:tab/>
      </w:r>
      <w:r w:rsidRPr="00F65192">
        <w:rPr>
          <w:rFonts w:eastAsiaTheme="minorHAnsi"/>
          <w:b/>
          <w:kern w:val="0"/>
          <w:sz w:val="24"/>
          <w:lang w:val="en-GB" w:eastAsia="en-US"/>
        </w:rPr>
        <w:tab/>
        <w:t>Intergovernmental organizations</w:t>
      </w:r>
    </w:p>
    <w:p w:rsidR="00F65192" w:rsidRPr="00F65192" w:rsidRDefault="00F65192" w:rsidP="00F65192">
      <w:pPr>
        <w:suppressAutoHyphens/>
        <w:adjustRightInd w:val="0"/>
        <w:snapToGrid w:val="0"/>
        <w:spacing w:after="120" w:line="240" w:lineRule="atLeast"/>
        <w:ind w:left="1134" w:right="1134"/>
        <w:rPr>
          <w:rFonts w:eastAsiaTheme="minorEastAsia"/>
          <w:kern w:val="0"/>
          <w:sz w:val="20"/>
          <w:lang w:val="en-GB" w:eastAsia="en-US"/>
        </w:rPr>
      </w:pPr>
      <w:r w:rsidRPr="00F65192">
        <w:rPr>
          <w:rFonts w:eastAsiaTheme="minorEastAsia"/>
          <w:kern w:val="0"/>
          <w:sz w:val="20"/>
          <w:lang w:val="en-GB" w:eastAsia="en-US"/>
        </w:rPr>
        <w:t xml:space="preserve">African Union, </w:t>
      </w:r>
      <w:r w:rsidRPr="00F65192">
        <w:rPr>
          <w:rFonts w:eastAsiaTheme="minorEastAsia"/>
          <w:kern w:val="0"/>
          <w:sz w:val="20"/>
          <w:lang w:val="x-none" w:eastAsia="en-US"/>
        </w:rPr>
        <w:t>European Union</w:t>
      </w:r>
    </w:p>
    <w:p w:rsidR="00F65192" w:rsidRPr="00F65192" w:rsidRDefault="00F65192" w:rsidP="00F65192">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jc w:val="left"/>
        <w:rPr>
          <w:rFonts w:eastAsiaTheme="minorHAnsi"/>
          <w:b/>
          <w:kern w:val="0"/>
          <w:sz w:val="24"/>
          <w:lang w:val="en-GB" w:eastAsia="en-US"/>
        </w:rPr>
      </w:pPr>
      <w:r w:rsidRPr="00F65192">
        <w:rPr>
          <w:rFonts w:eastAsiaTheme="minorHAnsi"/>
          <w:b/>
          <w:kern w:val="0"/>
          <w:sz w:val="24"/>
          <w:lang w:val="en-GB" w:eastAsia="en-US"/>
        </w:rPr>
        <w:tab/>
      </w:r>
      <w:r w:rsidRPr="00F65192">
        <w:rPr>
          <w:rFonts w:eastAsiaTheme="minorHAnsi"/>
          <w:b/>
          <w:kern w:val="0"/>
          <w:sz w:val="24"/>
          <w:lang w:val="en-GB" w:eastAsia="en-US"/>
        </w:rPr>
        <w:tab/>
        <w:t>Other entities</w:t>
      </w:r>
    </w:p>
    <w:p w:rsidR="00F65192" w:rsidRPr="00F65192" w:rsidRDefault="00F65192" w:rsidP="00F65192">
      <w:pPr>
        <w:suppressAutoHyphens/>
        <w:adjustRightInd w:val="0"/>
        <w:snapToGrid w:val="0"/>
        <w:spacing w:after="120" w:line="240" w:lineRule="atLeast"/>
        <w:ind w:left="1134" w:right="1134"/>
        <w:rPr>
          <w:rFonts w:eastAsiaTheme="minorEastAsia"/>
          <w:kern w:val="0"/>
          <w:sz w:val="20"/>
          <w:lang w:val="en-GB" w:eastAsia="en-US"/>
        </w:rPr>
      </w:pPr>
      <w:r w:rsidRPr="00F65192">
        <w:rPr>
          <w:rFonts w:eastAsiaTheme="minorEastAsia"/>
          <w:kern w:val="0"/>
          <w:sz w:val="20"/>
          <w:lang w:val="en-GB" w:eastAsia="en-US"/>
        </w:rPr>
        <w:t>International Committee of the Red Cross</w:t>
      </w:r>
    </w:p>
    <w:p w:rsidR="00F65192" w:rsidRPr="00F65192" w:rsidRDefault="00F65192" w:rsidP="00F65192">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jc w:val="left"/>
        <w:rPr>
          <w:rFonts w:eastAsiaTheme="minorHAnsi"/>
          <w:b/>
          <w:kern w:val="0"/>
          <w:sz w:val="24"/>
          <w:lang w:val="en-GB" w:eastAsia="en-US"/>
        </w:rPr>
      </w:pPr>
      <w:r w:rsidRPr="00F65192">
        <w:rPr>
          <w:rFonts w:eastAsiaTheme="minorHAnsi"/>
          <w:b/>
          <w:kern w:val="0"/>
          <w:sz w:val="24"/>
          <w:lang w:val="en-GB" w:eastAsia="en-US"/>
        </w:rPr>
        <w:tab/>
      </w:r>
      <w:r w:rsidRPr="00F65192">
        <w:rPr>
          <w:rFonts w:eastAsiaTheme="minorHAnsi"/>
          <w:b/>
          <w:kern w:val="0"/>
          <w:sz w:val="24"/>
          <w:lang w:val="en-GB" w:eastAsia="en-US"/>
        </w:rPr>
        <w:tab/>
        <w:t>Special procedures of the Human Rights Council</w:t>
      </w:r>
    </w:p>
    <w:p w:rsidR="00F65192" w:rsidRPr="00F65192" w:rsidRDefault="00F65192" w:rsidP="00F65192">
      <w:pPr>
        <w:suppressAutoHyphens/>
        <w:adjustRightInd w:val="0"/>
        <w:snapToGrid w:val="0"/>
        <w:spacing w:after="120" w:line="240" w:lineRule="atLeast"/>
        <w:ind w:left="1134" w:right="1134"/>
        <w:rPr>
          <w:rFonts w:eastAsiaTheme="minorEastAsia"/>
          <w:b/>
          <w:kern w:val="0"/>
          <w:sz w:val="20"/>
          <w:lang w:val="en-GB" w:eastAsia="en-US"/>
        </w:rPr>
      </w:pPr>
      <w:r w:rsidRPr="00F65192">
        <w:rPr>
          <w:rFonts w:eastAsiaTheme="minorEastAsia"/>
          <w:kern w:val="0"/>
          <w:sz w:val="20"/>
          <w:lang w:val="en-GB" w:eastAsia="en-US"/>
        </w:rPr>
        <w:t>Working Group on the use of mercenaries as a means of violating human rights and impeding the exercise of the right of peoples to self-determination</w:t>
      </w:r>
    </w:p>
    <w:p w:rsidR="00F65192" w:rsidRPr="00F65192" w:rsidRDefault="00F65192" w:rsidP="00F65192">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jc w:val="left"/>
        <w:rPr>
          <w:rFonts w:eastAsiaTheme="minorHAnsi"/>
          <w:b/>
          <w:kern w:val="0"/>
          <w:sz w:val="24"/>
          <w:lang w:val="en-GB" w:eastAsia="en-US"/>
        </w:rPr>
      </w:pPr>
      <w:r w:rsidRPr="00F65192">
        <w:rPr>
          <w:rFonts w:eastAsiaTheme="minorHAnsi"/>
          <w:b/>
          <w:kern w:val="0"/>
          <w:sz w:val="24"/>
          <w:lang w:val="en-GB" w:eastAsia="en-US"/>
        </w:rPr>
        <w:tab/>
      </w:r>
      <w:r w:rsidRPr="00F65192">
        <w:rPr>
          <w:rFonts w:eastAsiaTheme="minorHAnsi"/>
          <w:b/>
          <w:kern w:val="0"/>
          <w:sz w:val="24"/>
          <w:lang w:val="en-GB" w:eastAsia="en-US"/>
        </w:rPr>
        <w:tab/>
        <w:t xml:space="preserve">Non-governmental organizations in consultative status </w:t>
      </w:r>
      <w:r w:rsidRPr="00F65192">
        <w:rPr>
          <w:rFonts w:eastAsiaTheme="minorHAnsi"/>
          <w:b/>
          <w:kern w:val="0"/>
          <w:sz w:val="24"/>
          <w:lang w:val="en-GB" w:eastAsia="en-US"/>
        </w:rPr>
        <w:br/>
        <w:t>with the Economic and Social Council</w:t>
      </w:r>
    </w:p>
    <w:p w:rsidR="00F65192" w:rsidRPr="00F65192" w:rsidRDefault="00F65192" w:rsidP="00F65192">
      <w:pPr>
        <w:suppressAutoHyphens/>
        <w:adjustRightInd w:val="0"/>
        <w:snapToGrid w:val="0"/>
        <w:spacing w:after="120" w:line="240" w:lineRule="atLeast"/>
        <w:ind w:left="1134" w:right="1134"/>
        <w:rPr>
          <w:rFonts w:eastAsiaTheme="minorEastAsia"/>
          <w:kern w:val="0"/>
          <w:sz w:val="20"/>
          <w:lang w:eastAsia="en-US"/>
        </w:rPr>
      </w:pPr>
      <w:r w:rsidRPr="00F65192">
        <w:rPr>
          <w:rFonts w:eastAsiaTheme="minorEastAsia"/>
          <w:kern w:val="0"/>
          <w:sz w:val="20"/>
          <w:lang w:val="x-none" w:eastAsia="en-US"/>
        </w:rPr>
        <w:t>American Association of Jurists</w:t>
      </w:r>
      <w:r w:rsidRPr="00F65192">
        <w:rPr>
          <w:rFonts w:eastAsiaTheme="minorEastAsia"/>
          <w:kern w:val="0"/>
          <w:sz w:val="20"/>
          <w:lang w:val="en-GB" w:eastAsia="en-US"/>
        </w:rPr>
        <w:t>, Colombian Commission of Jurists, Centre for Socio-Economic Development</w:t>
      </w:r>
    </w:p>
    <w:p w:rsidR="00F65192" w:rsidRPr="00F65192" w:rsidRDefault="00F65192" w:rsidP="00F65192">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jc w:val="left"/>
        <w:rPr>
          <w:rFonts w:eastAsiaTheme="minorHAnsi"/>
          <w:b/>
          <w:kern w:val="0"/>
          <w:sz w:val="28"/>
          <w:lang w:val="en-GB" w:eastAsia="en-US"/>
        </w:rPr>
      </w:pPr>
      <w:r w:rsidRPr="00F65192">
        <w:rPr>
          <w:rFonts w:eastAsiaTheme="minorHAnsi"/>
          <w:b/>
          <w:kern w:val="0"/>
          <w:sz w:val="28"/>
          <w:lang w:val="en-GB" w:eastAsia="en-US"/>
        </w:rPr>
        <w:br w:type="page"/>
      </w:r>
      <w:r w:rsidRPr="00F65192">
        <w:rPr>
          <w:rFonts w:eastAsiaTheme="minorHAnsi"/>
          <w:b/>
          <w:kern w:val="0"/>
          <w:sz w:val="28"/>
          <w:lang w:val="en-GB" w:eastAsia="en-US"/>
        </w:rPr>
        <w:lastRenderedPageBreak/>
        <w:tab/>
      </w:r>
      <w:r w:rsidRPr="00F65192">
        <w:rPr>
          <w:rFonts w:eastAsiaTheme="minorHAnsi"/>
          <w:b/>
          <w:kern w:val="0"/>
          <w:sz w:val="28"/>
          <w:lang w:val="en-GB" w:eastAsia="en-US"/>
        </w:rPr>
        <w:tab/>
        <w:t>Annex II</w:t>
      </w:r>
    </w:p>
    <w:p w:rsidR="00F65192" w:rsidRPr="00F65192" w:rsidRDefault="00F65192" w:rsidP="00F65192">
      <w:pPr>
        <w:suppressAutoHyphens/>
        <w:adjustRightInd w:val="0"/>
        <w:snapToGrid w:val="0"/>
        <w:spacing w:after="120" w:line="240" w:lineRule="atLeast"/>
        <w:ind w:left="1134" w:right="1134"/>
        <w:jc w:val="right"/>
        <w:rPr>
          <w:rFonts w:eastAsiaTheme="minorEastAsia"/>
          <w:i/>
          <w:iCs/>
          <w:kern w:val="0"/>
          <w:sz w:val="20"/>
          <w:lang w:val="x-none" w:eastAsia="en-US"/>
        </w:rPr>
      </w:pPr>
      <w:r w:rsidRPr="00F65192">
        <w:rPr>
          <w:rFonts w:eastAsiaTheme="minorEastAsia"/>
          <w:iCs/>
          <w:kern w:val="0"/>
          <w:sz w:val="20"/>
          <w:lang w:val="x-none" w:eastAsia="en-US"/>
        </w:rPr>
        <w:t>[</w:t>
      </w:r>
      <w:r w:rsidRPr="00F65192">
        <w:rPr>
          <w:rFonts w:eastAsiaTheme="minorEastAsia"/>
          <w:i/>
          <w:iCs/>
          <w:kern w:val="0"/>
          <w:sz w:val="20"/>
          <w:lang w:val="x-none" w:eastAsia="en-US"/>
        </w:rPr>
        <w:t>English</w:t>
      </w:r>
      <w:r w:rsidRPr="00F65192">
        <w:rPr>
          <w:rFonts w:eastAsiaTheme="minorEastAsia"/>
          <w:i/>
          <w:iCs/>
          <w:kern w:val="0"/>
          <w:sz w:val="20"/>
          <w:lang w:eastAsia="en-US"/>
        </w:rPr>
        <w:t xml:space="preserve"> only</w:t>
      </w:r>
      <w:r w:rsidRPr="00F65192">
        <w:rPr>
          <w:rFonts w:eastAsiaTheme="minorEastAsia"/>
          <w:iCs/>
          <w:kern w:val="0"/>
          <w:sz w:val="20"/>
          <w:lang w:val="x-none" w:eastAsia="en-US"/>
        </w:rPr>
        <w:t>]</w:t>
      </w:r>
    </w:p>
    <w:p w:rsidR="00F65192" w:rsidRPr="00F65192" w:rsidRDefault="00F65192" w:rsidP="00F65192">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jc w:val="left"/>
        <w:rPr>
          <w:rFonts w:eastAsiaTheme="minorHAnsi"/>
          <w:b/>
          <w:kern w:val="0"/>
          <w:sz w:val="28"/>
          <w:lang w:val="en-GB" w:eastAsia="en-US"/>
        </w:rPr>
      </w:pPr>
      <w:r w:rsidRPr="00F65192">
        <w:rPr>
          <w:rFonts w:eastAsiaTheme="minorHAnsi"/>
          <w:b/>
          <w:kern w:val="0"/>
          <w:sz w:val="28"/>
          <w:lang w:val="en-GB" w:eastAsia="en-US"/>
        </w:rPr>
        <w:tab/>
      </w:r>
      <w:r w:rsidRPr="00F65192">
        <w:rPr>
          <w:rFonts w:eastAsiaTheme="minorHAnsi"/>
          <w:b/>
          <w:kern w:val="0"/>
          <w:sz w:val="28"/>
          <w:lang w:val="en-GB" w:eastAsia="en-US"/>
        </w:rPr>
        <w:tab/>
        <w:t>Concluding remarks by the European Union</w:t>
      </w:r>
    </w:p>
    <w:p w:rsidR="00F65192" w:rsidRPr="00F65192" w:rsidRDefault="00F65192" w:rsidP="00F65192">
      <w:pPr>
        <w:suppressAutoHyphens/>
        <w:adjustRightInd w:val="0"/>
        <w:snapToGrid w:val="0"/>
        <w:spacing w:after="120" w:line="240" w:lineRule="atLeast"/>
        <w:ind w:left="1134" w:right="1134"/>
        <w:rPr>
          <w:rFonts w:eastAsiaTheme="minorEastAsia"/>
          <w:kern w:val="0"/>
          <w:sz w:val="20"/>
          <w:lang w:val="x-none" w:eastAsia="en-US"/>
        </w:rPr>
      </w:pPr>
      <w:r w:rsidRPr="00F65192">
        <w:rPr>
          <w:rFonts w:eastAsiaTheme="minorEastAsia"/>
          <w:kern w:val="0"/>
          <w:sz w:val="20"/>
          <w:lang w:val="x-none" w:eastAsia="en-US"/>
        </w:rPr>
        <w:t>The European Union would like to thank the Chair and the Secretariat for the work in preparation of this session and during the session</w:t>
      </w:r>
      <w:r w:rsidRPr="00F65192">
        <w:rPr>
          <w:rFonts w:eastAsiaTheme="minorEastAsia"/>
          <w:kern w:val="0"/>
          <w:sz w:val="20"/>
          <w:lang w:val="en-GB" w:eastAsia="en-US"/>
        </w:rPr>
        <w:t>.</w:t>
      </w:r>
      <w:r w:rsidRPr="00F65192">
        <w:rPr>
          <w:rFonts w:eastAsiaTheme="minorEastAsia"/>
          <w:kern w:val="0"/>
          <w:sz w:val="20"/>
          <w:lang w:val="x-none" w:eastAsia="en-US"/>
        </w:rPr>
        <w:t xml:space="preserve"> </w:t>
      </w:r>
    </w:p>
    <w:p w:rsidR="00F65192" w:rsidRPr="00F65192" w:rsidRDefault="00F65192" w:rsidP="00F65192">
      <w:pPr>
        <w:suppressAutoHyphens/>
        <w:adjustRightInd w:val="0"/>
        <w:snapToGrid w:val="0"/>
        <w:spacing w:after="120" w:line="240" w:lineRule="atLeast"/>
        <w:ind w:left="1134" w:right="1134"/>
        <w:rPr>
          <w:rFonts w:eastAsiaTheme="minorEastAsia"/>
          <w:kern w:val="0"/>
          <w:sz w:val="20"/>
          <w:lang w:val="x-none" w:eastAsia="en-US"/>
        </w:rPr>
      </w:pPr>
      <w:r w:rsidRPr="00F65192">
        <w:rPr>
          <w:rFonts w:eastAsiaTheme="minorEastAsia"/>
          <w:kern w:val="0"/>
          <w:sz w:val="20"/>
          <w:lang w:val="x-none" w:eastAsia="en-US"/>
        </w:rPr>
        <w:t>The European Union believes that private security companies need to respect international humanitarian law and international human rights law.</w:t>
      </w:r>
    </w:p>
    <w:p w:rsidR="00F65192" w:rsidRPr="00F65192" w:rsidRDefault="00F65192" w:rsidP="00F65192">
      <w:pPr>
        <w:suppressAutoHyphens/>
        <w:adjustRightInd w:val="0"/>
        <w:snapToGrid w:val="0"/>
        <w:spacing w:after="120" w:line="240" w:lineRule="atLeast"/>
        <w:ind w:left="1134" w:right="1134"/>
        <w:rPr>
          <w:rFonts w:eastAsiaTheme="minorEastAsia"/>
          <w:kern w:val="0"/>
          <w:sz w:val="20"/>
          <w:lang w:val="x-none" w:eastAsia="en-US"/>
        </w:rPr>
      </w:pPr>
      <w:r w:rsidRPr="00F65192">
        <w:rPr>
          <w:rFonts w:eastAsiaTheme="minorEastAsia"/>
          <w:kern w:val="0"/>
          <w:sz w:val="20"/>
          <w:lang w:val="x-none" w:eastAsia="en-US"/>
        </w:rPr>
        <w:t xml:space="preserve">The European Union has actively and constructively engaged in the discussion of this </w:t>
      </w:r>
      <w:r w:rsidRPr="00F65192">
        <w:rPr>
          <w:rFonts w:eastAsiaTheme="minorEastAsia"/>
          <w:kern w:val="0"/>
          <w:sz w:val="20"/>
          <w:lang w:eastAsia="en-US"/>
        </w:rPr>
        <w:t>i</w:t>
      </w:r>
      <w:r w:rsidRPr="00F65192">
        <w:rPr>
          <w:rFonts w:eastAsiaTheme="minorEastAsia"/>
          <w:kern w:val="0"/>
          <w:sz w:val="20"/>
          <w:lang w:val="x-none" w:eastAsia="en-US"/>
        </w:rPr>
        <w:t xml:space="preserve">ntergovernmental </w:t>
      </w:r>
      <w:r w:rsidRPr="00F65192">
        <w:rPr>
          <w:rFonts w:eastAsiaTheme="minorEastAsia"/>
          <w:kern w:val="0"/>
          <w:sz w:val="20"/>
          <w:lang w:eastAsia="en-US"/>
        </w:rPr>
        <w:t>w</w:t>
      </w:r>
      <w:r w:rsidRPr="00F65192">
        <w:rPr>
          <w:rFonts w:eastAsiaTheme="minorEastAsia"/>
          <w:kern w:val="0"/>
          <w:sz w:val="20"/>
          <w:lang w:val="x-none" w:eastAsia="en-US"/>
        </w:rPr>
        <w:t xml:space="preserve">orking </w:t>
      </w:r>
      <w:r w:rsidRPr="00F65192">
        <w:rPr>
          <w:rFonts w:eastAsiaTheme="minorEastAsia"/>
          <w:kern w:val="0"/>
          <w:sz w:val="20"/>
          <w:lang w:eastAsia="en-US"/>
        </w:rPr>
        <w:t>g</w:t>
      </w:r>
      <w:r w:rsidRPr="00F65192">
        <w:rPr>
          <w:rFonts w:eastAsiaTheme="minorEastAsia"/>
          <w:kern w:val="0"/>
          <w:sz w:val="20"/>
          <w:lang w:val="x-none" w:eastAsia="en-US"/>
        </w:rPr>
        <w:t xml:space="preserve">roup over the past four years. Several presentations during this session were particularly informative and confirm that this industry is complex, and evolving. The presentations also confirm that many steps have already been taken to prevent abuses, and provide remedy when abuses occur. A range of obligations for States already exists, as well as several processes to set new standards, to elaborate concrete guidance for specific sectors, and to ensure oversight and accountability. </w:t>
      </w:r>
    </w:p>
    <w:p w:rsidR="00F65192" w:rsidRPr="00F65192" w:rsidRDefault="00F65192" w:rsidP="00F65192">
      <w:pPr>
        <w:suppressAutoHyphens/>
        <w:adjustRightInd w:val="0"/>
        <w:snapToGrid w:val="0"/>
        <w:spacing w:after="120" w:line="240" w:lineRule="atLeast"/>
        <w:ind w:left="1134" w:right="1134"/>
        <w:rPr>
          <w:rFonts w:eastAsiaTheme="minorEastAsia"/>
          <w:kern w:val="0"/>
          <w:sz w:val="20"/>
          <w:lang w:val="en-GB" w:eastAsia="en-US"/>
        </w:rPr>
      </w:pPr>
      <w:r w:rsidRPr="00F65192">
        <w:rPr>
          <w:rFonts w:eastAsiaTheme="minorEastAsia"/>
          <w:kern w:val="0"/>
          <w:sz w:val="20"/>
          <w:lang w:val="x-none" w:eastAsia="en-US"/>
        </w:rPr>
        <w:t>The discussion confirmed the specificities of regulating sea-based private security activities and the need to look into progress made in other fora. It is particular important not to duplicate the work carried by the International Maritime Organi</w:t>
      </w:r>
      <w:r w:rsidRPr="00F65192">
        <w:rPr>
          <w:rFonts w:eastAsiaTheme="minorEastAsia"/>
          <w:kern w:val="0"/>
          <w:sz w:val="20"/>
          <w:lang w:eastAsia="en-US"/>
        </w:rPr>
        <w:t>z</w:t>
      </w:r>
      <w:r w:rsidRPr="00F65192">
        <w:rPr>
          <w:rFonts w:eastAsiaTheme="minorEastAsia"/>
          <w:kern w:val="0"/>
          <w:sz w:val="20"/>
          <w:lang w:val="x-none" w:eastAsia="en-US"/>
        </w:rPr>
        <w:t>ation (IMO). IMO has a leading role on this issue</w:t>
      </w:r>
      <w:r w:rsidRPr="00F65192">
        <w:rPr>
          <w:rFonts w:eastAsiaTheme="minorEastAsia"/>
          <w:kern w:val="0"/>
          <w:sz w:val="20"/>
          <w:lang w:val="en-GB" w:eastAsia="en-US"/>
        </w:rPr>
        <w:t>.</w:t>
      </w:r>
    </w:p>
    <w:p w:rsidR="00F65192" w:rsidRPr="00F65192" w:rsidRDefault="00F65192" w:rsidP="00F65192">
      <w:pPr>
        <w:suppressAutoHyphens/>
        <w:adjustRightInd w:val="0"/>
        <w:snapToGrid w:val="0"/>
        <w:spacing w:after="120" w:line="240" w:lineRule="atLeast"/>
        <w:ind w:left="1134" w:right="1134"/>
        <w:rPr>
          <w:rFonts w:eastAsiaTheme="minorEastAsia"/>
          <w:kern w:val="0"/>
          <w:sz w:val="20"/>
          <w:lang w:val="x-none" w:eastAsia="en-US"/>
        </w:rPr>
      </w:pPr>
      <w:r w:rsidRPr="00F65192">
        <w:rPr>
          <w:rFonts w:eastAsiaTheme="minorEastAsia"/>
          <w:kern w:val="0"/>
          <w:sz w:val="20"/>
          <w:lang w:val="x-none" w:eastAsia="en-US"/>
        </w:rPr>
        <w:t xml:space="preserve">The European Union is prepared to consider other options, and has come forward with a set of possible action oriented recommendations to ensure that this </w:t>
      </w:r>
      <w:r w:rsidRPr="00F65192">
        <w:rPr>
          <w:rFonts w:eastAsiaTheme="minorEastAsia"/>
          <w:kern w:val="0"/>
          <w:sz w:val="20"/>
          <w:lang w:eastAsia="en-US"/>
        </w:rPr>
        <w:t>i</w:t>
      </w:r>
      <w:r w:rsidRPr="00F65192">
        <w:rPr>
          <w:rFonts w:eastAsiaTheme="minorEastAsia"/>
          <w:kern w:val="0"/>
          <w:sz w:val="20"/>
          <w:lang w:val="x-none" w:eastAsia="en-US"/>
        </w:rPr>
        <w:t xml:space="preserve">ntergovernmental </w:t>
      </w:r>
      <w:r w:rsidRPr="00F65192">
        <w:rPr>
          <w:rFonts w:eastAsiaTheme="minorEastAsia"/>
          <w:kern w:val="0"/>
          <w:sz w:val="20"/>
          <w:lang w:eastAsia="en-US"/>
        </w:rPr>
        <w:t>w</w:t>
      </w:r>
      <w:r w:rsidRPr="00F65192">
        <w:rPr>
          <w:rFonts w:eastAsiaTheme="minorEastAsia"/>
          <w:kern w:val="0"/>
          <w:sz w:val="20"/>
          <w:lang w:val="x-none" w:eastAsia="en-US"/>
        </w:rPr>
        <w:t xml:space="preserve">orking </w:t>
      </w:r>
      <w:r w:rsidRPr="00F65192">
        <w:rPr>
          <w:rFonts w:eastAsiaTheme="minorEastAsia"/>
          <w:kern w:val="0"/>
          <w:sz w:val="20"/>
          <w:lang w:eastAsia="en-US"/>
        </w:rPr>
        <w:t>g</w:t>
      </w:r>
      <w:r w:rsidRPr="00F65192">
        <w:rPr>
          <w:rFonts w:eastAsiaTheme="minorEastAsia"/>
          <w:kern w:val="0"/>
          <w:sz w:val="20"/>
          <w:lang w:val="x-none" w:eastAsia="en-US"/>
        </w:rPr>
        <w:t>roup can progress in its deliberations. The European Union would like to share with the plenary its proposed recommendations, as circulated on the third day of this session and presented during the informal consultations on the fourth day </w:t>
      </w:r>
      <w:r w:rsidRPr="00F65192">
        <w:rPr>
          <w:rFonts w:eastAsiaTheme="minorEastAsia"/>
          <w:kern w:val="0"/>
          <w:sz w:val="20"/>
          <w:lang w:eastAsia="en-US"/>
        </w:rPr>
        <w:t>:</w:t>
      </w:r>
      <w:r w:rsidRPr="00F65192">
        <w:rPr>
          <w:rFonts w:eastAsiaTheme="minorEastAsia"/>
          <w:kern w:val="0"/>
          <w:sz w:val="20"/>
          <w:lang w:val="x-none" w:eastAsia="en-US"/>
        </w:rPr>
        <w:t xml:space="preserve"> </w:t>
      </w:r>
    </w:p>
    <w:p w:rsidR="00F65192" w:rsidRPr="00F65192" w:rsidRDefault="00F65192" w:rsidP="00F65192">
      <w:pPr>
        <w:suppressAutoHyphens/>
        <w:adjustRightInd w:val="0"/>
        <w:snapToGrid w:val="0"/>
        <w:spacing w:after="120" w:line="240" w:lineRule="atLeast"/>
        <w:ind w:left="1701" w:right="1134"/>
        <w:rPr>
          <w:rFonts w:eastAsiaTheme="minorEastAsia"/>
          <w:kern w:val="0"/>
          <w:sz w:val="20"/>
          <w:lang w:val="x-none" w:eastAsia="en-US"/>
        </w:rPr>
      </w:pPr>
      <w:r w:rsidRPr="00F65192">
        <w:rPr>
          <w:rFonts w:eastAsiaTheme="minorEastAsia"/>
          <w:kern w:val="0"/>
          <w:sz w:val="20"/>
          <w:lang w:val="x-none" w:eastAsia="en-US"/>
        </w:rPr>
        <w:t>In view of the substantive discussions held during the past sessions of the open-ended inter-governmental working group, and in light of the complexities of the issues, it recommends to the Human Rights Council the following:</w:t>
      </w:r>
    </w:p>
    <w:p w:rsidR="00F65192" w:rsidRPr="00F65192" w:rsidRDefault="00F65192" w:rsidP="00F65192">
      <w:pPr>
        <w:suppressAutoHyphens/>
        <w:adjustRightInd w:val="0"/>
        <w:snapToGrid w:val="0"/>
        <w:spacing w:after="120" w:line="240" w:lineRule="atLeast"/>
        <w:ind w:left="1701" w:right="1134" w:firstLine="567"/>
        <w:rPr>
          <w:rFonts w:eastAsiaTheme="minorEastAsia"/>
          <w:kern w:val="0"/>
          <w:sz w:val="20"/>
          <w:lang w:val="x-none" w:eastAsia="en-US"/>
        </w:rPr>
      </w:pPr>
      <w:r w:rsidRPr="00F65192">
        <w:rPr>
          <w:rFonts w:eastAsiaTheme="minorEastAsia"/>
          <w:kern w:val="0"/>
          <w:sz w:val="20"/>
          <w:lang w:eastAsia="en-US"/>
        </w:rPr>
        <w:t>(</w:t>
      </w:r>
      <w:r w:rsidRPr="00F65192">
        <w:rPr>
          <w:rFonts w:eastAsiaTheme="minorEastAsia"/>
          <w:kern w:val="0"/>
          <w:sz w:val="20"/>
          <w:lang w:val="x-none" w:eastAsia="en-US"/>
        </w:rPr>
        <w:t>a)</w:t>
      </w:r>
      <w:r w:rsidRPr="00F65192">
        <w:rPr>
          <w:rFonts w:eastAsiaTheme="minorEastAsia"/>
          <w:kern w:val="0"/>
          <w:sz w:val="20"/>
          <w:lang w:val="x-none" w:eastAsia="en-US"/>
        </w:rPr>
        <w:tab/>
        <w:t xml:space="preserve">Continuation of the substantive discussions in the intergovernmental working group with the participation of experts and all relevant stakeholders to take stock of progress at the national and international levels </w:t>
      </w:r>
      <w:r w:rsidRPr="00F65192">
        <w:rPr>
          <w:rFonts w:eastAsiaTheme="minorEastAsia"/>
          <w:kern w:val="0"/>
          <w:sz w:val="20"/>
          <w:lang w:eastAsia="en-US"/>
        </w:rPr>
        <w:t>—</w:t>
      </w:r>
      <w:r w:rsidRPr="00F65192">
        <w:rPr>
          <w:rFonts w:eastAsiaTheme="minorEastAsia"/>
          <w:kern w:val="0"/>
          <w:sz w:val="20"/>
          <w:lang w:val="x-none" w:eastAsia="en-US"/>
        </w:rPr>
        <w:t xml:space="preserve"> including in widening the support to the Montreux Document and its Forum, and the development of the International Code of Conduct Association </w:t>
      </w:r>
      <w:r w:rsidRPr="00F65192">
        <w:rPr>
          <w:rFonts w:eastAsiaTheme="minorEastAsia"/>
          <w:kern w:val="0"/>
          <w:sz w:val="20"/>
          <w:lang w:eastAsia="en-US"/>
        </w:rPr>
        <w:t>—</w:t>
      </w:r>
      <w:r w:rsidRPr="00F65192">
        <w:rPr>
          <w:rFonts w:eastAsiaTheme="minorEastAsia"/>
          <w:kern w:val="0"/>
          <w:sz w:val="20"/>
          <w:lang w:val="x-none" w:eastAsia="en-US"/>
        </w:rPr>
        <w:t xml:space="preserve"> regarding</w:t>
      </w:r>
      <w:r w:rsidRPr="00F65192">
        <w:rPr>
          <w:rFonts w:eastAsiaTheme="minorEastAsia"/>
          <w:kern w:val="0"/>
          <w:sz w:val="20"/>
          <w:lang w:val="en-GB" w:eastAsia="en-US"/>
        </w:rPr>
        <w:t xml:space="preserve"> </w:t>
      </w:r>
      <w:r w:rsidRPr="00F65192">
        <w:rPr>
          <w:rFonts w:eastAsiaTheme="minorEastAsia"/>
          <w:kern w:val="0"/>
          <w:sz w:val="20"/>
          <w:lang w:val="x-none" w:eastAsia="en-US"/>
        </w:rPr>
        <w:t xml:space="preserve">the regulation, monitoring and oversight of the activities of Private Military </w:t>
      </w:r>
      <w:r w:rsidRPr="00F65192">
        <w:rPr>
          <w:rFonts w:eastAsiaTheme="minorEastAsia"/>
          <w:kern w:val="0"/>
          <w:sz w:val="20"/>
          <w:lang w:val="en-GB" w:eastAsia="en-US"/>
        </w:rPr>
        <w:t>Companies</w:t>
      </w:r>
      <w:r w:rsidRPr="00F65192">
        <w:rPr>
          <w:rFonts w:eastAsiaTheme="minorEastAsia"/>
          <w:kern w:val="0"/>
          <w:sz w:val="20"/>
          <w:lang w:val="x-none" w:eastAsia="en-US"/>
        </w:rPr>
        <w:t xml:space="preserve"> and Private Security Companies;</w:t>
      </w:r>
    </w:p>
    <w:p w:rsidR="00F65192" w:rsidRPr="00F65192" w:rsidRDefault="00F65192" w:rsidP="00F65192">
      <w:pPr>
        <w:suppressAutoHyphens/>
        <w:adjustRightInd w:val="0"/>
        <w:snapToGrid w:val="0"/>
        <w:spacing w:after="120" w:line="240" w:lineRule="atLeast"/>
        <w:ind w:left="1701" w:right="1134" w:firstLine="567"/>
        <w:rPr>
          <w:rFonts w:eastAsiaTheme="minorEastAsia"/>
          <w:kern w:val="0"/>
          <w:sz w:val="20"/>
          <w:lang w:val="x-none" w:eastAsia="en-US"/>
        </w:rPr>
      </w:pPr>
      <w:r w:rsidRPr="00F65192">
        <w:rPr>
          <w:rFonts w:eastAsiaTheme="minorEastAsia"/>
          <w:kern w:val="0"/>
          <w:sz w:val="20"/>
          <w:lang w:eastAsia="en-US"/>
        </w:rPr>
        <w:t>(</w:t>
      </w:r>
      <w:r w:rsidRPr="00F65192">
        <w:rPr>
          <w:rFonts w:eastAsiaTheme="minorEastAsia"/>
          <w:kern w:val="0"/>
          <w:sz w:val="20"/>
          <w:lang w:val="x-none" w:eastAsia="en-US"/>
        </w:rPr>
        <w:t>b)</w:t>
      </w:r>
      <w:r w:rsidRPr="00F65192">
        <w:rPr>
          <w:rFonts w:eastAsiaTheme="minorEastAsia"/>
          <w:kern w:val="0"/>
          <w:sz w:val="20"/>
          <w:lang w:val="x-none" w:eastAsia="en-US"/>
        </w:rPr>
        <w:tab/>
        <w:t xml:space="preserve">Review the implementation of the Guiding Principles on Business and Human Rights, with particular emphasis on the third pillar regarding access to remedies, in the case of the activities carried out by </w:t>
      </w:r>
      <w:r w:rsidRPr="00F65192">
        <w:rPr>
          <w:rFonts w:eastAsiaTheme="minorEastAsia"/>
          <w:kern w:val="0"/>
          <w:sz w:val="20"/>
          <w:lang w:eastAsia="en-US"/>
        </w:rPr>
        <w:t>p</w:t>
      </w:r>
      <w:r w:rsidRPr="00F65192">
        <w:rPr>
          <w:rFonts w:eastAsiaTheme="minorEastAsia"/>
          <w:kern w:val="0"/>
          <w:sz w:val="20"/>
          <w:lang w:val="x-none" w:eastAsia="en-US"/>
        </w:rPr>
        <w:t xml:space="preserve">rivate </w:t>
      </w:r>
      <w:r w:rsidRPr="00F65192">
        <w:rPr>
          <w:rFonts w:eastAsiaTheme="minorEastAsia"/>
          <w:kern w:val="0"/>
          <w:sz w:val="20"/>
          <w:lang w:eastAsia="en-US"/>
        </w:rPr>
        <w:t>m</w:t>
      </w:r>
      <w:r w:rsidRPr="00F65192">
        <w:rPr>
          <w:rFonts w:eastAsiaTheme="minorEastAsia"/>
          <w:kern w:val="0"/>
          <w:sz w:val="20"/>
          <w:lang w:val="x-none" w:eastAsia="en-US"/>
        </w:rPr>
        <w:t xml:space="preserve">ilitary </w:t>
      </w:r>
      <w:r w:rsidRPr="00F65192">
        <w:rPr>
          <w:rFonts w:eastAsiaTheme="minorEastAsia"/>
          <w:kern w:val="0"/>
          <w:sz w:val="20"/>
          <w:lang w:eastAsia="en-US"/>
        </w:rPr>
        <w:t>c</w:t>
      </w:r>
      <w:r w:rsidRPr="00F65192">
        <w:rPr>
          <w:rFonts w:eastAsiaTheme="minorEastAsia"/>
          <w:kern w:val="0"/>
          <w:sz w:val="20"/>
          <w:lang w:val="x-none" w:eastAsia="en-US"/>
        </w:rPr>
        <w:t xml:space="preserve">ompanies and </w:t>
      </w:r>
      <w:r w:rsidRPr="00F65192">
        <w:rPr>
          <w:rFonts w:eastAsiaTheme="minorEastAsia"/>
          <w:kern w:val="0"/>
          <w:sz w:val="20"/>
          <w:lang w:eastAsia="en-US"/>
        </w:rPr>
        <w:t>p</w:t>
      </w:r>
      <w:r w:rsidRPr="00F65192">
        <w:rPr>
          <w:rFonts w:eastAsiaTheme="minorEastAsia"/>
          <w:kern w:val="0"/>
          <w:sz w:val="20"/>
          <w:lang w:val="x-none" w:eastAsia="en-US"/>
        </w:rPr>
        <w:t xml:space="preserve">rivate </w:t>
      </w:r>
      <w:r w:rsidRPr="00F65192">
        <w:rPr>
          <w:rFonts w:eastAsiaTheme="minorEastAsia"/>
          <w:kern w:val="0"/>
          <w:sz w:val="20"/>
          <w:lang w:eastAsia="en-US"/>
        </w:rPr>
        <w:t>s</w:t>
      </w:r>
      <w:r w:rsidRPr="00F65192">
        <w:rPr>
          <w:rFonts w:eastAsiaTheme="minorEastAsia"/>
          <w:kern w:val="0"/>
          <w:sz w:val="20"/>
          <w:lang w:val="x-none" w:eastAsia="en-US"/>
        </w:rPr>
        <w:t xml:space="preserve">ecurity </w:t>
      </w:r>
      <w:r w:rsidRPr="00F65192">
        <w:rPr>
          <w:rFonts w:eastAsiaTheme="minorEastAsia"/>
          <w:kern w:val="0"/>
          <w:sz w:val="20"/>
          <w:lang w:eastAsia="en-US"/>
        </w:rPr>
        <w:t>c</w:t>
      </w:r>
      <w:r w:rsidRPr="00F65192">
        <w:rPr>
          <w:rFonts w:eastAsiaTheme="minorEastAsia"/>
          <w:kern w:val="0"/>
          <w:sz w:val="20"/>
          <w:lang w:val="x-none" w:eastAsia="en-US"/>
        </w:rPr>
        <w:t>ompanies;</w:t>
      </w:r>
    </w:p>
    <w:p w:rsidR="00F65192" w:rsidRPr="00F65192" w:rsidRDefault="00F65192" w:rsidP="00F65192">
      <w:pPr>
        <w:suppressAutoHyphens/>
        <w:adjustRightInd w:val="0"/>
        <w:snapToGrid w:val="0"/>
        <w:spacing w:after="120" w:line="240" w:lineRule="atLeast"/>
        <w:ind w:left="1701" w:right="1134" w:firstLine="567"/>
        <w:rPr>
          <w:rFonts w:eastAsiaTheme="minorEastAsia"/>
          <w:kern w:val="0"/>
          <w:sz w:val="20"/>
          <w:lang w:val="x-none" w:eastAsia="en-US"/>
        </w:rPr>
      </w:pPr>
      <w:r w:rsidRPr="00F65192">
        <w:rPr>
          <w:rFonts w:eastAsiaTheme="minorEastAsia"/>
          <w:kern w:val="0"/>
          <w:sz w:val="20"/>
          <w:lang w:eastAsia="en-US"/>
        </w:rPr>
        <w:t>(</w:t>
      </w:r>
      <w:r w:rsidRPr="00F65192">
        <w:rPr>
          <w:rFonts w:eastAsiaTheme="minorEastAsia"/>
          <w:kern w:val="0"/>
          <w:sz w:val="20"/>
          <w:lang w:val="x-none" w:eastAsia="en-US"/>
        </w:rPr>
        <w:t>c)</w:t>
      </w:r>
      <w:r w:rsidRPr="00F65192">
        <w:rPr>
          <w:rFonts w:eastAsiaTheme="minorEastAsia"/>
          <w:kern w:val="0"/>
          <w:sz w:val="20"/>
          <w:lang w:val="x-none" w:eastAsia="en-US"/>
        </w:rPr>
        <w:tab/>
        <w:t>Consideration of the range of options to be explored to further develop an international regulatory framework, including international standards setting, development of guidelines, possibly actions plans or model laws, contract templates based on the Montreux Document, good practices and mutual legal assistance programmes;</w:t>
      </w:r>
    </w:p>
    <w:p w:rsidR="00F65192" w:rsidRPr="00F65192" w:rsidRDefault="00F65192" w:rsidP="00F65192">
      <w:pPr>
        <w:keepLines/>
        <w:suppressAutoHyphens/>
        <w:adjustRightInd w:val="0"/>
        <w:snapToGrid w:val="0"/>
        <w:spacing w:after="120" w:line="240" w:lineRule="atLeast"/>
        <w:ind w:left="1701" w:right="1134" w:firstLine="567"/>
        <w:rPr>
          <w:rFonts w:eastAsiaTheme="minorEastAsia"/>
          <w:kern w:val="0"/>
          <w:sz w:val="20"/>
          <w:lang w:val="x-none" w:eastAsia="en-US"/>
        </w:rPr>
      </w:pPr>
      <w:r w:rsidRPr="00F65192">
        <w:rPr>
          <w:rFonts w:eastAsiaTheme="minorEastAsia"/>
          <w:kern w:val="0"/>
          <w:sz w:val="20"/>
          <w:lang w:eastAsia="en-US"/>
        </w:rPr>
        <w:t>(</w:t>
      </w:r>
      <w:r w:rsidRPr="00F65192">
        <w:rPr>
          <w:rFonts w:eastAsiaTheme="minorEastAsia"/>
          <w:kern w:val="0"/>
          <w:sz w:val="20"/>
          <w:lang w:val="x-none" w:eastAsia="en-US"/>
        </w:rPr>
        <w:t>d)</w:t>
      </w:r>
      <w:r w:rsidRPr="00F65192">
        <w:rPr>
          <w:rFonts w:eastAsiaTheme="minorEastAsia"/>
          <w:kern w:val="0"/>
          <w:sz w:val="20"/>
          <w:lang w:val="x-none" w:eastAsia="en-US"/>
        </w:rPr>
        <w:tab/>
        <w:t xml:space="preserve">Consideration of the tasking of a </w:t>
      </w:r>
      <w:r w:rsidRPr="00F65192">
        <w:rPr>
          <w:rFonts w:eastAsiaTheme="minorEastAsia"/>
          <w:kern w:val="0"/>
          <w:sz w:val="20"/>
          <w:lang w:eastAsia="en-US"/>
        </w:rPr>
        <w:t>h</w:t>
      </w:r>
      <w:r w:rsidRPr="00F65192">
        <w:rPr>
          <w:rFonts w:eastAsiaTheme="minorEastAsia"/>
          <w:kern w:val="0"/>
          <w:sz w:val="20"/>
          <w:lang w:val="x-none" w:eastAsia="en-US"/>
        </w:rPr>
        <w:t>igh</w:t>
      </w:r>
      <w:r w:rsidRPr="00F65192">
        <w:rPr>
          <w:rFonts w:eastAsiaTheme="minorEastAsia"/>
          <w:kern w:val="0"/>
          <w:sz w:val="20"/>
          <w:lang w:eastAsia="en-US"/>
        </w:rPr>
        <w:t>-l</w:t>
      </w:r>
      <w:r w:rsidRPr="00F65192">
        <w:rPr>
          <w:rFonts w:eastAsiaTheme="minorEastAsia"/>
          <w:kern w:val="0"/>
          <w:sz w:val="20"/>
          <w:lang w:val="x-none" w:eastAsia="en-US"/>
        </w:rPr>
        <w:t xml:space="preserve">evel </w:t>
      </w:r>
      <w:r w:rsidRPr="00F65192">
        <w:rPr>
          <w:rFonts w:eastAsiaTheme="minorEastAsia"/>
          <w:kern w:val="0"/>
          <w:sz w:val="20"/>
          <w:lang w:eastAsia="en-US"/>
        </w:rPr>
        <w:t>g</w:t>
      </w:r>
      <w:r w:rsidRPr="00F65192">
        <w:rPr>
          <w:rFonts w:eastAsiaTheme="minorEastAsia"/>
          <w:kern w:val="0"/>
          <w:sz w:val="20"/>
          <w:lang w:val="x-none" w:eastAsia="en-US"/>
        </w:rPr>
        <w:t xml:space="preserve">roup of </w:t>
      </w:r>
      <w:r w:rsidRPr="00F65192">
        <w:rPr>
          <w:rFonts w:eastAsiaTheme="minorEastAsia"/>
          <w:kern w:val="0"/>
          <w:sz w:val="20"/>
          <w:lang w:eastAsia="en-US"/>
        </w:rPr>
        <w:t>l</w:t>
      </w:r>
      <w:r w:rsidRPr="00F65192">
        <w:rPr>
          <w:rFonts w:eastAsiaTheme="minorEastAsia"/>
          <w:kern w:val="0"/>
          <w:sz w:val="20"/>
          <w:lang w:val="x-none" w:eastAsia="en-US"/>
        </w:rPr>
        <w:t xml:space="preserve">egal </w:t>
      </w:r>
      <w:r w:rsidRPr="00F65192">
        <w:rPr>
          <w:rFonts w:eastAsiaTheme="minorEastAsia"/>
          <w:kern w:val="0"/>
          <w:sz w:val="20"/>
          <w:lang w:eastAsia="en-US"/>
        </w:rPr>
        <w:t>e</w:t>
      </w:r>
      <w:r w:rsidRPr="00F65192">
        <w:rPr>
          <w:rFonts w:eastAsiaTheme="minorEastAsia"/>
          <w:kern w:val="0"/>
          <w:sz w:val="20"/>
          <w:lang w:val="x-none" w:eastAsia="en-US"/>
        </w:rPr>
        <w:t xml:space="preserve">xperts/the Office of the </w:t>
      </w:r>
      <w:r w:rsidRPr="00F65192">
        <w:rPr>
          <w:rFonts w:eastAsiaTheme="minorEastAsia"/>
          <w:kern w:val="0"/>
          <w:sz w:val="20"/>
          <w:lang w:eastAsia="en-US"/>
        </w:rPr>
        <w:t xml:space="preserve">United Nations </w:t>
      </w:r>
      <w:r w:rsidRPr="00F65192">
        <w:rPr>
          <w:rFonts w:eastAsiaTheme="minorEastAsia"/>
          <w:kern w:val="0"/>
          <w:sz w:val="20"/>
          <w:lang w:val="x-none" w:eastAsia="en-US"/>
        </w:rPr>
        <w:t xml:space="preserve">High Commissioner for Human Rights to prepare a document for consideration at the </w:t>
      </w:r>
      <w:r w:rsidRPr="00F65192">
        <w:rPr>
          <w:rFonts w:eastAsiaTheme="minorEastAsia"/>
          <w:kern w:val="0"/>
          <w:sz w:val="20"/>
          <w:lang w:eastAsia="en-US"/>
        </w:rPr>
        <w:t>fif</w:t>
      </w:r>
      <w:r w:rsidRPr="00F65192">
        <w:rPr>
          <w:rFonts w:eastAsiaTheme="minorEastAsia"/>
          <w:kern w:val="0"/>
          <w:sz w:val="20"/>
          <w:lang w:val="x-none" w:eastAsia="en-US"/>
        </w:rPr>
        <w:t xml:space="preserve">th session to outline the modalities for each possible option, drawing when possible on past experience. </w:t>
      </w:r>
    </w:p>
    <w:p w:rsidR="00F65192" w:rsidRPr="00F65192" w:rsidRDefault="00F65192" w:rsidP="00F65192">
      <w:pPr>
        <w:suppressAutoHyphens/>
        <w:adjustRightInd w:val="0"/>
        <w:snapToGrid w:val="0"/>
        <w:spacing w:after="120" w:line="240" w:lineRule="atLeast"/>
        <w:ind w:left="1134" w:right="1134"/>
        <w:rPr>
          <w:rFonts w:eastAsiaTheme="minorEastAsia"/>
          <w:kern w:val="0"/>
          <w:sz w:val="20"/>
          <w:lang w:val="x-none" w:eastAsia="en-US"/>
        </w:rPr>
      </w:pPr>
      <w:r w:rsidRPr="00F65192">
        <w:rPr>
          <w:rFonts w:eastAsiaTheme="minorEastAsia"/>
          <w:kern w:val="0"/>
          <w:sz w:val="20"/>
          <w:lang w:val="x-none" w:eastAsia="en-US"/>
        </w:rPr>
        <w:lastRenderedPageBreak/>
        <w:t xml:space="preserve">The European Union showed willingness to work on a compromise which would have allowed this </w:t>
      </w:r>
      <w:r w:rsidRPr="00F65192">
        <w:rPr>
          <w:rFonts w:eastAsiaTheme="minorEastAsia"/>
          <w:kern w:val="0"/>
          <w:sz w:val="20"/>
          <w:lang w:eastAsia="en-US"/>
        </w:rPr>
        <w:t>i</w:t>
      </w:r>
      <w:r w:rsidRPr="00F65192">
        <w:rPr>
          <w:rFonts w:eastAsiaTheme="minorEastAsia"/>
          <w:kern w:val="0"/>
          <w:sz w:val="20"/>
          <w:lang w:val="x-none" w:eastAsia="en-US"/>
        </w:rPr>
        <w:t xml:space="preserve">ntergovernmental </w:t>
      </w:r>
      <w:r w:rsidRPr="00F65192">
        <w:rPr>
          <w:rFonts w:eastAsiaTheme="minorEastAsia"/>
          <w:kern w:val="0"/>
          <w:sz w:val="20"/>
          <w:lang w:eastAsia="en-US"/>
        </w:rPr>
        <w:t>w</w:t>
      </w:r>
      <w:r w:rsidRPr="00F65192">
        <w:rPr>
          <w:rFonts w:eastAsiaTheme="minorEastAsia"/>
          <w:kern w:val="0"/>
          <w:sz w:val="20"/>
          <w:lang w:val="x-none" w:eastAsia="en-US"/>
        </w:rPr>
        <w:t xml:space="preserve">orking </w:t>
      </w:r>
      <w:r w:rsidRPr="00F65192">
        <w:rPr>
          <w:rFonts w:eastAsiaTheme="minorEastAsia"/>
          <w:kern w:val="0"/>
          <w:sz w:val="20"/>
          <w:lang w:eastAsia="en-US"/>
        </w:rPr>
        <w:t>g</w:t>
      </w:r>
      <w:r w:rsidRPr="00F65192">
        <w:rPr>
          <w:rFonts w:eastAsiaTheme="minorEastAsia"/>
          <w:kern w:val="0"/>
          <w:sz w:val="20"/>
          <w:lang w:val="x-none" w:eastAsia="en-US"/>
        </w:rPr>
        <w:t xml:space="preserve">roup to agree on a set of solid and action oriented recommendations. The European Union would like to thank delegations from across regions who offered compromise language, and regrets that other delegations insisted on language which clearly would never allow for consensus. The European Union further regrets that some delegations called inter alia for the deletion of the paragraph referring to the implementation of the Guiding Principles on Business and Human Rights and in particular to the third pillar on access to remedies. The European Union is committed to the implementation of the Guiding Principles on Business and Human Rights and hopes that all States are also committed to their implementation. </w:t>
      </w:r>
    </w:p>
    <w:p w:rsidR="00F65192" w:rsidRPr="00F65192" w:rsidRDefault="00F65192" w:rsidP="00F65192">
      <w:pPr>
        <w:suppressAutoHyphens/>
        <w:adjustRightInd w:val="0"/>
        <w:snapToGrid w:val="0"/>
        <w:spacing w:after="120" w:line="240" w:lineRule="atLeast"/>
        <w:ind w:left="1134" w:right="1134"/>
        <w:rPr>
          <w:rFonts w:eastAsiaTheme="minorEastAsia"/>
          <w:kern w:val="0"/>
          <w:sz w:val="20"/>
          <w:lang w:val="x-none" w:eastAsia="en-US"/>
        </w:rPr>
      </w:pPr>
      <w:r w:rsidRPr="00F65192">
        <w:rPr>
          <w:rFonts w:eastAsiaTheme="minorEastAsia"/>
          <w:kern w:val="0"/>
          <w:sz w:val="20"/>
          <w:lang w:val="x-none" w:eastAsia="en-US"/>
        </w:rPr>
        <w:t xml:space="preserve">Finally, the European Union would like to refer to the important role of civil society organizations and human rights defenders who are actively engaged in this area of work. </w:t>
      </w:r>
    </w:p>
    <w:p w:rsidR="00F65192" w:rsidRPr="00F65192" w:rsidRDefault="00F65192" w:rsidP="00F65192">
      <w:pPr>
        <w:suppressAutoHyphens/>
        <w:adjustRightInd w:val="0"/>
        <w:snapToGrid w:val="0"/>
        <w:spacing w:after="120" w:line="240" w:lineRule="atLeast"/>
        <w:ind w:left="1134" w:right="1134"/>
        <w:rPr>
          <w:rFonts w:eastAsiaTheme="minorEastAsia"/>
          <w:kern w:val="0"/>
          <w:sz w:val="20"/>
          <w:lang w:val="en-GB" w:eastAsia="en-US"/>
        </w:rPr>
      </w:pPr>
      <w:r w:rsidRPr="00F65192">
        <w:rPr>
          <w:rFonts w:eastAsiaTheme="minorEastAsia"/>
          <w:kern w:val="0"/>
          <w:sz w:val="20"/>
          <w:lang w:val="x-none" w:eastAsia="en-US"/>
        </w:rPr>
        <w:t>I thank you Mr. Chair</w:t>
      </w:r>
      <w:r w:rsidRPr="00F65192">
        <w:rPr>
          <w:rFonts w:eastAsiaTheme="minorEastAsia"/>
          <w:kern w:val="0"/>
          <w:sz w:val="20"/>
          <w:lang w:val="en-GB" w:eastAsia="en-US"/>
        </w:rPr>
        <w:t>.</w:t>
      </w:r>
    </w:p>
    <w:p w:rsidR="00F65192" w:rsidRPr="00F65192" w:rsidRDefault="00F65192" w:rsidP="00F65192">
      <w:pPr>
        <w:adjustRightInd w:val="0"/>
        <w:snapToGrid w:val="0"/>
        <w:spacing w:line="240" w:lineRule="auto"/>
        <w:jc w:val="left"/>
        <w:rPr>
          <w:rFonts w:eastAsiaTheme="minorEastAsia"/>
          <w:kern w:val="0"/>
          <w:sz w:val="20"/>
          <w:lang w:val="en-GB" w:eastAsia="en-US"/>
        </w:rPr>
      </w:pPr>
      <w:r w:rsidRPr="00F65192">
        <w:rPr>
          <w:rFonts w:eastAsiaTheme="minorEastAsia"/>
          <w:kern w:val="0"/>
          <w:sz w:val="20"/>
          <w:lang w:val="en-GB" w:eastAsia="en-US"/>
        </w:rPr>
        <w:br w:type="page"/>
      </w:r>
    </w:p>
    <w:p w:rsidR="00F65192" w:rsidRPr="00F65192" w:rsidRDefault="00F65192" w:rsidP="00F65192">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jc w:val="left"/>
        <w:rPr>
          <w:rFonts w:eastAsiaTheme="minorHAnsi"/>
          <w:b/>
          <w:kern w:val="0"/>
          <w:sz w:val="28"/>
          <w:lang w:val="fr-CH" w:eastAsia="en-US"/>
        </w:rPr>
      </w:pPr>
      <w:r w:rsidRPr="00F65192">
        <w:rPr>
          <w:rFonts w:eastAsiaTheme="minorHAnsi"/>
          <w:b/>
          <w:kern w:val="0"/>
          <w:sz w:val="28"/>
          <w:lang w:val="en-GB" w:eastAsia="en-US"/>
        </w:rPr>
        <w:lastRenderedPageBreak/>
        <w:tab/>
      </w:r>
      <w:r w:rsidRPr="00F65192">
        <w:rPr>
          <w:rFonts w:eastAsiaTheme="minorHAnsi"/>
          <w:b/>
          <w:kern w:val="0"/>
          <w:sz w:val="28"/>
          <w:lang w:val="en-GB" w:eastAsia="en-US"/>
        </w:rPr>
        <w:tab/>
      </w:r>
      <w:r w:rsidRPr="00F65192">
        <w:rPr>
          <w:rFonts w:eastAsiaTheme="minorHAnsi"/>
          <w:b/>
          <w:kern w:val="0"/>
          <w:sz w:val="28"/>
          <w:lang w:val="fr-CH" w:eastAsia="en-US"/>
        </w:rPr>
        <w:t>Annex III</w:t>
      </w:r>
    </w:p>
    <w:p w:rsidR="00F65192" w:rsidRPr="00F65192" w:rsidRDefault="00F65192" w:rsidP="00F65192">
      <w:pPr>
        <w:suppressAutoHyphens/>
        <w:adjustRightInd w:val="0"/>
        <w:snapToGrid w:val="0"/>
        <w:spacing w:after="120" w:line="240" w:lineRule="atLeast"/>
        <w:ind w:left="1134" w:right="1134"/>
        <w:jc w:val="right"/>
        <w:rPr>
          <w:rFonts w:eastAsiaTheme="minorEastAsia"/>
          <w:i/>
          <w:iCs/>
          <w:kern w:val="0"/>
          <w:sz w:val="20"/>
          <w:lang w:val="x-none" w:eastAsia="en-US"/>
        </w:rPr>
      </w:pPr>
      <w:r w:rsidRPr="00F65192">
        <w:rPr>
          <w:rFonts w:eastAsiaTheme="minorEastAsia"/>
          <w:iCs/>
          <w:kern w:val="0"/>
          <w:sz w:val="20"/>
          <w:lang w:val="x-none" w:eastAsia="en-US"/>
        </w:rPr>
        <w:t>[</w:t>
      </w:r>
      <w:r w:rsidRPr="00F65192">
        <w:rPr>
          <w:rFonts w:eastAsiaTheme="minorEastAsia"/>
          <w:i/>
          <w:iCs/>
          <w:kern w:val="0"/>
          <w:sz w:val="20"/>
          <w:lang w:val="fr-CH" w:eastAsia="en-US"/>
        </w:rPr>
        <w:t xml:space="preserve">French </w:t>
      </w:r>
      <w:r w:rsidRPr="00F65192">
        <w:rPr>
          <w:rFonts w:eastAsiaTheme="minorEastAsia"/>
          <w:i/>
          <w:iCs/>
          <w:kern w:val="0"/>
          <w:sz w:val="20"/>
          <w:lang w:val="x-none" w:eastAsia="en-US"/>
        </w:rPr>
        <w:t>only</w:t>
      </w:r>
      <w:r w:rsidRPr="00F65192">
        <w:rPr>
          <w:rFonts w:eastAsiaTheme="minorEastAsia"/>
          <w:iCs/>
          <w:kern w:val="0"/>
          <w:sz w:val="20"/>
          <w:lang w:val="x-none" w:eastAsia="en-US"/>
        </w:rPr>
        <w:t>]</w:t>
      </w:r>
    </w:p>
    <w:p w:rsidR="00F65192" w:rsidRPr="00F65192" w:rsidRDefault="00F65192" w:rsidP="00F65192">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jc w:val="left"/>
        <w:rPr>
          <w:rFonts w:eastAsiaTheme="minorHAnsi"/>
          <w:b/>
          <w:kern w:val="0"/>
          <w:sz w:val="28"/>
          <w:lang w:val="fr-CH" w:eastAsia="en-US"/>
        </w:rPr>
      </w:pPr>
      <w:r w:rsidRPr="00F65192">
        <w:rPr>
          <w:rFonts w:eastAsiaTheme="minorHAnsi"/>
          <w:b/>
          <w:kern w:val="0"/>
          <w:sz w:val="28"/>
          <w:lang w:val="fr-CH" w:eastAsia="en-US"/>
        </w:rPr>
        <w:tab/>
      </w:r>
      <w:r w:rsidRPr="00F65192">
        <w:rPr>
          <w:rFonts w:eastAsiaTheme="minorHAnsi"/>
          <w:b/>
          <w:kern w:val="0"/>
          <w:sz w:val="28"/>
          <w:lang w:val="fr-CH" w:eastAsia="en-US"/>
        </w:rPr>
        <w:tab/>
        <w:t>Déclaration et observations finales du Groupe africain</w:t>
      </w:r>
    </w:p>
    <w:p w:rsidR="00F65192" w:rsidRPr="00F65192" w:rsidRDefault="00F65192" w:rsidP="00F65192">
      <w:pPr>
        <w:suppressAutoHyphens/>
        <w:adjustRightInd w:val="0"/>
        <w:snapToGrid w:val="0"/>
        <w:spacing w:after="120" w:line="240" w:lineRule="atLeast"/>
        <w:ind w:left="1134" w:right="1134"/>
        <w:rPr>
          <w:rFonts w:eastAsiaTheme="minorEastAsia"/>
          <w:kern w:val="0"/>
          <w:sz w:val="20"/>
          <w:lang w:val="fr-CH" w:eastAsia="en-US"/>
        </w:rPr>
      </w:pPr>
      <w:r w:rsidRPr="00F65192">
        <w:rPr>
          <w:rFonts w:eastAsiaTheme="minorEastAsia"/>
          <w:kern w:val="0"/>
          <w:sz w:val="20"/>
          <w:lang w:val="fr-CH" w:eastAsia="en-US"/>
        </w:rPr>
        <w:t>Le Groupe africain regrette que le Groupe de travail ne soit pas parvenu au consensus eu égard à l’importance de cette question et le Groupe africain regrette qu’il n’y ait pas eu de consensus au cours de cette session.</w:t>
      </w:r>
    </w:p>
    <w:p w:rsidR="00F65192" w:rsidRPr="00F65192" w:rsidRDefault="00F65192" w:rsidP="00F65192">
      <w:pPr>
        <w:suppressAutoHyphens/>
        <w:adjustRightInd w:val="0"/>
        <w:snapToGrid w:val="0"/>
        <w:spacing w:after="120" w:line="240" w:lineRule="atLeast"/>
        <w:ind w:left="1134" w:right="1134"/>
        <w:rPr>
          <w:rFonts w:eastAsiaTheme="minorEastAsia"/>
          <w:kern w:val="0"/>
          <w:sz w:val="20"/>
          <w:lang w:val="fr-CH" w:eastAsia="en-US"/>
        </w:rPr>
      </w:pPr>
      <w:r w:rsidRPr="00F65192">
        <w:rPr>
          <w:rFonts w:eastAsiaTheme="minorEastAsia"/>
          <w:kern w:val="0"/>
          <w:sz w:val="20"/>
          <w:lang w:val="fr-CH" w:eastAsia="en-US"/>
        </w:rPr>
        <w:t>Le Groupe africain souhaiterait encore une fois réitérer l’importance qu’il attache au mandat de ce groupe de travail qui selon le Groupe doit se focaliser sur l’élaboration d’un instrument international à caractère contraignant. La nécessité et l’opportunité et les éléments qui peuvent constituer ledit instrument ont fait à notre avis l’objet de présentations détaillées au cours de la semaine écoulée ainsi qu’au cours des sessions précédentes. A ce titre, le Groupe de travail sur l’utilisation de mercenaires comme moyen de violer les droits de l’homme et d’empêcher l’exercice du droit des peuples à disposer d'eux-mêmes a été explicite à ce sujet et ce, en soulignant que la manière la plus efficiente d’adresser cette question devrait se faire par le biais d’un instrument international à caractère contraignant. Cela permettrait sans nul doute de prendre en charge les violations des droits de l’homme et la question de reddition de comptes.</w:t>
      </w:r>
    </w:p>
    <w:p w:rsidR="00F65192" w:rsidRPr="00F65192" w:rsidRDefault="00F65192" w:rsidP="00F65192">
      <w:pPr>
        <w:suppressAutoHyphens/>
        <w:adjustRightInd w:val="0"/>
        <w:snapToGrid w:val="0"/>
        <w:spacing w:after="120" w:line="240" w:lineRule="atLeast"/>
        <w:ind w:left="1134" w:right="1134"/>
        <w:rPr>
          <w:rFonts w:eastAsiaTheme="minorEastAsia"/>
          <w:kern w:val="0"/>
          <w:sz w:val="20"/>
          <w:lang w:val="fr-CH" w:eastAsia="en-US"/>
        </w:rPr>
      </w:pPr>
      <w:r w:rsidRPr="00F65192">
        <w:rPr>
          <w:rFonts w:eastAsiaTheme="minorEastAsia"/>
          <w:kern w:val="0"/>
          <w:sz w:val="20"/>
          <w:lang w:val="fr-CH" w:eastAsia="en-US"/>
        </w:rPr>
        <w:t>Le représentant [des sociétés de sécurité privées] a mis en avant clairement l’opportunité d’élaborer un instrument international à caractère contraignant. Le représentant des Nations Unies également n’a pas fait d’intervention qui était contraire à l’opportunité de travailler sur un instrument. Je pense que cela a été dit au cours de nos différentes discussions qui se sont tenues dans le cadre de ce groupe de travail aussi bien de la part du Groupe africain que de la part d’un certain nombre de délégations.</w:t>
      </w:r>
    </w:p>
    <w:p w:rsidR="00F65192" w:rsidRPr="00F65192" w:rsidRDefault="00F65192" w:rsidP="00F65192">
      <w:pPr>
        <w:suppressAutoHyphens/>
        <w:adjustRightInd w:val="0"/>
        <w:snapToGrid w:val="0"/>
        <w:spacing w:after="120" w:line="240" w:lineRule="atLeast"/>
        <w:ind w:left="1134" w:right="1134"/>
        <w:rPr>
          <w:rFonts w:eastAsiaTheme="minorEastAsia"/>
          <w:kern w:val="0"/>
          <w:sz w:val="20"/>
          <w:lang w:val="x-none" w:eastAsia="en-US"/>
        </w:rPr>
      </w:pPr>
      <w:r w:rsidRPr="00F65192">
        <w:rPr>
          <w:rFonts w:eastAsiaTheme="minorEastAsia"/>
          <w:kern w:val="0"/>
          <w:sz w:val="20"/>
          <w:lang w:val="fr-CH" w:eastAsia="en-US"/>
        </w:rPr>
        <w:t>Pour le Groupe africain, nous appelons ce groupe de travail à poursuivre ses travaux dans le cadre du mandat qui a été mis en place et qui consiste en l’élaboration d’un instrument international à caractère contraignant.</w:t>
      </w:r>
    </w:p>
    <w:p w:rsidR="002567CA" w:rsidRPr="001D27F5" w:rsidRDefault="001D27F5" w:rsidP="001D27F5">
      <w:pPr>
        <w:spacing w:line="240" w:lineRule="auto"/>
        <w:jc w:val="left"/>
        <w:rPr>
          <w:sz w:val="20"/>
          <w:lang w:val="fr-CH"/>
        </w:rPr>
      </w:pPr>
      <w:r>
        <w:rPr>
          <w:noProof/>
          <w:sz w:val="20"/>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381000</wp:posOffset>
                </wp:positionV>
                <wp:extent cx="9144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" strokecolor="#010000" strokeweight=".25pt"/>
            </w:pict>
          </mc:Fallback>
        </mc:AlternateContent>
      </w:r>
    </w:p>
    <w:sectPr w:rsidR="002567CA" w:rsidRPr="001D27F5" w:rsidSect="00A03107">
      <w:type w:val="continuous"/>
      <w:pgSz w:w="11909" w:h="16834" w:code="1"/>
      <w:pgMar w:top="1742" w:right="936" w:bottom="1898" w:left="936" w:header="576" w:footer="1030" w:gutter="0"/>
      <w:cols w:space="425"/>
      <w:noEndnote/>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03T16:06:00Z" w:initials="Start">
    <w:p w:rsidR="009F1D3E" w:rsidRDefault="009F1D3E">
      <w:pPr>
        <w:pStyle w:val="a7"/>
      </w:pPr>
      <w:r>
        <w:fldChar w:fldCharType="begin"/>
      </w:r>
      <w:r>
        <w:rPr>
          <w:rStyle w:val="a9"/>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9"/>
        </w:rPr>
        <w:instrText xml:space="preserve"> </w:instrText>
      </w:r>
      <w:r>
        <w:fldChar w:fldCharType="end"/>
      </w:r>
      <w:r>
        <w:rPr>
          <w:rStyle w:val="a9"/>
        </w:rPr>
        <w:annotationRef/>
      </w:r>
      <w:r>
        <w:t>&lt;&lt;ODS JOB NO&gt;&gt;N1515259C&lt;&lt;ODS JOB NO&gt;&gt;</w:t>
      </w:r>
    </w:p>
    <w:p w:rsidR="009F1D3E" w:rsidRDefault="009F1D3E">
      <w:pPr>
        <w:pStyle w:val="a7"/>
      </w:pPr>
      <w:r>
        <w:t>&lt;&lt;ODS DOC SYMBOL1&gt;&gt;A/HRC/30/47&lt;&lt;ODS DOC SYMBOL1&gt;&gt;</w:t>
      </w:r>
    </w:p>
    <w:p w:rsidR="009F1D3E" w:rsidRDefault="009F1D3E">
      <w:pPr>
        <w:pStyle w:val="a7"/>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D3E" w:rsidRDefault="009F1D3E">
      <w:r>
        <w:separator/>
      </w:r>
    </w:p>
  </w:endnote>
  <w:endnote w:type="continuationSeparator" w:id="0">
    <w:p w:rsidR="009F1D3E" w:rsidRDefault="009F1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Barcode 3 of 9 by request">
    <w:panose1 w:val="020B0803050302020204"/>
    <w:charset w:val="00"/>
    <w:family w:val="swiss"/>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9F1D3E" w:rsidTr="00A03107">
      <w:trPr>
        <w:jc w:val="center"/>
      </w:trPr>
      <w:tc>
        <w:tcPr>
          <w:tcW w:w="5126" w:type="dxa"/>
          <w:shd w:val="clear" w:color="auto" w:fill="auto"/>
        </w:tcPr>
        <w:p w:rsidR="009F1D3E" w:rsidRPr="00A03107" w:rsidRDefault="009F1D3E" w:rsidP="00A03107">
          <w:pPr>
            <w:pStyle w:val="ac"/>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AE7483">
            <w:rPr>
              <w:b w:val="0"/>
              <w:w w:val="103"/>
              <w:sz w:val="14"/>
            </w:rPr>
            <w:t>GE.15-11613 (C)</w:t>
          </w:r>
          <w:r>
            <w:rPr>
              <w:b w:val="0"/>
              <w:w w:val="103"/>
              <w:sz w:val="14"/>
            </w:rPr>
            <w:fldChar w:fldCharType="end"/>
          </w:r>
        </w:p>
      </w:tc>
      <w:tc>
        <w:tcPr>
          <w:tcW w:w="5127" w:type="dxa"/>
          <w:shd w:val="clear" w:color="auto" w:fill="auto"/>
        </w:tcPr>
        <w:p w:rsidR="009F1D3E" w:rsidRPr="00A03107" w:rsidRDefault="009F1D3E" w:rsidP="00A03107">
          <w:pPr>
            <w:pStyle w:val="ac"/>
            <w:jc w:val="left"/>
            <w:rPr>
              <w:w w:val="103"/>
            </w:rPr>
          </w:pPr>
          <w:r>
            <w:rPr>
              <w:w w:val="103"/>
            </w:rPr>
            <w:fldChar w:fldCharType="begin"/>
          </w:r>
          <w:r>
            <w:rPr>
              <w:w w:val="103"/>
            </w:rPr>
            <w:instrText xml:space="preserve"> PAGE  \* Arabic  \* MERGEFORMAT </w:instrText>
          </w:r>
          <w:r>
            <w:rPr>
              <w:w w:val="103"/>
            </w:rPr>
            <w:fldChar w:fldCharType="separate"/>
          </w:r>
          <w:r w:rsidR="00AE7483">
            <w:rPr>
              <w:w w:val="103"/>
            </w:rPr>
            <w:t>22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AE7483">
            <w:rPr>
              <w:w w:val="103"/>
            </w:rPr>
            <w:t>22</w:t>
          </w:r>
          <w:r>
            <w:rPr>
              <w:w w:val="103"/>
            </w:rPr>
            <w:fldChar w:fldCharType="end"/>
          </w:r>
        </w:p>
      </w:tc>
    </w:tr>
  </w:tbl>
  <w:p w:rsidR="009F1D3E" w:rsidRPr="00A03107" w:rsidRDefault="009F1D3E" w:rsidP="00A0310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9F1D3E" w:rsidTr="00A03107">
      <w:trPr>
        <w:jc w:val="center"/>
      </w:trPr>
      <w:tc>
        <w:tcPr>
          <w:tcW w:w="5126" w:type="dxa"/>
          <w:shd w:val="clear" w:color="auto" w:fill="auto"/>
        </w:tcPr>
        <w:p w:rsidR="009F1D3E" w:rsidRPr="00A03107" w:rsidRDefault="009F1D3E" w:rsidP="00A03107">
          <w:pPr>
            <w:pStyle w:val="ac"/>
            <w:jc w:val="right"/>
          </w:pPr>
          <w:r>
            <w:fldChar w:fldCharType="begin"/>
          </w:r>
          <w:r>
            <w:instrText xml:space="preserve"> PAGE  \* Arabic  \* MERGEFORMAT </w:instrText>
          </w:r>
          <w:r>
            <w:fldChar w:fldCharType="separate"/>
          </w:r>
          <w:r w:rsidR="00AE7483">
            <w:t>21</w:t>
          </w:r>
          <w:r>
            <w:fldChar w:fldCharType="end"/>
          </w:r>
          <w:r>
            <w:t>/</w:t>
          </w:r>
          <w:r w:rsidR="00AE7483">
            <w:fldChar w:fldCharType="begin"/>
          </w:r>
          <w:r w:rsidR="00AE7483">
            <w:instrText xml:space="preserve"> NUMPAGES  \* Arabic  \* MERGEFORMAT </w:instrText>
          </w:r>
          <w:r w:rsidR="00AE7483">
            <w:fldChar w:fldCharType="separate"/>
          </w:r>
          <w:r w:rsidR="00AE7483">
            <w:t>22</w:t>
          </w:r>
          <w:r w:rsidR="00AE7483">
            <w:fldChar w:fldCharType="end"/>
          </w:r>
        </w:p>
      </w:tc>
      <w:tc>
        <w:tcPr>
          <w:tcW w:w="5127" w:type="dxa"/>
          <w:shd w:val="clear" w:color="auto" w:fill="auto"/>
        </w:tcPr>
        <w:p w:rsidR="009F1D3E" w:rsidRPr="00A03107" w:rsidRDefault="009F1D3E" w:rsidP="00A03107">
          <w:pPr>
            <w:pStyle w:val="ac"/>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AE7483">
            <w:rPr>
              <w:b w:val="0"/>
              <w:w w:val="103"/>
              <w:sz w:val="14"/>
            </w:rPr>
            <w:t>GE.15-11613 (C)</w:t>
          </w:r>
          <w:r>
            <w:rPr>
              <w:b w:val="0"/>
              <w:w w:val="103"/>
              <w:sz w:val="14"/>
            </w:rPr>
            <w:fldChar w:fldCharType="end"/>
          </w:r>
        </w:p>
      </w:tc>
    </w:tr>
  </w:tbl>
  <w:p w:rsidR="009F1D3E" w:rsidRPr="00A03107" w:rsidRDefault="009F1D3E" w:rsidP="00A0310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9F1D3E" w:rsidTr="00A03107">
      <w:tc>
        <w:tcPr>
          <w:tcW w:w="3873" w:type="dxa"/>
        </w:tcPr>
        <w:p w:rsidR="009F1D3E" w:rsidRDefault="009F1D3E" w:rsidP="00B91936">
          <w:pPr>
            <w:pStyle w:val="Release"/>
          </w:pPr>
          <w:r>
            <w:rPr>
              <w:noProof/>
            </w:rPr>
            <w:drawing>
              <wp:anchor distT="0" distB="0" distL="114300" distR="114300" simplePos="0" relativeHeight="251658240" behindDoc="0" locked="0" layoutInCell="1" allowOverlap="1" wp14:anchorId="6559B051" wp14:editId="3CCE0671">
                <wp:simplePos x="0" y="0"/>
                <wp:positionH relativeFrom="column">
                  <wp:posOffset>5687694</wp:posOffset>
                </wp:positionH>
                <wp:positionV relativeFrom="paragraph">
                  <wp:posOffset>-365761</wp:posOffset>
                </wp:positionV>
                <wp:extent cx="694690" cy="694690"/>
                <wp:effectExtent l="0" t="0" r="0" b="0"/>
                <wp:wrapNone/>
                <wp:docPr id="3" name="图片 3" descr="http://undocs.org/m2/QRCode2.ashx?DS=A/HRC/30/47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47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sidR="00AE7483">
            <w:fldChar w:fldCharType="begin"/>
          </w:r>
          <w:r w:rsidR="00AE7483">
            <w:instrText xml:space="preserve"> DOCVARIABLE "jobn" \* MERGEFORMAT </w:instrText>
          </w:r>
          <w:r w:rsidR="00AE7483">
            <w:fldChar w:fldCharType="separate"/>
          </w:r>
          <w:r w:rsidR="00AE7483">
            <w:t>GE.15-11613 (C)</w:t>
          </w:r>
          <w:r w:rsidR="00AE7483">
            <w:fldChar w:fldCharType="end"/>
          </w:r>
          <w:r>
            <w:t xml:space="preserve">    030815    </w:t>
          </w:r>
          <w:r w:rsidR="00B91936">
            <w:t>0909</w:t>
          </w:r>
          <w:r>
            <w:t>15</w:t>
          </w:r>
        </w:p>
        <w:p w:rsidR="009F1D3E" w:rsidRPr="00A03107" w:rsidRDefault="009F1D3E" w:rsidP="00A03107">
          <w:pPr>
            <w:spacing w:before="80" w:line="210" w:lineRule="exact"/>
            <w:rPr>
              <w:rFonts w:ascii="Barcode 3 of 9 by request" w:hAnsi="Barcode 3 of 9 by request"/>
              <w:sz w:val="24"/>
            </w:rPr>
          </w:pPr>
          <w:r>
            <w:rPr>
              <w:rFonts w:ascii="Barcode 3 of 9 by request" w:hAnsi="Barcode 3 of 9 by request"/>
              <w:sz w:val="24"/>
            </w:rPr>
            <w:t>*1511613*</w:t>
          </w:r>
        </w:p>
      </w:tc>
      <w:tc>
        <w:tcPr>
          <w:tcW w:w="5127" w:type="dxa"/>
        </w:tcPr>
        <w:p w:rsidR="009F1D3E" w:rsidRDefault="009F1D3E" w:rsidP="00A03107">
          <w:pPr>
            <w:pStyle w:val="ac"/>
            <w:jc w:val="right"/>
            <w:rPr>
              <w:b w:val="0"/>
              <w:sz w:val="21"/>
            </w:rPr>
          </w:pPr>
          <w:r>
            <w:rPr>
              <w:b w:val="0"/>
              <w:sz w:val="21"/>
            </w:rPr>
            <w:drawing>
              <wp:inline distT="0" distB="0" distL="0" distR="0" wp14:anchorId="7EFF1631" wp14:editId="1B035076">
                <wp:extent cx="618745" cy="23164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9F1D3E" w:rsidRPr="00A03107" w:rsidRDefault="009F1D3E" w:rsidP="00A03107">
    <w:pPr>
      <w:pStyle w:val="ac"/>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D3E" w:rsidRDefault="009F1D3E">
      <w:r>
        <w:separator/>
      </w:r>
    </w:p>
  </w:footnote>
  <w:footnote w:type="continuationSeparator" w:id="0">
    <w:p w:rsidR="009F1D3E" w:rsidRDefault="009F1D3E">
      <w:r>
        <w:continuationSeparator/>
      </w:r>
    </w:p>
  </w:footnote>
  <w:footnote w:id="1">
    <w:p w:rsidR="009F1D3E" w:rsidRDefault="009F1D3E" w:rsidP="001C216D">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1C216D">
        <w:rPr>
          <w:rStyle w:val="a3"/>
          <w:sz w:val="21"/>
          <w:szCs w:val="21"/>
          <w:vertAlign w:val="baseline"/>
        </w:rPr>
        <w:t>*</w:t>
      </w:r>
      <w:r>
        <w:tab/>
      </w:r>
      <w:r>
        <w:rPr>
          <w:rFonts w:hint="eastAsia"/>
        </w:rPr>
        <w:t>本报告附件</w:t>
      </w:r>
      <w:r w:rsidRPr="00BC4F51">
        <w:rPr>
          <w:rFonts w:hint="eastAsia"/>
        </w:rPr>
        <w:t>以收到时</w:t>
      </w:r>
      <w:bookmarkStart w:id="1" w:name="_GoBack"/>
      <w:bookmarkEnd w:id="1"/>
      <w:r w:rsidRPr="00BC4F51">
        <w:rPr>
          <w:rFonts w:hint="eastAsia"/>
        </w:rPr>
        <w:t>的原文分发。</w:t>
      </w:r>
    </w:p>
  </w:footnote>
  <w:footnote w:id="2">
    <w:p w:rsidR="001C216D" w:rsidRDefault="001C216D" w:rsidP="001C216D">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1C216D">
        <w:rPr>
          <w:rStyle w:val="a3"/>
          <w:sz w:val="21"/>
        </w:rPr>
        <w:footnoteRef/>
      </w:r>
      <w:r>
        <w:tab/>
      </w:r>
      <w:r w:rsidRPr="001C216D">
        <w:rPr>
          <w:rFonts w:hint="eastAsia"/>
        </w:rPr>
        <w:t>见第一届会议</w:t>
      </w:r>
      <w:r w:rsidRPr="001C216D">
        <w:t>(2011</w:t>
      </w:r>
      <w:r w:rsidRPr="001C216D">
        <w:rPr>
          <w:rFonts w:hint="eastAsia"/>
        </w:rPr>
        <w:t>年</w:t>
      </w:r>
      <w:r w:rsidRPr="001C216D">
        <w:t>5</w:t>
      </w:r>
      <w:r w:rsidRPr="001C216D">
        <w:rPr>
          <w:rFonts w:hint="eastAsia"/>
        </w:rPr>
        <w:t>月</w:t>
      </w:r>
      <w:r w:rsidRPr="001C216D">
        <w:t>23</w:t>
      </w:r>
      <w:r w:rsidRPr="001C216D">
        <w:rPr>
          <w:rFonts w:hint="eastAsia"/>
        </w:rPr>
        <w:t>日至</w:t>
      </w:r>
      <w:r w:rsidRPr="001C216D">
        <w:t>27</w:t>
      </w:r>
      <w:r w:rsidRPr="001C216D">
        <w:rPr>
          <w:rFonts w:hint="eastAsia"/>
        </w:rPr>
        <w:t>日，</w:t>
      </w:r>
      <w:r w:rsidRPr="001C216D">
        <w:t>A/HRC/WG.10/1/4)</w:t>
      </w:r>
      <w:r w:rsidRPr="001C216D">
        <w:rPr>
          <w:rFonts w:hint="eastAsia"/>
        </w:rPr>
        <w:t>、第二届会议</w:t>
      </w:r>
      <w:r w:rsidRPr="001C216D">
        <w:t>(2012</w:t>
      </w:r>
      <w:r w:rsidRPr="001C216D">
        <w:rPr>
          <w:rFonts w:hint="eastAsia"/>
        </w:rPr>
        <w:t>年</w:t>
      </w:r>
      <w:r w:rsidRPr="001C216D">
        <w:t>8</w:t>
      </w:r>
      <w:r w:rsidRPr="001C216D">
        <w:rPr>
          <w:rFonts w:hint="eastAsia"/>
        </w:rPr>
        <w:t>月</w:t>
      </w:r>
      <w:r w:rsidRPr="001C216D">
        <w:t>13</w:t>
      </w:r>
      <w:r w:rsidRPr="001C216D">
        <w:rPr>
          <w:rFonts w:hint="eastAsia"/>
        </w:rPr>
        <w:t>日至</w:t>
      </w:r>
      <w:r w:rsidRPr="001C216D">
        <w:t>17</w:t>
      </w:r>
      <w:r w:rsidRPr="001C216D">
        <w:rPr>
          <w:rFonts w:hint="eastAsia"/>
        </w:rPr>
        <w:t>日，</w:t>
      </w:r>
      <w:r w:rsidRPr="001C216D">
        <w:t xml:space="preserve">A/HRC/22/41) </w:t>
      </w:r>
      <w:r w:rsidRPr="001C216D">
        <w:rPr>
          <w:rFonts w:hint="eastAsia"/>
        </w:rPr>
        <w:t>和第三届会议</w:t>
      </w:r>
      <w:r w:rsidRPr="001C216D">
        <w:t>(2014</w:t>
      </w:r>
      <w:r w:rsidRPr="001C216D">
        <w:rPr>
          <w:rFonts w:hint="eastAsia"/>
        </w:rPr>
        <w:t>年</w:t>
      </w:r>
      <w:r w:rsidRPr="001C216D">
        <w:t>7</w:t>
      </w:r>
      <w:r w:rsidRPr="001C216D">
        <w:rPr>
          <w:rFonts w:hint="eastAsia"/>
        </w:rPr>
        <w:t>月</w:t>
      </w:r>
      <w:r w:rsidRPr="001C216D">
        <w:t>21</w:t>
      </w:r>
      <w:r w:rsidRPr="001C216D">
        <w:rPr>
          <w:rFonts w:hint="eastAsia"/>
        </w:rPr>
        <w:t>日至</w:t>
      </w:r>
      <w:r w:rsidRPr="001C216D">
        <w:t>25</w:t>
      </w:r>
      <w:r w:rsidRPr="001C216D">
        <w:rPr>
          <w:rFonts w:hint="eastAsia"/>
        </w:rPr>
        <w:t>日，</w:t>
      </w:r>
      <w:r w:rsidRPr="001C216D">
        <w:t>A/HRC/WG.10/3/2)</w:t>
      </w:r>
      <w:r w:rsidRPr="001C216D">
        <w:rPr>
          <w:rFonts w:hint="eastAsia"/>
        </w:rPr>
        <w:t>提要。</w:t>
      </w:r>
    </w:p>
  </w:footnote>
  <w:footnote w:id="3">
    <w:p w:rsidR="009F1D3E" w:rsidRDefault="009F1D3E" w:rsidP="001C216D">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sidRPr="0032318B">
        <w:rPr>
          <w:szCs w:val="18"/>
        </w:rPr>
        <w:tab/>
      </w:r>
      <w:r w:rsidRPr="001C216D">
        <w:rPr>
          <w:rStyle w:val="a3"/>
          <w:sz w:val="21"/>
          <w:szCs w:val="18"/>
        </w:rPr>
        <w:footnoteRef/>
      </w:r>
      <w:r>
        <w:rPr>
          <w:szCs w:val="18"/>
        </w:rPr>
        <w:tab/>
      </w:r>
      <w:r>
        <w:rPr>
          <w:rFonts w:hint="eastAsia"/>
          <w:szCs w:val="18"/>
        </w:rPr>
        <w:t>更多资料见</w:t>
      </w:r>
      <w:r w:rsidRPr="001C216D">
        <w:rPr>
          <w:szCs w:val="18"/>
        </w:rPr>
        <w:t>www.ohchr.org/EN/Issues/Business/Pages/OHCHRstudyondomesticlawremedies.aspx</w:t>
      </w:r>
      <w:r>
        <w:rPr>
          <w:rFonts w:hint="eastAsia"/>
          <w:szCs w:val="18"/>
        </w:rPr>
        <w:t>。</w:t>
      </w:r>
    </w:p>
  </w:footnote>
  <w:footnote w:id="4">
    <w:p w:rsidR="009F1D3E" w:rsidRDefault="009F1D3E" w:rsidP="001C216D">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sidRPr="00673C1B">
        <w:rPr>
          <w:szCs w:val="18"/>
        </w:rPr>
        <w:tab/>
      </w:r>
      <w:r w:rsidRPr="001C216D">
        <w:rPr>
          <w:rStyle w:val="a3"/>
          <w:sz w:val="21"/>
          <w:szCs w:val="18"/>
        </w:rPr>
        <w:footnoteRef/>
      </w:r>
      <w:r w:rsidRPr="00673C1B">
        <w:rPr>
          <w:szCs w:val="18"/>
        </w:rPr>
        <w:tab/>
      </w:r>
      <w:r>
        <w:rPr>
          <w:rFonts w:hint="eastAsia"/>
          <w:szCs w:val="18"/>
        </w:rPr>
        <w:t>人权理事会第</w:t>
      </w:r>
      <w:r>
        <w:rPr>
          <w:szCs w:val="18"/>
        </w:rPr>
        <w:t>17/4</w:t>
      </w:r>
      <w:r>
        <w:rPr>
          <w:rFonts w:hint="eastAsia"/>
          <w:szCs w:val="18"/>
        </w:rPr>
        <w:t>号决议认</w:t>
      </w:r>
      <w:r w:rsidRPr="008E555E">
        <w:rPr>
          <w:rFonts w:hint="eastAsia"/>
          <w:szCs w:val="18"/>
        </w:rPr>
        <w:t>可</w:t>
      </w:r>
      <w:r>
        <w:rPr>
          <w:rFonts w:hint="eastAsia"/>
          <w:szCs w:val="18"/>
        </w:rPr>
        <w:t>。</w:t>
      </w:r>
    </w:p>
  </w:footnote>
  <w:footnote w:id="5">
    <w:p w:rsidR="009F1D3E" w:rsidRDefault="009F1D3E" w:rsidP="001C216D">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sidRPr="00673C1B">
        <w:rPr>
          <w:szCs w:val="18"/>
        </w:rPr>
        <w:tab/>
      </w:r>
      <w:r w:rsidRPr="001C216D">
        <w:rPr>
          <w:rStyle w:val="a3"/>
          <w:sz w:val="21"/>
          <w:szCs w:val="18"/>
        </w:rPr>
        <w:footnoteRef/>
      </w:r>
      <w:r w:rsidRPr="001C216D">
        <w:rPr>
          <w:szCs w:val="18"/>
        </w:rPr>
        <w:tab/>
      </w:r>
      <w:r>
        <w:rPr>
          <w:rFonts w:hint="eastAsia"/>
          <w:szCs w:val="18"/>
        </w:rPr>
        <w:t>可查阅</w:t>
      </w:r>
      <w:r w:rsidRPr="001C216D">
        <w:rPr>
          <w:szCs w:val="18"/>
        </w:rPr>
        <w:t>www.ohchr.org/EN/NewsEvents/Pages/DisplayNews.aspx?NewsID=15840&amp;LangID=E</w:t>
      </w:r>
      <w:r>
        <w:rPr>
          <w:rFonts w:hint="eastAsia"/>
          <w:szCs w:val="18"/>
        </w:rPr>
        <w:t>。</w:t>
      </w:r>
    </w:p>
  </w:footnote>
  <w:footnote w:id="6">
    <w:p w:rsidR="009F1D3E" w:rsidRDefault="009F1D3E" w:rsidP="001C216D">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sidRPr="0032318B">
        <w:rPr>
          <w:szCs w:val="18"/>
        </w:rPr>
        <w:tab/>
      </w:r>
      <w:r w:rsidRPr="001C216D">
        <w:rPr>
          <w:rStyle w:val="a3"/>
          <w:sz w:val="21"/>
          <w:szCs w:val="18"/>
        </w:rPr>
        <w:footnoteRef/>
      </w:r>
      <w:r>
        <w:rPr>
          <w:szCs w:val="18"/>
        </w:rPr>
        <w:tab/>
      </w:r>
      <w:r>
        <w:rPr>
          <w:rFonts w:hint="eastAsia"/>
          <w:szCs w:val="18"/>
        </w:rPr>
        <w:t>见</w:t>
      </w:r>
      <w:r w:rsidRPr="001C216D">
        <w:rPr>
          <w:szCs w:val="18"/>
        </w:rPr>
        <w:t>www.ohchr.org/Documents/HRBodies/HRCouncil/WGMilitary/Session4/Pakistan.pdf</w:t>
      </w:r>
      <w:r>
        <w:rPr>
          <w:rFonts w:hint="eastAsia"/>
          <w:szCs w:val="18"/>
        </w:rPr>
        <w:t>。</w:t>
      </w:r>
    </w:p>
  </w:footnote>
  <w:footnote w:id="7">
    <w:p w:rsidR="009F1D3E" w:rsidRDefault="009F1D3E" w:rsidP="001C216D">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sidRPr="00673C1B">
        <w:rPr>
          <w:szCs w:val="18"/>
        </w:rPr>
        <w:tab/>
      </w:r>
      <w:r w:rsidRPr="001C216D">
        <w:rPr>
          <w:rStyle w:val="a3"/>
          <w:sz w:val="21"/>
          <w:szCs w:val="18"/>
        </w:rPr>
        <w:footnoteRef/>
      </w:r>
      <w:r>
        <w:rPr>
          <w:szCs w:val="18"/>
        </w:rPr>
        <w:tab/>
      </w:r>
      <w:r>
        <w:rPr>
          <w:rFonts w:hint="eastAsia"/>
          <w:szCs w:val="18"/>
        </w:rPr>
        <w:t>可查阅</w:t>
      </w:r>
      <w:r w:rsidR="001C216D" w:rsidRPr="001C216D">
        <w:rPr>
          <w:szCs w:val="18"/>
        </w:rPr>
        <w:t>www.dcaf.ch/Publications/Progress-and-Opportunities-Five-Years-On-Challenges-and-Recomm</w:t>
      </w:r>
      <w:r w:rsidR="001C216D">
        <w:rPr>
          <w:rFonts w:hint="eastAsia"/>
          <w:szCs w:val="18"/>
        </w:rPr>
        <w:t xml:space="preserve"> </w:t>
      </w:r>
      <w:r w:rsidRPr="001C216D">
        <w:rPr>
          <w:szCs w:val="18"/>
        </w:rPr>
        <w:t>endations-for-Montreux-Document-Endorsing-States</w:t>
      </w:r>
      <w:r>
        <w:rPr>
          <w:rFonts w:hint="eastAsia"/>
          <w:szCs w:val="18"/>
        </w:rPr>
        <w:t>。</w:t>
      </w:r>
    </w:p>
  </w:footnote>
  <w:footnote w:id="8">
    <w:p w:rsidR="009F1D3E" w:rsidRDefault="009F1D3E" w:rsidP="001C216D">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sidRPr="00673C1B">
        <w:rPr>
          <w:szCs w:val="18"/>
        </w:rPr>
        <w:tab/>
      </w:r>
      <w:r w:rsidRPr="001C216D">
        <w:rPr>
          <w:rStyle w:val="a3"/>
          <w:sz w:val="21"/>
          <w:szCs w:val="18"/>
        </w:rPr>
        <w:footnoteRef/>
      </w:r>
      <w:r>
        <w:rPr>
          <w:szCs w:val="18"/>
        </w:rPr>
        <w:tab/>
      </w:r>
      <w:r>
        <w:rPr>
          <w:rFonts w:hint="eastAsia"/>
          <w:szCs w:val="18"/>
        </w:rPr>
        <w:t>可查阅</w:t>
      </w:r>
      <w:r w:rsidRPr="001C216D">
        <w:rPr>
          <w:szCs w:val="18"/>
        </w:rPr>
        <w:t>www.iso.org/iso/home/store/catalogue_tc/catalogue_detail.htm?csnumber=63380</w:t>
      </w:r>
      <w:r>
        <w:rPr>
          <w:rFonts w:hint="eastAsia"/>
          <w:szCs w:val="18"/>
        </w:rPr>
        <w:t>。</w:t>
      </w:r>
    </w:p>
  </w:footnote>
  <w:footnote w:id="9">
    <w:p w:rsidR="009F1D3E" w:rsidRDefault="009F1D3E" w:rsidP="001C216D">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lang w:val="de-CH"/>
        </w:rPr>
        <w:tab/>
      </w:r>
      <w:r w:rsidRPr="001C216D">
        <w:rPr>
          <w:rStyle w:val="a3"/>
          <w:sz w:val="21"/>
        </w:rPr>
        <w:footnoteRef/>
      </w:r>
      <w:r>
        <w:rPr>
          <w:lang w:val="de-CH"/>
        </w:rPr>
        <w:tab/>
      </w:r>
      <w:r>
        <w:rPr>
          <w:rFonts w:hint="eastAsia"/>
          <w:lang w:val="de-CH"/>
        </w:rPr>
        <w:t>在请《</w:t>
      </w:r>
      <w:r>
        <w:rPr>
          <w:rFonts w:hint="eastAsia"/>
        </w:rPr>
        <w:t>国际行为守则》协会的</w:t>
      </w:r>
      <w:r>
        <w:rPr>
          <w:lang w:val="de-CH"/>
        </w:rPr>
        <w:t>Orsmond</w:t>
      </w:r>
      <w:r>
        <w:rPr>
          <w:rFonts w:hint="eastAsia"/>
          <w:lang w:val="de-CH"/>
        </w:rPr>
        <w:t>先生发言之前，主席兼报告员回顾了人权理事会第</w:t>
      </w:r>
      <w:r>
        <w:rPr>
          <w:lang w:val="de-CH"/>
        </w:rPr>
        <w:t>22/33</w:t>
      </w:r>
      <w:r>
        <w:rPr>
          <w:rFonts w:hint="eastAsia"/>
          <w:lang w:val="de-CH"/>
        </w:rPr>
        <w:t>号和第</w:t>
      </w:r>
      <w:r>
        <w:rPr>
          <w:lang w:val="de-CH"/>
        </w:rPr>
        <w:t>28/7</w:t>
      </w:r>
      <w:r>
        <w:rPr>
          <w:rFonts w:hint="eastAsia"/>
          <w:lang w:val="de-CH"/>
        </w:rPr>
        <w:t>号决议，决议决定政府间工作</w:t>
      </w:r>
      <w:r w:rsidRPr="008C3E6B">
        <w:rPr>
          <w:rFonts w:hint="eastAsia"/>
          <w:lang w:val="de-CH"/>
        </w:rPr>
        <w:t>组“应邀请各位专家和所有相关利益攸关方参加其工作”。他还回顾在第三届会议期间，行业代表受邀作为独立利益攸关方或代表团成员参加</w:t>
      </w:r>
      <w:r>
        <w:rPr>
          <w:rFonts w:hint="eastAsia"/>
          <w:lang w:val="de-CH"/>
        </w:rPr>
        <w:t>该届会议</w:t>
      </w:r>
      <w:r>
        <w:rPr>
          <w:lang w:val="de-CH"/>
        </w:rPr>
        <w:t>(A/HRC//WG.10/3/2</w:t>
      </w:r>
      <w:r>
        <w:rPr>
          <w:rFonts w:hint="eastAsia"/>
          <w:lang w:val="de-CH"/>
        </w:rPr>
        <w:t>第</w:t>
      </w:r>
      <w:r>
        <w:rPr>
          <w:lang w:val="de-CH"/>
        </w:rPr>
        <w:t>12</w:t>
      </w:r>
      <w:r>
        <w:rPr>
          <w:rFonts w:hint="eastAsia"/>
          <w:lang w:val="de-CH"/>
        </w:rPr>
        <w:t>段</w:t>
      </w:r>
      <w:r>
        <w:rPr>
          <w:lang w:val="de-CH"/>
        </w:rPr>
        <w:t>)</w:t>
      </w:r>
      <w:r>
        <w:rPr>
          <w:rFonts w:hint="eastAsia"/>
          <w:lang w:val="de-CH"/>
        </w:rPr>
        <w:t>。</w:t>
      </w:r>
    </w:p>
  </w:footnote>
  <w:footnote w:id="10">
    <w:p w:rsidR="009F1D3E" w:rsidRDefault="009F1D3E" w:rsidP="008B012D">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sidRPr="00DE4196">
        <w:rPr>
          <w:szCs w:val="18"/>
          <w:lang w:val="es-ES"/>
        </w:rPr>
        <w:tab/>
      </w:r>
      <w:r w:rsidRPr="001C216D">
        <w:rPr>
          <w:rStyle w:val="a3"/>
          <w:sz w:val="21"/>
          <w:szCs w:val="18"/>
        </w:rPr>
        <w:footnoteRef/>
      </w:r>
      <w:r w:rsidRPr="00DE4196">
        <w:rPr>
          <w:szCs w:val="18"/>
          <w:lang w:val="es-ES"/>
        </w:rPr>
        <w:tab/>
      </w:r>
      <w:r w:rsidRPr="007334DD">
        <w:rPr>
          <w:rFonts w:hint="eastAsia"/>
          <w:lang w:val="de-CH"/>
        </w:rPr>
        <w:t>哥斯达黎加、古巴、萨尔瓦多、危地马拉、洪都拉斯、墨西哥、尼加拉瓜和巴拿马；阿根廷、</w:t>
      </w:r>
      <w:r w:rsidR="008B012D" w:rsidRPr="007334DD">
        <w:rPr>
          <w:rFonts w:hint="eastAsia"/>
          <w:lang w:val="de-CH"/>
        </w:rPr>
        <w:t>多民族</w:t>
      </w:r>
      <w:r w:rsidRPr="007334DD">
        <w:rPr>
          <w:rFonts w:hint="eastAsia"/>
          <w:lang w:val="de-CH"/>
        </w:rPr>
        <w:t>玻利维亚国、巴西、智利、哥伦比亚、厄瓜多尔、秘鲁和乌拉圭；以及法国、匈牙利、瑞士和联合王国。</w:t>
      </w:r>
    </w:p>
  </w:footnote>
  <w:footnote w:id="11">
    <w:p w:rsidR="009F1D3E" w:rsidRDefault="009F1D3E" w:rsidP="001C216D">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sidRPr="00A75ECB">
        <w:rPr>
          <w:szCs w:val="18"/>
          <w:lang w:val="es-ES"/>
        </w:rPr>
        <w:tab/>
      </w:r>
      <w:r w:rsidRPr="001C216D">
        <w:rPr>
          <w:rStyle w:val="a3"/>
          <w:sz w:val="21"/>
          <w:szCs w:val="18"/>
        </w:rPr>
        <w:footnoteRef/>
      </w:r>
      <w:r w:rsidRPr="00A75ECB">
        <w:rPr>
          <w:szCs w:val="18"/>
        </w:rPr>
        <w:tab/>
      </w:r>
      <w:r w:rsidR="008B012D">
        <w:rPr>
          <w:rFonts w:hint="eastAsia"/>
          <w:szCs w:val="18"/>
        </w:rPr>
        <w:tab/>
      </w:r>
      <w:r w:rsidRPr="00A75ECB">
        <w:rPr>
          <w:rFonts w:hint="eastAsia"/>
          <w:szCs w:val="18"/>
        </w:rPr>
        <w:t>布基纳法索、喀麦隆、科特迪瓦、刚果民主共和国、马里、摩洛哥、塞内加尔和突尼斯</w:t>
      </w:r>
      <w:r w:rsidRPr="00A75ECB">
        <w:rPr>
          <w:szCs w:val="18"/>
        </w:rPr>
        <w:t>(A/HRC/27/50)</w:t>
      </w:r>
      <w:r w:rsidRPr="00A75ECB">
        <w:rPr>
          <w:rFonts w:hint="eastAsia"/>
          <w:szCs w:val="18"/>
        </w:rPr>
        <w:t>；中国、印度、马来西亚、巴基斯坦、菲律宾、新加坡、斯里兰卡和阿拉伯联合酋长国</w:t>
      </w:r>
      <w:r w:rsidRPr="00A75ECB">
        <w:rPr>
          <w:szCs w:val="18"/>
        </w:rPr>
        <w:t>(A/HRC/27/50)</w:t>
      </w:r>
      <w:r w:rsidRPr="00A75ECB">
        <w:rPr>
          <w:rFonts w:hint="eastAsia"/>
          <w:szCs w:val="18"/>
        </w:rPr>
        <w:t>；以及博兹瓦纳、加纳、冈比亚、肯尼亚、莱索托、毛里求斯、纳米比亚、尼日利亚、塞拉利昂、南非、斯威士兰、乌</w:t>
      </w:r>
      <w:r>
        <w:rPr>
          <w:rFonts w:hint="eastAsia"/>
          <w:szCs w:val="18"/>
        </w:rPr>
        <w:t>干达和津巴布韦</w:t>
      </w:r>
      <w:r w:rsidRPr="006440B1">
        <w:rPr>
          <w:szCs w:val="18"/>
        </w:rPr>
        <w:t>(A/HRC/24/45)</w:t>
      </w:r>
      <w:r>
        <w:rPr>
          <w:rFonts w:hint="eastAsia"/>
          <w:szCs w:val="18"/>
        </w:rPr>
        <w:t>。</w:t>
      </w:r>
    </w:p>
  </w:footnote>
  <w:footnote w:id="12">
    <w:p w:rsidR="009F1D3E" w:rsidRDefault="009F1D3E" w:rsidP="001C216D">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sidRPr="006440B1">
        <w:rPr>
          <w:szCs w:val="18"/>
        </w:rPr>
        <w:tab/>
      </w:r>
      <w:r w:rsidRPr="001C216D">
        <w:rPr>
          <w:rStyle w:val="a3"/>
          <w:sz w:val="21"/>
          <w:szCs w:val="18"/>
        </w:rPr>
        <w:footnoteRef/>
      </w:r>
      <w:r w:rsidRPr="001C216D">
        <w:rPr>
          <w:rStyle w:val="a3"/>
          <w:sz w:val="21"/>
        </w:rPr>
        <w:tab/>
      </w:r>
      <w:r>
        <w:rPr>
          <w:rFonts w:hint="eastAsia"/>
          <w:szCs w:val="18"/>
        </w:rPr>
        <w:t>可查阅</w:t>
      </w:r>
      <w:r w:rsidR="001C216D" w:rsidRPr="001C216D">
        <w:rPr>
          <w:szCs w:val="18"/>
        </w:rPr>
        <w:t>www.ohchr.org/Documents/HRBodies/HRCouncil/WGMilitary/Session4/WG_MercenariesCN_</w:t>
      </w:r>
      <w:r w:rsidR="001C216D" w:rsidRPr="001C216D">
        <w:rPr>
          <w:rFonts w:hint="eastAsia"/>
          <w:szCs w:val="18"/>
        </w:rPr>
        <w:t xml:space="preserve"> </w:t>
      </w:r>
      <w:r w:rsidR="001C216D" w:rsidRPr="001C216D">
        <w:rPr>
          <w:szCs w:val="18"/>
        </w:rPr>
        <w:t>14April2015.pdf</w:t>
      </w:r>
      <w:r>
        <w:rPr>
          <w:rFonts w:hint="eastAsia"/>
          <w:szCs w:val="18"/>
        </w:rPr>
        <w:t>。</w:t>
      </w:r>
    </w:p>
  </w:footnote>
  <w:footnote w:id="13">
    <w:p w:rsidR="009F1D3E" w:rsidRDefault="009F1D3E" w:rsidP="001C216D">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sidRPr="00D41192">
        <w:rPr>
          <w:szCs w:val="18"/>
        </w:rPr>
        <w:tab/>
      </w:r>
      <w:r w:rsidRPr="001C216D">
        <w:rPr>
          <w:rStyle w:val="a3"/>
          <w:sz w:val="21"/>
          <w:szCs w:val="18"/>
        </w:rPr>
        <w:footnoteRef/>
      </w:r>
      <w:r>
        <w:rPr>
          <w:szCs w:val="18"/>
        </w:rPr>
        <w:tab/>
      </w:r>
      <w:r>
        <w:rPr>
          <w:rFonts w:hint="eastAsia"/>
          <w:szCs w:val="18"/>
        </w:rPr>
        <w:t>见</w:t>
      </w:r>
      <w:r>
        <w:rPr>
          <w:szCs w:val="18"/>
        </w:rPr>
        <w:t>1990</w:t>
      </w:r>
      <w:r>
        <w:rPr>
          <w:rFonts w:hint="eastAsia"/>
          <w:szCs w:val="18"/>
        </w:rPr>
        <w:t>年</w:t>
      </w:r>
      <w:r w:rsidRPr="009B3045">
        <w:rPr>
          <w:rFonts w:hint="eastAsia"/>
          <w:szCs w:val="18"/>
        </w:rPr>
        <w:t>《执法人员使用武力和火器的基本原则》</w:t>
      </w:r>
      <w:r>
        <w:rPr>
          <w:rFonts w:hint="eastAsia"/>
          <w:szCs w:val="18"/>
        </w:rPr>
        <w:t>第</w:t>
      </w:r>
      <w:r>
        <w:rPr>
          <w:szCs w:val="18"/>
        </w:rPr>
        <w:t>9</w:t>
      </w:r>
      <w:r>
        <w:rPr>
          <w:rFonts w:hint="eastAsia"/>
          <w:szCs w:val="18"/>
        </w:rPr>
        <w:t>段，可查阅</w:t>
      </w:r>
      <w:r w:rsidR="001C216D" w:rsidRPr="001C216D">
        <w:rPr>
          <w:szCs w:val="18"/>
        </w:rPr>
        <w:t>www.ohchr.org/EN/Professional</w:t>
      </w:r>
      <w:r w:rsidR="001C216D" w:rsidRPr="001C216D">
        <w:rPr>
          <w:rFonts w:hint="eastAsia"/>
          <w:szCs w:val="18"/>
        </w:rPr>
        <w:t xml:space="preserve"> </w:t>
      </w:r>
      <w:r w:rsidR="001C216D" w:rsidRPr="001C216D">
        <w:rPr>
          <w:szCs w:val="18"/>
        </w:rPr>
        <w:t>Interest/Pages/UseOfForceAndFirearms.aspx</w:t>
      </w:r>
      <w:r>
        <w:rPr>
          <w:rFonts w:hint="eastAsia"/>
          <w:szCs w:val="18"/>
        </w:rPr>
        <w:t>。</w:t>
      </w:r>
    </w:p>
  </w:footnote>
  <w:footnote w:id="14">
    <w:p w:rsidR="009F1D3E" w:rsidRDefault="009F1D3E" w:rsidP="001C216D">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sidRPr="004832A4">
        <w:tab/>
      </w:r>
      <w:r w:rsidRPr="001C216D">
        <w:rPr>
          <w:rStyle w:val="a3"/>
          <w:sz w:val="21"/>
        </w:rPr>
        <w:footnoteRef/>
      </w:r>
      <w:r>
        <w:tab/>
      </w:r>
      <w:r>
        <w:rPr>
          <w:rFonts w:hint="eastAsia"/>
        </w:rPr>
        <w:t>见</w:t>
      </w:r>
      <w:r w:rsidRPr="001C216D">
        <w:t>www.imo.org/OurWork/Security/SecDocs/Documents/Piracy/MSC.1-Circ.1443.pdf</w:t>
      </w:r>
      <w:r>
        <w:rPr>
          <w:rFonts w:hint="eastAsia"/>
        </w:rPr>
        <w:t>。</w:t>
      </w:r>
    </w:p>
  </w:footnote>
  <w:footnote w:id="15">
    <w:p w:rsidR="009F1D3E" w:rsidRDefault="009F1D3E" w:rsidP="001C216D">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sidRPr="004832A4">
        <w:rPr>
          <w:szCs w:val="18"/>
        </w:rPr>
        <w:tab/>
      </w:r>
      <w:r w:rsidRPr="001C216D">
        <w:rPr>
          <w:rStyle w:val="a3"/>
          <w:sz w:val="21"/>
          <w:szCs w:val="18"/>
        </w:rPr>
        <w:footnoteRef/>
      </w:r>
      <w:r>
        <w:rPr>
          <w:szCs w:val="18"/>
        </w:rPr>
        <w:tab/>
      </w:r>
      <w:r>
        <w:rPr>
          <w:rFonts w:hint="eastAsia"/>
          <w:szCs w:val="18"/>
        </w:rPr>
        <w:t>可查阅</w:t>
      </w:r>
      <w:r w:rsidRPr="001C216D">
        <w:rPr>
          <w:szCs w:val="18"/>
        </w:rPr>
        <w:t>www.geneva-academy.ch/docs/projets/Counterpiracy.pdf</w:t>
      </w:r>
      <w:r>
        <w:rPr>
          <w:rFonts w:hint="eastAsia"/>
        </w:rPr>
        <w:t>。</w:t>
      </w:r>
    </w:p>
  </w:footnote>
  <w:footnote w:id="16">
    <w:p w:rsidR="009F1D3E" w:rsidRDefault="009F1D3E" w:rsidP="001C216D">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1C216D">
        <w:rPr>
          <w:rStyle w:val="a3"/>
          <w:sz w:val="21"/>
        </w:rPr>
        <w:footnoteRef/>
      </w:r>
      <w:r>
        <w:tab/>
      </w:r>
      <w:r>
        <w:rPr>
          <w:rFonts w:hint="eastAsia"/>
          <w:bCs/>
        </w:rPr>
        <w:t>见《联合国海洋法公约》。</w:t>
      </w:r>
    </w:p>
  </w:footnote>
  <w:footnote w:id="17">
    <w:p w:rsidR="009F1D3E" w:rsidRDefault="009F1D3E" w:rsidP="001C216D">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sidRPr="00A11AD5">
        <w:tab/>
      </w:r>
      <w:r w:rsidRPr="001C216D">
        <w:rPr>
          <w:rStyle w:val="a3"/>
          <w:sz w:val="21"/>
        </w:rPr>
        <w:footnoteRef/>
      </w:r>
      <w:r>
        <w:tab/>
      </w:r>
      <w:r>
        <w:rPr>
          <w:rFonts w:hint="eastAsia"/>
        </w:rPr>
        <w:t>可查阅</w:t>
      </w:r>
      <w:r w:rsidRPr="001C216D">
        <w:t>www.imo.org/OurWork/Security/PiracyArmedRobbery/Reports/Pages/Default.aspx</w:t>
      </w:r>
      <w:r>
        <w:rPr>
          <w:rFonts w:hint="eastAsia"/>
        </w:rPr>
        <w:t>。</w:t>
      </w:r>
    </w:p>
  </w:footnote>
  <w:footnote w:id="18">
    <w:p w:rsidR="009F1D3E" w:rsidRPr="0032318B" w:rsidRDefault="009F1D3E" w:rsidP="001C216D">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rPr>
          <w:szCs w:val="18"/>
        </w:rPr>
      </w:pPr>
      <w:r w:rsidRPr="0032318B">
        <w:rPr>
          <w:szCs w:val="18"/>
        </w:rPr>
        <w:tab/>
      </w:r>
      <w:r w:rsidRPr="001C216D">
        <w:rPr>
          <w:rStyle w:val="a3"/>
          <w:sz w:val="21"/>
          <w:szCs w:val="18"/>
        </w:rPr>
        <w:footnoteRef/>
      </w:r>
      <w:r w:rsidRPr="00746D00">
        <w:rPr>
          <w:szCs w:val="18"/>
        </w:rPr>
        <w:tab/>
      </w:r>
      <w:r>
        <w:rPr>
          <w:rFonts w:eastAsiaTheme="minorEastAsia" w:hint="eastAsia"/>
          <w:szCs w:val="18"/>
        </w:rPr>
        <w:t>可查阅</w:t>
      </w:r>
      <w:r w:rsidR="001C216D" w:rsidRPr="001C216D">
        <w:rPr>
          <w:szCs w:val="18"/>
        </w:rPr>
        <w:t>www.ohchr.org/Documents/HRBodies/HRCouncil/WGMilitary/Session4/UNSecurityPolicy</w:t>
      </w:r>
      <w:r w:rsidR="001C216D">
        <w:rPr>
          <w:rFonts w:hint="eastAsia"/>
          <w:szCs w:val="18"/>
        </w:rPr>
        <w:t xml:space="preserve"> </w:t>
      </w:r>
      <w:r w:rsidRPr="00B90A59">
        <w:rPr>
          <w:szCs w:val="18"/>
        </w:rPr>
        <w:t>Manual.pdf</w:t>
      </w:r>
      <w:r>
        <w:rPr>
          <w:szCs w:val="18"/>
        </w:rPr>
        <w:t>.</w:t>
      </w:r>
    </w:p>
  </w:footnote>
  <w:footnote w:id="19">
    <w:p w:rsidR="009F1D3E" w:rsidRPr="00D41192" w:rsidRDefault="009F1D3E" w:rsidP="001C216D">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sidRPr="0032318B">
        <w:tab/>
      </w:r>
      <w:r w:rsidRPr="001C216D">
        <w:rPr>
          <w:rStyle w:val="a3"/>
          <w:sz w:val="21"/>
        </w:rPr>
        <w:footnoteRef/>
      </w:r>
      <w:r>
        <w:tab/>
      </w:r>
      <w:r>
        <w:t>可查阅</w:t>
      </w:r>
      <w:r w:rsidR="001C216D" w:rsidRPr="001C216D">
        <w:rPr>
          <w:szCs w:val="18"/>
        </w:rPr>
        <w:t>www.ohchr.org/Documents/HRBodies/HRCouncil/WGMilitary/Session4/GuidelinesUseArmed</w:t>
      </w:r>
      <w:r w:rsidR="001C216D">
        <w:rPr>
          <w:rFonts w:hint="eastAsia"/>
          <w:szCs w:val="18"/>
        </w:rPr>
        <w:t xml:space="preserve"> </w:t>
      </w:r>
      <w:r w:rsidRPr="00B90A59">
        <w:rPr>
          <w:szCs w:val="18"/>
        </w:rPr>
        <w:t>SecurityServices.pdf</w:t>
      </w:r>
      <w:r>
        <w:rPr>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9F1D3E" w:rsidTr="00A03107">
      <w:trPr>
        <w:trHeight w:hRule="exact" w:val="864"/>
        <w:jc w:val="center"/>
      </w:trPr>
      <w:tc>
        <w:tcPr>
          <w:tcW w:w="4882" w:type="dxa"/>
          <w:shd w:val="clear" w:color="auto" w:fill="auto"/>
          <w:vAlign w:val="bottom"/>
        </w:tcPr>
        <w:p w:rsidR="009F1D3E" w:rsidRPr="00A03107" w:rsidRDefault="009F1D3E" w:rsidP="00A03107">
          <w:pPr>
            <w:pStyle w:val="ab"/>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AE7483">
            <w:rPr>
              <w:b/>
              <w:sz w:val="17"/>
            </w:rPr>
            <w:t>A/HRC/30/47</w:t>
          </w:r>
          <w:r>
            <w:rPr>
              <w:b/>
              <w:sz w:val="17"/>
            </w:rPr>
            <w:fldChar w:fldCharType="end"/>
          </w:r>
        </w:p>
      </w:tc>
      <w:tc>
        <w:tcPr>
          <w:tcW w:w="5127" w:type="dxa"/>
          <w:shd w:val="clear" w:color="auto" w:fill="auto"/>
          <w:vAlign w:val="bottom"/>
        </w:tcPr>
        <w:p w:rsidR="009F1D3E" w:rsidRDefault="009F1D3E" w:rsidP="00A03107">
          <w:pPr>
            <w:pStyle w:val="ab"/>
          </w:pPr>
        </w:p>
      </w:tc>
    </w:tr>
  </w:tbl>
  <w:p w:rsidR="009F1D3E" w:rsidRPr="00A03107" w:rsidRDefault="009F1D3E" w:rsidP="00A0310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9F1D3E" w:rsidTr="00A03107">
      <w:trPr>
        <w:trHeight w:hRule="exact" w:val="864"/>
        <w:jc w:val="center"/>
      </w:trPr>
      <w:tc>
        <w:tcPr>
          <w:tcW w:w="4882" w:type="dxa"/>
          <w:shd w:val="clear" w:color="auto" w:fill="auto"/>
          <w:vAlign w:val="bottom"/>
        </w:tcPr>
        <w:p w:rsidR="009F1D3E" w:rsidRDefault="009F1D3E" w:rsidP="00A03107">
          <w:pPr>
            <w:pStyle w:val="ab"/>
          </w:pPr>
        </w:p>
      </w:tc>
      <w:tc>
        <w:tcPr>
          <w:tcW w:w="5127" w:type="dxa"/>
          <w:shd w:val="clear" w:color="auto" w:fill="auto"/>
          <w:vAlign w:val="bottom"/>
        </w:tcPr>
        <w:p w:rsidR="009F1D3E" w:rsidRPr="00A03107" w:rsidRDefault="009F1D3E" w:rsidP="00A03107">
          <w:pPr>
            <w:pStyle w:val="ab"/>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AE7483">
            <w:rPr>
              <w:b/>
              <w:sz w:val="17"/>
            </w:rPr>
            <w:t>A/HRC/30/47</w:t>
          </w:r>
          <w:r>
            <w:rPr>
              <w:b/>
              <w:sz w:val="17"/>
            </w:rPr>
            <w:fldChar w:fldCharType="end"/>
          </w:r>
        </w:p>
      </w:tc>
    </w:tr>
  </w:tbl>
  <w:p w:rsidR="009F1D3E" w:rsidRPr="00A03107" w:rsidRDefault="009F1D3E" w:rsidP="00A03107">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9F1D3E" w:rsidTr="00A03107">
      <w:trPr>
        <w:trHeight w:hRule="exact" w:val="864"/>
      </w:trPr>
      <w:tc>
        <w:tcPr>
          <w:tcW w:w="1267" w:type="dxa"/>
          <w:tcBorders>
            <w:bottom w:val="single" w:sz="4" w:space="0" w:color="auto"/>
          </w:tcBorders>
          <w:shd w:val="clear" w:color="auto" w:fill="auto"/>
          <w:vAlign w:val="bottom"/>
        </w:tcPr>
        <w:p w:rsidR="009F1D3E" w:rsidRDefault="009F1D3E" w:rsidP="00A03107">
          <w:pPr>
            <w:pStyle w:val="ab"/>
            <w:spacing w:after="120"/>
          </w:pPr>
        </w:p>
      </w:tc>
      <w:tc>
        <w:tcPr>
          <w:tcW w:w="1872" w:type="dxa"/>
          <w:tcBorders>
            <w:bottom w:val="single" w:sz="4" w:space="0" w:color="auto"/>
          </w:tcBorders>
          <w:shd w:val="clear" w:color="auto" w:fill="auto"/>
          <w:vAlign w:val="bottom"/>
        </w:tcPr>
        <w:p w:rsidR="009F1D3E" w:rsidRPr="00A03107" w:rsidRDefault="009F1D3E" w:rsidP="00A03107">
          <w:pPr>
            <w:pStyle w:val="HCh"/>
            <w:spacing w:after="80"/>
            <w:rPr>
              <w:rFonts w:eastAsia="宋体"/>
              <w:spacing w:val="40"/>
              <w:w w:val="96"/>
            </w:rPr>
          </w:pPr>
          <w:r>
            <w:rPr>
              <w:rFonts w:eastAsia="宋体" w:hint="eastAsia"/>
              <w:spacing w:val="40"/>
              <w:w w:val="96"/>
            </w:rPr>
            <w:t>联合国</w:t>
          </w:r>
        </w:p>
      </w:tc>
      <w:tc>
        <w:tcPr>
          <w:tcW w:w="245" w:type="dxa"/>
          <w:tcBorders>
            <w:bottom w:val="single" w:sz="4" w:space="0" w:color="auto"/>
          </w:tcBorders>
          <w:shd w:val="clear" w:color="auto" w:fill="auto"/>
          <w:vAlign w:val="bottom"/>
        </w:tcPr>
        <w:p w:rsidR="009F1D3E" w:rsidRDefault="009F1D3E" w:rsidP="00A03107">
          <w:pPr>
            <w:pStyle w:val="ab"/>
            <w:spacing w:after="120"/>
          </w:pPr>
        </w:p>
      </w:tc>
      <w:tc>
        <w:tcPr>
          <w:tcW w:w="6653" w:type="dxa"/>
          <w:gridSpan w:val="4"/>
          <w:tcBorders>
            <w:bottom w:val="single" w:sz="4" w:space="0" w:color="auto"/>
          </w:tcBorders>
          <w:shd w:val="clear" w:color="auto" w:fill="auto"/>
          <w:vAlign w:val="bottom"/>
        </w:tcPr>
        <w:p w:rsidR="009F1D3E" w:rsidRPr="00A03107" w:rsidRDefault="009F1D3E" w:rsidP="00A03107">
          <w:pPr>
            <w:spacing w:after="80" w:line="240" w:lineRule="auto"/>
            <w:jc w:val="right"/>
            <w:rPr>
              <w:position w:val="-4"/>
            </w:rPr>
          </w:pPr>
          <w:r>
            <w:rPr>
              <w:position w:val="-4"/>
              <w:sz w:val="40"/>
            </w:rPr>
            <w:t>A</w:t>
          </w:r>
          <w:r>
            <w:rPr>
              <w:position w:val="-4"/>
            </w:rPr>
            <w:t>/HRC/30/47</w:t>
          </w:r>
        </w:p>
      </w:tc>
    </w:tr>
    <w:tr w:rsidR="009F1D3E" w:rsidRPr="00A03107" w:rsidTr="00A03107">
      <w:trPr>
        <w:gridAfter w:val="1"/>
        <w:wAfter w:w="18" w:type="dxa"/>
        <w:trHeight w:hRule="exact" w:val="2880"/>
      </w:trPr>
      <w:tc>
        <w:tcPr>
          <w:tcW w:w="1267" w:type="dxa"/>
          <w:tcBorders>
            <w:top w:val="single" w:sz="4" w:space="0" w:color="auto"/>
            <w:bottom w:val="single" w:sz="12" w:space="0" w:color="auto"/>
          </w:tcBorders>
          <w:shd w:val="clear" w:color="auto" w:fill="auto"/>
        </w:tcPr>
        <w:p w:rsidR="009F1D3E" w:rsidRPr="00A03107" w:rsidRDefault="009F1D3E" w:rsidP="00A03107">
          <w:pPr>
            <w:pStyle w:val="ab"/>
            <w:spacing w:before="109"/>
            <w:ind w:left="-72"/>
          </w:pPr>
          <w:r>
            <w:t xml:space="preserve"> </w:t>
          </w:r>
          <w:r>
            <w:drawing>
              <wp:inline distT="0" distB="0" distL="0" distR="0" wp14:anchorId="1C8414C1" wp14:editId="121CEFA8">
                <wp:extent cx="711200" cy="597103"/>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9F1D3E" w:rsidRPr="00A03107" w:rsidRDefault="009F1D3E" w:rsidP="00A03107">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9F1D3E" w:rsidRPr="00A03107" w:rsidRDefault="009F1D3E" w:rsidP="00A03107">
          <w:pPr>
            <w:pStyle w:val="ab"/>
            <w:spacing w:before="109"/>
          </w:pPr>
        </w:p>
      </w:tc>
      <w:tc>
        <w:tcPr>
          <w:tcW w:w="3280" w:type="dxa"/>
          <w:tcBorders>
            <w:top w:val="single" w:sz="4" w:space="0" w:color="auto"/>
            <w:bottom w:val="single" w:sz="12" w:space="0" w:color="auto"/>
          </w:tcBorders>
          <w:shd w:val="clear" w:color="auto" w:fill="auto"/>
        </w:tcPr>
        <w:p w:rsidR="009F1D3E" w:rsidRDefault="009F1D3E" w:rsidP="00A03107">
          <w:pPr>
            <w:pStyle w:val="Distr"/>
          </w:pPr>
          <w:r>
            <w:t>Distr.: General</w:t>
          </w:r>
        </w:p>
        <w:p w:rsidR="009F1D3E" w:rsidRDefault="009F1D3E" w:rsidP="00A03107">
          <w:pPr>
            <w:pStyle w:val="Publication"/>
          </w:pPr>
          <w:r>
            <w:t>9 July 2015</w:t>
          </w:r>
        </w:p>
        <w:p w:rsidR="009F1D3E" w:rsidRDefault="009F1D3E" w:rsidP="00A03107">
          <w:pPr>
            <w:spacing w:line="240" w:lineRule="exact"/>
          </w:pPr>
          <w:r>
            <w:t>Chinese</w:t>
          </w:r>
        </w:p>
        <w:p w:rsidR="009F1D3E" w:rsidRDefault="009F1D3E" w:rsidP="00A03107">
          <w:pPr>
            <w:pStyle w:val="Original"/>
          </w:pPr>
          <w:r>
            <w:t>Original: English</w:t>
          </w:r>
        </w:p>
        <w:p w:rsidR="009F1D3E" w:rsidRPr="00A03107" w:rsidRDefault="009F1D3E" w:rsidP="00A03107"/>
      </w:tc>
    </w:tr>
  </w:tbl>
  <w:p w:rsidR="009F1D3E" w:rsidRPr="00A03107" w:rsidRDefault="009F1D3E" w:rsidP="00A03107">
    <w:pPr>
      <w:pStyle w:val="ab"/>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A0C35A"/>
    <w:lvl w:ilvl="0">
      <w:start w:val="1"/>
      <w:numFmt w:val="decimal"/>
      <w:lvlText w:val="%1."/>
      <w:lvlJc w:val="left"/>
      <w:pPr>
        <w:tabs>
          <w:tab w:val="num" w:pos="1440"/>
        </w:tabs>
        <w:ind w:left="1440" w:hanging="360"/>
      </w:pPr>
    </w:lvl>
  </w:abstractNum>
  <w:abstractNum w:abstractNumId="1">
    <w:nsid w:val="FFFFFF7F"/>
    <w:multiLevelType w:val="singleLevel"/>
    <w:tmpl w:val="C5921156"/>
    <w:lvl w:ilvl="0">
      <w:start w:val="1"/>
      <w:numFmt w:val="decimal"/>
      <w:lvlText w:val="%1."/>
      <w:lvlJc w:val="left"/>
      <w:pPr>
        <w:tabs>
          <w:tab w:val="num" w:pos="720"/>
        </w:tabs>
        <w:ind w:left="720" w:hanging="360"/>
      </w:pPr>
    </w:lvl>
  </w:abstractNum>
  <w:abstractNum w:abstractNumId="2">
    <w:nsid w:val="0AE17BF9"/>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C1B2C5E"/>
    <w:multiLevelType w:val="multilevel"/>
    <w:tmpl w:val="CAEC4356"/>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10832FAD"/>
    <w:multiLevelType w:val="hybridMultilevel"/>
    <w:tmpl w:val="D2A6BA70"/>
    <w:lvl w:ilvl="0" w:tplc="0809000F">
      <w:start w:val="1"/>
      <w:numFmt w:val="decimal"/>
      <w:lvlText w:val="%1."/>
      <w:lvlJc w:val="left"/>
      <w:pPr>
        <w:ind w:left="3816" w:hanging="555"/>
      </w:pPr>
      <w:rPr>
        <w:rFonts w:cs="Times New Roman" w:hint="default"/>
        <w:b w:val="0"/>
      </w:rPr>
    </w:lvl>
    <w:lvl w:ilvl="1" w:tplc="08090019">
      <w:start w:val="1"/>
      <w:numFmt w:val="lowerLetter"/>
      <w:lvlText w:val="%2."/>
      <w:lvlJc w:val="left"/>
      <w:pPr>
        <w:ind w:left="939" w:hanging="360"/>
      </w:pPr>
      <w:rPr>
        <w:rFonts w:cs="Times New Roman"/>
      </w:rPr>
    </w:lvl>
    <w:lvl w:ilvl="2" w:tplc="0809001B">
      <w:start w:val="1"/>
      <w:numFmt w:val="lowerRoman"/>
      <w:lvlText w:val="%3."/>
      <w:lvlJc w:val="right"/>
      <w:pPr>
        <w:ind w:left="1659" w:hanging="180"/>
      </w:pPr>
      <w:rPr>
        <w:rFonts w:cs="Times New Roman"/>
      </w:rPr>
    </w:lvl>
    <w:lvl w:ilvl="3" w:tplc="0809001B">
      <w:start w:val="1"/>
      <w:numFmt w:val="lowerRoman"/>
      <w:lvlText w:val="%4."/>
      <w:lvlJc w:val="right"/>
      <w:pPr>
        <w:ind w:left="2379" w:hanging="360"/>
      </w:pPr>
      <w:rPr>
        <w:rFonts w:cs="Times New Roman"/>
      </w:rPr>
    </w:lvl>
    <w:lvl w:ilvl="4" w:tplc="0809001B">
      <w:start w:val="1"/>
      <w:numFmt w:val="lowerRoman"/>
      <w:lvlText w:val="%5."/>
      <w:lvlJc w:val="right"/>
      <w:pPr>
        <w:ind w:left="3099" w:hanging="360"/>
      </w:pPr>
      <w:rPr>
        <w:rFonts w:cs="Times New Roman"/>
      </w:rPr>
    </w:lvl>
    <w:lvl w:ilvl="5" w:tplc="0809001B" w:tentative="1">
      <w:start w:val="1"/>
      <w:numFmt w:val="lowerRoman"/>
      <w:lvlText w:val="%6."/>
      <w:lvlJc w:val="right"/>
      <w:pPr>
        <w:ind w:left="3819" w:hanging="180"/>
      </w:pPr>
      <w:rPr>
        <w:rFonts w:cs="Times New Roman"/>
      </w:rPr>
    </w:lvl>
    <w:lvl w:ilvl="6" w:tplc="0809000F" w:tentative="1">
      <w:start w:val="1"/>
      <w:numFmt w:val="decimal"/>
      <w:lvlText w:val="%7."/>
      <w:lvlJc w:val="left"/>
      <w:pPr>
        <w:ind w:left="4539" w:hanging="360"/>
      </w:pPr>
      <w:rPr>
        <w:rFonts w:cs="Times New Roman"/>
      </w:rPr>
    </w:lvl>
    <w:lvl w:ilvl="7" w:tplc="08090019" w:tentative="1">
      <w:start w:val="1"/>
      <w:numFmt w:val="lowerLetter"/>
      <w:lvlText w:val="%8."/>
      <w:lvlJc w:val="left"/>
      <w:pPr>
        <w:ind w:left="5259" w:hanging="360"/>
      </w:pPr>
      <w:rPr>
        <w:rFonts w:cs="Times New Roman"/>
      </w:rPr>
    </w:lvl>
    <w:lvl w:ilvl="8" w:tplc="0809001B" w:tentative="1">
      <w:start w:val="1"/>
      <w:numFmt w:val="lowerRoman"/>
      <w:lvlText w:val="%9."/>
      <w:lvlJc w:val="right"/>
      <w:pPr>
        <w:ind w:left="5979" w:hanging="180"/>
      </w:pPr>
      <w:rPr>
        <w:rFonts w:cs="Times New Roman"/>
      </w:rPr>
    </w:lvl>
  </w:abstractNum>
  <w:abstractNum w:abstractNumId="5">
    <w:nsid w:val="19383672"/>
    <w:multiLevelType w:val="hybridMultilevel"/>
    <w:tmpl w:val="5374DCCA"/>
    <w:lvl w:ilvl="0" w:tplc="0CBAB4A2">
      <w:start w:val="1"/>
      <w:numFmt w:val="lowerLetter"/>
      <w:lvlText w:val="(%1)"/>
      <w:lvlJc w:val="left"/>
      <w:pPr>
        <w:ind w:left="1494" w:hanging="360"/>
      </w:pPr>
      <w:rPr>
        <w:rFonts w:cs="Times New Roman" w:hint="default"/>
      </w:rPr>
    </w:lvl>
    <w:lvl w:ilvl="1" w:tplc="0CBAB4A2">
      <w:start w:val="1"/>
      <w:numFmt w:val="lowerLetter"/>
      <w:lvlText w:val="(%2)"/>
      <w:lvlJc w:val="left"/>
      <w:pPr>
        <w:ind w:left="2214" w:hanging="360"/>
      </w:pPr>
      <w:rPr>
        <w:rFonts w:cs="Times New Roman" w:hint="default"/>
      </w:rPr>
    </w:lvl>
    <w:lvl w:ilvl="2" w:tplc="0807001B" w:tentative="1">
      <w:start w:val="1"/>
      <w:numFmt w:val="lowerRoman"/>
      <w:lvlText w:val="%3."/>
      <w:lvlJc w:val="right"/>
      <w:pPr>
        <w:ind w:left="2934" w:hanging="180"/>
      </w:pPr>
      <w:rPr>
        <w:rFonts w:cs="Times New Roman"/>
      </w:rPr>
    </w:lvl>
    <w:lvl w:ilvl="3" w:tplc="0807000F" w:tentative="1">
      <w:start w:val="1"/>
      <w:numFmt w:val="decimal"/>
      <w:lvlText w:val="%4."/>
      <w:lvlJc w:val="left"/>
      <w:pPr>
        <w:ind w:left="3654" w:hanging="360"/>
      </w:pPr>
      <w:rPr>
        <w:rFonts w:cs="Times New Roman"/>
      </w:rPr>
    </w:lvl>
    <w:lvl w:ilvl="4" w:tplc="08070019" w:tentative="1">
      <w:start w:val="1"/>
      <w:numFmt w:val="lowerLetter"/>
      <w:lvlText w:val="%5."/>
      <w:lvlJc w:val="left"/>
      <w:pPr>
        <w:ind w:left="4374" w:hanging="360"/>
      </w:pPr>
      <w:rPr>
        <w:rFonts w:cs="Times New Roman"/>
      </w:rPr>
    </w:lvl>
    <w:lvl w:ilvl="5" w:tplc="0807001B" w:tentative="1">
      <w:start w:val="1"/>
      <w:numFmt w:val="lowerRoman"/>
      <w:lvlText w:val="%6."/>
      <w:lvlJc w:val="right"/>
      <w:pPr>
        <w:ind w:left="5094" w:hanging="180"/>
      </w:pPr>
      <w:rPr>
        <w:rFonts w:cs="Times New Roman"/>
      </w:rPr>
    </w:lvl>
    <w:lvl w:ilvl="6" w:tplc="0807000F" w:tentative="1">
      <w:start w:val="1"/>
      <w:numFmt w:val="decimal"/>
      <w:lvlText w:val="%7."/>
      <w:lvlJc w:val="left"/>
      <w:pPr>
        <w:ind w:left="5814" w:hanging="360"/>
      </w:pPr>
      <w:rPr>
        <w:rFonts w:cs="Times New Roman"/>
      </w:rPr>
    </w:lvl>
    <w:lvl w:ilvl="7" w:tplc="08070019" w:tentative="1">
      <w:start w:val="1"/>
      <w:numFmt w:val="lowerLetter"/>
      <w:lvlText w:val="%8."/>
      <w:lvlJc w:val="left"/>
      <w:pPr>
        <w:ind w:left="6534" w:hanging="360"/>
      </w:pPr>
      <w:rPr>
        <w:rFonts w:cs="Times New Roman"/>
      </w:rPr>
    </w:lvl>
    <w:lvl w:ilvl="8" w:tplc="0807001B" w:tentative="1">
      <w:start w:val="1"/>
      <w:numFmt w:val="lowerRoman"/>
      <w:lvlText w:val="%9."/>
      <w:lvlJc w:val="right"/>
      <w:pPr>
        <w:ind w:left="7254" w:hanging="180"/>
      </w:pPr>
      <w:rPr>
        <w:rFonts w:cs="Times New Roman"/>
      </w:rPr>
    </w:lvl>
  </w:abstractNum>
  <w:abstractNum w:abstractNumId="6">
    <w:nsid w:val="207154F0"/>
    <w:multiLevelType w:val="multilevel"/>
    <w:tmpl w:val="CAEC4356"/>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 w:numId="3">
    <w:abstractNumId w:val="2"/>
  </w:num>
  <w:num w:numId="4">
    <w:abstractNumId w:val="7"/>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16385"/>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613*"/>
    <w:docVar w:name="CreationDt" w:val="03/08/2015 16:06:33"/>
    <w:docVar w:name="DocCategory" w:val="Doc"/>
    <w:docVar w:name="DocType" w:val="Final"/>
    <w:docVar w:name="DutyStation" w:val="Geneva"/>
    <w:docVar w:name="FooterJN" w:val="GE.15-11613 (C)"/>
    <w:docVar w:name="jobn" w:val="GE.15-11613 (C)"/>
    <w:docVar w:name="jobnDT" w:val="15-11613 (C)   030815"/>
    <w:docVar w:name="jobnDTDT" w:val="15-11613 (C)   030815   030815"/>
    <w:docVar w:name="JobNo" w:val="GE.1511613C"/>
    <w:docVar w:name="LocalDrive" w:val="0"/>
    <w:docVar w:name="OandT" w:val="yang"/>
    <w:docVar w:name="PaperSize" w:val="A4"/>
    <w:docVar w:name="sss1" w:val="A/HRC/30/47"/>
    <w:docVar w:name="sss2" w:val="-"/>
    <w:docVar w:name="Symbol1" w:val="A/HRC/30/47"/>
    <w:docVar w:name="Symbol2" w:val="-"/>
  </w:docVars>
  <w:rsids>
    <w:rsidRoot w:val="001D5C8D"/>
    <w:rsid w:val="00000689"/>
    <w:rsid w:val="0000347C"/>
    <w:rsid w:val="0000715A"/>
    <w:rsid w:val="000101C8"/>
    <w:rsid w:val="000125BC"/>
    <w:rsid w:val="00015EBB"/>
    <w:rsid w:val="0001645E"/>
    <w:rsid w:val="0001726F"/>
    <w:rsid w:val="00021314"/>
    <w:rsid w:val="00021A2B"/>
    <w:rsid w:val="00024E72"/>
    <w:rsid w:val="0003336C"/>
    <w:rsid w:val="00034465"/>
    <w:rsid w:val="000344BB"/>
    <w:rsid w:val="000366AA"/>
    <w:rsid w:val="0003678F"/>
    <w:rsid w:val="00036AA2"/>
    <w:rsid w:val="00036F1B"/>
    <w:rsid w:val="00037444"/>
    <w:rsid w:val="00037B39"/>
    <w:rsid w:val="00044CA4"/>
    <w:rsid w:val="00044EE9"/>
    <w:rsid w:val="00045EFE"/>
    <w:rsid w:val="00054631"/>
    <w:rsid w:val="00056952"/>
    <w:rsid w:val="0006608A"/>
    <w:rsid w:val="00066B28"/>
    <w:rsid w:val="00067AEB"/>
    <w:rsid w:val="00070DD0"/>
    <w:rsid w:val="0007337D"/>
    <w:rsid w:val="00074771"/>
    <w:rsid w:val="000758DF"/>
    <w:rsid w:val="00076EB8"/>
    <w:rsid w:val="000777FC"/>
    <w:rsid w:val="00077AEE"/>
    <w:rsid w:val="00082CCB"/>
    <w:rsid w:val="00083CAB"/>
    <w:rsid w:val="00084D46"/>
    <w:rsid w:val="000863AD"/>
    <w:rsid w:val="00095C67"/>
    <w:rsid w:val="000A31F9"/>
    <w:rsid w:val="000C1786"/>
    <w:rsid w:val="000C4C08"/>
    <w:rsid w:val="000C4DDE"/>
    <w:rsid w:val="000C5208"/>
    <w:rsid w:val="000D32BA"/>
    <w:rsid w:val="000E240F"/>
    <w:rsid w:val="000E49A4"/>
    <w:rsid w:val="000F1058"/>
    <w:rsid w:val="000F55DC"/>
    <w:rsid w:val="00101C4E"/>
    <w:rsid w:val="00101D5B"/>
    <w:rsid w:val="00101F86"/>
    <w:rsid w:val="001113F8"/>
    <w:rsid w:val="00114578"/>
    <w:rsid w:val="00114C03"/>
    <w:rsid w:val="00114F57"/>
    <w:rsid w:val="001212F9"/>
    <w:rsid w:val="00121328"/>
    <w:rsid w:val="00124677"/>
    <w:rsid w:val="0012670F"/>
    <w:rsid w:val="001267BE"/>
    <w:rsid w:val="0012708E"/>
    <w:rsid w:val="00130EE5"/>
    <w:rsid w:val="00131015"/>
    <w:rsid w:val="001329F7"/>
    <w:rsid w:val="00140396"/>
    <w:rsid w:val="0014121B"/>
    <w:rsid w:val="00141322"/>
    <w:rsid w:val="0015066B"/>
    <w:rsid w:val="00150D3A"/>
    <w:rsid w:val="00153D29"/>
    <w:rsid w:val="001602C9"/>
    <w:rsid w:val="00161E69"/>
    <w:rsid w:val="00161F54"/>
    <w:rsid w:val="00164626"/>
    <w:rsid w:val="00170FBE"/>
    <w:rsid w:val="001720CC"/>
    <w:rsid w:val="00173F4B"/>
    <w:rsid w:val="00174233"/>
    <w:rsid w:val="001746A8"/>
    <w:rsid w:val="0017506F"/>
    <w:rsid w:val="001845DB"/>
    <w:rsid w:val="001873A2"/>
    <w:rsid w:val="001944A4"/>
    <w:rsid w:val="001A4A37"/>
    <w:rsid w:val="001B0DFD"/>
    <w:rsid w:val="001B2814"/>
    <w:rsid w:val="001B4F95"/>
    <w:rsid w:val="001C1478"/>
    <w:rsid w:val="001C161F"/>
    <w:rsid w:val="001C216D"/>
    <w:rsid w:val="001C3329"/>
    <w:rsid w:val="001C3F7F"/>
    <w:rsid w:val="001C5166"/>
    <w:rsid w:val="001D0354"/>
    <w:rsid w:val="001D225C"/>
    <w:rsid w:val="001D27F5"/>
    <w:rsid w:val="001D3F72"/>
    <w:rsid w:val="001D41AE"/>
    <w:rsid w:val="001D5C8D"/>
    <w:rsid w:val="001E0ADA"/>
    <w:rsid w:val="001E20EC"/>
    <w:rsid w:val="001E340C"/>
    <w:rsid w:val="001E4442"/>
    <w:rsid w:val="001E5A51"/>
    <w:rsid w:val="001F03A7"/>
    <w:rsid w:val="001F24BA"/>
    <w:rsid w:val="001F2F76"/>
    <w:rsid w:val="001F595B"/>
    <w:rsid w:val="001F6F25"/>
    <w:rsid w:val="00203760"/>
    <w:rsid w:val="00207135"/>
    <w:rsid w:val="00212008"/>
    <w:rsid w:val="002145EA"/>
    <w:rsid w:val="002200D0"/>
    <w:rsid w:val="00221884"/>
    <w:rsid w:val="0022603B"/>
    <w:rsid w:val="00230FAB"/>
    <w:rsid w:val="00231575"/>
    <w:rsid w:val="00232F4A"/>
    <w:rsid w:val="00241DB7"/>
    <w:rsid w:val="002423D2"/>
    <w:rsid w:val="00245212"/>
    <w:rsid w:val="00247382"/>
    <w:rsid w:val="00251744"/>
    <w:rsid w:val="00252E35"/>
    <w:rsid w:val="00254858"/>
    <w:rsid w:val="00254B46"/>
    <w:rsid w:val="00255FC4"/>
    <w:rsid w:val="002567CA"/>
    <w:rsid w:val="00257053"/>
    <w:rsid w:val="00260C62"/>
    <w:rsid w:val="00263B7B"/>
    <w:rsid w:val="00266257"/>
    <w:rsid w:val="00271BA5"/>
    <w:rsid w:val="00271BE6"/>
    <w:rsid w:val="00273391"/>
    <w:rsid w:val="0027454D"/>
    <w:rsid w:val="0027574F"/>
    <w:rsid w:val="00275D16"/>
    <w:rsid w:val="00277AAE"/>
    <w:rsid w:val="00280671"/>
    <w:rsid w:val="002814F9"/>
    <w:rsid w:val="00282D17"/>
    <w:rsid w:val="00285DE9"/>
    <w:rsid w:val="00286AD1"/>
    <w:rsid w:val="00290382"/>
    <w:rsid w:val="0029111A"/>
    <w:rsid w:val="002A4AEF"/>
    <w:rsid w:val="002A5E53"/>
    <w:rsid w:val="002B305F"/>
    <w:rsid w:val="002B564F"/>
    <w:rsid w:val="002B5F5D"/>
    <w:rsid w:val="002B62ED"/>
    <w:rsid w:val="002C2254"/>
    <w:rsid w:val="002C3BC9"/>
    <w:rsid w:val="002C4439"/>
    <w:rsid w:val="002C48C3"/>
    <w:rsid w:val="002C54DB"/>
    <w:rsid w:val="002D039F"/>
    <w:rsid w:val="002D0694"/>
    <w:rsid w:val="002D0B62"/>
    <w:rsid w:val="002D4ACE"/>
    <w:rsid w:val="002D5503"/>
    <w:rsid w:val="002D65A8"/>
    <w:rsid w:val="002D76B6"/>
    <w:rsid w:val="002E66D5"/>
    <w:rsid w:val="002F41E2"/>
    <w:rsid w:val="002F746E"/>
    <w:rsid w:val="00301C97"/>
    <w:rsid w:val="003063F6"/>
    <w:rsid w:val="00320C99"/>
    <w:rsid w:val="003274A9"/>
    <w:rsid w:val="003305F1"/>
    <w:rsid w:val="00331221"/>
    <w:rsid w:val="00346223"/>
    <w:rsid w:val="00346C74"/>
    <w:rsid w:val="00350AE6"/>
    <w:rsid w:val="00355510"/>
    <w:rsid w:val="00355775"/>
    <w:rsid w:val="00363610"/>
    <w:rsid w:val="003649EE"/>
    <w:rsid w:val="00371BC6"/>
    <w:rsid w:val="00373A15"/>
    <w:rsid w:val="00376C04"/>
    <w:rsid w:val="00383ACA"/>
    <w:rsid w:val="00384CB1"/>
    <w:rsid w:val="003869FA"/>
    <w:rsid w:val="00394A02"/>
    <w:rsid w:val="003966E8"/>
    <w:rsid w:val="003A1C26"/>
    <w:rsid w:val="003A7B88"/>
    <w:rsid w:val="003C448D"/>
    <w:rsid w:val="003C7B20"/>
    <w:rsid w:val="003D075F"/>
    <w:rsid w:val="003D5B4D"/>
    <w:rsid w:val="003E4565"/>
    <w:rsid w:val="003E5999"/>
    <w:rsid w:val="003E748F"/>
    <w:rsid w:val="003E7612"/>
    <w:rsid w:val="003F4BD2"/>
    <w:rsid w:val="003F7BF8"/>
    <w:rsid w:val="004044EF"/>
    <w:rsid w:val="00413FBC"/>
    <w:rsid w:val="00414423"/>
    <w:rsid w:val="0041733F"/>
    <w:rsid w:val="00420761"/>
    <w:rsid w:val="00433853"/>
    <w:rsid w:val="00440B0D"/>
    <w:rsid w:val="004411AD"/>
    <w:rsid w:val="004424EF"/>
    <w:rsid w:val="00453BB0"/>
    <w:rsid w:val="00460162"/>
    <w:rsid w:val="004620A8"/>
    <w:rsid w:val="0046458E"/>
    <w:rsid w:val="00466BB5"/>
    <w:rsid w:val="004700CF"/>
    <w:rsid w:val="00474C34"/>
    <w:rsid w:val="004821D0"/>
    <w:rsid w:val="00483BDA"/>
    <w:rsid w:val="00485BE8"/>
    <w:rsid w:val="00487444"/>
    <w:rsid w:val="00493C9C"/>
    <w:rsid w:val="004955C1"/>
    <w:rsid w:val="00495C7E"/>
    <w:rsid w:val="0049799B"/>
    <w:rsid w:val="004A06D1"/>
    <w:rsid w:val="004A11FC"/>
    <w:rsid w:val="004A1D1E"/>
    <w:rsid w:val="004B2C67"/>
    <w:rsid w:val="004B4F06"/>
    <w:rsid w:val="004B55C0"/>
    <w:rsid w:val="004B778C"/>
    <w:rsid w:val="004C0224"/>
    <w:rsid w:val="004C053E"/>
    <w:rsid w:val="004C089F"/>
    <w:rsid w:val="004C3255"/>
    <w:rsid w:val="004C3BAA"/>
    <w:rsid w:val="004D07E1"/>
    <w:rsid w:val="004D1C19"/>
    <w:rsid w:val="004D60D1"/>
    <w:rsid w:val="004E4081"/>
    <w:rsid w:val="004E739A"/>
    <w:rsid w:val="004F29B8"/>
    <w:rsid w:val="004F3649"/>
    <w:rsid w:val="004F4BBB"/>
    <w:rsid w:val="004F4EFB"/>
    <w:rsid w:val="004F5333"/>
    <w:rsid w:val="004F5E26"/>
    <w:rsid w:val="0050413E"/>
    <w:rsid w:val="00512841"/>
    <w:rsid w:val="00515657"/>
    <w:rsid w:val="0051592B"/>
    <w:rsid w:val="00521275"/>
    <w:rsid w:val="0052216F"/>
    <w:rsid w:val="00523247"/>
    <w:rsid w:val="005232CA"/>
    <w:rsid w:val="00523636"/>
    <w:rsid w:val="00530CBB"/>
    <w:rsid w:val="0053111B"/>
    <w:rsid w:val="005335B9"/>
    <w:rsid w:val="00536CCE"/>
    <w:rsid w:val="00537F92"/>
    <w:rsid w:val="00542636"/>
    <w:rsid w:val="00545A99"/>
    <w:rsid w:val="00547EC6"/>
    <w:rsid w:val="00552CE5"/>
    <w:rsid w:val="005541E4"/>
    <w:rsid w:val="00554F60"/>
    <w:rsid w:val="00562B21"/>
    <w:rsid w:val="00562FE7"/>
    <w:rsid w:val="00564EAA"/>
    <w:rsid w:val="0057094A"/>
    <w:rsid w:val="00570BD4"/>
    <w:rsid w:val="00571071"/>
    <w:rsid w:val="00572790"/>
    <w:rsid w:val="00572961"/>
    <w:rsid w:val="0057450D"/>
    <w:rsid w:val="0058302A"/>
    <w:rsid w:val="00583305"/>
    <w:rsid w:val="00585A6B"/>
    <w:rsid w:val="005A175A"/>
    <w:rsid w:val="005A7200"/>
    <w:rsid w:val="005B04F3"/>
    <w:rsid w:val="005B1476"/>
    <w:rsid w:val="005B1D3C"/>
    <w:rsid w:val="005B3B9A"/>
    <w:rsid w:val="005B4497"/>
    <w:rsid w:val="005B6C71"/>
    <w:rsid w:val="005B7338"/>
    <w:rsid w:val="005C02AB"/>
    <w:rsid w:val="005C5FC3"/>
    <w:rsid w:val="005D0D2E"/>
    <w:rsid w:val="005D0F04"/>
    <w:rsid w:val="005D2204"/>
    <w:rsid w:val="005D680F"/>
    <w:rsid w:val="005F12F0"/>
    <w:rsid w:val="005F1AAD"/>
    <w:rsid w:val="005F3273"/>
    <w:rsid w:val="005F34A3"/>
    <w:rsid w:val="00601DF9"/>
    <w:rsid w:val="00602C6C"/>
    <w:rsid w:val="006107DE"/>
    <w:rsid w:val="00610CF2"/>
    <w:rsid w:val="00615A9C"/>
    <w:rsid w:val="00617802"/>
    <w:rsid w:val="006328DE"/>
    <w:rsid w:val="006353DE"/>
    <w:rsid w:val="00640671"/>
    <w:rsid w:val="006432CB"/>
    <w:rsid w:val="006479F1"/>
    <w:rsid w:val="0065055D"/>
    <w:rsid w:val="00650BEE"/>
    <w:rsid w:val="006520FA"/>
    <w:rsid w:val="0065377D"/>
    <w:rsid w:val="00661120"/>
    <w:rsid w:val="00666F57"/>
    <w:rsid w:val="006740A7"/>
    <w:rsid w:val="006767D5"/>
    <w:rsid w:val="00691524"/>
    <w:rsid w:val="006926DF"/>
    <w:rsid w:val="006A2730"/>
    <w:rsid w:val="006A5CFB"/>
    <w:rsid w:val="006A654B"/>
    <w:rsid w:val="006B769C"/>
    <w:rsid w:val="006C4BB3"/>
    <w:rsid w:val="006D4068"/>
    <w:rsid w:val="006E2924"/>
    <w:rsid w:val="006E7A26"/>
    <w:rsid w:val="006F04EF"/>
    <w:rsid w:val="006F2B3D"/>
    <w:rsid w:val="006F6A4F"/>
    <w:rsid w:val="006F761A"/>
    <w:rsid w:val="006F7749"/>
    <w:rsid w:val="007016DF"/>
    <w:rsid w:val="007038D4"/>
    <w:rsid w:val="00704287"/>
    <w:rsid w:val="007052CC"/>
    <w:rsid w:val="00715C4B"/>
    <w:rsid w:val="00722965"/>
    <w:rsid w:val="00724400"/>
    <w:rsid w:val="007319E0"/>
    <w:rsid w:val="00731FBF"/>
    <w:rsid w:val="007328A2"/>
    <w:rsid w:val="00732A10"/>
    <w:rsid w:val="007345AA"/>
    <w:rsid w:val="00735C21"/>
    <w:rsid w:val="00737B00"/>
    <w:rsid w:val="00747DB4"/>
    <w:rsid w:val="0075155C"/>
    <w:rsid w:val="00753A05"/>
    <w:rsid w:val="0075586B"/>
    <w:rsid w:val="00757193"/>
    <w:rsid w:val="007606E1"/>
    <w:rsid w:val="00761190"/>
    <w:rsid w:val="00766FD7"/>
    <w:rsid w:val="00770BE9"/>
    <w:rsid w:val="00774DE5"/>
    <w:rsid w:val="00776537"/>
    <w:rsid w:val="00780C90"/>
    <w:rsid w:val="00783A25"/>
    <w:rsid w:val="007843DB"/>
    <w:rsid w:val="0078624D"/>
    <w:rsid w:val="007877F4"/>
    <w:rsid w:val="0079311D"/>
    <w:rsid w:val="007B2492"/>
    <w:rsid w:val="007B394B"/>
    <w:rsid w:val="007B6BAE"/>
    <w:rsid w:val="007C10AC"/>
    <w:rsid w:val="007C5623"/>
    <w:rsid w:val="007C6FC5"/>
    <w:rsid w:val="007C74B9"/>
    <w:rsid w:val="007D441A"/>
    <w:rsid w:val="007D518C"/>
    <w:rsid w:val="007E0D70"/>
    <w:rsid w:val="007E1B5E"/>
    <w:rsid w:val="007E6253"/>
    <w:rsid w:val="007F2278"/>
    <w:rsid w:val="008006AB"/>
    <w:rsid w:val="00803014"/>
    <w:rsid w:val="00805783"/>
    <w:rsid w:val="00806CEF"/>
    <w:rsid w:val="00806F57"/>
    <w:rsid w:val="00806F90"/>
    <w:rsid w:val="00814156"/>
    <w:rsid w:val="00815AB6"/>
    <w:rsid w:val="008246FC"/>
    <w:rsid w:val="00824C19"/>
    <w:rsid w:val="00826250"/>
    <w:rsid w:val="0083056F"/>
    <w:rsid w:val="008343E5"/>
    <w:rsid w:val="008370AD"/>
    <w:rsid w:val="008378D1"/>
    <w:rsid w:val="00843C13"/>
    <w:rsid w:val="00846462"/>
    <w:rsid w:val="00847383"/>
    <w:rsid w:val="00860742"/>
    <w:rsid w:val="00862B69"/>
    <w:rsid w:val="0086691F"/>
    <w:rsid w:val="00872730"/>
    <w:rsid w:val="00883DB0"/>
    <w:rsid w:val="008843BC"/>
    <w:rsid w:val="00884C8F"/>
    <w:rsid w:val="008927AD"/>
    <w:rsid w:val="00893A33"/>
    <w:rsid w:val="00896D38"/>
    <w:rsid w:val="008A0216"/>
    <w:rsid w:val="008A0650"/>
    <w:rsid w:val="008A1208"/>
    <w:rsid w:val="008B012D"/>
    <w:rsid w:val="008B0240"/>
    <w:rsid w:val="008B0349"/>
    <w:rsid w:val="008B1481"/>
    <w:rsid w:val="008B4B87"/>
    <w:rsid w:val="008B5DE8"/>
    <w:rsid w:val="008B6642"/>
    <w:rsid w:val="008C076B"/>
    <w:rsid w:val="008C3296"/>
    <w:rsid w:val="008C3413"/>
    <w:rsid w:val="008D6C74"/>
    <w:rsid w:val="008E2913"/>
    <w:rsid w:val="008E2C22"/>
    <w:rsid w:val="008E2D03"/>
    <w:rsid w:val="008E7BDF"/>
    <w:rsid w:val="008F2BB5"/>
    <w:rsid w:val="008F425D"/>
    <w:rsid w:val="008F43E4"/>
    <w:rsid w:val="008F5472"/>
    <w:rsid w:val="008F5D0F"/>
    <w:rsid w:val="00907874"/>
    <w:rsid w:val="009122E0"/>
    <w:rsid w:val="00913351"/>
    <w:rsid w:val="009248ED"/>
    <w:rsid w:val="009264B1"/>
    <w:rsid w:val="00946C87"/>
    <w:rsid w:val="00957134"/>
    <w:rsid w:val="0096193C"/>
    <w:rsid w:val="009769E1"/>
    <w:rsid w:val="00977E0D"/>
    <w:rsid w:val="00982D5C"/>
    <w:rsid w:val="00986132"/>
    <w:rsid w:val="00986C04"/>
    <w:rsid w:val="009932F9"/>
    <w:rsid w:val="009A11E3"/>
    <w:rsid w:val="009A2F76"/>
    <w:rsid w:val="009B1250"/>
    <w:rsid w:val="009B378F"/>
    <w:rsid w:val="009B6787"/>
    <w:rsid w:val="009C600E"/>
    <w:rsid w:val="009C7B18"/>
    <w:rsid w:val="009D00AA"/>
    <w:rsid w:val="009D0B10"/>
    <w:rsid w:val="009D2AC2"/>
    <w:rsid w:val="009E1774"/>
    <w:rsid w:val="009E2668"/>
    <w:rsid w:val="009E40A3"/>
    <w:rsid w:val="009E5C8C"/>
    <w:rsid w:val="009E645C"/>
    <w:rsid w:val="009F10B1"/>
    <w:rsid w:val="009F1D3E"/>
    <w:rsid w:val="009F3D89"/>
    <w:rsid w:val="009F47E3"/>
    <w:rsid w:val="009F6938"/>
    <w:rsid w:val="00A03107"/>
    <w:rsid w:val="00A0537D"/>
    <w:rsid w:val="00A055AB"/>
    <w:rsid w:val="00A069AD"/>
    <w:rsid w:val="00A171EB"/>
    <w:rsid w:val="00A17A85"/>
    <w:rsid w:val="00A20856"/>
    <w:rsid w:val="00A24399"/>
    <w:rsid w:val="00A24CA5"/>
    <w:rsid w:val="00A252DF"/>
    <w:rsid w:val="00A27E35"/>
    <w:rsid w:val="00A33D4D"/>
    <w:rsid w:val="00A33D6D"/>
    <w:rsid w:val="00A36AEC"/>
    <w:rsid w:val="00A37345"/>
    <w:rsid w:val="00A40AAE"/>
    <w:rsid w:val="00A40EA9"/>
    <w:rsid w:val="00A4532A"/>
    <w:rsid w:val="00A46BEE"/>
    <w:rsid w:val="00A46E28"/>
    <w:rsid w:val="00A5206D"/>
    <w:rsid w:val="00A55E9E"/>
    <w:rsid w:val="00A635A7"/>
    <w:rsid w:val="00A652D9"/>
    <w:rsid w:val="00A72E47"/>
    <w:rsid w:val="00A74DBA"/>
    <w:rsid w:val="00A750A5"/>
    <w:rsid w:val="00A778F1"/>
    <w:rsid w:val="00A90956"/>
    <w:rsid w:val="00A95404"/>
    <w:rsid w:val="00A954C6"/>
    <w:rsid w:val="00A968C5"/>
    <w:rsid w:val="00AA3C28"/>
    <w:rsid w:val="00AA65E5"/>
    <w:rsid w:val="00AA759D"/>
    <w:rsid w:val="00AB1592"/>
    <w:rsid w:val="00AB2786"/>
    <w:rsid w:val="00AB5BEE"/>
    <w:rsid w:val="00AC2EAA"/>
    <w:rsid w:val="00AC373F"/>
    <w:rsid w:val="00AC550F"/>
    <w:rsid w:val="00AD4308"/>
    <w:rsid w:val="00AE0E23"/>
    <w:rsid w:val="00AE6719"/>
    <w:rsid w:val="00AE6C5D"/>
    <w:rsid w:val="00AE7483"/>
    <w:rsid w:val="00AF021F"/>
    <w:rsid w:val="00AF114B"/>
    <w:rsid w:val="00AF2A33"/>
    <w:rsid w:val="00AF4C2D"/>
    <w:rsid w:val="00AF4FD7"/>
    <w:rsid w:val="00B014C7"/>
    <w:rsid w:val="00B03EFA"/>
    <w:rsid w:val="00B16C8C"/>
    <w:rsid w:val="00B171E7"/>
    <w:rsid w:val="00B309DD"/>
    <w:rsid w:val="00B31E9D"/>
    <w:rsid w:val="00B3574C"/>
    <w:rsid w:val="00B36621"/>
    <w:rsid w:val="00B36D64"/>
    <w:rsid w:val="00B412C8"/>
    <w:rsid w:val="00B41B48"/>
    <w:rsid w:val="00B425CC"/>
    <w:rsid w:val="00B42711"/>
    <w:rsid w:val="00B43CAA"/>
    <w:rsid w:val="00B509DC"/>
    <w:rsid w:val="00B5567C"/>
    <w:rsid w:val="00B55E1D"/>
    <w:rsid w:val="00B56194"/>
    <w:rsid w:val="00B60F41"/>
    <w:rsid w:val="00B616F6"/>
    <w:rsid w:val="00B61A34"/>
    <w:rsid w:val="00B62FDC"/>
    <w:rsid w:val="00B64E8E"/>
    <w:rsid w:val="00B65E8B"/>
    <w:rsid w:val="00B677A0"/>
    <w:rsid w:val="00B7141E"/>
    <w:rsid w:val="00B75C92"/>
    <w:rsid w:val="00B8025A"/>
    <w:rsid w:val="00B827B1"/>
    <w:rsid w:val="00B9116F"/>
    <w:rsid w:val="00B91936"/>
    <w:rsid w:val="00B9408D"/>
    <w:rsid w:val="00B94698"/>
    <w:rsid w:val="00BB23A4"/>
    <w:rsid w:val="00BB6332"/>
    <w:rsid w:val="00BC0F5C"/>
    <w:rsid w:val="00BC2276"/>
    <w:rsid w:val="00BD1B08"/>
    <w:rsid w:val="00BD1BFF"/>
    <w:rsid w:val="00BD2150"/>
    <w:rsid w:val="00BE1CC3"/>
    <w:rsid w:val="00BE1CDE"/>
    <w:rsid w:val="00BE365A"/>
    <w:rsid w:val="00BE47C4"/>
    <w:rsid w:val="00BE50EF"/>
    <w:rsid w:val="00C052A2"/>
    <w:rsid w:val="00C06A4A"/>
    <w:rsid w:val="00C10E00"/>
    <w:rsid w:val="00C131AA"/>
    <w:rsid w:val="00C1391A"/>
    <w:rsid w:val="00C14CE6"/>
    <w:rsid w:val="00C15218"/>
    <w:rsid w:val="00C21D51"/>
    <w:rsid w:val="00C22BB2"/>
    <w:rsid w:val="00C22F76"/>
    <w:rsid w:val="00C2725D"/>
    <w:rsid w:val="00C31771"/>
    <w:rsid w:val="00C31E79"/>
    <w:rsid w:val="00C35D84"/>
    <w:rsid w:val="00C403C9"/>
    <w:rsid w:val="00C42033"/>
    <w:rsid w:val="00C464DD"/>
    <w:rsid w:val="00C52423"/>
    <w:rsid w:val="00C53A40"/>
    <w:rsid w:val="00C60D8E"/>
    <w:rsid w:val="00C62EF9"/>
    <w:rsid w:val="00C650F5"/>
    <w:rsid w:val="00C672B6"/>
    <w:rsid w:val="00C75600"/>
    <w:rsid w:val="00C76854"/>
    <w:rsid w:val="00C847BD"/>
    <w:rsid w:val="00C900C5"/>
    <w:rsid w:val="00C92AE0"/>
    <w:rsid w:val="00C93BC6"/>
    <w:rsid w:val="00C943B4"/>
    <w:rsid w:val="00C97C0D"/>
    <w:rsid w:val="00CA2BB0"/>
    <w:rsid w:val="00CA450F"/>
    <w:rsid w:val="00CA4BBC"/>
    <w:rsid w:val="00CA7A19"/>
    <w:rsid w:val="00CA7E8C"/>
    <w:rsid w:val="00CB2802"/>
    <w:rsid w:val="00CB298A"/>
    <w:rsid w:val="00CB2B1E"/>
    <w:rsid w:val="00CC053E"/>
    <w:rsid w:val="00CC05C5"/>
    <w:rsid w:val="00CC1E2C"/>
    <w:rsid w:val="00CC213B"/>
    <w:rsid w:val="00CC3E8B"/>
    <w:rsid w:val="00CC4E84"/>
    <w:rsid w:val="00CC6304"/>
    <w:rsid w:val="00CD5641"/>
    <w:rsid w:val="00CE11A2"/>
    <w:rsid w:val="00CE1F38"/>
    <w:rsid w:val="00CE474E"/>
    <w:rsid w:val="00CE4CEF"/>
    <w:rsid w:val="00CE64AC"/>
    <w:rsid w:val="00CE7DFC"/>
    <w:rsid w:val="00CF02D3"/>
    <w:rsid w:val="00CF060B"/>
    <w:rsid w:val="00CF1FCA"/>
    <w:rsid w:val="00CF49BA"/>
    <w:rsid w:val="00CF7718"/>
    <w:rsid w:val="00D0701A"/>
    <w:rsid w:val="00D10888"/>
    <w:rsid w:val="00D177F1"/>
    <w:rsid w:val="00D21209"/>
    <w:rsid w:val="00D22A31"/>
    <w:rsid w:val="00D24E82"/>
    <w:rsid w:val="00D25E6B"/>
    <w:rsid w:val="00D26510"/>
    <w:rsid w:val="00D32015"/>
    <w:rsid w:val="00D323B5"/>
    <w:rsid w:val="00D42ACC"/>
    <w:rsid w:val="00D46BC5"/>
    <w:rsid w:val="00D51DC5"/>
    <w:rsid w:val="00D53449"/>
    <w:rsid w:val="00D5525A"/>
    <w:rsid w:val="00D613E0"/>
    <w:rsid w:val="00D676D7"/>
    <w:rsid w:val="00D71517"/>
    <w:rsid w:val="00D7168D"/>
    <w:rsid w:val="00D71A15"/>
    <w:rsid w:val="00D83D1B"/>
    <w:rsid w:val="00D86A32"/>
    <w:rsid w:val="00D874E1"/>
    <w:rsid w:val="00D950BE"/>
    <w:rsid w:val="00D9586D"/>
    <w:rsid w:val="00D95A8C"/>
    <w:rsid w:val="00D9749C"/>
    <w:rsid w:val="00DA4C43"/>
    <w:rsid w:val="00DA51B2"/>
    <w:rsid w:val="00DA647E"/>
    <w:rsid w:val="00DA6965"/>
    <w:rsid w:val="00DB0932"/>
    <w:rsid w:val="00DB293E"/>
    <w:rsid w:val="00DB3DBB"/>
    <w:rsid w:val="00DB53E0"/>
    <w:rsid w:val="00DC2506"/>
    <w:rsid w:val="00DC4290"/>
    <w:rsid w:val="00DC49FA"/>
    <w:rsid w:val="00DD3D6B"/>
    <w:rsid w:val="00DD4467"/>
    <w:rsid w:val="00DD5418"/>
    <w:rsid w:val="00DD61C8"/>
    <w:rsid w:val="00DD772B"/>
    <w:rsid w:val="00DF5B53"/>
    <w:rsid w:val="00DF742A"/>
    <w:rsid w:val="00E041F4"/>
    <w:rsid w:val="00E050BA"/>
    <w:rsid w:val="00E076AC"/>
    <w:rsid w:val="00E16655"/>
    <w:rsid w:val="00E16A6B"/>
    <w:rsid w:val="00E21275"/>
    <w:rsid w:val="00E25442"/>
    <w:rsid w:val="00E25A1F"/>
    <w:rsid w:val="00E34E6A"/>
    <w:rsid w:val="00E35B72"/>
    <w:rsid w:val="00E37B54"/>
    <w:rsid w:val="00E37EEB"/>
    <w:rsid w:val="00E440B3"/>
    <w:rsid w:val="00E5153D"/>
    <w:rsid w:val="00E56B5D"/>
    <w:rsid w:val="00E63A20"/>
    <w:rsid w:val="00E66265"/>
    <w:rsid w:val="00E710FB"/>
    <w:rsid w:val="00E730F1"/>
    <w:rsid w:val="00E73CC9"/>
    <w:rsid w:val="00E75847"/>
    <w:rsid w:val="00E76FCC"/>
    <w:rsid w:val="00E80528"/>
    <w:rsid w:val="00E806D9"/>
    <w:rsid w:val="00E816C7"/>
    <w:rsid w:val="00E82CA2"/>
    <w:rsid w:val="00E94E5A"/>
    <w:rsid w:val="00E95594"/>
    <w:rsid w:val="00E95A55"/>
    <w:rsid w:val="00EA0B27"/>
    <w:rsid w:val="00EA31C3"/>
    <w:rsid w:val="00EA4947"/>
    <w:rsid w:val="00EB33AC"/>
    <w:rsid w:val="00EC25DE"/>
    <w:rsid w:val="00EC669D"/>
    <w:rsid w:val="00EC6F21"/>
    <w:rsid w:val="00ED2D39"/>
    <w:rsid w:val="00ED3A3A"/>
    <w:rsid w:val="00EE0913"/>
    <w:rsid w:val="00EF23C4"/>
    <w:rsid w:val="00EF2DB0"/>
    <w:rsid w:val="00EF36AA"/>
    <w:rsid w:val="00EF695D"/>
    <w:rsid w:val="00EF6CA2"/>
    <w:rsid w:val="00F01440"/>
    <w:rsid w:val="00F020E7"/>
    <w:rsid w:val="00F03676"/>
    <w:rsid w:val="00F04C64"/>
    <w:rsid w:val="00F057A4"/>
    <w:rsid w:val="00F13305"/>
    <w:rsid w:val="00F1516C"/>
    <w:rsid w:val="00F26864"/>
    <w:rsid w:val="00F3596A"/>
    <w:rsid w:val="00F40463"/>
    <w:rsid w:val="00F44A01"/>
    <w:rsid w:val="00F50336"/>
    <w:rsid w:val="00F55E5B"/>
    <w:rsid w:val="00F569BC"/>
    <w:rsid w:val="00F62E3F"/>
    <w:rsid w:val="00F65192"/>
    <w:rsid w:val="00F66E5C"/>
    <w:rsid w:val="00F67F90"/>
    <w:rsid w:val="00F708D7"/>
    <w:rsid w:val="00F77B3E"/>
    <w:rsid w:val="00F833CB"/>
    <w:rsid w:val="00F87754"/>
    <w:rsid w:val="00F90A4B"/>
    <w:rsid w:val="00F90C56"/>
    <w:rsid w:val="00F94B3C"/>
    <w:rsid w:val="00FA7A95"/>
    <w:rsid w:val="00FB089D"/>
    <w:rsid w:val="00FB282B"/>
    <w:rsid w:val="00FC1CE4"/>
    <w:rsid w:val="00FC28AD"/>
    <w:rsid w:val="00FD4C0F"/>
    <w:rsid w:val="00FD594E"/>
    <w:rsid w:val="00FD75B9"/>
    <w:rsid w:val="00FE0315"/>
    <w:rsid w:val="00FE1E08"/>
    <w:rsid w:val="00FE5FE8"/>
    <w:rsid w:val="00FF0C55"/>
    <w:rsid w:val="00FF3563"/>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Followed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771"/>
    <w:pPr>
      <w:spacing w:line="320" w:lineRule="exact"/>
      <w:jc w:val="both"/>
    </w:pPr>
    <w:rPr>
      <w:rFonts w:eastAsia="宋体"/>
      <w:kern w:val="14"/>
      <w:sz w:val="21"/>
      <w:lang w:val="en-US"/>
    </w:rPr>
  </w:style>
  <w:style w:type="paragraph" w:styleId="1">
    <w:name w:val="heading 1"/>
    <w:basedOn w:val="a"/>
    <w:next w:val="HCh"/>
    <w:link w:val="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_ H_1"/>
    <w:basedOn w:val="a"/>
    <w:next w:val="SingleTxt"/>
    <w:qFormat/>
    <w:rsid w:val="00986132"/>
    <w:pPr>
      <w:keepNext/>
      <w:keepLines/>
      <w:suppressAutoHyphens/>
      <w:outlineLvl w:val="0"/>
    </w:pPr>
    <w:rPr>
      <w:rFonts w:ascii="黑体" w:eastAsia="黑体"/>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a"/>
    <w:autoRedefine/>
    <w:qFormat/>
    <w:rsid w:val="001E5A51"/>
    <w:pPr>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pPr>
    <w:rPr>
      <w:sz w:val="34"/>
    </w:rPr>
  </w:style>
  <w:style w:type="paragraph" w:customStyle="1" w:styleId="H23">
    <w:name w:val="_ H_2/3"/>
    <w:basedOn w:val="a"/>
    <w:next w:val="a"/>
    <w:qFormat/>
    <w:rsid w:val="00986132"/>
    <w:pPr>
      <w:outlineLvl w:val="1"/>
    </w:pPr>
    <w:rPr>
      <w:rFonts w:ascii="黑体" w:eastAsia="黑体"/>
      <w:spacing w:val="2"/>
    </w:rPr>
  </w:style>
  <w:style w:type="paragraph" w:customStyle="1" w:styleId="H4">
    <w:name w:val="_ H_4"/>
    <w:basedOn w:val="a"/>
    <w:next w:val="SingleTxt"/>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a"/>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ingleTxt">
    <w:name w:val="__Single Txt"/>
    <w:basedOn w:val="a"/>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aliases w:val="4_G"/>
    <w:basedOn w:val="a0"/>
    <w:qFormat/>
    <w:rsid w:val="00803014"/>
    <w:rPr>
      <w:color w:val="auto"/>
      <w:spacing w:val="0"/>
      <w:w w:val="150"/>
      <w:position w:val="0"/>
      <w:vertAlign w:val="superscript"/>
    </w:rPr>
  </w:style>
  <w:style w:type="character" w:styleId="a4">
    <w:name w:val="endnote reference"/>
    <w:basedOn w:val="a3"/>
    <w:semiHidden/>
    <w:rsid w:val="001E5A51"/>
    <w:rPr>
      <w:color w:val="auto"/>
      <w:spacing w:val="0"/>
      <w:w w:val="150"/>
      <w:position w:val="0"/>
      <w:vertAlign w:val="superscript"/>
    </w:rPr>
  </w:style>
  <w:style w:type="paragraph" w:styleId="a5">
    <w:name w:val="footnote text"/>
    <w:aliases w:val="5_G"/>
    <w:basedOn w:val="a"/>
    <w:link w:val="Char"/>
    <w:qFormat/>
    <w:rsid w:val="001E5A51"/>
    <w:pPr>
      <w:tabs>
        <w:tab w:val="right" w:pos="418"/>
      </w:tabs>
      <w:spacing w:after="120" w:line="240" w:lineRule="exact"/>
      <w:ind w:left="170" w:hanging="170"/>
    </w:pPr>
    <w:rPr>
      <w:noProof/>
      <w:sz w:val="18"/>
    </w:rPr>
  </w:style>
  <w:style w:type="paragraph" w:styleId="a6">
    <w:name w:val="endnote text"/>
    <w:basedOn w:val="a5"/>
    <w:semiHidden/>
    <w:rsid w:val="001E5A51"/>
  </w:style>
  <w:style w:type="paragraph" w:styleId="a7">
    <w:name w:val="annotation text"/>
    <w:basedOn w:val="a"/>
    <w:semiHidden/>
    <w:rsid w:val="001E5A51"/>
  </w:style>
  <w:style w:type="paragraph" w:styleId="a8">
    <w:name w:val="annotation subject"/>
    <w:basedOn w:val="a7"/>
    <w:next w:val="a7"/>
    <w:semiHidden/>
    <w:rsid w:val="001E5A51"/>
    <w:rPr>
      <w:b/>
      <w:bCs/>
    </w:rPr>
  </w:style>
  <w:style w:type="character" w:styleId="a9">
    <w:name w:val="annotation reference"/>
    <w:basedOn w:val="a0"/>
    <w:semiHidden/>
    <w:rsid w:val="001E5A51"/>
    <w:rPr>
      <w:sz w:val="21"/>
      <w:szCs w:val="21"/>
    </w:rPr>
  </w:style>
  <w:style w:type="paragraph" w:styleId="aa">
    <w:name w:val="Balloon Text"/>
    <w:basedOn w:val="a"/>
    <w:semiHidden/>
    <w:rsid w:val="001E5A51"/>
    <w:rPr>
      <w:sz w:val="18"/>
      <w:szCs w:val="18"/>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rsid w:val="001E5A51"/>
    <w:pPr>
      <w:tabs>
        <w:tab w:val="center" w:pos="4320"/>
        <w:tab w:val="right" w:pos="8640"/>
      </w:tabs>
      <w:jc w:val="both"/>
    </w:pPr>
    <w:rPr>
      <w:noProof/>
      <w:sz w:val="18"/>
      <w:lang w:val="en-US"/>
    </w:rPr>
  </w:style>
  <w:style w:type="paragraph" w:styleId="ac">
    <w:name w:val="footer"/>
    <w:rsid w:val="001E5A51"/>
    <w:pPr>
      <w:tabs>
        <w:tab w:val="center" w:pos="4320"/>
        <w:tab w:val="right" w:pos="8640"/>
      </w:tabs>
      <w:jc w:val="both"/>
    </w:pPr>
    <w:rPr>
      <w:b/>
      <w:noProof/>
      <w:sz w:val="18"/>
      <w:szCs w:val="18"/>
      <w:lang w:val="en-US"/>
    </w:rPr>
  </w:style>
  <w:style w:type="character" w:styleId="ad">
    <w:name w:val="Hyperlink"/>
    <w:basedOn w:val="a0"/>
    <w:uiPriority w:val="99"/>
    <w:rsid w:val="00036F1B"/>
    <w:rPr>
      <w:color w:val="0000FF"/>
      <w:u w:val="none"/>
    </w:rPr>
  </w:style>
  <w:style w:type="character" w:styleId="ae">
    <w:name w:val="FollowedHyperlink"/>
    <w:basedOn w:val="a0"/>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af">
    <w:name w:val="Normal (Web)"/>
    <w:basedOn w:val="a"/>
    <w:rsid w:val="001944A4"/>
    <w:rPr>
      <w:sz w:val="24"/>
      <w:szCs w:val="24"/>
    </w:rPr>
  </w:style>
  <w:style w:type="character" w:customStyle="1" w:styleId="1Char">
    <w:name w:val="标题 1 Char"/>
    <w:basedOn w:val="a0"/>
    <w:link w:val="1"/>
    <w:rsid w:val="005B04F3"/>
    <w:rPr>
      <w:rFonts w:eastAsia="黑体"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2Char">
    <w:name w:val="标题 2 Char"/>
    <w:basedOn w:val="a0"/>
    <w:link w:val="2"/>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rsid w:val="005B04F3"/>
    <w:rPr>
      <w:rFonts w:asciiTheme="minorEastAsia" w:eastAsiaTheme="majorEastAsia" w:hAnsiTheme="minorEastAsia" w:cstheme="majorBidi"/>
      <w:b/>
      <w:bCs/>
      <w:kern w:val="14"/>
      <w:sz w:val="32"/>
      <w:lang w:val="en-US"/>
    </w:r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
    <w:name w:val="日刊标题4"/>
    <w:basedOn w:val="a"/>
    <w:next w:val="a"/>
    <w:qFormat/>
    <w:rsid w:val="000C5208"/>
    <w:rPr>
      <w:rFonts w:ascii="黑体" w:eastAsia="黑体" w:hAnsi="黑体"/>
      <w:sz w:val="24"/>
    </w:rPr>
  </w:style>
  <w:style w:type="paragraph" w:customStyle="1" w:styleId="Bullet1">
    <w:name w:val="Bullet 1"/>
    <w:basedOn w:val="a"/>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a"/>
    <w:qFormat/>
    <w:rsid w:val="008B6642"/>
    <w:pPr>
      <w:tabs>
        <w:tab w:val="left" w:pos="2218"/>
      </w:tabs>
      <w:spacing w:after="120" w:line="240" w:lineRule="exact"/>
      <w:ind w:left="2218" w:right="1267" w:hanging="130"/>
    </w:pPr>
    <w:rPr>
      <w:snapToGrid w:val="0"/>
      <w:spacing w:val="4"/>
      <w:w w:val="103"/>
      <w:sz w:val="20"/>
    </w:rPr>
  </w:style>
  <w:style w:type="paragraph" w:customStyle="1" w:styleId="SingleTxtG">
    <w:name w:val="_ Single Txt_G"/>
    <w:basedOn w:val="a"/>
    <w:link w:val="SingleTxtGChar"/>
    <w:qFormat/>
    <w:rsid w:val="002567CA"/>
    <w:pPr>
      <w:suppressAutoHyphens/>
      <w:spacing w:after="120" w:line="240" w:lineRule="atLeast"/>
      <w:ind w:left="1134" w:right="1134"/>
    </w:pPr>
    <w:rPr>
      <w:kern w:val="0"/>
      <w:sz w:val="20"/>
      <w:lang w:val="en-GB" w:eastAsia="en-US"/>
    </w:rPr>
  </w:style>
  <w:style w:type="paragraph" w:customStyle="1" w:styleId="HChG">
    <w:name w:val="_ H _Ch_G"/>
    <w:basedOn w:val="a"/>
    <w:next w:val="a"/>
    <w:link w:val="HChGChar"/>
    <w:qFormat/>
    <w:rsid w:val="002567CA"/>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jc w:val="left"/>
    </w:pPr>
    <w:rPr>
      <w:rFonts w:eastAsia="Times New Roman"/>
      <w:b/>
      <w:kern w:val="0"/>
      <w:sz w:val="28"/>
      <w:lang w:val="en-GB" w:eastAsia="en-US"/>
    </w:rPr>
  </w:style>
  <w:style w:type="character" w:customStyle="1" w:styleId="Char">
    <w:name w:val="脚注文本 Char"/>
    <w:aliases w:val="5_G Char"/>
    <w:basedOn w:val="a0"/>
    <w:link w:val="a5"/>
    <w:locked/>
    <w:rsid w:val="002567CA"/>
    <w:rPr>
      <w:rFonts w:eastAsia="宋体"/>
      <w:noProof/>
      <w:kern w:val="14"/>
      <w:sz w:val="18"/>
      <w:lang w:val="en-US"/>
    </w:rPr>
  </w:style>
  <w:style w:type="character" w:customStyle="1" w:styleId="HChGChar">
    <w:name w:val="_ H _Ch_G Char"/>
    <w:link w:val="HChG"/>
    <w:locked/>
    <w:rsid w:val="002567CA"/>
    <w:rPr>
      <w:rFonts w:eastAsia="Times New Roman"/>
      <w:b/>
      <w:sz w:val="28"/>
      <w:lang w:eastAsia="en-US"/>
    </w:rPr>
  </w:style>
  <w:style w:type="character" w:customStyle="1" w:styleId="SingleTxtGChar">
    <w:name w:val="_ Single Txt_G Char"/>
    <w:link w:val="SingleTxtG"/>
    <w:locked/>
    <w:rsid w:val="002567CA"/>
    <w:rPr>
      <w:rFonts w:eastAsia="宋体"/>
      <w:lang w:eastAsia="en-US"/>
    </w:rPr>
  </w:style>
  <w:style w:type="paragraph" w:customStyle="1" w:styleId="GB23126">
    <w:name w:val="样式 (中文) 楷体_GB2312 六号 蓝色 右 段后: 6 磅 行距: 单倍行距"/>
    <w:basedOn w:val="a"/>
    <w:rsid w:val="00355775"/>
    <w:pPr>
      <w:spacing w:after="120" w:line="240" w:lineRule="auto"/>
      <w:jc w:val="right"/>
    </w:pPr>
    <w:rPr>
      <w:rFonts w:ascii="宋体" w:eastAsia="楷体_GB2312" w:cs="宋体"/>
      <w:sz w:val="15"/>
    </w:rPr>
  </w:style>
  <w:style w:type="paragraph" w:customStyle="1" w:styleId="HCh6">
    <w:name w:val="样式 _ H _Ch + (中文) 宋体 段后: 6 磅"/>
    <w:basedOn w:val="HCh"/>
    <w:rsid w:val="00355775"/>
    <w:pPr>
      <w:spacing w:after="120"/>
      <w:jc w:val="left"/>
    </w:pPr>
    <w:rPr>
      <w:rFonts w:eastAsia="宋体" w:cs="宋体"/>
    </w:rPr>
  </w:style>
  <w:style w:type="paragraph" w:customStyle="1" w:styleId="H1G">
    <w:name w:val="_ H_1_G"/>
    <w:basedOn w:val="a"/>
    <w:next w:val="a"/>
    <w:link w:val="H1GChar"/>
    <w:qFormat/>
    <w:rsid w:val="009F1D3E"/>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jc w:val="left"/>
    </w:pPr>
    <w:rPr>
      <w:rFonts w:eastAsia="Times New Roman"/>
      <w:b/>
      <w:kern w:val="0"/>
      <w:sz w:val="24"/>
      <w:lang w:val="en-GB" w:eastAsia="en-US"/>
    </w:rPr>
  </w:style>
  <w:style w:type="character" w:customStyle="1" w:styleId="H1GChar">
    <w:name w:val="_ H_1_G Char"/>
    <w:link w:val="H1G"/>
    <w:locked/>
    <w:rsid w:val="009F1D3E"/>
    <w:rPr>
      <w:rFonts w:eastAsia="Times New Roman"/>
      <w:b/>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Followed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771"/>
    <w:pPr>
      <w:spacing w:line="320" w:lineRule="exact"/>
      <w:jc w:val="both"/>
    </w:pPr>
    <w:rPr>
      <w:rFonts w:eastAsia="宋体"/>
      <w:kern w:val="14"/>
      <w:sz w:val="21"/>
      <w:lang w:val="en-US"/>
    </w:rPr>
  </w:style>
  <w:style w:type="paragraph" w:styleId="1">
    <w:name w:val="heading 1"/>
    <w:basedOn w:val="a"/>
    <w:next w:val="HCh"/>
    <w:link w:val="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_ H_1"/>
    <w:basedOn w:val="a"/>
    <w:next w:val="SingleTxt"/>
    <w:qFormat/>
    <w:rsid w:val="00986132"/>
    <w:pPr>
      <w:keepNext/>
      <w:keepLines/>
      <w:suppressAutoHyphens/>
      <w:outlineLvl w:val="0"/>
    </w:pPr>
    <w:rPr>
      <w:rFonts w:ascii="黑体" w:eastAsia="黑体"/>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a"/>
    <w:autoRedefine/>
    <w:qFormat/>
    <w:rsid w:val="001E5A51"/>
    <w:pPr>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pPr>
    <w:rPr>
      <w:sz w:val="34"/>
    </w:rPr>
  </w:style>
  <w:style w:type="paragraph" w:customStyle="1" w:styleId="H23">
    <w:name w:val="_ H_2/3"/>
    <w:basedOn w:val="a"/>
    <w:next w:val="a"/>
    <w:qFormat/>
    <w:rsid w:val="00986132"/>
    <w:pPr>
      <w:outlineLvl w:val="1"/>
    </w:pPr>
    <w:rPr>
      <w:rFonts w:ascii="黑体" w:eastAsia="黑体"/>
      <w:spacing w:val="2"/>
    </w:rPr>
  </w:style>
  <w:style w:type="paragraph" w:customStyle="1" w:styleId="H4">
    <w:name w:val="_ H_4"/>
    <w:basedOn w:val="a"/>
    <w:next w:val="SingleTxt"/>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a"/>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ingleTxt">
    <w:name w:val="__Single Txt"/>
    <w:basedOn w:val="a"/>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aliases w:val="4_G"/>
    <w:basedOn w:val="a0"/>
    <w:qFormat/>
    <w:rsid w:val="00803014"/>
    <w:rPr>
      <w:color w:val="auto"/>
      <w:spacing w:val="0"/>
      <w:w w:val="150"/>
      <w:position w:val="0"/>
      <w:vertAlign w:val="superscript"/>
    </w:rPr>
  </w:style>
  <w:style w:type="character" w:styleId="a4">
    <w:name w:val="endnote reference"/>
    <w:basedOn w:val="a3"/>
    <w:semiHidden/>
    <w:rsid w:val="001E5A51"/>
    <w:rPr>
      <w:color w:val="auto"/>
      <w:spacing w:val="0"/>
      <w:w w:val="150"/>
      <w:position w:val="0"/>
      <w:vertAlign w:val="superscript"/>
    </w:rPr>
  </w:style>
  <w:style w:type="paragraph" w:styleId="a5">
    <w:name w:val="footnote text"/>
    <w:aliases w:val="5_G"/>
    <w:basedOn w:val="a"/>
    <w:link w:val="Char"/>
    <w:qFormat/>
    <w:rsid w:val="001E5A51"/>
    <w:pPr>
      <w:tabs>
        <w:tab w:val="right" w:pos="418"/>
      </w:tabs>
      <w:spacing w:after="120" w:line="240" w:lineRule="exact"/>
      <w:ind w:left="170" w:hanging="170"/>
    </w:pPr>
    <w:rPr>
      <w:noProof/>
      <w:sz w:val="18"/>
    </w:rPr>
  </w:style>
  <w:style w:type="paragraph" w:styleId="a6">
    <w:name w:val="endnote text"/>
    <w:basedOn w:val="a5"/>
    <w:semiHidden/>
    <w:rsid w:val="001E5A51"/>
  </w:style>
  <w:style w:type="paragraph" w:styleId="a7">
    <w:name w:val="annotation text"/>
    <w:basedOn w:val="a"/>
    <w:semiHidden/>
    <w:rsid w:val="001E5A51"/>
  </w:style>
  <w:style w:type="paragraph" w:styleId="a8">
    <w:name w:val="annotation subject"/>
    <w:basedOn w:val="a7"/>
    <w:next w:val="a7"/>
    <w:semiHidden/>
    <w:rsid w:val="001E5A51"/>
    <w:rPr>
      <w:b/>
      <w:bCs/>
    </w:rPr>
  </w:style>
  <w:style w:type="character" w:styleId="a9">
    <w:name w:val="annotation reference"/>
    <w:basedOn w:val="a0"/>
    <w:semiHidden/>
    <w:rsid w:val="001E5A51"/>
    <w:rPr>
      <w:sz w:val="21"/>
      <w:szCs w:val="21"/>
    </w:rPr>
  </w:style>
  <w:style w:type="paragraph" w:styleId="aa">
    <w:name w:val="Balloon Text"/>
    <w:basedOn w:val="a"/>
    <w:semiHidden/>
    <w:rsid w:val="001E5A51"/>
    <w:rPr>
      <w:sz w:val="18"/>
      <w:szCs w:val="18"/>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rsid w:val="001E5A51"/>
    <w:pPr>
      <w:tabs>
        <w:tab w:val="center" w:pos="4320"/>
        <w:tab w:val="right" w:pos="8640"/>
      </w:tabs>
      <w:jc w:val="both"/>
    </w:pPr>
    <w:rPr>
      <w:noProof/>
      <w:sz w:val="18"/>
      <w:lang w:val="en-US"/>
    </w:rPr>
  </w:style>
  <w:style w:type="paragraph" w:styleId="ac">
    <w:name w:val="footer"/>
    <w:rsid w:val="001E5A51"/>
    <w:pPr>
      <w:tabs>
        <w:tab w:val="center" w:pos="4320"/>
        <w:tab w:val="right" w:pos="8640"/>
      </w:tabs>
      <w:jc w:val="both"/>
    </w:pPr>
    <w:rPr>
      <w:b/>
      <w:noProof/>
      <w:sz w:val="18"/>
      <w:szCs w:val="18"/>
      <w:lang w:val="en-US"/>
    </w:rPr>
  </w:style>
  <w:style w:type="character" w:styleId="ad">
    <w:name w:val="Hyperlink"/>
    <w:basedOn w:val="a0"/>
    <w:uiPriority w:val="99"/>
    <w:rsid w:val="00036F1B"/>
    <w:rPr>
      <w:color w:val="0000FF"/>
      <w:u w:val="none"/>
    </w:rPr>
  </w:style>
  <w:style w:type="character" w:styleId="ae">
    <w:name w:val="FollowedHyperlink"/>
    <w:basedOn w:val="a0"/>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af">
    <w:name w:val="Normal (Web)"/>
    <w:basedOn w:val="a"/>
    <w:rsid w:val="001944A4"/>
    <w:rPr>
      <w:sz w:val="24"/>
      <w:szCs w:val="24"/>
    </w:rPr>
  </w:style>
  <w:style w:type="character" w:customStyle="1" w:styleId="1Char">
    <w:name w:val="标题 1 Char"/>
    <w:basedOn w:val="a0"/>
    <w:link w:val="1"/>
    <w:rsid w:val="005B04F3"/>
    <w:rPr>
      <w:rFonts w:eastAsia="黑体"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2Char">
    <w:name w:val="标题 2 Char"/>
    <w:basedOn w:val="a0"/>
    <w:link w:val="2"/>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rsid w:val="005B04F3"/>
    <w:rPr>
      <w:rFonts w:asciiTheme="minorEastAsia" w:eastAsiaTheme="majorEastAsia" w:hAnsiTheme="minorEastAsia" w:cstheme="majorBidi"/>
      <w:b/>
      <w:bCs/>
      <w:kern w:val="14"/>
      <w:sz w:val="32"/>
      <w:lang w:val="en-US"/>
    </w:r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
    <w:name w:val="日刊标题4"/>
    <w:basedOn w:val="a"/>
    <w:next w:val="a"/>
    <w:qFormat/>
    <w:rsid w:val="000C5208"/>
    <w:rPr>
      <w:rFonts w:ascii="黑体" w:eastAsia="黑体" w:hAnsi="黑体"/>
      <w:sz w:val="24"/>
    </w:rPr>
  </w:style>
  <w:style w:type="paragraph" w:customStyle="1" w:styleId="Bullet1">
    <w:name w:val="Bullet 1"/>
    <w:basedOn w:val="a"/>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a"/>
    <w:qFormat/>
    <w:rsid w:val="008B6642"/>
    <w:pPr>
      <w:tabs>
        <w:tab w:val="left" w:pos="2218"/>
      </w:tabs>
      <w:spacing w:after="120" w:line="240" w:lineRule="exact"/>
      <w:ind w:left="2218" w:right="1267" w:hanging="130"/>
    </w:pPr>
    <w:rPr>
      <w:snapToGrid w:val="0"/>
      <w:spacing w:val="4"/>
      <w:w w:val="103"/>
      <w:sz w:val="20"/>
    </w:rPr>
  </w:style>
  <w:style w:type="paragraph" w:customStyle="1" w:styleId="SingleTxtG">
    <w:name w:val="_ Single Txt_G"/>
    <w:basedOn w:val="a"/>
    <w:link w:val="SingleTxtGChar"/>
    <w:qFormat/>
    <w:rsid w:val="002567CA"/>
    <w:pPr>
      <w:suppressAutoHyphens/>
      <w:spacing w:after="120" w:line="240" w:lineRule="atLeast"/>
      <w:ind w:left="1134" w:right="1134"/>
    </w:pPr>
    <w:rPr>
      <w:kern w:val="0"/>
      <w:sz w:val="20"/>
      <w:lang w:val="en-GB" w:eastAsia="en-US"/>
    </w:rPr>
  </w:style>
  <w:style w:type="paragraph" w:customStyle="1" w:styleId="HChG">
    <w:name w:val="_ H _Ch_G"/>
    <w:basedOn w:val="a"/>
    <w:next w:val="a"/>
    <w:link w:val="HChGChar"/>
    <w:qFormat/>
    <w:rsid w:val="002567CA"/>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jc w:val="left"/>
    </w:pPr>
    <w:rPr>
      <w:rFonts w:eastAsia="Times New Roman"/>
      <w:b/>
      <w:kern w:val="0"/>
      <w:sz w:val="28"/>
      <w:lang w:val="en-GB" w:eastAsia="en-US"/>
    </w:rPr>
  </w:style>
  <w:style w:type="character" w:customStyle="1" w:styleId="Char">
    <w:name w:val="脚注文本 Char"/>
    <w:aliases w:val="5_G Char"/>
    <w:basedOn w:val="a0"/>
    <w:link w:val="a5"/>
    <w:locked/>
    <w:rsid w:val="002567CA"/>
    <w:rPr>
      <w:rFonts w:eastAsia="宋体"/>
      <w:noProof/>
      <w:kern w:val="14"/>
      <w:sz w:val="18"/>
      <w:lang w:val="en-US"/>
    </w:rPr>
  </w:style>
  <w:style w:type="character" w:customStyle="1" w:styleId="HChGChar">
    <w:name w:val="_ H _Ch_G Char"/>
    <w:link w:val="HChG"/>
    <w:locked/>
    <w:rsid w:val="002567CA"/>
    <w:rPr>
      <w:rFonts w:eastAsia="Times New Roman"/>
      <w:b/>
      <w:sz w:val="28"/>
      <w:lang w:eastAsia="en-US"/>
    </w:rPr>
  </w:style>
  <w:style w:type="character" w:customStyle="1" w:styleId="SingleTxtGChar">
    <w:name w:val="_ Single Txt_G Char"/>
    <w:link w:val="SingleTxtG"/>
    <w:locked/>
    <w:rsid w:val="002567CA"/>
    <w:rPr>
      <w:rFonts w:eastAsia="宋体"/>
      <w:lang w:eastAsia="en-US"/>
    </w:rPr>
  </w:style>
  <w:style w:type="paragraph" w:customStyle="1" w:styleId="GB23126">
    <w:name w:val="样式 (中文) 楷体_GB2312 六号 蓝色 右 段后: 6 磅 行距: 单倍行距"/>
    <w:basedOn w:val="a"/>
    <w:rsid w:val="00355775"/>
    <w:pPr>
      <w:spacing w:after="120" w:line="240" w:lineRule="auto"/>
      <w:jc w:val="right"/>
    </w:pPr>
    <w:rPr>
      <w:rFonts w:ascii="宋体" w:eastAsia="楷体_GB2312" w:cs="宋体"/>
      <w:sz w:val="15"/>
    </w:rPr>
  </w:style>
  <w:style w:type="paragraph" w:customStyle="1" w:styleId="HCh6">
    <w:name w:val="样式 _ H _Ch + (中文) 宋体 段后: 6 磅"/>
    <w:basedOn w:val="HCh"/>
    <w:rsid w:val="00355775"/>
    <w:pPr>
      <w:spacing w:after="120"/>
      <w:jc w:val="left"/>
    </w:pPr>
    <w:rPr>
      <w:rFonts w:eastAsia="宋体" w:cs="宋体"/>
    </w:rPr>
  </w:style>
  <w:style w:type="paragraph" w:customStyle="1" w:styleId="H1G">
    <w:name w:val="_ H_1_G"/>
    <w:basedOn w:val="a"/>
    <w:next w:val="a"/>
    <w:link w:val="H1GChar"/>
    <w:qFormat/>
    <w:rsid w:val="009F1D3E"/>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jc w:val="left"/>
    </w:pPr>
    <w:rPr>
      <w:rFonts w:eastAsia="Times New Roman"/>
      <w:b/>
      <w:kern w:val="0"/>
      <w:sz w:val="24"/>
      <w:lang w:val="en-GB" w:eastAsia="en-US"/>
    </w:rPr>
  </w:style>
  <w:style w:type="character" w:customStyle="1" w:styleId="H1GChar">
    <w:name w:val="_ H_1_G Char"/>
    <w:link w:val="H1G"/>
    <w:locked/>
    <w:rsid w:val="009F1D3E"/>
    <w:rPr>
      <w:rFonts w:eastAsia="Times New Roman"/>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FBD3D-7989-4CF2-9DE1-27D8F345E9F6}"/>
</file>

<file path=customXml/itemProps2.xml><?xml version="1.0" encoding="utf-8"?>
<ds:datastoreItem xmlns:ds="http://schemas.openxmlformats.org/officeDocument/2006/customXml" ds:itemID="{D8800334-070B-4093-82B2-6A7B018CB979}"/>
</file>

<file path=customXml/itemProps3.xml><?xml version="1.0" encoding="utf-8"?>
<ds:datastoreItem xmlns:ds="http://schemas.openxmlformats.org/officeDocument/2006/customXml" ds:itemID="{B44828D7-5D70-4912-9B08-2EA4719917E1}"/>
</file>

<file path=customXml/itemProps4.xml><?xml version="1.0" encoding="utf-8"?>
<ds:datastoreItem xmlns:ds="http://schemas.openxmlformats.org/officeDocument/2006/customXml" ds:itemID="{3D36CFEE-36D5-4624-AD42-E4634D772A30}"/>
</file>

<file path=docProps/app.xml><?xml version="1.0" encoding="utf-8"?>
<Properties xmlns="http://schemas.openxmlformats.org/officeDocument/2006/extended-properties" xmlns:vt="http://schemas.openxmlformats.org/officeDocument/2006/docPropsVTypes">
  <Template>Normal.dotm</Template>
  <TotalTime>0</TotalTime>
  <Pages>1</Pages>
  <Words>3949</Words>
  <Characters>22514</Characters>
  <Application>Microsoft Office Word</Application>
  <DocSecurity>0</DocSecurity>
  <Lines>187</Lines>
  <Paragraphs>52</Paragraphs>
  <ScaleCrop>false</ScaleCrop>
  <Company>DCM</Company>
  <LinksUpToDate>false</LinksUpToDate>
  <CharactersWithSpaces>26411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open-ended intergovernmental working group on private military and security companies on its fourth session in Chinese</dc:title>
  <dc:subject/>
  <dc:creator>yangx</dc:creator>
  <cp:keywords/>
  <dc:description/>
  <cp:lastModifiedBy>Kong L.</cp:lastModifiedBy>
  <cp:revision>3</cp:revision>
  <cp:lastPrinted>2015-09-09T14:40:00Z</cp:lastPrinted>
  <dcterms:created xsi:type="dcterms:W3CDTF">2015-09-09T14:40:00Z</dcterms:created>
  <dcterms:modified xsi:type="dcterms:W3CDTF">2015-09-09T14:40:00Z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1511613</vt:lpwstr>
  </property>
  <property fmtid="{D5CDD505-2E9C-101B-9397-08002B2CF9AE}" pid="3" name="ODSRefJobNo">
    <vt:lpwstr>1515259C</vt:lpwstr>
  </property>
  <property fmtid="{D5CDD505-2E9C-101B-9397-08002B2CF9AE}" pid="4" name="Symbol1">
    <vt:lpwstr>A/HRC/30/47</vt:lpwstr>
  </property>
  <property fmtid="{D5CDD505-2E9C-101B-9397-08002B2CF9AE}" pid="5" name="Symbol2">
    <vt:lpwstr/>
  </property>
  <property fmtid="{D5CDD505-2E9C-101B-9397-08002B2CF9AE}" pid="6" name="Translator">
    <vt:lpwstr/>
  </property>
  <property fmtid="{D5CDD505-2E9C-101B-9397-08002B2CF9AE}" pid="7" name="Operator">
    <vt:lpwstr>yang</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9 July 2015</vt:lpwstr>
  </property>
  <property fmtid="{D5CDD505-2E9C-101B-9397-08002B2CF9AE}" pid="12" name="Original">
    <vt:lpwstr>English</vt:lpwstr>
  </property>
  <property fmtid="{D5CDD505-2E9C-101B-9397-08002B2CF9AE}" pid="13" name="Release Date">
    <vt:lpwstr>030815</vt:lpwstr>
  </property>
  <property fmtid="{D5CDD505-2E9C-101B-9397-08002B2CF9AE}" pid="14" name="ContentTypeId">
    <vt:lpwstr>0x010100EF670F518423CB4F888C4265EEC2C475</vt:lpwstr>
  </property>
  <property fmtid="{D5CDD505-2E9C-101B-9397-08002B2CF9AE}" pid="15" name="Order">
    <vt:r8>35300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