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6B" w:rsidRPr="00746E43" w:rsidRDefault="008D186B" w:rsidP="008D186B">
      <w:pPr>
        <w:spacing w:line="60" w:lineRule="exact"/>
        <w:rPr>
          <w:color w:val="010000"/>
          <w:sz w:val="6"/>
        </w:rPr>
        <w:sectPr w:rsidR="008D186B" w:rsidRPr="00746E43" w:rsidSect="008D18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746E43">
        <w:rPr>
          <w:rStyle w:val="CommentReference"/>
        </w:rPr>
        <w:commentReference w:id="0"/>
      </w:r>
    </w:p>
    <w:p w:rsidR="00746E43" w:rsidRPr="00746E43" w:rsidRDefault="00746E43" w:rsidP="00746E4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46E43">
        <w:lastRenderedPageBreak/>
        <w:t>Совет по правам человека</w:t>
      </w:r>
    </w:p>
    <w:p w:rsidR="00746E43" w:rsidRPr="00746E43" w:rsidRDefault="00746E43" w:rsidP="00746E43">
      <w:pPr>
        <w:rPr>
          <w:b/>
        </w:rPr>
      </w:pPr>
      <w:r w:rsidRPr="00746E43">
        <w:rPr>
          <w:b/>
        </w:rPr>
        <w:t>Тридцатая сессия</w:t>
      </w:r>
      <w:bookmarkStart w:id="1" w:name="_GoBack"/>
      <w:bookmarkEnd w:id="1"/>
    </w:p>
    <w:p w:rsidR="00746E43" w:rsidRPr="00F93E6A" w:rsidRDefault="00746E43" w:rsidP="00746E43">
      <w:pPr>
        <w:rPr>
          <w:bCs/>
        </w:rPr>
      </w:pPr>
      <w:r w:rsidRPr="00F93E6A">
        <w:rPr>
          <w:bCs/>
        </w:rPr>
        <w:t>Пункты 3 и 5 повестки дня</w:t>
      </w:r>
      <w:r w:rsidR="00F93E6A">
        <w:rPr>
          <w:bCs/>
          <w:lang w:val="en-US"/>
        </w:rPr>
        <w:t xml:space="preserve"> </w:t>
      </w:r>
    </w:p>
    <w:p w:rsidR="00746E43" w:rsidRPr="00746E43" w:rsidRDefault="00746E43" w:rsidP="00746E43">
      <w:pPr>
        <w:rPr>
          <w:b/>
          <w:bCs/>
        </w:rPr>
      </w:pPr>
      <w:r w:rsidRPr="00746E43">
        <w:rPr>
          <w:b/>
          <w:bCs/>
        </w:rPr>
        <w:t xml:space="preserve">Поощрение и защита всех прав человека, </w:t>
      </w:r>
      <w:r w:rsidRPr="00746E43">
        <w:rPr>
          <w:b/>
          <w:bCs/>
        </w:rPr>
        <w:br/>
        <w:t xml:space="preserve">гражданских, политических, экономических, </w:t>
      </w:r>
      <w:r w:rsidRPr="00746E43">
        <w:rPr>
          <w:b/>
          <w:bCs/>
        </w:rPr>
        <w:br/>
        <w:t xml:space="preserve">социальных и культурных прав, </w:t>
      </w:r>
      <w:r w:rsidRPr="00746E43">
        <w:rPr>
          <w:b/>
          <w:bCs/>
        </w:rPr>
        <w:br/>
        <w:t>включая право на ра</w:t>
      </w:r>
      <w:r w:rsidRPr="00746E43">
        <w:rPr>
          <w:b/>
          <w:bCs/>
        </w:rPr>
        <w:t>з</w:t>
      </w:r>
      <w:r w:rsidRPr="00746E43">
        <w:rPr>
          <w:b/>
          <w:bCs/>
        </w:rPr>
        <w:t>витие</w:t>
      </w:r>
    </w:p>
    <w:p w:rsidR="00746E43" w:rsidRPr="00746E43" w:rsidRDefault="00746E43" w:rsidP="00746E43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</w:tabs>
        <w:spacing w:line="120" w:lineRule="exact"/>
        <w:rPr>
          <w:sz w:val="10"/>
        </w:rPr>
      </w:pPr>
    </w:p>
    <w:p w:rsidR="00746E43" w:rsidRPr="00746E43" w:rsidRDefault="00746E43" w:rsidP="00746E43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</w:tabs>
      </w:pPr>
      <w:r w:rsidRPr="00746E43">
        <w:t>Правозащитные органы и механизмы</w:t>
      </w:r>
    </w:p>
    <w:p w:rsidR="00746E43" w:rsidRPr="00746E43" w:rsidRDefault="00746E43" w:rsidP="00746E43">
      <w:pPr>
        <w:spacing w:line="120" w:lineRule="exact"/>
        <w:rPr>
          <w:sz w:val="10"/>
        </w:rPr>
      </w:pPr>
    </w:p>
    <w:p w:rsidR="00746E43" w:rsidRPr="00746E43" w:rsidRDefault="00746E43" w:rsidP="00746E43">
      <w:pPr>
        <w:spacing w:line="120" w:lineRule="exact"/>
        <w:rPr>
          <w:sz w:val="10"/>
        </w:rPr>
      </w:pPr>
    </w:p>
    <w:p w:rsidR="00746E43" w:rsidRPr="00746E43" w:rsidRDefault="00746E43" w:rsidP="00746E43">
      <w:pPr>
        <w:spacing w:line="120" w:lineRule="exact"/>
        <w:rPr>
          <w:sz w:val="10"/>
        </w:rPr>
      </w:pPr>
    </w:p>
    <w:p w:rsidR="008D186B" w:rsidRDefault="00746E43" w:rsidP="00746E4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746E43">
        <w:tab/>
      </w:r>
      <w:r w:rsidRPr="00746E43">
        <w:tab/>
        <w:t>Роль местных органов власти в поощрении и защите прав человека – итоговый доклад Консультативного комитета Совета по правам человека</w:t>
      </w:r>
    </w:p>
    <w:p w:rsidR="00746E43" w:rsidRPr="00746E43" w:rsidRDefault="00746E43" w:rsidP="00746E43">
      <w:pPr>
        <w:pStyle w:val="HCh"/>
        <w:spacing w:after="120"/>
        <w:rPr>
          <w:b w:val="0"/>
          <w:lang w:val="en-US"/>
        </w:rPr>
      </w:pPr>
      <w:r>
        <w:rPr>
          <w:lang w:val="en-US"/>
        </w:rPr>
        <w:br w:type="page"/>
      </w:r>
      <w:r>
        <w:rPr>
          <w:b w:val="0"/>
          <w:lang w:val="en-US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1060" w:type="dxa"/>
            <w:shd w:val="clear" w:color="auto" w:fill="auto"/>
          </w:tcPr>
          <w:p w:rsidR="00746E43" w:rsidRPr="00746E43" w:rsidRDefault="00746E43" w:rsidP="00746E43">
            <w:pPr>
              <w:spacing w:after="120" w:line="240" w:lineRule="auto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056" w:type="dxa"/>
            <w:shd w:val="clear" w:color="auto" w:fill="auto"/>
          </w:tcPr>
          <w:p w:rsidR="00746E43" w:rsidRPr="00746E43" w:rsidRDefault="00746E43" w:rsidP="00746E43">
            <w:pPr>
              <w:spacing w:after="120" w:line="240" w:lineRule="auto"/>
              <w:rPr>
                <w:i/>
                <w:sz w:val="1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746E43" w:rsidRPr="00746E43" w:rsidRDefault="00746E43" w:rsidP="00746E43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746E43" w:rsidRPr="00746E43" w:rsidRDefault="00746E43" w:rsidP="00746E43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>Стр.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746E4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rFonts w:eastAsia="MS Mincho"/>
              </w:rPr>
              <w:t>Введение</w:t>
            </w:r>
            <w:r>
              <w:rPr>
                <w:rFonts w:eastAsia="MS Mincho"/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3546CE" w:rsidRDefault="003546CE" w:rsidP="00746E43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746E4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8A7287">
              <w:rPr>
                <w:lang w:eastAsia="en-GB"/>
              </w:rPr>
              <w:t>Определение местных органов власти</w:t>
            </w:r>
            <w:r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3546CE" w:rsidRDefault="003546CE" w:rsidP="00746E43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rPr>
                <w:lang w:val="en-US"/>
              </w:rPr>
              <w:tab/>
            </w:r>
            <w:r>
              <w:rPr>
                <w:lang w:eastAsia="en-GB"/>
              </w:rPr>
              <w:t>Г</w:t>
            </w:r>
            <w:r w:rsidRPr="007135DA">
              <w:rPr>
                <w:lang w:eastAsia="en-GB"/>
              </w:rPr>
              <w:t>осударства и местные органы власти</w:t>
            </w:r>
            <w:r>
              <w:rPr>
                <w:lang w:eastAsia="en-GB"/>
              </w:rPr>
              <w:t>:</w:t>
            </w:r>
            <w:r w:rsidRPr="007135DA">
              <w:rPr>
                <w:lang w:eastAsia="en-GB"/>
              </w:rPr>
              <w:t xml:space="preserve"> общие и взаимодополняющие </w:t>
            </w:r>
            <w:r w:rsidR="006F0C93" w:rsidRPr="006F0C93">
              <w:rPr>
                <w:lang w:eastAsia="en-GB"/>
              </w:rPr>
              <w:br/>
            </w:r>
            <w:r w:rsidRPr="007135DA">
              <w:rPr>
                <w:lang w:eastAsia="en-GB"/>
              </w:rPr>
              <w:t xml:space="preserve">обязанности в отношении уважения, защиты и осуществления </w:t>
            </w:r>
            <w:r w:rsidR="006F0C93" w:rsidRPr="006F0C93">
              <w:rPr>
                <w:lang w:eastAsia="en-GB"/>
              </w:rPr>
              <w:br/>
            </w:r>
            <w:r w:rsidRPr="007135DA">
              <w:rPr>
                <w:lang w:eastAsia="en-GB"/>
              </w:rPr>
              <w:t>прав человека</w:t>
            </w:r>
            <w:r w:rsidR="006F0C93"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6F0C93">
              <w:tab/>
            </w:r>
            <w:r w:rsidRPr="00C81B0E">
              <w:rPr>
                <w:lang w:eastAsia="en-GB"/>
              </w:rPr>
              <w:t>Роль местных органов власти в деле защиты и поощрения прав человека</w:t>
            </w:r>
            <w:r w:rsidR="006F0C93"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FA2D71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FA2D71">
              <w:tab/>
            </w:r>
            <w:r w:rsidR="00FA2D71" w:rsidRPr="006F0C93">
              <w:t xml:space="preserve">Основные вызовы, с которыми сталкиваются местные органы власти </w:t>
            </w:r>
            <w:r w:rsidR="00FA2D71">
              <w:br/>
            </w:r>
            <w:r w:rsidR="00FA2D71" w:rsidRPr="006F0C93">
              <w:t>в деятельности по защите и поощрению прав человека</w:t>
            </w:r>
            <w:r w:rsidR="00FA2D71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FA2D71">
              <w:tab/>
            </w:r>
            <w:r w:rsidRPr="004B5BC9">
              <w:rPr>
                <w:lang w:eastAsia="en-GB"/>
              </w:rPr>
              <w:t>Правозащитные механизмы на местном уровне</w:t>
            </w:r>
            <w:r w:rsidR="006F0C93"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FA2D71">
              <w:tab/>
            </w:r>
            <w:r w:rsidR="00F93E6A">
              <w:rPr>
                <w:bCs/>
                <w:lang w:eastAsia="en-GB"/>
              </w:rPr>
              <w:t>«</w:t>
            </w:r>
            <w:r w:rsidRPr="000F7E73">
              <w:rPr>
                <w:bCs/>
                <w:lang w:eastAsia="en-GB"/>
              </w:rPr>
              <w:t>Город прав человека</w:t>
            </w:r>
            <w:r w:rsidR="00F93E6A">
              <w:rPr>
                <w:bCs/>
                <w:lang w:eastAsia="en-GB"/>
              </w:rPr>
              <w:t>»</w:t>
            </w:r>
            <w:r w:rsidRPr="000F7E73">
              <w:rPr>
                <w:bCs/>
                <w:lang w:eastAsia="en-GB"/>
              </w:rPr>
              <w:t>: концептуальная основа и руководящие принципы</w:t>
            </w:r>
            <w:r w:rsidR="006F0C93">
              <w:rPr>
                <w:bCs/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 w:rsidRPr="00F93E6A">
              <w:tab/>
            </w:r>
            <w:r w:rsidRPr="0067402B">
              <w:rPr>
                <w:lang w:eastAsia="en-GB"/>
              </w:rPr>
              <w:t xml:space="preserve">Роль гражданского общества в планировании и осуществлении мероприятий </w:t>
            </w:r>
            <w:r w:rsidR="006F0C93" w:rsidRPr="006F0C93">
              <w:rPr>
                <w:lang w:eastAsia="en-GB"/>
              </w:rPr>
              <w:br/>
            </w:r>
            <w:r w:rsidRPr="0067402B">
              <w:rPr>
                <w:lang w:eastAsia="en-GB"/>
              </w:rPr>
              <w:t>в области поощрения</w:t>
            </w:r>
            <w:r>
              <w:rPr>
                <w:lang w:eastAsia="en-GB"/>
              </w:rPr>
              <w:t xml:space="preserve"> и защиты</w:t>
            </w:r>
            <w:r w:rsidRPr="0067402B">
              <w:rPr>
                <w:lang w:eastAsia="en-GB"/>
              </w:rPr>
              <w:t xml:space="preserve"> прав человека на местном уровне</w:t>
            </w:r>
            <w:r w:rsidR="006F0C93"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 w:rsidRPr="006F0C93">
              <w:tab/>
            </w:r>
            <w:r>
              <w:rPr>
                <w:lang w:eastAsia="en-GB"/>
              </w:rPr>
              <w:t>Передовой опыт</w:t>
            </w:r>
            <w:r w:rsidR="006F0C93">
              <w:rPr>
                <w:spacing w:val="60"/>
                <w:sz w:val="17"/>
                <w:lang w:eastAsia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746E43" w:rsidRPr="00746E43" w:rsidTr="00746E43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3"/>
            <w:shd w:val="clear" w:color="auto" w:fill="auto"/>
          </w:tcPr>
          <w:p w:rsidR="00746E43" w:rsidRPr="00746E43" w:rsidRDefault="00746E43" w:rsidP="006F0C93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rPr>
                <w:lang w:val="en-US"/>
              </w:rPr>
              <w:tab/>
            </w:r>
            <w:r w:rsidRPr="00A31AEA">
              <w:rPr>
                <w:bCs/>
              </w:rPr>
              <w:t>Выводы и рекомендации</w:t>
            </w:r>
            <w:r w:rsidR="006F0C93">
              <w:rPr>
                <w:bCs/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6E43" w:rsidRPr="00746E43" w:rsidRDefault="003546CE" w:rsidP="00746E43">
            <w:pPr>
              <w:spacing w:after="120"/>
              <w:ind w:right="40"/>
              <w:jc w:val="right"/>
            </w:pPr>
            <w:r>
              <w:t>21</w:t>
            </w:r>
          </w:p>
        </w:tc>
      </w:tr>
    </w:tbl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3E719E">
        <w:rPr>
          <w:lang w:val="en-US"/>
        </w:rPr>
        <w:lastRenderedPageBreak/>
        <w:tab/>
      </w:r>
      <w:r w:rsidRPr="006F0C93">
        <w:rPr>
          <w:lang w:val="en-GB"/>
        </w:rPr>
        <w:t>I</w:t>
      </w:r>
      <w:r w:rsidRPr="006F0C93">
        <w:t>.</w:t>
      </w:r>
      <w:r w:rsidRPr="006F0C93">
        <w:tab/>
        <w:t>Введение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1.</w:t>
      </w:r>
      <w:r w:rsidRPr="006F0C93">
        <w:tab/>
        <w:t>В августе 2012 года Консультативный комитет Совета по правам человека представил Совету для рассмотрения и утверждения предложение о проведении исследования по вопросу о местных органах власти и правах человека (</w:t>
      </w:r>
      <w:r w:rsidRPr="006F0C93">
        <w:rPr>
          <w:lang w:val="en-GB"/>
        </w:rPr>
        <w:t>A</w:t>
      </w:r>
      <w:r w:rsidRPr="006F0C93">
        <w:t>/</w:t>
      </w:r>
      <w:r w:rsidRPr="006F0C93">
        <w:rPr>
          <w:lang w:val="en-GB"/>
        </w:rPr>
        <w:t>HRC</w:t>
      </w:r>
      <w:r w:rsidRPr="006F0C93">
        <w:t>/</w:t>
      </w:r>
      <w:r w:rsidRPr="006F0C93">
        <w:rPr>
          <w:lang w:val="en-GB"/>
        </w:rPr>
        <w:t>AC</w:t>
      </w:r>
      <w:r w:rsidRPr="006F0C93">
        <w:t>/9/6).</w:t>
      </w:r>
    </w:p>
    <w:p w:rsidR="006F0C93" w:rsidRPr="006F0C93" w:rsidRDefault="006F0C93" w:rsidP="006F0C93">
      <w:pPr>
        <w:pStyle w:val="SingleTxt"/>
      </w:pPr>
      <w:r w:rsidRPr="006F0C93">
        <w:t>2.</w:t>
      </w:r>
      <w:r w:rsidRPr="006F0C93">
        <w:tab/>
      </w:r>
      <w:r w:rsidR="004F1FED">
        <w:t>26</w:t>
      </w:r>
      <w:r w:rsidRPr="006F0C93">
        <w:t xml:space="preserve"> сентября 2013 года Совет утвердил резолюцию 24/2, в к</w:t>
      </w:r>
      <w:r w:rsidRPr="006F0C93">
        <w:t>о</w:t>
      </w:r>
      <w:r w:rsidRPr="006F0C93">
        <w:t>торой он принял к сведению вышеупомянутое предложение о проведении иссл</w:t>
      </w:r>
      <w:r w:rsidRPr="006F0C93">
        <w:t>е</w:t>
      </w:r>
      <w:r w:rsidRPr="006F0C93">
        <w:t>дования, и просил Консультативный комитет подготовить на основе результатов этого исследования доклад о роли местных органов власти в деле поощрения и защиты прав челов</w:t>
      </w:r>
      <w:r w:rsidRPr="006F0C93">
        <w:t>е</w:t>
      </w:r>
      <w:r w:rsidRPr="006F0C93">
        <w:t>ка, включая всесторонний учет прав человека в деятельности местной админ</w:t>
      </w:r>
      <w:r w:rsidRPr="006F0C93">
        <w:t>и</w:t>
      </w:r>
      <w:r w:rsidRPr="006F0C93">
        <w:t>страции и государственных служб с целью обобщения инфо</w:t>
      </w:r>
      <w:r w:rsidRPr="006F0C93">
        <w:t>р</w:t>
      </w:r>
      <w:r w:rsidRPr="006F0C93">
        <w:t>мации о передовых методах и основных проблемах и представить Совету на его двадцать седьмой сессии промежуточный доклад по этой теме.</w:t>
      </w:r>
    </w:p>
    <w:p w:rsidR="006F0C93" w:rsidRPr="006F0C93" w:rsidRDefault="006F0C93" w:rsidP="006F0C93">
      <w:pPr>
        <w:pStyle w:val="SingleTxt"/>
      </w:pPr>
      <w:r w:rsidRPr="006F0C93">
        <w:t>3.</w:t>
      </w:r>
      <w:r w:rsidRPr="006F0C93">
        <w:tab/>
        <w:t>Консультативному комитету было также предложено запросить мнения го</w:t>
      </w:r>
      <w:r w:rsidRPr="006F0C93">
        <w:t>с</w:t>
      </w:r>
      <w:r w:rsidRPr="006F0C93">
        <w:t>ударств-членов, соответствующих международных и региональных организаций, Управления Верховного комиссара Организации Объединенных Наций по правам человека (УВКПЧ) и соответствующих специальных процедур, а также наци</w:t>
      </w:r>
      <w:r w:rsidRPr="006F0C93">
        <w:t>о</w:t>
      </w:r>
      <w:r w:rsidRPr="006F0C93">
        <w:t>нальных правозащитных учреждений и неправительственных организаций (НПО) с целью подготовки вышеупомянутого доклада.</w:t>
      </w:r>
    </w:p>
    <w:p w:rsidR="006F0C93" w:rsidRPr="006F0C93" w:rsidRDefault="006F0C93" w:rsidP="006F0C93">
      <w:pPr>
        <w:pStyle w:val="SingleTxt"/>
      </w:pPr>
      <w:r w:rsidRPr="006F0C93">
        <w:t>4.</w:t>
      </w:r>
      <w:r w:rsidRPr="006F0C93">
        <w:tab/>
        <w:t>В ходе своей двенадцатой сессии, состоявшейся в феврале 2014 года, Ко</w:t>
      </w:r>
      <w:r w:rsidRPr="006F0C93">
        <w:t>н</w:t>
      </w:r>
      <w:r w:rsidRPr="006F0C93">
        <w:t>сультативный комитет создал редакционную группу по подготовке указанного доклада и в качестве членов редакционной группы назначил следующих членов Комитета: Марио Луиса Кориолано, Ходу Эльсадду, Латифа Гусейнова (Докла</w:t>
      </w:r>
      <w:r w:rsidRPr="006F0C93">
        <w:t>д</w:t>
      </w:r>
      <w:r w:rsidRPr="006F0C93">
        <w:t>чик), Анантониу Рейеса Прадо, Дируджлалла Ситулсингха (Председатель) и Имеру Тамрата Йигезу. Затем в состав редакционной группы вошла Катарина Пабель, которая заменила г-на Ситулсингх на посту Председателя, а г-жа Эл</w:t>
      </w:r>
      <w:r w:rsidRPr="006F0C93">
        <w:t>ь</w:t>
      </w:r>
      <w:r w:rsidRPr="006F0C93">
        <w:t>садда заменила г-на Гусейнова на посту Докладчика. В состав редакционной группы впоследствии вошли также Чханрок Со и Лаура-Мария Крэчунян.</w:t>
      </w:r>
    </w:p>
    <w:p w:rsidR="006F0C93" w:rsidRPr="006F0C93" w:rsidRDefault="006F0C93" w:rsidP="006F0C93">
      <w:pPr>
        <w:pStyle w:val="SingleTxt"/>
      </w:pPr>
      <w:r w:rsidRPr="006F0C93">
        <w:t>5.</w:t>
      </w:r>
      <w:r w:rsidRPr="006F0C93">
        <w:tab/>
        <w:t>Редакционная группа в соответствии с резолюцией 24/2 Совета подготовила вопросник, который был направлен различным заинтересованным сторонам. К</w:t>
      </w:r>
      <w:r w:rsidR="00875FDC">
        <w:t> </w:t>
      </w:r>
      <w:r w:rsidRPr="006F0C93">
        <w:t>настоящему моменту было получено в общей сложности 67 ответов: 22 от го</w:t>
      </w:r>
      <w:r w:rsidRPr="006F0C93">
        <w:t>с</w:t>
      </w:r>
      <w:r w:rsidRPr="006F0C93">
        <w:t>ударств, 20 от национальных учреждений по правам человека, 10 от НПО, 12 от местных органов управления и 3 от международных и региональных организ</w:t>
      </w:r>
      <w:r w:rsidRPr="006F0C93">
        <w:t>а</w:t>
      </w:r>
      <w:r w:rsidRPr="006F0C93">
        <w:t>ций.</w:t>
      </w:r>
    </w:p>
    <w:p w:rsidR="006F0C93" w:rsidRPr="006F0C93" w:rsidRDefault="006F0C93" w:rsidP="006F0C93">
      <w:pPr>
        <w:pStyle w:val="SingleTxt"/>
      </w:pPr>
      <w:r w:rsidRPr="006F0C93">
        <w:t>6.</w:t>
      </w:r>
      <w:r w:rsidRPr="006F0C93">
        <w:tab/>
        <w:t>В соответствии с резолюцией Совета по правам человека 24/2 Совету на его двадцать седьмой сессии был представлен доклад о ходе работы с рекомендацией о том, чтобы Совет по правам человека просил Консультативный комитет пре</w:t>
      </w:r>
      <w:r w:rsidRPr="006F0C93">
        <w:t>д</w:t>
      </w:r>
      <w:r w:rsidRPr="006F0C93">
        <w:t>ставить итоговый доклад Совету на его тридцатой сессии. В ходе своей двадцать седьмой сессии Совет принял резолюцию 27/4, в которой с удовлетворением принимается к сведению доклад Консультативного комитета о ходе работы и с</w:t>
      </w:r>
      <w:r w:rsidRPr="006F0C93">
        <w:t>о</w:t>
      </w:r>
      <w:r w:rsidRPr="006F0C93">
        <w:t>держится рекомендация о представлении итогового доклада о роли местных о</w:t>
      </w:r>
      <w:r w:rsidRPr="006F0C93">
        <w:t>р</w:t>
      </w:r>
      <w:r w:rsidRPr="006F0C93">
        <w:t>ганов власти в поощрении и защите прав человека Совету по правам человека на его тридцатой сессии</w:t>
      </w:r>
    </w:p>
    <w:p w:rsidR="006F0C93" w:rsidRPr="006F0C93" w:rsidRDefault="006F0C93" w:rsidP="006F0C93">
      <w:pPr>
        <w:pStyle w:val="SingleTxt"/>
      </w:pPr>
      <w:r w:rsidRPr="006F0C93">
        <w:t>7.</w:t>
      </w:r>
      <w:r w:rsidRPr="006F0C93">
        <w:tab/>
        <w:t>Совет просил также Консультативный комитет при подготовке итогового доклада включить в него описание основных проблем, с которыми сталкиваются местные органы власти в деятельности по поощрению и защите прав человека, а также вынести рекомендации в отношении путей решения этих проблем на осн</w:t>
      </w:r>
      <w:r w:rsidRPr="006F0C93">
        <w:t>о</w:t>
      </w:r>
      <w:r w:rsidRPr="006F0C93">
        <w:t>ве передового опыта в области интеграции аспектов прав человека в деятел</w:t>
      </w:r>
      <w:r w:rsidRPr="006F0C93">
        <w:t>ь</w:t>
      </w:r>
      <w:r w:rsidRPr="006F0C93">
        <w:t>ность местной администрации и государственных служб.</w:t>
      </w: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II</w:t>
      </w:r>
      <w:r w:rsidRPr="006F0C93">
        <w:t>.</w:t>
      </w:r>
      <w:r w:rsidRPr="006F0C93">
        <w:tab/>
        <w:t>Определение местных органов власти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8.</w:t>
      </w:r>
      <w:r w:rsidRPr="006F0C93">
        <w:tab/>
        <w:t>Местные органы власти обычно определяются как учреждения самого ни</w:t>
      </w:r>
      <w:r w:rsidRPr="006F0C93">
        <w:t>з</w:t>
      </w:r>
      <w:r w:rsidRPr="006F0C93">
        <w:t>кого уровня государственного управления в рамках того или иного государства. В</w:t>
      </w:r>
      <w:r w:rsidR="00875FDC">
        <w:t> </w:t>
      </w:r>
      <w:r w:rsidRPr="006F0C93">
        <w:t>унитарных государствах местные органы власти, как правило, соответствуют второму или третьему уровням управления, в то время как в федеративных гос</w:t>
      </w:r>
      <w:r w:rsidRPr="006F0C93">
        <w:t>у</w:t>
      </w:r>
      <w:r w:rsidRPr="006F0C93">
        <w:t>дарствах они относятся к третьему, а иногда и четвертому уровням управления. Цель местных органов власти состоит в приближении органов управления к р</w:t>
      </w:r>
      <w:r w:rsidRPr="006F0C93">
        <w:t>я</w:t>
      </w:r>
      <w:r w:rsidRPr="006F0C93">
        <w:t>довым гражданам и создании благоприятных условий для эффективного участия граждан в принятии решений, затрагивающих их повседневную жизнь. Поскол</w:t>
      </w:r>
      <w:r w:rsidRPr="006F0C93">
        <w:t>ь</w:t>
      </w:r>
      <w:r w:rsidRPr="006F0C93">
        <w:t>ку местные органы власти максимально приближены к населению, они, в при</w:t>
      </w:r>
      <w:r w:rsidRPr="006F0C93">
        <w:t>н</w:t>
      </w:r>
      <w:r w:rsidRPr="006F0C93">
        <w:t>ципе, могут лучше</w:t>
      </w:r>
      <w:r w:rsidR="004F1FED">
        <w:t>,</w:t>
      </w:r>
      <w:r w:rsidRPr="006F0C93">
        <w:t xml:space="preserve"> чем центральное правительство</w:t>
      </w:r>
      <w:r w:rsidR="004F1FED">
        <w:t>,</w:t>
      </w:r>
      <w:r w:rsidRPr="006F0C93">
        <w:t xml:space="preserve"> решать вопросы, требующие знания местных реалий и регулирования, учитывающего местные потребности и приоритеты.</w:t>
      </w:r>
    </w:p>
    <w:p w:rsidR="006F0C93" w:rsidRPr="006F0C93" w:rsidRDefault="006F0C93" w:rsidP="006F0C93">
      <w:pPr>
        <w:pStyle w:val="SingleTxt"/>
      </w:pPr>
      <w:r w:rsidRPr="006F0C93">
        <w:t>9.</w:t>
      </w:r>
      <w:r w:rsidRPr="006F0C93">
        <w:tab/>
        <w:t>Организация и функционирование местных органов власти характеризую</w:t>
      </w:r>
      <w:r w:rsidRPr="006F0C93">
        <w:t>т</w:t>
      </w:r>
      <w:r w:rsidRPr="006F0C93">
        <w:t>ся значительными различиями в зависимости от страны. Для обозначения мес</w:t>
      </w:r>
      <w:r w:rsidRPr="006F0C93">
        <w:t>т</w:t>
      </w:r>
      <w:r w:rsidRPr="006F0C93">
        <w:t>ных органов государственного управления в разных странах используются ра</w:t>
      </w:r>
      <w:r w:rsidRPr="006F0C93">
        <w:t>з</w:t>
      </w:r>
      <w:r w:rsidRPr="006F0C93">
        <w:t>личные названия (графство, префектура, район, город, населенный пункт, округ, уезд, муниципалитет, деревня и т.д.). Местные органы власти существуют как в городских, так и в сельских районах.</w:t>
      </w:r>
    </w:p>
    <w:p w:rsidR="006F0C93" w:rsidRPr="006F0C93" w:rsidRDefault="006F0C93" w:rsidP="006F0C93">
      <w:pPr>
        <w:pStyle w:val="SingleTxt"/>
      </w:pPr>
      <w:r w:rsidRPr="006F0C93">
        <w:t>10.</w:t>
      </w:r>
      <w:r w:rsidRPr="006F0C93">
        <w:tab/>
        <w:t>Местные органы власти обладают определенными полномочиями, возл</w:t>
      </w:r>
      <w:r w:rsidRPr="006F0C93">
        <w:t>о</w:t>
      </w:r>
      <w:r w:rsidRPr="006F0C93">
        <w:t>женными на них в соответствии с законом или распоряжениями государственных органов более высокого уровня</w:t>
      </w:r>
      <w:r w:rsidRPr="00DC687A">
        <w:rPr>
          <w:color w:val="943634" w:themeColor="accent2" w:themeShade="BF"/>
          <w:vertAlign w:val="superscript"/>
          <w:lang w:val="en-GB"/>
        </w:rPr>
        <w:footnoteReference w:id="1"/>
      </w:r>
      <w:r w:rsidRPr="006F0C93">
        <w:t>. По существу эти полномочия состоят в упра</w:t>
      </w:r>
      <w:r w:rsidRPr="006F0C93">
        <w:t>в</w:t>
      </w:r>
      <w:r w:rsidRPr="006F0C93">
        <w:t>лении определенными государственными делами, связанными с местными усл</w:t>
      </w:r>
      <w:r w:rsidRPr="006F0C93">
        <w:t>о</w:t>
      </w:r>
      <w:r w:rsidRPr="006F0C93">
        <w:t>виями, и оказании определенных видов государственных услуг. Объем полном</w:t>
      </w:r>
      <w:r w:rsidRPr="006F0C93">
        <w:t>о</w:t>
      </w:r>
      <w:r w:rsidRPr="006F0C93">
        <w:t>чий местных органов управления всегда следует рассматривать в контексте о</w:t>
      </w:r>
      <w:r w:rsidRPr="006F0C93">
        <w:t>т</w:t>
      </w:r>
      <w:r w:rsidRPr="006F0C93">
        <w:t>ношений между местными властями и центральным правительством или реги</w:t>
      </w:r>
      <w:r w:rsidRPr="006F0C93">
        <w:t>о</w:t>
      </w:r>
      <w:r w:rsidRPr="006F0C93">
        <w:t>нальными властями. В целом, в унитарных государствах центральные органы власти, как правило, отвечают за планы, программы, регулирование и финанс</w:t>
      </w:r>
      <w:r w:rsidRPr="006F0C93">
        <w:t>и</w:t>
      </w:r>
      <w:r w:rsidRPr="006F0C93">
        <w:t>рование в области жилья, а местные органы власти отвечают за вопросы практ</w:t>
      </w:r>
      <w:r w:rsidRPr="006F0C93">
        <w:t>и</w:t>
      </w:r>
      <w:r w:rsidRPr="006F0C93">
        <w:t>ческой реализации с различной степенью самостоятельности. С другой стороны, в рамках федеративных систем органы государственной власти на местном уровне, как правило, обладают большей самостоятельностью в отношении пр</w:t>
      </w:r>
      <w:r w:rsidRPr="006F0C93">
        <w:t>о</w:t>
      </w:r>
      <w:r w:rsidRPr="006F0C93">
        <w:t>грамм, директив и мер реализации в области жилья (Доклад Специального д</w:t>
      </w:r>
      <w:r w:rsidRPr="006F0C93">
        <w:t>о</w:t>
      </w:r>
      <w:r w:rsidRPr="006F0C93">
        <w:t>кладчика по вопросу о достаточном жилище как компоненте права на достато</w:t>
      </w:r>
      <w:r w:rsidRPr="006F0C93">
        <w:t>ч</w:t>
      </w:r>
      <w:r w:rsidRPr="006F0C93">
        <w:t>ный жизненный уровень, а также о праве на недискриминацию в этом контексте Лейлани Фархи (</w:t>
      </w:r>
      <w:r w:rsidRPr="006F0C93">
        <w:rPr>
          <w:lang w:val="en-GB"/>
        </w:rPr>
        <w:t>A</w:t>
      </w:r>
      <w:r w:rsidRPr="006F0C93">
        <w:t>/</w:t>
      </w:r>
      <w:r w:rsidRPr="006F0C93">
        <w:rPr>
          <w:lang w:val="en-GB"/>
        </w:rPr>
        <w:t>HRC</w:t>
      </w:r>
      <w:r w:rsidRPr="006F0C93">
        <w:t>/28/62)). Одна из важных особенностей функциониров</w:t>
      </w:r>
      <w:r w:rsidRPr="006F0C93">
        <w:t>а</w:t>
      </w:r>
      <w:r w:rsidRPr="006F0C93">
        <w:t>ния местных органов власти состоит в том, что они обладают особыми вспомог</w:t>
      </w:r>
      <w:r w:rsidRPr="006F0C93">
        <w:t>а</w:t>
      </w:r>
      <w:r w:rsidRPr="006F0C93">
        <w:t xml:space="preserve">тельными регулирующими полномочиями, позволяющими им выполнять свои функции в соответствии с законом. </w:t>
      </w:r>
    </w:p>
    <w:p w:rsidR="006F0C93" w:rsidRPr="006F0C93" w:rsidRDefault="006F0C93" w:rsidP="006F0C93">
      <w:pPr>
        <w:pStyle w:val="SingleTxt"/>
      </w:pPr>
      <w:r w:rsidRPr="006F0C93">
        <w:t>11.</w:t>
      </w:r>
      <w:r w:rsidRPr="006F0C93">
        <w:tab/>
        <w:t xml:space="preserve">Хотя в некоторых странах термины </w:t>
      </w:r>
      <w:r w:rsidR="00F93E6A">
        <w:t>«</w:t>
      </w:r>
      <w:r w:rsidRPr="006F0C93">
        <w:t>местные органы управления</w:t>
      </w:r>
      <w:r w:rsidR="00F93E6A">
        <w:t>»</w:t>
      </w:r>
      <w:r w:rsidRPr="006F0C93">
        <w:t xml:space="preserve"> и </w:t>
      </w:r>
      <w:r w:rsidR="00F93E6A">
        <w:t>«</w:t>
      </w:r>
      <w:r w:rsidRPr="006F0C93">
        <w:t>орг</w:t>
      </w:r>
      <w:r w:rsidRPr="006F0C93">
        <w:t>а</w:t>
      </w:r>
      <w:r w:rsidRPr="006F0C93">
        <w:t>ны местного самоуправления</w:t>
      </w:r>
      <w:r w:rsidR="00F93E6A">
        <w:t>»</w:t>
      </w:r>
      <w:r w:rsidRPr="006F0C93">
        <w:t xml:space="preserve"> используются как синонимы, поскольку местные органы управления имеют в разных странах различные формы, эти два понятия необходимо различать. Государственное управление на местном уровне может осуществляться не только органами местного самоуправления (например, мун</w:t>
      </w:r>
      <w:r w:rsidRPr="006F0C93">
        <w:t>и</w:t>
      </w:r>
      <w:r w:rsidRPr="006F0C93">
        <w:t>ципалитетами), но и местными органами государственного управления; первые избираются непосредственно местным населением и обладают широкой сам</w:t>
      </w:r>
      <w:r w:rsidRPr="006F0C93">
        <w:t>о</w:t>
      </w:r>
      <w:r w:rsidRPr="006F0C93">
        <w:t>стоятельностью, в то время как вторые выступают в качестве агентов более в</w:t>
      </w:r>
      <w:r w:rsidRPr="006F0C93">
        <w:t>ы</w:t>
      </w:r>
      <w:r w:rsidRPr="006F0C93">
        <w:t>соких уровней государственной власти и их должностные лица назначаются эт</w:t>
      </w:r>
      <w:r w:rsidRPr="006F0C93">
        <w:t>и</w:t>
      </w:r>
      <w:r w:rsidRPr="006F0C93">
        <w:t>ми властями и им подотчетны. В основе работы органов местного самоуправл</w:t>
      </w:r>
      <w:r w:rsidRPr="006F0C93">
        <w:t>е</w:t>
      </w:r>
      <w:r w:rsidRPr="006F0C93">
        <w:t>ния, таким образом, лежит принцип децентрализации, а в основе государстве</w:t>
      </w:r>
      <w:r w:rsidRPr="006F0C93">
        <w:t>н</w:t>
      </w:r>
      <w:r w:rsidRPr="006F0C93">
        <w:t xml:space="preserve">ного управления на местном уровне – принцип рассредоточения. </w:t>
      </w:r>
    </w:p>
    <w:p w:rsidR="006F0C93" w:rsidRPr="006F0C93" w:rsidRDefault="006F0C93" w:rsidP="006F0C93">
      <w:pPr>
        <w:pStyle w:val="SingleTxt"/>
      </w:pPr>
      <w:r w:rsidRPr="006F0C93">
        <w:lastRenderedPageBreak/>
        <w:t>12.</w:t>
      </w:r>
      <w:r w:rsidRPr="006F0C93">
        <w:tab/>
        <w:t>Степень самоуправления, которой пользуются местные органы власти, можно рассматривать в качестве ключевого элемента представительной демокр</w:t>
      </w:r>
      <w:r w:rsidRPr="006F0C93">
        <w:t>а</w:t>
      </w:r>
      <w:r w:rsidRPr="006F0C93">
        <w:t>тии. В этой связи политическая, финансовая и административная децентрализ</w:t>
      </w:r>
      <w:r w:rsidRPr="006F0C93">
        <w:t>а</w:t>
      </w:r>
      <w:r w:rsidRPr="006F0C93">
        <w:t>ция имеет важное значение для обеспечения демократии и прав человека на местном уровне. Следует иметь в виду, что демократия невозможна без обесп</w:t>
      </w:r>
      <w:r w:rsidRPr="006F0C93">
        <w:t>е</w:t>
      </w:r>
      <w:r w:rsidRPr="006F0C93">
        <w:t>чения прав человека, а права человека не могут быть обеспечены без демокр</w:t>
      </w:r>
      <w:r w:rsidRPr="006F0C93">
        <w:t>а</w:t>
      </w:r>
      <w:r w:rsidR="00875FDC">
        <w:t>тии. Тем не менее</w:t>
      </w:r>
      <w:r w:rsidRPr="006F0C93">
        <w:t xml:space="preserve"> местное самоуправление не ведет автоматически к представ</w:t>
      </w:r>
      <w:r w:rsidRPr="006F0C93">
        <w:t>и</w:t>
      </w:r>
      <w:r w:rsidRPr="006F0C93">
        <w:t>тельной демократии. Хотя децентрализация в целом направлена на расширение прав и возможностей граждан в области принятия решений и осуществления контроля над политикой, непреложно должны приниматься определенные меры и процедуры с целью создания необходимых условий, позволяющих сделать уч</w:t>
      </w:r>
      <w:r w:rsidRPr="006F0C93">
        <w:t>а</w:t>
      </w:r>
      <w:r w:rsidRPr="006F0C93">
        <w:t>стие в демократическом процессе возможным и эффективным.</w:t>
      </w:r>
    </w:p>
    <w:p w:rsidR="006F0C93" w:rsidRPr="006F0C93" w:rsidRDefault="006F0C93" w:rsidP="006F0C93">
      <w:pPr>
        <w:pStyle w:val="SingleTxt"/>
      </w:pPr>
      <w:r w:rsidRPr="006F0C93">
        <w:t>13.</w:t>
      </w:r>
      <w:r w:rsidRPr="006F0C93">
        <w:tab/>
        <w:t>Роль местных органов власти не должна ограничиваться простым исполн</w:t>
      </w:r>
      <w:r w:rsidRPr="006F0C93">
        <w:t>е</w:t>
      </w:r>
      <w:r w:rsidRPr="006F0C93">
        <w:t>нием решений и осуществлением мер, разработанных без их участия. С другой стороны, независимость местных органов власти должна иметь четко очерче</w:t>
      </w:r>
      <w:r w:rsidRPr="006F0C93">
        <w:t>н</w:t>
      </w:r>
      <w:r w:rsidRPr="006F0C93">
        <w:t>ные законом границы, и должны существовать механизмы для проверки законн</w:t>
      </w:r>
      <w:r w:rsidRPr="006F0C93">
        <w:t>о</w:t>
      </w:r>
      <w:r w:rsidRPr="006F0C93">
        <w:t>сти их действий. Демократические механизмы сдержек и противовесов имеют важное значение для расширения возможностей местных органов власти в обл</w:t>
      </w:r>
      <w:r w:rsidRPr="006F0C93">
        <w:t>а</w:t>
      </w:r>
      <w:r w:rsidRPr="006F0C93">
        <w:t>сти осуществления прав человека. Государственные должностные лица, которые обязаны отчитываться перед избирателями, как правило, более чутко реагируют на запросы населения, чем те, которые не обязаны этого делать</w:t>
      </w:r>
      <w:r w:rsidRPr="00875FDC">
        <w:rPr>
          <w:color w:val="943634" w:themeColor="accent2" w:themeShade="BF"/>
          <w:vertAlign w:val="superscript"/>
          <w:lang w:val="en-GB"/>
        </w:rPr>
        <w:footnoteReference w:id="2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14.</w:t>
      </w:r>
      <w:r w:rsidRPr="006F0C93">
        <w:tab/>
        <w:t>В целях обеспечения эффективного местного управления и надлежащего осуществления прав человека на местном уровне деятельность местных органов власти должна иметь под собой надлежащую правовую основу. Их организац</w:t>
      </w:r>
      <w:r w:rsidRPr="006F0C93">
        <w:t>и</w:t>
      </w:r>
      <w:r w:rsidRPr="006F0C93">
        <w:t>онная структура, полномочия и функции должны быть четко определены зак</w:t>
      </w:r>
      <w:r w:rsidRPr="006F0C93">
        <w:t>о</w:t>
      </w:r>
      <w:r w:rsidRPr="006F0C93">
        <w:t>ном. Кроме того, в национальном законодательстве должны быть четко опред</w:t>
      </w:r>
      <w:r w:rsidRPr="006F0C93">
        <w:t>е</w:t>
      </w:r>
      <w:r w:rsidRPr="006F0C93">
        <w:t>лены обязанности и полномочия центральных и местных органов власти по о</w:t>
      </w:r>
      <w:r w:rsidRPr="006F0C93">
        <w:t>т</w:t>
      </w:r>
      <w:r w:rsidRPr="006F0C93">
        <w:t>ношению друг к другу.</w:t>
      </w:r>
    </w:p>
    <w:p w:rsidR="006F0C93" w:rsidRPr="006F0C93" w:rsidRDefault="006F0C93" w:rsidP="006F0C93">
      <w:pPr>
        <w:pStyle w:val="SingleTxt"/>
      </w:pPr>
      <w:r w:rsidRPr="006F0C93">
        <w:t>15.</w:t>
      </w:r>
      <w:r w:rsidRPr="006F0C93">
        <w:tab/>
        <w:t>Желательно, чтобы правовой статус местных органов управления был пр</w:t>
      </w:r>
      <w:r w:rsidRPr="006F0C93">
        <w:t>о</w:t>
      </w:r>
      <w:r w:rsidRPr="006F0C93">
        <w:t>писан в национальной конституции; и действительно, конституции ряда стран содержат конкретные положения, направленные на защиту самостоятельности местных органов власти. Следует подчеркнуть, что конституционная защита я</w:t>
      </w:r>
      <w:r w:rsidRPr="006F0C93">
        <w:t>в</w:t>
      </w:r>
      <w:r w:rsidRPr="006F0C93">
        <w:t>ляется важнейшей гарантом незыблемости. Другим наиболее оптимальным р</w:t>
      </w:r>
      <w:r w:rsidRPr="006F0C93">
        <w:t>е</w:t>
      </w:r>
      <w:r w:rsidRPr="006F0C93">
        <w:t>шением в этой связи является принятие национальным парламентом специальн</w:t>
      </w:r>
      <w:r w:rsidRPr="006F0C93">
        <w:t>о</w:t>
      </w:r>
      <w:r w:rsidRPr="006F0C93">
        <w:t>го закона о деятельности местных органов управления. В ряде стран незыбл</w:t>
      </w:r>
      <w:r w:rsidRPr="006F0C93">
        <w:t>е</w:t>
      </w:r>
      <w:r w:rsidRPr="006F0C93">
        <w:t>мость законов, регулирующих деятельность местных органов власти, обеспеч</w:t>
      </w:r>
      <w:r w:rsidRPr="006F0C93">
        <w:t>и</w:t>
      </w:r>
      <w:r w:rsidRPr="006F0C93">
        <w:t>вается действующими правовыми гарантиями. Так, например, в Венгрии Закон о местных органах власти может быть принят или изменен только большинством в две трети голосов присутствующих парламентариев. Это положение распростр</w:t>
      </w:r>
      <w:r w:rsidRPr="006F0C93">
        <w:t>а</w:t>
      </w:r>
      <w:r w:rsidRPr="006F0C93">
        <w:t>няется на любые законы, ограничивающие права, связанные с деятельностью местных органов самоуправления.</w:t>
      </w:r>
    </w:p>
    <w:p w:rsidR="006F0C93" w:rsidRPr="006F0C93" w:rsidRDefault="006F0C93" w:rsidP="006F0C93">
      <w:pPr>
        <w:pStyle w:val="SingleTxt"/>
      </w:pPr>
      <w:r w:rsidRPr="006F0C93">
        <w:t>16.</w:t>
      </w:r>
      <w:r w:rsidRPr="006F0C93">
        <w:tab/>
        <w:t>Следует отметить, что в ряде стран принципы делегирования полномочий, децентрализации и подотчетности однозначно рассматриваются в качестве баз</w:t>
      </w:r>
      <w:r w:rsidRPr="006F0C93">
        <w:t>о</w:t>
      </w:r>
      <w:r w:rsidRPr="006F0C93">
        <w:t>вых принципов деятельности местных органов власти. Кроме того, в целях обе</w:t>
      </w:r>
      <w:r w:rsidRPr="006F0C93">
        <w:t>с</w:t>
      </w:r>
      <w:r w:rsidRPr="006F0C93">
        <w:t>печения соблюдения таких принципов соответствующие законы предусматрив</w:t>
      </w:r>
      <w:r w:rsidRPr="006F0C93">
        <w:t>а</w:t>
      </w:r>
      <w:r w:rsidRPr="006F0C93">
        <w:t>ют возможность использования местными органами власти судебных средств правовой защиты.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III</w:t>
      </w:r>
      <w:r w:rsidRPr="006F0C93">
        <w:t>.</w:t>
      </w:r>
      <w:r w:rsidRPr="006F0C93">
        <w:tab/>
        <w:t>Государства и местные органы власти: общие и</w:t>
      </w:r>
      <w:r w:rsidR="00F9069B">
        <w:t> </w:t>
      </w:r>
      <w:r w:rsidRPr="006F0C93">
        <w:t>взаимодополняющие обязанности в отношении уважения, защиты и осуществления прав ч</w:t>
      </w:r>
      <w:r w:rsidRPr="006F0C93">
        <w:t>е</w:t>
      </w:r>
      <w:r w:rsidRPr="006F0C93">
        <w:t>ловека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17.</w:t>
      </w:r>
      <w:r w:rsidRPr="006F0C93">
        <w:tab/>
        <w:t>С точки зрения международного права государство представляет собой ед</w:t>
      </w:r>
      <w:r w:rsidRPr="006F0C93">
        <w:t>и</w:t>
      </w:r>
      <w:r w:rsidRPr="006F0C93">
        <w:t>ное образование независимо от его унитарного или федеративного устройства, а также внутреннего административного деления. В этой связи только государство в целом связано обязательствами, вытекающими из международных договоров, стороной которых оно является. Таким образом, становясь участником междун</w:t>
      </w:r>
      <w:r w:rsidRPr="006F0C93">
        <w:t>а</w:t>
      </w:r>
      <w:r w:rsidRPr="006F0C93">
        <w:t>родного договора о правах человека, государство берет на себя обязательство с</w:t>
      </w:r>
      <w:r w:rsidRPr="006F0C93">
        <w:t>о</w:t>
      </w:r>
      <w:r w:rsidRPr="006F0C93">
        <w:t>блюдать, защищать и осуществлять права человека. В частности, только госуда</w:t>
      </w:r>
      <w:r w:rsidRPr="006F0C93">
        <w:t>р</w:t>
      </w:r>
      <w:r w:rsidRPr="006F0C93">
        <w:t>ства обязаны представлять доклады в соответствии с требованиями соответств</w:t>
      </w:r>
      <w:r w:rsidRPr="006F0C93">
        <w:t>у</w:t>
      </w:r>
      <w:r w:rsidRPr="006F0C93">
        <w:t>ющих международных и региональных договоров по правам человека и только государства могут быть объектом индивидуальных или межгосударственных ж</w:t>
      </w:r>
      <w:r w:rsidRPr="006F0C93">
        <w:t>а</w:t>
      </w:r>
      <w:r w:rsidRPr="006F0C93">
        <w:t>лоб в соответствии с положениями некоторых из таких договоров. Кроме того, государство, представшее перед международным механизмом рассмотрения ж</w:t>
      </w:r>
      <w:r w:rsidRPr="006F0C93">
        <w:t>а</w:t>
      </w:r>
      <w:r w:rsidRPr="006F0C93">
        <w:t>лоб о нарушении прав человека, не может в качестве оправдания утверждать, что предполагаемое нарушение было совершено местным органом власти.</w:t>
      </w:r>
    </w:p>
    <w:p w:rsidR="006F0C93" w:rsidRPr="006F0C93" w:rsidRDefault="006F0C93" w:rsidP="006F0C93">
      <w:pPr>
        <w:pStyle w:val="SingleTxt"/>
      </w:pPr>
      <w:r w:rsidRPr="006F0C93">
        <w:t>18.</w:t>
      </w:r>
      <w:r w:rsidRPr="006F0C93">
        <w:tab/>
        <w:t>Следует также подчеркнуть, что в соответствии с общими положениями международного права государство, представленное центральным правител</w:t>
      </w:r>
      <w:r w:rsidRPr="006F0C93">
        <w:t>ь</w:t>
      </w:r>
      <w:r w:rsidRPr="006F0C93">
        <w:t>ством, несет ответственность за все действия всех своих органов и агентов</w:t>
      </w:r>
      <w:r w:rsidRPr="00DC687A">
        <w:rPr>
          <w:color w:val="943634" w:themeColor="accent2" w:themeShade="BF"/>
          <w:vertAlign w:val="superscript"/>
          <w:lang w:val="en-GB"/>
        </w:rPr>
        <w:footnoteReference w:id="3"/>
      </w:r>
      <w:r w:rsidRPr="006F0C93">
        <w:t>. Кроме того, когда речь идет об ответственности государства, то независимо от его внутренней организации, в соответствии с международным обычным правом, применяется несколько принципов. Во-первых, структура государства, функции государственных органов и даже само определение того, что является госуда</w:t>
      </w:r>
      <w:r w:rsidRPr="006F0C93">
        <w:t>р</w:t>
      </w:r>
      <w:r w:rsidRPr="006F0C93">
        <w:t>ственным органом, как правило, не регулируются международным правом. Определение структуры своих собственных органов государственной власти и распределение полномочий между центральными и/или местными органами вл</w:t>
      </w:r>
      <w:r w:rsidRPr="006F0C93">
        <w:t>а</w:t>
      </w:r>
      <w:r w:rsidRPr="006F0C93">
        <w:t>сти являются суверенными полномочиями государства. Однако</w:t>
      </w:r>
      <w:r w:rsidR="004F1FED">
        <w:t>,</w:t>
      </w:r>
      <w:r w:rsidRPr="006F0C93">
        <w:t xml:space="preserve"> несмотря на то, что государство свободно в выборе своего внутреннего устройства и распредел</w:t>
      </w:r>
      <w:r w:rsidRPr="006F0C93">
        <w:t>е</w:t>
      </w:r>
      <w:r w:rsidRPr="006F0C93">
        <w:t>ния полномочий через свое собственное законодательство и его применение</w:t>
      </w:r>
      <w:r w:rsidRPr="00DC687A">
        <w:rPr>
          <w:color w:val="943634" w:themeColor="accent2" w:themeShade="BF"/>
          <w:vertAlign w:val="superscript"/>
          <w:lang w:val="en-GB"/>
        </w:rPr>
        <w:footnoteReference w:id="4"/>
      </w:r>
      <w:r w:rsidRPr="006F0C93">
        <w:t>, в целях международной ответственности деятельность его учреждений, админ</w:t>
      </w:r>
      <w:r w:rsidRPr="006F0C93">
        <w:t>и</w:t>
      </w:r>
      <w:r w:rsidRPr="006F0C93">
        <w:t>стративных органов, выполняющих государственные функции и осуществля</w:t>
      </w:r>
      <w:r w:rsidRPr="006F0C93">
        <w:t>ю</w:t>
      </w:r>
      <w:r w:rsidRPr="006F0C93">
        <w:t xml:space="preserve">щих государственную власть, относятся к ведению государства, даже если эти учреждения рассматриваются в национальном законодательстве как автономные и/или независимые от центральной исполнительной власти. </w:t>
      </w:r>
    </w:p>
    <w:p w:rsidR="006F0C93" w:rsidRPr="006F0C93" w:rsidRDefault="006F0C93" w:rsidP="006F0C93">
      <w:pPr>
        <w:pStyle w:val="SingleTxt"/>
      </w:pPr>
      <w:r w:rsidRPr="006F0C93">
        <w:t>19.</w:t>
      </w:r>
      <w:r w:rsidRPr="006F0C93">
        <w:tab/>
        <w:t xml:space="preserve">В международном обычном праве признается, что </w:t>
      </w:r>
      <w:r w:rsidR="00F93E6A">
        <w:t>«</w:t>
      </w:r>
      <w:r w:rsidRPr="006F0C93">
        <w:t>поведение любого орг</w:t>
      </w:r>
      <w:r w:rsidRPr="006F0C93">
        <w:t>а</w:t>
      </w:r>
      <w:r w:rsidRPr="006F0C93">
        <w:t>на государства рассматривается как деяние данного государства по междунаро</w:t>
      </w:r>
      <w:r w:rsidRPr="006F0C93">
        <w:t>д</w:t>
      </w:r>
      <w:r w:rsidRPr="006F0C93">
        <w:t>ному праву независимо от того, осуществляет ли этот орган законодательные, исп</w:t>
      </w:r>
      <w:r w:rsidR="004F1FED">
        <w:t>олнительные, судебные или какие-</w:t>
      </w:r>
      <w:r w:rsidRPr="006F0C93">
        <w:t>либо иные функции, независимо от пол</w:t>
      </w:r>
      <w:r w:rsidRPr="006F0C93">
        <w:t>о</w:t>
      </w:r>
      <w:r w:rsidRPr="006F0C93">
        <w:t>жения, которое он занимает в системе государства, и независимо от того, являе</w:t>
      </w:r>
      <w:r w:rsidRPr="006F0C93">
        <w:t>т</w:t>
      </w:r>
      <w:r w:rsidRPr="006F0C93">
        <w:t>ся ли он органом центральной власти или административно-территориальной единицы государства</w:t>
      </w:r>
      <w:r w:rsidRPr="00DC687A">
        <w:rPr>
          <w:color w:val="943634" w:themeColor="accent2" w:themeShade="BF"/>
          <w:vertAlign w:val="superscript"/>
          <w:lang w:val="en-GB"/>
        </w:rPr>
        <w:footnoteReference w:id="5"/>
      </w:r>
      <w:r w:rsidR="00F9069B">
        <w:t>»</w:t>
      </w:r>
      <w:r w:rsidRPr="006F0C93">
        <w:t xml:space="preserve">. В своем Замечании общего порядка № 16 Комитет по экономическим, социальным и культурным правам подчеркнул, что </w:t>
      </w:r>
      <w:r w:rsidR="00F93E6A">
        <w:t>«</w:t>
      </w:r>
      <w:r w:rsidRPr="006F0C93">
        <w:t>нарушения прав, закрепленных в Пакте, могут совершаться путем непосредственных де</w:t>
      </w:r>
      <w:r w:rsidRPr="006F0C93">
        <w:t>й</w:t>
      </w:r>
      <w:r w:rsidRPr="006F0C93">
        <w:t>ствий, неспособности принять меры или бездействия государств-участников л</w:t>
      </w:r>
      <w:r w:rsidRPr="006F0C93">
        <w:t>и</w:t>
      </w:r>
      <w:r w:rsidRPr="006F0C93">
        <w:lastRenderedPageBreak/>
        <w:t>бо их институтов или учреждений на национальном и местном уровнях</w:t>
      </w:r>
      <w:r w:rsidRPr="00DC687A">
        <w:rPr>
          <w:color w:val="943634" w:themeColor="accent2" w:themeShade="BF"/>
          <w:vertAlign w:val="superscript"/>
          <w:lang w:val="en-GB"/>
        </w:rPr>
        <w:footnoteReference w:id="6"/>
      </w:r>
      <w:r w:rsidR="00F9069B">
        <w:t>»</w:t>
      </w:r>
      <w:r w:rsidRPr="006F0C93">
        <w:t>. След</w:t>
      </w:r>
      <w:r w:rsidRPr="006F0C93">
        <w:t>у</w:t>
      </w:r>
      <w:r w:rsidRPr="006F0C93">
        <w:t>ет отметить, что действия некоторых учреждений, наделенных государственн</w:t>
      </w:r>
      <w:r w:rsidRPr="006F0C93">
        <w:t>ы</w:t>
      </w:r>
      <w:r w:rsidRPr="006F0C93">
        <w:t>ми полномочиями, приписываются государству, даже если эти учреждения ра</w:t>
      </w:r>
      <w:r w:rsidRPr="006F0C93">
        <w:t>с</w:t>
      </w:r>
      <w:r w:rsidRPr="006F0C93">
        <w:t>сматриваются во внутреннем праве как самостоятельные и независимые от и</w:t>
      </w:r>
      <w:r w:rsidRPr="006F0C93">
        <w:t>с</w:t>
      </w:r>
      <w:r w:rsidRPr="006F0C93">
        <w:t>полнительной власти</w:t>
      </w:r>
      <w:r w:rsidRPr="00DC687A">
        <w:rPr>
          <w:color w:val="943634" w:themeColor="accent2" w:themeShade="BF"/>
          <w:vertAlign w:val="superscript"/>
          <w:lang w:val="en-GB"/>
        </w:rPr>
        <w:footnoteReference w:id="7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20.</w:t>
      </w:r>
      <w:r w:rsidRPr="006F0C93">
        <w:tab/>
        <w:t>Незаконные действия любых органов государственной власти, включая местные органы управления, приписываются государству, даже если они сове</w:t>
      </w:r>
      <w:r w:rsidRPr="006F0C93">
        <w:t>р</w:t>
      </w:r>
      <w:r w:rsidRPr="006F0C93">
        <w:t xml:space="preserve">шены </w:t>
      </w:r>
      <w:r w:rsidRPr="006F0C93">
        <w:rPr>
          <w:lang w:val="en-GB"/>
        </w:rPr>
        <w:t>ultra</w:t>
      </w:r>
      <w:r w:rsidRPr="006F0C93">
        <w:t xml:space="preserve"> </w:t>
      </w:r>
      <w:r w:rsidRPr="006F0C93">
        <w:rPr>
          <w:lang w:val="en-GB"/>
        </w:rPr>
        <w:t>vires</w:t>
      </w:r>
      <w:r w:rsidRPr="006F0C93">
        <w:t xml:space="preserve"> или противоречат национальным законам и подзаконным актам. Это понимание проистекает непосредственно из принципа, содержащегося в ст</w:t>
      </w:r>
      <w:r w:rsidRPr="006F0C93">
        <w:t>а</w:t>
      </w:r>
      <w:r w:rsidRPr="006F0C93">
        <w:t>тье 27 Венской конвенции о праве международных договоров, согласно которому государство-участник не может ссылаться на положения своего внутреннего пр</w:t>
      </w:r>
      <w:r w:rsidRPr="006F0C93">
        <w:t>а</w:t>
      </w:r>
      <w:r w:rsidRPr="006F0C93">
        <w:t>ва в качестве оправдания для невыполнения им договора.</w:t>
      </w:r>
    </w:p>
    <w:p w:rsidR="006F0C93" w:rsidRPr="006F0C93" w:rsidRDefault="006F0C93" w:rsidP="006F0C93">
      <w:pPr>
        <w:pStyle w:val="SingleTxt"/>
      </w:pPr>
      <w:r w:rsidRPr="006F0C93">
        <w:t>21.</w:t>
      </w:r>
      <w:r w:rsidRPr="006F0C93">
        <w:tab/>
        <w:t>Центральные органы власти несут основную ответственность за поощрение и защиту прав человека, в то время как местные органы власти играют вспомог</w:t>
      </w:r>
      <w:r w:rsidRPr="006F0C93">
        <w:t>а</w:t>
      </w:r>
      <w:r w:rsidRPr="006F0C93">
        <w:t>тельную роль. После ратификации международного договора в области прав ч</w:t>
      </w:r>
      <w:r w:rsidRPr="006F0C93">
        <w:t>е</w:t>
      </w:r>
      <w:r w:rsidRPr="006F0C93">
        <w:t>ловека государство может делегировать полномочия по его осуществлению орг</w:t>
      </w:r>
      <w:r w:rsidRPr="006F0C93">
        <w:t>а</w:t>
      </w:r>
      <w:r w:rsidRPr="006F0C93">
        <w:t>нам государственного управления более низкого уровня, включая местные орг</w:t>
      </w:r>
      <w:r w:rsidRPr="006F0C93">
        <w:t>а</w:t>
      </w:r>
      <w:r w:rsidRPr="006F0C93">
        <w:t>ны власти. В этой связи центральным органам власти, возможно, будет необх</w:t>
      </w:r>
      <w:r w:rsidRPr="006F0C93">
        <w:t>о</w:t>
      </w:r>
      <w:r w:rsidRPr="006F0C93">
        <w:t>димо принять необходимые меры на местном уровне, в частности разработать процедуры и создать механизмы контроля в целях обеспечения выполнения об</w:t>
      </w:r>
      <w:r w:rsidRPr="006F0C93">
        <w:t>я</w:t>
      </w:r>
      <w:r w:rsidRPr="006F0C93">
        <w:t>зательств государства в области прав человека. Местные органы власти фактич</w:t>
      </w:r>
      <w:r w:rsidRPr="006F0C93">
        <w:t>е</w:t>
      </w:r>
      <w:r w:rsidRPr="006F0C93">
        <w:t>ски являются теми структурами, которые должны преобразовывать национал</w:t>
      </w:r>
      <w:r w:rsidRPr="006F0C93">
        <w:t>ь</w:t>
      </w:r>
      <w:r w:rsidRPr="006F0C93">
        <w:t>ные стратегии в области прав человека в практические действия. Представители местных органов власти должны, таким образом, принимать участие в разрабо</w:t>
      </w:r>
      <w:r w:rsidRPr="006F0C93">
        <w:t>т</w:t>
      </w:r>
      <w:r w:rsidRPr="006F0C93">
        <w:t>ке таких стратегий. В децентрализованных государствах местные органы власти могут играть более активную и самостоятельную роль в поощрении и защите прав человека. Институциональное сотрудничество в области прав человека между центральными и местными органами власти может оказывать полож</w:t>
      </w:r>
      <w:r w:rsidRPr="006F0C93">
        <w:t>и</w:t>
      </w:r>
      <w:r w:rsidRPr="006F0C93">
        <w:t xml:space="preserve">тельное воздействие на процесс осуществления международных обязательств государства в области прав человека. </w:t>
      </w:r>
    </w:p>
    <w:p w:rsidR="006F0C93" w:rsidRPr="006F0C93" w:rsidRDefault="006F0C93" w:rsidP="006F0C93">
      <w:pPr>
        <w:pStyle w:val="SingleTxt"/>
      </w:pPr>
      <w:r w:rsidRPr="006F0C93">
        <w:t>22.</w:t>
      </w:r>
      <w:r w:rsidRPr="006F0C93">
        <w:tab/>
        <w:t>Для выполнения своих обязательств в области прав человека местные орг</w:t>
      </w:r>
      <w:r w:rsidRPr="006F0C93">
        <w:t>а</w:t>
      </w:r>
      <w:r w:rsidRPr="006F0C93">
        <w:t>ны власти должны обладать необходимыми полномочиями и финансовыми р</w:t>
      </w:r>
      <w:r w:rsidRPr="006F0C93">
        <w:t>е</w:t>
      </w:r>
      <w:r w:rsidRPr="006F0C93">
        <w:t>сурсами. Надлежащее осуществление прав человека, в частности экономических, социальных и культурных прав местными органами власти</w:t>
      </w:r>
      <w:r w:rsidR="004F1FED">
        <w:t>,</w:t>
      </w:r>
      <w:r w:rsidRPr="006F0C93">
        <w:t xml:space="preserve"> требует соотве</w:t>
      </w:r>
      <w:r w:rsidRPr="006F0C93">
        <w:t>т</w:t>
      </w:r>
      <w:r w:rsidRPr="006F0C93">
        <w:t>ствующих финансовых ресурсов, которые имеются не везде; это необходимо принимать во внимание как на национальном, так и на международном уровнях. Следует особо подчеркнуть, что какие бы полномочия ни возлагались на мес</w:t>
      </w:r>
      <w:r w:rsidRPr="006F0C93">
        <w:t>т</w:t>
      </w:r>
      <w:r w:rsidRPr="006F0C93">
        <w:t>ные органы власти, они не будут эффективно осуществляться в отсутствие нео</w:t>
      </w:r>
      <w:r w:rsidRPr="006F0C93">
        <w:t>б</w:t>
      </w:r>
      <w:r w:rsidRPr="006F0C93">
        <w:t>ходимых финансовых ресурсов.</w:t>
      </w:r>
    </w:p>
    <w:p w:rsidR="006F0C93" w:rsidRPr="006F0C93" w:rsidRDefault="006F0C93" w:rsidP="006F0C93">
      <w:pPr>
        <w:pStyle w:val="SingleTxt"/>
      </w:pPr>
      <w:r w:rsidRPr="006F0C93">
        <w:t>23.</w:t>
      </w:r>
      <w:r w:rsidRPr="006F0C93">
        <w:tab/>
        <w:t>Принцип совместной ответственности органов государственного управл</w:t>
      </w:r>
      <w:r w:rsidRPr="006F0C93">
        <w:t>е</w:t>
      </w:r>
      <w:r w:rsidRPr="006F0C93">
        <w:t>ния различного уровня за обеспечение защиты и поощрение прав человека нео</w:t>
      </w:r>
      <w:r w:rsidRPr="006F0C93">
        <w:t>д</w:t>
      </w:r>
      <w:r w:rsidRPr="006F0C93">
        <w:t>нократно подчеркивался договорными органами по правам человека Организ</w:t>
      </w:r>
      <w:r w:rsidRPr="006F0C93">
        <w:t>а</w:t>
      </w:r>
      <w:r w:rsidRPr="006F0C93">
        <w:t>ции Объединенных Наций. Так, например, в Замечании общего порядка № 4 (право на достаточное жилище) Комитет по экономическим, социальным и кул</w:t>
      </w:r>
      <w:r w:rsidRPr="006F0C93">
        <w:t>ь</w:t>
      </w:r>
      <w:r w:rsidRPr="006F0C93">
        <w:t>турным правам отметил, что государства</w:t>
      </w:r>
      <w:r w:rsidR="004F1FED">
        <w:t xml:space="preserve"> – </w:t>
      </w:r>
      <w:r w:rsidRPr="006F0C93">
        <w:t xml:space="preserve">участники Международного пакта об экономических, социальных и культурных правах должны принимать меры </w:t>
      </w:r>
      <w:r w:rsidR="00F9069B">
        <w:br/>
      </w:r>
      <w:r w:rsidR="00F93E6A">
        <w:t>«</w:t>
      </w:r>
      <w:r w:rsidRPr="006F0C93">
        <w:t xml:space="preserve">по обеспечению координации деятельности министерств, а также региональных и </w:t>
      </w:r>
      <w:r w:rsidRPr="006F0C93">
        <w:lastRenderedPageBreak/>
        <w:t>местных органов власти в целях согласования политики в соответствующих областях (экономика, сельское хозяйство, окружающая среда, энергетика и т.д.) с обязательствами по статье 11 Пакта</w:t>
      </w:r>
      <w:r w:rsidRPr="00DC687A">
        <w:rPr>
          <w:color w:val="943634" w:themeColor="accent2" w:themeShade="BF"/>
          <w:vertAlign w:val="superscript"/>
          <w:lang w:val="en-GB"/>
        </w:rPr>
        <w:footnoteReference w:id="8"/>
      </w:r>
      <w:r w:rsidR="00F9069B">
        <w:t>»</w:t>
      </w:r>
      <w:r w:rsidRPr="006F0C93">
        <w:t xml:space="preserve">. 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IV</w:t>
      </w:r>
      <w:r w:rsidRPr="006F0C93">
        <w:t>.</w:t>
      </w:r>
      <w:r w:rsidRPr="006F0C93">
        <w:tab/>
        <w:t>Роль местных органов власти в деле защиты и</w:t>
      </w:r>
      <w:r w:rsidR="00F9069B">
        <w:t> </w:t>
      </w:r>
      <w:r w:rsidRPr="006F0C93">
        <w:t>поощрения прав человека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24.</w:t>
      </w:r>
      <w:r w:rsidRPr="006F0C93">
        <w:tab/>
        <w:t>Законодательство некоторых государств − в ряде случаев на конституцио</w:t>
      </w:r>
      <w:r w:rsidRPr="006F0C93">
        <w:t>н</w:t>
      </w:r>
      <w:r w:rsidRPr="006F0C93">
        <w:t xml:space="preserve">ном уровне − содержит конкретные положения, обязывающие местные органы власти обеспечивать соблюдение прав человека (например, Австралии, </w:t>
      </w:r>
      <w:r w:rsidR="004F1FED" w:rsidRPr="004F1FED">
        <w:br/>
      </w:r>
      <w:r w:rsidRPr="006F0C93">
        <w:t>Кот-д</w:t>
      </w:r>
      <w:r w:rsidR="004F1FED" w:rsidRPr="004F1FED">
        <w:t>’</w:t>
      </w:r>
      <w:r w:rsidRPr="006F0C93">
        <w:t>Ивуара, Марокко и Словении). В некоторых других странах соответств</w:t>
      </w:r>
      <w:r w:rsidRPr="006F0C93">
        <w:t>у</w:t>
      </w:r>
      <w:r w:rsidRPr="006F0C93">
        <w:t>ющее конституционное требование распространяется на деятельность всех гос</w:t>
      </w:r>
      <w:r w:rsidRPr="006F0C93">
        <w:t>у</w:t>
      </w:r>
      <w:r w:rsidRPr="006F0C93">
        <w:t>дарственных органов (в частности, в Австрии, Азербайджане, Боснии и Герцег</w:t>
      </w:r>
      <w:r w:rsidRPr="006F0C93">
        <w:t>о</w:t>
      </w:r>
      <w:r w:rsidRPr="006F0C93">
        <w:t>вине, Германии, Кении, Литве, Малайзии, Южном Судане, Испании и Того). В</w:t>
      </w:r>
      <w:r w:rsidR="00F9069B">
        <w:t> </w:t>
      </w:r>
      <w:r w:rsidRPr="006F0C93">
        <w:t>Люксембурге коммуны должны осуществлять свои полномочия в соответствии с законом, а это означает, что коммуны обязаны соблюдать права человека, г</w:t>
      </w:r>
      <w:r w:rsidRPr="006F0C93">
        <w:t>а</w:t>
      </w:r>
      <w:r w:rsidRPr="006F0C93">
        <w:t>рантированные законом. В некоторых странах обязанность местных органов вл</w:t>
      </w:r>
      <w:r w:rsidRPr="006F0C93">
        <w:t>а</w:t>
      </w:r>
      <w:r w:rsidRPr="006F0C93">
        <w:t>сти соблюдать права человека ограничивается в законодательстве конкретными правами или принципами. Например, в Сербии муниципалитеты обязаны обе</w:t>
      </w:r>
      <w:r w:rsidRPr="006F0C93">
        <w:t>с</w:t>
      </w:r>
      <w:r w:rsidRPr="006F0C93">
        <w:t>печивать поощрение и защиту прав национальных меньшинств и этнических групп согласно Закону о местном самоуправлении. В соответствии с законод</w:t>
      </w:r>
      <w:r w:rsidRPr="006F0C93">
        <w:t>а</w:t>
      </w:r>
      <w:r w:rsidRPr="006F0C93">
        <w:t>тельством муниципальные органы Словении должны обеспечивать всесторонний учет гендерной проблематики. В законодательстве Ирландии, регулирующем д</w:t>
      </w:r>
      <w:r w:rsidRPr="006F0C93">
        <w:t>е</w:t>
      </w:r>
      <w:r w:rsidRPr="006F0C93">
        <w:t xml:space="preserve">ятельность местных органов управления, отсутствуют конкретные положения относительно поощрения и защиты прав человека, однако при исполнении своих функций местные органы власти обязаны принимать во внимание необходимость содействия социальной интеграции. Аналогичным образом в законодательстве Индии о местных органах управления обязанности по обеспечению защиты прав человека конкретно не упоминаются, однако прописанные в </w:t>
      </w:r>
      <w:r w:rsidR="004F1FED">
        <w:t>К</w:t>
      </w:r>
      <w:r w:rsidRPr="006F0C93">
        <w:t>онституции мун</w:t>
      </w:r>
      <w:r w:rsidRPr="006F0C93">
        <w:t>и</w:t>
      </w:r>
      <w:r w:rsidRPr="006F0C93">
        <w:t>ципальные функции, такие как осуществление инициатив по вовлечению гра</w:t>
      </w:r>
      <w:r w:rsidRPr="006F0C93">
        <w:t>ж</w:t>
      </w:r>
      <w:r w:rsidRPr="006F0C93">
        <w:t>дан в демократические процессы, обеспечение социальной защиты и соверше</w:t>
      </w:r>
      <w:r w:rsidRPr="006F0C93">
        <w:t>н</w:t>
      </w:r>
      <w:r w:rsidRPr="006F0C93">
        <w:t>ствование местной системы правосудия, имеют непосредственное отношение к обесп</w:t>
      </w:r>
      <w:r w:rsidRPr="006F0C93">
        <w:t>е</w:t>
      </w:r>
      <w:r w:rsidRPr="006F0C93">
        <w:t>чению основных прав человека.</w:t>
      </w:r>
    </w:p>
    <w:p w:rsidR="006F0C93" w:rsidRPr="006F0C93" w:rsidRDefault="006F0C93" w:rsidP="006F0C93">
      <w:pPr>
        <w:pStyle w:val="SingleTxt"/>
      </w:pPr>
      <w:r w:rsidRPr="006F0C93">
        <w:t>25.</w:t>
      </w:r>
      <w:r w:rsidRPr="006F0C93">
        <w:tab/>
        <w:t>Как представляется, более предпочтительным подходом является включение в национальное законодательство четкой правовой нормы, обязывающей мес</w:t>
      </w:r>
      <w:r w:rsidRPr="006F0C93">
        <w:t>т</w:t>
      </w:r>
      <w:r w:rsidRPr="006F0C93">
        <w:t>ные органы власти обеспечивать защиту и поощрение прав человека. Это пом</w:t>
      </w:r>
      <w:r w:rsidRPr="006F0C93">
        <w:t>о</w:t>
      </w:r>
      <w:r w:rsidRPr="006F0C93">
        <w:t>жет местным властям осознать свои обязанности в области прав человека и п</w:t>
      </w:r>
      <w:r w:rsidRPr="006F0C93">
        <w:t>о</w:t>
      </w:r>
      <w:r w:rsidRPr="006F0C93">
        <w:t>нять, что за любое несоблюдение этих обязанностей они будут нести ответстве</w:t>
      </w:r>
      <w:r w:rsidRPr="006F0C93">
        <w:t>н</w:t>
      </w:r>
      <w:r w:rsidRPr="006F0C93">
        <w:t>ность согласно национальному законодательству, а также международным обяз</w:t>
      </w:r>
      <w:r w:rsidRPr="006F0C93">
        <w:t>а</w:t>
      </w:r>
      <w:r w:rsidRPr="006F0C93">
        <w:t>тельствам государства в целом. Кроме того, такая норма возлагает на местные органы власти конкретное обязательство применять правозащитный подход к предоставлению государственных услуг в рамках определенных для них полн</w:t>
      </w:r>
      <w:r w:rsidRPr="006F0C93">
        <w:t>о</w:t>
      </w:r>
      <w:r w:rsidRPr="006F0C93">
        <w:t>мочий. Следовательно, наличие такой нормы способно побудить правообладат</w:t>
      </w:r>
      <w:r w:rsidRPr="006F0C93">
        <w:t>е</w:t>
      </w:r>
      <w:r w:rsidRPr="006F0C93">
        <w:t>лей требовать от местных органов власти соблюдения их прав.</w:t>
      </w:r>
    </w:p>
    <w:p w:rsidR="006F0C93" w:rsidRPr="006F0C93" w:rsidRDefault="006F0C93" w:rsidP="006F0C93">
      <w:pPr>
        <w:pStyle w:val="SingleTxt"/>
      </w:pPr>
      <w:r w:rsidRPr="006F0C93">
        <w:t>26.</w:t>
      </w:r>
      <w:r w:rsidRPr="006F0C93">
        <w:tab/>
        <w:t>Местные власти близки к повседневным нуждам граждан и ежедневно з</w:t>
      </w:r>
      <w:r w:rsidRPr="006F0C93">
        <w:t>а</w:t>
      </w:r>
      <w:r w:rsidRPr="006F0C93">
        <w:t>нимаются вопросами прав человека. Поэтому между правами человека и де</w:t>
      </w:r>
      <w:r w:rsidRPr="006F0C93">
        <w:t>я</w:t>
      </w:r>
      <w:r w:rsidRPr="006F0C93">
        <w:t>тельностью органов местного управления существует очевидная и тесная вза</w:t>
      </w:r>
      <w:r w:rsidRPr="006F0C93">
        <w:t>и</w:t>
      </w:r>
      <w:r w:rsidRPr="006F0C93">
        <w:t>мосвязь. В рамках выполнения своих функций местные органы власти приним</w:t>
      </w:r>
      <w:r w:rsidRPr="006F0C93">
        <w:t>а</w:t>
      </w:r>
      <w:r w:rsidRPr="006F0C93">
        <w:t>ют решения, касающиеся, в частности, вопросов образования, жилья, здоровья, окружающей среды и правопорядка, которые непосредственно связаны с ос</w:t>
      </w:r>
      <w:r w:rsidRPr="006F0C93">
        <w:t>у</w:t>
      </w:r>
      <w:r w:rsidRPr="006F0C93">
        <w:t xml:space="preserve">ществлением прав человека и которые могут способствовать расширению или </w:t>
      </w:r>
      <w:r w:rsidRPr="006F0C93">
        <w:lastRenderedPageBreak/>
        <w:t>уменьшению возможностей граждан, связанны</w:t>
      </w:r>
      <w:r w:rsidR="004F1FED">
        <w:t>х</w:t>
      </w:r>
      <w:r w:rsidRPr="006F0C93">
        <w:t xml:space="preserve"> с осуществлением их прав чел</w:t>
      </w:r>
      <w:r w:rsidRPr="006F0C93">
        <w:t>о</w:t>
      </w:r>
      <w:r w:rsidRPr="006F0C93">
        <w:t>века. Более того, местные органы власти неизбежно сталкиваются с риском ди</w:t>
      </w:r>
      <w:r w:rsidRPr="006F0C93">
        <w:t>с</w:t>
      </w:r>
      <w:r w:rsidRPr="006F0C93">
        <w:t xml:space="preserve">криминационной практики в отношении тех, кто воспринимается в качестве </w:t>
      </w:r>
      <w:r w:rsidR="00F93E6A">
        <w:t>«</w:t>
      </w:r>
      <w:r w:rsidRPr="006F0C93">
        <w:t>чужаков</w:t>
      </w:r>
      <w:r w:rsidR="00F93E6A">
        <w:t>»</w:t>
      </w:r>
      <w:r w:rsidRPr="006F0C93">
        <w:t xml:space="preserve">, в частности иммигрантов или этнических меньшинств, в местной общине. В области жилья, например, такие явления, как поиск </w:t>
      </w:r>
      <w:r w:rsidR="00F93E6A">
        <w:t>«</w:t>
      </w:r>
      <w:r w:rsidRPr="006F0C93">
        <w:t>козлов отпущ</w:t>
      </w:r>
      <w:r w:rsidRPr="006F0C93">
        <w:t>е</w:t>
      </w:r>
      <w:r w:rsidRPr="006F0C93">
        <w:t>ния</w:t>
      </w:r>
      <w:r w:rsidR="00F93E6A">
        <w:t>»</w:t>
      </w:r>
      <w:r w:rsidRPr="006F0C93">
        <w:t>, стигматизация и дискриминация в отношении бездомных, зачастую носят более выраженный характер на местном уровне. Интеграция правозащитного а</w:t>
      </w:r>
      <w:r w:rsidRPr="006F0C93">
        <w:t>с</w:t>
      </w:r>
      <w:r w:rsidRPr="006F0C93">
        <w:t>пекта во все инициативы местных органов власти имеет крайне важное значение для борьбы с такими нарушениями. В действительности трудно представить, чтобы права человека осуществлялись без участия местных органов власти, предоставляющих необходимые услуги. Должностным лицам местных органов власти в ходе их повседневной работы приходится решать широкий круг вопр</w:t>
      </w:r>
      <w:r w:rsidRPr="006F0C93">
        <w:t>о</w:t>
      </w:r>
      <w:r w:rsidRPr="006F0C93">
        <w:t>сов в области прав человека. Тем не менее и власти, и общественность редко воспринимают эту работу как деятельность по осуществлению прав человека. Поэтому права человека по-прежнему не воспринимаются в качестве основы для анализа при выработке большей части политических решений и принятии пра</w:t>
      </w:r>
      <w:r w:rsidRPr="006F0C93">
        <w:t>к</w:t>
      </w:r>
      <w:r w:rsidRPr="006F0C93">
        <w:t>тических мер на местном уровне, хотя в данном случае можно фактически вести речь об обеспечении прав человека на практике</w:t>
      </w:r>
      <w:r w:rsidRPr="00DC687A">
        <w:rPr>
          <w:color w:val="943634" w:themeColor="accent2" w:themeShade="BF"/>
          <w:vertAlign w:val="superscript"/>
          <w:lang w:val="en-GB"/>
        </w:rPr>
        <w:footnoteReference w:id="9"/>
      </w:r>
      <w:r w:rsidRPr="006F0C93">
        <w:t>. В этой связи следует помнить, что практические результаты обеспечения прав человека видны именно на мес</w:t>
      </w:r>
      <w:r w:rsidRPr="006F0C93">
        <w:t>т</w:t>
      </w:r>
      <w:r w:rsidRPr="006F0C93">
        <w:t xml:space="preserve">ном уровне. </w:t>
      </w:r>
    </w:p>
    <w:p w:rsidR="006F0C93" w:rsidRPr="006F0C93" w:rsidRDefault="006F0C93" w:rsidP="006F0C93">
      <w:pPr>
        <w:pStyle w:val="SingleTxt"/>
      </w:pPr>
      <w:r w:rsidRPr="006F0C93">
        <w:t>27.</w:t>
      </w:r>
      <w:r w:rsidRPr="006F0C93">
        <w:tab/>
        <w:t>Обязанности местных органов власти в области обеспечения прав человека можно разделить на категории, следуя классической трехуровневой типологии обязательств государства в области прав человека, а именно обязанность собл</w:t>
      </w:r>
      <w:r w:rsidRPr="006F0C93">
        <w:t>ю</w:t>
      </w:r>
      <w:r w:rsidRPr="006F0C93">
        <w:t>дать, обязанность защищать и обязанность осуществлять. Обязанность собл</w:t>
      </w:r>
      <w:r w:rsidRPr="006F0C93">
        <w:t>ю</w:t>
      </w:r>
      <w:r w:rsidRPr="006F0C93">
        <w:t>дать означает, что должные лица местных органов власти своими действиями не должны нарушать права человека. Это требование предусматривает, что местные органы власти должны воздерживаться от вмешательства в осуществление прав и свобод всеми лицами, находящимися под их юрисдикцией. Например, что кас</w:t>
      </w:r>
      <w:r w:rsidRPr="006F0C93">
        <w:t>а</w:t>
      </w:r>
      <w:r w:rsidRPr="006F0C93">
        <w:t>ется свободы вероисповедания, то местные органы управления не могут запр</w:t>
      </w:r>
      <w:r w:rsidRPr="006F0C93">
        <w:t>е</w:t>
      </w:r>
      <w:r w:rsidRPr="006F0C93">
        <w:t>тить религиозным общинам, за исключением допустимых ограничений, польз</w:t>
      </w:r>
      <w:r w:rsidRPr="006F0C93">
        <w:t>о</w:t>
      </w:r>
      <w:r w:rsidRPr="006F0C93">
        <w:t>ваться общественными площадями или муниципальными зданиями для провед</w:t>
      </w:r>
      <w:r w:rsidRPr="006F0C93">
        <w:t>е</w:t>
      </w:r>
      <w:r w:rsidRPr="006F0C93">
        <w:t>ния религиозных праздников. Что касается права на здоровье, то местные органы власти не могут лишать доступа к учреждениям здравоохранения представителей каких-либо общин или групп. Обязанность защищать требует принятия мер с ц</w:t>
      </w:r>
      <w:r w:rsidRPr="006F0C93">
        <w:t>е</w:t>
      </w:r>
      <w:r w:rsidRPr="006F0C93">
        <w:t>лью недопущения нарушения третьими лицами прав и свобод человека. Напр</w:t>
      </w:r>
      <w:r w:rsidRPr="006F0C93">
        <w:t>и</w:t>
      </w:r>
      <w:r w:rsidRPr="006F0C93">
        <w:t>мер, местные власти обязаны принимать меры для обеспечения того, чтобы ст</w:t>
      </w:r>
      <w:r w:rsidRPr="006F0C93">
        <w:t>о</w:t>
      </w:r>
      <w:r w:rsidRPr="006F0C93">
        <w:t>ронние лица не мешали детям посещать школу. Обязанность защищать может потребовать создания в городе более безопасных условий в целях снижения опасности проявления насилия, например, в отношении женщин. Обязанность осуществлять означает, что местные органы власти должны принимать констру</w:t>
      </w:r>
      <w:r w:rsidRPr="006F0C93">
        <w:t>к</w:t>
      </w:r>
      <w:r w:rsidRPr="006F0C93">
        <w:t>тивные меры с целью содействия осуществлению прав и свобод. Например, местные органы власти обязаны обеспечивать осуществление права на образов</w:t>
      </w:r>
      <w:r w:rsidRPr="006F0C93">
        <w:t>а</w:t>
      </w:r>
      <w:r w:rsidRPr="006F0C93">
        <w:t>ние путем поддержания качественной системы образования. В соответствии с обязанностью осуществлять право граждан не подвергаться дискриминации м</w:t>
      </w:r>
      <w:r w:rsidRPr="006F0C93">
        <w:t>о</w:t>
      </w:r>
      <w:r w:rsidRPr="006F0C93">
        <w:t>гут быть созданы местные правозащитные механизмы, такие как институт омбудсмена или специализированные учреждения по борьбе с дискриминацией.</w:t>
      </w:r>
    </w:p>
    <w:p w:rsidR="006F0C93" w:rsidRPr="006F0C93" w:rsidRDefault="006F0C93" w:rsidP="006F0C93">
      <w:pPr>
        <w:pStyle w:val="SingleTxt"/>
      </w:pPr>
      <w:r w:rsidRPr="006F0C93">
        <w:t>28.</w:t>
      </w:r>
      <w:r w:rsidRPr="006F0C93">
        <w:tab/>
        <w:t>Кроме того, местные власти посредством образования и профессионального обучения должны поощрять понимание и соблюдение прав человека всех гра</w:t>
      </w:r>
      <w:r w:rsidRPr="006F0C93">
        <w:t>ж</w:t>
      </w:r>
      <w:r w:rsidRPr="006F0C93">
        <w:t>дан, находящихся под их юрисдикцией. В частности, местные власти должны на систематической основе организовывать учебные курсы по вопросам прав чел</w:t>
      </w:r>
      <w:r w:rsidRPr="006F0C93">
        <w:t>о</w:t>
      </w:r>
      <w:r w:rsidRPr="006F0C93">
        <w:lastRenderedPageBreak/>
        <w:t>века для своих избранных представителей и административного персонала и распространять среди граждан соответствующую информацию об их правах. П</w:t>
      </w:r>
      <w:r w:rsidRPr="006F0C93">
        <w:t>о</w:t>
      </w:r>
      <w:r w:rsidRPr="006F0C93">
        <w:t>средством поощрения прав человека местные власти могут содействовать фо</w:t>
      </w:r>
      <w:r w:rsidRPr="006F0C93">
        <w:t>р</w:t>
      </w:r>
      <w:r w:rsidRPr="006F0C93">
        <w:t>мированию культуры прав человека в обществе.</w:t>
      </w:r>
    </w:p>
    <w:p w:rsidR="006F0C93" w:rsidRPr="006F0C93" w:rsidRDefault="006F0C93" w:rsidP="006F0C93">
      <w:pPr>
        <w:pStyle w:val="SingleTxt"/>
      </w:pPr>
      <w:r w:rsidRPr="006F0C93">
        <w:t>29.</w:t>
      </w:r>
      <w:r w:rsidRPr="006F0C93">
        <w:tab/>
        <w:t>Местные органы власти должны уделять особое внимание поощрению и защите прав уязвимых и социально неблагополучных групп, таких как инвалиды, представители этнических меньшинств и коренных общин, жертвы сексуальной дискриминации, дети и пожилые люди. В этом отношении качество услуг, пред</w:t>
      </w:r>
      <w:r w:rsidRPr="006F0C93">
        <w:t>о</w:t>
      </w:r>
      <w:r w:rsidRPr="006F0C93">
        <w:t>ставляемых местными органами государственной власти таким группам, может служить тестовым показателем степени соблюдения прав человека местными о</w:t>
      </w:r>
      <w:r w:rsidRPr="006F0C93">
        <w:t>р</w:t>
      </w:r>
      <w:r w:rsidRPr="006F0C93">
        <w:t>ганами власти на практике</w:t>
      </w:r>
      <w:r w:rsidRPr="00DC687A">
        <w:rPr>
          <w:color w:val="943634" w:themeColor="accent2" w:themeShade="BF"/>
          <w:vertAlign w:val="superscript"/>
          <w:lang w:val="en-GB"/>
        </w:rPr>
        <w:footnoteReference w:id="10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30.</w:t>
      </w:r>
      <w:r w:rsidRPr="006F0C93">
        <w:tab/>
        <w:t>В ряде стран прилагаются усилия в целях обеспечения всестороннего учета прав человека в деятельности местных органов власти. В частности, принимаю</w:t>
      </w:r>
      <w:r w:rsidRPr="006F0C93">
        <w:t>т</w:t>
      </w:r>
      <w:r w:rsidRPr="006F0C93">
        <w:t>ся меры по стимулированию управления на основе широкого участия граждан, проведению проверок и оценок, связанных с правами человека, рассмотрению местных проблем в контексте прав человека, разработке процедур для определ</w:t>
      </w:r>
      <w:r w:rsidRPr="006F0C93">
        <w:t>е</w:t>
      </w:r>
      <w:r w:rsidRPr="006F0C93">
        <w:t>ния соответствия местных законов и правил принципам, лежащим в основе прав человека, представлению докладов о соблюдении договоров в области прав чел</w:t>
      </w:r>
      <w:r w:rsidRPr="006F0C93">
        <w:t>о</w:t>
      </w:r>
      <w:r w:rsidRPr="006F0C93">
        <w:t>века на местном уровне, обеспечению систематического обучения местных гражданских служащих по вопросам прав человека, повышению осведомленн</w:t>
      </w:r>
      <w:r w:rsidRPr="006F0C93">
        <w:t>о</w:t>
      </w:r>
      <w:r w:rsidRPr="006F0C93">
        <w:t>сти общественности о правах человека и т.д. В качестве еще одного важного ш</w:t>
      </w:r>
      <w:r w:rsidRPr="006F0C93">
        <w:t>а</w:t>
      </w:r>
      <w:r w:rsidRPr="006F0C93">
        <w:t>га на пути обеспечения прав человека на местном уровне следует рассматривать разработку местной хартии прав человека (или нормативного документа о правах человека)</w:t>
      </w:r>
      <w:r w:rsidRPr="00DC687A">
        <w:rPr>
          <w:color w:val="943634" w:themeColor="accent2" w:themeShade="BF"/>
          <w:vertAlign w:val="superscript"/>
          <w:lang w:val="en-GB"/>
        </w:rPr>
        <w:footnoteReference w:id="11"/>
      </w:r>
      <w:r w:rsidRPr="006F0C93">
        <w:t xml:space="preserve"> с изложением конкретных обязанностей местных органов власти в области прав человека. В этом контексте весьма желательно, чтобы местные о</w:t>
      </w:r>
      <w:r w:rsidRPr="006F0C93">
        <w:t>р</w:t>
      </w:r>
      <w:r w:rsidRPr="006F0C93">
        <w:t>ганы власти имели подразделения по правам человека, обеспеченные достато</w:t>
      </w:r>
      <w:r w:rsidRPr="006F0C93">
        <w:t>ч</w:t>
      </w:r>
      <w:r w:rsidRPr="006F0C93">
        <w:t>ными людскими и финансовыми ресурсами, которые могли бы полностью взять на себя ответственность за обеспечение прав человека в рамках их соответств</w:t>
      </w:r>
      <w:r w:rsidRPr="006F0C93">
        <w:t>у</w:t>
      </w:r>
      <w:r w:rsidRPr="006F0C93">
        <w:t>ющих местных полномочий.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1267"/>
      </w:pPr>
      <w:r w:rsidRPr="006F0C93">
        <w:tab/>
      </w:r>
      <w:r w:rsidRPr="006F0C93">
        <w:rPr>
          <w:lang w:val="en-GB"/>
        </w:rPr>
        <w:t>V</w:t>
      </w:r>
      <w:r w:rsidRPr="006F0C93">
        <w:t>.</w:t>
      </w:r>
      <w:r w:rsidRPr="006F0C93">
        <w:tab/>
        <w:t>Основные вызовы, с которыми сталкиваются местные органы власти в деятельности по защите и поощрению прав человека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31.</w:t>
      </w:r>
      <w:r w:rsidRPr="006F0C93">
        <w:tab/>
        <w:t>Основные вызовы, с которыми сталкиваются местные органы власти в де</w:t>
      </w:r>
      <w:r w:rsidRPr="006F0C93">
        <w:t>я</w:t>
      </w:r>
      <w:r w:rsidRPr="006F0C93">
        <w:t>тельности по защите и поощрению прав человека, носят политический, эконом</w:t>
      </w:r>
      <w:r w:rsidRPr="006F0C93">
        <w:t>и</w:t>
      </w:r>
      <w:r w:rsidRPr="006F0C93">
        <w:t>ческий и административный характер. Наиболее серьезный вызов, с которым сталкиваются местные органы власти, заключается в отсутствии политической воли, особенно в странах с недемократическими системами или зарождающейся демократией. Это усугубляется политическими конфликтами и напряженностью в стране. Местным органам власти в таких государствах не хватает самосто</w:t>
      </w:r>
      <w:r w:rsidRPr="006F0C93">
        <w:t>я</w:t>
      </w:r>
      <w:r w:rsidRPr="006F0C93">
        <w:t>тельности и стратегического видения/долгосрочного планирования и/или пр</w:t>
      </w:r>
      <w:r w:rsidRPr="006F0C93">
        <w:t>и</w:t>
      </w:r>
      <w:r w:rsidRPr="006F0C93">
        <w:t>верженности. В ряде случаев  между центральными и местными органами власти может существовать напряженность в отношениях и вестись борьба за власть, особенно в ситуациях нестабильности и конфликтов. Более того, в государствах, имеющих в значительной степени централизованную структуру, развертывание серьезных политических усилий в области прав человека на местном уровне м</w:t>
      </w:r>
      <w:r w:rsidRPr="006F0C93">
        <w:t>о</w:t>
      </w:r>
      <w:r w:rsidRPr="006F0C93">
        <w:t>жет также быть сопряжено с трудностями. Отсутствие самостоятельности и с</w:t>
      </w:r>
      <w:r w:rsidRPr="006F0C93">
        <w:t>а</w:t>
      </w:r>
      <w:r w:rsidRPr="006F0C93">
        <w:t>моуправления препятствует подотчетности и воспитанию чувства ответственн</w:t>
      </w:r>
      <w:r w:rsidRPr="006F0C93">
        <w:t>о</w:t>
      </w:r>
      <w:r w:rsidRPr="006F0C93">
        <w:t xml:space="preserve">сти за осуществление прав человека. Централизованные политика и меры по </w:t>
      </w:r>
      <w:r w:rsidRPr="006F0C93">
        <w:lastRenderedPageBreak/>
        <w:t>структурной перестройке могут зачастую затруднять соблюдение прав человека местными органами власти.</w:t>
      </w:r>
    </w:p>
    <w:p w:rsidR="006F0C93" w:rsidRPr="006F0C93" w:rsidRDefault="006F0C93" w:rsidP="006F0C93">
      <w:pPr>
        <w:pStyle w:val="SingleTxt"/>
      </w:pPr>
      <w:r w:rsidRPr="006F0C93">
        <w:rPr>
          <w:bCs/>
        </w:rPr>
        <w:t>32.</w:t>
      </w:r>
      <w:r w:rsidRPr="006F0C93">
        <w:rPr>
          <w:bCs/>
        </w:rPr>
        <w:tab/>
      </w:r>
      <w:r w:rsidRPr="006F0C93">
        <w:t>Вторым вызовом, с которым сталкиваются местные органы власти и кот</w:t>
      </w:r>
      <w:r w:rsidRPr="006F0C93">
        <w:t>о</w:t>
      </w:r>
      <w:r w:rsidRPr="006F0C93">
        <w:t>рый препятствует осуществлению и поощрению ими прав человека, является н</w:t>
      </w:r>
      <w:r w:rsidRPr="006F0C93">
        <w:t>е</w:t>
      </w:r>
      <w:r w:rsidRPr="006F0C93">
        <w:t>достаточный институциональный потенциал и/или ресурсы, причиной чего м</w:t>
      </w:r>
      <w:r w:rsidRPr="006F0C93">
        <w:t>о</w:t>
      </w:r>
      <w:r w:rsidRPr="006F0C93">
        <w:t>жет служить либо отсутствие политической воли к наделению местных органов власти соответствующими полномочиями, либо сложная экономическая обст</w:t>
      </w:r>
      <w:r w:rsidRPr="006F0C93">
        <w:t>а</w:t>
      </w:r>
      <w:r w:rsidRPr="006F0C93">
        <w:t>новка в стране. В докладе Лейлани Фархи, Специального докладчика по вопросу о достаточном жилище как компоненте права на достаточный жизненный ур</w:t>
      </w:r>
      <w:r w:rsidRPr="006F0C93">
        <w:t>о</w:t>
      </w:r>
      <w:r w:rsidRPr="006F0C93">
        <w:t xml:space="preserve">вень, а также о праве на недискриминацию в этом контексте, который посвящен роли органов власти на местном и на других субнациональных уровнях, делается вывод о том, что </w:t>
      </w:r>
      <w:r w:rsidR="00F93E6A">
        <w:t>«</w:t>
      </w:r>
      <w:r w:rsidRPr="006F0C93">
        <w:t>децентрализация не всегда оказывает благоприятное возде</w:t>
      </w:r>
      <w:r w:rsidRPr="006F0C93">
        <w:t>й</w:t>
      </w:r>
      <w:r w:rsidRPr="006F0C93">
        <w:t>ствие на процесс осуществления права на достаточное жилище</w:t>
      </w:r>
      <w:r w:rsidR="00F93E6A">
        <w:t>»</w:t>
      </w:r>
      <w:r w:rsidRPr="006F0C93">
        <w:rPr>
          <w:bCs/>
        </w:rPr>
        <w:t xml:space="preserve"> (</w:t>
      </w:r>
      <w:r w:rsidRPr="006F0C93">
        <w:rPr>
          <w:lang w:val="en-US"/>
        </w:rPr>
        <w:t>A</w:t>
      </w:r>
      <w:r w:rsidRPr="006F0C93">
        <w:t>/</w:t>
      </w:r>
      <w:r w:rsidRPr="006F0C93">
        <w:rPr>
          <w:lang w:val="en-US"/>
        </w:rPr>
        <w:t>HRC</w:t>
      </w:r>
      <w:r w:rsidRPr="006F0C93">
        <w:t>/28/62, пункт 71</w:t>
      </w:r>
      <w:r w:rsidRPr="006F0C93">
        <w:rPr>
          <w:bCs/>
        </w:rPr>
        <w:t>). Хотя децентрализация потенциально способствует развитию предст</w:t>
      </w:r>
      <w:r w:rsidRPr="006F0C93">
        <w:rPr>
          <w:bCs/>
        </w:rPr>
        <w:t>а</w:t>
      </w:r>
      <w:r w:rsidRPr="006F0C93">
        <w:rPr>
          <w:bCs/>
        </w:rPr>
        <w:t>вительной демократии, гражданской активности, прозрачности и подотчетности, достижение этих позитивных результатов по-прежнему зависит от наличия мех</w:t>
      </w:r>
      <w:r w:rsidRPr="006F0C93">
        <w:rPr>
          <w:bCs/>
        </w:rPr>
        <w:t>а</w:t>
      </w:r>
      <w:r w:rsidRPr="006F0C93">
        <w:rPr>
          <w:bCs/>
        </w:rPr>
        <w:t>низмов и политической воли, необходимых для внедрения принципов демократ</w:t>
      </w:r>
      <w:r w:rsidRPr="006F0C93">
        <w:rPr>
          <w:bCs/>
        </w:rPr>
        <w:t>и</w:t>
      </w:r>
      <w:r w:rsidRPr="006F0C93">
        <w:rPr>
          <w:bCs/>
        </w:rPr>
        <w:t xml:space="preserve">ческого управления. </w:t>
      </w:r>
      <w:r w:rsidRPr="006F0C93">
        <w:t>Отсутствие необходимых ресурсов и бюджетов для фина</w:t>
      </w:r>
      <w:r w:rsidRPr="006F0C93">
        <w:t>н</w:t>
      </w:r>
      <w:r w:rsidRPr="006F0C93">
        <w:t>сирования реализации проектов и услуг на местном уровне подрывает потенциал местных органов управления и отрицательным образом сказывается на их лег</w:t>
      </w:r>
      <w:r w:rsidRPr="006F0C93">
        <w:t>и</w:t>
      </w:r>
      <w:r w:rsidRPr="006F0C93">
        <w:t>тимности в местных общинах.</w:t>
      </w:r>
    </w:p>
    <w:p w:rsidR="006F0C93" w:rsidRPr="006F0C93" w:rsidRDefault="006F0C93" w:rsidP="006F0C93">
      <w:pPr>
        <w:pStyle w:val="SingleTxt"/>
        <w:rPr>
          <w:bCs/>
        </w:rPr>
      </w:pPr>
      <w:r w:rsidRPr="006F0C93">
        <w:rPr>
          <w:bCs/>
        </w:rPr>
        <w:t>33.</w:t>
      </w:r>
      <w:r w:rsidRPr="006F0C93">
        <w:rPr>
          <w:bCs/>
        </w:rPr>
        <w:tab/>
      </w:r>
      <w:r w:rsidRPr="006F0C93">
        <w:t xml:space="preserve">Третий вызов заключается в отсутствии надлежащей координации между центральными и местными органами власти. Кроме того, возникает проблема, связанная с тем, что законы, касающиеся </w:t>
      </w:r>
      <w:r w:rsidRPr="006F0C93">
        <w:rPr>
          <w:bCs/>
        </w:rPr>
        <w:t>разделения полномочий между це</w:t>
      </w:r>
      <w:r w:rsidRPr="006F0C93">
        <w:rPr>
          <w:bCs/>
        </w:rPr>
        <w:t>н</w:t>
      </w:r>
      <w:r w:rsidRPr="006F0C93">
        <w:rPr>
          <w:bCs/>
        </w:rPr>
        <w:t>тральными и местными органами власти, не являются простыми, доступными и ясными. Четкое разделение полномочий между органами власти различного уровня является необходимым усл</w:t>
      </w:r>
      <w:r w:rsidR="004F1FED">
        <w:rPr>
          <w:bCs/>
        </w:rPr>
        <w:t>овием обеспечения подотчетности</w:t>
      </w:r>
      <w:r w:rsidRPr="006F0C93">
        <w:rPr>
          <w:bCs/>
        </w:rPr>
        <w:t xml:space="preserve"> и, таким образом, необходимым условием осуществления прав человека. Само собой р</w:t>
      </w:r>
      <w:r w:rsidRPr="006F0C93">
        <w:rPr>
          <w:bCs/>
        </w:rPr>
        <w:t>а</w:t>
      </w:r>
      <w:r w:rsidRPr="006F0C93">
        <w:rPr>
          <w:bCs/>
        </w:rPr>
        <w:t>зумеющимся должно являться то, что все органы, наделенные полномочиями государственной власти, должны уважать, защищать и обеспечивать осуществл</w:t>
      </w:r>
      <w:r w:rsidRPr="006F0C93">
        <w:rPr>
          <w:bCs/>
        </w:rPr>
        <w:t>е</w:t>
      </w:r>
      <w:r w:rsidRPr="006F0C93">
        <w:rPr>
          <w:bCs/>
        </w:rPr>
        <w:t>ние прав человека. Взаимосвязь между осуществлением полномочий госуда</w:t>
      </w:r>
      <w:r w:rsidRPr="006F0C93">
        <w:rPr>
          <w:bCs/>
        </w:rPr>
        <w:t>р</w:t>
      </w:r>
      <w:r w:rsidRPr="006F0C93">
        <w:rPr>
          <w:bCs/>
        </w:rPr>
        <w:t>ственной власти и соблюдением прав человека зачастую/иногда игнорируется на местном уровне.</w:t>
      </w:r>
    </w:p>
    <w:p w:rsidR="006F0C93" w:rsidRPr="006F0C93" w:rsidRDefault="006F0C93" w:rsidP="006F0C93">
      <w:pPr>
        <w:pStyle w:val="SingleTxt"/>
        <w:rPr>
          <w:bCs/>
        </w:rPr>
      </w:pPr>
      <w:r w:rsidRPr="006F0C93">
        <w:rPr>
          <w:bCs/>
        </w:rPr>
        <w:t>34.</w:t>
      </w:r>
      <w:r w:rsidRPr="006F0C93">
        <w:rPr>
          <w:bCs/>
        </w:rPr>
        <w:tab/>
        <w:t>Еще одним вызовом является отсутствием информации о требованиях, св</w:t>
      </w:r>
      <w:r w:rsidRPr="006F0C93">
        <w:rPr>
          <w:bCs/>
        </w:rPr>
        <w:t>я</w:t>
      </w:r>
      <w:r w:rsidRPr="006F0C93">
        <w:rPr>
          <w:bCs/>
        </w:rPr>
        <w:t>занных с осуществлением прав человека на местном уровне. Каждое должнос</w:t>
      </w:r>
      <w:r w:rsidRPr="006F0C93">
        <w:rPr>
          <w:bCs/>
        </w:rPr>
        <w:t>т</w:t>
      </w:r>
      <w:r w:rsidRPr="006F0C93">
        <w:rPr>
          <w:bCs/>
        </w:rPr>
        <w:t>ное лицо местных органов власти должно быть осведомлено об обязанностях по осуществлению прав человека. Зачастую эта осведомленность не подкрепляется по-настоящему глубокими знаниями о сути и содержании прав человека. Всле</w:t>
      </w:r>
      <w:r w:rsidRPr="006F0C93">
        <w:rPr>
          <w:bCs/>
        </w:rPr>
        <w:t>д</w:t>
      </w:r>
      <w:r w:rsidRPr="006F0C93">
        <w:rPr>
          <w:bCs/>
        </w:rPr>
        <w:t>ствие этого многие местные органы власти не имеют должного представления о правах человека и не учитывают их в местной политике и при ее реализации. Усилиям по улучшению координации деятельности в области прав человека пр</w:t>
      </w:r>
      <w:r w:rsidRPr="006F0C93">
        <w:rPr>
          <w:bCs/>
        </w:rPr>
        <w:t>е</w:t>
      </w:r>
      <w:r w:rsidRPr="006F0C93">
        <w:rPr>
          <w:bCs/>
        </w:rPr>
        <w:t>пятствует нехватка прозрачности</w:t>
      </w:r>
      <w:r w:rsidRPr="00DC687A">
        <w:rPr>
          <w:bCs/>
          <w:color w:val="943634" w:themeColor="accent2" w:themeShade="BF"/>
          <w:vertAlign w:val="superscript"/>
          <w:lang w:val="en-GB"/>
        </w:rPr>
        <w:footnoteReference w:id="12"/>
      </w:r>
      <w:r w:rsidRPr="006F0C93">
        <w:rPr>
          <w:bCs/>
        </w:rPr>
        <w:t>.</w:t>
      </w:r>
    </w:p>
    <w:p w:rsidR="006F0C93" w:rsidRPr="006F0C93" w:rsidRDefault="006F0C93" w:rsidP="006F0C93">
      <w:pPr>
        <w:pStyle w:val="SingleTxt"/>
      </w:pPr>
      <w:r w:rsidRPr="006F0C93">
        <w:t>35.</w:t>
      </w:r>
      <w:r w:rsidRPr="006F0C93">
        <w:tab/>
      </w:r>
      <w:r w:rsidRPr="006F0C93">
        <w:rPr>
          <w:bCs/>
        </w:rPr>
        <w:t>Пятый вызов, с которым сталкиваются местные органы власти, заключается в отсутствии признания роли</w:t>
      </w:r>
      <w:r w:rsidRPr="006F0C93">
        <w:t xml:space="preserve"> и вклада гражданского общества. Это, как правило, сопровождается недостаточным пониманием прав человека на уровне местных органов власти. Неспособность признать гражданское общество и сотрудничать с ним не позволяет местным органам власти эффективно решать проблемы марг</w:t>
      </w:r>
      <w:r w:rsidRPr="006F0C93">
        <w:t>и</w:t>
      </w:r>
      <w:r w:rsidRPr="006F0C93">
        <w:t>нализированных общин.</w:t>
      </w:r>
    </w:p>
    <w:p w:rsidR="006F0C93" w:rsidRPr="006F0C93" w:rsidRDefault="006F0C93" w:rsidP="006F0C93">
      <w:pPr>
        <w:pStyle w:val="SingleTxt"/>
      </w:pPr>
      <w:r w:rsidRPr="006F0C93">
        <w:t>36.</w:t>
      </w:r>
      <w:r w:rsidRPr="006F0C93">
        <w:tab/>
        <w:t>Ещ</w:t>
      </w:r>
      <w:r w:rsidR="004F1FED">
        <w:t>е</w:t>
      </w:r>
      <w:r w:rsidRPr="006F0C93">
        <w:t xml:space="preserve"> один вызов, с которым сталкиваются местные органы власти, заключ</w:t>
      </w:r>
      <w:r w:rsidRPr="006F0C93">
        <w:t>а</w:t>
      </w:r>
      <w:r w:rsidRPr="006F0C93">
        <w:t>ется в отсутствии правозащитных обязательств в приоритетах доноров и межд</w:t>
      </w:r>
      <w:r w:rsidRPr="006F0C93">
        <w:t>у</w:t>
      </w:r>
      <w:r w:rsidRPr="006F0C93">
        <w:lastRenderedPageBreak/>
        <w:t>народных агентств по вопросам развития в контексте децентрализации. Напр</w:t>
      </w:r>
      <w:r w:rsidRPr="006F0C93">
        <w:t>и</w:t>
      </w:r>
      <w:r w:rsidRPr="006F0C93">
        <w:t>мер, в Индонезии Международный валютный фонд, Всемирный банк, Азиатский банк развития, Программа развития Организации Объединенных Наций и другие учреждения-доноры активно поощряли децентрализацию, не уделяя при этом д</w:t>
      </w:r>
      <w:r w:rsidRPr="006F0C93">
        <w:t>о</w:t>
      </w:r>
      <w:r w:rsidRPr="006F0C93">
        <w:t>статочного внимания правам человека</w:t>
      </w:r>
      <w:r w:rsidRPr="00DC687A">
        <w:rPr>
          <w:color w:val="943634" w:themeColor="accent2" w:themeShade="BF"/>
          <w:vertAlign w:val="superscript"/>
          <w:lang w:val="en-GB"/>
        </w:rPr>
        <w:footnoteReference w:id="13"/>
      </w:r>
      <w:r w:rsidRPr="006F0C93">
        <w:t>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VI</w:t>
      </w:r>
      <w:r w:rsidRPr="006F0C93">
        <w:t>.</w:t>
      </w:r>
      <w:r w:rsidRPr="006F0C93">
        <w:tab/>
        <w:t>Правозащитные механизмы на местном уровне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37.</w:t>
      </w:r>
      <w:r w:rsidRPr="006F0C93">
        <w:tab/>
        <w:t>Обеспечение защиты прав человека требует наличия независимых правоз</w:t>
      </w:r>
      <w:r w:rsidRPr="006F0C93">
        <w:t>а</w:t>
      </w:r>
      <w:r w:rsidRPr="006F0C93">
        <w:t>щитных механизмов. Такие механизмы могут принимать различные формы в различных общинах, и существует несколько примеров, которые могли бы сл</w:t>
      </w:r>
      <w:r w:rsidRPr="006F0C93">
        <w:t>у</w:t>
      </w:r>
      <w:r w:rsidRPr="006F0C93">
        <w:t>жить образцом в области осуществления прав человека на местном уровне − местные омбудсмены, советы по рассмотрению жалоб потребителей, советы по рассмотрению жалоб пациентов, учреждения по борьбе с дискриминацией и т.п. Эти механизмы могут иметь самые разнообразные мандаты и структуры, однако они должны рассматриваться в качестве важного средства защиты прав человека и реагирования на жалобы граждан в первой инстанции. Важно отметить, что с</w:t>
      </w:r>
      <w:r w:rsidRPr="006F0C93">
        <w:t>о</w:t>
      </w:r>
      <w:r w:rsidRPr="006F0C93">
        <w:t>здание местного правозащитного механизма позволяет наглядно продемонстр</w:t>
      </w:r>
      <w:r w:rsidRPr="006F0C93">
        <w:t>и</w:t>
      </w:r>
      <w:r w:rsidRPr="006F0C93">
        <w:t>ровать  правозащитную роль местных органов власти. Для эффективного ос</w:t>
      </w:r>
      <w:r w:rsidRPr="006F0C93">
        <w:t>у</w:t>
      </w:r>
      <w:r w:rsidRPr="006F0C93">
        <w:t>ществления своих функций местные органы власти должны быть обеспечены д</w:t>
      </w:r>
      <w:r w:rsidRPr="006F0C93">
        <w:t>о</w:t>
      </w:r>
      <w:r w:rsidRPr="006F0C93">
        <w:t>статочными людскими и финансовыми ресурсами и быть доступными для всех в рамках соответствующего поселения.</w:t>
      </w:r>
    </w:p>
    <w:p w:rsidR="006F0C93" w:rsidRPr="006F0C93" w:rsidRDefault="006F0C93" w:rsidP="006F0C93">
      <w:pPr>
        <w:pStyle w:val="SingleTxt"/>
      </w:pPr>
      <w:r w:rsidRPr="006F0C93">
        <w:t>38.</w:t>
      </w:r>
      <w:r w:rsidRPr="006F0C93">
        <w:tab/>
        <w:t>Европейская хартия обеспечения прав человека в городах, принятая в Сен-Дени в 2000 году</w:t>
      </w:r>
      <w:r w:rsidRPr="00DC687A">
        <w:rPr>
          <w:color w:val="943634" w:themeColor="accent2" w:themeShade="BF"/>
          <w:vertAlign w:val="superscript"/>
          <w:lang w:val="en-GB"/>
        </w:rPr>
        <w:footnoteReference w:id="14"/>
      </w:r>
      <w:r w:rsidRPr="006F0C93">
        <w:t>, предусматривает создание института омбудсмена в качестве механизма профилактики нарушений, а также в качестве средства защиты прав человека на местном уровне. Омбудсмены осуществляют контроль за деятельн</w:t>
      </w:r>
      <w:r w:rsidRPr="006F0C93">
        <w:t>о</w:t>
      </w:r>
      <w:r w:rsidRPr="006F0C93">
        <w:t>стью местных администраций и следят за тем, чтобы они не нарушали права и принципы, изложенные в Хартии.</w:t>
      </w:r>
    </w:p>
    <w:p w:rsidR="006F0C93" w:rsidRPr="006F0C93" w:rsidRDefault="006F0C93" w:rsidP="006F0C93">
      <w:pPr>
        <w:pStyle w:val="SingleTxt"/>
      </w:pPr>
      <w:r w:rsidRPr="006F0C93">
        <w:t>39.</w:t>
      </w:r>
      <w:r w:rsidRPr="006F0C93">
        <w:tab/>
        <w:t>Лишь немногие государства располагают механизмами защиты прав чел</w:t>
      </w:r>
      <w:r w:rsidRPr="006F0C93">
        <w:t>о</w:t>
      </w:r>
      <w:r w:rsidRPr="006F0C93">
        <w:t>века на местном уровне. Например, в нескольких городах Швейцарии открыты офисы омбудсменов. Эти офисы являются независимыми органами, которые в</w:t>
      </w:r>
      <w:r w:rsidRPr="006F0C93">
        <w:t>ы</w:t>
      </w:r>
      <w:r w:rsidRPr="006F0C93">
        <w:t>ступают в роли посредника в случае возникновения конфликтов между частными лицами и властями. Хотя они не уполномочены принимать обязательные к и</w:t>
      </w:r>
      <w:r w:rsidRPr="006F0C93">
        <w:t>с</w:t>
      </w:r>
      <w:r w:rsidRPr="006F0C93">
        <w:t>полнению решения, а только могут выносить рекомендации, они уже доказали, что являются эффективным механизмом урегулирования споров. В Республике Корея при некоторых местных органах власти созданы комиссии по правам чел</w:t>
      </w:r>
      <w:r w:rsidRPr="006F0C93">
        <w:t>о</w:t>
      </w:r>
      <w:r w:rsidRPr="006F0C93">
        <w:t>века. В Нидерландах жалобы, касающиеся нарушений прав человека, могут быть поданы в национальному омбудсмену или направлены в муниципальный мех</w:t>
      </w:r>
      <w:r w:rsidRPr="006F0C93">
        <w:t>а</w:t>
      </w:r>
      <w:r w:rsidRPr="006F0C93">
        <w:t>низм рассм</w:t>
      </w:r>
      <w:r w:rsidR="00D83822">
        <w:t>отрения жалоб. В Дании Советник</w:t>
      </w:r>
      <w:r w:rsidRPr="006F0C93">
        <w:t xml:space="preserve"> по консультированию граждан К</w:t>
      </w:r>
      <w:r w:rsidRPr="006F0C93">
        <w:t>о</w:t>
      </w:r>
      <w:r w:rsidRPr="006F0C93">
        <w:t>пенгагена стал первым в стране институтом оказания гражданам консультацио</w:t>
      </w:r>
      <w:r w:rsidRPr="006F0C93">
        <w:t>н</w:t>
      </w:r>
      <w:r w:rsidRPr="006F0C93">
        <w:t>ной помощи, учрежденным муниципальным советом в целях создания в Копенг</w:t>
      </w:r>
      <w:r w:rsidRPr="006F0C93">
        <w:t>а</w:t>
      </w:r>
      <w:r w:rsidRPr="006F0C93">
        <w:t>гене независимого омбудсмена. Сегодня институты оказания гражданам консул</w:t>
      </w:r>
      <w:r w:rsidRPr="006F0C93">
        <w:t>ь</w:t>
      </w:r>
      <w:r w:rsidRPr="006F0C93">
        <w:t>тационной помощи действуют в 21 муниципалитете. В муниципалитетах Норв</w:t>
      </w:r>
      <w:r w:rsidRPr="006F0C93">
        <w:t>е</w:t>
      </w:r>
      <w:r w:rsidRPr="006F0C93">
        <w:t>гии омбудсмены отвечают за конкретные административные районы. В</w:t>
      </w:r>
      <w:r w:rsidR="00F9069B">
        <w:t> </w:t>
      </w:r>
      <w:r w:rsidRPr="006F0C93">
        <w:t>Боснии и Герцеговине в некоторых местных органах власти созданы комиссии по правам человека, которые выполняют роль консультативного органа муници</w:t>
      </w:r>
      <w:r w:rsidRPr="006F0C93">
        <w:lastRenderedPageBreak/>
        <w:t>пальных с</w:t>
      </w:r>
      <w:r w:rsidRPr="006F0C93">
        <w:t>о</w:t>
      </w:r>
      <w:r w:rsidRPr="006F0C93">
        <w:t>ветов, хотя и не являются механизмами защиты прав человека как таковыми. В Австралии действующая в штате Виктория Комиссия по обеспечению равных возможностей и прав человека оказывает содействие в организации форумов местных органов управления. Она разработала инструментальную систему для местных органов власти и по запросу проводит анализ программ и практики местных органов власти для обеспечения их соответствия положениям Хартии прав и обязанностей человека штата Виктория и организует обучение работников местных советов. В апреле 2003 года был создан Совет независимых экспертов при Институте уполномоченного по правам человека Азербайджана, в работе к</w:t>
      </w:r>
      <w:r w:rsidRPr="006F0C93">
        <w:t>о</w:t>
      </w:r>
      <w:r w:rsidRPr="006F0C93">
        <w:t>торого участвуют члены влиятельных НПО и гражданского общества, занима</w:t>
      </w:r>
      <w:r w:rsidRPr="006F0C93">
        <w:t>ю</w:t>
      </w:r>
      <w:r w:rsidRPr="006F0C93">
        <w:t>щиеся защитой прав человека</w:t>
      </w:r>
      <w:r w:rsidRPr="00DC687A">
        <w:rPr>
          <w:bCs/>
          <w:color w:val="943634" w:themeColor="accent2" w:themeShade="BF"/>
          <w:vertAlign w:val="superscript"/>
          <w:lang w:val="en-GB"/>
        </w:rPr>
        <w:footnoteReference w:id="15"/>
      </w:r>
      <w:r w:rsidRPr="006F0C93">
        <w:t>. Совместно с НПО Комиссар проводит конфере</w:t>
      </w:r>
      <w:r w:rsidRPr="006F0C93">
        <w:t>н</w:t>
      </w:r>
      <w:r w:rsidRPr="006F0C93">
        <w:t>ции, учебные мероприятия, круглые столы и другие мероприятия.</w:t>
      </w:r>
    </w:p>
    <w:p w:rsidR="006F0C93" w:rsidRPr="006F0C93" w:rsidRDefault="006F0C93" w:rsidP="006F0C93">
      <w:pPr>
        <w:pStyle w:val="SingleTxt"/>
      </w:pPr>
      <w:r w:rsidRPr="006F0C93">
        <w:t>40.</w:t>
      </w:r>
      <w:r w:rsidRPr="006F0C93">
        <w:tab/>
        <w:t>В ряде стран (в частности, в Азербайджане, Ирландии и Словении) инст</w:t>
      </w:r>
      <w:r w:rsidRPr="006F0C93">
        <w:t>и</w:t>
      </w:r>
      <w:r w:rsidRPr="006F0C93">
        <w:t>тут национального омбудсмена наделен полномочиями по рассмотрению жалоб не только на государственные, но и местные органы власти.</w:t>
      </w:r>
    </w:p>
    <w:p w:rsidR="006F0C93" w:rsidRPr="006F0C93" w:rsidRDefault="006F0C93" w:rsidP="006F0C93">
      <w:pPr>
        <w:pStyle w:val="SingleTxt"/>
      </w:pPr>
      <w:r w:rsidRPr="006F0C93">
        <w:t>41.</w:t>
      </w:r>
      <w:r w:rsidRPr="006F0C93">
        <w:tab/>
        <w:t>Муниципальный кодекс Гватемалы обязывает местные органы власти соз</w:t>
      </w:r>
      <w:r w:rsidRPr="006F0C93">
        <w:t>ы</w:t>
      </w:r>
      <w:r w:rsidRPr="006F0C93">
        <w:t>вать собрания различных секторов общества муниципального образования для участия в разработке и институционализации муниципальных программ и планов по развитию городских и сельских территорий. Он предусматривает также защ</w:t>
      </w:r>
      <w:r w:rsidRPr="006F0C93">
        <w:t>и</w:t>
      </w:r>
      <w:r w:rsidRPr="006F0C93">
        <w:t>ту и поощрение прав общин на их культурную самобы</w:t>
      </w:r>
      <w:r w:rsidRPr="006F0C93">
        <w:t>т</w:t>
      </w:r>
      <w:r w:rsidRPr="006F0C93">
        <w:t>ность в соответствии с их ценностями, языками, традициями и обычаями. Кроме того, Кодексе предусма</w:t>
      </w:r>
      <w:r w:rsidRPr="006F0C93">
        <w:t>т</w:t>
      </w:r>
      <w:r w:rsidRPr="006F0C93">
        <w:t>ривает создание комиссий по обеспечению выполнения.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546CE">
      <w:pPr>
        <w:pStyle w:val="HCh"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1267"/>
      </w:pPr>
      <w:r w:rsidRPr="006F0C93">
        <w:tab/>
      </w:r>
      <w:r w:rsidRPr="006F0C93">
        <w:rPr>
          <w:lang w:val="en-GB"/>
        </w:rPr>
        <w:t>VII</w:t>
      </w:r>
      <w:r w:rsidRPr="006F0C93">
        <w:t>.</w:t>
      </w:r>
      <w:r w:rsidRPr="006F0C93">
        <w:tab/>
      </w:r>
      <w:r w:rsidR="00F93E6A">
        <w:t>«</w:t>
      </w:r>
      <w:r w:rsidRPr="006F0C93">
        <w:t>Город прав человека</w:t>
      </w:r>
      <w:r w:rsidR="00F93E6A">
        <w:t>»</w:t>
      </w:r>
      <w:r w:rsidRPr="006F0C93">
        <w:t>: концептуальная основа и</w:t>
      </w:r>
      <w:r w:rsidR="00F9069B">
        <w:t> </w:t>
      </w:r>
      <w:r w:rsidRPr="006F0C93">
        <w:t>руководящие принципы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42.</w:t>
      </w:r>
      <w:r w:rsidRPr="006F0C93">
        <w:tab/>
        <w:t xml:space="preserve">Концепция </w:t>
      </w:r>
      <w:r w:rsidR="00F93E6A">
        <w:t>«</w:t>
      </w:r>
      <w:r w:rsidRPr="006F0C93">
        <w:t>города прав человека</w:t>
      </w:r>
      <w:r w:rsidR="00F93E6A">
        <w:t>»</w:t>
      </w:r>
      <w:r w:rsidRPr="006F0C93">
        <w:t xml:space="preserve"> представляет собой разработанную на глобальном уровне инициативу, направленную на обеспечение прав человека на местном уровне. Она опирается на признание городов в качестве ключевых суб</w:t>
      </w:r>
      <w:r w:rsidRPr="006F0C93">
        <w:t>ъ</w:t>
      </w:r>
      <w:r w:rsidRPr="006F0C93">
        <w:t>ектов в деле поощрения и защиты прав человека и в целом означает город, мес</w:t>
      </w:r>
      <w:r w:rsidRPr="006F0C93">
        <w:t>т</w:t>
      </w:r>
      <w:r w:rsidRPr="006F0C93">
        <w:t>ные органы управления и население которого в моральном и правовом плане следуют принципам прав человека. Эта концепция была выдвинута в 1997 году Народным движением за образование в области прав человека (НДОПЧ), явля</w:t>
      </w:r>
      <w:r w:rsidRPr="006F0C93">
        <w:t>ю</w:t>
      </w:r>
      <w:r w:rsidRPr="006F0C93">
        <w:t>щейся некоммерческой международной организацией</w:t>
      </w:r>
      <w:r w:rsidRPr="00DC687A">
        <w:rPr>
          <w:color w:val="943634" w:themeColor="accent2" w:themeShade="BF"/>
          <w:vertAlign w:val="superscript"/>
          <w:lang w:val="en-GB"/>
        </w:rPr>
        <w:footnoteReference w:id="16"/>
      </w:r>
      <w:r w:rsidRPr="006F0C93">
        <w:t>. Она получила развитие, в частности в качестве нормативной концепции, на Всемирном форуме городов за права человека, который проходит ежегодно в городе Кванджу (Республика Корея).</w:t>
      </w:r>
    </w:p>
    <w:p w:rsidR="006F0C93" w:rsidRPr="006F0C93" w:rsidRDefault="006F0C93" w:rsidP="006F0C93">
      <w:pPr>
        <w:pStyle w:val="SingleTxt"/>
      </w:pPr>
      <w:r w:rsidRPr="006F0C93">
        <w:t>43.</w:t>
      </w:r>
      <w:r w:rsidRPr="006F0C93">
        <w:tab/>
        <w:t>В Кванджуйской декларации о городе прав человека, принятой 17 мая 2011</w:t>
      </w:r>
      <w:r w:rsidR="00F9069B">
        <w:t> </w:t>
      </w:r>
      <w:r w:rsidRPr="006F0C93">
        <w:t>года на Всемирном форуме городов прав человека 2011 года, город прав ч</w:t>
      </w:r>
      <w:r w:rsidRPr="006F0C93">
        <w:t>е</w:t>
      </w:r>
      <w:r w:rsidRPr="006F0C93">
        <w:t xml:space="preserve">ловека определяется как </w:t>
      </w:r>
      <w:r w:rsidR="00F9069B">
        <w:t>«</w:t>
      </w:r>
      <w:r w:rsidRPr="006F0C93">
        <w:t>местная община и протекающий в местном контексте социально-политический процесс, в которых права человека играют ключевую роль в качестве фундаментальных ценностей и руководящих принципов</w:t>
      </w:r>
      <w:r w:rsidR="00F9069B">
        <w:t>»</w:t>
      </w:r>
      <w:r w:rsidRPr="006F0C93">
        <w:t>. Город прав человека подразумевает совместное правозащитное управление в местном контексте, когда местные органы государственного управления, местный парл</w:t>
      </w:r>
      <w:r w:rsidRPr="006F0C93">
        <w:t>а</w:t>
      </w:r>
      <w:r w:rsidRPr="006F0C93">
        <w:t>мент (совет), гражданское общество, организации частного сектора и другие з</w:t>
      </w:r>
      <w:r w:rsidRPr="006F0C93">
        <w:t>а</w:t>
      </w:r>
      <w:r w:rsidRPr="006F0C93">
        <w:t>интересованные стороны работают сообща для улучшения качества жизни всего населения, действуя в духе партнерства и в соответствии со стандартами и но</w:t>
      </w:r>
      <w:r w:rsidRPr="006F0C93">
        <w:t>р</w:t>
      </w:r>
      <w:r w:rsidRPr="006F0C93">
        <w:t>мами в области прав человека. Правозащитный подход к местному управлению включает в себя принципы демократии, участия, ответственного руководства, прозрачности, подотчетности, недискриминации, расширения прав и возможн</w:t>
      </w:r>
      <w:r w:rsidRPr="006F0C93">
        <w:t>о</w:t>
      </w:r>
      <w:r w:rsidRPr="006F0C93">
        <w:t xml:space="preserve">стей и </w:t>
      </w:r>
      <w:r w:rsidRPr="006F0C93">
        <w:lastRenderedPageBreak/>
        <w:t>верховенства права. В концепции города прав человека также подчеркив</w:t>
      </w:r>
      <w:r w:rsidRPr="006F0C93">
        <w:t>а</w:t>
      </w:r>
      <w:r w:rsidRPr="006F0C93">
        <w:t>ется важное значение обеспечения широкого участия всех субъектов и заинтер</w:t>
      </w:r>
      <w:r w:rsidRPr="006F0C93">
        <w:t>е</w:t>
      </w:r>
      <w:r w:rsidRPr="006F0C93">
        <w:t>сованных сторон, в частности представителей маргинализованных и уязвимых групп населения, а также важность наличия доступных для всех граждан эффе</w:t>
      </w:r>
      <w:r w:rsidRPr="006F0C93">
        <w:t>к</w:t>
      </w:r>
      <w:r w:rsidRPr="006F0C93">
        <w:t>тивных и независимых механизмов защиты прав человека и контроля за их ос</w:t>
      </w:r>
      <w:r w:rsidRPr="006F0C93">
        <w:t>у</w:t>
      </w:r>
      <w:r w:rsidRPr="006F0C93">
        <w:t>ществлением. В ней признается важность сотрудничества на местном и межд</w:t>
      </w:r>
      <w:r w:rsidRPr="006F0C93">
        <w:t>у</w:t>
      </w:r>
      <w:r w:rsidRPr="006F0C93">
        <w:t>народном уровнях и укрепления солидарности городов, занимающихся поощр</w:t>
      </w:r>
      <w:r w:rsidRPr="006F0C93">
        <w:t>е</w:t>
      </w:r>
      <w:r w:rsidRPr="006F0C93">
        <w:t>нием и з</w:t>
      </w:r>
      <w:r w:rsidRPr="006F0C93">
        <w:t>а</w:t>
      </w:r>
      <w:r w:rsidRPr="006F0C93">
        <w:t>щитой прав человека</w:t>
      </w:r>
      <w:r w:rsidRPr="00DC687A">
        <w:rPr>
          <w:color w:val="943634" w:themeColor="accent2" w:themeShade="BF"/>
          <w:vertAlign w:val="superscript"/>
          <w:lang w:val="en-GB"/>
        </w:rPr>
        <w:footnoteReference w:id="17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44.</w:t>
      </w:r>
      <w:r w:rsidRPr="006F0C93">
        <w:tab/>
        <w:t>Кванджуйские руководящие принципы города прав человека, принятые 17</w:t>
      </w:r>
      <w:r w:rsidR="00F9069B">
        <w:t> </w:t>
      </w:r>
      <w:r w:rsidRPr="006F0C93">
        <w:t>мая 2014 года на Всемирном форуме городов прав человека 2014 года, вкл</w:t>
      </w:r>
      <w:r w:rsidRPr="006F0C93">
        <w:t>ю</w:t>
      </w:r>
      <w:r w:rsidRPr="006F0C93">
        <w:t>чают в себя следующие принципы города прав человека: право на город, неди</w:t>
      </w:r>
      <w:r w:rsidRPr="006F0C93">
        <w:t>с</w:t>
      </w:r>
      <w:r w:rsidRPr="006F0C93">
        <w:t>криминацию и равные возможности, социальную интеграцию и культурное ра</w:t>
      </w:r>
      <w:r w:rsidRPr="006F0C93">
        <w:t>з</w:t>
      </w:r>
      <w:r w:rsidRPr="006F0C93">
        <w:t>нообразие, представительную демократию и подотчетную систему управления, социальную справедливость, солидарность и устойчивость, политическое рук</w:t>
      </w:r>
      <w:r w:rsidRPr="006F0C93">
        <w:t>о</w:t>
      </w:r>
      <w:r w:rsidRPr="006F0C93">
        <w:t>водство и институционализацию, всесторонний учет прав человека, эффективные институты и координацию политики, образование и обучение по вопросам прав человека и право на защиту.</w:t>
      </w:r>
    </w:p>
    <w:p w:rsidR="006F0C93" w:rsidRPr="006F0C93" w:rsidRDefault="006F0C93" w:rsidP="006F0C93">
      <w:pPr>
        <w:pStyle w:val="SingleTxt"/>
      </w:pPr>
      <w:r w:rsidRPr="006F0C93">
        <w:t>45.</w:t>
      </w:r>
      <w:r w:rsidRPr="006F0C93">
        <w:tab/>
        <w:t xml:space="preserve">Ряд городов мира официально объявили себя </w:t>
      </w:r>
      <w:r w:rsidR="00F93E6A">
        <w:t>«</w:t>
      </w:r>
      <w:r w:rsidRPr="006F0C93">
        <w:t>городами прав человека</w:t>
      </w:r>
      <w:r w:rsidR="00F93E6A">
        <w:t>»</w:t>
      </w:r>
      <w:r w:rsidRPr="00DC687A">
        <w:rPr>
          <w:color w:val="943634" w:themeColor="accent2" w:themeShade="BF"/>
          <w:vertAlign w:val="superscript"/>
          <w:lang w:val="en-GB"/>
        </w:rPr>
        <w:footnoteReference w:id="18"/>
      </w:r>
      <w:r w:rsidRPr="006F0C93">
        <w:t>, и уже было создано несколько международных сетей городов.</w:t>
      </w:r>
    </w:p>
    <w:p w:rsidR="006F0C93" w:rsidRPr="006F0C93" w:rsidRDefault="006F0C93" w:rsidP="006F0C93">
      <w:pPr>
        <w:pStyle w:val="SingleTxt"/>
      </w:pPr>
      <w:r w:rsidRPr="006F0C93">
        <w:t>46.</w:t>
      </w:r>
      <w:r w:rsidRPr="006F0C93">
        <w:tab/>
        <w:t xml:space="preserve">Как в теории, так и на практике были разработаны и другие концепции, по сути направленные на достижение аналогичной цели. Одна из них − </w:t>
      </w:r>
      <w:r w:rsidR="00F93E6A">
        <w:t>«</w:t>
      </w:r>
      <w:r w:rsidRPr="006F0C93">
        <w:t>право на город</w:t>
      </w:r>
      <w:r w:rsidR="00F93E6A">
        <w:t>»</w:t>
      </w:r>
      <w:r w:rsidRPr="006F0C93">
        <w:t xml:space="preserve"> – была впервые сформулирована французским философом Анри Лефе</w:t>
      </w:r>
      <w:r w:rsidRPr="006F0C93">
        <w:t>в</w:t>
      </w:r>
      <w:r w:rsidRPr="006F0C93">
        <w:t>ром</w:t>
      </w:r>
      <w:r w:rsidRPr="00DC687A">
        <w:rPr>
          <w:color w:val="943634" w:themeColor="accent2" w:themeShade="BF"/>
          <w:vertAlign w:val="superscript"/>
          <w:lang w:val="en-GB"/>
        </w:rPr>
        <w:footnoteReference w:id="19"/>
      </w:r>
      <w:r w:rsidRPr="006F0C93">
        <w:t xml:space="preserve">; в этой концепции речь идет в основном о праве жителей и </w:t>
      </w:r>
      <w:r w:rsidR="00F93E6A">
        <w:t>«</w:t>
      </w:r>
      <w:r w:rsidRPr="006F0C93">
        <w:t>пользоват</w:t>
      </w:r>
      <w:r w:rsidRPr="006F0C93">
        <w:t>е</w:t>
      </w:r>
      <w:r w:rsidRPr="006F0C93">
        <w:t>лей</w:t>
      </w:r>
      <w:r w:rsidR="00F93E6A">
        <w:t>»</w:t>
      </w:r>
      <w:r w:rsidRPr="006F0C93">
        <w:t xml:space="preserve"> города на участие в местной общественной жизни и определении содерж</w:t>
      </w:r>
      <w:r w:rsidRPr="006F0C93">
        <w:t>а</w:t>
      </w:r>
      <w:r w:rsidRPr="006F0C93">
        <w:t>ния городского пространства</w:t>
      </w:r>
      <w:r w:rsidRPr="00DC687A">
        <w:rPr>
          <w:color w:val="943634" w:themeColor="accent2" w:themeShade="BF"/>
          <w:vertAlign w:val="superscript"/>
          <w:lang w:val="en-GB"/>
        </w:rPr>
        <w:footnoteReference w:id="20"/>
      </w:r>
      <w:r w:rsidRPr="006F0C93">
        <w:t>. На сегодняшний день можно привести лишь н</w:t>
      </w:r>
      <w:r w:rsidRPr="006F0C93">
        <w:t>е</w:t>
      </w:r>
      <w:r w:rsidRPr="006F0C93">
        <w:t xml:space="preserve">сколько примеров институционального закрепления понятия </w:t>
      </w:r>
      <w:r w:rsidR="00F93E6A">
        <w:t>«</w:t>
      </w:r>
      <w:r w:rsidRPr="006F0C93">
        <w:t>права на город</w:t>
      </w:r>
      <w:r w:rsidR="00F93E6A">
        <w:t>»</w:t>
      </w:r>
      <w:r w:rsidRPr="006F0C93">
        <w:t>, к числу которых относится Устав города Бразилии (2001 года), Монреальская ха</w:t>
      </w:r>
      <w:r w:rsidRPr="006F0C93">
        <w:t>р</w:t>
      </w:r>
      <w:r w:rsidRPr="006F0C93">
        <w:t>тия прав и обязанностей (2006 года) и Хартия права на город Мехико (2010 года).</w:t>
      </w:r>
    </w:p>
    <w:p w:rsidR="006F0C93" w:rsidRPr="006F0C93" w:rsidRDefault="006F0C93" w:rsidP="006F0C93">
      <w:pPr>
        <w:pStyle w:val="SingleTxt"/>
      </w:pPr>
      <w:r w:rsidRPr="006F0C93">
        <w:t>47.</w:t>
      </w:r>
      <w:r w:rsidRPr="006F0C93">
        <w:tab/>
        <w:t>Право на город было конкретно прописано во Всемирной хартии о праве на жизнь в городе (2005 года)</w:t>
      </w:r>
      <w:r w:rsidRPr="00DC687A">
        <w:rPr>
          <w:color w:val="943634" w:themeColor="accent2" w:themeShade="BF"/>
          <w:vertAlign w:val="superscript"/>
          <w:lang w:val="en-GB"/>
        </w:rPr>
        <w:footnoteReference w:id="21"/>
      </w:r>
      <w:r w:rsidRPr="006F0C93">
        <w:t>; в подготовке этого важного документа участвовал целый ряд организаций и сетей, в том числе ЮНЕСКО и ООН-Хабитат. В данной Хартии право на город определяется как справедливое использование городов в соответствии с принципами устойчивого развития, демократии, равенства и с</w:t>
      </w:r>
      <w:r w:rsidRPr="006F0C93">
        <w:t>о</w:t>
      </w:r>
      <w:r w:rsidRPr="006F0C93">
        <w:t>циальной справедливости. Это коллективное право городских жителей, которое обеспечивает им законное право на действия и организацию на основе уважения их различий, форм культурного самовыражения и обычаев с целью осуществл</w:t>
      </w:r>
      <w:r w:rsidRPr="006F0C93">
        <w:t>е</w:t>
      </w:r>
      <w:r w:rsidRPr="006F0C93">
        <w:t xml:space="preserve">ния их права на самоопределение и достижение достаточного уровня жизни. Право на город взаимосвязано с другими международно признанными правами человека, включая гражданские, политические, экономические, социальные, </w:t>
      </w:r>
      <w:r w:rsidRPr="006F0C93">
        <w:lastRenderedPageBreak/>
        <w:t>культурные и экологические права, закрепленные в международных договорах в области прав человека.</w:t>
      </w:r>
    </w:p>
    <w:p w:rsidR="006F0C93" w:rsidRPr="006F0C93" w:rsidRDefault="006F0C93" w:rsidP="006F0C93">
      <w:pPr>
        <w:pStyle w:val="SingleTxt"/>
      </w:pPr>
      <w:r w:rsidRPr="006F0C93">
        <w:t>48.</w:t>
      </w:r>
      <w:r w:rsidRPr="006F0C93">
        <w:tab/>
        <w:t xml:space="preserve">Концепция </w:t>
      </w:r>
      <w:r w:rsidR="00F93E6A">
        <w:t>«</w:t>
      </w:r>
      <w:r w:rsidRPr="006F0C93">
        <w:t>прав города</w:t>
      </w:r>
      <w:r w:rsidR="00F93E6A">
        <w:t>»</w:t>
      </w:r>
      <w:r w:rsidRPr="006F0C93">
        <w:t xml:space="preserve"> сформировалась в последние десятилетия в усл</w:t>
      </w:r>
      <w:r w:rsidRPr="006F0C93">
        <w:t>о</w:t>
      </w:r>
      <w:r w:rsidRPr="006F0C93">
        <w:t>виях глобализации рынка в качестве альтернативы сокращению обязанностей и ресурсов органов государственной власти на центральном и региональном уро</w:t>
      </w:r>
      <w:r w:rsidRPr="006F0C93">
        <w:t>в</w:t>
      </w:r>
      <w:r w:rsidRPr="006F0C93">
        <w:t>нях. Многие города все больше зависят от центральных директивных учрежд</w:t>
      </w:r>
      <w:r w:rsidRPr="006F0C93">
        <w:t>е</w:t>
      </w:r>
      <w:r w:rsidRPr="006F0C93">
        <w:t>ний, государственных бюджетов и инвестиций, в то время как муниципалитеты вынуждены сами заботиться о себе и/или бороться за получение средств на цели обеспечения развития и услуг, при этом зачастую не располагая необходимыми полномочиями на получение доходов или эффективное участие в принятии р</w:t>
      </w:r>
      <w:r w:rsidRPr="006F0C93">
        <w:t>е</w:t>
      </w:r>
      <w:r w:rsidRPr="006F0C93">
        <w:t>шений, затрагивающих вопросы распределения ресурсов. В таких случаях мес</w:t>
      </w:r>
      <w:r w:rsidRPr="006F0C93">
        <w:t>т</w:t>
      </w:r>
      <w:r w:rsidRPr="006F0C93">
        <w:t>ные власти могут столкнуться с перспективой необходимости приватизации о</w:t>
      </w:r>
      <w:r w:rsidRPr="006F0C93">
        <w:t>б</w:t>
      </w:r>
      <w:r w:rsidR="00F9069B">
        <w:t xml:space="preserve">щественных благ и услуг </w:t>
      </w:r>
      <w:r w:rsidRPr="006F0C93">
        <w:t>(что, как правило, имеет негативные экономические последствия для бедных слоев населения) и/или будут вынуждены изыскивать финансовую поддержку на частном финансовом рынке. Эта концепция может о</w:t>
      </w:r>
      <w:r w:rsidRPr="006F0C93">
        <w:t>т</w:t>
      </w:r>
      <w:r w:rsidRPr="006F0C93">
        <w:t>носиться к административным, политическим и экономическим правам местных органов власти в контексте их взаимоотношений с национальн</w:t>
      </w:r>
      <w:r w:rsidRPr="006F0C93">
        <w:t>ы</w:t>
      </w:r>
      <w:r w:rsidRPr="006F0C93">
        <w:t>ми/феде</w:t>
      </w:r>
      <w:r w:rsidR="00F9069B">
        <w:t>-</w:t>
      </w:r>
      <w:r w:rsidRPr="006F0C93">
        <w:t>ральными властями, а также к участию и роли местных органов власти в их вз</w:t>
      </w:r>
      <w:r w:rsidRPr="006F0C93">
        <w:t>а</w:t>
      </w:r>
      <w:r w:rsidRPr="006F0C93">
        <w:t>имоотношениях с международными и многосторонними учреждениями (Орган</w:t>
      </w:r>
      <w:r w:rsidRPr="006F0C93">
        <w:t>и</w:t>
      </w:r>
      <w:r w:rsidRPr="006F0C93">
        <w:t>зация Объединенных Наций, Всемирный банк, Международный валю</w:t>
      </w:r>
      <w:r w:rsidRPr="006F0C93">
        <w:t>т</w:t>
      </w:r>
      <w:r w:rsidRPr="006F0C93">
        <w:t>ный фонд и т.д.).</w:t>
      </w:r>
    </w:p>
    <w:p w:rsidR="006F0C93" w:rsidRPr="006F0C93" w:rsidRDefault="006F0C93" w:rsidP="006F0C93">
      <w:pPr>
        <w:pStyle w:val="SingleTxt"/>
      </w:pPr>
      <w:r w:rsidRPr="006F0C93">
        <w:t>49.</w:t>
      </w:r>
      <w:r w:rsidRPr="006F0C93">
        <w:tab/>
        <w:t xml:space="preserve">Концепция </w:t>
      </w:r>
      <w:r w:rsidR="00F93E6A">
        <w:t>«</w:t>
      </w:r>
      <w:r w:rsidRPr="006F0C93">
        <w:t>прав человека в городе</w:t>
      </w:r>
      <w:r w:rsidR="00F93E6A">
        <w:t>»</w:t>
      </w:r>
      <w:r w:rsidRPr="006F0C93">
        <w:t>, получившая свое развитие главным образом в Европейской хартии обеспечения прав человека в городах и Глобал</w:t>
      </w:r>
      <w:r w:rsidRPr="006F0C93">
        <w:t>ь</w:t>
      </w:r>
      <w:r w:rsidRPr="006F0C93">
        <w:t>ной хартии − Программе действий в области обеспечения прав человека в гор</w:t>
      </w:r>
      <w:r w:rsidRPr="006F0C93">
        <w:t>о</w:t>
      </w:r>
      <w:r w:rsidRPr="006F0C93">
        <w:t>дах</w:t>
      </w:r>
      <w:r w:rsidRPr="00DC687A">
        <w:rPr>
          <w:color w:val="943634" w:themeColor="accent2" w:themeShade="BF"/>
          <w:vertAlign w:val="superscript"/>
          <w:lang w:val="en-GB"/>
        </w:rPr>
        <w:footnoteReference w:id="22"/>
      </w:r>
      <w:r w:rsidRPr="006F0C93">
        <w:t>, предусматривает: обязательство соблюдать, защищать и осуществлять все международно признанные права человека на местном уровне, уделять приор</w:t>
      </w:r>
      <w:r w:rsidRPr="006F0C93">
        <w:t>и</w:t>
      </w:r>
      <w:r w:rsidRPr="006F0C93">
        <w:t>тетное внимание представителям маргинализованных групп населения и насел</w:t>
      </w:r>
      <w:r w:rsidRPr="006F0C93">
        <w:t>е</w:t>
      </w:r>
      <w:r w:rsidRPr="006F0C93">
        <w:t>ния, находящегося в уязвимом положении, а также использовать правозащитный подход к осуществлению политики на местном уровне (не только к реализации программ в области прав человека).</w:t>
      </w:r>
    </w:p>
    <w:p w:rsidR="006F0C93" w:rsidRPr="006F0C93" w:rsidRDefault="006F0C93" w:rsidP="006F0C93">
      <w:pPr>
        <w:pStyle w:val="SingleTxt"/>
      </w:pPr>
      <w:r w:rsidRPr="006F0C93">
        <w:t>50.</w:t>
      </w:r>
      <w:r w:rsidRPr="006F0C93">
        <w:tab/>
        <w:t>При этом примеры передового опыта включают в себя политические иниц</w:t>
      </w:r>
      <w:r w:rsidRPr="006F0C93">
        <w:t>и</w:t>
      </w:r>
      <w:r w:rsidRPr="006F0C93">
        <w:t>ативы, в которых признается также применимость подхода, предусматрива</w:t>
      </w:r>
      <w:r w:rsidRPr="006F0C93">
        <w:t>ю</w:t>
      </w:r>
      <w:r w:rsidRPr="006F0C93">
        <w:t xml:space="preserve">щего создание </w:t>
      </w:r>
      <w:r w:rsidR="00F93E6A">
        <w:t>«</w:t>
      </w:r>
      <w:r w:rsidRPr="006F0C93">
        <w:t>среды прав человека</w:t>
      </w:r>
      <w:r w:rsidR="00F93E6A">
        <w:t>»</w:t>
      </w:r>
      <w:r w:rsidRPr="006F0C93">
        <w:t xml:space="preserve"> с использованием более всеобъемлющей ко</w:t>
      </w:r>
      <w:r w:rsidRPr="006F0C93">
        <w:t>н</w:t>
      </w:r>
      <w:r w:rsidRPr="006F0C93">
        <w:t>цепции сельско-городского континуума и осмысленное признание того, что ж</w:t>
      </w:r>
      <w:r w:rsidRPr="006F0C93">
        <w:t>и</w:t>
      </w:r>
      <w:r w:rsidRPr="006F0C93">
        <w:t>тели периферии городских центров, а также более отдаленных районов облад</w:t>
      </w:r>
      <w:r w:rsidRPr="006F0C93">
        <w:t>а</w:t>
      </w:r>
      <w:r w:rsidRPr="006F0C93">
        <w:t xml:space="preserve">ют теми же правами, что и жители городов. Одним из примеров использования этой концепции является первый Гражданский форум Найроби, на котором этот город был объявлен </w:t>
      </w:r>
      <w:r w:rsidR="00F93E6A">
        <w:t>«</w:t>
      </w:r>
      <w:r w:rsidRPr="006F0C93">
        <w:t>средой прав человека</w:t>
      </w:r>
      <w:r w:rsidR="00F93E6A">
        <w:t>»</w:t>
      </w:r>
      <w:r w:rsidRPr="006F0C93">
        <w:t xml:space="preserve"> (2002 год). Эта инициатива возникла при поддержке местного Института Мазингира в рамках его экологической програ</w:t>
      </w:r>
      <w:r w:rsidRPr="006F0C93">
        <w:t>м</w:t>
      </w:r>
      <w:r w:rsidRPr="006F0C93">
        <w:t>мы и тематики. Кроме того, в течение последних десяти лет Международная ко</w:t>
      </w:r>
      <w:r w:rsidRPr="006F0C93">
        <w:t>а</w:t>
      </w:r>
      <w:r w:rsidRPr="006F0C93">
        <w:t>лиция Хабитат и ее Сеть организаций по вопросам жилища и земельных прав з</w:t>
      </w:r>
      <w:r w:rsidRPr="006F0C93">
        <w:t>а</w:t>
      </w:r>
      <w:r w:rsidRPr="006F0C93">
        <w:t xml:space="preserve">нимаются пропагандой и развитием концепции </w:t>
      </w:r>
      <w:r w:rsidR="00F93E6A">
        <w:t>«</w:t>
      </w:r>
      <w:r w:rsidRPr="006F0C93">
        <w:t>права на город</w:t>
      </w:r>
      <w:r w:rsidR="00F93E6A">
        <w:t>»</w:t>
      </w:r>
      <w:r w:rsidRPr="006F0C93">
        <w:t>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VIII</w:t>
      </w:r>
      <w:r w:rsidRPr="006F0C93">
        <w:t>.</w:t>
      </w:r>
      <w:r w:rsidRPr="006F0C93">
        <w:tab/>
        <w:t>Роль гражданского общества в планировании и</w:t>
      </w:r>
      <w:r w:rsidR="003E719E">
        <w:rPr>
          <w:lang w:val="en-US"/>
        </w:rPr>
        <w:t> </w:t>
      </w:r>
      <w:r w:rsidRPr="006F0C93">
        <w:t>осуществлении мероприятий в области поощрения и</w:t>
      </w:r>
      <w:r w:rsidR="003E719E">
        <w:rPr>
          <w:lang w:val="en-US"/>
        </w:rPr>
        <w:t> </w:t>
      </w:r>
      <w:r w:rsidRPr="006F0C93">
        <w:t>защиты прав человека на местном уровне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51.</w:t>
      </w:r>
      <w:r w:rsidRPr="006F0C93">
        <w:tab/>
        <w:t>Большинство государств, приславших заполненный вопросник, не предст</w:t>
      </w:r>
      <w:r w:rsidRPr="006F0C93">
        <w:t>а</w:t>
      </w:r>
      <w:r w:rsidRPr="006F0C93">
        <w:t>вили ответа на вопрос о роли гражданского общества в планировании и ос</w:t>
      </w:r>
      <w:r w:rsidRPr="006F0C93">
        <w:t>у</w:t>
      </w:r>
      <w:r w:rsidRPr="006F0C93">
        <w:t>ществлении мероприятий в области защиты и поощрения прав человека на мес</w:t>
      </w:r>
      <w:r w:rsidRPr="006F0C93">
        <w:t>т</w:t>
      </w:r>
      <w:r w:rsidRPr="006F0C93">
        <w:lastRenderedPageBreak/>
        <w:t>ном уровне или представили страдающие отсутствием конкретики ответы. Одн</w:t>
      </w:r>
      <w:r w:rsidRPr="006F0C93">
        <w:t>а</w:t>
      </w:r>
      <w:r w:rsidRPr="006F0C93">
        <w:t>ко некоторые ответы свидетельствуют об участии организаций гражданского о</w:t>
      </w:r>
      <w:r w:rsidRPr="006F0C93">
        <w:t>б</w:t>
      </w:r>
      <w:r w:rsidRPr="006F0C93">
        <w:t>щества в учебных мероприятиях (Бурунди). Другие государства сообщили о том, что НПО осуществляют активную деятельность, но не обязательно в сотруднич</w:t>
      </w:r>
      <w:r w:rsidRPr="006F0C93">
        <w:t>е</w:t>
      </w:r>
      <w:r w:rsidRPr="006F0C93">
        <w:t>стве с правительством (Венгрия, Грузия, Ливан, Словения и Швейц</w:t>
      </w:r>
      <w:r w:rsidRPr="006F0C93">
        <w:t>а</w:t>
      </w:r>
      <w:r w:rsidRPr="006F0C93">
        <w:t>рия).</w:t>
      </w:r>
    </w:p>
    <w:p w:rsidR="006F0C93" w:rsidRPr="006F0C93" w:rsidRDefault="006F0C93" w:rsidP="006F0C93">
      <w:pPr>
        <w:pStyle w:val="SingleTxt"/>
      </w:pPr>
      <w:r w:rsidRPr="006F0C93">
        <w:t>52.</w:t>
      </w:r>
      <w:r w:rsidRPr="006F0C93">
        <w:tab/>
        <w:t>Гражданское общество по-прежнему играет вспомогательную роль в пр</w:t>
      </w:r>
      <w:r w:rsidRPr="006F0C93">
        <w:t>о</w:t>
      </w:r>
      <w:r w:rsidRPr="006F0C93">
        <w:t>цессе принятия решений, а не выступает в качестве партнера. Условия работы НПО в некоторых странах, как сообщается, ограничиваются государством, и они не имеют возможности получать финансирование. Респонденты сообщают о многочисленных нарушениях прав человека на свободу выражения мнений и объединений в отношении НПО.</w:t>
      </w:r>
    </w:p>
    <w:p w:rsidR="006F0C93" w:rsidRPr="006F0C93" w:rsidRDefault="006F0C93" w:rsidP="006F0C93">
      <w:pPr>
        <w:pStyle w:val="SingleTxt"/>
      </w:pPr>
      <w:r w:rsidRPr="006F0C93">
        <w:t>53.</w:t>
      </w:r>
      <w:r w:rsidRPr="006F0C93">
        <w:tab/>
        <w:t>Большинство респондентов пояснили, что стимулами для поощрения прав человека являются в первую очередь борьба с нарушениями прав человека и страданиями людей, свидетелями которых они являются и/или которые они и</w:t>
      </w:r>
      <w:r w:rsidRPr="006F0C93">
        <w:t>с</w:t>
      </w:r>
      <w:r w:rsidRPr="006F0C93">
        <w:t>пытывают. Модель города прав человека Кванджу (Республика Корея) распр</w:t>
      </w:r>
      <w:r w:rsidRPr="006F0C93">
        <w:t>о</w:t>
      </w:r>
      <w:r w:rsidRPr="006F0C93">
        <w:t>страняется на другие города под влиянием Кванджуйского демократического движения 18 мая. В ответе округа Принс-Джордж (Мэридленд, Соединенные Штаты Америки) указывается на стимулы, уходящие корнями в местную ист</w:t>
      </w:r>
      <w:r w:rsidRPr="006F0C93">
        <w:t>о</w:t>
      </w:r>
      <w:r w:rsidRPr="006F0C93">
        <w:t>рию бывшего рабовладельческого округа</w:t>
      </w:r>
      <w:r w:rsidRPr="00DC687A">
        <w:rPr>
          <w:color w:val="943634" w:themeColor="accent2" w:themeShade="BF"/>
          <w:vertAlign w:val="superscript"/>
          <w:lang w:val="en-US"/>
        </w:rPr>
        <w:footnoteReference w:id="23"/>
      </w:r>
      <w:r w:rsidRPr="006F0C93">
        <w:t>. Многие респонденты охарактериз</w:t>
      </w:r>
      <w:r w:rsidRPr="006F0C93">
        <w:t>о</w:t>
      </w:r>
      <w:r w:rsidRPr="006F0C93">
        <w:t>вали нарушения как непрекращающиеся, включая обусловленные: экономич</w:t>
      </w:r>
      <w:r w:rsidRPr="006F0C93">
        <w:t>е</w:t>
      </w:r>
      <w:r w:rsidRPr="006F0C93">
        <w:t xml:space="preserve">ской нестабильностью и финансовым кризисом; коррупцией и вооруженными конфликтами; авторитарными режимами; и дискриминацией по признаку пола, расы и цвета кожи. </w:t>
      </w:r>
    </w:p>
    <w:p w:rsidR="006F0C93" w:rsidRPr="006F0C93" w:rsidRDefault="006F0C93" w:rsidP="006F0C93">
      <w:pPr>
        <w:pStyle w:val="SingleTxt"/>
      </w:pPr>
      <w:r w:rsidRPr="006F0C93">
        <w:t>54.</w:t>
      </w:r>
      <w:r w:rsidRPr="006F0C93">
        <w:tab/>
        <w:t>После протестов в парке Таксим-Гези в Турции гражданское общество и</w:t>
      </w:r>
      <w:r w:rsidRPr="006F0C93">
        <w:t>г</w:t>
      </w:r>
      <w:r w:rsidRPr="006F0C93">
        <w:t>рает все более важную роль в организации совещаний и подготовке докладов о том, что конкретные группы ожидают от местных органов власти. Положител</w:t>
      </w:r>
      <w:r w:rsidRPr="006F0C93">
        <w:t>ь</w:t>
      </w:r>
      <w:r w:rsidRPr="006F0C93">
        <w:t>ными примерами являются инициативы, осуществленные СПоД (национальной НПО лесбиянок, геев, бисексуалов, транссексуалов и интерсексуалов), два соц</w:t>
      </w:r>
      <w:r w:rsidRPr="006F0C93">
        <w:t>и</w:t>
      </w:r>
      <w:r w:rsidRPr="006F0C93">
        <w:t>альных интернет-движения, Ассоциация по поддержке и подготовке женщин-кандидатов (КА.ДЕР), Урбанистическое народное движение, ИУЛА–ЭММЕ (Международное объединение местных органов власти, Секция региона Восто</w:t>
      </w:r>
      <w:r w:rsidRPr="006F0C93">
        <w:t>ч</w:t>
      </w:r>
      <w:r w:rsidRPr="006F0C93">
        <w:t>ного Средиземноморья и Ближнего Востока (в настоящее время УКЛГ–МЕВА)</w:t>
      </w:r>
      <w:r w:rsidR="00D83822">
        <w:t>)</w:t>
      </w:r>
      <w:r w:rsidRPr="00DC687A">
        <w:rPr>
          <w:color w:val="943634" w:themeColor="accent2" w:themeShade="BF"/>
          <w:vertAlign w:val="superscript"/>
          <w:lang w:val="en-GB"/>
        </w:rPr>
        <w:footnoteReference w:id="24"/>
      </w:r>
      <w:r w:rsidRPr="006F0C93">
        <w:t>.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IX</w:t>
      </w:r>
      <w:r w:rsidRPr="006F0C93">
        <w:t>.</w:t>
      </w:r>
      <w:r w:rsidRPr="006F0C93">
        <w:tab/>
        <w:t>Передовой опыт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</w:pPr>
      <w:r w:rsidRPr="006F0C93">
        <w:t>55.</w:t>
      </w:r>
      <w:r w:rsidRPr="006F0C93">
        <w:tab/>
        <w:t>Анализ полученных на вопросник ответов свидетельствует о том, что гра</w:t>
      </w:r>
      <w:r w:rsidRPr="006F0C93">
        <w:t>ж</w:t>
      </w:r>
      <w:r w:rsidRPr="006F0C93">
        <w:t>данское общество играет важную роль в активизации правозащитной деятельн</w:t>
      </w:r>
      <w:r w:rsidRPr="006F0C93">
        <w:t>о</w:t>
      </w:r>
      <w:r w:rsidRPr="006F0C93">
        <w:t>сти на местном уровне в соответствующих странах. Так, например, в Венгрии в соответствии с национальным законодательством НПО могут участвовать в пр</w:t>
      </w:r>
      <w:r w:rsidRPr="006F0C93">
        <w:t>о</w:t>
      </w:r>
      <w:r w:rsidRPr="006F0C93">
        <w:t>цессе разработки и осуществления регламентирующих норм и программ мун</w:t>
      </w:r>
      <w:r w:rsidRPr="006F0C93">
        <w:t>и</w:t>
      </w:r>
      <w:r w:rsidRPr="006F0C93">
        <w:t>ципалитетов. В Бурунди гражданское общество принимает активное участие в организации учебных мероприятий по вопросам прав человека в целях реализ</w:t>
      </w:r>
      <w:r w:rsidRPr="006F0C93">
        <w:t>а</w:t>
      </w:r>
      <w:r w:rsidRPr="006F0C93">
        <w:t>ции информационно-просветительских программ. В Индии представители гра</w:t>
      </w:r>
      <w:r w:rsidRPr="006F0C93">
        <w:t>ж</w:t>
      </w:r>
      <w:r w:rsidRPr="006F0C93">
        <w:t>данского общества вносят свой вклад в укрепление роли местных органов власти в деле эффективного решения на местном уровне вопросов, связанных с правами обездоленных слоев населения. В Швейцарии НПО имеют право инициировать различного рода проекты, например по борьбе с расизмом. В Люксембурге пр</w:t>
      </w:r>
      <w:r w:rsidRPr="006F0C93">
        <w:t>и</w:t>
      </w:r>
      <w:r w:rsidRPr="006F0C93">
        <w:t>мером участия гражданского общества в деятельности по поощрению и защите прав человека является Национальный совет по делам иностранцев. Совет с</w:t>
      </w:r>
      <w:r w:rsidRPr="006F0C93">
        <w:t>о</w:t>
      </w:r>
      <w:r w:rsidRPr="006F0C93">
        <w:t>стоит из представителей гражданского общества и является консультативным о</w:t>
      </w:r>
      <w:r w:rsidRPr="006F0C93">
        <w:t>р</w:t>
      </w:r>
      <w:r w:rsidRPr="006F0C93">
        <w:lastRenderedPageBreak/>
        <w:t>ганом, изучающим вопросы, связанные с положением иностранцев и их интегр</w:t>
      </w:r>
      <w:r w:rsidRPr="006F0C93">
        <w:t>а</w:t>
      </w:r>
      <w:r w:rsidRPr="006F0C93">
        <w:t>цией в жизнь общества. Он выносит рекомендации по государственным проектам и предлагает программы. При этом следует отметить, что в некоторых странах гражданское общество не играет никакой роли в защите прав человека на мес</w:t>
      </w:r>
      <w:r w:rsidRPr="006F0C93">
        <w:t>т</w:t>
      </w:r>
      <w:r w:rsidRPr="006F0C93">
        <w:t>ном уровне.</w:t>
      </w:r>
    </w:p>
    <w:p w:rsidR="006F0C93" w:rsidRPr="006F0C93" w:rsidRDefault="006F0C93" w:rsidP="006F0C93">
      <w:pPr>
        <w:pStyle w:val="SingleTxt"/>
      </w:pPr>
      <w:r w:rsidRPr="006F0C93">
        <w:t>56.</w:t>
      </w:r>
      <w:r w:rsidRPr="006F0C93">
        <w:tab/>
        <w:t>Существует ряд инициатив, направленных на укрепление потенциала мес</w:t>
      </w:r>
      <w:r w:rsidRPr="006F0C93">
        <w:t>т</w:t>
      </w:r>
      <w:r w:rsidRPr="006F0C93">
        <w:t>ных органов власти и должностных лиц в области прав человека. В Бурунди для сотрудников правоохранительных органов организуются учебные мероприятия по правам человека. В Мексике для государственных служащих проводятся зан</w:t>
      </w:r>
      <w:r w:rsidRPr="006F0C93">
        <w:t>я</w:t>
      </w:r>
      <w:r w:rsidRPr="006F0C93">
        <w:t>тия, посвященные новым конституционным принципам, включая права человека. В Грузии целевой аудиторией мероприятий по наращиванию потенциала являю</w:t>
      </w:r>
      <w:r w:rsidRPr="006F0C93">
        <w:t>т</w:t>
      </w:r>
      <w:r w:rsidRPr="006F0C93">
        <w:t>ся непосредственно граждане, а на местные органы власти. В Австралии Австр</w:t>
      </w:r>
      <w:r w:rsidRPr="006F0C93">
        <w:t>а</w:t>
      </w:r>
      <w:r w:rsidRPr="006F0C93">
        <w:t>лийская ассоциация местных органов власти и Национальная комиссия по пр</w:t>
      </w:r>
      <w:r w:rsidRPr="006F0C93">
        <w:t>а</w:t>
      </w:r>
      <w:r w:rsidRPr="006F0C93">
        <w:t>вам человека сотрудничают друг с другом в деле практической реализации прав человека на местном уровне.</w:t>
      </w:r>
    </w:p>
    <w:p w:rsidR="006F0C93" w:rsidRPr="006F0C93" w:rsidRDefault="006F0C93" w:rsidP="006F0C93">
      <w:pPr>
        <w:pStyle w:val="SingleTxt"/>
      </w:pPr>
      <w:r w:rsidRPr="006F0C93">
        <w:t>57.</w:t>
      </w:r>
      <w:r w:rsidRPr="006F0C93">
        <w:tab/>
        <w:t>В Венгрии местные органы управления обязаны анализировать условия находящихся в неблагоприятном положении групп населения в районах их пр</w:t>
      </w:r>
      <w:r w:rsidRPr="006F0C93">
        <w:t>о</w:t>
      </w:r>
      <w:r w:rsidRPr="006F0C93">
        <w:t>живания и поощрять создание для них равных возможностей. В Люксембурге учреждены Консультативные комиссии по вопросам социальной интеграции, к</w:t>
      </w:r>
      <w:r w:rsidRPr="006F0C93">
        <w:t>о</w:t>
      </w:r>
      <w:r w:rsidRPr="006F0C93">
        <w:t>торые выносят рекомендации местным органам власти. Бурунди отмечает в кач</w:t>
      </w:r>
      <w:r w:rsidRPr="006F0C93">
        <w:t>е</w:t>
      </w:r>
      <w:r w:rsidRPr="006F0C93">
        <w:t>стве передового опыта сотрудничество между местными органами власти и с</w:t>
      </w:r>
      <w:r w:rsidRPr="006F0C93">
        <w:t>и</w:t>
      </w:r>
      <w:r w:rsidRPr="006F0C93">
        <w:t>стемой Организации Объединенных Наций. Люксембург поощряет многоязычие и многообразие культур при оказании государственных услуг, в частности по и</w:t>
      </w:r>
      <w:r w:rsidRPr="006F0C93">
        <w:t>н</w:t>
      </w:r>
      <w:r w:rsidRPr="006F0C93">
        <w:t>теграции мигрантов.</w:t>
      </w:r>
    </w:p>
    <w:p w:rsidR="006F0C93" w:rsidRPr="006F0C93" w:rsidRDefault="006F0C93" w:rsidP="006F0C93">
      <w:pPr>
        <w:pStyle w:val="SingleTxt"/>
      </w:pPr>
      <w:r w:rsidRPr="006F0C93">
        <w:t>58.</w:t>
      </w:r>
      <w:r w:rsidRPr="006F0C93">
        <w:tab/>
        <w:t>В Австралии действующая в штате Виктория Комиссия по обеспечению равных возможностей и прав человека оказывает содействие организации фор</w:t>
      </w:r>
      <w:r w:rsidRPr="006F0C93">
        <w:t>у</w:t>
      </w:r>
      <w:r w:rsidRPr="006F0C93">
        <w:t>мов местных органов управления и разработала инструментальную систему для местных органов власти. По запросу Комиссия проводит анализ программ и практики местных органов власти для обеспечения их соответствия положениям Хартии прав и обязанностей человека штата Виктория и организует обучение р</w:t>
      </w:r>
      <w:r w:rsidRPr="006F0C93">
        <w:t>а</w:t>
      </w:r>
      <w:r w:rsidR="00DC687A">
        <w:t>ботников местных советов</w:t>
      </w:r>
      <w:r w:rsidRPr="00DC687A">
        <w:rPr>
          <w:color w:val="943634" w:themeColor="accent2" w:themeShade="BF"/>
          <w:vertAlign w:val="superscript"/>
          <w:lang w:val="en-GB"/>
        </w:rPr>
        <w:footnoteReference w:id="25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59.</w:t>
      </w:r>
      <w:r w:rsidRPr="006F0C93">
        <w:tab/>
        <w:t>В 1980 году власти города Сакаи (Япония) признали незыблемость прав ч</w:t>
      </w:r>
      <w:r w:rsidRPr="006F0C93">
        <w:t>е</w:t>
      </w:r>
      <w:r w:rsidRPr="006F0C93">
        <w:t xml:space="preserve">ловека и постановили, что они составят перечень мер по реализации концепции </w:t>
      </w:r>
      <w:r w:rsidR="00F93E6A">
        <w:t>«</w:t>
      </w:r>
      <w:r w:rsidRPr="006F0C93">
        <w:t>Правозащитного города</w:t>
      </w:r>
      <w:r w:rsidR="00F93E6A">
        <w:t>»</w:t>
      </w:r>
      <w:r w:rsidRPr="006F0C93">
        <w:t>. Исходя из этого</w:t>
      </w:r>
      <w:r w:rsidR="00D83822">
        <w:t>,</w:t>
      </w:r>
      <w:r w:rsidRPr="006F0C93">
        <w:t xml:space="preserve"> город Сакаи осуществлял политику, основанную на принципах прав человека, и затем присоединился к другим мес</w:t>
      </w:r>
      <w:r w:rsidRPr="006F0C93">
        <w:t>т</w:t>
      </w:r>
      <w:r w:rsidRPr="006F0C93">
        <w:t>ным органам власти в целях разработки своего собственного плана в сфере обр</w:t>
      </w:r>
      <w:r w:rsidRPr="006F0C93">
        <w:t>а</w:t>
      </w:r>
      <w:r w:rsidRPr="006F0C93">
        <w:t xml:space="preserve">зования и просвещения под названием </w:t>
      </w:r>
      <w:r w:rsidR="00F93E6A">
        <w:t>«</w:t>
      </w:r>
      <w:r w:rsidRPr="006F0C93">
        <w:t>План действий города Сакаи на десят</w:t>
      </w:r>
      <w:r w:rsidRPr="006F0C93">
        <w:t>и</w:t>
      </w:r>
      <w:r w:rsidRPr="006F0C93">
        <w:t>летие образования в области прав человека Организации Объединенных Наций</w:t>
      </w:r>
      <w:r w:rsidR="00F93E6A">
        <w:t>»</w:t>
      </w:r>
      <w:r w:rsidRPr="006F0C93">
        <w:t xml:space="preserve">.  В развитие своих предыдущих усилий в 2007 году Сакаи принял </w:t>
      </w:r>
      <w:r w:rsidR="00DC687A">
        <w:t>«</w:t>
      </w:r>
      <w:r w:rsidRPr="006F0C93">
        <w:t>Муниципал</w:t>
      </w:r>
      <w:r w:rsidRPr="006F0C93">
        <w:t>ь</w:t>
      </w:r>
      <w:r w:rsidRPr="006F0C93">
        <w:t>ное постановление об общественном развитии на основе принципов защиты м</w:t>
      </w:r>
      <w:r w:rsidRPr="006F0C93">
        <w:t>и</w:t>
      </w:r>
      <w:r w:rsidRPr="006F0C93">
        <w:t>ра и соблюдения прав человека</w:t>
      </w:r>
      <w:r w:rsidR="00DC687A">
        <w:t>»</w:t>
      </w:r>
      <w:r w:rsidRPr="006F0C93">
        <w:t xml:space="preserve"> и </w:t>
      </w:r>
      <w:r w:rsidR="00DC687A">
        <w:t>«</w:t>
      </w:r>
      <w:r w:rsidRPr="006F0C93">
        <w:t>План поощрения правозащитной политики города Сакаи</w:t>
      </w:r>
      <w:r w:rsidR="00DC687A">
        <w:t>»</w:t>
      </w:r>
      <w:r w:rsidRPr="006F0C93">
        <w:t xml:space="preserve"> и с тех пор комплексно и систематически проводит в жизнь прав</w:t>
      </w:r>
      <w:r w:rsidRPr="006F0C93">
        <w:t>о</w:t>
      </w:r>
      <w:r w:rsidRPr="006F0C93">
        <w:t>защитную политику.</w:t>
      </w:r>
    </w:p>
    <w:p w:rsidR="006F0C93" w:rsidRPr="006F0C93" w:rsidRDefault="006F0C93" w:rsidP="006F0C93">
      <w:pPr>
        <w:pStyle w:val="SingleTxt"/>
      </w:pPr>
      <w:r w:rsidRPr="006F0C93">
        <w:t>60.</w:t>
      </w:r>
      <w:r w:rsidRPr="006F0C93">
        <w:tab/>
        <w:t>Осуществляемая Народным движением за образование в области прав чел</w:t>
      </w:r>
      <w:r w:rsidRPr="006F0C93">
        <w:t>о</w:t>
      </w:r>
      <w:r w:rsidRPr="006F0C93">
        <w:t>века (НДОПЧ) с 1998 года программа предусматривает создание 30 городов прав человека и подготовку 500 молодых лидеров общин в четырех региональных учебных заведениях для обучения по вопросам прав человека. К 2007 году НДОПЧ подготовило 100 лидеров общин и 17 правозащитных городов наход</w:t>
      </w:r>
      <w:r w:rsidRPr="006F0C93">
        <w:t>и</w:t>
      </w:r>
      <w:r w:rsidRPr="006F0C93">
        <w:t>лись в стадии создания</w:t>
      </w:r>
      <w:r w:rsidRPr="00DC687A">
        <w:rPr>
          <w:color w:val="943634" w:themeColor="accent2" w:themeShade="BF"/>
          <w:vertAlign w:val="superscript"/>
          <w:lang w:val="en-GB"/>
        </w:rPr>
        <w:footnoteReference w:id="26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lastRenderedPageBreak/>
        <w:t>61.</w:t>
      </w:r>
      <w:r w:rsidRPr="006F0C93">
        <w:tab/>
        <w:t>В Республике Корея ряд местных органов власти и городов возглавляют движение по созданию городов прав человека на национальном и междунаро</w:t>
      </w:r>
      <w:r w:rsidRPr="006F0C93">
        <w:t>д</w:t>
      </w:r>
      <w:r w:rsidRPr="006F0C93">
        <w:t>ном уровнях. Кванджу стал первым официально провозглашенным в Республике Корее и Азии в 2010 году городом прав человека, располагающим полнома</w:t>
      </w:r>
      <w:r w:rsidRPr="006F0C93">
        <w:t>с</w:t>
      </w:r>
      <w:r w:rsidRPr="006F0C93">
        <w:t>штабными программами, включая Хартию прав человека, правозащитный план действий с показателями в области прав человека, омбудсмена и т.д. Местные о</w:t>
      </w:r>
      <w:r w:rsidRPr="006F0C93">
        <w:t>р</w:t>
      </w:r>
      <w:r w:rsidRPr="006F0C93">
        <w:t>ганы власти других городов, таких как Сеонбукгу и Чхунчхон, приняли рамо</w:t>
      </w:r>
      <w:r w:rsidRPr="006F0C93">
        <w:t>ч</w:t>
      </w:r>
      <w:r w:rsidRPr="006F0C93">
        <w:t>ную программу города прав человека в качестве инструмента преодоления выз</w:t>
      </w:r>
      <w:r w:rsidRPr="006F0C93">
        <w:t>о</w:t>
      </w:r>
      <w:r w:rsidRPr="006F0C93">
        <w:t>вов в их собственных контекстах, таких как отдельный город внутри мегаполиса и комплексная сельско-городская зона.</w:t>
      </w:r>
    </w:p>
    <w:p w:rsidR="006F0C93" w:rsidRPr="006F0C93" w:rsidRDefault="006F0C93" w:rsidP="006F0C93">
      <w:pPr>
        <w:pStyle w:val="SingleTxt"/>
      </w:pPr>
      <w:r w:rsidRPr="006F0C93">
        <w:t>62.</w:t>
      </w:r>
      <w:r w:rsidRPr="006F0C93">
        <w:tab/>
        <w:t>Столица Республика Корея Сеул также провозгласил себя городом прав ч</w:t>
      </w:r>
      <w:r w:rsidRPr="006F0C93">
        <w:t>е</w:t>
      </w:r>
      <w:r w:rsidRPr="006F0C93">
        <w:t>ловека и принял в 2012 году постановление о защите и поощрении прав человека своих жителей. В соответствии с этим постановлением в составе городского пр</w:t>
      </w:r>
      <w:r w:rsidRPr="006F0C93">
        <w:t>а</w:t>
      </w:r>
      <w:r w:rsidRPr="006F0C93">
        <w:t>вительства был создан отдел по правам человека  и была разработана политика в области прав человека, а также учреждены Комитет по правам человека и дол</w:t>
      </w:r>
      <w:r w:rsidRPr="006F0C93">
        <w:t>ж</w:t>
      </w:r>
      <w:r w:rsidRPr="006F0C93">
        <w:t xml:space="preserve">ность </w:t>
      </w:r>
      <w:r w:rsidR="00D83822">
        <w:t>о</w:t>
      </w:r>
      <w:r w:rsidRPr="006F0C93">
        <w:t>мбудсмена, а также разработаны конкретные меры и руководящие указ</w:t>
      </w:r>
      <w:r w:rsidRPr="006F0C93">
        <w:t>а</w:t>
      </w:r>
      <w:r w:rsidRPr="006F0C93">
        <w:t>ния для обеспечения права на достаточное жилище и защиты граждан от прин</w:t>
      </w:r>
      <w:r w:rsidRPr="006F0C93">
        <w:t>у</w:t>
      </w:r>
      <w:r w:rsidRPr="006F0C93">
        <w:t>дительного выселения. Другие правозащитные постановления включают в себя Постановление о поощрении прав человека инвалидов и Постановление о защите и поощрении прав человека детей и молодежи. К правозащитным механизмам относятся Отдел прав человека, занимающийся реализацией правозащитных о</w:t>
      </w:r>
      <w:r w:rsidRPr="006F0C93">
        <w:t>б</w:t>
      </w:r>
      <w:r w:rsidRPr="006F0C93">
        <w:t>разовательных программ и налаживанием сотрудничества с гражданским общ</w:t>
      </w:r>
      <w:r w:rsidRPr="006F0C93">
        <w:t>е</w:t>
      </w:r>
      <w:r w:rsidRPr="006F0C93">
        <w:t>ством, омбудсмен, Правозащитный комитет Сеула и Гражданский суд присяжных по правозащитным делам. Основные правозащитные программы, реализуемые Отделом прав человека, включают в себя Правозащитный план действий Сеула, направленный на всесторонний учет прав человека в общем управлении. Был п</w:t>
      </w:r>
      <w:r w:rsidRPr="006F0C93">
        <w:t>о</w:t>
      </w:r>
      <w:r w:rsidRPr="006F0C93">
        <w:t>вышен уровень осведомленности о правах человека благодаря просветительской программе по правам человека для государственных служащих и оказанию по</w:t>
      </w:r>
      <w:r w:rsidRPr="006F0C93">
        <w:t>д</w:t>
      </w:r>
      <w:r w:rsidRPr="006F0C93">
        <w:t>держки правозащитным организациям и мероприятиям.</w:t>
      </w:r>
    </w:p>
    <w:p w:rsidR="006F0C93" w:rsidRPr="006F0C93" w:rsidRDefault="006F0C93" w:rsidP="006F0C93">
      <w:pPr>
        <w:pStyle w:val="SingleTxt"/>
      </w:pPr>
      <w:r w:rsidRPr="006F0C93">
        <w:t>63.</w:t>
      </w:r>
      <w:r w:rsidRPr="006F0C93">
        <w:tab/>
        <w:t>Как и в новаторском Городском уставе Бразилии (2001 года), в Уставе Мех</w:t>
      </w:r>
      <w:r w:rsidRPr="006F0C93">
        <w:t>и</w:t>
      </w:r>
      <w:r w:rsidRPr="006F0C93">
        <w:t>ко также провозглашаются новые права в виде коллективного измерения опред</w:t>
      </w:r>
      <w:r w:rsidRPr="006F0C93">
        <w:t>е</w:t>
      </w:r>
      <w:r w:rsidRPr="006F0C93">
        <w:t>ленных прав человека, таких как социальная функция собственности. Это явл</w:t>
      </w:r>
      <w:r w:rsidRPr="006F0C93">
        <w:t>я</w:t>
      </w:r>
      <w:r w:rsidRPr="006F0C93">
        <w:t>ется основной составляющей права на город, которое влечет за собой фундаме</w:t>
      </w:r>
      <w:r w:rsidRPr="006F0C93">
        <w:t>н</w:t>
      </w:r>
      <w:r w:rsidRPr="006F0C93">
        <w:t>тальное реформирование города, а также перераспределение и регулирование г</w:t>
      </w:r>
      <w:r w:rsidRPr="006F0C93">
        <w:t>о</w:t>
      </w:r>
      <w:r w:rsidRPr="006F0C93">
        <w:t xml:space="preserve">родских земель в целях создания более справедливой и инклюзивной городской среды. Кроме того, в Уставе Мехико установлены по меньшей мере два важных принципа, касающихся права на город, в том виде, в котором они были впервые сформулированы Лефевром: </w:t>
      </w:r>
      <w:r w:rsidRPr="006F0C93">
        <w:rPr>
          <w:lang w:val="en-GB"/>
        </w:rPr>
        <w:t>a</w:t>
      </w:r>
      <w:r w:rsidRPr="006F0C93">
        <w:t>) право на участие в принятии решений, затраг</w:t>
      </w:r>
      <w:r w:rsidRPr="006F0C93">
        <w:t>и</w:t>
      </w:r>
      <w:r w:rsidRPr="006F0C93">
        <w:t>вающих интересы жителей городов и формирование городского пространства; а</w:t>
      </w:r>
      <w:r w:rsidR="00D83822">
        <w:t> </w:t>
      </w:r>
      <w:r w:rsidRPr="006F0C93">
        <w:t xml:space="preserve">также </w:t>
      </w:r>
      <w:r w:rsidRPr="006F0C93">
        <w:rPr>
          <w:lang w:val="en-GB"/>
        </w:rPr>
        <w:t>b</w:t>
      </w:r>
      <w:r w:rsidRPr="006F0C93">
        <w:t>) право на надлежащее городское пространство с акцентом на его п</w:t>
      </w:r>
      <w:r w:rsidRPr="006F0C93">
        <w:t>о</w:t>
      </w:r>
      <w:r w:rsidRPr="006F0C93">
        <w:t>требительную, а не меновую ценность. В частности, эти составляющие включ</w:t>
      </w:r>
      <w:r w:rsidRPr="006F0C93">
        <w:t>а</w:t>
      </w:r>
      <w:r w:rsidRPr="006F0C93">
        <w:t>ют в себя законные права, социальные и политические требования и материал</w:t>
      </w:r>
      <w:r w:rsidRPr="006F0C93">
        <w:t>ь</w:t>
      </w:r>
      <w:r w:rsidRPr="006F0C93">
        <w:t>ные условия.</w:t>
      </w:r>
    </w:p>
    <w:p w:rsidR="006F0C93" w:rsidRPr="006F0C93" w:rsidRDefault="006F0C93" w:rsidP="006F0C93">
      <w:pPr>
        <w:pStyle w:val="SingleTxt"/>
      </w:pPr>
      <w:r w:rsidRPr="006F0C93">
        <w:t>64.</w:t>
      </w:r>
      <w:r w:rsidRPr="006F0C93">
        <w:tab/>
        <w:t>Союз за демократию и терпимость против экстремизма и насилия первооч</w:t>
      </w:r>
      <w:r w:rsidRPr="006F0C93">
        <w:t>е</w:t>
      </w:r>
      <w:r w:rsidRPr="006F0C93">
        <w:t>редное внимание в рамках своей деятельности уделяет тиражированию успе</w:t>
      </w:r>
      <w:r w:rsidRPr="006F0C93">
        <w:t>ш</w:t>
      </w:r>
      <w:r w:rsidRPr="006F0C93">
        <w:t>ных проектов и возможных решений среди муниципалитетов  различных районов Германии. В некоторых городах региональные или местные органы власти с</w:t>
      </w:r>
      <w:r w:rsidRPr="006F0C93">
        <w:t>о</w:t>
      </w:r>
      <w:r w:rsidRPr="006F0C93">
        <w:t>здают органы по обеспечению равенства, а также региональные комиссии, прав</w:t>
      </w:r>
      <w:r w:rsidRPr="006F0C93">
        <w:t>о</w:t>
      </w:r>
      <w:r w:rsidRPr="006F0C93">
        <w:lastRenderedPageBreak/>
        <w:t>защитные центры, органы по защите равенства и другие учреждения, деятел</w:t>
      </w:r>
      <w:r w:rsidRPr="006F0C93">
        <w:t>ь</w:t>
      </w:r>
      <w:r w:rsidRPr="006F0C93">
        <w:t>ность которых обеспечивается на законодательном уровне</w:t>
      </w:r>
      <w:r w:rsidRPr="00DC687A">
        <w:rPr>
          <w:color w:val="943634" w:themeColor="accent2" w:themeShade="BF"/>
          <w:vertAlign w:val="superscript"/>
          <w:lang w:val="en-CA"/>
        </w:rPr>
        <w:footnoteReference w:id="27"/>
      </w:r>
      <w:r w:rsidRPr="006F0C93">
        <w:t xml:space="preserve">. Одним из примеров является </w:t>
      </w:r>
      <w:r w:rsidR="00F93E6A">
        <w:t>«</w:t>
      </w:r>
      <w:r w:rsidRPr="006F0C93">
        <w:t>правозащитный городской совет</w:t>
      </w:r>
      <w:r w:rsidR="00F93E6A">
        <w:t>»</w:t>
      </w:r>
      <w:r w:rsidRPr="006F0C93">
        <w:t xml:space="preserve"> города Грац (Австрия)</w:t>
      </w:r>
      <w:r w:rsidRPr="00DC687A">
        <w:rPr>
          <w:color w:val="943634" w:themeColor="accent2" w:themeShade="BF"/>
          <w:vertAlign w:val="superscript"/>
          <w:lang w:val="en-GB"/>
        </w:rPr>
        <w:footnoteReference w:id="28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65.</w:t>
      </w:r>
      <w:r w:rsidRPr="006F0C93">
        <w:tab/>
        <w:t>В Словении Закон о местных органах власти определяет права национал</w:t>
      </w:r>
      <w:r w:rsidRPr="006F0C93">
        <w:t>ь</w:t>
      </w:r>
      <w:r w:rsidRPr="006F0C93">
        <w:t>ных меньшинств и рома, что обеспечивает им официальное представительство в муниципальных советах, и другие муниципалитеты также могут создавать мун</w:t>
      </w:r>
      <w:r w:rsidRPr="006F0C93">
        <w:t>и</w:t>
      </w:r>
      <w:r w:rsidRPr="006F0C93">
        <w:t>ципальные органы для решения вопросов в области прав человека. Программа по урегулированию вопросов, связанных с поселениями рома, реализуется госуда</w:t>
      </w:r>
      <w:r w:rsidRPr="006F0C93">
        <w:t>р</w:t>
      </w:r>
      <w:r w:rsidRPr="006F0C93">
        <w:t>ством и за счет средств государственного бюджета.</w:t>
      </w:r>
    </w:p>
    <w:p w:rsidR="006F0C93" w:rsidRPr="006F0C93" w:rsidRDefault="006F0C93" w:rsidP="006F0C93">
      <w:pPr>
        <w:pStyle w:val="SingleTxt"/>
      </w:pPr>
      <w:r w:rsidRPr="006F0C93">
        <w:t>66.</w:t>
      </w:r>
      <w:r w:rsidRPr="006F0C93">
        <w:tab/>
        <w:t xml:space="preserve">В Соединенных Штатах обеспечение всестороннего учета тематики прав человека в деятельности местной администрации осуществляется через такие инициативы, как </w:t>
      </w:r>
      <w:r w:rsidR="00F93E6A">
        <w:t>«</w:t>
      </w:r>
      <w:r w:rsidRPr="006F0C93">
        <w:t>Права человека − в повседневную жизнь: как правительства штатов и местные органы власти могут использовать права человека для разр</w:t>
      </w:r>
      <w:r w:rsidRPr="006F0C93">
        <w:t>а</w:t>
      </w:r>
      <w:r w:rsidRPr="006F0C93">
        <w:t>ботки местной политики</w:t>
      </w:r>
      <w:r w:rsidR="00F93E6A">
        <w:t>»</w:t>
      </w:r>
      <w:r w:rsidRPr="006F0C93">
        <w:t>. Эта инициатива предусматривает амбициозные обяз</w:t>
      </w:r>
      <w:r w:rsidRPr="006F0C93">
        <w:t>а</w:t>
      </w:r>
      <w:r w:rsidRPr="006F0C93">
        <w:t>тельства по соблюдению прав человека и просветительскую работу, помещение местных проблем в контекст прав человека, представление докладов о соблюд</w:t>
      </w:r>
      <w:r w:rsidRPr="006F0C93">
        <w:t>е</w:t>
      </w:r>
      <w:r w:rsidRPr="006F0C93">
        <w:t>нии на местном уровне договоров в области прав человека, проведение правоз</w:t>
      </w:r>
      <w:r w:rsidRPr="006F0C93">
        <w:t>а</w:t>
      </w:r>
      <w:r w:rsidRPr="006F0C93">
        <w:t>щитных проверок и оценок воздействия, а также стимулирование инклюзивного управления. Роль федеральных органов власти в деле соблюдения и осуществл</w:t>
      </w:r>
      <w:r w:rsidRPr="006F0C93">
        <w:t>е</w:t>
      </w:r>
      <w:r w:rsidRPr="006F0C93">
        <w:t>ния прав человека на государственном и местном уровнях заключается в стим</w:t>
      </w:r>
      <w:r w:rsidRPr="006F0C93">
        <w:t>у</w:t>
      </w:r>
      <w:r w:rsidRPr="006F0C93">
        <w:t xml:space="preserve">лировании дополнительных инициатив, связанных с представлением докладов, мониторингом и </w:t>
      </w:r>
      <w:r w:rsidR="00D83822" w:rsidRPr="006F0C93">
        <w:t>просвещением</w:t>
      </w:r>
      <w:r w:rsidRPr="006F0C93">
        <w:t>. Институт прав человека Юридического факул</w:t>
      </w:r>
      <w:r w:rsidRPr="006F0C93">
        <w:t>ь</w:t>
      </w:r>
      <w:r w:rsidRPr="006F0C93">
        <w:t>тета Колумбийского университета в Соединенных Штатах занимается вопрос</w:t>
      </w:r>
      <w:r w:rsidRPr="006F0C93">
        <w:t>а</w:t>
      </w:r>
      <w:r w:rsidRPr="006F0C93">
        <w:t>ми, связанными с поощрением прав человека в стране, и следит за выполнением Соединенными Штатами международных правозащитных стандартов. Данный проект призван содействовать более эффективной координации усилий по поо</w:t>
      </w:r>
      <w:r w:rsidRPr="006F0C93">
        <w:t>щ</w:t>
      </w:r>
      <w:r w:rsidRPr="006F0C93">
        <w:t>рению и защите прав человека в Соединенных Штатах на федеральном уровне, на уровне штатов и на местном уровне за счет непосредственного взаимоде</w:t>
      </w:r>
      <w:r w:rsidRPr="006F0C93">
        <w:t>й</w:t>
      </w:r>
      <w:r w:rsidRPr="006F0C93">
        <w:t xml:space="preserve">ствия с органами власти штатов и местными органами власти. Однако усилия, </w:t>
      </w:r>
      <w:r w:rsidR="00D83822" w:rsidRPr="006F0C93">
        <w:t>предпринимаемые</w:t>
      </w:r>
      <w:r w:rsidRPr="006F0C93">
        <w:t xml:space="preserve"> на уровне штатов и на местном уровне, являются узконапра</w:t>
      </w:r>
      <w:r w:rsidRPr="006F0C93">
        <w:t>в</w:t>
      </w:r>
      <w:r w:rsidRPr="006F0C93">
        <w:t>ленными и фрагментарными, а также подвержены риску свертывания из-за с</w:t>
      </w:r>
      <w:r w:rsidRPr="006F0C93">
        <w:t>о</w:t>
      </w:r>
      <w:r w:rsidRPr="006F0C93">
        <w:t>кращения бюджетных расходов</w:t>
      </w:r>
      <w:r w:rsidRPr="00DC687A">
        <w:rPr>
          <w:color w:val="943634" w:themeColor="accent2" w:themeShade="BF"/>
          <w:vertAlign w:val="superscript"/>
          <w:lang w:val="en-GB"/>
        </w:rPr>
        <w:footnoteReference w:id="29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67.</w:t>
      </w:r>
      <w:r w:rsidRPr="006F0C93">
        <w:tab/>
        <w:t xml:space="preserve">В Дании был запущен проект развития под названием </w:t>
      </w:r>
      <w:r w:rsidR="00F93E6A">
        <w:t>«</w:t>
      </w:r>
      <w:r w:rsidRPr="006F0C93">
        <w:t>Муниципалитет и гражданское общество</w:t>
      </w:r>
      <w:r w:rsidR="00DC687A">
        <w:t>»</w:t>
      </w:r>
      <w:r w:rsidRPr="006F0C93">
        <w:t xml:space="preserve"> (2008 год) для оценки того, насколько новые подходы к разделению обязанностей между муниципалитетом и гражданским обществом могут способствовать повышению качества задач местных органов власти. В</w:t>
      </w:r>
      <w:r w:rsidR="00DC687A">
        <w:t> </w:t>
      </w:r>
      <w:r w:rsidRPr="006F0C93">
        <w:t>этой области имеется незадействованный потенциал как с точки зрения новых областей более тесного взаимодействия, так и участия новых групп волонт</w:t>
      </w:r>
      <w:r w:rsidR="00D83822">
        <w:t>е</w:t>
      </w:r>
      <w:r w:rsidRPr="006F0C93">
        <w:t>ров</w:t>
      </w:r>
      <w:r w:rsidRPr="00DC687A">
        <w:rPr>
          <w:color w:val="943634" w:themeColor="accent2" w:themeShade="BF"/>
          <w:vertAlign w:val="superscript"/>
          <w:lang w:val="en-GB"/>
        </w:rPr>
        <w:footnoteReference w:id="30"/>
      </w:r>
      <w:r w:rsidRPr="006F0C93">
        <w:t>.</w:t>
      </w:r>
    </w:p>
    <w:p w:rsidR="006F0C93" w:rsidRPr="006F0C93" w:rsidRDefault="006F0C93" w:rsidP="006F0C93">
      <w:pPr>
        <w:pStyle w:val="SingleTxt"/>
      </w:pPr>
      <w:r w:rsidRPr="006F0C93">
        <w:t>68.</w:t>
      </w:r>
      <w:r w:rsidRPr="006F0C93">
        <w:tab/>
        <w:t>Грац является членом исполнительного комитета Европейской коалиции г</w:t>
      </w:r>
      <w:r w:rsidRPr="006F0C93">
        <w:t>о</w:t>
      </w:r>
      <w:r w:rsidRPr="006F0C93">
        <w:t xml:space="preserve">родов по борьбе с расизмом, </w:t>
      </w:r>
      <w:r w:rsidR="00F93E6A">
        <w:t>«</w:t>
      </w:r>
      <w:r w:rsidRPr="006F0C93">
        <w:t>Форума Ойропапрайстрегерштедте</w:t>
      </w:r>
      <w:r w:rsidR="00F93E6A">
        <w:t>»</w:t>
      </w:r>
      <w:r w:rsidRPr="006F0C93">
        <w:t xml:space="preserve"> и коалиции городов </w:t>
      </w:r>
      <w:r w:rsidR="00F93E6A">
        <w:t>«</w:t>
      </w:r>
      <w:r w:rsidRPr="006F0C93">
        <w:t>Города для детей</w:t>
      </w:r>
      <w:r w:rsidR="00F93E6A">
        <w:t>»</w:t>
      </w:r>
      <w:r w:rsidRPr="006F0C93">
        <w:t>, а также являлся культурной столицей Европы в 2003</w:t>
      </w:r>
      <w:r w:rsidR="00DC687A">
        <w:t> </w:t>
      </w:r>
      <w:r w:rsidRPr="006F0C93">
        <w:t>году. В ноябре 2009 года Грац предложил городам-партнерам провести о</w:t>
      </w:r>
      <w:r w:rsidRPr="006F0C93">
        <w:t>б</w:t>
      </w:r>
      <w:r w:rsidRPr="006F0C93">
        <w:t>мен информацией об эффективных методах интеграции иммигрантов в целях борьбы с расизмом. Совместно с другими городами и НПО были организованы кампании по борьбе с расизмом и дискриминацией.</w:t>
      </w:r>
    </w:p>
    <w:p w:rsidR="006F0C93" w:rsidRPr="006F0C93" w:rsidRDefault="006F0C93" w:rsidP="006F0C93">
      <w:pPr>
        <w:pStyle w:val="SingleTxt"/>
      </w:pPr>
      <w:r w:rsidRPr="006F0C93">
        <w:lastRenderedPageBreak/>
        <w:t>69.</w:t>
      </w:r>
      <w:r w:rsidRPr="006F0C93">
        <w:tab/>
        <w:t xml:space="preserve">В рамках программы </w:t>
      </w:r>
      <w:r w:rsidR="00F93E6A">
        <w:t>«</w:t>
      </w:r>
      <w:r w:rsidRPr="006F0C93">
        <w:t>Медельин защищает права человека</w:t>
      </w:r>
      <w:r w:rsidR="00F93E6A">
        <w:t>»</w:t>
      </w:r>
      <w:r w:rsidRPr="006F0C93">
        <w:t xml:space="preserve"> муниципал</w:t>
      </w:r>
      <w:r w:rsidRPr="006F0C93">
        <w:t>ь</w:t>
      </w:r>
      <w:r w:rsidRPr="006F0C93">
        <w:t>ный совет стремится обеспечить в городе комплексную защиту, признание и во</w:t>
      </w:r>
      <w:r w:rsidRPr="006F0C93">
        <w:t>с</w:t>
      </w:r>
      <w:r w:rsidRPr="006F0C93">
        <w:t>становление прав человека, а также возмещение ущерба, причиненного в резул</w:t>
      </w:r>
      <w:r w:rsidRPr="006F0C93">
        <w:t>ь</w:t>
      </w:r>
      <w:r w:rsidRPr="006F0C93">
        <w:t>тате их нарушения. Институтом, наделенным полномочиями для достижения этой цели, является Вспомогательный секретариат по правам человека, состо</w:t>
      </w:r>
      <w:r w:rsidRPr="006F0C93">
        <w:t>я</w:t>
      </w:r>
      <w:r w:rsidRPr="006F0C93">
        <w:t>щий из трех подразделений, включая  отдел по правам человека, деятельность и некоторые из программ которого описываются ее куратором. Отдел обязан коо</w:t>
      </w:r>
      <w:r w:rsidRPr="006F0C93">
        <w:t>р</w:t>
      </w:r>
      <w:r w:rsidRPr="006F0C93">
        <w:t>динировать свои действия с различными национальными органами, обществе</w:t>
      </w:r>
      <w:r w:rsidRPr="006F0C93">
        <w:t>н</w:t>
      </w:r>
      <w:r w:rsidRPr="006F0C93">
        <w:t xml:space="preserve">ными организациями и НПО. В состав отдела входит муниципальная система информации по правам человека, состоящая из инструмента сбора, обработки и анализа информации в области прав человека и международного гуманитарного права.  </w:t>
      </w:r>
    </w:p>
    <w:p w:rsidR="006F0C93" w:rsidRPr="006F0C93" w:rsidRDefault="006F0C93" w:rsidP="006F0C93">
      <w:pPr>
        <w:pStyle w:val="SingleTxt"/>
      </w:pPr>
      <w:r w:rsidRPr="006F0C93">
        <w:t>70.</w:t>
      </w:r>
      <w:r w:rsidRPr="006F0C93">
        <w:tab/>
        <w:t>В Сан-Франциско в соответствии с поправкой, внесенной в городской устав, каждые два года учреждается Комиссия по положению женщин для проведения гендерного анализа муниципальных комиссий и советов. Кроме того, Инициат</w:t>
      </w:r>
      <w:r w:rsidRPr="006F0C93">
        <w:t>и</w:t>
      </w:r>
      <w:r w:rsidRPr="006F0C93">
        <w:t>ва Сан-Франциско по поощрению принципов гендерного равенства представляет собой программу, призванную помогать компаниям во всем мире обеспечивать большее равенство и создавать более продуктивные рабочие места благодаря практической реализации Инициативы. Программа грантов по предотвращению и пресечению насилия в отношении женщин направлена на борьбу с насилием в семье, сексуальным насилием и торговлей людьми в ряде сообществ Сан-Франциско. Инициатива Сан-Франциско по сотрудничеству в деле борьбе с то</w:t>
      </w:r>
      <w:r w:rsidRPr="006F0C93">
        <w:t>р</w:t>
      </w:r>
      <w:r w:rsidRPr="006F0C93">
        <w:t>говлей людьми, которая была запущена в 2010 году, опирается на сеть различных местных общинных организаций и правительственных учреждений, занимающ</w:t>
      </w:r>
      <w:r w:rsidRPr="006F0C93">
        <w:t>и</w:t>
      </w:r>
      <w:r w:rsidRPr="006F0C93">
        <w:t>еся искоренением современного рабства в городах</w:t>
      </w:r>
      <w:r w:rsidRPr="00DC687A">
        <w:rPr>
          <w:color w:val="943634" w:themeColor="accent2" w:themeShade="BF"/>
          <w:vertAlign w:val="superscript"/>
          <w:lang w:val="en-GB"/>
        </w:rPr>
        <w:footnoteReference w:id="31"/>
      </w:r>
      <w:r w:rsidRPr="006F0C93">
        <w:t xml:space="preserve">. </w:t>
      </w: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b/>
          <w:sz w:val="10"/>
        </w:rPr>
      </w:pPr>
    </w:p>
    <w:p w:rsidR="006F0C93" w:rsidRPr="006F0C93" w:rsidRDefault="006F0C93" w:rsidP="003E719E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F0C93">
        <w:tab/>
      </w:r>
      <w:r w:rsidRPr="006F0C93">
        <w:rPr>
          <w:lang w:val="en-GB"/>
        </w:rPr>
        <w:t>X</w:t>
      </w:r>
      <w:r w:rsidRPr="006F0C93">
        <w:t>.</w:t>
      </w:r>
      <w:r w:rsidRPr="006F0C93">
        <w:tab/>
        <w:t>Выводы и рекомендации</w:t>
      </w: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3E719E" w:rsidRPr="003E719E" w:rsidRDefault="003E719E" w:rsidP="003E719E">
      <w:pPr>
        <w:pStyle w:val="SingleTxt"/>
        <w:spacing w:after="0" w:line="120" w:lineRule="exact"/>
        <w:rPr>
          <w:sz w:val="10"/>
        </w:rPr>
      </w:pPr>
    </w:p>
    <w:p w:rsidR="006F0C93" w:rsidRPr="006F0C93" w:rsidRDefault="006F0C93" w:rsidP="006F0C93">
      <w:pPr>
        <w:pStyle w:val="SingleTxt"/>
        <w:rPr>
          <w:b/>
          <w:bCs/>
        </w:rPr>
      </w:pPr>
      <w:r w:rsidRPr="006F0C93">
        <w:t>71.</w:t>
      </w:r>
      <w:r w:rsidRPr="006F0C93">
        <w:rPr>
          <w:b/>
          <w:bCs/>
        </w:rPr>
        <w:tab/>
        <w:t>Гражданское общество должно активное привлекаться к планированию и осуществлению мероприятий по тематике прав человека на местном уровне. Оно может побуждать местные органы власти к использованию пр</w:t>
      </w:r>
      <w:r w:rsidRPr="006F0C93">
        <w:rPr>
          <w:b/>
          <w:bCs/>
        </w:rPr>
        <w:t>а</w:t>
      </w:r>
      <w:r w:rsidRPr="006F0C93">
        <w:rPr>
          <w:b/>
          <w:bCs/>
        </w:rPr>
        <w:t xml:space="preserve">возащитного подхода и </w:t>
      </w:r>
      <w:r w:rsidR="00D83822">
        <w:rPr>
          <w:b/>
          <w:bCs/>
        </w:rPr>
        <w:t>принятию</w:t>
      </w:r>
      <w:r w:rsidRPr="006F0C93">
        <w:rPr>
          <w:b/>
          <w:bCs/>
        </w:rPr>
        <w:t xml:space="preserve"> более активных действий. Оно может также выполнять важную наблюдательную функцию и предоставлять нез</w:t>
      </w:r>
      <w:r w:rsidRPr="006F0C93">
        <w:rPr>
          <w:b/>
          <w:bCs/>
        </w:rPr>
        <w:t>а</w:t>
      </w:r>
      <w:r w:rsidRPr="006F0C93">
        <w:rPr>
          <w:b/>
          <w:bCs/>
        </w:rPr>
        <w:t>висимую информацию и оценивать результаты деятельности местных орг</w:t>
      </w:r>
      <w:r w:rsidRPr="006F0C93">
        <w:rPr>
          <w:b/>
          <w:bCs/>
        </w:rPr>
        <w:t>а</w:t>
      </w:r>
      <w:r w:rsidRPr="006F0C93">
        <w:rPr>
          <w:b/>
          <w:bCs/>
        </w:rPr>
        <w:t>нов управления. Организации гражданского общества могут также неп</w:t>
      </w:r>
      <w:r w:rsidRPr="006F0C93">
        <w:rPr>
          <w:b/>
          <w:bCs/>
        </w:rPr>
        <w:t>о</w:t>
      </w:r>
      <w:r w:rsidRPr="006F0C93">
        <w:rPr>
          <w:b/>
          <w:bCs/>
        </w:rPr>
        <w:t>средственно взаимодействовать с местными органами власти в целях ра</w:t>
      </w:r>
      <w:r w:rsidRPr="006F0C93">
        <w:rPr>
          <w:b/>
          <w:bCs/>
        </w:rPr>
        <w:t>с</w:t>
      </w:r>
      <w:r w:rsidRPr="006F0C93">
        <w:rPr>
          <w:b/>
          <w:bCs/>
        </w:rPr>
        <w:t>ширения их экспертного потенциала и повышения уровня осведомленности в о</w:t>
      </w:r>
      <w:r w:rsidRPr="006F0C93">
        <w:rPr>
          <w:b/>
          <w:bCs/>
        </w:rPr>
        <w:t>б</w:t>
      </w:r>
      <w:r w:rsidRPr="006F0C93">
        <w:rPr>
          <w:b/>
          <w:bCs/>
        </w:rPr>
        <w:t>ласти прав человека.</w:t>
      </w:r>
    </w:p>
    <w:p w:rsidR="006F0C93" w:rsidRPr="006F0C93" w:rsidRDefault="006F0C93" w:rsidP="006F0C93">
      <w:pPr>
        <w:pStyle w:val="SingleTxt"/>
        <w:rPr>
          <w:b/>
          <w:bCs/>
        </w:rPr>
      </w:pPr>
      <w:r w:rsidRPr="006F0C93">
        <w:t>72.</w:t>
      </w:r>
      <w:r w:rsidRPr="006F0C93">
        <w:tab/>
      </w:r>
      <w:r w:rsidRPr="006F0C93">
        <w:rPr>
          <w:b/>
          <w:bCs/>
        </w:rPr>
        <w:t>Местные органы власти должны вести постоянный диалог с граждан</w:t>
      </w:r>
      <w:r w:rsidRPr="006F0C93">
        <w:rPr>
          <w:b/>
          <w:bCs/>
        </w:rPr>
        <w:t>а</w:t>
      </w:r>
      <w:r w:rsidRPr="006F0C93">
        <w:rPr>
          <w:b/>
          <w:bCs/>
        </w:rPr>
        <w:t>ми и представителями гражданского общества. Для обеспечения такой и</w:t>
      </w:r>
      <w:r w:rsidRPr="006F0C93">
        <w:rPr>
          <w:b/>
          <w:bCs/>
        </w:rPr>
        <w:t>н</w:t>
      </w:r>
      <w:r w:rsidRPr="006F0C93">
        <w:rPr>
          <w:b/>
          <w:bCs/>
        </w:rPr>
        <w:t>формационной связи и сотрудничества необходимы хорошо отлаженные к</w:t>
      </w:r>
      <w:r w:rsidRPr="006F0C93">
        <w:rPr>
          <w:b/>
          <w:bCs/>
        </w:rPr>
        <w:t>а</w:t>
      </w:r>
      <w:r w:rsidRPr="006F0C93">
        <w:rPr>
          <w:b/>
          <w:bCs/>
        </w:rPr>
        <w:t>налы взаимодействия.</w:t>
      </w:r>
    </w:p>
    <w:p w:rsidR="006F0C93" w:rsidRPr="006F0C93" w:rsidRDefault="006F0C93" w:rsidP="006F0C93">
      <w:pPr>
        <w:pStyle w:val="SingleTxt"/>
        <w:rPr>
          <w:b/>
          <w:bCs/>
        </w:rPr>
      </w:pPr>
      <w:r w:rsidRPr="006F0C93">
        <w:t>73.</w:t>
      </w:r>
      <w:r w:rsidRPr="006F0C93">
        <w:tab/>
      </w:r>
      <w:r w:rsidRPr="006F0C93">
        <w:rPr>
          <w:b/>
          <w:bCs/>
        </w:rPr>
        <w:t>В целях укрепления потенциала гражданского общества в области наблюдения за деятельностью местных органов власти и взаимодействия с ними необходимо принимать соответствующие меры как на национальном, так и на международном уровнях. За пределами крупных городских мун</w:t>
      </w:r>
      <w:r w:rsidRPr="006F0C93">
        <w:rPr>
          <w:b/>
          <w:bCs/>
        </w:rPr>
        <w:t>и</w:t>
      </w:r>
      <w:r w:rsidRPr="006F0C93">
        <w:rPr>
          <w:b/>
          <w:bCs/>
        </w:rPr>
        <w:t>ципалитетов организации гражданского общества зачастую являются сл</w:t>
      </w:r>
      <w:r w:rsidRPr="006F0C93">
        <w:rPr>
          <w:b/>
          <w:bCs/>
        </w:rPr>
        <w:t>а</w:t>
      </w:r>
      <w:r w:rsidRPr="006F0C93">
        <w:rPr>
          <w:b/>
          <w:bCs/>
        </w:rPr>
        <w:t>быми и не обладают достаточным опытом в области наблюдения за деятел</w:t>
      </w:r>
      <w:r w:rsidRPr="006F0C93">
        <w:rPr>
          <w:b/>
          <w:bCs/>
        </w:rPr>
        <w:t>ь</w:t>
      </w:r>
      <w:r w:rsidRPr="006F0C93">
        <w:rPr>
          <w:b/>
          <w:bCs/>
        </w:rPr>
        <w:t>ностью местных органов власти или сотрудничества с ними</w:t>
      </w:r>
      <w:r w:rsidRPr="00DC687A">
        <w:rPr>
          <w:bCs/>
          <w:color w:val="943634" w:themeColor="accent2" w:themeShade="BF"/>
          <w:vertAlign w:val="superscript"/>
        </w:rPr>
        <w:footnoteReference w:id="32"/>
      </w:r>
      <w:r w:rsidRPr="006F0C93">
        <w:rPr>
          <w:b/>
          <w:bCs/>
        </w:rPr>
        <w:t>. Междунаро</w:t>
      </w:r>
      <w:r w:rsidRPr="006F0C93">
        <w:rPr>
          <w:b/>
          <w:bCs/>
        </w:rPr>
        <w:t>д</w:t>
      </w:r>
      <w:r w:rsidRPr="006F0C93">
        <w:rPr>
          <w:b/>
          <w:bCs/>
        </w:rPr>
        <w:t xml:space="preserve">ные сети городов, такие как организация </w:t>
      </w:r>
      <w:r w:rsidR="00F93E6A">
        <w:rPr>
          <w:b/>
          <w:bCs/>
        </w:rPr>
        <w:t>«</w:t>
      </w:r>
      <w:r w:rsidRPr="006F0C93">
        <w:rPr>
          <w:b/>
          <w:bCs/>
        </w:rPr>
        <w:t>Объединенные города и местные правительства</w:t>
      </w:r>
      <w:r w:rsidR="00F93E6A">
        <w:rPr>
          <w:b/>
          <w:bCs/>
        </w:rPr>
        <w:t>»</w:t>
      </w:r>
      <w:r w:rsidRPr="006F0C93">
        <w:rPr>
          <w:b/>
          <w:bCs/>
        </w:rPr>
        <w:t xml:space="preserve"> (ОГМП), способны сыграть ключевую роль в подготовке методических материалов, стимулировании исследований, предоставлении </w:t>
      </w:r>
      <w:r w:rsidRPr="006F0C93">
        <w:rPr>
          <w:b/>
          <w:bCs/>
        </w:rPr>
        <w:lastRenderedPageBreak/>
        <w:t>возможностей для взаимного обмена опытом и создании общин для действий по конкретным направлениям.</w:t>
      </w:r>
    </w:p>
    <w:p w:rsidR="006F0C93" w:rsidRPr="006F0C93" w:rsidRDefault="006F0C93" w:rsidP="006F0C93">
      <w:pPr>
        <w:pStyle w:val="SingleTxt"/>
        <w:rPr>
          <w:b/>
        </w:rPr>
      </w:pPr>
      <w:r w:rsidRPr="006F0C93">
        <w:t>74.</w:t>
      </w:r>
      <w:r w:rsidRPr="006F0C93">
        <w:tab/>
      </w:r>
      <w:r w:rsidRPr="006F0C93">
        <w:rPr>
          <w:b/>
        </w:rPr>
        <w:t>Центральные органы власти отвечают за предоставление местным о</w:t>
      </w:r>
      <w:r w:rsidRPr="006F0C93">
        <w:rPr>
          <w:b/>
        </w:rPr>
        <w:t>р</w:t>
      </w:r>
      <w:r w:rsidRPr="006F0C93">
        <w:rPr>
          <w:b/>
        </w:rPr>
        <w:t>ганам власти ценной информации о правах человека и их воздействии на местном уровне. Эта обязанность по предоставлению информации соотве</w:t>
      </w:r>
      <w:r w:rsidRPr="006F0C93">
        <w:rPr>
          <w:b/>
        </w:rPr>
        <w:t>т</w:t>
      </w:r>
      <w:r w:rsidRPr="006F0C93">
        <w:rPr>
          <w:b/>
        </w:rPr>
        <w:t>ствующим органам на местном уровне касается как прав человека, которые гарантируются национальной конституцией или другими законами, так и прав человека, которые гарантируются международным правом. Новые д</w:t>
      </w:r>
      <w:r w:rsidRPr="006F0C93">
        <w:rPr>
          <w:b/>
        </w:rPr>
        <w:t>о</w:t>
      </w:r>
      <w:r w:rsidRPr="006F0C93">
        <w:rPr>
          <w:b/>
        </w:rPr>
        <w:t>стижения в области улучшения защиты прав человека на международном уровне (в частности</w:t>
      </w:r>
      <w:r w:rsidR="00C570AE">
        <w:rPr>
          <w:b/>
        </w:rPr>
        <w:t>,</w:t>
      </w:r>
      <w:r w:rsidRPr="006F0C93">
        <w:rPr>
          <w:b/>
        </w:rPr>
        <w:t xml:space="preserve"> новые договоры и конвенции, рекомендации, руков</w:t>
      </w:r>
      <w:r w:rsidRPr="006F0C93">
        <w:rPr>
          <w:b/>
        </w:rPr>
        <w:t>о</w:t>
      </w:r>
      <w:r w:rsidRPr="006F0C93">
        <w:rPr>
          <w:b/>
        </w:rPr>
        <w:t>дящие указания и примеры передового опыта) должны доводиться до свед</w:t>
      </w:r>
      <w:r w:rsidRPr="006F0C93">
        <w:rPr>
          <w:b/>
        </w:rPr>
        <w:t>е</w:t>
      </w:r>
      <w:r w:rsidRPr="006F0C93">
        <w:rPr>
          <w:b/>
        </w:rPr>
        <w:t>ния субъектов местного уровня. Для этого первостепенное значение имеет предоставление чего-то более, чем просто абстрактной информации. Необх</w:t>
      </w:r>
      <w:r w:rsidRPr="006F0C93">
        <w:rPr>
          <w:b/>
        </w:rPr>
        <w:t>о</w:t>
      </w:r>
      <w:r w:rsidRPr="006F0C93">
        <w:rPr>
          <w:b/>
        </w:rPr>
        <w:t>димо облечь права человека в более конкретную и практически примен</w:t>
      </w:r>
      <w:r w:rsidRPr="006F0C93">
        <w:rPr>
          <w:b/>
        </w:rPr>
        <w:t>и</w:t>
      </w:r>
      <w:r w:rsidRPr="006F0C93">
        <w:rPr>
          <w:b/>
        </w:rPr>
        <w:t>мую форму исходя из особых потребностей местного уровня. В частности, что касается международных гарантий прав человека, то центральные о</w:t>
      </w:r>
      <w:r w:rsidRPr="006F0C93">
        <w:rPr>
          <w:b/>
        </w:rPr>
        <w:t>р</w:t>
      </w:r>
      <w:r w:rsidRPr="006F0C93">
        <w:rPr>
          <w:b/>
        </w:rPr>
        <w:t>ганы власти должны преобразовывать соответствующие вопросы в области защиты прав человека в подлежащие реализации конкретные меры или стандарты.</w:t>
      </w:r>
    </w:p>
    <w:p w:rsidR="006F0C93" w:rsidRPr="006F0C93" w:rsidRDefault="006F0C93" w:rsidP="006F0C93">
      <w:pPr>
        <w:pStyle w:val="SingleTxt"/>
        <w:rPr>
          <w:b/>
        </w:rPr>
      </w:pPr>
      <w:r w:rsidRPr="006F0C93">
        <w:t>75.</w:t>
      </w:r>
      <w:r w:rsidRPr="006F0C93">
        <w:tab/>
      </w:r>
      <w:r w:rsidRPr="00C570AE">
        <w:rPr>
          <w:b/>
          <w:bCs/>
        </w:rPr>
        <w:t>Для того ч</w:t>
      </w:r>
      <w:r w:rsidRPr="00C570AE">
        <w:rPr>
          <w:b/>
        </w:rPr>
        <w:t>тоб</w:t>
      </w:r>
      <w:r w:rsidRPr="00C570AE">
        <w:rPr>
          <w:b/>
          <w:bCs/>
        </w:rPr>
        <w:t>ы</w:t>
      </w:r>
      <w:r w:rsidRPr="006F0C93">
        <w:rPr>
          <w:b/>
          <w:bCs/>
        </w:rPr>
        <w:t xml:space="preserve"> сделать права </w:t>
      </w:r>
      <w:r w:rsidRPr="006F0C93">
        <w:rPr>
          <w:b/>
        </w:rPr>
        <w:t>человека более</w:t>
      </w:r>
      <w:r w:rsidRPr="006F0C93">
        <w:rPr>
          <w:b/>
          <w:bCs/>
        </w:rPr>
        <w:t xml:space="preserve"> практически примен</w:t>
      </w:r>
      <w:r w:rsidRPr="006F0C93">
        <w:rPr>
          <w:b/>
          <w:bCs/>
        </w:rPr>
        <w:t>и</w:t>
      </w:r>
      <w:r w:rsidRPr="006F0C93">
        <w:rPr>
          <w:b/>
          <w:bCs/>
        </w:rPr>
        <w:t xml:space="preserve">мыми </w:t>
      </w:r>
      <w:r w:rsidRPr="006F0C93">
        <w:rPr>
          <w:b/>
        </w:rPr>
        <w:t>и действенными на местном уровне, необходимо определить конкре</w:t>
      </w:r>
      <w:r w:rsidRPr="006F0C93">
        <w:rPr>
          <w:b/>
        </w:rPr>
        <w:t>т</w:t>
      </w:r>
      <w:r w:rsidRPr="006F0C93">
        <w:rPr>
          <w:b/>
        </w:rPr>
        <w:t>ные области, которые тесно  связаны с эффективным осуществлением прав человека на местном уровне. Например, если государственные услуги пред</w:t>
      </w:r>
      <w:r w:rsidRPr="006F0C93">
        <w:rPr>
          <w:b/>
        </w:rPr>
        <w:t>о</w:t>
      </w:r>
      <w:r w:rsidRPr="006F0C93">
        <w:rPr>
          <w:b/>
        </w:rPr>
        <w:t>ставляются на местном уровне, их оказание может быть определено как о</w:t>
      </w:r>
      <w:r w:rsidRPr="006F0C93">
        <w:rPr>
          <w:b/>
        </w:rPr>
        <w:t>б</w:t>
      </w:r>
      <w:r w:rsidRPr="006F0C93">
        <w:rPr>
          <w:b/>
        </w:rPr>
        <w:t xml:space="preserve">ласть, в которой должен гарантироваться недискриминационный доступ. Для оказания поддержки местным органам власти в деле соблюдения прав человека должны быть разработаны </w:t>
      </w:r>
      <w:r w:rsidR="00F93E6A">
        <w:rPr>
          <w:b/>
        </w:rPr>
        <w:t>«</w:t>
      </w:r>
      <w:r w:rsidRPr="006F0C93">
        <w:rPr>
          <w:b/>
        </w:rPr>
        <w:t>дорожные карты</w:t>
      </w:r>
      <w:r w:rsidR="00F93E6A">
        <w:rPr>
          <w:b/>
        </w:rPr>
        <w:t>»</w:t>
      </w:r>
      <w:r w:rsidRPr="006F0C93">
        <w:rPr>
          <w:b/>
        </w:rPr>
        <w:t xml:space="preserve"> по обеспечению осуществления прав человека в этих конкретных областях. Они могут стать ценным инструментом, способствующим осуществлению прав человека на местном уровне (для тех, кто не является экспертом в области прав челов</w:t>
      </w:r>
      <w:r w:rsidRPr="006F0C93">
        <w:rPr>
          <w:b/>
        </w:rPr>
        <w:t>е</w:t>
      </w:r>
      <w:r w:rsidRPr="006F0C93">
        <w:rPr>
          <w:b/>
        </w:rPr>
        <w:t>ка).</w:t>
      </w:r>
    </w:p>
    <w:p w:rsidR="006F0C93" w:rsidRPr="006F0C93" w:rsidRDefault="006F0C93" w:rsidP="006F0C93">
      <w:pPr>
        <w:pStyle w:val="SingleTxt"/>
        <w:rPr>
          <w:b/>
        </w:rPr>
      </w:pPr>
      <w:r w:rsidRPr="006F0C93">
        <w:t>76.</w:t>
      </w:r>
      <w:r w:rsidRPr="006F0C93">
        <w:tab/>
      </w:r>
      <w:r w:rsidRPr="006F0C93">
        <w:rPr>
          <w:b/>
        </w:rPr>
        <w:t>В своем докладе Совету по правам человека Консультативный комитет подчеркнул отрицательное воздействие коррупции на осуществление прав человека (</w:t>
      </w:r>
      <w:r w:rsidRPr="006F0C93">
        <w:rPr>
          <w:b/>
          <w:bCs/>
          <w:lang w:val="en-GB"/>
        </w:rPr>
        <w:t>A</w:t>
      </w:r>
      <w:r w:rsidRPr="006F0C93">
        <w:rPr>
          <w:b/>
          <w:bCs/>
        </w:rPr>
        <w:t>/</w:t>
      </w:r>
      <w:r w:rsidRPr="006F0C93">
        <w:rPr>
          <w:b/>
          <w:bCs/>
          <w:lang w:val="en-GB"/>
        </w:rPr>
        <w:t>HRC</w:t>
      </w:r>
      <w:r w:rsidRPr="006F0C93">
        <w:rPr>
          <w:b/>
          <w:bCs/>
        </w:rPr>
        <w:t>/28/73</w:t>
      </w:r>
      <w:r w:rsidRPr="006F0C93">
        <w:rPr>
          <w:b/>
        </w:rPr>
        <w:t>). Он рекомендовал разработать комплексную страт</w:t>
      </w:r>
      <w:r w:rsidRPr="006F0C93">
        <w:rPr>
          <w:b/>
        </w:rPr>
        <w:t>е</w:t>
      </w:r>
      <w:r w:rsidRPr="006F0C93">
        <w:rPr>
          <w:b/>
        </w:rPr>
        <w:t>гию, направленную на поощрение прав человека и на борьбу с коррупцией. Этот сделанный в докладе вывод также является актуальным для поощр</w:t>
      </w:r>
      <w:r w:rsidRPr="006F0C93">
        <w:rPr>
          <w:b/>
        </w:rPr>
        <w:t>е</w:t>
      </w:r>
      <w:r w:rsidRPr="006F0C93">
        <w:rPr>
          <w:b/>
        </w:rPr>
        <w:t>ния прав человека на местном уровне. Особое внимание следует уделять всем без исключения областям деятельности местного уровня, которые по</w:t>
      </w:r>
      <w:r w:rsidRPr="006F0C93">
        <w:rPr>
          <w:b/>
        </w:rPr>
        <w:t>д</w:t>
      </w:r>
      <w:r w:rsidRPr="006F0C93">
        <w:rPr>
          <w:b/>
        </w:rPr>
        <w:t>вержены коррупции, особенно области оказания государственных услуг. С</w:t>
      </w:r>
      <w:r w:rsidR="00EA685E">
        <w:rPr>
          <w:b/>
        </w:rPr>
        <w:t> </w:t>
      </w:r>
      <w:r w:rsidRPr="006F0C93">
        <w:rPr>
          <w:b/>
        </w:rPr>
        <w:t>одной стороны, принятие мер по борьбе с коррупцией должно рассматр</w:t>
      </w:r>
      <w:r w:rsidRPr="006F0C93">
        <w:rPr>
          <w:b/>
        </w:rPr>
        <w:t>и</w:t>
      </w:r>
      <w:r w:rsidRPr="006F0C93">
        <w:rPr>
          <w:b/>
        </w:rPr>
        <w:t>ваться в качестве правозащитного вопроса. С другой стороны, поощрение прав человека не может быть успешным и эффективным без принятия мер по борьбе с коррупцией. В этом отношении особое внимание должно уд</w:t>
      </w:r>
      <w:r w:rsidRPr="006F0C93">
        <w:rPr>
          <w:b/>
        </w:rPr>
        <w:t>е</w:t>
      </w:r>
      <w:r w:rsidRPr="006F0C93">
        <w:rPr>
          <w:b/>
        </w:rPr>
        <w:t>ляться профилактическим мерам.</w:t>
      </w:r>
    </w:p>
    <w:p w:rsidR="006F0C93" w:rsidRPr="006F0C93" w:rsidRDefault="006F0C93" w:rsidP="006F0C93">
      <w:pPr>
        <w:pStyle w:val="SingleTxt"/>
        <w:rPr>
          <w:b/>
        </w:rPr>
      </w:pPr>
      <w:r w:rsidRPr="006F0C93">
        <w:t>77.</w:t>
      </w:r>
      <w:r w:rsidRPr="006F0C93">
        <w:tab/>
      </w:r>
      <w:r w:rsidRPr="006F0C93">
        <w:rPr>
          <w:b/>
          <w:bCs/>
        </w:rPr>
        <w:t>В контексте мониторинга выполнения международных обязательств в области прав человека на национальном уровне соответствующим механи</w:t>
      </w:r>
      <w:r w:rsidRPr="006F0C93">
        <w:rPr>
          <w:b/>
          <w:bCs/>
        </w:rPr>
        <w:t>з</w:t>
      </w:r>
      <w:r w:rsidRPr="006F0C93">
        <w:rPr>
          <w:b/>
          <w:bCs/>
        </w:rPr>
        <w:t>мам Организации Объединенных Наций следует поощрять государства к налаживанию диалога также с местными органами власти. Местные власти следует привлекать к участию в процессе универсального периодического обзора (УПО) в отношении их правительства; это позволит повысить кач</w:t>
      </w:r>
      <w:r w:rsidRPr="006F0C93">
        <w:rPr>
          <w:b/>
          <w:bCs/>
        </w:rPr>
        <w:t>е</w:t>
      </w:r>
      <w:r w:rsidRPr="006F0C93">
        <w:rPr>
          <w:b/>
          <w:bCs/>
        </w:rPr>
        <w:t>ство выполнения принятых рекомендаций. Рекомендации, вынесенные по итогам УПО, и заключительные замечания договорных органов Организ</w:t>
      </w:r>
      <w:r w:rsidRPr="006F0C93">
        <w:rPr>
          <w:b/>
          <w:bCs/>
        </w:rPr>
        <w:t>а</w:t>
      </w:r>
      <w:r w:rsidRPr="006F0C93">
        <w:rPr>
          <w:b/>
          <w:bCs/>
        </w:rPr>
        <w:lastRenderedPageBreak/>
        <w:t>ции Объединенных Наций должны доводиться центральными органами власти до сведения местных органов. Необходимо также отметить Соглас</w:t>
      </w:r>
      <w:r w:rsidRPr="006F0C93">
        <w:rPr>
          <w:b/>
          <w:bCs/>
        </w:rPr>
        <w:t>о</w:t>
      </w:r>
      <w:r w:rsidRPr="006F0C93">
        <w:rPr>
          <w:b/>
          <w:bCs/>
        </w:rPr>
        <w:t>ванные руководящие принципы представления докладов согласно междун</w:t>
      </w:r>
      <w:r w:rsidRPr="006F0C93">
        <w:rPr>
          <w:b/>
          <w:bCs/>
        </w:rPr>
        <w:t>а</w:t>
      </w:r>
      <w:r w:rsidRPr="006F0C93">
        <w:rPr>
          <w:b/>
          <w:bCs/>
        </w:rPr>
        <w:t>родным договорам о правах человека, включая руководящие принципы по</w:t>
      </w:r>
      <w:r w:rsidRPr="006F0C93">
        <w:rPr>
          <w:b/>
          <w:bCs/>
        </w:rPr>
        <w:t>д</w:t>
      </w:r>
      <w:r w:rsidRPr="006F0C93">
        <w:rPr>
          <w:b/>
          <w:bCs/>
        </w:rPr>
        <w:t xml:space="preserve">готовки общего базового документа и документов по конкретным договорам, которые рекомендуют представляющим доклады государствам обеспечивать </w:t>
      </w:r>
      <w:r w:rsidR="00F93E6A">
        <w:rPr>
          <w:b/>
        </w:rPr>
        <w:t>«</w:t>
      </w:r>
      <w:r w:rsidRPr="006F0C93">
        <w:rPr>
          <w:b/>
        </w:rPr>
        <w:t>участие правительственных учреждений на центральном, региональном и местном уровнях и, в соответствующих случаях, на федеральном и облас</w:t>
      </w:r>
      <w:r w:rsidRPr="006F0C93">
        <w:rPr>
          <w:b/>
        </w:rPr>
        <w:t>т</w:t>
      </w:r>
      <w:r w:rsidRPr="006F0C93">
        <w:rPr>
          <w:b/>
        </w:rPr>
        <w:t>ном уровнях</w:t>
      </w:r>
      <w:r w:rsidR="00F93E6A">
        <w:rPr>
          <w:b/>
        </w:rPr>
        <w:t>»</w:t>
      </w:r>
      <w:r w:rsidRPr="006F0C93">
        <w:rPr>
          <w:b/>
        </w:rPr>
        <w:t xml:space="preserve"> (</w:t>
      </w:r>
      <w:r w:rsidRPr="006F0C93">
        <w:rPr>
          <w:b/>
          <w:lang w:val="en-GB"/>
        </w:rPr>
        <w:t>HRI</w:t>
      </w:r>
      <w:r w:rsidRPr="006F0C93">
        <w:rPr>
          <w:b/>
        </w:rPr>
        <w:t>/</w:t>
      </w:r>
      <w:r w:rsidRPr="006F0C93">
        <w:rPr>
          <w:b/>
          <w:lang w:val="en-GB"/>
        </w:rPr>
        <w:t>MC</w:t>
      </w:r>
      <w:r w:rsidR="00EA685E">
        <w:rPr>
          <w:b/>
        </w:rPr>
        <w:t xml:space="preserve">/2005/3, пункт 50 </w:t>
      </w:r>
      <w:r w:rsidRPr="006F0C93">
        <w:rPr>
          <w:b/>
          <w:lang w:val="en-GB"/>
        </w:rPr>
        <w:t>a</w:t>
      </w:r>
      <w:r w:rsidRPr="006F0C93">
        <w:rPr>
          <w:b/>
        </w:rPr>
        <w:t>)).</w:t>
      </w:r>
    </w:p>
    <w:p w:rsidR="006F0C93" w:rsidRPr="006F0C93" w:rsidRDefault="006F0C93" w:rsidP="006F0C93">
      <w:pPr>
        <w:pStyle w:val="SingleTxt"/>
        <w:rPr>
          <w:b/>
        </w:rPr>
      </w:pPr>
      <w:r w:rsidRPr="006F0C93">
        <w:t>78.</w:t>
      </w:r>
      <w:r w:rsidRPr="006F0C93">
        <w:tab/>
      </w:r>
      <w:r w:rsidRPr="006F0C93">
        <w:rPr>
          <w:b/>
        </w:rPr>
        <w:t>Кроме того, существует необходимость разработки руководящих при</w:t>
      </w:r>
      <w:r w:rsidRPr="006F0C93">
        <w:rPr>
          <w:b/>
        </w:rPr>
        <w:t>н</w:t>
      </w:r>
      <w:r w:rsidRPr="006F0C93">
        <w:rPr>
          <w:b/>
        </w:rPr>
        <w:t>ципов для местных органов власти и прав человека с учетом различных стандартов, касающихся роли местных органов власти и городов в деле осуществления признанных на международном уровне прав человека. Такие руководящие принципы, как только они будут приняты, станут полезным инструментом уточнения роли различных структур и учреждений, а также разработки конкретных стратегий по осуществлению рекомендаций, вын</w:t>
      </w:r>
      <w:r w:rsidRPr="006F0C93">
        <w:rPr>
          <w:b/>
        </w:rPr>
        <w:t>е</w:t>
      </w:r>
      <w:r w:rsidRPr="006F0C93">
        <w:rPr>
          <w:b/>
        </w:rPr>
        <w:t>сенных в настоящем докладе, и других рекомендаций, вынесенных спец</w:t>
      </w:r>
      <w:r w:rsidRPr="006F0C93">
        <w:rPr>
          <w:b/>
        </w:rPr>
        <w:t>и</w:t>
      </w:r>
      <w:r w:rsidRPr="006F0C93">
        <w:rPr>
          <w:b/>
        </w:rPr>
        <w:t>альными процедурами Совета по правам человека, его механизмом и дог</w:t>
      </w:r>
      <w:r w:rsidRPr="006F0C93">
        <w:rPr>
          <w:b/>
        </w:rPr>
        <w:t>о</w:t>
      </w:r>
      <w:r w:rsidRPr="006F0C93">
        <w:rPr>
          <w:b/>
        </w:rPr>
        <w:t>ворными органами Организации Объединенных Наций.</w:t>
      </w:r>
    </w:p>
    <w:p w:rsidR="00746E43" w:rsidRPr="006F0C93" w:rsidRDefault="006F0C93" w:rsidP="006F0C93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746E43" w:rsidRPr="006F0C93" w:rsidSect="008D186B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15T15:46:00Z" w:initials="Start">
    <w:p w:rsidR="00F93E6A" w:rsidRPr="00746E43" w:rsidRDefault="00F93E6A">
      <w:pPr>
        <w:pStyle w:val="CommentText"/>
        <w:rPr>
          <w:lang w:val="en-US"/>
        </w:rPr>
      </w:pPr>
      <w:r>
        <w:fldChar w:fldCharType="begin"/>
      </w:r>
      <w:r w:rsidRPr="00746E43">
        <w:rPr>
          <w:rStyle w:val="CommentReference"/>
          <w:lang w:val="en-US"/>
        </w:rPr>
        <w:instrText xml:space="preserve"> </w:instrText>
      </w:r>
      <w:r w:rsidRPr="00746E43">
        <w:rPr>
          <w:lang w:val="en-US"/>
        </w:rPr>
        <w:instrText>PAGE \# "'Page: '#'</w:instrText>
      </w:r>
      <w:r w:rsidRPr="00746E43">
        <w:rPr>
          <w:lang w:val="en-US"/>
        </w:rPr>
        <w:br/>
        <w:instrText>'"</w:instrText>
      </w:r>
      <w:r w:rsidRPr="00746E43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746E43">
        <w:rPr>
          <w:lang w:val="en-US"/>
        </w:rPr>
        <w:t>&lt;&lt;ODS JOB NO&gt;&gt;N1517490R&lt;&lt;ODS JOB NO&gt;&gt;</w:t>
      </w:r>
    </w:p>
    <w:p w:rsidR="00F93E6A" w:rsidRDefault="00F93E6A">
      <w:pPr>
        <w:pStyle w:val="CommentText"/>
      </w:pPr>
      <w:r>
        <w:t>&lt;&lt;ODS DOC SYMBOL1&gt;&gt;A/HRC/30/49&lt;&lt;ODS DOC SYMBOL1&gt;&gt;</w:t>
      </w:r>
    </w:p>
    <w:p w:rsidR="00F93E6A" w:rsidRDefault="00F93E6A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6A" w:rsidRDefault="00F93E6A" w:rsidP="008A1A7A">
      <w:pPr>
        <w:spacing w:line="240" w:lineRule="auto"/>
      </w:pPr>
      <w:r>
        <w:separator/>
      </w:r>
    </w:p>
  </w:endnote>
  <w:endnote w:type="continuationSeparator" w:id="0">
    <w:p w:rsidR="00F93E6A" w:rsidRDefault="00F93E6A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93E6A" w:rsidTr="008D186B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5D39">
            <w:rPr>
              <w:noProof/>
            </w:rPr>
            <w:t>22</w:t>
          </w:r>
          <w:r>
            <w:fldChar w:fldCharType="end"/>
          </w:r>
          <w:r>
            <w:t>/</w:t>
          </w:r>
          <w:fldSimple w:instr=" NUMPAGES  \* Arabic  \* MERGEFORMAT ">
            <w:r w:rsidR="00355D39">
              <w:rPr>
                <w:noProof/>
              </w:rPr>
              <w:t>23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355D39">
            <w:rPr>
              <w:b w:val="0"/>
              <w:color w:val="000000"/>
              <w:sz w:val="14"/>
            </w:rPr>
            <w:t>GE.15-13369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F93E6A" w:rsidRPr="008D186B" w:rsidRDefault="00F93E6A" w:rsidP="008D1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93E6A" w:rsidTr="008D186B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355D39">
            <w:rPr>
              <w:b w:val="0"/>
              <w:color w:val="000000"/>
              <w:sz w:val="14"/>
            </w:rPr>
            <w:t>GE.15-13369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5D39">
            <w:rPr>
              <w:noProof/>
            </w:rPr>
            <w:t>23</w:t>
          </w:r>
          <w:r>
            <w:fldChar w:fldCharType="end"/>
          </w:r>
          <w:r>
            <w:t>/</w:t>
          </w:r>
          <w:fldSimple w:instr=" NUMPAGES  \* Arabic  \* MERGEFORMAT ">
            <w:r w:rsidR="00355D39">
              <w:rPr>
                <w:noProof/>
              </w:rPr>
              <w:t>23</w:t>
            </w:r>
          </w:fldSimple>
        </w:p>
      </w:tc>
    </w:tr>
  </w:tbl>
  <w:p w:rsidR="00F93E6A" w:rsidRPr="008D186B" w:rsidRDefault="00F93E6A" w:rsidP="008D18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F93E6A" w:rsidTr="008D186B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F93E6A" w:rsidRDefault="00F93E6A" w:rsidP="008D186B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4A02CAA0" wp14:editId="68244446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49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9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GE.15-13369 (R)</w:t>
          </w:r>
          <w:r>
            <w:rPr>
              <w:color w:val="010000"/>
            </w:rPr>
            <w:t xml:space="preserve">    150915    150915</w:t>
          </w:r>
        </w:p>
        <w:p w:rsidR="00F93E6A" w:rsidRPr="008D186B" w:rsidRDefault="00F93E6A" w:rsidP="008D186B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*1513369*</w:t>
          </w:r>
        </w:p>
      </w:tc>
      <w:tc>
        <w:tcPr>
          <w:tcW w:w="5127" w:type="dxa"/>
        </w:tcPr>
        <w:p w:rsidR="00F93E6A" w:rsidRDefault="00F93E6A" w:rsidP="008D186B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525C1DB3" wp14:editId="32EC47ED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3E6A" w:rsidRPr="008D186B" w:rsidRDefault="00F93E6A" w:rsidP="008D186B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6A" w:rsidRPr="003E719E" w:rsidRDefault="00F93E6A" w:rsidP="003E719E">
      <w:pPr>
        <w:pStyle w:val="Footer"/>
        <w:spacing w:after="80"/>
        <w:ind w:left="792"/>
        <w:rPr>
          <w:sz w:val="16"/>
        </w:rPr>
      </w:pPr>
      <w:r w:rsidRPr="003E719E">
        <w:rPr>
          <w:sz w:val="16"/>
        </w:rPr>
        <w:t>__________________</w:t>
      </w:r>
    </w:p>
  </w:footnote>
  <w:footnote w:type="continuationSeparator" w:id="0">
    <w:p w:rsidR="00F93E6A" w:rsidRPr="003E719E" w:rsidRDefault="00F93E6A" w:rsidP="003E719E">
      <w:pPr>
        <w:pStyle w:val="Footer"/>
        <w:spacing w:after="80"/>
        <w:ind w:left="792"/>
        <w:rPr>
          <w:sz w:val="16"/>
        </w:rPr>
      </w:pPr>
      <w:r w:rsidRPr="003E719E">
        <w:rPr>
          <w:sz w:val="16"/>
        </w:rPr>
        <w:t>__________________</w:t>
      </w:r>
    </w:p>
  </w:footnote>
  <w:footnote w:id="1">
    <w:p w:rsidR="00F93E6A" w:rsidRPr="00497AF6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 w:rsidRPr="00F76D73">
        <w:tab/>
      </w:r>
      <w:r>
        <w:t>В</w:t>
      </w:r>
      <w:r w:rsidRPr="00315BC9">
        <w:t xml:space="preserve"> </w:t>
      </w:r>
      <w:r>
        <w:t>Бразилии, согласно Конституции, муниципальные</w:t>
      </w:r>
      <w:r w:rsidRPr="00F76D73">
        <w:t xml:space="preserve"> </w:t>
      </w:r>
      <w:r>
        <w:t>образования являются</w:t>
      </w:r>
      <w:r w:rsidRPr="00F76D73">
        <w:t xml:space="preserve"> </w:t>
      </w:r>
      <w:r>
        <w:t>частью</w:t>
      </w:r>
      <w:r w:rsidRPr="00F76D73">
        <w:t xml:space="preserve"> </w:t>
      </w:r>
      <w:r>
        <w:t>Федерации</w:t>
      </w:r>
      <w:r w:rsidRPr="00497AF6">
        <w:t xml:space="preserve">, </w:t>
      </w:r>
      <w:r>
        <w:t>а</w:t>
      </w:r>
      <w:r w:rsidRPr="00497AF6">
        <w:t xml:space="preserve"> </w:t>
      </w:r>
      <w:r>
        <w:t>не</w:t>
      </w:r>
      <w:r w:rsidRPr="00497AF6">
        <w:t xml:space="preserve"> </w:t>
      </w:r>
      <w:r>
        <w:t>просто</w:t>
      </w:r>
      <w:r w:rsidRPr="00497AF6">
        <w:t xml:space="preserve"> </w:t>
      </w:r>
      <w:r>
        <w:t>зависимыми</w:t>
      </w:r>
      <w:r w:rsidRPr="00497AF6">
        <w:t xml:space="preserve"> </w:t>
      </w:r>
      <w:r>
        <w:t>административно</w:t>
      </w:r>
      <w:r w:rsidRPr="00497AF6">
        <w:t>-</w:t>
      </w:r>
      <w:r>
        <w:t>территориальными</w:t>
      </w:r>
      <w:r w:rsidRPr="00497AF6">
        <w:t xml:space="preserve"> </w:t>
      </w:r>
      <w:r>
        <w:t>единицами</w:t>
      </w:r>
      <w:r w:rsidRPr="00497AF6">
        <w:t xml:space="preserve"> </w:t>
      </w:r>
      <w:r>
        <w:t>государства</w:t>
      </w:r>
      <w:r w:rsidRPr="00497AF6">
        <w:t>.</w:t>
      </w:r>
    </w:p>
  </w:footnote>
  <w:footnote w:id="2">
    <w:p w:rsidR="00F93E6A" w:rsidRPr="006F0C93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97AF6">
        <w:tab/>
      </w:r>
      <w:r>
        <w:rPr>
          <w:rStyle w:val="FootnoteReference"/>
        </w:rPr>
        <w:footnoteRef/>
      </w:r>
      <w:r w:rsidRPr="00F9069B">
        <w:rPr>
          <w:lang w:val="en-US"/>
        </w:rPr>
        <w:tab/>
        <w:t xml:space="preserve">International Institute for Democracy and Electoral Assistance, </w:t>
      </w:r>
      <w:r w:rsidR="00F9069B" w:rsidRPr="00F9069B">
        <w:rPr>
          <w:lang w:val="en-US"/>
        </w:rPr>
        <w:t>«</w:t>
      </w:r>
      <w:r w:rsidRPr="00F9069B">
        <w:rPr>
          <w:lang w:val="en-US"/>
        </w:rPr>
        <w:t>Democratic Accountability and Service Delivery: A Desk Review</w:t>
      </w:r>
      <w:r w:rsidR="00F9069B" w:rsidRPr="00F9069B">
        <w:rPr>
          <w:lang w:val="en-US"/>
        </w:rPr>
        <w:t>»</w:t>
      </w:r>
      <w:r w:rsidRPr="00F9069B">
        <w:rPr>
          <w:lang w:val="en-US"/>
        </w:rPr>
        <w:t xml:space="preserve">, January 2013, </w:t>
      </w:r>
      <w:r>
        <w:t>см</w:t>
      </w:r>
      <w:r w:rsidRPr="00F9069B">
        <w:rPr>
          <w:lang w:val="en-US"/>
        </w:rPr>
        <w:t xml:space="preserve">. </w:t>
      </w:r>
      <w:hyperlink r:id="rId1" w:history="1">
        <w:r w:rsidRPr="008A23B8">
          <w:rPr>
            <w:rStyle w:val="Hyperlink"/>
          </w:rPr>
          <w:t>http</w:t>
        </w:r>
        <w:r w:rsidRPr="006F0C93">
          <w:rPr>
            <w:rStyle w:val="Hyperlink"/>
          </w:rPr>
          <w:t>://</w:t>
        </w:r>
        <w:r w:rsidRPr="008A23B8">
          <w:rPr>
            <w:rStyle w:val="Hyperlink"/>
          </w:rPr>
          <w:t>www</w:t>
        </w:r>
        <w:r w:rsidRPr="006F0C93">
          <w:rPr>
            <w:rStyle w:val="Hyperlink"/>
          </w:rPr>
          <w:t>.</w:t>
        </w:r>
        <w:r w:rsidRPr="008A23B8">
          <w:rPr>
            <w:rStyle w:val="Hyperlink"/>
          </w:rPr>
          <w:t>idea</w:t>
        </w:r>
        <w:r w:rsidRPr="006F0C93">
          <w:rPr>
            <w:rStyle w:val="Hyperlink"/>
          </w:rPr>
          <w:t>.</w:t>
        </w:r>
        <w:r w:rsidRPr="008A23B8">
          <w:rPr>
            <w:rStyle w:val="Hyperlink"/>
          </w:rPr>
          <w:t>int</w:t>
        </w:r>
        <w:r w:rsidRPr="006F0C93">
          <w:rPr>
            <w:rStyle w:val="Hyperlink"/>
          </w:rPr>
          <w:t>/</w:t>
        </w:r>
        <w:r w:rsidRPr="008A23B8">
          <w:rPr>
            <w:rStyle w:val="Hyperlink"/>
          </w:rPr>
          <w:t>resources</w:t>
        </w:r>
        <w:r w:rsidRPr="006F0C93">
          <w:rPr>
            <w:rStyle w:val="Hyperlink"/>
          </w:rPr>
          <w:t>/</w:t>
        </w:r>
        <w:r w:rsidRPr="008A23B8">
          <w:rPr>
            <w:rStyle w:val="Hyperlink"/>
          </w:rPr>
          <w:t>analysis</w:t>
        </w:r>
        <w:r w:rsidRPr="006F0C93">
          <w:rPr>
            <w:rStyle w:val="Hyperlink"/>
          </w:rPr>
          <w:t>/</w:t>
        </w:r>
        <w:r w:rsidR="00875FDC">
          <w:rPr>
            <w:rStyle w:val="Hyperlink"/>
          </w:rPr>
          <w:br/>
        </w:r>
        <w:r w:rsidRPr="008A23B8">
          <w:rPr>
            <w:rStyle w:val="Hyperlink"/>
          </w:rPr>
          <w:t>democratic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accountability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and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service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delivery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a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desk</w:t>
        </w:r>
        <w:r w:rsidRPr="006F0C93">
          <w:rPr>
            <w:rStyle w:val="Hyperlink"/>
          </w:rPr>
          <w:t>-</w:t>
        </w:r>
        <w:r w:rsidRPr="008A23B8">
          <w:rPr>
            <w:rStyle w:val="Hyperlink"/>
          </w:rPr>
          <w:t>review</w:t>
        </w:r>
        <w:r w:rsidRPr="006F0C93">
          <w:rPr>
            <w:rStyle w:val="Hyperlink"/>
          </w:rPr>
          <w:t>.</w:t>
        </w:r>
        <w:r w:rsidRPr="008A23B8">
          <w:rPr>
            <w:rStyle w:val="Hyperlink"/>
          </w:rPr>
          <w:t>cfm</w:t>
        </w:r>
      </w:hyperlink>
      <w:r w:rsidRPr="006F0C93">
        <w:t xml:space="preserve"> .</w:t>
      </w:r>
    </w:p>
  </w:footnote>
  <w:footnote w:id="3">
    <w:p w:rsidR="00F93E6A" w:rsidRPr="0042281B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F0C93">
        <w:tab/>
      </w:r>
      <w:r>
        <w:rPr>
          <w:rStyle w:val="FootnoteReference"/>
        </w:rPr>
        <w:footnoteRef/>
      </w:r>
      <w:r w:rsidRPr="0042281B">
        <w:tab/>
      </w:r>
      <w:r>
        <w:t>В этом отношении</w:t>
      </w:r>
      <w:r w:rsidRPr="0042281B">
        <w:t xml:space="preserve"> можно сослаться, </w:t>
      </w:r>
      <w:r w:rsidRPr="00823F3C">
        <w:t>mutatis</w:t>
      </w:r>
      <w:r w:rsidRPr="0042281B">
        <w:t xml:space="preserve"> </w:t>
      </w:r>
      <w:r w:rsidRPr="00823F3C">
        <w:t>mutandis</w:t>
      </w:r>
      <w:r w:rsidRPr="0042281B">
        <w:t>, на статью 50 Международного пакта о</w:t>
      </w:r>
      <w:r w:rsidR="00F9069B">
        <w:t> </w:t>
      </w:r>
      <w:r w:rsidRPr="0042281B">
        <w:t xml:space="preserve">гражданских и политических правах, согласно которой положения Пакта </w:t>
      </w:r>
      <w:r>
        <w:t>«</w:t>
      </w:r>
      <w:r w:rsidRPr="0042281B">
        <w:t>распространяются на все части федеративных государств без каких бы то ни было ограничений или изъятий</w:t>
      </w:r>
      <w:r>
        <w:t>»</w:t>
      </w:r>
      <w:r w:rsidRPr="0042281B">
        <w:t>.</w:t>
      </w:r>
    </w:p>
  </w:footnote>
  <w:footnote w:id="4">
    <w:p w:rsidR="00F93E6A" w:rsidRPr="0011325C" w:rsidRDefault="00F93E6A" w:rsidP="003E719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2281B">
        <w:tab/>
      </w:r>
      <w:r>
        <w:rPr>
          <w:rStyle w:val="FootnoteReference"/>
        </w:rPr>
        <w:footnoteRef/>
      </w:r>
      <w:r w:rsidRPr="00FE76F1">
        <w:tab/>
      </w:r>
      <w:r>
        <w:t>Проект</w:t>
      </w:r>
      <w:r w:rsidRPr="00FE76F1">
        <w:t xml:space="preserve"> </w:t>
      </w:r>
      <w:r>
        <w:t>статей</w:t>
      </w:r>
      <w:r w:rsidRPr="00FE76F1">
        <w:t xml:space="preserve"> </w:t>
      </w:r>
      <w:r>
        <w:t>об</w:t>
      </w:r>
      <w:r w:rsidRPr="00FE76F1">
        <w:t xml:space="preserve"> </w:t>
      </w:r>
      <w:r>
        <w:t>ответственности</w:t>
      </w:r>
      <w:r w:rsidRPr="00FE76F1">
        <w:t xml:space="preserve"> </w:t>
      </w:r>
      <w:r>
        <w:t>государств</w:t>
      </w:r>
      <w:r w:rsidRPr="00FE76F1">
        <w:t xml:space="preserve"> </w:t>
      </w:r>
      <w:r>
        <w:t>за</w:t>
      </w:r>
      <w:r w:rsidRPr="00FE76F1">
        <w:t xml:space="preserve"> </w:t>
      </w:r>
      <w:r w:rsidRPr="004A0007">
        <w:t>международно</w:t>
      </w:r>
      <w:r w:rsidRPr="00FE76F1">
        <w:t>-</w:t>
      </w:r>
      <w:r w:rsidRPr="004A0007">
        <w:t>противоправные</w:t>
      </w:r>
      <w:r w:rsidRPr="00FE76F1">
        <w:t xml:space="preserve"> </w:t>
      </w:r>
      <w:r w:rsidRPr="004A0007">
        <w:t>деяния</w:t>
      </w:r>
      <w:r w:rsidRPr="00FE76F1">
        <w:t xml:space="preserve">; </w:t>
      </w:r>
      <w:r>
        <w:t>принятый</w:t>
      </w:r>
      <w:r w:rsidRPr="00FE76F1">
        <w:t xml:space="preserve"> </w:t>
      </w:r>
      <w:r>
        <w:t>Комиссией</w:t>
      </w:r>
      <w:r w:rsidRPr="00FE76F1">
        <w:t xml:space="preserve"> международного права </w:t>
      </w:r>
      <w:r>
        <w:t>на ее</w:t>
      </w:r>
      <w:r w:rsidRPr="00FE76F1">
        <w:t xml:space="preserve"> </w:t>
      </w:r>
      <w:r>
        <w:t>пятьдесят третей сессии</w:t>
      </w:r>
      <w:r w:rsidRPr="00FE76F1">
        <w:t xml:space="preserve"> (2001</w:t>
      </w:r>
      <w:r>
        <w:t xml:space="preserve"> года</w:t>
      </w:r>
      <w:r w:rsidRPr="00FE76F1">
        <w:t xml:space="preserve">), </w:t>
      </w:r>
      <w:r w:rsidRPr="004F1FED">
        <w:rPr>
          <w:i/>
        </w:rPr>
        <w:t>Официальные отчеты Генеральной Ассамблеи, Пятьдесят шестая сессия, Приложение</w:t>
      </w:r>
      <w:r w:rsidR="004F1FED">
        <w:rPr>
          <w:i/>
        </w:rPr>
        <w:t> </w:t>
      </w:r>
      <w:r w:rsidRPr="004F1FED">
        <w:rPr>
          <w:i/>
        </w:rPr>
        <w:t>№</w:t>
      </w:r>
      <w:r w:rsidR="004F1FED">
        <w:rPr>
          <w:i/>
        </w:rPr>
        <w:t> </w:t>
      </w:r>
      <w:r w:rsidRPr="004F1FED">
        <w:rPr>
          <w:i/>
        </w:rPr>
        <w:t>10</w:t>
      </w:r>
      <w:r w:rsidRPr="00FE76F1">
        <w:t xml:space="preserve"> (</w:t>
      </w:r>
      <w:r w:rsidRPr="00323229">
        <w:t>A</w:t>
      </w:r>
      <w:r w:rsidRPr="00FE76F1">
        <w:t xml:space="preserve">/56/10), </w:t>
      </w:r>
      <w:r>
        <w:t>ста</w:t>
      </w:r>
      <w:r>
        <w:rPr>
          <w:lang w:eastAsia="en-GB"/>
        </w:rPr>
        <w:t>тья</w:t>
      </w:r>
      <w:r w:rsidRPr="00FE76F1">
        <w:rPr>
          <w:lang w:eastAsia="en-GB"/>
        </w:rPr>
        <w:t xml:space="preserve"> 4, </w:t>
      </w:r>
      <w:r>
        <w:rPr>
          <w:lang w:eastAsia="en-GB"/>
        </w:rPr>
        <w:t>пункт</w:t>
      </w:r>
      <w:r w:rsidRPr="00FE76F1">
        <w:rPr>
          <w:lang w:eastAsia="en-GB"/>
        </w:rPr>
        <w:t xml:space="preserve"> </w:t>
      </w:r>
      <w:r w:rsidRPr="0011325C">
        <w:rPr>
          <w:lang w:eastAsia="en-GB"/>
        </w:rPr>
        <w:t>2.</w:t>
      </w:r>
    </w:p>
  </w:footnote>
  <w:footnote w:id="5">
    <w:p w:rsidR="00F93E6A" w:rsidRPr="00600B2E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11325C">
        <w:tab/>
      </w:r>
      <w:r>
        <w:rPr>
          <w:rStyle w:val="FootnoteReference"/>
        </w:rPr>
        <w:footnoteRef/>
      </w:r>
      <w:r w:rsidRPr="00600B2E">
        <w:tab/>
      </w:r>
      <w:r>
        <w:t>Там же</w:t>
      </w:r>
      <w:r w:rsidRPr="00600B2E">
        <w:t xml:space="preserve">, </w:t>
      </w:r>
      <w:r>
        <w:t>разд</w:t>
      </w:r>
      <w:r w:rsidRPr="00600B2E">
        <w:t xml:space="preserve">. </w:t>
      </w:r>
      <w:r w:rsidRPr="00323229">
        <w:t>IV</w:t>
      </w:r>
      <w:r w:rsidRPr="00600B2E">
        <w:t>.</w:t>
      </w:r>
      <w:r w:rsidRPr="00323229">
        <w:t>E</w:t>
      </w:r>
      <w:r w:rsidRPr="00600B2E">
        <w:t>.1.</w:t>
      </w:r>
    </w:p>
  </w:footnote>
  <w:footnote w:id="6">
    <w:p w:rsidR="00F93E6A" w:rsidRPr="00600B2E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00B2E">
        <w:tab/>
      </w:r>
      <w:r>
        <w:rPr>
          <w:rStyle w:val="FootnoteReference"/>
        </w:rPr>
        <w:footnoteRef/>
      </w:r>
      <w:r w:rsidRPr="00D34AF4">
        <w:tab/>
      </w:r>
      <w:r>
        <w:t>З</w:t>
      </w:r>
      <w:r w:rsidRPr="00E70DEF">
        <w:t>амечание</w:t>
      </w:r>
      <w:r w:rsidRPr="00D34AF4">
        <w:t xml:space="preserve"> </w:t>
      </w:r>
      <w:r w:rsidRPr="00E70DEF">
        <w:t>общего</w:t>
      </w:r>
      <w:r w:rsidRPr="00D34AF4">
        <w:t xml:space="preserve"> </w:t>
      </w:r>
      <w:r w:rsidRPr="00E70DEF">
        <w:t>порядка</w:t>
      </w:r>
      <w:r w:rsidRPr="00D34AF4">
        <w:t xml:space="preserve"> № 16 (2005</w:t>
      </w:r>
      <w:r>
        <w:t xml:space="preserve"> год</w:t>
      </w:r>
      <w:r w:rsidRPr="00D34AF4">
        <w:t xml:space="preserve">): </w:t>
      </w:r>
      <w:r w:rsidRPr="00E70DEF">
        <w:t>равное</w:t>
      </w:r>
      <w:r w:rsidRPr="00D34AF4">
        <w:t xml:space="preserve"> </w:t>
      </w:r>
      <w:r w:rsidRPr="00E70DEF">
        <w:t>для</w:t>
      </w:r>
      <w:r w:rsidRPr="00D34AF4">
        <w:t xml:space="preserve"> </w:t>
      </w:r>
      <w:r w:rsidRPr="00E70DEF">
        <w:t>мужчин</w:t>
      </w:r>
      <w:r w:rsidRPr="00D34AF4">
        <w:t xml:space="preserve"> </w:t>
      </w:r>
      <w:r w:rsidRPr="00E70DEF">
        <w:t>и</w:t>
      </w:r>
      <w:r w:rsidRPr="00D34AF4">
        <w:t xml:space="preserve"> </w:t>
      </w:r>
      <w:r w:rsidRPr="00E70DEF">
        <w:t>женщин</w:t>
      </w:r>
      <w:r w:rsidRPr="00D34AF4">
        <w:t xml:space="preserve"> </w:t>
      </w:r>
      <w:r w:rsidRPr="00E70DEF">
        <w:t>право</w:t>
      </w:r>
      <w:r w:rsidRPr="00D34AF4">
        <w:t xml:space="preserve"> </w:t>
      </w:r>
      <w:r w:rsidRPr="00E70DEF">
        <w:t>пользования</w:t>
      </w:r>
      <w:r w:rsidRPr="00D34AF4">
        <w:t xml:space="preserve"> </w:t>
      </w:r>
      <w:r w:rsidRPr="00E70DEF">
        <w:t>всеми</w:t>
      </w:r>
      <w:r w:rsidRPr="00D34AF4">
        <w:t xml:space="preserve"> </w:t>
      </w:r>
      <w:r w:rsidRPr="00E70DEF">
        <w:t>экономическими</w:t>
      </w:r>
      <w:r w:rsidRPr="00D34AF4">
        <w:t xml:space="preserve">, </w:t>
      </w:r>
      <w:r w:rsidRPr="00E70DEF">
        <w:t>социальными</w:t>
      </w:r>
      <w:r w:rsidRPr="00D34AF4">
        <w:t xml:space="preserve"> </w:t>
      </w:r>
      <w:r w:rsidRPr="00E70DEF">
        <w:t>и</w:t>
      </w:r>
      <w:r w:rsidRPr="00D34AF4">
        <w:t xml:space="preserve"> </w:t>
      </w:r>
      <w:r w:rsidRPr="00E70DEF">
        <w:t>культурными</w:t>
      </w:r>
      <w:r w:rsidRPr="00D34AF4">
        <w:t xml:space="preserve"> </w:t>
      </w:r>
      <w:r w:rsidRPr="00E70DEF">
        <w:t>правами</w:t>
      </w:r>
      <w:r w:rsidRPr="00D34AF4">
        <w:t xml:space="preserve"> (</w:t>
      </w:r>
      <w:r w:rsidRPr="00E70DEF">
        <w:t>статья</w:t>
      </w:r>
      <w:r w:rsidRPr="00D34AF4">
        <w:t xml:space="preserve"> 3</w:t>
      </w:r>
      <w:r>
        <w:t xml:space="preserve"> </w:t>
      </w:r>
      <w:r w:rsidRPr="00D34AF4">
        <w:t>Международного пакта об экономических, социальных и культурных правах),</w:t>
      </w:r>
      <w:r>
        <w:t xml:space="preserve"> пункт</w:t>
      </w:r>
      <w:r w:rsidRPr="00D34AF4">
        <w:t xml:space="preserve"> 42, </w:t>
      </w:r>
      <w:r>
        <w:t>см.</w:t>
      </w:r>
      <w:r w:rsidR="00F9069B">
        <w:t> </w:t>
      </w:r>
      <w:hyperlink r:id="rId2" w:history="1">
        <w:r w:rsidRPr="008A23B8">
          <w:rPr>
            <w:rStyle w:val="Hyperlink"/>
          </w:rPr>
          <w:t>http</w:t>
        </w:r>
        <w:r w:rsidRPr="00600B2E">
          <w:rPr>
            <w:rStyle w:val="Hyperlink"/>
          </w:rPr>
          <w:t>://</w:t>
        </w:r>
        <w:r w:rsidRPr="008A23B8">
          <w:rPr>
            <w:rStyle w:val="Hyperlink"/>
          </w:rPr>
          <w:t>www</w:t>
        </w:r>
        <w:r w:rsidRPr="00600B2E">
          <w:rPr>
            <w:rStyle w:val="Hyperlink"/>
          </w:rPr>
          <w:t>.</w:t>
        </w:r>
        <w:r w:rsidRPr="008A23B8">
          <w:rPr>
            <w:rStyle w:val="Hyperlink"/>
          </w:rPr>
          <w:t>refworld</w:t>
        </w:r>
        <w:r w:rsidRPr="00600B2E">
          <w:rPr>
            <w:rStyle w:val="Hyperlink"/>
          </w:rPr>
          <w:t>.</w:t>
        </w:r>
        <w:r w:rsidRPr="008A23B8">
          <w:rPr>
            <w:rStyle w:val="Hyperlink"/>
          </w:rPr>
          <w:t>org</w:t>
        </w:r>
        <w:r w:rsidRPr="00600B2E">
          <w:rPr>
            <w:rStyle w:val="Hyperlink"/>
          </w:rPr>
          <w:t>/</w:t>
        </w:r>
        <w:r w:rsidRPr="008A23B8">
          <w:rPr>
            <w:rStyle w:val="Hyperlink"/>
          </w:rPr>
          <w:t>docid</w:t>
        </w:r>
        <w:r w:rsidRPr="00600B2E">
          <w:rPr>
            <w:rStyle w:val="Hyperlink"/>
          </w:rPr>
          <w:t>/43</w:t>
        </w:r>
        <w:r w:rsidRPr="008A23B8">
          <w:rPr>
            <w:rStyle w:val="Hyperlink"/>
          </w:rPr>
          <w:t>f</w:t>
        </w:r>
        <w:r w:rsidRPr="00600B2E">
          <w:rPr>
            <w:rStyle w:val="Hyperlink"/>
          </w:rPr>
          <w:t>3067</w:t>
        </w:r>
        <w:r w:rsidRPr="008A23B8">
          <w:rPr>
            <w:rStyle w:val="Hyperlink"/>
          </w:rPr>
          <w:t>ae</w:t>
        </w:r>
        <w:r w:rsidRPr="00600B2E">
          <w:rPr>
            <w:rStyle w:val="Hyperlink"/>
          </w:rPr>
          <w:t>.</w:t>
        </w:r>
        <w:r w:rsidRPr="008A23B8">
          <w:rPr>
            <w:rStyle w:val="Hyperlink"/>
          </w:rPr>
          <w:t>html</w:t>
        </w:r>
      </w:hyperlink>
      <w:r w:rsidRPr="00600B2E">
        <w:t>.</w:t>
      </w:r>
    </w:p>
  </w:footnote>
  <w:footnote w:id="7">
    <w:p w:rsidR="00F93E6A" w:rsidRPr="00FE76F1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00B2E">
        <w:tab/>
      </w:r>
      <w:r>
        <w:rPr>
          <w:rStyle w:val="FootnoteReference"/>
        </w:rPr>
        <w:footnoteRef/>
      </w:r>
      <w:r w:rsidRPr="004A0007">
        <w:tab/>
      </w:r>
      <w:r>
        <w:t>Комментарии</w:t>
      </w:r>
      <w:r w:rsidRPr="004A0007">
        <w:t xml:space="preserve"> </w:t>
      </w:r>
      <w:r>
        <w:t>к</w:t>
      </w:r>
      <w:r w:rsidRPr="004A0007">
        <w:t xml:space="preserve"> </w:t>
      </w:r>
      <w:r>
        <w:t>проекту</w:t>
      </w:r>
      <w:r w:rsidRPr="004A0007">
        <w:t xml:space="preserve"> </w:t>
      </w:r>
      <w:r>
        <w:t>статей</w:t>
      </w:r>
      <w:r w:rsidRPr="004A0007">
        <w:t xml:space="preserve"> </w:t>
      </w:r>
      <w:r>
        <w:t>об</w:t>
      </w:r>
      <w:r w:rsidRPr="004A0007">
        <w:t xml:space="preserve"> </w:t>
      </w:r>
      <w:r>
        <w:t>ответственности</w:t>
      </w:r>
      <w:r w:rsidRPr="004A0007">
        <w:t xml:space="preserve"> </w:t>
      </w:r>
      <w:r>
        <w:t>государств</w:t>
      </w:r>
      <w:r w:rsidRPr="004A0007">
        <w:t xml:space="preserve"> </w:t>
      </w:r>
      <w:r>
        <w:t>за</w:t>
      </w:r>
      <w:r w:rsidRPr="004A0007">
        <w:t xml:space="preserve"> международно-противоправные деяния (</w:t>
      </w:r>
      <w:r>
        <w:t>см.</w:t>
      </w:r>
      <w:r w:rsidRPr="004A0007">
        <w:t xml:space="preserve"> </w:t>
      </w:r>
      <w:r>
        <w:t>сноску</w:t>
      </w:r>
      <w:r w:rsidRPr="004A0007">
        <w:t xml:space="preserve"> 4 </w:t>
      </w:r>
      <w:r>
        <w:t>выше</w:t>
      </w:r>
      <w:r w:rsidRPr="004A0007">
        <w:t xml:space="preserve">, </w:t>
      </w:r>
      <w:r>
        <w:t>разд</w:t>
      </w:r>
      <w:r w:rsidRPr="004A0007">
        <w:t xml:space="preserve">. </w:t>
      </w:r>
      <w:r w:rsidRPr="00323229">
        <w:t>IV</w:t>
      </w:r>
      <w:r w:rsidRPr="00FE76F1">
        <w:t>.</w:t>
      </w:r>
      <w:r w:rsidRPr="00323229">
        <w:t>E</w:t>
      </w:r>
      <w:r w:rsidRPr="00FE76F1">
        <w:t xml:space="preserve">.2), </w:t>
      </w:r>
      <w:r>
        <w:t>стр</w:t>
      </w:r>
      <w:r w:rsidRPr="00FE76F1">
        <w:t xml:space="preserve">. 82, </w:t>
      </w:r>
      <w:r>
        <w:t>см.</w:t>
      </w:r>
      <w:r w:rsidR="004F1FED">
        <w:t> </w:t>
      </w:r>
      <w:hyperlink r:id="rId3" w:history="1">
        <w:r w:rsidRPr="008A23B8">
          <w:rPr>
            <w:rStyle w:val="Hyperlink"/>
          </w:rPr>
          <w:t>http</w:t>
        </w:r>
        <w:r w:rsidRPr="00FE76F1">
          <w:rPr>
            <w:rStyle w:val="Hyperlink"/>
          </w:rPr>
          <w:t>://</w:t>
        </w:r>
        <w:r w:rsidRPr="008A23B8">
          <w:rPr>
            <w:rStyle w:val="Hyperlink"/>
          </w:rPr>
          <w:t>www</w:t>
        </w:r>
        <w:r w:rsidRPr="00FE76F1">
          <w:rPr>
            <w:rStyle w:val="Hyperlink"/>
          </w:rPr>
          <w:t>.</w:t>
        </w:r>
        <w:r w:rsidRPr="008A23B8">
          <w:rPr>
            <w:rStyle w:val="Hyperlink"/>
          </w:rPr>
          <w:t>eydner</w:t>
        </w:r>
        <w:r w:rsidRPr="00FE76F1">
          <w:rPr>
            <w:rStyle w:val="Hyperlink"/>
          </w:rPr>
          <w:t>.</w:t>
        </w:r>
        <w:r w:rsidRPr="008A23B8">
          <w:rPr>
            <w:rStyle w:val="Hyperlink"/>
          </w:rPr>
          <w:t>org</w:t>
        </w:r>
        <w:r w:rsidRPr="00FE76F1">
          <w:rPr>
            <w:rStyle w:val="Hyperlink"/>
          </w:rPr>
          <w:t>/</w:t>
        </w:r>
        <w:r w:rsidR="004F1FED">
          <w:rPr>
            <w:rStyle w:val="Hyperlink"/>
          </w:rPr>
          <w:br/>
        </w:r>
        <w:r w:rsidRPr="008A23B8">
          <w:rPr>
            <w:rStyle w:val="Hyperlink"/>
          </w:rPr>
          <w:t>dokumente</w:t>
        </w:r>
        <w:r w:rsidRPr="00FE76F1">
          <w:rPr>
            <w:rStyle w:val="Hyperlink"/>
          </w:rPr>
          <w:t>/</w:t>
        </w:r>
        <w:r w:rsidRPr="008A23B8">
          <w:rPr>
            <w:rStyle w:val="Hyperlink"/>
          </w:rPr>
          <w:t>darsiwa</w:t>
        </w:r>
        <w:r w:rsidRPr="00FE76F1">
          <w:rPr>
            <w:rStyle w:val="Hyperlink"/>
          </w:rPr>
          <w:t>_</w:t>
        </w:r>
        <w:r w:rsidRPr="008A23B8">
          <w:rPr>
            <w:rStyle w:val="Hyperlink"/>
          </w:rPr>
          <w:t>comm</w:t>
        </w:r>
        <w:r w:rsidRPr="00FE76F1">
          <w:rPr>
            <w:rStyle w:val="Hyperlink"/>
          </w:rPr>
          <w:t>_</w:t>
        </w:r>
        <w:r w:rsidRPr="008A23B8">
          <w:rPr>
            <w:rStyle w:val="Hyperlink"/>
          </w:rPr>
          <w:t>e</w:t>
        </w:r>
        <w:r w:rsidRPr="00FE76F1">
          <w:rPr>
            <w:rStyle w:val="Hyperlink"/>
          </w:rPr>
          <w:t>.</w:t>
        </w:r>
        <w:r w:rsidRPr="008A23B8">
          <w:rPr>
            <w:rStyle w:val="Hyperlink"/>
          </w:rPr>
          <w:t>pdf</w:t>
        </w:r>
      </w:hyperlink>
      <w:r w:rsidRPr="00FE76F1">
        <w:t>.</w:t>
      </w:r>
    </w:p>
  </w:footnote>
  <w:footnote w:id="8">
    <w:p w:rsidR="00F93E6A" w:rsidRPr="00252465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FE76F1">
        <w:tab/>
      </w:r>
      <w:r>
        <w:rPr>
          <w:rStyle w:val="FootnoteReference"/>
        </w:rPr>
        <w:footnoteRef/>
      </w:r>
      <w:r w:rsidRPr="00252465">
        <w:tab/>
      </w:r>
      <w:r>
        <w:t xml:space="preserve">Замечание общего порядка </w:t>
      </w:r>
      <w:r w:rsidRPr="00252465">
        <w:t>№ 4 Комитет</w:t>
      </w:r>
      <w:r>
        <w:t>а</w:t>
      </w:r>
      <w:r w:rsidRPr="00252465">
        <w:t xml:space="preserve"> по экономическим, социальным и культурным правам, </w:t>
      </w:r>
      <w:r>
        <w:t>право</w:t>
      </w:r>
      <w:r w:rsidRPr="00252465">
        <w:t xml:space="preserve"> </w:t>
      </w:r>
      <w:r>
        <w:t>на</w:t>
      </w:r>
      <w:r w:rsidRPr="00252465">
        <w:t xml:space="preserve"> </w:t>
      </w:r>
      <w:r>
        <w:t>достаточное</w:t>
      </w:r>
      <w:r w:rsidRPr="00252465">
        <w:t xml:space="preserve"> </w:t>
      </w:r>
      <w:r>
        <w:t>жилище</w:t>
      </w:r>
      <w:r w:rsidRPr="00252465">
        <w:t xml:space="preserve"> (</w:t>
      </w:r>
      <w:r>
        <w:t>ст</w:t>
      </w:r>
      <w:r w:rsidR="004F1FED">
        <w:t>атья</w:t>
      </w:r>
      <w:r w:rsidRPr="00252465">
        <w:t xml:space="preserve"> 11 (1) </w:t>
      </w:r>
      <w:r>
        <w:t>Пакта</w:t>
      </w:r>
      <w:r w:rsidRPr="00252465">
        <w:t xml:space="preserve">), </w:t>
      </w:r>
      <w:r>
        <w:t>пункт</w:t>
      </w:r>
      <w:r w:rsidRPr="00252465">
        <w:t xml:space="preserve"> 12, </w:t>
      </w:r>
      <w:r>
        <w:t>принятое</w:t>
      </w:r>
      <w:r w:rsidRPr="00252465">
        <w:t xml:space="preserve"> </w:t>
      </w:r>
      <w:r>
        <w:t>на</w:t>
      </w:r>
      <w:r w:rsidRPr="00252465">
        <w:t xml:space="preserve"> </w:t>
      </w:r>
      <w:r>
        <w:t>шестой</w:t>
      </w:r>
      <w:r w:rsidRPr="00252465">
        <w:t xml:space="preserve"> </w:t>
      </w:r>
      <w:r>
        <w:t>сессии</w:t>
      </w:r>
      <w:r w:rsidRPr="00252465">
        <w:t xml:space="preserve"> </w:t>
      </w:r>
      <w:r>
        <w:t>Комитета по экономическим</w:t>
      </w:r>
      <w:r w:rsidRPr="00252465">
        <w:t xml:space="preserve">, </w:t>
      </w:r>
      <w:r>
        <w:t>социальным и культурным правам</w:t>
      </w:r>
      <w:r w:rsidRPr="00252465">
        <w:t xml:space="preserve">, 13 </w:t>
      </w:r>
      <w:r>
        <w:t>декабря</w:t>
      </w:r>
      <w:r w:rsidRPr="00252465">
        <w:t xml:space="preserve"> 1991</w:t>
      </w:r>
      <w:r w:rsidR="00F9069B">
        <w:t> </w:t>
      </w:r>
      <w:r>
        <w:t>года</w:t>
      </w:r>
      <w:r w:rsidRPr="00252465">
        <w:t xml:space="preserve">, </w:t>
      </w:r>
      <w:r>
        <w:t>см</w:t>
      </w:r>
      <w:r w:rsidRPr="00252465">
        <w:t xml:space="preserve">. </w:t>
      </w:r>
      <w:r w:rsidRPr="00EF46D8">
        <w:t>http</w:t>
      </w:r>
      <w:r w:rsidRPr="00252465">
        <w:t>://</w:t>
      </w:r>
      <w:r w:rsidRPr="00EF46D8">
        <w:t>www</w:t>
      </w:r>
      <w:r w:rsidRPr="00252465">
        <w:t>.</w:t>
      </w:r>
      <w:r w:rsidRPr="00EF46D8">
        <w:t>refworld</w:t>
      </w:r>
      <w:r w:rsidRPr="00252465">
        <w:t>.</w:t>
      </w:r>
      <w:r w:rsidRPr="00EF46D8">
        <w:t>org</w:t>
      </w:r>
      <w:r w:rsidRPr="00252465">
        <w:t>/</w:t>
      </w:r>
      <w:r w:rsidRPr="00EF46D8">
        <w:t>docid</w:t>
      </w:r>
      <w:r w:rsidRPr="00252465">
        <w:t>/47</w:t>
      </w:r>
      <w:r w:rsidRPr="00EF46D8">
        <w:t>a</w:t>
      </w:r>
      <w:r w:rsidRPr="00252465">
        <w:t>7079</w:t>
      </w:r>
      <w:r w:rsidRPr="00EF46D8">
        <w:t>a</w:t>
      </w:r>
      <w:r w:rsidRPr="00252465">
        <w:t>1.</w:t>
      </w:r>
      <w:r w:rsidRPr="00EF46D8">
        <w:t>html</w:t>
      </w:r>
      <w:r w:rsidRPr="00252465">
        <w:t>.</w:t>
      </w:r>
    </w:p>
  </w:footnote>
  <w:footnote w:id="9">
    <w:p w:rsidR="00F93E6A" w:rsidRPr="004F1FED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252465">
        <w:tab/>
      </w:r>
      <w:r>
        <w:rPr>
          <w:rStyle w:val="FootnoteReference"/>
        </w:rPr>
        <w:footnoteRef/>
      </w:r>
      <w:r w:rsidRPr="006F0C93">
        <w:rPr>
          <w:lang w:val="en-US"/>
        </w:rPr>
        <w:tab/>
      </w:r>
      <w:r>
        <w:t>Конгресс</w:t>
      </w:r>
      <w:r w:rsidRPr="004661C5">
        <w:rPr>
          <w:lang w:val="en-US"/>
        </w:rPr>
        <w:t xml:space="preserve"> </w:t>
      </w:r>
      <w:r>
        <w:t>местных</w:t>
      </w:r>
      <w:r w:rsidRPr="004661C5">
        <w:rPr>
          <w:lang w:val="en-US"/>
        </w:rPr>
        <w:t xml:space="preserve"> </w:t>
      </w:r>
      <w:r>
        <w:t>и</w:t>
      </w:r>
      <w:r w:rsidRPr="004661C5">
        <w:rPr>
          <w:lang w:val="en-US"/>
        </w:rPr>
        <w:t xml:space="preserve"> </w:t>
      </w:r>
      <w:r>
        <w:t>региональных</w:t>
      </w:r>
      <w:r w:rsidRPr="004661C5">
        <w:rPr>
          <w:lang w:val="en-US"/>
        </w:rPr>
        <w:t xml:space="preserve"> </w:t>
      </w:r>
      <w:r>
        <w:t>органов</w:t>
      </w:r>
      <w:r w:rsidRPr="004661C5">
        <w:rPr>
          <w:lang w:val="en-US"/>
        </w:rPr>
        <w:t xml:space="preserve"> </w:t>
      </w:r>
      <w:r>
        <w:t>власти</w:t>
      </w:r>
      <w:r w:rsidRPr="006F0C93">
        <w:rPr>
          <w:lang w:val="en-US"/>
        </w:rPr>
        <w:t xml:space="preserve"> (</w:t>
      </w:r>
      <w:r>
        <w:t>Совет</w:t>
      </w:r>
      <w:r w:rsidRPr="004661C5">
        <w:rPr>
          <w:lang w:val="en-US"/>
        </w:rPr>
        <w:t xml:space="preserve"> </w:t>
      </w:r>
      <w:r>
        <w:t>Европы</w:t>
      </w:r>
      <w:r w:rsidRPr="006F0C93">
        <w:rPr>
          <w:lang w:val="en-US"/>
        </w:rPr>
        <w:t>),</w:t>
      </w:r>
      <w:r w:rsidRPr="004661C5">
        <w:rPr>
          <w:lang w:val="en-US"/>
        </w:rPr>
        <w:t xml:space="preserve"> </w:t>
      </w:r>
      <w:r>
        <w:t>Страсбург</w:t>
      </w:r>
      <w:r w:rsidRPr="006F0C93">
        <w:rPr>
          <w:lang w:val="en-US"/>
        </w:rPr>
        <w:t xml:space="preserve">, 25–27 </w:t>
      </w:r>
      <w:r>
        <w:t>марта</w:t>
      </w:r>
      <w:r w:rsidRPr="006F0C93">
        <w:rPr>
          <w:lang w:val="en-US"/>
        </w:rPr>
        <w:t xml:space="preserve"> 2014</w:t>
      </w:r>
      <w:r w:rsidRPr="004661C5">
        <w:rPr>
          <w:lang w:val="en-US"/>
        </w:rPr>
        <w:t xml:space="preserve"> </w:t>
      </w:r>
      <w:r>
        <w:t>года</w:t>
      </w:r>
      <w:r w:rsidRPr="006F0C93">
        <w:rPr>
          <w:lang w:val="en-US"/>
        </w:rPr>
        <w:t>, 26</w:t>
      </w:r>
      <w:r w:rsidRPr="004661C5">
        <w:rPr>
          <w:lang w:val="en-US"/>
        </w:rPr>
        <w:t>-</w:t>
      </w:r>
      <w:r>
        <w:t>я</w:t>
      </w:r>
      <w:r w:rsidRPr="006F0C93">
        <w:rPr>
          <w:lang w:val="en-US"/>
        </w:rPr>
        <w:t xml:space="preserve"> </w:t>
      </w:r>
      <w:r>
        <w:t>сессия</w:t>
      </w:r>
      <w:r w:rsidRPr="006F0C93">
        <w:rPr>
          <w:lang w:val="en-US"/>
        </w:rPr>
        <w:t xml:space="preserve">, CG(26)5FINAL, </w:t>
      </w:r>
      <w:r w:rsidR="004F1FED" w:rsidRPr="004F1FED">
        <w:rPr>
          <w:lang w:val="en-US"/>
        </w:rPr>
        <w:t>«</w:t>
      </w:r>
      <w:r w:rsidRPr="006F0C93">
        <w:rPr>
          <w:lang w:val="en-US"/>
        </w:rPr>
        <w:t>Best practices of implementation of human rights at local and regional level in member states of the Council of Europe and other countries</w:t>
      </w:r>
      <w:r w:rsidR="004F1FED" w:rsidRPr="004F1FED">
        <w:rPr>
          <w:lang w:val="en-US"/>
        </w:rPr>
        <w:t>»</w:t>
      </w:r>
      <w:r w:rsidRPr="006F0C93">
        <w:rPr>
          <w:lang w:val="en-US"/>
        </w:rPr>
        <w:t xml:space="preserve"> (Rapporteur: O. Molin), Resolution 365 (2014), Explanatory Memorandum, paras. </w:t>
      </w:r>
      <w:r w:rsidRPr="004F1FED">
        <w:rPr>
          <w:lang w:val="en-US"/>
        </w:rPr>
        <w:t xml:space="preserve">8, 14, </w:t>
      </w:r>
      <w:r>
        <w:t>см</w:t>
      </w:r>
      <w:r w:rsidRPr="004F1FED">
        <w:rPr>
          <w:lang w:val="en-US"/>
        </w:rPr>
        <w:t>.</w:t>
      </w:r>
      <w:r w:rsidR="004F1FED" w:rsidRPr="004F1FED">
        <w:rPr>
          <w:lang w:val="en-US"/>
        </w:rPr>
        <w:t> </w:t>
      </w:r>
      <w:hyperlink r:id="rId4" w:history="1">
        <w:r w:rsidRPr="004F1FED">
          <w:rPr>
            <w:rStyle w:val="Hyperlink"/>
            <w:lang w:val="en-US"/>
          </w:rPr>
          <w:t>http://www.coe.int/t/congress/texts/RESOLUTIONS_en.asp?mytabsmenu=6</w:t>
        </w:r>
      </w:hyperlink>
      <w:r w:rsidRPr="004F1FED">
        <w:rPr>
          <w:lang w:val="en-US"/>
        </w:rPr>
        <w:t>.</w:t>
      </w:r>
    </w:p>
  </w:footnote>
  <w:footnote w:id="10">
    <w:p w:rsidR="00F93E6A" w:rsidRPr="002F3C40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F1FED">
        <w:rPr>
          <w:lang w:val="en-US"/>
        </w:rPr>
        <w:tab/>
      </w:r>
      <w:r>
        <w:rPr>
          <w:rStyle w:val="FootnoteReference"/>
        </w:rPr>
        <w:footnoteRef/>
      </w:r>
      <w:r w:rsidRPr="002F3C40">
        <w:tab/>
      </w:r>
      <w:r>
        <w:t>Там же</w:t>
      </w:r>
      <w:r w:rsidRPr="002F3C40">
        <w:t>.</w:t>
      </w:r>
    </w:p>
  </w:footnote>
  <w:footnote w:id="11">
    <w:p w:rsidR="00F93E6A" w:rsidRPr="00E70DEF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2F3C40">
        <w:tab/>
      </w:r>
      <w:r>
        <w:rPr>
          <w:rStyle w:val="FootnoteReference"/>
        </w:rPr>
        <w:footnoteRef/>
      </w:r>
      <w:r w:rsidRPr="00B42FEA">
        <w:tab/>
      </w:r>
      <w:r w:rsidRPr="00E70DEF">
        <w:t>В этой связи можно было бы</w:t>
      </w:r>
      <w:r w:rsidR="004F1FED">
        <w:t>,</w:t>
      </w:r>
      <w:r w:rsidRPr="00E70DEF">
        <w:t xml:space="preserve"> </w:t>
      </w:r>
      <w:r>
        <w:t>в частности</w:t>
      </w:r>
      <w:r w:rsidR="004F1FED">
        <w:t>,</w:t>
      </w:r>
      <w:r w:rsidRPr="00E70DEF">
        <w:t xml:space="preserve"> </w:t>
      </w:r>
      <w:r>
        <w:t>отметить</w:t>
      </w:r>
      <w:r w:rsidRPr="00E70DEF">
        <w:t xml:space="preserve"> указы о правах человека, принятые в ряде городов Соединенных Штатов Америки, начиная с указа города Сан-Франциско о Конвенции о ликвидации всех форм дискриминации в отношении женщин, поскольку они представляют собой наглядный пример обеспечения учета прав человека в местных программах и мерах.</w:t>
      </w:r>
    </w:p>
  </w:footnote>
  <w:footnote w:id="12">
    <w:p w:rsidR="00F93E6A" w:rsidRPr="004661C5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E70DEF">
        <w:tab/>
      </w:r>
      <w:r>
        <w:rPr>
          <w:rStyle w:val="FootnoteReference"/>
        </w:rPr>
        <w:footnoteRef/>
      </w:r>
      <w:r w:rsidRPr="004661C5">
        <w:tab/>
      </w:r>
      <w:r>
        <w:rPr>
          <w:lang w:eastAsia="en-GB"/>
        </w:rPr>
        <w:t>Институт</w:t>
      </w:r>
      <w:r w:rsidRPr="00F21C6F">
        <w:rPr>
          <w:lang w:eastAsia="en-GB"/>
        </w:rPr>
        <w:t xml:space="preserve"> </w:t>
      </w:r>
      <w:r>
        <w:rPr>
          <w:lang w:eastAsia="en-GB"/>
        </w:rPr>
        <w:t>прав</w:t>
      </w:r>
      <w:r w:rsidRPr="00F21C6F">
        <w:rPr>
          <w:lang w:eastAsia="en-GB"/>
        </w:rPr>
        <w:t xml:space="preserve"> </w:t>
      </w:r>
      <w:r>
        <w:rPr>
          <w:lang w:eastAsia="en-GB"/>
        </w:rPr>
        <w:t>человека</w:t>
      </w:r>
      <w:r w:rsidRPr="00F21C6F">
        <w:rPr>
          <w:lang w:eastAsia="en-GB"/>
        </w:rPr>
        <w:t xml:space="preserve"> </w:t>
      </w:r>
      <w:r>
        <w:rPr>
          <w:lang w:eastAsia="en-GB"/>
        </w:rPr>
        <w:t>Юридического</w:t>
      </w:r>
      <w:r w:rsidRPr="00F21C6F">
        <w:rPr>
          <w:lang w:eastAsia="en-GB"/>
        </w:rPr>
        <w:t xml:space="preserve"> </w:t>
      </w:r>
      <w:r>
        <w:rPr>
          <w:lang w:eastAsia="en-GB"/>
        </w:rPr>
        <w:t>факультета</w:t>
      </w:r>
      <w:r w:rsidRPr="00F21C6F">
        <w:rPr>
          <w:lang w:eastAsia="en-GB"/>
        </w:rPr>
        <w:t xml:space="preserve"> </w:t>
      </w:r>
      <w:r>
        <w:rPr>
          <w:lang w:eastAsia="en-GB"/>
        </w:rPr>
        <w:t>Колумбийского</w:t>
      </w:r>
      <w:r w:rsidRPr="00F21C6F">
        <w:rPr>
          <w:lang w:eastAsia="en-GB"/>
        </w:rPr>
        <w:t xml:space="preserve"> </w:t>
      </w:r>
      <w:r>
        <w:rPr>
          <w:lang w:eastAsia="en-GB"/>
        </w:rPr>
        <w:t>университета</w:t>
      </w:r>
      <w:r w:rsidRPr="004661C5">
        <w:t>.</w:t>
      </w:r>
    </w:p>
  </w:footnote>
  <w:footnote w:id="13">
    <w:p w:rsidR="00F93E6A" w:rsidRPr="00B42FEA" w:rsidRDefault="00F93E6A" w:rsidP="003E719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661C5">
        <w:tab/>
      </w:r>
      <w:r w:rsidRPr="00631E88">
        <w:rPr>
          <w:rStyle w:val="FootnoteReference"/>
        </w:rPr>
        <w:footnoteRef/>
      </w:r>
      <w:r w:rsidRPr="006F0C93">
        <w:rPr>
          <w:lang w:val="en-US"/>
        </w:rPr>
        <w:tab/>
      </w:r>
      <w:r w:rsidRPr="00631E88">
        <w:rPr>
          <w:lang w:val="en-US"/>
        </w:rPr>
        <w:t xml:space="preserve">Christopher Silver, </w:t>
      </w:r>
      <w:r w:rsidR="004F1FED" w:rsidRPr="004F1FED">
        <w:rPr>
          <w:lang w:val="en-US"/>
        </w:rPr>
        <w:t>«</w:t>
      </w:r>
      <w:r w:rsidRPr="00631E88">
        <w:rPr>
          <w:lang w:val="en-US"/>
        </w:rPr>
        <w:t>Do the donors have it right? Decentralization and changing local governance in Indonesia</w:t>
      </w:r>
      <w:r w:rsidR="004F1FED" w:rsidRPr="004F1FED">
        <w:rPr>
          <w:lang w:val="en-US"/>
        </w:rPr>
        <w:t>»</w:t>
      </w:r>
      <w:r w:rsidRPr="00631E88">
        <w:rPr>
          <w:lang w:val="en-US"/>
        </w:rPr>
        <w:t xml:space="preserve">, in </w:t>
      </w:r>
      <w:r w:rsidRPr="00631E88">
        <w:rPr>
          <w:i/>
          <w:iCs/>
          <w:lang w:val="en-US"/>
        </w:rPr>
        <w:t>Globalization and Urban Development</w:t>
      </w:r>
      <w:r w:rsidRPr="00631E88">
        <w:rPr>
          <w:lang w:val="en-US"/>
        </w:rPr>
        <w:t xml:space="preserve">, Harry W. Richardson and Chang-Hee Christine Bae, eds. </w:t>
      </w:r>
      <w:r w:rsidRPr="00631E88">
        <w:t>(</w:t>
      </w:r>
      <w:r w:rsidRPr="00631E88">
        <w:rPr>
          <w:lang w:val="en-US"/>
        </w:rPr>
        <w:t>Berlin</w:t>
      </w:r>
      <w:r w:rsidRPr="00631E88">
        <w:t xml:space="preserve">, </w:t>
      </w:r>
      <w:r w:rsidRPr="00631E88">
        <w:rPr>
          <w:lang w:val="en-US"/>
        </w:rPr>
        <w:t>Springer</w:t>
      </w:r>
      <w:r w:rsidRPr="00631E88">
        <w:t xml:space="preserve">, 2005). </w:t>
      </w:r>
      <w:r>
        <w:t>Цитируется в</w:t>
      </w:r>
      <w:r w:rsidRPr="00B42FEA">
        <w:t xml:space="preserve"> доклад</w:t>
      </w:r>
      <w:r>
        <w:t>е</w:t>
      </w:r>
      <w:r w:rsidRPr="00B42FEA">
        <w:t xml:space="preserve"> Специального докладчика по вопросу о достаточном жилище</w:t>
      </w:r>
      <w:r>
        <w:t>, пункт 25</w:t>
      </w:r>
      <w:r w:rsidRPr="00B42FEA">
        <w:t>.</w:t>
      </w:r>
    </w:p>
  </w:footnote>
  <w:footnote w:id="14">
    <w:p w:rsidR="00F93E6A" w:rsidRPr="00A900DD" w:rsidRDefault="00F93E6A" w:rsidP="004F1FED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</w:pPr>
      <w:r w:rsidRPr="00B42FEA">
        <w:tab/>
      </w:r>
      <w:r>
        <w:rPr>
          <w:rStyle w:val="FootnoteReference"/>
        </w:rPr>
        <w:footnoteRef/>
      </w:r>
      <w:r w:rsidRPr="00A900DD">
        <w:tab/>
        <w:t xml:space="preserve">Этот важный документ является результатом подготовительной работы, начатой в Барселоне в 1998 году в рамках конференции </w:t>
      </w:r>
      <w:r>
        <w:t>«</w:t>
      </w:r>
      <w:r w:rsidRPr="00A900DD">
        <w:t>Города за права человека</w:t>
      </w:r>
      <w:r>
        <w:t>»</w:t>
      </w:r>
      <w:r w:rsidRPr="00A900DD">
        <w:t xml:space="preserve">, которая была организована в ознаменование пятидесятой годовщины Всеобщей декларации прав человека. </w:t>
      </w:r>
      <w:r>
        <w:t>Несколько сот</w:t>
      </w:r>
      <w:r w:rsidRPr="00A900DD">
        <w:t xml:space="preserve"> мэров и политических деятелей приняли участие в этом мероприятии и выступили </w:t>
      </w:r>
      <w:r>
        <w:t xml:space="preserve">с </w:t>
      </w:r>
      <w:r w:rsidRPr="00A900DD">
        <w:t>призыв</w:t>
      </w:r>
      <w:r>
        <w:t>ом</w:t>
      </w:r>
      <w:r w:rsidRPr="00A900DD">
        <w:t xml:space="preserve"> к </w:t>
      </w:r>
      <w:r>
        <w:t>более широкому</w:t>
      </w:r>
      <w:r w:rsidRPr="00A900DD">
        <w:t xml:space="preserve"> политическ</w:t>
      </w:r>
      <w:r>
        <w:t>ому признанию вклада городов</w:t>
      </w:r>
      <w:r w:rsidRPr="00A900DD">
        <w:t xml:space="preserve"> в качестве </w:t>
      </w:r>
      <w:r>
        <w:rPr>
          <w:lang w:eastAsia="en-GB"/>
        </w:rPr>
        <w:t>ключевых субъектов в деле</w:t>
      </w:r>
      <w:r w:rsidRPr="00A900DD">
        <w:t xml:space="preserve"> обеспечени</w:t>
      </w:r>
      <w:r>
        <w:t xml:space="preserve">я защиты прав человека в высоко урбанизированном </w:t>
      </w:r>
      <w:r w:rsidRPr="00A900DD">
        <w:t xml:space="preserve">мире. </w:t>
      </w:r>
      <w:r>
        <w:t>См</w:t>
      </w:r>
      <w:r w:rsidRPr="00A900DD">
        <w:t>.</w:t>
      </w:r>
      <w:r w:rsidR="00F9069B">
        <w:t> </w:t>
      </w:r>
      <w:hyperlink r:id="rId5" w:anchor="sthash.E5JeKdIt.dpuf" w:history="1">
        <w:r w:rsidRPr="008A23B8">
          <w:rPr>
            <w:rStyle w:val="Hyperlink"/>
          </w:rPr>
          <w:t>http</w:t>
        </w:r>
        <w:r w:rsidRPr="00A900DD">
          <w:rPr>
            <w:rStyle w:val="Hyperlink"/>
          </w:rPr>
          <w:t>://</w:t>
        </w:r>
        <w:r w:rsidRPr="008A23B8">
          <w:rPr>
            <w:rStyle w:val="Hyperlink"/>
          </w:rPr>
          <w:t>www</w:t>
        </w:r>
        <w:r w:rsidRPr="00A900DD">
          <w:rPr>
            <w:rStyle w:val="Hyperlink"/>
          </w:rPr>
          <w:t>.</w:t>
        </w:r>
        <w:r w:rsidRPr="008A23B8">
          <w:rPr>
            <w:rStyle w:val="Hyperlink"/>
          </w:rPr>
          <w:t>uclg</w:t>
        </w:r>
        <w:r w:rsidRPr="00A900DD">
          <w:rPr>
            <w:rStyle w:val="Hyperlink"/>
          </w:rPr>
          <w:t>-</w:t>
        </w:r>
        <w:r w:rsidRPr="008A23B8">
          <w:rPr>
            <w:rStyle w:val="Hyperlink"/>
          </w:rPr>
          <w:t>cisdp</w:t>
        </w:r>
        <w:r w:rsidRPr="00A900DD">
          <w:rPr>
            <w:rStyle w:val="Hyperlink"/>
          </w:rPr>
          <w:t>.</w:t>
        </w:r>
        <w:r w:rsidRPr="008A23B8">
          <w:rPr>
            <w:rStyle w:val="Hyperlink"/>
          </w:rPr>
          <w:t>org</w:t>
        </w:r>
        <w:r w:rsidRPr="00A900DD">
          <w:rPr>
            <w:rStyle w:val="Hyperlink"/>
          </w:rPr>
          <w:t>/</w:t>
        </w:r>
        <w:r w:rsidRPr="008A23B8">
          <w:rPr>
            <w:rStyle w:val="Hyperlink"/>
          </w:rPr>
          <w:t>en</w:t>
        </w:r>
        <w:r w:rsidRPr="00A900DD">
          <w:rPr>
            <w:rStyle w:val="Hyperlink"/>
          </w:rPr>
          <w:t>/</w:t>
        </w:r>
        <w:r w:rsidRPr="008A23B8">
          <w:rPr>
            <w:rStyle w:val="Hyperlink"/>
          </w:rPr>
          <w:t>right</w:t>
        </w:r>
        <w:r w:rsidRPr="00A900DD">
          <w:rPr>
            <w:rStyle w:val="Hyperlink"/>
          </w:rPr>
          <w:t>-</w:t>
        </w:r>
        <w:r w:rsidRPr="008A23B8">
          <w:rPr>
            <w:rStyle w:val="Hyperlink"/>
          </w:rPr>
          <w:t>to</w:t>
        </w:r>
        <w:r w:rsidRPr="00A900DD">
          <w:rPr>
            <w:rStyle w:val="Hyperlink"/>
          </w:rPr>
          <w:t>-</w:t>
        </w:r>
        <w:r w:rsidRPr="008A23B8">
          <w:rPr>
            <w:rStyle w:val="Hyperlink"/>
          </w:rPr>
          <w:t>the</w:t>
        </w:r>
        <w:r w:rsidRPr="00A900DD">
          <w:rPr>
            <w:rStyle w:val="Hyperlink"/>
          </w:rPr>
          <w:t>-</w:t>
        </w:r>
        <w:r w:rsidRPr="008A23B8">
          <w:rPr>
            <w:rStyle w:val="Hyperlink"/>
          </w:rPr>
          <w:t>city</w:t>
        </w:r>
        <w:r w:rsidRPr="00A900DD">
          <w:rPr>
            <w:rStyle w:val="Hyperlink"/>
          </w:rPr>
          <w:t>/</w:t>
        </w:r>
        <w:r w:rsidRPr="008A23B8">
          <w:rPr>
            <w:rStyle w:val="Hyperlink"/>
          </w:rPr>
          <w:t>european</w:t>
        </w:r>
        <w:r w:rsidRPr="00A900DD">
          <w:rPr>
            <w:rStyle w:val="Hyperlink"/>
          </w:rPr>
          <w:t>-</w:t>
        </w:r>
        <w:r w:rsidRPr="008A23B8">
          <w:rPr>
            <w:rStyle w:val="Hyperlink"/>
          </w:rPr>
          <w:t>charter</w:t>
        </w:r>
        <w:r w:rsidRPr="00A900DD">
          <w:rPr>
            <w:rStyle w:val="Hyperlink"/>
          </w:rPr>
          <w:t>#</w:t>
        </w:r>
        <w:r w:rsidRPr="008A23B8">
          <w:rPr>
            <w:rStyle w:val="Hyperlink"/>
          </w:rPr>
          <w:t>sthash</w:t>
        </w:r>
        <w:r w:rsidRPr="00A900DD">
          <w:rPr>
            <w:rStyle w:val="Hyperlink"/>
          </w:rPr>
          <w:t>.</w:t>
        </w:r>
        <w:r w:rsidRPr="008A23B8">
          <w:rPr>
            <w:rStyle w:val="Hyperlink"/>
          </w:rPr>
          <w:t>E</w:t>
        </w:r>
        <w:r w:rsidRPr="00A900DD">
          <w:rPr>
            <w:rStyle w:val="Hyperlink"/>
          </w:rPr>
          <w:t>5</w:t>
        </w:r>
        <w:r w:rsidRPr="008A23B8">
          <w:rPr>
            <w:rStyle w:val="Hyperlink"/>
          </w:rPr>
          <w:t>JeKdIt</w:t>
        </w:r>
        <w:r w:rsidRPr="00A900DD">
          <w:rPr>
            <w:rStyle w:val="Hyperlink"/>
          </w:rPr>
          <w:t>.</w:t>
        </w:r>
        <w:r w:rsidRPr="008A23B8">
          <w:rPr>
            <w:rStyle w:val="Hyperlink"/>
          </w:rPr>
          <w:t>dpuf</w:t>
        </w:r>
      </w:hyperlink>
      <w:r w:rsidRPr="00A900DD">
        <w:t>.</w:t>
      </w:r>
    </w:p>
  </w:footnote>
  <w:footnote w:id="15">
    <w:p w:rsidR="00F93E6A" w:rsidRPr="00631E88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900DD">
        <w:tab/>
      </w:r>
      <w:r>
        <w:rPr>
          <w:rStyle w:val="FootnoteReference"/>
        </w:rPr>
        <w:footnoteRef/>
      </w:r>
      <w:r w:rsidRPr="00631E88">
        <w:tab/>
      </w:r>
      <w:r>
        <w:t>Азербайджан</w:t>
      </w:r>
      <w:r w:rsidRPr="00631E88">
        <w:t xml:space="preserve">, </w:t>
      </w:r>
      <w:r>
        <w:t>И</w:t>
      </w:r>
      <w:r w:rsidRPr="00631E88">
        <w:t>нститут уполномоченного по правам человека.</w:t>
      </w:r>
      <w:r w:rsidRPr="00631E88">
        <w:tab/>
      </w:r>
    </w:p>
  </w:footnote>
  <w:footnote w:id="16">
    <w:p w:rsidR="00F93E6A" w:rsidRPr="009874F4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31E88">
        <w:tab/>
      </w:r>
      <w:r>
        <w:rPr>
          <w:rStyle w:val="FootnoteReference"/>
        </w:rPr>
        <w:footnoteRef/>
      </w:r>
      <w:r w:rsidRPr="009874F4">
        <w:tab/>
        <w:t xml:space="preserve">Осуществляемая </w:t>
      </w:r>
      <w:r>
        <w:t>НДОПЧ</w:t>
      </w:r>
      <w:r w:rsidRPr="009874F4">
        <w:t xml:space="preserve"> Программа </w:t>
      </w:r>
      <w:r>
        <w:t>«Г</w:t>
      </w:r>
      <w:r w:rsidRPr="009874F4">
        <w:t>ород</w:t>
      </w:r>
      <w:r>
        <w:t>а прав</w:t>
      </w:r>
      <w:r w:rsidRPr="009874F4">
        <w:t xml:space="preserve"> человека</w:t>
      </w:r>
      <w:r>
        <w:t xml:space="preserve">» </w:t>
      </w:r>
      <w:r w:rsidRPr="009874F4">
        <w:t>предусматривает создание 30</w:t>
      </w:r>
      <w:r w:rsidR="00F9069B">
        <w:t> </w:t>
      </w:r>
      <w:r w:rsidRPr="009874F4">
        <w:t>городов прав человека и подготовку 500 молодых лидеров общин в четырех региональных учебных заведениях для обучения по вопросам прав человека.</w:t>
      </w:r>
    </w:p>
  </w:footnote>
  <w:footnote w:id="17">
    <w:p w:rsidR="00F93E6A" w:rsidRPr="006F0C93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9874F4">
        <w:tab/>
      </w:r>
      <w:r>
        <w:rPr>
          <w:rStyle w:val="FootnoteReference"/>
        </w:rPr>
        <w:footnoteRef/>
      </w:r>
      <w:r w:rsidRPr="006F0C93">
        <w:rPr>
          <w:lang w:val="en-US"/>
        </w:rPr>
        <w:tab/>
        <w:t xml:space="preserve">Gwangju Declaration on Human Rights City, </w:t>
      </w:r>
      <w:r>
        <w:t>полные</w:t>
      </w:r>
      <w:r w:rsidRPr="00631E88">
        <w:rPr>
          <w:lang w:val="en-US"/>
        </w:rPr>
        <w:t xml:space="preserve"> </w:t>
      </w:r>
      <w:r>
        <w:t>тексты</w:t>
      </w:r>
      <w:r w:rsidRPr="00631E88">
        <w:rPr>
          <w:lang w:val="en-US"/>
        </w:rPr>
        <w:t xml:space="preserve"> </w:t>
      </w:r>
      <w:r>
        <w:t>доступны</w:t>
      </w:r>
      <w:r w:rsidRPr="00631E88">
        <w:rPr>
          <w:lang w:val="en-US"/>
        </w:rPr>
        <w:t xml:space="preserve"> </w:t>
      </w:r>
      <w:r>
        <w:t>по</w:t>
      </w:r>
      <w:r w:rsidRPr="00631E88">
        <w:rPr>
          <w:lang w:val="en-US"/>
        </w:rPr>
        <w:t xml:space="preserve"> </w:t>
      </w:r>
      <w:r>
        <w:t>ссылке</w:t>
      </w:r>
      <w:r w:rsidRPr="006F0C93">
        <w:rPr>
          <w:lang w:val="en-US"/>
        </w:rPr>
        <w:t xml:space="preserve"> </w:t>
      </w:r>
      <w:hyperlink r:id="rId6" w:history="1">
        <w:r w:rsidRPr="006F0C93">
          <w:rPr>
            <w:rStyle w:val="Hyperlink"/>
            <w:lang w:val="en-US"/>
          </w:rPr>
          <w:t>http://www.uclg-cisdp.org/sites/default/files/Gwangju_Declaration_on_HR_City_final_edited_</w:t>
        </w:r>
        <w:r w:rsidR="00F9069B" w:rsidRPr="00F9069B">
          <w:rPr>
            <w:rStyle w:val="Hyperlink"/>
            <w:lang w:val="en-US"/>
          </w:rPr>
          <w:br/>
        </w:r>
        <w:r w:rsidRPr="006F0C93">
          <w:rPr>
            <w:rStyle w:val="Hyperlink"/>
            <w:lang w:val="en-US"/>
          </w:rPr>
          <w:t>version_110524.pdf</w:t>
        </w:r>
      </w:hyperlink>
      <w:r w:rsidRPr="006F0C93">
        <w:rPr>
          <w:lang w:val="en-US"/>
        </w:rPr>
        <w:t>.</w:t>
      </w:r>
    </w:p>
  </w:footnote>
  <w:footnote w:id="18">
    <w:p w:rsidR="00F93E6A" w:rsidRPr="00E6354F" w:rsidRDefault="00F93E6A" w:rsidP="00D83822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</w:pPr>
      <w:r w:rsidRPr="006F0C93">
        <w:rPr>
          <w:lang w:val="en-US"/>
        </w:rPr>
        <w:tab/>
      </w:r>
      <w:r>
        <w:rPr>
          <w:rStyle w:val="FootnoteReference"/>
        </w:rPr>
        <w:footnoteRef/>
      </w:r>
      <w:r w:rsidRPr="00E6354F">
        <w:tab/>
        <w:t>В том числе: Росарио (Аргентина), ставший первым городом прав человека, учрежденным в 1997 году; Бандунг (Индонезия); Барселона (Испания); Бихач (Босния и Герцеговина); Богота (Колумбия); Бонго (Гана);</w:t>
      </w:r>
      <w:r>
        <w:t xml:space="preserve"> </w:t>
      </w:r>
      <w:r w:rsidRPr="00E6354F">
        <w:t>Виктория (Австралия)</w:t>
      </w:r>
      <w:r w:rsidRPr="00423DD1">
        <w:t>;</w:t>
      </w:r>
      <w:r>
        <w:t xml:space="preserve"> </w:t>
      </w:r>
      <w:r w:rsidRPr="00E6354F">
        <w:t>Гаосюн (Тайвань, провинция Китая); Грац (Австрия);</w:t>
      </w:r>
      <w:r>
        <w:t xml:space="preserve"> </w:t>
      </w:r>
      <w:r w:rsidRPr="00E6354F">
        <w:t>Кати (Мали); Кванджу (Республика Корея); Копенгаген (Дания);</w:t>
      </w:r>
      <w:r>
        <w:t xml:space="preserve"> </w:t>
      </w:r>
      <w:r w:rsidRPr="00E6354F">
        <w:t xml:space="preserve">Корогочо (Кения); Мехико (Мексика); Могале (Южная Африка); Монреаль (Канада); Нагпур (Индия); Порту-Алегри (Бразилия); </w:t>
      </w:r>
      <w:r>
        <w:t xml:space="preserve">округ Принц-Джордж (Мэрилэнд, </w:t>
      </w:r>
      <w:r w:rsidRPr="00E6354F">
        <w:t>США); Сакаи (Япония); Сен-Дени (Франция);Тиес</w:t>
      </w:r>
      <w:r>
        <w:t xml:space="preserve"> (Сенегал); Утрехт (Нидерланды)</w:t>
      </w:r>
      <w:r w:rsidRPr="00E6354F">
        <w:t>.</w:t>
      </w:r>
    </w:p>
  </w:footnote>
  <w:footnote w:id="19">
    <w:p w:rsidR="00F93E6A" w:rsidRPr="000D1903" w:rsidRDefault="00F93E6A" w:rsidP="00F9069B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180" w:lineRule="exact"/>
        <w:ind w:left="1267" w:right="1267" w:hanging="432"/>
        <w:rPr>
          <w:lang w:val="fr-CH"/>
        </w:rPr>
      </w:pPr>
      <w:r w:rsidRPr="00E6354F">
        <w:tab/>
      </w:r>
      <w:r>
        <w:rPr>
          <w:rStyle w:val="FootnoteReference"/>
        </w:rPr>
        <w:footnoteRef/>
      </w:r>
      <w:r w:rsidRPr="000D1903">
        <w:rPr>
          <w:lang w:val="fr-CH"/>
        </w:rPr>
        <w:tab/>
        <w:t xml:space="preserve">Henri Lefebvre, </w:t>
      </w:r>
      <w:r w:rsidRPr="008D5B70">
        <w:rPr>
          <w:i/>
          <w:iCs/>
          <w:lang w:val="fr-CH"/>
        </w:rPr>
        <w:t xml:space="preserve">Le Droit à la </w:t>
      </w:r>
      <w:r>
        <w:rPr>
          <w:i/>
          <w:iCs/>
          <w:lang w:val="fr-CH"/>
        </w:rPr>
        <w:t>V</w:t>
      </w:r>
      <w:r w:rsidRPr="008D5B70">
        <w:rPr>
          <w:i/>
          <w:iCs/>
          <w:lang w:val="fr-CH"/>
        </w:rPr>
        <w:t>ille</w:t>
      </w:r>
      <w:r w:rsidRPr="000D1903">
        <w:rPr>
          <w:lang w:val="fr-CH"/>
        </w:rPr>
        <w:t xml:space="preserve"> </w:t>
      </w:r>
      <w:r>
        <w:rPr>
          <w:lang w:val="fr-CH"/>
        </w:rPr>
        <w:t>(</w:t>
      </w:r>
      <w:r w:rsidRPr="000D1903">
        <w:rPr>
          <w:lang w:val="fr-CH"/>
        </w:rPr>
        <w:t>Paris</w:t>
      </w:r>
      <w:r>
        <w:rPr>
          <w:lang w:val="fr-CH"/>
        </w:rPr>
        <w:t>,</w:t>
      </w:r>
      <w:r w:rsidRPr="000D1903">
        <w:rPr>
          <w:lang w:val="fr-CH"/>
        </w:rPr>
        <w:t xml:space="preserve"> Ed. du Seuil, 1968</w:t>
      </w:r>
      <w:r>
        <w:rPr>
          <w:lang w:val="fr-CH"/>
        </w:rPr>
        <w:t>)</w:t>
      </w:r>
      <w:r w:rsidRPr="000D1903">
        <w:rPr>
          <w:lang w:val="fr-CH"/>
        </w:rPr>
        <w:t>.</w:t>
      </w:r>
    </w:p>
  </w:footnote>
  <w:footnote w:id="20">
    <w:p w:rsidR="00F93E6A" w:rsidRPr="00503F0D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D04B56">
        <w:rPr>
          <w:lang w:val="fr-CH"/>
        </w:rPr>
        <w:tab/>
      </w:r>
      <w:r>
        <w:rPr>
          <w:rStyle w:val="FootnoteReference"/>
        </w:rPr>
        <w:footnoteRef/>
      </w:r>
      <w:r w:rsidRPr="00503F0D">
        <w:tab/>
        <w:t>В течение последних десяти лет Международная коалиция Хабитат и ее Сеть организаций по вопросам жилища и земельных прав оказыва</w:t>
      </w:r>
      <w:r>
        <w:t>ют</w:t>
      </w:r>
      <w:r w:rsidRPr="00503F0D">
        <w:t xml:space="preserve"> содействие в разработке определения </w:t>
      </w:r>
      <w:r>
        <w:t>«</w:t>
      </w:r>
      <w:r w:rsidRPr="00503F0D">
        <w:t>права на город</w:t>
      </w:r>
      <w:r>
        <w:t>»</w:t>
      </w:r>
      <w:r w:rsidRPr="00503F0D">
        <w:t>.</w:t>
      </w:r>
    </w:p>
  </w:footnote>
  <w:footnote w:id="21">
    <w:p w:rsidR="00F93E6A" w:rsidRPr="00503F0D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503F0D">
        <w:tab/>
      </w:r>
      <w:r>
        <w:rPr>
          <w:rStyle w:val="FootnoteReference"/>
        </w:rPr>
        <w:footnoteRef/>
      </w:r>
      <w:r w:rsidRPr="00503F0D">
        <w:tab/>
      </w:r>
      <w:r>
        <w:t>Полный текст доступен по ссылкам</w:t>
      </w:r>
      <w:r w:rsidRPr="00503F0D">
        <w:t xml:space="preserve"> </w:t>
      </w:r>
      <w:hyperlink r:id="rId7" w:history="1">
        <w:r w:rsidRPr="008A23B8">
          <w:rPr>
            <w:rStyle w:val="Hyperlink"/>
          </w:rPr>
          <w:t>http</w:t>
        </w:r>
        <w:r w:rsidRPr="00503F0D">
          <w:rPr>
            <w:rStyle w:val="Hyperlink"/>
          </w:rPr>
          <w:t>://</w:t>
        </w:r>
        <w:r w:rsidRPr="008A23B8">
          <w:rPr>
            <w:rStyle w:val="Hyperlink"/>
          </w:rPr>
          <w:t>portal</w:t>
        </w:r>
        <w:r w:rsidRPr="00503F0D">
          <w:rPr>
            <w:rStyle w:val="Hyperlink"/>
          </w:rPr>
          <w:t>.</w:t>
        </w:r>
        <w:r w:rsidRPr="008A23B8">
          <w:rPr>
            <w:rStyle w:val="Hyperlink"/>
          </w:rPr>
          <w:t>unesco</w:t>
        </w:r>
        <w:r w:rsidRPr="00503F0D">
          <w:rPr>
            <w:rStyle w:val="Hyperlink"/>
          </w:rPr>
          <w:t>.</w:t>
        </w:r>
        <w:r w:rsidRPr="008A23B8">
          <w:rPr>
            <w:rStyle w:val="Hyperlink"/>
          </w:rPr>
          <w:t>org</w:t>
        </w:r>
      </w:hyperlink>
      <w:r w:rsidRPr="00503F0D">
        <w:t xml:space="preserve">, </w:t>
      </w:r>
      <w:r w:rsidRPr="007832E9">
        <w:t>http</w:t>
      </w:r>
      <w:r w:rsidRPr="00503F0D">
        <w:t>://</w:t>
      </w:r>
      <w:r w:rsidRPr="007832E9">
        <w:t>www</w:t>
      </w:r>
      <w:r w:rsidRPr="00503F0D">
        <w:t>.</w:t>
      </w:r>
      <w:r w:rsidRPr="007832E9">
        <w:t>urbanreinventors</w:t>
      </w:r>
      <w:r w:rsidRPr="00503F0D">
        <w:t>.</w:t>
      </w:r>
      <w:r w:rsidRPr="007832E9">
        <w:t>net</w:t>
      </w:r>
      <w:r w:rsidRPr="00503F0D">
        <w:t>/</w:t>
      </w:r>
      <w:r w:rsidR="00D83822">
        <w:br/>
      </w:r>
      <w:r w:rsidRPr="00503F0D">
        <w:t>3/</w:t>
      </w:r>
      <w:r w:rsidRPr="007832E9">
        <w:t>wsf</w:t>
      </w:r>
      <w:r w:rsidRPr="00503F0D">
        <w:t>.</w:t>
      </w:r>
      <w:r w:rsidRPr="007832E9">
        <w:t>pdf</w:t>
      </w:r>
      <w:r w:rsidRPr="00503F0D">
        <w:t xml:space="preserve"> </w:t>
      </w:r>
      <w:r>
        <w:t>и</w:t>
      </w:r>
      <w:r w:rsidRPr="00503F0D">
        <w:t xml:space="preserve"> </w:t>
      </w:r>
      <w:r w:rsidRPr="00536AF3">
        <w:t>www</w:t>
      </w:r>
      <w:r w:rsidRPr="00503F0D">
        <w:t>.</w:t>
      </w:r>
      <w:r w:rsidRPr="00536AF3">
        <w:t>hic</w:t>
      </w:r>
      <w:r w:rsidRPr="00503F0D">
        <w:t>-</w:t>
      </w:r>
      <w:r w:rsidRPr="00536AF3">
        <w:t>net</w:t>
      </w:r>
      <w:r w:rsidRPr="00503F0D">
        <w:t>.</w:t>
      </w:r>
      <w:r w:rsidRPr="00536AF3">
        <w:t>org</w:t>
      </w:r>
      <w:r w:rsidRPr="00503F0D">
        <w:t>.</w:t>
      </w:r>
    </w:p>
  </w:footnote>
  <w:footnote w:id="22">
    <w:p w:rsidR="00F93E6A" w:rsidRPr="002F3C40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503F0D">
        <w:tab/>
      </w:r>
      <w:r>
        <w:rPr>
          <w:rStyle w:val="FootnoteReference"/>
        </w:rPr>
        <w:footnoteRef/>
      </w:r>
      <w:r w:rsidRPr="00DD5358">
        <w:tab/>
      </w:r>
      <w:r>
        <w:t xml:space="preserve">Данная </w:t>
      </w:r>
      <w:r w:rsidRPr="00DD5358">
        <w:t xml:space="preserve">Хартия была </w:t>
      </w:r>
      <w:r>
        <w:t>разработа</w:t>
      </w:r>
      <w:r w:rsidRPr="00DD5358">
        <w:t>на Комитетом объединенных городов и органов местного управления</w:t>
      </w:r>
      <w:r>
        <w:t xml:space="preserve"> (ОГОМУ)</w:t>
      </w:r>
      <w:r w:rsidRPr="00DD5358">
        <w:t xml:space="preserve"> по вопросам социальной интеграции, представительной демократии и прав человека.</w:t>
      </w:r>
      <w:r>
        <w:t xml:space="preserve"> </w:t>
      </w:r>
      <w:r w:rsidRPr="00DD5358">
        <w:t>В 2011 году д</w:t>
      </w:r>
      <w:r>
        <w:t>окумент был обсужден и одобрен выбор</w:t>
      </w:r>
      <w:r w:rsidRPr="00DD5358">
        <w:t>ными делегатами, экспертами и представителями гражданского общества со всего мира.</w:t>
      </w:r>
    </w:p>
  </w:footnote>
  <w:footnote w:id="23">
    <w:p w:rsidR="00F93E6A" w:rsidRPr="00B749AC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2F3C40">
        <w:tab/>
      </w:r>
      <w:r>
        <w:rPr>
          <w:rStyle w:val="FootnoteReference"/>
        </w:rPr>
        <w:footnoteRef/>
      </w:r>
      <w:r w:rsidRPr="00B749AC">
        <w:tab/>
      </w:r>
      <w:r>
        <w:t>Комиссия по гражданским отношениям округа Принц-Джордж</w:t>
      </w:r>
      <w:r w:rsidRPr="00B749AC">
        <w:t>.</w:t>
      </w:r>
    </w:p>
  </w:footnote>
  <w:footnote w:id="24">
    <w:p w:rsidR="00F93E6A" w:rsidRPr="006A3C7C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B749AC">
        <w:tab/>
      </w:r>
      <w:r>
        <w:rPr>
          <w:rStyle w:val="FootnoteReference"/>
        </w:rPr>
        <w:footnoteRef/>
      </w:r>
      <w:r w:rsidRPr="006A3C7C">
        <w:tab/>
      </w:r>
      <w:r>
        <w:t>Турция</w:t>
      </w:r>
      <w:r w:rsidRPr="006A3C7C">
        <w:t xml:space="preserve">, </w:t>
      </w:r>
      <w:r>
        <w:t>Исследовательский</w:t>
      </w:r>
      <w:r w:rsidRPr="006A3C7C">
        <w:t xml:space="preserve"> </w:t>
      </w:r>
      <w:r>
        <w:t>центр</w:t>
      </w:r>
      <w:r w:rsidRPr="006A3C7C">
        <w:t xml:space="preserve"> </w:t>
      </w:r>
      <w:r>
        <w:t>права</w:t>
      </w:r>
      <w:r w:rsidRPr="006A3C7C">
        <w:t xml:space="preserve"> </w:t>
      </w:r>
      <w:r>
        <w:t>прав</w:t>
      </w:r>
      <w:r w:rsidRPr="006A3C7C">
        <w:t xml:space="preserve"> </w:t>
      </w:r>
      <w:r>
        <w:t>человека</w:t>
      </w:r>
      <w:r w:rsidRPr="006A3C7C">
        <w:t>,</w:t>
      </w:r>
      <w:r w:rsidRPr="00E379BE">
        <w:t xml:space="preserve"> </w:t>
      </w:r>
      <w:r w:rsidRPr="006A3C7C">
        <w:t>Стамбульский университет Билги.</w:t>
      </w:r>
    </w:p>
  </w:footnote>
  <w:footnote w:id="25">
    <w:p w:rsidR="00F93E6A" w:rsidRPr="009F1AEB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A3C7C">
        <w:tab/>
      </w:r>
      <w:r>
        <w:rPr>
          <w:rStyle w:val="FootnoteReference"/>
        </w:rPr>
        <w:footnoteRef/>
      </w:r>
      <w:r w:rsidRPr="009F1AEB">
        <w:tab/>
      </w:r>
      <w:r>
        <w:t>Австралия</w:t>
      </w:r>
      <w:r w:rsidRPr="009F1AEB">
        <w:t xml:space="preserve">, </w:t>
      </w:r>
      <w:r>
        <w:t>Департамент по развитию инфраструктуры и региональному развитию</w:t>
      </w:r>
      <w:r w:rsidRPr="009F1AEB">
        <w:t>.</w:t>
      </w:r>
    </w:p>
  </w:footnote>
  <w:footnote w:id="26">
    <w:p w:rsidR="00F93E6A" w:rsidRPr="006B7476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9F1AEB">
        <w:tab/>
      </w:r>
      <w:r>
        <w:rPr>
          <w:rStyle w:val="FootnoteReference"/>
        </w:rPr>
        <w:footnoteRef/>
      </w:r>
      <w:r>
        <w:tab/>
        <w:t>Росарио</w:t>
      </w:r>
      <w:r w:rsidRPr="006B7476">
        <w:t xml:space="preserve"> </w:t>
      </w:r>
      <w:r>
        <w:t>(</w:t>
      </w:r>
      <w:r w:rsidRPr="006B7476">
        <w:t>Аргентина</w:t>
      </w:r>
      <w:r>
        <w:t>); Грац</w:t>
      </w:r>
      <w:r w:rsidRPr="006B7476">
        <w:t xml:space="preserve"> </w:t>
      </w:r>
      <w:r>
        <w:t>(</w:t>
      </w:r>
      <w:r w:rsidRPr="006B7476">
        <w:t>Австрия</w:t>
      </w:r>
      <w:r>
        <w:t>); Санта-Крус</w:t>
      </w:r>
      <w:r w:rsidRPr="006B7476">
        <w:t xml:space="preserve"> </w:t>
      </w:r>
      <w:r>
        <w:t>(</w:t>
      </w:r>
      <w:r w:rsidRPr="006B7476">
        <w:t>Многонациональное Государство Боливия</w:t>
      </w:r>
      <w:r>
        <w:t>)</w:t>
      </w:r>
      <w:r w:rsidRPr="008F2319">
        <w:t>;</w:t>
      </w:r>
      <w:r>
        <w:t xml:space="preserve"> Бихач</w:t>
      </w:r>
      <w:r w:rsidRPr="006B7476">
        <w:t xml:space="preserve"> </w:t>
      </w:r>
      <w:r w:rsidRPr="008F2319">
        <w:t>(</w:t>
      </w:r>
      <w:r w:rsidRPr="006B7476">
        <w:t>Босния и Герцеговина</w:t>
      </w:r>
      <w:r w:rsidRPr="008F2319">
        <w:t>)</w:t>
      </w:r>
      <w:r>
        <w:t>; Порту-Алегри</w:t>
      </w:r>
      <w:r w:rsidRPr="006B7476">
        <w:t xml:space="preserve"> </w:t>
      </w:r>
      <w:r w:rsidRPr="008F2319">
        <w:t>(</w:t>
      </w:r>
      <w:r w:rsidRPr="006B7476">
        <w:t>Бразилия</w:t>
      </w:r>
      <w:r w:rsidRPr="008F2319">
        <w:t>)</w:t>
      </w:r>
      <w:r w:rsidRPr="006B7476">
        <w:t>; Эдмонтон</w:t>
      </w:r>
      <w:r>
        <w:t>, Виннипег</w:t>
      </w:r>
      <w:r w:rsidRPr="006B7476">
        <w:t xml:space="preserve"> </w:t>
      </w:r>
      <w:r w:rsidRPr="008F2319">
        <w:t>(</w:t>
      </w:r>
      <w:r w:rsidRPr="006B7476">
        <w:t>Канада</w:t>
      </w:r>
      <w:r w:rsidRPr="008F2319">
        <w:t>)</w:t>
      </w:r>
      <w:r>
        <w:t>; Темуко и Вальпараисо</w:t>
      </w:r>
      <w:r w:rsidRPr="006B7476">
        <w:t xml:space="preserve"> </w:t>
      </w:r>
      <w:r w:rsidRPr="008F2319">
        <w:t>(</w:t>
      </w:r>
      <w:r w:rsidRPr="006B7476">
        <w:t>Чили</w:t>
      </w:r>
      <w:r w:rsidRPr="008F2319">
        <w:t>)</w:t>
      </w:r>
      <w:r w:rsidRPr="006B7476">
        <w:t xml:space="preserve">; Бонго, Ньютон, штат Вашингтон, </w:t>
      </w:r>
      <w:r>
        <w:t>Нимамоби</w:t>
      </w:r>
      <w:r w:rsidRPr="006B7476">
        <w:t xml:space="preserve">, </w:t>
      </w:r>
      <w:r>
        <w:t>Валевале</w:t>
      </w:r>
      <w:r w:rsidRPr="006B7476">
        <w:t xml:space="preserve"> </w:t>
      </w:r>
      <w:r w:rsidRPr="008F2319">
        <w:t>(</w:t>
      </w:r>
      <w:r w:rsidRPr="006B7476">
        <w:t>Гана</w:t>
      </w:r>
      <w:r w:rsidRPr="008F2319">
        <w:t>)</w:t>
      </w:r>
      <w:r>
        <w:t>; Нагпур</w:t>
      </w:r>
      <w:r w:rsidRPr="006B7476">
        <w:t xml:space="preserve"> </w:t>
      </w:r>
      <w:r w:rsidRPr="008F2319">
        <w:t>(</w:t>
      </w:r>
      <w:r w:rsidRPr="006B7476">
        <w:t>Индия</w:t>
      </w:r>
      <w:r w:rsidRPr="008F2319">
        <w:t>)</w:t>
      </w:r>
      <w:r>
        <w:t>; Корогочо</w:t>
      </w:r>
      <w:r w:rsidRPr="006B7476">
        <w:t xml:space="preserve"> </w:t>
      </w:r>
      <w:r w:rsidRPr="008F2319">
        <w:t>(</w:t>
      </w:r>
      <w:r w:rsidRPr="006B7476">
        <w:t>Кения</w:t>
      </w:r>
      <w:r w:rsidRPr="008F2319">
        <w:t>)</w:t>
      </w:r>
      <w:r w:rsidRPr="006B7476">
        <w:t>; Кит</w:t>
      </w:r>
      <w:r>
        <w:t>а, Кати, Кайс, Сикасо, Тимбукту</w:t>
      </w:r>
      <w:r w:rsidRPr="006B7476">
        <w:t xml:space="preserve"> </w:t>
      </w:r>
      <w:r w:rsidRPr="008F2319">
        <w:t>(</w:t>
      </w:r>
      <w:r w:rsidRPr="006B7476">
        <w:t>Мали</w:t>
      </w:r>
      <w:r w:rsidRPr="008F2319">
        <w:t>)</w:t>
      </w:r>
      <w:r w:rsidRPr="006B7476">
        <w:t>; Муниципалитет</w:t>
      </w:r>
      <w:r>
        <w:t xml:space="preserve"> Букуй</w:t>
      </w:r>
      <w:r w:rsidRPr="008F2319">
        <w:t xml:space="preserve"> (</w:t>
      </w:r>
      <w:r w:rsidRPr="006B7476">
        <w:t>Филиппины</w:t>
      </w:r>
      <w:r w:rsidRPr="008F2319">
        <w:t>)</w:t>
      </w:r>
      <w:r>
        <w:t>; Муша, Руанда; Тис</w:t>
      </w:r>
      <w:r w:rsidRPr="006B7476">
        <w:t xml:space="preserve"> </w:t>
      </w:r>
      <w:r w:rsidRPr="008F2319">
        <w:t>(</w:t>
      </w:r>
      <w:r w:rsidRPr="006B7476">
        <w:t>Сенегал</w:t>
      </w:r>
      <w:r w:rsidRPr="008F2319">
        <w:t>)</w:t>
      </w:r>
      <w:r w:rsidRPr="006B7476">
        <w:t xml:space="preserve">; </w:t>
      </w:r>
      <w:r>
        <w:t>Могале</w:t>
      </w:r>
      <w:r w:rsidRPr="006B7476">
        <w:t xml:space="preserve"> </w:t>
      </w:r>
      <w:r w:rsidRPr="008F2319">
        <w:t>(</w:t>
      </w:r>
      <w:r w:rsidRPr="006B7476">
        <w:t>Южная Африка</w:t>
      </w:r>
      <w:r w:rsidRPr="008F2319">
        <w:t>)</w:t>
      </w:r>
      <w:r>
        <w:t>; Гаосюн</w:t>
      </w:r>
      <w:r w:rsidRPr="006B7476">
        <w:t xml:space="preserve"> </w:t>
      </w:r>
      <w:r w:rsidRPr="008F2319">
        <w:t>(</w:t>
      </w:r>
      <w:r w:rsidRPr="006E1A4C">
        <w:t>китайск</w:t>
      </w:r>
      <w:r>
        <w:t>ая провинция</w:t>
      </w:r>
      <w:r w:rsidRPr="006E1A4C">
        <w:t xml:space="preserve"> Тайвань</w:t>
      </w:r>
      <w:r w:rsidRPr="008F2319">
        <w:t>)</w:t>
      </w:r>
      <w:r w:rsidRPr="006B7476">
        <w:t>.</w:t>
      </w:r>
    </w:p>
    <w:p w:rsidR="00F93E6A" w:rsidRPr="006E1A4C" w:rsidRDefault="00F93E6A" w:rsidP="006F0C93">
      <w:pPr>
        <w:pStyle w:val="FootnoteText"/>
        <w:widowControl w:val="0"/>
        <w:tabs>
          <w:tab w:val="right" w:pos="1020"/>
        </w:tabs>
      </w:pPr>
    </w:p>
  </w:footnote>
  <w:footnote w:id="27">
    <w:p w:rsidR="00F93E6A" w:rsidRPr="00113625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52728">
        <w:tab/>
      </w:r>
      <w:r>
        <w:rPr>
          <w:rStyle w:val="FootnoteReference"/>
        </w:rPr>
        <w:footnoteRef/>
      </w:r>
      <w:r w:rsidRPr="00113625">
        <w:tab/>
      </w:r>
      <w:r>
        <w:t>Австрия</w:t>
      </w:r>
      <w:r w:rsidRPr="00113625">
        <w:t xml:space="preserve">, </w:t>
      </w:r>
      <w:r>
        <w:t>Европейский</w:t>
      </w:r>
      <w:r w:rsidRPr="00113625">
        <w:t xml:space="preserve"> </w:t>
      </w:r>
      <w:r>
        <w:t>центр</w:t>
      </w:r>
      <w:r w:rsidRPr="00113625">
        <w:t xml:space="preserve"> </w:t>
      </w:r>
      <w:r>
        <w:t>подготовки</w:t>
      </w:r>
      <w:r w:rsidRPr="00113625">
        <w:t xml:space="preserve"> </w:t>
      </w:r>
      <w:r>
        <w:t>и</w:t>
      </w:r>
      <w:r w:rsidRPr="00113625">
        <w:t xml:space="preserve"> </w:t>
      </w:r>
      <w:r>
        <w:t>исследований</w:t>
      </w:r>
      <w:r w:rsidRPr="00113625">
        <w:t xml:space="preserve"> </w:t>
      </w:r>
      <w:r>
        <w:t>в</w:t>
      </w:r>
      <w:r w:rsidRPr="00113625">
        <w:t xml:space="preserve"> </w:t>
      </w:r>
      <w:r>
        <w:t>области</w:t>
      </w:r>
      <w:r w:rsidRPr="00113625">
        <w:t xml:space="preserve"> </w:t>
      </w:r>
      <w:r>
        <w:t>прав человека и демократии</w:t>
      </w:r>
      <w:r w:rsidRPr="00113625">
        <w:t>.</w:t>
      </w:r>
    </w:p>
  </w:footnote>
  <w:footnote w:id="28">
    <w:p w:rsidR="00F93E6A" w:rsidRPr="00497AF6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113625">
        <w:tab/>
      </w:r>
      <w:r>
        <w:rPr>
          <w:rStyle w:val="FootnoteReference"/>
        </w:rPr>
        <w:footnoteRef/>
      </w:r>
      <w:r w:rsidRPr="00600B2E">
        <w:tab/>
      </w:r>
      <w:r>
        <w:t>Там же</w:t>
      </w:r>
      <w:r w:rsidRPr="00497AF6">
        <w:t>.</w:t>
      </w:r>
    </w:p>
  </w:footnote>
  <w:footnote w:id="29">
    <w:p w:rsidR="00F93E6A" w:rsidRPr="00CA27BD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00B2E">
        <w:tab/>
      </w:r>
      <w:r>
        <w:rPr>
          <w:rStyle w:val="FootnoteReference"/>
        </w:rPr>
        <w:footnoteRef/>
      </w:r>
      <w:r w:rsidRPr="00CA27BD">
        <w:tab/>
      </w:r>
      <w:r>
        <w:rPr>
          <w:lang w:eastAsia="en-GB"/>
        </w:rPr>
        <w:t>Институт</w:t>
      </w:r>
      <w:r w:rsidRPr="00F21C6F">
        <w:rPr>
          <w:lang w:eastAsia="en-GB"/>
        </w:rPr>
        <w:t xml:space="preserve"> </w:t>
      </w:r>
      <w:r>
        <w:rPr>
          <w:lang w:eastAsia="en-GB"/>
        </w:rPr>
        <w:t>прав</w:t>
      </w:r>
      <w:r w:rsidRPr="00F21C6F">
        <w:rPr>
          <w:lang w:eastAsia="en-GB"/>
        </w:rPr>
        <w:t xml:space="preserve"> </w:t>
      </w:r>
      <w:r>
        <w:rPr>
          <w:lang w:eastAsia="en-GB"/>
        </w:rPr>
        <w:t>человека</w:t>
      </w:r>
      <w:r w:rsidRPr="00F21C6F">
        <w:rPr>
          <w:lang w:eastAsia="en-GB"/>
        </w:rPr>
        <w:t xml:space="preserve"> </w:t>
      </w:r>
      <w:r>
        <w:rPr>
          <w:lang w:eastAsia="en-GB"/>
        </w:rPr>
        <w:t>Юридического</w:t>
      </w:r>
      <w:r w:rsidRPr="00F21C6F">
        <w:rPr>
          <w:lang w:eastAsia="en-GB"/>
        </w:rPr>
        <w:t xml:space="preserve"> </w:t>
      </w:r>
      <w:r>
        <w:rPr>
          <w:lang w:eastAsia="en-GB"/>
        </w:rPr>
        <w:t>факультета</w:t>
      </w:r>
      <w:r w:rsidRPr="00F21C6F">
        <w:rPr>
          <w:lang w:eastAsia="en-GB"/>
        </w:rPr>
        <w:t xml:space="preserve"> </w:t>
      </w:r>
      <w:r>
        <w:rPr>
          <w:lang w:eastAsia="en-GB"/>
        </w:rPr>
        <w:t>Колумбийского</w:t>
      </w:r>
      <w:r w:rsidRPr="00F21C6F">
        <w:rPr>
          <w:lang w:eastAsia="en-GB"/>
        </w:rPr>
        <w:t xml:space="preserve"> </w:t>
      </w:r>
      <w:r>
        <w:rPr>
          <w:lang w:eastAsia="en-GB"/>
        </w:rPr>
        <w:t>университета</w:t>
      </w:r>
      <w:r w:rsidRPr="00CA27BD">
        <w:t>.</w:t>
      </w:r>
    </w:p>
  </w:footnote>
  <w:footnote w:id="30">
    <w:p w:rsidR="00F93E6A" w:rsidRPr="00B307C4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CA27BD">
        <w:tab/>
      </w:r>
      <w:r>
        <w:rPr>
          <w:rStyle w:val="FootnoteReference"/>
        </w:rPr>
        <w:footnoteRef/>
      </w:r>
      <w:r w:rsidRPr="00B307C4">
        <w:tab/>
      </w:r>
      <w:r>
        <w:t>Дания</w:t>
      </w:r>
      <w:r w:rsidRPr="00B307C4">
        <w:t xml:space="preserve">, </w:t>
      </w:r>
      <w:r>
        <w:t>Датский</w:t>
      </w:r>
      <w:r w:rsidRPr="00B307C4">
        <w:t xml:space="preserve"> </w:t>
      </w:r>
      <w:r>
        <w:t>институт</w:t>
      </w:r>
      <w:r w:rsidRPr="00B307C4">
        <w:t xml:space="preserve"> </w:t>
      </w:r>
      <w:r>
        <w:t>прав</w:t>
      </w:r>
      <w:r w:rsidRPr="00B307C4">
        <w:t xml:space="preserve"> </w:t>
      </w:r>
      <w:r>
        <w:t>человека</w:t>
      </w:r>
      <w:r w:rsidRPr="00B307C4">
        <w:t xml:space="preserve">, </w:t>
      </w:r>
      <w:r>
        <w:t>Вопросник по теме «Местные органы власти и права человека»</w:t>
      </w:r>
      <w:r w:rsidRPr="00B307C4">
        <w:t xml:space="preserve">, </w:t>
      </w:r>
      <w:r>
        <w:t>см</w:t>
      </w:r>
      <w:r w:rsidRPr="00B307C4">
        <w:t xml:space="preserve">. </w:t>
      </w:r>
      <w:r w:rsidRPr="00EF4E4E">
        <w:t>http</w:t>
      </w:r>
      <w:r w:rsidRPr="00B307C4">
        <w:t>://</w:t>
      </w:r>
      <w:r w:rsidRPr="00EF4E4E">
        <w:t>www</w:t>
      </w:r>
      <w:r w:rsidRPr="00B307C4">
        <w:t>.</w:t>
      </w:r>
      <w:r w:rsidRPr="00EF4E4E">
        <w:t>ohchr</w:t>
      </w:r>
      <w:r w:rsidRPr="00B307C4">
        <w:t>.</w:t>
      </w:r>
      <w:r w:rsidRPr="00EF4E4E">
        <w:t>org</w:t>
      </w:r>
      <w:r w:rsidRPr="00B307C4">
        <w:t>/</w:t>
      </w:r>
      <w:r w:rsidRPr="00EF4E4E">
        <w:t>Documents</w:t>
      </w:r>
      <w:r w:rsidRPr="00B307C4">
        <w:t>/</w:t>
      </w:r>
      <w:r w:rsidRPr="00EF4E4E">
        <w:t>HRBodies</w:t>
      </w:r>
      <w:r w:rsidRPr="00B307C4">
        <w:t>/</w:t>
      </w:r>
      <w:r w:rsidRPr="00EF4E4E">
        <w:t>HRCouncil</w:t>
      </w:r>
      <w:r w:rsidRPr="00B307C4">
        <w:t>/</w:t>
      </w:r>
      <w:r w:rsidRPr="00EF4E4E">
        <w:t>AdvisoryCom</w:t>
      </w:r>
      <w:r w:rsidRPr="00B307C4">
        <w:t>/</w:t>
      </w:r>
      <w:r w:rsidR="00EA685E">
        <w:br/>
      </w:r>
      <w:r w:rsidRPr="00EF4E4E">
        <w:t>LocalGvt</w:t>
      </w:r>
      <w:r w:rsidRPr="00B307C4">
        <w:t>/</w:t>
      </w:r>
      <w:r w:rsidRPr="00EF4E4E">
        <w:t>Denmark</w:t>
      </w:r>
      <w:r w:rsidRPr="00B307C4">
        <w:t>%20-%20</w:t>
      </w:r>
      <w:r w:rsidRPr="00EF4E4E">
        <w:t>Danish</w:t>
      </w:r>
      <w:r w:rsidRPr="00B307C4">
        <w:t>%20</w:t>
      </w:r>
      <w:r w:rsidRPr="00EF4E4E">
        <w:t>Institute</w:t>
      </w:r>
      <w:r w:rsidRPr="00B307C4">
        <w:t>%20</w:t>
      </w:r>
      <w:r w:rsidRPr="00EF4E4E">
        <w:t>for</w:t>
      </w:r>
      <w:r w:rsidRPr="00B307C4">
        <w:t>%20</w:t>
      </w:r>
      <w:r w:rsidRPr="00EF4E4E">
        <w:t>Human</w:t>
      </w:r>
      <w:r w:rsidRPr="00B307C4">
        <w:t>%20</w:t>
      </w:r>
      <w:r w:rsidRPr="00EF4E4E">
        <w:t>Rights</w:t>
      </w:r>
      <w:r w:rsidRPr="00B307C4">
        <w:t>.</w:t>
      </w:r>
      <w:r w:rsidRPr="00EF4E4E">
        <w:t>pdf</w:t>
      </w:r>
      <w:r w:rsidRPr="00B307C4">
        <w:t>.</w:t>
      </w:r>
    </w:p>
  </w:footnote>
  <w:footnote w:id="31">
    <w:p w:rsidR="00F93E6A" w:rsidRPr="00B307C4" w:rsidRDefault="00F93E6A" w:rsidP="003E719E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B307C4">
        <w:tab/>
      </w:r>
      <w:r>
        <w:rPr>
          <w:rStyle w:val="FootnoteReference"/>
        </w:rPr>
        <w:footnoteRef/>
      </w:r>
      <w:r w:rsidRPr="00B307C4">
        <w:tab/>
      </w:r>
      <w:r>
        <w:t>Департамент Сан-Франциско</w:t>
      </w:r>
      <w:r w:rsidRPr="00B307C4">
        <w:t xml:space="preserve"> </w:t>
      </w:r>
      <w:r>
        <w:t>по положению женщин</w:t>
      </w:r>
      <w:r w:rsidRPr="00B307C4">
        <w:t>.</w:t>
      </w:r>
    </w:p>
  </w:footnote>
  <w:footnote w:id="32">
    <w:p w:rsidR="00F93E6A" w:rsidRPr="001013D8" w:rsidRDefault="00F93E6A" w:rsidP="003E719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rPr>
          <w:lang w:val="en-US"/>
        </w:rPr>
        <w:tab/>
      </w:r>
      <w:r>
        <w:rPr>
          <w:rStyle w:val="FootnoteReference"/>
        </w:rPr>
        <w:footnoteRef/>
      </w:r>
      <w:r>
        <w:rPr>
          <w:lang w:val="en-US"/>
        </w:rPr>
        <w:tab/>
        <w:t xml:space="preserve">Local Government and Human Rights: Doing Good Services, p. 76.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93E6A" w:rsidTr="008D186B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355D39">
            <w:rPr>
              <w:b/>
            </w:rPr>
            <w:t>A/HRC/30/49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93E6A" w:rsidRDefault="00F93E6A" w:rsidP="008D186B">
          <w:pPr>
            <w:pStyle w:val="Header"/>
          </w:pPr>
        </w:p>
      </w:tc>
    </w:tr>
  </w:tbl>
  <w:p w:rsidR="00F93E6A" w:rsidRPr="008D186B" w:rsidRDefault="00F93E6A" w:rsidP="008D1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93E6A" w:rsidTr="008D186B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93E6A" w:rsidRDefault="00F93E6A" w:rsidP="008D186B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F93E6A" w:rsidRPr="008D186B" w:rsidRDefault="00F93E6A" w:rsidP="008D186B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355D39">
            <w:rPr>
              <w:b/>
            </w:rPr>
            <w:t>A/HRC/30/49</w:t>
          </w:r>
          <w:r>
            <w:rPr>
              <w:b/>
            </w:rPr>
            <w:fldChar w:fldCharType="end"/>
          </w:r>
        </w:p>
      </w:tc>
    </w:tr>
  </w:tbl>
  <w:p w:rsidR="00F93E6A" w:rsidRPr="008D186B" w:rsidRDefault="00F93E6A" w:rsidP="008D18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F93E6A" w:rsidTr="008D186B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F93E6A" w:rsidRPr="008D186B" w:rsidRDefault="00F93E6A" w:rsidP="008D186B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93E6A" w:rsidRDefault="00F93E6A" w:rsidP="008D186B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F93E6A" w:rsidRPr="008D186B" w:rsidRDefault="00F93E6A" w:rsidP="008D186B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/HRC/30/49</w:t>
          </w:r>
        </w:p>
      </w:tc>
    </w:tr>
    <w:tr w:rsidR="00F93E6A" w:rsidRPr="00746E43" w:rsidTr="008D186B">
      <w:tblPrEx>
        <w:tblCellMar>
          <w:top w:w="0" w:type="dxa"/>
          <w:bottom w:w="0" w:type="dxa"/>
        </w:tblCellMar>
      </w:tblPrEx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3E6A" w:rsidRPr="008D186B" w:rsidRDefault="00F93E6A" w:rsidP="008D186B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06D5618F" wp14:editId="430C4D6B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3E6A" w:rsidRPr="008D186B" w:rsidRDefault="00F93E6A" w:rsidP="008D186B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3E6A" w:rsidRPr="008D186B" w:rsidRDefault="00F93E6A" w:rsidP="008D186B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93E6A" w:rsidRPr="00746E43" w:rsidRDefault="00F93E6A" w:rsidP="008D186B">
          <w:pPr>
            <w:pStyle w:val="Distribution"/>
            <w:rPr>
              <w:color w:val="000000"/>
              <w:lang w:val="en-US"/>
            </w:rPr>
          </w:pPr>
          <w:r w:rsidRPr="00746E43">
            <w:rPr>
              <w:color w:val="000000"/>
              <w:lang w:val="en-US"/>
            </w:rPr>
            <w:t>Distr.: General</w:t>
          </w:r>
        </w:p>
        <w:p w:rsidR="00F93E6A" w:rsidRPr="00746E43" w:rsidRDefault="00F93E6A" w:rsidP="008D186B">
          <w:pPr>
            <w:pStyle w:val="Publication"/>
            <w:rPr>
              <w:color w:val="000000"/>
              <w:lang w:val="en-US"/>
            </w:rPr>
          </w:pPr>
          <w:r w:rsidRPr="00746E43">
            <w:rPr>
              <w:color w:val="000000"/>
              <w:lang w:val="en-US"/>
            </w:rPr>
            <w:t>7 August 2015</w:t>
          </w:r>
        </w:p>
        <w:p w:rsidR="00F93E6A" w:rsidRPr="00746E43" w:rsidRDefault="00F93E6A" w:rsidP="008D186B">
          <w:pPr>
            <w:rPr>
              <w:color w:val="000000"/>
              <w:lang w:val="en-US"/>
            </w:rPr>
          </w:pPr>
          <w:r w:rsidRPr="00746E43">
            <w:rPr>
              <w:color w:val="000000"/>
              <w:lang w:val="en-US"/>
            </w:rPr>
            <w:t>Russian</w:t>
          </w:r>
        </w:p>
        <w:p w:rsidR="00F93E6A" w:rsidRPr="00746E43" w:rsidRDefault="00F93E6A" w:rsidP="008D186B">
          <w:pPr>
            <w:pStyle w:val="Original"/>
            <w:rPr>
              <w:color w:val="000000"/>
              <w:lang w:val="en-US"/>
            </w:rPr>
          </w:pPr>
          <w:r w:rsidRPr="00746E43">
            <w:rPr>
              <w:color w:val="000000"/>
              <w:lang w:val="en-US"/>
            </w:rPr>
            <w:t>Original: English</w:t>
          </w:r>
        </w:p>
        <w:p w:rsidR="00F93E6A" w:rsidRPr="00746E43" w:rsidRDefault="00F93E6A" w:rsidP="008D186B">
          <w:pPr>
            <w:rPr>
              <w:lang w:val="en-US"/>
            </w:rPr>
          </w:pPr>
        </w:p>
      </w:tc>
    </w:tr>
  </w:tbl>
  <w:p w:rsidR="00F93E6A" w:rsidRPr="00746E43" w:rsidRDefault="00F93E6A" w:rsidP="008D186B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B2B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</w:lvl>
  </w:abstractNum>
  <w:abstractNum w:abstractNumId="7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523D42"/>
    <w:multiLevelType w:val="hybridMultilevel"/>
    <w:tmpl w:val="5BB216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4D97018"/>
    <w:multiLevelType w:val="hybridMultilevel"/>
    <w:tmpl w:val="4C3AB1C6"/>
    <w:lvl w:ilvl="0" w:tplc="98E635C4">
      <w:start w:val="1"/>
      <w:numFmt w:val="decimal"/>
      <w:lvlText w:val="%1."/>
      <w:lvlJc w:val="left"/>
      <w:pPr>
        <w:ind w:left="1689" w:hanging="55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76544EE"/>
    <w:multiLevelType w:val="hybridMultilevel"/>
    <w:tmpl w:val="ECE010B8"/>
    <w:lvl w:ilvl="0" w:tplc="E6027F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1F4A57"/>
    <w:multiLevelType w:val="hybridMultilevel"/>
    <w:tmpl w:val="5A02973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>
    <w:nsid w:val="204645B2"/>
    <w:multiLevelType w:val="hybridMultilevel"/>
    <w:tmpl w:val="5164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8C31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CA77FF"/>
    <w:multiLevelType w:val="hybridMultilevel"/>
    <w:tmpl w:val="25EC4C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D00DB"/>
    <w:multiLevelType w:val="hybridMultilevel"/>
    <w:tmpl w:val="F404D54E"/>
    <w:lvl w:ilvl="0" w:tplc="F5681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482D92"/>
    <w:multiLevelType w:val="hybridMultilevel"/>
    <w:tmpl w:val="5164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8C31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13E84"/>
    <w:multiLevelType w:val="multilevel"/>
    <w:tmpl w:val="7C5E9EE0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24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5">
    <w:nsid w:val="557537F9"/>
    <w:multiLevelType w:val="hybridMultilevel"/>
    <w:tmpl w:val="E826A682"/>
    <w:lvl w:ilvl="0" w:tplc="FF8C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7137B"/>
    <w:multiLevelType w:val="hybridMultilevel"/>
    <w:tmpl w:val="FBB61A84"/>
    <w:lvl w:ilvl="0" w:tplc="A09C07DE">
      <w:start w:val="2"/>
      <w:numFmt w:val="upperRoman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1" w:tplc="B00894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7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7994082B"/>
    <w:multiLevelType w:val="hybridMultilevel"/>
    <w:tmpl w:val="4544B0D4"/>
    <w:lvl w:ilvl="0" w:tplc="0CACA0E0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856E12"/>
    <w:multiLevelType w:val="hybridMultilevel"/>
    <w:tmpl w:val="6D00F476"/>
    <w:lvl w:ilvl="0" w:tplc="05EA1F36">
      <w:start w:val="1"/>
      <w:numFmt w:val="upperRoman"/>
      <w:lvlText w:val="%1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 w:cs="Times New Roman"/>
      </w:rPr>
    </w:lvl>
    <w:lvl w:ilvl="1" w:tplc="3D400D18">
      <w:start w:val="1"/>
      <w:numFmt w:val="upperLetter"/>
      <w:lvlText w:val="%2."/>
      <w:lvlJc w:val="left"/>
      <w:pPr>
        <w:tabs>
          <w:tab w:val="num" w:pos="1890"/>
        </w:tabs>
        <w:ind w:left="189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2">
    <w:nsid w:val="7BE671E2"/>
    <w:multiLevelType w:val="hybridMultilevel"/>
    <w:tmpl w:val="CB3A2596"/>
    <w:lvl w:ilvl="0" w:tplc="45C28CB8">
      <w:start w:val="1"/>
      <w:numFmt w:val="upperRoman"/>
      <w:lvlText w:val="%1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 w:cs="Times New Roman"/>
      </w:rPr>
    </w:lvl>
    <w:lvl w:ilvl="1" w:tplc="3D400D18">
      <w:start w:val="1"/>
      <w:numFmt w:val="upperLetter"/>
      <w:lvlText w:val="%2."/>
      <w:lvlJc w:val="left"/>
      <w:pPr>
        <w:tabs>
          <w:tab w:val="num" w:pos="1890"/>
        </w:tabs>
        <w:ind w:left="189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27"/>
  </w:num>
  <w:num w:numId="10">
    <w:abstractNumId w:val="24"/>
  </w:num>
  <w:num w:numId="11">
    <w:abstractNumId w:val="23"/>
  </w:num>
  <w:num w:numId="12">
    <w:abstractNumId w:val="19"/>
  </w:num>
  <w:num w:numId="13">
    <w:abstractNumId w:val="15"/>
  </w:num>
  <w:num w:numId="14">
    <w:abstractNumId w:val="29"/>
  </w:num>
  <w:num w:numId="15">
    <w:abstractNumId w:val="11"/>
  </w:num>
  <w:num w:numId="16">
    <w:abstractNumId w:val="7"/>
  </w:num>
  <w:num w:numId="17">
    <w:abstractNumId w:val="8"/>
  </w:num>
  <w:num w:numId="18">
    <w:abstractNumId w:val="28"/>
  </w:num>
  <w:num w:numId="19">
    <w:abstractNumId w:val="31"/>
  </w:num>
  <w:num w:numId="20">
    <w:abstractNumId w:val="17"/>
  </w:num>
  <w:num w:numId="21">
    <w:abstractNumId w:val="26"/>
  </w:num>
  <w:num w:numId="22">
    <w:abstractNumId w:val="21"/>
  </w:num>
  <w:num w:numId="23">
    <w:abstractNumId w:val="20"/>
  </w:num>
  <w:num w:numId="24">
    <w:abstractNumId w:val="13"/>
  </w:num>
  <w:num w:numId="25">
    <w:abstractNumId w:val="6"/>
  </w:num>
  <w:num w:numId="26">
    <w:abstractNumId w:val="32"/>
  </w:num>
  <w:num w:numId="27">
    <w:abstractNumId w:val="25"/>
  </w:num>
  <w:num w:numId="28">
    <w:abstractNumId w:val="30"/>
  </w:num>
  <w:num w:numId="29">
    <w:abstractNumId w:val="9"/>
  </w:num>
  <w:num w:numId="30">
    <w:abstractNumId w:val="18"/>
  </w:num>
  <w:num w:numId="31">
    <w:abstractNumId w:val="0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369*"/>
    <w:docVar w:name="CreationDt" w:val="9/15/2015 3:45: PM"/>
    <w:docVar w:name="DocCategory" w:val="Doc"/>
    <w:docVar w:name="DocType" w:val="Final"/>
    <w:docVar w:name="DutyStation" w:val="Geneva"/>
    <w:docVar w:name="FooterJN" w:val="GE.15-13369"/>
    <w:docVar w:name="jobn" w:val="GE.15-13369 (R)"/>
    <w:docVar w:name="jobnDT" w:val="GE.15-13369 (R)   150915"/>
    <w:docVar w:name="jobnDTDT" w:val="GE.15-13369 (R)   150915   150915"/>
    <w:docVar w:name="JobNo" w:val="GE.1513369R"/>
    <w:docVar w:name="JobNo2" w:val="1517490R"/>
    <w:docVar w:name="LocalDrive" w:val="0"/>
    <w:docVar w:name="OandT" w:val=" "/>
    <w:docVar w:name="PaperSize" w:val="A4"/>
    <w:docVar w:name="sss1" w:val="A/HRC/30/49"/>
    <w:docVar w:name="sss2" w:val="-"/>
    <w:docVar w:name="Symbol1" w:val="A/HRC/30/49"/>
    <w:docVar w:name="Symbol2" w:val="-"/>
  </w:docVars>
  <w:rsids>
    <w:rsidRoot w:val="00701CC8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277CC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53645"/>
    <w:rsid w:val="00153E8C"/>
    <w:rsid w:val="00160648"/>
    <w:rsid w:val="00161F29"/>
    <w:rsid w:val="00162E88"/>
    <w:rsid w:val="00171F41"/>
    <w:rsid w:val="001726A4"/>
    <w:rsid w:val="00175AC4"/>
    <w:rsid w:val="00177361"/>
    <w:rsid w:val="001802BD"/>
    <w:rsid w:val="00193822"/>
    <w:rsid w:val="0019704E"/>
    <w:rsid w:val="001A0D31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5C4D"/>
    <w:rsid w:val="002564AC"/>
    <w:rsid w:val="002608F3"/>
    <w:rsid w:val="00261386"/>
    <w:rsid w:val="00261C41"/>
    <w:rsid w:val="00264124"/>
    <w:rsid w:val="00264A43"/>
    <w:rsid w:val="002726B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6BFB"/>
    <w:rsid w:val="00350756"/>
    <w:rsid w:val="003542EE"/>
    <w:rsid w:val="003546CE"/>
    <w:rsid w:val="00355D39"/>
    <w:rsid w:val="00360D26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3E719E"/>
    <w:rsid w:val="00401CDD"/>
    <w:rsid w:val="00402244"/>
    <w:rsid w:val="0040725B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6443"/>
    <w:rsid w:val="004E7743"/>
    <w:rsid w:val="004F1FED"/>
    <w:rsid w:val="00504669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0C93"/>
    <w:rsid w:val="006F3683"/>
    <w:rsid w:val="00700738"/>
    <w:rsid w:val="00701CC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46E43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5FDC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D186B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20B9"/>
    <w:rsid w:val="009C382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401C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62CD"/>
    <w:rsid w:val="00B913DA"/>
    <w:rsid w:val="00BA6AD7"/>
    <w:rsid w:val="00BB052D"/>
    <w:rsid w:val="00BB1F92"/>
    <w:rsid w:val="00BB2E06"/>
    <w:rsid w:val="00BB46C6"/>
    <w:rsid w:val="00BB5B7F"/>
    <w:rsid w:val="00BB5C4E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11D1"/>
    <w:rsid w:val="00BF2725"/>
    <w:rsid w:val="00BF3D60"/>
    <w:rsid w:val="00BF5FCB"/>
    <w:rsid w:val="00BF72EA"/>
    <w:rsid w:val="00C00290"/>
    <w:rsid w:val="00C05FFF"/>
    <w:rsid w:val="00C10BAE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0AE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83822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687A"/>
    <w:rsid w:val="00DC7A5F"/>
    <w:rsid w:val="00DD6A66"/>
    <w:rsid w:val="00DE0D15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A685E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954"/>
    <w:rsid w:val="00EF1FBD"/>
    <w:rsid w:val="00EF29BE"/>
    <w:rsid w:val="00EF7FD0"/>
    <w:rsid w:val="00F07943"/>
    <w:rsid w:val="00F07DDF"/>
    <w:rsid w:val="00F11204"/>
    <w:rsid w:val="00F16256"/>
    <w:rsid w:val="00F231E8"/>
    <w:rsid w:val="00F26EA8"/>
    <w:rsid w:val="00F30632"/>
    <w:rsid w:val="00F31B97"/>
    <w:rsid w:val="00F33544"/>
    <w:rsid w:val="00F35ACF"/>
    <w:rsid w:val="00F36445"/>
    <w:rsid w:val="00F40CAB"/>
    <w:rsid w:val="00F414C3"/>
    <w:rsid w:val="00F51C87"/>
    <w:rsid w:val="00F5214D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069B"/>
    <w:rsid w:val="00F92676"/>
    <w:rsid w:val="00F93E6A"/>
    <w:rsid w:val="00F94262"/>
    <w:rsid w:val="00F947D0"/>
    <w:rsid w:val="00F9616B"/>
    <w:rsid w:val="00F979A8"/>
    <w:rsid w:val="00FA1B93"/>
    <w:rsid w:val="00FA2D71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uiPriority="0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0" w:unhideWhenUsed="0" w:qFormat="1"/>
    <w:lsdException w:name="Emphasis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6F0C93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F0C93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F0C93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0C93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F0C93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F0C93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99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nhideWhenUsed/>
    <w:rsid w:val="008D18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18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186B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86B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6F0C93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6F0C9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6F0C93"/>
    <w:rPr>
      <w:color w:val="auto"/>
      <w:u w:val="none"/>
    </w:rPr>
  </w:style>
  <w:style w:type="character" w:styleId="FollowedHyperlink">
    <w:name w:val="FollowedHyperlink"/>
    <w:semiHidden/>
    <w:rsid w:val="006F0C93"/>
    <w:rPr>
      <w:color w:val="auto"/>
      <w:u w:val="none"/>
    </w:rPr>
  </w:style>
  <w:style w:type="paragraph" w:customStyle="1" w:styleId="SMG">
    <w:name w:val="__S_M_G"/>
    <w:basedOn w:val="Normal"/>
    <w:next w:val="Normal"/>
    <w:rsid w:val="006F0C9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6F0C9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6F0C9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6F0C9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6F0C9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6F0C93"/>
    <w:pPr>
      <w:numPr>
        <w:numId w:val="17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6F0C93"/>
    <w:pPr>
      <w:numPr>
        <w:numId w:val="18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character" w:styleId="Strong">
    <w:name w:val="Strong"/>
    <w:qFormat/>
    <w:rsid w:val="006F0C93"/>
    <w:rPr>
      <w:rFonts w:cs="Times New Roman"/>
      <w:b/>
      <w:bCs/>
    </w:rPr>
  </w:style>
  <w:style w:type="character" w:customStyle="1" w:styleId="style37">
    <w:name w:val="style37"/>
    <w:rsid w:val="006F0C93"/>
    <w:rPr>
      <w:rFonts w:cs="Times New Roman"/>
    </w:rPr>
  </w:style>
  <w:style w:type="character" w:customStyle="1" w:styleId="SingleTxtGChar">
    <w:name w:val="_ Single Txt_G Char"/>
    <w:link w:val="SingleTxtG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6F0C93"/>
    <w:pPr>
      <w:suppressAutoHyphens/>
      <w:spacing w:line="240" w:lineRule="auto"/>
    </w:pPr>
    <w:rPr>
      <w:rFonts w:ascii="Tahoma" w:eastAsia="Times New Roman" w:hAnsi="Tahoma"/>
      <w:spacing w:val="0"/>
      <w:w w:val="100"/>
      <w:kern w:val="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6F0C9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istParagraph1">
    <w:name w:val="List Paragraph1"/>
    <w:basedOn w:val="Normal"/>
    <w:uiPriority w:val="34"/>
    <w:qFormat/>
    <w:rsid w:val="006F0C93"/>
    <w:pPr>
      <w:spacing w:after="200" w:line="276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lang w:val="de-AT"/>
    </w:rPr>
  </w:style>
  <w:style w:type="character" w:customStyle="1" w:styleId="st">
    <w:name w:val="st"/>
    <w:basedOn w:val="DefaultParagraphFont"/>
    <w:rsid w:val="006F0C93"/>
  </w:style>
  <w:style w:type="character" w:customStyle="1" w:styleId="tgc">
    <w:name w:val="_tgc"/>
    <w:basedOn w:val="DefaultParagraphFont"/>
    <w:rsid w:val="006F0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uiPriority="0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0" w:unhideWhenUsed="0" w:qFormat="1"/>
    <w:lsdException w:name="Emphasis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6F0C93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6F0C93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F0C93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0C93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F0C93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F0C93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99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nhideWhenUsed/>
    <w:rsid w:val="008D18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18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186B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86B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6F0C93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6F0C9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6F0C93"/>
    <w:rPr>
      <w:color w:val="auto"/>
      <w:u w:val="none"/>
    </w:rPr>
  </w:style>
  <w:style w:type="character" w:styleId="FollowedHyperlink">
    <w:name w:val="FollowedHyperlink"/>
    <w:semiHidden/>
    <w:rsid w:val="006F0C93"/>
    <w:rPr>
      <w:color w:val="auto"/>
      <w:u w:val="none"/>
    </w:rPr>
  </w:style>
  <w:style w:type="paragraph" w:customStyle="1" w:styleId="SMG">
    <w:name w:val="__S_M_G"/>
    <w:basedOn w:val="Normal"/>
    <w:next w:val="Normal"/>
    <w:rsid w:val="006F0C9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6F0C9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6F0C9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6F0C9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6F0C9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6F0C93"/>
    <w:pPr>
      <w:numPr>
        <w:numId w:val="17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6F0C93"/>
    <w:pPr>
      <w:numPr>
        <w:numId w:val="18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6F0C93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character" w:styleId="Strong">
    <w:name w:val="Strong"/>
    <w:qFormat/>
    <w:rsid w:val="006F0C93"/>
    <w:rPr>
      <w:rFonts w:cs="Times New Roman"/>
      <w:b/>
      <w:bCs/>
    </w:rPr>
  </w:style>
  <w:style w:type="character" w:customStyle="1" w:styleId="style37">
    <w:name w:val="style37"/>
    <w:rsid w:val="006F0C93"/>
    <w:rPr>
      <w:rFonts w:cs="Times New Roman"/>
    </w:rPr>
  </w:style>
  <w:style w:type="character" w:customStyle="1" w:styleId="SingleTxtGChar">
    <w:name w:val="_ Single Txt_G Char"/>
    <w:link w:val="SingleTxtG"/>
    <w:rsid w:val="006F0C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6F0C93"/>
    <w:pPr>
      <w:suppressAutoHyphens/>
      <w:spacing w:line="240" w:lineRule="auto"/>
    </w:pPr>
    <w:rPr>
      <w:rFonts w:ascii="Tahoma" w:eastAsia="Times New Roman" w:hAnsi="Tahoma"/>
      <w:spacing w:val="0"/>
      <w:w w:val="100"/>
      <w:kern w:val="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6F0C9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istParagraph1">
    <w:name w:val="List Paragraph1"/>
    <w:basedOn w:val="Normal"/>
    <w:uiPriority w:val="34"/>
    <w:qFormat/>
    <w:rsid w:val="006F0C93"/>
    <w:pPr>
      <w:spacing w:after="200" w:line="276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lang w:val="de-AT"/>
    </w:rPr>
  </w:style>
  <w:style w:type="character" w:customStyle="1" w:styleId="st">
    <w:name w:val="st"/>
    <w:basedOn w:val="DefaultParagraphFont"/>
    <w:rsid w:val="006F0C93"/>
  </w:style>
  <w:style w:type="character" w:customStyle="1" w:styleId="tgc">
    <w:name w:val="_tgc"/>
    <w:basedOn w:val="DefaultParagraphFont"/>
    <w:rsid w:val="006F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ydner.org/dokumente/darsiwa_comm_e.pdf" TargetMode="External"/><Relationship Id="rId7" Type="http://schemas.openxmlformats.org/officeDocument/2006/relationships/hyperlink" Target="http://portal.unesco.org" TargetMode="External"/><Relationship Id="rId2" Type="http://schemas.openxmlformats.org/officeDocument/2006/relationships/hyperlink" Target="http://www.refworld.org/docid/43f3067ae.html" TargetMode="External"/><Relationship Id="rId1" Type="http://schemas.openxmlformats.org/officeDocument/2006/relationships/hyperlink" Target="http://www.idea.int/resources/analysis/democratic-accountability-and-service-delivery-a-desk-review.cfm" TargetMode="External"/><Relationship Id="rId6" Type="http://schemas.openxmlformats.org/officeDocument/2006/relationships/hyperlink" Target="http://www.uclg-cisdp.org/sites/default/files/Gwangju_Declaration_on_HR_City_final_edited_version_110524.pdf" TargetMode="External"/><Relationship Id="rId5" Type="http://schemas.openxmlformats.org/officeDocument/2006/relationships/hyperlink" Target="http://www.uclg-cisdp.org/en/right-to-the-city/european-charter" TargetMode="External"/><Relationship Id="rId4" Type="http://schemas.openxmlformats.org/officeDocument/2006/relationships/hyperlink" Target="http://www.coe.int/t/congress/texts/RESOLUTIONS_en.asp?mytabsmenu=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018E-AD7F-49EE-8CF0-DC836866AC78}"/>
</file>

<file path=customXml/itemProps2.xml><?xml version="1.0" encoding="utf-8"?>
<ds:datastoreItem xmlns:ds="http://schemas.openxmlformats.org/officeDocument/2006/customXml" ds:itemID="{39DE6A5B-7F40-444C-9989-34C3E53D0EB7}"/>
</file>

<file path=customXml/itemProps3.xml><?xml version="1.0" encoding="utf-8"?>
<ds:datastoreItem xmlns:ds="http://schemas.openxmlformats.org/officeDocument/2006/customXml" ds:itemID="{C14237C5-F960-4366-A9E3-51392FDBBED3}"/>
</file>

<file path=customXml/itemProps4.xml><?xml version="1.0" encoding="utf-8"?>
<ds:datastoreItem xmlns:ds="http://schemas.openxmlformats.org/officeDocument/2006/customXml" ds:itemID="{2A03DD3B-46CA-41BB-BF15-92824336F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64946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local government in the promotion and protection of human rights - Final report of the Human Rights Council Advisory Committee in Russian</dc:title>
  <dc:creator>Sharkina</dc:creator>
  <cp:lastModifiedBy>Sharkina</cp:lastModifiedBy>
  <cp:revision>3</cp:revision>
  <cp:lastPrinted>2015-09-15T15:46:00Z</cp:lastPrinted>
  <dcterms:created xsi:type="dcterms:W3CDTF">2015-09-15T15:46:00Z</dcterms:created>
  <dcterms:modified xsi:type="dcterms:W3CDTF">2015-09-15T15:46:00Z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1513369R</vt:lpwstr>
  </property>
  <property fmtid="{D5CDD505-2E9C-101B-9397-08002B2CF9AE}" pid="3" name="ODSRefJobNo">
    <vt:lpwstr>1517490R</vt:lpwstr>
  </property>
  <property fmtid="{D5CDD505-2E9C-101B-9397-08002B2CF9AE}" pid="4" name="Symbol1">
    <vt:lpwstr>A/HRC/30/49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7 August 2015</vt:lpwstr>
  </property>
  <property fmtid="{D5CDD505-2E9C-101B-9397-08002B2CF9AE}" pid="12" name="Original">
    <vt:lpwstr>English</vt:lpwstr>
  </property>
  <property fmtid="{D5CDD505-2E9C-101B-9397-08002B2CF9AE}" pid="13" name="Release Date">
    <vt:lpwstr>150915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48000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