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rsidTr="008930DB">
        <w:trPr>
          <w:trHeight w:hRule="exact" w:val="851"/>
        </w:trPr>
        <w:tc>
          <w:tcPr>
            <w:tcW w:w="1274" w:type="dxa"/>
            <w:tcBorders>
              <w:bottom w:val="single" w:sz="4" w:space="0" w:color="auto"/>
            </w:tcBorders>
          </w:tcPr>
          <w:p w:rsidR="006B3E27" w:rsidRPr="003E159A" w:rsidRDefault="006B3E27" w:rsidP="003E159A">
            <w:pPr>
              <w:bidi w:val="0"/>
              <w:jc w:val="right"/>
              <w:rPr>
                <w:szCs w:val="20"/>
              </w:rPr>
            </w:pPr>
          </w:p>
        </w:tc>
        <w:tc>
          <w:tcPr>
            <w:tcW w:w="4963" w:type="dxa"/>
            <w:tcBorders>
              <w:bottom w:val="single" w:sz="4" w:space="0" w:color="auto"/>
            </w:tcBorders>
            <w:vAlign w:val="bottom"/>
          </w:tcPr>
          <w:p w:rsidR="006B3E27" w:rsidRPr="00517BC9" w:rsidRDefault="006B3E27" w:rsidP="00E70E04">
            <w:pPr>
              <w:spacing w:after="80" w:line="480" w:lineRule="exact"/>
              <w:jc w:val="left"/>
              <w:rPr>
                <w:sz w:val="40"/>
                <w:szCs w:val="40"/>
                <w:rtl/>
              </w:rPr>
            </w:pPr>
            <w:r w:rsidRPr="00517BC9">
              <w:rPr>
                <w:rFonts w:hint="cs"/>
                <w:sz w:val="40"/>
                <w:szCs w:val="40"/>
                <w:rtl/>
              </w:rPr>
              <w:t>الأمم المتحدة</w:t>
            </w:r>
          </w:p>
        </w:tc>
        <w:tc>
          <w:tcPr>
            <w:tcW w:w="3402" w:type="dxa"/>
            <w:tcBorders>
              <w:bottom w:val="single" w:sz="4" w:space="0" w:color="auto"/>
            </w:tcBorders>
            <w:vAlign w:val="bottom"/>
          </w:tcPr>
          <w:p w:rsidR="006B3E27" w:rsidRPr="003E159A" w:rsidRDefault="00237145" w:rsidP="004D4029">
            <w:pPr>
              <w:bidi w:val="0"/>
              <w:spacing w:after="20"/>
              <w:jc w:val="left"/>
              <w:rPr>
                <w:szCs w:val="20"/>
              </w:rPr>
            </w:pPr>
            <w:r w:rsidRPr="00237145">
              <w:rPr>
                <w:sz w:val="40"/>
                <w:szCs w:val="20"/>
              </w:rPr>
              <w:t>A</w:t>
            </w:r>
            <w:r>
              <w:rPr>
                <w:szCs w:val="20"/>
              </w:rPr>
              <w:t>/HRC/30/65</w:t>
            </w:r>
          </w:p>
        </w:tc>
      </w:tr>
      <w:tr w:rsidR="006B3E27" w:rsidRPr="00ED7442" w:rsidTr="008930DB">
        <w:trPr>
          <w:trHeight w:hRule="exact" w:val="2835"/>
        </w:trPr>
        <w:tc>
          <w:tcPr>
            <w:tcW w:w="1274" w:type="dxa"/>
            <w:tcBorders>
              <w:top w:val="single" w:sz="4" w:space="0" w:color="auto"/>
              <w:bottom w:val="single" w:sz="12" w:space="0" w:color="auto"/>
            </w:tcBorders>
          </w:tcPr>
          <w:p w:rsidR="006B3E27" w:rsidRPr="00ED7442" w:rsidRDefault="0059622A" w:rsidP="00B477A4">
            <w:pPr>
              <w:jc w:val="center"/>
              <w:rPr>
                <w:sz w:val="56"/>
                <w:szCs w:val="56"/>
                <w:rtl/>
              </w:rPr>
            </w:pPr>
            <w:r w:rsidRPr="00ED7442">
              <w:rPr>
                <w:noProof/>
                <w:sz w:val="56"/>
                <w:szCs w:val="56"/>
              </w:rPr>
              <w:drawing>
                <wp:inline distT="0" distB="0" distL="0" distR="0" wp14:anchorId="13A4CC67" wp14:editId="34423CA6">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6B3E27" w:rsidRPr="00687200" w:rsidRDefault="004A3FF8" w:rsidP="008930DB">
            <w:pPr>
              <w:spacing w:before="120" w:after="40" w:line="640" w:lineRule="exact"/>
              <w:jc w:val="left"/>
              <w:rPr>
                <w:b/>
                <w:bCs/>
                <w:sz w:val="64"/>
                <w:szCs w:val="64"/>
              </w:rPr>
            </w:pPr>
            <w:r w:rsidRPr="00687200">
              <w:rPr>
                <w:rFonts w:hint="cs"/>
                <w:b/>
                <w:bCs/>
                <w:sz w:val="64"/>
                <w:szCs w:val="64"/>
                <w:rtl/>
              </w:rPr>
              <w:t>الجمعية العامة</w:t>
            </w:r>
          </w:p>
        </w:tc>
        <w:tc>
          <w:tcPr>
            <w:tcW w:w="3402" w:type="dxa"/>
            <w:tcBorders>
              <w:top w:val="single" w:sz="4" w:space="0" w:color="auto"/>
              <w:bottom w:val="single" w:sz="12" w:space="0" w:color="auto"/>
            </w:tcBorders>
          </w:tcPr>
          <w:p w:rsidR="006B3E27" w:rsidRDefault="004D4029" w:rsidP="004D4029">
            <w:pPr>
              <w:bidi w:val="0"/>
              <w:spacing w:before="240"/>
              <w:jc w:val="left"/>
              <w:rPr>
                <w:szCs w:val="20"/>
              </w:rPr>
            </w:pPr>
            <w:r>
              <w:rPr>
                <w:szCs w:val="20"/>
              </w:rPr>
              <w:t>Distr.: General</w:t>
            </w:r>
          </w:p>
          <w:p w:rsidR="004D4029" w:rsidRDefault="004D4029" w:rsidP="004D4029">
            <w:pPr>
              <w:bidi w:val="0"/>
              <w:jc w:val="left"/>
              <w:rPr>
                <w:szCs w:val="20"/>
              </w:rPr>
            </w:pPr>
            <w:r>
              <w:rPr>
                <w:szCs w:val="20"/>
              </w:rPr>
              <w:t>4 Septembe</w:t>
            </w:r>
            <w:bookmarkStart w:id="0" w:name="_GoBack"/>
            <w:bookmarkEnd w:id="0"/>
            <w:r>
              <w:rPr>
                <w:szCs w:val="20"/>
              </w:rPr>
              <w:t>r 2015</w:t>
            </w:r>
          </w:p>
          <w:p w:rsidR="004D4029" w:rsidRDefault="004D4029" w:rsidP="004D4029">
            <w:pPr>
              <w:bidi w:val="0"/>
              <w:jc w:val="left"/>
              <w:rPr>
                <w:szCs w:val="20"/>
              </w:rPr>
            </w:pPr>
            <w:r>
              <w:rPr>
                <w:szCs w:val="20"/>
              </w:rPr>
              <w:t>Arabic</w:t>
            </w:r>
          </w:p>
          <w:p w:rsidR="004D4029" w:rsidRPr="003E159A" w:rsidRDefault="004D4029" w:rsidP="004D4029">
            <w:pPr>
              <w:bidi w:val="0"/>
              <w:jc w:val="left"/>
              <w:rPr>
                <w:szCs w:val="20"/>
              </w:rPr>
            </w:pPr>
            <w:r>
              <w:rPr>
                <w:szCs w:val="20"/>
              </w:rPr>
              <w:t>Original: English</w:t>
            </w:r>
          </w:p>
        </w:tc>
      </w:tr>
    </w:tbl>
    <w:p w:rsidR="004D4029" w:rsidRDefault="004A3FF8" w:rsidP="004A3FF8">
      <w:pPr>
        <w:spacing w:before="120" w:line="380" w:lineRule="exact"/>
        <w:rPr>
          <w:b/>
          <w:bCs/>
          <w:sz w:val="36"/>
          <w:szCs w:val="36"/>
          <w:rtl/>
        </w:rPr>
      </w:pPr>
      <w:r w:rsidRPr="00FF01B7">
        <w:rPr>
          <w:rFonts w:hint="cs"/>
          <w:b/>
          <w:bCs/>
          <w:sz w:val="36"/>
          <w:szCs w:val="36"/>
          <w:rtl/>
        </w:rPr>
        <w:t>مجلس حقوق الإنسان</w:t>
      </w:r>
    </w:p>
    <w:p w:rsidR="004D4029" w:rsidRPr="004D4029" w:rsidRDefault="004D4029" w:rsidP="004D4029">
      <w:pPr>
        <w:spacing w:line="380" w:lineRule="exact"/>
        <w:textDirection w:val="tbRlV"/>
        <w:rPr>
          <w:rFonts w:ascii="Traditional Arabic" w:hAnsi="Traditional Arabic"/>
          <w:b/>
          <w:bCs/>
          <w:sz w:val="30"/>
          <w:rtl/>
          <w:lang w:eastAsia="zh-TW"/>
        </w:rPr>
      </w:pPr>
      <w:r>
        <w:rPr>
          <w:rFonts w:ascii="Traditional Arabic" w:hAnsi="Traditional Arabic"/>
          <w:b/>
          <w:bCs/>
          <w:sz w:val="30"/>
          <w:rtl/>
          <w:lang w:eastAsia="zh-TW"/>
        </w:rPr>
        <w:t>الدورة الثلاثو</w:t>
      </w:r>
      <w:r>
        <w:rPr>
          <w:rFonts w:ascii="Traditional Arabic" w:hAnsi="Traditional Arabic" w:hint="cs"/>
          <w:b/>
          <w:bCs/>
          <w:sz w:val="30"/>
          <w:rtl/>
          <w:lang w:eastAsia="zh-TW"/>
        </w:rPr>
        <w:t>ن</w:t>
      </w:r>
    </w:p>
    <w:p w:rsidR="004D4029" w:rsidRPr="004D4029" w:rsidRDefault="004D4029" w:rsidP="004D4029">
      <w:pPr>
        <w:spacing w:line="380" w:lineRule="exact"/>
        <w:textDirection w:val="tbRlV"/>
        <w:rPr>
          <w:rFonts w:ascii="Traditional Arabic" w:hAnsi="Traditional Arabic"/>
          <w:sz w:val="30"/>
          <w:rtl/>
          <w:lang w:eastAsia="zh-TW"/>
        </w:rPr>
      </w:pPr>
      <w:r>
        <w:rPr>
          <w:rFonts w:ascii="Traditional Arabic" w:hAnsi="Traditional Arabic"/>
          <w:sz w:val="30"/>
          <w:rtl/>
          <w:lang w:eastAsia="zh-TW"/>
        </w:rPr>
        <w:t>البندان 2 و8 من جدول الأعما</w:t>
      </w:r>
      <w:r>
        <w:rPr>
          <w:rFonts w:ascii="Traditional Arabic" w:hAnsi="Traditional Arabic" w:hint="cs"/>
          <w:sz w:val="30"/>
          <w:rtl/>
          <w:lang w:eastAsia="zh-TW"/>
        </w:rPr>
        <w:t>ل</w:t>
      </w:r>
    </w:p>
    <w:p w:rsidR="004D4029" w:rsidRPr="004D4029" w:rsidRDefault="004D4029" w:rsidP="00500F87">
      <w:pPr>
        <w:spacing w:line="380" w:lineRule="exact"/>
        <w:ind w:right="4536"/>
        <w:textDirection w:val="tbRlV"/>
        <w:rPr>
          <w:rFonts w:ascii="Traditional Arabic" w:hAnsi="Traditional Arabic"/>
          <w:b/>
          <w:bCs/>
          <w:sz w:val="30"/>
          <w:rtl/>
          <w:lang w:eastAsia="zh-TW"/>
        </w:rPr>
      </w:pPr>
      <w:r w:rsidRPr="004D4029">
        <w:rPr>
          <w:rFonts w:ascii="Traditional Arabic" w:hAnsi="Traditional Arabic"/>
          <w:b/>
          <w:bCs/>
          <w:sz w:val="30"/>
          <w:rtl/>
          <w:lang w:eastAsia="zh-TW"/>
        </w:rPr>
        <w:t>التقرير السنوي لمفوض الأمم المتحدة السامي لحقوق الإنسان وتقاري</w:t>
      </w:r>
      <w:r>
        <w:rPr>
          <w:rFonts w:ascii="Traditional Arabic" w:hAnsi="Traditional Arabic"/>
          <w:b/>
          <w:bCs/>
          <w:sz w:val="30"/>
          <w:rtl/>
          <w:lang w:eastAsia="zh-TW"/>
        </w:rPr>
        <w:t>ر المفوضية السامية والأمين العا</w:t>
      </w:r>
      <w:r>
        <w:rPr>
          <w:rFonts w:ascii="Traditional Arabic" w:hAnsi="Traditional Arabic" w:hint="cs"/>
          <w:b/>
          <w:bCs/>
          <w:sz w:val="30"/>
          <w:rtl/>
          <w:lang w:eastAsia="zh-TW"/>
        </w:rPr>
        <w:t>م</w:t>
      </w:r>
    </w:p>
    <w:p w:rsidR="004D4029" w:rsidRPr="004D4029" w:rsidRDefault="004D4029" w:rsidP="004D4029">
      <w:pPr>
        <w:spacing w:before="120" w:line="380" w:lineRule="exact"/>
        <w:textDirection w:val="tbRlV"/>
        <w:rPr>
          <w:rFonts w:ascii="Traditional Arabic" w:hAnsi="Traditional Arabic"/>
          <w:b/>
          <w:sz w:val="30"/>
          <w:rtl/>
          <w:lang w:eastAsia="zh-TW"/>
        </w:rPr>
      </w:pPr>
      <w:r w:rsidRPr="004D4029">
        <w:rPr>
          <w:rFonts w:ascii="Traditional Arabic" w:hAnsi="Traditional Arabic"/>
          <w:b/>
          <w:bCs/>
          <w:sz w:val="30"/>
          <w:rtl/>
          <w:lang w:eastAsia="zh-TW"/>
        </w:rPr>
        <w:t>متابعة وتنفيذ إعلان وبرنامج عمل فيينا</w:t>
      </w:r>
    </w:p>
    <w:p w:rsidR="004D4029" w:rsidRPr="00D57891" w:rsidRDefault="004D4029" w:rsidP="004D4029">
      <w:pPr>
        <w:pStyle w:val="HChGA"/>
        <w:rPr>
          <w:rtl/>
          <w:lang w:eastAsia="zh-TW"/>
        </w:rPr>
      </w:pPr>
      <w:r w:rsidRPr="00D57891">
        <w:rPr>
          <w:rtl/>
          <w:lang w:eastAsia="zh-TW"/>
        </w:rPr>
        <w:tab/>
      </w:r>
      <w:r w:rsidRPr="00D57891">
        <w:rPr>
          <w:rtl/>
          <w:lang w:eastAsia="zh-TW"/>
        </w:rPr>
        <w:tab/>
        <w:t>دراسة بشأن تأثير مشكلة المخدرات العالمية على التمتع بحقوق الإنسان</w:t>
      </w:r>
    </w:p>
    <w:p w:rsidR="004D4029" w:rsidRDefault="004D4029" w:rsidP="008C4AFC">
      <w:pPr>
        <w:pStyle w:val="H1GA"/>
        <w:rPr>
          <w:rtl/>
          <w:lang w:eastAsia="zh-TW"/>
        </w:rPr>
      </w:pPr>
      <w:r>
        <w:rPr>
          <w:rFonts w:hint="cs"/>
          <w:rtl/>
        </w:rPr>
        <w:tab/>
      </w:r>
      <w:r>
        <w:rPr>
          <w:rtl/>
        </w:rPr>
        <w:tab/>
      </w:r>
      <w:dir w:val="rtl">
        <w:r w:rsidRPr="00D57891">
          <w:rPr>
            <w:rtl/>
            <w:lang w:eastAsia="zh-TW"/>
          </w:rPr>
          <w:t xml:space="preserve">تقرير مفوض الأمم المتحدة السامي </w:t>
        </w:r>
        <w:r w:rsidR="008C4AFC">
          <w:rPr>
            <w:rtl/>
            <w:lang w:eastAsia="zh-TW"/>
          </w:rPr>
          <w:t>لحقوق الإنسا</w:t>
        </w:r>
        <w:r w:rsidR="008C4AFC">
          <w:rPr>
            <w:rFonts w:hint="cs"/>
            <w:rtl/>
            <w:lang w:eastAsia="zh-TW"/>
          </w:rPr>
          <w:t>ن</w:t>
        </w:r>
        <w:r w:rsidR="008C4AFC" w:rsidRPr="008C4AFC">
          <w:rPr>
            <w:rStyle w:val="FootnoteReference"/>
            <w:sz w:val="20"/>
            <w:vertAlign w:val="baseline"/>
            <w:rtl/>
            <w:lang w:eastAsia="zh-TW"/>
          </w:rPr>
          <w:footnoteReference w:customMarkFollows="1" w:id="1"/>
          <w:t>*</w:t>
        </w:r>
        <w:r w:rsidR="00C66BF6">
          <w:t>‬</w:t>
        </w:r>
        <w:r w:rsidR="00943DBA">
          <w:t>‬</w:t>
        </w:r>
      </w:dir>
    </w:p>
    <w:tbl>
      <w:tblPr>
        <w:tblStyle w:val="TableGrid"/>
        <w:bidiVisual/>
        <w:tblW w:w="0" w:type="auto"/>
        <w:jc w:val="center"/>
        <w:tblLook w:val="01E0" w:firstRow="1" w:lastRow="1" w:firstColumn="1" w:lastColumn="1" w:noHBand="0" w:noVBand="0"/>
      </w:tblPr>
      <w:tblGrid>
        <w:gridCol w:w="9637"/>
      </w:tblGrid>
      <w:tr w:rsidR="004D4029">
        <w:trPr>
          <w:jc w:val="center"/>
        </w:trPr>
        <w:tc>
          <w:tcPr>
            <w:tcW w:w="9637" w:type="dxa"/>
            <w:tcBorders>
              <w:bottom w:val="nil"/>
            </w:tcBorders>
          </w:tcPr>
          <w:p w:rsidR="004D4029" w:rsidRPr="00785AE2" w:rsidRDefault="004D4029">
            <w:pPr>
              <w:tabs>
                <w:tab w:val="left" w:pos="255"/>
              </w:tabs>
              <w:spacing w:before="120" w:after="120" w:line="380" w:lineRule="exact"/>
              <w:rPr>
                <w:rFonts w:ascii="Traditional Arabic" w:hAnsi="Traditional Arabic"/>
                <w:i/>
                <w:iCs/>
                <w:sz w:val="36"/>
                <w:szCs w:val="36"/>
                <w:rtl/>
              </w:rPr>
            </w:pPr>
            <w:r w:rsidRPr="00785AE2">
              <w:rPr>
                <w:rFonts w:ascii="Traditional Arabic" w:hAnsi="Traditional Arabic"/>
                <w:i/>
                <w:iCs/>
                <w:sz w:val="36"/>
                <w:rtl/>
              </w:rPr>
              <w:tab/>
            </w:r>
            <w:r w:rsidRPr="00785AE2">
              <w:rPr>
                <w:rFonts w:ascii="Traditional Arabic" w:hAnsi="Traditional Arabic"/>
                <w:i/>
                <w:iCs/>
                <w:sz w:val="36"/>
                <w:rtl/>
              </w:rPr>
              <w:tab/>
            </w:r>
            <w:r w:rsidRPr="00785AE2">
              <w:rPr>
                <w:rFonts w:ascii="Traditional Arabic" w:hAnsi="Traditional Arabic"/>
                <w:i/>
                <w:iCs/>
                <w:sz w:val="36"/>
                <w:szCs w:val="36"/>
                <w:rtl/>
              </w:rPr>
              <w:t>موجز</w:t>
            </w:r>
          </w:p>
        </w:tc>
      </w:tr>
      <w:tr w:rsidR="004D4029">
        <w:trPr>
          <w:jc w:val="center"/>
        </w:trPr>
        <w:tc>
          <w:tcPr>
            <w:tcW w:w="9637" w:type="dxa"/>
            <w:tcBorders>
              <w:top w:val="nil"/>
              <w:bottom w:val="nil"/>
            </w:tcBorders>
            <w:shd w:val="clear" w:color="auto" w:fill="auto"/>
          </w:tcPr>
          <w:p w:rsidR="004D4029" w:rsidRPr="008C4AFC" w:rsidRDefault="004D4029" w:rsidP="00112A02">
            <w:pPr>
              <w:pStyle w:val="SingleTxtGA"/>
              <w:rPr>
                <w:rFonts w:ascii="Traditional Arabic" w:hAnsi="Traditional Arabic"/>
                <w:sz w:val="30"/>
                <w:rtl/>
              </w:rPr>
            </w:pPr>
            <w:r w:rsidRPr="008C4AFC">
              <w:rPr>
                <w:rFonts w:ascii="Traditional Arabic" w:hAnsi="Traditional Arabic"/>
                <w:sz w:val="30"/>
                <w:rtl/>
                <w:lang w:eastAsia="zh-TW"/>
              </w:rPr>
              <w:tab/>
              <w:t xml:space="preserve">طلب مجلس حقوق الإنسان، في قراره 28/28، إلى مفوض </w:t>
            </w:r>
            <w:r w:rsidR="00112A02">
              <w:rPr>
                <w:rFonts w:ascii="Traditional Arabic" w:hAnsi="Traditional Arabic" w:hint="cs"/>
                <w:sz w:val="30"/>
                <w:rtl/>
                <w:lang w:eastAsia="zh-TW"/>
              </w:rPr>
              <w:t xml:space="preserve">الأمم المتحدة </w:t>
            </w:r>
            <w:r w:rsidRPr="008C4AFC">
              <w:rPr>
                <w:rFonts w:ascii="Traditional Arabic" w:hAnsi="Traditional Arabic"/>
                <w:sz w:val="30"/>
                <w:rtl/>
                <w:lang w:eastAsia="zh-TW"/>
              </w:rPr>
              <w:t xml:space="preserve">السامي لحقوق الإنسان أن يُعدّ دراسة، بالتشاور مع الدول ووكالات الأمم المتحدة والجهات المعنية الأخرى، تقدم إلى مجلس حقوق الإنسان في دورته الثلاثين، بشأن تأثير مشكلة المخدرات العالمية على التمتع بحقوق الإنسان، وتوصيات بشأن احترام وحماية وتعزيز حقوق الإنسان في سياق مشكلة المخدرات العالمية، مع إيلاء اهتمام خاص لاحتياجات الأشخاص المتأثرين والأشخاص المعرضين للخطر. </w:t>
            </w:r>
            <w:dir w:val="rtl">
              <w:r w:rsidRPr="008C4AFC">
                <w:rPr>
                  <w:rFonts w:ascii="Traditional Arabic" w:hAnsi="Traditional Arabic"/>
                  <w:sz w:val="30"/>
                  <w:rtl/>
                  <w:lang w:eastAsia="zh-TW"/>
                </w:rPr>
                <w:t>وأعدّ هذا التقرير بناء على طلب المجلس.</w:t>
              </w:r>
              <w:r w:rsidRPr="008C4AFC">
                <w:rPr>
                  <w:rFonts w:eastAsia="MS Mincho" w:cs="Times New Roman"/>
                  <w:sz w:val="30"/>
                  <w:lang w:eastAsia="zh-TW"/>
                </w:rPr>
                <w:t>‬</w:t>
              </w:r>
              <w:r w:rsidR="008C4AFC">
                <w:rPr>
                  <w:rFonts w:ascii="Traditional Arabic" w:hAnsi="Traditional Arabic" w:hint="cs"/>
                  <w:sz w:val="30"/>
                  <w:rtl/>
                </w:rPr>
                <w:t xml:space="preserve"> </w:t>
              </w:r>
              <w:r w:rsidR="00C66BF6">
                <w:t>‬</w:t>
              </w:r>
              <w:r w:rsidR="00943DBA">
                <w:t>‬</w:t>
              </w:r>
            </w:dir>
          </w:p>
        </w:tc>
      </w:tr>
      <w:tr w:rsidR="004D4029">
        <w:trPr>
          <w:jc w:val="center"/>
        </w:trPr>
        <w:tc>
          <w:tcPr>
            <w:tcW w:w="9637" w:type="dxa"/>
            <w:tcBorders>
              <w:top w:val="nil"/>
            </w:tcBorders>
          </w:tcPr>
          <w:p w:rsidR="004D4029" w:rsidRDefault="004D4029">
            <w:pPr>
              <w:spacing w:line="200" w:lineRule="exact"/>
              <w:rPr>
                <w:rtl/>
              </w:rPr>
            </w:pPr>
          </w:p>
        </w:tc>
      </w:tr>
    </w:tbl>
    <w:p w:rsidR="004D4029" w:rsidRPr="004D4029" w:rsidRDefault="004D4029" w:rsidP="004D4029">
      <w:pPr>
        <w:rPr>
          <w:rtl/>
          <w:lang w:eastAsia="zh-TW"/>
        </w:rPr>
      </w:pPr>
    </w:p>
    <w:p w:rsidR="004D4029" w:rsidRPr="00D57891" w:rsidRDefault="004D4029" w:rsidP="00112A02">
      <w:pPr>
        <w:pStyle w:val="HChGA"/>
        <w:spacing w:before="120"/>
        <w:rPr>
          <w:rtl/>
          <w:lang w:eastAsia="zh-TW"/>
        </w:rPr>
      </w:pPr>
      <w:r>
        <w:rPr>
          <w:sz w:val="36"/>
          <w:szCs w:val="36"/>
          <w:rtl/>
        </w:rPr>
        <w:br w:type="page"/>
      </w:r>
      <w:r w:rsidR="00112A02">
        <w:rPr>
          <w:rFonts w:hint="cs"/>
          <w:sz w:val="36"/>
          <w:szCs w:val="36"/>
          <w:rtl/>
        </w:rPr>
        <w:lastRenderedPageBreak/>
        <w:tab/>
      </w:r>
      <w:r w:rsidRPr="00D57891">
        <w:rPr>
          <w:rFonts w:hint="cs"/>
          <w:rtl/>
          <w:lang w:eastAsia="zh-TW"/>
        </w:rPr>
        <w:t>أولا</w:t>
      </w:r>
      <w:r w:rsidR="00112A02">
        <w:rPr>
          <w:rFonts w:hint="cs"/>
          <w:rtl/>
          <w:lang w:eastAsia="zh-TW"/>
        </w:rPr>
        <w:t>ً</w:t>
      </w:r>
      <w:r w:rsidRPr="00D57891">
        <w:rPr>
          <w:rFonts w:hint="cs"/>
          <w:rtl/>
          <w:lang w:eastAsia="zh-TW"/>
        </w:rPr>
        <w:t>-</w:t>
      </w:r>
      <w:r w:rsidR="00112A02">
        <w:rPr>
          <w:rtl/>
          <w:lang w:eastAsia="zh-TW"/>
        </w:rPr>
        <w:tab/>
      </w:r>
      <w:r w:rsidRPr="00D57891">
        <w:rPr>
          <w:rFonts w:hint="cs"/>
          <w:rtl/>
          <w:lang w:eastAsia="zh-TW"/>
        </w:rPr>
        <w:t>مقدمة</w:t>
      </w:r>
    </w:p>
    <w:p w:rsidR="004D4029" w:rsidRPr="00D57891" w:rsidRDefault="00112A02" w:rsidP="00112A02">
      <w:pPr>
        <w:pStyle w:val="SingleTxtGA"/>
        <w:rPr>
          <w:rtl/>
          <w:lang w:eastAsia="zh-TW"/>
        </w:rPr>
      </w:pPr>
      <w:r>
        <w:rPr>
          <w:rtl/>
          <w:lang w:eastAsia="zh-TW"/>
        </w:rPr>
        <w:t>١</w:t>
      </w:r>
      <w:r>
        <w:rPr>
          <w:rFonts w:hint="cs"/>
          <w:rtl/>
          <w:lang w:eastAsia="zh-TW"/>
        </w:rPr>
        <w:t>-</w:t>
      </w:r>
      <w:r>
        <w:rPr>
          <w:rtl/>
          <w:lang w:eastAsia="zh-TW"/>
        </w:rPr>
        <w:tab/>
      </w:r>
      <w:r w:rsidR="004D4029" w:rsidRPr="00D57891">
        <w:rPr>
          <w:rtl/>
          <w:lang w:eastAsia="zh-TW"/>
        </w:rPr>
        <w:t xml:space="preserve">طلب مجلس حقوق الإنسان، في قراره 28/28، إلى مفوض </w:t>
      </w:r>
      <w:r>
        <w:rPr>
          <w:rFonts w:hint="cs"/>
          <w:rtl/>
          <w:lang w:eastAsia="zh-TW"/>
        </w:rPr>
        <w:t xml:space="preserve">الأمم المتحدة </w:t>
      </w:r>
      <w:r w:rsidR="004D4029" w:rsidRPr="00D57891">
        <w:rPr>
          <w:rtl/>
          <w:lang w:eastAsia="zh-TW"/>
        </w:rPr>
        <w:t xml:space="preserve">السامي لحقوق الإنسان أن يُعدّ دراسة، بالتشاور مع الدول ووكالات الأمم المتحدة والجهات المعنية الأخرى، تقدم إلى مجلس حقوق الإنسان في دورته الثلاثين، بشأن تأثير مشكلة المخدرات العالمية على التمتع بحقوق الإنسان، وتوصيات بشأن احترام وحماية وتعزيز حقوق الإنسان في سياق مشكلة المخدرات العالمية، مع إيلاء اهتمام خاص لاحتياجات الأشخاص المتأثرين والأشخاص المعرضين للخطر. </w:t>
      </w:r>
    </w:p>
    <w:p w:rsidR="004D4029" w:rsidRPr="00D57891" w:rsidRDefault="00F32E85" w:rsidP="004A64ED">
      <w:pPr>
        <w:pStyle w:val="SingleTxtGA"/>
        <w:rPr>
          <w:rtl/>
          <w:lang w:eastAsia="zh-TW"/>
        </w:rPr>
      </w:pPr>
      <w:r>
        <w:rPr>
          <w:rtl/>
          <w:lang w:eastAsia="zh-TW"/>
        </w:rPr>
        <w:t>٢</w:t>
      </w:r>
      <w:r>
        <w:rPr>
          <w:rFonts w:hint="cs"/>
          <w:rtl/>
          <w:lang w:eastAsia="zh-TW"/>
        </w:rPr>
        <w:t>-</w:t>
      </w:r>
      <w:r>
        <w:rPr>
          <w:rtl/>
          <w:lang w:eastAsia="zh-TW"/>
        </w:rPr>
        <w:tab/>
      </w:r>
      <w:r w:rsidR="004D4029" w:rsidRPr="00D57891">
        <w:rPr>
          <w:rtl/>
          <w:lang w:eastAsia="zh-TW"/>
        </w:rPr>
        <w:t xml:space="preserve">وأرسلت طلبات للحصول على معلومات إلى الدول والجهات المعنية </w:t>
      </w:r>
      <w:r w:rsidR="004D4029">
        <w:rPr>
          <w:rtl/>
          <w:lang w:eastAsia="zh-TW"/>
        </w:rPr>
        <w:t>الأخرى. ووردت تقارير من 24 دولة</w:t>
      </w:r>
      <w:r w:rsidR="004D4029" w:rsidRPr="00D57891">
        <w:rPr>
          <w:rtl/>
          <w:lang w:eastAsia="zh-TW"/>
        </w:rPr>
        <w:t xml:space="preserve"> و4 وكالات تابعة للأمم المتحدة ومنظمات دولية أخرى و4 مؤسسات وطنية لحقوق الإنسان و35 منظمة غير حكومية</w:t>
      </w:r>
      <w:r w:rsidR="004A64ED">
        <w:rPr>
          <w:rStyle w:val="FootnoteReference"/>
          <w:rFonts w:ascii="Traditional Arabic" w:hAnsi="Traditional Arabic"/>
          <w:sz w:val="32"/>
          <w:szCs w:val="32"/>
          <w:rtl/>
          <w:lang w:eastAsia="zh-TW"/>
        </w:rPr>
        <w:t>(</w:t>
      </w:r>
      <w:r w:rsidR="004A64ED" w:rsidRPr="00F32E85">
        <w:rPr>
          <w:rStyle w:val="FootnoteReference"/>
          <w:rFonts w:ascii="Traditional Arabic" w:hAnsi="Traditional Arabic"/>
          <w:sz w:val="32"/>
          <w:szCs w:val="32"/>
          <w:rtl/>
          <w:lang w:eastAsia="zh-TW"/>
        </w:rPr>
        <w:footnoteReference w:id="2"/>
      </w:r>
      <w:r w:rsidR="004A64ED">
        <w:rPr>
          <w:rStyle w:val="FootnoteReference"/>
          <w:rFonts w:ascii="Traditional Arabic" w:hAnsi="Traditional Arabic"/>
          <w:sz w:val="32"/>
          <w:szCs w:val="32"/>
          <w:rtl/>
          <w:lang w:eastAsia="zh-TW"/>
        </w:rPr>
        <w:t>)</w:t>
      </w:r>
      <w:r>
        <w:rPr>
          <w:rFonts w:hint="cs"/>
          <w:rtl/>
          <w:lang w:eastAsia="zh-TW"/>
        </w:rPr>
        <w:t>.</w:t>
      </w:r>
      <w:r w:rsidR="004D4029" w:rsidRPr="00D57891">
        <w:rPr>
          <w:rtl/>
          <w:lang w:eastAsia="zh-TW"/>
        </w:rPr>
        <w:t xml:space="preserve"> </w:t>
      </w:r>
    </w:p>
    <w:p w:rsidR="004D4029" w:rsidRPr="00D57891" w:rsidRDefault="00F32E85" w:rsidP="00E47CD8">
      <w:pPr>
        <w:pStyle w:val="SingleTxtGA"/>
        <w:rPr>
          <w:rtl/>
          <w:lang w:eastAsia="zh-TW"/>
        </w:rPr>
      </w:pPr>
      <w:r>
        <w:rPr>
          <w:rtl/>
          <w:lang w:eastAsia="zh-TW"/>
        </w:rPr>
        <w:t>٣</w:t>
      </w:r>
      <w:r>
        <w:rPr>
          <w:rFonts w:hint="cs"/>
          <w:rtl/>
          <w:lang w:eastAsia="zh-TW"/>
        </w:rPr>
        <w:t>-</w:t>
      </w:r>
      <w:r>
        <w:rPr>
          <w:rtl/>
          <w:lang w:eastAsia="zh-TW"/>
        </w:rPr>
        <w:tab/>
      </w:r>
      <w:r w:rsidR="004D4029" w:rsidRPr="00D57891">
        <w:rPr>
          <w:rtl/>
          <w:lang w:eastAsia="zh-TW"/>
        </w:rPr>
        <w:t xml:space="preserve">وتشكل ثلاث معاهدات الإطار القانوني الرئيسي لنظام الأمم المتحدة الدولي لمراقبة المخدرات وهي: (أ) الاتفاقية الوحيدة للمخدرات </w:t>
      </w:r>
      <w:r w:rsidR="00313B13">
        <w:rPr>
          <w:rFonts w:hint="cs"/>
          <w:rtl/>
          <w:lang w:eastAsia="zh-TW"/>
        </w:rPr>
        <w:t xml:space="preserve">لعام </w:t>
      </w:r>
      <w:r w:rsidR="00313B13">
        <w:rPr>
          <w:rtl/>
          <w:lang w:eastAsia="zh-TW"/>
        </w:rPr>
        <w:t>1961</w:t>
      </w:r>
      <w:r w:rsidR="004D4029" w:rsidRPr="00D57891">
        <w:rPr>
          <w:rtl/>
          <w:lang w:eastAsia="zh-TW"/>
        </w:rPr>
        <w:t xml:space="preserve"> بصيغتها المعدلة بموجب بروتوكول عام 1972، التي أخضعت نباتات مثل القنب وشجيرة الكوكا وخش</w:t>
      </w:r>
      <w:r w:rsidR="00313B13">
        <w:rPr>
          <w:rtl/>
          <w:lang w:eastAsia="zh-TW"/>
        </w:rPr>
        <w:t>خاش الأفيون للمراقبة الدولية؛ و</w:t>
      </w:r>
      <w:r w:rsidR="004D4029" w:rsidRPr="00D57891">
        <w:rPr>
          <w:rtl/>
          <w:lang w:eastAsia="zh-TW"/>
        </w:rPr>
        <w:t xml:space="preserve">(ب) اتفاقية المؤثرات العقلية لعام 1971، التي فرضت نفس المراقبة على المواد </w:t>
      </w:r>
      <w:r w:rsidR="00313B13">
        <w:rPr>
          <w:rFonts w:hint="cs"/>
          <w:rtl/>
          <w:lang w:eastAsia="zh-TW"/>
        </w:rPr>
        <w:t xml:space="preserve">التركيبية </w:t>
      </w:r>
      <w:r w:rsidR="004D4029" w:rsidRPr="00D57891">
        <w:rPr>
          <w:rtl/>
          <w:lang w:eastAsia="zh-TW"/>
        </w:rPr>
        <w:t>والسلائف الكيميائية</w:t>
      </w:r>
      <w:r w:rsidR="00313B13">
        <w:rPr>
          <w:rtl/>
          <w:lang w:eastAsia="zh-TW"/>
        </w:rPr>
        <w:t xml:space="preserve"> المستخدمة في تصنيع المخدرات؛ و</w:t>
      </w:r>
      <w:r w:rsidR="004D4029" w:rsidRPr="00D57891">
        <w:rPr>
          <w:rtl/>
          <w:lang w:eastAsia="zh-TW"/>
        </w:rPr>
        <w:t xml:space="preserve">(ج) اتفاقية الأمم المتحدة لمكافحة </w:t>
      </w:r>
      <w:proofErr w:type="spellStart"/>
      <w:r w:rsidR="004D4029" w:rsidRPr="00D57891">
        <w:rPr>
          <w:rtl/>
          <w:lang w:eastAsia="zh-TW"/>
        </w:rPr>
        <w:t>الاتجار</w:t>
      </w:r>
      <w:proofErr w:type="spellEnd"/>
      <w:r w:rsidR="004D4029" w:rsidRPr="00D57891">
        <w:rPr>
          <w:rtl/>
          <w:lang w:eastAsia="zh-TW"/>
        </w:rPr>
        <w:t xml:space="preserve"> غير المشروع في المخدرات والمؤثرات العقلية لعام 1988، التي </w:t>
      </w:r>
      <w:r w:rsidR="004D4029">
        <w:rPr>
          <w:rFonts w:hint="cs"/>
          <w:rtl/>
          <w:lang w:eastAsia="zh-TW"/>
        </w:rPr>
        <w:t>وسعت</w:t>
      </w:r>
      <w:r w:rsidR="004D4029" w:rsidRPr="00D57891">
        <w:rPr>
          <w:rtl/>
          <w:lang w:eastAsia="zh-TW"/>
        </w:rPr>
        <w:t xml:space="preserve"> نطاق وحد</w:t>
      </w:r>
      <w:r w:rsidR="00076706">
        <w:rPr>
          <w:rFonts w:hint="cs"/>
          <w:rtl/>
          <w:lang w:eastAsia="zh-TW"/>
        </w:rPr>
        <w:t>ّ</w:t>
      </w:r>
      <w:r w:rsidR="004D4029" w:rsidRPr="00D57891">
        <w:rPr>
          <w:rtl/>
          <w:lang w:eastAsia="zh-TW"/>
        </w:rPr>
        <w:t xml:space="preserve">ة المراقبة الدولية لتجارة المخدرات، وسلطت الضوء على الصلة بين تجارة المخدرات </w:t>
      </w:r>
      <w:r w:rsidR="00313B13">
        <w:rPr>
          <w:rtl/>
          <w:lang w:eastAsia="zh-TW"/>
        </w:rPr>
        <w:t>والجريمة المنظمة (انظر المادة 3</w:t>
      </w:r>
      <w:r w:rsidR="004D4029" w:rsidRPr="00D57891">
        <w:rPr>
          <w:rtl/>
          <w:lang w:eastAsia="zh-TW"/>
        </w:rPr>
        <w:t xml:space="preserve">(5)). وبموجب هذه المعاهدات، أصبحت مئات المواد غير المشروعة تخضع للمراقبة الدولية، مع تجريم </w:t>
      </w:r>
      <w:r w:rsidR="00076706">
        <w:rPr>
          <w:rFonts w:hint="cs"/>
          <w:rtl/>
          <w:lang w:eastAsia="zh-TW"/>
        </w:rPr>
        <w:t xml:space="preserve">أي جانب من </w:t>
      </w:r>
      <w:r w:rsidR="004D4029" w:rsidRPr="00D57891">
        <w:rPr>
          <w:rtl/>
          <w:lang w:eastAsia="zh-TW"/>
        </w:rPr>
        <w:t>جوانب الإنتاج والتوزيع غير المأذون به</w:t>
      </w:r>
      <w:r w:rsidR="00076706">
        <w:rPr>
          <w:rFonts w:hint="cs"/>
          <w:rtl/>
          <w:lang w:eastAsia="zh-TW"/>
        </w:rPr>
        <w:t>م</w:t>
      </w:r>
      <w:r w:rsidR="004D4029" w:rsidRPr="00D57891">
        <w:rPr>
          <w:rtl/>
          <w:lang w:eastAsia="zh-TW"/>
        </w:rPr>
        <w:t>ا لتلك المواد</w:t>
      </w:r>
      <w:r w:rsidR="00076706">
        <w:rPr>
          <w:rFonts w:hint="cs"/>
          <w:rtl/>
          <w:lang w:eastAsia="zh-TW"/>
        </w:rPr>
        <w:t xml:space="preserve"> عملياً،</w:t>
      </w:r>
      <w:r w:rsidR="004D4029" w:rsidRPr="00D57891">
        <w:rPr>
          <w:rtl/>
          <w:lang w:eastAsia="zh-TW"/>
        </w:rPr>
        <w:t xml:space="preserve"> على الرغم من السماح بإنتاجها وتوزيعها وحيازتها لأغراض طبية و/أو علمية</w:t>
      </w:r>
      <w:r w:rsidR="004A64ED">
        <w:rPr>
          <w:rStyle w:val="FootnoteReference"/>
          <w:rFonts w:ascii="Traditional Arabic" w:hAnsi="Traditional Arabic"/>
          <w:sz w:val="32"/>
          <w:szCs w:val="32"/>
          <w:rtl/>
          <w:lang w:eastAsia="zh-TW"/>
        </w:rPr>
        <w:t>(</w:t>
      </w:r>
      <w:r w:rsidR="00A66EB3" w:rsidRPr="00D57891">
        <w:rPr>
          <w:rStyle w:val="FootnoteReference"/>
          <w:rFonts w:ascii="Traditional Arabic" w:hAnsi="Traditional Arabic"/>
          <w:sz w:val="32"/>
          <w:szCs w:val="32"/>
          <w:rtl/>
          <w:lang w:eastAsia="zh-TW"/>
        </w:rPr>
        <w:footnoteReference w:id="3"/>
      </w:r>
      <w:r w:rsidR="004A64ED">
        <w:rPr>
          <w:rStyle w:val="FootnoteReference"/>
          <w:rFonts w:ascii="Traditional Arabic" w:hAnsi="Traditional Arabic"/>
          <w:sz w:val="32"/>
          <w:szCs w:val="32"/>
          <w:rtl/>
          <w:lang w:eastAsia="zh-TW"/>
        </w:rPr>
        <w:t>)</w:t>
      </w:r>
      <w:r w:rsidR="004A64ED">
        <w:rPr>
          <w:rFonts w:hint="cs"/>
          <w:rtl/>
          <w:lang w:eastAsia="zh-TW"/>
        </w:rPr>
        <w:t>.</w:t>
      </w:r>
      <w:r w:rsidR="00313B13">
        <w:rPr>
          <w:rtl/>
          <w:lang w:eastAsia="zh-TW"/>
        </w:rPr>
        <w:t xml:space="preserve"> ولا</w:t>
      </w:r>
      <w:r w:rsidR="00313B13">
        <w:rPr>
          <w:rFonts w:hint="cs"/>
          <w:rtl/>
          <w:lang w:eastAsia="zh-TW"/>
        </w:rPr>
        <w:t> </w:t>
      </w:r>
      <w:r w:rsidR="004D4029" w:rsidRPr="00D57891">
        <w:rPr>
          <w:rtl/>
          <w:lang w:eastAsia="zh-TW"/>
        </w:rPr>
        <w:t>تتطرق هذه المعاهدات إلى موضوع حقوق الإنسان على وجه التحديد لكن الهدف الرئيسي للنظام الدولي لمراقبة المخدرات يتمثل، وفقاً لديباجة الاتفاقية الوحيدة للمخدرات لسنة 1961، في حماية صحة الجنس البشري ورفاهه.</w:t>
      </w:r>
      <w:r w:rsidR="00076706">
        <w:rPr>
          <w:rFonts w:hint="cs"/>
          <w:rtl/>
          <w:lang w:eastAsia="zh-TW"/>
        </w:rPr>
        <w:t xml:space="preserve"> </w:t>
      </w:r>
    </w:p>
    <w:p w:rsidR="004D4029" w:rsidRPr="00D57891" w:rsidRDefault="00076706" w:rsidP="00076706">
      <w:pPr>
        <w:pStyle w:val="SingleTxtGA"/>
        <w:rPr>
          <w:rtl/>
          <w:lang w:eastAsia="zh-TW"/>
        </w:rPr>
      </w:pPr>
      <w:r>
        <w:rPr>
          <w:rtl/>
          <w:lang w:eastAsia="zh-TW"/>
        </w:rPr>
        <w:t>٤</w:t>
      </w:r>
      <w:r>
        <w:rPr>
          <w:rFonts w:hint="cs"/>
          <w:rtl/>
          <w:lang w:eastAsia="zh-TW"/>
        </w:rPr>
        <w:t>-</w:t>
      </w:r>
      <w:r>
        <w:rPr>
          <w:rFonts w:hint="cs"/>
          <w:rtl/>
          <w:lang w:eastAsia="zh-TW"/>
        </w:rPr>
        <w:tab/>
      </w:r>
      <w:r w:rsidR="004D4029" w:rsidRPr="00D57891">
        <w:rPr>
          <w:rtl/>
          <w:lang w:eastAsia="zh-TW"/>
        </w:rPr>
        <w:t xml:space="preserve">وتشرف الهيئة الدولية لمراقبة المخدرات على تنفيذ الاتفاقيات الثلاث المتعلقة بالمخدرات. وترصد إنتاج المخدرات </w:t>
      </w:r>
      <w:proofErr w:type="spellStart"/>
      <w:r w:rsidR="004D4029" w:rsidRPr="00D57891">
        <w:rPr>
          <w:rtl/>
          <w:lang w:eastAsia="zh-TW"/>
        </w:rPr>
        <w:t>والاتجار</w:t>
      </w:r>
      <w:proofErr w:type="spellEnd"/>
      <w:r w:rsidR="004D4029" w:rsidRPr="00D57891">
        <w:rPr>
          <w:rtl/>
          <w:lang w:eastAsia="zh-TW"/>
        </w:rPr>
        <w:t xml:space="preserve"> بها على نحو غير المشروع، وكذلك الحصول على المواد الخاضعة للمراقبة لأغراض علمية ودوائية، وتتحرى حالات عدم امتثال الدول لمتطلبات المعاهدات. وتصنف لجنة المخدرات المواد المخدرة والمؤثرات العقلية ضمن مستويات مختلفة من </w:t>
      </w:r>
      <w:r w:rsidR="004D4029" w:rsidRPr="00D57891">
        <w:rPr>
          <w:rtl/>
          <w:lang w:eastAsia="zh-TW"/>
        </w:rPr>
        <w:lastRenderedPageBreak/>
        <w:t xml:space="preserve">التقييد. وتضطلع </w:t>
      </w:r>
      <w:r w:rsidR="000369E3">
        <w:rPr>
          <w:rFonts w:hint="cs"/>
          <w:rtl/>
          <w:lang w:eastAsia="zh-TW"/>
        </w:rPr>
        <w:t xml:space="preserve">أيضاً </w:t>
      </w:r>
      <w:r w:rsidR="004D4029" w:rsidRPr="00D57891">
        <w:rPr>
          <w:rtl/>
          <w:lang w:eastAsia="zh-TW"/>
        </w:rPr>
        <w:t>بدور مجلس إدارة مكتب الأمم المتحدة المعني بالمخدرات والجريمة وتقر ميزانية صندوق برنامج الأمم المتحدة للمراقبة الدولية للمخدرات.</w:t>
      </w:r>
      <w:r w:rsidR="000369E3">
        <w:rPr>
          <w:rFonts w:hint="cs"/>
          <w:rtl/>
          <w:lang w:eastAsia="zh-TW"/>
        </w:rPr>
        <w:t xml:space="preserve"> </w:t>
      </w:r>
    </w:p>
    <w:p w:rsidR="004D4029" w:rsidRPr="00D57891" w:rsidRDefault="000369E3" w:rsidP="000369E3">
      <w:pPr>
        <w:pStyle w:val="SingleTxtGA"/>
        <w:rPr>
          <w:rtl/>
          <w:lang w:eastAsia="zh-TW"/>
        </w:rPr>
      </w:pPr>
      <w:r>
        <w:rPr>
          <w:rtl/>
          <w:lang w:eastAsia="zh-TW"/>
        </w:rPr>
        <w:t>٥</w:t>
      </w:r>
      <w:r>
        <w:rPr>
          <w:rFonts w:hint="cs"/>
          <w:rtl/>
          <w:lang w:eastAsia="zh-TW"/>
        </w:rPr>
        <w:t>-</w:t>
      </w:r>
      <w:r>
        <w:rPr>
          <w:rFonts w:hint="cs"/>
          <w:rtl/>
          <w:lang w:eastAsia="zh-TW"/>
        </w:rPr>
        <w:tab/>
      </w:r>
      <w:r w:rsidR="004D4029" w:rsidRPr="00D57891">
        <w:rPr>
          <w:rtl/>
          <w:lang w:eastAsia="zh-TW"/>
        </w:rPr>
        <w:t xml:space="preserve">وأكدت الجمعية العامة </w:t>
      </w:r>
      <w:r>
        <w:rPr>
          <w:rFonts w:hint="cs"/>
          <w:rtl/>
          <w:lang w:eastAsia="zh-TW"/>
        </w:rPr>
        <w:t xml:space="preserve">من جديد </w:t>
      </w:r>
      <w:r w:rsidR="004D4029" w:rsidRPr="00D57891">
        <w:rPr>
          <w:rtl/>
          <w:lang w:eastAsia="zh-TW"/>
        </w:rPr>
        <w:t xml:space="preserve">في قرارها 69/201، أن </w:t>
      </w:r>
      <w:r>
        <w:rPr>
          <w:rFonts w:hint="cs"/>
          <w:rtl/>
          <w:lang w:eastAsia="zh-TW"/>
        </w:rPr>
        <w:t xml:space="preserve">مشكلة </w:t>
      </w:r>
      <w:r w:rsidR="004D4029" w:rsidRPr="00D57891">
        <w:rPr>
          <w:rtl/>
          <w:lang w:eastAsia="zh-TW"/>
        </w:rPr>
        <w:t>المخدرات العالمية يجب مكافحتها بما يتفق تماما مع مقاصد ميثاق الأمم المتحدة وفي ظل الاحترام التام لجميع حقوق الإنسان. ودعت لجنة المخدرات</w:t>
      </w:r>
      <w:r>
        <w:rPr>
          <w:rFonts w:hint="cs"/>
          <w:rtl/>
          <w:lang w:eastAsia="zh-TW"/>
        </w:rPr>
        <w:t>،</w:t>
      </w:r>
      <w:r w:rsidR="004D4029" w:rsidRPr="00D57891">
        <w:rPr>
          <w:rtl/>
          <w:lang w:eastAsia="zh-TW"/>
        </w:rPr>
        <w:t xml:space="preserve"> في قرارها 51/12</w:t>
      </w:r>
      <w:r>
        <w:rPr>
          <w:rFonts w:hint="cs"/>
          <w:rtl/>
          <w:lang w:eastAsia="zh-TW"/>
        </w:rPr>
        <w:t>،</w:t>
      </w:r>
      <w:r w:rsidR="004D4029" w:rsidRPr="00D57891">
        <w:rPr>
          <w:rtl/>
          <w:lang w:eastAsia="zh-TW"/>
        </w:rPr>
        <w:t xml:space="preserve"> إلى تعزيز حقوق الإنسان في تنفيذ المعاهدات الدولية لمراقبة المخدرات، وذكرت الهيئة الدولية لمراقبة المخدرات </w:t>
      </w:r>
      <w:r>
        <w:rPr>
          <w:rFonts w:hint="cs"/>
          <w:rtl/>
          <w:lang w:eastAsia="zh-TW"/>
        </w:rPr>
        <w:t xml:space="preserve">أنه يجب مراعاة </w:t>
      </w:r>
      <w:r w:rsidR="004D4029" w:rsidRPr="00D57891">
        <w:rPr>
          <w:rtl/>
          <w:lang w:eastAsia="zh-TW"/>
        </w:rPr>
        <w:t>حقوق الإنسان عند تفسير المعاهدات الدولية لمراقبة المخدرات. ورأى المقرر الخاص المعني بحق كل إنسان في التمتع بأعلى مستوى ممكن من الصحة البدنية والعقلية أن</w:t>
      </w:r>
      <w:r>
        <w:rPr>
          <w:rFonts w:hint="cs"/>
          <w:rtl/>
          <w:lang w:eastAsia="zh-TW"/>
        </w:rPr>
        <w:t>ه</w:t>
      </w:r>
      <w:r w:rsidR="004D4029" w:rsidRPr="00D57891">
        <w:rPr>
          <w:rtl/>
          <w:lang w:eastAsia="zh-TW"/>
        </w:rPr>
        <w:t xml:space="preserve"> </w:t>
      </w:r>
      <w:r>
        <w:rPr>
          <w:rFonts w:hint="cs"/>
          <w:rtl/>
          <w:lang w:eastAsia="zh-TW"/>
        </w:rPr>
        <w:t xml:space="preserve">إذا </w:t>
      </w:r>
      <w:r w:rsidR="004D4029" w:rsidRPr="00D57891">
        <w:rPr>
          <w:rtl/>
          <w:lang w:eastAsia="zh-TW"/>
        </w:rPr>
        <w:t>تعارض النظام الدولي لمراقبة المخدرات والقانون الدولي لحقوق الإنسان</w:t>
      </w:r>
      <w:r>
        <w:rPr>
          <w:rFonts w:hint="cs"/>
          <w:rtl/>
          <w:lang w:eastAsia="zh-TW"/>
        </w:rPr>
        <w:t xml:space="preserve">، </w:t>
      </w:r>
      <w:r w:rsidRPr="00D57891">
        <w:rPr>
          <w:rtl/>
          <w:lang w:eastAsia="zh-TW"/>
        </w:rPr>
        <w:t xml:space="preserve">ينبغي أن تكون </w:t>
      </w:r>
      <w:r>
        <w:rPr>
          <w:rFonts w:hint="cs"/>
          <w:rtl/>
          <w:lang w:eastAsia="zh-TW"/>
        </w:rPr>
        <w:t xml:space="preserve">الغلبة </w:t>
      </w:r>
      <w:r w:rsidRPr="00D57891">
        <w:rPr>
          <w:rtl/>
          <w:lang w:eastAsia="zh-TW"/>
        </w:rPr>
        <w:t>للالتزامات المتعلقة بحقوق الإنسان</w:t>
      </w:r>
      <w:r w:rsidR="00C4005D">
        <w:rPr>
          <w:rFonts w:hint="cs"/>
          <w:rtl/>
          <w:lang w:eastAsia="zh-TW"/>
        </w:rPr>
        <w:t xml:space="preserve"> (انظر </w:t>
      </w:r>
      <w:r w:rsidR="00C4005D">
        <w:rPr>
          <w:lang w:val="fr-CH" w:eastAsia="zh-TW"/>
        </w:rPr>
        <w:t>A/65/255</w:t>
      </w:r>
      <w:r w:rsidR="00C4005D">
        <w:rPr>
          <w:rFonts w:hint="cs"/>
          <w:rtl/>
          <w:lang w:eastAsia="zh-TW"/>
        </w:rPr>
        <w:t xml:space="preserve">، الفقرة 10). </w:t>
      </w:r>
    </w:p>
    <w:p w:rsidR="004D4029" w:rsidRPr="00D57891" w:rsidRDefault="000369E3" w:rsidP="000369E3">
      <w:pPr>
        <w:pStyle w:val="HChGA"/>
        <w:rPr>
          <w:rtl/>
          <w:lang w:eastAsia="zh-TW"/>
        </w:rPr>
      </w:pPr>
      <w:r>
        <w:rPr>
          <w:rtl/>
          <w:lang w:eastAsia="zh-TW"/>
        </w:rPr>
        <w:tab/>
      </w:r>
      <w:r w:rsidR="004D4029" w:rsidRPr="00D57891">
        <w:rPr>
          <w:rFonts w:hint="cs"/>
          <w:rtl/>
          <w:lang w:eastAsia="zh-TW"/>
        </w:rPr>
        <w:t>ثانيا</w:t>
      </w:r>
      <w:r>
        <w:rPr>
          <w:rFonts w:hint="cs"/>
          <w:rtl/>
          <w:lang w:eastAsia="zh-TW"/>
        </w:rPr>
        <w:t>ً</w:t>
      </w:r>
      <w:r w:rsidR="004D4029" w:rsidRPr="00D57891">
        <w:rPr>
          <w:rFonts w:hint="cs"/>
          <w:rtl/>
          <w:lang w:eastAsia="zh-TW"/>
        </w:rPr>
        <w:t>-</w:t>
      </w:r>
      <w:r>
        <w:rPr>
          <w:rtl/>
          <w:lang w:eastAsia="zh-TW"/>
        </w:rPr>
        <w:tab/>
      </w:r>
      <w:r w:rsidR="004D4029" w:rsidRPr="00D57891">
        <w:rPr>
          <w:rFonts w:hint="cs"/>
          <w:rtl/>
          <w:lang w:eastAsia="zh-TW"/>
        </w:rPr>
        <w:t>الحق</w:t>
      </w:r>
      <w:r w:rsidR="004D4029" w:rsidRPr="00D57891">
        <w:rPr>
          <w:rtl/>
          <w:lang w:eastAsia="zh-TW"/>
        </w:rPr>
        <w:t xml:space="preserve"> في الصحة</w:t>
      </w:r>
    </w:p>
    <w:p w:rsidR="004D4029" w:rsidRPr="00D57891" w:rsidRDefault="000369E3" w:rsidP="000369E3">
      <w:pPr>
        <w:pStyle w:val="H1GA"/>
        <w:rPr>
          <w:rtl/>
          <w:lang w:eastAsia="zh-TW"/>
        </w:rPr>
      </w:pPr>
      <w:r>
        <w:rPr>
          <w:rFonts w:hint="cs"/>
          <w:rtl/>
        </w:rPr>
        <w:tab/>
      </w:r>
      <w:dir w:val="rtl">
        <w:r>
          <w:rPr>
            <w:rtl/>
            <w:lang w:eastAsia="zh-TW"/>
          </w:rPr>
          <w:t>ألف</w:t>
        </w:r>
        <w:r w:rsidR="004D4029" w:rsidRPr="00D57891">
          <w:rPr>
            <w:rtl/>
            <w:lang w:eastAsia="zh-TW"/>
          </w:rPr>
          <w:t>-</w:t>
        </w:r>
        <w:r>
          <w:rPr>
            <w:rFonts w:hint="cs"/>
            <w:rtl/>
            <w:lang w:eastAsia="zh-TW"/>
          </w:rPr>
          <w:tab/>
        </w:r>
        <w:r w:rsidR="004D4029" w:rsidRPr="00D57891">
          <w:rPr>
            <w:rtl/>
            <w:lang w:eastAsia="zh-TW"/>
          </w:rPr>
          <w:t>الحصول على العلاج</w:t>
        </w:r>
        <w:r w:rsidR="004D4029" w:rsidRPr="00D57891">
          <w:rPr>
            <w:rFonts w:ascii="Arial" w:hAnsi="Arial" w:cs="Arial"/>
          </w:rPr>
          <w:t>‬</w:t>
        </w:r>
        <w:r w:rsidR="004D4029">
          <w:t>‬</w:t>
        </w:r>
        <w:r w:rsidR="004D4029">
          <w:t>‬</w:t>
        </w:r>
        <w:r w:rsidR="00C66BF6">
          <w:t>‬</w:t>
        </w:r>
        <w:r w:rsidR="00943DBA">
          <w:t>‬</w:t>
        </w:r>
      </w:dir>
    </w:p>
    <w:p w:rsidR="004D4029" w:rsidRPr="00D57891" w:rsidRDefault="000369E3" w:rsidP="000369E3">
      <w:pPr>
        <w:pStyle w:val="SingleTxtGA"/>
        <w:rPr>
          <w:rtl/>
          <w:lang w:eastAsia="zh-TW"/>
        </w:rPr>
      </w:pPr>
      <w:r>
        <w:rPr>
          <w:rtl/>
          <w:lang w:eastAsia="zh-TW"/>
        </w:rPr>
        <w:t>٦</w:t>
      </w:r>
      <w:r>
        <w:rPr>
          <w:rFonts w:hint="cs"/>
          <w:rtl/>
          <w:lang w:eastAsia="zh-TW"/>
        </w:rPr>
        <w:t>-</w:t>
      </w:r>
      <w:r>
        <w:rPr>
          <w:rtl/>
          <w:lang w:eastAsia="zh-TW"/>
        </w:rPr>
        <w:tab/>
      </w:r>
      <w:r w:rsidR="004D4029" w:rsidRPr="00D57891">
        <w:rPr>
          <w:rtl/>
          <w:lang w:eastAsia="zh-TW"/>
        </w:rPr>
        <w:t xml:space="preserve">إن الحق في الصحة منصوص عليه في المادة 12 من العهد الدولي الخاص بالحقوق الاقتصادية والاجتماعية </w:t>
      </w:r>
      <w:r w:rsidR="004D4029" w:rsidRPr="00D57891">
        <w:rPr>
          <w:rFonts w:hint="cs"/>
          <w:rtl/>
          <w:lang w:eastAsia="zh-TW"/>
        </w:rPr>
        <w:t>والثقافية.</w:t>
      </w:r>
      <w:r w:rsidR="004D4029" w:rsidRPr="00D57891">
        <w:rPr>
          <w:rtl/>
          <w:lang w:eastAsia="zh-TW"/>
        </w:rPr>
        <w:t xml:space="preserve"> ويت</w:t>
      </w:r>
      <w:r w:rsidR="00C4005D">
        <w:rPr>
          <w:rtl/>
          <w:lang w:eastAsia="zh-TW"/>
        </w:rPr>
        <w:t>عين على الدول، بموجب المادتين 2</w:t>
      </w:r>
      <w:r w:rsidR="004D4029" w:rsidRPr="00D57891">
        <w:rPr>
          <w:rtl/>
          <w:lang w:eastAsia="zh-TW"/>
        </w:rPr>
        <w:t xml:space="preserve">(2) و3 من العهد، إنفاذ الحق في الصحة دون أي تمييز، ويشمل ذلك منح هذا الحق لمتعاطي المخدرات. </w:t>
      </w:r>
    </w:p>
    <w:p w:rsidR="004D4029" w:rsidRPr="00D57891" w:rsidRDefault="000369E3" w:rsidP="000369E3">
      <w:pPr>
        <w:pStyle w:val="SingleTxtGA"/>
        <w:rPr>
          <w:rtl/>
          <w:lang w:eastAsia="zh-TW"/>
        </w:rPr>
      </w:pPr>
      <w:r>
        <w:rPr>
          <w:rtl/>
          <w:lang w:eastAsia="zh-TW"/>
        </w:rPr>
        <w:t>٧</w:t>
      </w:r>
      <w:r>
        <w:rPr>
          <w:rFonts w:hint="cs"/>
          <w:rtl/>
          <w:lang w:eastAsia="zh-TW"/>
        </w:rPr>
        <w:t>-</w:t>
      </w:r>
      <w:r>
        <w:rPr>
          <w:rtl/>
          <w:lang w:eastAsia="zh-TW"/>
        </w:rPr>
        <w:tab/>
      </w:r>
      <w:r w:rsidR="004D4029" w:rsidRPr="00D57891">
        <w:rPr>
          <w:rtl/>
          <w:lang w:eastAsia="zh-TW"/>
        </w:rPr>
        <w:t xml:space="preserve">وشدد المقرر الخاص المعني بالحق في الصحة على </w:t>
      </w:r>
      <w:r>
        <w:rPr>
          <w:rFonts w:hint="cs"/>
          <w:rtl/>
          <w:lang w:eastAsia="zh-TW"/>
        </w:rPr>
        <w:t xml:space="preserve">التمييز </w:t>
      </w:r>
      <w:r w:rsidR="004D4029" w:rsidRPr="00D57891">
        <w:rPr>
          <w:rtl/>
          <w:lang w:eastAsia="zh-TW"/>
        </w:rPr>
        <w:t xml:space="preserve">بين تعاطي المخدرات وإدمانها. فإدمان المخدرات هو اضطراب مزمن وانتكاسي يستلزم علاجاً طبياً يستند إلى نهج بيولوجي </w:t>
      </w:r>
      <w:r w:rsidR="004D4029" w:rsidRPr="00D57891">
        <w:rPr>
          <w:rFonts w:hint="cs"/>
          <w:rtl/>
          <w:lang w:eastAsia="zh-TW"/>
        </w:rPr>
        <w:t>-</w:t>
      </w:r>
      <w:r>
        <w:rPr>
          <w:rFonts w:hint="cs"/>
          <w:rtl/>
          <w:lang w:eastAsia="zh-TW"/>
        </w:rPr>
        <w:t xml:space="preserve"> </w:t>
      </w:r>
      <w:r w:rsidR="004D4029" w:rsidRPr="00D57891">
        <w:rPr>
          <w:rFonts w:hint="cs"/>
          <w:rtl/>
          <w:lang w:eastAsia="zh-TW"/>
        </w:rPr>
        <w:t>نفسي</w:t>
      </w:r>
      <w:r w:rsidR="004D4029" w:rsidRPr="00D57891">
        <w:rPr>
          <w:rtl/>
          <w:lang w:eastAsia="zh-TW"/>
        </w:rPr>
        <w:t xml:space="preserve"> -</w:t>
      </w:r>
      <w:r>
        <w:rPr>
          <w:rFonts w:hint="cs"/>
          <w:rtl/>
          <w:lang w:eastAsia="zh-TW"/>
        </w:rPr>
        <w:t xml:space="preserve"> </w:t>
      </w:r>
      <w:r w:rsidR="004D4029" w:rsidRPr="00D57891">
        <w:rPr>
          <w:rtl/>
          <w:lang w:eastAsia="zh-TW"/>
        </w:rPr>
        <w:t xml:space="preserve">اجتماعي. أما تعاطي المخدرات فليس حالة طبية ولا يؤدي بالضرورة إلى إدمانها. ويملك الأشخاص الذين يتعاطون المخدرات والأشخاص الذين يدمنونها الحق في الصحة </w:t>
      </w:r>
      <w:r w:rsidR="004D4029">
        <w:rPr>
          <w:rFonts w:hint="cs"/>
          <w:rtl/>
          <w:lang w:eastAsia="zh-TW"/>
        </w:rPr>
        <w:t>بنفس القدر</w:t>
      </w:r>
      <w:r w:rsidR="004D4029" w:rsidRPr="00D57891">
        <w:rPr>
          <w:rtl/>
          <w:lang w:eastAsia="zh-TW"/>
        </w:rPr>
        <w:t xml:space="preserve"> الذي يتمتع به غيرهم، ولا يجوز تقييد هذه الحقوق </w:t>
      </w:r>
      <w:r>
        <w:rPr>
          <w:rFonts w:hint="cs"/>
          <w:rtl/>
          <w:lang w:eastAsia="zh-TW"/>
        </w:rPr>
        <w:t xml:space="preserve">إذا </w:t>
      </w:r>
      <w:r w:rsidR="004D4029" w:rsidRPr="00D57891">
        <w:rPr>
          <w:rtl/>
          <w:lang w:eastAsia="zh-TW"/>
        </w:rPr>
        <w:t xml:space="preserve">كان تعاطي المخدرات يشكل جريمة (انظر </w:t>
      </w:r>
      <w:r w:rsidR="004D4029" w:rsidRPr="00D57891">
        <w:rPr>
          <w:lang w:eastAsia="zh-TW"/>
        </w:rPr>
        <w:t>A/65/255</w:t>
      </w:r>
      <w:r w:rsidR="004D4029" w:rsidRPr="00D57891">
        <w:rPr>
          <w:rtl/>
          <w:lang w:eastAsia="zh-TW"/>
        </w:rPr>
        <w:t xml:space="preserve">، الفقرة 7). وأشار المقرر الخاص إلى أن نفس المعايير الأخلاقية المتعلقة بالعلاج تنطبق على علاج الإدمان على المخدرات وكذلك على الشروط الأخرى المتصلة بالصحة، بما في ذلك ما تعلق منها بحق المريض في اتخاذ القرارات بشأن العلاج ورفض الخضوع للعلاج. </w:t>
      </w:r>
    </w:p>
    <w:p w:rsidR="004D4029" w:rsidRPr="00D57891" w:rsidRDefault="000369E3" w:rsidP="009F465E">
      <w:pPr>
        <w:pStyle w:val="SingleTxtGA"/>
        <w:rPr>
          <w:rtl/>
          <w:lang w:eastAsia="zh-TW"/>
        </w:rPr>
      </w:pPr>
      <w:r>
        <w:rPr>
          <w:rtl/>
          <w:lang w:eastAsia="zh-TW"/>
        </w:rPr>
        <w:t>٨</w:t>
      </w:r>
      <w:r>
        <w:rPr>
          <w:rFonts w:hint="cs"/>
          <w:rtl/>
          <w:lang w:eastAsia="zh-TW"/>
        </w:rPr>
        <w:t>-</w:t>
      </w:r>
      <w:r>
        <w:rPr>
          <w:rFonts w:hint="cs"/>
          <w:rtl/>
          <w:lang w:eastAsia="zh-TW"/>
        </w:rPr>
        <w:tab/>
      </w:r>
      <w:r w:rsidR="004D4029" w:rsidRPr="00D57891">
        <w:rPr>
          <w:rtl/>
          <w:lang w:eastAsia="zh-TW"/>
        </w:rPr>
        <w:t xml:space="preserve">وشدد المقرر الخاص على واجب موظفي الرعاية الصحية في توفير العلاج دون تمييز وعدم ممارسة الوصم أو انتهاك حقوق الإنسان المكفولة للمريض. ومع ذلك، قد </w:t>
      </w:r>
      <w:r w:rsidR="004D4029">
        <w:rPr>
          <w:rFonts w:hint="cs"/>
          <w:rtl/>
          <w:lang w:eastAsia="zh-TW"/>
        </w:rPr>
        <w:t>يتعرض</w:t>
      </w:r>
      <w:r w:rsidR="004D4029" w:rsidRPr="00D57891">
        <w:rPr>
          <w:rtl/>
          <w:lang w:eastAsia="zh-TW"/>
        </w:rPr>
        <w:t xml:space="preserve"> متعاطو المخدرات للتمييز في أوساط الرعاية الصحية. فالأشخاص الذين يتعاطون المخدرات عن طريق الحقن، على سبيل المثال، </w:t>
      </w:r>
      <w:r w:rsidR="004D4029" w:rsidRPr="00D57891">
        <w:rPr>
          <w:rFonts w:hint="cs"/>
          <w:rtl/>
          <w:lang w:eastAsia="zh-TW"/>
        </w:rPr>
        <w:t>قد تكون</w:t>
      </w:r>
      <w:r w:rsidR="004D4029" w:rsidRPr="00D57891">
        <w:rPr>
          <w:rtl/>
          <w:lang w:eastAsia="zh-TW"/>
        </w:rPr>
        <w:t xml:space="preserve"> فرصهم في الحصول على الرعاية الصحية أضعف في بعض البلدان، بما في ذلك العلاج من فيروس نقص المناعة البشرية/الإيدز. وربما يعزى ذلك إلى القيود التي يفرضها مقدمو </w:t>
      </w:r>
      <w:r w:rsidR="004D4029">
        <w:rPr>
          <w:rFonts w:hint="cs"/>
          <w:rtl/>
          <w:lang w:eastAsia="zh-TW"/>
        </w:rPr>
        <w:t xml:space="preserve">خدمات </w:t>
      </w:r>
      <w:r w:rsidR="004D4029">
        <w:rPr>
          <w:rtl/>
          <w:lang w:eastAsia="zh-TW"/>
        </w:rPr>
        <w:t>الرعاية الصحية</w:t>
      </w:r>
      <w:r w:rsidR="004D4029">
        <w:rPr>
          <w:rFonts w:hint="cs"/>
          <w:rtl/>
          <w:lang w:eastAsia="zh-TW"/>
        </w:rPr>
        <w:t xml:space="preserve">، دون مبرر، </w:t>
      </w:r>
      <w:r w:rsidR="004D4029" w:rsidRPr="00D57891">
        <w:rPr>
          <w:rtl/>
          <w:lang w:eastAsia="zh-TW"/>
        </w:rPr>
        <w:t xml:space="preserve">على </w:t>
      </w:r>
      <w:r w:rsidR="004D4029">
        <w:rPr>
          <w:rFonts w:hint="cs"/>
          <w:rtl/>
          <w:lang w:eastAsia="zh-TW"/>
        </w:rPr>
        <w:t>استفادة هذه الفئة من</w:t>
      </w:r>
      <w:r w:rsidR="004D4029" w:rsidRPr="00D57891">
        <w:rPr>
          <w:rtl/>
          <w:lang w:eastAsia="zh-TW"/>
        </w:rPr>
        <w:t xml:space="preserve"> </w:t>
      </w:r>
      <w:r w:rsidR="004D4029" w:rsidRPr="00D57891">
        <w:rPr>
          <w:rtl/>
          <w:lang w:eastAsia="zh-TW"/>
        </w:rPr>
        <w:lastRenderedPageBreak/>
        <w:t>الرعاية</w:t>
      </w:r>
      <w:r w:rsidR="004A64ED">
        <w:rPr>
          <w:rStyle w:val="FootnoteReference"/>
          <w:rFonts w:ascii="Traditional Arabic" w:hAnsi="Traditional Arabic"/>
          <w:sz w:val="32"/>
          <w:szCs w:val="32"/>
          <w:rtl/>
          <w:lang w:eastAsia="zh-TW"/>
        </w:rPr>
        <w:t>(</w:t>
      </w:r>
      <w:r w:rsidR="00A66EB3" w:rsidRPr="00D57891">
        <w:rPr>
          <w:rStyle w:val="FootnoteReference"/>
          <w:rFonts w:ascii="Traditional Arabic" w:hAnsi="Traditional Arabic"/>
          <w:sz w:val="32"/>
          <w:szCs w:val="32"/>
          <w:rtl/>
          <w:lang w:eastAsia="zh-TW"/>
        </w:rPr>
        <w:footnoteReference w:id="4"/>
      </w:r>
      <w:r w:rsidR="004A64ED">
        <w:rPr>
          <w:rStyle w:val="FootnoteReference"/>
          <w:rFonts w:ascii="Traditional Arabic" w:hAnsi="Traditional Arabic"/>
          <w:sz w:val="32"/>
          <w:szCs w:val="32"/>
          <w:rtl/>
          <w:lang w:eastAsia="zh-TW"/>
        </w:rPr>
        <w:t>)</w:t>
      </w:r>
      <w:r w:rsidR="004A64ED">
        <w:rPr>
          <w:rFonts w:hint="cs"/>
          <w:rtl/>
          <w:lang w:eastAsia="zh-TW"/>
        </w:rPr>
        <w:t>.</w:t>
      </w:r>
      <w:r w:rsidR="004D4029" w:rsidRPr="00D57891">
        <w:rPr>
          <w:rtl/>
          <w:lang w:eastAsia="zh-TW"/>
        </w:rPr>
        <w:t xml:space="preserve"> وأشار المقرر الخاص إلى أن مقدمي </w:t>
      </w:r>
      <w:r w:rsidR="004D4029">
        <w:rPr>
          <w:rFonts w:hint="cs"/>
          <w:rtl/>
          <w:lang w:eastAsia="zh-TW"/>
        </w:rPr>
        <w:t xml:space="preserve">خدمات </w:t>
      </w:r>
      <w:r w:rsidR="004D4029" w:rsidRPr="00D57891">
        <w:rPr>
          <w:rtl/>
          <w:lang w:eastAsia="zh-TW"/>
        </w:rPr>
        <w:t xml:space="preserve">الرعاية قد </w:t>
      </w:r>
      <w:r w:rsidR="004D4029">
        <w:rPr>
          <w:rFonts w:hint="cs"/>
          <w:rtl/>
          <w:lang w:eastAsia="zh-TW"/>
        </w:rPr>
        <w:t>تنقصهم ا</w:t>
      </w:r>
      <w:r w:rsidR="004D4029" w:rsidRPr="00D57891">
        <w:rPr>
          <w:rtl/>
          <w:lang w:eastAsia="zh-TW"/>
        </w:rPr>
        <w:t xml:space="preserve">لمعلومات أو التدريب </w:t>
      </w:r>
      <w:r w:rsidR="004D4029">
        <w:rPr>
          <w:rFonts w:hint="cs"/>
          <w:rtl/>
          <w:lang w:eastAsia="zh-TW"/>
        </w:rPr>
        <w:t xml:space="preserve">الكافي </w:t>
      </w:r>
      <w:r w:rsidR="004D4029" w:rsidRPr="00D57891">
        <w:rPr>
          <w:rtl/>
          <w:lang w:eastAsia="zh-TW"/>
        </w:rPr>
        <w:t xml:space="preserve">بشأن تدابير الحد من الضرر (انظر </w:t>
      </w:r>
      <w:r w:rsidR="004D4029" w:rsidRPr="00D57891">
        <w:rPr>
          <w:lang w:eastAsia="zh-TW"/>
        </w:rPr>
        <w:t>A/65/255</w:t>
      </w:r>
      <w:r w:rsidR="004D4029" w:rsidRPr="00D57891">
        <w:rPr>
          <w:rtl/>
          <w:lang w:eastAsia="zh-TW"/>
        </w:rPr>
        <w:t>، الفقرة 46). وقد أوصت منظمة الصحة العالمية بتدريب العاملين الصحيين بشأن القضايا المتعلقة بالوصم وعدم التمييز من أجل تحقيق نتائج صحية أفضل</w:t>
      </w:r>
      <w:r w:rsidR="004A64ED">
        <w:rPr>
          <w:rStyle w:val="FootnoteReference"/>
          <w:rFonts w:ascii="Traditional Arabic" w:hAnsi="Traditional Arabic"/>
          <w:sz w:val="32"/>
          <w:szCs w:val="32"/>
          <w:rtl/>
          <w:lang w:eastAsia="zh-TW"/>
        </w:rPr>
        <w:t>(</w:t>
      </w:r>
      <w:r w:rsidR="00A66EB3" w:rsidRPr="00D57891">
        <w:rPr>
          <w:rStyle w:val="FootnoteReference"/>
          <w:rFonts w:ascii="Traditional Arabic" w:hAnsi="Traditional Arabic"/>
          <w:sz w:val="32"/>
          <w:szCs w:val="32"/>
          <w:rtl/>
          <w:lang w:eastAsia="zh-TW"/>
        </w:rPr>
        <w:footnoteReference w:id="5"/>
      </w:r>
      <w:r w:rsidR="004A64ED">
        <w:rPr>
          <w:rStyle w:val="FootnoteReference"/>
          <w:rFonts w:ascii="Traditional Arabic" w:hAnsi="Traditional Arabic"/>
          <w:sz w:val="32"/>
          <w:szCs w:val="32"/>
          <w:rtl/>
          <w:lang w:eastAsia="zh-TW"/>
        </w:rPr>
        <w:t>)</w:t>
      </w:r>
      <w:r w:rsidR="009F465E">
        <w:rPr>
          <w:rFonts w:hint="cs"/>
          <w:rtl/>
          <w:lang w:eastAsia="zh-TW"/>
        </w:rPr>
        <w:t xml:space="preserve">. </w:t>
      </w:r>
    </w:p>
    <w:p w:rsidR="004D4029" w:rsidRPr="00D57891" w:rsidRDefault="000369E3" w:rsidP="000369E3">
      <w:pPr>
        <w:pStyle w:val="SingleTxtGA"/>
        <w:rPr>
          <w:rtl/>
          <w:lang w:eastAsia="zh-TW"/>
        </w:rPr>
      </w:pPr>
      <w:r>
        <w:rPr>
          <w:rtl/>
          <w:lang w:eastAsia="zh-TW"/>
        </w:rPr>
        <w:t>٩</w:t>
      </w:r>
      <w:r>
        <w:rPr>
          <w:rFonts w:hint="cs"/>
          <w:rtl/>
          <w:lang w:eastAsia="zh-TW"/>
        </w:rPr>
        <w:t>-</w:t>
      </w:r>
      <w:r>
        <w:rPr>
          <w:rFonts w:hint="cs"/>
          <w:rtl/>
          <w:lang w:eastAsia="zh-TW"/>
        </w:rPr>
        <w:tab/>
      </w:r>
      <w:r w:rsidR="004D4029">
        <w:rPr>
          <w:rFonts w:hint="cs"/>
          <w:rtl/>
          <w:lang w:eastAsia="zh-TW"/>
        </w:rPr>
        <w:t xml:space="preserve">وقد حدث أن حرم أشخاص، في </w:t>
      </w:r>
      <w:r>
        <w:rPr>
          <w:rFonts w:hint="cs"/>
          <w:rtl/>
          <w:lang w:eastAsia="zh-TW"/>
        </w:rPr>
        <w:t>بعض الأحيان</w:t>
      </w:r>
      <w:r w:rsidR="004D4029">
        <w:rPr>
          <w:rFonts w:hint="cs"/>
          <w:rtl/>
          <w:lang w:eastAsia="zh-TW"/>
        </w:rPr>
        <w:t>،</w:t>
      </w:r>
      <w:r w:rsidR="004D4029" w:rsidRPr="00D57891">
        <w:rPr>
          <w:rtl/>
          <w:lang w:eastAsia="zh-TW"/>
        </w:rPr>
        <w:t xml:space="preserve"> من الحصول على العلاج الطبي لأسباب </w:t>
      </w:r>
      <w:r w:rsidR="004D4029">
        <w:rPr>
          <w:rFonts w:hint="cs"/>
          <w:rtl/>
          <w:lang w:eastAsia="zh-TW"/>
        </w:rPr>
        <w:t xml:space="preserve">تعود إلى </w:t>
      </w:r>
      <w:r w:rsidR="004D4029" w:rsidRPr="00D57891">
        <w:rPr>
          <w:rtl/>
          <w:lang w:eastAsia="zh-TW"/>
        </w:rPr>
        <w:t xml:space="preserve">تعاطيهم المخدرات في الماضي أو </w:t>
      </w:r>
      <w:r w:rsidR="004D4029">
        <w:rPr>
          <w:rFonts w:hint="cs"/>
          <w:rtl/>
          <w:lang w:eastAsia="zh-TW"/>
        </w:rPr>
        <w:t xml:space="preserve">استمرارهم </w:t>
      </w:r>
      <w:r w:rsidR="004D4029" w:rsidRPr="00D57891">
        <w:rPr>
          <w:rtl/>
          <w:lang w:eastAsia="zh-TW"/>
        </w:rPr>
        <w:t xml:space="preserve">في </w:t>
      </w:r>
      <w:r>
        <w:rPr>
          <w:rFonts w:hint="cs"/>
          <w:rtl/>
          <w:lang w:eastAsia="zh-TW"/>
        </w:rPr>
        <w:t>تعاطيها</w:t>
      </w:r>
      <w:r w:rsidR="004D4029" w:rsidRPr="00D57891">
        <w:rPr>
          <w:rtl/>
          <w:lang w:eastAsia="zh-TW"/>
        </w:rPr>
        <w:t xml:space="preserve">، في حين لا يوجد ما </w:t>
      </w:r>
      <w:r w:rsidR="004D4029">
        <w:rPr>
          <w:rtl/>
          <w:lang w:eastAsia="zh-TW"/>
        </w:rPr>
        <w:t xml:space="preserve">يبرر الحرمان من العلاج. </w:t>
      </w:r>
      <w:r w:rsidR="004D4029">
        <w:rPr>
          <w:rFonts w:hint="cs"/>
          <w:rtl/>
          <w:lang w:eastAsia="zh-TW"/>
        </w:rPr>
        <w:t>وجاء هذا الحرمان على</w:t>
      </w:r>
      <w:r w:rsidR="004D4029" w:rsidRPr="00D57891">
        <w:rPr>
          <w:rtl/>
          <w:lang w:eastAsia="zh-TW"/>
        </w:rPr>
        <w:t xml:space="preserve"> </w:t>
      </w:r>
      <w:r w:rsidR="004D4029" w:rsidRPr="00946020">
        <w:rPr>
          <w:rtl/>
          <w:lang w:eastAsia="zh-TW"/>
        </w:rPr>
        <w:t xml:space="preserve">أساس افتراض منطقي مفاده </w:t>
      </w:r>
      <w:r w:rsidR="004D4029">
        <w:rPr>
          <w:rFonts w:hint="cs"/>
          <w:rtl/>
          <w:lang w:eastAsia="zh-TW"/>
        </w:rPr>
        <w:t>أن</w:t>
      </w:r>
      <w:r w:rsidR="004D4029" w:rsidRPr="00D57891">
        <w:rPr>
          <w:rtl/>
          <w:lang w:eastAsia="zh-TW"/>
        </w:rPr>
        <w:t xml:space="preserve"> تعاطي الشخص للمخدرات </w:t>
      </w:r>
      <w:r w:rsidR="004D4029">
        <w:rPr>
          <w:rFonts w:hint="cs"/>
          <w:rtl/>
          <w:lang w:eastAsia="zh-TW"/>
        </w:rPr>
        <w:t>يسلبه القدرة</w:t>
      </w:r>
      <w:r w:rsidR="004D4029" w:rsidRPr="00D57891">
        <w:rPr>
          <w:rtl/>
          <w:lang w:eastAsia="zh-TW"/>
        </w:rPr>
        <w:t xml:space="preserve"> على الالتزام </w:t>
      </w:r>
      <w:r w:rsidR="004D4029">
        <w:rPr>
          <w:rFonts w:hint="cs"/>
          <w:rtl/>
          <w:lang w:eastAsia="zh-TW"/>
        </w:rPr>
        <w:t>بالعلاج</w:t>
      </w:r>
      <w:r w:rsidR="004D4029" w:rsidRPr="00D57891">
        <w:rPr>
          <w:rtl/>
          <w:lang w:eastAsia="zh-TW"/>
        </w:rPr>
        <w:t xml:space="preserve">. ويشير المقرر الخاص إلى أن التزام متعاطي المخدرات بالعلاج الطبي </w:t>
      </w:r>
      <w:r w:rsidR="004D4029">
        <w:rPr>
          <w:rFonts w:hint="cs"/>
          <w:rtl/>
          <w:lang w:eastAsia="zh-TW"/>
        </w:rPr>
        <w:t>لا يكون</w:t>
      </w:r>
      <w:r w:rsidR="004D4029">
        <w:rPr>
          <w:rtl/>
          <w:lang w:eastAsia="zh-TW"/>
        </w:rPr>
        <w:t xml:space="preserve"> بالضرورة أضعف</w:t>
      </w:r>
      <w:r w:rsidR="004D4029" w:rsidRPr="00D57891">
        <w:rPr>
          <w:rtl/>
          <w:lang w:eastAsia="zh-TW"/>
        </w:rPr>
        <w:t xml:space="preserve">، وينبغي أن يقيم </w:t>
      </w:r>
      <w:r w:rsidR="004D4029">
        <w:rPr>
          <w:rFonts w:hint="cs"/>
          <w:rtl/>
          <w:lang w:eastAsia="zh-TW"/>
        </w:rPr>
        <w:t>هذا</w:t>
      </w:r>
      <w:r w:rsidR="004D4029" w:rsidRPr="00D57891">
        <w:rPr>
          <w:rtl/>
          <w:lang w:eastAsia="zh-TW"/>
        </w:rPr>
        <w:t xml:space="preserve"> الالتزام على أساس فردي (انظر </w:t>
      </w:r>
      <w:r w:rsidR="004D4029" w:rsidRPr="00D57891">
        <w:rPr>
          <w:lang w:eastAsia="zh-TW"/>
        </w:rPr>
        <w:t>A/65/255</w:t>
      </w:r>
      <w:r w:rsidR="004D4029" w:rsidRPr="00D57891">
        <w:rPr>
          <w:rtl/>
          <w:lang w:eastAsia="zh-TW"/>
        </w:rPr>
        <w:t xml:space="preserve">، الفقرتان 23-24). </w:t>
      </w:r>
    </w:p>
    <w:p w:rsidR="004D4029" w:rsidRPr="00D57891" w:rsidRDefault="000369E3" w:rsidP="00A66EB3">
      <w:pPr>
        <w:pStyle w:val="SingleTxtGA"/>
        <w:rPr>
          <w:rtl/>
          <w:lang w:eastAsia="zh-TW"/>
        </w:rPr>
      </w:pPr>
      <w:r>
        <w:rPr>
          <w:rtl/>
          <w:lang w:eastAsia="zh-TW"/>
        </w:rPr>
        <w:t>١٠</w:t>
      </w:r>
      <w:r>
        <w:rPr>
          <w:rFonts w:hint="cs"/>
          <w:rtl/>
          <w:lang w:eastAsia="zh-TW"/>
        </w:rPr>
        <w:t>-</w:t>
      </w:r>
      <w:r>
        <w:rPr>
          <w:rFonts w:hint="cs"/>
          <w:rtl/>
          <w:lang w:eastAsia="zh-TW"/>
        </w:rPr>
        <w:tab/>
      </w:r>
      <w:r w:rsidR="004D4029">
        <w:rPr>
          <w:rFonts w:hint="cs"/>
          <w:rtl/>
          <w:lang w:eastAsia="zh-TW"/>
        </w:rPr>
        <w:t>ول</w:t>
      </w:r>
      <w:r w:rsidR="004D4029" w:rsidRPr="00D57891">
        <w:rPr>
          <w:rtl/>
          <w:lang w:eastAsia="zh-TW"/>
        </w:rPr>
        <w:t xml:space="preserve">برامج </w:t>
      </w:r>
      <w:r>
        <w:rPr>
          <w:rFonts w:hint="cs"/>
          <w:rtl/>
          <w:lang w:eastAsia="zh-TW"/>
        </w:rPr>
        <w:t>التواصل و</w:t>
      </w:r>
      <w:r w:rsidR="004D4029" w:rsidRPr="00D57891">
        <w:rPr>
          <w:rtl/>
          <w:lang w:eastAsia="zh-TW"/>
        </w:rPr>
        <w:t xml:space="preserve">التوعية </w:t>
      </w:r>
      <w:r w:rsidR="004D4029">
        <w:rPr>
          <w:rFonts w:hint="cs"/>
          <w:rtl/>
          <w:lang w:eastAsia="zh-TW"/>
        </w:rPr>
        <w:t xml:space="preserve">فائدة </w:t>
      </w:r>
      <w:r w:rsidR="004D4029" w:rsidRPr="00D57891">
        <w:rPr>
          <w:rtl/>
          <w:lang w:eastAsia="zh-TW"/>
        </w:rPr>
        <w:t xml:space="preserve">في توفير المعلومات وخدمات الإحالة لمتعاطي </w:t>
      </w:r>
      <w:r w:rsidR="004D4029" w:rsidRPr="00D57891">
        <w:rPr>
          <w:rFonts w:hint="cs"/>
          <w:rtl/>
          <w:lang w:eastAsia="zh-TW"/>
        </w:rPr>
        <w:t xml:space="preserve">المخدرات </w:t>
      </w:r>
      <w:r w:rsidR="004D4029">
        <w:rPr>
          <w:rFonts w:hint="cs"/>
          <w:rtl/>
          <w:lang w:eastAsia="zh-TW"/>
        </w:rPr>
        <w:t>من أجل ا</w:t>
      </w:r>
      <w:r w:rsidR="004D4029" w:rsidRPr="00D57891">
        <w:rPr>
          <w:rtl/>
          <w:lang w:eastAsia="zh-TW"/>
        </w:rPr>
        <w:t xml:space="preserve">لحصول على الرعاية الصحية في </w:t>
      </w:r>
      <w:r w:rsidR="004D4029">
        <w:rPr>
          <w:rFonts w:hint="cs"/>
          <w:rtl/>
          <w:lang w:eastAsia="zh-TW"/>
        </w:rPr>
        <w:t xml:space="preserve">إطار </w:t>
      </w:r>
      <w:r w:rsidR="004D4029" w:rsidRPr="00D57891">
        <w:rPr>
          <w:rtl/>
          <w:lang w:eastAsia="zh-TW"/>
        </w:rPr>
        <w:t xml:space="preserve">المجتمع المحلي. ومن شأن المعلومات والبرامج التثقيفية أن تقلل إلى أدنى حد من </w:t>
      </w:r>
      <w:r w:rsidR="004D4029">
        <w:rPr>
          <w:rFonts w:hint="cs"/>
          <w:rtl/>
          <w:lang w:eastAsia="zh-TW"/>
        </w:rPr>
        <w:t>الأضرار التي ت</w:t>
      </w:r>
      <w:r w:rsidR="004D4029" w:rsidRPr="00D57891">
        <w:rPr>
          <w:rtl/>
          <w:lang w:eastAsia="zh-TW"/>
        </w:rPr>
        <w:t>لحق بمتعاطي المخدرات، وتشجع مدمنيها على طلب العلاج</w:t>
      </w:r>
      <w:r w:rsidR="004A64ED">
        <w:rPr>
          <w:rStyle w:val="FootnoteReference"/>
          <w:rFonts w:ascii="Traditional Arabic" w:hAnsi="Traditional Arabic"/>
          <w:sz w:val="32"/>
          <w:szCs w:val="32"/>
          <w:rtl/>
          <w:lang w:eastAsia="zh-TW"/>
        </w:rPr>
        <w:t>(</w:t>
      </w:r>
      <w:r w:rsidR="00A66EB3" w:rsidRPr="00D57891">
        <w:rPr>
          <w:rStyle w:val="FootnoteReference"/>
          <w:rFonts w:ascii="Traditional Arabic" w:hAnsi="Traditional Arabic"/>
          <w:sz w:val="32"/>
          <w:szCs w:val="32"/>
          <w:rtl/>
          <w:lang w:eastAsia="zh-TW"/>
        </w:rPr>
        <w:footnoteReference w:id="6"/>
      </w:r>
      <w:r w:rsidR="004A64ED">
        <w:rPr>
          <w:rStyle w:val="FootnoteReference"/>
          <w:rFonts w:ascii="Traditional Arabic" w:hAnsi="Traditional Arabic"/>
          <w:sz w:val="32"/>
          <w:szCs w:val="32"/>
          <w:rtl/>
          <w:lang w:eastAsia="zh-TW"/>
        </w:rPr>
        <w:t>)</w:t>
      </w:r>
      <w:r w:rsidR="00A66EB3">
        <w:rPr>
          <w:rFonts w:hint="cs"/>
          <w:rtl/>
          <w:lang w:eastAsia="zh-TW"/>
        </w:rPr>
        <w:t xml:space="preserve">. </w:t>
      </w:r>
    </w:p>
    <w:p w:rsidR="004D4029" w:rsidRPr="00D57891" w:rsidRDefault="000369E3" w:rsidP="000369E3">
      <w:pPr>
        <w:pStyle w:val="H1GA"/>
        <w:rPr>
          <w:rtl/>
          <w:lang w:eastAsia="zh-TW"/>
        </w:rPr>
      </w:pPr>
      <w:r>
        <w:rPr>
          <w:rFonts w:hint="cs"/>
          <w:rtl/>
          <w:lang w:eastAsia="zh-TW"/>
        </w:rPr>
        <w:tab/>
      </w:r>
      <w:r w:rsidR="004D4029" w:rsidRPr="00D57891">
        <w:rPr>
          <w:rFonts w:hint="cs"/>
          <w:rtl/>
          <w:lang w:eastAsia="zh-TW"/>
        </w:rPr>
        <w:t>باء-</w:t>
      </w:r>
      <w:r>
        <w:rPr>
          <w:rtl/>
          <w:lang w:eastAsia="zh-TW"/>
        </w:rPr>
        <w:tab/>
      </w:r>
      <w:r w:rsidR="004D4029">
        <w:rPr>
          <w:rFonts w:hint="cs"/>
          <w:rtl/>
          <w:lang w:eastAsia="zh-TW"/>
        </w:rPr>
        <w:t>الحد من</w:t>
      </w:r>
      <w:r w:rsidR="004D4029" w:rsidRPr="00D57891">
        <w:rPr>
          <w:rtl/>
          <w:lang w:eastAsia="zh-TW"/>
        </w:rPr>
        <w:t xml:space="preserve"> الضرر</w:t>
      </w:r>
    </w:p>
    <w:p w:rsidR="004D4029" w:rsidRPr="00D57891" w:rsidRDefault="000369E3" w:rsidP="00A66EB3">
      <w:pPr>
        <w:pStyle w:val="SingleTxtGA"/>
        <w:rPr>
          <w:rtl/>
          <w:lang w:eastAsia="zh-TW"/>
        </w:rPr>
      </w:pPr>
      <w:r>
        <w:rPr>
          <w:rtl/>
          <w:lang w:eastAsia="zh-TW"/>
        </w:rPr>
        <w:t>١١</w:t>
      </w:r>
      <w:r>
        <w:rPr>
          <w:rFonts w:hint="cs"/>
          <w:rtl/>
          <w:lang w:eastAsia="zh-TW"/>
        </w:rPr>
        <w:t>-</w:t>
      </w:r>
      <w:r>
        <w:rPr>
          <w:rtl/>
          <w:lang w:eastAsia="zh-TW"/>
        </w:rPr>
        <w:tab/>
      </w:r>
      <w:r w:rsidR="004D4029" w:rsidRPr="00D57891">
        <w:rPr>
          <w:rtl/>
          <w:lang w:eastAsia="zh-TW"/>
        </w:rPr>
        <w:t xml:space="preserve">تهدف تدخلات </w:t>
      </w:r>
      <w:r w:rsidR="004D4029">
        <w:rPr>
          <w:rFonts w:hint="cs"/>
          <w:rtl/>
          <w:lang w:eastAsia="zh-TW"/>
        </w:rPr>
        <w:t>الحد من</w:t>
      </w:r>
      <w:r w:rsidR="004D4029" w:rsidRPr="00D57891">
        <w:rPr>
          <w:rtl/>
          <w:lang w:eastAsia="zh-TW"/>
        </w:rPr>
        <w:t xml:space="preserve"> الضرر إلى </w:t>
      </w:r>
      <w:r w:rsidR="004D4029">
        <w:rPr>
          <w:rFonts w:hint="cs"/>
          <w:rtl/>
          <w:lang w:eastAsia="zh-TW"/>
        </w:rPr>
        <w:t>تقليص الأضرار الناجمة عن ا</w:t>
      </w:r>
      <w:r w:rsidR="004D4029" w:rsidRPr="00D57891">
        <w:rPr>
          <w:rtl/>
          <w:lang w:eastAsia="zh-TW"/>
        </w:rPr>
        <w:t xml:space="preserve">ستخدام المؤثرات العقلية، دون أن تثني الشخص عن تعاطيها بالضرورة. وهي تشمل برامج توفير الإبر والمحاقن والمداواة </w:t>
      </w:r>
      <w:r>
        <w:rPr>
          <w:rFonts w:hint="cs"/>
          <w:rtl/>
          <w:lang w:eastAsia="zh-TW"/>
        </w:rPr>
        <w:t xml:space="preserve">ووصف الأدوية البديلة </w:t>
      </w:r>
      <w:r w:rsidR="004D4029" w:rsidRPr="00D57891">
        <w:rPr>
          <w:rtl/>
          <w:lang w:eastAsia="zh-TW"/>
        </w:rPr>
        <w:t>وتأمين أماكن لاستهلاك المخدرات، وتشجيع تعاطي المخدرات بطرق غير الحقن</w:t>
      </w:r>
      <w:r>
        <w:rPr>
          <w:rFonts w:hint="cs"/>
          <w:rtl/>
          <w:lang w:eastAsia="zh-TW"/>
        </w:rPr>
        <w:t>،</w:t>
      </w:r>
      <w:r w:rsidR="004D4029" w:rsidRPr="00D57891">
        <w:rPr>
          <w:rtl/>
          <w:lang w:eastAsia="zh-TW"/>
        </w:rPr>
        <w:t xml:space="preserve"> وممارسات الوقاية من الجرعة المفرطة، وبرامج التوعية </w:t>
      </w:r>
      <w:r>
        <w:rPr>
          <w:rFonts w:hint="cs"/>
          <w:rtl/>
          <w:lang w:eastAsia="zh-TW"/>
        </w:rPr>
        <w:t>و</w:t>
      </w:r>
      <w:r w:rsidR="004D4029" w:rsidRPr="00D57891">
        <w:rPr>
          <w:rtl/>
          <w:lang w:eastAsia="zh-TW"/>
        </w:rPr>
        <w:t xml:space="preserve">التثقيف (انظر </w:t>
      </w:r>
      <w:r w:rsidR="004D4029" w:rsidRPr="00D57891">
        <w:rPr>
          <w:lang w:eastAsia="zh-TW"/>
        </w:rPr>
        <w:t>A/65/255</w:t>
      </w:r>
      <w:r w:rsidR="004D4029" w:rsidRPr="00D57891">
        <w:rPr>
          <w:rtl/>
          <w:lang w:eastAsia="zh-TW"/>
        </w:rPr>
        <w:t>، الفقرة 50). ويعد الأشخاص الذين يتعاطون المخدرات عن طريق الحقن أكثر عرضة بكثير لخطر الإصابة بفيروس نقص المناعة البشرية والتهاب الكبد الوبائي باء وجيم</w:t>
      </w:r>
      <w:r w:rsidR="004A64ED">
        <w:rPr>
          <w:rStyle w:val="FootnoteReference"/>
          <w:rFonts w:ascii="Traditional Arabic" w:hAnsi="Traditional Arabic"/>
          <w:sz w:val="32"/>
          <w:szCs w:val="32"/>
          <w:rtl/>
          <w:lang w:eastAsia="zh-TW"/>
        </w:rPr>
        <w:t>(</w:t>
      </w:r>
      <w:r w:rsidR="00A66EB3" w:rsidRPr="00D57891">
        <w:rPr>
          <w:rStyle w:val="FootnoteReference"/>
          <w:rFonts w:ascii="Traditional Arabic" w:hAnsi="Traditional Arabic"/>
          <w:sz w:val="32"/>
          <w:szCs w:val="32"/>
          <w:rtl/>
          <w:lang w:eastAsia="zh-TW"/>
        </w:rPr>
        <w:footnoteReference w:id="7"/>
      </w:r>
      <w:r w:rsidR="004A64ED">
        <w:rPr>
          <w:rStyle w:val="FootnoteReference"/>
          <w:rFonts w:ascii="Traditional Arabic" w:hAnsi="Traditional Arabic"/>
          <w:sz w:val="32"/>
          <w:szCs w:val="32"/>
          <w:rtl/>
          <w:lang w:eastAsia="zh-TW"/>
        </w:rPr>
        <w:t>)</w:t>
      </w:r>
      <w:r w:rsidR="009F465E">
        <w:rPr>
          <w:rFonts w:hint="cs"/>
          <w:rtl/>
          <w:lang w:eastAsia="zh-TW"/>
        </w:rPr>
        <w:t>،</w:t>
      </w:r>
      <w:r w:rsidR="00A66EB3">
        <w:rPr>
          <w:rtl/>
          <w:lang w:eastAsia="zh-TW"/>
        </w:rPr>
        <w:t xml:space="preserve"> والسل</w:t>
      </w:r>
      <w:r w:rsidR="004A64ED">
        <w:rPr>
          <w:rStyle w:val="FootnoteReference"/>
          <w:rFonts w:ascii="Traditional Arabic" w:hAnsi="Traditional Arabic"/>
          <w:sz w:val="32"/>
          <w:szCs w:val="32"/>
          <w:rtl/>
          <w:lang w:eastAsia="zh-TW"/>
        </w:rPr>
        <w:t>(</w:t>
      </w:r>
      <w:r w:rsidR="00A66EB3" w:rsidRPr="00D57891">
        <w:rPr>
          <w:rStyle w:val="FootnoteReference"/>
          <w:rFonts w:ascii="Traditional Arabic" w:hAnsi="Traditional Arabic"/>
          <w:sz w:val="32"/>
          <w:szCs w:val="32"/>
          <w:rtl/>
          <w:lang w:eastAsia="zh-TW"/>
        </w:rPr>
        <w:footnoteReference w:id="8"/>
      </w:r>
      <w:r w:rsidR="004A64ED">
        <w:rPr>
          <w:rStyle w:val="FootnoteReference"/>
          <w:rFonts w:ascii="Traditional Arabic" w:hAnsi="Traditional Arabic"/>
          <w:sz w:val="32"/>
          <w:szCs w:val="32"/>
          <w:rtl/>
          <w:lang w:eastAsia="zh-TW"/>
        </w:rPr>
        <w:t>)</w:t>
      </w:r>
      <w:r w:rsidR="00A66EB3">
        <w:rPr>
          <w:rFonts w:hint="cs"/>
          <w:rtl/>
          <w:lang w:eastAsia="zh-TW"/>
        </w:rPr>
        <w:t xml:space="preserve">. </w:t>
      </w:r>
    </w:p>
    <w:p w:rsidR="004D4029" w:rsidRPr="00D57891" w:rsidRDefault="000369E3" w:rsidP="002466F4">
      <w:pPr>
        <w:pStyle w:val="SingleTxtGA"/>
        <w:rPr>
          <w:rtl/>
          <w:lang w:eastAsia="zh-TW"/>
        </w:rPr>
      </w:pPr>
      <w:r>
        <w:rPr>
          <w:rtl/>
          <w:lang w:eastAsia="zh-TW"/>
        </w:rPr>
        <w:lastRenderedPageBreak/>
        <w:t>١٢</w:t>
      </w:r>
      <w:r>
        <w:rPr>
          <w:rFonts w:hint="cs"/>
          <w:rtl/>
          <w:lang w:eastAsia="zh-TW"/>
        </w:rPr>
        <w:t>-</w:t>
      </w:r>
      <w:r>
        <w:rPr>
          <w:rFonts w:hint="cs"/>
          <w:rtl/>
          <w:lang w:eastAsia="zh-TW"/>
        </w:rPr>
        <w:tab/>
      </w:r>
      <w:r w:rsidR="004D4029" w:rsidRPr="00D57891">
        <w:rPr>
          <w:rtl/>
          <w:lang w:eastAsia="zh-TW"/>
        </w:rPr>
        <w:t>واللجنة المعنية بالحقوق الاقتصادية والاجتماعية والثقافية</w:t>
      </w:r>
      <w:r w:rsidR="004A64ED">
        <w:rPr>
          <w:rStyle w:val="FootnoteReference"/>
          <w:rFonts w:ascii="Traditional Arabic" w:hAnsi="Traditional Arabic"/>
          <w:sz w:val="32"/>
          <w:szCs w:val="32"/>
          <w:rtl/>
          <w:lang w:eastAsia="zh-TW"/>
        </w:rPr>
        <w:t>(</w:t>
      </w:r>
      <w:r w:rsidR="008871A6" w:rsidRPr="00D57891">
        <w:rPr>
          <w:rStyle w:val="FootnoteReference"/>
          <w:rFonts w:ascii="Traditional Arabic" w:hAnsi="Traditional Arabic"/>
          <w:sz w:val="32"/>
          <w:szCs w:val="32"/>
          <w:rtl/>
          <w:lang w:eastAsia="zh-TW"/>
        </w:rPr>
        <w:footnoteReference w:id="9"/>
      </w:r>
      <w:r w:rsidR="004A64ED">
        <w:rPr>
          <w:rStyle w:val="FootnoteReference"/>
          <w:rFonts w:ascii="Traditional Arabic" w:hAnsi="Traditional Arabic"/>
          <w:sz w:val="32"/>
          <w:szCs w:val="32"/>
          <w:rtl/>
          <w:lang w:eastAsia="zh-TW"/>
        </w:rPr>
        <w:t>)</w:t>
      </w:r>
      <w:r w:rsidR="002466F4">
        <w:rPr>
          <w:rFonts w:hint="cs"/>
          <w:rtl/>
          <w:lang w:eastAsia="zh-TW"/>
        </w:rPr>
        <w:t>،</w:t>
      </w:r>
      <w:r w:rsidR="004D4029" w:rsidRPr="00D57891">
        <w:rPr>
          <w:rtl/>
          <w:lang w:eastAsia="zh-TW"/>
        </w:rPr>
        <w:t xml:space="preserve"> ولجنة حقوق الطفل</w:t>
      </w:r>
      <w:r w:rsidR="004A64ED">
        <w:rPr>
          <w:rStyle w:val="FootnoteReference"/>
          <w:rFonts w:ascii="Traditional Arabic" w:hAnsi="Traditional Arabic"/>
          <w:sz w:val="32"/>
          <w:szCs w:val="32"/>
          <w:rtl/>
          <w:lang w:eastAsia="zh-TW"/>
        </w:rPr>
        <w:t>(</w:t>
      </w:r>
      <w:r w:rsidR="008871A6" w:rsidRPr="00D57891">
        <w:rPr>
          <w:rStyle w:val="FootnoteReference"/>
          <w:rFonts w:ascii="Traditional Arabic" w:hAnsi="Traditional Arabic"/>
          <w:sz w:val="32"/>
          <w:szCs w:val="32"/>
          <w:rtl/>
          <w:lang w:eastAsia="zh-TW"/>
        </w:rPr>
        <w:footnoteReference w:id="10"/>
      </w:r>
      <w:r w:rsidR="004A64ED">
        <w:rPr>
          <w:rStyle w:val="FootnoteReference"/>
          <w:rFonts w:ascii="Traditional Arabic" w:hAnsi="Traditional Arabic"/>
          <w:sz w:val="32"/>
          <w:szCs w:val="32"/>
          <w:rtl/>
          <w:lang w:eastAsia="zh-TW"/>
        </w:rPr>
        <w:t>)</w:t>
      </w:r>
      <w:r w:rsidR="004D4029" w:rsidRPr="00D57891">
        <w:rPr>
          <w:rtl/>
          <w:lang w:eastAsia="zh-TW"/>
        </w:rPr>
        <w:t xml:space="preserve"> والمقرر الخاص المعني بالحق في الصحة جميعهم جزموا بأن اتباع نهج يقوم على </w:t>
      </w:r>
      <w:r w:rsidR="004D4029">
        <w:rPr>
          <w:rFonts w:hint="cs"/>
          <w:rtl/>
          <w:lang w:eastAsia="zh-TW"/>
        </w:rPr>
        <w:t>الحد من</w:t>
      </w:r>
      <w:r w:rsidR="004D4029" w:rsidRPr="00D57891">
        <w:rPr>
          <w:rtl/>
          <w:lang w:eastAsia="zh-TW"/>
        </w:rPr>
        <w:t xml:space="preserve"> الضرر أمر </w:t>
      </w:r>
      <w:r>
        <w:rPr>
          <w:rFonts w:hint="cs"/>
          <w:rtl/>
          <w:lang w:eastAsia="zh-TW"/>
        </w:rPr>
        <w:t xml:space="preserve">أساسي </w:t>
      </w:r>
      <w:r w:rsidR="004D4029" w:rsidRPr="00D57891">
        <w:rPr>
          <w:rtl/>
          <w:lang w:eastAsia="zh-TW"/>
        </w:rPr>
        <w:t xml:space="preserve">لمتعاطي المخدرات. وتعمل منظمة الصحة العالمية ومكتب </w:t>
      </w:r>
      <w:r>
        <w:rPr>
          <w:rFonts w:hint="cs"/>
          <w:rtl/>
          <w:lang w:eastAsia="zh-TW"/>
        </w:rPr>
        <w:t xml:space="preserve">الأمم المتحدة </w:t>
      </w:r>
      <w:r w:rsidR="004D4029" w:rsidRPr="00D57891">
        <w:rPr>
          <w:rtl/>
          <w:lang w:eastAsia="zh-TW"/>
        </w:rPr>
        <w:t xml:space="preserve">المعني بالمخدرات </w:t>
      </w:r>
      <w:r w:rsidR="004D4029" w:rsidRPr="00D57891">
        <w:rPr>
          <w:rFonts w:hint="cs"/>
          <w:rtl/>
          <w:lang w:eastAsia="zh-TW"/>
        </w:rPr>
        <w:t>والجريمة وبرنامج</w:t>
      </w:r>
      <w:r w:rsidR="004D4029" w:rsidRPr="00D57891">
        <w:rPr>
          <w:rtl/>
          <w:lang w:eastAsia="zh-TW"/>
        </w:rPr>
        <w:t xml:space="preserve"> الأمم المتحدة المشترك بين منظمات الأمم المتحدة لمكافحة الإيدز على تشجيع </w:t>
      </w:r>
      <w:r w:rsidR="004D4029">
        <w:rPr>
          <w:rFonts w:hint="cs"/>
          <w:rtl/>
          <w:lang w:eastAsia="zh-TW"/>
        </w:rPr>
        <w:t>الحد</w:t>
      </w:r>
      <w:r w:rsidR="004D4029" w:rsidRPr="00D57891">
        <w:rPr>
          <w:rtl/>
          <w:lang w:eastAsia="zh-TW"/>
        </w:rPr>
        <w:t xml:space="preserve"> من الضرر بالنسبة لمتعاطي المخدرات عن طريق الحقن</w:t>
      </w:r>
      <w:r w:rsidR="004A64ED">
        <w:rPr>
          <w:rStyle w:val="FootnoteReference"/>
          <w:rFonts w:ascii="Traditional Arabic" w:hAnsi="Traditional Arabic"/>
          <w:sz w:val="32"/>
          <w:szCs w:val="32"/>
          <w:rtl/>
          <w:lang w:eastAsia="zh-TW"/>
        </w:rPr>
        <w:t>(</w:t>
      </w:r>
      <w:r w:rsidR="008871A6" w:rsidRPr="00D57891">
        <w:rPr>
          <w:rStyle w:val="FootnoteReference"/>
          <w:rFonts w:ascii="Traditional Arabic" w:hAnsi="Traditional Arabic"/>
          <w:sz w:val="32"/>
          <w:szCs w:val="32"/>
          <w:rtl/>
          <w:lang w:eastAsia="zh-TW"/>
        </w:rPr>
        <w:footnoteReference w:id="11"/>
      </w:r>
      <w:r w:rsidR="004A64ED">
        <w:rPr>
          <w:rStyle w:val="FootnoteReference"/>
          <w:rFonts w:ascii="Traditional Arabic" w:hAnsi="Traditional Arabic"/>
          <w:sz w:val="32"/>
          <w:szCs w:val="32"/>
          <w:rtl/>
          <w:lang w:eastAsia="zh-TW"/>
        </w:rPr>
        <w:t>)</w:t>
      </w:r>
      <w:r w:rsidR="002466F4">
        <w:rPr>
          <w:rFonts w:hint="cs"/>
          <w:rtl/>
          <w:lang w:eastAsia="zh-TW"/>
        </w:rPr>
        <w:t>.</w:t>
      </w:r>
      <w:r w:rsidR="004D4029" w:rsidRPr="00D57891">
        <w:rPr>
          <w:rtl/>
          <w:lang w:eastAsia="zh-TW"/>
        </w:rPr>
        <w:t xml:space="preserve"> وقد دعمت مفوضية الأمم المتحدة السامية لحقوق الإنسان جهود </w:t>
      </w:r>
      <w:r w:rsidR="004D4029">
        <w:rPr>
          <w:rFonts w:hint="cs"/>
          <w:rtl/>
          <w:lang w:eastAsia="zh-TW"/>
        </w:rPr>
        <w:t>الحد من</w:t>
      </w:r>
      <w:r w:rsidR="004D4029" w:rsidRPr="00D57891">
        <w:rPr>
          <w:rtl/>
          <w:lang w:eastAsia="zh-TW"/>
        </w:rPr>
        <w:t xml:space="preserve"> الضرر وسلَّم مجلس حقوق الإنسان، في قراره 12/27، بالحاجة إلى برامج </w:t>
      </w:r>
      <w:r w:rsidR="004D4029">
        <w:rPr>
          <w:rFonts w:hint="cs"/>
          <w:rtl/>
          <w:lang w:eastAsia="zh-TW"/>
        </w:rPr>
        <w:t>الحد</w:t>
      </w:r>
      <w:r w:rsidR="004D4029" w:rsidRPr="00D57891">
        <w:rPr>
          <w:rtl/>
          <w:lang w:eastAsia="zh-TW"/>
        </w:rPr>
        <w:t xml:space="preserve"> من الضرر. </w:t>
      </w:r>
    </w:p>
    <w:p w:rsidR="004D4029" w:rsidRPr="00D57891" w:rsidRDefault="000369E3" w:rsidP="008871A6">
      <w:pPr>
        <w:pStyle w:val="SingleTxtGA"/>
        <w:rPr>
          <w:rtl/>
          <w:lang w:eastAsia="zh-TW"/>
        </w:rPr>
      </w:pPr>
      <w:r>
        <w:rPr>
          <w:rtl/>
          <w:lang w:eastAsia="zh-TW"/>
        </w:rPr>
        <w:t>١٣</w:t>
      </w:r>
      <w:r>
        <w:rPr>
          <w:rFonts w:hint="cs"/>
          <w:rtl/>
          <w:lang w:eastAsia="zh-TW"/>
        </w:rPr>
        <w:t>-</w:t>
      </w:r>
      <w:r>
        <w:rPr>
          <w:rFonts w:hint="cs"/>
          <w:rtl/>
          <w:lang w:eastAsia="zh-TW"/>
        </w:rPr>
        <w:tab/>
      </w:r>
      <w:r w:rsidR="004D4029" w:rsidRPr="00D57891">
        <w:rPr>
          <w:rtl/>
          <w:lang w:eastAsia="zh-TW"/>
        </w:rPr>
        <w:t>وتشمل برامج توفير الإبر والمحاقن مدّ متعاطي المخدرات عن طريق الحقن بمعدات الحقن المعقمة. وقد أقرت منظمة الصحة العالمية استخدام هذه البرامج، مشيرة إلى أنها تحد من حالات الإصابة بفيروس نقص المناعة البشرية إلى حد كبير، وبطريقة فعالة من حيث الكلفة،</w:t>
      </w:r>
      <w:r w:rsidR="008871A6">
        <w:rPr>
          <w:rtl/>
          <w:lang w:eastAsia="zh-TW"/>
        </w:rPr>
        <w:t xml:space="preserve"> ودون أي آثار سلبية كبيرة تُذكر</w:t>
      </w:r>
      <w:r w:rsidR="004A64ED">
        <w:rPr>
          <w:rStyle w:val="FootnoteReference"/>
          <w:rFonts w:ascii="Traditional Arabic" w:hAnsi="Traditional Arabic"/>
          <w:sz w:val="32"/>
          <w:szCs w:val="32"/>
          <w:rtl/>
          <w:lang w:eastAsia="zh-TW"/>
        </w:rPr>
        <w:t>(</w:t>
      </w:r>
      <w:r w:rsidR="008871A6" w:rsidRPr="00D57891">
        <w:rPr>
          <w:rStyle w:val="FootnoteReference"/>
          <w:rFonts w:ascii="Traditional Arabic" w:hAnsi="Traditional Arabic"/>
          <w:sz w:val="32"/>
          <w:szCs w:val="32"/>
          <w:rtl/>
          <w:lang w:eastAsia="zh-TW"/>
        </w:rPr>
        <w:footnoteReference w:id="12"/>
      </w:r>
      <w:r w:rsidR="004A64ED">
        <w:rPr>
          <w:rStyle w:val="FootnoteReference"/>
          <w:rFonts w:ascii="Traditional Arabic" w:hAnsi="Traditional Arabic"/>
          <w:sz w:val="32"/>
          <w:szCs w:val="32"/>
          <w:rtl/>
          <w:lang w:eastAsia="zh-TW"/>
        </w:rPr>
        <w:t>)</w:t>
      </w:r>
      <w:r w:rsidR="008871A6">
        <w:rPr>
          <w:rFonts w:hint="cs"/>
          <w:rtl/>
          <w:lang w:eastAsia="zh-TW"/>
        </w:rPr>
        <w:t>.</w:t>
      </w:r>
      <w:r w:rsidR="004D4029" w:rsidRPr="00D57891">
        <w:rPr>
          <w:rtl/>
          <w:lang w:eastAsia="zh-TW"/>
        </w:rPr>
        <w:t xml:space="preserve"> وبفضل برامج توفير الإبر والمحاقن يتم التخلص من الإبر الملوثة، ما يقلل من خطر نقل فيروس نقص المناعة البشرية وسائر الأمراض المنقولة بالدم مثل التهاب الكبد الفيروسي، ولا سيما التهاب الكبد باء والتهاب الكبد جيم (انظر </w:t>
      </w:r>
      <w:r w:rsidR="004D4029" w:rsidRPr="00D57891">
        <w:rPr>
          <w:lang w:eastAsia="zh-TW"/>
        </w:rPr>
        <w:t>A/65/255</w:t>
      </w:r>
      <w:r w:rsidR="008871A6">
        <w:rPr>
          <w:rtl/>
          <w:lang w:eastAsia="zh-TW"/>
        </w:rPr>
        <w:t>، الفقرة 51)</w:t>
      </w:r>
      <w:r w:rsidR="004A64ED">
        <w:rPr>
          <w:rStyle w:val="FootnoteReference"/>
          <w:rFonts w:ascii="Traditional Arabic" w:hAnsi="Traditional Arabic"/>
          <w:sz w:val="32"/>
          <w:szCs w:val="32"/>
          <w:rtl/>
          <w:lang w:eastAsia="zh-TW"/>
        </w:rPr>
        <w:t>(</w:t>
      </w:r>
      <w:r w:rsidR="008871A6" w:rsidRPr="00D57891">
        <w:rPr>
          <w:rStyle w:val="FootnoteReference"/>
          <w:rFonts w:ascii="Traditional Arabic" w:hAnsi="Traditional Arabic"/>
          <w:sz w:val="32"/>
          <w:szCs w:val="32"/>
          <w:rtl/>
          <w:lang w:eastAsia="zh-TW"/>
        </w:rPr>
        <w:footnoteReference w:id="13"/>
      </w:r>
      <w:r w:rsidR="004A64ED">
        <w:rPr>
          <w:rStyle w:val="FootnoteReference"/>
          <w:rFonts w:ascii="Traditional Arabic" w:hAnsi="Traditional Arabic"/>
          <w:sz w:val="32"/>
          <w:szCs w:val="32"/>
          <w:rtl/>
          <w:lang w:eastAsia="zh-TW"/>
        </w:rPr>
        <w:t>)</w:t>
      </w:r>
      <w:r w:rsidR="008871A6">
        <w:rPr>
          <w:rFonts w:hint="cs"/>
          <w:rtl/>
          <w:lang w:eastAsia="zh-TW"/>
        </w:rPr>
        <w:t>.</w:t>
      </w:r>
      <w:r w:rsidR="004D4029" w:rsidRPr="00D57891">
        <w:rPr>
          <w:rtl/>
          <w:lang w:eastAsia="zh-TW"/>
        </w:rPr>
        <w:t xml:space="preserve"> </w:t>
      </w:r>
    </w:p>
    <w:p w:rsidR="004D4029" w:rsidRPr="00D57891" w:rsidRDefault="00C020D9" w:rsidP="007E53D1">
      <w:pPr>
        <w:pStyle w:val="SingleTxtGA"/>
        <w:rPr>
          <w:rtl/>
          <w:lang w:eastAsia="zh-TW"/>
        </w:rPr>
      </w:pPr>
      <w:r>
        <w:rPr>
          <w:rtl/>
          <w:lang w:eastAsia="zh-TW"/>
        </w:rPr>
        <w:t>١٤</w:t>
      </w:r>
      <w:r>
        <w:rPr>
          <w:rFonts w:hint="cs"/>
          <w:rtl/>
          <w:lang w:eastAsia="zh-TW"/>
        </w:rPr>
        <w:t>-</w:t>
      </w:r>
      <w:r>
        <w:rPr>
          <w:rFonts w:hint="cs"/>
          <w:rtl/>
          <w:lang w:eastAsia="zh-TW"/>
        </w:rPr>
        <w:tab/>
      </w:r>
      <w:r w:rsidR="004D4029" w:rsidRPr="00D57891">
        <w:rPr>
          <w:rtl/>
          <w:lang w:eastAsia="zh-TW"/>
        </w:rPr>
        <w:t>ويعد</w:t>
      </w:r>
      <w:r>
        <w:rPr>
          <w:rFonts w:hint="cs"/>
          <w:rtl/>
          <w:lang w:eastAsia="zh-TW"/>
        </w:rPr>
        <w:t>ّ</w:t>
      </w:r>
      <w:r w:rsidR="004D4029" w:rsidRPr="00D57891">
        <w:rPr>
          <w:rtl/>
          <w:lang w:eastAsia="zh-TW"/>
        </w:rPr>
        <w:t xml:space="preserve"> العلاج بمواد بديلة </w:t>
      </w:r>
      <w:r>
        <w:rPr>
          <w:rFonts w:hint="cs"/>
          <w:rtl/>
          <w:lang w:eastAsia="zh-TW"/>
        </w:rPr>
        <w:t>لأشباه الأفيون</w:t>
      </w:r>
      <w:r w:rsidR="004A64ED">
        <w:rPr>
          <w:rStyle w:val="FootnoteReference"/>
          <w:rFonts w:ascii="Traditional Arabic" w:hAnsi="Traditional Arabic"/>
          <w:sz w:val="32"/>
          <w:szCs w:val="32"/>
          <w:rtl/>
          <w:lang w:eastAsia="zh-TW"/>
        </w:rPr>
        <w:t>(</w:t>
      </w:r>
      <w:r w:rsidR="007E53D1" w:rsidRPr="00D57891">
        <w:rPr>
          <w:rStyle w:val="FootnoteReference"/>
          <w:rFonts w:ascii="Traditional Arabic" w:hAnsi="Traditional Arabic"/>
          <w:sz w:val="32"/>
          <w:szCs w:val="32"/>
          <w:rtl/>
          <w:lang w:eastAsia="zh-TW"/>
        </w:rPr>
        <w:footnoteReference w:id="14"/>
      </w:r>
      <w:r w:rsidR="004A64ED">
        <w:rPr>
          <w:rStyle w:val="FootnoteReference"/>
          <w:rFonts w:ascii="Traditional Arabic" w:hAnsi="Traditional Arabic"/>
          <w:sz w:val="32"/>
          <w:szCs w:val="32"/>
          <w:rtl/>
          <w:lang w:eastAsia="zh-TW"/>
        </w:rPr>
        <w:t>)</w:t>
      </w:r>
      <w:r>
        <w:rPr>
          <w:rFonts w:hint="cs"/>
          <w:rtl/>
          <w:lang w:eastAsia="zh-TW"/>
        </w:rPr>
        <w:t xml:space="preserve"> </w:t>
      </w:r>
      <w:r w:rsidR="004D4029" w:rsidRPr="00D57891">
        <w:rPr>
          <w:rtl/>
          <w:lang w:eastAsia="zh-TW"/>
        </w:rPr>
        <w:t>من الن</w:t>
      </w:r>
      <w:r w:rsidR="0079213D">
        <w:rPr>
          <w:rFonts w:hint="cs"/>
          <w:rtl/>
          <w:lang w:eastAsia="zh-TW"/>
        </w:rPr>
        <w:t>ُ</w:t>
      </w:r>
      <w:r w:rsidR="004D4029" w:rsidRPr="00D57891">
        <w:rPr>
          <w:rtl/>
          <w:lang w:eastAsia="zh-TW"/>
        </w:rPr>
        <w:t xml:space="preserve">هج التي ترتكز إلى الأدلة، وهو يقوم على وصف أدوية من قبيل الميثادون أو </w:t>
      </w:r>
      <w:proofErr w:type="spellStart"/>
      <w:r w:rsidR="004D4029" w:rsidRPr="00D57891">
        <w:rPr>
          <w:rtl/>
          <w:lang w:eastAsia="zh-TW"/>
        </w:rPr>
        <w:t>البوبرينورفين</w:t>
      </w:r>
      <w:proofErr w:type="spellEnd"/>
      <w:r w:rsidR="004D4029" w:rsidRPr="00D57891">
        <w:rPr>
          <w:rtl/>
          <w:lang w:eastAsia="zh-TW"/>
        </w:rPr>
        <w:t xml:space="preserve"> لمعالجة إدمان </w:t>
      </w:r>
      <w:r w:rsidR="0079213D">
        <w:rPr>
          <w:rFonts w:hint="cs"/>
          <w:rtl/>
          <w:lang w:eastAsia="zh-TW"/>
        </w:rPr>
        <w:t>أشباه الأفيون</w:t>
      </w:r>
      <w:r w:rsidR="004D4029" w:rsidRPr="00D57891">
        <w:rPr>
          <w:rtl/>
          <w:lang w:eastAsia="zh-TW"/>
        </w:rPr>
        <w:t xml:space="preserve">. ويقلل هذا العلاج من انتشار تعاطي المخدرات عن طريق الحقن، ومن تشارك أدوات الحقن، ما يقلل من خطر الإصابة بفيروس نقص المناعة البشرية وغيره من الفيروسات المنقولة بالدم. وهو فعال في </w:t>
      </w:r>
      <w:r w:rsidR="004D4029">
        <w:rPr>
          <w:rFonts w:hint="cs"/>
          <w:rtl/>
          <w:lang w:eastAsia="zh-TW"/>
        </w:rPr>
        <w:t>إدارة</w:t>
      </w:r>
      <w:r w:rsidR="004D4029" w:rsidRPr="00D57891">
        <w:rPr>
          <w:rtl/>
          <w:lang w:eastAsia="zh-TW"/>
        </w:rPr>
        <w:t xml:space="preserve"> حالات </w:t>
      </w:r>
      <w:r w:rsidR="00805F35">
        <w:rPr>
          <w:rFonts w:hint="cs"/>
          <w:rtl/>
          <w:lang w:eastAsia="zh-TW"/>
        </w:rPr>
        <w:t xml:space="preserve">التوقف عن تعاطي أشباه الأفيون </w:t>
      </w:r>
      <w:r w:rsidR="004D4029" w:rsidRPr="00D57891">
        <w:rPr>
          <w:rtl/>
          <w:lang w:eastAsia="zh-TW"/>
        </w:rPr>
        <w:t xml:space="preserve">ومنع الانتكاس (انظر </w:t>
      </w:r>
      <w:r w:rsidR="004D4029" w:rsidRPr="00D57891">
        <w:rPr>
          <w:lang w:eastAsia="zh-TW"/>
        </w:rPr>
        <w:t>A/65/255</w:t>
      </w:r>
      <w:r w:rsidR="004D4029" w:rsidRPr="00D57891">
        <w:rPr>
          <w:rtl/>
          <w:lang w:eastAsia="zh-TW"/>
        </w:rPr>
        <w:t xml:space="preserve">، الفقرة 52). وأوصت منظمة الصحة العالمية بتوفير العلاج بالمواد البديلة </w:t>
      </w:r>
      <w:r w:rsidR="0079213D">
        <w:rPr>
          <w:rFonts w:hint="cs"/>
          <w:rtl/>
          <w:lang w:eastAsia="zh-TW"/>
        </w:rPr>
        <w:t>لأشباه الأفيون</w:t>
      </w:r>
      <w:r w:rsidR="004D4029" w:rsidRPr="00D57891">
        <w:rPr>
          <w:rtl/>
          <w:lang w:eastAsia="zh-TW"/>
        </w:rPr>
        <w:t xml:space="preserve"> وإتاحة فرص الحصول عليه لجميع مدمني </w:t>
      </w:r>
      <w:r w:rsidR="0079213D">
        <w:rPr>
          <w:rFonts w:hint="cs"/>
          <w:rtl/>
          <w:lang w:eastAsia="zh-TW"/>
        </w:rPr>
        <w:t>أشباه الأفيون</w:t>
      </w:r>
      <w:r w:rsidR="004D4029" w:rsidRPr="00D57891">
        <w:rPr>
          <w:rtl/>
          <w:lang w:eastAsia="zh-TW"/>
        </w:rPr>
        <w:t xml:space="preserve"> من الفئات السكانية الرئيسية</w:t>
      </w:r>
      <w:r w:rsidR="004A64ED">
        <w:rPr>
          <w:rStyle w:val="FootnoteReference"/>
          <w:rFonts w:ascii="Traditional Arabic" w:hAnsi="Traditional Arabic"/>
          <w:sz w:val="32"/>
          <w:szCs w:val="32"/>
          <w:rtl/>
          <w:lang w:eastAsia="zh-TW"/>
        </w:rPr>
        <w:t>(</w:t>
      </w:r>
      <w:r w:rsidR="007E53D1" w:rsidRPr="00D57891">
        <w:rPr>
          <w:rStyle w:val="FootnoteReference"/>
          <w:rFonts w:ascii="Traditional Arabic" w:hAnsi="Traditional Arabic"/>
          <w:sz w:val="32"/>
          <w:szCs w:val="32"/>
          <w:rtl/>
          <w:lang w:eastAsia="zh-TW"/>
        </w:rPr>
        <w:footnoteReference w:id="15"/>
      </w:r>
      <w:r w:rsidR="004A64ED">
        <w:rPr>
          <w:rStyle w:val="FootnoteReference"/>
          <w:rFonts w:ascii="Traditional Arabic" w:hAnsi="Traditional Arabic"/>
          <w:sz w:val="32"/>
          <w:szCs w:val="32"/>
          <w:rtl/>
          <w:lang w:eastAsia="zh-TW"/>
        </w:rPr>
        <w:t>)</w:t>
      </w:r>
      <w:r w:rsidR="007E53D1">
        <w:rPr>
          <w:rFonts w:hint="cs"/>
          <w:rtl/>
          <w:lang w:eastAsia="zh-TW"/>
        </w:rPr>
        <w:t xml:space="preserve">. </w:t>
      </w:r>
    </w:p>
    <w:p w:rsidR="004D4029" w:rsidRPr="00D57891" w:rsidRDefault="00805F35" w:rsidP="007E53D1">
      <w:pPr>
        <w:pStyle w:val="SingleTxtGA"/>
        <w:rPr>
          <w:rtl/>
          <w:lang w:eastAsia="zh-TW"/>
        </w:rPr>
      </w:pPr>
      <w:r>
        <w:rPr>
          <w:rtl/>
          <w:lang w:eastAsia="zh-TW"/>
        </w:rPr>
        <w:lastRenderedPageBreak/>
        <w:t>١٥</w:t>
      </w:r>
      <w:r>
        <w:rPr>
          <w:rFonts w:hint="cs"/>
          <w:rtl/>
          <w:lang w:eastAsia="zh-TW"/>
        </w:rPr>
        <w:t>-</w:t>
      </w:r>
      <w:r>
        <w:rPr>
          <w:rtl/>
          <w:lang w:eastAsia="zh-TW"/>
        </w:rPr>
        <w:tab/>
      </w:r>
      <w:r w:rsidR="004D4029">
        <w:rPr>
          <w:rFonts w:hint="cs"/>
          <w:rtl/>
          <w:lang w:eastAsia="zh-TW"/>
        </w:rPr>
        <w:t xml:space="preserve">ويعد تناول </w:t>
      </w:r>
      <w:r w:rsidR="004D4029">
        <w:rPr>
          <w:rtl/>
          <w:lang w:eastAsia="zh-TW"/>
        </w:rPr>
        <w:t xml:space="preserve">جرعات </w:t>
      </w:r>
      <w:r w:rsidR="004D4029">
        <w:rPr>
          <w:rFonts w:hint="cs"/>
          <w:rtl/>
          <w:lang w:eastAsia="zh-TW"/>
        </w:rPr>
        <w:t>مفرطة</w:t>
      </w:r>
      <w:r w:rsidR="004D4029" w:rsidRPr="00D57891">
        <w:rPr>
          <w:rtl/>
          <w:lang w:eastAsia="zh-TW"/>
        </w:rPr>
        <w:t xml:space="preserve"> من </w:t>
      </w:r>
      <w:r>
        <w:rPr>
          <w:rFonts w:hint="cs"/>
          <w:rtl/>
          <w:lang w:eastAsia="zh-TW"/>
        </w:rPr>
        <w:t>المخدرات، ومعظم هذه الجرعات ينطوي على أشباه أفيون</w:t>
      </w:r>
      <w:r w:rsidR="004D4029" w:rsidRPr="00D57891">
        <w:rPr>
          <w:rtl/>
          <w:lang w:eastAsia="zh-TW"/>
        </w:rPr>
        <w:t>، سببا</w:t>
      </w:r>
      <w:r>
        <w:rPr>
          <w:rFonts w:hint="cs"/>
          <w:rtl/>
          <w:lang w:eastAsia="zh-TW"/>
        </w:rPr>
        <w:t>ً</w:t>
      </w:r>
      <w:r w:rsidR="004D4029" w:rsidRPr="00D57891">
        <w:rPr>
          <w:rtl/>
          <w:lang w:eastAsia="zh-TW"/>
        </w:rPr>
        <w:t xml:space="preserve"> رئيسيا</w:t>
      </w:r>
      <w:r>
        <w:rPr>
          <w:rFonts w:hint="cs"/>
          <w:rtl/>
          <w:lang w:eastAsia="zh-TW"/>
        </w:rPr>
        <w:t>ً</w:t>
      </w:r>
      <w:r w:rsidR="004D4029" w:rsidRPr="00D57891">
        <w:rPr>
          <w:rtl/>
          <w:lang w:eastAsia="zh-TW"/>
        </w:rPr>
        <w:t xml:space="preserve"> للوفيات </w:t>
      </w:r>
      <w:r w:rsidR="004D4029">
        <w:rPr>
          <w:rFonts w:hint="cs"/>
          <w:rtl/>
          <w:lang w:eastAsia="zh-TW"/>
        </w:rPr>
        <w:t xml:space="preserve">الناجمة عن تعاطي </w:t>
      </w:r>
      <w:r w:rsidR="004D4029" w:rsidRPr="00D57891">
        <w:rPr>
          <w:rtl/>
          <w:lang w:eastAsia="zh-TW"/>
        </w:rPr>
        <w:t xml:space="preserve">المخدرات. ويؤدي العلاج بمواد بديلة </w:t>
      </w:r>
      <w:r>
        <w:rPr>
          <w:rFonts w:hint="cs"/>
          <w:rtl/>
          <w:lang w:eastAsia="zh-TW"/>
        </w:rPr>
        <w:t xml:space="preserve">لأشباه الأفيون </w:t>
      </w:r>
      <w:r w:rsidR="004D4029" w:rsidRPr="00D57891">
        <w:rPr>
          <w:rtl/>
          <w:lang w:eastAsia="zh-TW"/>
        </w:rPr>
        <w:t xml:space="preserve">إلى الحد من تعاطي المخدرات عن طريق الحقن، ويحد بالتالي من الجرعات </w:t>
      </w:r>
      <w:r w:rsidR="004D4029">
        <w:rPr>
          <w:rFonts w:hint="cs"/>
          <w:rtl/>
          <w:lang w:eastAsia="zh-TW"/>
        </w:rPr>
        <w:t>المفرطة</w:t>
      </w:r>
      <w:r w:rsidR="001A4A4A">
        <w:rPr>
          <w:rtl/>
          <w:lang w:eastAsia="zh-TW"/>
        </w:rPr>
        <w:t xml:space="preserve"> بنحو</w:t>
      </w:r>
      <w:r w:rsidR="001A4A4A">
        <w:rPr>
          <w:rFonts w:hint="cs"/>
          <w:rtl/>
          <w:lang w:eastAsia="zh-TW"/>
        </w:rPr>
        <w:t> </w:t>
      </w:r>
      <w:r w:rsidR="004D4029" w:rsidRPr="00D57891">
        <w:rPr>
          <w:rtl/>
          <w:lang w:eastAsia="zh-TW"/>
        </w:rPr>
        <w:t>90 في المائة</w:t>
      </w:r>
      <w:r w:rsidR="004A64ED">
        <w:rPr>
          <w:rStyle w:val="FootnoteReference"/>
          <w:rFonts w:ascii="Traditional Arabic" w:hAnsi="Traditional Arabic"/>
          <w:sz w:val="32"/>
          <w:szCs w:val="32"/>
          <w:rtl/>
          <w:lang w:eastAsia="zh-TW"/>
        </w:rPr>
        <w:t>(</w:t>
      </w:r>
      <w:r w:rsidR="007E53D1" w:rsidRPr="00D57891">
        <w:rPr>
          <w:rStyle w:val="FootnoteReference"/>
          <w:rFonts w:ascii="Traditional Arabic" w:hAnsi="Traditional Arabic"/>
          <w:sz w:val="32"/>
          <w:szCs w:val="32"/>
          <w:rtl/>
          <w:lang w:eastAsia="zh-TW"/>
        </w:rPr>
        <w:footnoteReference w:id="16"/>
      </w:r>
      <w:r w:rsidR="004A64ED">
        <w:rPr>
          <w:rStyle w:val="FootnoteReference"/>
          <w:rFonts w:ascii="Traditional Arabic" w:hAnsi="Traditional Arabic"/>
          <w:sz w:val="32"/>
          <w:szCs w:val="32"/>
          <w:rtl/>
          <w:lang w:eastAsia="zh-TW"/>
        </w:rPr>
        <w:t>)</w:t>
      </w:r>
      <w:r w:rsidR="007E53D1">
        <w:rPr>
          <w:rFonts w:hint="cs"/>
          <w:rtl/>
          <w:lang w:eastAsia="zh-TW"/>
        </w:rPr>
        <w:t>.</w:t>
      </w:r>
      <w:r w:rsidR="004D4029" w:rsidRPr="00D57891">
        <w:rPr>
          <w:rtl/>
          <w:lang w:eastAsia="zh-TW"/>
        </w:rPr>
        <w:t xml:space="preserve"> وقد أكد المقرر الخاص المعني بالحق في الصحة ومنظمة الصحة العالمية أن التدريب على تقديم الإسعافات الأولية اللازمة لإعطاء </w:t>
      </w:r>
      <w:proofErr w:type="spellStart"/>
      <w:r w:rsidR="004D4029" w:rsidRPr="00D57891">
        <w:rPr>
          <w:rtl/>
          <w:lang w:eastAsia="zh-TW"/>
        </w:rPr>
        <w:t>النالوكسون</w:t>
      </w:r>
      <w:proofErr w:type="spellEnd"/>
      <w:r w:rsidR="004D4029" w:rsidRPr="00D57891">
        <w:rPr>
          <w:rtl/>
          <w:lang w:eastAsia="zh-TW"/>
        </w:rPr>
        <w:t xml:space="preserve"> المضاد لآثار تناول جرعة مفرطة من </w:t>
      </w:r>
      <w:r w:rsidR="00A30EC4">
        <w:rPr>
          <w:rFonts w:hint="cs"/>
          <w:rtl/>
          <w:lang w:eastAsia="zh-TW"/>
        </w:rPr>
        <w:t>أشباه</w:t>
      </w:r>
      <w:r w:rsidR="004D4029" w:rsidRPr="00D57891">
        <w:rPr>
          <w:rtl/>
          <w:lang w:eastAsia="zh-TW"/>
        </w:rPr>
        <w:t xml:space="preserve"> الأفيون، يمكن أن يمنع حالات الوفاة الناجمة عن الجرعة المفرطة ويقلل الضرر </w:t>
      </w:r>
      <w:r w:rsidR="004D4029">
        <w:rPr>
          <w:rFonts w:hint="cs"/>
          <w:rtl/>
          <w:lang w:eastAsia="zh-TW"/>
        </w:rPr>
        <w:t xml:space="preserve">الناجم عن </w:t>
      </w:r>
      <w:r w:rsidR="004D4029" w:rsidRPr="00D57891">
        <w:rPr>
          <w:rtl/>
          <w:lang w:eastAsia="zh-TW"/>
        </w:rPr>
        <w:t xml:space="preserve">تناول جرعة مفرطة من المخدرات (انظر </w:t>
      </w:r>
      <w:r w:rsidR="004D4029" w:rsidRPr="00D57891">
        <w:rPr>
          <w:lang w:eastAsia="zh-TW"/>
        </w:rPr>
        <w:t>A/65/255</w:t>
      </w:r>
      <w:r w:rsidR="004D4029" w:rsidRPr="00D57891">
        <w:rPr>
          <w:rtl/>
          <w:lang w:eastAsia="zh-TW"/>
        </w:rPr>
        <w:t>، الفقرة 54)</w:t>
      </w:r>
      <w:r w:rsidR="004A64ED">
        <w:rPr>
          <w:rStyle w:val="FootnoteReference"/>
          <w:rFonts w:ascii="Traditional Arabic" w:hAnsi="Traditional Arabic"/>
          <w:sz w:val="32"/>
          <w:szCs w:val="32"/>
          <w:rtl/>
          <w:lang w:eastAsia="zh-TW"/>
        </w:rPr>
        <w:t>(</w:t>
      </w:r>
      <w:r w:rsidR="007E53D1" w:rsidRPr="00D57891">
        <w:rPr>
          <w:rStyle w:val="FootnoteReference"/>
          <w:rFonts w:ascii="Traditional Arabic" w:hAnsi="Traditional Arabic"/>
          <w:sz w:val="32"/>
          <w:szCs w:val="32"/>
          <w:rtl/>
          <w:lang w:eastAsia="zh-TW"/>
        </w:rPr>
        <w:footnoteReference w:id="17"/>
      </w:r>
      <w:r w:rsidR="004A64ED">
        <w:rPr>
          <w:rStyle w:val="FootnoteReference"/>
          <w:rFonts w:ascii="Traditional Arabic" w:hAnsi="Traditional Arabic"/>
          <w:sz w:val="32"/>
          <w:szCs w:val="32"/>
          <w:rtl/>
          <w:lang w:eastAsia="zh-TW"/>
        </w:rPr>
        <w:t>)</w:t>
      </w:r>
      <w:r w:rsidR="007E53D1">
        <w:rPr>
          <w:rFonts w:hint="cs"/>
          <w:rtl/>
          <w:lang w:eastAsia="zh-TW"/>
        </w:rPr>
        <w:t>.</w:t>
      </w:r>
      <w:r w:rsidR="004D4029" w:rsidRPr="00D57891">
        <w:rPr>
          <w:rtl/>
          <w:lang w:eastAsia="zh-TW"/>
        </w:rPr>
        <w:t xml:space="preserve"> </w:t>
      </w:r>
    </w:p>
    <w:p w:rsidR="004D4029" w:rsidRPr="00D57891" w:rsidRDefault="00A30EC4" w:rsidP="00A30EC4">
      <w:pPr>
        <w:pStyle w:val="SingleTxtGA"/>
        <w:rPr>
          <w:rtl/>
          <w:lang w:eastAsia="zh-TW"/>
        </w:rPr>
      </w:pPr>
      <w:r>
        <w:rPr>
          <w:rtl/>
          <w:lang w:eastAsia="zh-TW"/>
        </w:rPr>
        <w:t>١٦</w:t>
      </w:r>
      <w:r>
        <w:rPr>
          <w:rFonts w:hint="cs"/>
          <w:rtl/>
          <w:lang w:eastAsia="zh-TW"/>
        </w:rPr>
        <w:t>-</w:t>
      </w:r>
      <w:r>
        <w:rPr>
          <w:rtl/>
          <w:lang w:eastAsia="zh-TW"/>
        </w:rPr>
        <w:tab/>
      </w:r>
      <w:r w:rsidR="004D4029" w:rsidRPr="00D57891">
        <w:rPr>
          <w:rtl/>
          <w:lang w:eastAsia="zh-TW"/>
        </w:rPr>
        <w:t>و</w:t>
      </w:r>
      <w:r w:rsidR="004D4029">
        <w:rPr>
          <w:rFonts w:hint="cs"/>
          <w:rtl/>
          <w:lang w:eastAsia="zh-TW"/>
        </w:rPr>
        <w:t xml:space="preserve">يمكن أن يساهم </w:t>
      </w:r>
      <w:r w:rsidR="004D4029" w:rsidRPr="00D57891">
        <w:rPr>
          <w:rtl/>
          <w:lang w:eastAsia="zh-TW"/>
        </w:rPr>
        <w:t xml:space="preserve">تأمين أماكن لاستهلاك المخدرات لمتعاطي المخدرات في الوقاية من انتقال الأمراض والحد من </w:t>
      </w:r>
      <w:r>
        <w:rPr>
          <w:rFonts w:hint="cs"/>
          <w:rtl/>
          <w:lang w:eastAsia="zh-TW"/>
        </w:rPr>
        <w:t>الأذى الذي يلحق بالأوردة</w:t>
      </w:r>
      <w:r w:rsidR="004D4029" w:rsidRPr="00D57891">
        <w:rPr>
          <w:rtl/>
          <w:lang w:eastAsia="zh-TW"/>
        </w:rPr>
        <w:t>، فضلا</w:t>
      </w:r>
      <w:r>
        <w:rPr>
          <w:rFonts w:hint="cs"/>
          <w:rtl/>
          <w:lang w:eastAsia="zh-TW"/>
        </w:rPr>
        <w:t>ً</w:t>
      </w:r>
      <w:r w:rsidR="004D4029" w:rsidRPr="00D57891">
        <w:rPr>
          <w:rtl/>
          <w:lang w:eastAsia="zh-TW"/>
        </w:rPr>
        <w:t xml:space="preserve"> عن تشجيع </w:t>
      </w:r>
      <w:r>
        <w:rPr>
          <w:rFonts w:hint="cs"/>
          <w:rtl/>
          <w:lang w:eastAsia="zh-TW"/>
        </w:rPr>
        <w:t xml:space="preserve">متعاطيها على </w:t>
      </w:r>
      <w:r w:rsidR="004D4029" w:rsidRPr="00D57891">
        <w:rPr>
          <w:rtl/>
          <w:lang w:eastAsia="zh-TW"/>
        </w:rPr>
        <w:t xml:space="preserve">الشروع في تلقي العلاج وغير ذلك من الخدمات. وقد ساهمت أماكن استهلاك المخدرات في خفض معدلات </w:t>
      </w:r>
      <w:r w:rsidR="004D4029">
        <w:rPr>
          <w:rFonts w:hint="cs"/>
          <w:rtl/>
          <w:lang w:eastAsia="zh-TW"/>
        </w:rPr>
        <w:t xml:space="preserve">تناول </w:t>
      </w:r>
      <w:r w:rsidR="004D4029" w:rsidRPr="00D57891">
        <w:rPr>
          <w:rtl/>
          <w:lang w:eastAsia="zh-TW"/>
        </w:rPr>
        <w:t xml:space="preserve">جرعة مفرطة وزيادة فرص الحصول على الخدمات الطبية والاجتماعية (انظر </w:t>
      </w:r>
      <w:r w:rsidR="004D4029" w:rsidRPr="00D57891">
        <w:rPr>
          <w:lang w:eastAsia="zh-TW"/>
        </w:rPr>
        <w:t>A/65/255</w:t>
      </w:r>
      <w:r w:rsidR="004D4029" w:rsidRPr="00D57891">
        <w:rPr>
          <w:rtl/>
          <w:lang w:eastAsia="zh-TW"/>
        </w:rPr>
        <w:t>، الفقرة 54).</w:t>
      </w:r>
      <w:r w:rsidR="007E53D1">
        <w:rPr>
          <w:rFonts w:hint="cs"/>
          <w:rtl/>
          <w:lang w:eastAsia="zh-TW"/>
        </w:rPr>
        <w:t xml:space="preserve"> </w:t>
      </w:r>
    </w:p>
    <w:p w:rsidR="004D4029" w:rsidRPr="00D57891" w:rsidRDefault="00A30EC4" w:rsidP="007E53D1">
      <w:pPr>
        <w:pStyle w:val="SingleTxtGA"/>
        <w:rPr>
          <w:rtl/>
          <w:lang w:eastAsia="zh-TW"/>
        </w:rPr>
      </w:pPr>
      <w:r>
        <w:rPr>
          <w:rtl/>
          <w:lang w:eastAsia="zh-TW"/>
        </w:rPr>
        <w:t>١٧</w:t>
      </w:r>
      <w:r>
        <w:rPr>
          <w:rFonts w:hint="cs"/>
          <w:rtl/>
          <w:lang w:eastAsia="zh-TW"/>
        </w:rPr>
        <w:t>-</w:t>
      </w:r>
      <w:r>
        <w:rPr>
          <w:rtl/>
          <w:lang w:eastAsia="zh-TW"/>
        </w:rPr>
        <w:tab/>
      </w:r>
      <w:r w:rsidR="004D4029" w:rsidRPr="00D57891">
        <w:rPr>
          <w:rtl/>
          <w:lang w:eastAsia="zh-TW"/>
        </w:rPr>
        <w:t>واعتبارا</w:t>
      </w:r>
      <w:r>
        <w:rPr>
          <w:rFonts w:hint="cs"/>
          <w:rtl/>
          <w:lang w:eastAsia="zh-TW"/>
        </w:rPr>
        <w:t>ً</w:t>
      </w:r>
      <w:r w:rsidR="004D4029" w:rsidRPr="00D57891">
        <w:rPr>
          <w:rtl/>
          <w:lang w:eastAsia="zh-TW"/>
        </w:rPr>
        <w:t xml:space="preserve"> من عام 2014، نُفذت برامج توفير الإبر والمحاقن في 90 بلدا</w:t>
      </w:r>
      <w:r w:rsidR="007E53D1">
        <w:rPr>
          <w:rFonts w:hint="cs"/>
          <w:rtl/>
          <w:lang w:eastAsia="zh-TW"/>
        </w:rPr>
        <w:t>ً</w:t>
      </w:r>
      <w:r w:rsidR="004D4029" w:rsidRPr="00D57891">
        <w:rPr>
          <w:rtl/>
          <w:lang w:eastAsia="zh-TW"/>
        </w:rPr>
        <w:t xml:space="preserve"> وأتيح العلاج بمواد بديلة </w:t>
      </w:r>
      <w:r>
        <w:rPr>
          <w:rFonts w:hint="cs"/>
          <w:rtl/>
          <w:lang w:eastAsia="zh-TW"/>
        </w:rPr>
        <w:t xml:space="preserve">لأشباه </w:t>
      </w:r>
      <w:r w:rsidR="004D4029" w:rsidRPr="00D57891">
        <w:rPr>
          <w:rtl/>
          <w:lang w:eastAsia="zh-TW"/>
        </w:rPr>
        <w:t>الأفيون في 80 بلدا</w:t>
      </w:r>
      <w:r w:rsidR="007E53D1">
        <w:rPr>
          <w:rFonts w:hint="cs"/>
          <w:rtl/>
          <w:lang w:eastAsia="zh-TW"/>
        </w:rPr>
        <w:t>ً</w:t>
      </w:r>
      <w:r w:rsidR="004D4029" w:rsidRPr="00D57891">
        <w:rPr>
          <w:rtl/>
          <w:lang w:eastAsia="zh-TW"/>
        </w:rPr>
        <w:t>. بيد أنه ثبت عدم وجود هذه البرامج في 68 بلدا</w:t>
      </w:r>
      <w:r w:rsidR="007E53D1">
        <w:rPr>
          <w:rFonts w:hint="cs"/>
          <w:rtl/>
          <w:lang w:eastAsia="zh-TW"/>
        </w:rPr>
        <w:t>ً</w:t>
      </w:r>
      <w:r w:rsidR="004D4029" w:rsidRPr="00D57891">
        <w:rPr>
          <w:rtl/>
          <w:lang w:eastAsia="zh-TW"/>
        </w:rPr>
        <w:t xml:space="preserve"> من البلدان التي تستخدم فيها المخدرات عن طريق الحقن. وفي عام 2014، أبلغ عن وجود 88 مكانا من الأماكن المخصصة لاستهلاك المخدرات في جميع أنحاء العالم، يقع اثنان منها فقط خارج أوروبا وأستراليا وكندا</w:t>
      </w:r>
      <w:r w:rsidR="004A64ED">
        <w:rPr>
          <w:rStyle w:val="FootnoteReference"/>
          <w:rFonts w:ascii="Traditional Arabic" w:hAnsi="Traditional Arabic"/>
          <w:sz w:val="32"/>
          <w:szCs w:val="32"/>
          <w:rtl/>
          <w:lang w:eastAsia="zh-TW"/>
        </w:rPr>
        <w:t>(</w:t>
      </w:r>
      <w:r w:rsidR="007E53D1" w:rsidRPr="00D57891">
        <w:rPr>
          <w:rStyle w:val="FootnoteReference"/>
          <w:rFonts w:ascii="Traditional Arabic" w:hAnsi="Traditional Arabic"/>
          <w:sz w:val="32"/>
          <w:szCs w:val="32"/>
          <w:rtl/>
          <w:lang w:eastAsia="zh-TW"/>
        </w:rPr>
        <w:footnoteReference w:id="18"/>
      </w:r>
      <w:r w:rsidR="004A64ED">
        <w:rPr>
          <w:rStyle w:val="FootnoteReference"/>
          <w:rFonts w:ascii="Traditional Arabic" w:hAnsi="Traditional Arabic"/>
          <w:sz w:val="32"/>
          <w:szCs w:val="32"/>
          <w:rtl/>
          <w:lang w:eastAsia="zh-TW"/>
        </w:rPr>
        <w:t>)</w:t>
      </w:r>
      <w:r w:rsidR="007E53D1">
        <w:rPr>
          <w:rFonts w:hint="cs"/>
          <w:rtl/>
          <w:lang w:eastAsia="zh-TW"/>
        </w:rPr>
        <w:t>.</w:t>
      </w:r>
      <w:r w:rsidR="004D4029" w:rsidRPr="00D57891">
        <w:rPr>
          <w:rtl/>
          <w:lang w:eastAsia="zh-TW"/>
        </w:rPr>
        <w:t xml:space="preserve"> </w:t>
      </w:r>
    </w:p>
    <w:p w:rsidR="004D4029" w:rsidRPr="00D57891" w:rsidRDefault="00A30EC4" w:rsidP="00B969F3">
      <w:pPr>
        <w:pStyle w:val="SingleTxtGA"/>
        <w:rPr>
          <w:rtl/>
          <w:lang w:eastAsia="zh-TW"/>
        </w:rPr>
      </w:pPr>
      <w:r>
        <w:rPr>
          <w:rtl/>
          <w:lang w:eastAsia="zh-TW"/>
        </w:rPr>
        <w:t>١٨</w:t>
      </w:r>
      <w:r>
        <w:rPr>
          <w:rFonts w:hint="cs"/>
          <w:rtl/>
          <w:lang w:eastAsia="zh-TW"/>
        </w:rPr>
        <w:t>-</w:t>
      </w:r>
      <w:r>
        <w:rPr>
          <w:rFonts w:hint="cs"/>
          <w:rtl/>
          <w:lang w:eastAsia="zh-TW"/>
        </w:rPr>
        <w:tab/>
      </w:r>
      <w:r w:rsidR="00C7401F">
        <w:rPr>
          <w:rFonts w:hint="cs"/>
          <w:rtl/>
          <w:lang w:eastAsia="zh-TW"/>
        </w:rPr>
        <w:t xml:space="preserve">وعدم وجود </w:t>
      </w:r>
      <w:r w:rsidR="004D4029" w:rsidRPr="00D57891">
        <w:rPr>
          <w:rtl/>
          <w:lang w:eastAsia="zh-TW"/>
        </w:rPr>
        <w:t xml:space="preserve">برامج </w:t>
      </w:r>
      <w:r w:rsidR="00C7401F">
        <w:rPr>
          <w:rFonts w:hint="cs"/>
          <w:rtl/>
          <w:lang w:eastAsia="zh-TW"/>
        </w:rPr>
        <w:t>ل</w:t>
      </w:r>
      <w:r w:rsidR="004D4029" w:rsidRPr="00D57891">
        <w:rPr>
          <w:rtl/>
          <w:lang w:eastAsia="zh-TW"/>
        </w:rPr>
        <w:t>توفير الإبر والمحاقن، بوجه خاص، له تأثير مباشر على انتشار فيروس نقص المناعة البشرية. ويمثل الأشخاص الذين يتعاط</w:t>
      </w:r>
      <w:r w:rsidR="00DB343E">
        <w:rPr>
          <w:rtl/>
          <w:lang w:eastAsia="zh-TW"/>
        </w:rPr>
        <w:t>ون المخدرات عن طريق الحقن حوالي</w:t>
      </w:r>
      <w:r w:rsidR="00DB343E">
        <w:rPr>
          <w:rFonts w:hint="cs"/>
          <w:rtl/>
          <w:lang w:eastAsia="zh-TW"/>
        </w:rPr>
        <w:t> </w:t>
      </w:r>
      <w:r w:rsidR="004D4029" w:rsidRPr="00D57891">
        <w:rPr>
          <w:rtl/>
          <w:lang w:eastAsia="zh-TW"/>
        </w:rPr>
        <w:t>10 في المائة من جميع الإصابات الجديدة بفيروس نقص</w:t>
      </w:r>
      <w:r w:rsidR="00DB343E">
        <w:rPr>
          <w:rtl/>
          <w:lang w:eastAsia="zh-TW"/>
        </w:rPr>
        <w:t xml:space="preserve"> المناعة البشرية، ونسبة تصل إلى</w:t>
      </w:r>
      <w:r w:rsidR="00DB343E">
        <w:rPr>
          <w:rFonts w:hint="cs"/>
          <w:rtl/>
          <w:lang w:eastAsia="zh-TW"/>
        </w:rPr>
        <w:t> </w:t>
      </w:r>
      <w:r w:rsidR="004D4029" w:rsidRPr="00D57891">
        <w:rPr>
          <w:rtl/>
          <w:lang w:eastAsia="zh-TW"/>
        </w:rPr>
        <w:t>30 في المائة من الإصابات الجديدة بالفيروس خارج أفريقيا جنوبي الصحراء. وعلى الصعيد العالمي، يقدر عدد متعاطي المخدرات عن طريق الحقن بحوالي 12.19 مليون شخص، يناهز عدد المصابين منهم بفيروس نقص المناعة البشرية 1.65 مليون</w:t>
      </w:r>
      <w:r w:rsidR="004A64ED">
        <w:rPr>
          <w:rStyle w:val="FootnoteReference"/>
          <w:rFonts w:ascii="Traditional Arabic" w:hAnsi="Traditional Arabic"/>
          <w:sz w:val="32"/>
          <w:szCs w:val="32"/>
          <w:rtl/>
          <w:lang w:eastAsia="zh-TW"/>
        </w:rPr>
        <w:t>(</w:t>
      </w:r>
      <w:r w:rsidR="00107E3C" w:rsidRPr="00D57891">
        <w:rPr>
          <w:rStyle w:val="FootnoteReference"/>
          <w:rFonts w:ascii="Traditional Arabic" w:hAnsi="Traditional Arabic"/>
          <w:sz w:val="32"/>
          <w:szCs w:val="32"/>
          <w:rtl/>
          <w:lang w:eastAsia="zh-TW"/>
        </w:rPr>
        <w:footnoteReference w:id="19"/>
      </w:r>
      <w:r w:rsidR="004A64ED">
        <w:rPr>
          <w:rStyle w:val="FootnoteReference"/>
          <w:rFonts w:ascii="Traditional Arabic" w:hAnsi="Traditional Arabic"/>
          <w:sz w:val="32"/>
          <w:szCs w:val="32"/>
          <w:rtl/>
          <w:lang w:eastAsia="zh-TW"/>
        </w:rPr>
        <w:t>)</w:t>
      </w:r>
      <w:r w:rsidR="00107E3C">
        <w:rPr>
          <w:rFonts w:hint="cs"/>
          <w:rtl/>
          <w:lang w:eastAsia="zh-TW"/>
        </w:rPr>
        <w:t>.</w:t>
      </w:r>
      <w:r w:rsidR="004D4029" w:rsidRPr="00D57891">
        <w:rPr>
          <w:rtl/>
          <w:lang w:eastAsia="zh-TW"/>
        </w:rPr>
        <w:t xml:space="preserve"> وتشير تقديرات منظمة الصحة العالمية، المستندة إلى بيانات مستمدة من 49 بلدا، إلى أن متوسط احتمال الإصابة بالفيروس هو أكبر 22 مرة بين متعاطي المخدرات عن طريق الحقن مقارنة بغيرهم من عامة السكان؛ </w:t>
      </w:r>
      <w:r w:rsidR="00C7401F">
        <w:rPr>
          <w:rFonts w:hint="cs"/>
          <w:rtl/>
          <w:lang w:eastAsia="zh-TW"/>
        </w:rPr>
        <w:t>و</w:t>
      </w:r>
      <w:r w:rsidR="004D4029" w:rsidRPr="00D57891">
        <w:rPr>
          <w:rtl/>
          <w:lang w:eastAsia="zh-TW"/>
        </w:rPr>
        <w:t xml:space="preserve">هذا الاحتمال </w:t>
      </w:r>
      <w:r w:rsidR="00C7401F">
        <w:rPr>
          <w:rFonts w:hint="cs"/>
          <w:rtl/>
          <w:lang w:eastAsia="zh-TW"/>
        </w:rPr>
        <w:t xml:space="preserve">أكبر </w:t>
      </w:r>
      <w:r w:rsidR="004D4029" w:rsidRPr="00D57891">
        <w:rPr>
          <w:rtl/>
          <w:lang w:eastAsia="zh-TW"/>
        </w:rPr>
        <w:t xml:space="preserve">50 مرة على </w:t>
      </w:r>
      <w:r w:rsidR="00B969F3">
        <w:rPr>
          <w:rtl/>
          <w:lang w:eastAsia="zh-TW"/>
        </w:rPr>
        <w:t>الأقل في 11 بلدا من هذه البلدان</w:t>
      </w:r>
      <w:r w:rsidR="004A64ED">
        <w:rPr>
          <w:rStyle w:val="FootnoteReference"/>
          <w:rFonts w:ascii="Traditional Arabic" w:hAnsi="Traditional Arabic"/>
          <w:sz w:val="32"/>
          <w:szCs w:val="32"/>
          <w:rtl/>
          <w:lang w:eastAsia="zh-TW"/>
        </w:rPr>
        <w:t>(</w:t>
      </w:r>
      <w:r w:rsidR="00B969F3" w:rsidRPr="00D57891">
        <w:rPr>
          <w:rStyle w:val="FootnoteReference"/>
          <w:rFonts w:ascii="Traditional Arabic" w:hAnsi="Traditional Arabic"/>
          <w:sz w:val="32"/>
          <w:szCs w:val="32"/>
          <w:rtl/>
          <w:lang w:eastAsia="zh-TW"/>
        </w:rPr>
        <w:footnoteReference w:id="20"/>
      </w:r>
      <w:r w:rsidR="004A64ED">
        <w:rPr>
          <w:rStyle w:val="FootnoteReference"/>
          <w:rFonts w:ascii="Traditional Arabic" w:hAnsi="Traditional Arabic"/>
          <w:sz w:val="32"/>
          <w:szCs w:val="32"/>
          <w:rtl/>
          <w:lang w:eastAsia="zh-TW"/>
        </w:rPr>
        <w:t>)</w:t>
      </w:r>
      <w:r w:rsidR="00B969F3">
        <w:rPr>
          <w:rFonts w:hint="cs"/>
          <w:rtl/>
          <w:lang w:eastAsia="zh-TW"/>
        </w:rPr>
        <w:t>.</w:t>
      </w:r>
      <w:r w:rsidR="004D4029" w:rsidRPr="00D57891">
        <w:rPr>
          <w:rtl/>
          <w:lang w:eastAsia="zh-TW"/>
        </w:rPr>
        <w:t xml:space="preserve"> </w:t>
      </w:r>
    </w:p>
    <w:p w:rsidR="004D4029" w:rsidRPr="00D57891" w:rsidRDefault="00C7401F" w:rsidP="00AE10FA">
      <w:pPr>
        <w:pStyle w:val="SingleTxtGA"/>
        <w:rPr>
          <w:rtl/>
          <w:lang w:eastAsia="zh-TW"/>
        </w:rPr>
      </w:pPr>
      <w:r>
        <w:rPr>
          <w:rtl/>
          <w:lang w:eastAsia="zh-TW"/>
        </w:rPr>
        <w:lastRenderedPageBreak/>
        <w:t>١٩</w:t>
      </w:r>
      <w:r>
        <w:rPr>
          <w:rFonts w:hint="cs"/>
          <w:rtl/>
          <w:lang w:eastAsia="zh-TW"/>
        </w:rPr>
        <w:t>-</w:t>
      </w:r>
      <w:r>
        <w:rPr>
          <w:rFonts w:hint="cs"/>
          <w:rtl/>
          <w:lang w:eastAsia="zh-TW"/>
        </w:rPr>
        <w:tab/>
      </w:r>
      <w:r w:rsidR="004D4029" w:rsidRPr="00D57891">
        <w:rPr>
          <w:rtl/>
          <w:lang w:eastAsia="zh-TW"/>
        </w:rPr>
        <w:t xml:space="preserve">وتشمل الفوائد الأخرى المرتبطة ببرامج </w:t>
      </w:r>
      <w:r w:rsidR="004D4029">
        <w:rPr>
          <w:rFonts w:hint="cs"/>
          <w:rtl/>
          <w:lang w:eastAsia="zh-TW"/>
        </w:rPr>
        <w:t>الحد من</w:t>
      </w:r>
      <w:r w:rsidR="004D4029" w:rsidRPr="00D57891">
        <w:rPr>
          <w:rtl/>
          <w:lang w:eastAsia="zh-TW"/>
        </w:rPr>
        <w:t xml:space="preserve"> الضرر زيادة التحاق المصابين ببرامج علاج فيروس نقص المناعة البشرية/الإيدز (انظر </w:t>
      </w:r>
      <w:r w:rsidR="004D4029" w:rsidRPr="00D57891">
        <w:rPr>
          <w:lang w:eastAsia="zh-TW"/>
        </w:rPr>
        <w:t>A/65/255</w:t>
      </w:r>
      <w:r w:rsidR="004D4029" w:rsidRPr="00D57891">
        <w:rPr>
          <w:rtl/>
          <w:lang w:eastAsia="zh-TW"/>
        </w:rPr>
        <w:t xml:space="preserve">، الفقرة 57). وقد أوصى كل من المكتب المعني بالمخدرات والجريمة ومنظمة الصحة العالمية </w:t>
      </w:r>
      <w:r w:rsidR="004D4029" w:rsidRPr="00D57891">
        <w:rPr>
          <w:rFonts w:hint="cs"/>
          <w:rtl/>
          <w:lang w:eastAsia="zh-TW"/>
        </w:rPr>
        <w:t>وبرنامج الأمم</w:t>
      </w:r>
      <w:r w:rsidR="004D4029" w:rsidRPr="00D57891">
        <w:rPr>
          <w:rtl/>
          <w:lang w:eastAsia="zh-TW"/>
        </w:rPr>
        <w:t xml:space="preserve"> المتحدة المشترك بين منظمات الأمم المتحدة لمكافحة الإيدز بدمج مجموعة شاملة من الخدمات المقدمة </w:t>
      </w:r>
      <w:r w:rsidR="004D4029">
        <w:rPr>
          <w:rFonts w:hint="cs"/>
          <w:rtl/>
          <w:lang w:eastAsia="zh-TW"/>
        </w:rPr>
        <w:t>للحد من</w:t>
      </w:r>
      <w:r w:rsidR="004D4029" w:rsidRPr="00D57891">
        <w:rPr>
          <w:rtl/>
          <w:lang w:eastAsia="zh-TW"/>
        </w:rPr>
        <w:t xml:space="preserve"> الضرر في البرامج الوطنية لمكافحة الإيدز، كتدبير من تدابير الوقاية من فيروس نقص المناعة البشرية ودعم الالتزام بعلاج مضادات الفيروسات </w:t>
      </w:r>
      <w:proofErr w:type="spellStart"/>
      <w:r w:rsidR="004D4029" w:rsidRPr="00D57891">
        <w:rPr>
          <w:rtl/>
          <w:lang w:eastAsia="zh-TW"/>
        </w:rPr>
        <w:t>العكوسة</w:t>
      </w:r>
      <w:proofErr w:type="spellEnd"/>
      <w:r w:rsidR="004D4029" w:rsidRPr="00D57891">
        <w:rPr>
          <w:rtl/>
          <w:lang w:eastAsia="zh-TW"/>
        </w:rPr>
        <w:t xml:space="preserve"> وا</w:t>
      </w:r>
      <w:r w:rsidR="00AE10FA">
        <w:rPr>
          <w:rtl/>
          <w:lang w:eastAsia="zh-TW"/>
        </w:rPr>
        <w:t>لمتابعة الطبية لمتعاطي المخدرات</w:t>
      </w:r>
      <w:r w:rsidR="004A64ED">
        <w:rPr>
          <w:rStyle w:val="FootnoteReference"/>
          <w:rFonts w:ascii="Traditional Arabic" w:hAnsi="Traditional Arabic"/>
          <w:sz w:val="32"/>
          <w:szCs w:val="32"/>
          <w:rtl/>
          <w:lang w:eastAsia="zh-TW"/>
        </w:rPr>
        <w:t>(</w:t>
      </w:r>
      <w:r w:rsidR="00AE10FA" w:rsidRPr="00D57891">
        <w:rPr>
          <w:rStyle w:val="FootnoteReference"/>
          <w:rFonts w:ascii="Traditional Arabic" w:hAnsi="Traditional Arabic"/>
          <w:sz w:val="32"/>
          <w:szCs w:val="32"/>
          <w:rtl/>
          <w:lang w:eastAsia="zh-TW"/>
        </w:rPr>
        <w:footnoteReference w:id="21"/>
      </w:r>
      <w:r w:rsidR="004A64ED">
        <w:rPr>
          <w:rStyle w:val="FootnoteReference"/>
          <w:rFonts w:ascii="Traditional Arabic" w:hAnsi="Traditional Arabic"/>
          <w:sz w:val="32"/>
          <w:szCs w:val="32"/>
          <w:rtl/>
          <w:lang w:eastAsia="zh-TW"/>
        </w:rPr>
        <w:t>)</w:t>
      </w:r>
      <w:r w:rsidR="00AE10FA">
        <w:rPr>
          <w:rFonts w:hint="cs"/>
          <w:rtl/>
          <w:lang w:eastAsia="zh-TW"/>
        </w:rPr>
        <w:t>.</w:t>
      </w:r>
      <w:r w:rsidR="004D4029" w:rsidRPr="00D57891">
        <w:rPr>
          <w:rtl/>
          <w:lang w:eastAsia="zh-TW"/>
        </w:rPr>
        <w:t xml:space="preserve"> </w:t>
      </w:r>
    </w:p>
    <w:p w:rsidR="004D4029" w:rsidRPr="00D57891" w:rsidRDefault="006E0905" w:rsidP="00AE10FA">
      <w:pPr>
        <w:pStyle w:val="SingleTxtGA"/>
        <w:rPr>
          <w:rtl/>
          <w:lang w:eastAsia="zh-TW"/>
        </w:rPr>
      </w:pPr>
      <w:r>
        <w:rPr>
          <w:rtl/>
          <w:lang w:eastAsia="zh-TW"/>
        </w:rPr>
        <w:t>٢٠</w:t>
      </w:r>
      <w:r>
        <w:rPr>
          <w:rFonts w:hint="cs"/>
          <w:rtl/>
          <w:lang w:eastAsia="zh-TW"/>
        </w:rPr>
        <w:t>-</w:t>
      </w:r>
      <w:r>
        <w:rPr>
          <w:rFonts w:hint="cs"/>
          <w:rtl/>
          <w:lang w:eastAsia="zh-TW"/>
        </w:rPr>
        <w:tab/>
      </w:r>
      <w:r w:rsidR="004D4029">
        <w:rPr>
          <w:rFonts w:hint="cs"/>
          <w:rtl/>
          <w:lang w:eastAsia="zh-TW"/>
        </w:rPr>
        <w:t>وقارنت</w:t>
      </w:r>
      <w:r w:rsidR="004D4029" w:rsidRPr="00D57891">
        <w:rPr>
          <w:rtl/>
          <w:lang w:eastAsia="zh-TW"/>
        </w:rPr>
        <w:t xml:space="preserve"> إحدى الدراسات بين البلدان التي اعتمدت</w:t>
      </w:r>
      <w:r w:rsidR="00F56A2F">
        <w:rPr>
          <w:rFonts w:hint="cs"/>
          <w:rtl/>
          <w:lang w:eastAsia="zh-TW"/>
        </w:rPr>
        <w:t>،</w:t>
      </w:r>
      <w:r w:rsidR="004D4029" w:rsidRPr="00D57891">
        <w:rPr>
          <w:rtl/>
          <w:lang w:eastAsia="zh-TW"/>
        </w:rPr>
        <w:t xml:space="preserve"> على نحو شامل ومتسق، نُهُجا</w:t>
      </w:r>
      <w:r w:rsidR="00AE10FA">
        <w:rPr>
          <w:rFonts w:hint="cs"/>
          <w:rtl/>
          <w:lang w:eastAsia="zh-TW"/>
        </w:rPr>
        <w:t>ً</w:t>
      </w:r>
      <w:r w:rsidR="004D4029" w:rsidRPr="00D57891">
        <w:rPr>
          <w:rtl/>
          <w:lang w:eastAsia="zh-TW"/>
        </w:rPr>
        <w:t xml:space="preserve"> تقوم على </w:t>
      </w:r>
      <w:r w:rsidR="004D4029">
        <w:rPr>
          <w:rFonts w:hint="cs"/>
          <w:rtl/>
          <w:lang w:eastAsia="zh-TW"/>
        </w:rPr>
        <w:t>الحد من</w:t>
      </w:r>
      <w:r w:rsidR="004D4029" w:rsidRPr="00D57891">
        <w:rPr>
          <w:rtl/>
          <w:lang w:eastAsia="zh-TW"/>
        </w:rPr>
        <w:t xml:space="preserve"> الضرر دون اللجوء إلى الأساليب العقابية</w:t>
      </w:r>
      <w:r w:rsidR="00F56A2F">
        <w:rPr>
          <w:rFonts w:hint="cs"/>
          <w:rtl/>
          <w:lang w:eastAsia="zh-TW"/>
        </w:rPr>
        <w:t>،</w:t>
      </w:r>
      <w:r w:rsidR="004D4029" w:rsidRPr="00D57891">
        <w:rPr>
          <w:rtl/>
          <w:lang w:eastAsia="zh-TW"/>
        </w:rPr>
        <w:t xml:space="preserve"> والبلدان التي ثبتت على موقفها المعاند من برامج </w:t>
      </w:r>
      <w:r w:rsidR="004D4029">
        <w:rPr>
          <w:rFonts w:hint="cs"/>
          <w:rtl/>
          <w:lang w:eastAsia="zh-TW"/>
        </w:rPr>
        <w:t>الحد من</w:t>
      </w:r>
      <w:r w:rsidR="004D4029" w:rsidRPr="00D57891">
        <w:rPr>
          <w:rtl/>
          <w:lang w:eastAsia="zh-TW"/>
        </w:rPr>
        <w:t xml:space="preserve"> الضرر وركزت عوضا</w:t>
      </w:r>
      <w:r w:rsidR="00F56A2F">
        <w:rPr>
          <w:rFonts w:hint="cs"/>
          <w:rtl/>
          <w:lang w:eastAsia="zh-TW"/>
        </w:rPr>
        <w:t>ً</w:t>
      </w:r>
      <w:r w:rsidR="004D4029" w:rsidRPr="00D57891">
        <w:rPr>
          <w:rtl/>
          <w:lang w:eastAsia="zh-TW"/>
        </w:rPr>
        <w:t xml:space="preserve"> عن ذلك على الأساليب العقابية. وخلصت</w:t>
      </w:r>
      <w:r w:rsidR="004D4029">
        <w:rPr>
          <w:rFonts w:hint="cs"/>
          <w:rtl/>
          <w:lang w:eastAsia="zh-TW"/>
        </w:rPr>
        <w:t xml:space="preserve"> الدراسة</w:t>
      </w:r>
      <w:r w:rsidR="004D4029" w:rsidRPr="00D57891">
        <w:rPr>
          <w:rtl/>
          <w:lang w:eastAsia="zh-TW"/>
        </w:rPr>
        <w:t xml:space="preserve"> إلى أن معدل انتشار فيروس نقص المناعة البشرية بين متعاطي المخدرات عن طريق الحقن في أستراليا وألمانيا وسويسرا والمملكة المتحدة لبري</w:t>
      </w:r>
      <w:r w:rsidR="004D4029">
        <w:rPr>
          <w:rtl/>
          <w:lang w:eastAsia="zh-TW"/>
        </w:rPr>
        <w:t>طانيا الع</w:t>
      </w:r>
      <w:r w:rsidR="00F61B6D">
        <w:rPr>
          <w:rtl/>
          <w:lang w:eastAsia="zh-TW"/>
        </w:rPr>
        <w:t xml:space="preserve">ظمى </w:t>
      </w:r>
      <w:proofErr w:type="spellStart"/>
      <w:r w:rsidR="00F61B6D">
        <w:rPr>
          <w:rtl/>
          <w:lang w:eastAsia="zh-TW"/>
        </w:rPr>
        <w:t>و</w:t>
      </w:r>
      <w:r w:rsidR="00F61B6D">
        <w:rPr>
          <w:rFonts w:hint="cs"/>
          <w:rtl/>
          <w:lang w:eastAsia="zh-TW"/>
        </w:rPr>
        <w:t>آ</w:t>
      </w:r>
      <w:r w:rsidR="004D4029">
        <w:rPr>
          <w:rtl/>
          <w:lang w:eastAsia="zh-TW"/>
        </w:rPr>
        <w:t>يرلندا</w:t>
      </w:r>
      <w:proofErr w:type="spellEnd"/>
      <w:r w:rsidR="004D4029">
        <w:rPr>
          <w:rtl/>
          <w:lang w:eastAsia="zh-TW"/>
        </w:rPr>
        <w:t xml:space="preserve"> الشمالية </w:t>
      </w:r>
      <w:r w:rsidR="004D4029">
        <w:rPr>
          <w:rFonts w:hint="cs"/>
          <w:rtl/>
          <w:lang w:eastAsia="zh-TW"/>
        </w:rPr>
        <w:t>ي</w:t>
      </w:r>
      <w:r w:rsidR="004D4029" w:rsidRPr="00D57891">
        <w:rPr>
          <w:rtl/>
          <w:lang w:eastAsia="zh-TW"/>
        </w:rPr>
        <w:t xml:space="preserve">قل </w:t>
      </w:r>
      <w:r w:rsidR="004D4029">
        <w:rPr>
          <w:rFonts w:hint="cs"/>
          <w:rtl/>
          <w:lang w:eastAsia="zh-TW"/>
        </w:rPr>
        <w:t>ع</w:t>
      </w:r>
      <w:r w:rsidR="004D4029" w:rsidRPr="00D57891">
        <w:rPr>
          <w:rtl/>
          <w:lang w:eastAsia="zh-TW"/>
        </w:rPr>
        <w:t>ن</w:t>
      </w:r>
      <w:r w:rsidR="00AE10FA">
        <w:rPr>
          <w:rFonts w:hint="eastAsia"/>
          <w:rtl/>
          <w:lang w:eastAsia="zh-TW"/>
        </w:rPr>
        <w:t> </w:t>
      </w:r>
      <w:r w:rsidR="004D4029" w:rsidRPr="00D57891">
        <w:rPr>
          <w:rtl/>
          <w:lang w:eastAsia="zh-TW"/>
        </w:rPr>
        <w:t>5 في المائة، بينما يتجاوز هذا المعدل في الاتحاد الروسي وتايلند 35 في المائة</w:t>
      </w:r>
      <w:r w:rsidR="004A64ED">
        <w:rPr>
          <w:rStyle w:val="FootnoteReference"/>
          <w:rFonts w:ascii="Traditional Arabic" w:hAnsi="Traditional Arabic"/>
          <w:sz w:val="32"/>
          <w:szCs w:val="32"/>
          <w:rtl/>
          <w:lang w:eastAsia="zh-TW"/>
        </w:rPr>
        <w:t>(</w:t>
      </w:r>
      <w:r w:rsidR="00AE10FA" w:rsidRPr="00D57891">
        <w:rPr>
          <w:rStyle w:val="FootnoteReference"/>
          <w:rFonts w:ascii="Traditional Arabic" w:hAnsi="Traditional Arabic"/>
          <w:sz w:val="32"/>
          <w:szCs w:val="32"/>
          <w:rtl/>
          <w:lang w:eastAsia="zh-TW"/>
        </w:rPr>
        <w:footnoteReference w:id="22"/>
      </w:r>
      <w:r w:rsidR="004A64ED">
        <w:rPr>
          <w:rStyle w:val="FootnoteReference"/>
          <w:rFonts w:ascii="Traditional Arabic" w:hAnsi="Traditional Arabic"/>
          <w:sz w:val="32"/>
          <w:szCs w:val="32"/>
          <w:rtl/>
          <w:lang w:eastAsia="zh-TW"/>
        </w:rPr>
        <w:t>)</w:t>
      </w:r>
      <w:r w:rsidR="00AE10FA">
        <w:rPr>
          <w:rFonts w:hint="cs"/>
          <w:rtl/>
          <w:lang w:eastAsia="zh-TW"/>
        </w:rPr>
        <w:t xml:space="preserve">. </w:t>
      </w:r>
    </w:p>
    <w:p w:rsidR="004D4029" w:rsidRPr="00C13F71" w:rsidRDefault="00F56A2F" w:rsidP="00F56A2F">
      <w:pPr>
        <w:pStyle w:val="H1GA"/>
        <w:rPr>
          <w:rtl/>
          <w:lang w:eastAsia="zh-TW"/>
        </w:rPr>
      </w:pPr>
      <w:r>
        <w:rPr>
          <w:rtl/>
          <w:lang w:eastAsia="zh-TW"/>
        </w:rPr>
        <w:tab/>
      </w:r>
      <w:r w:rsidR="004D4029" w:rsidRPr="00C13F71">
        <w:rPr>
          <w:rFonts w:hint="cs"/>
          <w:rtl/>
          <w:lang w:eastAsia="zh-TW"/>
        </w:rPr>
        <w:t>جيم-</w:t>
      </w:r>
      <w:r>
        <w:rPr>
          <w:rtl/>
          <w:lang w:eastAsia="zh-TW"/>
        </w:rPr>
        <w:tab/>
      </w:r>
      <w:r w:rsidR="004D4029" w:rsidRPr="00C13F71">
        <w:rPr>
          <w:rFonts w:hint="cs"/>
          <w:rtl/>
          <w:lang w:eastAsia="zh-TW"/>
        </w:rPr>
        <w:t>الرعاية</w:t>
      </w:r>
      <w:r w:rsidR="004D4029" w:rsidRPr="00C13F71">
        <w:rPr>
          <w:rtl/>
          <w:lang w:eastAsia="zh-TW"/>
        </w:rPr>
        <w:t xml:space="preserve"> الصحية في السجون</w:t>
      </w:r>
    </w:p>
    <w:p w:rsidR="004D4029" w:rsidRPr="00D57891" w:rsidRDefault="00F56A2F" w:rsidP="003974A7">
      <w:pPr>
        <w:pStyle w:val="SingleTxtGA"/>
        <w:rPr>
          <w:rtl/>
          <w:lang w:eastAsia="zh-TW"/>
        </w:rPr>
      </w:pPr>
      <w:r>
        <w:rPr>
          <w:rtl/>
          <w:lang w:eastAsia="zh-TW"/>
        </w:rPr>
        <w:t>٢١</w:t>
      </w:r>
      <w:r>
        <w:rPr>
          <w:rFonts w:hint="cs"/>
          <w:rtl/>
          <w:lang w:eastAsia="zh-TW"/>
        </w:rPr>
        <w:t>-</w:t>
      </w:r>
      <w:r>
        <w:rPr>
          <w:rFonts w:hint="cs"/>
          <w:rtl/>
          <w:lang w:eastAsia="zh-TW"/>
        </w:rPr>
        <w:tab/>
      </w:r>
      <w:r w:rsidR="004D4029">
        <w:rPr>
          <w:rFonts w:hint="cs"/>
          <w:rtl/>
          <w:lang w:eastAsia="zh-TW"/>
        </w:rPr>
        <w:t>سجلت مرارا</w:t>
      </w:r>
      <w:r w:rsidR="001A4A4A">
        <w:rPr>
          <w:rFonts w:hint="cs"/>
          <w:rtl/>
          <w:lang w:eastAsia="zh-TW"/>
        </w:rPr>
        <w:t>ً</w:t>
      </w:r>
      <w:r w:rsidR="004D4029" w:rsidRPr="00D57891">
        <w:rPr>
          <w:rtl/>
          <w:lang w:eastAsia="zh-TW"/>
        </w:rPr>
        <w:t xml:space="preserve"> حالات </w:t>
      </w:r>
      <w:r w:rsidR="004D4029">
        <w:rPr>
          <w:rFonts w:hint="cs"/>
          <w:rtl/>
          <w:lang w:eastAsia="zh-TW"/>
        </w:rPr>
        <w:t>ل</w:t>
      </w:r>
      <w:r w:rsidR="004D4029" w:rsidRPr="00D57891">
        <w:rPr>
          <w:rtl/>
          <w:lang w:eastAsia="zh-TW"/>
        </w:rPr>
        <w:t xml:space="preserve">تعاطي المخدرات في السجون، بما في ذلك عن طريق الحقن، في جميع أنحاء العالم. وارتفاع معدلات تشارك معدات الحقن يزيد من خطر نقل فيروس نقص المناعة البشرية في السجون. </w:t>
      </w:r>
      <w:r>
        <w:rPr>
          <w:rFonts w:hint="cs"/>
          <w:rtl/>
          <w:lang w:eastAsia="zh-TW"/>
        </w:rPr>
        <w:t>ويحق ل</w:t>
      </w:r>
      <w:r w:rsidR="004D4029" w:rsidRPr="00D57891">
        <w:rPr>
          <w:rtl/>
          <w:lang w:eastAsia="zh-TW"/>
        </w:rPr>
        <w:t xml:space="preserve">لأشخاص قيد الاحتجاز </w:t>
      </w:r>
      <w:r>
        <w:rPr>
          <w:rFonts w:hint="cs"/>
          <w:rtl/>
          <w:lang w:eastAsia="zh-TW"/>
        </w:rPr>
        <w:t>الحصول</w:t>
      </w:r>
      <w:r w:rsidR="004D4029">
        <w:rPr>
          <w:rFonts w:hint="cs"/>
          <w:rtl/>
          <w:lang w:eastAsia="zh-TW"/>
        </w:rPr>
        <w:t xml:space="preserve">، </w:t>
      </w:r>
      <w:r w:rsidR="004D4029">
        <w:rPr>
          <w:rtl/>
          <w:lang w:eastAsia="zh-TW"/>
        </w:rPr>
        <w:t>دون أي تمييز</w:t>
      </w:r>
      <w:r w:rsidR="004D4029">
        <w:rPr>
          <w:rFonts w:hint="cs"/>
          <w:rtl/>
          <w:lang w:eastAsia="zh-TW"/>
        </w:rPr>
        <w:t xml:space="preserve">، </w:t>
      </w:r>
      <w:r>
        <w:rPr>
          <w:rFonts w:hint="cs"/>
          <w:rtl/>
          <w:lang w:eastAsia="zh-TW"/>
        </w:rPr>
        <w:t xml:space="preserve">على </w:t>
      </w:r>
      <w:r w:rsidR="004D4029" w:rsidRPr="00D57891">
        <w:rPr>
          <w:rtl/>
          <w:lang w:eastAsia="zh-TW"/>
        </w:rPr>
        <w:t xml:space="preserve">رعاية صحية مساوية لما هو متاح خارج أماكن الاحتجاز، بما في ذلك </w:t>
      </w:r>
      <w:r w:rsidR="004D4029">
        <w:rPr>
          <w:rFonts w:hint="cs"/>
          <w:rtl/>
          <w:lang w:eastAsia="zh-TW"/>
        </w:rPr>
        <w:t>الرعاية المتعلقة</w:t>
      </w:r>
      <w:r w:rsidR="004D4029" w:rsidRPr="00D57891">
        <w:rPr>
          <w:rtl/>
          <w:lang w:eastAsia="zh-TW"/>
        </w:rPr>
        <w:t xml:space="preserve"> بالوقاية </w:t>
      </w:r>
      <w:r w:rsidR="004D4029">
        <w:rPr>
          <w:rFonts w:hint="cs"/>
          <w:rtl/>
          <w:lang w:eastAsia="zh-TW"/>
        </w:rPr>
        <w:t>والحد من</w:t>
      </w:r>
      <w:r w:rsidR="004D4029" w:rsidRPr="00D57891">
        <w:rPr>
          <w:rtl/>
          <w:lang w:eastAsia="zh-TW"/>
        </w:rPr>
        <w:t xml:space="preserve"> الضرر والعلاج المضاد للفيروسات </w:t>
      </w:r>
      <w:proofErr w:type="spellStart"/>
      <w:r w:rsidR="004D4029" w:rsidRPr="00D57891">
        <w:rPr>
          <w:rtl/>
          <w:lang w:eastAsia="zh-TW"/>
        </w:rPr>
        <w:t>العكوسة</w:t>
      </w:r>
      <w:proofErr w:type="spellEnd"/>
      <w:r w:rsidR="004D4029" w:rsidRPr="00D57891">
        <w:rPr>
          <w:rtl/>
          <w:lang w:eastAsia="zh-TW"/>
        </w:rPr>
        <w:t xml:space="preserve">. فاستمرار الحصول على الرعاية يكتسي أهمية قصوى بالنسبة </w:t>
      </w:r>
      <w:r w:rsidR="004D4029">
        <w:rPr>
          <w:rFonts w:hint="cs"/>
          <w:rtl/>
          <w:lang w:eastAsia="zh-TW"/>
        </w:rPr>
        <w:t>للشخص</w:t>
      </w:r>
      <w:r w:rsidR="004D4029" w:rsidRPr="00D57891">
        <w:rPr>
          <w:rtl/>
          <w:lang w:eastAsia="zh-TW"/>
        </w:rPr>
        <w:t xml:space="preserve"> الذي يحتجز وكان يتلق</w:t>
      </w:r>
      <w:r w:rsidR="004D4029">
        <w:rPr>
          <w:rFonts w:hint="cs"/>
          <w:rtl/>
          <w:lang w:eastAsia="zh-TW"/>
        </w:rPr>
        <w:t>ى</w:t>
      </w:r>
      <w:r w:rsidR="004D4029" w:rsidRPr="00D57891">
        <w:rPr>
          <w:rtl/>
          <w:lang w:eastAsia="zh-TW"/>
        </w:rPr>
        <w:t xml:space="preserve"> علاجا</w:t>
      </w:r>
      <w:r>
        <w:rPr>
          <w:rFonts w:hint="cs"/>
          <w:rtl/>
          <w:lang w:eastAsia="zh-TW"/>
        </w:rPr>
        <w:t>ً</w:t>
      </w:r>
      <w:r w:rsidR="004D4029" w:rsidRPr="00D57891">
        <w:rPr>
          <w:rtl/>
          <w:lang w:eastAsia="zh-TW"/>
        </w:rPr>
        <w:t xml:space="preserve"> من قبيل العلاج بمواد بديلة </w:t>
      </w:r>
      <w:r>
        <w:rPr>
          <w:rFonts w:hint="cs"/>
          <w:rtl/>
          <w:lang w:eastAsia="zh-TW"/>
        </w:rPr>
        <w:t xml:space="preserve">لأشباه </w:t>
      </w:r>
      <w:r w:rsidR="004D4029" w:rsidRPr="00D57891">
        <w:rPr>
          <w:rtl/>
          <w:lang w:eastAsia="zh-TW"/>
        </w:rPr>
        <w:t xml:space="preserve">الأفيون أو العلاج المضاد للفيروسات </w:t>
      </w:r>
      <w:proofErr w:type="spellStart"/>
      <w:r w:rsidR="004D4029" w:rsidRPr="00D57891">
        <w:rPr>
          <w:rtl/>
          <w:lang w:eastAsia="zh-TW"/>
        </w:rPr>
        <w:t>العكوسة</w:t>
      </w:r>
      <w:proofErr w:type="spellEnd"/>
      <w:r w:rsidR="004D4029" w:rsidRPr="00D57891">
        <w:rPr>
          <w:rtl/>
          <w:lang w:eastAsia="zh-TW"/>
        </w:rPr>
        <w:t xml:space="preserve"> أو علاج السل، لأن </w:t>
      </w:r>
      <w:r w:rsidR="004D4029">
        <w:rPr>
          <w:rFonts w:hint="cs"/>
          <w:rtl/>
          <w:lang w:eastAsia="zh-TW"/>
        </w:rPr>
        <w:t>وقف</w:t>
      </w:r>
      <w:r w:rsidR="004D4029" w:rsidRPr="00D57891">
        <w:rPr>
          <w:rtl/>
          <w:lang w:eastAsia="zh-TW"/>
        </w:rPr>
        <w:t xml:space="preserve"> هذا العلاج له عواقب خطيرة على الصحة</w:t>
      </w:r>
      <w:r w:rsidR="004A64ED">
        <w:rPr>
          <w:rStyle w:val="FootnoteReference"/>
          <w:rFonts w:ascii="Traditional Arabic" w:hAnsi="Traditional Arabic"/>
          <w:sz w:val="32"/>
          <w:szCs w:val="32"/>
          <w:rtl/>
          <w:lang w:eastAsia="zh-TW"/>
        </w:rPr>
        <w:t>(</w:t>
      </w:r>
      <w:r w:rsidR="003974A7" w:rsidRPr="00D57891">
        <w:rPr>
          <w:rStyle w:val="FootnoteReference"/>
          <w:rFonts w:ascii="Traditional Arabic" w:hAnsi="Traditional Arabic"/>
          <w:sz w:val="32"/>
          <w:szCs w:val="32"/>
          <w:rtl/>
          <w:lang w:eastAsia="zh-TW"/>
        </w:rPr>
        <w:footnoteReference w:id="23"/>
      </w:r>
      <w:r w:rsidR="004A64ED">
        <w:rPr>
          <w:rStyle w:val="FootnoteReference"/>
          <w:rFonts w:ascii="Traditional Arabic" w:hAnsi="Traditional Arabic"/>
          <w:sz w:val="32"/>
          <w:szCs w:val="32"/>
          <w:rtl/>
          <w:lang w:eastAsia="zh-TW"/>
        </w:rPr>
        <w:t>)</w:t>
      </w:r>
      <w:r w:rsidR="003974A7">
        <w:rPr>
          <w:rFonts w:hint="cs"/>
          <w:rtl/>
          <w:lang w:eastAsia="zh-TW"/>
        </w:rPr>
        <w:t>.</w:t>
      </w:r>
      <w:r w:rsidR="004D4029" w:rsidRPr="00D57891">
        <w:rPr>
          <w:rtl/>
          <w:lang w:eastAsia="zh-TW"/>
        </w:rPr>
        <w:t xml:space="preserve"> </w:t>
      </w:r>
    </w:p>
    <w:p w:rsidR="004D4029" w:rsidRPr="00D57891" w:rsidRDefault="00F56A2F" w:rsidP="002267C0">
      <w:pPr>
        <w:pStyle w:val="SingleTxtGA"/>
        <w:rPr>
          <w:rtl/>
          <w:lang w:eastAsia="zh-TW"/>
        </w:rPr>
      </w:pPr>
      <w:r>
        <w:rPr>
          <w:rtl/>
          <w:lang w:eastAsia="zh-TW"/>
        </w:rPr>
        <w:t>٢٢</w:t>
      </w:r>
      <w:r>
        <w:rPr>
          <w:rFonts w:hint="cs"/>
          <w:rtl/>
          <w:lang w:eastAsia="zh-TW"/>
        </w:rPr>
        <w:t>-</w:t>
      </w:r>
      <w:r>
        <w:rPr>
          <w:rFonts w:hint="cs"/>
          <w:rtl/>
          <w:lang w:eastAsia="zh-TW"/>
        </w:rPr>
        <w:tab/>
      </w:r>
      <w:r w:rsidR="004D4029" w:rsidRPr="00D57891">
        <w:rPr>
          <w:rtl/>
          <w:lang w:eastAsia="zh-TW"/>
        </w:rPr>
        <w:t xml:space="preserve">وقد ذكر المقرر الخاص المعني بالحق في الصحة أن </w:t>
      </w:r>
      <w:r w:rsidR="004D4029">
        <w:rPr>
          <w:rFonts w:hint="cs"/>
          <w:rtl/>
          <w:lang w:eastAsia="zh-TW"/>
        </w:rPr>
        <w:t xml:space="preserve">إتاحة </w:t>
      </w:r>
      <w:r w:rsidR="004D4029" w:rsidRPr="00D57891">
        <w:rPr>
          <w:rtl/>
          <w:lang w:eastAsia="zh-TW"/>
        </w:rPr>
        <w:t xml:space="preserve">برامج </w:t>
      </w:r>
      <w:r w:rsidR="004D4029">
        <w:rPr>
          <w:rFonts w:hint="cs"/>
          <w:rtl/>
          <w:lang w:eastAsia="zh-TW"/>
        </w:rPr>
        <w:t>الحد من</w:t>
      </w:r>
      <w:r w:rsidR="004D4029" w:rsidRPr="00D57891">
        <w:rPr>
          <w:rtl/>
          <w:lang w:eastAsia="zh-TW"/>
        </w:rPr>
        <w:t xml:space="preserve"> الضرر والعلاج </w:t>
      </w:r>
      <w:r w:rsidR="004D4029">
        <w:rPr>
          <w:rFonts w:hint="cs"/>
          <w:rtl/>
          <w:lang w:eastAsia="zh-TW"/>
        </w:rPr>
        <w:t>الم</w:t>
      </w:r>
      <w:r w:rsidR="004D4029" w:rsidRPr="00D57891">
        <w:rPr>
          <w:rtl/>
          <w:lang w:eastAsia="zh-TW"/>
        </w:rPr>
        <w:t>رتكز إلى الأدلة</w:t>
      </w:r>
      <w:r w:rsidR="004D4029">
        <w:rPr>
          <w:rFonts w:hint="cs"/>
          <w:rtl/>
          <w:lang w:eastAsia="zh-TW"/>
        </w:rPr>
        <w:t xml:space="preserve"> لعامة الناس دون</w:t>
      </w:r>
      <w:r w:rsidR="004D4029">
        <w:rPr>
          <w:rtl/>
          <w:lang w:eastAsia="zh-TW"/>
        </w:rPr>
        <w:t xml:space="preserve"> الأشخاص قيد الاحتجاز</w:t>
      </w:r>
      <w:r w:rsidR="004D4029" w:rsidRPr="00D57891">
        <w:rPr>
          <w:rtl/>
          <w:lang w:eastAsia="zh-TW"/>
        </w:rPr>
        <w:t>، فيه</w:t>
      </w:r>
      <w:r w:rsidR="002267C0">
        <w:rPr>
          <w:rFonts w:hint="cs"/>
          <w:rtl/>
          <w:lang w:eastAsia="zh-TW"/>
        </w:rPr>
        <w:t>ا</w:t>
      </w:r>
      <w:r w:rsidR="004D4029" w:rsidRPr="00D57891">
        <w:rPr>
          <w:rtl/>
          <w:lang w:eastAsia="zh-TW"/>
        </w:rPr>
        <w:t xml:space="preserve"> انتهاك للحق في الصحة. ومع ذلك، فإن عدد البلدان التي توفر العلاج بمواد بديلة </w:t>
      </w:r>
      <w:r w:rsidR="002267C0">
        <w:rPr>
          <w:rFonts w:hint="cs"/>
          <w:rtl/>
          <w:lang w:eastAsia="zh-TW"/>
        </w:rPr>
        <w:t xml:space="preserve">لأشباه </w:t>
      </w:r>
      <w:r w:rsidR="004D4029" w:rsidRPr="00D57891">
        <w:rPr>
          <w:rtl/>
          <w:lang w:eastAsia="zh-TW"/>
        </w:rPr>
        <w:t>الأفيون لم يتجاوز 43 بلدا</w:t>
      </w:r>
      <w:r w:rsidR="000B3762">
        <w:rPr>
          <w:rFonts w:hint="cs"/>
          <w:rtl/>
          <w:lang w:eastAsia="zh-TW"/>
        </w:rPr>
        <w:t>ً</w:t>
      </w:r>
      <w:r w:rsidR="004D4029" w:rsidRPr="00D57891">
        <w:rPr>
          <w:rtl/>
          <w:lang w:eastAsia="zh-TW"/>
        </w:rPr>
        <w:t xml:space="preserve"> في عام 2014، مع أن هذا العلاج </w:t>
      </w:r>
      <w:r w:rsidR="002267C0">
        <w:rPr>
          <w:rFonts w:hint="cs"/>
          <w:rtl/>
          <w:lang w:eastAsia="zh-TW"/>
        </w:rPr>
        <w:t xml:space="preserve">كان متاحاً </w:t>
      </w:r>
      <w:r w:rsidR="004D4029" w:rsidRPr="00D57891">
        <w:rPr>
          <w:rtl/>
          <w:lang w:eastAsia="zh-TW"/>
        </w:rPr>
        <w:t>في 80 بلدا</w:t>
      </w:r>
      <w:r w:rsidR="002267C0">
        <w:rPr>
          <w:rFonts w:hint="cs"/>
          <w:rtl/>
          <w:lang w:eastAsia="zh-TW"/>
        </w:rPr>
        <w:t>ً</w:t>
      </w:r>
      <w:r w:rsidR="004D4029" w:rsidRPr="00D57891">
        <w:rPr>
          <w:rtl/>
          <w:lang w:eastAsia="zh-TW"/>
        </w:rPr>
        <w:t>.</w:t>
      </w:r>
      <w:r w:rsidR="004D4029">
        <w:rPr>
          <w:rFonts w:hint="cs"/>
          <w:rtl/>
          <w:lang w:eastAsia="zh-TW"/>
        </w:rPr>
        <w:t xml:space="preserve"> </w:t>
      </w:r>
      <w:r w:rsidR="004D4029" w:rsidRPr="00D57891">
        <w:rPr>
          <w:rtl/>
          <w:lang w:eastAsia="zh-TW"/>
        </w:rPr>
        <w:t>ورأى أيضا</w:t>
      </w:r>
      <w:r w:rsidR="00FD5C90">
        <w:rPr>
          <w:rFonts w:hint="cs"/>
          <w:rtl/>
          <w:lang w:eastAsia="zh-TW"/>
        </w:rPr>
        <w:t>ً</w:t>
      </w:r>
      <w:r w:rsidR="004D4029" w:rsidRPr="00D57891">
        <w:rPr>
          <w:rtl/>
          <w:lang w:eastAsia="zh-TW"/>
        </w:rPr>
        <w:t xml:space="preserve"> أن </w:t>
      </w:r>
      <w:r w:rsidR="004D4029">
        <w:rPr>
          <w:rFonts w:hint="cs"/>
          <w:rtl/>
          <w:lang w:eastAsia="zh-TW"/>
        </w:rPr>
        <w:t xml:space="preserve">المخاطر الصحية البالغة التي </w:t>
      </w:r>
      <w:r w:rsidR="004D4029" w:rsidRPr="00D57891">
        <w:rPr>
          <w:rtl/>
          <w:lang w:eastAsia="zh-TW"/>
        </w:rPr>
        <w:t>ينطوي عليه</w:t>
      </w:r>
      <w:r w:rsidR="004D4029">
        <w:rPr>
          <w:rFonts w:hint="cs"/>
          <w:rtl/>
          <w:lang w:eastAsia="zh-TW"/>
        </w:rPr>
        <w:t>ا</w:t>
      </w:r>
      <w:r w:rsidR="004D4029" w:rsidRPr="00D57891">
        <w:rPr>
          <w:rtl/>
          <w:lang w:eastAsia="zh-TW"/>
        </w:rPr>
        <w:t xml:space="preserve"> الحبس يستلزم تنفيذ برامج </w:t>
      </w:r>
      <w:r w:rsidR="004D4029">
        <w:rPr>
          <w:rFonts w:hint="cs"/>
          <w:rtl/>
          <w:lang w:eastAsia="zh-TW"/>
        </w:rPr>
        <w:t>الحد</w:t>
      </w:r>
      <w:r w:rsidR="004D4029" w:rsidRPr="00D57891">
        <w:rPr>
          <w:rtl/>
          <w:lang w:eastAsia="zh-TW"/>
        </w:rPr>
        <w:t xml:space="preserve"> الضرر وتقديم العلاج لمدمني </w:t>
      </w:r>
      <w:r w:rsidR="004D4029" w:rsidRPr="00D57891">
        <w:rPr>
          <w:rtl/>
          <w:lang w:eastAsia="zh-TW"/>
        </w:rPr>
        <w:lastRenderedPageBreak/>
        <w:t>المخدرات</w:t>
      </w:r>
      <w:r w:rsidR="004D4029">
        <w:rPr>
          <w:rFonts w:hint="cs"/>
          <w:rtl/>
          <w:lang w:eastAsia="zh-TW"/>
        </w:rPr>
        <w:t>.</w:t>
      </w:r>
      <w:r w:rsidR="004D4029" w:rsidRPr="00D57891">
        <w:rPr>
          <w:rtl/>
          <w:lang w:eastAsia="zh-TW"/>
        </w:rPr>
        <w:t xml:space="preserve"> وينبغي أن يُعالَج </w:t>
      </w:r>
      <w:r w:rsidR="004D4029">
        <w:rPr>
          <w:rFonts w:hint="cs"/>
          <w:rtl/>
          <w:lang w:eastAsia="zh-TW"/>
        </w:rPr>
        <w:t>مدمن ا</w:t>
      </w:r>
      <w:r w:rsidR="004D4029" w:rsidRPr="00D57891">
        <w:rPr>
          <w:rtl/>
          <w:lang w:eastAsia="zh-TW"/>
        </w:rPr>
        <w:t xml:space="preserve">لمخدرات تحقيقا لأهداف الصحة العامة، حتى وإن كانت هذه الخدمات غير متاحة بعد على صعيد المجتمع المحلي (انظر </w:t>
      </w:r>
      <w:r w:rsidR="004D4029" w:rsidRPr="00D57891">
        <w:rPr>
          <w:lang w:eastAsia="zh-TW"/>
        </w:rPr>
        <w:t>A/65/255</w:t>
      </w:r>
      <w:r w:rsidR="004D4029" w:rsidRPr="00D57891">
        <w:rPr>
          <w:rtl/>
          <w:lang w:eastAsia="zh-TW"/>
        </w:rPr>
        <w:t>، الفقرة 60).</w:t>
      </w:r>
    </w:p>
    <w:p w:rsidR="004D4029" w:rsidRPr="00D57891" w:rsidRDefault="00FD5C90" w:rsidP="00E53619">
      <w:pPr>
        <w:pStyle w:val="SingleTxtGA"/>
        <w:rPr>
          <w:rtl/>
          <w:lang w:eastAsia="zh-TW"/>
        </w:rPr>
      </w:pPr>
      <w:r>
        <w:rPr>
          <w:rtl/>
          <w:lang w:eastAsia="zh-TW"/>
        </w:rPr>
        <w:t>٢٣</w:t>
      </w:r>
      <w:r>
        <w:rPr>
          <w:rFonts w:hint="cs"/>
          <w:rtl/>
          <w:lang w:eastAsia="zh-TW"/>
        </w:rPr>
        <w:t>-</w:t>
      </w:r>
      <w:r>
        <w:rPr>
          <w:rFonts w:hint="cs"/>
          <w:rtl/>
          <w:lang w:eastAsia="zh-TW"/>
        </w:rPr>
        <w:tab/>
        <w:t xml:space="preserve">وتدابير </w:t>
      </w:r>
      <w:r w:rsidR="004D4029" w:rsidRPr="00D57891">
        <w:rPr>
          <w:rtl/>
          <w:lang w:eastAsia="zh-TW"/>
        </w:rPr>
        <w:t xml:space="preserve">الحماية الصحية، بما في ذلك تدابير </w:t>
      </w:r>
      <w:r w:rsidR="004D4029">
        <w:rPr>
          <w:rFonts w:hint="cs"/>
          <w:rtl/>
          <w:lang w:eastAsia="zh-TW"/>
        </w:rPr>
        <w:t>الحد من ال</w:t>
      </w:r>
      <w:r w:rsidR="004D4029" w:rsidRPr="00D57891">
        <w:rPr>
          <w:rtl/>
          <w:lang w:eastAsia="zh-TW"/>
        </w:rPr>
        <w:t xml:space="preserve">ضرر، </w:t>
      </w:r>
      <w:r>
        <w:rPr>
          <w:rFonts w:hint="cs"/>
          <w:rtl/>
          <w:lang w:eastAsia="zh-TW"/>
        </w:rPr>
        <w:t xml:space="preserve">تدابير فعالة </w:t>
      </w:r>
      <w:r w:rsidR="004D4029" w:rsidRPr="00D57891">
        <w:rPr>
          <w:rtl/>
          <w:lang w:eastAsia="zh-TW"/>
        </w:rPr>
        <w:t>في السجون وفي برامج تقديم العلاج لمتعاطي المخدرات، والحاجة إليها ماسة</w:t>
      </w:r>
      <w:r w:rsidR="004D4029">
        <w:rPr>
          <w:rFonts w:hint="cs"/>
          <w:rtl/>
          <w:lang w:eastAsia="zh-TW"/>
        </w:rPr>
        <w:t>ٌ</w:t>
      </w:r>
      <w:r w:rsidR="004D4029" w:rsidRPr="00D57891">
        <w:rPr>
          <w:rtl/>
          <w:lang w:eastAsia="zh-TW"/>
        </w:rPr>
        <w:t xml:space="preserve"> في جميع أماكن الاحتجاز</w:t>
      </w:r>
      <w:r w:rsidR="004A64ED">
        <w:rPr>
          <w:rStyle w:val="FootnoteReference"/>
          <w:rFonts w:ascii="Traditional Arabic" w:hAnsi="Traditional Arabic"/>
          <w:sz w:val="32"/>
          <w:szCs w:val="32"/>
          <w:rtl/>
          <w:lang w:eastAsia="zh-TW"/>
        </w:rPr>
        <w:t>(</w:t>
      </w:r>
      <w:r w:rsidR="00E53619" w:rsidRPr="00D57891">
        <w:rPr>
          <w:rStyle w:val="FootnoteReference"/>
          <w:rFonts w:ascii="Traditional Arabic" w:hAnsi="Traditional Arabic"/>
          <w:sz w:val="32"/>
          <w:szCs w:val="32"/>
          <w:rtl/>
          <w:lang w:eastAsia="zh-TW"/>
        </w:rPr>
        <w:footnoteReference w:id="24"/>
      </w:r>
      <w:r w:rsidR="004A64ED">
        <w:rPr>
          <w:rStyle w:val="FootnoteReference"/>
          <w:rFonts w:ascii="Traditional Arabic" w:hAnsi="Traditional Arabic"/>
          <w:sz w:val="32"/>
          <w:szCs w:val="32"/>
          <w:rtl/>
          <w:lang w:eastAsia="zh-TW"/>
        </w:rPr>
        <w:t>)</w:t>
      </w:r>
      <w:r w:rsidR="00E53619">
        <w:rPr>
          <w:rFonts w:hint="cs"/>
          <w:rtl/>
          <w:lang w:eastAsia="zh-TW"/>
        </w:rPr>
        <w:t>.</w:t>
      </w:r>
      <w:r w:rsidR="004D4029" w:rsidRPr="00D57891">
        <w:rPr>
          <w:rtl/>
          <w:lang w:eastAsia="zh-TW"/>
        </w:rPr>
        <w:t xml:space="preserve"> وقد لوحظ </w:t>
      </w:r>
      <w:r w:rsidR="004D6383">
        <w:rPr>
          <w:rtl/>
          <w:lang w:eastAsia="zh-TW"/>
        </w:rPr>
        <w:t>أيضاً</w:t>
      </w:r>
      <w:r w:rsidR="004D4029" w:rsidRPr="00D57891">
        <w:rPr>
          <w:rtl/>
          <w:lang w:eastAsia="zh-TW"/>
        </w:rPr>
        <w:t xml:space="preserve"> أن العلاج من إدمان المخدرات فعالٌ </w:t>
      </w:r>
      <w:r w:rsidR="004D4029">
        <w:rPr>
          <w:rFonts w:hint="cs"/>
          <w:rtl/>
          <w:lang w:eastAsia="zh-TW"/>
        </w:rPr>
        <w:t>جدا</w:t>
      </w:r>
      <w:r w:rsidR="004D4029" w:rsidRPr="00D57891">
        <w:rPr>
          <w:rtl/>
          <w:lang w:eastAsia="zh-TW"/>
        </w:rPr>
        <w:t xml:space="preserve"> في خفض الجريمة، لأن الحصول على العلاج والرعاية داخل السجون أو كبديل للسجن، يقلص معدلات الانتكاس وانتقال فيروس نقص المناعة البشرية والعودة إلى الإجرام</w:t>
      </w:r>
      <w:r w:rsidR="004A64ED">
        <w:rPr>
          <w:rStyle w:val="FootnoteReference"/>
          <w:rFonts w:ascii="Traditional Arabic" w:hAnsi="Traditional Arabic"/>
          <w:sz w:val="32"/>
          <w:szCs w:val="32"/>
          <w:rtl/>
          <w:lang w:eastAsia="zh-TW"/>
        </w:rPr>
        <w:t>(</w:t>
      </w:r>
      <w:r w:rsidR="00E53619" w:rsidRPr="00D57891">
        <w:rPr>
          <w:rStyle w:val="FootnoteReference"/>
          <w:rFonts w:ascii="Traditional Arabic" w:hAnsi="Traditional Arabic"/>
          <w:sz w:val="32"/>
          <w:szCs w:val="32"/>
          <w:rtl/>
          <w:lang w:eastAsia="zh-TW"/>
        </w:rPr>
        <w:footnoteReference w:id="25"/>
      </w:r>
      <w:r w:rsidR="004A64ED">
        <w:rPr>
          <w:rStyle w:val="FootnoteReference"/>
          <w:rFonts w:ascii="Traditional Arabic" w:hAnsi="Traditional Arabic"/>
          <w:sz w:val="32"/>
          <w:szCs w:val="32"/>
          <w:rtl/>
          <w:lang w:eastAsia="zh-TW"/>
        </w:rPr>
        <w:t>)</w:t>
      </w:r>
      <w:r w:rsidR="00E53619">
        <w:rPr>
          <w:rFonts w:hint="cs"/>
          <w:rtl/>
          <w:lang w:eastAsia="zh-TW"/>
        </w:rPr>
        <w:t>.</w:t>
      </w:r>
      <w:r w:rsidR="004D4029" w:rsidRPr="00D57891">
        <w:rPr>
          <w:rtl/>
          <w:lang w:eastAsia="zh-TW"/>
        </w:rPr>
        <w:t xml:space="preserve"> </w:t>
      </w:r>
    </w:p>
    <w:p w:rsidR="004D4029" w:rsidRPr="00AA62B2" w:rsidRDefault="00FD5C90" w:rsidP="00FD5C90">
      <w:pPr>
        <w:pStyle w:val="H1GA"/>
        <w:rPr>
          <w:rtl/>
          <w:lang w:eastAsia="zh-TW"/>
        </w:rPr>
      </w:pPr>
      <w:r>
        <w:rPr>
          <w:rtl/>
          <w:lang w:eastAsia="zh-TW"/>
        </w:rPr>
        <w:tab/>
      </w:r>
      <w:r w:rsidR="004D4029" w:rsidRPr="00AA62B2">
        <w:rPr>
          <w:rFonts w:hint="cs"/>
          <w:rtl/>
          <w:lang w:eastAsia="zh-TW"/>
        </w:rPr>
        <w:t>دال-</w:t>
      </w:r>
      <w:r>
        <w:rPr>
          <w:rtl/>
          <w:lang w:eastAsia="zh-TW"/>
        </w:rPr>
        <w:tab/>
      </w:r>
      <w:r w:rsidR="004D4029" w:rsidRPr="00AA62B2">
        <w:rPr>
          <w:rFonts w:hint="cs"/>
          <w:rtl/>
          <w:lang w:eastAsia="zh-TW"/>
        </w:rPr>
        <w:t>معوقات</w:t>
      </w:r>
      <w:r w:rsidR="004D4029" w:rsidRPr="00AA62B2">
        <w:rPr>
          <w:rtl/>
          <w:lang w:eastAsia="zh-TW"/>
        </w:rPr>
        <w:t xml:space="preserve"> إعمال الحق في الصحة</w:t>
      </w:r>
    </w:p>
    <w:p w:rsidR="004D4029" w:rsidRPr="00D57891" w:rsidRDefault="00FD5C90" w:rsidP="00FD5C90">
      <w:pPr>
        <w:pStyle w:val="SingleTxtGA"/>
        <w:rPr>
          <w:rtl/>
          <w:lang w:eastAsia="zh-TW"/>
        </w:rPr>
      </w:pPr>
      <w:r>
        <w:rPr>
          <w:rtl/>
          <w:lang w:eastAsia="zh-TW"/>
        </w:rPr>
        <w:t>٢٤</w:t>
      </w:r>
      <w:r>
        <w:rPr>
          <w:rFonts w:hint="cs"/>
          <w:rtl/>
          <w:lang w:eastAsia="zh-TW"/>
        </w:rPr>
        <w:t>-</w:t>
      </w:r>
      <w:r>
        <w:rPr>
          <w:rFonts w:hint="cs"/>
          <w:rtl/>
          <w:lang w:eastAsia="zh-TW"/>
        </w:rPr>
        <w:tab/>
      </w:r>
      <w:r w:rsidR="004D4029" w:rsidRPr="00D57891">
        <w:rPr>
          <w:rtl/>
          <w:lang w:eastAsia="zh-TW"/>
        </w:rPr>
        <w:t xml:space="preserve">أشار المقرر الخاص المعني بالحق في الصحة إلى أن متعاطي المخدرات في الدول التي تجرم تعاطي المخدرات قد يتفادى التماس الرعاية الصحية خوفا من إطلاع السلطات على المعلومات المتعلقة بتعاطيه المخدرات، وهو ما قد يؤدي إلى توقيفه وإيداعه السجن، أو إلى إكراهه على العلاج. ومن شأن استخدام سجلات المخدرات (قوائم الأشخاص الذين يتعاطون المخدرات) أن يثني الأفراد عن التماس العلاج، لا سيما بالنظر إلى تسجيل حالات كثيرة لانتهاك مبدأ سرية المعلومات الخاصة بالمريض في الدول التي تحتفظ بسجلات من هذا القبيل (انظر </w:t>
      </w:r>
      <w:r w:rsidR="004D4029" w:rsidRPr="00D57891">
        <w:rPr>
          <w:lang w:eastAsia="zh-TW"/>
        </w:rPr>
        <w:t>A/65/255</w:t>
      </w:r>
      <w:r w:rsidR="004D4029" w:rsidRPr="00D57891">
        <w:rPr>
          <w:rtl/>
          <w:lang w:eastAsia="zh-TW"/>
        </w:rPr>
        <w:t xml:space="preserve">، الفقرة 20، </w:t>
      </w:r>
      <w:r w:rsidR="004D4029" w:rsidRPr="00D57891">
        <w:rPr>
          <w:rFonts w:hint="cs"/>
          <w:rtl/>
          <w:lang w:eastAsia="zh-TW"/>
        </w:rPr>
        <w:t>و</w:t>
      </w:r>
      <w:r w:rsidR="004D4029" w:rsidRPr="00D57891">
        <w:rPr>
          <w:rFonts w:hint="cs"/>
          <w:lang w:eastAsia="zh-TW"/>
        </w:rPr>
        <w:t>A</w:t>
      </w:r>
      <w:r w:rsidR="004D4029" w:rsidRPr="00D57891">
        <w:rPr>
          <w:lang w:eastAsia="zh-TW"/>
        </w:rPr>
        <w:t>/64/272</w:t>
      </w:r>
      <w:r w:rsidR="004D4029" w:rsidRPr="00D57891">
        <w:rPr>
          <w:rtl/>
          <w:lang w:eastAsia="zh-TW"/>
        </w:rPr>
        <w:t>، الفقرة 23).</w:t>
      </w:r>
    </w:p>
    <w:p w:rsidR="004D4029" w:rsidRPr="00D57891" w:rsidRDefault="009F2DC2" w:rsidP="009F2DC2">
      <w:pPr>
        <w:pStyle w:val="SingleTxtGA"/>
        <w:rPr>
          <w:rtl/>
          <w:lang w:eastAsia="zh-TW"/>
        </w:rPr>
      </w:pPr>
      <w:r>
        <w:rPr>
          <w:rtl/>
          <w:lang w:eastAsia="zh-TW"/>
        </w:rPr>
        <w:t>٢٥</w:t>
      </w:r>
      <w:r>
        <w:rPr>
          <w:rFonts w:hint="cs"/>
          <w:rtl/>
          <w:lang w:eastAsia="zh-TW"/>
        </w:rPr>
        <w:t>-</w:t>
      </w:r>
      <w:r>
        <w:rPr>
          <w:rFonts w:hint="cs"/>
          <w:rtl/>
          <w:lang w:eastAsia="zh-TW"/>
        </w:rPr>
        <w:tab/>
      </w:r>
      <w:r w:rsidR="004D4029" w:rsidRPr="00D57891">
        <w:rPr>
          <w:rtl/>
          <w:lang w:eastAsia="zh-TW"/>
        </w:rPr>
        <w:t xml:space="preserve">ولاحظ المقرر الخاص أن تجريم تعاطي المخدرات وحيازتها أدى إلى </w:t>
      </w:r>
      <w:r w:rsidR="004D4029">
        <w:rPr>
          <w:rFonts w:hint="cs"/>
          <w:rtl/>
          <w:lang w:eastAsia="zh-TW"/>
        </w:rPr>
        <w:t>اعتماد</w:t>
      </w:r>
      <w:r w:rsidR="004D4029" w:rsidRPr="00D57891">
        <w:rPr>
          <w:rtl/>
          <w:lang w:eastAsia="zh-TW"/>
        </w:rPr>
        <w:t xml:space="preserve"> أشكال خطرة في تعاطي المخدرات تلافيا للحظر الجنائي، ما أدى بدوره إلى زيادة المخاطر على صحة متعاطي المخدرات. وقد تشمل الأشكال الخطرة لتعاطي المخدرات تشارك المحاقن ولوازم الحقن، والحقن على عجل أو بطريقة تنطوي على مخاطر، أو تعاطي المخدرات في أماكن غير مأمونة. </w:t>
      </w:r>
      <w:r w:rsidR="004D4029">
        <w:rPr>
          <w:rFonts w:hint="cs"/>
          <w:rtl/>
          <w:lang w:eastAsia="zh-TW"/>
        </w:rPr>
        <w:t>ويمكن أن يؤدي</w:t>
      </w:r>
      <w:r w:rsidR="004D4029" w:rsidRPr="00D57891">
        <w:rPr>
          <w:rtl/>
          <w:lang w:eastAsia="zh-TW"/>
        </w:rPr>
        <w:t xml:space="preserve"> التعجل في إعداد المخدرات تجنبا</w:t>
      </w:r>
      <w:r w:rsidR="000B3762">
        <w:rPr>
          <w:rFonts w:hint="cs"/>
          <w:rtl/>
          <w:lang w:eastAsia="zh-TW"/>
        </w:rPr>
        <w:t>ً</w:t>
      </w:r>
      <w:r w:rsidR="004D4029" w:rsidRPr="00D57891">
        <w:rPr>
          <w:rtl/>
          <w:lang w:eastAsia="zh-TW"/>
        </w:rPr>
        <w:t xml:space="preserve"> للوقوع في قبضة موظفي إنفاذ القانون </w:t>
      </w:r>
      <w:r w:rsidR="004D4029">
        <w:rPr>
          <w:rFonts w:hint="cs"/>
          <w:rtl/>
          <w:lang w:eastAsia="zh-TW"/>
        </w:rPr>
        <w:t>إلى زيادة</w:t>
      </w:r>
      <w:r w:rsidR="004D4029" w:rsidRPr="00D57891">
        <w:rPr>
          <w:rtl/>
          <w:lang w:eastAsia="zh-TW"/>
        </w:rPr>
        <w:t xml:space="preserve"> خطر تناول جرعة مفرطة وإصابة الأوعية الدموية والإصابة بالعدوى. ولاحظ المقرر الخاص أن تجريم تعاطي المخدرات وحيازتها قد يزيد من خطر الإصابة بالأمراض، بما في ذلك العدوى بفيروس نقص المناعة البشرية، بين متعاطي المخدرات (انظر </w:t>
      </w:r>
      <w:r w:rsidR="004D4029" w:rsidRPr="00D57891">
        <w:rPr>
          <w:lang w:eastAsia="zh-TW"/>
        </w:rPr>
        <w:t>A/65/255</w:t>
      </w:r>
      <w:r w:rsidR="004D4029" w:rsidRPr="00D57891">
        <w:rPr>
          <w:rtl/>
          <w:lang w:eastAsia="zh-TW"/>
        </w:rPr>
        <w:t>، الفقرتان 25-26).</w:t>
      </w:r>
    </w:p>
    <w:p w:rsidR="004D4029" w:rsidRPr="00D57891" w:rsidRDefault="009F2DC2" w:rsidP="004F3BBD">
      <w:pPr>
        <w:pStyle w:val="SingleTxtGA"/>
        <w:rPr>
          <w:rtl/>
          <w:lang w:eastAsia="zh-TW"/>
        </w:rPr>
      </w:pPr>
      <w:r>
        <w:rPr>
          <w:rtl/>
          <w:lang w:eastAsia="zh-TW"/>
        </w:rPr>
        <w:t>٢٦</w:t>
      </w:r>
      <w:r>
        <w:rPr>
          <w:rFonts w:hint="cs"/>
          <w:rtl/>
          <w:lang w:eastAsia="zh-TW"/>
        </w:rPr>
        <w:t>-</w:t>
      </w:r>
      <w:r>
        <w:rPr>
          <w:rFonts w:hint="cs"/>
          <w:rtl/>
          <w:lang w:eastAsia="zh-TW"/>
        </w:rPr>
        <w:tab/>
      </w:r>
      <w:r w:rsidR="004D4029" w:rsidRPr="00D57891">
        <w:rPr>
          <w:rtl/>
          <w:lang w:eastAsia="zh-TW"/>
        </w:rPr>
        <w:t>وذكر المقرر الخاص أن هذه المخاطر يمكن أن تتفاقم بسبب عزوف متعاطي المخدرات</w:t>
      </w:r>
      <w:r w:rsidR="000B3762">
        <w:rPr>
          <w:rFonts w:hint="cs"/>
          <w:rtl/>
          <w:lang w:eastAsia="zh-TW"/>
        </w:rPr>
        <w:t>،</w:t>
      </w:r>
      <w:r w:rsidR="004D4029" w:rsidRPr="00D57891">
        <w:rPr>
          <w:rtl/>
          <w:lang w:eastAsia="zh-TW"/>
        </w:rPr>
        <w:t xml:space="preserve"> النابع من الخوف من التعرض للاعتقال، ع</w:t>
      </w:r>
      <w:r w:rsidR="004D4029">
        <w:rPr>
          <w:rFonts w:hint="cs"/>
          <w:rtl/>
          <w:lang w:eastAsia="zh-TW"/>
        </w:rPr>
        <w:t>ن</w:t>
      </w:r>
      <w:r w:rsidR="004D4029" w:rsidRPr="00D57891">
        <w:rPr>
          <w:rtl/>
          <w:lang w:eastAsia="zh-TW"/>
        </w:rPr>
        <w:t xml:space="preserve"> التماس المساعدة </w:t>
      </w:r>
      <w:r>
        <w:rPr>
          <w:rFonts w:hint="cs"/>
          <w:rtl/>
          <w:lang w:eastAsia="zh-TW"/>
        </w:rPr>
        <w:t xml:space="preserve">الصحية </w:t>
      </w:r>
      <w:r w:rsidR="004D4029" w:rsidRPr="00D57891">
        <w:rPr>
          <w:rtl/>
          <w:lang w:eastAsia="zh-TW"/>
        </w:rPr>
        <w:t xml:space="preserve">في إعداد المخدرات وحقنها. ورأى أن تجريم تعاطي المخدرات يزيد من خطر تلوثها بمواد ضارة بل وفتاكة (انظر </w:t>
      </w:r>
      <w:r w:rsidR="004D4029" w:rsidRPr="00D57891">
        <w:rPr>
          <w:lang w:eastAsia="zh-TW"/>
        </w:rPr>
        <w:t>A/65/255</w:t>
      </w:r>
      <w:r w:rsidR="004D4029" w:rsidRPr="00D57891">
        <w:rPr>
          <w:rtl/>
          <w:lang w:eastAsia="zh-TW"/>
        </w:rPr>
        <w:t xml:space="preserve">، الفقرتان 25-26). وأضاف أن تجريم نشر المعلومات، بما في ذلك المعلومات </w:t>
      </w:r>
      <w:r w:rsidR="004D4029" w:rsidRPr="00D57891">
        <w:rPr>
          <w:rtl/>
          <w:lang w:eastAsia="zh-TW"/>
        </w:rPr>
        <w:lastRenderedPageBreak/>
        <w:t xml:space="preserve">المتعلقة بالممارسات المأمونة المتبعة في تعاطي المخدرات </w:t>
      </w:r>
      <w:r w:rsidR="004D4029">
        <w:rPr>
          <w:rFonts w:hint="cs"/>
          <w:rtl/>
          <w:lang w:eastAsia="zh-TW"/>
        </w:rPr>
        <w:t xml:space="preserve">والحد من </w:t>
      </w:r>
      <w:r w:rsidR="004D4029" w:rsidRPr="00D57891">
        <w:rPr>
          <w:rtl/>
          <w:lang w:eastAsia="zh-TW"/>
        </w:rPr>
        <w:t>الضرر، يتعارض مع الحق في الصحة لأنه يعوق قدرة الأفراد على اتخاذ خيارات مستنيرة بشأن صحتهم</w:t>
      </w:r>
      <w:r w:rsidR="004A64ED">
        <w:rPr>
          <w:rStyle w:val="FootnoteReference"/>
          <w:rFonts w:ascii="Traditional Arabic" w:hAnsi="Traditional Arabic"/>
          <w:sz w:val="32"/>
          <w:szCs w:val="32"/>
          <w:rtl/>
          <w:lang w:eastAsia="zh-TW"/>
        </w:rPr>
        <w:t>(</w:t>
      </w:r>
      <w:r w:rsidR="004F3BBD" w:rsidRPr="00D57891">
        <w:rPr>
          <w:rStyle w:val="FootnoteReference"/>
          <w:rFonts w:ascii="Traditional Arabic" w:hAnsi="Traditional Arabic"/>
          <w:sz w:val="32"/>
          <w:szCs w:val="32"/>
          <w:rtl/>
          <w:lang w:eastAsia="zh-TW"/>
        </w:rPr>
        <w:footnoteReference w:id="26"/>
      </w:r>
      <w:r w:rsidR="004A64ED">
        <w:rPr>
          <w:rStyle w:val="FootnoteReference"/>
          <w:rFonts w:ascii="Traditional Arabic" w:hAnsi="Traditional Arabic"/>
          <w:sz w:val="32"/>
          <w:szCs w:val="32"/>
          <w:rtl/>
          <w:lang w:eastAsia="zh-TW"/>
        </w:rPr>
        <w:t>)</w:t>
      </w:r>
      <w:r w:rsidR="00E53619">
        <w:rPr>
          <w:rFonts w:hint="cs"/>
          <w:rtl/>
          <w:lang w:eastAsia="zh-TW"/>
        </w:rPr>
        <w:t xml:space="preserve">. </w:t>
      </w:r>
    </w:p>
    <w:p w:rsidR="004D4029" w:rsidRPr="00D57891" w:rsidRDefault="009F2DC2" w:rsidP="004F3BBD">
      <w:pPr>
        <w:pStyle w:val="SingleTxtGA"/>
        <w:rPr>
          <w:rtl/>
          <w:lang w:eastAsia="zh-TW"/>
        </w:rPr>
      </w:pPr>
      <w:r>
        <w:rPr>
          <w:rtl/>
          <w:lang w:eastAsia="zh-TW"/>
        </w:rPr>
        <w:t>٢٧</w:t>
      </w:r>
      <w:r>
        <w:rPr>
          <w:rFonts w:hint="cs"/>
          <w:rtl/>
          <w:lang w:eastAsia="zh-TW"/>
        </w:rPr>
        <w:t>-</w:t>
      </w:r>
      <w:r>
        <w:rPr>
          <w:rFonts w:hint="cs"/>
          <w:rtl/>
          <w:lang w:eastAsia="zh-TW"/>
        </w:rPr>
        <w:tab/>
      </w:r>
      <w:r w:rsidR="004D4029" w:rsidRPr="00D57891">
        <w:rPr>
          <w:rtl/>
          <w:lang w:eastAsia="zh-TW"/>
        </w:rPr>
        <w:t xml:space="preserve">ولاحظ المقرر الخاص أن بعض الدول التي تعارض تدابير </w:t>
      </w:r>
      <w:r w:rsidR="004D4029">
        <w:rPr>
          <w:rFonts w:hint="cs"/>
          <w:rtl/>
          <w:lang w:eastAsia="zh-TW"/>
        </w:rPr>
        <w:t>الحد من</w:t>
      </w:r>
      <w:r w:rsidR="004D4029" w:rsidRPr="00D57891">
        <w:rPr>
          <w:rtl/>
          <w:lang w:eastAsia="zh-TW"/>
        </w:rPr>
        <w:t xml:space="preserve"> الضرر جر</w:t>
      </w:r>
      <w:r w:rsidR="000A44B3">
        <w:rPr>
          <w:rFonts w:hint="cs"/>
          <w:rtl/>
          <w:lang w:eastAsia="zh-TW"/>
        </w:rPr>
        <w:t>ّ</w:t>
      </w:r>
      <w:r w:rsidR="004D4029" w:rsidRPr="00D57891">
        <w:rPr>
          <w:rtl/>
          <w:lang w:eastAsia="zh-TW"/>
        </w:rPr>
        <w:t>مت حمل الإبر والمحاقن واللوازم الأخرى لاستهلاك المخدرات</w:t>
      </w:r>
      <w:r w:rsidR="004A64ED">
        <w:rPr>
          <w:rStyle w:val="FootnoteReference"/>
          <w:rFonts w:ascii="Traditional Arabic" w:hAnsi="Traditional Arabic"/>
          <w:sz w:val="32"/>
          <w:szCs w:val="32"/>
          <w:rtl/>
          <w:lang w:eastAsia="zh-TW"/>
        </w:rPr>
        <w:t>(</w:t>
      </w:r>
      <w:r w:rsidR="004F3BBD" w:rsidRPr="00D57891">
        <w:rPr>
          <w:rStyle w:val="FootnoteReference"/>
          <w:rFonts w:ascii="Traditional Arabic" w:hAnsi="Traditional Arabic"/>
          <w:sz w:val="32"/>
          <w:szCs w:val="32"/>
          <w:rtl/>
          <w:lang w:eastAsia="zh-TW"/>
        </w:rPr>
        <w:footnoteReference w:id="27"/>
      </w:r>
      <w:r w:rsidR="004A64ED">
        <w:rPr>
          <w:rStyle w:val="FootnoteReference"/>
          <w:rFonts w:ascii="Traditional Arabic" w:hAnsi="Traditional Arabic"/>
          <w:sz w:val="32"/>
          <w:szCs w:val="32"/>
          <w:rtl/>
          <w:lang w:eastAsia="zh-TW"/>
        </w:rPr>
        <w:t>)</w:t>
      </w:r>
      <w:r w:rsidR="004D4029" w:rsidRPr="00D57891">
        <w:rPr>
          <w:rtl/>
          <w:lang w:eastAsia="zh-TW"/>
        </w:rPr>
        <w:t xml:space="preserve">، على نحو يتنافى مع </w:t>
      </w:r>
      <w:r w:rsidR="004D4029" w:rsidRPr="000B3762">
        <w:rPr>
          <w:i/>
          <w:iCs/>
          <w:rtl/>
          <w:lang w:eastAsia="zh-TW"/>
        </w:rPr>
        <w:t>المبادئ التوجيهية الدولية بشأن فيروس نقص المناعة البشرية/الإيدز وحقوق</w:t>
      </w:r>
      <w:r w:rsidR="004F3BBD" w:rsidRPr="000B3762">
        <w:rPr>
          <w:i/>
          <w:iCs/>
          <w:rtl/>
          <w:lang w:eastAsia="zh-TW"/>
        </w:rPr>
        <w:t xml:space="preserve"> الإنسان</w:t>
      </w:r>
      <w:r w:rsidR="004A64ED">
        <w:rPr>
          <w:rStyle w:val="FootnoteReference"/>
          <w:rFonts w:ascii="Traditional Arabic" w:hAnsi="Traditional Arabic"/>
          <w:sz w:val="32"/>
          <w:szCs w:val="32"/>
          <w:rtl/>
          <w:lang w:eastAsia="zh-TW"/>
        </w:rPr>
        <w:t>(</w:t>
      </w:r>
      <w:r w:rsidR="004F3BBD" w:rsidRPr="00D57891">
        <w:rPr>
          <w:rStyle w:val="FootnoteReference"/>
          <w:rFonts w:ascii="Traditional Arabic" w:hAnsi="Traditional Arabic"/>
          <w:sz w:val="32"/>
          <w:szCs w:val="32"/>
          <w:rtl/>
          <w:lang w:eastAsia="zh-TW"/>
        </w:rPr>
        <w:footnoteReference w:id="28"/>
      </w:r>
      <w:r w:rsidR="004A64ED">
        <w:rPr>
          <w:rStyle w:val="FootnoteReference"/>
          <w:rFonts w:ascii="Traditional Arabic" w:hAnsi="Traditional Arabic"/>
          <w:sz w:val="32"/>
          <w:szCs w:val="32"/>
          <w:rtl/>
          <w:lang w:eastAsia="zh-TW"/>
        </w:rPr>
        <w:t>)</w:t>
      </w:r>
      <w:r w:rsidR="004F3BBD">
        <w:rPr>
          <w:rFonts w:hint="cs"/>
          <w:rtl/>
          <w:lang w:eastAsia="zh-TW"/>
        </w:rPr>
        <w:t>.</w:t>
      </w:r>
      <w:r w:rsidR="004D4029" w:rsidRPr="00D57891">
        <w:rPr>
          <w:rtl/>
          <w:lang w:eastAsia="zh-TW"/>
        </w:rPr>
        <w:t xml:space="preserve"> و</w:t>
      </w:r>
      <w:r w:rsidR="004D4029">
        <w:rPr>
          <w:rFonts w:hint="cs"/>
          <w:rtl/>
          <w:lang w:eastAsia="zh-TW"/>
        </w:rPr>
        <w:t xml:space="preserve">قد يشكل </w:t>
      </w:r>
      <w:r w:rsidR="004D4029" w:rsidRPr="00D57891">
        <w:rPr>
          <w:rtl/>
          <w:lang w:eastAsia="zh-TW"/>
        </w:rPr>
        <w:t xml:space="preserve">الخوف من التعرض للاعتقال والعقوبات الجنائية </w:t>
      </w:r>
      <w:r w:rsidR="004D4029">
        <w:rPr>
          <w:rFonts w:hint="cs"/>
          <w:rtl/>
          <w:lang w:eastAsia="zh-TW"/>
        </w:rPr>
        <w:t xml:space="preserve">رادعا يثني </w:t>
      </w:r>
      <w:r w:rsidR="004D4029" w:rsidRPr="00D57891">
        <w:rPr>
          <w:rtl/>
          <w:lang w:eastAsia="zh-TW"/>
        </w:rPr>
        <w:t>الأفراد عن المشاركة في برامج توفير الإبر والمحاقن وعن حمل معدات معقمة، الأمر الذي يزيد من احتمال استخدام معدات غير معقمة ونقل الأمراض. وتشكل التشريعات التي تعاقب على حمل معدات من هذا القبيل، بما في ذلك معاقبة العاملين في مجال التوعية، عقبة أمام مكافحة فيروس نقص المناعة البشرية</w:t>
      </w:r>
      <w:r w:rsidR="004A64ED">
        <w:rPr>
          <w:rStyle w:val="FootnoteReference"/>
          <w:rFonts w:ascii="Traditional Arabic" w:hAnsi="Traditional Arabic"/>
          <w:sz w:val="32"/>
          <w:szCs w:val="32"/>
          <w:rtl/>
          <w:lang w:eastAsia="zh-TW"/>
        </w:rPr>
        <w:t>(</w:t>
      </w:r>
      <w:r w:rsidR="004F3BBD" w:rsidRPr="00D57891">
        <w:rPr>
          <w:rStyle w:val="FootnoteReference"/>
          <w:rFonts w:ascii="Traditional Arabic" w:hAnsi="Traditional Arabic"/>
          <w:sz w:val="32"/>
          <w:szCs w:val="32"/>
          <w:rtl/>
          <w:lang w:eastAsia="zh-TW"/>
        </w:rPr>
        <w:footnoteReference w:id="29"/>
      </w:r>
      <w:r w:rsidR="004A64ED">
        <w:rPr>
          <w:rStyle w:val="FootnoteReference"/>
          <w:rFonts w:ascii="Traditional Arabic" w:hAnsi="Traditional Arabic"/>
          <w:sz w:val="32"/>
          <w:szCs w:val="32"/>
          <w:rtl/>
          <w:lang w:eastAsia="zh-TW"/>
        </w:rPr>
        <w:t>)</w:t>
      </w:r>
      <w:r w:rsidR="004F3BBD">
        <w:rPr>
          <w:rFonts w:hint="cs"/>
          <w:rtl/>
          <w:lang w:eastAsia="zh-TW"/>
        </w:rPr>
        <w:t>.</w:t>
      </w:r>
      <w:r w:rsidR="004D4029" w:rsidRPr="00D57891">
        <w:rPr>
          <w:rtl/>
          <w:lang w:eastAsia="zh-TW"/>
        </w:rPr>
        <w:t xml:space="preserve"> ويعتبر تشجيع استخدام وتوفير الميثادون الذي يستخدم في العلاج بمواد بديلة </w:t>
      </w:r>
      <w:r w:rsidR="000A44B3">
        <w:rPr>
          <w:rFonts w:hint="cs"/>
          <w:rtl/>
          <w:lang w:eastAsia="zh-TW"/>
        </w:rPr>
        <w:t>لأشباه</w:t>
      </w:r>
      <w:r w:rsidR="004D4029" w:rsidRPr="00D57891">
        <w:rPr>
          <w:rtl/>
          <w:lang w:eastAsia="zh-TW"/>
        </w:rPr>
        <w:t xml:space="preserve"> الأفيون، </w:t>
      </w:r>
      <w:r w:rsidR="000A44B3">
        <w:rPr>
          <w:rFonts w:hint="cs"/>
          <w:rtl/>
          <w:lang w:eastAsia="zh-TW"/>
        </w:rPr>
        <w:t xml:space="preserve">جرماً </w:t>
      </w:r>
      <w:r w:rsidR="000A44B3">
        <w:rPr>
          <w:rtl/>
          <w:lang w:eastAsia="zh-TW"/>
        </w:rPr>
        <w:t>جنائي</w:t>
      </w:r>
      <w:r w:rsidR="000A44B3">
        <w:rPr>
          <w:rFonts w:hint="cs"/>
          <w:rtl/>
          <w:lang w:eastAsia="zh-TW"/>
        </w:rPr>
        <w:t>اً</w:t>
      </w:r>
      <w:r w:rsidR="004D4029" w:rsidRPr="00D57891">
        <w:rPr>
          <w:rtl/>
          <w:lang w:eastAsia="zh-TW"/>
        </w:rPr>
        <w:t xml:space="preserve"> في بعض البلدان</w:t>
      </w:r>
      <w:r w:rsidR="004A64ED">
        <w:rPr>
          <w:rStyle w:val="FootnoteReference"/>
          <w:rFonts w:ascii="Traditional Arabic" w:hAnsi="Traditional Arabic"/>
          <w:sz w:val="32"/>
          <w:szCs w:val="32"/>
          <w:rtl/>
          <w:lang w:eastAsia="zh-TW"/>
        </w:rPr>
        <w:t>(</w:t>
      </w:r>
      <w:r w:rsidR="004F3BBD" w:rsidRPr="00D57891">
        <w:rPr>
          <w:rStyle w:val="FootnoteReference"/>
          <w:rFonts w:ascii="Traditional Arabic" w:hAnsi="Traditional Arabic"/>
          <w:sz w:val="32"/>
          <w:szCs w:val="32"/>
          <w:rtl/>
          <w:lang w:eastAsia="zh-TW"/>
        </w:rPr>
        <w:footnoteReference w:id="30"/>
      </w:r>
      <w:r w:rsidR="004A64ED">
        <w:rPr>
          <w:rStyle w:val="FootnoteReference"/>
          <w:rFonts w:ascii="Traditional Arabic" w:hAnsi="Traditional Arabic"/>
          <w:sz w:val="32"/>
          <w:szCs w:val="32"/>
          <w:rtl/>
          <w:lang w:eastAsia="zh-TW"/>
        </w:rPr>
        <w:t>)</w:t>
      </w:r>
      <w:r w:rsidR="004F3BBD">
        <w:rPr>
          <w:rFonts w:hint="cs"/>
          <w:rtl/>
          <w:lang w:eastAsia="zh-TW"/>
        </w:rPr>
        <w:t>.</w:t>
      </w:r>
      <w:r w:rsidR="004D4029" w:rsidRPr="00D57891">
        <w:rPr>
          <w:rtl/>
          <w:lang w:eastAsia="zh-TW"/>
        </w:rPr>
        <w:t xml:space="preserve"> </w:t>
      </w:r>
    </w:p>
    <w:p w:rsidR="004D4029" w:rsidRPr="00D57891" w:rsidRDefault="000A44B3" w:rsidP="0039036A">
      <w:pPr>
        <w:pStyle w:val="SingleTxtGA"/>
        <w:rPr>
          <w:rtl/>
          <w:lang w:eastAsia="zh-TW"/>
        </w:rPr>
      </w:pPr>
      <w:r>
        <w:rPr>
          <w:rtl/>
          <w:lang w:eastAsia="zh-TW"/>
        </w:rPr>
        <w:t>٢٨</w:t>
      </w:r>
      <w:r>
        <w:rPr>
          <w:rFonts w:hint="cs"/>
          <w:rtl/>
          <w:lang w:eastAsia="zh-TW"/>
        </w:rPr>
        <w:t>-</w:t>
      </w:r>
      <w:r>
        <w:rPr>
          <w:rFonts w:hint="cs"/>
          <w:rtl/>
          <w:lang w:eastAsia="zh-TW"/>
        </w:rPr>
        <w:tab/>
      </w:r>
      <w:r w:rsidR="004D4029" w:rsidRPr="00D57891">
        <w:rPr>
          <w:rtl/>
          <w:lang w:eastAsia="zh-TW"/>
        </w:rPr>
        <w:t>وأوصت منظمة الصحة العالمية بإلغاء تجريم تعاطي المخدرات، بما في ذلك تعاطي المخدرات عن طريق الحقن، لأن ذلك قد ي</w:t>
      </w:r>
      <w:r w:rsidR="004D4029">
        <w:rPr>
          <w:rtl/>
          <w:lang w:eastAsia="zh-TW"/>
        </w:rPr>
        <w:t>كون له دور حاسم في تنفيذ توصيات</w:t>
      </w:r>
      <w:r w:rsidR="004D4029">
        <w:rPr>
          <w:rFonts w:hint="cs"/>
          <w:rtl/>
          <w:lang w:eastAsia="zh-TW"/>
        </w:rPr>
        <w:t xml:space="preserve"> اللجنة</w:t>
      </w:r>
      <w:r w:rsidR="004D4029" w:rsidRPr="00D57891">
        <w:rPr>
          <w:rtl/>
          <w:lang w:eastAsia="zh-TW"/>
        </w:rPr>
        <w:t xml:space="preserve"> بشأن تدخلات القطاع الصحي، بما في ذلك </w:t>
      </w:r>
      <w:r w:rsidR="004D4029">
        <w:rPr>
          <w:rFonts w:hint="cs"/>
          <w:rtl/>
          <w:lang w:eastAsia="zh-TW"/>
        </w:rPr>
        <w:t>الحد من</w:t>
      </w:r>
      <w:r w:rsidR="004D4029" w:rsidRPr="00D57891">
        <w:rPr>
          <w:rtl/>
          <w:lang w:eastAsia="zh-TW"/>
        </w:rPr>
        <w:t xml:space="preserve"> الضرر وتقديم العلاج والرعاية لمتعاطي المخدرات</w:t>
      </w:r>
      <w:r w:rsidR="004A64ED">
        <w:rPr>
          <w:rStyle w:val="FootnoteReference"/>
          <w:rFonts w:ascii="Traditional Arabic" w:hAnsi="Traditional Arabic"/>
          <w:sz w:val="32"/>
          <w:szCs w:val="32"/>
          <w:rtl/>
          <w:lang w:eastAsia="zh-TW"/>
        </w:rPr>
        <w:t>(</w:t>
      </w:r>
      <w:r w:rsidR="0039036A" w:rsidRPr="00D57891">
        <w:rPr>
          <w:rStyle w:val="FootnoteReference"/>
          <w:rFonts w:ascii="Traditional Arabic" w:hAnsi="Traditional Arabic"/>
          <w:sz w:val="32"/>
          <w:szCs w:val="32"/>
          <w:rtl/>
          <w:lang w:eastAsia="zh-TW"/>
        </w:rPr>
        <w:footnoteReference w:id="31"/>
      </w:r>
      <w:r w:rsidR="004A64ED">
        <w:rPr>
          <w:rStyle w:val="FootnoteReference"/>
          <w:rFonts w:ascii="Traditional Arabic" w:hAnsi="Traditional Arabic"/>
          <w:sz w:val="32"/>
          <w:szCs w:val="32"/>
          <w:rtl/>
          <w:lang w:eastAsia="zh-TW"/>
        </w:rPr>
        <w:t>)</w:t>
      </w:r>
      <w:r w:rsidR="0039036A">
        <w:rPr>
          <w:rFonts w:hint="cs"/>
          <w:rtl/>
          <w:lang w:eastAsia="zh-TW"/>
        </w:rPr>
        <w:t>.</w:t>
      </w:r>
      <w:r w:rsidR="004D4029" w:rsidRPr="00D57891">
        <w:rPr>
          <w:rtl/>
          <w:lang w:eastAsia="zh-TW"/>
        </w:rPr>
        <w:t xml:space="preserve"> </w:t>
      </w:r>
      <w:r w:rsidR="004D4029" w:rsidRPr="00D57891">
        <w:rPr>
          <w:rFonts w:hint="cs"/>
          <w:rtl/>
          <w:lang w:eastAsia="zh-TW"/>
        </w:rPr>
        <w:t>وأوصى برنامج</w:t>
      </w:r>
      <w:r w:rsidR="004D4029" w:rsidRPr="00D57891">
        <w:rPr>
          <w:rtl/>
          <w:lang w:eastAsia="zh-TW"/>
        </w:rPr>
        <w:t xml:space="preserve"> الأمم المتحدة المشترك بين منظمات الأمم المتحدة لمكافحة الإيدز أيضا</w:t>
      </w:r>
      <w:r w:rsidR="0039036A">
        <w:rPr>
          <w:rFonts w:hint="cs"/>
          <w:rtl/>
          <w:lang w:eastAsia="zh-TW"/>
        </w:rPr>
        <w:t>ً</w:t>
      </w:r>
      <w:r w:rsidR="004D4029" w:rsidRPr="00D57891">
        <w:rPr>
          <w:rtl/>
          <w:lang w:eastAsia="zh-TW"/>
        </w:rPr>
        <w:t xml:space="preserve"> بإلغاء تجريم تعاطي المخدرات باعتباره من الوسائل الكفيلة بالحد من عدد الإصابات </w:t>
      </w:r>
      <w:r>
        <w:rPr>
          <w:rFonts w:hint="cs"/>
          <w:rtl/>
          <w:lang w:eastAsia="zh-TW"/>
        </w:rPr>
        <w:t xml:space="preserve">بفيروس نقص المناعة البشرية </w:t>
      </w:r>
      <w:r w:rsidR="004D4029" w:rsidRPr="00D57891">
        <w:rPr>
          <w:rtl/>
          <w:lang w:eastAsia="zh-TW"/>
        </w:rPr>
        <w:t>ومعالجة الإيدز</w:t>
      </w:r>
      <w:r w:rsidR="004A64ED">
        <w:rPr>
          <w:rStyle w:val="FootnoteReference"/>
          <w:rFonts w:ascii="Traditional Arabic" w:hAnsi="Traditional Arabic"/>
          <w:sz w:val="32"/>
          <w:szCs w:val="32"/>
          <w:rtl/>
          <w:lang w:eastAsia="zh-TW"/>
        </w:rPr>
        <w:t>(</w:t>
      </w:r>
      <w:r w:rsidR="0039036A" w:rsidRPr="00D57891">
        <w:rPr>
          <w:rStyle w:val="FootnoteReference"/>
          <w:rFonts w:ascii="Traditional Arabic" w:hAnsi="Traditional Arabic"/>
          <w:sz w:val="32"/>
          <w:szCs w:val="32"/>
          <w:rtl/>
          <w:lang w:eastAsia="zh-TW"/>
        </w:rPr>
        <w:footnoteReference w:id="32"/>
      </w:r>
      <w:r w:rsidR="004A64ED">
        <w:rPr>
          <w:rStyle w:val="FootnoteReference"/>
          <w:rFonts w:ascii="Traditional Arabic" w:hAnsi="Traditional Arabic"/>
          <w:sz w:val="32"/>
          <w:szCs w:val="32"/>
          <w:rtl/>
          <w:lang w:eastAsia="zh-TW"/>
        </w:rPr>
        <w:t>)</w:t>
      </w:r>
      <w:r w:rsidR="0039036A">
        <w:rPr>
          <w:rFonts w:hint="cs"/>
          <w:rtl/>
          <w:lang w:eastAsia="zh-TW"/>
        </w:rPr>
        <w:t xml:space="preserve">. </w:t>
      </w:r>
    </w:p>
    <w:p w:rsidR="004D4029" w:rsidRPr="00D57891" w:rsidRDefault="000A44B3" w:rsidP="000A44B3">
      <w:pPr>
        <w:pStyle w:val="SingleTxtGA"/>
        <w:rPr>
          <w:rtl/>
          <w:lang w:eastAsia="zh-TW"/>
        </w:rPr>
      </w:pPr>
      <w:r>
        <w:rPr>
          <w:rtl/>
          <w:lang w:eastAsia="zh-TW"/>
        </w:rPr>
        <w:t>٢٩</w:t>
      </w:r>
      <w:r>
        <w:rPr>
          <w:rFonts w:hint="cs"/>
          <w:rtl/>
          <w:lang w:eastAsia="zh-TW"/>
        </w:rPr>
        <w:t>-</w:t>
      </w:r>
      <w:r>
        <w:rPr>
          <w:rFonts w:hint="cs"/>
          <w:rtl/>
          <w:lang w:eastAsia="zh-TW"/>
        </w:rPr>
        <w:tab/>
        <w:t xml:space="preserve">وحدد </w:t>
      </w:r>
      <w:r w:rsidR="004D4029" w:rsidRPr="00D57891">
        <w:rPr>
          <w:rtl/>
          <w:lang w:eastAsia="zh-TW"/>
        </w:rPr>
        <w:t xml:space="preserve">المقرر الخاص </w:t>
      </w:r>
      <w:r w:rsidR="004D4029">
        <w:rPr>
          <w:rFonts w:hint="cs"/>
          <w:rtl/>
          <w:lang w:eastAsia="zh-TW"/>
        </w:rPr>
        <w:t>وجوها عديدة لإعاقة</w:t>
      </w:r>
      <w:r w:rsidR="004D4029" w:rsidRPr="00D57891">
        <w:rPr>
          <w:rtl/>
          <w:lang w:eastAsia="zh-TW"/>
        </w:rPr>
        <w:t xml:space="preserve"> تجريم تعاطي المخدرات وحيازتها إعمالَ الحق في الصحة. ودعا إلى إلغاء تجريم تعاطي المخدرات وحيازتها باعتبار ذلك يمثل خطوة هامة تمهد لإعمال الحق في الصحة. ورأى أن إلغاء تجريم تعاطي المخدرات لا </w:t>
      </w:r>
      <w:r>
        <w:rPr>
          <w:rFonts w:hint="cs"/>
          <w:rtl/>
          <w:lang w:eastAsia="zh-TW"/>
        </w:rPr>
        <w:t>يمكن اعتباره مساوياً ل</w:t>
      </w:r>
      <w:r w:rsidR="004D4029" w:rsidRPr="00D57891">
        <w:rPr>
          <w:rtl/>
          <w:lang w:eastAsia="zh-TW"/>
        </w:rPr>
        <w:t xml:space="preserve">إضفاء الصبغة القانونية عليه. فإلغاء التجريم يقصد به أن يستمر حظر تعاطي المخدرات وحيازتها بموجب القانون، على أن تكون العقوبات الجنائية المطبقة، إن وجدت، خفيفة ولا تنطوي على الحرمان من الحرية. أما إضفاء </w:t>
      </w:r>
      <w:r>
        <w:rPr>
          <w:rFonts w:hint="cs"/>
          <w:rtl/>
          <w:lang w:eastAsia="zh-TW"/>
        </w:rPr>
        <w:t>الصبغة القانونية</w:t>
      </w:r>
      <w:r w:rsidR="004D4029" w:rsidRPr="00D57891">
        <w:rPr>
          <w:rtl/>
          <w:lang w:eastAsia="zh-TW"/>
        </w:rPr>
        <w:t>، فهو</w:t>
      </w:r>
      <w:r w:rsidR="000B3762">
        <w:rPr>
          <w:rFonts w:hint="cs"/>
          <w:rtl/>
          <w:lang w:eastAsia="zh-TW"/>
        </w:rPr>
        <w:t>،</w:t>
      </w:r>
      <w:r w:rsidR="004D4029" w:rsidRPr="00D57891">
        <w:rPr>
          <w:rtl/>
          <w:lang w:eastAsia="zh-TW"/>
        </w:rPr>
        <w:t xml:space="preserve"> على العكس من ذلك</w:t>
      </w:r>
      <w:r>
        <w:rPr>
          <w:rFonts w:hint="cs"/>
          <w:rtl/>
          <w:lang w:eastAsia="zh-TW"/>
        </w:rPr>
        <w:t>،</w:t>
      </w:r>
      <w:r w:rsidR="004D4029" w:rsidRPr="00D57891">
        <w:rPr>
          <w:rtl/>
          <w:lang w:eastAsia="zh-TW"/>
        </w:rPr>
        <w:t xml:space="preserve"> لا ينطوي على أي حظر للسلوك المشار إليه (انظر </w:t>
      </w:r>
      <w:r w:rsidR="004D4029" w:rsidRPr="00D57891">
        <w:rPr>
          <w:lang w:eastAsia="zh-TW"/>
        </w:rPr>
        <w:t>A/65/255</w:t>
      </w:r>
      <w:r w:rsidR="004D4029" w:rsidRPr="00D57891">
        <w:rPr>
          <w:rtl/>
          <w:lang w:eastAsia="zh-TW"/>
        </w:rPr>
        <w:t>، الفقرة 62).</w:t>
      </w:r>
      <w:r w:rsidR="0039036A">
        <w:rPr>
          <w:rFonts w:hint="cs"/>
          <w:rtl/>
          <w:lang w:eastAsia="zh-TW"/>
        </w:rPr>
        <w:t xml:space="preserve"> </w:t>
      </w:r>
    </w:p>
    <w:p w:rsidR="004D4029" w:rsidRPr="00D57891" w:rsidRDefault="000A44B3" w:rsidP="00395152">
      <w:pPr>
        <w:pStyle w:val="SingleTxtGA"/>
        <w:rPr>
          <w:rtl/>
          <w:lang w:eastAsia="zh-TW"/>
        </w:rPr>
      </w:pPr>
      <w:r>
        <w:rPr>
          <w:rtl/>
          <w:lang w:eastAsia="zh-TW"/>
        </w:rPr>
        <w:lastRenderedPageBreak/>
        <w:t>٣٠</w:t>
      </w:r>
      <w:r>
        <w:rPr>
          <w:rFonts w:hint="cs"/>
          <w:rtl/>
          <w:lang w:eastAsia="zh-TW"/>
        </w:rPr>
        <w:t>-</w:t>
      </w:r>
      <w:r>
        <w:rPr>
          <w:rFonts w:hint="cs"/>
          <w:rtl/>
          <w:lang w:eastAsia="zh-TW"/>
        </w:rPr>
        <w:tab/>
      </w:r>
      <w:r w:rsidR="004D4029" w:rsidRPr="00D57891">
        <w:rPr>
          <w:rtl/>
          <w:lang w:eastAsia="zh-TW"/>
        </w:rPr>
        <w:t xml:space="preserve">واعتبر المقرر الخاص تجربة إلغاء التجريم في البرتغال بمثابة خطوة إيجابية (انظر </w:t>
      </w:r>
      <w:r w:rsidR="004D4029" w:rsidRPr="00D57891">
        <w:rPr>
          <w:lang w:eastAsia="zh-TW"/>
        </w:rPr>
        <w:t>A/65/255</w:t>
      </w:r>
      <w:r w:rsidR="004D4029" w:rsidRPr="00D57891">
        <w:rPr>
          <w:rtl/>
          <w:lang w:eastAsia="zh-TW"/>
        </w:rPr>
        <w:t xml:space="preserve">، الفقرة 64). ففي عام 2001، ألغي تجريم حيازة جميع المخدرات من أجل </w:t>
      </w:r>
      <w:r w:rsidR="004D4029">
        <w:rPr>
          <w:rFonts w:hint="cs"/>
          <w:rtl/>
          <w:lang w:eastAsia="zh-TW"/>
        </w:rPr>
        <w:t>الاستهلاك</w:t>
      </w:r>
      <w:r w:rsidR="004D4029" w:rsidRPr="00D57891">
        <w:rPr>
          <w:rtl/>
          <w:lang w:eastAsia="zh-TW"/>
        </w:rPr>
        <w:t xml:space="preserve"> الشخصي، وصنف ذلك ضمن المخالفات الإدارية. وبالإضافة إلى ذلك، </w:t>
      </w:r>
      <w:r w:rsidR="004D4029">
        <w:rPr>
          <w:rFonts w:hint="cs"/>
          <w:rtl/>
          <w:lang w:eastAsia="zh-TW"/>
        </w:rPr>
        <w:t xml:space="preserve">كثفت </w:t>
      </w:r>
      <w:r w:rsidR="004D4029" w:rsidRPr="00D57891">
        <w:rPr>
          <w:rtl/>
          <w:lang w:eastAsia="zh-TW"/>
        </w:rPr>
        <w:t>تدابير الصحة العامة والاستجابة الاجتماعية لمساعدة متعاطي المخدرات. ولم تشهد البرتغال زيادة جوهرية في تعاطي المخدرات؛ بل إن المؤشرات تشير إلى انخفاض</w:t>
      </w:r>
      <w:r w:rsidR="004D4029">
        <w:rPr>
          <w:rFonts w:hint="cs"/>
          <w:rtl/>
          <w:lang w:eastAsia="zh-TW"/>
        </w:rPr>
        <w:t xml:space="preserve"> التعاطي بالنسبة لف</w:t>
      </w:r>
      <w:r w:rsidR="004D4029" w:rsidRPr="00D57891">
        <w:rPr>
          <w:rtl/>
          <w:lang w:eastAsia="zh-TW"/>
        </w:rPr>
        <w:t>ئات معينة. وشملت الآثار الإيجابية إزالة الوصمة عن متعاطي المخدرات وتخ</w:t>
      </w:r>
      <w:r w:rsidR="007153EF">
        <w:rPr>
          <w:rtl/>
          <w:lang w:eastAsia="zh-TW"/>
        </w:rPr>
        <w:t>فيف أعباء نظام العدالة الجنائية</w:t>
      </w:r>
      <w:r w:rsidR="004A64ED">
        <w:rPr>
          <w:rStyle w:val="FootnoteReference"/>
          <w:rFonts w:ascii="Traditional Arabic" w:hAnsi="Traditional Arabic"/>
          <w:sz w:val="32"/>
          <w:szCs w:val="32"/>
          <w:rtl/>
          <w:lang w:eastAsia="zh-TW"/>
        </w:rPr>
        <w:t>(</w:t>
      </w:r>
      <w:r w:rsidR="007153EF" w:rsidRPr="00D57891">
        <w:rPr>
          <w:rStyle w:val="FootnoteReference"/>
          <w:rFonts w:ascii="Traditional Arabic" w:hAnsi="Traditional Arabic"/>
          <w:sz w:val="32"/>
          <w:szCs w:val="32"/>
          <w:rtl/>
          <w:lang w:eastAsia="zh-TW"/>
        </w:rPr>
        <w:footnoteReference w:id="33"/>
      </w:r>
      <w:r w:rsidR="004A64ED">
        <w:rPr>
          <w:rStyle w:val="FootnoteReference"/>
          <w:rFonts w:ascii="Traditional Arabic" w:hAnsi="Traditional Arabic"/>
          <w:sz w:val="32"/>
          <w:szCs w:val="32"/>
          <w:rtl/>
          <w:lang w:eastAsia="zh-TW"/>
        </w:rPr>
        <w:t>)</w:t>
      </w:r>
      <w:r w:rsidR="007153EF">
        <w:rPr>
          <w:rFonts w:hint="cs"/>
          <w:rtl/>
          <w:lang w:eastAsia="zh-TW"/>
        </w:rPr>
        <w:t>.</w:t>
      </w:r>
      <w:r w:rsidR="004D4029" w:rsidRPr="00D57891">
        <w:rPr>
          <w:rtl/>
          <w:lang w:eastAsia="zh-TW"/>
        </w:rPr>
        <w:t xml:space="preserve"> وأشارت الهيئة الدولية لمراقبة المخدرات إلى أن إلغاء تجريم تعاطي المخدرات في الب</w:t>
      </w:r>
      <w:r w:rsidR="007153EF">
        <w:rPr>
          <w:rtl/>
          <w:lang w:eastAsia="zh-TW"/>
        </w:rPr>
        <w:t>رتغال ينسجم مع اتفاقية عام 1988</w:t>
      </w:r>
      <w:r w:rsidR="004A64ED">
        <w:rPr>
          <w:rStyle w:val="FootnoteReference"/>
          <w:rFonts w:ascii="Traditional Arabic" w:hAnsi="Traditional Arabic"/>
          <w:sz w:val="32"/>
          <w:szCs w:val="32"/>
          <w:rtl/>
          <w:lang w:eastAsia="zh-TW"/>
        </w:rPr>
        <w:t>(</w:t>
      </w:r>
      <w:r w:rsidR="007153EF" w:rsidRPr="00D57891">
        <w:rPr>
          <w:rStyle w:val="FootnoteReference"/>
          <w:rFonts w:ascii="Traditional Arabic" w:hAnsi="Traditional Arabic"/>
          <w:sz w:val="32"/>
          <w:szCs w:val="32"/>
          <w:rtl/>
          <w:lang w:eastAsia="zh-TW"/>
        </w:rPr>
        <w:footnoteReference w:id="34"/>
      </w:r>
      <w:r w:rsidR="004A64ED">
        <w:rPr>
          <w:rStyle w:val="FootnoteReference"/>
          <w:rFonts w:ascii="Traditional Arabic" w:hAnsi="Traditional Arabic"/>
          <w:sz w:val="32"/>
          <w:szCs w:val="32"/>
          <w:rtl/>
          <w:lang w:eastAsia="zh-TW"/>
        </w:rPr>
        <w:t>)</w:t>
      </w:r>
      <w:r w:rsidR="007153EF">
        <w:rPr>
          <w:rFonts w:hint="cs"/>
          <w:rtl/>
          <w:lang w:eastAsia="zh-TW"/>
        </w:rPr>
        <w:t>.</w:t>
      </w:r>
      <w:r w:rsidR="004D4029" w:rsidRPr="00D57891">
        <w:rPr>
          <w:rtl/>
          <w:lang w:eastAsia="zh-TW"/>
        </w:rPr>
        <w:t xml:space="preserve"> وهناك في المجموع 22 دولة اعتمدت تدابير إلغاء تجريم </w:t>
      </w:r>
      <w:r w:rsidR="008A4085">
        <w:rPr>
          <w:rFonts w:hint="cs"/>
          <w:rtl/>
          <w:lang w:eastAsia="zh-TW"/>
        </w:rPr>
        <w:t>من نوع أو آخر</w:t>
      </w:r>
      <w:r w:rsidR="004D4029" w:rsidRPr="00D57891">
        <w:rPr>
          <w:rtl/>
          <w:lang w:eastAsia="zh-TW"/>
        </w:rPr>
        <w:t>، وإن لم يكن ذلك بدافع تعزيز الصحة العامة في كل الحالات</w:t>
      </w:r>
      <w:r w:rsidR="004A64ED">
        <w:rPr>
          <w:rStyle w:val="FootnoteReference"/>
          <w:rFonts w:ascii="Traditional Arabic" w:hAnsi="Traditional Arabic"/>
          <w:sz w:val="32"/>
          <w:szCs w:val="32"/>
          <w:rtl/>
          <w:lang w:eastAsia="zh-TW"/>
        </w:rPr>
        <w:t>(</w:t>
      </w:r>
      <w:r w:rsidR="00395152" w:rsidRPr="00D57891">
        <w:rPr>
          <w:rStyle w:val="FootnoteReference"/>
          <w:rFonts w:ascii="Traditional Arabic" w:hAnsi="Traditional Arabic"/>
          <w:sz w:val="32"/>
          <w:szCs w:val="32"/>
          <w:rtl/>
          <w:lang w:eastAsia="zh-TW"/>
        </w:rPr>
        <w:footnoteReference w:id="35"/>
      </w:r>
      <w:r w:rsidR="004A64ED">
        <w:rPr>
          <w:rStyle w:val="FootnoteReference"/>
          <w:rFonts w:ascii="Traditional Arabic" w:hAnsi="Traditional Arabic"/>
          <w:sz w:val="32"/>
          <w:szCs w:val="32"/>
          <w:rtl/>
          <w:lang w:eastAsia="zh-TW"/>
        </w:rPr>
        <w:t>)</w:t>
      </w:r>
      <w:r w:rsidR="00395152">
        <w:rPr>
          <w:rFonts w:hint="cs"/>
          <w:rtl/>
          <w:lang w:eastAsia="zh-TW"/>
        </w:rPr>
        <w:t>.</w:t>
      </w:r>
      <w:r w:rsidR="004D4029" w:rsidRPr="00D57891">
        <w:rPr>
          <w:rtl/>
          <w:lang w:eastAsia="zh-TW"/>
        </w:rPr>
        <w:t xml:space="preserve"> ورأى المقرر الخاص أن إلغاء التجريم ينبغي أن يقترن بالتوسع في برامج العلاج من المخدرات والتوعية بها (انظر </w:t>
      </w:r>
      <w:r w:rsidR="004D4029" w:rsidRPr="00D57891">
        <w:rPr>
          <w:lang w:eastAsia="zh-TW"/>
        </w:rPr>
        <w:t>A/65/255</w:t>
      </w:r>
      <w:r w:rsidR="004D4029" w:rsidRPr="00D57891">
        <w:rPr>
          <w:rtl/>
          <w:lang w:eastAsia="zh-TW"/>
        </w:rPr>
        <w:t xml:space="preserve">، الفقرة 67). وفي 26 حزيران/يونيه 2015، دعا الأمين العام، بمناسبة اليوم الدولي لمكافحة إساءة استعمال المخدرات </w:t>
      </w:r>
      <w:proofErr w:type="spellStart"/>
      <w:r w:rsidR="004D4029" w:rsidRPr="00D57891">
        <w:rPr>
          <w:rtl/>
          <w:lang w:eastAsia="zh-TW"/>
        </w:rPr>
        <w:t>والاتجار</w:t>
      </w:r>
      <w:proofErr w:type="spellEnd"/>
      <w:r w:rsidR="004D4029" w:rsidRPr="00D57891">
        <w:rPr>
          <w:rtl/>
          <w:lang w:eastAsia="zh-TW"/>
        </w:rPr>
        <w:t xml:space="preserve"> غير المشروع بها، إلى إيلاء الاعتبار لبدائل عن تجريم واحتجاز </w:t>
      </w:r>
      <w:r w:rsidR="004D4029">
        <w:rPr>
          <w:rFonts w:hint="cs"/>
          <w:rtl/>
          <w:lang w:eastAsia="zh-TW"/>
        </w:rPr>
        <w:t>متعاطي</w:t>
      </w:r>
      <w:r w:rsidR="004D4029" w:rsidRPr="00D57891">
        <w:rPr>
          <w:rtl/>
          <w:lang w:eastAsia="zh-TW"/>
        </w:rPr>
        <w:t xml:space="preserve"> المخدرات، وإلى التركيز أكثر على الصحة العامة والوقاية والعلاج والرعاية فضلا</w:t>
      </w:r>
      <w:r w:rsidR="000B3762">
        <w:rPr>
          <w:rFonts w:hint="cs"/>
          <w:rtl/>
          <w:lang w:eastAsia="zh-TW"/>
        </w:rPr>
        <w:t>ً</w:t>
      </w:r>
      <w:r w:rsidR="004D4029" w:rsidRPr="00D57891">
        <w:rPr>
          <w:rtl/>
          <w:lang w:eastAsia="zh-TW"/>
        </w:rPr>
        <w:t xml:space="preserve"> عن الاستراتيجيات الاقتصادية والاجتماعية والثقافية. ودعا عدد من منظمات المجتمع المدني إلى إلغاء التجريم على اعتبار أن التجريم يشكل عائقا كبيرا </w:t>
      </w:r>
      <w:r w:rsidR="004D4029">
        <w:rPr>
          <w:rFonts w:hint="cs"/>
          <w:rtl/>
          <w:lang w:eastAsia="zh-TW"/>
        </w:rPr>
        <w:t>يمنع</w:t>
      </w:r>
      <w:r w:rsidR="004D4029" w:rsidRPr="00D57891">
        <w:rPr>
          <w:rtl/>
          <w:lang w:eastAsia="zh-TW"/>
        </w:rPr>
        <w:t xml:space="preserve"> قطاع الصحة العامة </w:t>
      </w:r>
      <w:r w:rsidR="004D4029">
        <w:rPr>
          <w:rFonts w:hint="cs"/>
          <w:rtl/>
          <w:lang w:eastAsia="zh-TW"/>
        </w:rPr>
        <w:t xml:space="preserve">من اتخاذ </w:t>
      </w:r>
      <w:r w:rsidR="004D4029" w:rsidRPr="00D57891">
        <w:rPr>
          <w:rtl/>
          <w:lang w:eastAsia="zh-TW"/>
        </w:rPr>
        <w:t xml:space="preserve">تدابير </w:t>
      </w:r>
      <w:r w:rsidR="004D4029">
        <w:rPr>
          <w:rFonts w:hint="cs"/>
          <w:rtl/>
          <w:lang w:eastAsia="zh-TW"/>
        </w:rPr>
        <w:t>تخدم مصلحة</w:t>
      </w:r>
      <w:r w:rsidR="004D4029" w:rsidRPr="00D57891">
        <w:rPr>
          <w:rtl/>
          <w:lang w:eastAsia="zh-TW"/>
        </w:rPr>
        <w:t xml:space="preserve"> متعاطي المخدرات و</w:t>
      </w:r>
      <w:r w:rsidR="004D4029">
        <w:rPr>
          <w:rFonts w:hint="cs"/>
          <w:rtl/>
          <w:lang w:eastAsia="zh-TW"/>
        </w:rPr>
        <w:t xml:space="preserve">تكفل </w:t>
      </w:r>
      <w:r w:rsidR="004D4029" w:rsidRPr="00D57891">
        <w:rPr>
          <w:rtl/>
          <w:lang w:eastAsia="zh-TW"/>
        </w:rPr>
        <w:t>تمتعهم بالحق في الصحة</w:t>
      </w:r>
      <w:r w:rsidR="004A64ED">
        <w:rPr>
          <w:rStyle w:val="FootnoteReference"/>
          <w:rFonts w:ascii="Traditional Arabic" w:hAnsi="Traditional Arabic"/>
          <w:sz w:val="32"/>
          <w:szCs w:val="32"/>
          <w:rtl/>
          <w:lang w:eastAsia="zh-TW"/>
        </w:rPr>
        <w:t>(</w:t>
      </w:r>
      <w:r w:rsidR="00395152" w:rsidRPr="00D57891">
        <w:rPr>
          <w:rStyle w:val="FootnoteReference"/>
          <w:rFonts w:ascii="Traditional Arabic" w:hAnsi="Traditional Arabic"/>
          <w:sz w:val="32"/>
          <w:szCs w:val="32"/>
          <w:rtl/>
          <w:lang w:eastAsia="zh-TW"/>
        </w:rPr>
        <w:footnoteReference w:id="36"/>
      </w:r>
      <w:r w:rsidR="004A64ED">
        <w:rPr>
          <w:rStyle w:val="FootnoteReference"/>
          <w:rFonts w:ascii="Traditional Arabic" w:hAnsi="Traditional Arabic"/>
          <w:sz w:val="32"/>
          <w:szCs w:val="32"/>
          <w:rtl/>
          <w:lang w:eastAsia="zh-TW"/>
        </w:rPr>
        <w:t>)</w:t>
      </w:r>
      <w:r w:rsidR="00395152">
        <w:rPr>
          <w:rFonts w:hint="cs"/>
          <w:rtl/>
          <w:lang w:eastAsia="zh-TW"/>
        </w:rPr>
        <w:t xml:space="preserve">. </w:t>
      </w:r>
    </w:p>
    <w:p w:rsidR="004D4029" w:rsidRPr="005B45E5" w:rsidRDefault="00FB1AE8" w:rsidP="00FB1AE8">
      <w:pPr>
        <w:pStyle w:val="H1GA"/>
        <w:rPr>
          <w:rtl/>
          <w:lang w:eastAsia="zh-TW"/>
        </w:rPr>
      </w:pPr>
      <w:r>
        <w:rPr>
          <w:rFonts w:hint="cs"/>
          <w:rtl/>
          <w:lang w:eastAsia="zh-TW"/>
        </w:rPr>
        <w:tab/>
      </w:r>
      <w:r w:rsidR="004D4029" w:rsidRPr="005B45E5">
        <w:rPr>
          <w:rFonts w:hint="cs"/>
          <w:rtl/>
          <w:lang w:eastAsia="zh-TW"/>
        </w:rPr>
        <w:t>هاء-</w:t>
      </w:r>
      <w:r>
        <w:rPr>
          <w:rtl/>
          <w:lang w:eastAsia="zh-TW"/>
        </w:rPr>
        <w:tab/>
      </w:r>
      <w:r w:rsidR="004D4029" w:rsidRPr="005B45E5">
        <w:rPr>
          <w:rFonts w:hint="cs"/>
          <w:rtl/>
          <w:lang w:eastAsia="zh-TW"/>
        </w:rPr>
        <w:t>الحصول</w:t>
      </w:r>
      <w:r w:rsidR="004D4029" w:rsidRPr="005B45E5">
        <w:rPr>
          <w:rtl/>
          <w:lang w:eastAsia="zh-TW"/>
        </w:rPr>
        <w:t xml:space="preserve"> على الأدوية الأساسية</w:t>
      </w:r>
    </w:p>
    <w:p w:rsidR="004D4029" w:rsidRPr="00D57891" w:rsidRDefault="00FB1AE8" w:rsidP="00FB1AE8">
      <w:pPr>
        <w:pStyle w:val="SingleTxtGA"/>
        <w:rPr>
          <w:rtl/>
          <w:lang w:eastAsia="zh-TW"/>
        </w:rPr>
      </w:pPr>
      <w:r>
        <w:rPr>
          <w:rtl/>
          <w:lang w:eastAsia="zh-TW"/>
        </w:rPr>
        <w:t>٣١</w:t>
      </w:r>
      <w:r>
        <w:rPr>
          <w:rFonts w:hint="cs"/>
          <w:rtl/>
          <w:lang w:eastAsia="zh-TW"/>
        </w:rPr>
        <w:t>-</w:t>
      </w:r>
      <w:r>
        <w:rPr>
          <w:rFonts w:hint="cs"/>
          <w:rtl/>
          <w:lang w:eastAsia="zh-TW"/>
        </w:rPr>
        <w:tab/>
        <w:t xml:space="preserve">اعتُرف في </w:t>
      </w:r>
      <w:r w:rsidR="004D4029" w:rsidRPr="00D57891">
        <w:rPr>
          <w:rtl/>
          <w:lang w:eastAsia="zh-TW"/>
        </w:rPr>
        <w:t xml:space="preserve">ديباجة الاتفاقية الوحيدة للمخدرات لعام 1961 </w:t>
      </w:r>
      <w:r>
        <w:rPr>
          <w:rFonts w:hint="cs"/>
          <w:rtl/>
          <w:lang w:eastAsia="zh-TW"/>
        </w:rPr>
        <w:t>بأن ال</w:t>
      </w:r>
      <w:r w:rsidR="004D4029" w:rsidRPr="00D57891">
        <w:rPr>
          <w:rtl/>
          <w:lang w:eastAsia="zh-TW"/>
        </w:rPr>
        <w:t xml:space="preserve">استعمال </w:t>
      </w:r>
      <w:r>
        <w:rPr>
          <w:rFonts w:hint="cs"/>
          <w:rtl/>
          <w:lang w:eastAsia="zh-TW"/>
        </w:rPr>
        <w:t xml:space="preserve">الطبي للعقاقير المخدرة لا غنى عنه </w:t>
      </w:r>
      <w:r w:rsidR="004D4029" w:rsidRPr="00D57891">
        <w:rPr>
          <w:rFonts w:hint="cs"/>
          <w:rtl/>
          <w:lang w:eastAsia="zh-TW"/>
        </w:rPr>
        <w:t>لتخفيف</w:t>
      </w:r>
      <w:r w:rsidR="004D4029" w:rsidRPr="00D57891">
        <w:rPr>
          <w:rtl/>
          <w:lang w:eastAsia="zh-TW"/>
        </w:rPr>
        <w:t xml:space="preserve"> الآلام والمعاناة. غير أن ملايين الأشخاص في أنحاء العالم ممن يحتاجون إلى الأدوية الأساسية بسبب الألم وإدمان المخدرات وأوضاع صحية أخرى، يرون أن هذه الأدوية غالبا</w:t>
      </w:r>
      <w:r w:rsidR="00CF6C35">
        <w:rPr>
          <w:rFonts w:hint="cs"/>
          <w:rtl/>
          <w:lang w:eastAsia="zh-TW"/>
        </w:rPr>
        <w:t>ً</w:t>
      </w:r>
      <w:r w:rsidR="004D4029" w:rsidRPr="00D57891">
        <w:rPr>
          <w:rtl/>
          <w:lang w:eastAsia="zh-TW"/>
        </w:rPr>
        <w:t xml:space="preserve"> ما تكون متوافرة في نطاق محدود أو منعدمة. وقد أشار المقرر الخاص المعني بالحق في الصحة إلى أن الحصول على هذه الأدوية يخضع في كثير من الأحيان لتقييد مفرط خوفا من تحويلها عن الاستعمالات الطبية المشروعة (</w:t>
      </w:r>
      <w:r w:rsidR="004D4029" w:rsidRPr="00D57891">
        <w:rPr>
          <w:rFonts w:hint="cs"/>
          <w:rtl/>
          <w:lang w:eastAsia="zh-TW"/>
        </w:rPr>
        <w:t xml:space="preserve">انظر </w:t>
      </w:r>
      <w:r w:rsidR="004D4029" w:rsidRPr="00D57891">
        <w:rPr>
          <w:rFonts w:hint="cs"/>
          <w:lang w:eastAsia="zh-TW"/>
        </w:rPr>
        <w:t>A</w:t>
      </w:r>
      <w:r w:rsidR="004D4029" w:rsidRPr="00D57891">
        <w:rPr>
          <w:lang w:eastAsia="zh-TW"/>
        </w:rPr>
        <w:t>/65/255</w:t>
      </w:r>
      <w:r w:rsidR="004D4029" w:rsidRPr="00D57891">
        <w:rPr>
          <w:rtl/>
          <w:lang w:eastAsia="zh-TW"/>
        </w:rPr>
        <w:t xml:space="preserve">، الفقرة 41). </w:t>
      </w:r>
    </w:p>
    <w:p w:rsidR="004D4029" w:rsidRPr="00D57891" w:rsidRDefault="00FB1AE8" w:rsidP="007C5904">
      <w:pPr>
        <w:pStyle w:val="SingleTxtGA"/>
        <w:rPr>
          <w:rtl/>
          <w:lang w:eastAsia="zh-TW"/>
        </w:rPr>
      </w:pPr>
      <w:r>
        <w:rPr>
          <w:rtl/>
          <w:lang w:eastAsia="zh-TW"/>
        </w:rPr>
        <w:lastRenderedPageBreak/>
        <w:t>٣٢</w:t>
      </w:r>
      <w:r>
        <w:rPr>
          <w:rFonts w:hint="cs"/>
          <w:rtl/>
          <w:lang w:eastAsia="zh-TW"/>
        </w:rPr>
        <w:t>-</w:t>
      </w:r>
      <w:r>
        <w:rPr>
          <w:rFonts w:hint="cs"/>
          <w:rtl/>
          <w:lang w:eastAsia="zh-TW"/>
        </w:rPr>
        <w:tab/>
      </w:r>
      <w:r w:rsidR="004D4029" w:rsidRPr="00D57891">
        <w:rPr>
          <w:rtl/>
          <w:lang w:eastAsia="zh-TW"/>
        </w:rPr>
        <w:t xml:space="preserve">وتقييد الحصول على </w:t>
      </w:r>
      <w:r w:rsidR="007C5904">
        <w:rPr>
          <w:rFonts w:hint="cs"/>
          <w:rtl/>
          <w:lang w:eastAsia="zh-TW"/>
        </w:rPr>
        <w:t>أشباه</w:t>
      </w:r>
      <w:r w:rsidR="004D4029" w:rsidRPr="00D57891">
        <w:rPr>
          <w:rtl/>
          <w:lang w:eastAsia="zh-TW"/>
        </w:rPr>
        <w:t xml:space="preserve"> الأفيون لا يقتصر تأثيره على توافر العلاج بمواد بديلة </w:t>
      </w:r>
      <w:r w:rsidR="007C5904">
        <w:rPr>
          <w:rFonts w:hint="cs"/>
          <w:rtl/>
          <w:lang w:eastAsia="zh-TW"/>
        </w:rPr>
        <w:t xml:space="preserve">لأشباه </w:t>
      </w:r>
      <w:r w:rsidR="004D4029" w:rsidRPr="00D57891">
        <w:rPr>
          <w:rtl/>
          <w:lang w:eastAsia="zh-TW"/>
        </w:rPr>
        <w:t xml:space="preserve">الأفيون فحسب بل يشمل </w:t>
      </w:r>
      <w:r w:rsidR="007C5904">
        <w:rPr>
          <w:rFonts w:hint="cs"/>
          <w:rtl/>
          <w:lang w:eastAsia="zh-TW"/>
        </w:rPr>
        <w:t xml:space="preserve">هذا التأثير </w:t>
      </w:r>
      <w:r w:rsidR="004D4029" w:rsidRPr="00D57891">
        <w:rPr>
          <w:rtl/>
          <w:lang w:eastAsia="zh-TW"/>
        </w:rPr>
        <w:t>أيضا</w:t>
      </w:r>
      <w:r w:rsidR="007C5904">
        <w:rPr>
          <w:rFonts w:hint="cs"/>
          <w:rtl/>
          <w:lang w:eastAsia="zh-TW"/>
        </w:rPr>
        <w:t>ً</w:t>
      </w:r>
      <w:r w:rsidR="004D4029" w:rsidRPr="00D57891">
        <w:rPr>
          <w:rtl/>
          <w:lang w:eastAsia="zh-TW"/>
        </w:rPr>
        <w:t xml:space="preserve"> ثلاثة مجالات منفصلة يكتسي فيها الحصول على</w:t>
      </w:r>
      <w:r w:rsidR="007C5904">
        <w:rPr>
          <w:rtl/>
          <w:lang w:eastAsia="zh-TW"/>
        </w:rPr>
        <w:t xml:space="preserve"> الأدوية الخاضعة للمراقبة أهمية</w:t>
      </w:r>
      <w:r w:rsidR="007C5904">
        <w:rPr>
          <w:rFonts w:hint="cs"/>
          <w:rtl/>
          <w:lang w:eastAsia="zh-TW"/>
        </w:rPr>
        <w:t xml:space="preserve"> أساسية</w:t>
      </w:r>
      <w:r w:rsidR="004D4029" w:rsidRPr="00D57891">
        <w:rPr>
          <w:rtl/>
          <w:lang w:eastAsia="zh-TW"/>
        </w:rPr>
        <w:t xml:space="preserve"> وهي: (أ) تسكين الآلام </w:t>
      </w:r>
      <w:r w:rsidR="004D4029">
        <w:rPr>
          <w:rtl/>
          <w:lang w:eastAsia="zh-TW"/>
        </w:rPr>
        <w:t>المعتدلة إلى الحادة، بما في ذلك</w:t>
      </w:r>
      <w:r w:rsidR="004D4029">
        <w:rPr>
          <w:rFonts w:hint="cs"/>
          <w:rtl/>
          <w:lang w:eastAsia="zh-TW"/>
        </w:rPr>
        <w:t xml:space="preserve"> في إطار </w:t>
      </w:r>
      <w:r w:rsidR="004D4029" w:rsidRPr="00D57891">
        <w:rPr>
          <w:rtl/>
          <w:lang w:eastAsia="zh-TW"/>
        </w:rPr>
        <w:t xml:space="preserve">الرعاية </w:t>
      </w:r>
      <w:proofErr w:type="spellStart"/>
      <w:r w:rsidR="004D4029" w:rsidRPr="00D57891">
        <w:rPr>
          <w:rtl/>
          <w:lang w:eastAsia="zh-TW"/>
        </w:rPr>
        <w:t>التسكينية</w:t>
      </w:r>
      <w:proofErr w:type="spellEnd"/>
      <w:r w:rsidR="004D4029" w:rsidRPr="00D57891">
        <w:rPr>
          <w:rtl/>
          <w:lang w:eastAsia="zh-TW"/>
        </w:rPr>
        <w:t xml:space="preserve"> التي يتلقاها الأشخاص ا</w:t>
      </w:r>
      <w:r w:rsidR="007C5904">
        <w:rPr>
          <w:rtl/>
          <w:lang w:eastAsia="zh-TW"/>
        </w:rPr>
        <w:t>لمصابون بالأمراض المهددة للحياة</w:t>
      </w:r>
      <w:r w:rsidR="007C5904">
        <w:rPr>
          <w:rFonts w:hint="cs"/>
          <w:rtl/>
          <w:lang w:eastAsia="zh-TW"/>
        </w:rPr>
        <w:t>؛</w:t>
      </w:r>
      <w:r w:rsidR="004D4029" w:rsidRPr="00D57891">
        <w:rPr>
          <w:rtl/>
          <w:lang w:eastAsia="zh-TW"/>
        </w:rPr>
        <w:t xml:space="preserve"> (</w:t>
      </w:r>
      <w:r w:rsidR="007C5904">
        <w:rPr>
          <w:rtl/>
          <w:lang w:eastAsia="zh-TW"/>
        </w:rPr>
        <w:t>ب)</w:t>
      </w:r>
      <w:r w:rsidR="007C5904">
        <w:rPr>
          <w:rFonts w:hint="cs"/>
          <w:rtl/>
          <w:lang w:eastAsia="zh-TW"/>
        </w:rPr>
        <w:t> </w:t>
      </w:r>
      <w:r w:rsidR="00CF6C35">
        <w:rPr>
          <w:rtl/>
          <w:lang w:eastAsia="zh-TW"/>
        </w:rPr>
        <w:t>بعض حالات التوليد الطارئة؛ و</w:t>
      </w:r>
      <w:r w:rsidR="004D4029" w:rsidRPr="00D57891">
        <w:rPr>
          <w:rtl/>
          <w:lang w:eastAsia="zh-TW"/>
        </w:rPr>
        <w:t xml:space="preserve">(ج) علاج الصرع (انظر </w:t>
      </w:r>
      <w:r w:rsidR="004D4029" w:rsidRPr="00D57891">
        <w:rPr>
          <w:lang w:eastAsia="zh-TW"/>
        </w:rPr>
        <w:t>A/65/255</w:t>
      </w:r>
      <w:r w:rsidR="004D4029" w:rsidRPr="00D57891">
        <w:rPr>
          <w:rtl/>
          <w:lang w:eastAsia="zh-TW"/>
        </w:rPr>
        <w:t>، الفقرة 42).</w:t>
      </w:r>
      <w:r w:rsidR="00CF6C35">
        <w:rPr>
          <w:rFonts w:hint="cs"/>
          <w:rtl/>
          <w:lang w:eastAsia="zh-TW"/>
        </w:rPr>
        <w:t xml:space="preserve"> </w:t>
      </w:r>
    </w:p>
    <w:p w:rsidR="004D4029" w:rsidRPr="00D57891" w:rsidRDefault="007C5904" w:rsidP="007C5904">
      <w:pPr>
        <w:pStyle w:val="SingleTxtGA"/>
        <w:rPr>
          <w:rtl/>
          <w:lang w:eastAsia="zh-TW"/>
        </w:rPr>
      </w:pPr>
      <w:r>
        <w:rPr>
          <w:rtl/>
          <w:lang w:eastAsia="zh-TW"/>
        </w:rPr>
        <w:t>٣٣</w:t>
      </w:r>
      <w:r>
        <w:rPr>
          <w:rFonts w:hint="cs"/>
          <w:rtl/>
          <w:lang w:eastAsia="zh-TW"/>
        </w:rPr>
        <w:t>-</w:t>
      </w:r>
      <w:r>
        <w:rPr>
          <w:rFonts w:hint="cs"/>
          <w:rtl/>
          <w:lang w:eastAsia="zh-TW"/>
        </w:rPr>
        <w:tab/>
      </w:r>
      <w:r w:rsidR="004D4029" w:rsidRPr="00D57891">
        <w:rPr>
          <w:rtl/>
          <w:lang w:eastAsia="zh-TW"/>
        </w:rPr>
        <w:t>وقد ذكرت اللجنة المعنية بالحقوق الاقتصادية والاجتماعية والثقافية في تعليقها العام رقم</w:t>
      </w:r>
      <w:r>
        <w:rPr>
          <w:rFonts w:hint="cs"/>
          <w:rtl/>
          <w:lang w:eastAsia="zh-TW"/>
        </w:rPr>
        <w:t> </w:t>
      </w:r>
      <w:r w:rsidR="004D4029" w:rsidRPr="00D57891">
        <w:rPr>
          <w:rtl/>
          <w:lang w:eastAsia="zh-TW"/>
        </w:rPr>
        <w:t xml:space="preserve">14(2000) بشأن الحق في التمتع بأعلى مستوى ممكن من الصحة، أن ضمان الحصول على العقاقير الأساسية، بما في ذلك </w:t>
      </w:r>
      <w:r>
        <w:rPr>
          <w:rFonts w:hint="cs"/>
          <w:rtl/>
          <w:lang w:eastAsia="zh-TW"/>
        </w:rPr>
        <w:t xml:space="preserve">أشباه </w:t>
      </w:r>
      <w:r w:rsidR="004D4029" w:rsidRPr="00D57891">
        <w:rPr>
          <w:rtl/>
          <w:lang w:eastAsia="zh-TW"/>
        </w:rPr>
        <w:t>الأفيون، يشكل عنصرا</w:t>
      </w:r>
      <w:r w:rsidR="000B3762">
        <w:rPr>
          <w:rFonts w:hint="cs"/>
          <w:rtl/>
          <w:lang w:eastAsia="zh-TW"/>
        </w:rPr>
        <w:t>ً</w:t>
      </w:r>
      <w:r w:rsidR="004D4029" w:rsidRPr="00D57891">
        <w:rPr>
          <w:rtl/>
          <w:lang w:eastAsia="zh-TW"/>
        </w:rPr>
        <w:t xml:space="preserve"> أساسيا</w:t>
      </w:r>
      <w:r w:rsidR="000B3762">
        <w:rPr>
          <w:rFonts w:hint="cs"/>
          <w:rtl/>
          <w:lang w:eastAsia="zh-TW"/>
        </w:rPr>
        <w:t>ً</w:t>
      </w:r>
      <w:r w:rsidR="004D4029" w:rsidRPr="00D57891">
        <w:rPr>
          <w:rtl/>
          <w:lang w:eastAsia="zh-TW"/>
        </w:rPr>
        <w:t xml:space="preserve"> من عناصر الحق في الصحة، و</w:t>
      </w:r>
      <w:r w:rsidR="004D4029">
        <w:rPr>
          <w:rFonts w:hint="cs"/>
          <w:rtl/>
          <w:lang w:eastAsia="zh-TW"/>
        </w:rPr>
        <w:t xml:space="preserve">دعت إلى ضرورة امتثال </w:t>
      </w:r>
      <w:r w:rsidR="004D4029" w:rsidRPr="00D57891">
        <w:rPr>
          <w:rtl/>
          <w:lang w:eastAsia="zh-TW"/>
        </w:rPr>
        <w:t>الدول ل</w:t>
      </w:r>
      <w:r w:rsidR="004D4029">
        <w:rPr>
          <w:rFonts w:hint="cs"/>
          <w:rtl/>
          <w:lang w:eastAsia="zh-TW"/>
        </w:rPr>
        <w:t xml:space="preserve">هذا </w:t>
      </w:r>
      <w:r w:rsidR="004D4029" w:rsidRPr="00D57891">
        <w:rPr>
          <w:rFonts w:hint="cs"/>
          <w:rtl/>
          <w:lang w:eastAsia="zh-TW"/>
        </w:rPr>
        <w:t>الالتزام،</w:t>
      </w:r>
      <w:r w:rsidR="004D4029" w:rsidRPr="00D57891">
        <w:rPr>
          <w:rtl/>
          <w:lang w:eastAsia="zh-TW"/>
        </w:rPr>
        <w:t xml:space="preserve"> بصرف النظر عن القيود المفروضة على الموارد. وأشار المقرر الخاص إلى أن إمكانية الحصول على العقاقير الخاضعة للمراقبة </w:t>
      </w:r>
      <w:r w:rsidR="000B3762">
        <w:rPr>
          <w:rFonts w:hint="cs"/>
          <w:rtl/>
          <w:lang w:eastAsia="zh-TW"/>
        </w:rPr>
        <w:t xml:space="preserve">هي </w:t>
      </w:r>
      <w:r w:rsidR="004D4029" w:rsidRPr="00D57891">
        <w:rPr>
          <w:rtl/>
          <w:lang w:eastAsia="zh-TW"/>
        </w:rPr>
        <w:t xml:space="preserve">جزء بالغ الأهمية من الحق في الصحة وأوصى بأن تزيد الدول من فرص الحصول على الأدوية الأساسية الخاضعة للمراقبة (انظر </w:t>
      </w:r>
      <w:r w:rsidR="004D4029" w:rsidRPr="00D57891">
        <w:rPr>
          <w:lang w:eastAsia="zh-TW"/>
        </w:rPr>
        <w:t>A/65/255</w:t>
      </w:r>
      <w:r w:rsidR="004D4029" w:rsidRPr="00D57891">
        <w:rPr>
          <w:rtl/>
          <w:lang w:eastAsia="zh-TW"/>
        </w:rPr>
        <w:t xml:space="preserve">، الفقرات 40-47 </w:t>
      </w:r>
      <w:r w:rsidR="004D4029" w:rsidRPr="00D57891">
        <w:rPr>
          <w:rFonts w:hint="cs"/>
          <w:rtl/>
          <w:lang w:eastAsia="zh-TW"/>
        </w:rPr>
        <w:t>و76</w:t>
      </w:r>
      <w:r w:rsidR="004D4029" w:rsidRPr="00D57891">
        <w:rPr>
          <w:rtl/>
          <w:lang w:eastAsia="zh-TW"/>
        </w:rPr>
        <w:t>).</w:t>
      </w:r>
      <w:r w:rsidR="004C6EA3">
        <w:rPr>
          <w:rFonts w:hint="cs"/>
          <w:rtl/>
          <w:lang w:eastAsia="zh-TW"/>
        </w:rPr>
        <w:t xml:space="preserve"> </w:t>
      </w:r>
    </w:p>
    <w:p w:rsidR="004D4029" w:rsidRPr="00D57891" w:rsidRDefault="004C6EA3" w:rsidP="00B071FA">
      <w:pPr>
        <w:pStyle w:val="SingleTxtGA"/>
        <w:rPr>
          <w:rtl/>
          <w:lang w:eastAsia="zh-TW"/>
        </w:rPr>
      </w:pPr>
      <w:r>
        <w:rPr>
          <w:rtl/>
          <w:lang w:eastAsia="zh-TW"/>
        </w:rPr>
        <w:t>٣٤</w:t>
      </w:r>
      <w:r>
        <w:rPr>
          <w:rFonts w:hint="cs"/>
          <w:rtl/>
          <w:lang w:eastAsia="zh-TW"/>
        </w:rPr>
        <w:t>-</w:t>
      </w:r>
      <w:r>
        <w:rPr>
          <w:rFonts w:hint="cs"/>
          <w:rtl/>
          <w:lang w:eastAsia="zh-TW"/>
        </w:rPr>
        <w:tab/>
      </w:r>
      <w:r w:rsidR="004D4029" w:rsidRPr="00D57891">
        <w:rPr>
          <w:rtl/>
          <w:lang w:eastAsia="zh-TW"/>
        </w:rPr>
        <w:t>وخلصت الهيئة الدولية لمراقبة المخدرات مرارا</w:t>
      </w:r>
      <w:r w:rsidR="008A324D">
        <w:rPr>
          <w:rFonts w:hint="cs"/>
          <w:rtl/>
          <w:lang w:eastAsia="zh-TW"/>
        </w:rPr>
        <w:t>ً</w:t>
      </w:r>
      <w:r w:rsidR="004D4029" w:rsidRPr="00D57891">
        <w:rPr>
          <w:rtl/>
          <w:lang w:eastAsia="zh-TW"/>
        </w:rPr>
        <w:t xml:space="preserve"> إلى أن توافر الأدوية الأساسية الخاضعة للمراقبة محدود للغاية في كثير من البلدان. وأشارت الهيئة في تقريرها السنوي لعام 2014، إلى أن هناك نحو 5.5 </w:t>
      </w:r>
      <w:r>
        <w:rPr>
          <w:rFonts w:hint="cs"/>
          <w:rtl/>
          <w:lang w:eastAsia="zh-TW"/>
        </w:rPr>
        <w:t xml:space="preserve">مليارات </w:t>
      </w:r>
      <w:r w:rsidR="004D4029" w:rsidRPr="00D57891">
        <w:rPr>
          <w:rtl/>
          <w:lang w:eastAsia="zh-TW"/>
        </w:rPr>
        <w:t>نسمة، أو ثلاثة أرباع سكان العالم، يعيشون في بلدان تندُرُ فيها أو تنعدم فرص الحصول على أدوية تحتوي على مخدرات، ولا يتيسَّر فيها الحصول بالقدر الكافي على العلاج من الآلام المعتدلة إلى الشديدة. ولاحظ المجلس أيضا</w:t>
      </w:r>
      <w:r w:rsidR="00A12D12">
        <w:rPr>
          <w:rFonts w:hint="cs"/>
          <w:rtl/>
          <w:lang w:eastAsia="zh-TW"/>
        </w:rPr>
        <w:t>ً</w:t>
      </w:r>
      <w:r w:rsidR="004D4029" w:rsidRPr="00D57891">
        <w:rPr>
          <w:rtl/>
          <w:lang w:eastAsia="zh-TW"/>
        </w:rPr>
        <w:t xml:space="preserve"> أن 17 في المائة من سكان العالم، ولا سيما في أمريكا الشمالية وأوقيانوسيا وأوروبا الغربية، يستهلكون 92 في المائة من المورفين </w:t>
      </w:r>
      <w:r w:rsidR="008A324D" w:rsidRPr="00D57891">
        <w:rPr>
          <w:rtl/>
          <w:lang w:eastAsia="zh-TW"/>
        </w:rPr>
        <w:t>(</w:t>
      </w:r>
      <w:r w:rsidR="008A324D">
        <w:rPr>
          <w:rFonts w:hint="cs"/>
          <w:rtl/>
          <w:lang w:eastAsia="zh-TW"/>
        </w:rPr>
        <w:t>وهو شبيه الأفيون</w:t>
      </w:r>
      <w:r w:rsidR="008A324D" w:rsidRPr="00D57891">
        <w:rPr>
          <w:rtl/>
          <w:lang w:eastAsia="zh-TW"/>
        </w:rPr>
        <w:t>)</w:t>
      </w:r>
      <w:r w:rsidR="008A324D">
        <w:rPr>
          <w:rFonts w:hint="cs"/>
          <w:rtl/>
          <w:lang w:eastAsia="zh-TW"/>
        </w:rPr>
        <w:t xml:space="preserve"> </w:t>
      </w:r>
      <w:r w:rsidR="004D4029" w:rsidRPr="00D57891">
        <w:rPr>
          <w:rtl/>
          <w:lang w:eastAsia="zh-TW"/>
        </w:rPr>
        <w:t>في العالم</w:t>
      </w:r>
      <w:r w:rsidR="008A324D">
        <w:rPr>
          <w:rtl/>
          <w:lang w:eastAsia="zh-TW"/>
        </w:rPr>
        <w:t>. وسلَّم</w:t>
      </w:r>
      <w:r w:rsidR="004D4029" w:rsidRPr="00D57891">
        <w:rPr>
          <w:rtl/>
          <w:lang w:eastAsia="zh-TW"/>
        </w:rPr>
        <w:t xml:space="preserve"> كل من الهيئة ومنظمة الصحة العالمية </w:t>
      </w:r>
      <w:r w:rsidR="008A324D">
        <w:rPr>
          <w:rFonts w:hint="cs"/>
          <w:rtl/>
          <w:lang w:eastAsia="zh-TW"/>
        </w:rPr>
        <w:t>ب</w:t>
      </w:r>
      <w:r w:rsidR="004D4029" w:rsidRPr="00D57891">
        <w:rPr>
          <w:rtl/>
          <w:lang w:eastAsia="zh-TW"/>
        </w:rPr>
        <w:t>أن الأنظمة والممارسات التي تفرض قيودا</w:t>
      </w:r>
      <w:r w:rsidR="00A12D12">
        <w:rPr>
          <w:rFonts w:hint="cs"/>
          <w:rtl/>
          <w:lang w:eastAsia="zh-TW"/>
        </w:rPr>
        <w:t>ً</w:t>
      </w:r>
      <w:r w:rsidR="004D4029" w:rsidRPr="00D57891">
        <w:rPr>
          <w:rtl/>
          <w:lang w:eastAsia="zh-TW"/>
        </w:rPr>
        <w:t xml:space="preserve"> لا مبرر لها في مجال مكافحة المخدرات تشكل عائقا</w:t>
      </w:r>
      <w:r w:rsidR="00A12D12">
        <w:rPr>
          <w:rFonts w:hint="cs"/>
          <w:rtl/>
          <w:lang w:eastAsia="zh-TW"/>
        </w:rPr>
        <w:t>ً</w:t>
      </w:r>
      <w:r w:rsidR="004D4029" w:rsidRPr="00D57891">
        <w:rPr>
          <w:rtl/>
          <w:lang w:eastAsia="zh-TW"/>
        </w:rPr>
        <w:t xml:space="preserve"> كبيرا</w:t>
      </w:r>
      <w:r w:rsidR="00A12D12">
        <w:rPr>
          <w:rFonts w:hint="cs"/>
          <w:rtl/>
          <w:lang w:eastAsia="zh-TW"/>
        </w:rPr>
        <w:t>ً</w:t>
      </w:r>
      <w:r w:rsidR="004D4029" w:rsidRPr="00D57891">
        <w:rPr>
          <w:rtl/>
          <w:lang w:eastAsia="zh-TW"/>
        </w:rPr>
        <w:t xml:space="preserve"> يحول دون الحصول على الأدوية الأساسية الخاضعة للمراقبة</w:t>
      </w:r>
      <w:r w:rsidR="004A64ED">
        <w:rPr>
          <w:rStyle w:val="FootnoteReference"/>
          <w:rFonts w:ascii="Traditional Arabic" w:hAnsi="Traditional Arabic"/>
          <w:sz w:val="32"/>
          <w:szCs w:val="32"/>
          <w:rtl/>
          <w:lang w:eastAsia="zh-TW"/>
        </w:rPr>
        <w:t>(</w:t>
      </w:r>
      <w:r w:rsidR="00B071FA" w:rsidRPr="00D57891">
        <w:rPr>
          <w:rStyle w:val="FootnoteReference"/>
          <w:rFonts w:ascii="Traditional Arabic" w:hAnsi="Traditional Arabic"/>
          <w:sz w:val="32"/>
          <w:szCs w:val="32"/>
          <w:rtl/>
          <w:lang w:eastAsia="zh-TW"/>
        </w:rPr>
        <w:footnoteReference w:id="37"/>
      </w:r>
      <w:r w:rsidR="004A64ED">
        <w:rPr>
          <w:rStyle w:val="FootnoteReference"/>
          <w:rFonts w:ascii="Traditional Arabic" w:hAnsi="Traditional Arabic"/>
          <w:sz w:val="32"/>
          <w:szCs w:val="32"/>
          <w:rtl/>
          <w:lang w:eastAsia="zh-TW"/>
        </w:rPr>
        <w:t>)</w:t>
      </w:r>
      <w:r w:rsidR="00B071FA">
        <w:rPr>
          <w:rFonts w:hint="cs"/>
          <w:rtl/>
          <w:lang w:eastAsia="zh-TW"/>
        </w:rPr>
        <w:t>.</w:t>
      </w:r>
      <w:r w:rsidR="004D4029" w:rsidRPr="00D57891">
        <w:rPr>
          <w:rtl/>
          <w:lang w:eastAsia="zh-TW"/>
        </w:rPr>
        <w:t xml:space="preserve"> </w:t>
      </w:r>
    </w:p>
    <w:p w:rsidR="004D4029" w:rsidRPr="004B4878" w:rsidRDefault="00270BD3" w:rsidP="00270BD3">
      <w:pPr>
        <w:pStyle w:val="HChGA"/>
        <w:rPr>
          <w:rtl/>
          <w:lang w:eastAsia="zh-TW"/>
        </w:rPr>
      </w:pPr>
      <w:r>
        <w:rPr>
          <w:rtl/>
          <w:lang w:eastAsia="zh-TW"/>
        </w:rPr>
        <w:tab/>
      </w:r>
      <w:r w:rsidR="004D4029" w:rsidRPr="004B4878">
        <w:rPr>
          <w:rFonts w:hint="cs"/>
          <w:rtl/>
          <w:lang w:eastAsia="zh-TW"/>
        </w:rPr>
        <w:t>ثالثا</w:t>
      </w:r>
      <w:r>
        <w:rPr>
          <w:rFonts w:hint="cs"/>
          <w:rtl/>
          <w:lang w:eastAsia="zh-TW"/>
        </w:rPr>
        <w:t>ً</w:t>
      </w:r>
      <w:r w:rsidR="004D4029" w:rsidRPr="004B4878">
        <w:rPr>
          <w:rFonts w:hint="cs"/>
          <w:rtl/>
          <w:lang w:eastAsia="zh-TW"/>
        </w:rPr>
        <w:t>-</w:t>
      </w:r>
      <w:r>
        <w:rPr>
          <w:rtl/>
          <w:lang w:eastAsia="zh-TW"/>
        </w:rPr>
        <w:tab/>
      </w:r>
      <w:r w:rsidR="004D4029" w:rsidRPr="004B4878">
        <w:rPr>
          <w:rFonts w:hint="cs"/>
          <w:rtl/>
          <w:lang w:eastAsia="zh-TW"/>
        </w:rPr>
        <w:t>الحقوق</w:t>
      </w:r>
      <w:r w:rsidR="004D4029" w:rsidRPr="004B4878">
        <w:rPr>
          <w:rtl/>
          <w:lang w:eastAsia="zh-TW"/>
        </w:rPr>
        <w:t xml:space="preserve"> ذات الصلة بالعدالة الجنائية </w:t>
      </w:r>
    </w:p>
    <w:p w:rsidR="004D4029" w:rsidRPr="004B4878" w:rsidRDefault="00270BD3" w:rsidP="00270BD3">
      <w:pPr>
        <w:pStyle w:val="H1GA"/>
        <w:rPr>
          <w:rtl/>
          <w:lang w:eastAsia="zh-TW"/>
        </w:rPr>
      </w:pPr>
      <w:r>
        <w:rPr>
          <w:rFonts w:hint="cs"/>
          <w:rtl/>
          <w:lang w:eastAsia="zh-TW"/>
        </w:rPr>
        <w:tab/>
      </w:r>
      <w:r w:rsidR="004D4029" w:rsidRPr="004B4878">
        <w:rPr>
          <w:rtl/>
          <w:lang w:eastAsia="zh-TW"/>
        </w:rPr>
        <w:t>ألف-</w:t>
      </w:r>
      <w:r w:rsidR="004D4029" w:rsidRPr="004B4878">
        <w:rPr>
          <w:rFonts w:ascii="Arial" w:eastAsia="MS Mincho" w:hAnsi="Arial" w:cs="Arial"/>
          <w:lang w:eastAsia="zh-TW"/>
        </w:rPr>
        <w:t>‬</w:t>
      </w:r>
      <w:r>
        <w:rPr>
          <w:rFonts w:hint="cs"/>
          <w:rtl/>
          <w:lang w:eastAsia="zh-TW"/>
        </w:rPr>
        <w:tab/>
      </w:r>
      <w:dir w:val="rtl">
        <w:r w:rsidR="004D4029" w:rsidRPr="004B4878">
          <w:rPr>
            <w:rtl/>
            <w:lang w:eastAsia="zh-TW"/>
          </w:rPr>
          <w:t xml:space="preserve">حظر الاعتقال والاحتجاز التعسفيين </w:t>
        </w:r>
        <w:r w:rsidR="004D4029" w:rsidRPr="004B4878">
          <w:rPr>
            <w:rFonts w:ascii="Arial" w:hAnsi="Arial" w:cs="Arial"/>
          </w:rPr>
          <w:t>‬</w:t>
        </w:r>
        <w:r w:rsidR="004D4029" w:rsidRPr="004B4878">
          <w:rPr>
            <w:rFonts w:ascii="Arial" w:hAnsi="Arial" w:cs="Arial"/>
          </w:rPr>
          <w:t>‬</w:t>
        </w:r>
        <w:r w:rsidR="004D4029" w:rsidRPr="004B4878">
          <w:t>‬</w:t>
        </w:r>
        <w:r w:rsidR="004D4029" w:rsidRPr="004B4878">
          <w:t>‬</w:t>
        </w:r>
        <w:r w:rsidR="004D4029">
          <w:t>‬</w:t>
        </w:r>
        <w:r w:rsidR="004D4029">
          <w:t>‬</w:t>
        </w:r>
        <w:r w:rsidR="00C66BF6">
          <w:t>‬</w:t>
        </w:r>
        <w:r w:rsidR="00943DBA">
          <w:t>‬</w:t>
        </w:r>
      </w:dir>
    </w:p>
    <w:p w:rsidR="004D4029" w:rsidRPr="00D57891" w:rsidRDefault="00270BD3" w:rsidP="007002F3">
      <w:pPr>
        <w:pStyle w:val="SingleTxtGA"/>
        <w:rPr>
          <w:rtl/>
          <w:lang w:eastAsia="zh-TW"/>
        </w:rPr>
      </w:pPr>
      <w:r>
        <w:rPr>
          <w:rtl/>
          <w:lang w:eastAsia="zh-TW"/>
        </w:rPr>
        <w:t>٣٥</w:t>
      </w:r>
      <w:r>
        <w:rPr>
          <w:rFonts w:hint="cs"/>
          <w:rtl/>
          <w:lang w:eastAsia="zh-TW"/>
        </w:rPr>
        <w:t>-</w:t>
      </w:r>
      <w:r>
        <w:rPr>
          <w:rFonts w:hint="cs"/>
          <w:rtl/>
          <w:lang w:eastAsia="zh-TW"/>
        </w:rPr>
        <w:tab/>
      </w:r>
      <w:r w:rsidR="004D4029" w:rsidRPr="00D57891">
        <w:rPr>
          <w:rtl/>
          <w:lang w:eastAsia="zh-TW"/>
        </w:rPr>
        <w:t>زعم أن الشرطة تلجأ، في بعض الأحيان، إلى استهداف المناطق التي تقع فيها مراكز العلاج من المخدرات أو المناطق القريبة منها لتنفيذ عمليات اعتقال</w:t>
      </w:r>
      <w:r w:rsidR="004A64ED">
        <w:rPr>
          <w:rStyle w:val="FootnoteReference"/>
          <w:rFonts w:ascii="Traditional Arabic" w:hAnsi="Traditional Arabic"/>
          <w:sz w:val="32"/>
          <w:szCs w:val="32"/>
          <w:rtl/>
          <w:lang w:eastAsia="zh-TW"/>
        </w:rPr>
        <w:t>(</w:t>
      </w:r>
      <w:r w:rsidR="007002F3" w:rsidRPr="00D57891">
        <w:rPr>
          <w:rStyle w:val="FootnoteReference"/>
          <w:rFonts w:ascii="Traditional Arabic" w:hAnsi="Traditional Arabic"/>
          <w:sz w:val="32"/>
          <w:szCs w:val="32"/>
          <w:rtl/>
          <w:lang w:eastAsia="zh-TW"/>
        </w:rPr>
        <w:footnoteReference w:id="38"/>
      </w:r>
      <w:r w:rsidR="004A64ED">
        <w:rPr>
          <w:rStyle w:val="FootnoteReference"/>
          <w:rFonts w:ascii="Traditional Arabic" w:hAnsi="Traditional Arabic"/>
          <w:sz w:val="32"/>
          <w:szCs w:val="32"/>
          <w:rtl/>
          <w:lang w:eastAsia="zh-TW"/>
        </w:rPr>
        <w:t>)</w:t>
      </w:r>
      <w:r w:rsidR="007002F3">
        <w:rPr>
          <w:rFonts w:hint="cs"/>
          <w:rtl/>
          <w:lang w:eastAsia="zh-TW"/>
        </w:rPr>
        <w:t>.</w:t>
      </w:r>
      <w:r w:rsidR="004D4029" w:rsidRPr="00D57891">
        <w:rPr>
          <w:rtl/>
          <w:lang w:eastAsia="zh-TW"/>
        </w:rPr>
        <w:t xml:space="preserve"> </w:t>
      </w:r>
      <w:r>
        <w:rPr>
          <w:rFonts w:hint="cs"/>
          <w:rtl/>
          <w:lang w:eastAsia="zh-TW"/>
        </w:rPr>
        <w:t xml:space="preserve">ويمكن ربط هذه </w:t>
      </w:r>
      <w:r w:rsidR="004D4029" w:rsidRPr="00D57891">
        <w:rPr>
          <w:rtl/>
          <w:lang w:eastAsia="zh-TW"/>
        </w:rPr>
        <w:t xml:space="preserve">الممارسات </w:t>
      </w:r>
      <w:r w:rsidR="004D4029">
        <w:rPr>
          <w:rFonts w:hint="cs"/>
          <w:rtl/>
          <w:lang w:eastAsia="zh-TW"/>
        </w:rPr>
        <w:t xml:space="preserve">بالأسلوب المتبع في قياس </w:t>
      </w:r>
      <w:r>
        <w:rPr>
          <w:rFonts w:hint="cs"/>
          <w:rtl/>
          <w:lang w:eastAsia="zh-TW"/>
        </w:rPr>
        <w:t xml:space="preserve">نجاح </w:t>
      </w:r>
      <w:r w:rsidR="004D4029">
        <w:rPr>
          <w:rFonts w:hint="cs"/>
          <w:rtl/>
          <w:lang w:eastAsia="zh-TW"/>
        </w:rPr>
        <w:t xml:space="preserve">جهود </w:t>
      </w:r>
      <w:r w:rsidR="004D4029" w:rsidRPr="00D57891">
        <w:rPr>
          <w:rtl/>
          <w:lang w:eastAsia="zh-TW"/>
        </w:rPr>
        <w:t xml:space="preserve">إنفاذ القانون في </w:t>
      </w:r>
      <w:r w:rsidR="004D4029">
        <w:rPr>
          <w:rFonts w:hint="cs"/>
          <w:rtl/>
          <w:lang w:eastAsia="zh-TW"/>
        </w:rPr>
        <w:t>مجال</w:t>
      </w:r>
      <w:r w:rsidR="004D4029" w:rsidRPr="00D57891">
        <w:rPr>
          <w:rtl/>
          <w:lang w:eastAsia="zh-TW"/>
        </w:rPr>
        <w:t xml:space="preserve"> مكافحة تعاطي </w:t>
      </w:r>
      <w:r w:rsidR="004D4029" w:rsidRPr="00D57891">
        <w:rPr>
          <w:rtl/>
          <w:lang w:eastAsia="zh-TW"/>
        </w:rPr>
        <w:lastRenderedPageBreak/>
        <w:t>المخدرات، لا سيما عندما ي</w:t>
      </w:r>
      <w:r w:rsidR="004D4029">
        <w:rPr>
          <w:rFonts w:hint="cs"/>
          <w:rtl/>
          <w:lang w:eastAsia="zh-TW"/>
        </w:rPr>
        <w:t>ُ</w:t>
      </w:r>
      <w:r w:rsidR="004D4029" w:rsidRPr="00D57891">
        <w:rPr>
          <w:rtl/>
          <w:lang w:eastAsia="zh-TW"/>
        </w:rPr>
        <w:t>عتمد عدد الاعتقال</w:t>
      </w:r>
      <w:r w:rsidR="004D4029">
        <w:rPr>
          <w:rFonts w:hint="cs"/>
          <w:rtl/>
          <w:lang w:eastAsia="zh-TW"/>
        </w:rPr>
        <w:t>ات</w:t>
      </w:r>
      <w:r w:rsidR="004D4029" w:rsidRPr="00D57891">
        <w:rPr>
          <w:rtl/>
          <w:lang w:eastAsia="zh-TW"/>
        </w:rPr>
        <w:t xml:space="preserve"> بتهمة التعاطي </w:t>
      </w:r>
      <w:r w:rsidR="004D4029">
        <w:rPr>
          <w:rFonts w:hint="cs"/>
          <w:rtl/>
          <w:lang w:eastAsia="zh-TW"/>
        </w:rPr>
        <w:t>مؤشراً</w:t>
      </w:r>
      <w:r w:rsidR="004D4029" w:rsidRPr="00D57891">
        <w:rPr>
          <w:rtl/>
          <w:lang w:eastAsia="zh-TW"/>
        </w:rPr>
        <w:t xml:space="preserve"> على </w:t>
      </w:r>
      <w:r w:rsidR="004D4029">
        <w:rPr>
          <w:rFonts w:hint="cs"/>
          <w:rtl/>
          <w:lang w:eastAsia="zh-TW"/>
        </w:rPr>
        <w:t xml:space="preserve">نجاح عملية </w:t>
      </w:r>
      <w:r w:rsidR="004D4029" w:rsidRPr="00D57891">
        <w:rPr>
          <w:rtl/>
          <w:lang w:eastAsia="zh-TW"/>
        </w:rPr>
        <w:t xml:space="preserve">إنفاذ القانون. وذكرت التقارير أن الشرطة في بعض البلدان تحصل على البيانات الصحية الخاصة بالأشخاص المسجلين لدى عيادات العلاج من إدمان المخدرات وتستخدم هذه البيانات في إنفاذ القانون (انظر </w:t>
      </w:r>
      <w:r w:rsidR="004D4029" w:rsidRPr="00D57891">
        <w:rPr>
          <w:lang w:eastAsia="zh-TW"/>
        </w:rPr>
        <w:t>A/65/255</w:t>
      </w:r>
      <w:r w:rsidR="007002F3">
        <w:rPr>
          <w:rtl/>
          <w:lang w:eastAsia="zh-TW"/>
        </w:rPr>
        <w:t>، الفقرة 20)</w:t>
      </w:r>
      <w:r w:rsidR="004A64ED">
        <w:rPr>
          <w:rStyle w:val="FootnoteReference"/>
          <w:rFonts w:ascii="Traditional Arabic" w:hAnsi="Traditional Arabic"/>
          <w:sz w:val="32"/>
          <w:szCs w:val="32"/>
          <w:rtl/>
          <w:lang w:eastAsia="zh-TW"/>
        </w:rPr>
        <w:t>(</w:t>
      </w:r>
      <w:r w:rsidR="007002F3" w:rsidRPr="00D57891">
        <w:rPr>
          <w:rStyle w:val="FootnoteReference"/>
          <w:rFonts w:ascii="Traditional Arabic" w:hAnsi="Traditional Arabic"/>
          <w:sz w:val="32"/>
          <w:szCs w:val="32"/>
          <w:rtl/>
          <w:lang w:eastAsia="zh-TW"/>
        </w:rPr>
        <w:footnoteReference w:id="39"/>
      </w:r>
      <w:r w:rsidR="004A64ED">
        <w:rPr>
          <w:rStyle w:val="FootnoteReference"/>
          <w:rFonts w:ascii="Traditional Arabic" w:hAnsi="Traditional Arabic"/>
          <w:sz w:val="32"/>
          <w:szCs w:val="32"/>
          <w:rtl/>
          <w:lang w:eastAsia="zh-TW"/>
        </w:rPr>
        <w:t>)</w:t>
      </w:r>
      <w:r w:rsidR="007002F3">
        <w:rPr>
          <w:rFonts w:hint="cs"/>
          <w:rtl/>
          <w:lang w:eastAsia="zh-TW"/>
        </w:rPr>
        <w:t>.</w:t>
      </w:r>
      <w:r w:rsidR="004D4029" w:rsidRPr="00D57891">
        <w:rPr>
          <w:rtl/>
          <w:lang w:eastAsia="zh-TW"/>
        </w:rPr>
        <w:t xml:space="preserve"> وفي بعض البلدان، </w:t>
      </w:r>
      <w:r w:rsidR="004D4029">
        <w:rPr>
          <w:rFonts w:hint="cs"/>
          <w:rtl/>
          <w:lang w:eastAsia="zh-TW"/>
        </w:rPr>
        <w:t>تستهدف</w:t>
      </w:r>
      <w:r w:rsidR="004D4029" w:rsidRPr="00D57891">
        <w:rPr>
          <w:rtl/>
          <w:lang w:eastAsia="zh-TW"/>
        </w:rPr>
        <w:t xml:space="preserve"> الشرطة</w:t>
      </w:r>
      <w:r w:rsidR="004D4029">
        <w:rPr>
          <w:rFonts w:hint="cs"/>
          <w:rtl/>
          <w:lang w:eastAsia="zh-TW"/>
        </w:rPr>
        <w:t xml:space="preserve">، حسب ما قيل، </w:t>
      </w:r>
      <w:r w:rsidR="004D4029" w:rsidRPr="00D57891">
        <w:rPr>
          <w:rtl/>
          <w:lang w:eastAsia="zh-TW"/>
        </w:rPr>
        <w:t xml:space="preserve">متعاطي المخدرات لاستكمال الحصص المحددة من الاعتقالات أو تتحرش بهم لغرض الحصول على المال، أو على خدمات جنسية </w:t>
      </w:r>
      <w:r>
        <w:rPr>
          <w:rFonts w:hint="cs"/>
          <w:rtl/>
          <w:lang w:eastAsia="zh-TW"/>
        </w:rPr>
        <w:t>في حالة ا</w:t>
      </w:r>
      <w:r w:rsidR="004D4029" w:rsidRPr="00D57891">
        <w:rPr>
          <w:rtl/>
          <w:lang w:eastAsia="zh-TW"/>
        </w:rPr>
        <w:t>لنساء</w:t>
      </w:r>
      <w:r w:rsidR="004A64ED">
        <w:rPr>
          <w:rStyle w:val="FootnoteReference"/>
          <w:rFonts w:ascii="Traditional Arabic" w:hAnsi="Traditional Arabic"/>
          <w:sz w:val="32"/>
          <w:szCs w:val="32"/>
          <w:rtl/>
          <w:lang w:eastAsia="zh-TW"/>
        </w:rPr>
        <w:t>(</w:t>
      </w:r>
      <w:r w:rsidR="007002F3" w:rsidRPr="00D57891">
        <w:rPr>
          <w:rStyle w:val="FootnoteReference"/>
          <w:rFonts w:ascii="Traditional Arabic" w:hAnsi="Traditional Arabic"/>
          <w:sz w:val="32"/>
          <w:szCs w:val="32"/>
          <w:rtl/>
          <w:lang w:eastAsia="zh-TW"/>
        </w:rPr>
        <w:footnoteReference w:id="40"/>
      </w:r>
      <w:r w:rsidR="004A64ED">
        <w:rPr>
          <w:rStyle w:val="FootnoteReference"/>
          <w:rFonts w:ascii="Traditional Arabic" w:hAnsi="Traditional Arabic"/>
          <w:sz w:val="32"/>
          <w:szCs w:val="32"/>
          <w:rtl/>
          <w:lang w:eastAsia="zh-TW"/>
        </w:rPr>
        <w:t>)</w:t>
      </w:r>
      <w:r w:rsidR="007002F3">
        <w:rPr>
          <w:rFonts w:hint="cs"/>
          <w:rtl/>
          <w:lang w:eastAsia="zh-TW"/>
        </w:rPr>
        <w:t>.</w:t>
      </w:r>
      <w:r w:rsidR="004D4029" w:rsidRPr="00D57891">
        <w:rPr>
          <w:rtl/>
          <w:lang w:eastAsia="zh-TW"/>
        </w:rPr>
        <w:t xml:space="preserve"> </w:t>
      </w:r>
    </w:p>
    <w:p w:rsidR="004D4029" w:rsidRPr="00D57891" w:rsidRDefault="00270BD3" w:rsidP="008D32EE">
      <w:pPr>
        <w:pStyle w:val="SingleTxtGA"/>
        <w:rPr>
          <w:rtl/>
          <w:lang w:eastAsia="zh-TW"/>
        </w:rPr>
      </w:pPr>
      <w:r>
        <w:rPr>
          <w:rtl/>
          <w:lang w:eastAsia="zh-TW"/>
        </w:rPr>
        <w:t>٣٦</w:t>
      </w:r>
      <w:r>
        <w:rPr>
          <w:rFonts w:hint="cs"/>
          <w:rtl/>
          <w:lang w:eastAsia="zh-TW"/>
        </w:rPr>
        <w:t>-</w:t>
      </w:r>
      <w:r>
        <w:rPr>
          <w:rFonts w:hint="cs"/>
          <w:rtl/>
          <w:lang w:eastAsia="zh-TW"/>
        </w:rPr>
        <w:tab/>
      </w:r>
      <w:r w:rsidR="004D4029" w:rsidRPr="00D57891">
        <w:rPr>
          <w:rtl/>
          <w:lang w:eastAsia="zh-TW"/>
        </w:rPr>
        <w:t xml:space="preserve">وخلص الفريق العامل المعني بالاحتجاز التعسفي إلى أن متعاطي المخدرات معرضون بوجه خاص لخطر الاحتجاز التعسفي (انظر </w:t>
      </w:r>
      <w:r w:rsidR="004D4029" w:rsidRPr="00D57891">
        <w:rPr>
          <w:lang w:eastAsia="zh-TW"/>
        </w:rPr>
        <w:t>E/CN.4/1998/44/Add.2</w:t>
      </w:r>
      <w:r w:rsidR="001A4A4A">
        <w:rPr>
          <w:rtl/>
          <w:lang w:eastAsia="zh-TW"/>
        </w:rPr>
        <w:t>، الفقرة 81، والفقرات</w:t>
      </w:r>
      <w:r w:rsidR="001A4A4A">
        <w:rPr>
          <w:rFonts w:hint="cs"/>
          <w:rtl/>
          <w:lang w:eastAsia="zh-TW"/>
        </w:rPr>
        <w:t> </w:t>
      </w:r>
      <w:r w:rsidR="004D4029" w:rsidRPr="00D57891">
        <w:rPr>
          <w:rtl/>
          <w:lang w:eastAsia="zh-TW"/>
        </w:rPr>
        <w:t xml:space="preserve">97-99، </w:t>
      </w:r>
      <w:r w:rsidR="004D4029" w:rsidRPr="00D57891">
        <w:rPr>
          <w:rFonts w:hint="cs"/>
          <w:rtl/>
          <w:lang w:eastAsia="zh-TW"/>
        </w:rPr>
        <w:t>و</w:t>
      </w:r>
      <w:r w:rsidR="004D4029" w:rsidRPr="00D57891">
        <w:rPr>
          <w:rFonts w:hint="cs"/>
          <w:lang w:eastAsia="zh-TW"/>
        </w:rPr>
        <w:t>A</w:t>
      </w:r>
      <w:r w:rsidR="004D4029" w:rsidRPr="00D57891">
        <w:rPr>
          <w:lang w:eastAsia="zh-TW"/>
        </w:rPr>
        <w:t>/HRC/27/48/Add.3</w:t>
      </w:r>
      <w:r w:rsidR="004D4029" w:rsidRPr="00D57891">
        <w:rPr>
          <w:rtl/>
          <w:lang w:eastAsia="zh-TW"/>
        </w:rPr>
        <w:t>، الفقرات 111-119). ويزعم أن تشريعات بعض الدول تنص على</w:t>
      </w:r>
      <w:r>
        <w:rPr>
          <w:rFonts w:hint="cs"/>
          <w:rtl/>
          <w:lang w:eastAsia="zh-TW"/>
        </w:rPr>
        <w:t xml:space="preserve"> اللجوء تلقائياً</w:t>
      </w:r>
      <w:r w:rsidR="004D4029">
        <w:rPr>
          <w:rFonts w:hint="cs"/>
          <w:rtl/>
          <w:lang w:eastAsia="zh-TW"/>
        </w:rPr>
        <w:t xml:space="preserve"> إلى</w:t>
      </w:r>
      <w:r w:rsidR="004D4029" w:rsidRPr="00D57891">
        <w:rPr>
          <w:rtl/>
          <w:lang w:eastAsia="zh-TW"/>
        </w:rPr>
        <w:t xml:space="preserve"> إيداع من </w:t>
      </w:r>
      <w:r w:rsidR="004D4029">
        <w:rPr>
          <w:rFonts w:hint="cs"/>
          <w:rtl/>
          <w:lang w:eastAsia="zh-TW"/>
        </w:rPr>
        <w:t>يعتقل</w:t>
      </w:r>
      <w:r w:rsidR="004D4029" w:rsidRPr="00D57891">
        <w:rPr>
          <w:rtl/>
          <w:lang w:eastAsia="zh-TW"/>
        </w:rPr>
        <w:t xml:space="preserve"> بتهمة تعاطي المخدرات الحبس الاحتياطي دون النظر في ملابسات كل قضية على حدة، رغم أن لجنة البلدان الأمريكية لحقوق الإنسان </w:t>
      </w:r>
      <w:r w:rsidR="004D4029">
        <w:rPr>
          <w:rFonts w:hint="cs"/>
          <w:rtl/>
          <w:lang w:eastAsia="zh-TW"/>
        </w:rPr>
        <w:t>رأت</w:t>
      </w:r>
      <w:r w:rsidR="004D4029" w:rsidRPr="00D57891">
        <w:rPr>
          <w:rtl/>
          <w:lang w:eastAsia="zh-TW"/>
        </w:rPr>
        <w:t xml:space="preserve"> أن هذه </w:t>
      </w:r>
      <w:r w:rsidR="00E312F7">
        <w:rPr>
          <w:rtl/>
          <w:lang w:eastAsia="zh-TW"/>
        </w:rPr>
        <w:t>الممارسة تتعارض مع حقوق الإنسان</w:t>
      </w:r>
      <w:r w:rsidR="004A64ED">
        <w:rPr>
          <w:rStyle w:val="FootnoteReference"/>
          <w:rFonts w:ascii="Traditional Arabic" w:hAnsi="Traditional Arabic"/>
          <w:sz w:val="32"/>
          <w:szCs w:val="32"/>
          <w:rtl/>
          <w:lang w:eastAsia="zh-TW"/>
        </w:rPr>
        <w:t>(</w:t>
      </w:r>
      <w:r w:rsidR="00E312F7" w:rsidRPr="00D57891">
        <w:rPr>
          <w:rStyle w:val="FootnoteReference"/>
          <w:rFonts w:ascii="Traditional Arabic" w:hAnsi="Traditional Arabic"/>
          <w:sz w:val="32"/>
          <w:szCs w:val="32"/>
          <w:rtl/>
          <w:lang w:eastAsia="zh-TW"/>
        </w:rPr>
        <w:footnoteReference w:id="41"/>
      </w:r>
      <w:r w:rsidR="004A64ED">
        <w:rPr>
          <w:rStyle w:val="FootnoteReference"/>
          <w:rFonts w:ascii="Traditional Arabic" w:hAnsi="Traditional Arabic"/>
          <w:sz w:val="32"/>
          <w:szCs w:val="32"/>
          <w:rtl/>
          <w:lang w:eastAsia="zh-TW"/>
        </w:rPr>
        <w:t>)</w:t>
      </w:r>
      <w:r w:rsidR="00E312F7">
        <w:rPr>
          <w:rFonts w:hint="cs"/>
          <w:rtl/>
          <w:lang w:eastAsia="zh-TW"/>
        </w:rPr>
        <w:t>.</w:t>
      </w:r>
      <w:r w:rsidR="004D4029" w:rsidRPr="00D57891">
        <w:rPr>
          <w:rtl/>
          <w:lang w:eastAsia="zh-TW"/>
        </w:rPr>
        <w:t xml:space="preserve"> وتنص المادة 9 من العهد الدولي الخاص بالحقوق المدنية والسياسية على أن يقدم الموقوف أو المعتقل بتهمة جزائية، سريعا</w:t>
      </w:r>
      <w:r w:rsidR="008D32EE">
        <w:rPr>
          <w:rFonts w:hint="cs"/>
          <w:rtl/>
          <w:lang w:eastAsia="zh-TW"/>
        </w:rPr>
        <w:t>ً</w:t>
      </w:r>
      <w:r w:rsidR="004D4029" w:rsidRPr="00D57891">
        <w:rPr>
          <w:rtl/>
          <w:lang w:eastAsia="zh-TW"/>
        </w:rPr>
        <w:t>، إلى أحد القضاة، وهو ما فسرته اللجنة المعنية بحقوق الإنسان في ال</w:t>
      </w:r>
      <w:r w:rsidR="001A4A4A">
        <w:rPr>
          <w:rtl/>
          <w:lang w:eastAsia="zh-TW"/>
        </w:rPr>
        <w:t>فقرة 33 من تعليقها العام رقم 35</w:t>
      </w:r>
      <w:r w:rsidR="004D4029" w:rsidRPr="00D57891">
        <w:rPr>
          <w:rtl/>
          <w:lang w:eastAsia="zh-TW"/>
        </w:rPr>
        <w:t>(2014) بشأن حق الفرد في الحرية وفي الأمان على شخصه، على أنه يعني مثوله أمام القاضي بعد بضعة أيام من الاعتقال، ورأت أن 48 ساعة تكفي عادة لذلك. ووردت تقارير عن حالات تتعلق بأشخاص احتجزوا في إطار جرائم ترتبط بالمخدرات ولم يسجلوا أو يقدموا، سريعا</w:t>
      </w:r>
      <w:r w:rsidR="008D32EE">
        <w:rPr>
          <w:rFonts w:hint="cs"/>
          <w:rtl/>
          <w:lang w:eastAsia="zh-TW"/>
        </w:rPr>
        <w:t>ً</w:t>
      </w:r>
      <w:r w:rsidR="004D4029" w:rsidRPr="00D57891">
        <w:rPr>
          <w:rtl/>
          <w:lang w:eastAsia="zh-TW"/>
        </w:rPr>
        <w:t xml:space="preserve">، إلى أحد القضاة. وفي بعض الدول، يمكن أن </w:t>
      </w:r>
      <w:r w:rsidR="004D4029">
        <w:rPr>
          <w:rFonts w:hint="cs"/>
          <w:rtl/>
          <w:lang w:eastAsia="zh-TW"/>
        </w:rPr>
        <w:t>يستمر اعتقال</w:t>
      </w:r>
      <w:r w:rsidR="004D4029" w:rsidRPr="00D57891">
        <w:rPr>
          <w:rtl/>
          <w:lang w:eastAsia="zh-TW"/>
        </w:rPr>
        <w:t xml:space="preserve"> الشخص الذي يشتبه في ارتكابه جريمة </w:t>
      </w:r>
      <w:r w:rsidR="004D4029">
        <w:rPr>
          <w:rFonts w:hint="cs"/>
          <w:rtl/>
          <w:lang w:eastAsia="zh-TW"/>
        </w:rPr>
        <w:t>تتعلق</w:t>
      </w:r>
      <w:r w:rsidR="004D4029" w:rsidRPr="00D57891">
        <w:rPr>
          <w:rtl/>
          <w:lang w:eastAsia="zh-TW"/>
        </w:rPr>
        <w:t xml:space="preserve"> بالمخدرات دون أن يوجه إليه الاتهام </w:t>
      </w:r>
      <w:r w:rsidR="004D4029">
        <w:rPr>
          <w:rFonts w:hint="cs"/>
          <w:rtl/>
          <w:lang w:eastAsia="zh-TW"/>
        </w:rPr>
        <w:t>ل</w:t>
      </w:r>
      <w:r w:rsidR="004D4029" w:rsidRPr="00D57891">
        <w:rPr>
          <w:rtl/>
          <w:lang w:eastAsia="zh-TW"/>
        </w:rPr>
        <w:t xml:space="preserve">مدة </w:t>
      </w:r>
      <w:r w:rsidR="004D4029">
        <w:rPr>
          <w:rFonts w:hint="cs"/>
          <w:rtl/>
          <w:lang w:eastAsia="zh-TW"/>
        </w:rPr>
        <w:t>تفوق</w:t>
      </w:r>
      <w:r w:rsidR="004D4029" w:rsidRPr="00D57891">
        <w:rPr>
          <w:rtl/>
          <w:lang w:eastAsia="zh-TW"/>
        </w:rPr>
        <w:t xml:space="preserve"> بكثير </w:t>
      </w:r>
      <w:r w:rsidR="004D4029">
        <w:rPr>
          <w:rFonts w:hint="cs"/>
          <w:rtl/>
          <w:lang w:eastAsia="zh-TW"/>
        </w:rPr>
        <w:t>ما</w:t>
      </w:r>
      <w:r w:rsidR="004D4029" w:rsidRPr="00D57891">
        <w:rPr>
          <w:rtl/>
          <w:lang w:eastAsia="zh-TW"/>
        </w:rPr>
        <w:t xml:space="preserve"> يقضيه الشخص </w:t>
      </w:r>
      <w:r w:rsidR="004D4029">
        <w:rPr>
          <w:rFonts w:hint="cs"/>
          <w:rtl/>
          <w:lang w:eastAsia="zh-TW"/>
        </w:rPr>
        <w:t>المتهم ب</w:t>
      </w:r>
      <w:r w:rsidR="004D4029" w:rsidRPr="00D57891">
        <w:rPr>
          <w:rtl/>
          <w:lang w:eastAsia="zh-TW"/>
        </w:rPr>
        <w:t>جرائم أخرى</w:t>
      </w:r>
      <w:r w:rsidR="004D4029">
        <w:rPr>
          <w:rFonts w:hint="cs"/>
          <w:rtl/>
          <w:lang w:eastAsia="zh-TW"/>
        </w:rPr>
        <w:t xml:space="preserve"> في الاحتجاز</w:t>
      </w:r>
      <w:r w:rsidR="004A64ED">
        <w:rPr>
          <w:rStyle w:val="FootnoteReference"/>
          <w:rFonts w:ascii="Traditional Arabic" w:hAnsi="Traditional Arabic"/>
          <w:sz w:val="32"/>
          <w:szCs w:val="32"/>
          <w:rtl/>
          <w:lang w:eastAsia="zh-TW"/>
        </w:rPr>
        <w:t>(</w:t>
      </w:r>
      <w:r w:rsidR="008D32EE" w:rsidRPr="00D57891">
        <w:rPr>
          <w:rStyle w:val="FootnoteReference"/>
          <w:rFonts w:ascii="Traditional Arabic" w:hAnsi="Traditional Arabic"/>
          <w:sz w:val="32"/>
          <w:szCs w:val="32"/>
          <w:rtl/>
          <w:lang w:eastAsia="zh-TW"/>
        </w:rPr>
        <w:footnoteReference w:id="42"/>
      </w:r>
      <w:r w:rsidR="004A64ED">
        <w:rPr>
          <w:rStyle w:val="FootnoteReference"/>
          <w:rFonts w:ascii="Traditional Arabic" w:hAnsi="Traditional Arabic"/>
          <w:sz w:val="32"/>
          <w:szCs w:val="32"/>
          <w:rtl/>
          <w:lang w:eastAsia="zh-TW"/>
        </w:rPr>
        <w:t>)</w:t>
      </w:r>
      <w:r w:rsidR="00E312F7">
        <w:rPr>
          <w:rFonts w:hint="cs"/>
          <w:rtl/>
          <w:lang w:eastAsia="zh-TW"/>
        </w:rPr>
        <w:t>.</w:t>
      </w:r>
      <w:r w:rsidR="004D4029" w:rsidRPr="00D57891">
        <w:rPr>
          <w:rtl/>
          <w:lang w:eastAsia="zh-TW"/>
        </w:rPr>
        <w:t xml:space="preserve"> </w:t>
      </w:r>
    </w:p>
    <w:p w:rsidR="004D4029" w:rsidRPr="00932181" w:rsidRDefault="00270BD3" w:rsidP="00270BD3">
      <w:pPr>
        <w:pStyle w:val="H1GA"/>
        <w:rPr>
          <w:rtl/>
          <w:lang w:eastAsia="zh-TW"/>
        </w:rPr>
      </w:pPr>
      <w:r>
        <w:rPr>
          <w:rtl/>
          <w:lang w:eastAsia="zh-TW"/>
        </w:rPr>
        <w:tab/>
      </w:r>
      <w:r w:rsidR="004D4029" w:rsidRPr="00932181">
        <w:rPr>
          <w:rFonts w:hint="cs"/>
          <w:rtl/>
          <w:lang w:eastAsia="zh-TW"/>
        </w:rPr>
        <w:t>باء-</w:t>
      </w:r>
      <w:r>
        <w:rPr>
          <w:rtl/>
          <w:lang w:eastAsia="zh-TW"/>
        </w:rPr>
        <w:tab/>
      </w:r>
      <w:r w:rsidR="004D4029" w:rsidRPr="00932181">
        <w:rPr>
          <w:rFonts w:hint="cs"/>
          <w:rtl/>
          <w:lang w:eastAsia="zh-TW"/>
        </w:rPr>
        <w:t>حظر</w:t>
      </w:r>
      <w:r w:rsidR="004D4029" w:rsidRPr="00932181">
        <w:rPr>
          <w:rtl/>
          <w:lang w:eastAsia="zh-TW"/>
        </w:rPr>
        <w:t xml:space="preserve"> التعذيب و</w:t>
      </w:r>
      <w:r>
        <w:rPr>
          <w:rFonts w:hint="cs"/>
          <w:rtl/>
          <w:lang w:eastAsia="zh-TW"/>
        </w:rPr>
        <w:t xml:space="preserve">غيره من أشكال </w:t>
      </w:r>
      <w:r w:rsidR="004D4029" w:rsidRPr="00932181">
        <w:rPr>
          <w:rtl/>
          <w:lang w:eastAsia="zh-TW"/>
        </w:rPr>
        <w:t>إساءة المعاملة</w:t>
      </w:r>
    </w:p>
    <w:p w:rsidR="004D4029" w:rsidRPr="00D57891" w:rsidRDefault="00270BD3" w:rsidP="00EB7A1B">
      <w:pPr>
        <w:pStyle w:val="SingleTxtGA"/>
        <w:spacing w:line="360" w:lineRule="exact"/>
        <w:rPr>
          <w:rtl/>
          <w:lang w:eastAsia="zh-TW"/>
        </w:rPr>
      </w:pPr>
      <w:r>
        <w:rPr>
          <w:rtl/>
          <w:lang w:eastAsia="zh-TW"/>
        </w:rPr>
        <w:t>٣٧</w:t>
      </w:r>
      <w:r>
        <w:rPr>
          <w:rFonts w:hint="cs"/>
          <w:rtl/>
          <w:lang w:eastAsia="zh-TW"/>
        </w:rPr>
        <w:t>-</w:t>
      </w:r>
      <w:r>
        <w:rPr>
          <w:rFonts w:hint="cs"/>
          <w:rtl/>
          <w:lang w:eastAsia="zh-TW"/>
        </w:rPr>
        <w:tab/>
      </w:r>
      <w:r w:rsidR="004D4029" w:rsidRPr="00D57891">
        <w:rPr>
          <w:rtl/>
          <w:lang w:eastAsia="zh-TW"/>
        </w:rPr>
        <w:t>تفيد التقارير بأن الأشخاص</w:t>
      </w:r>
      <w:r>
        <w:rPr>
          <w:rtl/>
          <w:lang w:eastAsia="zh-TW"/>
        </w:rPr>
        <w:t xml:space="preserve"> الذين يتعاطون المخدرات يتعرضون في بعض البلدان</w:t>
      </w:r>
      <w:r w:rsidR="004D4029" w:rsidRPr="00D57891">
        <w:rPr>
          <w:rtl/>
          <w:lang w:eastAsia="zh-TW"/>
        </w:rPr>
        <w:t xml:space="preserve"> للعنف أثناء الاحتجاز، كوسيلة يُلجأ إليها، في كثير من الأحيان، لانتزاع اعترافات أو معلومات عن غيرهم من متعاطي المخدرات أو تجار المخدرات</w:t>
      </w:r>
      <w:r w:rsidR="004A64ED">
        <w:rPr>
          <w:rStyle w:val="FootnoteReference"/>
          <w:rFonts w:ascii="Traditional Arabic" w:hAnsi="Traditional Arabic"/>
          <w:sz w:val="32"/>
          <w:szCs w:val="32"/>
          <w:rtl/>
          <w:lang w:eastAsia="zh-TW"/>
        </w:rPr>
        <w:t>(</w:t>
      </w:r>
      <w:r w:rsidR="008D32EE" w:rsidRPr="00D57891">
        <w:rPr>
          <w:rStyle w:val="FootnoteReference"/>
          <w:rFonts w:ascii="Traditional Arabic" w:hAnsi="Traditional Arabic"/>
          <w:sz w:val="32"/>
          <w:szCs w:val="32"/>
          <w:rtl/>
          <w:lang w:eastAsia="zh-TW"/>
        </w:rPr>
        <w:footnoteReference w:id="43"/>
      </w:r>
      <w:r w:rsidR="004A64ED">
        <w:rPr>
          <w:rStyle w:val="FootnoteReference"/>
          <w:rFonts w:ascii="Traditional Arabic" w:hAnsi="Traditional Arabic"/>
          <w:sz w:val="32"/>
          <w:szCs w:val="32"/>
          <w:rtl/>
          <w:lang w:eastAsia="zh-TW"/>
        </w:rPr>
        <w:t>)</w:t>
      </w:r>
      <w:r w:rsidR="008D32EE">
        <w:rPr>
          <w:rFonts w:hint="cs"/>
          <w:rtl/>
          <w:lang w:eastAsia="zh-TW"/>
        </w:rPr>
        <w:t>.</w:t>
      </w:r>
      <w:r w:rsidR="004D4029">
        <w:rPr>
          <w:rtl/>
          <w:lang w:eastAsia="zh-TW"/>
        </w:rPr>
        <w:t xml:space="preserve"> و</w:t>
      </w:r>
      <w:r w:rsidR="00FA3DE5">
        <w:rPr>
          <w:rtl/>
          <w:lang w:eastAsia="zh-TW"/>
        </w:rPr>
        <w:t xml:space="preserve">أشار كل من المقرر الخاص </w:t>
      </w:r>
      <w:r w:rsidR="00FA3DE5">
        <w:rPr>
          <w:rtl/>
          <w:lang w:eastAsia="zh-TW"/>
        </w:rPr>
        <w:lastRenderedPageBreak/>
        <w:t>المعني</w:t>
      </w:r>
      <w:r w:rsidR="00FA3DE5">
        <w:rPr>
          <w:rFonts w:hint="cs"/>
          <w:rtl/>
          <w:lang w:eastAsia="zh-TW"/>
        </w:rPr>
        <w:t> </w:t>
      </w:r>
      <w:r w:rsidR="004D4029" w:rsidRPr="00D57891">
        <w:rPr>
          <w:rtl/>
          <w:lang w:eastAsia="zh-TW"/>
        </w:rPr>
        <w:t xml:space="preserve">بمسألة التعذيب وغيره من ضروب المعاملة أو العقوبة القاسية أو اللاإنسانية أو المهينة واللجنة المعنية بحقوق الإنسان إلى أن بعض </w:t>
      </w:r>
      <w:r>
        <w:rPr>
          <w:rFonts w:hint="cs"/>
          <w:rtl/>
          <w:lang w:eastAsia="zh-TW"/>
        </w:rPr>
        <w:t xml:space="preserve">أجهزة </w:t>
      </w:r>
      <w:r w:rsidR="004D4029" w:rsidRPr="00D57891">
        <w:rPr>
          <w:rtl/>
          <w:lang w:eastAsia="zh-TW"/>
        </w:rPr>
        <w:t>إنفاذ القانون تتعمد حرمان</w:t>
      </w:r>
      <w:r w:rsidR="004D4029">
        <w:rPr>
          <w:rFonts w:hint="cs"/>
          <w:rtl/>
          <w:lang w:eastAsia="zh-TW"/>
        </w:rPr>
        <w:t xml:space="preserve"> مدمن المخدرات</w:t>
      </w:r>
      <w:r w:rsidR="00FA3DE5">
        <w:rPr>
          <w:rFonts w:hint="cs"/>
          <w:rtl/>
          <w:lang w:eastAsia="zh-TW"/>
        </w:rPr>
        <w:t> </w:t>
      </w:r>
      <w:r w:rsidR="004D4029" w:rsidRPr="00D57891">
        <w:rPr>
          <w:rtl/>
          <w:lang w:eastAsia="zh-TW"/>
        </w:rPr>
        <w:t xml:space="preserve">المشتبه فيه من العلاج بمواد بديلة </w:t>
      </w:r>
      <w:r>
        <w:rPr>
          <w:rFonts w:hint="cs"/>
          <w:rtl/>
          <w:lang w:eastAsia="zh-TW"/>
        </w:rPr>
        <w:t xml:space="preserve">لأشباه </w:t>
      </w:r>
      <w:r w:rsidR="004D4029" w:rsidRPr="00D57891">
        <w:rPr>
          <w:rtl/>
          <w:lang w:eastAsia="zh-TW"/>
        </w:rPr>
        <w:t>الأفيون أث</w:t>
      </w:r>
      <w:r w:rsidR="00FA3DE5">
        <w:rPr>
          <w:rtl/>
          <w:lang w:eastAsia="zh-TW"/>
        </w:rPr>
        <w:t>ناء احتجازه لانتزاع اعترافات أو</w:t>
      </w:r>
      <w:r w:rsidR="00FA3DE5">
        <w:rPr>
          <w:rFonts w:hint="cs"/>
          <w:rtl/>
          <w:lang w:eastAsia="zh-TW"/>
        </w:rPr>
        <w:t> </w:t>
      </w:r>
      <w:r w:rsidR="004D4029" w:rsidRPr="00D57891">
        <w:rPr>
          <w:rtl/>
          <w:lang w:eastAsia="zh-TW"/>
        </w:rPr>
        <w:t>حصول على معلومات، وهي ممارسة يعدانها تعذيبا</w:t>
      </w:r>
      <w:r w:rsidR="00FA3DE5">
        <w:rPr>
          <w:rFonts w:hint="cs"/>
          <w:rtl/>
          <w:lang w:eastAsia="zh-TW"/>
        </w:rPr>
        <w:t>ً</w:t>
      </w:r>
      <w:r w:rsidR="004D4029" w:rsidRPr="00D57891">
        <w:rPr>
          <w:rtl/>
          <w:lang w:eastAsia="zh-TW"/>
        </w:rPr>
        <w:t xml:space="preserve"> (انظر </w:t>
      </w:r>
      <w:r w:rsidR="004D4029" w:rsidRPr="00D57891">
        <w:rPr>
          <w:lang w:eastAsia="zh-TW"/>
        </w:rPr>
        <w:t>A/HRC/22/53</w:t>
      </w:r>
      <w:r w:rsidR="004D4029" w:rsidRPr="00D57891">
        <w:rPr>
          <w:rtl/>
          <w:lang w:eastAsia="zh-TW"/>
        </w:rPr>
        <w:t xml:space="preserve">، الفقرة 73، </w:t>
      </w:r>
      <w:r w:rsidR="004D4029" w:rsidRPr="00D57891">
        <w:rPr>
          <w:lang w:eastAsia="zh-TW"/>
        </w:rPr>
        <w:t>A/HRC/13/39/Add.2</w:t>
      </w:r>
      <w:r w:rsidR="004D4029" w:rsidRPr="00D57891">
        <w:rPr>
          <w:rtl/>
          <w:lang w:eastAsia="zh-TW"/>
        </w:rPr>
        <w:t>)، الفقرة 85، و</w:t>
      </w:r>
      <w:r w:rsidR="004D4029" w:rsidRPr="00D57891">
        <w:rPr>
          <w:lang w:eastAsia="zh-TW"/>
        </w:rPr>
        <w:t>A/68/295</w:t>
      </w:r>
      <w:r w:rsidR="004D4029" w:rsidRPr="00D57891">
        <w:rPr>
          <w:rtl/>
          <w:lang w:eastAsia="zh-TW"/>
        </w:rPr>
        <w:t>، الفقرة 68). واعتبر المقرر الخاص المعني بمسألة التعذيب أيضا</w:t>
      </w:r>
      <w:r w:rsidR="00FA3DE5">
        <w:rPr>
          <w:rFonts w:hint="cs"/>
          <w:rtl/>
          <w:lang w:eastAsia="zh-TW"/>
        </w:rPr>
        <w:t>ً</w:t>
      </w:r>
      <w:r w:rsidR="004D4029" w:rsidRPr="00D57891">
        <w:rPr>
          <w:rtl/>
          <w:lang w:eastAsia="zh-TW"/>
        </w:rPr>
        <w:t xml:space="preserve"> هذه الممارسة بمثابة تعذيب أو سوء معاملة، حتى عندما لا يكون القصد من اللجوء إليها الحصول على المعلومات (انظر الوثيقة </w:t>
      </w:r>
      <w:r w:rsidR="004D4029" w:rsidRPr="00D57891">
        <w:rPr>
          <w:lang w:eastAsia="zh-TW"/>
        </w:rPr>
        <w:t>A/HRC/22/53</w:t>
      </w:r>
      <w:r w:rsidR="004D4029" w:rsidRPr="00D57891">
        <w:rPr>
          <w:rtl/>
          <w:lang w:eastAsia="zh-TW"/>
        </w:rPr>
        <w:t>، الفقرة 74).</w:t>
      </w:r>
      <w:r>
        <w:rPr>
          <w:rFonts w:hint="cs"/>
          <w:rtl/>
          <w:lang w:eastAsia="zh-TW"/>
        </w:rPr>
        <w:t xml:space="preserve"> </w:t>
      </w:r>
    </w:p>
    <w:p w:rsidR="004D4029" w:rsidRPr="00932181" w:rsidRDefault="00270BD3" w:rsidP="00270BD3">
      <w:pPr>
        <w:pStyle w:val="H1GA"/>
        <w:rPr>
          <w:rtl/>
          <w:lang w:eastAsia="zh-TW"/>
        </w:rPr>
      </w:pPr>
      <w:r>
        <w:rPr>
          <w:rtl/>
          <w:lang w:eastAsia="zh-TW"/>
        </w:rPr>
        <w:tab/>
      </w:r>
      <w:r w:rsidR="004D4029" w:rsidRPr="00932181">
        <w:rPr>
          <w:rFonts w:hint="cs"/>
          <w:rtl/>
          <w:lang w:eastAsia="zh-TW"/>
        </w:rPr>
        <w:t>جيم-</w:t>
      </w:r>
      <w:r>
        <w:rPr>
          <w:rtl/>
          <w:lang w:eastAsia="zh-TW"/>
        </w:rPr>
        <w:tab/>
      </w:r>
      <w:r w:rsidR="004D4029" w:rsidRPr="00932181">
        <w:rPr>
          <w:rFonts w:hint="cs"/>
          <w:rtl/>
          <w:lang w:eastAsia="zh-TW"/>
        </w:rPr>
        <w:t>الحق</w:t>
      </w:r>
      <w:r w:rsidR="004D4029" w:rsidRPr="00932181">
        <w:rPr>
          <w:rtl/>
          <w:lang w:eastAsia="zh-TW"/>
        </w:rPr>
        <w:t xml:space="preserve"> في الحياة</w:t>
      </w:r>
    </w:p>
    <w:p w:rsidR="004D4029" w:rsidRPr="00D57891" w:rsidRDefault="00270BD3" w:rsidP="00EB7A1B">
      <w:pPr>
        <w:pStyle w:val="SingleTxtGA"/>
        <w:spacing w:line="360" w:lineRule="exact"/>
        <w:rPr>
          <w:rtl/>
          <w:lang w:eastAsia="zh-TW"/>
        </w:rPr>
      </w:pPr>
      <w:r>
        <w:rPr>
          <w:rtl/>
          <w:lang w:eastAsia="zh-TW"/>
        </w:rPr>
        <w:t>٣٨</w:t>
      </w:r>
      <w:r>
        <w:rPr>
          <w:rFonts w:hint="cs"/>
          <w:rtl/>
          <w:lang w:eastAsia="zh-TW"/>
        </w:rPr>
        <w:t>-</w:t>
      </w:r>
      <w:r>
        <w:rPr>
          <w:rFonts w:hint="cs"/>
          <w:rtl/>
          <w:lang w:eastAsia="zh-TW"/>
        </w:rPr>
        <w:tab/>
      </w:r>
      <w:r w:rsidR="004D4029" w:rsidRPr="00D57891">
        <w:rPr>
          <w:rtl/>
          <w:lang w:eastAsia="zh-TW"/>
        </w:rPr>
        <w:t>تنص المادة 6 من العهد الدولي الخاص بالحقوق المدن</w:t>
      </w:r>
      <w:r w:rsidR="00FA3DE5">
        <w:rPr>
          <w:rtl/>
          <w:lang w:eastAsia="zh-TW"/>
        </w:rPr>
        <w:t>ية والسياسية على أنه لا يجوز في</w:t>
      </w:r>
      <w:r w:rsidR="00FA3DE5">
        <w:rPr>
          <w:rFonts w:hint="cs"/>
          <w:rtl/>
          <w:lang w:eastAsia="zh-TW"/>
        </w:rPr>
        <w:t> </w:t>
      </w:r>
      <w:r w:rsidR="004D4029" w:rsidRPr="00D57891">
        <w:rPr>
          <w:rtl/>
          <w:lang w:eastAsia="zh-TW"/>
        </w:rPr>
        <w:t>البلدان التي لم تلغ عقوبة الإعدام أن يحكم بهذه ال</w:t>
      </w:r>
      <w:r w:rsidR="00FA3DE5">
        <w:rPr>
          <w:rtl/>
          <w:lang w:eastAsia="zh-TW"/>
        </w:rPr>
        <w:t>عقوبة إلا جزاء على "أشد الجرائم</w:t>
      </w:r>
      <w:r w:rsidR="00FA3DE5">
        <w:rPr>
          <w:rFonts w:hint="cs"/>
          <w:rtl/>
          <w:lang w:eastAsia="zh-TW"/>
        </w:rPr>
        <w:t> </w:t>
      </w:r>
      <w:r w:rsidR="004D4029" w:rsidRPr="00D57891">
        <w:rPr>
          <w:rtl/>
          <w:lang w:eastAsia="zh-TW"/>
        </w:rPr>
        <w:t xml:space="preserve">خطورة". وقد قررت اللجنة المعنية بحقوق الإنسان أن الجرائم </w:t>
      </w:r>
      <w:r w:rsidR="004D4029">
        <w:rPr>
          <w:rFonts w:hint="cs"/>
          <w:rtl/>
          <w:lang w:eastAsia="zh-TW"/>
        </w:rPr>
        <w:t>المتعلقة</w:t>
      </w:r>
      <w:r w:rsidR="00FA3DE5">
        <w:rPr>
          <w:rtl/>
          <w:lang w:eastAsia="zh-TW"/>
        </w:rPr>
        <w:t xml:space="preserve"> بالمخدرات لا</w:t>
      </w:r>
      <w:r w:rsidR="00FA3DE5">
        <w:rPr>
          <w:rFonts w:hint="cs"/>
          <w:rtl/>
          <w:lang w:eastAsia="zh-TW"/>
        </w:rPr>
        <w:t> </w:t>
      </w:r>
      <w:r w:rsidR="004D4029" w:rsidRPr="00D57891">
        <w:rPr>
          <w:rtl/>
          <w:lang w:eastAsia="zh-TW"/>
        </w:rPr>
        <w:t xml:space="preserve">تستوفي الشروط الدنيا "لأشد الجرائم خطورة" (انظر </w:t>
      </w:r>
      <w:r w:rsidR="004D4029" w:rsidRPr="00D57891">
        <w:rPr>
          <w:lang w:eastAsia="zh-TW"/>
        </w:rPr>
        <w:t>CCPR/C/IDN/CO/1</w:t>
      </w:r>
      <w:r w:rsidR="004D4029" w:rsidRPr="00D57891">
        <w:rPr>
          <w:rtl/>
          <w:lang w:eastAsia="zh-TW"/>
        </w:rPr>
        <w:t xml:space="preserve">، الفقرة 10، </w:t>
      </w:r>
      <w:r w:rsidR="004D4029" w:rsidRPr="00D57891">
        <w:rPr>
          <w:lang w:eastAsia="zh-TW"/>
        </w:rPr>
        <w:t>CCPR/CO/84/THA</w:t>
      </w:r>
      <w:r w:rsidR="004D4029" w:rsidRPr="00D57891">
        <w:rPr>
          <w:rtl/>
          <w:lang w:eastAsia="zh-TW"/>
        </w:rPr>
        <w:t xml:space="preserve">، الفقرة 14، </w:t>
      </w:r>
      <w:r w:rsidR="004D4029" w:rsidRPr="00D57891">
        <w:rPr>
          <w:rFonts w:hint="cs"/>
          <w:rtl/>
          <w:lang w:eastAsia="zh-TW"/>
        </w:rPr>
        <w:t>و</w:t>
      </w:r>
      <w:r w:rsidR="004D4029" w:rsidRPr="00D57891">
        <w:rPr>
          <w:rFonts w:hint="cs"/>
          <w:lang w:eastAsia="zh-TW"/>
        </w:rPr>
        <w:t>CCPR</w:t>
      </w:r>
      <w:r w:rsidR="004D4029" w:rsidRPr="00D57891">
        <w:rPr>
          <w:lang w:eastAsia="zh-TW"/>
        </w:rPr>
        <w:t>/C/SDN/CO/3</w:t>
      </w:r>
      <w:r w:rsidR="004D4029" w:rsidRPr="00D57891">
        <w:rPr>
          <w:rtl/>
          <w:lang w:eastAsia="zh-TW"/>
        </w:rPr>
        <w:t xml:space="preserve">، الفقرة 19). </w:t>
      </w:r>
      <w:r w:rsidR="004D4029">
        <w:rPr>
          <w:rFonts w:hint="cs"/>
          <w:rtl/>
          <w:lang w:eastAsia="zh-TW"/>
        </w:rPr>
        <w:t>ويحظى هذا التفسير بتأييد كل من</w:t>
      </w:r>
      <w:r w:rsidR="004D4029" w:rsidRPr="00D57891">
        <w:rPr>
          <w:rtl/>
          <w:lang w:eastAsia="zh-TW"/>
        </w:rPr>
        <w:t xml:space="preserve"> مفوض الأمم المتحدة السامي لحقوق الإنسان، والمقرر الخاص المعني بمسألة التعذيب والمقرر الخاص المعني بحالات الإعدام خارج القضاء أو بإجراءات موجزة أو تعسفا</w:t>
      </w:r>
      <w:r>
        <w:rPr>
          <w:rFonts w:hint="cs"/>
          <w:rtl/>
          <w:lang w:eastAsia="zh-TW"/>
        </w:rPr>
        <w:t>ً</w:t>
      </w:r>
      <w:r w:rsidR="004D4029" w:rsidRPr="00D57891">
        <w:rPr>
          <w:rtl/>
          <w:lang w:eastAsia="zh-TW"/>
        </w:rPr>
        <w:t xml:space="preserve">، والمجلس الاقتصادي والاجتماعي، والجمعية العامة والأمين العام (انظر </w:t>
      </w:r>
      <w:r w:rsidR="004D4029" w:rsidRPr="00D57891">
        <w:rPr>
          <w:lang w:eastAsia="zh-TW"/>
        </w:rPr>
        <w:t>A/HRC/10/44</w:t>
      </w:r>
      <w:r w:rsidR="004D4029" w:rsidRPr="00D57891">
        <w:rPr>
          <w:rtl/>
          <w:lang w:eastAsia="zh-TW"/>
        </w:rPr>
        <w:t xml:space="preserve"> و</w:t>
      </w:r>
      <w:r w:rsidR="004D4029" w:rsidRPr="00D57891">
        <w:rPr>
          <w:lang w:eastAsia="zh-TW"/>
        </w:rPr>
        <w:t>Corr.1</w:t>
      </w:r>
      <w:r w:rsidR="004D4029" w:rsidRPr="00D57891">
        <w:rPr>
          <w:rtl/>
          <w:lang w:eastAsia="zh-TW"/>
        </w:rPr>
        <w:t xml:space="preserve">، الفقرة 66، </w:t>
      </w:r>
      <w:r w:rsidR="004D4029" w:rsidRPr="00D57891">
        <w:rPr>
          <w:lang w:eastAsia="zh-TW"/>
        </w:rPr>
        <w:t>A/HRC/4/20</w:t>
      </w:r>
      <w:r w:rsidR="004D4029" w:rsidRPr="00D57891">
        <w:rPr>
          <w:rtl/>
          <w:lang w:eastAsia="zh-TW"/>
        </w:rPr>
        <w:t>، الفقرات 51-53، و</w:t>
      </w:r>
      <w:r w:rsidR="004D4029" w:rsidRPr="00D57891">
        <w:rPr>
          <w:lang w:eastAsia="zh-TW"/>
        </w:rPr>
        <w:t>A/HRC/24/18</w:t>
      </w:r>
      <w:r w:rsidR="008D32EE">
        <w:rPr>
          <w:rtl/>
          <w:lang w:eastAsia="zh-TW"/>
        </w:rPr>
        <w:t>، الفقرة 24)</w:t>
      </w:r>
      <w:r w:rsidR="004A64ED">
        <w:rPr>
          <w:rStyle w:val="FootnoteReference"/>
          <w:rFonts w:ascii="Traditional Arabic" w:hAnsi="Traditional Arabic"/>
          <w:sz w:val="32"/>
          <w:szCs w:val="32"/>
          <w:rtl/>
          <w:lang w:eastAsia="zh-TW"/>
        </w:rPr>
        <w:t>(</w:t>
      </w:r>
      <w:r w:rsidR="008D32EE" w:rsidRPr="00D57891">
        <w:rPr>
          <w:rStyle w:val="FootnoteReference"/>
          <w:rFonts w:ascii="Traditional Arabic" w:hAnsi="Traditional Arabic"/>
          <w:sz w:val="32"/>
          <w:szCs w:val="32"/>
          <w:rtl/>
          <w:lang w:eastAsia="zh-TW"/>
        </w:rPr>
        <w:footnoteReference w:id="44"/>
      </w:r>
      <w:r w:rsidR="004A64ED">
        <w:rPr>
          <w:rStyle w:val="FootnoteReference"/>
          <w:rFonts w:ascii="Traditional Arabic" w:hAnsi="Traditional Arabic"/>
          <w:sz w:val="32"/>
          <w:szCs w:val="32"/>
          <w:rtl/>
          <w:lang w:eastAsia="zh-TW"/>
        </w:rPr>
        <w:t>)</w:t>
      </w:r>
      <w:r w:rsidR="008D32EE">
        <w:rPr>
          <w:rFonts w:hint="cs"/>
          <w:rtl/>
          <w:lang w:eastAsia="zh-TW"/>
        </w:rPr>
        <w:t>.</w:t>
      </w:r>
      <w:r w:rsidR="004D4029" w:rsidRPr="00D57891">
        <w:rPr>
          <w:rtl/>
          <w:lang w:eastAsia="zh-TW"/>
        </w:rPr>
        <w:t xml:space="preserve"> وشجعت الهيئة الدولية لمراقبة المخدرات الدول التي تطبق عقوبة الإعدام على الجرائم المتعلقة بالمخدرات إلى إلغاء تلك العقوبة (انظر </w:t>
      </w:r>
      <w:r w:rsidR="004D4029" w:rsidRPr="00D57891">
        <w:rPr>
          <w:lang w:eastAsia="zh-TW"/>
        </w:rPr>
        <w:t>A/HRC/27/23</w:t>
      </w:r>
      <w:r w:rsidR="004D4029" w:rsidRPr="00D57891">
        <w:rPr>
          <w:rtl/>
          <w:lang w:eastAsia="zh-TW"/>
        </w:rPr>
        <w:t>، الفقرة 31).</w:t>
      </w:r>
      <w:r w:rsidR="008D32EE">
        <w:rPr>
          <w:rFonts w:hint="cs"/>
          <w:rtl/>
          <w:lang w:eastAsia="zh-TW"/>
        </w:rPr>
        <w:t xml:space="preserve"> </w:t>
      </w:r>
    </w:p>
    <w:p w:rsidR="004D4029" w:rsidRPr="00D57891" w:rsidRDefault="00270BD3" w:rsidP="00BC4F00">
      <w:pPr>
        <w:pStyle w:val="SingleTxtGA"/>
        <w:rPr>
          <w:rtl/>
          <w:lang w:eastAsia="zh-TW"/>
        </w:rPr>
      </w:pPr>
      <w:r>
        <w:rPr>
          <w:rtl/>
          <w:lang w:eastAsia="zh-TW"/>
        </w:rPr>
        <w:t>٣٩</w:t>
      </w:r>
      <w:r>
        <w:rPr>
          <w:rFonts w:hint="cs"/>
          <w:rtl/>
          <w:lang w:eastAsia="zh-TW"/>
        </w:rPr>
        <w:t>-</w:t>
      </w:r>
      <w:r>
        <w:rPr>
          <w:rFonts w:hint="cs"/>
          <w:rtl/>
          <w:lang w:eastAsia="zh-TW"/>
        </w:rPr>
        <w:tab/>
      </w:r>
      <w:dir w:val="rtl">
        <w:r w:rsidR="004D4029" w:rsidRPr="00D57891">
          <w:rPr>
            <w:rtl/>
            <w:lang w:eastAsia="zh-TW"/>
          </w:rPr>
          <w:t>ومع ذلك، قُدّر عدد البلدان أو الأقاليم التي لا تزال تطبق عقوبة الإعدام على هذه الجرائم بـ 33. ويفضي تنفيذ العقوبة إلى إعدام نحو 000 1</w:t>
        </w:r>
        <w:r w:rsidR="00BC4F00">
          <w:rPr>
            <w:rFonts w:hint="cs"/>
            <w:rtl/>
            <w:lang w:eastAsia="zh-TW"/>
          </w:rPr>
          <w:t xml:space="preserve"> </w:t>
        </w:r>
        <w:r w:rsidR="004D4029" w:rsidRPr="00D57891">
          <w:rPr>
            <w:rtl/>
            <w:lang w:eastAsia="zh-TW"/>
          </w:rPr>
          <w:t xml:space="preserve">شخص </w:t>
        </w:r>
        <w:r w:rsidR="00467C1F">
          <w:rPr>
            <w:rFonts w:hint="cs"/>
            <w:rtl/>
            <w:lang w:eastAsia="zh-TW"/>
          </w:rPr>
          <w:t>سنوياً</w:t>
        </w:r>
        <w:r w:rsidR="004A64ED">
          <w:rPr>
            <w:rStyle w:val="FootnoteReference"/>
            <w:rFonts w:ascii="Traditional Arabic" w:hAnsi="Traditional Arabic"/>
            <w:sz w:val="32"/>
            <w:szCs w:val="32"/>
            <w:rtl/>
            <w:lang w:eastAsia="zh-TW"/>
          </w:rPr>
          <w:t>(</w:t>
        </w:r>
        <w:r w:rsidR="00467C1F" w:rsidRPr="00D57891">
          <w:rPr>
            <w:rStyle w:val="FootnoteReference"/>
            <w:rFonts w:ascii="Traditional Arabic" w:hAnsi="Traditional Arabic"/>
            <w:sz w:val="32"/>
            <w:szCs w:val="32"/>
            <w:rtl/>
            <w:lang w:eastAsia="zh-TW"/>
          </w:rPr>
          <w:footnoteReference w:id="45"/>
        </w:r>
        <w:r w:rsidR="004A64ED">
          <w:rPr>
            <w:rStyle w:val="FootnoteReference"/>
            <w:rFonts w:ascii="Traditional Arabic" w:hAnsi="Traditional Arabic"/>
            <w:sz w:val="32"/>
            <w:szCs w:val="32"/>
            <w:rtl/>
            <w:lang w:eastAsia="zh-TW"/>
          </w:rPr>
          <w:t>)</w:t>
        </w:r>
        <w:r w:rsidR="00467C1F">
          <w:rPr>
            <w:rFonts w:hint="cs"/>
            <w:rtl/>
            <w:lang w:eastAsia="zh-TW"/>
          </w:rPr>
          <w:t>.</w:t>
        </w:r>
        <w:r w:rsidR="004D4029" w:rsidRPr="00D57891">
          <w:rPr>
            <w:rtl/>
            <w:lang w:eastAsia="zh-TW"/>
          </w:rPr>
          <w:t xml:space="preserve"> وتمثل الجرائم المتعلقة بالمخدرات غالبية أحكام الإعدام المنفذة في بعض البلدان، ويعاقب عليها بالإعدام وجوبا في عدد من الدول (انظر </w:t>
        </w:r>
        <w:r w:rsidR="004D4029" w:rsidRPr="00D57891">
          <w:rPr>
            <w:lang w:eastAsia="zh-TW"/>
          </w:rPr>
          <w:t>E/2015/49</w:t>
        </w:r>
        <w:r w:rsidR="004D4029" w:rsidRPr="00D57891">
          <w:rPr>
            <w:rtl/>
            <w:lang w:eastAsia="zh-TW"/>
          </w:rPr>
          <w:t xml:space="preserve"> و</w:t>
        </w:r>
        <w:r w:rsidR="004D4029" w:rsidRPr="00D57891">
          <w:rPr>
            <w:lang w:eastAsia="zh-TW"/>
          </w:rPr>
          <w:t>Corr.1</w:t>
        </w:r>
        <w:r w:rsidR="00467C1F">
          <w:rPr>
            <w:rtl/>
            <w:lang w:eastAsia="zh-TW"/>
          </w:rPr>
          <w:t>، الفقرة 72)</w:t>
        </w:r>
        <w:r w:rsidR="004A64ED">
          <w:rPr>
            <w:rStyle w:val="FootnoteReference"/>
            <w:rFonts w:ascii="Traditional Arabic" w:hAnsi="Traditional Arabic"/>
            <w:sz w:val="32"/>
            <w:szCs w:val="32"/>
            <w:rtl/>
            <w:lang w:eastAsia="zh-TW"/>
          </w:rPr>
          <w:t>(</w:t>
        </w:r>
        <w:r w:rsidR="00467C1F" w:rsidRPr="00D57891">
          <w:rPr>
            <w:rStyle w:val="FootnoteReference"/>
            <w:rFonts w:ascii="Traditional Arabic" w:hAnsi="Traditional Arabic"/>
            <w:sz w:val="32"/>
            <w:szCs w:val="32"/>
            <w:rtl/>
            <w:lang w:eastAsia="zh-TW"/>
          </w:rPr>
          <w:footnoteReference w:id="46"/>
        </w:r>
        <w:r w:rsidR="004A64ED">
          <w:rPr>
            <w:rStyle w:val="FootnoteReference"/>
            <w:rFonts w:ascii="Traditional Arabic" w:hAnsi="Traditional Arabic"/>
            <w:sz w:val="32"/>
            <w:szCs w:val="32"/>
            <w:rtl/>
            <w:lang w:eastAsia="zh-TW"/>
          </w:rPr>
          <w:t>)</w:t>
        </w:r>
        <w:r w:rsidR="00467C1F">
          <w:rPr>
            <w:rFonts w:hint="cs"/>
            <w:rtl/>
            <w:lang w:eastAsia="zh-TW"/>
          </w:rPr>
          <w:t>.</w:t>
        </w:r>
        <w:r w:rsidR="004D4029" w:rsidRPr="00D57891">
          <w:rPr>
            <w:rtl/>
            <w:lang w:eastAsia="zh-TW"/>
          </w:rPr>
          <w:t xml:space="preserve"> </w:t>
        </w:r>
        <w:r w:rsidR="004D4029" w:rsidRPr="00D57891">
          <w:rPr>
            <w:rFonts w:ascii="Arial" w:hAnsi="Arial" w:cs="Arial"/>
          </w:rPr>
          <w:t>‬</w:t>
        </w:r>
        <w:r w:rsidR="004D4029">
          <w:t>‬</w:t>
        </w:r>
        <w:r w:rsidR="004D4029">
          <w:t>‬</w:t>
        </w:r>
        <w:r w:rsidR="00C66BF6">
          <w:t>‬</w:t>
        </w:r>
        <w:r w:rsidR="00943DBA">
          <w:t>‬</w:t>
        </w:r>
      </w:dir>
    </w:p>
    <w:p w:rsidR="004D4029" w:rsidRPr="00D57891" w:rsidRDefault="00270BD3" w:rsidP="00EB7A1B">
      <w:pPr>
        <w:pStyle w:val="SingleTxtGA"/>
        <w:spacing w:line="360" w:lineRule="exact"/>
        <w:rPr>
          <w:rtl/>
          <w:lang w:eastAsia="zh-TW"/>
        </w:rPr>
      </w:pPr>
      <w:r>
        <w:rPr>
          <w:rtl/>
          <w:lang w:eastAsia="zh-TW"/>
        </w:rPr>
        <w:t>٤٠</w:t>
      </w:r>
      <w:r>
        <w:rPr>
          <w:rFonts w:hint="cs"/>
          <w:rtl/>
          <w:lang w:eastAsia="zh-TW"/>
        </w:rPr>
        <w:t>-</w:t>
      </w:r>
      <w:r>
        <w:rPr>
          <w:rFonts w:hint="cs"/>
          <w:rtl/>
          <w:lang w:eastAsia="zh-TW"/>
        </w:rPr>
        <w:tab/>
      </w:r>
      <w:r w:rsidR="004D4029" w:rsidRPr="00D57891">
        <w:rPr>
          <w:rtl/>
          <w:lang w:eastAsia="zh-TW"/>
        </w:rPr>
        <w:t>وقد أعربت منظمات حقوق الإنسان عن قلقها حيال تقديم تمويل دولي ومساعدات تقنية لبرامج مكافحة المخدرات في الدول التي تواصل تطبيق عقوبة الإعدام لمعاقبة مرتكبي الجرائم المتعلقة بالمخدرات</w:t>
      </w:r>
      <w:r w:rsidR="004A64ED">
        <w:rPr>
          <w:rStyle w:val="FootnoteReference"/>
          <w:rFonts w:ascii="Traditional Arabic" w:hAnsi="Traditional Arabic"/>
          <w:sz w:val="32"/>
          <w:szCs w:val="32"/>
          <w:rtl/>
          <w:lang w:eastAsia="zh-TW"/>
        </w:rPr>
        <w:t>(</w:t>
      </w:r>
      <w:r w:rsidR="00E14882" w:rsidRPr="00D57891">
        <w:rPr>
          <w:rStyle w:val="FootnoteReference"/>
          <w:rFonts w:ascii="Traditional Arabic" w:hAnsi="Traditional Arabic"/>
          <w:sz w:val="32"/>
          <w:szCs w:val="32"/>
          <w:rtl/>
          <w:lang w:eastAsia="zh-TW"/>
        </w:rPr>
        <w:footnoteReference w:id="47"/>
      </w:r>
      <w:r w:rsidR="004A64ED">
        <w:rPr>
          <w:rStyle w:val="FootnoteReference"/>
          <w:rFonts w:ascii="Traditional Arabic" w:hAnsi="Traditional Arabic"/>
          <w:sz w:val="32"/>
          <w:szCs w:val="32"/>
          <w:rtl/>
          <w:lang w:eastAsia="zh-TW"/>
        </w:rPr>
        <w:t>)</w:t>
      </w:r>
      <w:r w:rsidR="00467C1F">
        <w:rPr>
          <w:rFonts w:hint="cs"/>
          <w:rtl/>
          <w:lang w:eastAsia="zh-TW"/>
        </w:rPr>
        <w:t>.</w:t>
      </w:r>
      <w:r w:rsidR="004D4029" w:rsidRPr="00D57891">
        <w:rPr>
          <w:rtl/>
          <w:lang w:eastAsia="zh-TW"/>
        </w:rPr>
        <w:t xml:space="preserve"> وذكر مكتب الأمم المتحدة المعني بالمخدرات والجريمة، الذي </w:t>
      </w:r>
      <w:r w:rsidR="004D4029" w:rsidRPr="00D57891">
        <w:rPr>
          <w:rtl/>
          <w:lang w:eastAsia="zh-TW"/>
        </w:rPr>
        <w:lastRenderedPageBreak/>
        <w:t xml:space="preserve">يعارض عقوبة الإعدام، أنه في حال استمر بلد ما دون انقطاع في تطبيق عقوبة الإعدام على الجرائم المتعلقة بالمخدرات، </w:t>
      </w:r>
      <w:r w:rsidR="004D4029" w:rsidRPr="00D57891">
        <w:rPr>
          <w:rFonts w:hint="cs"/>
          <w:rtl/>
          <w:lang w:eastAsia="zh-TW"/>
        </w:rPr>
        <w:t>فإن المكتب</w:t>
      </w:r>
      <w:r w:rsidR="004D4029" w:rsidRPr="00D57891">
        <w:rPr>
          <w:rtl/>
          <w:lang w:eastAsia="zh-TW"/>
        </w:rPr>
        <w:t xml:space="preserve"> يضع نفسه في موقف ضعيف جدا فيما يتعلق بمسؤوليته في مجال احترام حقوق الإنسان، إذا ما ظل يقدم الدعم إلى وحدات إنفاذ القانون أو المدعين العامين أو المحاكم ضمن نظام العدالة الجنائية لذلك البلد. وأشار إلى أن مواصلة تقديم الدعم في هذه الظروف يمكن، على أقل تقدير، أن يُنظر إليه </w:t>
      </w:r>
      <w:r w:rsidR="004D4029">
        <w:rPr>
          <w:rFonts w:hint="cs"/>
          <w:rtl/>
          <w:lang w:eastAsia="zh-TW"/>
        </w:rPr>
        <w:t xml:space="preserve">على أنه </w:t>
      </w:r>
      <w:r w:rsidR="004D4029" w:rsidRPr="00D57891">
        <w:rPr>
          <w:rtl/>
          <w:lang w:eastAsia="zh-TW"/>
        </w:rPr>
        <w:t>إضفاء للشرعية على ما تقوم به الحكومة. وإذا استمرت عمليات الإعدام في حالة الجرائم المتعلقة بالمخدرات بعد توجيه طلبات للحصول على ضمانات والتدخل السياسي رفيع المستوى، فلن يكون أمام المكتب أي خيار سوى</w:t>
      </w:r>
      <w:r w:rsidR="00E14882">
        <w:rPr>
          <w:rtl/>
          <w:lang w:eastAsia="zh-TW"/>
        </w:rPr>
        <w:t xml:space="preserve"> أن يجمّد الدعم مؤقتاً أو يسحبه</w:t>
      </w:r>
      <w:r w:rsidR="004A64ED">
        <w:rPr>
          <w:rStyle w:val="FootnoteReference"/>
          <w:rFonts w:ascii="Traditional Arabic" w:hAnsi="Traditional Arabic"/>
          <w:sz w:val="32"/>
          <w:szCs w:val="32"/>
          <w:rtl/>
          <w:lang w:eastAsia="zh-TW"/>
        </w:rPr>
        <w:t>(</w:t>
      </w:r>
      <w:r w:rsidR="00E14882" w:rsidRPr="00D57891">
        <w:rPr>
          <w:rStyle w:val="FootnoteReference"/>
          <w:rFonts w:ascii="Traditional Arabic" w:hAnsi="Traditional Arabic"/>
          <w:sz w:val="32"/>
          <w:szCs w:val="32"/>
          <w:rtl/>
          <w:lang w:eastAsia="zh-TW"/>
        </w:rPr>
        <w:footnoteReference w:id="48"/>
      </w:r>
      <w:r w:rsidR="004A64ED">
        <w:rPr>
          <w:rStyle w:val="FootnoteReference"/>
          <w:rFonts w:ascii="Traditional Arabic" w:hAnsi="Traditional Arabic"/>
          <w:sz w:val="32"/>
          <w:szCs w:val="32"/>
          <w:rtl/>
          <w:lang w:eastAsia="zh-TW"/>
        </w:rPr>
        <w:t>)</w:t>
      </w:r>
      <w:r w:rsidR="00E14882">
        <w:rPr>
          <w:rFonts w:hint="cs"/>
          <w:rtl/>
          <w:lang w:eastAsia="zh-TW"/>
        </w:rPr>
        <w:t>.</w:t>
      </w:r>
      <w:r w:rsidR="004D4029" w:rsidRPr="00D57891">
        <w:rPr>
          <w:rtl/>
          <w:lang w:eastAsia="zh-TW"/>
        </w:rPr>
        <w:t xml:space="preserve"> وشدد الاتحاد الأوروبي على أن إجراءات مثل تقديم المساعدة القانونية أو المالية أو غيرها من المساعدات ا</w:t>
      </w:r>
      <w:r w:rsidR="00EC41B6">
        <w:rPr>
          <w:rtl/>
          <w:lang w:eastAsia="zh-TW"/>
        </w:rPr>
        <w:t>لتقنية إلى بلدان أخرى ينبغي ألا</w:t>
      </w:r>
      <w:r w:rsidR="00EC41B6">
        <w:rPr>
          <w:rFonts w:hint="cs"/>
          <w:rtl/>
          <w:lang w:eastAsia="zh-TW"/>
        </w:rPr>
        <w:t> </w:t>
      </w:r>
      <w:r w:rsidR="004D4029" w:rsidRPr="00D57891">
        <w:rPr>
          <w:rtl/>
          <w:lang w:eastAsia="zh-TW"/>
        </w:rPr>
        <w:t>يساهم في تطبيق عقوبة الإعدام، وأشار تحديدا إلى أن هذه العقوبة لا ينبغي أن تفرض</w:t>
      </w:r>
      <w:r w:rsidR="00E14882">
        <w:rPr>
          <w:rtl/>
          <w:lang w:eastAsia="zh-TW"/>
        </w:rPr>
        <w:t xml:space="preserve"> على الجرائم المتعلقة بالمخدرات</w:t>
      </w:r>
      <w:r w:rsidR="004A64ED">
        <w:rPr>
          <w:rStyle w:val="FootnoteReference"/>
          <w:rFonts w:ascii="Traditional Arabic" w:hAnsi="Traditional Arabic"/>
          <w:sz w:val="32"/>
          <w:szCs w:val="32"/>
          <w:rtl/>
          <w:lang w:eastAsia="zh-TW"/>
        </w:rPr>
        <w:t>(</w:t>
      </w:r>
      <w:r w:rsidR="00E14882" w:rsidRPr="00D57891">
        <w:rPr>
          <w:rStyle w:val="FootnoteReference"/>
          <w:rFonts w:ascii="Traditional Arabic" w:hAnsi="Traditional Arabic"/>
          <w:sz w:val="32"/>
          <w:szCs w:val="32"/>
          <w:rtl/>
          <w:lang w:eastAsia="zh-TW"/>
        </w:rPr>
        <w:footnoteReference w:id="49"/>
      </w:r>
      <w:r w:rsidR="004A64ED">
        <w:rPr>
          <w:rStyle w:val="FootnoteReference"/>
          <w:rFonts w:ascii="Traditional Arabic" w:hAnsi="Traditional Arabic"/>
          <w:sz w:val="32"/>
          <w:szCs w:val="32"/>
          <w:rtl/>
          <w:lang w:eastAsia="zh-TW"/>
        </w:rPr>
        <w:t>)</w:t>
      </w:r>
      <w:r w:rsidR="00E14882">
        <w:rPr>
          <w:rFonts w:hint="cs"/>
          <w:rtl/>
          <w:lang w:eastAsia="zh-TW"/>
        </w:rPr>
        <w:t>.</w:t>
      </w:r>
      <w:r w:rsidR="004D4029" w:rsidRPr="00D57891">
        <w:rPr>
          <w:rtl/>
          <w:lang w:eastAsia="zh-TW"/>
        </w:rPr>
        <w:t xml:space="preserve"> </w:t>
      </w:r>
    </w:p>
    <w:p w:rsidR="004D4029" w:rsidRPr="00D57891" w:rsidRDefault="00270BD3" w:rsidP="00EB7A1B">
      <w:pPr>
        <w:pStyle w:val="SingleTxtGA"/>
        <w:spacing w:line="360" w:lineRule="exact"/>
        <w:rPr>
          <w:iCs/>
          <w:rtl/>
          <w:lang w:eastAsia="zh-TW"/>
        </w:rPr>
      </w:pPr>
      <w:r>
        <w:rPr>
          <w:rtl/>
          <w:lang w:eastAsia="zh-TW"/>
        </w:rPr>
        <w:t>٤١</w:t>
      </w:r>
      <w:r>
        <w:rPr>
          <w:rFonts w:hint="cs"/>
          <w:rtl/>
          <w:lang w:eastAsia="zh-TW"/>
        </w:rPr>
        <w:t>-</w:t>
      </w:r>
      <w:r>
        <w:rPr>
          <w:rFonts w:hint="cs"/>
          <w:rtl/>
          <w:lang w:eastAsia="zh-TW"/>
        </w:rPr>
        <w:tab/>
      </w:r>
      <w:r w:rsidR="004D4029" w:rsidRPr="00D57891">
        <w:rPr>
          <w:rtl/>
          <w:lang w:eastAsia="zh-TW"/>
        </w:rPr>
        <w:t xml:space="preserve">وأعرب المقرر الخاص </w:t>
      </w:r>
      <w:r>
        <w:rPr>
          <w:rFonts w:hint="cs"/>
          <w:rtl/>
          <w:lang w:eastAsia="zh-TW"/>
        </w:rPr>
        <w:t>المعني ب</w:t>
      </w:r>
      <w:r w:rsidR="004D4029" w:rsidRPr="00D57891">
        <w:rPr>
          <w:rtl/>
          <w:lang w:eastAsia="zh-TW"/>
        </w:rPr>
        <w:t xml:space="preserve">الإعدام خارج القضاء أو بإجراءات موجزة أو تعسفا عن قلقه بشأن حالات إعدام الأشخاص خارج نطاق القضاء في إطار الحرب على المخدرات (انظر </w:t>
      </w:r>
      <w:r w:rsidR="004D4029" w:rsidRPr="00D57891">
        <w:rPr>
          <w:lang w:eastAsia="zh-TW"/>
        </w:rPr>
        <w:t>A/HRC/26/36/Add.1</w:t>
      </w:r>
      <w:r w:rsidR="004D4029" w:rsidRPr="00D57891">
        <w:rPr>
          <w:rtl/>
          <w:lang w:eastAsia="zh-TW"/>
        </w:rPr>
        <w:t xml:space="preserve">، الفقرة 8)، وهو قلق أعربت </w:t>
      </w:r>
      <w:r w:rsidR="00ED70FB">
        <w:rPr>
          <w:rtl/>
          <w:lang w:eastAsia="zh-TW"/>
        </w:rPr>
        <w:t xml:space="preserve">عنه </w:t>
      </w:r>
      <w:r w:rsidR="004D6383">
        <w:rPr>
          <w:rtl/>
          <w:lang w:eastAsia="zh-TW"/>
        </w:rPr>
        <w:t>أيضاً</w:t>
      </w:r>
      <w:r w:rsidR="00ED70FB">
        <w:rPr>
          <w:rtl/>
          <w:lang w:eastAsia="zh-TW"/>
        </w:rPr>
        <w:t xml:space="preserve"> دول ومنظمات غير حكومية</w:t>
      </w:r>
      <w:r w:rsidR="004A64ED">
        <w:rPr>
          <w:rStyle w:val="FootnoteReference"/>
          <w:rFonts w:ascii="Traditional Arabic" w:hAnsi="Traditional Arabic"/>
          <w:sz w:val="32"/>
          <w:szCs w:val="32"/>
          <w:rtl/>
          <w:lang w:eastAsia="zh-TW"/>
        </w:rPr>
        <w:t>(</w:t>
      </w:r>
      <w:r w:rsidR="00ED70FB" w:rsidRPr="00D57891">
        <w:rPr>
          <w:rStyle w:val="FootnoteReference"/>
          <w:rFonts w:ascii="Traditional Arabic" w:hAnsi="Traditional Arabic"/>
          <w:sz w:val="32"/>
          <w:szCs w:val="32"/>
          <w:rtl/>
          <w:lang w:eastAsia="zh-TW"/>
        </w:rPr>
        <w:footnoteReference w:id="50"/>
      </w:r>
      <w:r w:rsidR="004A64ED">
        <w:rPr>
          <w:rStyle w:val="FootnoteReference"/>
          <w:rFonts w:ascii="Traditional Arabic" w:hAnsi="Traditional Arabic"/>
          <w:sz w:val="32"/>
          <w:szCs w:val="32"/>
          <w:rtl/>
          <w:lang w:eastAsia="zh-TW"/>
        </w:rPr>
        <w:t>)</w:t>
      </w:r>
      <w:r w:rsidR="00ED70FB">
        <w:rPr>
          <w:rFonts w:hint="cs"/>
          <w:rtl/>
          <w:lang w:eastAsia="zh-TW"/>
        </w:rPr>
        <w:t>.</w:t>
      </w:r>
      <w:r w:rsidR="004D4029" w:rsidRPr="00D57891">
        <w:rPr>
          <w:rtl/>
          <w:lang w:eastAsia="zh-TW"/>
        </w:rPr>
        <w:t xml:space="preserve"> </w:t>
      </w:r>
      <w:r w:rsidR="004D4029">
        <w:rPr>
          <w:rFonts w:hint="cs"/>
          <w:rtl/>
          <w:lang w:eastAsia="zh-TW"/>
        </w:rPr>
        <w:t xml:space="preserve">ومن دواعي القلق </w:t>
      </w:r>
      <w:r w:rsidR="004D6383">
        <w:rPr>
          <w:rFonts w:hint="cs"/>
          <w:rtl/>
          <w:lang w:eastAsia="zh-TW"/>
        </w:rPr>
        <w:t>أيضاً</w:t>
      </w:r>
      <w:r w:rsidR="004D4029">
        <w:rPr>
          <w:rFonts w:hint="cs"/>
          <w:rtl/>
          <w:lang w:eastAsia="zh-TW"/>
        </w:rPr>
        <w:t>،</w:t>
      </w:r>
      <w:r w:rsidR="004D4029" w:rsidRPr="00D57891">
        <w:rPr>
          <w:rtl/>
          <w:lang w:eastAsia="zh-TW"/>
        </w:rPr>
        <w:t xml:space="preserve"> حالة الإفلات من العقاب على الإعدام خارج نطاق القضاء في إطار العمليات التي تستهدف تجارة المخدرات. وقد انتقد المقرر الخاص المعني بمسألة التعذيب </w:t>
      </w:r>
      <w:r w:rsidR="004D4029">
        <w:rPr>
          <w:rFonts w:hint="cs"/>
          <w:rtl/>
          <w:lang w:eastAsia="zh-TW"/>
        </w:rPr>
        <w:t>عدم فعالية</w:t>
      </w:r>
      <w:r w:rsidR="004D4029" w:rsidRPr="00D57891">
        <w:rPr>
          <w:rtl/>
          <w:lang w:eastAsia="zh-TW"/>
        </w:rPr>
        <w:t xml:space="preserve"> التحقيق وحالة الإفلات من العقاب السائدة نسبيا </w:t>
      </w:r>
      <w:r w:rsidR="004D4029">
        <w:rPr>
          <w:rFonts w:hint="cs"/>
          <w:rtl/>
          <w:lang w:eastAsia="zh-TW"/>
        </w:rPr>
        <w:t>و</w:t>
      </w:r>
      <w:r w:rsidR="004D4029" w:rsidRPr="00D57891">
        <w:rPr>
          <w:rtl/>
          <w:lang w:eastAsia="zh-TW"/>
        </w:rPr>
        <w:t xml:space="preserve">التي استفاد منها </w:t>
      </w:r>
      <w:r w:rsidR="004D4029">
        <w:rPr>
          <w:rFonts w:hint="cs"/>
          <w:rtl/>
          <w:lang w:eastAsia="zh-TW"/>
        </w:rPr>
        <w:t>من</w:t>
      </w:r>
      <w:r w:rsidR="004D4029" w:rsidRPr="00D57891">
        <w:rPr>
          <w:rtl/>
          <w:lang w:eastAsia="zh-TW"/>
        </w:rPr>
        <w:t xml:space="preserve"> ارتكبوا انتهاكات من هذا القبيل لحقوق الإنسان، وشدد مفوض الأمم المتحدة السامي لحقوق الإنسان على ضرورة مساءلة مرتكبي الانتهاكات الجسيمة لحقوق الإنسان (انظر الوثيقة </w:t>
      </w:r>
      <w:r w:rsidR="004D4029" w:rsidRPr="00D57891">
        <w:rPr>
          <w:lang w:eastAsia="zh-TW"/>
        </w:rPr>
        <w:t>A/HRC/11/2/Add.2</w:t>
      </w:r>
      <w:r w:rsidR="004D4029" w:rsidRPr="00D57891">
        <w:rPr>
          <w:rtl/>
          <w:lang w:eastAsia="zh-TW"/>
        </w:rPr>
        <w:t xml:space="preserve">، الفقرتان 33 </w:t>
      </w:r>
      <w:r w:rsidR="004D4029" w:rsidRPr="00D57891">
        <w:rPr>
          <w:rFonts w:hint="cs"/>
          <w:rtl/>
          <w:lang w:eastAsia="zh-TW"/>
        </w:rPr>
        <w:t>و53</w:t>
      </w:r>
      <w:r w:rsidR="004D4029" w:rsidRPr="00D57891">
        <w:rPr>
          <w:rtl/>
          <w:lang w:eastAsia="zh-TW"/>
        </w:rPr>
        <w:t xml:space="preserve">، </w:t>
      </w:r>
      <w:r w:rsidR="004D4029" w:rsidRPr="00D57891">
        <w:rPr>
          <w:rFonts w:hint="cs"/>
          <w:rtl/>
          <w:lang w:eastAsia="zh-TW"/>
        </w:rPr>
        <w:t>و</w:t>
      </w:r>
      <w:r w:rsidR="004D4029" w:rsidRPr="00D57891">
        <w:rPr>
          <w:rFonts w:hint="cs"/>
          <w:lang w:eastAsia="zh-TW"/>
        </w:rPr>
        <w:t>A</w:t>
      </w:r>
      <w:r w:rsidR="004D4029" w:rsidRPr="00D57891">
        <w:rPr>
          <w:lang w:eastAsia="zh-TW"/>
        </w:rPr>
        <w:t>/HRC/26/36/Add.1</w:t>
      </w:r>
      <w:r w:rsidR="004D4029" w:rsidRPr="00D57891">
        <w:rPr>
          <w:rtl/>
          <w:lang w:eastAsia="zh-TW"/>
        </w:rPr>
        <w:t xml:space="preserve">، الفقرات 81 و111 </w:t>
      </w:r>
      <w:r w:rsidR="004D4029" w:rsidRPr="00D57891">
        <w:rPr>
          <w:rFonts w:hint="cs"/>
          <w:rtl/>
          <w:lang w:eastAsia="zh-TW"/>
        </w:rPr>
        <w:t>و117</w:t>
      </w:r>
      <w:r w:rsidR="004D4029" w:rsidRPr="00D57891">
        <w:rPr>
          <w:rtl/>
          <w:lang w:eastAsia="zh-TW"/>
        </w:rPr>
        <w:t>)</w:t>
      </w:r>
      <w:r w:rsidR="004A64ED">
        <w:rPr>
          <w:rStyle w:val="FootnoteReference"/>
          <w:rFonts w:ascii="Traditional Arabic" w:hAnsi="Traditional Arabic"/>
          <w:sz w:val="32"/>
          <w:szCs w:val="32"/>
          <w:rtl/>
          <w:lang w:eastAsia="zh-TW"/>
        </w:rPr>
        <w:t>(</w:t>
      </w:r>
      <w:r w:rsidR="00ED70FB" w:rsidRPr="00D57891">
        <w:rPr>
          <w:rStyle w:val="FootnoteReference"/>
          <w:rFonts w:ascii="Traditional Arabic" w:hAnsi="Traditional Arabic"/>
          <w:sz w:val="32"/>
          <w:szCs w:val="32"/>
          <w:rtl/>
          <w:lang w:eastAsia="zh-TW"/>
        </w:rPr>
        <w:footnoteReference w:id="51"/>
      </w:r>
      <w:r w:rsidR="004A64ED">
        <w:rPr>
          <w:rStyle w:val="FootnoteReference"/>
          <w:rFonts w:ascii="Traditional Arabic" w:hAnsi="Traditional Arabic"/>
          <w:sz w:val="32"/>
          <w:szCs w:val="32"/>
          <w:rtl/>
          <w:lang w:eastAsia="zh-TW"/>
        </w:rPr>
        <w:t>)</w:t>
      </w:r>
      <w:r w:rsidR="00ED70FB">
        <w:rPr>
          <w:rFonts w:ascii="Traditional Arabic" w:hAnsi="Traditional Arabic" w:hint="cs"/>
          <w:sz w:val="32"/>
          <w:szCs w:val="32"/>
          <w:rtl/>
          <w:lang w:eastAsia="zh-TW"/>
        </w:rPr>
        <w:t>.</w:t>
      </w:r>
      <w:r w:rsidR="00ED70FB">
        <w:rPr>
          <w:rStyle w:val="FootnoteReference"/>
          <w:rFonts w:ascii="Traditional Arabic" w:hAnsi="Traditional Arabic" w:hint="cs"/>
          <w:sz w:val="32"/>
          <w:szCs w:val="32"/>
          <w:rtl/>
          <w:lang w:eastAsia="zh-TW"/>
        </w:rPr>
        <w:t xml:space="preserve"> </w:t>
      </w:r>
    </w:p>
    <w:p w:rsidR="004D4029" w:rsidRPr="00696795" w:rsidRDefault="00270BD3" w:rsidP="00270BD3">
      <w:pPr>
        <w:pStyle w:val="H1GA"/>
        <w:rPr>
          <w:rtl/>
          <w:lang w:eastAsia="zh-TW"/>
        </w:rPr>
      </w:pPr>
      <w:r>
        <w:rPr>
          <w:rtl/>
          <w:lang w:eastAsia="zh-TW"/>
        </w:rPr>
        <w:tab/>
      </w:r>
      <w:r w:rsidR="004D4029" w:rsidRPr="00696795">
        <w:rPr>
          <w:rFonts w:hint="cs"/>
          <w:rtl/>
          <w:lang w:eastAsia="zh-TW"/>
        </w:rPr>
        <w:t>دال-</w:t>
      </w:r>
      <w:r>
        <w:rPr>
          <w:rtl/>
          <w:lang w:eastAsia="zh-TW"/>
        </w:rPr>
        <w:tab/>
      </w:r>
      <w:r w:rsidR="004D4029" w:rsidRPr="00696795">
        <w:rPr>
          <w:rFonts w:hint="cs"/>
          <w:rtl/>
          <w:lang w:eastAsia="zh-TW"/>
        </w:rPr>
        <w:t>الحق</w:t>
      </w:r>
      <w:r w:rsidR="004D4029" w:rsidRPr="00696795">
        <w:rPr>
          <w:rtl/>
          <w:lang w:eastAsia="zh-TW"/>
        </w:rPr>
        <w:t xml:space="preserve"> في محاكمة عادلة </w:t>
      </w:r>
    </w:p>
    <w:p w:rsidR="004D4029" w:rsidRPr="00D57891" w:rsidRDefault="00270BD3" w:rsidP="00EC41B6">
      <w:pPr>
        <w:pStyle w:val="SingleTxtGA"/>
        <w:rPr>
          <w:rtl/>
          <w:lang w:eastAsia="zh-TW"/>
        </w:rPr>
      </w:pPr>
      <w:r>
        <w:rPr>
          <w:rtl/>
          <w:lang w:eastAsia="zh-TW"/>
        </w:rPr>
        <w:t>٤٢</w:t>
      </w:r>
      <w:r>
        <w:rPr>
          <w:rFonts w:hint="cs"/>
          <w:rtl/>
          <w:lang w:eastAsia="zh-TW"/>
        </w:rPr>
        <w:t>-</w:t>
      </w:r>
      <w:r>
        <w:rPr>
          <w:rFonts w:hint="cs"/>
          <w:rtl/>
          <w:lang w:eastAsia="zh-TW"/>
        </w:rPr>
        <w:tab/>
      </w:r>
      <w:r w:rsidR="004D4029" w:rsidRPr="00D57891">
        <w:rPr>
          <w:rtl/>
          <w:lang w:eastAsia="zh-TW"/>
        </w:rPr>
        <w:t xml:space="preserve">ذُكر أن الجيش يُشرَك، في بعض الدول، في تولي مسؤولية إنفاذ القانون بشأن الجرائم </w:t>
      </w:r>
      <w:r w:rsidR="004D4029">
        <w:rPr>
          <w:rFonts w:hint="cs"/>
          <w:rtl/>
          <w:lang w:eastAsia="zh-TW"/>
        </w:rPr>
        <w:t>المتعلقة</w:t>
      </w:r>
      <w:r w:rsidR="004D4029" w:rsidRPr="00D57891">
        <w:rPr>
          <w:rtl/>
          <w:lang w:eastAsia="zh-TW"/>
        </w:rPr>
        <w:t xml:space="preserve"> بالمخدرات أو يُعهد إليه بهذه المسؤولية، ما أسفر في أغلب الأحيا</w:t>
      </w:r>
      <w:r w:rsidR="00ED70FB">
        <w:rPr>
          <w:rtl/>
          <w:lang w:eastAsia="zh-TW"/>
        </w:rPr>
        <w:t>ن عن استخدام العنف على نحو مفرط</w:t>
      </w:r>
      <w:r w:rsidR="004A64ED">
        <w:rPr>
          <w:rStyle w:val="FootnoteReference"/>
          <w:rFonts w:ascii="Traditional Arabic" w:hAnsi="Traditional Arabic"/>
          <w:sz w:val="32"/>
          <w:szCs w:val="32"/>
          <w:rtl/>
          <w:lang w:eastAsia="zh-TW"/>
        </w:rPr>
        <w:t>(</w:t>
      </w:r>
      <w:r w:rsidR="009F71B2" w:rsidRPr="00D57891">
        <w:rPr>
          <w:rStyle w:val="FootnoteReference"/>
          <w:rFonts w:ascii="Traditional Arabic" w:hAnsi="Traditional Arabic"/>
          <w:sz w:val="32"/>
          <w:szCs w:val="32"/>
          <w:rtl/>
          <w:lang w:eastAsia="zh-TW"/>
        </w:rPr>
        <w:footnoteReference w:id="52"/>
      </w:r>
      <w:r w:rsidR="004A64ED">
        <w:rPr>
          <w:rStyle w:val="FootnoteReference"/>
          <w:rFonts w:ascii="Traditional Arabic" w:hAnsi="Traditional Arabic"/>
          <w:sz w:val="32"/>
          <w:szCs w:val="32"/>
          <w:rtl/>
          <w:lang w:eastAsia="zh-TW"/>
        </w:rPr>
        <w:t>)</w:t>
      </w:r>
      <w:r w:rsidR="00ED70FB">
        <w:rPr>
          <w:rFonts w:hint="cs"/>
          <w:rtl/>
          <w:lang w:eastAsia="zh-TW"/>
        </w:rPr>
        <w:t>.</w:t>
      </w:r>
      <w:r w:rsidR="004D4029" w:rsidRPr="00D57891">
        <w:rPr>
          <w:rtl/>
          <w:lang w:eastAsia="zh-TW"/>
        </w:rPr>
        <w:t xml:space="preserve"> وذُكر </w:t>
      </w:r>
      <w:r w:rsidR="004D6383">
        <w:rPr>
          <w:rtl/>
          <w:lang w:eastAsia="zh-TW"/>
        </w:rPr>
        <w:t>أيضاً</w:t>
      </w:r>
      <w:r w:rsidR="004D4029" w:rsidRPr="00D57891">
        <w:rPr>
          <w:rtl/>
          <w:lang w:eastAsia="zh-TW"/>
        </w:rPr>
        <w:t xml:space="preserve"> أن الأشخاص المتهمين بجرائم لها صلة بالمخدرات قد </w:t>
      </w:r>
      <w:r w:rsidR="004D4029" w:rsidRPr="00D57891">
        <w:rPr>
          <w:rtl/>
          <w:lang w:eastAsia="zh-TW"/>
        </w:rPr>
        <w:lastRenderedPageBreak/>
        <w:t>حوكموا أمام محاكم عسكرية أو محاكم خاصة قد لا تستوفي مع</w:t>
      </w:r>
      <w:r w:rsidR="004E48E1">
        <w:rPr>
          <w:rtl/>
          <w:lang w:eastAsia="zh-TW"/>
        </w:rPr>
        <w:t>ايير المحاكمة العادلة</w:t>
      </w:r>
      <w:r w:rsidR="004A64ED">
        <w:rPr>
          <w:rStyle w:val="FootnoteReference"/>
          <w:rFonts w:ascii="Traditional Arabic" w:hAnsi="Traditional Arabic"/>
          <w:sz w:val="32"/>
          <w:szCs w:val="32"/>
          <w:rtl/>
          <w:lang w:eastAsia="zh-TW"/>
        </w:rPr>
        <w:t>(</w:t>
      </w:r>
      <w:r w:rsidR="004E48E1" w:rsidRPr="00D57891">
        <w:rPr>
          <w:rStyle w:val="FootnoteReference"/>
          <w:rFonts w:ascii="Traditional Arabic" w:hAnsi="Traditional Arabic"/>
          <w:sz w:val="32"/>
          <w:szCs w:val="32"/>
          <w:rtl/>
          <w:lang w:eastAsia="zh-TW"/>
        </w:rPr>
        <w:footnoteReference w:id="53"/>
      </w:r>
      <w:r w:rsidR="004A64ED">
        <w:rPr>
          <w:rStyle w:val="FootnoteReference"/>
          <w:rFonts w:ascii="Traditional Arabic" w:hAnsi="Traditional Arabic"/>
          <w:sz w:val="32"/>
          <w:szCs w:val="32"/>
          <w:rtl/>
          <w:lang w:eastAsia="zh-TW"/>
        </w:rPr>
        <w:t>)</w:t>
      </w:r>
      <w:r w:rsidR="004E48E1">
        <w:rPr>
          <w:rFonts w:hint="cs"/>
          <w:rtl/>
          <w:lang w:eastAsia="zh-TW"/>
        </w:rPr>
        <w:t>.</w:t>
      </w:r>
      <w:r w:rsidR="004D4029" w:rsidRPr="00D57891">
        <w:rPr>
          <w:rtl/>
          <w:lang w:eastAsia="zh-TW"/>
        </w:rPr>
        <w:t xml:space="preserve"> وفيما يتعلق بمحاكمة الأشخاص أمام محاكم عسكرية أو خاصة، دعت اللجنة المعنية بحقوق الإنسان إلى ضرورة محاكمة المدنيين في المحاكم العادية، إلا في ظروف استثنائية محددة بدقة، ورأت أن أنواع الحماية المنصوص عليها في العهد الدولي الخاص بالحقوق المدنية والسياسية لا يجوز تقييدها أو تعديلها بسبب الطابع العسكري أو الخاص للمحكمة</w:t>
      </w:r>
      <w:r w:rsidR="004A64ED">
        <w:rPr>
          <w:rStyle w:val="FootnoteReference"/>
          <w:rFonts w:ascii="Traditional Arabic" w:hAnsi="Traditional Arabic"/>
          <w:sz w:val="32"/>
          <w:szCs w:val="32"/>
          <w:rtl/>
          <w:lang w:eastAsia="zh-TW"/>
        </w:rPr>
        <w:t>(</w:t>
      </w:r>
      <w:r w:rsidR="004E48E1" w:rsidRPr="00D57891">
        <w:rPr>
          <w:rStyle w:val="FootnoteReference"/>
          <w:rFonts w:ascii="Traditional Arabic" w:hAnsi="Traditional Arabic"/>
          <w:sz w:val="32"/>
          <w:szCs w:val="32"/>
          <w:rtl/>
          <w:lang w:eastAsia="zh-TW"/>
        </w:rPr>
        <w:footnoteReference w:id="54"/>
      </w:r>
      <w:r w:rsidR="004A64ED">
        <w:rPr>
          <w:rStyle w:val="FootnoteReference"/>
          <w:rFonts w:ascii="Traditional Arabic" w:hAnsi="Traditional Arabic"/>
          <w:sz w:val="32"/>
          <w:szCs w:val="32"/>
          <w:rtl/>
          <w:lang w:eastAsia="zh-TW"/>
        </w:rPr>
        <w:t>)</w:t>
      </w:r>
      <w:r w:rsidR="00EC41B6">
        <w:rPr>
          <w:rFonts w:hint="cs"/>
          <w:rtl/>
          <w:lang w:eastAsia="zh-TW"/>
        </w:rPr>
        <w:t>.</w:t>
      </w:r>
      <w:r w:rsidR="004D4029" w:rsidRPr="00D57891">
        <w:rPr>
          <w:rtl/>
          <w:lang w:eastAsia="zh-TW"/>
        </w:rPr>
        <w:t xml:space="preserve"> </w:t>
      </w:r>
    </w:p>
    <w:p w:rsidR="004D4029" w:rsidRPr="00D57891" w:rsidRDefault="00270BD3" w:rsidP="004E48E1">
      <w:pPr>
        <w:pStyle w:val="SingleTxtGA"/>
        <w:rPr>
          <w:rtl/>
          <w:lang w:eastAsia="zh-TW"/>
        </w:rPr>
      </w:pPr>
      <w:r>
        <w:rPr>
          <w:rtl/>
          <w:lang w:eastAsia="zh-TW"/>
        </w:rPr>
        <w:t>٤٣</w:t>
      </w:r>
      <w:r>
        <w:rPr>
          <w:rFonts w:hint="cs"/>
          <w:rtl/>
          <w:lang w:eastAsia="zh-TW"/>
        </w:rPr>
        <w:t>-</w:t>
      </w:r>
      <w:r>
        <w:rPr>
          <w:rFonts w:hint="cs"/>
          <w:rtl/>
          <w:lang w:eastAsia="zh-TW"/>
        </w:rPr>
        <w:tab/>
      </w:r>
      <w:r w:rsidR="004D4029" w:rsidRPr="00D57891">
        <w:rPr>
          <w:rtl/>
          <w:lang w:eastAsia="zh-TW"/>
        </w:rPr>
        <w:t>وفي بعض الدول، قد يُخيَّر المتهم، بحسب التقارير، بين قضاء مدة العقوبة بعد الإدانة أو الخضوع للعلاج من المخدرات. وانطلاقا من حق الشخص في رفض الخضوع للعلاج، ربما تكون هذه الممارسة مدعاة للقلق، لا سيما بالنظر إلى مستوى الإكراه الذي تنطوي عليه</w:t>
      </w:r>
      <w:r w:rsidR="004A64ED">
        <w:rPr>
          <w:rStyle w:val="FootnoteReference"/>
          <w:rFonts w:ascii="Traditional Arabic" w:hAnsi="Traditional Arabic"/>
          <w:sz w:val="32"/>
          <w:szCs w:val="32"/>
          <w:rtl/>
          <w:lang w:eastAsia="zh-TW"/>
        </w:rPr>
        <w:t>(</w:t>
      </w:r>
      <w:r w:rsidR="004E48E1" w:rsidRPr="00D57891">
        <w:rPr>
          <w:rStyle w:val="FootnoteReference"/>
          <w:rFonts w:ascii="Traditional Arabic" w:hAnsi="Traditional Arabic"/>
          <w:sz w:val="32"/>
          <w:szCs w:val="32"/>
          <w:rtl/>
          <w:lang w:eastAsia="zh-TW"/>
        </w:rPr>
        <w:footnoteReference w:id="55"/>
      </w:r>
      <w:r w:rsidR="004A64ED">
        <w:rPr>
          <w:rStyle w:val="FootnoteReference"/>
          <w:rFonts w:ascii="Traditional Arabic" w:hAnsi="Traditional Arabic"/>
          <w:sz w:val="32"/>
          <w:szCs w:val="32"/>
          <w:rtl/>
          <w:lang w:eastAsia="zh-TW"/>
        </w:rPr>
        <w:t>)</w:t>
      </w:r>
      <w:r w:rsidR="004E48E1">
        <w:rPr>
          <w:rFonts w:hint="cs"/>
          <w:rtl/>
          <w:lang w:eastAsia="zh-TW"/>
        </w:rPr>
        <w:t>.</w:t>
      </w:r>
      <w:r w:rsidR="004D4029" w:rsidRPr="00D57891">
        <w:rPr>
          <w:rtl/>
          <w:lang w:eastAsia="zh-TW"/>
        </w:rPr>
        <w:t xml:space="preserve"> وتفرض بعض الدول إجراءات </w:t>
      </w:r>
      <w:r>
        <w:rPr>
          <w:rFonts w:hint="cs"/>
          <w:rtl/>
          <w:lang w:eastAsia="zh-TW"/>
        </w:rPr>
        <w:t>جزائية</w:t>
      </w:r>
      <w:r w:rsidR="004D4029" w:rsidRPr="00D57891">
        <w:rPr>
          <w:rtl/>
          <w:lang w:eastAsia="zh-TW"/>
        </w:rPr>
        <w:t xml:space="preserve"> إضافية على الأفراد في حال فشل العلاج، دون أن تأخذ في الاعتبار الظروف الخاصة لكل حالة على حدة، وطبيعة العلاج من إدمان المخدرات التي تتسم في الغالب، بحسب المهنيين الطبيين، بالانتكاس مرة واحدة أو أكثر وتتطلب عدة أنواع من العلاج</w:t>
      </w:r>
      <w:r w:rsidR="004A64ED">
        <w:rPr>
          <w:rStyle w:val="FootnoteReference"/>
          <w:rFonts w:ascii="Traditional Arabic" w:hAnsi="Traditional Arabic"/>
          <w:sz w:val="32"/>
          <w:szCs w:val="32"/>
          <w:rtl/>
          <w:lang w:eastAsia="zh-TW"/>
        </w:rPr>
        <w:t>(</w:t>
      </w:r>
      <w:r w:rsidR="004E48E1" w:rsidRPr="00D57891">
        <w:rPr>
          <w:rStyle w:val="FootnoteReference"/>
          <w:rFonts w:ascii="Traditional Arabic" w:hAnsi="Traditional Arabic"/>
          <w:sz w:val="32"/>
          <w:szCs w:val="32"/>
          <w:rtl/>
          <w:lang w:eastAsia="zh-TW"/>
        </w:rPr>
        <w:footnoteReference w:id="56"/>
      </w:r>
      <w:r w:rsidR="004A64ED">
        <w:rPr>
          <w:rStyle w:val="FootnoteReference"/>
          <w:rFonts w:ascii="Traditional Arabic" w:hAnsi="Traditional Arabic"/>
          <w:sz w:val="32"/>
          <w:szCs w:val="32"/>
          <w:rtl/>
          <w:lang w:eastAsia="zh-TW"/>
        </w:rPr>
        <w:t>)</w:t>
      </w:r>
      <w:r w:rsidR="004E48E1">
        <w:rPr>
          <w:rFonts w:hint="cs"/>
          <w:rtl/>
          <w:lang w:eastAsia="zh-TW"/>
        </w:rPr>
        <w:t>.</w:t>
      </w:r>
      <w:r w:rsidR="004D4029" w:rsidRPr="00D57891">
        <w:rPr>
          <w:rtl/>
          <w:lang w:eastAsia="zh-TW"/>
        </w:rPr>
        <w:t xml:space="preserve"> ورأى الفريق العامل المعني بالاحتجاز التعسفي أن من غير الجائز تحت أي ظرف من الظروف، في حال اعتماد العلاج بديلا عن الاحتجاز، </w:t>
      </w:r>
      <w:r>
        <w:rPr>
          <w:rFonts w:hint="cs"/>
          <w:rtl/>
          <w:lang w:eastAsia="zh-TW"/>
        </w:rPr>
        <w:t xml:space="preserve">أن يتجاوز العلاج </w:t>
      </w:r>
      <w:r w:rsidR="004D4029" w:rsidRPr="00D57891">
        <w:rPr>
          <w:rtl/>
          <w:lang w:eastAsia="zh-TW"/>
        </w:rPr>
        <w:t xml:space="preserve">مدة العقوبة الجنائية (انظر </w:t>
      </w:r>
      <w:r w:rsidR="004D4029" w:rsidRPr="00D57891">
        <w:rPr>
          <w:lang w:eastAsia="zh-TW"/>
        </w:rPr>
        <w:t>A/HRC/4/40/Add.2</w:t>
      </w:r>
      <w:r w:rsidR="004D4029" w:rsidRPr="00D57891">
        <w:rPr>
          <w:rtl/>
          <w:lang w:eastAsia="zh-TW"/>
        </w:rPr>
        <w:t>، الفقرة 74).</w:t>
      </w:r>
      <w:r w:rsidR="00BC4F00">
        <w:rPr>
          <w:rFonts w:hint="cs"/>
          <w:rtl/>
          <w:lang w:eastAsia="zh-TW"/>
        </w:rPr>
        <w:t xml:space="preserve"> </w:t>
      </w:r>
    </w:p>
    <w:p w:rsidR="004D4029" w:rsidRPr="00D57891" w:rsidRDefault="00270BD3" w:rsidP="00CD6DF0">
      <w:pPr>
        <w:pStyle w:val="SingleTxtGA"/>
        <w:rPr>
          <w:rtl/>
          <w:lang w:eastAsia="zh-TW"/>
        </w:rPr>
      </w:pPr>
      <w:r>
        <w:rPr>
          <w:rtl/>
          <w:lang w:eastAsia="zh-TW"/>
        </w:rPr>
        <w:t>٤٤</w:t>
      </w:r>
      <w:r>
        <w:rPr>
          <w:rFonts w:hint="cs"/>
          <w:rtl/>
          <w:lang w:eastAsia="zh-TW"/>
        </w:rPr>
        <w:t>-</w:t>
      </w:r>
      <w:r>
        <w:rPr>
          <w:rFonts w:hint="cs"/>
          <w:rtl/>
          <w:lang w:eastAsia="zh-TW"/>
        </w:rPr>
        <w:tab/>
      </w:r>
      <w:r w:rsidR="004D4029" w:rsidRPr="00D57891">
        <w:rPr>
          <w:rtl/>
          <w:lang w:eastAsia="zh-TW"/>
        </w:rPr>
        <w:t xml:space="preserve">ولا تتيح بعض الدول للأشخاص المدانين بارتكاب جرائم </w:t>
      </w:r>
      <w:r w:rsidR="004D4029">
        <w:rPr>
          <w:rFonts w:hint="cs"/>
          <w:rtl/>
          <w:lang w:eastAsia="zh-TW"/>
        </w:rPr>
        <w:t>تتعلق</w:t>
      </w:r>
      <w:r w:rsidR="004D4029" w:rsidRPr="00D57891">
        <w:rPr>
          <w:rtl/>
          <w:lang w:eastAsia="zh-TW"/>
        </w:rPr>
        <w:t xml:space="preserve"> بالمخدرات إمكانية النظر في تعليق تنفيذ العقوبة أو إخلاء السبيل المشروط أو إصدار عفو خاص أو عفو عام إسوة بالأشخاص ال</w:t>
      </w:r>
      <w:r w:rsidR="005F1466">
        <w:rPr>
          <w:rtl/>
          <w:lang w:eastAsia="zh-TW"/>
        </w:rPr>
        <w:t>ذين أدينوا بارتكاب جرائم مختلفة</w:t>
      </w:r>
      <w:r w:rsidR="004A64ED">
        <w:rPr>
          <w:rStyle w:val="FootnoteReference"/>
          <w:rFonts w:ascii="Traditional Arabic" w:hAnsi="Traditional Arabic"/>
          <w:sz w:val="32"/>
          <w:szCs w:val="32"/>
          <w:rtl/>
          <w:lang w:eastAsia="zh-TW"/>
        </w:rPr>
        <w:t>(</w:t>
      </w:r>
      <w:r w:rsidR="00CD6DF0" w:rsidRPr="00D57891">
        <w:rPr>
          <w:rStyle w:val="FootnoteReference"/>
          <w:rFonts w:ascii="Traditional Arabic" w:hAnsi="Traditional Arabic"/>
          <w:sz w:val="32"/>
          <w:szCs w:val="32"/>
          <w:rtl/>
          <w:lang w:eastAsia="zh-TW"/>
        </w:rPr>
        <w:footnoteReference w:id="57"/>
      </w:r>
      <w:r w:rsidR="004A64ED">
        <w:rPr>
          <w:rStyle w:val="FootnoteReference"/>
          <w:rFonts w:ascii="Traditional Arabic" w:hAnsi="Traditional Arabic"/>
          <w:sz w:val="32"/>
          <w:szCs w:val="32"/>
          <w:rtl/>
          <w:lang w:eastAsia="zh-TW"/>
        </w:rPr>
        <w:t>)</w:t>
      </w:r>
      <w:r w:rsidR="005F1466">
        <w:rPr>
          <w:rFonts w:hint="cs"/>
          <w:rtl/>
          <w:lang w:eastAsia="zh-TW"/>
        </w:rPr>
        <w:t>.</w:t>
      </w:r>
      <w:r w:rsidR="004D4029" w:rsidRPr="00D57891">
        <w:rPr>
          <w:rtl/>
          <w:lang w:eastAsia="zh-TW"/>
        </w:rPr>
        <w:t xml:space="preserve"> وأوصى الفريق العامل المعني بالاحتجاز التعسفي بأن تعدل الدول قوانينها إذا كانت تتضمن أحكاما بهذا المعنى (انظر </w:t>
      </w:r>
      <w:r w:rsidR="004D4029" w:rsidRPr="00D57891">
        <w:rPr>
          <w:lang w:eastAsia="zh-TW"/>
        </w:rPr>
        <w:t>A/HRC//4/40/Add.3</w:t>
      </w:r>
      <w:r w:rsidR="005F1466">
        <w:rPr>
          <w:rtl/>
          <w:lang w:eastAsia="zh-TW"/>
        </w:rPr>
        <w:t>، الفقرة 102</w:t>
      </w:r>
      <w:r w:rsidR="004D4029" w:rsidRPr="00D57891">
        <w:rPr>
          <w:rtl/>
          <w:lang w:eastAsia="zh-TW"/>
        </w:rPr>
        <w:t>(ج)).</w:t>
      </w:r>
      <w:r w:rsidR="00BC4F00">
        <w:rPr>
          <w:rFonts w:hint="cs"/>
          <w:rtl/>
          <w:lang w:eastAsia="zh-TW"/>
        </w:rPr>
        <w:t xml:space="preserve"> </w:t>
      </w:r>
    </w:p>
    <w:p w:rsidR="004D4029" w:rsidRPr="00D57891" w:rsidRDefault="00270BD3" w:rsidP="00CD6DF0">
      <w:pPr>
        <w:pStyle w:val="SingleTxtGA"/>
        <w:rPr>
          <w:rtl/>
          <w:lang w:eastAsia="zh-TW"/>
        </w:rPr>
      </w:pPr>
      <w:r>
        <w:rPr>
          <w:rtl/>
          <w:lang w:eastAsia="zh-TW"/>
        </w:rPr>
        <w:t>٤٥</w:t>
      </w:r>
      <w:r>
        <w:rPr>
          <w:rFonts w:hint="cs"/>
          <w:rtl/>
          <w:lang w:eastAsia="zh-TW"/>
        </w:rPr>
        <w:t>-</w:t>
      </w:r>
      <w:r>
        <w:rPr>
          <w:rFonts w:hint="cs"/>
          <w:rtl/>
          <w:lang w:eastAsia="zh-TW"/>
        </w:rPr>
        <w:tab/>
        <w:t>و</w:t>
      </w:r>
      <w:r w:rsidR="004D4029" w:rsidRPr="00D57891">
        <w:rPr>
          <w:rtl/>
          <w:lang w:eastAsia="zh-TW"/>
        </w:rPr>
        <w:t>التركيز على توقيف وحبس متعاطي المخدرات لحيازتهم كميات قليلة من المخدرات أو تعاطيها</w:t>
      </w:r>
      <w:r>
        <w:rPr>
          <w:rFonts w:hint="cs"/>
          <w:rtl/>
          <w:lang w:eastAsia="zh-TW"/>
        </w:rPr>
        <w:t xml:space="preserve"> </w:t>
      </w:r>
      <w:r w:rsidRPr="00D57891">
        <w:rPr>
          <w:rtl/>
          <w:lang w:eastAsia="zh-TW"/>
        </w:rPr>
        <w:t>وغالبا</w:t>
      </w:r>
      <w:r>
        <w:rPr>
          <w:rFonts w:hint="cs"/>
          <w:rtl/>
          <w:lang w:eastAsia="zh-TW"/>
        </w:rPr>
        <w:t>ً</w:t>
      </w:r>
      <w:r w:rsidRPr="00D57891">
        <w:rPr>
          <w:rtl/>
          <w:lang w:eastAsia="zh-TW"/>
        </w:rPr>
        <w:t xml:space="preserve"> ما أسفر</w:t>
      </w:r>
      <w:r w:rsidR="004D4029" w:rsidRPr="00D57891">
        <w:rPr>
          <w:rtl/>
          <w:lang w:eastAsia="zh-TW"/>
        </w:rPr>
        <w:t xml:space="preserve"> عن </w:t>
      </w:r>
      <w:r w:rsidR="004D4029">
        <w:rPr>
          <w:rFonts w:hint="cs"/>
          <w:rtl/>
          <w:lang w:eastAsia="zh-TW"/>
        </w:rPr>
        <w:t>إيداع</w:t>
      </w:r>
      <w:r w:rsidR="004D4029" w:rsidRPr="00D57891">
        <w:rPr>
          <w:rtl/>
          <w:lang w:eastAsia="zh-TW"/>
        </w:rPr>
        <w:t xml:space="preserve"> </w:t>
      </w:r>
      <w:r w:rsidR="004D4029">
        <w:rPr>
          <w:rFonts w:hint="cs"/>
          <w:rtl/>
          <w:lang w:eastAsia="zh-TW"/>
        </w:rPr>
        <w:t>الأشخاص الحبس الاحتياطي</w:t>
      </w:r>
      <w:r w:rsidR="004D4029" w:rsidRPr="00D57891">
        <w:rPr>
          <w:rtl/>
          <w:lang w:eastAsia="zh-TW"/>
        </w:rPr>
        <w:t xml:space="preserve"> </w:t>
      </w:r>
      <w:r w:rsidR="004D4029">
        <w:rPr>
          <w:rFonts w:hint="cs"/>
          <w:rtl/>
          <w:lang w:eastAsia="zh-TW"/>
        </w:rPr>
        <w:t>مدة</w:t>
      </w:r>
      <w:r w:rsidR="004D4029" w:rsidRPr="00D57891">
        <w:rPr>
          <w:rtl/>
          <w:lang w:eastAsia="zh-TW"/>
        </w:rPr>
        <w:t xml:space="preserve"> طويلة، و</w:t>
      </w:r>
      <w:r>
        <w:rPr>
          <w:rFonts w:hint="cs"/>
          <w:rtl/>
          <w:lang w:eastAsia="zh-TW"/>
        </w:rPr>
        <w:t>عن</w:t>
      </w:r>
      <w:r w:rsidR="004D4029" w:rsidRPr="00D57891">
        <w:rPr>
          <w:rtl/>
          <w:lang w:eastAsia="zh-TW"/>
        </w:rPr>
        <w:t xml:space="preserve"> ارتفاع شديد في نسبة الأشخاص المدانين بجرائم </w:t>
      </w:r>
      <w:r w:rsidR="004D4029">
        <w:rPr>
          <w:rFonts w:hint="cs"/>
          <w:rtl/>
          <w:lang w:eastAsia="zh-TW"/>
        </w:rPr>
        <w:t>تتعلق</w:t>
      </w:r>
      <w:r w:rsidR="004D4029" w:rsidRPr="00D57891">
        <w:rPr>
          <w:rtl/>
          <w:lang w:eastAsia="zh-TW"/>
        </w:rPr>
        <w:t xml:space="preserve"> بالمخدرات قياسا</w:t>
      </w:r>
      <w:r>
        <w:rPr>
          <w:rFonts w:hint="cs"/>
          <w:rtl/>
          <w:lang w:eastAsia="zh-TW"/>
        </w:rPr>
        <w:t>ً</w:t>
      </w:r>
      <w:r w:rsidR="00EB7A1B">
        <w:rPr>
          <w:rtl/>
          <w:lang w:eastAsia="zh-TW"/>
        </w:rPr>
        <w:t xml:space="preserve"> إلى مجموع السجناء في العديد من</w:t>
      </w:r>
      <w:r w:rsidR="00EB7A1B">
        <w:rPr>
          <w:rFonts w:hint="cs"/>
          <w:rtl/>
          <w:lang w:eastAsia="zh-TW"/>
        </w:rPr>
        <w:t> </w:t>
      </w:r>
      <w:r w:rsidR="004D4029" w:rsidRPr="00D57891">
        <w:rPr>
          <w:rtl/>
          <w:lang w:eastAsia="zh-TW"/>
        </w:rPr>
        <w:t xml:space="preserve">البلدان. </w:t>
      </w:r>
      <w:r>
        <w:rPr>
          <w:rFonts w:hint="cs"/>
          <w:rtl/>
          <w:lang w:eastAsia="zh-TW"/>
        </w:rPr>
        <w:t xml:space="preserve">كما أن </w:t>
      </w:r>
      <w:r w:rsidR="004D4029" w:rsidRPr="00D57891">
        <w:rPr>
          <w:rtl/>
          <w:lang w:eastAsia="zh-TW"/>
        </w:rPr>
        <w:t xml:space="preserve">تطبيق الأحكام الإلزامية وإصدار أحكام بالسجن لمدة طويلة لا تتناسب مع جريمة حيازة المخدرات أو تعاطيها </w:t>
      </w:r>
      <w:r w:rsidRPr="00D57891">
        <w:rPr>
          <w:rtl/>
          <w:lang w:eastAsia="zh-TW"/>
        </w:rPr>
        <w:t>وكثيرا</w:t>
      </w:r>
      <w:r>
        <w:rPr>
          <w:rFonts w:hint="cs"/>
          <w:rtl/>
          <w:lang w:eastAsia="zh-TW"/>
        </w:rPr>
        <w:t>ً</w:t>
      </w:r>
      <w:r w:rsidRPr="00D57891">
        <w:rPr>
          <w:rtl/>
          <w:lang w:eastAsia="zh-TW"/>
        </w:rPr>
        <w:t xml:space="preserve"> ما أدى </w:t>
      </w:r>
      <w:r w:rsidR="004D4029" w:rsidRPr="00D57891">
        <w:rPr>
          <w:rtl/>
          <w:lang w:eastAsia="zh-TW"/>
        </w:rPr>
        <w:t>إلى تج</w:t>
      </w:r>
      <w:r w:rsidR="00EB7A1B">
        <w:rPr>
          <w:rtl/>
          <w:lang w:eastAsia="zh-TW"/>
        </w:rPr>
        <w:t>اوز مدة العقوبة المفروضة عما هو</w:t>
      </w:r>
      <w:r w:rsidR="00EB7A1B">
        <w:rPr>
          <w:rFonts w:hint="cs"/>
          <w:rtl/>
          <w:lang w:eastAsia="zh-TW"/>
        </w:rPr>
        <w:t> </w:t>
      </w:r>
      <w:r w:rsidR="004D4029" w:rsidRPr="00D57891">
        <w:rPr>
          <w:rtl/>
          <w:lang w:eastAsia="zh-TW"/>
        </w:rPr>
        <w:t>مطبق على جرائم خطيرة مثل القتل أو الاغتصاب أو ال</w:t>
      </w:r>
      <w:r w:rsidR="00EB7A1B">
        <w:rPr>
          <w:rtl/>
          <w:lang w:eastAsia="zh-TW"/>
        </w:rPr>
        <w:t xml:space="preserve">اختطاف أو نهب المصارف، </w:t>
      </w:r>
      <w:r w:rsidR="00EB7A1B">
        <w:rPr>
          <w:rtl/>
          <w:lang w:eastAsia="zh-TW"/>
        </w:rPr>
        <w:lastRenderedPageBreak/>
        <w:t>وساهم في</w:t>
      </w:r>
      <w:r w:rsidR="00EB7A1B">
        <w:rPr>
          <w:rFonts w:hint="cs"/>
          <w:rtl/>
          <w:lang w:eastAsia="zh-TW"/>
        </w:rPr>
        <w:t> </w:t>
      </w:r>
      <w:r w:rsidR="004D4029" w:rsidRPr="00D57891">
        <w:rPr>
          <w:rtl/>
          <w:lang w:eastAsia="zh-TW"/>
        </w:rPr>
        <w:t>اللجوء إلى الحبس على نحو مفرط وفي اكتظاظ السجون</w:t>
      </w:r>
      <w:r w:rsidR="004A64ED">
        <w:rPr>
          <w:rStyle w:val="FootnoteReference"/>
          <w:rFonts w:ascii="Traditional Arabic" w:hAnsi="Traditional Arabic"/>
          <w:sz w:val="32"/>
          <w:szCs w:val="32"/>
          <w:rtl/>
          <w:lang w:eastAsia="zh-TW"/>
        </w:rPr>
        <w:t>(</w:t>
      </w:r>
      <w:r w:rsidR="00CD6DF0" w:rsidRPr="00D57891">
        <w:rPr>
          <w:rStyle w:val="FootnoteReference"/>
          <w:rFonts w:ascii="Traditional Arabic" w:hAnsi="Traditional Arabic"/>
          <w:sz w:val="32"/>
          <w:szCs w:val="32"/>
          <w:rtl/>
          <w:lang w:eastAsia="zh-TW"/>
        </w:rPr>
        <w:footnoteReference w:id="58"/>
      </w:r>
      <w:r w:rsidR="004A64ED">
        <w:rPr>
          <w:rStyle w:val="FootnoteReference"/>
          <w:rFonts w:ascii="Traditional Arabic" w:hAnsi="Traditional Arabic"/>
          <w:sz w:val="32"/>
          <w:szCs w:val="32"/>
          <w:rtl/>
          <w:lang w:eastAsia="zh-TW"/>
        </w:rPr>
        <w:t>)</w:t>
      </w:r>
      <w:r w:rsidR="00CD6DF0">
        <w:rPr>
          <w:rFonts w:hint="cs"/>
          <w:rtl/>
          <w:lang w:eastAsia="zh-TW"/>
        </w:rPr>
        <w:t>.</w:t>
      </w:r>
      <w:r w:rsidR="00EB7A1B">
        <w:rPr>
          <w:rtl/>
          <w:lang w:eastAsia="zh-TW"/>
        </w:rPr>
        <w:t xml:space="preserve"> ودعا الفريق العامل</w:t>
      </w:r>
      <w:r w:rsidR="00EB7A1B">
        <w:rPr>
          <w:rFonts w:hint="cs"/>
          <w:rtl/>
          <w:lang w:eastAsia="zh-TW"/>
        </w:rPr>
        <w:t> </w:t>
      </w:r>
      <w:r w:rsidR="00EB7A1B">
        <w:rPr>
          <w:rtl/>
          <w:lang w:eastAsia="zh-TW"/>
        </w:rPr>
        <w:t>المعني</w:t>
      </w:r>
      <w:r w:rsidR="00EB7A1B">
        <w:rPr>
          <w:rFonts w:hint="cs"/>
          <w:rtl/>
          <w:lang w:eastAsia="zh-TW"/>
        </w:rPr>
        <w:t> </w:t>
      </w:r>
      <w:r w:rsidR="004D4029" w:rsidRPr="00D57891">
        <w:rPr>
          <w:rtl/>
          <w:lang w:eastAsia="zh-TW"/>
        </w:rPr>
        <w:t>بالاحتجاز التعسفي إلى إصلاح يضمن إصدار أحكام ت</w:t>
      </w:r>
      <w:r w:rsidR="00EB7A1B">
        <w:rPr>
          <w:rtl/>
          <w:lang w:eastAsia="zh-TW"/>
        </w:rPr>
        <w:t>تناسب مع طبيعة الجرم</w:t>
      </w:r>
      <w:r w:rsidR="00EB7A1B">
        <w:rPr>
          <w:rFonts w:hint="cs"/>
          <w:rtl/>
          <w:lang w:eastAsia="zh-TW"/>
        </w:rPr>
        <w:t> </w:t>
      </w:r>
      <w:r w:rsidR="00EB7A1B">
        <w:rPr>
          <w:rtl/>
          <w:lang w:eastAsia="zh-TW"/>
        </w:rPr>
        <w:t>في</w:t>
      </w:r>
      <w:r w:rsidR="00EB7A1B">
        <w:rPr>
          <w:rFonts w:hint="cs"/>
          <w:rtl/>
          <w:lang w:eastAsia="zh-TW"/>
        </w:rPr>
        <w:t> </w:t>
      </w:r>
      <w:r w:rsidR="00EB7A1B">
        <w:rPr>
          <w:rtl/>
          <w:lang w:eastAsia="zh-TW"/>
        </w:rPr>
        <w:t>الجرائم</w:t>
      </w:r>
      <w:r w:rsidR="00EB7A1B">
        <w:rPr>
          <w:rFonts w:hint="cs"/>
          <w:rtl/>
          <w:lang w:eastAsia="zh-TW"/>
        </w:rPr>
        <w:t> </w:t>
      </w:r>
      <w:r w:rsidR="004D4029">
        <w:rPr>
          <w:rFonts w:hint="cs"/>
          <w:rtl/>
          <w:lang w:eastAsia="zh-TW"/>
        </w:rPr>
        <w:t>المتعلقة</w:t>
      </w:r>
      <w:r w:rsidR="004D4029" w:rsidRPr="00D57891">
        <w:rPr>
          <w:rtl/>
          <w:lang w:eastAsia="zh-TW"/>
        </w:rPr>
        <w:t xml:space="preserve"> بالمخدرات (انظر </w:t>
      </w:r>
      <w:r w:rsidR="004D4029" w:rsidRPr="00D57891">
        <w:rPr>
          <w:lang w:eastAsia="zh-TW"/>
        </w:rPr>
        <w:t>E/CN.4/2003/8/Add.3</w:t>
      </w:r>
      <w:r w:rsidR="004D4029" w:rsidRPr="00D57891">
        <w:rPr>
          <w:rtl/>
          <w:lang w:eastAsia="zh-TW"/>
        </w:rPr>
        <w:t xml:space="preserve">، الفقرتان 44 </w:t>
      </w:r>
      <w:r w:rsidR="00403B5D">
        <w:rPr>
          <w:rFonts w:hint="cs"/>
          <w:rtl/>
          <w:lang w:eastAsia="zh-TW"/>
        </w:rPr>
        <w:t>و72</w:t>
      </w:r>
      <w:r w:rsidR="004D4029" w:rsidRPr="00D57891">
        <w:rPr>
          <w:rFonts w:hint="cs"/>
          <w:rtl/>
          <w:lang w:eastAsia="zh-TW"/>
        </w:rPr>
        <w:t>(</w:t>
      </w:r>
      <w:r w:rsidR="004D4029" w:rsidRPr="00D57891">
        <w:rPr>
          <w:rtl/>
          <w:lang w:eastAsia="zh-TW"/>
        </w:rPr>
        <w:t xml:space="preserve">أ) </w:t>
      </w:r>
      <w:r w:rsidR="004D4029" w:rsidRPr="00D57891">
        <w:rPr>
          <w:rFonts w:hint="cs"/>
          <w:rtl/>
          <w:lang w:eastAsia="zh-TW"/>
        </w:rPr>
        <w:t>و</w:t>
      </w:r>
      <w:r w:rsidR="004D4029" w:rsidRPr="00D57891">
        <w:rPr>
          <w:rFonts w:hint="cs"/>
          <w:lang w:eastAsia="zh-TW"/>
        </w:rPr>
        <w:t>A</w:t>
      </w:r>
      <w:r w:rsidR="004D4029" w:rsidRPr="00D57891">
        <w:rPr>
          <w:lang w:eastAsia="zh-TW"/>
        </w:rPr>
        <w:t>/HRC/4/40/Add.4</w:t>
      </w:r>
      <w:r w:rsidR="004D4029" w:rsidRPr="00D57891">
        <w:rPr>
          <w:rtl/>
          <w:lang w:eastAsia="zh-TW"/>
        </w:rPr>
        <w:t xml:space="preserve">، الفقرات 47 و87 </w:t>
      </w:r>
      <w:proofErr w:type="spellStart"/>
      <w:r w:rsidR="004D4029" w:rsidRPr="00D57891">
        <w:rPr>
          <w:rFonts w:hint="cs"/>
          <w:rtl/>
          <w:lang w:eastAsia="zh-TW"/>
        </w:rPr>
        <w:t>و87</w:t>
      </w:r>
      <w:proofErr w:type="spellEnd"/>
      <w:r w:rsidR="004D4029" w:rsidRPr="00D57891">
        <w:rPr>
          <w:rtl/>
          <w:lang w:eastAsia="zh-TW"/>
        </w:rPr>
        <w:t xml:space="preserve">، </w:t>
      </w:r>
      <w:r w:rsidR="004D4029" w:rsidRPr="00D57891">
        <w:rPr>
          <w:rFonts w:hint="cs"/>
          <w:rtl/>
          <w:lang w:eastAsia="zh-TW"/>
        </w:rPr>
        <w:t>و</w:t>
      </w:r>
      <w:r w:rsidR="004D4029" w:rsidRPr="00D57891">
        <w:rPr>
          <w:rFonts w:hint="cs"/>
          <w:lang w:eastAsia="zh-TW"/>
        </w:rPr>
        <w:t>A</w:t>
      </w:r>
      <w:r w:rsidR="004D4029" w:rsidRPr="00D57891">
        <w:rPr>
          <w:lang w:eastAsia="zh-TW"/>
        </w:rPr>
        <w:t>/HRC/22/44/Add.2</w:t>
      </w:r>
      <w:r w:rsidR="004D4029" w:rsidRPr="00D57891">
        <w:rPr>
          <w:rtl/>
          <w:lang w:eastAsia="zh-TW"/>
        </w:rPr>
        <w:t xml:space="preserve">، الفقرة 125). وخلص الفريق العامل إلى أن اللجوء إلى الحبس على نحو مفرط في الجرائم </w:t>
      </w:r>
      <w:r w:rsidR="004D4029">
        <w:rPr>
          <w:rFonts w:hint="cs"/>
          <w:rtl/>
          <w:lang w:eastAsia="zh-TW"/>
        </w:rPr>
        <w:t>المتعلقة</w:t>
      </w:r>
      <w:r w:rsidR="004D4029" w:rsidRPr="00D57891">
        <w:rPr>
          <w:rtl/>
          <w:lang w:eastAsia="zh-TW"/>
        </w:rPr>
        <w:t xml:space="preserve"> بالمخدرات يساهم، إلى حد كبير، في اكتظاظ السجون</w:t>
      </w:r>
      <w:r w:rsidR="00EC41B6">
        <w:rPr>
          <w:rFonts w:hint="cs"/>
          <w:rtl/>
          <w:lang w:eastAsia="zh-TW"/>
        </w:rPr>
        <w:t>،</w:t>
      </w:r>
      <w:r w:rsidR="004D4029" w:rsidRPr="00D57891">
        <w:rPr>
          <w:rtl/>
          <w:lang w:eastAsia="zh-TW"/>
        </w:rPr>
        <w:t xml:space="preserve"> الأمر الذي يمكن أن يثير التساؤل بشأن مدى الامتثال للمادة 10 من العهد الدولي الخاص بالحقوق المدنية والسياسية، التي تكفل معاملة جميع الم</w:t>
      </w:r>
      <w:r w:rsidR="00403B5D">
        <w:rPr>
          <w:rtl/>
          <w:lang w:eastAsia="zh-TW"/>
        </w:rPr>
        <w:t>حرومين من حريتهم معاملة إنسانية</w:t>
      </w:r>
      <w:r w:rsidR="004D4029" w:rsidRPr="00D57891">
        <w:rPr>
          <w:rtl/>
          <w:lang w:eastAsia="zh-TW"/>
        </w:rPr>
        <w:t xml:space="preserve"> تحترم كرامتهم (انظر </w:t>
      </w:r>
      <w:r w:rsidR="004D4029" w:rsidRPr="00D57891">
        <w:rPr>
          <w:lang w:eastAsia="zh-TW"/>
        </w:rPr>
        <w:t>E/CN.4/2003/8/Add.3</w:t>
      </w:r>
      <w:r w:rsidR="00EB7A1B">
        <w:rPr>
          <w:rtl/>
          <w:lang w:eastAsia="zh-TW"/>
        </w:rPr>
        <w:t>، الفقرة</w:t>
      </w:r>
      <w:r w:rsidR="00EB7A1B">
        <w:rPr>
          <w:rFonts w:hint="cs"/>
          <w:rtl/>
          <w:lang w:eastAsia="zh-TW"/>
        </w:rPr>
        <w:t> </w:t>
      </w:r>
      <w:r w:rsidR="004D4029" w:rsidRPr="00D57891">
        <w:rPr>
          <w:rtl/>
          <w:lang w:eastAsia="zh-TW"/>
        </w:rPr>
        <w:t xml:space="preserve">44، </w:t>
      </w:r>
      <w:r w:rsidR="004D4029" w:rsidRPr="00D57891">
        <w:rPr>
          <w:lang w:eastAsia="zh-TW"/>
        </w:rPr>
        <w:t>A/HRC/4/40/Add.3</w:t>
      </w:r>
      <w:r w:rsidR="004D4029" w:rsidRPr="00D57891">
        <w:rPr>
          <w:rtl/>
          <w:lang w:eastAsia="zh-TW"/>
        </w:rPr>
        <w:t>، الفقرة 64، و</w:t>
      </w:r>
      <w:r w:rsidR="004D4029" w:rsidRPr="00D57891">
        <w:rPr>
          <w:lang w:eastAsia="zh-TW"/>
        </w:rPr>
        <w:t>A/HRC/4/40</w:t>
      </w:r>
      <w:r w:rsidR="004D4029" w:rsidRPr="00D57891">
        <w:rPr>
          <w:rtl/>
          <w:lang w:eastAsia="zh-TW"/>
        </w:rPr>
        <w:t xml:space="preserve">، الفقرات 59-80). </w:t>
      </w:r>
    </w:p>
    <w:p w:rsidR="004D4029" w:rsidRPr="00696795" w:rsidRDefault="00270BD3" w:rsidP="00270BD3">
      <w:pPr>
        <w:pStyle w:val="H1GA"/>
        <w:rPr>
          <w:rtl/>
          <w:lang w:eastAsia="zh-TW"/>
        </w:rPr>
      </w:pPr>
      <w:r>
        <w:rPr>
          <w:rtl/>
          <w:lang w:eastAsia="zh-TW"/>
        </w:rPr>
        <w:tab/>
      </w:r>
      <w:r w:rsidR="004D4029" w:rsidRPr="00696795">
        <w:rPr>
          <w:rFonts w:hint="cs"/>
          <w:rtl/>
          <w:lang w:eastAsia="zh-TW"/>
        </w:rPr>
        <w:t>هاء-</w:t>
      </w:r>
      <w:r>
        <w:rPr>
          <w:rtl/>
          <w:lang w:eastAsia="zh-TW"/>
        </w:rPr>
        <w:tab/>
      </w:r>
      <w:r w:rsidR="004D4029" w:rsidRPr="00696795">
        <w:rPr>
          <w:rFonts w:hint="cs"/>
          <w:rtl/>
          <w:lang w:eastAsia="zh-TW"/>
        </w:rPr>
        <w:t>انتهاكات</w:t>
      </w:r>
      <w:r w:rsidR="004D4029" w:rsidRPr="00696795">
        <w:rPr>
          <w:rtl/>
          <w:lang w:eastAsia="zh-TW"/>
        </w:rPr>
        <w:t xml:space="preserve"> حقوق الإنسان في مراكز الاحتجاز الإلزامي</w:t>
      </w:r>
    </w:p>
    <w:p w:rsidR="004D4029" w:rsidRPr="00D57891" w:rsidRDefault="00270BD3" w:rsidP="002E2718">
      <w:pPr>
        <w:pStyle w:val="SingleTxtGA"/>
        <w:rPr>
          <w:rtl/>
          <w:lang w:eastAsia="zh-TW"/>
        </w:rPr>
      </w:pPr>
      <w:r>
        <w:rPr>
          <w:rtl/>
          <w:lang w:eastAsia="zh-TW"/>
        </w:rPr>
        <w:t>٤٦</w:t>
      </w:r>
      <w:r>
        <w:rPr>
          <w:rFonts w:hint="cs"/>
          <w:rtl/>
          <w:lang w:eastAsia="zh-TW"/>
        </w:rPr>
        <w:t>-</w:t>
      </w:r>
      <w:r>
        <w:rPr>
          <w:rFonts w:hint="cs"/>
          <w:rtl/>
          <w:lang w:eastAsia="zh-TW"/>
        </w:rPr>
        <w:tab/>
      </w:r>
      <w:r w:rsidR="004D4029" w:rsidRPr="00D57891">
        <w:rPr>
          <w:rtl/>
          <w:lang w:eastAsia="zh-TW"/>
        </w:rPr>
        <w:t xml:space="preserve">يمكن أن يودع الأشخاص الذين يتعاطون المخدرات أو الذين يشتبه في تعاطيهم المخدرات في مراكز الاحتجاز الإلزامي لعلاج إدمان المخدرات وإعادة التأهيل دون محاكمة أو تقييمٍ لحالة إدمان المخدرات لديهم، ويستغرق ذلك شهورا أو سنوات دون إشراف من </w:t>
      </w:r>
      <w:r w:rsidR="00403B5D">
        <w:rPr>
          <w:rFonts w:hint="cs"/>
          <w:rtl/>
          <w:lang w:eastAsia="zh-TW"/>
        </w:rPr>
        <w:t xml:space="preserve">القضاء </w:t>
      </w:r>
      <w:r w:rsidR="00403B5D">
        <w:rPr>
          <w:rtl/>
          <w:lang w:eastAsia="zh-TW"/>
        </w:rPr>
        <w:t>الجنائي</w:t>
      </w:r>
      <w:r w:rsidR="002E2718">
        <w:rPr>
          <w:rtl/>
          <w:lang w:eastAsia="zh-TW"/>
        </w:rPr>
        <w:t xml:space="preserve"> في كثير من الأحيان</w:t>
      </w:r>
      <w:r w:rsidR="004A64ED">
        <w:rPr>
          <w:rStyle w:val="FootnoteReference"/>
          <w:rFonts w:ascii="Traditional Arabic" w:hAnsi="Traditional Arabic"/>
          <w:sz w:val="32"/>
          <w:szCs w:val="32"/>
          <w:rtl/>
          <w:lang w:eastAsia="zh-TW"/>
        </w:rPr>
        <w:t>(</w:t>
      </w:r>
      <w:r w:rsidR="002E2718" w:rsidRPr="00D57891">
        <w:rPr>
          <w:rStyle w:val="FootnoteReference"/>
          <w:rFonts w:ascii="Traditional Arabic" w:hAnsi="Traditional Arabic"/>
          <w:sz w:val="32"/>
          <w:szCs w:val="32"/>
          <w:rtl/>
          <w:lang w:eastAsia="zh-TW"/>
        </w:rPr>
        <w:footnoteReference w:id="59"/>
      </w:r>
      <w:r w:rsidR="004A64ED">
        <w:rPr>
          <w:rStyle w:val="FootnoteReference"/>
          <w:rFonts w:ascii="Traditional Arabic" w:hAnsi="Traditional Arabic"/>
          <w:sz w:val="32"/>
          <w:szCs w:val="32"/>
          <w:rtl/>
          <w:lang w:eastAsia="zh-TW"/>
        </w:rPr>
        <w:t>)</w:t>
      </w:r>
      <w:r w:rsidR="002E2718">
        <w:rPr>
          <w:rFonts w:hint="cs"/>
          <w:rtl/>
          <w:lang w:eastAsia="zh-TW"/>
        </w:rPr>
        <w:t>.</w:t>
      </w:r>
      <w:r w:rsidR="004D4029" w:rsidRPr="00D57891">
        <w:rPr>
          <w:rtl/>
          <w:lang w:eastAsia="zh-TW"/>
        </w:rPr>
        <w:t xml:space="preserve"> </w:t>
      </w:r>
    </w:p>
    <w:p w:rsidR="004D4029" w:rsidRPr="00D57891" w:rsidRDefault="00403B5D" w:rsidP="00403B5D">
      <w:pPr>
        <w:pStyle w:val="SingleTxtGA"/>
        <w:rPr>
          <w:rtl/>
          <w:lang w:eastAsia="zh-TW"/>
        </w:rPr>
      </w:pPr>
      <w:r w:rsidRPr="00341160">
        <w:rPr>
          <w:spacing w:val="-4"/>
          <w:rtl/>
          <w:lang w:eastAsia="zh-TW"/>
        </w:rPr>
        <w:t>٤٧</w:t>
      </w:r>
      <w:r w:rsidRPr="00341160">
        <w:rPr>
          <w:rFonts w:hint="cs"/>
          <w:spacing w:val="-4"/>
          <w:rtl/>
          <w:lang w:eastAsia="zh-TW"/>
        </w:rPr>
        <w:t>-</w:t>
      </w:r>
      <w:r w:rsidRPr="00341160">
        <w:rPr>
          <w:rFonts w:hint="cs"/>
          <w:spacing w:val="-4"/>
          <w:rtl/>
          <w:lang w:eastAsia="zh-TW"/>
        </w:rPr>
        <w:tab/>
        <w:t xml:space="preserve">وذكر المقرر الخاص المعني بمسألة التعذيب أن </w:t>
      </w:r>
      <w:r w:rsidR="004D4029" w:rsidRPr="00341160">
        <w:rPr>
          <w:spacing w:val="-4"/>
          <w:rtl/>
          <w:lang w:eastAsia="zh-TW"/>
        </w:rPr>
        <w:t xml:space="preserve">مراكز الاحتجاز الإلزامي لعلاج إدمان المخدرات وإعادة التأهيل، التي يشار إليها بمراكز إعادة التأهيل عن طريق العمل، </w:t>
      </w:r>
      <w:r w:rsidRPr="00341160">
        <w:rPr>
          <w:rFonts w:hint="cs"/>
          <w:spacing w:val="-4"/>
          <w:rtl/>
          <w:lang w:eastAsia="zh-TW"/>
        </w:rPr>
        <w:t xml:space="preserve">تقوم في العادة بإخضاع الشخص المحتجز لديها العمل </w:t>
      </w:r>
      <w:r w:rsidR="004D4029" w:rsidRPr="00341160">
        <w:rPr>
          <w:spacing w:val="-4"/>
          <w:rtl/>
          <w:lang w:eastAsia="zh-TW"/>
        </w:rPr>
        <w:t>منهك بدنيا</w:t>
      </w:r>
      <w:r w:rsidRPr="00341160">
        <w:rPr>
          <w:rFonts w:hint="cs"/>
          <w:spacing w:val="-4"/>
          <w:rtl/>
          <w:lang w:eastAsia="zh-TW"/>
        </w:rPr>
        <w:t>ً</w:t>
      </w:r>
      <w:r w:rsidR="004D4029" w:rsidRPr="00341160">
        <w:rPr>
          <w:spacing w:val="-4"/>
          <w:rtl/>
          <w:lang w:eastAsia="zh-TW"/>
        </w:rPr>
        <w:t xml:space="preserve"> ساعات </w:t>
      </w:r>
      <w:r w:rsidRPr="00341160">
        <w:rPr>
          <w:rFonts w:hint="cs"/>
          <w:spacing w:val="-4"/>
          <w:rtl/>
          <w:lang w:eastAsia="zh-TW"/>
        </w:rPr>
        <w:t xml:space="preserve">طويلة يتعرض خلالها </w:t>
      </w:r>
      <w:r w:rsidR="004D4029" w:rsidRPr="00341160">
        <w:rPr>
          <w:spacing w:val="-4"/>
          <w:rtl/>
          <w:lang w:eastAsia="zh-TW"/>
        </w:rPr>
        <w:t xml:space="preserve">للإساءة الجسدية واللفظية والضرب والحبس الانفرادي والعمل القسري، (انظر </w:t>
      </w:r>
      <w:r w:rsidR="004D4029" w:rsidRPr="00341160">
        <w:rPr>
          <w:spacing w:val="-4"/>
          <w:lang w:eastAsia="zh-TW"/>
        </w:rPr>
        <w:t>A/HRC/22/53</w:t>
      </w:r>
      <w:r w:rsidR="004D4029" w:rsidRPr="00341160">
        <w:rPr>
          <w:spacing w:val="-4"/>
          <w:rtl/>
          <w:lang w:eastAsia="zh-TW"/>
        </w:rPr>
        <w:t>، الفقرات 40-42). وأشار المقرر الخاص المعني بالحق في الصحة إلى عدم استناد هذه الممارسات إلى الأدلة وتعذر اللجوء</w:t>
      </w:r>
      <w:r w:rsidR="004D4029" w:rsidRPr="00D57891">
        <w:rPr>
          <w:rtl/>
          <w:lang w:eastAsia="zh-TW"/>
        </w:rPr>
        <w:t xml:space="preserve"> إلى المهنيين الطبيين المدربين على معالجة إدمان المخدرات في كثير من الحالات. وعلاوة على ذلك، يجري العلاج بشكل جماعي في أحيان كثيرة ويتغاضى عن الحاجة إلى الحصول على الموافقة المستنيرة من كل شخص على حدة (انظر </w:t>
      </w:r>
      <w:r w:rsidR="004D4029" w:rsidRPr="00D57891">
        <w:rPr>
          <w:lang w:eastAsia="zh-TW"/>
        </w:rPr>
        <w:t>A/65/255</w:t>
      </w:r>
      <w:r w:rsidR="004D4029" w:rsidRPr="00D57891">
        <w:rPr>
          <w:rtl/>
          <w:lang w:eastAsia="zh-TW"/>
        </w:rPr>
        <w:t xml:space="preserve">، الفقرات 31-33). </w:t>
      </w:r>
    </w:p>
    <w:p w:rsidR="004D4029" w:rsidRPr="00D57891" w:rsidRDefault="00403B5D" w:rsidP="00403B5D">
      <w:pPr>
        <w:pStyle w:val="SingleTxtGA"/>
        <w:rPr>
          <w:rtl/>
          <w:lang w:eastAsia="zh-TW"/>
        </w:rPr>
      </w:pPr>
      <w:r w:rsidRPr="00341160">
        <w:rPr>
          <w:spacing w:val="-2"/>
          <w:rtl/>
          <w:lang w:eastAsia="zh-TW"/>
        </w:rPr>
        <w:t>٤٨</w:t>
      </w:r>
      <w:r w:rsidRPr="00341160">
        <w:rPr>
          <w:rFonts w:hint="cs"/>
          <w:spacing w:val="-2"/>
          <w:rtl/>
          <w:lang w:eastAsia="zh-TW"/>
        </w:rPr>
        <w:t>-</w:t>
      </w:r>
      <w:r w:rsidRPr="00341160">
        <w:rPr>
          <w:rFonts w:hint="cs"/>
          <w:spacing w:val="-2"/>
          <w:rtl/>
          <w:lang w:eastAsia="zh-TW"/>
        </w:rPr>
        <w:tab/>
      </w:r>
      <w:r w:rsidR="004D4029" w:rsidRPr="00341160">
        <w:rPr>
          <w:spacing w:val="-2"/>
          <w:rtl/>
          <w:lang w:eastAsia="zh-TW"/>
        </w:rPr>
        <w:t>وأبلغ أيضا</w:t>
      </w:r>
      <w:r w:rsidRPr="00341160">
        <w:rPr>
          <w:rFonts w:hint="cs"/>
          <w:spacing w:val="-2"/>
          <w:rtl/>
          <w:lang w:eastAsia="zh-TW"/>
        </w:rPr>
        <w:t>ً</w:t>
      </w:r>
      <w:r w:rsidR="004D4029" w:rsidRPr="00341160">
        <w:rPr>
          <w:spacing w:val="-2"/>
          <w:rtl/>
          <w:lang w:eastAsia="zh-TW"/>
        </w:rPr>
        <w:t xml:space="preserve"> عن ممارسة العلاج التجريبي دون الحصول على الموافقة</w:t>
      </w:r>
      <w:r w:rsidRPr="00341160">
        <w:rPr>
          <w:rFonts w:hint="cs"/>
          <w:spacing w:val="-2"/>
          <w:rtl/>
          <w:lang w:eastAsia="zh-TW"/>
        </w:rPr>
        <w:t>،</w:t>
      </w:r>
      <w:r w:rsidR="004D4029" w:rsidRPr="00341160">
        <w:rPr>
          <w:spacing w:val="-2"/>
          <w:rtl/>
          <w:lang w:eastAsia="zh-TW"/>
        </w:rPr>
        <w:t xml:space="preserve"> والتعذيب وسوء المعاملة والعنف الجنسي في مراكز الاحتجاز الإلزامي (انظر </w:t>
      </w:r>
      <w:r w:rsidR="004D4029" w:rsidRPr="00341160">
        <w:rPr>
          <w:spacing w:val="-2"/>
          <w:lang w:eastAsia="zh-TW"/>
        </w:rPr>
        <w:t>A/HRC/22/53</w:t>
      </w:r>
      <w:r w:rsidR="004D4029" w:rsidRPr="00341160">
        <w:rPr>
          <w:spacing w:val="-2"/>
          <w:rtl/>
          <w:lang w:eastAsia="zh-TW"/>
        </w:rPr>
        <w:t>، الفقرات 40-42).</w:t>
      </w:r>
      <w:r w:rsidR="004D4029" w:rsidRPr="00D57891">
        <w:rPr>
          <w:rtl/>
          <w:lang w:eastAsia="zh-TW"/>
        </w:rPr>
        <w:t xml:space="preserve"> ويؤدي فرض العلاج الإلزامي، على حساب العلاج بمواد بديلة </w:t>
      </w:r>
      <w:r>
        <w:rPr>
          <w:rFonts w:hint="cs"/>
          <w:rtl/>
          <w:lang w:eastAsia="zh-TW"/>
        </w:rPr>
        <w:t xml:space="preserve">لأشباه </w:t>
      </w:r>
      <w:r w:rsidR="004D4029" w:rsidRPr="00D57891">
        <w:rPr>
          <w:rtl/>
          <w:lang w:eastAsia="zh-TW"/>
        </w:rPr>
        <w:t xml:space="preserve">الأفيون وغير ذلك من تدخلات </w:t>
      </w:r>
      <w:r w:rsidR="004D4029">
        <w:rPr>
          <w:rFonts w:hint="cs"/>
          <w:rtl/>
          <w:lang w:eastAsia="zh-TW"/>
        </w:rPr>
        <w:t>الحد من</w:t>
      </w:r>
      <w:r w:rsidR="004D4029" w:rsidRPr="00D57891">
        <w:rPr>
          <w:rtl/>
          <w:lang w:eastAsia="zh-TW"/>
        </w:rPr>
        <w:t xml:space="preserve"> الضرر، </w:t>
      </w:r>
      <w:r w:rsidR="004D6383">
        <w:rPr>
          <w:rtl/>
          <w:lang w:eastAsia="zh-TW"/>
        </w:rPr>
        <w:t>أيضاً</w:t>
      </w:r>
      <w:r w:rsidR="004D4029" w:rsidRPr="00D57891">
        <w:rPr>
          <w:rtl/>
          <w:lang w:eastAsia="zh-TW"/>
        </w:rPr>
        <w:t xml:space="preserve"> إلى زيادة خطر الإصابة بالأمراض، وخاصة الإصابة بعدوى فيروس نقص المناعة البشرية (انظر </w:t>
      </w:r>
      <w:r w:rsidR="004D4029" w:rsidRPr="00D57891">
        <w:rPr>
          <w:lang w:eastAsia="zh-TW"/>
        </w:rPr>
        <w:t>A/65/255</w:t>
      </w:r>
      <w:r w:rsidR="004D4029" w:rsidRPr="00D57891">
        <w:rPr>
          <w:rtl/>
          <w:lang w:eastAsia="zh-TW"/>
        </w:rPr>
        <w:t xml:space="preserve">، الفقرة 36). </w:t>
      </w:r>
    </w:p>
    <w:p w:rsidR="004D4029" w:rsidRPr="00D57891" w:rsidRDefault="004D4029" w:rsidP="002E2718">
      <w:pPr>
        <w:pStyle w:val="SingleTxtGA"/>
        <w:rPr>
          <w:rtl/>
          <w:lang w:eastAsia="zh-TW"/>
        </w:rPr>
      </w:pPr>
      <w:r w:rsidRPr="00D57891">
        <w:rPr>
          <w:rtl/>
          <w:lang w:eastAsia="zh-TW"/>
        </w:rPr>
        <w:lastRenderedPageBreak/>
        <w:t>٤</w:t>
      </w:r>
      <w:r w:rsidR="00403B5D">
        <w:rPr>
          <w:rtl/>
          <w:lang w:eastAsia="zh-TW"/>
        </w:rPr>
        <w:t>٩</w:t>
      </w:r>
      <w:r w:rsidR="00403B5D">
        <w:rPr>
          <w:rFonts w:hint="cs"/>
          <w:rtl/>
          <w:lang w:eastAsia="zh-TW"/>
        </w:rPr>
        <w:t>-</w:t>
      </w:r>
      <w:r w:rsidR="00403B5D">
        <w:rPr>
          <w:rFonts w:hint="cs"/>
          <w:rtl/>
          <w:lang w:eastAsia="zh-TW"/>
        </w:rPr>
        <w:tab/>
      </w:r>
      <w:r w:rsidRPr="00D57891">
        <w:rPr>
          <w:rtl/>
          <w:lang w:eastAsia="zh-TW"/>
        </w:rPr>
        <w:t>وقد أعرب 12 كيانا</w:t>
      </w:r>
      <w:r w:rsidR="00B424E8">
        <w:rPr>
          <w:rFonts w:hint="cs"/>
          <w:rtl/>
          <w:lang w:eastAsia="zh-TW"/>
        </w:rPr>
        <w:t>ً</w:t>
      </w:r>
      <w:r w:rsidRPr="00D57891">
        <w:rPr>
          <w:rtl/>
          <w:lang w:eastAsia="zh-TW"/>
        </w:rPr>
        <w:t xml:space="preserve"> من كيانات الأمم المتحدة عن إدانتها لهذه الممارسات في بيان مشترك دعت فيه إلى إغلاق مراكز الا</w:t>
      </w:r>
      <w:r w:rsidR="002E2718">
        <w:rPr>
          <w:rtl/>
          <w:lang w:eastAsia="zh-TW"/>
        </w:rPr>
        <w:t>حتجاز الإلزامي</w:t>
      </w:r>
      <w:r w:rsidR="004A64ED">
        <w:rPr>
          <w:rStyle w:val="FootnoteReference"/>
          <w:rFonts w:ascii="Traditional Arabic" w:hAnsi="Traditional Arabic"/>
          <w:sz w:val="32"/>
          <w:szCs w:val="32"/>
          <w:rtl/>
          <w:lang w:eastAsia="zh-TW"/>
        </w:rPr>
        <w:t>(</w:t>
      </w:r>
      <w:r w:rsidR="002E2718" w:rsidRPr="00D57891">
        <w:rPr>
          <w:rStyle w:val="FootnoteReference"/>
          <w:rFonts w:ascii="Traditional Arabic" w:hAnsi="Traditional Arabic"/>
          <w:sz w:val="32"/>
          <w:szCs w:val="32"/>
          <w:rtl/>
          <w:lang w:eastAsia="zh-TW"/>
        </w:rPr>
        <w:footnoteReference w:id="60"/>
      </w:r>
      <w:r w:rsidR="004A64ED">
        <w:rPr>
          <w:rStyle w:val="FootnoteReference"/>
          <w:rFonts w:ascii="Traditional Arabic" w:hAnsi="Traditional Arabic"/>
          <w:sz w:val="32"/>
          <w:szCs w:val="32"/>
          <w:rtl/>
          <w:lang w:eastAsia="zh-TW"/>
        </w:rPr>
        <w:t>)</w:t>
      </w:r>
      <w:r w:rsidR="002E2718">
        <w:rPr>
          <w:rFonts w:hint="cs"/>
          <w:rtl/>
          <w:lang w:eastAsia="zh-TW"/>
        </w:rPr>
        <w:t>.</w:t>
      </w:r>
      <w:r w:rsidR="00341160">
        <w:rPr>
          <w:rtl/>
          <w:lang w:eastAsia="zh-TW"/>
        </w:rPr>
        <w:t xml:space="preserve"> ومع ذلك، لا يزال هناك حوالي</w:t>
      </w:r>
      <w:r w:rsidR="00341160">
        <w:rPr>
          <w:rFonts w:hint="cs"/>
          <w:rtl/>
          <w:lang w:eastAsia="zh-TW"/>
        </w:rPr>
        <w:t> </w:t>
      </w:r>
      <w:r w:rsidRPr="00D57891">
        <w:rPr>
          <w:rtl/>
          <w:lang w:eastAsia="zh-TW"/>
        </w:rPr>
        <w:t>235 ألف شخص محتجزين في هذه المراكز، التي يقع ال</w:t>
      </w:r>
      <w:r w:rsidR="002E2718">
        <w:rPr>
          <w:rtl/>
          <w:lang w:eastAsia="zh-TW"/>
        </w:rPr>
        <w:t>عديد منها في شرق وجنوب شرق آسيا</w:t>
      </w:r>
      <w:r w:rsidR="004A64ED">
        <w:rPr>
          <w:rStyle w:val="FootnoteReference"/>
          <w:rFonts w:ascii="Traditional Arabic" w:hAnsi="Traditional Arabic"/>
          <w:sz w:val="32"/>
          <w:szCs w:val="32"/>
          <w:rtl/>
          <w:lang w:eastAsia="zh-TW"/>
        </w:rPr>
        <w:t>(</w:t>
      </w:r>
      <w:r w:rsidR="002E2718" w:rsidRPr="00D57891">
        <w:rPr>
          <w:rStyle w:val="FootnoteReference"/>
          <w:rFonts w:ascii="Traditional Arabic" w:hAnsi="Traditional Arabic"/>
          <w:sz w:val="32"/>
          <w:szCs w:val="32"/>
          <w:rtl/>
          <w:lang w:eastAsia="zh-TW"/>
        </w:rPr>
        <w:footnoteReference w:id="61"/>
      </w:r>
      <w:r w:rsidR="004A64ED">
        <w:rPr>
          <w:rStyle w:val="FootnoteReference"/>
          <w:rFonts w:ascii="Traditional Arabic" w:hAnsi="Traditional Arabic"/>
          <w:sz w:val="32"/>
          <w:szCs w:val="32"/>
          <w:rtl/>
          <w:lang w:eastAsia="zh-TW"/>
        </w:rPr>
        <w:t>)</w:t>
      </w:r>
      <w:r w:rsidR="002E2718">
        <w:rPr>
          <w:rFonts w:hint="cs"/>
          <w:rtl/>
          <w:lang w:eastAsia="zh-TW"/>
        </w:rPr>
        <w:t>.</w:t>
      </w:r>
      <w:r w:rsidRPr="00D57891">
        <w:rPr>
          <w:rtl/>
          <w:lang w:eastAsia="zh-TW"/>
        </w:rPr>
        <w:t xml:space="preserve"> </w:t>
      </w:r>
    </w:p>
    <w:p w:rsidR="004D4029" w:rsidRPr="00696795" w:rsidRDefault="00B424E8" w:rsidP="00B424E8">
      <w:pPr>
        <w:pStyle w:val="HChGA"/>
        <w:rPr>
          <w:rtl/>
          <w:lang w:eastAsia="zh-TW"/>
        </w:rPr>
      </w:pPr>
      <w:r>
        <w:rPr>
          <w:rtl/>
          <w:lang w:eastAsia="zh-TW"/>
        </w:rPr>
        <w:tab/>
      </w:r>
      <w:r w:rsidR="004D4029" w:rsidRPr="00696795">
        <w:rPr>
          <w:rFonts w:hint="cs"/>
          <w:rtl/>
          <w:lang w:eastAsia="zh-TW"/>
        </w:rPr>
        <w:t>رابعا</w:t>
      </w:r>
      <w:r>
        <w:rPr>
          <w:rFonts w:hint="cs"/>
          <w:rtl/>
          <w:lang w:eastAsia="zh-TW"/>
        </w:rPr>
        <w:t>ً</w:t>
      </w:r>
      <w:r w:rsidR="004D4029" w:rsidRPr="00696795">
        <w:rPr>
          <w:rFonts w:hint="cs"/>
          <w:rtl/>
          <w:lang w:eastAsia="zh-TW"/>
        </w:rPr>
        <w:t>-</w:t>
      </w:r>
      <w:r>
        <w:rPr>
          <w:rtl/>
          <w:lang w:eastAsia="zh-TW"/>
        </w:rPr>
        <w:tab/>
      </w:r>
      <w:r w:rsidR="004D4029" w:rsidRPr="00696795">
        <w:rPr>
          <w:rFonts w:hint="cs"/>
          <w:rtl/>
          <w:lang w:eastAsia="zh-TW"/>
        </w:rPr>
        <w:t>حظر</w:t>
      </w:r>
      <w:r w:rsidR="004D4029" w:rsidRPr="00696795">
        <w:rPr>
          <w:rtl/>
          <w:lang w:eastAsia="zh-TW"/>
        </w:rPr>
        <w:t xml:space="preserve"> التمييز</w:t>
      </w:r>
    </w:p>
    <w:p w:rsidR="004D4029" w:rsidRPr="00D57891" w:rsidRDefault="00B424E8" w:rsidP="006C0EE8">
      <w:pPr>
        <w:pStyle w:val="SingleTxtGA"/>
        <w:rPr>
          <w:rtl/>
          <w:lang w:eastAsia="zh-TW"/>
        </w:rPr>
      </w:pPr>
      <w:r>
        <w:rPr>
          <w:rtl/>
          <w:lang w:eastAsia="zh-TW"/>
        </w:rPr>
        <w:t>٥٠</w:t>
      </w:r>
      <w:r>
        <w:rPr>
          <w:rFonts w:hint="cs"/>
          <w:rtl/>
          <w:lang w:eastAsia="zh-TW"/>
        </w:rPr>
        <w:t>-</w:t>
      </w:r>
      <w:r>
        <w:rPr>
          <w:rFonts w:hint="cs"/>
          <w:rtl/>
          <w:lang w:eastAsia="zh-TW"/>
        </w:rPr>
        <w:tab/>
      </w:r>
      <w:r w:rsidR="004D4029" w:rsidRPr="00D57891">
        <w:rPr>
          <w:rtl/>
          <w:lang w:eastAsia="zh-TW"/>
        </w:rPr>
        <w:t xml:space="preserve">هناك أشكال شتى من التمييز التي قد تنشأ عن إدراج اسم الشخص في سجل الحالة الجنائية بسبب إدانته بارتكاب جريمة </w:t>
      </w:r>
      <w:r w:rsidR="004D4029">
        <w:rPr>
          <w:rFonts w:hint="cs"/>
          <w:rtl/>
          <w:lang w:eastAsia="zh-TW"/>
        </w:rPr>
        <w:t>تتعلق</w:t>
      </w:r>
      <w:r w:rsidR="004D4029" w:rsidRPr="00D57891">
        <w:rPr>
          <w:rtl/>
          <w:lang w:eastAsia="zh-TW"/>
        </w:rPr>
        <w:t xml:space="preserve"> بالمخدرات. ويمكن أن يشمل ذلك العقبات التي تحول دون الحصول على عمل، أو التأثير السلبي على حق حضانة الأطفال أو الحق في زيارتهم، أو فقدان الحق في الحصول على الامتيازات الحكومية من قبيل الحصول على السكن الاجتماعي أو المساعدة الغذائية أو المعونة المالية المقدمة للطلاب أو ص</w:t>
      </w:r>
      <w:r w:rsidR="006C0EE8">
        <w:rPr>
          <w:rtl/>
          <w:lang w:eastAsia="zh-TW"/>
        </w:rPr>
        <w:t>عوبات تحول دون السفر إلى الخارج</w:t>
      </w:r>
      <w:r w:rsidR="004A64ED">
        <w:rPr>
          <w:rStyle w:val="FootnoteReference"/>
          <w:rFonts w:ascii="Traditional Arabic" w:hAnsi="Traditional Arabic"/>
          <w:sz w:val="32"/>
          <w:szCs w:val="32"/>
          <w:rtl/>
          <w:lang w:eastAsia="zh-TW"/>
        </w:rPr>
        <w:t>(</w:t>
      </w:r>
      <w:r w:rsidR="006C0EE8" w:rsidRPr="00D57891">
        <w:rPr>
          <w:rStyle w:val="FootnoteReference"/>
          <w:rFonts w:ascii="Traditional Arabic" w:hAnsi="Traditional Arabic"/>
          <w:sz w:val="32"/>
          <w:szCs w:val="32"/>
          <w:rtl/>
          <w:lang w:eastAsia="zh-TW"/>
        </w:rPr>
        <w:footnoteReference w:id="62"/>
      </w:r>
      <w:r w:rsidR="004A64ED">
        <w:rPr>
          <w:rStyle w:val="FootnoteReference"/>
          <w:rFonts w:ascii="Traditional Arabic" w:hAnsi="Traditional Arabic"/>
          <w:sz w:val="32"/>
          <w:szCs w:val="32"/>
          <w:rtl/>
          <w:lang w:eastAsia="zh-TW"/>
        </w:rPr>
        <w:t>)</w:t>
      </w:r>
      <w:r w:rsidR="006C0EE8">
        <w:rPr>
          <w:rFonts w:hint="cs"/>
          <w:rtl/>
          <w:lang w:eastAsia="zh-TW"/>
        </w:rPr>
        <w:t>.</w:t>
      </w:r>
      <w:r w:rsidR="004D4029" w:rsidRPr="00D57891">
        <w:rPr>
          <w:rtl/>
          <w:lang w:eastAsia="zh-TW"/>
        </w:rPr>
        <w:t xml:space="preserve"> وكان هذا من العوامل التي جعلت بعض الدول تقرر إلغاء تجريم حيازة المخدرات واستخدامها من أجل الاستهلاك الشخصي</w:t>
      </w:r>
      <w:r w:rsidR="004A64ED">
        <w:rPr>
          <w:rStyle w:val="FootnoteReference"/>
          <w:rFonts w:ascii="Traditional Arabic" w:hAnsi="Traditional Arabic"/>
          <w:sz w:val="32"/>
          <w:szCs w:val="32"/>
          <w:rtl/>
          <w:lang w:eastAsia="zh-TW"/>
        </w:rPr>
        <w:t>(</w:t>
      </w:r>
      <w:r w:rsidR="006C0EE8" w:rsidRPr="00D57891">
        <w:rPr>
          <w:rStyle w:val="FootnoteReference"/>
          <w:rFonts w:ascii="Traditional Arabic" w:hAnsi="Traditional Arabic"/>
          <w:sz w:val="32"/>
          <w:szCs w:val="32"/>
          <w:rtl/>
          <w:lang w:eastAsia="zh-TW"/>
        </w:rPr>
        <w:footnoteReference w:id="63"/>
      </w:r>
      <w:r w:rsidR="004A64ED">
        <w:rPr>
          <w:rStyle w:val="FootnoteReference"/>
          <w:rFonts w:ascii="Traditional Arabic" w:hAnsi="Traditional Arabic"/>
          <w:sz w:val="32"/>
          <w:szCs w:val="32"/>
          <w:rtl/>
          <w:lang w:eastAsia="zh-TW"/>
        </w:rPr>
        <w:t>)</w:t>
      </w:r>
      <w:r w:rsidR="006C0EE8">
        <w:rPr>
          <w:rFonts w:hint="cs"/>
          <w:rtl/>
          <w:lang w:eastAsia="zh-TW"/>
        </w:rPr>
        <w:t>.</w:t>
      </w:r>
      <w:r w:rsidR="004D4029" w:rsidRPr="00D57891">
        <w:rPr>
          <w:rtl/>
          <w:lang w:eastAsia="zh-TW"/>
        </w:rPr>
        <w:t xml:space="preserve"> وقد قال الأمين العام السابق كوفي عنان في نشاط جانبي نظم في 19 أيار/مايو 2015، بشأن موضوع: "تعزيز نهج الصحة العامة في التصدي لمشكلة المخدرات العالمية": "إن إدراج اسم شخص يافع في سجل الحالة الجنائية لارتكابه جريمة تتعلق بالمخدرات يمكن أن تكون عواقب</w:t>
      </w:r>
      <w:r w:rsidR="004D4029">
        <w:rPr>
          <w:rFonts w:hint="cs"/>
          <w:rtl/>
          <w:lang w:eastAsia="zh-TW"/>
        </w:rPr>
        <w:t>ه</w:t>
      </w:r>
      <w:r w:rsidR="004D4029" w:rsidRPr="00D57891">
        <w:rPr>
          <w:rtl/>
          <w:lang w:eastAsia="zh-TW"/>
        </w:rPr>
        <w:t xml:space="preserve"> على رفاهه أخطر بكثير من عواقب تعاطيه المخدرات من حين إلى آخر". </w:t>
      </w:r>
    </w:p>
    <w:p w:rsidR="004D4029" w:rsidRPr="00696795" w:rsidRDefault="00B424E8" w:rsidP="00B424E8">
      <w:pPr>
        <w:pStyle w:val="H1GA"/>
        <w:rPr>
          <w:rtl/>
          <w:lang w:eastAsia="zh-TW"/>
        </w:rPr>
      </w:pPr>
      <w:r>
        <w:rPr>
          <w:rtl/>
          <w:lang w:eastAsia="zh-TW"/>
        </w:rPr>
        <w:tab/>
      </w:r>
      <w:r w:rsidR="004D4029" w:rsidRPr="00696795">
        <w:rPr>
          <w:rFonts w:hint="cs"/>
          <w:rtl/>
          <w:lang w:eastAsia="zh-TW"/>
        </w:rPr>
        <w:t>ألف-</w:t>
      </w:r>
      <w:r>
        <w:rPr>
          <w:rFonts w:hint="cs"/>
          <w:rtl/>
          <w:lang w:eastAsia="zh-TW"/>
        </w:rPr>
        <w:tab/>
      </w:r>
      <w:r w:rsidR="004D4029" w:rsidRPr="00696795">
        <w:rPr>
          <w:rtl/>
          <w:lang w:eastAsia="zh-TW"/>
        </w:rPr>
        <w:t xml:space="preserve">الأقليات </w:t>
      </w:r>
      <w:proofErr w:type="spellStart"/>
      <w:r w:rsidR="004D4029" w:rsidRPr="00696795">
        <w:rPr>
          <w:rtl/>
          <w:lang w:eastAsia="zh-TW"/>
        </w:rPr>
        <w:t>الإثنية</w:t>
      </w:r>
      <w:proofErr w:type="spellEnd"/>
      <w:r w:rsidR="004D4029" w:rsidRPr="00696795">
        <w:rPr>
          <w:rFonts w:ascii="Arial" w:hAnsi="Arial" w:cs="Arial"/>
        </w:rPr>
        <w:t>‬</w:t>
      </w:r>
      <w:r w:rsidR="004D4029" w:rsidRPr="00696795">
        <w:t>‬</w:t>
      </w:r>
      <w:r w:rsidR="004D4029">
        <w:t>‬</w:t>
      </w:r>
    </w:p>
    <w:p w:rsidR="004D4029" w:rsidRPr="00D57891" w:rsidRDefault="00B424E8" w:rsidP="006C0EE8">
      <w:pPr>
        <w:pStyle w:val="SingleTxtGA"/>
        <w:rPr>
          <w:rtl/>
          <w:lang w:eastAsia="zh-TW"/>
        </w:rPr>
      </w:pPr>
      <w:r>
        <w:rPr>
          <w:rtl/>
          <w:lang w:eastAsia="zh-TW"/>
        </w:rPr>
        <w:t>٥١</w:t>
      </w:r>
      <w:r>
        <w:rPr>
          <w:rFonts w:hint="cs"/>
          <w:rtl/>
          <w:lang w:eastAsia="zh-TW"/>
        </w:rPr>
        <w:t>-</w:t>
      </w:r>
      <w:r>
        <w:rPr>
          <w:rFonts w:hint="cs"/>
          <w:rtl/>
          <w:lang w:eastAsia="zh-TW"/>
        </w:rPr>
        <w:tab/>
      </w:r>
      <w:r w:rsidR="004D4029" w:rsidRPr="00D57891">
        <w:rPr>
          <w:rtl/>
          <w:lang w:eastAsia="zh-TW"/>
        </w:rPr>
        <w:t xml:space="preserve">أفادت التقارير بأن أبناء الأقليات </w:t>
      </w:r>
      <w:proofErr w:type="spellStart"/>
      <w:r w:rsidR="004D4029" w:rsidRPr="00D57891">
        <w:rPr>
          <w:rtl/>
          <w:lang w:eastAsia="zh-TW"/>
        </w:rPr>
        <w:t>الإثنية</w:t>
      </w:r>
      <w:proofErr w:type="spellEnd"/>
      <w:r w:rsidR="004D4029" w:rsidRPr="00D57891">
        <w:rPr>
          <w:rtl/>
          <w:lang w:eastAsia="zh-TW"/>
        </w:rPr>
        <w:t xml:space="preserve">، وخاصة أولئك الذين </w:t>
      </w:r>
      <w:r w:rsidR="004D4029" w:rsidRPr="00D57891">
        <w:rPr>
          <w:rFonts w:hint="cs"/>
          <w:rtl/>
          <w:lang w:eastAsia="zh-TW"/>
        </w:rPr>
        <w:t>يعانون الفقر</w:t>
      </w:r>
      <w:r w:rsidR="004D4029" w:rsidRPr="00D57891">
        <w:rPr>
          <w:rtl/>
          <w:lang w:eastAsia="zh-TW"/>
        </w:rPr>
        <w:t xml:space="preserve"> ويعيشون ضمن جماعات مهمشة، قد يتعرضون للتمييز بصورة خاصة في سياق جهود إنفاذ قوانين مكافحة المخدرات. ففي الولايات المتحدة الأمريكية، على سبيل المثال، تبلغ نسبة الأمريكيين المنحدرين من أصل أفريقي 13 في المائة من السكان، لكنهم يشكلون 33.7 في المائة من المعتقلين لارتكاب جرائم </w:t>
      </w:r>
      <w:r w:rsidR="004D4029">
        <w:rPr>
          <w:rFonts w:hint="cs"/>
          <w:rtl/>
          <w:lang w:eastAsia="zh-TW"/>
        </w:rPr>
        <w:t>تتعلق</w:t>
      </w:r>
      <w:r w:rsidR="004D4029" w:rsidRPr="00D57891">
        <w:rPr>
          <w:rtl/>
          <w:lang w:eastAsia="zh-TW"/>
        </w:rPr>
        <w:t xml:space="preserve"> بالمخدرات </w:t>
      </w:r>
      <w:r w:rsidR="004D4029" w:rsidRPr="00D57891">
        <w:rPr>
          <w:rFonts w:hint="cs"/>
          <w:rtl/>
          <w:lang w:eastAsia="zh-TW"/>
        </w:rPr>
        <w:t>و37 في</w:t>
      </w:r>
      <w:r w:rsidR="004D4029" w:rsidRPr="00D57891">
        <w:rPr>
          <w:rtl/>
          <w:lang w:eastAsia="zh-TW"/>
        </w:rPr>
        <w:t xml:space="preserve"> المائة من الأشخاص الذين يقضون عقوبة السجن بتهم من هذا النوع. وتزيد احتمالات اعتقال الأمريكيين المنحدرين من أصل أفريقي بتهمة حيازة </w:t>
      </w:r>
      <w:proofErr w:type="spellStart"/>
      <w:r w:rsidR="004D4029" w:rsidRPr="00D57891">
        <w:rPr>
          <w:rtl/>
          <w:lang w:eastAsia="zh-TW"/>
        </w:rPr>
        <w:t>الماريخوانا</w:t>
      </w:r>
      <w:proofErr w:type="spellEnd"/>
      <w:r w:rsidR="004D4029" w:rsidRPr="00D57891">
        <w:rPr>
          <w:rtl/>
          <w:lang w:eastAsia="zh-TW"/>
        </w:rPr>
        <w:t xml:space="preserve"> أو استخدامها بمقدار 3.7 مرات مقارنة بالبيض، على الرغم من تقارب معدلات الاستهلاك. ولوحظ تفاوت مماثل في بلدان مثل </w:t>
      </w:r>
      <w:r w:rsidR="006C0EE8">
        <w:rPr>
          <w:rtl/>
          <w:lang w:eastAsia="zh-TW"/>
        </w:rPr>
        <w:t>أستراليا وكندا والمملكة المتحدة</w:t>
      </w:r>
      <w:r w:rsidR="004A64ED">
        <w:rPr>
          <w:rStyle w:val="FootnoteReference"/>
          <w:rFonts w:ascii="Traditional Arabic" w:hAnsi="Traditional Arabic"/>
          <w:sz w:val="32"/>
          <w:szCs w:val="32"/>
          <w:rtl/>
          <w:lang w:eastAsia="zh-TW"/>
        </w:rPr>
        <w:t>(</w:t>
      </w:r>
      <w:r w:rsidR="006C0EE8" w:rsidRPr="00D57891">
        <w:rPr>
          <w:rStyle w:val="FootnoteReference"/>
          <w:rFonts w:ascii="Traditional Arabic" w:hAnsi="Traditional Arabic"/>
          <w:sz w:val="32"/>
          <w:szCs w:val="32"/>
          <w:rtl/>
          <w:lang w:eastAsia="zh-TW"/>
        </w:rPr>
        <w:footnoteReference w:id="64"/>
      </w:r>
      <w:r w:rsidR="004A64ED">
        <w:rPr>
          <w:rStyle w:val="FootnoteReference"/>
          <w:rFonts w:ascii="Traditional Arabic" w:hAnsi="Traditional Arabic"/>
          <w:sz w:val="32"/>
          <w:szCs w:val="32"/>
          <w:rtl/>
          <w:lang w:eastAsia="zh-TW"/>
        </w:rPr>
        <w:t>)</w:t>
      </w:r>
      <w:r w:rsidR="006C0EE8">
        <w:rPr>
          <w:rFonts w:hint="cs"/>
          <w:rtl/>
          <w:lang w:eastAsia="zh-TW"/>
        </w:rPr>
        <w:t>.</w:t>
      </w:r>
      <w:r w:rsidR="004D4029" w:rsidRPr="00D57891">
        <w:rPr>
          <w:rtl/>
          <w:lang w:eastAsia="zh-TW"/>
        </w:rPr>
        <w:t xml:space="preserve"> </w:t>
      </w:r>
      <w:r w:rsidR="004D4029" w:rsidRPr="00D57891">
        <w:rPr>
          <w:rtl/>
          <w:lang w:eastAsia="zh-TW"/>
        </w:rPr>
        <w:lastRenderedPageBreak/>
        <w:t>ولاحظ أحد موظفي إنفاذ القانون أن التصدي لتجارة المخدرات في مكاتب أو أحياء راقية أصعب منه في المناطق الفقيرة والمهمشة حيث تجري الصفقات في الشوارع والأماكن العامة الأخرى أو الأماكن التي تخضع لرقابة الشرطة بقدر أكبر</w:t>
      </w:r>
      <w:r w:rsidR="004A64ED">
        <w:rPr>
          <w:rStyle w:val="FootnoteReference"/>
          <w:rFonts w:ascii="Traditional Arabic" w:hAnsi="Traditional Arabic"/>
          <w:sz w:val="32"/>
          <w:szCs w:val="32"/>
          <w:rtl/>
          <w:lang w:eastAsia="zh-TW"/>
        </w:rPr>
        <w:t>(</w:t>
      </w:r>
      <w:r w:rsidR="006C0EE8" w:rsidRPr="00D57891">
        <w:rPr>
          <w:rStyle w:val="FootnoteReference"/>
          <w:rFonts w:ascii="Traditional Arabic" w:hAnsi="Traditional Arabic"/>
          <w:sz w:val="32"/>
          <w:szCs w:val="32"/>
          <w:rtl/>
          <w:lang w:eastAsia="zh-TW"/>
        </w:rPr>
        <w:footnoteReference w:id="65"/>
      </w:r>
      <w:r w:rsidR="004A64ED">
        <w:rPr>
          <w:rStyle w:val="FootnoteReference"/>
          <w:rFonts w:ascii="Traditional Arabic" w:hAnsi="Traditional Arabic"/>
          <w:sz w:val="32"/>
          <w:szCs w:val="32"/>
          <w:rtl/>
          <w:lang w:eastAsia="zh-TW"/>
        </w:rPr>
        <w:t>)</w:t>
      </w:r>
      <w:r w:rsidR="006C0EE8">
        <w:rPr>
          <w:rFonts w:hint="cs"/>
          <w:rtl/>
          <w:lang w:eastAsia="zh-TW"/>
        </w:rPr>
        <w:t>.</w:t>
      </w:r>
      <w:r w:rsidR="004D4029" w:rsidRPr="00D57891">
        <w:rPr>
          <w:rtl/>
          <w:lang w:eastAsia="zh-TW"/>
        </w:rPr>
        <w:t xml:space="preserve"> </w:t>
      </w:r>
    </w:p>
    <w:p w:rsidR="004D4029" w:rsidRPr="00D65BF7" w:rsidRDefault="00B424E8" w:rsidP="00B424E8">
      <w:pPr>
        <w:pStyle w:val="H1GA"/>
        <w:rPr>
          <w:rtl/>
          <w:lang w:eastAsia="zh-TW"/>
        </w:rPr>
      </w:pPr>
      <w:r>
        <w:rPr>
          <w:rtl/>
          <w:lang w:eastAsia="zh-TW"/>
        </w:rPr>
        <w:tab/>
      </w:r>
      <w:r w:rsidR="004D4029" w:rsidRPr="00D65BF7">
        <w:rPr>
          <w:rFonts w:hint="cs"/>
          <w:rtl/>
          <w:lang w:eastAsia="zh-TW"/>
        </w:rPr>
        <w:t>باء-</w:t>
      </w:r>
      <w:r>
        <w:rPr>
          <w:rtl/>
          <w:lang w:eastAsia="zh-TW"/>
        </w:rPr>
        <w:tab/>
      </w:r>
      <w:r w:rsidR="004D4029" w:rsidRPr="00D65BF7">
        <w:rPr>
          <w:rFonts w:hint="cs"/>
          <w:rtl/>
          <w:lang w:eastAsia="zh-TW"/>
        </w:rPr>
        <w:t>المرأة</w:t>
      </w:r>
    </w:p>
    <w:p w:rsidR="004D4029" w:rsidRPr="00D57891" w:rsidRDefault="00B424E8" w:rsidP="004A7FF5">
      <w:pPr>
        <w:pStyle w:val="SingleTxtGA"/>
        <w:rPr>
          <w:rtl/>
          <w:lang w:eastAsia="zh-TW"/>
        </w:rPr>
      </w:pPr>
      <w:r>
        <w:rPr>
          <w:rtl/>
          <w:lang w:eastAsia="zh-TW"/>
        </w:rPr>
        <w:t>٥٢</w:t>
      </w:r>
      <w:r>
        <w:rPr>
          <w:rFonts w:hint="cs"/>
          <w:rtl/>
          <w:lang w:eastAsia="zh-TW"/>
        </w:rPr>
        <w:t>-</w:t>
      </w:r>
      <w:r>
        <w:rPr>
          <w:rFonts w:hint="cs"/>
          <w:rtl/>
          <w:lang w:eastAsia="zh-TW"/>
        </w:rPr>
        <w:tab/>
      </w:r>
      <w:r w:rsidR="004D4029">
        <w:rPr>
          <w:rFonts w:hint="cs"/>
          <w:rtl/>
          <w:lang w:eastAsia="zh-TW"/>
        </w:rPr>
        <w:t>يعزى سبب دخول المرأة السجن</w:t>
      </w:r>
      <w:r w:rsidR="004D4029" w:rsidRPr="00D57891">
        <w:rPr>
          <w:rtl/>
          <w:lang w:eastAsia="zh-TW"/>
        </w:rPr>
        <w:t xml:space="preserve"> في جميع أنح</w:t>
      </w:r>
      <w:r w:rsidR="004D4029">
        <w:rPr>
          <w:rtl/>
          <w:lang w:eastAsia="zh-TW"/>
        </w:rPr>
        <w:t xml:space="preserve">اء العالم </w:t>
      </w:r>
      <w:r w:rsidR="004D4029">
        <w:rPr>
          <w:rFonts w:hint="cs"/>
          <w:rtl/>
          <w:lang w:eastAsia="zh-TW"/>
        </w:rPr>
        <w:t>إلى</w:t>
      </w:r>
      <w:r w:rsidR="004D4029">
        <w:rPr>
          <w:rtl/>
          <w:lang w:eastAsia="zh-TW"/>
        </w:rPr>
        <w:t xml:space="preserve"> ارتكاب</w:t>
      </w:r>
      <w:r w:rsidR="004D4029" w:rsidRPr="00D57891">
        <w:rPr>
          <w:rtl/>
          <w:lang w:eastAsia="zh-TW"/>
        </w:rPr>
        <w:t xml:space="preserve"> جرائم تتعلق بالمخدرات أكثر من سواها. وتتراوح نسبة النساء اللواتي دخلن السجن لارتكاب جرائم تتعلق بالمخدرات بين 60 و80 في المائة</w:t>
      </w:r>
      <w:r>
        <w:rPr>
          <w:rFonts w:hint="cs"/>
          <w:rtl/>
          <w:lang w:eastAsia="zh-TW"/>
        </w:rPr>
        <w:t xml:space="preserve"> من السجينات</w:t>
      </w:r>
      <w:r w:rsidR="004D4029" w:rsidRPr="00D57891">
        <w:rPr>
          <w:rtl/>
          <w:lang w:eastAsia="zh-TW"/>
        </w:rPr>
        <w:t>، في عدة بلدان في أمريكا اللاتينية</w:t>
      </w:r>
      <w:r w:rsidR="004A64ED">
        <w:rPr>
          <w:rStyle w:val="FootnoteReference"/>
          <w:rFonts w:ascii="Traditional Arabic" w:hAnsi="Traditional Arabic"/>
          <w:sz w:val="32"/>
          <w:szCs w:val="32"/>
          <w:rtl/>
          <w:lang w:eastAsia="zh-TW"/>
        </w:rPr>
        <w:t>(</w:t>
      </w:r>
      <w:r w:rsidR="006C0EE8" w:rsidRPr="00D57891">
        <w:rPr>
          <w:rStyle w:val="FootnoteReference"/>
          <w:rFonts w:ascii="Traditional Arabic" w:hAnsi="Traditional Arabic"/>
          <w:sz w:val="32"/>
          <w:szCs w:val="32"/>
          <w:rtl/>
          <w:lang w:eastAsia="zh-TW"/>
        </w:rPr>
        <w:footnoteReference w:id="66"/>
      </w:r>
      <w:r w:rsidR="004A64ED">
        <w:rPr>
          <w:rStyle w:val="FootnoteReference"/>
          <w:rFonts w:ascii="Traditional Arabic" w:hAnsi="Traditional Arabic"/>
          <w:sz w:val="32"/>
          <w:szCs w:val="32"/>
          <w:rtl/>
          <w:lang w:eastAsia="zh-TW"/>
        </w:rPr>
        <w:t>)</w:t>
      </w:r>
      <w:r w:rsidR="006C0EE8">
        <w:rPr>
          <w:rFonts w:hint="cs"/>
          <w:rtl/>
          <w:lang w:eastAsia="zh-TW"/>
        </w:rPr>
        <w:t>.</w:t>
      </w:r>
      <w:r w:rsidR="004D4029" w:rsidRPr="00D57891">
        <w:rPr>
          <w:rtl/>
          <w:lang w:eastAsia="zh-TW"/>
        </w:rPr>
        <w:t xml:space="preserve"> وفي بعض الدول، تشكل النساء المدانات بارتكاب جرائم تتعلق بالمخدرات الفئة </w:t>
      </w:r>
      <w:r w:rsidR="004D4029">
        <w:rPr>
          <w:rFonts w:hint="cs"/>
          <w:rtl/>
          <w:lang w:eastAsia="zh-TW"/>
        </w:rPr>
        <w:t xml:space="preserve">التي يزيد عددها بوتيرة </w:t>
      </w:r>
      <w:r w:rsidR="004D4029" w:rsidRPr="00D57891">
        <w:rPr>
          <w:rtl/>
          <w:lang w:eastAsia="zh-TW"/>
        </w:rPr>
        <w:t xml:space="preserve">أسرع بين السجينات. وتتعرض النساء في أوروبا وآسيا </w:t>
      </w:r>
      <w:r w:rsidR="004D4029" w:rsidRPr="00D57891">
        <w:rPr>
          <w:rFonts w:hint="cs"/>
          <w:rtl/>
          <w:lang w:eastAsia="zh-TW"/>
        </w:rPr>
        <w:t>الوسطى للسجن</w:t>
      </w:r>
      <w:r w:rsidR="004D4029" w:rsidRPr="00D57891">
        <w:rPr>
          <w:rtl/>
          <w:lang w:eastAsia="zh-TW"/>
        </w:rPr>
        <w:t xml:space="preserve"> بسبب ارتكاب جرائم تتعلق بالمخدرات بمعدل امرأة واحدة من كل أربع نساء، وتصل هذه النسبة في بعض البلدان إلى 70 في المائة. وقد أعربت اللجنة المعنية بالقضاء على التمييز ضد المرأة عن قلقها إزاء عدد النساء اللواتي يزج بهن في السجن لارتكابهن جرائم تتعلق بالمخدرات، ورأت في ذلك مؤشرا على حالة الفقر التي تعاني منها المرأة (انظر الوثيقة </w:t>
      </w:r>
      <w:r w:rsidR="004D4029" w:rsidRPr="00D57891">
        <w:rPr>
          <w:lang w:eastAsia="zh-TW"/>
        </w:rPr>
        <w:t>CEDAW/C/UK/3</w:t>
      </w:r>
      <w:r w:rsidR="004A7FF5">
        <w:rPr>
          <w:rFonts w:hint="cs"/>
          <w:rtl/>
          <w:lang w:eastAsia="zh-TW"/>
        </w:rPr>
        <w:t xml:space="preserve"> و</w:t>
      </w:r>
      <w:r w:rsidR="004A7FF5">
        <w:rPr>
          <w:lang w:val="fr-CH" w:eastAsia="zh-TW"/>
        </w:rPr>
        <w:t>4</w:t>
      </w:r>
      <w:r w:rsidR="004A7FF5">
        <w:rPr>
          <w:rFonts w:hint="cs"/>
          <w:rtl/>
          <w:lang w:eastAsia="zh-TW"/>
        </w:rPr>
        <w:t>)</w:t>
      </w:r>
      <w:r w:rsidR="004D4029" w:rsidRPr="00D57891">
        <w:rPr>
          <w:rtl/>
          <w:lang w:eastAsia="zh-TW"/>
        </w:rPr>
        <w:t xml:space="preserve">. وعادة ما تتورط المرأة في بيع المخدرات في نطاق محدود، وتستخدم "حمَّالة" لنقل كميات قليلة من المخدرات من بلد إلى آخر. وكثير منهن </w:t>
      </w:r>
      <w:r w:rsidR="004D4029">
        <w:rPr>
          <w:rFonts w:hint="cs"/>
          <w:rtl/>
          <w:lang w:eastAsia="zh-TW"/>
        </w:rPr>
        <w:t>هن من ال</w:t>
      </w:r>
      <w:r w:rsidR="004D4029" w:rsidRPr="00D57891">
        <w:rPr>
          <w:rtl/>
          <w:lang w:eastAsia="zh-TW"/>
        </w:rPr>
        <w:t xml:space="preserve">أمهات </w:t>
      </w:r>
      <w:r w:rsidR="004D4029">
        <w:rPr>
          <w:rFonts w:hint="cs"/>
          <w:rtl/>
          <w:lang w:eastAsia="zh-TW"/>
        </w:rPr>
        <w:t>ال</w:t>
      </w:r>
      <w:r w:rsidR="004D4029" w:rsidRPr="00D57891">
        <w:rPr>
          <w:rtl/>
          <w:lang w:eastAsia="zh-TW"/>
        </w:rPr>
        <w:t xml:space="preserve">عازبات </w:t>
      </w:r>
      <w:r w:rsidR="004D4029">
        <w:rPr>
          <w:rFonts w:hint="cs"/>
          <w:rtl/>
          <w:lang w:eastAsia="zh-TW"/>
        </w:rPr>
        <w:t>ال</w:t>
      </w:r>
      <w:r w:rsidR="004D4029" w:rsidRPr="00D57891">
        <w:rPr>
          <w:rtl/>
          <w:lang w:eastAsia="zh-TW"/>
        </w:rPr>
        <w:t>شابات و</w:t>
      </w:r>
      <w:r w:rsidR="004D4029">
        <w:rPr>
          <w:rFonts w:hint="cs"/>
          <w:rtl/>
          <w:lang w:eastAsia="zh-TW"/>
        </w:rPr>
        <w:t>ال</w:t>
      </w:r>
      <w:r w:rsidR="004D4029" w:rsidRPr="00D57891">
        <w:rPr>
          <w:rtl/>
          <w:lang w:eastAsia="zh-TW"/>
        </w:rPr>
        <w:t>أميات</w:t>
      </w:r>
      <w:r w:rsidR="004D4029">
        <w:rPr>
          <w:rFonts w:hint="cs"/>
          <w:rtl/>
          <w:lang w:eastAsia="zh-TW"/>
        </w:rPr>
        <w:t xml:space="preserve"> اللواتي </w:t>
      </w:r>
      <w:r w:rsidR="004D4029" w:rsidRPr="00D57891">
        <w:rPr>
          <w:rtl/>
          <w:lang w:eastAsia="zh-TW"/>
        </w:rPr>
        <w:t>يتعين عليهن رعاية</w:t>
      </w:r>
      <w:r w:rsidR="00482E90">
        <w:rPr>
          <w:rtl/>
          <w:lang w:eastAsia="zh-TW"/>
        </w:rPr>
        <w:t xml:space="preserve"> أطفالهن وغيرهم من أفراد الأسرة</w:t>
      </w:r>
      <w:r w:rsidR="004A64ED">
        <w:rPr>
          <w:rStyle w:val="FootnoteReference"/>
          <w:rFonts w:ascii="Traditional Arabic" w:hAnsi="Traditional Arabic"/>
          <w:sz w:val="32"/>
          <w:szCs w:val="32"/>
          <w:rtl/>
          <w:lang w:eastAsia="zh-TW"/>
        </w:rPr>
        <w:t>(</w:t>
      </w:r>
      <w:r w:rsidR="00482E90" w:rsidRPr="00D57891">
        <w:rPr>
          <w:rStyle w:val="FootnoteReference"/>
          <w:rFonts w:ascii="Traditional Arabic" w:hAnsi="Traditional Arabic"/>
          <w:sz w:val="32"/>
          <w:szCs w:val="32"/>
          <w:rtl/>
          <w:lang w:eastAsia="zh-TW"/>
        </w:rPr>
        <w:footnoteReference w:id="67"/>
      </w:r>
      <w:r w:rsidR="004A64ED">
        <w:rPr>
          <w:rStyle w:val="FootnoteReference"/>
          <w:rFonts w:ascii="Traditional Arabic" w:hAnsi="Traditional Arabic"/>
          <w:sz w:val="32"/>
          <w:szCs w:val="32"/>
          <w:rtl/>
          <w:lang w:eastAsia="zh-TW"/>
        </w:rPr>
        <w:t>)</w:t>
      </w:r>
      <w:r w:rsidR="00482E90">
        <w:rPr>
          <w:rFonts w:hint="cs"/>
          <w:rtl/>
          <w:lang w:eastAsia="zh-TW"/>
        </w:rPr>
        <w:t>.</w:t>
      </w:r>
      <w:r w:rsidR="004D4029" w:rsidRPr="00D57891">
        <w:rPr>
          <w:rtl/>
          <w:lang w:eastAsia="zh-TW"/>
        </w:rPr>
        <w:t xml:space="preserve"> </w:t>
      </w:r>
    </w:p>
    <w:p w:rsidR="004D4029" w:rsidRPr="00D57891" w:rsidRDefault="00B424E8" w:rsidP="00482E90">
      <w:pPr>
        <w:pStyle w:val="SingleTxtGA"/>
        <w:rPr>
          <w:bCs/>
          <w:rtl/>
          <w:lang w:eastAsia="zh-TW"/>
        </w:rPr>
      </w:pPr>
      <w:r>
        <w:rPr>
          <w:rtl/>
          <w:lang w:eastAsia="zh-TW"/>
        </w:rPr>
        <w:t>٥٣</w:t>
      </w:r>
      <w:r>
        <w:rPr>
          <w:rFonts w:hint="cs"/>
          <w:rtl/>
          <w:lang w:eastAsia="zh-TW"/>
        </w:rPr>
        <w:t>-</w:t>
      </w:r>
      <w:r>
        <w:rPr>
          <w:rtl/>
          <w:lang w:eastAsia="zh-TW"/>
        </w:rPr>
        <w:tab/>
      </w:r>
      <w:r w:rsidR="004D4029" w:rsidRPr="00D57891">
        <w:rPr>
          <w:rtl/>
          <w:lang w:eastAsia="zh-TW"/>
        </w:rPr>
        <w:t>وأفادت التقارير بأن المرأة التي تتعاطى المخدرات أثناء فترة الحمل قد تكون عرضة لاحتمال فقدان حقها في حضانة أطفالها أو الخضوع للتعقيم قسرا أو بالإكراه أو للإجهاض أو لعقوبات جنائية تبعا للقوانين والسياسات المعمول بها. وفي دول معينة، يمكن أن تتعرض المرأة التي تتعاطى المخدرات للاحتجاز أثناء فترة حملها. وقد لا تحصل المرأة التي تتعاطى المخدرات على الرعاية اللازمة أثناء الحمل</w:t>
      </w:r>
      <w:r w:rsidR="004A64ED">
        <w:rPr>
          <w:rStyle w:val="FootnoteReference"/>
          <w:rFonts w:ascii="Traditional Arabic" w:hAnsi="Traditional Arabic"/>
          <w:sz w:val="32"/>
          <w:szCs w:val="32"/>
          <w:rtl/>
          <w:lang w:eastAsia="zh-TW"/>
        </w:rPr>
        <w:t>(</w:t>
      </w:r>
      <w:r w:rsidR="00482E90" w:rsidRPr="00D57891">
        <w:rPr>
          <w:rStyle w:val="FootnoteReference"/>
          <w:rFonts w:ascii="Traditional Arabic" w:hAnsi="Traditional Arabic"/>
          <w:sz w:val="32"/>
          <w:szCs w:val="32"/>
          <w:rtl/>
          <w:lang w:eastAsia="zh-TW"/>
        </w:rPr>
        <w:footnoteReference w:id="68"/>
      </w:r>
      <w:r w:rsidR="004A64ED">
        <w:rPr>
          <w:rStyle w:val="FootnoteReference"/>
          <w:rFonts w:ascii="Traditional Arabic" w:hAnsi="Traditional Arabic"/>
          <w:sz w:val="32"/>
          <w:szCs w:val="32"/>
          <w:rtl/>
          <w:lang w:eastAsia="zh-TW"/>
        </w:rPr>
        <w:t>)</w:t>
      </w:r>
      <w:r w:rsidR="00482E90">
        <w:rPr>
          <w:rFonts w:hint="cs"/>
          <w:rtl/>
          <w:lang w:eastAsia="zh-TW"/>
        </w:rPr>
        <w:t>.</w:t>
      </w:r>
      <w:r w:rsidR="004D4029" w:rsidRPr="00D57891">
        <w:rPr>
          <w:rtl/>
          <w:lang w:eastAsia="zh-TW"/>
        </w:rPr>
        <w:t xml:space="preserve"> ونشرت منظمة الصحة العالمية مبادئ توجيهية بشأن تحديد حالات تعاطي مواد الإدمان وإدارتها والاضطرابات الناجمة عن ذلك في فترة الحمل. </w:t>
      </w:r>
    </w:p>
    <w:p w:rsidR="004D4029" w:rsidRPr="00D57891" w:rsidRDefault="00B424E8" w:rsidP="00E42865">
      <w:pPr>
        <w:pStyle w:val="SingleTxtGA"/>
        <w:rPr>
          <w:rtl/>
          <w:lang w:eastAsia="zh-TW"/>
        </w:rPr>
      </w:pPr>
      <w:r>
        <w:rPr>
          <w:rtl/>
          <w:lang w:eastAsia="zh-TW"/>
        </w:rPr>
        <w:t>٥٤</w:t>
      </w:r>
      <w:r>
        <w:rPr>
          <w:rFonts w:hint="cs"/>
          <w:rtl/>
          <w:lang w:eastAsia="zh-TW"/>
        </w:rPr>
        <w:t>-</w:t>
      </w:r>
      <w:r>
        <w:rPr>
          <w:rFonts w:hint="cs"/>
          <w:rtl/>
          <w:lang w:eastAsia="zh-TW"/>
        </w:rPr>
        <w:tab/>
      </w:r>
      <w:r w:rsidR="004D4029" w:rsidRPr="00D57891">
        <w:rPr>
          <w:rtl/>
          <w:lang w:eastAsia="zh-TW"/>
        </w:rPr>
        <w:t xml:space="preserve">وقد يمارس التمييز في سجون النساء حيث قد لا تتوافر برامج </w:t>
      </w:r>
      <w:r w:rsidR="004D4029">
        <w:rPr>
          <w:rFonts w:hint="cs"/>
          <w:rtl/>
          <w:lang w:eastAsia="zh-TW"/>
        </w:rPr>
        <w:t>الحد من</w:t>
      </w:r>
      <w:r w:rsidR="004D4029" w:rsidRPr="00D57891">
        <w:rPr>
          <w:rtl/>
          <w:lang w:eastAsia="zh-TW"/>
        </w:rPr>
        <w:t xml:space="preserve"> الضرر، بما في ذلك العلاج بمواد بديلة </w:t>
      </w:r>
      <w:r>
        <w:rPr>
          <w:rFonts w:hint="cs"/>
          <w:rtl/>
          <w:lang w:eastAsia="zh-TW"/>
        </w:rPr>
        <w:t>لأشباه</w:t>
      </w:r>
      <w:r w:rsidR="004D4029" w:rsidRPr="00D57891">
        <w:rPr>
          <w:rtl/>
          <w:lang w:eastAsia="zh-TW"/>
        </w:rPr>
        <w:t xml:space="preserve"> الأفيون</w:t>
      </w:r>
      <w:r w:rsidR="004A64ED">
        <w:rPr>
          <w:rStyle w:val="FootnoteReference"/>
          <w:rFonts w:ascii="Traditional Arabic" w:hAnsi="Traditional Arabic"/>
          <w:sz w:val="32"/>
          <w:szCs w:val="32"/>
          <w:rtl/>
          <w:lang w:eastAsia="zh-TW"/>
        </w:rPr>
        <w:t>(</w:t>
      </w:r>
      <w:r w:rsidR="00482E90" w:rsidRPr="00D57891">
        <w:rPr>
          <w:rStyle w:val="FootnoteReference"/>
          <w:rFonts w:ascii="Traditional Arabic" w:hAnsi="Traditional Arabic"/>
          <w:sz w:val="32"/>
          <w:szCs w:val="32"/>
          <w:rtl/>
          <w:lang w:eastAsia="zh-TW"/>
        </w:rPr>
        <w:footnoteReference w:id="69"/>
      </w:r>
      <w:r w:rsidR="004A64ED">
        <w:rPr>
          <w:rStyle w:val="FootnoteReference"/>
          <w:rFonts w:ascii="Traditional Arabic" w:hAnsi="Traditional Arabic"/>
          <w:sz w:val="32"/>
          <w:szCs w:val="32"/>
          <w:rtl/>
          <w:lang w:eastAsia="zh-TW"/>
        </w:rPr>
        <w:t>)</w:t>
      </w:r>
      <w:r w:rsidR="00482E90">
        <w:rPr>
          <w:rFonts w:hint="cs"/>
          <w:rtl/>
          <w:lang w:eastAsia="zh-TW"/>
        </w:rPr>
        <w:t>.</w:t>
      </w:r>
      <w:r w:rsidR="004D4029" w:rsidRPr="00D57891">
        <w:rPr>
          <w:rtl/>
          <w:lang w:eastAsia="zh-TW"/>
        </w:rPr>
        <w:t xml:space="preserve"> وأوصت اللجنة المعنية بالقضاء على التمييز ضد المرأة بأن توفر الدول الخدمات التي تراعي الاعتبارات الجنسانية </w:t>
      </w:r>
      <w:r w:rsidR="004D4029">
        <w:rPr>
          <w:rFonts w:hint="cs"/>
          <w:rtl/>
          <w:lang w:eastAsia="zh-TW"/>
        </w:rPr>
        <w:t>وترتكز</w:t>
      </w:r>
      <w:r w:rsidR="004D4029" w:rsidRPr="00D57891">
        <w:rPr>
          <w:rtl/>
          <w:lang w:eastAsia="zh-TW"/>
        </w:rPr>
        <w:t xml:space="preserve"> إلى الأدلة لعلاج </w:t>
      </w:r>
      <w:proofErr w:type="spellStart"/>
      <w:r w:rsidR="004D4029" w:rsidRPr="00D57891">
        <w:rPr>
          <w:rtl/>
          <w:lang w:eastAsia="zh-TW"/>
        </w:rPr>
        <w:t>متعاطيات</w:t>
      </w:r>
      <w:proofErr w:type="spellEnd"/>
      <w:r w:rsidR="004D4029" w:rsidRPr="00D57891">
        <w:rPr>
          <w:rtl/>
          <w:lang w:eastAsia="zh-TW"/>
        </w:rPr>
        <w:t xml:space="preserve"> المخدرات، ويشمل ذلك تنفيذ برامج </w:t>
      </w:r>
      <w:r w:rsidR="004D4029">
        <w:rPr>
          <w:rFonts w:hint="cs"/>
          <w:rtl/>
          <w:lang w:eastAsia="zh-TW"/>
        </w:rPr>
        <w:t>للحد من</w:t>
      </w:r>
      <w:r w:rsidR="004D4029" w:rsidRPr="00D57891">
        <w:rPr>
          <w:rtl/>
          <w:lang w:eastAsia="zh-TW"/>
        </w:rPr>
        <w:t xml:space="preserve"> الضرر تستهدف النساء في أماكن </w:t>
      </w:r>
      <w:r w:rsidR="004D4029" w:rsidRPr="00D57891">
        <w:rPr>
          <w:rtl/>
          <w:lang w:eastAsia="zh-TW"/>
        </w:rPr>
        <w:lastRenderedPageBreak/>
        <w:t xml:space="preserve">الاحتجاز، وذلك </w:t>
      </w:r>
      <w:r w:rsidR="004D4029">
        <w:rPr>
          <w:rFonts w:hint="cs"/>
          <w:rtl/>
          <w:lang w:eastAsia="zh-TW"/>
        </w:rPr>
        <w:t>لتخفيف</w:t>
      </w:r>
      <w:r w:rsidR="004D4029" w:rsidRPr="00D57891">
        <w:rPr>
          <w:rtl/>
          <w:lang w:eastAsia="zh-TW"/>
        </w:rPr>
        <w:t xml:space="preserve"> الآثار الضا</w:t>
      </w:r>
      <w:r w:rsidR="004D4029">
        <w:rPr>
          <w:rtl/>
          <w:lang w:eastAsia="zh-TW"/>
        </w:rPr>
        <w:t xml:space="preserve">رة </w:t>
      </w:r>
      <w:r w:rsidR="004D4029">
        <w:rPr>
          <w:rFonts w:hint="cs"/>
          <w:rtl/>
          <w:lang w:eastAsia="zh-TW"/>
        </w:rPr>
        <w:t xml:space="preserve">الناجمة عن </w:t>
      </w:r>
      <w:r w:rsidR="004D4029" w:rsidRPr="00D57891">
        <w:rPr>
          <w:rtl/>
          <w:lang w:eastAsia="zh-TW"/>
        </w:rPr>
        <w:t xml:space="preserve">تعاطي المخدرات (انظر </w:t>
      </w:r>
      <w:r w:rsidR="004D4029" w:rsidRPr="00D57891">
        <w:rPr>
          <w:lang w:eastAsia="zh-TW"/>
        </w:rPr>
        <w:t>CEDAW/C/GEO/CO/4-5</w:t>
      </w:r>
      <w:r w:rsidR="00482E90">
        <w:rPr>
          <w:rtl/>
          <w:lang w:eastAsia="zh-TW"/>
        </w:rPr>
        <w:t>، الفقرة 31</w:t>
      </w:r>
      <w:r w:rsidR="004D4029" w:rsidRPr="00D57891">
        <w:rPr>
          <w:rtl/>
          <w:lang w:eastAsia="zh-TW"/>
        </w:rPr>
        <w:t>(ه)).</w:t>
      </w:r>
      <w:r w:rsidR="00482E90">
        <w:rPr>
          <w:rFonts w:hint="cs"/>
          <w:rtl/>
          <w:lang w:eastAsia="zh-TW"/>
        </w:rPr>
        <w:t xml:space="preserve"> </w:t>
      </w:r>
      <w:r w:rsidR="004D4029" w:rsidRPr="00D57891">
        <w:rPr>
          <w:rtl/>
          <w:lang w:eastAsia="zh-TW"/>
        </w:rPr>
        <w:t>وأفادت التقارير بأن المرأة التي تتعاطى ال</w:t>
      </w:r>
      <w:r w:rsidR="004D4029">
        <w:rPr>
          <w:rtl/>
          <w:lang w:eastAsia="zh-TW"/>
        </w:rPr>
        <w:t>مخدرات غالبا</w:t>
      </w:r>
      <w:r>
        <w:rPr>
          <w:rFonts w:hint="cs"/>
          <w:rtl/>
          <w:lang w:eastAsia="zh-TW"/>
        </w:rPr>
        <w:t>ً</w:t>
      </w:r>
      <w:r w:rsidR="004D4029">
        <w:rPr>
          <w:rtl/>
          <w:lang w:eastAsia="zh-TW"/>
        </w:rPr>
        <w:t xml:space="preserve"> ما تقع ضحية للعنف</w:t>
      </w:r>
      <w:r w:rsidR="004D4029" w:rsidRPr="00D57891">
        <w:rPr>
          <w:rtl/>
          <w:lang w:eastAsia="zh-TW"/>
        </w:rPr>
        <w:t xml:space="preserve"> على أيدي الشريك وموظفي إنفاذ القانون</w:t>
      </w:r>
      <w:r w:rsidR="004D4029">
        <w:rPr>
          <w:rFonts w:hint="cs"/>
          <w:rtl/>
          <w:lang w:eastAsia="zh-TW"/>
        </w:rPr>
        <w:t xml:space="preserve">، ويشمل ذلك </w:t>
      </w:r>
      <w:r w:rsidR="004D4029" w:rsidRPr="00D57891">
        <w:rPr>
          <w:rtl/>
          <w:lang w:eastAsia="zh-TW"/>
        </w:rPr>
        <w:t>العنف الجنسي. فقد تُكره المرأة على ممارسة الجنس تفاديا للتعرض للاعتقال أو العقوبة على أيدي موظفي إنفاذ القانون</w:t>
      </w:r>
      <w:r w:rsidR="004A64ED">
        <w:rPr>
          <w:rStyle w:val="FootnoteReference"/>
          <w:rFonts w:ascii="Traditional Arabic" w:hAnsi="Traditional Arabic"/>
          <w:sz w:val="32"/>
          <w:szCs w:val="32"/>
          <w:rtl/>
          <w:lang w:eastAsia="zh-TW"/>
        </w:rPr>
        <w:t>(</w:t>
      </w:r>
      <w:r w:rsidR="00E42865" w:rsidRPr="00D57891">
        <w:rPr>
          <w:rStyle w:val="FootnoteReference"/>
          <w:rFonts w:ascii="Traditional Arabic" w:hAnsi="Traditional Arabic"/>
          <w:sz w:val="32"/>
          <w:szCs w:val="32"/>
          <w:rtl/>
          <w:lang w:eastAsia="zh-TW"/>
        </w:rPr>
        <w:footnoteReference w:id="70"/>
      </w:r>
      <w:r w:rsidR="004A64ED">
        <w:rPr>
          <w:rStyle w:val="FootnoteReference"/>
          <w:rFonts w:ascii="Traditional Arabic" w:hAnsi="Traditional Arabic"/>
          <w:sz w:val="32"/>
          <w:szCs w:val="32"/>
          <w:rtl/>
          <w:lang w:eastAsia="zh-TW"/>
        </w:rPr>
        <w:t>)</w:t>
      </w:r>
      <w:r w:rsidR="00E42865">
        <w:rPr>
          <w:rFonts w:hint="cs"/>
          <w:rtl/>
          <w:lang w:eastAsia="zh-TW"/>
        </w:rPr>
        <w:t>.</w:t>
      </w:r>
      <w:r w:rsidR="004D4029" w:rsidRPr="00D57891">
        <w:rPr>
          <w:rtl/>
          <w:lang w:eastAsia="zh-TW"/>
        </w:rPr>
        <w:t xml:space="preserve"> بل إن المرأة التي تتعاطى المخدرات وتشتغل </w:t>
      </w:r>
      <w:r>
        <w:rPr>
          <w:rFonts w:hint="cs"/>
          <w:rtl/>
          <w:lang w:eastAsia="zh-TW"/>
        </w:rPr>
        <w:t xml:space="preserve">في البغاء </w:t>
      </w:r>
      <w:r w:rsidR="004D4029" w:rsidRPr="00D57891">
        <w:rPr>
          <w:rtl/>
          <w:lang w:eastAsia="zh-TW"/>
        </w:rPr>
        <w:t xml:space="preserve">في الوقت نفسه </w:t>
      </w:r>
      <w:r w:rsidR="004D4029">
        <w:rPr>
          <w:rFonts w:hint="cs"/>
          <w:rtl/>
          <w:lang w:eastAsia="zh-TW"/>
        </w:rPr>
        <w:t xml:space="preserve">تعد </w:t>
      </w:r>
      <w:r w:rsidR="004D4029" w:rsidRPr="00D57891">
        <w:rPr>
          <w:rtl/>
          <w:lang w:eastAsia="zh-TW"/>
        </w:rPr>
        <w:t>أكثر ضعفا</w:t>
      </w:r>
      <w:r>
        <w:rPr>
          <w:rFonts w:hint="cs"/>
          <w:rtl/>
          <w:lang w:eastAsia="zh-TW"/>
        </w:rPr>
        <w:t>ً أيضاً</w:t>
      </w:r>
      <w:r w:rsidR="00E42865">
        <w:rPr>
          <w:rtl/>
          <w:lang w:eastAsia="zh-TW"/>
        </w:rPr>
        <w:t xml:space="preserve"> بحسب التقارير</w:t>
      </w:r>
      <w:r w:rsidR="004A64ED">
        <w:rPr>
          <w:rStyle w:val="FootnoteReference"/>
          <w:rFonts w:ascii="Traditional Arabic" w:hAnsi="Traditional Arabic"/>
          <w:sz w:val="32"/>
          <w:szCs w:val="32"/>
          <w:rtl/>
          <w:lang w:eastAsia="zh-TW"/>
        </w:rPr>
        <w:t>(</w:t>
      </w:r>
      <w:r w:rsidR="00E42865" w:rsidRPr="00D57891">
        <w:rPr>
          <w:rStyle w:val="FootnoteReference"/>
          <w:rFonts w:ascii="Traditional Arabic" w:hAnsi="Traditional Arabic"/>
          <w:sz w:val="32"/>
          <w:szCs w:val="32"/>
          <w:rtl/>
          <w:lang w:eastAsia="zh-TW"/>
        </w:rPr>
        <w:footnoteReference w:id="71"/>
      </w:r>
      <w:r w:rsidR="004A64ED">
        <w:rPr>
          <w:rStyle w:val="FootnoteReference"/>
          <w:rFonts w:ascii="Traditional Arabic" w:hAnsi="Traditional Arabic"/>
          <w:sz w:val="32"/>
          <w:szCs w:val="32"/>
          <w:rtl/>
          <w:lang w:eastAsia="zh-TW"/>
        </w:rPr>
        <w:t>)</w:t>
      </w:r>
      <w:r w:rsidR="00E42865">
        <w:rPr>
          <w:rFonts w:hint="cs"/>
          <w:rtl/>
          <w:lang w:eastAsia="zh-TW"/>
        </w:rPr>
        <w:t xml:space="preserve">. </w:t>
      </w:r>
    </w:p>
    <w:p w:rsidR="004D4029" w:rsidRPr="00D65BF7" w:rsidRDefault="00B424E8" w:rsidP="00B424E8">
      <w:pPr>
        <w:pStyle w:val="HChGA"/>
        <w:rPr>
          <w:rtl/>
          <w:lang w:eastAsia="zh-TW"/>
        </w:rPr>
      </w:pPr>
      <w:r>
        <w:rPr>
          <w:rtl/>
          <w:lang w:eastAsia="zh-TW"/>
        </w:rPr>
        <w:tab/>
      </w:r>
      <w:r w:rsidR="004D4029" w:rsidRPr="00D65BF7">
        <w:rPr>
          <w:rFonts w:hint="cs"/>
          <w:rtl/>
          <w:lang w:eastAsia="zh-TW"/>
        </w:rPr>
        <w:t>خامساً-</w:t>
      </w:r>
      <w:r>
        <w:rPr>
          <w:rtl/>
          <w:lang w:eastAsia="zh-TW"/>
        </w:rPr>
        <w:tab/>
      </w:r>
      <w:r w:rsidR="004D4029" w:rsidRPr="00D65BF7">
        <w:rPr>
          <w:rFonts w:hint="cs"/>
          <w:rtl/>
          <w:lang w:eastAsia="zh-TW"/>
        </w:rPr>
        <w:t>حقوق</w:t>
      </w:r>
      <w:r w:rsidR="004D4029" w:rsidRPr="00D65BF7">
        <w:rPr>
          <w:rtl/>
          <w:lang w:eastAsia="zh-TW"/>
        </w:rPr>
        <w:t xml:space="preserve"> الطفل</w:t>
      </w:r>
    </w:p>
    <w:p w:rsidR="004D4029" w:rsidRPr="00D57891" w:rsidRDefault="00B424E8" w:rsidP="00B424E8">
      <w:pPr>
        <w:pStyle w:val="SingleTxtGA"/>
        <w:rPr>
          <w:rtl/>
          <w:lang w:eastAsia="zh-TW"/>
        </w:rPr>
      </w:pPr>
      <w:r>
        <w:rPr>
          <w:rtl/>
          <w:lang w:eastAsia="zh-TW"/>
        </w:rPr>
        <w:t>٥٥</w:t>
      </w:r>
      <w:r>
        <w:rPr>
          <w:rFonts w:hint="cs"/>
          <w:rtl/>
          <w:lang w:eastAsia="zh-TW"/>
        </w:rPr>
        <w:t>-</w:t>
      </w:r>
      <w:r>
        <w:rPr>
          <w:rFonts w:hint="cs"/>
          <w:rtl/>
          <w:lang w:eastAsia="zh-TW"/>
        </w:rPr>
        <w:tab/>
      </w:r>
      <w:r w:rsidR="004D4029" w:rsidRPr="00D57891">
        <w:rPr>
          <w:rtl/>
          <w:lang w:eastAsia="zh-TW"/>
        </w:rPr>
        <w:t xml:space="preserve">تنص المادة 33 من اتفاقية حقوق الطفل على أن تتخذ الدول الأطراف جميع التدابير المناسبة، بما في ذلك التدابير التشريعية والإدارية والاجتماعية والتربوية، لوقاية الأطفال من الاستخدام غير المشروع للمواد المخدرة والمؤثرات العقلية، حسبما تحددت في المعاهدات الدولية ذات الصلة، ولمنع استخدام الأطفال في إنتاج مثل هذه المواد بطريقة غير مشروعة </w:t>
      </w:r>
      <w:proofErr w:type="spellStart"/>
      <w:r w:rsidR="004D4029" w:rsidRPr="00D57891">
        <w:rPr>
          <w:rtl/>
          <w:lang w:eastAsia="zh-TW"/>
        </w:rPr>
        <w:t>والاتجار</w:t>
      </w:r>
      <w:proofErr w:type="spellEnd"/>
      <w:r w:rsidR="004D4029" w:rsidRPr="00D57891">
        <w:rPr>
          <w:rtl/>
          <w:lang w:eastAsia="zh-TW"/>
        </w:rPr>
        <w:t xml:space="preserve"> بها. </w:t>
      </w:r>
    </w:p>
    <w:p w:rsidR="004D4029" w:rsidRPr="00D57891" w:rsidRDefault="00B424E8" w:rsidP="00E42865">
      <w:pPr>
        <w:pStyle w:val="SingleTxtGA"/>
        <w:rPr>
          <w:rtl/>
          <w:lang w:eastAsia="zh-TW"/>
        </w:rPr>
      </w:pPr>
      <w:r>
        <w:rPr>
          <w:rtl/>
          <w:lang w:eastAsia="zh-TW"/>
        </w:rPr>
        <w:t>٥٦</w:t>
      </w:r>
      <w:r>
        <w:rPr>
          <w:rFonts w:hint="cs"/>
          <w:rtl/>
          <w:lang w:eastAsia="zh-TW"/>
        </w:rPr>
        <w:t>-</w:t>
      </w:r>
      <w:r>
        <w:rPr>
          <w:rFonts w:hint="cs"/>
          <w:rtl/>
          <w:lang w:eastAsia="zh-TW"/>
        </w:rPr>
        <w:tab/>
      </w:r>
      <w:r w:rsidR="004D4029" w:rsidRPr="00D57891">
        <w:rPr>
          <w:rtl/>
          <w:lang w:eastAsia="zh-TW"/>
        </w:rPr>
        <w:t>وأشارت لجنة حق</w:t>
      </w:r>
      <w:r w:rsidR="00E42865">
        <w:rPr>
          <w:rtl/>
          <w:lang w:eastAsia="zh-TW"/>
        </w:rPr>
        <w:t>وق الطفل في تعليقها العام رقم 3</w:t>
      </w:r>
      <w:r w:rsidR="004D4029" w:rsidRPr="00D57891">
        <w:rPr>
          <w:rtl/>
          <w:lang w:eastAsia="zh-TW"/>
        </w:rPr>
        <w:t>(2003) بشأن فيروس نقص المناعة البشرية/الإيدز وحقوق الطفل إلى أن الأطفال، في معظم البلدان، لم يستف</w:t>
      </w:r>
      <w:r w:rsidR="004D4029">
        <w:rPr>
          <w:rFonts w:hint="cs"/>
          <w:rtl/>
          <w:lang w:eastAsia="zh-TW"/>
        </w:rPr>
        <w:t>ي</w:t>
      </w:r>
      <w:r w:rsidR="004D4029" w:rsidRPr="00D57891">
        <w:rPr>
          <w:rtl/>
          <w:lang w:eastAsia="zh-TW"/>
        </w:rPr>
        <w:t>دوا من برامج الوقاية من الفيروس ذات الصلة بتعاطي مواد الإدمان لأنها استهدفت أساسا البالغين حتى في حال وجودها. ولاحظت أن ممارسات الحقن باستعمال أدوات غير معقمة تضاعف خطر انتقال الفيروس، ورأت أن على السياسات والبرامج التي تستهدف الحد من تعاطي هذه المواد وانتقال الفيروس أن تعترف بالحساسيات الخاصة بالأطفال وبأنماط حياتهم. وأعربت</w:t>
      </w:r>
      <w:r w:rsidR="00E42865">
        <w:rPr>
          <w:rtl/>
          <w:lang w:eastAsia="zh-TW"/>
        </w:rPr>
        <w:t xml:space="preserve"> اللجنة في تعليقها العام رقم 15</w:t>
      </w:r>
      <w:r w:rsidR="004D4029" w:rsidRPr="00D57891">
        <w:rPr>
          <w:rtl/>
          <w:lang w:eastAsia="zh-TW"/>
        </w:rPr>
        <w:t xml:space="preserve">(2013) بشأن حق الطفل في التمتع بأعلى مستوى صحي يمكن بلوغه، عن تأييدها </w:t>
      </w:r>
      <w:r w:rsidR="004D4029">
        <w:rPr>
          <w:rFonts w:hint="cs"/>
          <w:rtl/>
          <w:lang w:eastAsia="zh-TW"/>
        </w:rPr>
        <w:t>للحد من</w:t>
      </w:r>
      <w:r w:rsidR="004D4029" w:rsidRPr="00D57891">
        <w:rPr>
          <w:rtl/>
          <w:lang w:eastAsia="zh-TW"/>
        </w:rPr>
        <w:t xml:space="preserve"> الضرر باعتباره من النهج الهامة في خفض التأثيرات السلبية لتعاطي المخدرات على الصحة إلى أدنى حد ممكن. ودعت في ملاحظاتها الختامية إلى أن يستفيد الأطفال من برامج </w:t>
      </w:r>
      <w:r w:rsidR="004D4029">
        <w:rPr>
          <w:rFonts w:hint="cs"/>
          <w:rtl/>
          <w:lang w:eastAsia="zh-TW"/>
        </w:rPr>
        <w:t>الحد من</w:t>
      </w:r>
      <w:r w:rsidR="004D4029" w:rsidRPr="00D57891">
        <w:rPr>
          <w:rtl/>
          <w:lang w:eastAsia="zh-TW"/>
        </w:rPr>
        <w:t xml:space="preserve"> الضرر (انظر </w:t>
      </w:r>
      <w:r w:rsidR="004D4029" w:rsidRPr="00D57891">
        <w:rPr>
          <w:lang w:eastAsia="zh-TW"/>
        </w:rPr>
        <w:t>CRC/C/UKR/CO/4</w:t>
      </w:r>
      <w:r w:rsidR="00E42865">
        <w:rPr>
          <w:rtl/>
          <w:lang w:eastAsia="zh-TW"/>
        </w:rPr>
        <w:t>، الفقرة 59، و</w:t>
      </w:r>
      <w:r w:rsidR="004D4029" w:rsidRPr="00D57891">
        <w:rPr>
          <w:lang w:eastAsia="zh-TW"/>
        </w:rPr>
        <w:t>CRC/C/AUT/CO/3-4</w:t>
      </w:r>
      <w:r w:rsidR="00E42865">
        <w:rPr>
          <w:rtl/>
          <w:lang w:eastAsia="zh-TW"/>
        </w:rPr>
        <w:t>، الفقرة 51، و</w:t>
      </w:r>
      <w:r w:rsidR="004D4029" w:rsidRPr="00D57891">
        <w:rPr>
          <w:lang w:eastAsia="zh-TW"/>
        </w:rPr>
        <w:t>CRC/C/ALB/CO/2-4</w:t>
      </w:r>
      <w:r w:rsidR="00E42865">
        <w:rPr>
          <w:rtl/>
          <w:lang w:eastAsia="zh-TW"/>
        </w:rPr>
        <w:t>، الفقرة 63</w:t>
      </w:r>
      <w:r w:rsidR="004D4029" w:rsidRPr="00D57891">
        <w:rPr>
          <w:rtl/>
          <w:lang w:eastAsia="zh-TW"/>
        </w:rPr>
        <w:t>(ب)).</w:t>
      </w:r>
      <w:r w:rsidR="00E42865">
        <w:rPr>
          <w:rFonts w:hint="cs"/>
          <w:rtl/>
          <w:lang w:eastAsia="zh-TW"/>
        </w:rPr>
        <w:t xml:space="preserve"> </w:t>
      </w:r>
    </w:p>
    <w:p w:rsidR="004D4029" w:rsidRPr="00D57891" w:rsidRDefault="00B424E8" w:rsidP="00B424E8">
      <w:pPr>
        <w:pStyle w:val="SingleTxtGA"/>
        <w:rPr>
          <w:rtl/>
          <w:lang w:eastAsia="zh-TW"/>
        </w:rPr>
      </w:pPr>
      <w:r>
        <w:rPr>
          <w:rtl/>
          <w:lang w:eastAsia="zh-TW"/>
        </w:rPr>
        <w:t>٥٧</w:t>
      </w:r>
      <w:r>
        <w:rPr>
          <w:rFonts w:hint="cs"/>
          <w:rtl/>
          <w:lang w:eastAsia="zh-TW"/>
        </w:rPr>
        <w:t>-</w:t>
      </w:r>
      <w:r>
        <w:rPr>
          <w:rFonts w:hint="cs"/>
          <w:rtl/>
          <w:lang w:eastAsia="zh-TW"/>
        </w:rPr>
        <w:tab/>
      </w:r>
      <w:r w:rsidR="004D4029" w:rsidRPr="00D57891">
        <w:rPr>
          <w:rtl/>
          <w:lang w:eastAsia="zh-TW"/>
        </w:rPr>
        <w:t xml:space="preserve">وأوصت اللجنة بتزويد الأطفال بمعلومات دقيقة وموضوعية عن المخدرات. ودعت إلى عدم إخضاع الأطفال الذين يتعاطون المخدرات للإجراءات الجنائية، وإلى إلغاء تجريم حيازة الأطفال للمخدرات (انظر </w:t>
      </w:r>
      <w:r w:rsidR="004D4029" w:rsidRPr="00D57891">
        <w:rPr>
          <w:lang w:eastAsia="zh-TW"/>
        </w:rPr>
        <w:t>CRC/C/OPAC/MEX/CO/1</w:t>
      </w:r>
      <w:r w:rsidR="004D4029" w:rsidRPr="00D57891">
        <w:rPr>
          <w:rtl/>
          <w:lang w:eastAsia="zh-TW"/>
        </w:rPr>
        <w:t>، الفقرة 29 و</w:t>
      </w:r>
      <w:r w:rsidR="004D4029" w:rsidRPr="00D57891">
        <w:rPr>
          <w:lang w:eastAsia="zh-TW"/>
        </w:rPr>
        <w:t>CRC/C/UKR/CO/4</w:t>
      </w:r>
      <w:r w:rsidR="004D4029" w:rsidRPr="00D57891">
        <w:rPr>
          <w:rtl/>
          <w:lang w:eastAsia="zh-TW"/>
        </w:rPr>
        <w:t xml:space="preserve">، الفقرتان 59-60). لكن اللجنة خلصت إلى أن الأطفال الذين يتعاطون المخدرات يتعرضون، </w:t>
      </w:r>
      <w:r w:rsidR="004D4029" w:rsidRPr="00D57891">
        <w:rPr>
          <w:rtl/>
          <w:lang w:eastAsia="zh-TW"/>
        </w:rPr>
        <w:lastRenderedPageBreak/>
        <w:t xml:space="preserve">في الممارسة العملية، للملاحقة الجنائية في معظم الدول، وفي كثير من الأحيان، لا تتاح لهم إمكانية الحصول على خدمات العلاج من تعاطي المخدرات </w:t>
      </w:r>
      <w:r w:rsidR="004D4029">
        <w:rPr>
          <w:rFonts w:hint="cs"/>
          <w:rtl/>
          <w:lang w:eastAsia="zh-TW"/>
        </w:rPr>
        <w:t>والحد من</w:t>
      </w:r>
      <w:r w:rsidR="004D4029" w:rsidRPr="00D57891">
        <w:rPr>
          <w:rtl/>
          <w:lang w:eastAsia="zh-TW"/>
        </w:rPr>
        <w:t xml:space="preserve"> الضرر. وانتقدت اللجنة تدخين محاصيل المخدرات انطلاقا من الجو لما له من تأثير على الأطفال (انظر </w:t>
      </w:r>
      <w:r w:rsidR="004D4029" w:rsidRPr="00D57891">
        <w:rPr>
          <w:lang w:eastAsia="zh-TW"/>
        </w:rPr>
        <w:t>CRC/C/COL/CO/3</w:t>
      </w:r>
      <w:r w:rsidR="004D4029" w:rsidRPr="00D57891">
        <w:rPr>
          <w:rtl/>
          <w:lang w:eastAsia="zh-TW"/>
        </w:rPr>
        <w:t xml:space="preserve">، الفقرة 72). وأدانت </w:t>
      </w:r>
      <w:r w:rsidR="004D6383">
        <w:rPr>
          <w:rtl/>
          <w:lang w:eastAsia="zh-TW"/>
        </w:rPr>
        <w:t>أيضاً</w:t>
      </w:r>
      <w:r w:rsidR="004D4029" w:rsidRPr="00D57891">
        <w:rPr>
          <w:rtl/>
          <w:lang w:eastAsia="zh-TW"/>
        </w:rPr>
        <w:t xml:space="preserve"> الممارسة المتبعة المتمثلة في إيداع الأطفال في مراكز الاحتجاز الإلزامي لعلاج إدمان المخدرات وإعادة التأهيل (</w:t>
      </w:r>
      <w:r w:rsidR="004D4029" w:rsidRPr="00D57891">
        <w:rPr>
          <w:rFonts w:hint="cs"/>
          <w:rtl/>
          <w:lang w:eastAsia="zh-TW"/>
        </w:rPr>
        <w:t xml:space="preserve">انظر </w:t>
      </w:r>
      <w:r w:rsidR="004D4029" w:rsidRPr="00D57891">
        <w:rPr>
          <w:rFonts w:hint="cs"/>
          <w:lang w:eastAsia="zh-TW"/>
        </w:rPr>
        <w:t>CRC</w:t>
      </w:r>
      <w:r w:rsidR="004D4029" w:rsidRPr="00D57891">
        <w:rPr>
          <w:lang w:eastAsia="zh-TW"/>
        </w:rPr>
        <w:t>/C/KHM/CO/2</w:t>
      </w:r>
      <w:r w:rsidR="004D4029" w:rsidRPr="00D57891">
        <w:rPr>
          <w:rtl/>
          <w:lang w:eastAsia="zh-TW"/>
        </w:rPr>
        <w:t>، الفقرتان 55-56).</w:t>
      </w:r>
      <w:r w:rsidR="004B16F2">
        <w:rPr>
          <w:rFonts w:hint="cs"/>
          <w:rtl/>
          <w:lang w:eastAsia="zh-TW"/>
        </w:rPr>
        <w:t xml:space="preserve"> </w:t>
      </w:r>
    </w:p>
    <w:p w:rsidR="004D4029" w:rsidRPr="00D65BF7" w:rsidRDefault="00B424E8" w:rsidP="00B424E8">
      <w:pPr>
        <w:pStyle w:val="HChGA"/>
        <w:rPr>
          <w:rtl/>
          <w:lang w:eastAsia="zh-TW"/>
        </w:rPr>
      </w:pPr>
      <w:r>
        <w:rPr>
          <w:rFonts w:hint="cs"/>
          <w:rtl/>
          <w:lang w:eastAsia="zh-TW"/>
        </w:rPr>
        <w:tab/>
      </w:r>
      <w:r w:rsidR="004D4029" w:rsidRPr="00D65BF7">
        <w:rPr>
          <w:rFonts w:hint="cs"/>
          <w:rtl/>
          <w:lang w:eastAsia="zh-TW"/>
        </w:rPr>
        <w:t>سادساً-</w:t>
      </w:r>
      <w:r>
        <w:rPr>
          <w:rtl/>
          <w:lang w:eastAsia="zh-TW"/>
        </w:rPr>
        <w:tab/>
      </w:r>
      <w:r w:rsidR="004D4029" w:rsidRPr="00D65BF7">
        <w:rPr>
          <w:rFonts w:hint="cs"/>
          <w:rtl/>
          <w:lang w:eastAsia="zh-TW"/>
        </w:rPr>
        <w:t>حقوق</w:t>
      </w:r>
      <w:r w:rsidR="004D4029" w:rsidRPr="00D65BF7">
        <w:rPr>
          <w:rtl/>
          <w:lang w:eastAsia="zh-TW"/>
        </w:rPr>
        <w:t xml:space="preserve"> الشعوب الأصلية</w:t>
      </w:r>
    </w:p>
    <w:p w:rsidR="004D4029" w:rsidRPr="00D57891" w:rsidRDefault="00B424E8" w:rsidP="00B424E8">
      <w:pPr>
        <w:pStyle w:val="SingleTxtGA"/>
        <w:rPr>
          <w:rtl/>
          <w:lang w:eastAsia="zh-TW"/>
        </w:rPr>
      </w:pPr>
      <w:r>
        <w:rPr>
          <w:rtl/>
          <w:lang w:eastAsia="zh-TW"/>
        </w:rPr>
        <w:t>٥٨</w:t>
      </w:r>
      <w:r>
        <w:rPr>
          <w:rFonts w:hint="cs"/>
          <w:rtl/>
          <w:lang w:eastAsia="zh-TW"/>
        </w:rPr>
        <w:t>-</w:t>
      </w:r>
      <w:r>
        <w:rPr>
          <w:rFonts w:hint="cs"/>
          <w:rtl/>
          <w:lang w:eastAsia="zh-TW"/>
        </w:rPr>
        <w:tab/>
      </w:r>
      <w:r w:rsidR="004D4029" w:rsidRPr="00D57891">
        <w:rPr>
          <w:rtl/>
          <w:lang w:eastAsia="zh-TW"/>
        </w:rPr>
        <w:t>تفرض اتفاقية عام 1961 قيودا</w:t>
      </w:r>
      <w:r w:rsidR="004A64ED">
        <w:rPr>
          <w:rFonts w:hint="cs"/>
          <w:rtl/>
          <w:lang w:eastAsia="zh-TW"/>
        </w:rPr>
        <w:t>ً</w:t>
      </w:r>
      <w:r w:rsidR="004D4029" w:rsidRPr="00D57891">
        <w:rPr>
          <w:rtl/>
          <w:lang w:eastAsia="zh-TW"/>
        </w:rPr>
        <w:t xml:space="preserve"> على زراعة </w:t>
      </w:r>
      <w:r w:rsidR="004D4029">
        <w:rPr>
          <w:rFonts w:hint="cs"/>
          <w:rtl/>
          <w:lang w:eastAsia="zh-TW"/>
        </w:rPr>
        <w:t>شجيرة</w:t>
      </w:r>
      <w:r w:rsidR="004D4029" w:rsidRPr="00D57891">
        <w:rPr>
          <w:rtl/>
          <w:lang w:eastAsia="zh-TW"/>
        </w:rPr>
        <w:t xml:space="preserve"> الكوكا وخشخاش الأفيون ونبتة القنب للاستخدامات التقليدية والدينية للشعوب الأصلية، وتقضي بإلغاء تدخين الأفيون في غضون 15 عاما</w:t>
      </w:r>
      <w:r>
        <w:rPr>
          <w:rFonts w:hint="cs"/>
          <w:rtl/>
          <w:lang w:eastAsia="zh-TW"/>
        </w:rPr>
        <w:t>ً</w:t>
      </w:r>
      <w:r w:rsidR="004D4029" w:rsidRPr="00D57891">
        <w:rPr>
          <w:rtl/>
          <w:lang w:eastAsia="zh-TW"/>
        </w:rPr>
        <w:t xml:space="preserve">، وإلغاء مضغ أوراق الكوكا في غضون 25 سنة، وإلغاء استعمال القنب في </w:t>
      </w:r>
      <w:r>
        <w:rPr>
          <w:rtl/>
          <w:lang w:eastAsia="zh-TW"/>
        </w:rPr>
        <w:t>غضون 25 سنة كحد أقصى (المادة 49</w:t>
      </w:r>
      <w:r w:rsidR="004D4029" w:rsidRPr="00D57891">
        <w:rPr>
          <w:rtl/>
          <w:lang w:eastAsia="zh-TW"/>
        </w:rPr>
        <w:t>(2)). وتلزم اتفاقية سنة 1988 الدول بتجريم حيازة وشراء وزراعة الكوكا للاستهلاك الشخصي، واتخاذ ما يلزم من تدابير لمنع الزراعة غير المشروعة لهذه النبتة ولاستئصال ما هو مزروع منها بصورة غير مشروعة. وعليها أن تولي في ذلك المراعاة الواجبة للاستخدامات التقليدية المشروعة، حيثما يكون هناك دليل تاريخ</w:t>
      </w:r>
      <w:r>
        <w:rPr>
          <w:rtl/>
          <w:lang w:eastAsia="zh-TW"/>
        </w:rPr>
        <w:t>ي على هذا الاستخدام" (المادة 14</w:t>
      </w:r>
      <w:r w:rsidR="004D4029" w:rsidRPr="00D57891">
        <w:rPr>
          <w:rtl/>
          <w:lang w:eastAsia="zh-TW"/>
        </w:rPr>
        <w:t xml:space="preserve">(2)). </w:t>
      </w:r>
    </w:p>
    <w:p w:rsidR="004D4029" w:rsidRPr="00D57891" w:rsidRDefault="00B424E8" w:rsidP="004B16F2">
      <w:pPr>
        <w:pStyle w:val="SingleTxtGA"/>
        <w:rPr>
          <w:bCs/>
          <w:rtl/>
          <w:lang w:eastAsia="zh-TW"/>
        </w:rPr>
      </w:pPr>
      <w:r>
        <w:rPr>
          <w:rtl/>
          <w:lang w:eastAsia="zh-TW"/>
        </w:rPr>
        <w:t>٥٩</w:t>
      </w:r>
      <w:r>
        <w:rPr>
          <w:rFonts w:hint="cs"/>
          <w:rtl/>
          <w:lang w:eastAsia="zh-TW"/>
        </w:rPr>
        <w:t>-</w:t>
      </w:r>
      <w:r>
        <w:rPr>
          <w:rFonts w:hint="cs"/>
          <w:rtl/>
          <w:lang w:eastAsia="zh-TW"/>
        </w:rPr>
        <w:tab/>
      </w:r>
      <w:r w:rsidR="004D4029" w:rsidRPr="00D57891">
        <w:rPr>
          <w:rtl/>
          <w:lang w:eastAsia="zh-TW"/>
        </w:rPr>
        <w:t>وفي عام 2009، دعا منتدى الأمم المتحدة الدائم المعني بقضايا الشعوب الأصلية إلى تعديل أو حذف الأج</w:t>
      </w:r>
      <w:r>
        <w:rPr>
          <w:rtl/>
          <w:lang w:eastAsia="zh-TW"/>
        </w:rPr>
        <w:t>زاء الواردة في اتفاقية عام 1961</w:t>
      </w:r>
      <w:r w:rsidR="004D4029" w:rsidRPr="00D57891">
        <w:rPr>
          <w:rtl/>
          <w:lang w:eastAsia="zh-TW"/>
        </w:rPr>
        <w:t xml:space="preserve"> بشأن مض</w:t>
      </w:r>
      <w:r w:rsidR="004A181E">
        <w:rPr>
          <w:rFonts w:hint="cs"/>
          <w:rtl/>
          <w:lang w:eastAsia="zh-TW"/>
        </w:rPr>
        <w:t>غ</w:t>
      </w:r>
      <w:r w:rsidR="004D4029" w:rsidRPr="00D57891">
        <w:rPr>
          <w:rtl/>
          <w:lang w:eastAsia="zh-TW"/>
        </w:rPr>
        <w:t xml:space="preserve"> أوراق الكوكا، </w:t>
      </w:r>
      <w:r w:rsidR="004D4029">
        <w:rPr>
          <w:rFonts w:hint="cs"/>
          <w:rtl/>
          <w:lang w:eastAsia="zh-TW"/>
        </w:rPr>
        <w:t>و</w:t>
      </w:r>
      <w:r w:rsidR="004D4029" w:rsidRPr="00D57891">
        <w:rPr>
          <w:rtl/>
          <w:lang w:eastAsia="zh-TW"/>
        </w:rPr>
        <w:t xml:space="preserve">التي تتعارض مع حقوق الشعوب الأصلية في الحفاظ على ممارساتها الصحية والثقافية التقليدية، على النحو المنصوص عليه في المواد 11 </w:t>
      </w:r>
      <w:r w:rsidR="004D4029" w:rsidRPr="00D57891">
        <w:rPr>
          <w:rFonts w:hint="cs"/>
          <w:rtl/>
          <w:lang w:eastAsia="zh-TW"/>
        </w:rPr>
        <w:t>و24 و31 من</w:t>
      </w:r>
      <w:r w:rsidR="004D4029" w:rsidRPr="00D57891">
        <w:rPr>
          <w:rtl/>
          <w:lang w:eastAsia="zh-TW"/>
        </w:rPr>
        <w:t xml:space="preserve"> إعلان الأمم المتحدة بشأن حقوق الشعوب الأصلية (انظر </w:t>
      </w:r>
      <w:r w:rsidR="004D4029" w:rsidRPr="00D57891">
        <w:rPr>
          <w:lang w:eastAsia="zh-TW"/>
        </w:rPr>
        <w:t>E/2009/43-E/C.19/2009/14</w:t>
      </w:r>
      <w:r w:rsidR="004B16F2">
        <w:rPr>
          <w:rtl/>
          <w:lang w:eastAsia="zh-TW"/>
        </w:rPr>
        <w:t>، الفقرة 89)</w:t>
      </w:r>
      <w:r w:rsidR="004A64ED">
        <w:rPr>
          <w:rStyle w:val="FootnoteReference"/>
          <w:rFonts w:ascii="Traditional Arabic" w:hAnsi="Traditional Arabic"/>
          <w:sz w:val="32"/>
          <w:szCs w:val="32"/>
          <w:rtl/>
          <w:lang w:eastAsia="zh-TW"/>
        </w:rPr>
        <w:t>(</w:t>
      </w:r>
      <w:r w:rsidR="004B16F2" w:rsidRPr="00D57891">
        <w:rPr>
          <w:rStyle w:val="FootnoteReference"/>
          <w:rFonts w:ascii="Traditional Arabic" w:hAnsi="Traditional Arabic"/>
          <w:sz w:val="32"/>
          <w:szCs w:val="32"/>
          <w:rtl/>
          <w:lang w:eastAsia="zh-TW"/>
        </w:rPr>
        <w:footnoteReference w:id="72"/>
      </w:r>
      <w:r w:rsidR="004A64ED">
        <w:rPr>
          <w:rStyle w:val="FootnoteReference"/>
          <w:rFonts w:ascii="Traditional Arabic" w:hAnsi="Traditional Arabic"/>
          <w:sz w:val="32"/>
          <w:szCs w:val="32"/>
          <w:rtl/>
          <w:lang w:eastAsia="zh-TW"/>
        </w:rPr>
        <w:t>)</w:t>
      </w:r>
      <w:r w:rsidR="004B16F2">
        <w:rPr>
          <w:rFonts w:hint="cs"/>
          <w:rtl/>
          <w:lang w:eastAsia="zh-TW"/>
        </w:rPr>
        <w:t>.</w:t>
      </w:r>
      <w:r w:rsidR="004D4029" w:rsidRPr="00D57891">
        <w:rPr>
          <w:rtl/>
          <w:lang w:eastAsia="zh-TW"/>
        </w:rPr>
        <w:t xml:space="preserve"> وفي عام 2011، انسحبت دولة بوليفيا المتعددة القوميات من اتفاقية عام 1961، ثم انضمت إليها من جديد مع إبداء تحفظ بشأن الممارسات التقليدية المرتبطة بأوراق الكوكا</w:t>
      </w:r>
      <w:r w:rsidR="004A64ED">
        <w:rPr>
          <w:rStyle w:val="FootnoteReference"/>
          <w:rFonts w:ascii="Traditional Arabic" w:hAnsi="Traditional Arabic"/>
          <w:sz w:val="32"/>
          <w:szCs w:val="32"/>
          <w:rtl/>
          <w:lang w:eastAsia="zh-TW"/>
        </w:rPr>
        <w:t>(</w:t>
      </w:r>
      <w:r w:rsidR="004B16F2" w:rsidRPr="00D57891">
        <w:rPr>
          <w:rStyle w:val="FootnoteReference"/>
          <w:rFonts w:ascii="Traditional Arabic" w:hAnsi="Traditional Arabic"/>
          <w:sz w:val="32"/>
          <w:szCs w:val="32"/>
          <w:rtl/>
          <w:lang w:eastAsia="zh-TW"/>
        </w:rPr>
        <w:footnoteReference w:id="73"/>
      </w:r>
      <w:r w:rsidR="004A64ED">
        <w:rPr>
          <w:rStyle w:val="FootnoteReference"/>
          <w:rFonts w:ascii="Traditional Arabic" w:hAnsi="Traditional Arabic"/>
          <w:sz w:val="32"/>
          <w:szCs w:val="32"/>
          <w:rtl/>
          <w:lang w:eastAsia="zh-TW"/>
        </w:rPr>
        <w:t>)</w:t>
      </w:r>
      <w:r w:rsidR="004B16F2">
        <w:rPr>
          <w:rFonts w:hint="cs"/>
          <w:rtl/>
          <w:lang w:eastAsia="zh-TW"/>
        </w:rPr>
        <w:t>.</w:t>
      </w:r>
      <w:r w:rsidR="004D4029" w:rsidRPr="00D57891">
        <w:rPr>
          <w:rtl/>
          <w:lang w:eastAsia="zh-TW"/>
        </w:rPr>
        <w:t xml:space="preserve"> </w:t>
      </w:r>
    </w:p>
    <w:p w:rsidR="004D4029" w:rsidRPr="00D57891" w:rsidRDefault="00B424E8" w:rsidP="004B16F2">
      <w:pPr>
        <w:pStyle w:val="SingleTxtGA"/>
        <w:rPr>
          <w:bCs/>
          <w:rtl/>
          <w:lang w:eastAsia="zh-TW"/>
        </w:rPr>
      </w:pPr>
      <w:r>
        <w:rPr>
          <w:rtl/>
          <w:lang w:eastAsia="zh-TW"/>
        </w:rPr>
        <w:t>٦٠</w:t>
      </w:r>
      <w:r>
        <w:rPr>
          <w:rFonts w:hint="cs"/>
          <w:rtl/>
          <w:lang w:eastAsia="zh-TW"/>
        </w:rPr>
        <w:t>-</w:t>
      </w:r>
      <w:r>
        <w:rPr>
          <w:rFonts w:hint="cs"/>
          <w:rtl/>
          <w:lang w:eastAsia="zh-TW"/>
        </w:rPr>
        <w:tab/>
      </w:r>
      <w:r w:rsidR="004D4029" w:rsidRPr="00D57891">
        <w:rPr>
          <w:rtl/>
          <w:lang w:eastAsia="zh-TW"/>
        </w:rPr>
        <w:t xml:space="preserve">وقد أقرت بعض الدول استثناءات من تطبيق المعاهدات المتعلقة بمكافحة المخدرات، لأسباب تشمل المعتقد </w:t>
      </w:r>
      <w:r w:rsidR="004D4029" w:rsidRPr="00D57891">
        <w:rPr>
          <w:rFonts w:hint="cs"/>
          <w:rtl/>
          <w:lang w:eastAsia="zh-TW"/>
        </w:rPr>
        <w:t>الديني.</w:t>
      </w:r>
      <w:r w:rsidR="004D4029" w:rsidRPr="00D57891">
        <w:rPr>
          <w:rtl/>
          <w:lang w:eastAsia="zh-TW"/>
        </w:rPr>
        <w:t xml:space="preserve"> ففي الولايات المتحدة، تستثنى الكنيسة الأمريكية الأصلية من الحظر المفروض على استهلاك نبتة </w:t>
      </w:r>
      <w:proofErr w:type="spellStart"/>
      <w:r w:rsidR="004D4029" w:rsidRPr="00D57891">
        <w:rPr>
          <w:rtl/>
          <w:lang w:eastAsia="zh-TW"/>
        </w:rPr>
        <w:t>البيوط</w:t>
      </w:r>
      <w:proofErr w:type="spellEnd"/>
      <w:r w:rsidR="004D4029" w:rsidRPr="00D57891">
        <w:rPr>
          <w:rtl/>
          <w:lang w:eastAsia="zh-TW"/>
        </w:rPr>
        <w:t>، وه</w:t>
      </w:r>
      <w:r w:rsidR="004D4029">
        <w:rPr>
          <w:rFonts w:hint="cs"/>
          <w:rtl/>
          <w:lang w:eastAsia="zh-TW"/>
        </w:rPr>
        <w:t>ي</w:t>
      </w:r>
      <w:r w:rsidR="004D4029" w:rsidRPr="00D57891">
        <w:rPr>
          <w:rtl/>
          <w:lang w:eastAsia="zh-TW"/>
        </w:rPr>
        <w:t xml:space="preserve"> من المواد الخاضعة للمراقبة، في الطقوس الدينية</w:t>
      </w:r>
      <w:r w:rsidR="004A64ED">
        <w:rPr>
          <w:rStyle w:val="FootnoteReference"/>
          <w:rFonts w:ascii="Traditional Arabic" w:hAnsi="Traditional Arabic"/>
          <w:sz w:val="32"/>
          <w:szCs w:val="32"/>
          <w:rtl/>
          <w:lang w:eastAsia="zh-TW"/>
        </w:rPr>
        <w:t>(</w:t>
      </w:r>
      <w:r w:rsidR="004B16F2" w:rsidRPr="00D57891">
        <w:rPr>
          <w:rStyle w:val="FootnoteReference"/>
          <w:rFonts w:ascii="Traditional Arabic" w:hAnsi="Traditional Arabic"/>
          <w:sz w:val="32"/>
          <w:szCs w:val="32"/>
          <w:rtl/>
          <w:lang w:eastAsia="zh-TW"/>
        </w:rPr>
        <w:footnoteReference w:id="74"/>
      </w:r>
      <w:r w:rsidR="004A64ED">
        <w:rPr>
          <w:rStyle w:val="FootnoteReference"/>
          <w:rFonts w:ascii="Traditional Arabic" w:hAnsi="Traditional Arabic"/>
          <w:sz w:val="32"/>
          <w:szCs w:val="32"/>
          <w:rtl/>
          <w:lang w:eastAsia="zh-TW"/>
        </w:rPr>
        <w:t>)</w:t>
      </w:r>
      <w:r w:rsidR="004B16F2">
        <w:rPr>
          <w:rFonts w:hint="cs"/>
          <w:rtl/>
          <w:lang w:eastAsia="zh-TW"/>
        </w:rPr>
        <w:t>.</w:t>
      </w:r>
      <w:r w:rsidR="004D4029" w:rsidRPr="00D57891">
        <w:rPr>
          <w:rtl/>
          <w:lang w:eastAsia="zh-TW"/>
        </w:rPr>
        <w:t xml:space="preserve"> وفي إيطاليا، ألغي حكم الإدانة الصادر في قضية مخدرات عن طريق الاستئناف لأن </w:t>
      </w:r>
      <w:r w:rsidR="004D4029" w:rsidRPr="00D57891">
        <w:rPr>
          <w:rtl/>
          <w:lang w:eastAsia="zh-TW"/>
        </w:rPr>
        <w:lastRenderedPageBreak/>
        <w:t xml:space="preserve">المحكمة الابتدائية لم تأخذ في الاعتبار الحجج التي قدمها المدعى عليه، وهو من أتباع </w:t>
      </w:r>
      <w:proofErr w:type="spellStart"/>
      <w:r w:rsidR="004D4029" w:rsidRPr="00D57891">
        <w:rPr>
          <w:rtl/>
          <w:lang w:eastAsia="zh-TW"/>
        </w:rPr>
        <w:t>الرستافارية</w:t>
      </w:r>
      <w:proofErr w:type="spellEnd"/>
      <w:r w:rsidR="004D4029" w:rsidRPr="00D57891">
        <w:rPr>
          <w:rtl/>
          <w:lang w:eastAsia="zh-TW"/>
        </w:rPr>
        <w:t>، واستند فيها إلى معتقداته الدينية</w:t>
      </w:r>
      <w:r w:rsidR="004A64ED">
        <w:rPr>
          <w:rStyle w:val="FootnoteReference"/>
          <w:rFonts w:ascii="Traditional Arabic" w:hAnsi="Traditional Arabic"/>
          <w:sz w:val="32"/>
          <w:szCs w:val="32"/>
          <w:rtl/>
          <w:lang w:eastAsia="zh-TW"/>
        </w:rPr>
        <w:t>(</w:t>
      </w:r>
      <w:r w:rsidR="004B16F2" w:rsidRPr="00D57891">
        <w:rPr>
          <w:rStyle w:val="FootnoteReference"/>
          <w:rFonts w:ascii="Traditional Arabic" w:hAnsi="Traditional Arabic"/>
          <w:sz w:val="32"/>
          <w:szCs w:val="32"/>
          <w:rtl/>
          <w:lang w:eastAsia="zh-TW"/>
        </w:rPr>
        <w:footnoteReference w:id="75"/>
      </w:r>
      <w:r w:rsidR="004A64ED">
        <w:rPr>
          <w:rStyle w:val="FootnoteReference"/>
          <w:rFonts w:ascii="Traditional Arabic" w:hAnsi="Traditional Arabic"/>
          <w:sz w:val="32"/>
          <w:szCs w:val="32"/>
          <w:rtl/>
          <w:lang w:eastAsia="zh-TW"/>
        </w:rPr>
        <w:t>)</w:t>
      </w:r>
      <w:r w:rsidR="004B16F2">
        <w:rPr>
          <w:rFonts w:hint="cs"/>
          <w:rtl/>
          <w:lang w:eastAsia="zh-TW"/>
        </w:rPr>
        <w:t>.</w:t>
      </w:r>
      <w:r w:rsidR="004D4029" w:rsidRPr="00D57891">
        <w:rPr>
          <w:rtl/>
          <w:lang w:eastAsia="zh-TW"/>
        </w:rPr>
        <w:t xml:space="preserve"> و</w:t>
      </w:r>
      <w:r w:rsidR="00E33FEB">
        <w:rPr>
          <w:rtl/>
          <w:lang w:eastAsia="zh-TW"/>
        </w:rPr>
        <w:t>في جامايكا، عمدت الحكومة في عام</w:t>
      </w:r>
      <w:r w:rsidR="00E33FEB">
        <w:rPr>
          <w:rFonts w:hint="cs"/>
          <w:rtl/>
          <w:lang w:eastAsia="zh-TW"/>
        </w:rPr>
        <w:t> </w:t>
      </w:r>
      <w:r w:rsidR="004D4029" w:rsidRPr="00D57891">
        <w:rPr>
          <w:rtl/>
          <w:lang w:eastAsia="zh-TW"/>
        </w:rPr>
        <w:t xml:space="preserve">2015 إلى تغيير تشريعاتها بما يجيز لأتباع </w:t>
      </w:r>
      <w:proofErr w:type="spellStart"/>
      <w:r w:rsidR="004D4029" w:rsidRPr="00D57891">
        <w:rPr>
          <w:rtl/>
          <w:lang w:eastAsia="zh-TW"/>
        </w:rPr>
        <w:t>الرستافارية</w:t>
      </w:r>
      <w:proofErr w:type="spellEnd"/>
      <w:r w:rsidR="004D4029" w:rsidRPr="00D57891">
        <w:rPr>
          <w:rtl/>
          <w:lang w:eastAsia="zh-TW"/>
        </w:rPr>
        <w:t xml:space="preserve"> الحق في استعمال القنب في الطقوس الدينية</w:t>
      </w:r>
      <w:r w:rsidR="004A64ED">
        <w:rPr>
          <w:rStyle w:val="FootnoteReference"/>
          <w:rFonts w:ascii="Traditional Arabic" w:hAnsi="Traditional Arabic"/>
          <w:sz w:val="32"/>
          <w:szCs w:val="32"/>
          <w:rtl/>
          <w:lang w:eastAsia="zh-TW"/>
        </w:rPr>
        <w:t>(</w:t>
      </w:r>
      <w:r w:rsidR="004B16F2" w:rsidRPr="00D57891">
        <w:rPr>
          <w:rStyle w:val="FootnoteReference"/>
          <w:rFonts w:ascii="Traditional Arabic" w:hAnsi="Traditional Arabic"/>
          <w:sz w:val="32"/>
          <w:szCs w:val="32"/>
          <w:rtl/>
          <w:lang w:eastAsia="zh-TW"/>
        </w:rPr>
        <w:footnoteReference w:id="76"/>
      </w:r>
      <w:r w:rsidR="004A64ED">
        <w:rPr>
          <w:rStyle w:val="FootnoteReference"/>
          <w:rFonts w:ascii="Traditional Arabic" w:hAnsi="Traditional Arabic"/>
          <w:sz w:val="32"/>
          <w:szCs w:val="32"/>
          <w:rtl/>
          <w:lang w:eastAsia="zh-TW"/>
        </w:rPr>
        <w:t>)</w:t>
      </w:r>
      <w:r w:rsidR="004B16F2">
        <w:rPr>
          <w:rFonts w:hint="cs"/>
          <w:rtl/>
          <w:lang w:eastAsia="zh-TW"/>
        </w:rPr>
        <w:t>.</w:t>
      </w:r>
      <w:r w:rsidR="004D4029" w:rsidRPr="00D57891">
        <w:rPr>
          <w:rtl/>
          <w:lang w:eastAsia="zh-TW"/>
        </w:rPr>
        <w:t xml:space="preserve"> وكانت السوابق القضائية فيما مضى تنزع إلى منع استخدام المخدرات الخاضعة للمراقبة في الطقوس الدينية كمظهر </w:t>
      </w:r>
      <w:r w:rsidR="004D4029">
        <w:rPr>
          <w:rFonts w:hint="cs"/>
          <w:rtl/>
          <w:lang w:eastAsia="zh-TW"/>
        </w:rPr>
        <w:t>يعبر عن</w:t>
      </w:r>
      <w:r w:rsidR="004D4029" w:rsidRPr="00D57891">
        <w:rPr>
          <w:rtl/>
          <w:lang w:eastAsia="zh-TW"/>
        </w:rPr>
        <w:t xml:space="preserve"> المعتقدات الدينية، وإن </w:t>
      </w:r>
      <w:r w:rsidR="004D4029">
        <w:rPr>
          <w:rFonts w:hint="cs"/>
          <w:rtl/>
          <w:lang w:eastAsia="zh-TW"/>
        </w:rPr>
        <w:t>اتسمت</w:t>
      </w:r>
      <w:r w:rsidR="004D4029" w:rsidRPr="00D57891">
        <w:rPr>
          <w:rtl/>
          <w:lang w:eastAsia="zh-TW"/>
        </w:rPr>
        <w:t xml:space="preserve"> وجهات النظر بشأن هذه المسألة </w:t>
      </w:r>
      <w:r w:rsidR="004D4029">
        <w:rPr>
          <w:rFonts w:hint="cs"/>
          <w:rtl/>
          <w:lang w:eastAsia="zh-TW"/>
        </w:rPr>
        <w:t>بالانقسام ال</w:t>
      </w:r>
      <w:r w:rsidR="004D4029" w:rsidRPr="00D57891">
        <w:rPr>
          <w:rtl/>
          <w:lang w:eastAsia="zh-TW"/>
        </w:rPr>
        <w:t>حاد في بعض الأحيان</w:t>
      </w:r>
      <w:r w:rsidR="004A64ED">
        <w:rPr>
          <w:rStyle w:val="FootnoteReference"/>
          <w:rFonts w:ascii="Traditional Arabic" w:hAnsi="Traditional Arabic"/>
          <w:sz w:val="32"/>
          <w:szCs w:val="32"/>
          <w:rtl/>
          <w:lang w:eastAsia="zh-TW"/>
        </w:rPr>
        <w:t>(</w:t>
      </w:r>
      <w:r w:rsidR="004B16F2" w:rsidRPr="00D57891">
        <w:rPr>
          <w:rStyle w:val="FootnoteReference"/>
          <w:rFonts w:ascii="Traditional Arabic" w:hAnsi="Traditional Arabic"/>
          <w:sz w:val="32"/>
          <w:szCs w:val="32"/>
          <w:rtl/>
          <w:lang w:eastAsia="zh-TW"/>
        </w:rPr>
        <w:footnoteReference w:id="77"/>
      </w:r>
      <w:r w:rsidR="004A64ED">
        <w:rPr>
          <w:rStyle w:val="FootnoteReference"/>
          <w:rFonts w:ascii="Traditional Arabic" w:hAnsi="Traditional Arabic"/>
          <w:sz w:val="32"/>
          <w:szCs w:val="32"/>
          <w:rtl/>
          <w:lang w:eastAsia="zh-TW"/>
        </w:rPr>
        <w:t>)</w:t>
      </w:r>
      <w:r w:rsidR="004B16F2">
        <w:rPr>
          <w:rFonts w:hint="cs"/>
          <w:rtl/>
          <w:lang w:eastAsia="zh-TW"/>
        </w:rPr>
        <w:t>.</w:t>
      </w:r>
      <w:r w:rsidR="004D4029" w:rsidRPr="00D57891">
        <w:rPr>
          <w:rtl/>
          <w:lang w:eastAsia="zh-TW"/>
        </w:rPr>
        <w:t xml:space="preserve"> </w:t>
      </w:r>
    </w:p>
    <w:p w:rsidR="004D4029" w:rsidRPr="00D57891" w:rsidRDefault="00B424E8" w:rsidP="00B424E8">
      <w:pPr>
        <w:pStyle w:val="HChGA"/>
        <w:rPr>
          <w:rtl/>
          <w:lang w:eastAsia="zh-TW"/>
        </w:rPr>
      </w:pPr>
      <w:r>
        <w:rPr>
          <w:rtl/>
          <w:lang w:eastAsia="zh-TW"/>
        </w:rPr>
        <w:tab/>
      </w:r>
      <w:r w:rsidR="004D4029" w:rsidRPr="00D57891">
        <w:rPr>
          <w:rFonts w:hint="cs"/>
          <w:rtl/>
          <w:lang w:eastAsia="zh-TW"/>
        </w:rPr>
        <w:t>سابعاً-</w:t>
      </w:r>
      <w:r>
        <w:rPr>
          <w:rtl/>
          <w:lang w:eastAsia="zh-TW"/>
        </w:rPr>
        <w:tab/>
      </w:r>
      <w:r w:rsidR="004D4029" w:rsidRPr="00D57891">
        <w:rPr>
          <w:rFonts w:hint="cs"/>
          <w:rtl/>
          <w:lang w:eastAsia="zh-TW"/>
        </w:rPr>
        <w:t>الاستنتاجات</w:t>
      </w:r>
      <w:r w:rsidR="004D4029" w:rsidRPr="00D57891">
        <w:rPr>
          <w:rtl/>
          <w:lang w:eastAsia="zh-TW"/>
        </w:rPr>
        <w:t xml:space="preserve"> والتوصيات</w:t>
      </w:r>
    </w:p>
    <w:p w:rsidR="004D4029" w:rsidRPr="00D57891" w:rsidRDefault="00B424E8" w:rsidP="00B424E8">
      <w:pPr>
        <w:pStyle w:val="SingleTxtGA"/>
        <w:rPr>
          <w:rtl/>
          <w:lang w:eastAsia="zh-TW"/>
        </w:rPr>
      </w:pPr>
      <w:r>
        <w:rPr>
          <w:rtl/>
          <w:lang w:eastAsia="zh-TW"/>
        </w:rPr>
        <w:t>٦١</w:t>
      </w:r>
      <w:r>
        <w:rPr>
          <w:rFonts w:hint="cs"/>
          <w:rtl/>
          <w:lang w:eastAsia="zh-TW"/>
        </w:rPr>
        <w:t>-</w:t>
      </w:r>
      <w:r>
        <w:rPr>
          <w:rtl/>
          <w:lang w:eastAsia="zh-TW"/>
        </w:rPr>
        <w:tab/>
      </w:r>
      <w:r w:rsidR="004D4029" w:rsidRPr="00BA7927">
        <w:rPr>
          <w:b/>
          <w:bCs/>
          <w:rtl/>
          <w:lang w:eastAsia="zh-TW"/>
        </w:rPr>
        <w:t xml:space="preserve">ينبغي حماية الحق في الصحة بضمان فرص الأشخاص الذين يتعاطون المخدرات في الحصول، دون تمييز، على المعلومات الصحية والعلاج. وينبغي أن تكون برامج </w:t>
      </w:r>
      <w:r w:rsidR="004D4029" w:rsidRPr="00BA7927">
        <w:rPr>
          <w:rFonts w:hint="cs"/>
          <w:b/>
          <w:bCs/>
          <w:rtl/>
          <w:lang w:eastAsia="zh-TW"/>
        </w:rPr>
        <w:t>الحد من</w:t>
      </w:r>
      <w:r w:rsidR="004D4029" w:rsidRPr="00BA7927">
        <w:rPr>
          <w:b/>
          <w:bCs/>
          <w:rtl/>
          <w:lang w:eastAsia="zh-TW"/>
        </w:rPr>
        <w:t xml:space="preserve"> الضرر، وخاصة العلاج بمواد بديلة </w:t>
      </w:r>
      <w:r w:rsidRPr="00BA7927">
        <w:rPr>
          <w:rFonts w:hint="cs"/>
          <w:b/>
          <w:bCs/>
          <w:rtl/>
          <w:lang w:eastAsia="zh-TW"/>
        </w:rPr>
        <w:t xml:space="preserve">لأشباه </w:t>
      </w:r>
      <w:r w:rsidR="004D4029" w:rsidRPr="00BA7927">
        <w:rPr>
          <w:b/>
          <w:bCs/>
          <w:rtl/>
          <w:lang w:eastAsia="zh-TW"/>
        </w:rPr>
        <w:t>الأفيون، متاحة وأن تقدم لمدمني المخدرات، ولا سيما في السجون وغيرها من أماكن الاحتجاز. وينبغي أن ينظر في إزالة العقبات التي تعترض التمتع بالحق في الصحة، بطرق منها إلغاء تجريم حيازة المخدرات واستخدامها للاستهلاك الشخصي؛ وعلاوة على ذلك، ينبغي زيادة عدد برامج الصحة العامة. ويستوجب الحق في الصحة تحسين فرص الحصول على الأدوية الأساسية الخاضعة للمراقبة، ولا سيما في البلدان النامية.</w:t>
      </w:r>
      <w:r w:rsidR="00A3394E">
        <w:rPr>
          <w:rFonts w:hint="cs"/>
          <w:rtl/>
          <w:lang w:eastAsia="zh-TW"/>
        </w:rPr>
        <w:t xml:space="preserve"> </w:t>
      </w:r>
    </w:p>
    <w:p w:rsidR="004D4029" w:rsidRPr="00D57891" w:rsidRDefault="00B424E8" w:rsidP="004D6383">
      <w:pPr>
        <w:pStyle w:val="SingleTxtGA"/>
        <w:spacing w:line="360" w:lineRule="exact"/>
        <w:rPr>
          <w:rtl/>
          <w:lang w:eastAsia="zh-TW"/>
        </w:rPr>
      </w:pPr>
      <w:r>
        <w:rPr>
          <w:rtl/>
          <w:lang w:eastAsia="zh-TW"/>
        </w:rPr>
        <w:t>٦٢</w:t>
      </w:r>
      <w:r>
        <w:rPr>
          <w:rFonts w:hint="cs"/>
          <w:rtl/>
          <w:lang w:eastAsia="zh-TW"/>
        </w:rPr>
        <w:t>-</w:t>
      </w:r>
      <w:r>
        <w:rPr>
          <w:rFonts w:hint="cs"/>
          <w:rtl/>
          <w:lang w:eastAsia="zh-TW"/>
        </w:rPr>
        <w:tab/>
      </w:r>
      <w:r w:rsidRPr="00BA7927">
        <w:rPr>
          <w:rFonts w:hint="cs"/>
          <w:b/>
          <w:bCs/>
          <w:rtl/>
          <w:lang w:eastAsia="zh-TW"/>
        </w:rPr>
        <w:t>و</w:t>
      </w:r>
      <w:r w:rsidR="004D4029" w:rsidRPr="00BA7927">
        <w:rPr>
          <w:b/>
          <w:bCs/>
          <w:rtl/>
          <w:lang w:eastAsia="zh-TW"/>
        </w:rPr>
        <w:t>ينبغي ضمان حظر الاعتقال والاحتجاز التعسفيين والتعذيب وغيره من ضروب سوء المعاملة، والحق في المحاكمة العادلة وفقا</w:t>
      </w:r>
      <w:r w:rsidRPr="00BA7927">
        <w:rPr>
          <w:rFonts w:hint="cs"/>
          <w:b/>
          <w:bCs/>
          <w:rtl/>
          <w:lang w:eastAsia="zh-TW"/>
        </w:rPr>
        <w:t>ً</w:t>
      </w:r>
      <w:r w:rsidR="004D4029" w:rsidRPr="00BA7927">
        <w:rPr>
          <w:b/>
          <w:bCs/>
          <w:rtl/>
          <w:lang w:eastAsia="zh-TW"/>
        </w:rPr>
        <w:t xml:space="preserve"> للمعايير الدولية، بما في ذلك فيما يتعلق بالأشخاص المعتقلين أو المحتجزين أو المتهمين بار</w:t>
      </w:r>
      <w:r w:rsidR="001658B2">
        <w:rPr>
          <w:b/>
          <w:bCs/>
          <w:rtl/>
          <w:lang w:eastAsia="zh-TW"/>
        </w:rPr>
        <w:t>تكاب جرائم تتعلق بالمخدرات. ولا</w:t>
      </w:r>
      <w:r w:rsidR="001658B2">
        <w:rPr>
          <w:rFonts w:hint="cs"/>
          <w:b/>
          <w:bCs/>
          <w:rtl/>
          <w:lang w:eastAsia="zh-TW"/>
        </w:rPr>
        <w:t> </w:t>
      </w:r>
      <w:r w:rsidR="004D4029" w:rsidRPr="00BA7927">
        <w:rPr>
          <w:b/>
          <w:bCs/>
          <w:rtl/>
          <w:lang w:eastAsia="zh-TW"/>
        </w:rPr>
        <w:t xml:space="preserve">ينبغي حرمان مدمني المخدرات في أماكن الاحتجاز من الحصول على العلاج بمواد بديلة </w:t>
      </w:r>
      <w:r w:rsidRPr="00BA7927">
        <w:rPr>
          <w:rFonts w:hint="cs"/>
          <w:b/>
          <w:bCs/>
          <w:rtl/>
          <w:lang w:eastAsia="zh-TW"/>
        </w:rPr>
        <w:t xml:space="preserve">لأشباه </w:t>
      </w:r>
      <w:r w:rsidR="004D4029" w:rsidRPr="00BA7927">
        <w:rPr>
          <w:b/>
          <w:bCs/>
          <w:rtl/>
          <w:lang w:eastAsia="zh-TW"/>
        </w:rPr>
        <w:t>الأفيون كوسيلة لانتزاع اعترافات أو معلومات أخرى، وينبغي توفير هذا النوع من العلاج باعتباره جزءا</w:t>
      </w:r>
      <w:r w:rsidRPr="00BA7927">
        <w:rPr>
          <w:rFonts w:hint="cs"/>
          <w:b/>
          <w:bCs/>
          <w:rtl/>
          <w:lang w:eastAsia="zh-TW"/>
        </w:rPr>
        <w:t>ً</w:t>
      </w:r>
      <w:r w:rsidR="004D4029" w:rsidRPr="00BA7927">
        <w:rPr>
          <w:b/>
          <w:bCs/>
          <w:rtl/>
          <w:lang w:eastAsia="zh-TW"/>
        </w:rPr>
        <w:t xml:space="preserve"> من </w:t>
      </w:r>
      <w:r w:rsidR="004D4029" w:rsidRPr="00BA7927">
        <w:rPr>
          <w:rFonts w:hint="cs"/>
          <w:b/>
          <w:bCs/>
          <w:rtl/>
          <w:lang w:eastAsia="zh-TW"/>
        </w:rPr>
        <w:t>حق الشخص</w:t>
      </w:r>
      <w:r w:rsidR="004D4029" w:rsidRPr="00BA7927">
        <w:rPr>
          <w:b/>
          <w:bCs/>
          <w:rtl/>
          <w:lang w:eastAsia="zh-TW"/>
        </w:rPr>
        <w:t xml:space="preserve"> المحتجز في الصحة في جميع الظروف. وينبغي إغلاق مراكز الاحتجاز الإلزامي.</w:t>
      </w:r>
      <w:r>
        <w:rPr>
          <w:rFonts w:hint="cs"/>
          <w:rtl/>
          <w:lang w:eastAsia="zh-TW"/>
        </w:rPr>
        <w:t xml:space="preserve"> </w:t>
      </w:r>
    </w:p>
    <w:p w:rsidR="004D4029" w:rsidRPr="00D57891" w:rsidRDefault="00B424E8" w:rsidP="004D6383">
      <w:pPr>
        <w:pStyle w:val="SingleTxtGA"/>
        <w:spacing w:line="360" w:lineRule="exact"/>
        <w:rPr>
          <w:rtl/>
          <w:lang w:eastAsia="zh-TW"/>
        </w:rPr>
      </w:pPr>
      <w:r>
        <w:rPr>
          <w:rtl/>
          <w:lang w:eastAsia="zh-TW"/>
        </w:rPr>
        <w:t>٦٣</w:t>
      </w:r>
      <w:r>
        <w:rPr>
          <w:rFonts w:hint="cs"/>
          <w:rtl/>
          <w:lang w:eastAsia="zh-TW"/>
        </w:rPr>
        <w:t>-</w:t>
      </w:r>
      <w:r>
        <w:rPr>
          <w:rFonts w:hint="cs"/>
          <w:rtl/>
          <w:lang w:eastAsia="zh-TW"/>
        </w:rPr>
        <w:tab/>
      </w:r>
      <w:r w:rsidR="004D4029" w:rsidRPr="00BA7927">
        <w:rPr>
          <w:b/>
          <w:bCs/>
          <w:rtl/>
          <w:lang w:eastAsia="zh-TW"/>
        </w:rPr>
        <w:t xml:space="preserve">وينبغي </w:t>
      </w:r>
      <w:r w:rsidR="004D4029" w:rsidRPr="00BA7927">
        <w:rPr>
          <w:rFonts w:hint="cs"/>
          <w:b/>
          <w:bCs/>
          <w:rtl/>
          <w:lang w:eastAsia="zh-TW"/>
        </w:rPr>
        <w:t>حماية</w:t>
      </w:r>
      <w:r w:rsidR="004D4029" w:rsidRPr="00BA7927">
        <w:rPr>
          <w:b/>
          <w:bCs/>
          <w:rtl/>
          <w:lang w:eastAsia="zh-TW"/>
        </w:rPr>
        <w:t xml:space="preserve"> </w:t>
      </w:r>
      <w:r w:rsidR="004D4029" w:rsidRPr="00BA7927">
        <w:rPr>
          <w:rFonts w:hint="cs"/>
          <w:b/>
          <w:bCs/>
          <w:rtl/>
          <w:lang w:eastAsia="zh-TW"/>
        </w:rPr>
        <w:t>ال</w:t>
      </w:r>
      <w:r w:rsidR="004D4029" w:rsidRPr="00BA7927">
        <w:rPr>
          <w:b/>
          <w:bCs/>
          <w:rtl/>
          <w:lang w:eastAsia="zh-TW"/>
        </w:rPr>
        <w:t xml:space="preserve">حق </w:t>
      </w:r>
      <w:r w:rsidR="004D4029" w:rsidRPr="00BA7927">
        <w:rPr>
          <w:rFonts w:hint="cs"/>
          <w:b/>
          <w:bCs/>
          <w:rtl/>
          <w:lang w:eastAsia="zh-TW"/>
        </w:rPr>
        <w:t>في الحياة المكفول ل</w:t>
      </w:r>
      <w:r w:rsidR="004D4029" w:rsidRPr="00BA7927">
        <w:rPr>
          <w:b/>
          <w:bCs/>
          <w:rtl/>
          <w:lang w:eastAsia="zh-TW"/>
        </w:rPr>
        <w:t xml:space="preserve">لأشخاص </w:t>
      </w:r>
      <w:r w:rsidR="004D4029" w:rsidRPr="00BA7927">
        <w:rPr>
          <w:rFonts w:hint="cs"/>
          <w:b/>
          <w:bCs/>
          <w:rtl/>
          <w:lang w:eastAsia="zh-TW"/>
        </w:rPr>
        <w:t>الذين يدانون</w:t>
      </w:r>
      <w:r w:rsidR="004D4029" w:rsidRPr="00BA7927">
        <w:rPr>
          <w:b/>
          <w:bCs/>
          <w:rtl/>
          <w:lang w:eastAsia="zh-TW"/>
        </w:rPr>
        <w:t xml:space="preserve"> بجرائم تتعلق بالمخدرات، ولا ينبغي، وفقا للمادة 6 من العهد الدولي الخاص بالحقوق المدنية والسياسية والاجتهاد القانوني للجنة المعنية بحقوق الإنسان، تطبيق عقوبة الإعدام على هؤلاء. وينبغي أن تحمي </w:t>
      </w:r>
      <w:r w:rsidRPr="00BA7927">
        <w:rPr>
          <w:rFonts w:hint="cs"/>
          <w:b/>
          <w:bCs/>
          <w:rtl/>
          <w:lang w:eastAsia="zh-TW"/>
        </w:rPr>
        <w:t xml:space="preserve">أجهزة </w:t>
      </w:r>
      <w:r w:rsidR="004D4029" w:rsidRPr="00BA7927">
        <w:rPr>
          <w:rFonts w:hint="cs"/>
          <w:b/>
          <w:bCs/>
          <w:rtl/>
          <w:lang w:eastAsia="zh-TW"/>
        </w:rPr>
        <w:t>إنفاذ</w:t>
      </w:r>
      <w:r w:rsidR="004D4029" w:rsidRPr="00BA7927">
        <w:rPr>
          <w:b/>
          <w:bCs/>
          <w:rtl/>
          <w:lang w:eastAsia="zh-TW"/>
        </w:rPr>
        <w:t xml:space="preserve"> القانون الحق في الحياة في جهودها الرامية إلى </w:t>
      </w:r>
      <w:r w:rsidR="004D4029" w:rsidRPr="00BA7927">
        <w:rPr>
          <w:b/>
          <w:bCs/>
          <w:rtl/>
          <w:lang w:eastAsia="zh-TW"/>
        </w:rPr>
        <w:lastRenderedPageBreak/>
        <w:t xml:space="preserve">التصدي للجرائم المتعلقة بالمخدرات، وألا تلجأ إلى استخدام القوة إلا على أساس مبدأ التناسب وفي حالات </w:t>
      </w:r>
      <w:r w:rsidR="004D4029" w:rsidRPr="00BA7927">
        <w:rPr>
          <w:rFonts w:hint="cs"/>
          <w:b/>
          <w:bCs/>
          <w:rtl/>
          <w:lang w:eastAsia="zh-TW"/>
        </w:rPr>
        <w:t>الضرورة</w:t>
      </w:r>
      <w:r w:rsidR="004D4029" w:rsidRPr="00BA7927">
        <w:rPr>
          <w:b/>
          <w:bCs/>
          <w:rtl/>
          <w:lang w:eastAsia="zh-TW"/>
        </w:rPr>
        <w:t>. وينبغي إجراء تحقيقات فورية ومستقلة وفعالة بشأن حالات الإعدام خارج القضاء من أجل تقديم الجناة المزعومين إلى العدالة.</w:t>
      </w:r>
    </w:p>
    <w:p w:rsidR="004D4029" w:rsidRPr="00D57891" w:rsidRDefault="004D4029" w:rsidP="004D6383">
      <w:pPr>
        <w:pStyle w:val="SingleTxtGA"/>
        <w:spacing w:line="360" w:lineRule="exact"/>
        <w:rPr>
          <w:rtl/>
          <w:lang w:eastAsia="zh-TW"/>
        </w:rPr>
      </w:pPr>
      <w:r w:rsidRPr="00D57891">
        <w:rPr>
          <w:rtl/>
          <w:lang w:eastAsia="zh-TW"/>
        </w:rPr>
        <w:t>٦</w:t>
      </w:r>
      <w:r w:rsidR="00B424E8">
        <w:rPr>
          <w:rtl/>
          <w:lang w:eastAsia="zh-TW"/>
        </w:rPr>
        <w:t>٤</w:t>
      </w:r>
      <w:r w:rsidR="00B424E8">
        <w:rPr>
          <w:rFonts w:hint="cs"/>
          <w:rtl/>
          <w:lang w:eastAsia="zh-TW"/>
        </w:rPr>
        <w:t>-</w:t>
      </w:r>
      <w:r w:rsidR="00B424E8">
        <w:rPr>
          <w:rFonts w:hint="cs"/>
          <w:rtl/>
          <w:lang w:eastAsia="zh-TW"/>
        </w:rPr>
        <w:tab/>
      </w:r>
      <w:r w:rsidRPr="00BA7927">
        <w:rPr>
          <w:b/>
          <w:bCs/>
          <w:rtl/>
          <w:lang w:eastAsia="zh-TW"/>
        </w:rPr>
        <w:t>وينبغي</w:t>
      </w:r>
      <w:r w:rsidRPr="00BA7927">
        <w:rPr>
          <w:rFonts w:hint="cs"/>
          <w:b/>
          <w:bCs/>
          <w:rtl/>
          <w:lang w:eastAsia="zh-TW"/>
        </w:rPr>
        <w:t xml:space="preserve"> توفير ال</w:t>
      </w:r>
      <w:r w:rsidRPr="00BA7927">
        <w:rPr>
          <w:b/>
          <w:bCs/>
          <w:rtl/>
          <w:lang w:eastAsia="zh-TW"/>
        </w:rPr>
        <w:t>حماية</w:t>
      </w:r>
      <w:r w:rsidRPr="00BA7927">
        <w:rPr>
          <w:rFonts w:hint="cs"/>
          <w:b/>
          <w:bCs/>
          <w:rtl/>
          <w:lang w:eastAsia="zh-TW"/>
        </w:rPr>
        <w:t xml:space="preserve"> من التمييز ل</w:t>
      </w:r>
      <w:r w:rsidRPr="00BA7927">
        <w:rPr>
          <w:b/>
          <w:bCs/>
          <w:rtl/>
          <w:lang w:eastAsia="zh-TW"/>
        </w:rPr>
        <w:t xml:space="preserve">أفراد الأقليات </w:t>
      </w:r>
      <w:proofErr w:type="spellStart"/>
      <w:r w:rsidRPr="00BA7927">
        <w:rPr>
          <w:b/>
          <w:bCs/>
          <w:rtl/>
          <w:lang w:eastAsia="zh-TW"/>
        </w:rPr>
        <w:t>الإثنية</w:t>
      </w:r>
      <w:proofErr w:type="spellEnd"/>
      <w:r w:rsidRPr="00BA7927">
        <w:rPr>
          <w:b/>
          <w:bCs/>
          <w:rtl/>
          <w:lang w:eastAsia="zh-TW"/>
        </w:rPr>
        <w:t xml:space="preserve"> والنساء </w:t>
      </w:r>
      <w:r w:rsidRPr="00BA7927">
        <w:rPr>
          <w:rFonts w:hint="cs"/>
          <w:b/>
          <w:bCs/>
          <w:rtl/>
          <w:lang w:eastAsia="zh-TW"/>
        </w:rPr>
        <w:t xml:space="preserve">في حال حيازة </w:t>
      </w:r>
      <w:r w:rsidRPr="00BA7927">
        <w:rPr>
          <w:b/>
          <w:bCs/>
          <w:rtl/>
          <w:lang w:eastAsia="zh-TW"/>
        </w:rPr>
        <w:t xml:space="preserve">المخدرات أو </w:t>
      </w:r>
      <w:r w:rsidRPr="00BA7927">
        <w:rPr>
          <w:rFonts w:hint="cs"/>
          <w:b/>
          <w:bCs/>
          <w:rtl/>
          <w:lang w:eastAsia="zh-TW"/>
        </w:rPr>
        <w:t>استخدامها</w:t>
      </w:r>
      <w:r w:rsidRPr="00BA7927">
        <w:rPr>
          <w:b/>
          <w:bCs/>
          <w:rtl/>
          <w:lang w:eastAsia="zh-TW"/>
        </w:rPr>
        <w:t xml:space="preserve"> أو </w:t>
      </w:r>
      <w:r w:rsidRPr="00BA7927">
        <w:rPr>
          <w:rFonts w:hint="cs"/>
          <w:b/>
          <w:bCs/>
          <w:rtl/>
          <w:lang w:eastAsia="zh-TW"/>
        </w:rPr>
        <w:t>توزيعها</w:t>
      </w:r>
      <w:r w:rsidRPr="00BA7927">
        <w:rPr>
          <w:b/>
          <w:bCs/>
          <w:rtl/>
          <w:lang w:eastAsia="zh-TW"/>
        </w:rPr>
        <w:t xml:space="preserve"> في نطاق محدود. وينبغي أن ينظر في إصلاح القوانين والسياسات لمعالجة التباين في تأثير السياسات المتبعة لمكافحة المخدرات على الأقليات </w:t>
      </w:r>
      <w:proofErr w:type="spellStart"/>
      <w:r w:rsidRPr="00BA7927">
        <w:rPr>
          <w:b/>
          <w:bCs/>
          <w:rtl/>
          <w:lang w:eastAsia="zh-TW"/>
        </w:rPr>
        <w:t>الإثنيات</w:t>
      </w:r>
      <w:proofErr w:type="spellEnd"/>
      <w:r w:rsidRPr="00BA7927">
        <w:rPr>
          <w:b/>
          <w:bCs/>
          <w:rtl/>
          <w:lang w:eastAsia="zh-TW"/>
        </w:rPr>
        <w:t xml:space="preserve"> والنساء. وينبغي أن ينظر أيضا</w:t>
      </w:r>
      <w:r w:rsidR="00B424E8" w:rsidRPr="00BA7927">
        <w:rPr>
          <w:rFonts w:hint="cs"/>
          <w:b/>
          <w:bCs/>
          <w:rtl/>
          <w:lang w:eastAsia="zh-TW"/>
        </w:rPr>
        <w:t>ً</w:t>
      </w:r>
      <w:r w:rsidRPr="00BA7927">
        <w:rPr>
          <w:b/>
          <w:bCs/>
          <w:rtl/>
          <w:lang w:eastAsia="zh-TW"/>
        </w:rPr>
        <w:t xml:space="preserve"> في توفير التدريب لموظفي إنفاذ القان</w:t>
      </w:r>
      <w:r w:rsidR="00B424E8" w:rsidRPr="00BA7927">
        <w:rPr>
          <w:b/>
          <w:bCs/>
          <w:rtl/>
          <w:lang w:eastAsia="zh-TW"/>
        </w:rPr>
        <w:t>ون</w:t>
      </w:r>
      <w:r w:rsidRPr="00BA7927">
        <w:rPr>
          <w:b/>
          <w:bCs/>
          <w:rtl/>
          <w:lang w:eastAsia="zh-TW"/>
        </w:rPr>
        <w:t xml:space="preserve"> وموظفي الرعاية الصحية والأخصائيين الاجتماعيين الذين يتعاملون مع متعاطي المخدرات من أجل القضاء على التمييز.</w:t>
      </w:r>
      <w:r w:rsidRPr="00D57891">
        <w:rPr>
          <w:rtl/>
          <w:lang w:eastAsia="zh-TW"/>
        </w:rPr>
        <w:t xml:space="preserve"> </w:t>
      </w:r>
    </w:p>
    <w:p w:rsidR="004D4029" w:rsidRPr="00D57891" w:rsidRDefault="00B424E8" w:rsidP="004D6383">
      <w:pPr>
        <w:pStyle w:val="SingleTxtGA"/>
        <w:spacing w:line="360" w:lineRule="exact"/>
        <w:rPr>
          <w:rtl/>
          <w:lang w:eastAsia="zh-TW"/>
        </w:rPr>
      </w:pPr>
      <w:r>
        <w:rPr>
          <w:rtl/>
          <w:lang w:eastAsia="zh-TW"/>
        </w:rPr>
        <w:t>٦٥</w:t>
      </w:r>
      <w:r>
        <w:rPr>
          <w:rFonts w:hint="cs"/>
          <w:rtl/>
          <w:lang w:eastAsia="zh-TW"/>
        </w:rPr>
        <w:t>-</w:t>
      </w:r>
      <w:r>
        <w:rPr>
          <w:rFonts w:hint="cs"/>
          <w:rtl/>
          <w:lang w:eastAsia="zh-TW"/>
        </w:rPr>
        <w:tab/>
      </w:r>
      <w:r w:rsidRPr="00B424E8">
        <w:rPr>
          <w:rFonts w:hint="cs"/>
          <w:b/>
          <w:bCs/>
          <w:rtl/>
          <w:lang w:eastAsia="zh-TW"/>
        </w:rPr>
        <w:t>و</w:t>
      </w:r>
      <w:r w:rsidR="004D4029" w:rsidRPr="00B424E8">
        <w:rPr>
          <w:b/>
          <w:bCs/>
          <w:rtl/>
          <w:lang w:eastAsia="zh-TW"/>
        </w:rPr>
        <w:t xml:space="preserve">بالنظر إلى </w:t>
      </w:r>
      <w:r w:rsidR="004D4029" w:rsidRPr="00B424E8">
        <w:rPr>
          <w:rFonts w:hint="cs"/>
          <w:b/>
          <w:bCs/>
          <w:rtl/>
          <w:lang w:eastAsia="zh-TW"/>
        </w:rPr>
        <w:t xml:space="preserve">الأثر البالغ الذي قد </w:t>
      </w:r>
      <w:r w:rsidR="004D4029" w:rsidRPr="00B424E8">
        <w:rPr>
          <w:b/>
          <w:bCs/>
          <w:rtl/>
          <w:lang w:eastAsia="zh-TW"/>
        </w:rPr>
        <w:t xml:space="preserve">تخلفه </w:t>
      </w:r>
      <w:r w:rsidR="004D4029" w:rsidRPr="00B424E8">
        <w:rPr>
          <w:rFonts w:hint="cs"/>
          <w:b/>
          <w:bCs/>
          <w:rtl/>
          <w:lang w:eastAsia="zh-TW"/>
        </w:rPr>
        <w:t>ال</w:t>
      </w:r>
      <w:r w:rsidR="004D4029" w:rsidRPr="00B424E8">
        <w:rPr>
          <w:b/>
          <w:bCs/>
          <w:rtl/>
          <w:lang w:eastAsia="zh-TW"/>
        </w:rPr>
        <w:t>إدانة</w:t>
      </w:r>
      <w:r w:rsidR="004D4029" w:rsidRPr="00B424E8">
        <w:rPr>
          <w:rFonts w:hint="cs"/>
          <w:b/>
          <w:bCs/>
          <w:rtl/>
          <w:lang w:eastAsia="zh-TW"/>
        </w:rPr>
        <w:t xml:space="preserve"> </w:t>
      </w:r>
      <w:r w:rsidR="004D4029" w:rsidRPr="00B424E8">
        <w:rPr>
          <w:b/>
          <w:bCs/>
          <w:rtl/>
          <w:lang w:eastAsia="zh-TW"/>
        </w:rPr>
        <w:t xml:space="preserve">بارتكاب جريمة تتعلق بالمخدرات </w:t>
      </w:r>
      <w:r w:rsidR="004D4029" w:rsidRPr="00B424E8">
        <w:rPr>
          <w:rFonts w:hint="cs"/>
          <w:b/>
          <w:bCs/>
          <w:rtl/>
          <w:lang w:eastAsia="zh-TW"/>
        </w:rPr>
        <w:t>على حياة</w:t>
      </w:r>
      <w:r w:rsidR="004D4029" w:rsidRPr="00B424E8">
        <w:rPr>
          <w:b/>
          <w:bCs/>
          <w:rtl/>
          <w:lang w:eastAsia="zh-TW"/>
        </w:rPr>
        <w:t xml:space="preserve"> الشخص، ينبغي أن ينظر في اعتماد بدائل لمحاكمة وحبس الأشخاص بسبب ارتكاب هذا النوع من الجرائم عندما تكون بسيطة ولا تنطوي على استخدام العنف. وينبغي </w:t>
      </w:r>
      <w:r w:rsidRPr="00B424E8">
        <w:rPr>
          <w:rFonts w:hint="cs"/>
          <w:b/>
          <w:bCs/>
          <w:rtl/>
          <w:lang w:eastAsia="zh-TW"/>
        </w:rPr>
        <w:t xml:space="preserve">أخذ هذه </w:t>
      </w:r>
      <w:r w:rsidR="004D4029" w:rsidRPr="00B424E8">
        <w:rPr>
          <w:b/>
          <w:bCs/>
          <w:rtl/>
          <w:lang w:eastAsia="zh-TW"/>
        </w:rPr>
        <w:t xml:space="preserve">البدائل </w:t>
      </w:r>
      <w:r w:rsidRPr="00B424E8">
        <w:rPr>
          <w:rFonts w:hint="cs"/>
          <w:b/>
          <w:bCs/>
          <w:rtl/>
          <w:lang w:eastAsia="zh-TW"/>
        </w:rPr>
        <w:t xml:space="preserve">في الاعتبار </w:t>
      </w:r>
      <w:r w:rsidR="004D4029" w:rsidRPr="00B424E8">
        <w:rPr>
          <w:b/>
          <w:bCs/>
          <w:rtl/>
          <w:lang w:eastAsia="zh-TW"/>
        </w:rPr>
        <w:t xml:space="preserve">في الإصلاحات الرامية إلى الحد من </w:t>
      </w:r>
      <w:r w:rsidRPr="00B424E8">
        <w:rPr>
          <w:rFonts w:hint="cs"/>
          <w:b/>
          <w:bCs/>
          <w:rtl/>
          <w:lang w:eastAsia="zh-TW"/>
        </w:rPr>
        <w:t xml:space="preserve">الإفراط في </w:t>
      </w:r>
      <w:r w:rsidR="004D4029" w:rsidRPr="00B424E8">
        <w:rPr>
          <w:b/>
          <w:bCs/>
          <w:rtl/>
          <w:lang w:eastAsia="zh-TW"/>
        </w:rPr>
        <w:t>اللجوء إلى الحبس.</w:t>
      </w:r>
      <w:r>
        <w:rPr>
          <w:rFonts w:hint="cs"/>
          <w:rtl/>
          <w:lang w:eastAsia="zh-TW"/>
        </w:rPr>
        <w:t xml:space="preserve"> </w:t>
      </w:r>
    </w:p>
    <w:p w:rsidR="004D4029" w:rsidRPr="00D57891" w:rsidRDefault="00B424E8" w:rsidP="004D6383">
      <w:pPr>
        <w:pStyle w:val="SingleTxtGA"/>
        <w:spacing w:after="100" w:line="360" w:lineRule="exact"/>
        <w:rPr>
          <w:rtl/>
          <w:lang w:eastAsia="zh-TW"/>
        </w:rPr>
      </w:pPr>
      <w:r>
        <w:rPr>
          <w:rtl/>
          <w:lang w:eastAsia="zh-TW"/>
        </w:rPr>
        <w:t>٦٦</w:t>
      </w:r>
      <w:r>
        <w:rPr>
          <w:rFonts w:hint="cs"/>
          <w:rtl/>
          <w:lang w:eastAsia="zh-TW"/>
        </w:rPr>
        <w:t>-</w:t>
      </w:r>
      <w:r>
        <w:rPr>
          <w:rtl/>
          <w:lang w:eastAsia="zh-TW"/>
        </w:rPr>
        <w:tab/>
      </w:r>
      <w:r w:rsidR="004D4029" w:rsidRPr="00B424E8">
        <w:rPr>
          <w:b/>
          <w:bCs/>
          <w:rtl/>
          <w:lang w:eastAsia="zh-TW"/>
        </w:rPr>
        <w:t xml:space="preserve">وينبغي حماية حقوق الطفل من خلال التركيز على أنشطة الوقاية واعتماد طريقة </w:t>
      </w:r>
      <w:r w:rsidR="004D4029" w:rsidRPr="00B424E8">
        <w:rPr>
          <w:rFonts w:hint="cs"/>
          <w:b/>
          <w:bCs/>
          <w:rtl/>
          <w:lang w:eastAsia="zh-TW"/>
        </w:rPr>
        <w:t>في ال</w:t>
      </w:r>
      <w:r w:rsidR="004D4029" w:rsidRPr="00B424E8">
        <w:rPr>
          <w:b/>
          <w:bCs/>
          <w:rtl/>
          <w:lang w:eastAsia="zh-TW"/>
        </w:rPr>
        <w:t xml:space="preserve">تواصل تكون ملائمة للطفل وتتناسب مع عمره، بما في ذلك فيما يتعلق بمخاطر نقل فيروس نقص المناعة البشرية وسائر الفيروسات المنقولة بالدم من خلال تعاطي المخدرات عن طريق الحقن. ولا ينبغي أن </w:t>
      </w:r>
      <w:r w:rsidRPr="00B424E8">
        <w:rPr>
          <w:rFonts w:hint="cs"/>
          <w:b/>
          <w:bCs/>
          <w:rtl/>
          <w:lang w:eastAsia="zh-TW"/>
        </w:rPr>
        <w:t xml:space="preserve">يخضع </w:t>
      </w:r>
      <w:r w:rsidR="004D4029" w:rsidRPr="00B424E8">
        <w:rPr>
          <w:b/>
          <w:bCs/>
          <w:rtl/>
          <w:lang w:eastAsia="zh-TW"/>
        </w:rPr>
        <w:t xml:space="preserve">الأطفال للملاحقة الجنائية بل ينبغي التركيز في تدابير الاستجابة على التثقيف الصحي والعلاج، بما في ذلك برامج </w:t>
      </w:r>
      <w:r w:rsidR="004D4029" w:rsidRPr="00B424E8">
        <w:rPr>
          <w:rFonts w:hint="cs"/>
          <w:b/>
          <w:bCs/>
          <w:rtl/>
          <w:lang w:eastAsia="zh-TW"/>
        </w:rPr>
        <w:t>الحد من</w:t>
      </w:r>
      <w:r w:rsidR="004D4029" w:rsidRPr="00B424E8">
        <w:rPr>
          <w:b/>
          <w:bCs/>
          <w:rtl/>
          <w:lang w:eastAsia="zh-TW"/>
        </w:rPr>
        <w:t xml:space="preserve"> الضرر، وإعادة الإدماج في المجتمع.</w:t>
      </w:r>
      <w:r w:rsidR="004D4029" w:rsidRPr="00D57891">
        <w:rPr>
          <w:rtl/>
          <w:lang w:eastAsia="zh-TW"/>
        </w:rPr>
        <w:t xml:space="preserve"> </w:t>
      </w:r>
    </w:p>
    <w:p w:rsidR="004D4029" w:rsidRPr="00D57891" w:rsidRDefault="00B424E8" w:rsidP="004D6383">
      <w:pPr>
        <w:pStyle w:val="SingleTxtGA"/>
        <w:spacing w:line="360" w:lineRule="exact"/>
        <w:rPr>
          <w:rtl/>
          <w:lang w:eastAsia="zh-TW"/>
        </w:rPr>
      </w:pPr>
      <w:r>
        <w:rPr>
          <w:rtl/>
          <w:lang w:eastAsia="zh-TW"/>
        </w:rPr>
        <w:t>٦٧</w:t>
      </w:r>
      <w:r>
        <w:rPr>
          <w:rFonts w:hint="cs"/>
          <w:rtl/>
          <w:lang w:eastAsia="zh-TW"/>
        </w:rPr>
        <w:t>-</w:t>
      </w:r>
      <w:r>
        <w:rPr>
          <w:rFonts w:hint="cs"/>
          <w:rtl/>
          <w:lang w:eastAsia="zh-TW"/>
        </w:rPr>
        <w:tab/>
      </w:r>
      <w:r w:rsidRPr="00B424E8">
        <w:rPr>
          <w:rFonts w:hint="cs"/>
          <w:b/>
          <w:bCs/>
          <w:rtl/>
          <w:lang w:eastAsia="zh-TW"/>
        </w:rPr>
        <w:t>و</w:t>
      </w:r>
      <w:r w:rsidR="004D4029" w:rsidRPr="00B424E8">
        <w:rPr>
          <w:rFonts w:hint="cs"/>
          <w:b/>
          <w:bCs/>
          <w:rtl/>
          <w:lang w:eastAsia="zh-TW"/>
        </w:rPr>
        <w:t>ل</w:t>
      </w:r>
      <w:r w:rsidR="004D4029" w:rsidRPr="00B424E8">
        <w:rPr>
          <w:b/>
          <w:bCs/>
          <w:rtl/>
          <w:lang w:eastAsia="zh-TW"/>
        </w:rPr>
        <w:t xml:space="preserve">لشعوب الأصلية الحق في </w:t>
      </w:r>
      <w:r w:rsidRPr="00B424E8">
        <w:rPr>
          <w:rFonts w:hint="cs"/>
          <w:b/>
          <w:bCs/>
          <w:rtl/>
          <w:lang w:eastAsia="zh-TW"/>
        </w:rPr>
        <w:t xml:space="preserve">اتباع </w:t>
      </w:r>
      <w:r w:rsidR="004D4029" w:rsidRPr="00B424E8">
        <w:rPr>
          <w:b/>
          <w:bCs/>
          <w:rtl/>
          <w:lang w:eastAsia="zh-TW"/>
        </w:rPr>
        <w:t>ممارساتها التقليدية والثقافية والدينية. وعندما يدخل تعاطي المخدرات في إطار هذه الممارسات، ينبغي</w:t>
      </w:r>
      <w:r w:rsidR="00C66BF6">
        <w:rPr>
          <w:rFonts w:hint="cs"/>
          <w:b/>
          <w:bCs/>
          <w:rtl/>
          <w:lang w:eastAsia="zh-TW"/>
        </w:rPr>
        <w:t>،</w:t>
      </w:r>
      <w:r w:rsidR="004D4029" w:rsidRPr="00B424E8">
        <w:rPr>
          <w:b/>
          <w:bCs/>
          <w:rtl/>
          <w:lang w:eastAsia="zh-TW"/>
        </w:rPr>
        <w:t xml:space="preserve"> من </w:t>
      </w:r>
      <w:r w:rsidR="004D4029" w:rsidRPr="00B424E8">
        <w:rPr>
          <w:rFonts w:hint="cs"/>
          <w:b/>
          <w:bCs/>
          <w:rtl/>
          <w:lang w:eastAsia="zh-TW"/>
        </w:rPr>
        <w:t>حيث المبدأ</w:t>
      </w:r>
      <w:r w:rsidR="004D4029" w:rsidRPr="00B424E8">
        <w:rPr>
          <w:b/>
          <w:bCs/>
          <w:rtl/>
          <w:lang w:eastAsia="zh-TW"/>
        </w:rPr>
        <w:t xml:space="preserve">، حماية الحق في </w:t>
      </w:r>
      <w:r w:rsidRPr="00B424E8">
        <w:rPr>
          <w:rFonts w:hint="cs"/>
          <w:b/>
          <w:bCs/>
          <w:rtl/>
          <w:lang w:eastAsia="zh-TW"/>
        </w:rPr>
        <w:t xml:space="preserve">هذا التعاطي لمثل هذه الأغراض المحددة </w:t>
      </w:r>
      <w:r w:rsidR="004D4029" w:rsidRPr="00B424E8">
        <w:rPr>
          <w:b/>
          <w:bCs/>
          <w:rtl/>
          <w:lang w:eastAsia="zh-TW"/>
        </w:rPr>
        <w:t>بدقة، رهنا</w:t>
      </w:r>
      <w:r w:rsidRPr="00B424E8">
        <w:rPr>
          <w:rFonts w:hint="cs"/>
          <w:b/>
          <w:bCs/>
          <w:rtl/>
          <w:lang w:eastAsia="zh-TW"/>
        </w:rPr>
        <w:t>ً</w:t>
      </w:r>
      <w:r w:rsidR="004D4029" w:rsidRPr="00B424E8">
        <w:rPr>
          <w:b/>
          <w:bCs/>
          <w:rtl/>
          <w:lang w:eastAsia="zh-TW"/>
        </w:rPr>
        <w:t xml:space="preserve"> بالقيود المنصوص عليها في قانون حقوق الإنسان.</w:t>
      </w:r>
      <w:r>
        <w:rPr>
          <w:rFonts w:hint="cs"/>
          <w:rtl/>
          <w:lang w:eastAsia="zh-TW"/>
        </w:rPr>
        <w:t xml:space="preserve"> </w:t>
      </w:r>
    </w:p>
    <w:p w:rsidR="004D4029" w:rsidRPr="004D4029" w:rsidRDefault="004D4029" w:rsidP="004D6383">
      <w:pPr>
        <w:spacing w:before="120" w:line="240" w:lineRule="exact"/>
        <w:jc w:val="center"/>
        <w:rPr>
          <w:u w:val="single"/>
          <w:rtl/>
          <w:lang w:eastAsia="ar-SA"/>
        </w:rPr>
      </w:pPr>
      <w:r>
        <w:rPr>
          <w:u w:val="single"/>
          <w:rtl/>
          <w:lang w:eastAsia="ar-SA"/>
        </w:rPr>
        <w:tab/>
      </w:r>
      <w:r>
        <w:rPr>
          <w:u w:val="single"/>
          <w:rtl/>
          <w:lang w:eastAsia="ar-SA"/>
        </w:rPr>
        <w:tab/>
      </w:r>
      <w:r>
        <w:rPr>
          <w:u w:val="single"/>
          <w:rtl/>
          <w:lang w:eastAsia="ar-SA"/>
        </w:rPr>
        <w:tab/>
      </w:r>
    </w:p>
    <w:sectPr w:rsidR="004D4029" w:rsidRPr="004D4029" w:rsidSect="00237145">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134"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EB" w:rsidRPr="002901D9" w:rsidRDefault="00E33FEB" w:rsidP="002901D9">
      <w:pPr>
        <w:spacing w:after="60" w:line="240" w:lineRule="auto"/>
        <w:rPr>
          <w:i/>
          <w:iCs/>
        </w:rPr>
      </w:pPr>
      <w:r>
        <w:rPr>
          <w:rFonts w:hint="cs"/>
          <w:i/>
          <w:iCs/>
          <w:rtl/>
        </w:rPr>
        <w:t>الحواشي</w:t>
      </w:r>
    </w:p>
  </w:endnote>
  <w:endnote w:type="continuationSeparator" w:id="0">
    <w:p w:rsidR="00E33FEB" w:rsidRDefault="00E33FEB"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B" w:rsidRPr="004D4029" w:rsidRDefault="00E33FEB" w:rsidP="004D4029">
    <w:pPr>
      <w:pStyle w:val="Footer"/>
      <w:tabs>
        <w:tab w:val="right" w:pos="9598"/>
      </w:tabs>
      <w:rPr>
        <w:sz w:val="17"/>
      </w:rPr>
    </w:pPr>
    <w:r>
      <w:rPr>
        <w:sz w:val="17"/>
      </w:rPr>
      <w:t>GE.15-14996</w:t>
    </w:r>
    <w:r>
      <w:rPr>
        <w:sz w:val="17"/>
      </w:rPr>
      <w:tab/>
    </w:r>
    <w:r w:rsidRPr="004D4029">
      <w:rPr>
        <w:b/>
        <w:sz w:val="18"/>
      </w:rPr>
      <w:fldChar w:fldCharType="begin"/>
    </w:r>
    <w:r w:rsidRPr="004D4029">
      <w:rPr>
        <w:b/>
        <w:sz w:val="18"/>
      </w:rPr>
      <w:instrText xml:space="preserve"> PAGE  \* MERGEFORMAT </w:instrText>
    </w:r>
    <w:r w:rsidRPr="004D4029">
      <w:rPr>
        <w:b/>
        <w:sz w:val="18"/>
      </w:rPr>
      <w:fldChar w:fldCharType="separate"/>
    </w:r>
    <w:r w:rsidR="001B1A50">
      <w:rPr>
        <w:b/>
        <w:noProof/>
        <w:sz w:val="18"/>
      </w:rPr>
      <w:t>22</w:t>
    </w:r>
    <w:r w:rsidRPr="004D402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B" w:rsidRPr="004D4029" w:rsidRDefault="00E33FEB" w:rsidP="006959B0">
    <w:pPr>
      <w:pStyle w:val="Footer"/>
      <w:tabs>
        <w:tab w:val="right" w:pos="9599"/>
      </w:tabs>
      <w:jc w:val="left"/>
      <w:rPr>
        <w:b/>
        <w:sz w:val="18"/>
        <w:lang w:val="en-US"/>
      </w:rPr>
    </w:pPr>
    <w:r w:rsidRPr="004D4029">
      <w:rPr>
        <w:b/>
        <w:sz w:val="18"/>
        <w:lang w:val="en-US"/>
      </w:rPr>
      <w:fldChar w:fldCharType="begin"/>
    </w:r>
    <w:r w:rsidRPr="004D4029">
      <w:rPr>
        <w:b/>
        <w:sz w:val="18"/>
        <w:lang w:val="en-US"/>
      </w:rPr>
      <w:instrText xml:space="preserve"> PAGE  \* MERGEFORMAT </w:instrText>
    </w:r>
    <w:r w:rsidRPr="004D4029">
      <w:rPr>
        <w:b/>
        <w:sz w:val="18"/>
        <w:lang w:val="en-US"/>
      </w:rPr>
      <w:fldChar w:fldCharType="separate"/>
    </w:r>
    <w:r w:rsidR="001B1A50">
      <w:rPr>
        <w:b/>
        <w:noProof/>
        <w:sz w:val="18"/>
        <w:lang w:val="en-US"/>
      </w:rPr>
      <w:t>21</w:t>
    </w:r>
    <w:r w:rsidRPr="004D4029">
      <w:rPr>
        <w:b/>
        <w:sz w:val="18"/>
        <w:lang w:val="en-US"/>
      </w:rPr>
      <w:fldChar w:fldCharType="end"/>
    </w:r>
    <w:r>
      <w:rPr>
        <w:b/>
        <w:sz w:val="18"/>
        <w:lang w:val="en-US"/>
      </w:rPr>
      <w:tab/>
    </w:r>
    <w:r>
      <w:rPr>
        <w:sz w:val="17"/>
        <w:lang w:val="en-US"/>
      </w:rPr>
      <w:t>GE.15-14996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B" w:rsidRDefault="00E33FEB" w:rsidP="00FD4BC9">
    <w:pPr>
      <w:pStyle w:val="Footer"/>
      <w:jc w:val="right"/>
      <w:rPr>
        <w:sz w:val="20"/>
        <w:szCs w:val="20"/>
      </w:rPr>
    </w:pPr>
    <w:r>
      <w:rPr>
        <w:sz w:val="20"/>
        <w:szCs w:val="20"/>
      </w:rPr>
      <w:t>GE.15-14996</w:t>
    </w:r>
    <w:r>
      <w:rPr>
        <w:noProof/>
        <w:lang w:val="en-US"/>
      </w:rPr>
      <w:drawing>
        <wp:anchor distT="0" distB="0" distL="114300" distR="114300" simplePos="0" relativeHeight="251659264" behindDoc="1" locked="1" layoutInCell="0" allowOverlap="1" wp14:anchorId="03C1ABFE" wp14:editId="37EFE945">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286">
      <w:rPr>
        <w:sz w:val="20"/>
        <w:szCs w:val="20"/>
      </w:rPr>
      <w:t>(A)</w:t>
    </w:r>
  </w:p>
  <w:p w:rsidR="00E33FEB" w:rsidRPr="00237145" w:rsidRDefault="00E33FEB" w:rsidP="00237145">
    <w:pPr>
      <w:pStyle w:val="Footer"/>
      <w:jc w:val="right"/>
      <w:rPr>
        <w:rFonts w:ascii="C39T30Lfz" w:hAnsi="C39T30Lfz"/>
        <w:sz w:val="56"/>
        <w:szCs w:val="20"/>
      </w:rPr>
    </w:pP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noProof/>
        <w:sz w:val="56"/>
        <w:szCs w:val="20"/>
        <w:lang w:val="en-US"/>
      </w:rPr>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30/65&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0/65&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EB" w:rsidRPr="0054762C" w:rsidRDefault="00E33FEB" w:rsidP="00173565">
      <w:pPr>
        <w:pStyle w:val="Footer"/>
        <w:bidi/>
        <w:spacing w:after="80" w:line="200" w:lineRule="exact"/>
        <w:ind w:left="680"/>
      </w:pPr>
      <w:r>
        <w:rPr>
          <w:rtl/>
        </w:rPr>
        <w:t>__________</w:t>
      </w:r>
    </w:p>
  </w:footnote>
  <w:footnote w:type="continuationSeparator" w:id="0">
    <w:p w:rsidR="00E33FEB" w:rsidRDefault="00E33FEB" w:rsidP="00656392">
      <w:pPr>
        <w:spacing w:line="240" w:lineRule="auto"/>
      </w:pPr>
      <w:r>
        <w:continuationSeparator/>
      </w:r>
    </w:p>
  </w:footnote>
  <w:footnote w:id="1">
    <w:p w:rsidR="00E33FEB" w:rsidRPr="004D28D4" w:rsidRDefault="00E33FEB" w:rsidP="004D28D4">
      <w:pPr>
        <w:pStyle w:val="FootnoteText1"/>
        <w:tabs>
          <w:tab w:val="left" w:pos="1268"/>
        </w:tabs>
        <w:ind w:left="1275" w:hanging="553"/>
      </w:pPr>
      <w:r w:rsidRPr="004D28D4">
        <w:rPr>
          <w:rtl/>
        </w:rPr>
        <w:t>*</w:t>
      </w:r>
      <w:r w:rsidRPr="004D28D4">
        <w:rPr>
          <w:rtl/>
        </w:rPr>
        <w:tab/>
        <w:t>تأخر تقديم هذه الوثيقة</w:t>
      </w:r>
      <w:r w:rsidRPr="004D28D4">
        <w:rPr>
          <w:rFonts w:hint="cs"/>
          <w:rtl/>
        </w:rPr>
        <w:t xml:space="preserve">. </w:t>
      </w:r>
    </w:p>
  </w:footnote>
  <w:footnote w:id="2">
    <w:p w:rsidR="00E33FEB" w:rsidRPr="004D28D4" w:rsidRDefault="00E33FEB" w:rsidP="001A4A4A">
      <w:pPr>
        <w:pStyle w:val="FootnoteText"/>
        <w:tabs>
          <w:tab w:val="left" w:pos="1268"/>
        </w:tabs>
        <w:spacing w:after="60" w:line="300" w:lineRule="exact"/>
        <w:ind w:left="1275" w:right="1247" w:hanging="553"/>
        <w:jc w:val="left"/>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sz w:val="18"/>
          <w:szCs w:val="26"/>
          <w:rtl/>
          <w:lang w:eastAsia="zh-TW"/>
        </w:rPr>
        <w:tab/>
      </w:r>
      <w:r w:rsidRPr="004D28D4">
        <w:rPr>
          <w:rFonts w:hint="cs"/>
          <w:sz w:val="18"/>
          <w:szCs w:val="26"/>
          <w:rtl/>
          <w:lang w:eastAsia="zh-TW"/>
        </w:rPr>
        <w:t>التقارير متاحة على الموقع التالي:</w:t>
      </w:r>
      <w:r w:rsidRPr="004D28D4">
        <w:rPr>
          <w:sz w:val="18"/>
          <w:szCs w:val="26"/>
          <w:rtl/>
          <w:lang w:eastAsia="zh-TW"/>
        </w:rPr>
        <w:t xml:space="preserve"> </w:t>
      </w:r>
      <w:r w:rsidRPr="004D28D4">
        <w:rPr>
          <w:sz w:val="18"/>
          <w:szCs w:val="26"/>
          <w:lang w:eastAsia="zh-TW"/>
        </w:rPr>
        <w:t>www.ohchr.org/EN/HRBodies/HRC/Pages/WorldDrugProblem.aspx</w:t>
      </w:r>
      <w:r w:rsidRPr="004D28D4">
        <w:rPr>
          <w:sz w:val="18"/>
          <w:szCs w:val="26"/>
          <w:rtl/>
          <w:lang w:eastAsia="zh-TW"/>
        </w:rPr>
        <w:t>.</w:t>
      </w:r>
      <w:r w:rsidRPr="004D28D4">
        <w:rPr>
          <w:rFonts w:hint="cs"/>
          <w:sz w:val="18"/>
          <w:szCs w:val="26"/>
          <w:rtl/>
          <w:lang w:eastAsia="zh-TW"/>
        </w:rPr>
        <w:t xml:space="preserve"> </w:t>
      </w:r>
    </w:p>
  </w:footnote>
  <w:footnote w:id="3">
    <w:p w:rsidR="00E33FEB" w:rsidRPr="004D28D4" w:rsidRDefault="00E33FEB" w:rsidP="00E47CD8">
      <w:pPr>
        <w:pStyle w:val="FootnoteText"/>
        <w:tabs>
          <w:tab w:val="left" w:pos="1268"/>
          <w:tab w:val="left" w:pos="5265"/>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sidRPr="004D28D4">
        <w:rPr>
          <w:rFonts w:hint="cs"/>
          <w:sz w:val="18"/>
          <w:szCs w:val="26"/>
          <w:rtl/>
          <w:lang w:eastAsia="zh-TW"/>
        </w:rPr>
        <w:tab/>
        <w:t>انظر</w:t>
      </w:r>
      <w:r w:rsidR="001A4A4A">
        <w:rPr>
          <w:rFonts w:hint="cs"/>
          <w:sz w:val="18"/>
          <w:szCs w:val="26"/>
          <w:rtl/>
          <w:lang w:eastAsia="zh-TW"/>
        </w:rPr>
        <w:t xml:space="preserve"> </w:t>
      </w:r>
      <w:r w:rsidRPr="004D28D4">
        <w:rPr>
          <w:sz w:val="18"/>
          <w:szCs w:val="26"/>
        </w:rPr>
        <w:t xml:space="preserve">Single Convention </w:t>
      </w:r>
      <w:r w:rsidR="001A4A4A">
        <w:rPr>
          <w:sz w:val="18"/>
          <w:szCs w:val="26"/>
        </w:rPr>
        <w:t>on Narcotic Drugs of 1961, art.</w:t>
      </w:r>
      <w:r w:rsidRPr="004D28D4">
        <w:rPr>
          <w:sz w:val="18"/>
          <w:szCs w:val="26"/>
        </w:rPr>
        <w:t xml:space="preserve"> 2 (5)</w:t>
      </w:r>
      <w:r w:rsidR="001A4A4A">
        <w:rPr>
          <w:sz w:val="18"/>
          <w:szCs w:val="26"/>
          <w:rtl/>
          <w:lang w:eastAsia="zh-TW"/>
        </w:rPr>
        <w:t>.</w:t>
      </w:r>
      <w:r w:rsidR="001A4A4A">
        <w:rPr>
          <w:rFonts w:hint="cs"/>
          <w:sz w:val="18"/>
          <w:szCs w:val="26"/>
          <w:rtl/>
          <w:lang w:eastAsia="zh-TW"/>
        </w:rPr>
        <w:t xml:space="preserve"> </w:t>
      </w:r>
    </w:p>
  </w:footnote>
  <w:footnote w:id="4">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World Health Organization (WHO), United Nations Office</w:t>
      </w:r>
      <w:r w:rsidR="001A4A4A">
        <w:rPr>
          <w:sz w:val="18"/>
          <w:szCs w:val="26"/>
          <w:lang w:eastAsia="zh-TW"/>
        </w:rPr>
        <w:t xml:space="preserve"> on Drugs and Crime (UNODC) and</w:t>
      </w:r>
      <w:r w:rsidR="001A4A4A">
        <w:rPr>
          <w:sz w:val="18"/>
          <w:szCs w:val="26"/>
          <w:lang w:eastAsia="zh-TW"/>
        </w:rPr>
        <w:br/>
      </w:r>
      <w:r w:rsidRPr="004D28D4">
        <w:rPr>
          <w:sz w:val="18"/>
          <w:szCs w:val="26"/>
          <w:lang w:eastAsia="zh-TW"/>
        </w:rPr>
        <w:t xml:space="preserve">Joint United Nations </w:t>
      </w:r>
      <w:proofErr w:type="spellStart"/>
      <w:r w:rsidRPr="004D28D4">
        <w:rPr>
          <w:sz w:val="18"/>
          <w:szCs w:val="26"/>
          <w:lang w:eastAsia="zh-TW"/>
        </w:rPr>
        <w:t>Programme</w:t>
      </w:r>
      <w:proofErr w:type="spellEnd"/>
      <w:r w:rsidRPr="004D28D4">
        <w:rPr>
          <w:sz w:val="18"/>
          <w:szCs w:val="26"/>
          <w:lang w:eastAsia="zh-TW"/>
        </w:rPr>
        <w:t xml:space="preserve"> on HIV/AIDS (UNAIDS), </w:t>
      </w:r>
      <w:r w:rsidRPr="009F465E">
        <w:rPr>
          <w:i/>
          <w:iCs/>
          <w:sz w:val="18"/>
          <w:szCs w:val="26"/>
          <w:lang w:eastAsia="zh-TW"/>
        </w:rPr>
        <w:t xml:space="preserve">Technical Guide for Countries to Set Targets for Universal Access to HIV Prevention, Treatment and Care for Injecting Drug Users </w:t>
      </w:r>
      <w:r w:rsidRPr="004D28D4">
        <w:rPr>
          <w:sz w:val="18"/>
          <w:szCs w:val="26"/>
          <w:lang w:eastAsia="zh-TW"/>
        </w:rPr>
        <w:t>(2012), p. 26</w:t>
      </w:r>
      <w:r w:rsidRPr="004D28D4">
        <w:rPr>
          <w:sz w:val="18"/>
          <w:szCs w:val="26"/>
          <w:rtl/>
          <w:lang w:eastAsia="zh-TW"/>
        </w:rPr>
        <w:t>.</w:t>
      </w:r>
      <w:r w:rsidR="001A4A4A">
        <w:rPr>
          <w:rFonts w:hint="cs"/>
          <w:sz w:val="18"/>
          <w:szCs w:val="26"/>
          <w:rtl/>
          <w:lang w:eastAsia="zh-TW"/>
        </w:rPr>
        <w:t xml:space="preserve"> </w:t>
      </w:r>
    </w:p>
  </w:footnote>
  <w:footnote w:id="5">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WHO, </w:t>
      </w:r>
      <w:r w:rsidRPr="009F465E">
        <w:rPr>
          <w:i/>
          <w:iCs/>
          <w:sz w:val="18"/>
          <w:szCs w:val="26"/>
          <w:lang w:eastAsia="zh-TW"/>
        </w:rPr>
        <w:t xml:space="preserve">Consolidated Guidelines on HIV Prevention, Diagnosis, Treatment and Care </w:t>
      </w:r>
      <w:r w:rsidR="001A4A4A" w:rsidRPr="009F465E">
        <w:rPr>
          <w:i/>
          <w:iCs/>
          <w:sz w:val="18"/>
          <w:szCs w:val="26"/>
          <w:lang w:eastAsia="zh-TW"/>
        </w:rPr>
        <w:t>for Key</w:t>
      </w:r>
      <w:r w:rsidR="001A4A4A" w:rsidRPr="009F465E">
        <w:rPr>
          <w:i/>
          <w:iCs/>
          <w:sz w:val="18"/>
          <w:szCs w:val="26"/>
          <w:lang w:eastAsia="zh-TW"/>
        </w:rPr>
        <w:br/>
      </w:r>
      <w:r w:rsidRPr="009F465E">
        <w:rPr>
          <w:i/>
          <w:iCs/>
          <w:sz w:val="18"/>
          <w:szCs w:val="26"/>
          <w:lang w:eastAsia="zh-TW"/>
        </w:rPr>
        <w:t>Populations</w:t>
      </w:r>
      <w:r w:rsidRPr="004D28D4">
        <w:rPr>
          <w:sz w:val="18"/>
          <w:szCs w:val="26"/>
          <w:lang w:eastAsia="zh-TW"/>
        </w:rPr>
        <w:t xml:space="preserve"> (July 2014), pp. 96-99</w:t>
      </w:r>
      <w:r w:rsidRPr="004D28D4">
        <w:rPr>
          <w:sz w:val="18"/>
          <w:szCs w:val="26"/>
          <w:rtl/>
          <w:lang w:eastAsia="zh-TW"/>
        </w:rPr>
        <w:t>.</w:t>
      </w:r>
      <w:r w:rsidR="001A4A4A">
        <w:rPr>
          <w:rFonts w:hint="cs"/>
          <w:sz w:val="18"/>
          <w:szCs w:val="26"/>
          <w:rtl/>
          <w:lang w:eastAsia="zh-TW"/>
        </w:rPr>
        <w:t xml:space="preserve"> </w:t>
      </w:r>
    </w:p>
  </w:footnote>
  <w:footnote w:id="6">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Submission of the Special Rapporteur to the Committee against </w:t>
      </w:r>
      <w:r w:rsidR="001A4A4A">
        <w:rPr>
          <w:sz w:val="18"/>
          <w:szCs w:val="26"/>
          <w:lang w:eastAsia="zh-TW"/>
        </w:rPr>
        <w:t>Torture (19 October 2012), p. 6</w:t>
      </w:r>
      <w:r w:rsidR="001A4A4A">
        <w:rPr>
          <w:sz w:val="18"/>
          <w:szCs w:val="26"/>
          <w:lang w:eastAsia="zh-TW"/>
        </w:rPr>
        <w:br/>
      </w:r>
      <w:r w:rsidRPr="004D28D4">
        <w:rPr>
          <w:sz w:val="18"/>
          <w:szCs w:val="26"/>
          <w:lang w:eastAsia="zh-TW"/>
        </w:rPr>
        <w:t>Available from www.ohchr.org/Documents/Issues/Health/drugPolicyLaw.pdf</w:t>
      </w:r>
      <w:r w:rsidRPr="004D28D4">
        <w:rPr>
          <w:sz w:val="18"/>
          <w:szCs w:val="26"/>
          <w:rtl/>
          <w:lang w:eastAsia="zh-TW"/>
        </w:rPr>
        <w:t>.</w:t>
      </w:r>
      <w:r w:rsidR="001A4A4A">
        <w:rPr>
          <w:rFonts w:hint="cs"/>
          <w:sz w:val="18"/>
          <w:szCs w:val="26"/>
          <w:rtl/>
          <w:lang w:eastAsia="zh-TW"/>
        </w:rPr>
        <w:t xml:space="preserve"> </w:t>
      </w:r>
    </w:p>
  </w:footnote>
  <w:footnote w:id="7">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WHO, </w:t>
      </w:r>
      <w:r w:rsidRPr="009F465E">
        <w:rPr>
          <w:i/>
          <w:iCs/>
          <w:sz w:val="18"/>
          <w:szCs w:val="26"/>
          <w:lang w:eastAsia="zh-TW"/>
        </w:rPr>
        <w:t>Guidance on Prevention of Viral Hepatitis B and C</w:t>
      </w:r>
      <w:r w:rsidR="001A4A4A" w:rsidRPr="009F465E">
        <w:rPr>
          <w:i/>
          <w:iCs/>
          <w:sz w:val="18"/>
          <w:szCs w:val="26"/>
          <w:lang w:eastAsia="zh-TW"/>
        </w:rPr>
        <w:t xml:space="preserve"> among People Who Inject Drugs</w:t>
      </w:r>
      <w:r w:rsidR="001A4A4A">
        <w:rPr>
          <w:sz w:val="18"/>
          <w:szCs w:val="26"/>
          <w:lang w:eastAsia="zh-TW"/>
        </w:rPr>
        <w:t>,</w:t>
      </w:r>
      <w:r w:rsidR="001A4A4A">
        <w:rPr>
          <w:sz w:val="18"/>
          <w:szCs w:val="26"/>
          <w:lang w:eastAsia="zh-TW"/>
        </w:rPr>
        <w:br/>
      </w:r>
      <w:r w:rsidRPr="004D28D4">
        <w:rPr>
          <w:sz w:val="18"/>
          <w:szCs w:val="26"/>
          <w:lang w:eastAsia="zh-TW"/>
        </w:rPr>
        <w:t>policy brief (July 2012)</w:t>
      </w:r>
      <w:r w:rsidRPr="004D28D4">
        <w:rPr>
          <w:sz w:val="18"/>
          <w:szCs w:val="26"/>
          <w:rtl/>
          <w:lang w:eastAsia="zh-TW"/>
        </w:rPr>
        <w:t>.</w:t>
      </w:r>
    </w:p>
  </w:footnote>
  <w:footnote w:id="8">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Harm Reduction International, </w:t>
      </w:r>
      <w:r w:rsidRPr="009F465E">
        <w:rPr>
          <w:i/>
          <w:iCs/>
          <w:sz w:val="18"/>
          <w:szCs w:val="26"/>
          <w:lang w:eastAsia="zh-TW"/>
        </w:rPr>
        <w:t>Global State of Harm Reduction 2012</w:t>
      </w:r>
      <w:r w:rsidRPr="004D28D4">
        <w:rPr>
          <w:sz w:val="18"/>
          <w:szCs w:val="26"/>
          <w:rtl/>
          <w:lang w:eastAsia="zh-TW"/>
        </w:rPr>
        <w:t xml:space="preserve">. </w:t>
      </w:r>
    </w:p>
  </w:footnote>
  <w:footnote w:id="9">
    <w:p w:rsidR="00E33FEB" w:rsidRPr="00201F6C" w:rsidRDefault="00E33FEB" w:rsidP="00201F6C">
      <w:pPr>
        <w:pStyle w:val="FootnoteText"/>
        <w:tabs>
          <w:tab w:val="left" w:pos="1268"/>
        </w:tabs>
        <w:spacing w:after="60" w:line="300" w:lineRule="exact"/>
        <w:ind w:left="1275" w:right="1247" w:hanging="553"/>
        <w:jc w:val="left"/>
        <w:textDirection w:val="tbRlV"/>
        <w:rPr>
          <w:sz w:val="18"/>
          <w:szCs w:val="26"/>
          <w:rtl/>
          <w:lang w:eastAsia="zh-TW"/>
        </w:rPr>
      </w:pPr>
      <w:r w:rsidRPr="00201F6C">
        <w:rPr>
          <w:rStyle w:val="FootnoteReference"/>
          <w:szCs w:val="26"/>
          <w:vertAlign w:val="baseline"/>
          <w:rtl/>
          <w:lang w:eastAsia="zh-TW"/>
        </w:rPr>
        <w:t>(</w:t>
      </w:r>
      <w:r w:rsidRPr="00201F6C">
        <w:rPr>
          <w:rStyle w:val="FootnoteReference"/>
          <w:szCs w:val="26"/>
          <w:vertAlign w:val="baseline"/>
          <w:rtl/>
          <w:lang w:eastAsia="zh-TW"/>
        </w:rPr>
        <w:footnoteRef/>
      </w:r>
      <w:r w:rsidRPr="00201F6C">
        <w:rPr>
          <w:rStyle w:val="FootnoteReference"/>
          <w:szCs w:val="26"/>
          <w:vertAlign w:val="baseline"/>
          <w:rtl/>
          <w:lang w:eastAsia="zh-TW"/>
        </w:rPr>
        <w:t>)</w:t>
      </w:r>
      <w:r w:rsidRPr="00201F6C">
        <w:rPr>
          <w:rFonts w:hint="cs"/>
          <w:sz w:val="18"/>
          <w:szCs w:val="26"/>
          <w:rtl/>
          <w:lang w:eastAsia="zh-TW"/>
        </w:rPr>
        <w:tab/>
      </w:r>
      <w:r w:rsidRPr="00201F6C">
        <w:rPr>
          <w:sz w:val="18"/>
          <w:szCs w:val="26"/>
          <w:rtl/>
          <w:lang w:eastAsia="zh-TW"/>
        </w:rPr>
        <w:t xml:space="preserve">انظر </w:t>
      </w:r>
      <w:r w:rsidRPr="00201F6C">
        <w:rPr>
          <w:sz w:val="18"/>
          <w:szCs w:val="26"/>
          <w:lang w:eastAsia="zh-TW"/>
        </w:rPr>
        <w:t>E/C.12/RUS/CO/5</w:t>
      </w:r>
      <w:r w:rsidRPr="00201F6C">
        <w:rPr>
          <w:sz w:val="18"/>
          <w:szCs w:val="26"/>
          <w:rtl/>
          <w:lang w:eastAsia="zh-TW"/>
        </w:rPr>
        <w:t xml:space="preserve">، </w:t>
      </w:r>
      <w:r w:rsidRPr="00201F6C">
        <w:rPr>
          <w:sz w:val="18"/>
          <w:szCs w:val="26"/>
          <w:lang w:eastAsia="zh-TW"/>
        </w:rPr>
        <w:t>E/C.12/RUS/CO/5, E/C.12/ZAZ/CO/1, E/C.12/EST/CO/2 and E/C.12/UKR/CO/5</w:t>
      </w:r>
      <w:r w:rsidRPr="00201F6C">
        <w:rPr>
          <w:sz w:val="18"/>
          <w:szCs w:val="26"/>
          <w:rtl/>
          <w:lang w:eastAsia="zh-TW"/>
        </w:rPr>
        <w:t xml:space="preserve">. </w:t>
      </w:r>
    </w:p>
  </w:footnote>
  <w:footnote w:id="10">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في تعليقها العام رقم 15(2013) بشأن حق الطفل في التمتع بأعلى مستوى ممكن من الصحة.</w:t>
      </w:r>
    </w:p>
  </w:footnote>
  <w:footnote w:id="11">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WHO, UNODC and UNAIDS, </w:t>
      </w:r>
      <w:r w:rsidRPr="002466F4">
        <w:rPr>
          <w:i/>
          <w:iCs/>
          <w:sz w:val="18"/>
          <w:szCs w:val="26"/>
          <w:lang w:eastAsia="zh-TW"/>
        </w:rPr>
        <w:t>Technical Guide,</w:t>
      </w:r>
      <w:r w:rsidRPr="004D28D4">
        <w:rPr>
          <w:sz w:val="18"/>
          <w:szCs w:val="26"/>
          <w:lang w:eastAsia="zh-TW"/>
        </w:rPr>
        <w:t xml:space="preserve"> pp. 10-26</w:t>
      </w:r>
      <w:r w:rsidRPr="004D28D4">
        <w:rPr>
          <w:sz w:val="18"/>
          <w:szCs w:val="26"/>
          <w:rtl/>
          <w:lang w:eastAsia="zh-TW"/>
        </w:rPr>
        <w:t>.</w:t>
      </w:r>
      <w:r w:rsidR="00406558">
        <w:rPr>
          <w:rFonts w:hint="cs"/>
          <w:sz w:val="18"/>
          <w:szCs w:val="26"/>
          <w:rtl/>
          <w:lang w:eastAsia="zh-TW"/>
        </w:rPr>
        <w:t xml:space="preserve"> </w:t>
      </w:r>
    </w:p>
  </w:footnote>
  <w:footnote w:id="12">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WHO, “Effectiveness of sterile needle and syringe programming in reducing HIV/AIDS among injecting drug users” (Geneva, 2004), p. 28, and WHO, </w:t>
      </w:r>
      <w:r w:rsidRPr="002466F4">
        <w:rPr>
          <w:i/>
          <w:iCs/>
          <w:sz w:val="18"/>
          <w:szCs w:val="26"/>
          <w:lang w:eastAsia="zh-TW"/>
        </w:rPr>
        <w:t>Consolidated Guidelines</w:t>
      </w:r>
      <w:r w:rsidRPr="004D28D4">
        <w:rPr>
          <w:sz w:val="18"/>
          <w:szCs w:val="26"/>
          <w:lang w:eastAsia="zh-TW"/>
        </w:rPr>
        <w:t>, p. 4</w:t>
      </w:r>
      <w:r w:rsidRPr="004D28D4">
        <w:rPr>
          <w:sz w:val="18"/>
          <w:szCs w:val="26"/>
          <w:rtl/>
          <w:lang w:eastAsia="zh-TW"/>
        </w:rPr>
        <w:t xml:space="preserve">. </w:t>
      </w:r>
    </w:p>
  </w:footnote>
  <w:footnote w:id="13">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WHO, “Four ways to reduce hepatitis infections in people who use drugs” (21 July 2012) and UNAIDS, </w:t>
      </w:r>
      <w:r w:rsidRPr="002466F4">
        <w:rPr>
          <w:i/>
          <w:iCs/>
          <w:sz w:val="18"/>
          <w:szCs w:val="26"/>
          <w:lang w:eastAsia="zh-TW"/>
        </w:rPr>
        <w:t>The Gap Report</w:t>
      </w:r>
      <w:r w:rsidRPr="004D28D4">
        <w:rPr>
          <w:sz w:val="18"/>
          <w:szCs w:val="26"/>
          <w:lang w:eastAsia="zh-TW"/>
        </w:rPr>
        <w:t xml:space="preserve"> (Geneva, 2014), p. 173</w:t>
      </w:r>
      <w:r w:rsidRPr="004D28D4">
        <w:rPr>
          <w:sz w:val="18"/>
          <w:szCs w:val="26"/>
          <w:rtl/>
          <w:lang w:eastAsia="zh-TW"/>
        </w:rPr>
        <w:t>.</w:t>
      </w:r>
      <w:r w:rsidR="00406558">
        <w:rPr>
          <w:rFonts w:hint="cs"/>
          <w:sz w:val="18"/>
          <w:szCs w:val="26"/>
          <w:rtl/>
          <w:lang w:eastAsia="zh-TW"/>
        </w:rPr>
        <w:t xml:space="preserve"> </w:t>
      </w:r>
    </w:p>
  </w:footnote>
  <w:footnote w:id="14">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وفقا</w:t>
      </w:r>
      <w:r w:rsidR="002466F4">
        <w:rPr>
          <w:rFonts w:hint="cs"/>
          <w:sz w:val="18"/>
          <w:szCs w:val="26"/>
          <w:rtl/>
          <w:lang w:eastAsia="zh-TW"/>
        </w:rPr>
        <w:t>ً</w:t>
      </w:r>
      <w:r w:rsidRPr="004D28D4">
        <w:rPr>
          <w:sz w:val="18"/>
          <w:szCs w:val="26"/>
          <w:rtl/>
          <w:lang w:eastAsia="zh-TW"/>
        </w:rPr>
        <w:t xml:space="preserve"> لمنظمة الصحة العالمية، يشار </w:t>
      </w:r>
      <w:r w:rsidRPr="004D28D4">
        <w:rPr>
          <w:rFonts w:hint="cs"/>
          <w:sz w:val="18"/>
          <w:szCs w:val="26"/>
          <w:rtl/>
          <w:lang w:eastAsia="zh-TW"/>
        </w:rPr>
        <w:t xml:space="preserve">أيضاً </w:t>
      </w:r>
      <w:r w:rsidRPr="004D28D4">
        <w:rPr>
          <w:sz w:val="18"/>
          <w:szCs w:val="26"/>
          <w:rtl/>
          <w:lang w:eastAsia="zh-TW"/>
        </w:rPr>
        <w:t xml:space="preserve">إلى العلاج بالمواد البديلة </w:t>
      </w:r>
      <w:r w:rsidRPr="004D28D4">
        <w:rPr>
          <w:rFonts w:hint="cs"/>
          <w:sz w:val="18"/>
          <w:szCs w:val="26"/>
          <w:rtl/>
          <w:lang w:eastAsia="zh-TW"/>
        </w:rPr>
        <w:t xml:space="preserve">لأشباه </w:t>
      </w:r>
      <w:r w:rsidRPr="004D28D4">
        <w:rPr>
          <w:sz w:val="18"/>
          <w:szCs w:val="26"/>
          <w:rtl/>
          <w:lang w:eastAsia="zh-TW"/>
        </w:rPr>
        <w:t xml:space="preserve">الأفيون بالعلاج </w:t>
      </w:r>
      <w:proofErr w:type="spellStart"/>
      <w:r w:rsidRPr="004D28D4">
        <w:rPr>
          <w:sz w:val="18"/>
          <w:szCs w:val="26"/>
          <w:rtl/>
          <w:lang w:eastAsia="zh-TW"/>
        </w:rPr>
        <w:t>الصياني</w:t>
      </w:r>
      <w:proofErr w:type="spellEnd"/>
      <w:r w:rsidRPr="004D28D4">
        <w:rPr>
          <w:sz w:val="18"/>
          <w:szCs w:val="26"/>
          <w:rtl/>
          <w:lang w:eastAsia="zh-TW"/>
        </w:rPr>
        <w:t xml:space="preserve"> </w:t>
      </w:r>
      <w:r w:rsidRPr="004D28D4">
        <w:rPr>
          <w:rFonts w:hint="cs"/>
          <w:sz w:val="18"/>
          <w:szCs w:val="26"/>
          <w:rtl/>
          <w:lang w:eastAsia="zh-TW"/>
        </w:rPr>
        <w:t xml:space="preserve">بأشباه </w:t>
      </w:r>
      <w:r w:rsidRPr="004D28D4">
        <w:rPr>
          <w:sz w:val="18"/>
          <w:szCs w:val="26"/>
          <w:rtl/>
          <w:lang w:eastAsia="zh-TW"/>
        </w:rPr>
        <w:t xml:space="preserve">الأفيون أو العلاج </w:t>
      </w:r>
      <w:proofErr w:type="spellStart"/>
      <w:r w:rsidRPr="004D28D4">
        <w:rPr>
          <w:sz w:val="18"/>
          <w:szCs w:val="26"/>
          <w:rtl/>
          <w:lang w:eastAsia="zh-TW"/>
        </w:rPr>
        <w:t>الصياني</w:t>
      </w:r>
      <w:proofErr w:type="spellEnd"/>
      <w:r w:rsidRPr="004D28D4">
        <w:rPr>
          <w:sz w:val="18"/>
          <w:szCs w:val="26"/>
          <w:rtl/>
          <w:lang w:eastAsia="zh-TW"/>
        </w:rPr>
        <w:t xml:space="preserve"> بمواد ناهضة ذات مفعول أفيوني أو العلاج المدعم بالدواء. </w:t>
      </w:r>
    </w:p>
  </w:footnote>
  <w:footnote w:id="15">
    <w:p w:rsidR="00E33FEB" w:rsidRPr="004D28D4" w:rsidRDefault="00E33FEB" w:rsidP="002466F4">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002466F4" w:rsidRPr="00D103C4">
        <w:rPr>
          <w:sz w:val="18"/>
          <w:szCs w:val="18"/>
        </w:rPr>
        <w:t xml:space="preserve">WHO, </w:t>
      </w:r>
      <w:r w:rsidR="002466F4" w:rsidRPr="00D103C4">
        <w:rPr>
          <w:i/>
          <w:iCs/>
          <w:sz w:val="18"/>
          <w:szCs w:val="18"/>
        </w:rPr>
        <w:t>Consolidated Guidelines</w:t>
      </w:r>
      <w:r w:rsidR="002466F4" w:rsidRPr="00D103C4">
        <w:rPr>
          <w:sz w:val="18"/>
          <w:szCs w:val="18"/>
        </w:rPr>
        <w:t>, p. 4</w:t>
      </w:r>
      <w:r w:rsidRPr="004D28D4">
        <w:rPr>
          <w:sz w:val="18"/>
          <w:szCs w:val="26"/>
          <w:rtl/>
          <w:lang w:eastAsia="zh-TW"/>
        </w:rPr>
        <w:t>.</w:t>
      </w:r>
      <w:r w:rsidR="00406558">
        <w:rPr>
          <w:rFonts w:hint="cs"/>
          <w:sz w:val="18"/>
          <w:szCs w:val="26"/>
          <w:rtl/>
          <w:lang w:eastAsia="zh-TW"/>
        </w:rPr>
        <w:t xml:space="preserve"> </w:t>
      </w:r>
    </w:p>
  </w:footnote>
  <w:footnote w:id="16">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WHO, </w:t>
      </w:r>
      <w:r w:rsidRPr="00DB343E">
        <w:rPr>
          <w:i/>
          <w:iCs/>
          <w:sz w:val="18"/>
          <w:szCs w:val="26"/>
          <w:lang w:eastAsia="zh-TW"/>
        </w:rPr>
        <w:t>Community Management of Opioid Overdose</w:t>
      </w:r>
      <w:r w:rsidRPr="004D28D4">
        <w:rPr>
          <w:sz w:val="18"/>
          <w:szCs w:val="26"/>
          <w:lang w:eastAsia="zh-TW"/>
        </w:rPr>
        <w:t xml:space="preserve"> (Geneva, 2014), p. 3</w:t>
      </w:r>
      <w:r w:rsidRPr="004D28D4">
        <w:rPr>
          <w:sz w:val="18"/>
          <w:szCs w:val="26"/>
          <w:rtl/>
          <w:lang w:eastAsia="zh-TW"/>
        </w:rPr>
        <w:t>.</w:t>
      </w:r>
      <w:r w:rsidR="008D0296">
        <w:rPr>
          <w:rFonts w:hint="cs"/>
          <w:sz w:val="18"/>
          <w:szCs w:val="26"/>
          <w:rtl/>
          <w:lang w:eastAsia="zh-TW"/>
        </w:rPr>
        <w:t xml:space="preserve"> </w:t>
      </w:r>
    </w:p>
  </w:footnote>
  <w:footnote w:id="17">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WHO, </w:t>
      </w:r>
      <w:r w:rsidRPr="00DB343E">
        <w:rPr>
          <w:i/>
          <w:iCs/>
          <w:sz w:val="18"/>
          <w:szCs w:val="26"/>
          <w:lang w:eastAsia="zh-TW"/>
        </w:rPr>
        <w:t>Consolidated Guidelines</w:t>
      </w:r>
      <w:r w:rsidRPr="004D28D4">
        <w:rPr>
          <w:sz w:val="18"/>
          <w:szCs w:val="26"/>
          <w:lang w:eastAsia="zh-TW"/>
        </w:rPr>
        <w:t>, p. 4</w:t>
      </w:r>
      <w:r w:rsidRPr="004D28D4">
        <w:rPr>
          <w:sz w:val="18"/>
          <w:szCs w:val="26"/>
          <w:rtl/>
          <w:lang w:eastAsia="zh-TW"/>
        </w:rPr>
        <w:t xml:space="preserve">. </w:t>
      </w:r>
    </w:p>
  </w:footnote>
  <w:footnote w:id="18">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Harm Reduction International, The Global State of Harm Reduction 2014</w:t>
      </w:r>
      <w:r w:rsidRPr="004D28D4">
        <w:rPr>
          <w:sz w:val="18"/>
          <w:szCs w:val="26"/>
          <w:rtl/>
          <w:lang w:eastAsia="zh-TW"/>
        </w:rPr>
        <w:t>.</w:t>
      </w:r>
      <w:r w:rsidR="008D0296">
        <w:rPr>
          <w:rFonts w:hint="cs"/>
          <w:sz w:val="18"/>
          <w:szCs w:val="26"/>
          <w:rtl/>
          <w:lang w:eastAsia="zh-TW"/>
        </w:rPr>
        <w:t xml:space="preserve"> </w:t>
      </w:r>
    </w:p>
  </w:footnote>
  <w:footnote w:id="19">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val="fr-CH" w:eastAsia="zh-TW"/>
        </w:rPr>
        <w:t>ال</w:t>
      </w:r>
      <w:r w:rsidRPr="004D28D4">
        <w:rPr>
          <w:sz w:val="18"/>
          <w:szCs w:val="26"/>
          <w:rtl/>
          <w:lang w:eastAsia="zh-TW"/>
        </w:rPr>
        <w:t>مكتب المعني بالمخدرات والجريمة، تقرير المخدرات العالمي لعام 201</w:t>
      </w:r>
      <w:r w:rsidRPr="004D28D4">
        <w:rPr>
          <w:rFonts w:hint="cs"/>
          <w:sz w:val="18"/>
          <w:szCs w:val="26"/>
          <w:rtl/>
          <w:lang w:eastAsia="zh-TW"/>
        </w:rPr>
        <w:t>5</w:t>
      </w:r>
      <w:r w:rsidRPr="004D28D4">
        <w:rPr>
          <w:sz w:val="18"/>
          <w:szCs w:val="26"/>
          <w:rtl/>
          <w:lang w:eastAsia="zh-TW"/>
        </w:rPr>
        <w:t xml:space="preserve"> (منشورات الأمم المتحدة، رقم المبيع </w:t>
      </w:r>
      <w:r w:rsidRPr="004D28D4">
        <w:rPr>
          <w:sz w:val="18"/>
          <w:szCs w:val="26"/>
          <w:lang w:eastAsia="zh-TW"/>
        </w:rPr>
        <w:t>E.15.XI.6</w:t>
      </w:r>
      <w:r w:rsidRPr="004D28D4">
        <w:rPr>
          <w:sz w:val="18"/>
          <w:szCs w:val="26"/>
          <w:rtl/>
          <w:lang w:eastAsia="zh-TW"/>
        </w:rPr>
        <w:t>)، الصفحة 9.</w:t>
      </w:r>
      <w:r w:rsidR="001A4A4A">
        <w:rPr>
          <w:rFonts w:hint="cs"/>
          <w:sz w:val="18"/>
          <w:szCs w:val="26"/>
          <w:rtl/>
          <w:lang w:eastAsia="zh-TW"/>
        </w:rPr>
        <w:t xml:space="preserve"> </w:t>
      </w:r>
    </w:p>
  </w:footnote>
  <w:footnote w:id="20">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WHO, Consolidated Guidelines, p. 5</w:t>
      </w:r>
      <w:r w:rsidRPr="004D28D4">
        <w:rPr>
          <w:sz w:val="18"/>
          <w:szCs w:val="26"/>
          <w:rtl/>
          <w:lang w:eastAsia="zh-TW"/>
        </w:rPr>
        <w:t>.</w:t>
      </w:r>
      <w:r w:rsidR="008D0296">
        <w:rPr>
          <w:rFonts w:hint="cs"/>
          <w:sz w:val="18"/>
          <w:szCs w:val="26"/>
          <w:rtl/>
          <w:lang w:eastAsia="zh-TW"/>
        </w:rPr>
        <w:t xml:space="preserve"> </w:t>
      </w:r>
    </w:p>
  </w:footnote>
  <w:footnote w:id="21">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WHO, UNODC and UNAIDS, Technical Guide, pp. 10-21</w:t>
      </w:r>
      <w:r w:rsidRPr="004D28D4">
        <w:rPr>
          <w:sz w:val="18"/>
          <w:szCs w:val="26"/>
          <w:rtl/>
          <w:lang w:eastAsia="zh-TW"/>
        </w:rPr>
        <w:t>.</w:t>
      </w:r>
      <w:r w:rsidR="008D0296">
        <w:rPr>
          <w:rFonts w:hint="cs"/>
          <w:sz w:val="18"/>
          <w:szCs w:val="26"/>
          <w:rtl/>
          <w:lang w:eastAsia="zh-TW"/>
        </w:rPr>
        <w:t xml:space="preserve"> </w:t>
      </w:r>
    </w:p>
  </w:footnote>
  <w:footnote w:id="22">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Global Commission on HIV and the Law, HIV and the Law: Risks, Rights and Health (New York, July 2012) and the United Nations Development </w:t>
      </w:r>
      <w:proofErr w:type="spellStart"/>
      <w:r w:rsidRPr="004D28D4">
        <w:rPr>
          <w:sz w:val="18"/>
          <w:szCs w:val="26"/>
          <w:lang w:eastAsia="zh-TW"/>
        </w:rPr>
        <w:t>Programme</w:t>
      </w:r>
      <w:proofErr w:type="spellEnd"/>
      <w:r w:rsidRPr="004D28D4">
        <w:rPr>
          <w:sz w:val="18"/>
          <w:szCs w:val="26"/>
          <w:lang w:eastAsia="zh-TW"/>
        </w:rPr>
        <w:t xml:space="preserve"> (UNDP),</w:t>
      </w:r>
      <w:r w:rsidR="001A4A4A">
        <w:rPr>
          <w:sz w:val="18"/>
          <w:szCs w:val="26"/>
          <w:lang w:eastAsia="zh-TW"/>
        </w:rPr>
        <w:t xml:space="preserve"> Addressing the</w:t>
      </w:r>
      <w:r w:rsidR="001A4A4A">
        <w:rPr>
          <w:sz w:val="18"/>
          <w:szCs w:val="26"/>
          <w:lang w:eastAsia="zh-TW"/>
        </w:rPr>
        <w:br/>
      </w:r>
      <w:r w:rsidRPr="004D28D4">
        <w:rPr>
          <w:sz w:val="18"/>
          <w:szCs w:val="26"/>
          <w:lang w:eastAsia="zh-TW"/>
        </w:rPr>
        <w:t>Development Dimensions of Drug Policy (June 2015), p. 19</w:t>
      </w:r>
      <w:r w:rsidRPr="004D28D4">
        <w:rPr>
          <w:sz w:val="18"/>
          <w:szCs w:val="26"/>
          <w:rtl/>
          <w:lang w:eastAsia="zh-TW"/>
        </w:rPr>
        <w:t>.</w:t>
      </w:r>
      <w:r w:rsidR="008D0296">
        <w:rPr>
          <w:rFonts w:hint="cs"/>
          <w:sz w:val="18"/>
          <w:szCs w:val="26"/>
          <w:rtl/>
          <w:lang w:eastAsia="zh-TW"/>
        </w:rPr>
        <w:t xml:space="preserve"> </w:t>
      </w:r>
    </w:p>
  </w:footnote>
  <w:footnote w:id="23">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WHO, UNODC and UNAIDS, Technical Guide, p. 26, and WHO, Consolidated Guidelines, p. 5</w:t>
      </w:r>
      <w:r w:rsidRPr="004D28D4">
        <w:rPr>
          <w:sz w:val="18"/>
          <w:szCs w:val="26"/>
          <w:rtl/>
          <w:lang w:eastAsia="zh-TW"/>
        </w:rPr>
        <w:t>.</w:t>
      </w:r>
      <w:r w:rsidR="008D0296">
        <w:rPr>
          <w:rFonts w:hint="cs"/>
          <w:sz w:val="18"/>
          <w:szCs w:val="26"/>
          <w:rtl/>
          <w:lang w:eastAsia="zh-TW"/>
        </w:rPr>
        <w:t xml:space="preserve"> </w:t>
      </w:r>
    </w:p>
  </w:footnote>
  <w:footnote w:id="24">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WHO Regional Office for Europe, The Madrid Recommendation: Health Protection in Prisons</w:t>
      </w:r>
      <w:r w:rsidR="001A4A4A">
        <w:rPr>
          <w:sz w:val="18"/>
          <w:szCs w:val="26"/>
          <w:lang w:eastAsia="zh-TW"/>
        </w:rPr>
        <w:t xml:space="preserve"> as</w:t>
      </w:r>
      <w:r w:rsidR="001A4A4A">
        <w:rPr>
          <w:sz w:val="18"/>
          <w:szCs w:val="26"/>
          <w:lang w:eastAsia="zh-TW"/>
        </w:rPr>
        <w:br/>
      </w:r>
      <w:r w:rsidRPr="004D28D4">
        <w:rPr>
          <w:sz w:val="18"/>
          <w:szCs w:val="26"/>
          <w:lang w:eastAsia="zh-TW"/>
        </w:rPr>
        <w:t>an Essential Part of Public Health (Copenhagen, 2010), pp. 3-4</w:t>
      </w:r>
      <w:r w:rsidRPr="004D28D4">
        <w:rPr>
          <w:sz w:val="18"/>
          <w:szCs w:val="26"/>
          <w:rtl/>
          <w:lang w:eastAsia="zh-TW"/>
        </w:rPr>
        <w:t>.</w:t>
      </w:r>
    </w:p>
  </w:footnote>
  <w:footnote w:id="25">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UNODC and WHO, “Principles of drug dependence treatment”, discussion paper (2008), p. 14</w:t>
      </w:r>
      <w:r w:rsidRPr="004D28D4">
        <w:rPr>
          <w:sz w:val="18"/>
          <w:szCs w:val="26"/>
          <w:rtl/>
          <w:lang w:eastAsia="zh-TW"/>
        </w:rPr>
        <w:t>.</w:t>
      </w:r>
    </w:p>
  </w:footnote>
  <w:footnote w:id="26">
    <w:p w:rsidR="00E33FEB" w:rsidRPr="004D28D4" w:rsidRDefault="00E33FEB" w:rsidP="000B3762">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 xml:space="preserve">تقرير المقرر الخاص إلى لجنة مناهضة التعذيب (19 تشرين الأول/أكتوبر 2012)، ص. 6. </w:t>
      </w:r>
    </w:p>
  </w:footnote>
  <w:footnote w:id="27">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sidRPr="004D28D4">
        <w:rPr>
          <w:sz w:val="18"/>
          <w:szCs w:val="26"/>
          <w:rtl/>
          <w:lang w:eastAsia="zh-TW"/>
        </w:rPr>
        <w:tab/>
        <w:t>المرجع نفسه</w:t>
      </w:r>
      <w:r>
        <w:rPr>
          <w:rFonts w:hint="cs"/>
          <w:sz w:val="18"/>
          <w:szCs w:val="26"/>
          <w:rtl/>
          <w:lang w:eastAsia="zh-TW"/>
        </w:rPr>
        <w:t xml:space="preserve">. </w:t>
      </w:r>
    </w:p>
  </w:footnote>
  <w:footnote w:id="28">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United Nations publication, sales No. E.06.XIV.4, p. 30</w:t>
      </w:r>
      <w:r w:rsidRPr="004D28D4">
        <w:rPr>
          <w:sz w:val="18"/>
          <w:szCs w:val="26"/>
          <w:rtl/>
          <w:lang w:eastAsia="zh-TW"/>
        </w:rPr>
        <w:t>.</w:t>
      </w:r>
      <w:r>
        <w:rPr>
          <w:rFonts w:hint="cs"/>
          <w:sz w:val="18"/>
          <w:szCs w:val="26"/>
          <w:rtl/>
          <w:lang w:eastAsia="zh-TW"/>
        </w:rPr>
        <w:t xml:space="preserve"> </w:t>
      </w:r>
    </w:p>
  </w:footnote>
  <w:footnote w:id="29">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WHO, UNODC and UNAIDS, “Provision of sterile in</w:t>
      </w:r>
      <w:r w:rsidR="001A4A4A">
        <w:rPr>
          <w:sz w:val="18"/>
          <w:szCs w:val="26"/>
          <w:lang w:eastAsia="zh-TW"/>
        </w:rPr>
        <w:t>jecting equipment to reduce HIV</w:t>
      </w:r>
      <w:r w:rsidR="001A4A4A">
        <w:rPr>
          <w:sz w:val="18"/>
          <w:szCs w:val="26"/>
          <w:lang w:eastAsia="zh-TW"/>
        </w:rPr>
        <w:br/>
      </w:r>
      <w:r w:rsidRPr="004D28D4">
        <w:rPr>
          <w:sz w:val="18"/>
          <w:szCs w:val="26"/>
          <w:lang w:eastAsia="zh-TW"/>
        </w:rPr>
        <w:t>transmission” policy brief (2004), p. 2</w:t>
      </w:r>
      <w:r w:rsidRPr="004D28D4">
        <w:rPr>
          <w:sz w:val="18"/>
          <w:szCs w:val="26"/>
          <w:rtl/>
          <w:lang w:eastAsia="zh-TW"/>
        </w:rPr>
        <w:t>.</w:t>
      </w:r>
      <w:r>
        <w:rPr>
          <w:rFonts w:hint="cs"/>
          <w:sz w:val="18"/>
          <w:szCs w:val="26"/>
          <w:rtl/>
          <w:lang w:eastAsia="zh-TW"/>
        </w:rPr>
        <w:t xml:space="preserve"> </w:t>
      </w:r>
    </w:p>
  </w:footnote>
  <w:footnote w:id="30">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Harm Reduction International, Global State of Harm Reduction 2014</w:t>
      </w:r>
      <w:r w:rsidRPr="004D28D4">
        <w:rPr>
          <w:sz w:val="18"/>
          <w:szCs w:val="26"/>
          <w:rtl/>
          <w:lang w:eastAsia="zh-TW"/>
        </w:rPr>
        <w:t>.</w:t>
      </w:r>
      <w:r w:rsidR="001A4A4A">
        <w:rPr>
          <w:rFonts w:hint="cs"/>
          <w:sz w:val="18"/>
          <w:szCs w:val="26"/>
          <w:rtl/>
          <w:lang w:eastAsia="zh-TW"/>
        </w:rPr>
        <w:t xml:space="preserve"> </w:t>
      </w:r>
    </w:p>
  </w:footnote>
  <w:footnote w:id="31">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WHO, Consolidated Guidelines, p. 91</w:t>
      </w:r>
      <w:r w:rsidRPr="004D28D4">
        <w:rPr>
          <w:sz w:val="18"/>
          <w:szCs w:val="26"/>
          <w:rtl/>
          <w:lang w:eastAsia="zh-TW"/>
        </w:rPr>
        <w:t>.</w:t>
      </w:r>
      <w:r w:rsidR="001A4A4A">
        <w:rPr>
          <w:rFonts w:hint="cs"/>
          <w:sz w:val="18"/>
          <w:szCs w:val="26"/>
          <w:rtl/>
          <w:lang w:eastAsia="zh-TW"/>
        </w:rPr>
        <w:t xml:space="preserve"> </w:t>
      </w:r>
    </w:p>
  </w:footnote>
  <w:footnote w:id="32">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UNAIDS, The Gap Report, p. 183</w:t>
      </w:r>
      <w:r w:rsidRPr="004D28D4">
        <w:rPr>
          <w:sz w:val="18"/>
          <w:szCs w:val="26"/>
          <w:rtl/>
          <w:lang w:eastAsia="zh-TW"/>
        </w:rPr>
        <w:t>.</w:t>
      </w:r>
      <w:r w:rsidR="001A4A4A">
        <w:rPr>
          <w:rFonts w:hint="cs"/>
          <w:sz w:val="18"/>
          <w:szCs w:val="26"/>
          <w:rtl/>
          <w:lang w:eastAsia="zh-TW"/>
        </w:rPr>
        <w:t xml:space="preserve"> </w:t>
      </w:r>
    </w:p>
  </w:footnote>
  <w:footnote w:id="33">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Pr>
        <w:t xml:space="preserve">Submission of Portugal. See </w:t>
      </w:r>
      <w:proofErr w:type="spellStart"/>
      <w:r w:rsidRPr="004D28D4">
        <w:rPr>
          <w:sz w:val="18"/>
          <w:szCs w:val="26"/>
        </w:rPr>
        <w:t>Artur</w:t>
      </w:r>
      <w:proofErr w:type="spellEnd"/>
      <w:r w:rsidRPr="004D28D4">
        <w:rPr>
          <w:sz w:val="18"/>
          <w:szCs w:val="26"/>
        </w:rPr>
        <w:t xml:space="preserve"> </w:t>
      </w:r>
      <w:proofErr w:type="spellStart"/>
      <w:r w:rsidRPr="004D28D4">
        <w:rPr>
          <w:sz w:val="18"/>
          <w:szCs w:val="26"/>
        </w:rPr>
        <w:t>Domosławski</w:t>
      </w:r>
      <w:proofErr w:type="spellEnd"/>
      <w:r w:rsidRPr="004D28D4">
        <w:rPr>
          <w:sz w:val="18"/>
          <w:szCs w:val="26"/>
        </w:rPr>
        <w:t xml:space="preserve">, </w:t>
      </w:r>
      <w:r w:rsidRPr="001A4A4A">
        <w:rPr>
          <w:i/>
          <w:sz w:val="18"/>
          <w:szCs w:val="26"/>
        </w:rPr>
        <w:t>Drug policy in Portugal: the Benefits of</w:t>
      </w:r>
      <w:r w:rsidR="001A4A4A" w:rsidRPr="001A4A4A">
        <w:rPr>
          <w:i/>
          <w:sz w:val="18"/>
          <w:szCs w:val="26"/>
        </w:rPr>
        <w:br/>
      </w:r>
      <w:r w:rsidRPr="001A4A4A">
        <w:rPr>
          <w:i/>
          <w:sz w:val="18"/>
          <w:szCs w:val="26"/>
        </w:rPr>
        <w:t>Decriminalizing Drug Use</w:t>
      </w:r>
      <w:r w:rsidRPr="004D28D4">
        <w:rPr>
          <w:sz w:val="18"/>
          <w:szCs w:val="26"/>
        </w:rPr>
        <w:t xml:space="preserve"> (Warsaw, </w:t>
      </w:r>
      <w:r w:rsidR="001A4A4A">
        <w:rPr>
          <w:sz w:val="18"/>
          <w:szCs w:val="26"/>
        </w:rPr>
        <w:t>Open Society Foundations, 2011)</w:t>
      </w:r>
      <w:r w:rsidRPr="004D28D4">
        <w:rPr>
          <w:sz w:val="18"/>
          <w:szCs w:val="26"/>
          <w:rtl/>
          <w:lang w:eastAsia="zh-TW"/>
        </w:rPr>
        <w:t>.</w:t>
      </w:r>
      <w:r w:rsidR="001A4A4A">
        <w:rPr>
          <w:rFonts w:hint="cs"/>
          <w:sz w:val="18"/>
          <w:szCs w:val="26"/>
          <w:rtl/>
          <w:lang w:eastAsia="zh-TW"/>
        </w:rPr>
        <w:t xml:space="preserve"> </w:t>
      </w:r>
    </w:p>
  </w:footnote>
  <w:footnote w:id="34">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تقرير الهيئة الدولية لمراقبة المخدرات عن عام 2004، ص. 80.</w:t>
      </w:r>
    </w:p>
  </w:footnote>
  <w:footnote w:id="35">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Ari </w:t>
      </w:r>
      <w:proofErr w:type="spellStart"/>
      <w:r w:rsidRPr="004D28D4">
        <w:rPr>
          <w:sz w:val="18"/>
          <w:szCs w:val="26"/>
          <w:lang w:eastAsia="zh-TW"/>
        </w:rPr>
        <w:t>Rosmarin</w:t>
      </w:r>
      <w:proofErr w:type="spellEnd"/>
      <w:r w:rsidRPr="004D28D4">
        <w:rPr>
          <w:sz w:val="18"/>
          <w:szCs w:val="26"/>
          <w:lang w:eastAsia="zh-TW"/>
        </w:rPr>
        <w:t xml:space="preserve"> and Niamh Eastwood, A Quiet Revolution: Drug </w:t>
      </w:r>
      <w:proofErr w:type="spellStart"/>
      <w:r w:rsidRPr="004D28D4">
        <w:rPr>
          <w:sz w:val="18"/>
          <w:szCs w:val="26"/>
          <w:lang w:eastAsia="zh-TW"/>
        </w:rPr>
        <w:t>Decriminalisation</w:t>
      </w:r>
      <w:proofErr w:type="spellEnd"/>
      <w:r w:rsidRPr="004D28D4">
        <w:rPr>
          <w:sz w:val="18"/>
          <w:szCs w:val="26"/>
          <w:lang w:eastAsia="zh-TW"/>
        </w:rPr>
        <w:t xml:space="preserve"> Policies in Practice across the Globe (London, Release, 2012)</w:t>
      </w:r>
      <w:r w:rsidRPr="004D28D4">
        <w:rPr>
          <w:sz w:val="18"/>
          <w:szCs w:val="26"/>
          <w:rtl/>
          <w:lang w:eastAsia="zh-TW"/>
        </w:rPr>
        <w:t xml:space="preserve">. </w:t>
      </w:r>
      <w:r w:rsidRPr="004D28D4">
        <w:rPr>
          <w:sz w:val="18"/>
          <w:szCs w:val="26"/>
          <w:lang w:eastAsia="zh-TW"/>
        </w:rPr>
        <w:t>Jamaica has decriminalized cannabis use (see the Dangerous Drug Amendment Act, 2015, para. 6, amending sect. 7C of the Act)</w:t>
      </w:r>
      <w:r w:rsidRPr="004D28D4">
        <w:rPr>
          <w:sz w:val="18"/>
          <w:szCs w:val="26"/>
          <w:rtl/>
          <w:lang w:eastAsia="zh-TW"/>
        </w:rPr>
        <w:t>.</w:t>
      </w:r>
    </w:p>
  </w:footnote>
  <w:footnote w:id="36">
    <w:p w:rsidR="00E33FEB" w:rsidRPr="001A4A4A" w:rsidRDefault="00E33FEB" w:rsidP="001A4A4A">
      <w:pPr>
        <w:pStyle w:val="FootnoteText"/>
        <w:tabs>
          <w:tab w:val="left" w:pos="1268"/>
        </w:tabs>
        <w:spacing w:after="60" w:line="240" w:lineRule="exact"/>
        <w:ind w:left="1276" w:right="1247" w:hanging="556"/>
        <w:textDirection w:val="tbRlV"/>
        <w:rPr>
          <w:sz w:val="18"/>
          <w:szCs w:val="26"/>
          <w:rtl/>
          <w:lang w:eastAsia="zh-TW"/>
        </w:rPr>
      </w:pPr>
      <w:r w:rsidRPr="001A4A4A">
        <w:rPr>
          <w:rStyle w:val="FootnoteReference"/>
          <w:szCs w:val="26"/>
          <w:vertAlign w:val="baseline"/>
          <w:rtl/>
          <w:lang w:eastAsia="zh-TW"/>
        </w:rPr>
        <w:t>(</w:t>
      </w:r>
      <w:r w:rsidRPr="001A4A4A">
        <w:rPr>
          <w:rStyle w:val="FootnoteReference"/>
          <w:szCs w:val="26"/>
          <w:vertAlign w:val="baseline"/>
          <w:rtl/>
          <w:lang w:eastAsia="zh-TW"/>
        </w:rPr>
        <w:footnoteRef/>
      </w:r>
      <w:r w:rsidRPr="001A4A4A">
        <w:rPr>
          <w:rStyle w:val="FootnoteReference"/>
          <w:szCs w:val="26"/>
          <w:vertAlign w:val="baseline"/>
          <w:rtl/>
          <w:lang w:eastAsia="zh-TW"/>
        </w:rPr>
        <w:t>)</w:t>
      </w:r>
      <w:r w:rsidRPr="001A4A4A">
        <w:rPr>
          <w:rFonts w:hint="cs"/>
          <w:sz w:val="18"/>
          <w:szCs w:val="26"/>
          <w:rtl/>
          <w:lang w:eastAsia="zh-TW"/>
        </w:rPr>
        <w:tab/>
      </w:r>
      <w:r w:rsidRPr="001A4A4A">
        <w:rPr>
          <w:sz w:val="18"/>
          <w:szCs w:val="26"/>
        </w:rPr>
        <w:t>Submissions of the Global Commission on Drug Policy, pp. 3-5; Human Rights</w:t>
      </w:r>
      <w:r w:rsidR="001A4A4A">
        <w:rPr>
          <w:sz w:val="18"/>
          <w:szCs w:val="26"/>
        </w:rPr>
        <w:t xml:space="preserve"> Watch, p. 2; the</w:t>
      </w:r>
      <w:r w:rsidR="001A4A4A">
        <w:rPr>
          <w:sz w:val="18"/>
          <w:szCs w:val="26"/>
        </w:rPr>
        <w:br/>
      </w:r>
      <w:r w:rsidRPr="001A4A4A">
        <w:rPr>
          <w:sz w:val="18"/>
          <w:szCs w:val="26"/>
        </w:rPr>
        <w:t>International Drug Policy Consortium , p. 5; Release, p. 8; and the Women’s Harm Reduction International Network, p. 9</w:t>
      </w:r>
      <w:r w:rsidRPr="001A4A4A">
        <w:rPr>
          <w:sz w:val="18"/>
          <w:szCs w:val="26"/>
          <w:rtl/>
        </w:rPr>
        <w:t>.</w:t>
      </w:r>
    </w:p>
  </w:footnote>
  <w:footnote w:id="37">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 xml:space="preserve">انظر </w:t>
      </w:r>
      <w:r w:rsidRPr="000B3762">
        <w:rPr>
          <w:i/>
          <w:iCs/>
          <w:sz w:val="18"/>
          <w:szCs w:val="26"/>
          <w:rtl/>
          <w:lang w:eastAsia="zh-TW"/>
        </w:rPr>
        <w:t>تقرير الهيئة الدولية لمراقبة المخدرات لعام 2014</w:t>
      </w:r>
      <w:r w:rsidRPr="004D28D4">
        <w:rPr>
          <w:sz w:val="18"/>
          <w:szCs w:val="26"/>
          <w:rtl/>
          <w:lang w:eastAsia="zh-TW"/>
        </w:rPr>
        <w:t>، الفقرة 12، و</w:t>
      </w:r>
      <w:r w:rsidRPr="004D28D4">
        <w:rPr>
          <w:sz w:val="18"/>
          <w:szCs w:val="26"/>
          <w:lang w:eastAsia="zh-TW"/>
        </w:rPr>
        <w:t>WHO,</w:t>
      </w:r>
      <w:r w:rsidRPr="000B3762">
        <w:rPr>
          <w:i/>
          <w:iCs/>
          <w:sz w:val="18"/>
          <w:szCs w:val="26"/>
          <w:lang w:eastAsia="zh-TW"/>
        </w:rPr>
        <w:t xml:space="preserve"> Ensuring Balance in National</w:t>
      </w:r>
      <w:r w:rsidRPr="004D28D4">
        <w:rPr>
          <w:sz w:val="18"/>
          <w:szCs w:val="26"/>
          <w:lang w:eastAsia="zh-TW"/>
        </w:rPr>
        <w:t xml:space="preserve"> </w:t>
      </w:r>
      <w:r w:rsidRPr="000B3762">
        <w:rPr>
          <w:i/>
          <w:iCs/>
          <w:sz w:val="18"/>
          <w:szCs w:val="26"/>
          <w:lang w:eastAsia="zh-TW"/>
        </w:rPr>
        <w:t xml:space="preserve">Policies on Controlled Substances: Guidance for Availability </w:t>
      </w:r>
      <w:r w:rsidR="001A4A4A" w:rsidRPr="000B3762">
        <w:rPr>
          <w:i/>
          <w:iCs/>
          <w:sz w:val="18"/>
          <w:szCs w:val="26"/>
          <w:lang w:eastAsia="zh-TW"/>
        </w:rPr>
        <w:t>and Accessibility of Controlled</w:t>
      </w:r>
      <w:r w:rsidR="001A4A4A" w:rsidRPr="000B3762">
        <w:rPr>
          <w:i/>
          <w:iCs/>
          <w:sz w:val="18"/>
          <w:szCs w:val="26"/>
          <w:lang w:eastAsia="zh-TW"/>
        </w:rPr>
        <w:br/>
      </w:r>
      <w:r w:rsidRPr="000B3762">
        <w:rPr>
          <w:i/>
          <w:iCs/>
          <w:sz w:val="18"/>
          <w:szCs w:val="26"/>
          <w:lang w:eastAsia="zh-TW"/>
        </w:rPr>
        <w:t>Medicines (Malta, 2011)</w:t>
      </w:r>
      <w:r w:rsidRPr="004D28D4">
        <w:rPr>
          <w:sz w:val="18"/>
          <w:szCs w:val="26"/>
          <w:rtl/>
          <w:lang w:eastAsia="zh-TW"/>
        </w:rPr>
        <w:t>.</w:t>
      </w:r>
      <w:r w:rsidR="001A4A4A">
        <w:rPr>
          <w:rFonts w:hint="cs"/>
          <w:sz w:val="18"/>
          <w:szCs w:val="26"/>
          <w:rtl/>
          <w:lang w:eastAsia="zh-TW"/>
        </w:rPr>
        <w:t xml:space="preserve"> </w:t>
      </w:r>
    </w:p>
  </w:footnote>
  <w:footnote w:id="38">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Submission of the Women’s Harm Reduction International Network, p. 4</w:t>
      </w:r>
      <w:r w:rsidRPr="004D28D4">
        <w:rPr>
          <w:sz w:val="18"/>
          <w:szCs w:val="26"/>
          <w:rtl/>
          <w:lang w:eastAsia="zh-TW"/>
        </w:rPr>
        <w:t>.</w:t>
      </w:r>
      <w:r w:rsidR="008D0296">
        <w:rPr>
          <w:rFonts w:hint="cs"/>
          <w:sz w:val="18"/>
          <w:szCs w:val="26"/>
          <w:rtl/>
          <w:lang w:eastAsia="zh-TW"/>
        </w:rPr>
        <w:t xml:space="preserve"> </w:t>
      </w:r>
    </w:p>
  </w:footnote>
  <w:footnote w:id="39">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Submission of the Russian Civil Society Mechanism for Monitoring of Drug Policy Reforms in Russia, pp. 5-6</w:t>
      </w:r>
      <w:r w:rsidRPr="004D28D4">
        <w:rPr>
          <w:sz w:val="18"/>
          <w:szCs w:val="26"/>
          <w:rtl/>
          <w:lang w:eastAsia="zh-TW"/>
        </w:rPr>
        <w:t>.</w:t>
      </w:r>
    </w:p>
  </w:footnote>
  <w:footnote w:id="40">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Global Commission on HIV and the Law, HIV and the Law, and submission of Eurasian Harm Reduction Network, p. 4</w:t>
      </w:r>
      <w:r w:rsidRPr="004D28D4">
        <w:rPr>
          <w:sz w:val="18"/>
          <w:szCs w:val="26"/>
          <w:rtl/>
          <w:lang w:eastAsia="zh-TW"/>
        </w:rPr>
        <w:t>.</w:t>
      </w:r>
    </w:p>
  </w:footnote>
  <w:footnote w:id="41">
    <w:p w:rsidR="00E33FEB" w:rsidRPr="004D28D4" w:rsidRDefault="00E33FEB" w:rsidP="001A4A4A">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Submission of Centro de </w:t>
      </w:r>
      <w:proofErr w:type="spellStart"/>
      <w:r w:rsidRPr="004D28D4">
        <w:rPr>
          <w:sz w:val="18"/>
          <w:szCs w:val="26"/>
          <w:lang w:eastAsia="zh-TW"/>
        </w:rPr>
        <w:t>Estudios</w:t>
      </w:r>
      <w:proofErr w:type="spellEnd"/>
      <w:r w:rsidRPr="004D28D4">
        <w:rPr>
          <w:sz w:val="18"/>
          <w:szCs w:val="26"/>
          <w:lang w:eastAsia="zh-TW"/>
        </w:rPr>
        <w:t xml:space="preserve"> </w:t>
      </w:r>
      <w:proofErr w:type="spellStart"/>
      <w:r w:rsidRPr="004D28D4">
        <w:rPr>
          <w:sz w:val="18"/>
          <w:szCs w:val="26"/>
          <w:lang w:eastAsia="zh-TW"/>
        </w:rPr>
        <w:t>Legales</w:t>
      </w:r>
      <w:proofErr w:type="spellEnd"/>
      <w:r w:rsidRPr="004D28D4">
        <w:rPr>
          <w:sz w:val="18"/>
          <w:szCs w:val="26"/>
          <w:lang w:eastAsia="zh-TW"/>
        </w:rPr>
        <w:t xml:space="preserve"> y </w:t>
      </w:r>
      <w:proofErr w:type="spellStart"/>
      <w:r w:rsidRPr="004D28D4">
        <w:rPr>
          <w:sz w:val="18"/>
          <w:szCs w:val="26"/>
          <w:lang w:eastAsia="zh-TW"/>
        </w:rPr>
        <w:t>Sociales</w:t>
      </w:r>
      <w:proofErr w:type="spellEnd"/>
      <w:r w:rsidRPr="004D28D4">
        <w:rPr>
          <w:sz w:val="18"/>
          <w:szCs w:val="26"/>
          <w:lang w:eastAsia="zh-TW"/>
        </w:rPr>
        <w:t xml:space="preserve">, </w:t>
      </w:r>
      <w:proofErr w:type="spellStart"/>
      <w:r w:rsidRPr="004D28D4">
        <w:rPr>
          <w:sz w:val="18"/>
          <w:szCs w:val="26"/>
          <w:lang w:eastAsia="zh-TW"/>
        </w:rPr>
        <w:t>Conectas</w:t>
      </w:r>
      <w:proofErr w:type="spellEnd"/>
      <w:r w:rsidRPr="004D28D4">
        <w:rPr>
          <w:sz w:val="18"/>
          <w:szCs w:val="26"/>
          <w:lang w:eastAsia="zh-TW"/>
        </w:rPr>
        <w:t xml:space="preserve"> Human Rights and </w:t>
      </w:r>
      <w:proofErr w:type="spellStart"/>
      <w:r w:rsidRPr="004D28D4">
        <w:rPr>
          <w:sz w:val="18"/>
          <w:szCs w:val="26"/>
          <w:lang w:eastAsia="zh-TW"/>
        </w:rPr>
        <w:t>Corporacion</w:t>
      </w:r>
      <w:proofErr w:type="spellEnd"/>
      <w:r w:rsidRPr="004D28D4">
        <w:rPr>
          <w:sz w:val="18"/>
          <w:szCs w:val="26"/>
          <w:lang w:eastAsia="zh-TW"/>
        </w:rPr>
        <w:t xml:space="preserve"> </w:t>
      </w:r>
      <w:proofErr w:type="spellStart"/>
      <w:r w:rsidRPr="004D28D4">
        <w:rPr>
          <w:sz w:val="18"/>
          <w:szCs w:val="26"/>
          <w:lang w:eastAsia="zh-TW"/>
        </w:rPr>
        <w:t>Humanas</w:t>
      </w:r>
      <w:proofErr w:type="spellEnd"/>
      <w:r w:rsidRPr="004D28D4">
        <w:rPr>
          <w:sz w:val="18"/>
          <w:szCs w:val="26"/>
          <w:lang w:eastAsia="zh-TW"/>
        </w:rPr>
        <w:t xml:space="preserve">, p. 4, and Inter-American Commission on Human Rights, Report on the Use of Pretrial Detention in the Americas (2013), para. </w:t>
      </w:r>
      <w:r w:rsidRPr="004D28D4">
        <w:rPr>
          <w:sz w:val="18"/>
          <w:szCs w:val="26"/>
          <w:lang w:val="es-ES" w:eastAsia="zh-TW"/>
        </w:rPr>
        <w:t>137</w:t>
      </w:r>
      <w:r w:rsidRPr="004D28D4">
        <w:rPr>
          <w:sz w:val="18"/>
          <w:szCs w:val="26"/>
          <w:rtl/>
          <w:lang w:val="es-ES" w:eastAsia="zh-TW"/>
        </w:rPr>
        <w:t>.</w:t>
      </w:r>
    </w:p>
  </w:footnote>
  <w:footnote w:id="42">
    <w:p w:rsidR="00E33FEB" w:rsidRPr="004D28D4" w:rsidRDefault="00E33FEB" w:rsidP="00FA3DE5">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proofErr w:type="spellStart"/>
      <w:r w:rsidRPr="004D28D4">
        <w:rPr>
          <w:sz w:val="18"/>
          <w:szCs w:val="26"/>
          <w:lang w:val="es-ES" w:eastAsia="zh-TW"/>
        </w:rPr>
        <w:t>Submission</w:t>
      </w:r>
      <w:proofErr w:type="spellEnd"/>
      <w:r w:rsidRPr="004D28D4">
        <w:rPr>
          <w:sz w:val="18"/>
          <w:szCs w:val="26"/>
          <w:lang w:val="es-ES" w:eastAsia="zh-TW"/>
        </w:rPr>
        <w:t xml:space="preserve"> of Centro de Estudios Legales y Sociales et al, pp. 5, 9 and 27</w:t>
      </w:r>
      <w:r w:rsidRPr="004D28D4">
        <w:rPr>
          <w:sz w:val="18"/>
          <w:szCs w:val="26"/>
          <w:rtl/>
          <w:lang w:val="es-ES" w:eastAsia="zh-TW"/>
        </w:rPr>
        <w:t>.</w:t>
      </w:r>
    </w:p>
  </w:footnote>
  <w:footnote w:id="43">
    <w:p w:rsidR="00E33FEB" w:rsidRPr="004D28D4" w:rsidRDefault="00E33FEB" w:rsidP="00FA3DE5">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François-Xavier </w:t>
      </w:r>
      <w:proofErr w:type="spellStart"/>
      <w:r w:rsidRPr="004D28D4">
        <w:rPr>
          <w:sz w:val="18"/>
          <w:szCs w:val="26"/>
          <w:lang w:eastAsia="zh-TW"/>
        </w:rPr>
        <w:t>Bagnoud</w:t>
      </w:r>
      <w:proofErr w:type="spellEnd"/>
      <w:r w:rsidRPr="004D28D4">
        <w:rPr>
          <w:sz w:val="18"/>
          <w:szCs w:val="26"/>
          <w:lang w:eastAsia="zh-TW"/>
        </w:rPr>
        <w:t xml:space="preserve"> Center for Health and Human </w:t>
      </w:r>
      <w:r w:rsidR="00FA3DE5">
        <w:rPr>
          <w:sz w:val="18"/>
          <w:szCs w:val="26"/>
          <w:lang w:eastAsia="zh-TW"/>
        </w:rPr>
        <w:t>Rights, Health and Human Rights</w:t>
      </w:r>
      <w:r w:rsidR="00FA3DE5">
        <w:rPr>
          <w:sz w:val="18"/>
          <w:szCs w:val="26"/>
          <w:lang w:eastAsia="zh-TW"/>
        </w:rPr>
        <w:br/>
      </w:r>
      <w:r w:rsidRPr="004D28D4">
        <w:rPr>
          <w:sz w:val="18"/>
          <w:szCs w:val="26"/>
          <w:lang w:eastAsia="zh-TW"/>
        </w:rPr>
        <w:t>Resource Guide (Harvard University, 2013), p. 4.9</w:t>
      </w:r>
      <w:r w:rsidRPr="004D28D4">
        <w:rPr>
          <w:sz w:val="18"/>
          <w:szCs w:val="26"/>
          <w:rtl/>
          <w:lang w:eastAsia="zh-TW"/>
        </w:rPr>
        <w:t xml:space="preserve">. </w:t>
      </w:r>
    </w:p>
  </w:footnote>
  <w:footnote w:id="44">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انظر أيضا</w:t>
      </w:r>
      <w:r w:rsidR="00FA3DE5">
        <w:rPr>
          <w:rFonts w:hint="cs"/>
          <w:sz w:val="18"/>
          <w:szCs w:val="26"/>
          <w:rtl/>
          <w:lang w:eastAsia="zh-TW"/>
        </w:rPr>
        <w:t>ً</w:t>
      </w:r>
      <w:r w:rsidRPr="004D28D4">
        <w:rPr>
          <w:sz w:val="18"/>
          <w:szCs w:val="26"/>
          <w:rtl/>
          <w:lang w:eastAsia="zh-TW"/>
        </w:rPr>
        <w:t xml:space="preserve"> قرار المجلس الاقتصادي والاجتماعي 1984/50 وقرار الجمعية العامة 39/118.</w:t>
      </w:r>
      <w:r w:rsidR="00FA3DE5">
        <w:rPr>
          <w:rFonts w:hint="cs"/>
          <w:sz w:val="18"/>
          <w:szCs w:val="26"/>
          <w:rtl/>
          <w:lang w:eastAsia="zh-TW"/>
        </w:rPr>
        <w:t xml:space="preserve"> </w:t>
      </w:r>
    </w:p>
  </w:footnote>
  <w:footnote w:id="45">
    <w:p w:rsidR="00E33FEB" w:rsidRPr="00BC4F00" w:rsidRDefault="00E33FEB" w:rsidP="00BC4F00">
      <w:pPr>
        <w:pStyle w:val="FootnoteText"/>
        <w:tabs>
          <w:tab w:val="left" w:pos="1268"/>
        </w:tabs>
        <w:spacing w:after="60" w:line="240" w:lineRule="exact"/>
        <w:ind w:left="1276" w:right="1247" w:hanging="556"/>
        <w:textDirection w:val="tbRlV"/>
        <w:rPr>
          <w:spacing w:val="-2"/>
          <w:sz w:val="18"/>
          <w:szCs w:val="26"/>
          <w:rtl/>
          <w:lang w:eastAsia="zh-TW"/>
        </w:rPr>
      </w:pPr>
      <w:r w:rsidRPr="00BC4F00">
        <w:rPr>
          <w:rStyle w:val="FootnoteReference"/>
          <w:spacing w:val="-2"/>
          <w:szCs w:val="26"/>
          <w:vertAlign w:val="baseline"/>
          <w:rtl/>
          <w:lang w:eastAsia="zh-TW"/>
        </w:rPr>
        <w:t>(</w:t>
      </w:r>
      <w:r w:rsidRPr="00BC4F00">
        <w:rPr>
          <w:rStyle w:val="FootnoteReference"/>
          <w:spacing w:val="-2"/>
          <w:szCs w:val="26"/>
          <w:vertAlign w:val="baseline"/>
          <w:rtl/>
          <w:lang w:eastAsia="zh-TW"/>
        </w:rPr>
        <w:footnoteRef/>
      </w:r>
      <w:r w:rsidRPr="00BC4F00">
        <w:rPr>
          <w:rStyle w:val="FootnoteReference"/>
          <w:spacing w:val="-2"/>
          <w:szCs w:val="26"/>
          <w:vertAlign w:val="baseline"/>
          <w:rtl/>
          <w:lang w:eastAsia="zh-TW"/>
        </w:rPr>
        <w:t>)</w:t>
      </w:r>
      <w:r w:rsidRPr="00BC4F00">
        <w:rPr>
          <w:rFonts w:hint="cs"/>
          <w:spacing w:val="-2"/>
          <w:sz w:val="18"/>
          <w:szCs w:val="26"/>
          <w:rtl/>
          <w:lang w:eastAsia="zh-TW"/>
        </w:rPr>
        <w:tab/>
      </w:r>
      <w:r w:rsidRPr="00BC4F00">
        <w:rPr>
          <w:spacing w:val="-2"/>
          <w:sz w:val="18"/>
          <w:szCs w:val="26"/>
          <w:lang w:eastAsia="zh-TW"/>
        </w:rPr>
        <w:t>Harm Reduction International, The Death Penalty for Drug Offences: Global Overview 2012, p. 5</w:t>
      </w:r>
      <w:r w:rsidRPr="00BC4F00">
        <w:rPr>
          <w:spacing w:val="-2"/>
          <w:sz w:val="18"/>
          <w:szCs w:val="26"/>
          <w:rtl/>
          <w:lang w:eastAsia="zh-TW"/>
        </w:rPr>
        <w:t>.</w:t>
      </w:r>
      <w:r w:rsidR="00BC4F00">
        <w:rPr>
          <w:rFonts w:hint="cs"/>
          <w:spacing w:val="-2"/>
          <w:sz w:val="18"/>
          <w:szCs w:val="26"/>
          <w:rtl/>
          <w:lang w:eastAsia="zh-TW"/>
        </w:rPr>
        <w:t xml:space="preserve"> </w:t>
      </w:r>
    </w:p>
  </w:footnote>
  <w:footnote w:id="46">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انظر أيضا</w:t>
      </w:r>
      <w:r w:rsidR="00BC4F00">
        <w:rPr>
          <w:rFonts w:hint="cs"/>
          <w:sz w:val="18"/>
          <w:szCs w:val="26"/>
          <w:rtl/>
          <w:lang w:eastAsia="zh-TW"/>
        </w:rPr>
        <w:t>ً</w:t>
      </w:r>
      <w:r w:rsidRPr="004D28D4">
        <w:rPr>
          <w:sz w:val="18"/>
          <w:szCs w:val="26"/>
          <w:rtl/>
          <w:lang w:eastAsia="zh-TW"/>
        </w:rPr>
        <w:t xml:space="preserve"> تقرير منظمة العفو الدولية، ص. </w:t>
      </w:r>
      <w:r w:rsidRPr="004D28D4">
        <w:rPr>
          <w:rFonts w:hint="cs"/>
          <w:sz w:val="18"/>
          <w:szCs w:val="26"/>
          <w:rtl/>
          <w:lang w:eastAsia="zh-TW"/>
        </w:rPr>
        <w:t>2.</w:t>
      </w:r>
      <w:r w:rsidR="00BC4F00">
        <w:rPr>
          <w:rFonts w:hint="cs"/>
          <w:sz w:val="18"/>
          <w:szCs w:val="26"/>
          <w:rtl/>
          <w:lang w:eastAsia="zh-TW"/>
        </w:rPr>
        <w:t xml:space="preserve"> </w:t>
      </w:r>
    </w:p>
  </w:footnote>
  <w:footnote w:id="47">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Reprieve, Harm Reduction International, International Dru</w:t>
      </w:r>
      <w:r w:rsidR="00BC4F00">
        <w:rPr>
          <w:sz w:val="18"/>
          <w:szCs w:val="26"/>
          <w:lang w:eastAsia="zh-TW"/>
        </w:rPr>
        <w:t>g Policy Consortium, Transform,</w:t>
      </w:r>
      <w:r w:rsidR="00BC4F00">
        <w:rPr>
          <w:sz w:val="18"/>
          <w:szCs w:val="26"/>
          <w:lang w:eastAsia="zh-TW"/>
        </w:rPr>
        <w:br/>
      </w:r>
      <w:r w:rsidRPr="004D28D4">
        <w:rPr>
          <w:sz w:val="18"/>
          <w:szCs w:val="26"/>
          <w:lang w:eastAsia="zh-TW"/>
        </w:rPr>
        <w:t xml:space="preserve">Release, </w:t>
      </w:r>
      <w:proofErr w:type="spellStart"/>
      <w:r w:rsidRPr="004D28D4">
        <w:rPr>
          <w:sz w:val="18"/>
          <w:szCs w:val="26"/>
          <w:lang w:eastAsia="zh-TW"/>
        </w:rPr>
        <w:t>Espolea</w:t>
      </w:r>
      <w:proofErr w:type="spellEnd"/>
      <w:r w:rsidRPr="004D28D4">
        <w:rPr>
          <w:sz w:val="18"/>
          <w:szCs w:val="26"/>
          <w:lang w:eastAsia="zh-TW"/>
        </w:rPr>
        <w:t xml:space="preserve">, Drug Policy Alliance, </w:t>
      </w:r>
      <w:proofErr w:type="spellStart"/>
      <w:r w:rsidRPr="004D28D4">
        <w:rPr>
          <w:sz w:val="18"/>
          <w:szCs w:val="26"/>
          <w:lang w:eastAsia="zh-TW"/>
        </w:rPr>
        <w:t>Diogenis</w:t>
      </w:r>
      <w:proofErr w:type="spellEnd"/>
      <w:r w:rsidRPr="004D28D4">
        <w:rPr>
          <w:sz w:val="18"/>
          <w:szCs w:val="26"/>
          <w:lang w:eastAsia="zh-TW"/>
        </w:rPr>
        <w:t xml:space="preserve">, Andrey </w:t>
      </w:r>
      <w:proofErr w:type="spellStart"/>
      <w:r w:rsidRPr="004D28D4">
        <w:rPr>
          <w:sz w:val="18"/>
          <w:szCs w:val="26"/>
          <w:lang w:eastAsia="zh-TW"/>
        </w:rPr>
        <w:t>Rylkov</w:t>
      </w:r>
      <w:proofErr w:type="spellEnd"/>
      <w:r w:rsidRPr="004D28D4">
        <w:rPr>
          <w:sz w:val="18"/>
          <w:szCs w:val="26"/>
          <w:lang w:eastAsia="zh-TW"/>
        </w:rPr>
        <w:t xml:space="preserve"> Foundation, Canadian Drug Policy Coalition and Forum </w:t>
      </w:r>
      <w:proofErr w:type="spellStart"/>
      <w:r w:rsidRPr="004D28D4">
        <w:rPr>
          <w:sz w:val="18"/>
          <w:szCs w:val="26"/>
          <w:lang w:eastAsia="zh-TW"/>
        </w:rPr>
        <w:t>Droghe</w:t>
      </w:r>
      <w:proofErr w:type="spellEnd"/>
      <w:r w:rsidRPr="004D28D4">
        <w:rPr>
          <w:sz w:val="18"/>
          <w:szCs w:val="26"/>
          <w:lang w:eastAsia="zh-TW"/>
        </w:rPr>
        <w:t>, “INCB report launch and the death penalty for drug offences” (joint statement, 3 March 2015)</w:t>
      </w:r>
      <w:r w:rsidRPr="004D28D4">
        <w:rPr>
          <w:sz w:val="18"/>
          <w:szCs w:val="26"/>
          <w:rtl/>
          <w:lang w:eastAsia="zh-TW"/>
        </w:rPr>
        <w:t>.</w:t>
      </w:r>
    </w:p>
  </w:footnote>
  <w:footnote w:id="48">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UNODC, “UNODC and the promotion and protection of human rights” (2102), p. 10</w:t>
      </w:r>
      <w:r w:rsidRPr="004D28D4">
        <w:rPr>
          <w:sz w:val="18"/>
          <w:szCs w:val="26"/>
          <w:rtl/>
          <w:lang w:eastAsia="zh-TW"/>
        </w:rPr>
        <w:t xml:space="preserve">. </w:t>
      </w:r>
    </w:p>
  </w:footnote>
  <w:footnote w:id="49">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Council of the European Union, “EU guidelines on the death penalty” (doc. No. 8416/13, annex)</w:t>
      </w:r>
      <w:r w:rsidRPr="004D28D4">
        <w:rPr>
          <w:sz w:val="18"/>
          <w:szCs w:val="26"/>
          <w:rtl/>
          <w:lang w:eastAsia="zh-TW"/>
        </w:rPr>
        <w:t>.</w:t>
      </w:r>
    </w:p>
  </w:footnote>
  <w:footnote w:id="50">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rPr>
        <w:tab/>
      </w:r>
      <w:r w:rsidRPr="004D28D4">
        <w:rPr>
          <w:sz w:val="18"/>
          <w:szCs w:val="26"/>
        </w:rPr>
        <w:t>Submissions of Switzerland; the Mexican Commission for the</w:t>
      </w:r>
      <w:r w:rsidR="00BC4F00">
        <w:rPr>
          <w:sz w:val="18"/>
          <w:szCs w:val="26"/>
        </w:rPr>
        <w:t xml:space="preserve"> </w:t>
      </w:r>
      <w:proofErr w:type="spellStart"/>
      <w:r w:rsidR="00BC4F00">
        <w:rPr>
          <w:sz w:val="18"/>
          <w:szCs w:val="26"/>
        </w:rPr>
        <w:t>Defence</w:t>
      </w:r>
      <w:proofErr w:type="spellEnd"/>
      <w:r w:rsidR="00BC4F00">
        <w:rPr>
          <w:sz w:val="18"/>
          <w:szCs w:val="26"/>
        </w:rPr>
        <w:t xml:space="preserve"> and Promotion of Human</w:t>
      </w:r>
      <w:r w:rsidR="00BC4F00">
        <w:rPr>
          <w:sz w:val="18"/>
          <w:szCs w:val="26"/>
        </w:rPr>
        <w:br/>
      </w:r>
      <w:r w:rsidRPr="004D28D4">
        <w:rPr>
          <w:sz w:val="18"/>
          <w:szCs w:val="26"/>
        </w:rPr>
        <w:t>Rights, pp. 3-4; the Count the Costs Initiative , p. 7; a</w:t>
      </w:r>
      <w:r w:rsidR="00BC4F00">
        <w:rPr>
          <w:sz w:val="18"/>
          <w:szCs w:val="26"/>
        </w:rPr>
        <w:t>nd Human Rights Watch, pp. 2-3</w:t>
      </w:r>
      <w:r w:rsidR="00BC4F00">
        <w:rPr>
          <w:rFonts w:hint="cs"/>
          <w:sz w:val="18"/>
          <w:szCs w:val="26"/>
          <w:rtl/>
          <w:lang w:eastAsia="zh-TW"/>
        </w:rPr>
        <w:t>.</w:t>
      </w:r>
      <w:r w:rsidRPr="004D28D4">
        <w:rPr>
          <w:sz w:val="18"/>
          <w:szCs w:val="26"/>
          <w:rtl/>
          <w:lang w:eastAsia="zh-TW"/>
        </w:rPr>
        <w:t xml:space="preserve"> </w:t>
      </w:r>
    </w:p>
  </w:footnote>
  <w:footnote w:id="51">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انظر أيضا</w:t>
      </w:r>
      <w:r w:rsidR="00BC4F00">
        <w:rPr>
          <w:rFonts w:hint="cs"/>
          <w:sz w:val="18"/>
          <w:szCs w:val="26"/>
          <w:rtl/>
          <w:lang w:eastAsia="zh-TW"/>
        </w:rPr>
        <w:t>ً</w:t>
      </w:r>
      <w:r w:rsidRPr="004D28D4">
        <w:rPr>
          <w:sz w:val="18"/>
          <w:szCs w:val="26"/>
          <w:rtl/>
          <w:lang w:eastAsia="zh-TW"/>
        </w:rPr>
        <w:t xml:space="preserve"> البيان الاستهلالي الذي أدلى به المفوض السامي في الدورة السابعة والعشرين لمجلس حقوق الإنسان.</w:t>
      </w:r>
      <w:r w:rsidR="00BC4F00">
        <w:rPr>
          <w:rFonts w:hint="cs"/>
          <w:sz w:val="18"/>
          <w:szCs w:val="26"/>
          <w:rtl/>
          <w:lang w:eastAsia="zh-TW"/>
        </w:rPr>
        <w:t xml:space="preserve"> </w:t>
      </w:r>
    </w:p>
  </w:footnote>
  <w:footnote w:id="52">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Submissions of Centro de </w:t>
      </w:r>
      <w:proofErr w:type="spellStart"/>
      <w:r w:rsidRPr="004D28D4">
        <w:rPr>
          <w:sz w:val="18"/>
          <w:szCs w:val="26"/>
          <w:lang w:eastAsia="zh-TW"/>
        </w:rPr>
        <w:t>Estudios</w:t>
      </w:r>
      <w:proofErr w:type="spellEnd"/>
      <w:r w:rsidRPr="004D28D4">
        <w:rPr>
          <w:sz w:val="18"/>
          <w:szCs w:val="26"/>
          <w:lang w:eastAsia="zh-TW"/>
        </w:rPr>
        <w:t xml:space="preserve"> </w:t>
      </w:r>
      <w:proofErr w:type="spellStart"/>
      <w:r w:rsidRPr="004D28D4">
        <w:rPr>
          <w:sz w:val="18"/>
          <w:szCs w:val="26"/>
          <w:lang w:eastAsia="zh-TW"/>
        </w:rPr>
        <w:t>Legales</w:t>
      </w:r>
      <w:proofErr w:type="spellEnd"/>
      <w:r w:rsidRPr="004D28D4">
        <w:rPr>
          <w:sz w:val="18"/>
          <w:szCs w:val="26"/>
          <w:lang w:eastAsia="zh-TW"/>
        </w:rPr>
        <w:t xml:space="preserve"> y </w:t>
      </w:r>
      <w:proofErr w:type="spellStart"/>
      <w:r w:rsidRPr="004D28D4">
        <w:rPr>
          <w:sz w:val="18"/>
          <w:szCs w:val="26"/>
          <w:lang w:eastAsia="zh-TW"/>
        </w:rPr>
        <w:t>Sociales</w:t>
      </w:r>
      <w:proofErr w:type="spellEnd"/>
      <w:r w:rsidRPr="004D28D4">
        <w:rPr>
          <w:sz w:val="18"/>
          <w:szCs w:val="26"/>
          <w:lang w:eastAsia="zh-TW"/>
        </w:rPr>
        <w:t xml:space="preserve">, </w:t>
      </w:r>
      <w:proofErr w:type="spellStart"/>
      <w:r w:rsidRPr="004D28D4">
        <w:rPr>
          <w:sz w:val="18"/>
          <w:szCs w:val="26"/>
          <w:lang w:eastAsia="zh-TW"/>
        </w:rPr>
        <w:t>Conectas</w:t>
      </w:r>
      <w:proofErr w:type="spellEnd"/>
      <w:r w:rsidRPr="004D28D4">
        <w:rPr>
          <w:sz w:val="18"/>
          <w:szCs w:val="26"/>
          <w:lang w:eastAsia="zh-TW"/>
        </w:rPr>
        <w:t xml:space="preserve"> Human Rig</w:t>
      </w:r>
      <w:r w:rsidR="00BC4F00">
        <w:rPr>
          <w:sz w:val="18"/>
          <w:szCs w:val="26"/>
          <w:lang w:eastAsia="zh-TW"/>
        </w:rPr>
        <w:t xml:space="preserve">hts and </w:t>
      </w:r>
      <w:proofErr w:type="spellStart"/>
      <w:r w:rsidR="00BC4F00">
        <w:rPr>
          <w:sz w:val="18"/>
          <w:szCs w:val="26"/>
          <w:lang w:eastAsia="zh-TW"/>
        </w:rPr>
        <w:t>Corporacion</w:t>
      </w:r>
      <w:proofErr w:type="spellEnd"/>
      <w:r w:rsidR="00BC4F00">
        <w:rPr>
          <w:sz w:val="18"/>
          <w:szCs w:val="26"/>
          <w:lang w:eastAsia="zh-TW"/>
        </w:rPr>
        <w:br/>
      </w:r>
      <w:proofErr w:type="spellStart"/>
      <w:r w:rsidRPr="004D28D4">
        <w:rPr>
          <w:sz w:val="18"/>
          <w:szCs w:val="26"/>
          <w:lang w:eastAsia="zh-TW"/>
        </w:rPr>
        <w:t>Humanas</w:t>
      </w:r>
      <w:proofErr w:type="spellEnd"/>
      <w:r w:rsidRPr="004D28D4">
        <w:rPr>
          <w:sz w:val="18"/>
          <w:szCs w:val="26"/>
          <w:lang w:eastAsia="zh-TW"/>
        </w:rPr>
        <w:t>, pp. 3 and 6-9</w:t>
      </w:r>
      <w:r w:rsidRPr="004D28D4">
        <w:rPr>
          <w:sz w:val="18"/>
          <w:szCs w:val="26"/>
          <w:rtl/>
          <w:lang w:eastAsia="zh-TW"/>
        </w:rPr>
        <w:t xml:space="preserve">; </w:t>
      </w:r>
      <w:r w:rsidRPr="004D28D4">
        <w:rPr>
          <w:sz w:val="18"/>
          <w:szCs w:val="26"/>
          <w:lang w:eastAsia="zh-TW"/>
        </w:rPr>
        <w:t>International Service for Human Rights and Peace Brigades International, p. 6</w:t>
      </w:r>
      <w:r w:rsidRPr="004D28D4">
        <w:rPr>
          <w:sz w:val="18"/>
          <w:szCs w:val="26"/>
          <w:rtl/>
          <w:lang w:eastAsia="zh-TW"/>
        </w:rPr>
        <w:t xml:space="preserve">; </w:t>
      </w:r>
      <w:r w:rsidRPr="004D28D4">
        <w:rPr>
          <w:sz w:val="18"/>
          <w:szCs w:val="26"/>
          <w:lang w:eastAsia="zh-TW"/>
        </w:rPr>
        <w:t xml:space="preserve">and the Mexican Commission for the </w:t>
      </w:r>
      <w:proofErr w:type="spellStart"/>
      <w:r w:rsidRPr="004D28D4">
        <w:rPr>
          <w:sz w:val="18"/>
          <w:szCs w:val="26"/>
          <w:lang w:eastAsia="zh-TW"/>
        </w:rPr>
        <w:t>Defence</w:t>
      </w:r>
      <w:proofErr w:type="spellEnd"/>
      <w:r w:rsidRPr="004D28D4">
        <w:rPr>
          <w:sz w:val="18"/>
          <w:szCs w:val="26"/>
          <w:lang w:eastAsia="zh-TW"/>
        </w:rPr>
        <w:t xml:space="preserve"> and Promotion of Human Rights, pp. 1-6</w:t>
      </w:r>
      <w:r w:rsidRPr="004D28D4">
        <w:rPr>
          <w:sz w:val="18"/>
          <w:szCs w:val="26"/>
          <w:rtl/>
          <w:lang w:eastAsia="zh-TW"/>
        </w:rPr>
        <w:t>.</w:t>
      </w:r>
    </w:p>
  </w:footnote>
  <w:footnote w:id="53">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Count the Costs, “The war on drugs: undermining human rights”, p. 4</w:t>
      </w:r>
      <w:r w:rsidRPr="004D28D4">
        <w:rPr>
          <w:sz w:val="18"/>
          <w:szCs w:val="26"/>
          <w:rtl/>
          <w:lang w:eastAsia="zh-TW"/>
        </w:rPr>
        <w:t>.</w:t>
      </w:r>
    </w:p>
  </w:footnote>
  <w:footnote w:id="54">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dir w:val="rtl">
        <w:r w:rsidR="00BC4F00">
          <w:rPr>
            <w:sz w:val="18"/>
            <w:szCs w:val="26"/>
            <w:rtl/>
            <w:lang w:eastAsia="zh-TW"/>
          </w:rPr>
          <w:t>التعليق العام رقم 32</w:t>
        </w:r>
        <w:r w:rsidRPr="004D28D4">
          <w:rPr>
            <w:sz w:val="18"/>
            <w:szCs w:val="26"/>
            <w:rtl/>
            <w:lang w:eastAsia="zh-TW"/>
          </w:rPr>
          <w:t>(2007) بشأن الحق في المساواة أمام المحاكم والهيئات القضائية وفي محاكمة عادلة، الفقرة 22.</w:t>
        </w:r>
        <w:r w:rsidRPr="004D28D4">
          <w:rPr>
            <w:sz w:val="18"/>
            <w:szCs w:val="26"/>
            <w:lang w:eastAsia="zh-TW"/>
          </w:rPr>
          <w:t>‬</w:t>
        </w:r>
        <w:r w:rsidRPr="004D28D4">
          <w:rPr>
            <w:sz w:val="18"/>
            <w:szCs w:val="26"/>
          </w:rPr>
          <w:t>‬</w:t>
        </w:r>
        <w:r w:rsidRPr="004D28D4">
          <w:rPr>
            <w:sz w:val="18"/>
            <w:szCs w:val="26"/>
          </w:rPr>
          <w:t>‬</w:t>
        </w:r>
        <w:r w:rsidRPr="004D28D4">
          <w:rPr>
            <w:sz w:val="18"/>
            <w:szCs w:val="26"/>
          </w:rPr>
          <w:t>‬</w:t>
        </w:r>
        <w:r w:rsidR="00EB7A1B">
          <w:rPr>
            <w:rFonts w:hint="cs"/>
            <w:sz w:val="18"/>
            <w:szCs w:val="26"/>
            <w:rtl/>
            <w:lang w:eastAsia="zh-TW"/>
          </w:rPr>
          <w:t xml:space="preserve"> </w:t>
        </w:r>
        <w:r w:rsidR="00C66BF6">
          <w:t>‬</w:t>
        </w:r>
        <w:r w:rsidR="00943DBA">
          <w:t>‬</w:t>
        </w:r>
      </w:dir>
    </w:p>
  </w:footnote>
  <w:footnote w:id="55">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Global Commission on Drug Policy, Taking Control: Path</w:t>
      </w:r>
      <w:r w:rsidR="00BC4F00">
        <w:rPr>
          <w:sz w:val="18"/>
          <w:szCs w:val="26"/>
          <w:lang w:eastAsia="zh-TW"/>
        </w:rPr>
        <w:t>ways to Drug Policies that Work</w:t>
      </w:r>
      <w:r w:rsidR="00BC4F00">
        <w:rPr>
          <w:sz w:val="18"/>
          <w:szCs w:val="26"/>
          <w:lang w:eastAsia="zh-TW"/>
        </w:rPr>
        <w:br/>
      </w:r>
      <w:r w:rsidRPr="004D28D4">
        <w:rPr>
          <w:sz w:val="18"/>
          <w:szCs w:val="26"/>
          <w:lang w:eastAsia="zh-TW"/>
        </w:rPr>
        <w:t>(2014), p. 22</w:t>
      </w:r>
      <w:r w:rsidRPr="004D28D4">
        <w:rPr>
          <w:sz w:val="18"/>
          <w:szCs w:val="26"/>
          <w:rtl/>
          <w:lang w:eastAsia="zh-TW"/>
        </w:rPr>
        <w:t>.</w:t>
      </w:r>
      <w:r w:rsidR="00BC4F00">
        <w:rPr>
          <w:rFonts w:hint="cs"/>
          <w:sz w:val="18"/>
          <w:szCs w:val="26"/>
          <w:rtl/>
          <w:lang w:eastAsia="zh-TW"/>
        </w:rPr>
        <w:t xml:space="preserve"> </w:t>
      </w:r>
    </w:p>
  </w:footnote>
  <w:footnote w:id="56">
    <w:p w:rsidR="00E33FEB" w:rsidRPr="00BC4F00" w:rsidRDefault="00E33FEB" w:rsidP="00BC4F00">
      <w:pPr>
        <w:pStyle w:val="FootnoteText"/>
        <w:tabs>
          <w:tab w:val="left" w:pos="1268"/>
        </w:tabs>
        <w:spacing w:after="60" w:line="240" w:lineRule="exact"/>
        <w:ind w:left="1276" w:right="1247" w:hanging="556"/>
        <w:rPr>
          <w:sz w:val="18"/>
          <w:szCs w:val="26"/>
          <w:rtl/>
          <w:lang w:eastAsia="zh-TW"/>
        </w:rPr>
      </w:pPr>
      <w:r w:rsidRPr="00BC4F00">
        <w:rPr>
          <w:rStyle w:val="FootnoteReference"/>
          <w:szCs w:val="26"/>
          <w:vertAlign w:val="baseline"/>
          <w:rtl/>
          <w:lang w:eastAsia="zh-TW"/>
        </w:rPr>
        <w:t>(</w:t>
      </w:r>
      <w:r w:rsidRPr="00BC4F00">
        <w:rPr>
          <w:rStyle w:val="FootnoteReference"/>
          <w:szCs w:val="26"/>
          <w:vertAlign w:val="baseline"/>
          <w:rtl/>
          <w:lang w:eastAsia="zh-TW"/>
        </w:rPr>
        <w:footnoteRef/>
      </w:r>
      <w:r w:rsidRPr="00BC4F00">
        <w:rPr>
          <w:rStyle w:val="FootnoteReference"/>
          <w:szCs w:val="26"/>
          <w:vertAlign w:val="baseline"/>
          <w:rtl/>
          <w:lang w:eastAsia="zh-TW"/>
        </w:rPr>
        <w:t>)</w:t>
      </w:r>
      <w:r w:rsidRPr="00BC4F00">
        <w:rPr>
          <w:sz w:val="18"/>
          <w:szCs w:val="26"/>
          <w:rtl/>
        </w:rPr>
        <w:tab/>
      </w:r>
      <w:r w:rsidRPr="00BC4F00">
        <w:rPr>
          <w:sz w:val="18"/>
          <w:szCs w:val="26"/>
        </w:rPr>
        <w:t xml:space="preserve">UNDP, </w:t>
      </w:r>
      <w:hyperlink r:id="rId1" w:history="1">
        <w:r w:rsidRPr="00BC4F00">
          <w:rPr>
            <w:rStyle w:val="Hyperlink"/>
            <w:i/>
            <w:sz w:val="18"/>
            <w:szCs w:val="26"/>
          </w:rPr>
          <w:t>Addressing the Development Dimensions of Drug Policy</w:t>
        </w:r>
      </w:hyperlink>
      <w:r w:rsidR="00BC4F00">
        <w:rPr>
          <w:sz w:val="18"/>
          <w:szCs w:val="26"/>
        </w:rPr>
        <w:t>, p. 25, and the submission of</w:t>
      </w:r>
      <w:r w:rsidR="00BC4F00">
        <w:rPr>
          <w:sz w:val="18"/>
          <w:szCs w:val="26"/>
        </w:rPr>
        <w:br/>
      </w:r>
      <w:r w:rsidRPr="00BC4F00">
        <w:rPr>
          <w:sz w:val="18"/>
          <w:szCs w:val="26"/>
        </w:rPr>
        <w:t>Release, p. 2</w:t>
      </w:r>
      <w:r w:rsidRPr="00BC4F00">
        <w:rPr>
          <w:sz w:val="18"/>
          <w:szCs w:val="26"/>
          <w:rtl/>
          <w:lang w:eastAsia="zh-TW"/>
        </w:rPr>
        <w:t>.</w:t>
      </w:r>
      <w:r w:rsidR="00BC4F00" w:rsidRPr="00BC4F00">
        <w:rPr>
          <w:rFonts w:hint="cs"/>
          <w:sz w:val="18"/>
          <w:szCs w:val="26"/>
          <w:rtl/>
          <w:lang w:eastAsia="zh-TW"/>
        </w:rPr>
        <w:t xml:space="preserve"> </w:t>
      </w:r>
    </w:p>
  </w:footnote>
  <w:footnote w:id="57">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Submission of Centro de </w:t>
      </w:r>
      <w:proofErr w:type="spellStart"/>
      <w:r w:rsidRPr="004D28D4">
        <w:rPr>
          <w:sz w:val="18"/>
          <w:szCs w:val="26"/>
          <w:lang w:eastAsia="zh-TW"/>
        </w:rPr>
        <w:t>Estudios</w:t>
      </w:r>
      <w:proofErr w:type="spellEnd"/>
      <w:r w:rsidRPr="004D28D4">
        <w:rPr>
          <w:sz w:val="18"/>
          <w:szCs w:val="26"/>
          <w:lang w:eastAsia="zh-TW"/>
        </w:rPr>
        <w:t xml:space="preserve"> </w:t>
      </w:r>
      <w:proofErr w:type="spellStart"/>
      <w:r w:rsidRPr="004D28D4">
        <w:rPr>
          <w:sz w:val="18"/>
          <w:szCs w:val="26"/>
          <w:lang w:eastAsia="zh-TW"/>
        </w:rPr>
        <w:t>Legales</w:t>
      </w:r>
      <w:proofErr w:type="spellEnd"/>
      <w:r w:rsidRPr="004D28D4">
        <w:rPr>
          <w:sz w:val="18"/>
          <w:szCs w:val="26"/>
          <w:lang w:eastAsia="zh-TW"/>
        </w:rPr>
        <w:t xml:space="preserve"> y </w:t>
      </w:r>
      <w:proofErr w:type="spellStart"/>
      <w:r w:rsidRPr="004D28D4">
        <w:rPr>
          <w:sz w:val="18"/>
          <w:szCs w:val="26"/>
          <w:lang w:eastAsia="zh-TW"/>
        </w:rPr>
        <w:t>Sociales</w:t>
      </w:r>
      <w:proofErr w:type="spellEnd"/>
      <w:r w:rsidRPr="004D28D4">
        <w:rPr>
          <w:sz w:val="18"/>
          <w:szCs w:val="26"/>
          <w:lang w:eastAsia="zh-TW"/>
        </w:rPr>
        <w:t xml:space="preserve">, </w:t>
      </w:r>
      <w:proofErr w:type="spellStart"/>
      <w:r w:rsidRPr="004D28D4">
        <w:rPr>
          <w:sz w:val="18"/>
          <w:szCs w:val="26"/>
          <w:lang w:eastAsia="zh-TW"/>
        </w:rPr>
        <w:t>Conectas</w:t>
      </w:r>
      <w:proofErr w:type="spellEnd"/>
      <w:r w:rsidRPr="004D28D4">
        <w:rPr>
          <w:sz w:val="18"/>
          <w:szCs w:val="26"/>
          <w:lang w:eastAsia="zh-TW"/>
        </w:rPr>
        <w:t xml:space="preserve"> Human Rights and </w:t>
      </w:r>
      <w:proofErr w:type="spellStart"/>
      <w:r w:rsidRPr="004D28D4">
        <w:rPr>
          <w:sz w:val="18"/>
          <w:szCs w:val="26"/>
          <w:lang w:eastAsia="zh-TW"/>
        </w:rPr>
        <w:t>Corporacion</w:t>
      </w:r>
      <w:proofErr w:type="spellEnd"/>
      <w:r w:rsidRPr="004D28D4">
        <w:rPr>
          <w:sz w:val="18"/>
          <w:szCs w:val="26"/>
          <w:lang w:eastAsia="zh-TW"/>
        </w:rPr>
        <w:t xml:space="preserve"> </w:t>
      </w:r>
      <w:proofErr w:type="spellStart"/>
      <w:r w:rsidRPr="004D28D4">
        <w:rPr>
          <w:sz w:val="18"/>
          <w:szCs w:val="26"/>
          <w:lang w:eastAsia="zh-TW"/>
        </w:rPr>
        <w:t>Humanas</w:t>
      </w:r>
      <w:proofErr w:type="spellEnd"/>
      <w:r w:rsidRPr="004D28D4">
        <w:rPr>
          <w:sz w:val="18"/>
          <w:szCs w:val="26"/>
          <w:lang w:eastAsia="zh-TW"/>
        </w:rPr>
        <w:t>, p. 27</w:t>
      </w:r>
      <w:r w:rsidRPr="004D28D4">
        <w:rPr>
          <w:sz w:val="18"/>
          <w:szCs w:val="26"/>
          <w:rtl/>
          <w:lang w:eastAsia="zh-TW"/>
        </w:rPr>
        <w:t>.</w:t>
      </w:r>
    </w:p>
  </w:footnote>
  <w:footnote w:id="58">
    <w:p w:rsidR="00E33FEB" w:rsidRPr="004D28D4" w:rsidRDefault="00E33FEB" w:rsidP="00BC4F0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Pr>
        <w:t xml:space="preserve">Submissions of </w:t>
      </w:r>
      <w:proofErr w:type="spellStart"/>
      <w:r w:rsidRPr="004D28D4">
        <w:rPr>
          <w:sz w:val="18"/>
          <w:szCs w:val="26"/>
        </w:rPr>
        <w:t>Colectivo</w:t>
      </w:r>
      <w:proofErr w:type="spellEnd"/>
      <w:r w:rsidRPr="004D28D4">
        <w:rPr>
          <w:sz w:val="18"/>
          <w:szCs w:val="26"/>
        </w:rPr>
        <w:t xml:space="preserve"> de </w:t>
      </w:r>
      <w:proofErr w:type="spellStart"/>
      <w:r w:rsidRPr="004D28D4">
        <w:rPr>
          <w:sz w:val="18"/>
          <w:szCs w:val="26"/>
        </w:rPr>
        <w:t>Estudios</w:t>
      </w:r>
      <w:proofErr w:type="spellEnd"/>
      <w:r w:rsidRPr="004D28D4">
        <w:rPr>
          <w:sz w:val="18"/>
          <w:szCs w:val="26"/>
        </w:rPr>
        <w:t xml:space="preserve"> </w:t>
      </w:r>
      <w:proofErr w:type="spellStart"/>
      <w:r w:rsidRPr="004D28D4">
        <w:rPr>
          <w:sz w:val="18"/>
          <w:szCs w:val="26"/>
        </w:rPr>
        <w:t>Drogas</w:t>
      </w:r>
      <w:proofErr w:type="spellEnd"/>
      <w:r w:rsidRPr="004D28D4">
        <w:rPr>
          <w:sz w:val="18"/>
          <w:szCs w:val="26"/>
        </w:rPr>
        <w:t xml:space="preserve"> y Derecho; and Harm Reduction International and Penal Reform International, p. 1</w:t>
      </w:r>
      <w:r w:rsidRPr="004D28D4">
        <w:rPr>
          <w:sz w:val="18"/>
          <w:szCs w:val="26"/>
          <w:rtl/>
        </w:rPr>
        <w:t>.</w:t>
      </w:r>
    </w:p>
  </w:footnote>
  <w:footnote w:id="59">
    <w:p w:rsidR="00E33FEB" w:rsidRPr="004D28D4" w:rsidRDefault="00E33FEB" w:rsidP="0034116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Harvard FXB Center for Health and Human Rights and Open </w:t>
      </w:r>
      <w:r w:rsidR="00341160">
        <w:rPr>
          <w:sz w:val="18"/>
          <w:szCs w:val="26"/>
          <w:lang w:eastAsia="zh-TW"/>
        </w:rPr>
        <w:t>Society Foundations, Health and</w:t>
      </w:r>
      <w:r w:rsidR="00341160">
        <w:rPr>
          <w:sz w:val="18"/>
          <w:szCs w:val="26"/>
          <w:lang w:eastAsia="zh-TW"/>
        </w:rPr>
        <w:br/>
      </w:r>
      <w:r w:rsidRPr="004D28D4">
        <w:rPr>
          <w:sz w:val="18"/>
          <w:szCs w:val="26"/>
          <w:lang w:eastAsia="zh-TW"/>
        </w:rPr>
        <w:t>Human Rights Resource Guide (2013), p. 4.7. See also Open So</w:t>
      </w:r>
      <w:r w:rsidR="00341160">
        <w:rPr>
          <w:sz w:val="18"/>
          <w:szCs w:val="26"/>
          <w:lang w:eastAsia="zh-TW"/>
        </w:rPr>
        <w:t>ciety Foundations, Treated with</w:t>
      </w:r>
      <w:r w:rsidR="00341160">
        <w:rPr>
          <w:sz w:val="18"/>
          <w:szCs w:val="26"/>
          <w:lang w:eastAsia="zh-TW"/>
        </w:rPr>
        <w:br/>
      </w:r>
      <w:r w:rsidRPr="004D28D4">
        <w:rPr>
          <w:sz w:val="18"/>
          <w:szCs w:val="26"/>
          <w:lang w:eastAsia="zh-TW"/>
        </w:rPr>
        <w:t>Cruelty: Abuses in the Name of Rehabilitation (2011) and “Hum</w:t>
      </w:r>
      <w:r w:rsidR="00341160">
        <w:rPr>
          <w:sz w:val="18"/>
          <w:szCs w:val="26"/>
          <w:lang w:eastAsia="zh-TW"/>
        </w:rPr>
        <w:t>an rights abuses in the name of</w:t>
      </w:r>
      <w:r w:rsidR="00341160">
        <w:rPr>
          <w:sz w:val="18"/>
          <w:szCs w:val="26"/>
          <w:lang w:eastAsia="zh-TW"/>
        </w:rPr>
        <w:br/>
      </w:r>
      <w:r w:rsidRPr="004D28D4">
        <w:rPr>
          <w:sz w:val="18"/>
          <w:szCs w:val="26"/>
          <w:lang w:eastAsia="zh-TW"/>
        </w:rPr>
        <w:t>drug treatment: reports from the field” (2009)</w:t>
      </w:r>
      <w:r w:rsidRPr="004D28D4">
        <w:rPr>
          <w:sz w:val="18"/>
          <w:szCs w:val="26"/>
          <w:rtl/>
          <w:lang w:eastAsia="zh-TW"/>
        </w:rPr>
        <w:t>.</w:t>
      </w:r>
      <w:r w:rsidR="00341160">
        <w:rPr>
          <w:rFonts w:hint="cs"/>
          <w:sz w:val="18"/>
          <w:szCs w:val="26"/>
          <w:rtl/>
          <w:lang w:eastAsia="zh-TW"/>
        </w:rPr>
        <w:t xml:space="preserve"> </w:t>
      </w:r>
    </w:p>
  </w:footnote>
  <w:footnote w:id="60">
    <w:p w:rsidR="00E33FEB" w:rsidRPr="00341160" w:rsidRDefault="00E33FEB" w:rsidP="00341160">
      <w:pPr>
        <w:pStyle w:val="FootnoteText"/>
        <w:tabs>
          <w:tab w:val="left" w:pos="1268"/>
        </w:tabs>
        <w:spacing w:after="60" w:line="240" w:lineRule="exact"/>
        <w:ind w:left="1276" w:right="1247" w:hanging="556"/>
        <w:textDirection w:val="tbRlV"/>
        <w:rPr>
          <w:sz w:val="18"/>
          <w:szCs w:val="26"/>
          <w:rtl/>
          <w:lang w:eastAsia="zh-TW"/>
        </w:rPr>
      </w:pPr>
      <w:r w:rsidRPr="00341160">
        <w:rPr>
          <w:rStyle w:val="FootnoteReference"/>
          <w:szCs w:val="26"/>
          <w:vertAlign w:val="baseline"/>
          <w:rtl/>
          <w:lang w:eastAsia="zh-TW"/>
        </w:rPr>
        <w:t>(</w:t>
      </w:r>
      <w:r w:rsidRPr="00341160">
        <w:rPr>
          <w:rStyle w:val="FootnoteReference"/>
          <w:szCs w:val="26"/>
          <w:vertAlign w:val="baseline"/>
          <w:rtl/>
          <w:lang w:eastAsia="zh-TW"/>
        </w:rPr>
        <w:footnoteRef/>
      </w:r>
      <w:r w:rsidRPr="00341160">
        <w:rPr>
          <w:rStyle w:val="FootnoteReference"/>
          <w:szCs w:val="26"/>
          <w:vertAlign w:val="baseline"/>
          <w:rtl/>
          <w:lang w:eastAsia="zh-TW"/>
        </w:rPr>
        <w:t>)</w:t>
      </w:r>
      <w:r w:rsidRPr="00341160">
        <w:rPr>
          <w:rFonts w:hint="cs"/>
          <w:sz w:val="18"/>
          <w:szCs w:val="26"/>
          <w:rtl/>
          <w:lang w:eastAsia="zh-TW"/>
        </w:rPr>
        <w:tab/>
      </w:r>
      <w:r w:rsidR="00EC41B6">
        <w:rPr>
          <w:sz w:val="18"/>
          <w:szCs w:val="26"/>
          <w:lang w:val="fr-CH" w:eastAsia="zh-TW"/>
        </w:rPr>
        <w:t>Available </w:t>
      </w:r>
      <w:r w:rsidR="00EC41B6" w:rsidRPr="00EC41B6">
        <w:rPr>
          <w:sz w:val="18"/>
          <w:szCs w:val="26"/>
          <w:lang w:val="fr-CH" w:eastAsia="zh-TW"/>
        </w:rPr>
        <w:t>from </w:t>
      </w:r>
      <w:r w:rsidRPr="00EC41B6">
        <w:rPr>
          <w:sz w:val="18"/>
          <w:szCs w:val="26"/>
          <w:lang w:val="fr-CH" w:eastAsia="zh-TW"/>
        </w:rPr>
        <w:t>www.unaids.org/sites/default/files/en/media/unaids/contentassets/documents/</w:t>
      </w:r>
      <w:r w:rsidR="00341160" w:rsidRPr="00EC41B6">
        <w:rPr>
          <w:sz w:val="18"/>
          <w:szCs w:val="26"/>
          <w:lang w:val="fr-CH" w:eastAsia="zh-TW"/>
        </w:rPr>
        <w:br/>
      </w:r>
      <w:r w:rsidRPr="00EC41B6">
        <w:rPr>
          <w:sz w:val="18"/>
          <w:szCs w:val="26"/>
          <w:lang w:val="fr-CH" w:eastAsia="zh-TW"/>
        </w:rPr>
        <w:t>document/2012/JC2310_Joint%20Statement6March12FINAL_en.pdf</w:t>
      </w:r>
      <w:r w:rsidRPr="00341160">
        <w:rPr>
          <w:sz w:val="18"/>
          <w:szCs w:val="26"/>
          <w:rtl/>
          <w:lang w:eastAsia="zh-TW"/>
        </w:rPr>
        <w:t>.</w:t>
      </w:r>
      <w:r w:rsidR="00341160">
        <w:rPr>
          <w:rFonts w:hint="cs"/>
          <w:sz w:val="18"/>
          <w:szCs w:val="26"/>
          <w:rtl/>
          <w:lang w:eastAsia="zh-TW"/>
        </w:rPr>
        <w:t xml:space="preserve"> </w:t>
      </w:r>
    </w:p>
  </w:footnote>
  <w:footnote w:id="61">
    <w:p w:rsidR="00E33FEB" w:rsidRPr="004D28D4" w:rsidRDefault="00E33FEB" w:rsidP="0034116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UNDP, Addressing the Development Dimensions of Drug Policy, p. 25</w:t>
      </w:r>
      <w:r w:rsidRPr="004D28D4">
        <w:rPr>
          <w:sz w:val="18"/>
          <w:szCs w:val="26"/>
          <w:rtl/>
          <w:lang w:eastAsia="zh-TW"/>
        </w:rPr>
        <w:t>.</w:t>
      </w:r>
      <w:r w:rsidR="00341160">
        <w:rPr>
          <w:rFonts w:hint="cs"/>
          <w:sz w:val="18"/>
          <w:szCs w:val="26"/>
          <w:rtl/>
          <w:lang w:eastAsia="zh-TW"/>
        </w:rPr>
        <w:t xml:space="preserve"> </w:t>
      </w:r>
    </w:p>
  </w:footnote>
  <w:footnote w:id="62">
    <w:p w:rsidR="00E33FEB" w:rsidRPr="004D28D4" w:rsidRDefault="00E33FEB" w:rsidP="0034116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Count the Costs, “The war on drugs: promoting stigma and discrimination”, pp. 3-5</w:t>
      </w:r>
      <w:r w:rsidRPr="004D28D4">
        <w:rPr>
          <w:sz w:val="18"/>
          <w:szCs w:val="26"/>
          <w:rtl/>
          <w:lang w:eastAsia="zh-TW"/>
        </w:rPr>
        <w:t>.</w:t>
      </w:r>
    </w:p>
  </w:footnote>
  <w:footnote w:id="63">
    <w:p w:rsidR="00E33FEB" w:rsidRPr="004D28D4" w:rsidRDefault="00E33FEB" w:rsidP="0034116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proofErr w:type="spellStart"/>
      <w:r w:rsidRPr="004D28D4">
        <w:rPr>
          <w:sz w:val="18"/>
          <w:szCs w:val="26"/>
          <w:lang w:eastAsia="zh-TW"/>
        </w:rPr>
        <w:t>Rosmarin</w:t>
      </w:r>
      <w:proofErr w:type="spellEnd"/>
      <w:r w:rsidRPr="004D28D4">
        <w:rPr>
          <w:sz w:val="18"/>
          <w:szCs w:val="26"/>
          <w:lang w:eastAsia="zh-TW"/>
        </w:rPr>
        <w:t xml:space="preserve"> and Eastwood, A Quiet Revolution</w:t>
      </w:r>
      <w:r w:rsidRPr="004D28D4">
        <w:rPr>
          <w:sz w:val="18"/>
          <w:szCs w:val="26"/>
          <w:rtl/>
          <w:lang w:eastAsia="zh-TW"/>
        </w:rPr>
        <w:t>.</w:t>
      </w:r>
    </w:p>
  </w:footnote>
  <w:footnote w:id="64">
    <w:p w:rsidR="00E33FEB" w:rsidRPr="004D28D4" w:rsidRDefault="00E33FEB" w:rsidP="00341160">
      <w:pPr>
        <w:pStyle w:val="FootnoteText"/>
        <w:tabs>
          <w:tab w:val="left" w:pos="1268"/>
        </w:tabs>
        <w:spacing w:after="60" w:line="240" w:lineRule="exact"/>
        <w:ind w:left="1276" w:right="1247" w:hanging="556"/>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Pr>
        <w:t>Submissions of the Global Commission on Drug Policy, p. 6; and Harm Reduction International and Penal Reform International, p. 4</w:t>
      </w:r>
      <w:r w:rsidRPr="004D28D4">
        <w:rPr>
          <w:sz w:val="18"/>
          <w:szCs w:val="26"/>
          <w:rtl/>
        </w:rPr>
        <w:t>.</w:t>
      </w:r>
    </w:p>
  </w:footnote>
  <w:footnote w:id="65">
    <w:p w:rsidR="00E33FEB" w:rsidRPr="004D28D4" w:rsidRDefault="00E33FEB" w:rsidP="00341160">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Count the Costs, “The war on drugs: promoting stigma and discrimination”, pp. 7-8</w:t>
      </w:r>
      <w:r w:rsidRPr="004D28D4">
        <w:rPr>
          <w:sz w:val="18"/>
          <w:szCs w:val="26"/>
          <w:rtl/>
          <w:lang w:eastAsia="zh-TW"/>
        </w:rPr>
        <w:t>.</w:t>
      </w:r>
    </w:p>
  </w:footnote>
  <w:footnote w:id="66">
    <w:p w:rsidR="00E33FEB" w:rsidRPr="004D28D4" w:rsidRDefault="00E33FEB" w:rsidP="00E33FEB">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Corina </w:t>
      </w:r>
      <w:proofErr w:type="spellStart"/>
      <w:r w:rsidRPr="004D28D4">
        <w:rPr>
          <w:sz w:val="18"/>
          <w:szCs w:val="26"/>
          <w:lang w:eastAsia="zh-TW"/>
        </w:rPr>
        <w:t>Giacomello</w:t>
      </w:r>
      <w:proofErr w:type="spellEnd"/>
      <w:r w:rsidRPr="004D28D4">
        <w:rPr>
          <w:sz w:val="18"/>
          <w:szCs w:val="26"/>
          <w:lang w:eastAsia="zh-TW"/>
        </w:rPr>
        <w:t>, “Women, drug offenses and penitentia</w:t>
      </w:r>
      <w:r>
        <w:rPr>
          <w:sz w:val="18"/>
          <w:szCs w:val="26"/>
          <w:lang w:eastAsia="zh-TW"/>
        </w:rPr>
        <w:t>ry systems in Latin America”</w:t>
      </w:r>
      <w:r>
        <w:rPr>
          <w:sz w:val="18"/>
          <w:szCs w:val="26"/>
          <w:lang w:eastAsia="zh-TW"/>
        </w:rPr>
        <w:br/>
      </w:r>
      <w:r w:rsidRPr="004D28D4">
        <w:rPr>
          <w:sz w:val="18"/>
          <w:szCs w:val="26"/>
          <w:lang w:eastAsia="zh-TW"/>
        </w:rPr>
        <w:t>(International Drug Policy Consortium, 2013)</w:t>
      </w:r>
      <w:r w:rsidRPr="004D28D4">
        <w:rPr>
          <w:sz w:val="18"/>
          <w:szCs w:val="26"/>
          <w:rtl/>
          <w:lang w:eastAsia="zh-TW"/>
        </w:rPr>
        <w:t xml:space="preserve">. </w:t>
      </w:r>
    </w:p>
  </w:footnote>
  <w:footnote w:id="67">
    <w:p w:rsidR="00E33FEB" w:rsidRPr="004D28D4" w:rsidRDefault="00E33FEB" w:rsidP="00E33FEB">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Count the Costs, “The war on drugs: promoting stigma and discrimination”, pp. 8-9</w:t>
      </w:r>
      <w:r w:rsidRPr="004D28D4">
        <w:rPr>
          <w:sz w:val="18"/>
          <w:szCs w:val="26"/>
          <w:rtl/>
          <w:lang w:eastAsia="zh-TW"/>
        </w:rPr>
        <w:t>.</w:t>
      </w:r>
      <w:r w:rsidR="00341160">
        <w:rPr>
          <w:rFonts w:hint="cs"/>
          <w:sz w:val="18"/>
          <w:szCs w:val="26"/>
          <w:rtl/>
          <w:lang w:eastAsia="zh-TW"/>
        </w:rPr>
        <w:t xml:space="preserve"> </w:t>
      </w:r>
    </w:p>
  </w:footnote>
  <w:footnote w:id="68">
    <w:p w:rsidR="00E33FEB" w:rsidRPr="004D28D4" w:rsidRDefault="00E33FEB" w:rsidP="00E33FEB">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Submission of the Women’s Harm Reduction International Network, pp. 6-7</w:t>
      </w:r>
      <w:r w:rsidRPr="004D28D4">
        <w:rPr>
          <w:sz w:val="18"/>
          <w:szCs w:val="26"/>
          <w:rtl/>
          <w:lang w:eastAsia="zh-TW"/>
        </w:rPr>
        <w:t>.</w:t>
      </w:r>
      <w:r w:rsidR="00341160">
        <w:rPr>
          <w:rFonts w:hint="cs"/>
          <w:sz w:val="18"/>
          <w:szCs w:val="26"/>
          <w:rtl/>
          <w:lang w:eastAsia="zh-TW"/>
        </w:rPr>
        <w:t xml:space="preserve"> </w:t>
      </w:r>
    </w:p>
  </w:footnote>
  <w:footnote w:id="69">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dir w:val="rtl">
        <w:r w:rsidRPr="004D28D4">
          <w:rPr>
            <w:sz w:val="18"/>
            <w:szCs w:val="26"/>
            <w:rtl/>
            <w:lang w:eastAsia="zh-TW"/>
          </w:rPr>
          <w:t>المرجع نفسه، الصفحة 5.</w:t>
        </w:r>
        <w:r w:rsidRPr="004D28D4">
          <w:rPr>
            <w:sz w:val="18"/>
            <w:szCs w:val="26"/>
            <w:lang w:eastAsia="zh-TW"/>
          </w:rPr>
          <w:t>‬</w:t>
        </w:r>
        <w:r w:rsidRPr="004D28D4">
          <w:rPr>
            <w:sz w:val="18"/>
            <w:szCs w:val="26"/>
          </w:rPr>
          <w:t>‬</w:t>
        </w:r>
        <w:r w:rsidRPr="004D28D4">
          <w:rPr>
            <w:sz w:val="18"/>
            <w:szCs w:val="26"/>
          </w:rPr>
          <w:t>‬</w:t>
        </w:r>
        <w:r w:rsidRPr="004D28D4">
          <w:rPr>
            <w:sz w:val="18"/>
            <w:szCs w:val="26"/>
          </w:rPr>
          <w:t>‬</w:t>
        </w:r>
        <w:r w:rsidR="00341160">
          <w:rPr>
            <w:rFonts w:hint="cs"/>
            <w:sz w:val="18"/>
            <w:szCs w:val="26"/>
            <w:rtl/>
            <w:lang w:eastAsia="zh-TW"/>
          </w:rPr>
          <w:t xml:space="preserve"> </w:t>
        </w:r>
        <w:r w:rsidR="00C66BF6">
          <w:t>‬</w:t>
        </w:r>
        <w:r w:rsidR="00943DBA">
          <w:t>‬</w:t>
        </w:r>
      </w:dir>
    </w:p>
  </w:footnote>
  <w:footnote w:id="70">
    <w:p w:rsidR="00E33FEB" w:rsidRPr="004D28D4" w:rsidRDefault="00E33FEB" w:rsidP="004D28D4">
      <w:pPr>
        <w:pStyle w:val="FootnoteText"/>
        <w:tabs>
          <w:tab w:val="left" w:pos="1268"/>
        </w:tabs>
        <w:spacing w:after="60" w:line="300" w:lineRule="exact"/>
        <w:ind w:left="1275" w:right="1247" w:hanging="553"/>
        <w:textDirection w:val="tbRlV"/>
        <w:rPr>
          <w:rStyle w:val="FootnoteReference"/>
          <w:szCs w:val="26"/>
          <w:vertAlign w:val="baseline"/>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Submission of the Open Society Institute, pp. 49-52</w:t>
      </w:r>
      <w:r w:rsidRPr="004D28D4">
        <w:rPr>
          <w:sz w:val="18"/>
          <w:szCs w:val="26"/>
          <w:rtl/>
          <w:lang w:eastAsia="zh-TW"/>
        </w:rPr>
        <w:t xml:space="preserve"> انظر </w:t>
      </w:r>
      <w:r w:rsidR="004D6383">
        <w:rPr>
          <w:sz w:val="18"/>
          <w:szCs w:val="26"/>
          <w:rtl/>
          <w:lang w:eastAsia="zh-TW"/>
        </w:rPr>
        <w:t>أيضاً</w:t>
      </w:r>
      <w:r w:rsidRPr="004D28D4">
        <w:rPr>
          <w:sz w:val="18"/>
          <w:szCs w:val="26"/>
          <w:rtl/>
          <w:lang w:eastAsia="zh-TW"/>
        </w:rPr>
        <w:t xml:space="preserve"> المكتب المعني بالمخدرات والجريمة، وهيئة الأمم المتحدة للمساواة بين الجنسين وتمكين المرأة، ومنظمة الصحة العالمية والشبكة الدولية لمتعاطي المخدرات، </w:t>
      </w:r>
      <w:r w:rsidRPr="004D28D4">
        <w:rPr>
          <w:sz w:val="18"/>
          <w:szCs w:val="26"/>
          <w:lang w:eastAsia="zh-TW"/>
        </w:rPr>
        <w:t>Women who inject drugs and HIV: addressing specific needs” (2014)</w:t>
      </w:r>
      <w:r w:rsidRPr="004D28D4">
        <w:rPr>
          <w:sz w:val="18"/>
          <w:szCs w:val="26"/>
          <w:rtl/>
          <w:lang w:eastAsia="zh-TW"/>
        </w:rPr>
        <w:t>.</w:t>
      </w:r>
      <w:r>
        <w:rPr>
          <w:rFonts w:hint="cs"/>
          <w:szCs w:val="26"/>
          <w:rtl/>
          <w:lang w:eastAsia="zh-TW"/>
        </w:rPr>
        <w:t xml:space="preserve"> </w:t>
      </w:r>
    </w:p>
  </w:footnote>
  <w:footnote w:id="71">
    <w:p w:rsidR="00E33FEB" w:rsidRPr="004D28D4" w:rsidRDefault="00E33FEB" w:rsidP="00E33FEB">
      <w:pPr>
        <w:pStyle w:val="FootnoteText"/>
        <w:tabs>
          <w:tab w:val="left" w:pos="1268"/>
        </w:tabs>
        <w:spacing w:after="60" w:line="240" w:lineRule="exact"/>
        <w:ind w:left="1276" w:right="1247" w:hanging="556"/>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Pr>
        <w:t>Submissions of the Women’s Harm Reduction International Netwo</w:t>
      </w:r>
      <w:r>
        <w:rPr>
          <w:sz w:val="18"/>
          <w:szCs w:val="26"/>
        </w:rPr>
        <w:t>rk, p. 8; and the Eurasian Harm</w:t>
      </w:r>
      <w:r>
        <w:rPr>
          <w:sz w:val="18"/>
          <w:szCs w:val="26"/>
        </w:rPr>
        <w:br/>
      </w:r>
      <w:r w:rsidRPr="004D28D4">
        <w:rPr>
          <w:sz w:val="18"/>
          <w:szCs w:val="26"/>
        </w:rPr>
        <w:t>Reduction Network, pp. 4-5</w:t>
      </w:r>
      <w:r w:rsidRPr="004D28D4">
        <w:rPr>
          <w:sz w:val="18"/>
          <w:szCs w:val="26"/>
          <w:rtl/>
        </w:rPr>
        <w:t>.</w:t>
      </w:r>
      <w:r>
        <w:rPr>
          <w:rFonts w:hint="cs"/>
          <w:sz w:val="18"/>
          <w:szCs w:val="26"/>
          <w:rtl/>
          <w:lang w:eastAsia="zh-TW"/>
        </w:rPr>
        <w:t xml:space="preserve"> </w:t>
      </w:r>
    </w:p>
  </w:footnote>
  <w:footnote w:id="72">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انظر أيضا</w:t>
      </w:r>
      <w:r w:rsidRPr="004D28D4">
        <w:rPr>
          <w:rFonts w:hint="cs"/>
          <w:sz w:val="18"/>
          <w:szCs w:val="26"/>
          <w:rtl/>
          <w:lang w:eastAsia="zh-TW"/>
        </w:rPr>
        <w:t>ً</w:t>
      </w:r>
      <w:r w:rsidRPr="004D28D4">
        <w:rPr>
          <w:sz w:val="18"/>
          <w:szCs w:val="26"/>
          <w:rtl/>
          <w:lang w:eastAsia="zh-TW"/>
        </w:rPr>
        <w:t xml:space="preserve"> اتفاقية منظمة العمل الدولية لعام 1989 بشأن الشعوب الأصلية والقبلية (رقم 169) واتفاقية حماية التراث الثقافي غير المادي. </w:t>
      </w:r>
    </w:p>
  </w:footnote>
  <w:footnote w:id="73">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 xml:space="preserve">انظر تقرير الهيئة الدولية لمراقبة المخدرات لعام 2004، الفقرات 270-280. </w:t>
      </w:r>
    </w:p>
  </w:footnote>
  <w:footnote w:id="74">
    <w:p w:rsidR="00E33FEB" w:rsidRPr="004D28D4" w:rsidRDefault="00E33FEB" w:rsidP="00E33FEB">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 xml:space="preserve">See American Indian Religious </w:t>
      </w:r>
      <w:r w:rsidRPr="004D28D4">
        <w:rPr>
          <w:sz w:val="18"/>
          <w:szCs w:val="26"/>
        </w:rPr>
        <w:t>See American Indian Reli</w:t>
      </w:r>
      <w:r>
        <w:rPr>
          <w:sz w:val="18"/>
          <w:szCs w:val="26"/>
        </w:rPr>
        <w:t>gious Freedom Act Amendments of</w:t>
      </w:r>
      <w:r>
        <w:rPr>
          <w:sz w:val="18"/>
          <w:szCs w:val="26"/>
        </w:rPr>
        <w:br/>
      </w:r>
      <w:r w:rsidRPr="004D28D4">
        <w:rPr>
          <w:sz w:val="18"/>
          <w:szCs w:val="26"/>
        </w:rPr>
        <w:t>1994, sect. 3 (a)</w:t>
      </w:r>
      <w:r>
        <w:rPr>
          <w:rFonts w:hint="cs"/>
          <w:sz w:val="18"/>
          <w:szCs w:val="26"/>
          <w:rtl/>
        </w:rPr>
        <w:t xml:space="preserve">. </w:t>
      </w:r>
    </w:p>
  </w:footnote>
  <w:footnote w:id="75">
    <w:p w:rsidR="00E33FEB" w:rsidRPr="004D28D4" w:rsidRDefault="00E33FEB" w:rsidP="00E33FEB">
      <w:pPr>
        <w:pStyle w:val="FootnoteText"/>
        <w:tabs>
          <w:tab w:val="left" w:pos="1268"/>
        </w:tabs>
        <w:spacing w:after="60" w:line="240" w:lineRule="exact"/>
        <w:ind w:left="1276" w:right="1247" w:hanging="556"/>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Supreme Court of Italy, judgement No. 14876 (2012)</w:t>
      </w:r>
      <w:r>
        <w:rPr>
          <w:rFonts w:hint="cs"/>
          <w:sz w:val="18"/>
          <w:szCs w:val="26"/>
          <w:rtl/>
          <w:lang w:eastAsia="zh-TW"/>
        </w:rPr>
        <w:t xml:space="preserve">. </w:t>
      </w:r>
    </w:p>
  </w:footnote>
  <w:footnote w:id="76">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lang w:eastAsia="zh-TW"/>
        </w:rPr>
        <w:t>The Dangerous Drug (Amendment) Act, 2015, para. 6, amending sect. 7C of the Act</w:t>
      </w:r>
      <w:r>
        <w:rPr>
          <w:rFonts w:hint="cs"/>
          <w:sz w:val="18"/>
          <w:szCs w:val="26"/>
          <w:rtl/>
          <w:lang w:eastAsia="zh-TW"/>
        </w:rPr>
        <w:t xml:space="preserve">. </w:t>
      </w:r>
    </w:p>
  </w:footnote>
  <w:footnote w:id="77">
    <w:p w:rsidR="00E33FEB" w:rsidRPr="004D28D4" w:rsidRDefault="00E33FEB" w:rsidP="004D28D4">
      <w:pPr>
        <w:pStyle w:val="FootnoteText"/>
        <w:tabs>
          <w:tab w:val="left" w:pos="1268"/>
        </w:tabs>
        <w:spacing w:after="60" w:line="300" w:lineRule="exact"/>
        <w:ind w:left="1275" w:right="1247" w:hanging="553"/>
        <w:textDirection w:val="tbRlV"/>
        <w:rPr>
          <w:sz w:val="18"/>
          <w:szCs w:val="26"/>
          <w:rtl/>
          <w:lang w:eastAsia="zh-TW"/>
        </w:rPr>
      </w:pPr>
      <w:r>
        <w:rPr>
          <w:rStyle w:val="FootnoteReference"/>
          <w:szCs w:val="26"/>
          <w:vertAlign w:val="baseline"/>
          <w:rtl/>
          <w:lang w:eastAsia="zh-TW"/>
        </w:rPr>
        <w:t>(</w:t>
      </w:r>
      <w:r w:rsidRPr="004D28D4">
        <w:rPr>
          <w:rStyle w:val="FootnoteReference"/>
          <w:szCs w:val="26"/>
          <w:vertAlign w:val="baseline"/>
          <w:rtl/>
          <w:lang w:eastAsia="zh-TW"/>
        </w:rPr>
        <w:footnoteRef/>
      </w:r>
      <w:r>
        <w:rPr>
          <w:rStyle w:val="FootnoteReference"/>
          <w:szCs w:val="26"/>
          <w:vertAlign w:val="baseline"/>
          <w:rtl/>
          <w:lang w:eastAsia="zh-TW"/>
        </w:rPr>
        <w:t>)</w:t>
      </w:r>
      <w:r>
        <w:rPr>
          <w:rFonts w:hint="cs"/>
          <w:sz w:val="18"/>
          <w:szCs w:val="26"/>
          <w:rtl/>
          <w:lang w:eastAsia="zh-TW"/>
        </w:rPr>
        <w:tab/>
      </w:r>
      <w:r w:rsidRPr="004D28D4">
        <w:rPr>
          <w:sz w:val="18"/>
          <w:szCs w:val="26"/>
          <w:rtl/>
          <w:lang w:eastAsia="zh-TW"/>
        </w:rPr>
        <w:t>انظر</w:t>
      </w:r>
      <w:r>
        <w:rPr>
          <w:rFonts w:hint="cs"/>
          <w:sz w:val="18"/>
          <w:szCs w:val="26"/>
          <w:rtl/>
          <w:lang w:eastAsia="zh-TW"/>
        </w:rPr>
        <w:t xml:space="preserve">: </w:t>
      </w:r>
      <w:proofErr w:type="spellStart"/>
      <w:r w:rsidRPr="004D28D4">
        <w:rPr>
          <w:sz w:val="18"/>
          <w:szCs w:val="26"/>
          <w:rtl/>
          <w:lang w:eastAsia="zh-TW"/>
        </w:rPr>
        <w:t>برينس</w:t>
      </w:r>
      <w:proofErr w:type="spellEnd"/>
      <w:r w:rsidRPr="004D28D4">
        <w:rPr>
          <w:sz w:val="18"/>
          <w:szCs w:val="26"/>
          <w:rtl/>
          <w:lang w:eastAsia="zh-TW"/>
        </w:rPr>
        <w:t xml:space="preserve"> ضد رئيس جمعية المحامين في رأس الرجاء الصالح وآخرين، المحكمة الدستورية في جنوب أفريقيا </w:t>
      </w:r>
      <w:r w:rsidRPr="004D28D4">
        <w:rPr>
          <w:sz w:val="18"/>
          <w:szCs w:val="26"/>
          <w:lang w:eastAsia="zh-TW"/>
        </w:rPr>
        <w:t>(2002)</w:t>
      </w:r>
      <w:r w:rsidRPr="004D28D4">
        <w:rPr>
          <w:sz w:val="18"/>
          <w:szCs w:val="26"/>
          <w:rtl/>
          <w:lang w:eastAsia="zh-TW"/>
        </w:rPr>
        <w:t>، حيث اتفق أربعة قضاة من أصل تسعة على أن منع مقدم الطعن من الانضمام إلى نقابة المحامين بسبب تعاطيه القنب لأغراض دينية يشكل انتهاكا</w:t>
      </w:r>
      <w:r>
        <w:rPr>
          <w:rFonts w:hint="cs"/>
          <w:sz w:val="18"/>
          <w:szCs w:val="26"/>
          <w:rtl/>
          <w:lang w:eastAsia="zh-TW"/>
        </w:rPr>
        <w:t>ً</w:t>
      </w:r>
      <w:r w:rsidRPr="004D28D4">
        <w:rPr>
          <w:sz w:val="18"/>
          <w:szCs w:val="26"/>
          <w:rtl/>
          <w:lang w:eastAsia="zh-TW"/>
        </w:rPr>
        <w:t xml:space="preserve"> لحرية أتباع </w:t>
      </w:r>
      <w:proofErr w:type="spellStart"/>
      <w:r w:rsidRPr="004D28D4">
        <w:rPr>
          <w:sz w:val="18"/>
          <w:szCs w:val="26"/>
          <w:rtl/>
          <w:lang w:eastAsia="zh-TW"/>
        </w:rPr>
        <w:t>الراستافارية</w:t>
      </w:r>
      <w:proofErr w:type="spellEnd"/>
      <w:r w:rsidRPr="004D28D4">
        <w:rPr>
          <w:sz w:val="18"/>
          <w:szCs w:val="26"/>
          <w:rtl/>
          <w:lang w:eastAsia="zh-TW"/>
        </w:rPr>
        <w:t xml:space="preserve"> الدينية على نحو غير متناسب، و</w:t>
      </w:r>
      <w:r>
        <w:rPr>
          <w:sz w:val="18"/>
          <w:szCs w:val="26"/>
          <w:lang w:eastAsia="zh-TW"/>
        </w:rPr>
        <w:t>CCPR/C/91/D/1474/2006</w:t>
      </w:r>
      <w:r>
        <w:rPr>
          <w:rFonts w:hint="cs"/>
          <w:sz w:val="18"/>
          <w:szCs w:val="26"/>
          <w:rtl/>
          <w:lang w:eastAsia="zh-T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B" w:rsidRPr="004D4029" w:rsidRDefault="00E33FEB" w:rsidP="004D4029">
    <w:pPr>
      <w:pStyle w:val="Header"/>
      <w:jc w:val="right"/>
    </w:pPr>
    <w:r w:rsidRPr="004D4029">
      <w:t>A/HRC/30/65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B" w:rsidRPr="004D4029" w:rsidRDefault="00E33FEB" w:rsidP="004D4029">
    <w:pPr>
      <w:pStyle w:val="Header"/>
      <w:jc w:val="left"/>
    </w:pPr>
    <w:r w:rsidRPr="004D4029">
      <w:t>A/HRC/30/65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A53626"/>
    <w:rsid w:val="000076D5"/>
    <w:rsid w:val="000369E3"/>
    <w:rsid w:val="00043663"/>
    <w:rsid w:val="000505CF"/>
    <w:rsid w:val="00076706"/>
    <w:rsid w:val="000A44B3"/>
    <w:rsid w:val="000B3762"/>
    <w:rsid w:val="000D701C"/>
    <w:rsid w:val="000E2A71"/>
    <w:rsid w:val="00107E3C"/>
    <w:rsid w:val="00112A02"/>
    <w:rsid w:val="00160263"/>
    <w:rsid w:val="001658B2"/>
    <w:rsid w:val="00173565"/>
    <w:rsid w:val="00181F96"/>
    <w:rsid w:val="001A1371"/>
    <w:rsid w:val="001A284A"/>
    <w:rsid w:val="001A4A4A"/>
    <w:rsid w:val="001B1A50"/>
    <w:rsid w:val="001B346A"/>
    <w:rsid w:val="001E1CAD"/>
    <w:rsid w:val="001E290D"/>
    <w:rsid w:val="00201F6C"/>
    <w:rsid w:val="002144FA"/>
    <w:rsid w:val="002267C0"/>
    <w:rsid w:val="0023469A"/>
    <w:rsid w:val="00237145"/>
    <w:rsid w:val="00243C8A"/>
    <w:rsid w:val="002466F4"/>
    <w:rsid w:val="00267610"/>
    <w:rsid w:val="00267A0E"/>
    <w:rsid w:val="00270BD3"/>
    <w:rsid w:val="002901D9"/>
    <w:rsid w:val="002976C2"/>
    <w:rsid w:val="002E2718"/>
    <w:rsid w:val="00313B13"/>
    <w:rsid w:val="003260FF"/>
    <w:rsid w:val="00341160"/>
    <w:rsid w:val="00343D95"/>
    <w:rsid w:val="00374341"/>
    <w:rsid w:val="0039036A"/>
    <w:rsid w:val="00395152"/>
    <w:rsid w:val="003974A7"/>
    <w:rsid w:val="003D1062"/>
    <w:rsid w:val="003D4C4E"/>
    <w:rsid w:val="003E159A"/>
    <w:rsid w:val="00403B5D"/>
    <w:rsid w:val="00406558"/>
    <w:rsid w:val="00420D7B"/>
    <w:rsid w:val="00450B21"/>
    <w:rsid w:val="00453B63"/>
    <w:rsid w:val="00455780"/>
    <w:rsid w:val="00467C1F"/>
    <w:rsid w:val="004756CC"/>
    <w:rsid w:val="00482E90"/>
    <w:rsid w:val="004A181E"/>
    <w:rsid w:val="004A3FF8"/>
    <w:rsid w:val="004A64ED"/>
    <w:rsid w:val="004A7FF5"/>
    <w:rsid w:val="004B0A1C"/>
    <w:rsid w:val="004B16F2"/>
    <w:rsid w:val="004C6EA3"/>
    <w:rsid w:val="004D28D4"/>
    <w:rsid w:val="004D298E"/>
    <w:rsid w:val="004D4029"/>
    <w:rsid w:val="004D6383"/>
    <w:rsid w:val="004E48E1"/>
    <w:rsid w:val="004F3BBD"/>
    <w:rsid w:val="00500F87"/>
    <w:rsid w:val="0051758C"/>
    <w:rsid w:val="00517BC9"/>
    <w:rsid w:val="0054472E"/>
    <w:rsid w:val="0054762C"/>
    <w:rsid w:val="005662A9"/>
    <w:rsid w:val="005827D4"/>
    <w:rsid w:val="0059622A"/>
    <w:rsid w:val="005C5878"/>
    <w:rsid w:val="005C7CEA"/>
    <w:rsid w:val="005D3C0B"/>
    <w:rsid w:val="005E5217"/>
    <w:rsid w:val="005F0FA4"/>
    <w:rsid w:val="005F1466"/>
    <w:rsid w:val="005F30EE"/>
    <w:rsid w:val="0060473A"/>
    <w:rsid w:val="00606EDF"/>
    <w:rsid w:val="00656392"/>
    <w:rsid w:val="00687200"/>
    <w:rsid w:val="0068781D"/>
    <w:rsid w:val="006959B0"/>
    <w:rsid w:val="006B3E27"/>
    <w:rsid w:val="006B6507"/>
    <w:rsid w:val="006C0EE8"/>
    <w:rsid w:val="006C104C"/>
    <w:rsid w:val="006E0905"/>
    <w:rsid w:val="006F273D"/>
    <w:rsid w:val="007002F3"/>
    <w:rsid w:val="007153EF"/>
    <w:rsid w:val="00733704"/>
    <w:rsid w:val="0078071A"/>
    <w:rsid w:val="0079213D"/>
    <w:rsid w:val="007A70BB"/>
    <w:rsid w:val="007C5904"/>
    <w:rsid w:val="007E53D1"/>
    <w:rsid w:val="00805F35"/>
    <w:rsid w:val="00852A9A"/>
    <w:rsid w:val="008871A6"/>
    <w:rsid w:val="008930DB"/>
    <w:rsid w:val="00895D16"/>
    <w:rsid w:val="008A324D"/>
    <w:rsid w:val="008A4085"/>
    <w:rsid w:val="008C4AFC"/>
    <w:rsid w:val="008D0296"/>
    <w:rsid w:val="008D32EE"/>
    <w:rsid w:val="008F2695"/>
    <w:rsid w:val="008F49E1"/>
    <w:rsid w:val="0090370F"/>
    <w:rsid w:val="009269D2"/>
    <w:rsid w:val="00942135"/>
    <w:rsid w:val="009521B0"/>
    <w:rsid w:val="009A7E9F"/>
    <w:rsid w:val="009E1B45"/>
    <w:rsid w:val="009E5018"/>
    <w:rsid w:val="009F26B0"/>
    <w:rsid w:val="009F2DC2"/>
    <w:rsid w:val="009F465E"/>
    <w:rsid w:val="009F71B2"/>
    <w:rsid w:val="00A12B37"/>
    <w:rsid w:val="00A12D12"/>
    <w:rsid w:val="00A30EC4"/>
    <w:rsid w:val="00A3394E"/>
    <w:rsid w:val="00A50EC0"/>
    <w:rsid w:val="00A53626"/>
    <w:rsid w:val="00A66EB3"/>
    <w:rsid w:val="00A80724"/>
    <w:rsid w:val="00AB6758"/>
    <w:rsid w:val="00AE10FA"/>
    <w:rsid w:val="00B071FA"/>
    <w:rsid w:val="00B13763"/>
    <w:rsid w:val="00B424E8"/>
    <w:rsid w:val="00B477A4"/>
    <w:rsid w:val="00B54045"/>
    <w:rsid w:val="00B969F3"/>
    <w:rsid w:val="00BA7927"/>
    <w:rsid w:val="00BC4F00"/>
    <w:rsid w:val="00BF5E04"/>
    <w:rsid w:val="00C020D9"/>
    <w:rsid w:val="00C022F5"/>
    <w:rsid w:val="00C4005D"/>
    <w:rsid w:val="00C438D7"/>
    <w:rsid w:val="00C53FE8"/>
    <w:rsid w:val="00C66BF6"/>
    <w:rsid w:val="00C70A7C"/>
    <w:rsid w:val="00C7401F"/>
    <w:rsid w:val="00C81B50"/>
    <w:rsid w:val="00CA655B"/>
    <w:rsid w:val="00CD1801"/>
    <w:rsid w:val="00CD6DF0"/>
    <w:rsid w:val="00CF6C35"/>
    <w:rsid w:val="00D103C4"/>
    <w:rsid w:val="00D10EF1"/>
    <w:rsid w:val="00D42810"/>
    <w:rsid w:val="00D914A7"/>
    <w:rsid w:val="00DB343E"/>
    <w:rsid w:val="00DD13C3"/>
    <w:rsid w:val="00DD596E"/>
    <w:rsid w:val="00DD621E"/>
    <w:rsid w:val="00DF0575"/>
    <w:rsid w:val="00E14882"/>
    <w:rsid w:val="00E312F7"/>
    <w:rsid w:val="00E33FEB"/>
    <w:rsid w:val="00E42865"/>
    <w:rsid w:val="00E47CD8"/>
    <w:rsid w:val="00E53619"/>
    <w:rsid w:val="00E70E04"/>
    <w:rsid w:val="00EB7A1B"/>
    <w:rsid w:val="00EC05A7"/>
    <w:rsid w:val="00EC41B6"/>
    <w:rsid w:val="00EC4B6B"/>
    <w:rsid w:val="00ED70FB"/>
    <w:rsid w:val="00ED7442"/>
    <w:rsid w:val="00EE0B18"/>
    <w:rsid w:val="00EF1EE5"/>
    <w:rsid w:val="00F32E85"/>
    <w:rsid w:val="00F56A2F"/>
    <w:rsid w:val="00F61B6D"/>
    <w:rsid w:val="00F763B4"/>
    <w:rsid w:val="00F900C3"/>
    <w:rsid w:val="00FA3DE5"/>
    <w:rsid w:val="00FB1AE8"/>
    <w:rsid w:val="00FC75D1"/>
    <w:rsid w:val="00FD4BC9"/>
    <w:rsid w:val="00FD5C90"/>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C70A7C"/>
    <w:pPr>
      <w:keepNext/>
      <w:keepLines/>
      <w:tabs>
        <w:tab w:val="right" w:pos="1021"/>
      </w:tabs>
      <w:suppressAutoHyphen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rsid w:val="004D4029"/>
    <w:pPr>
      <w:suppressAutoHyphens/>
      <w:bidi w:val="0"/>
      <w:spacing w:after="120"/>
      <w:ind w:left="1134" w:right="1134"/>
      <w:jc w:val="both"/>
    </w:pPr>
    <w:rPr>
      <w:rFonts w:cs="Times New Roman"/>
      <w:lang w:val="en-GB"/>
    </w:rPr>
  </w:style>
  <w:style w:type="paragraph" w:customStyle="1" w:styleId="HChG">
    <w:name w:val="_ H _Ch_G"/>
    <w:basedOn w:val="Normal"/>
    <w:next w:val="Normal"/>
    <w:rsid w:val="004D4029"/>
    <w:pPr>
      <w:keepNext/>
      <w:keepLines/>
      <w:tabs>
        <w:tab w:val="right" w:pos="851"/>
      </w:tabs>
      <w:suppressAutoHyphens/>
      <w:bidi w:val="0"/>
      <w:spacing w:before="360" w:after="240" w:line="300" w:lineRule="exact"/>
      <w:ind w:left="1134" w:right="1134" w:hanging="1134"/>
      <w:jc w:val="left"/>
    </w:pPr>
    <w:rPr>
      <w:rFonts w:cs="Times New Roman"/>
      <w:b/>
      <w:sz w:val="28"/>
      <w:lang w:val="en-GB"/>
    </w:rPr>
  </w:style>
  <w:style w:type="paragraph" w:customStyle="1" w:styleId="H1G">
    <w:name w:val="_ H_1_G"/>
    <w:basedOn w:val="Normal"/>
    <w:next w:val="Normal"/>
    <w:rsid w:val="004D4029"/>
    <w:pPr>
      <w:keepNext/>
      <w:keepLines/>
      <w:tabs>
        <w:tab w:val="right" w:pos="851"/>
      </w:tabs>
      <w:suppressAutoHyphens/>
      <w:bidi w:val="0"/>
      <w:spacing w:before="360" w:after="240" w:line="270" w:lineRule="exact"/>
      <w:ind w:left="1134" w:right="1134" w:hanging="1134"/>
      <w:jc w:val="left"/>
    </w:pPr>
    <w:rPr>
      <w:rFonts w:cs="Times New Roman"/>
      <w:b/>
      <w:sz w:val="24"/>
      <w:lang w:val="en-GB"/>
    </w:rPr>
  </w:style>
  <w:style w:type="character" w:customStyle="1" w:styleId="SingleTxtGChar">
    <w:name w:val="_ Single Txt_G Char"/>
    <w:link w:val="SingleTxtG"/>
    <w:rsid w:val="004D4029"/>
    <w:rPr>
      <w:rFonts w:ascii="Times New Roman" w:hAnsi="Times New Roman" w:cs="Times New Roman"/>
      <w:sz w:val="20"/>
      <w:szCs w:val="30"/>
      <w:lang w:val="en-GB"/>
    </w:rPr>
  </w:style>
  <w:style w:type="character" w:styleId="Hyperlink">
    <w:name w:val="Hyperlink"/>
    <w:uiPriority w:val="99"/>
    <w:rsid w:val="004D4029"/>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C70A7C"/>
    <w:pPr>
      <w:keepNext/>
      <w:keepLines/>
      <w:tabs>
        <w:tab w:val="right" w:pos="1021"/>
      </w:tabs>
      <w:suppressAutoHyphen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rsid w:val="004D4029"/>
    <w:pPr>
      <w:suppressAutoHyphens/>
      <w:bidi w:val="0"/>
      <w:spacing w:after="120"/>
      <w:ind w:left="1134" w:right="1134"/>
      <w:jc w:val="both"/>
    </w:pPr>
    <w:rPr>
      <w:rFonts w:cs="Times New Roman"/>
      <w:lang w:val="en-GB"/>
    </w:rPr>
  </w:style>
  <w:style w:type="paragraph" w:customStyle="1" w:styleId="HChG">
    <w:name w:val="_ H _Ch_G"/>
    <w:basedOn w:val="Normal"/>
    <w:next w:val="Normal"/>
    <w:rsid w:val="004D4029"/>
    <w:pPr>
      <w:keepNext/>
      <w:keepLines/>
      <w:tabs>
        <w:tab w:val="right" w:pos="851"/>
      </w:tabs>
      <w:suppressAutoHyphens/>
      <w:bidi w:val="0"/>
      <w:spacing w:before="360" w:after="240" w:line="300" w:lineRule="exact"/>
      <w:ind w:left="1134" w:right="1134" w:hanging="1134"/>
      <w:jc w:val="left"/>
    </w:pPr>
    <w:rPr>
      <w:rFonts w:cs="Times New Roman"/>
      <w:b/>
      <w:sz w:val="28"/>
      <w:lang w:val="en-GB"/>
    </w:rPr>
  </w:style>
  <w:style w:type="paragraph" w:customStyle="1" w:styleId="H1G">
    <w:name w:val="_ H_1_G"/>
    <w:basedOn w:val="Normal"/>
    <w:next w:val="Normal"/>
    <w:rsid w:val="004D4029"/>
    <w:pPr>
      <w:keepNext/>
      <w:keepLines/>
      <w:tabs>
        <w:tab w:val="right" w:pos="851"/>
      </w:tabs>
      <w:suppressAutoHyphens/>
      <w:bidi w:val="0"/>
      <w:spacing w:before="360" w:after="240" w:line="270" w:lineRule="exact"/>
      <w:ind w:left="1134" w:right="1134" w:hanging="1134"/>
      <w:jc w:val="left"/>
    </w:pPr>
    <w:rPr>
      <w:rFonts w:cs="Times New Roman"/>
      <w:b/>
      <w:sz w:val="24"/>
      <w:lang w:val="en-GB"/>
    </w:rPr>
  </w:style>
  <w:style w:type="character" w:customStyle="1" w:styleId="SingleTxtGChar">
    <w:name w:val="_ Single Txt_G Char"/>
    <w:link w:val="SingleTxtG"/>
    <w:rsid w:val="004D4029"/>
    <w:rPr>
      <w:rFonts w:ascii="Times New Roman" w:hAnsi="Times New Roman" w:cs="Times New Roman"/>
      <w:sz w:val="20"/>
      <w:szCs w:val="30"/>
      <w:lang w:val="en-GB"/>
    </w:rPr>
  </w:style>
  <w:style w:type="character" w:styleId="Hyperlink">
    <w:name w:val="Hyperlink"/>
    <w:uiPriority w:val="99"/>
    <w:rsid w:val="004D4029"/>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dam/undp/library/HIV-AIDS/Discussion-Paper--Addressing-the-Development-Dimensions-of-Drug-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3DED4-BC30-4C9D-9E53-E55609DDB925}"/>
</file>

<file path=customXml/itemProps2.xml><?xml version="1.0" encoding="utf-8"?>
<ds:datastoreItem xmlns:ds="http://schemas.openxmlformats.org/officeDocument/2006/customXml" ds:itemID="{C006B8A4-FA8B-430E-AD29-E0F227A6311C}"/>
</file>

<file path=customXml/itemProps3.xml><?xml version="1.0" encoding="utf-8"?>
<ds:datastoreItem xmlns:ds="http://schemas.openxmlformats.org/officeDocument/2006/customXml" ds:itemID="{2BDF0045-CC0D-411B-9A9F-794FBBD9E668}"/>
</file>

<file path=customXml/itemProps4.xml><?xml version="1.0" encoding="utf-8"?>
<ds:datastoreItem xmlns:ds="http://schemas.openxmlformats.org/officeDocument/2006/customXml" ds:itemID="{DC2DBEF3-4CD5-4629-B8B0-E9816BAC9D20}"/>
</file>

<file path=docProps/app.xml><?xml version="1.0" encoding="utf-8"?>
<Properties xmlns="http://schemas.openxmlformats.org/officeDocument/2006/extended-properties" xmlns:vt="http://schemas.openxmlformats.org/officeDocument/2006/docPropsVTypes">
  <Template>A.dotm</Template>
  <TotalTime>0</TotalTime>
  <Pages>22</Pages>
  <Words>6759</Words>
  <Characters>34677</Characters>
  <Application>Microsoft Office Word</Application>
  <DocSecurity>0</DocSecurity>
  <Lines>568</Lines>
  <Paragraphs>121</Paragraphs>
  <ScaleCrop>false</ScaleCrop>
  <HeadingPairs>
    <vt:vector size="2" baseType="variant">
      <vt:variant>
        <vt:lpstr>Title</vt:lpstr>
      </vt:variant>
      <vt:variant>
        <vt:i4>1</vt:i4>
      </vt:variant>
    </vt:vector>
  </HeadingPairs>
  <TitlesOfParts>
    <vt:vector size="1" baseType="lpstr">
      <vt:lpstr>GE.1514996A</vt:lpstr>
    </vt:vector>
  </TitlesOfParts>
  <Company>DCM</Company>
  <LinksUpToDate>false</LinksUpToDate>
  <CharactersWithSpaces>41315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the world drug problem on the enjoyment of human rights in Arabic</dc:title>
  <dc:subject>A/HRC/30/65</dc:subject>
  <dc:creator>IHRZ</dc:creator>
  <cp:keywords>ODS No.1519946</cp:keywords>
  <dc:description>Original: English _x000d_
Distribution: General_x000d_
Trad: ZEDANE</dc:description>
  <cp:lastModifiedBy>El-Maseri M.</cp:lastModifiedBy>
  <cp:revision>2</cp:revision>
  <dcterms:created xsi:type="dcterms:W3CDTF">2016-03-24T13:07:00Z</dcterms:created>
  <dcterms:modified xsi:type="dcterms:W3CDTF">2016-03-24T13:07:00Z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56400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