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1E76E7" w:rsidRDefault="00446DE4" w:rsidP="0037521C">
            <w:pPr>
              <w:tabs>
                <w:tab w:val="right" w:pos="850"/>
                <w:tab w:val="left" w:pos="1134"/>
                <w:tab w:val="right" w:leader="dot" w:pos="8504"/>
              </w:tabs>
              <w:spacing w:line="20" w:lineRule="exact"/>
              <w:rPr>
                <w:rStyle w:val="Emphasis"/>
              </w:rPr>
            </w:pPr>
            <w:bookmarkStart w:id="0" w:name="_GoBack"/>
            <w:bookmarkEnd w:id="0"/>
          </w:p>
          <w:p w:rsidR="0037521C" w:rsidRPr="00E806EE" w:rsidRDefault="0037521C"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DE3EC0" w:rsidRDefault="00EC6382" w:rsidP="00EC6382">
            <w:pPr>
              <w:jc w:val="right"/>
            </w:pPr>
            <w:r w:rsidRPr="00EC6382">
              <w:rPr>
                <w:sz w:val="40"/>
              </w:rPr>
              <w:t>A</w:t>
            </w:r>
            <w:r>
              <w:t>/HRC/30/65</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883892" w:rsidP="00956D9B">
            <w:pPr>
              <w:spacing w:before="120"/>
              <w:jc w:val="center"/>
            </w:pPr>
            <w:r>
              <w:rPr>
                <w:noProof/>
                <w:lang w:eastAsia="en-GB"/>
              </w:rPr>
              <w:drawing>
                <wp:inline distT="0" distB="0" distL="0" distR="0" wp14:anchorId="0C62D04B" wp14:editId="45DD7ACD">
                  <wp:extent cx="716915" cy="592455"/>
                  <wp:effectExtent l="0" t="0" r="698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915" cy="592455"/>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B3317B" w:rsidRDefault="00B3317B" w:rsidP="00EF5BDB">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rsidR="003107FA" w:rsidRDefault="00EC6382" w:rsidP="00EC6382">
            <w:pPr>
              <w:spacing w:before="240" w:line="240" w:lineRule="exact"/>
            </w:pPr>
            <w:r>
              <w:t>Distr.: General</w:t>
            </w:r>
          </w:p>
          <w:p w:rsidR="00EC6382" w:rsidRDefault="00870067" w:rsidP="00F267F5">
            <w:pPr>
              <w:spacing w:line="240" w:lineRule="exact"/>
            </w:pPr>
            <w:r>
              <w:t>4</w:t>
            </w:r>
            <w:r w:rsidR="00F267F5">
              <w:t xml:space="preserve"> September</w:t>
            </w:r>
            <w:r w:rsidR="00EC6382">
              <w:t xml:space="preserve"> 2015</w:t>
            </w:r>
          </w:p>
          <w:p w:rsidR="00EC6382" w:rsidRDefault="00EC6382" w:rsidP="00EC6382">
            <w:pPr>
              <w:spacing w:line="240" w:lineRule="exact"/>
            </w:pPr>
          </w:p>
          <w:p w:rsidR="00EC6382" w:rsidRDefault="00EC6382" w:rsidP="00EC6382">
            <w:pPr>
              <w:spacing w:line="240" w:lineRule="exact"/>
            </w:pPr>
            <w:r>
              <w:t>Original: English</w:t>
            </w:r>
          </w:p>
        </w:tc>
      </w:tr>
    </w:tbl>
    <w:p w:rsidR="002B2719" w:rsidRDefault="002B2719" w:rsidP="002B2719">
      <w:pPr>
        <w:spacing w:before="120"/>
        <w:rPr>
          <w:b/>
          <w:sz w:val="24"/>
          <w:szCs w:val="24"/>
        </w:rPr>
      </w:pPr>
      <w:r>
        <w:rPr>
          <w:b/>
          <w:sz w:val="24"/>
          <w:szCs w:val="24"/>
        </w:rPr>
        <w:t>Human Rights Council</w:t>
      </w:r>
    </w:p>
    <w:p w:rsidR="002B2719" w:rsidRDefault="002B2719" w:rsidP="002B2719">
      <w:pPr>
        <w:rPr>
          <w:b/>
        </w:rPr>
      </w:pPr>
      <w:r>
        <w:rPr>
          <w:b/>
        </w:rPr>
        <w:t>Thirtieth session</w:t>
      </w:r>
    </w:p>
    <w:p w:rsidR="002B2719" w:rsidRDefault="006127AA" w:rsidP="002B2719">
      <w:r>
        <w:t>Agenda items 2 and 8</w:t>
      </w:r>
    </w:p>
    <w:p w:rsidR="002B2719" w:rsidRDefault="002B2719" w:rsidP="002B2719">
      <w:pPr>
        <w:spacing w:after="120"/>
        <w:rPr>
          <w:b/>
        </w:rPr>
      </w:pPr>
      <w:r>
        <w:rPr>
          <w:b/>
        </w:rPr>
        <w:t>Annual report of the United Nations High Commissioner</w:t>
      </w:r>
      <w:r>
        <w:rPr>
          <w:b/>
        </w:rPr>
        <w:br/>
        <w:t>for Human Rights and reports of the Office of the</w:t>
      </w:r>
      <w:r>
        <w:rPr>
          <w:b/>
        </w:rPr>
        <w:br/>
        <w:t>High Commissioner and the Secretary-General</w:t>
      </w:r>
    </w:p>
    <w:p w:rsidR="006127AA" w:rsidRDefault="006127AA" w:rsidP="002B2719">
      <w:pPr>
        <w:rPr>
          <w:b/>
        </w:rPr>
      </w:pPr>
      <w:r>
        <w:rPr>
          <w:b/>
        </w:rPr>
        <w:t xml:space="preserve">Follow-up to and implementation of the Vienna </w:t>
      </w:r>
    </w:p>
    <w:p w:rsidR="006127AA" w:rsidRDefault="006127AA" w:rsidP="002B2719">
      <w:pPr>
        <w:rPr>
          <w:b/>
        </w:rPr>
      </w:pPr>
      <w:r>
        <w:rPr>
          <w:b/>
        </w:rPr>
        <w:t>Declaration and Programme of Action</w:t>
      </w:r>
    </w:p>
    <w:p w:rsidR="00CF586F" w:rsidRDefault="002B2719" w:rsidP="002B2719">
      <w:pPr>
        <w:pStyle w:val="HChG"/>
      </w:pPr>
      <w:r>
        <w:tab/>
      </w:r>
      <w:r>
        <w:tab/>
        <w:t>Study on the impact of the world drug problem on the enjoyment of human rights</w:t>
      </w:r>
    </w:p>
    <w:p w:rsidR="002B2719" w:rsidRDefault="002B2719" w:rsidP="002B2719">
      <w:pPr>
        <w:pStyle w:val="H1G"/>
        <w:rPr>
          <w:b w:val="0"/>
          <w:sz w:val="20"/>
        </w:rPr>
      </w:pPr>
      <w:r>
        <w:tab/>
      </w:r>
      <w:r>
        <w:tab/>
        <w:t>Report of the United Nations High Commissioner for Human Rights</w:t>
      </w:r>
      <w:r w:rsidR="00A4489D" w:rsidRPr="00A4489D">
        <w:rPr>
          <w:rStyle w:val="FootnoteReference"/>
          <w:b w:val="0"/>
          <w:sz w:val="20"/>
          <w:vertAlign w:val="baseline"/>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37"/>
      </w:tblGrid>
      <w:tr w:rsidR="00544851" w:rsidTr="00544851">
        <w:trPr>
          <w:jc w:val="center"/>
        </w:trPr>
        <w:tc>
          <w:tcPr>
            <w:tcW w:w="9637" w:type="dxa"/>
            <w:shd w:val="clear" w:color="auto" w:fill="auto"/>
          </w:tcPr>
          <w:p w:rsidR="00544851" w:rsidRPr="00544851" w:rsidRDefault="00544851" w:rsidP="00544851">
            <w:pPr>
              <w:spacing w:before="240" w:after="120"/>
              <w:ind w:left="255"/>
              <w:rPr>
                <w:i/>
                <w:sz w:val="24"/>
              </w:rPr>
            </w:pPr>
            <w:r w:rsidRPr="00544851">
              <w:rPr>
                <w:i/>
                <w:sz w:val="24"/>
              </w:rPr>
              <w:t>Summary</w:t>
            </w:r>
          </w:p>
        </w:tc>
      </w:tr>
      <w:tr w:rsidR="00544851" w:rsidTr="00544851">
        <w:trPr>
          <w:jc w:val="center"/>
        </w:trPr>
        <w:tc>
          <w:tcPr>
            <w:tcW w:w="9637" w:type="dxa"/>
            <w:shd w:val="clear" w:color="auto" w:fill="auto"/>
          </w:tcPr>
          <w:p w:rsidR="00544851" w:rsidRDefault="00544851" w:rsidP="004676F8">
            <w:pPr>
              <w:pStyle w:val="SingleTxtG"/>
            </w:pPr>
            <w:r>
              <w:tab/>
            </w:r>
            <w:r w:rsidRPr="002B2719">
              <w:t>In its resolution 28/28, the Human Rights Council requested the United Nations High Commissioner for Human Rights to prepare a study, in consultation with States, United nations agencies and other relevant stakeholders, to be presented to the Council at its thirtieth session, on the impact of the world drug problem on the enjoyment of human rights, and recommendations on respect for and the protection and promotion of human rights in the context of the world drug problem, with particular consideration for the needs of persons affected and per</w:t>
            </w:r>
            <w:r>
              <w:t xml:space="preserve">sons in vulnerable situations. </w:t>
            </w:r>
            <w:r w:rsidRPr="002B2719">
              <w:t>The present report was prepared pursuant to t</w:t>
            </w:r>
            <w:r>
              <w:t xml:space="preserve">he request of the Council. </w:t>
            </w:r>
          </w:p>
        </w:tc>
      </w:tr>
      <w:tr w:rsidR="00544851" w:rsidTr="00544851">
        <w:trPr>
          <w:jc w:val="center"/>
        </w:trPr>
        <w:tc>
          <w:tcPr>
            <w:tcW w:w="9637" w:type="dxa"/>
            <w:shd w:val="clear" w:color="auto" w:fill="auto"/>
          </w:tcPr>
          <w:p w:rsidR="00544851" w:rsidRDefault="00544851" w:rsidP="00544851"/>
        </w:tc>
      </w:tr>
    </w:tbl>
    <w:p w:rsidR="00544851" w:rsidRPr="00544851" w:rsidRDefault="00544851" w:rsidP="00544851"/>
    <w:p w:rsidR="002B2719" w:rsidRPr="002B2719" w:rsidRDefault="002B2719" w:rsidP="002B2719">
      <w:pPr>
        <w:jc w:val="right"/>
      </w:pPr>
    </w:p>
    <w:p w:rsidR="00544851" w:rsidRDefault="002B2719" w:rsidP="002164CA">
      <w:pPr>
        <w:spacing w:after="120"/>
        <w:ind w:left="720" w:firstLine="414"/>
      </w:pPr>
      <w:r>
        <w:br w:type="page"/>
      </w:r>
    </w:p>
    <w:p w:rsidR="002B2719" w:rsidRPr="00A4489D" w:rsidRDefault="00A4489D" w:rsidP="00A4489D">
      <w:pPr>
        <w:pStyle w:val="HChG"/>
        <w:tabs>
          <w:tab w:val="clear" w:pos="851"/>
          <w:tab w:val="right" w:pos="-993"/>
        </w:tabs>
        <w:ind w:hanging="567"/>
      </w:pPr>
      <w:r>
        <w:lastRenderedPageBreak/>
        <w:t>I.</w:t>
      </w:r>
      <w:r>
        <w:tab/>
        <w:t>Introduction</w:t>
      </w:r>
    </w:p>
    <w:p w:rsidR="002B2719" w:rsidRPr="002B2719" w:rsidRDefault="00D111EC" w:rsidP="00D111EC">
      <w:pPr>
        <w:pStyle w:val="SingleTxtG"/>
      </w:pPr>
      <w:r w:rsidRPr="002B2719">
        <w:rPr>
          <w:color w:val="000000" w:themeColor="text1"/>
        </w:rPr>
        <w:t>1.</w:t>
      </w:r>
      <w:r w:rsidRPr="002B2719">
        <w:rPr>
          <w:color w:val="000000" w:themeColor="text1"/>
        </w:rPr>
        <w:tab/>
      </w:r>
      <w:r w:rsidR="002B2719" w:rsidRPr="002B2719">
        <w:t xml:space="preserve">In its resolution 28/28, the Human Rights Council requested the </w:t>
      </w:r>
      <w:r w:rsidR="00F267F5">
        <w:t xml:space="preserve">United Nations </w:t>
      </w:r>
      <w:r w:rsidR="002B2719" w:rsidRPr="002B2719">
        <w:t>High Commissioner for Human Rights to prepare a study, in consultation with States, United Nations agencies and other relevant stakeholders, to be presented to the Council at its thirtieth session, on the impact of the world drug problem on the enjoyment of human rights, and recommendations on respect for and the protection and promotion of human rights in the context of the world drug problem, with particular consideration for the needs of persons affected and persons in vulnerable situations.</w:t>
      </w:r>
      <w:r w:rsidR="00E05629">
        <w:t xml:space="preserve"> </w:t>
      </w:r>
    </w:p>
    <w:p w:rsidR="002B2719" w:rsidRPr="002B2719" w:rsidRDefault="00D111EC" w:rsidP="00D111EC">
      <w:pPr>
        <w:pStyle w:val="SingleTxtG"/>
      </w:pPr>
      <w:r w:rsidRPr="002B2719">
        <w:rPr>
          <w:color w:val="000000" w:themeColor="text1"/>
        </w:rPr>
        <w:t>2.</w:t>
      </w:r>
      <w:r w:rsidRPr="002B2719">
        <w:rPr>
          <w:color w:val="000000" w:themeColor="text1"/>
        </w:rPr>
        <w:tab/>
      </w:r>
      <w:r w:rsidR="002B2719" w:rsidRPr="002B2719">
        <w:t>Requests for information were sent to States and other stakeholders. Submissions</w:t>
      </w:r>
      <w:r w:rsidR="003851BC">
        <w:t xml:space="preserve"> </w:t>
      </w:r>
      <w:r w:rsidR="00C94FA3">
        <w:t>were received from</w:t>
      </w:r>
      <w:r w:rsidR="002B2719" w:rsidRPr="002B2719">
        <w:t xml:space="preserve"> 2</w:t>
      </w:r>
      <w:r w:rsidR="008E339A">
        <w:t>4</w:t>
      </w:r>
      <w:r w:rsidR="002B2719" w:rsidRPr="002B2719">
        <w:t xml:space="preserve"> States, </w:t>
      </w:r>
      <w:r w:rsidR="007F0BFE">
        <w:t>4</w:t>
      </w:r>
      <w:r w:rsidR="002B2719" w:rsidRPr="002B2719">
        <w:t xml:space="preserve"> </w:t>
      </w:r>
      <w:r w:rsidR="00F267F5">
        <w:t>United Nations agencies</w:t>
      </w:r>
      <w:r w:rsidR="002B2719" w:rsidRPr="002B2719">
        <w:t xml:space="preserve"> and </w:t>
      </w:r>
      <w:r w:rsidR="00795837">
        <w:t xml:space="preserve">other </w:t>
      </w:r>
      <w:r w:rsidR="002B2719" w:rsidRPr="002B2719">
        <w:t xml:space="preserve">international organizations, </w:t>
      </w:r>
      <w:r w:rsidR="00454533">
        <w:t>4</w:t>
      </w:r>
      <w:r w:rsidR="002B2719" w:rsidRPr="002B2719">
        <w:t xml:space="preserve"> national human rights institutions and 3</w:t>
      </w:r>
      <w:r w:rsidR="00454533">
        <w:t>5</w:t>
      </w:r>
      <w:r w:rsidR="002B2719" w:rsidRPr="002B2719">
        <w:t xml:space="preserve"> non-governmental organizations.</w:t>
      </w:r>
      <w:r w:rsidR="002B2719" w:rsidRPr="00E05629">
        <w:rPr>
          <w:rStyle w:val="FootnoteReference"/>
        </w:rPr>
        <w:footnoteReference w:id="3"/>
      </w:r>
      <w:r w:rsidR="002B2719" w:rsidRPr="002B2719">
        <w:t xml:space="preserve"> </w:t>
      </w:r>
    </w:p>
    <w:p w:rsidR="002B2719" w:rsidRPr="002B2719" w:rsidRDefault="00D111EC" w:rsidP="00FB01D1">
      <w:pPr>
        <w:pStyle w:val="SingleTxtG"/>
      </w:pPr>
      <w:r w:rsidRPr="002B2719">
        <w:rPr>
          <w:color w:val="000000" w:themeColor="text1"/>
        </w:rPr>
        <w:t>3.</w:t>
      </w:r>
      <w:r w:rsidRPr="002B2719">
        <w:rPr>
          <w:color w:val="000000" w:themeColor="text1"/>
        </w:rPr>
        <w:tab/>
      </w:r>
      <w:r w:rsidR="002B2719" w:rsidRPr="00BF560B">
        <w:rPr>
          <w:rStyle w:val="SingleTxtGChar"/>
        </w:rPr>
        <w:t xml:space="preserve">Three treaties form the core legal framework of the United Nations international drug control regime: (a) the Single Convention on Narcotic Drugs </w:t>
      </w:r>
      <w:r w:rsidR="00F00B42">
        <w:rPr>
          <w:rStyle w:val="SingleTxtGChar"/>
        </w:rPr>
        <w:t xml:space="preserve">of </w:t>
      </w:r>
      <w:r w:rsidR="002B2719" w:rsidRPr="00BF560B">
        <w:rPr>
          <w:rStyle w:val="SingleTxtGChar"/>
        </w:rPr>
        <w:t xml:space="preserve">1961 as amended by the 1972 Protocol, </w:t>
      </w:r>
      <w:r w:rsidR="00F267F5">
        <w:rPr>
          <w:rStyle w:val="SingleTxtGChar"/>
        </w:rPr>
        <w:t xml:space="preserve">which </w:t>
      </w:r>
      <w:r w:rsidR="002B2719" w:rsidRPr="00BF560B">
        <w:rPr>
          <w:rStyle w:val="SingleTxtGChar"/>
        </w:rPr>
        <w:t xml:space="preserve">brought plants such as </w:t>
      </w:r>
      <w:r w:rsidR="005B4F77">
        <w:rPr>
          <w:rStyle w:val="SingleTxtGChar"/>
        </w:rPr>
        <w:t>cannabis</w:t>
      </w:r>
      <w:r w:rsidR="002B2719" w:rsidRPr="00BF560B">
        <w:rPr>
          <w:rStyle w:val="SingleTxtGChar"/>
        </w:rPr>
        <w:t xml:space="preserve">, </w:t>
      </w:r>
      <w:r w:rsidR="005B4F77">
        <w:rPr>
          <w:rStyle w:val="SingleTxtGChar"/>
        </w:rPr>
        <w:t xml:space="preserve">the </w:t>
      </w:r>
      <w:r w:rsidR="002B2719" w:rsidRPr="00BF560B">
        <w:rPr>
          <w:rStyle w:val="SingleTxtGChar"/>
        </w:rPr>
        <w:t>coca</w:t>
      </w:r>
      <w:r w:rsidR="005B4F77">
        <w:rPr>
          <w:rStyle w:val="SingleTxtGChar"/>
        </w:rPr>
        <w:t xml:space="preserve"> bush</w:t>
      </w:r>
      <w:r w:rsidR="002B2719" w:rsidRPr="00BF560B">
        <w:rPr>
          <w:rStyle w:val="SingleTxtGChar"/>
        </w:rPr>
        <w:t xml:space="preserve"> and the opium poppy under international control; (b) the Convention on Psychotropic Substances </w:t>
      </w:r>
      <w:r w:rsidR="00F00B42">
        <w:rPr>
          <w:rStyle w:val="SingleTxtGChar"/>
        </w:rPr>
        <w:t xml:space="preserve">of </w:t>
      </w:r>
      <w:r w:rsidR="002B2719" w:rsidRPr="00BF560B">
        <w:rPr>
          <w:rStyle w:val="SingleTxtGChar"/>
        </w:rPr>
        <w:t xml:space="preserve">1971, which did the same for synthetic substances and precursor chemicals used in manufacturing drugs; and (c) the United Nations Convention against Illicit Traffic in Narcotic Drugs and Psychotropic Substances </w:t>
      </w:r>
      <w:r w:rsidR="00F00B42">
        <w:rPr>
          <w:rStyle w:val="SingleTxtGChar"/>
        </w:rPr>
        <w:t xml:space="preserve">of </w:t>
      </w:r>
      <w:r w:rsidR="002B2719" w:rsidRPr="00BF560B">
        <w:rPr>
          <w:rStyle w:val="SingleTxtGChar"/>
        </w:rPr>
        <w:t xml:space="preserve">1988, which increased the scope of international policing of the drug trade and </w:t>
      </w:r>
      <w:r w:rsidR="002B2719" w:rsidRPr="00A463A0">
        <w:rPr>
          <w:rStyle w:val="SingleTxtGChar"/>
        </w:rPr>
        <w:t>highlighted the connection between the drug trade and organized crime</w:t>
      </w:r>
      <w:r w:rsidR="008E7DAC" w:rsidRPr="00A463A0">
        <w:rPr>
          <w:rStyle w:val="SingleTxtGChar"/>
        </w:rPr>
        <w:t xml:space="preserve"> (see art. 3 (5))</w:t>
      </w:r>
      <w:r w:rsidR="002B2719" w:rsidRPr="00A463A0">
        <w:rPr>
          <w:rStyle w:val="SingleTxtGChar"/>
        </w:rPr>
        <w:t>. These treaties bring hundreds of illicit substances under international control, criminalizing virtually every aspect of the unauthorized production and distribution of those substances, although production, distribution and possession for medical and/or scientific purposes is permitted.</w:t>
      </w:r>
      <w:r w:rsidR="002B2719" w:rsidRPr="00A463A0">
        <w:rPr>
          <w:rStyle w:val="FootnoteReference"/>
        </w:rPr>
        <w:footnoteReference w:id="4"/>
      </w:r>
      <w:r w:rsidR="002B2719" w:rsidRPr="00A463A0">
        <w:rPr>
          <w:rStyle w:val="SingleTxtGChar"/>
          <w:sz w:val="18"/>
          <w:szCs w:val="18"/>
          <w:vertAlign w:val="superscript"/>
        </w:rPr>
        <w:t xml:space="preserve"> </w:t>
      </w:r>
      <w:r w:rsidR="00C94FA3" w:rsidRPr="00A463A0">
        <w:rPr>
          <w:rStyle w:val="SingleTxtGChar"/>
        </w:rPr>
        <w:t>While</w:t>
      </w:r>
      <w:r w:rsidR="00C94FA3">
        <w:rPr>
          <w:rStyle w:val="SingleTxtGChar"/>
        </w:rPr>
        <w:t xml:space="preserve"> h</w:t>
      </w:r>
      <w:r w:rsidR="002B2719" w:rsidRPr="00BF560B">
        <w:rPr>
          <w:rStyle w:val="SingleTxtGChar"/>
        </w:rPr>
        <w:t>uman rights are not specifically addressed in these treaties</w:t>
      </w:r>
      <w:r w:rsidR="00C94FA3">
        <w:rPr>
          <w:rStyle w:val="SingleTxtGChar"/>
        </w:rPr>
        <w:t>, t</w:t>
      </w:r>
      <w:r w:rsidR="00C94FA3" w:rsidRPr="002B2719">
        <w:t xml:space="preserve">he primary goal of the international drug control regime, as stated in the preamble of the 1961 Convention, is the protection of the health and welfare of </w:t>
      </w:r>
      <w:r w:rsidR="00BD5D94">
        <w:t>hu</w:t>
      </w:r>
      <w:r w:rsidR="00C94FA3" w:rsidRPr="002B2719">
        <w:t>mankind.</w:t>
      </w:r>
    </w:p>
    <w:p w:rsidR="002B2719" w:rsidRPr="002B2719" w:rsidRDefault="00D111EC" w:rsidP="00D111EC">
      <w:pPr>
        <w:pStyle w:val="SingleTxtG"/>
      </w:pPr>
      <w:r w:rsidRPr="002B2719">
        <w:rPr>
          <w:color w:val="000000" w:themeColor="text1"/>
        </w:rPr>
        <w:t>4.</w:t>
      </w:r>
      <w:r w:rsidRPr="002B2719">
        <w:rPr>
          <w:color w:val="000000" w:themeColor="text1"/>
        </w:rPr>
        <w:tab/>
      </w:r>
      <w:r w:rsidR="002B2719" w:rsidRPr="002B2719">
        <w:t>The International Narcotics Control Board oversees implementation of all three drug conventions. It monitors illicit drug production and trade, as well as access to controlled substances for scientific and medicinal purposes, and investigates States that do not comply with treaty requirements. The Commission on Narcotic Drugs classifies narcotic and psychotropic drugs under different levels of restriction</w:t>
      </w:r>
      <w:r w:rsidR="00BC2F8A">
        <w:t>; it also</w:t>
      </w:r>
      <w:r w:rsidR="002B2719" w:rsidRPr="002B2719">
        <w:t xml:space="preserve"> serves as </w:t>
      </w:r>
      <w:r w:rsidR="00E50EAC">
        <w:t xml:space="preserve">a </w:t>
      </w:r>
      <w:r w:rsidR="002B2719" w:rsidRPr="002B2719">
        <w:t xml:space="preserve">governing body </w:t>
      </w:r>
      <w:r w:rsidR="00BD5D94">
        <w:t>of</w:t>
      </w:r>
      <w:r w:rsidR="00BD5D94" w:rsidRPr="002B2719">
        <w:t xml:space="preserve"> </w:t>
      </w:r>
      <w:r w:rsidR="002B2719" w:rsidRPr="002B2719">
        <w:t>the United Nations Office on Drugs and Crime (UNODC)</w:t>
      </w:r>
      <w:r w:rsidR="00E50EAC">
        <w:t xml:space="preserve"> and approves the budget of the Fund of the United Nations International Drug Control Programme</w:t>
      </w:r>
      <w:r w:rsidR="002B2719" w:rsidRPr="002B2719">
        <w:t>.</w:t>
      </w:r>
    </w:p>
    <w:p w:rsidR="002268E0" w:rsidRPr="00A860D9" w:rsidRDefault="00D111EC" w:rsidP="00D111EC">
      <w:pPr>
        <w:pStyle w:val="SingleTxtG"/>
      </w:pPr>
      <w:r w:rsidRPr="00A860D9">
        <w:rPr>
          <w:color w:val="000000" w:themeColor="text1"/>
        </w:rPr>
        <w:t>5.</w:t>
      </w:r>
      <w:r w:rsidRPr="00A860D9">
        <w:rPr>
          <w:color w:val="000000" w:themeColor="text1"/>
        </w:rPr>
        <w:tab/>
      </w:r>
      <w:r w:rsidR="00BD5D94">
        <w:t>In its resolution</w:t>
      </w:r>
      <w:r w:rsidR="00BC2F8A">
        <w:t xml:space="preserve"> </w:t>
      </w:r>
      <w:r w:rsidR="00704814">
        <w:t>69/201</w:t>
      </w:r>
      <w:r w:rsidR="00BD5D94">
        <w:t>, t</w:t>
      </w:r>
      <w:r w:rsidR="002B2719" w:rsidRPr="002B2719">
        <w:t xml:space="preserve">he General Assembly </w:t>
      </w:r>
      <w:r w:rsidR="00BD5D94">
        <w:t xml:space="preserve">reaffirmed </w:t>
      </w:r>
      <w:r w:rsidR="002B2719" w:rsidRPr="002B2719">
        <w:t xml:space="preserve">that </w:t>
      </w:r>
      <w:r w:rsidR="00BD5D94">
        <w:t>the world</w:t>
      </w:r>
      <w:r w:rsidR="002B2719" w:rsidRPr="002B2719">
        <w:t xml:space="preserve"> drug </w:t>
      </w:r>
      <w:r w:rsidR="00BD5D94">
        <w:t xml:space="preserve">problem </w:t>
      </w:r>
      <w:r w:rsidR="002B2719" w:rsidRPr="002B2719">
        <w:t xml:space="preserve">must be </w:t>
      </w:r>
      <w:r w:rsidR="00FC386B">
        <w:t>countered</w:t>
      </w:r>
      <w:r w:rsidR="002B2719" w:rsidRPr="002B2719">
        <w:t xml:space="preserve"> in </w:t>
      </w:r>
      <w:r w:rsidR="00BD5D94">
        <w:t xml:space="preserve">full </w:t>
      </w:r>
      <w:r w:rsidR="002B2719" w:rsidRPr="002B2719">
        <w:t>conformity with the Charter</w:t>
      </w:r>
      <w:r w:rsidR="00BD5D94">
        <w:t xml:space="preserve"> of the United Nations</w:t>
      </w:r>
      <w:r w:rsidR="002B2719" w:rsidRPr="002B2719">
        <w:t xml:space="preserve"> and with full respect for </w:t>
      </w:r>
      <w:r w:rsidR="00BD5D94">
        <w:t xml:space="preserve">all </w:t>
      </w:r>
      <w:r w:rsidR="002B2719" w:rsidRPr="002B2719">
        <w:t>human rights.</w:t>
      </w:r>
      <w:r w:rsidR="00E05629">
        <w:t xml:space="preserve"> </w:t>
      </w:r>
      <w:r w:rsidR="00493A7C">
        <w:t>By</w:t>
      </w:r>
      <w:r w:rsidR="00FC386B">
        <w:t xml:space="preserve"> its resolution </w:t>
      </w:r>
      <w:r w:rsidR="00704814">
        <w:t>51</w:t>
      </w:r>
      <w:r w:rsidR="00FC386B">
        <w:t>/</w:t>
      </w:r>
      <w:r w:rsidR="00704814">
        <w:t>12</w:t>
      </w:r>
      <w:r w:rsidR="00FC386B">
        <w:t>, t</w:t>
      </w:r>
      <w:r w:rsidR="002B2719" w:rsidRPr="002B2719">
        <w:t>he</w:t>
      </w:r>
      <w:r w:rsidR="00BF560B">
        <w:t xml:space="preserve"> </w:t>
      </w:r>
      <w:r w:rsidR="00FC386B" w:rsidRPr="002B2719">
        <w:t>Commission on Narcotic Drugs</w:t>
      </w:r>
      <w:r w:rsidR="00FC386B" w:rsidRPr="002B2719" w:rsidDel="00FC386B">
        <w:t xml:space="preserve"> </w:t>
      </w:r>
      <w:r w:rsidR="002B2719" w:rsidRPr="002B2719">
        <w:t>called for the promotion of human rights in implementing international drug control treaties,</w:t>
      </w:r>
      <w:r w:rsidR="00E05629">
        <w:t xml:space="preserve"> </w:t>
      </w:r>
      <w:r w:rsidR="002B2719" w:rsidRPr="002B2719">
        <w:t xml:space="preserve">and the </w:t>
      </w:r>
      <w:r w:rsidR="00FC386B" w:rsidRPr="002B2719">
        <w:t>International Narcotics Control Board</w:t>
      </w:r>
      <w:r w:rsidR="00FC386B" w:rsidRPr="002B2719" w:rsidDel="00FC386B">
        <w:t xml:space="preserve"> </w:t>
      </w:r>
      <w:r w:rsidR="002B2719" w:rsidRPr="002B2719">
        <w:t xml:space="preserve">has stated that human rights must be taken into account when interpreting international drug control treaties. The Special Rapporteur on the right </w:t>
      </w:r>
      <w:r w:rsidR="00FC386B" w:rsidRPr="00B45747">
        <w:t xml:space="preserve">of everyone to the enjoyment of the highest attainable standard of physical and mental </w:t>
      </w:r>
      <w:r w:rsidR="002B2719" w:rsidRPr="002B2719">
        <w:t>health has argued that when the international drug control regime and international human rights law conflict, human rights obligations should prevail</w:t>
      </w:r>
      <w:r w:rsidR="00FC386B">
        <w:t xml:space="preserve"> (see </w:t>
      </w:r>
      <w:r w:rsidR="00FC386B" w:rsidRPr="00BF560B">
        <w:t>A/65/255</w:t>
      </w:r>
      <w:r w:rsidR="00FC386B">
        <w:t>,</w:t>
      </w:r>
      <w:r w:rsidR="00FC386B" w:rsidRPr="00BF560B">
        <w:t xml:space="preserve"> para. 10</w:t>
      </w:r>
      <w:r w:rsidR="00FC386B">
        <w:t>)</w:t>
      </w:r>
      <w:r w:rsidR="002B2719" w:rsidRPr="002B2719">
        <w:t>.</w:t>
      </w:r>
      <w:r w:rsidR="00FC386B" w:rsidRPr="00E05629" w:rsidDel="00FC386B">
        <w:rPr>
          <w:rStyle w:val="FootnoteReference"/>
        </w:rPr>
        <w:t xml:space="preserve"> </w:t>
      </w:r>
      <w:r w:rsidR="002268E0">
        <w:t xml:space="preserve"> </w:t>
      </w:r>
    </w:p>
    <w:p w:rsidR="002B2719" w:rsidRDefault="000D6659" w:rsidP="00FC386B">
      <w:pPr>
        <w:pStyle w:val="HChG"/>
        <w:ind w:left="0" w:firstLine="0"/>
      </w:pPr>
      <w:r>
        <w:lastRenderedPageBreak/>
        <w:tab/>
        <w:t>II.</w:t>
      </w:r>
      <w:r>
        <w:tab/>
      </w:r>
      <w:r w:rsidR="00FC386B">
        <w:t>R</w:t>
      </w:r>
      <w:r w:rsidR="002B2719" w:rsidRPr="002B2719">
        <w:t>ight to health</w:t>
      </w:r>
    </w:p>
    <w:p w:rsidR="000D6659" w:rsidRPr="000D6659" w:rsidRDefault="000D6659" w:rsidP="000D6659">
      <w:pPr>
        <w:pStyle w:val="H1G"/>
      </w:pPr>
      <w:r>
        <w:tab/>
      </w:r>
      <w:r w:rsidR="00D0670F">
        <w:t>A.</w:t>
      </w:r>
      <w:r>
        <w:tab/>
      </w:r>
      <w:r w:rsidRPr="000D6659">
        <w:t>Access to treatment</w:t>
      </w:r>
    </w:p>
    <w:p w:rsidR="002B2719" w:rsidRPr="002B2719" w:rsidRDefault="00D111EC" w:rsidP="00D111EC">
      <w:pPr>
        <w:pStyle w:val="SingleTxtG"/>
      </w:pPr>
      <w:r w:rsidRPr="002B2719">
        <w:rPr>
          <w:color w:val="000000" w:themeColor="text1"/>
        </w:rPr>
        <w:t>6.</w:t>
      </w:r>
      <w:r w:rsidRPr="002B2719">
        <w:rPr>
          <w:color w:val="000000" w:themeColor="text1"/>
        </w:rPr>
        <w:tab/>
      </w:r>
      <w:r w:rsidR="002B2719" w:rsidRPr="002B2719">
        <w:t>The right to health is provided for in article 12 of the International Covenant on Economic Social and Cultural Rights.</w:t>
      </w:r>
      <w:r w:rsidR="00E05629">
        <w:t xml:space="preserve"> </w:t>
      </w:r>
      <w:r w:rsidR="00FC386B">
        <w:t>Under a</w:t>
      </w:r>
      <w:r w:rsidR="002B2719" w:rsidRPr="002B2719">
        <w:t>rticle</w:t>
      </w:r>
      <w:r w:rsidR="00FC386B">
        <w:t>s</w:t>
      </w:r>
      <w:r w:rsidR="002B2719" w:rsidRPr="002B2719">
        <w:t xml:space="preserve"> 2 </w:t>
      </w:r>
      <w:r w:rsidR="00FC386B">
        <w:t>(</w:t>
      </w:r>
      <w:r w:rsidR="002B2719" w:rsidRPr="002B2719">
        <w:t>2</w:t>
      </w:r>
      <w:r w:rsidR="00FC386B">
        <w:t>)</w:t>
      </w:r>
      <w:r w:rsidR="002B2719" w:rsidRPr="002B2719">
        <w:t xml:space="preserve"> and 3 of the </w:t>
      </w:r>
      <w:r w:rsidR="00FC386B">
        <w:t xml:space="preserve">Covenant, </w:t>
      </w:r>
      <w:r w:rsidR="002B2719" w:rsidRPr="002B2719">
        <w:t>States</w:t>
      </w:r>
      <w:r w:rsidR="00FC386B">
        <w:t xml:space="preserve"> are required</w:t>
      </w:r>
      <w:r w:rsidR="002B2719" w:rsidRPr="002B2719">
        <w:t xml:space="preserve"> to implement the right to health on a non-discriminatory basis, </w:t>
      </w:r>
      <w:r w:rsidR="00795837">
        <w:t xml:space="preserve">which includes </w:t>
      </w:r>
      <w:r w:rsidR="00C33C62">
        <w:t xml:space="preserve">extending that right to </w:t>
      </w:r>
      <w:r w:rsidR="00795837">
        <w:t>drug users</w:t>
      </w:r>
      <w:r w:rsidR="002B2719" w:rsidRPr="002B2719">
        <w:t xml:space="preserve">. </w:t>
      </w:r>
    </w:p>
    <w:p w:rsidR="002B2719" w:rsidRPr="002B2719" w:rsidRDefault="00D111EC" w:rsidP="00D111EC">
      <w:pPr>
        <w:pStyle w:val="SingleTxtG"/>
      </w:pPr>
      <w:r w:rsidRPr="002B2719">
        <w:rPr>
          <w:color w:val="000000" w:themeColor="text1"/>
        </w:rPr>
        <w:t>7.</w:t>
      </w:r>
      <w:r w:rsidRPr="002B2719">
        <w:rPr>
          <w:color w:val="000000" w:themeColor="text1"/>
        </w:rPr>
        <w:tab/>
      </w:r>
      <w:r w:rsidR="002B2719" w:rsidRPr="000D6659">
        <w:rPr>
          <w:rStyle w:val="SingleTxtGChar"/>
        </w:rPr>
        <w:t xml:space="preserve">The Special Rapporteur on the right to health has underlined the distinction between drug use and drug dependence. Drug dependence is a chronic, relapsing disorder </w:t>
      </w:r>
      <w:r w:rsidR="00B65D75">
        <w:rPr>
          <w:rStyle w:val="SingleTxtGChar"/>
        </w:rPr>
        <w:t>that</w:t>
      </w:r>
      <w:r w:rsidR="002B2719" w:rsidRPr="000D6659">
        <w:rPr>
          <w:rStyle w:val="SingleTxtGChar"/>
        </w:rPr>
        <w:t xml:space="preserve"> should be medically treated using a biopsychosocial approach. Drug use is neither a medical condition nor does it necessarily lead to drug dependence. People who use drugs and people who are dependent on drugs possess the same right to health as everyone</w:t>
      </w:r>
      <w:r w:rsidR="00B65D75">
        <w:rPr>
          <w:rStyle w:val="SingleTxtGChar"/>
        </w:rPr>
        <w:t xml:space="preserve"> else</w:t>
      </w:r>
      <w:r w:rsidR="002B2719" w:rsidRPr="000D6659">
        <w:rPr>
          <w:rStyle w:val="SingleTxtGChar"/>
        </w:rPr>
        <w:t>, and th</w:t>
      </w:r>
      <w:r w:rsidR="00B65D75">
        <w:rPr>
          <w:rStyle w:val="SingleTxtGChar"/>
        </w:rPr>
        <w:t>o</w:t>
      </w:r>
      <w:r w:rsidR="002B2719" w:rsidRPr="000D6659">
        <w:rPr>
          <w:rStyle w:val="SingleTxtGChar"/>
        </w:rPr>
        <w:t xml:space="preserve">se rights cannot be curtailed if the use of drugs </w:t>
      </w:r>
      <w:r w:rsidR="00B65D75">
        <w:rPr>
          <w:rStyle w:val="SingleTxtGChar"/>
        </w:rPr>
        <w:t>constitutes</w:t>
      </w:r>
      <w:r w:rsidR="002B2719" w:rsidRPr="000D6659">
        <w:rPr>
          <w:rStyle w:val="SingleTxtGChar"/>
        </w:rPr>
        <w:t xml:space="preserve"> a criminal offence</w:t>
      </w:r>
      <w:r w:rsidR="00B65D75">
        <w:rPr>
          <w:rStyle w:val="SingleTxtGChar"/>
        </w:rPr>
        <w:t xml:space="preserve"> (see </w:t>
      </w:r>
      <w:r w:rsidR="00B65D75" w:rsidRPr="000D6659">
        <w:t>A/65/255, para. 7</w:t>
      </w:r>
      <w:r w:rsidR="00B65D75">
        <w:t>)</w:t>
      </w:r>
      <w:r w:rsidR="002B2719" w:rsidRPr="000D6659">
        <w:rPr>
          <w:rStyle w:val="SingleTxtGChar"/>
        </w:rPr>
        <w:t xml:space="preserve">. The Special Rapporteur has noted that </w:t>
      </w:r>
      <w:r w:rsidR="00B65D75">
        <w:rPr>
          <w:rStyle w:val="SingleTxtGChar"/>
        </w:rPr>
        <w:t xml:space="preserve">the </w:t>
      </w:r>
      <w:r w:rsidR="002B2719" w:rsidRPr="000D6659">
        <w:rPr>
          <w:rStyle w:val="SingleTxtGChar"/>
        </w:rPr>
        <w:t xml:space="preserve">same standards of ethical treatment apply to the treatment of drug dependence as </w:t>
      </w:r>
      <w:r w:rsidR="00B65D75">
        <w:rPr>
          <w:rStyle w:val="SingleTxtGChar"/>
        </w:rPr>
        <w:t xml:space="preserve">to </w:t>
      </w:r>
      <w:r w:rsidR="002B2719" w:rsidRPr="000D6659">
        <w:rPr>
          <w:rStyle w:val="SingleTxtGChar"/>
        </w:rPr>
        <w:t>other health</w:t>
      </w:r>
      <w:r w:rsidR="00B65D75">
        <w:rPr>
          <w:rStyle w:val="SingleTxtGChar"/>
        </w:rPr>
        <w:t>-related</w:t>
      </w:r>
      <w:r w:rsidR="002B2719" w:rsidRPr="000D6659">
        <w:rPr>
          <w:rStyle w:val="SingleTxtGChar"/>
        </w:rPr>
        <w:t xml:space="preserve"> conditions, including </w:t>
      </w:r>
      <w:r w:rsidR="00B65D75">
        <w:rPr>
          <w:rStyle w:val="SingleTxtGChar"/>
        </w:rPr>
        <w:t xml:space="preserve">with regard to </w:t>
      </w:r>
      <w:r w:rsidR="002B2719" w:rsidRPr="000D6659">
        <w:rPr>
          <w:rStyle w:val="SingleTxtGChar"/>
        </w:rPr>
        <w:t xml:space="preserve">the right </w:t>
      </w:r>
      <w:r w:rsidR="00B65D75">
        <w:rPr>
          <w:rStyle w:val="SingleTxtGChar"/>
        </w:rPr>
        <w:t>of a</w:t>
      </w:r>
      <w:r w:rsidR="002B2719" w:rsidRPr="000D6659">
        <w:rPr>
          <w:rStyle w:val="SingleTxtGChar"/>
        </w:rPr>
        <w:t xml:space="preserve"> patient to make decisions about treatment </w:t>
      </w:r>
      <w:r w:rsidR="00B65D75">
        <w:rPr>
          <w:rStyle w:val="SingleTxtGChar"/>
        </w:rPr>
        <w:t>and</w:t>
      </w:r>
      <w:r w:rsidR="00B65D75" w:rsidRPr="000D6659">
        <w:rPr>
          <w:rStyle w:val="SingleTxtGChar"/>
        </w:rPr>
        <w:t xml:space="preserve"> </w:t>
      </w:r>
      <w:r w:rsidR="002B2719" w:rsidRPr="000D6659">
        <w:rPr>
          <w:rStyle w:val="SingleTxtGChar"/>
        </w:rPr>
        <w:t>to refuse treatment</w:t>
      </w:r>
      <w:r w:rsidR="002B2719" w:rsidRPr="002B2719">
        <w:t>.</w:t>
      </w:r>
      <w:r w:rsidR="00E05629">
        <w:t xml:space="preserve"> </w:t>
      </w:r>
    </w:p>
    <w:p w:rsidR="002B2719" w:rsidRPr="002B2719" w:rsidRDefault="00D111EC" w:rsidP="00D111EC">
      <w:pPr>
        <w:pStyle w:val="SingleTxtG"/>
      </w:pPr>
      <w:r w:rsidRPr="002B2719">
        <w:rPr>
          <w:color w:val="000000" w:themeColor="text1"/>
        </w:rPr>
        <w:t>8.</w:t>
      </w:r>
      <w:r w:rsidRPr="002B2719">
        <w:rPr>
          <w:color w:val="000000" w:themeColor="text1"/>
        </w:rPr>
        <w:tab/>
      </w:r>
      <w:r w:rsidR="002B2719" w:rsidRPr="000D6659">
        <w:rPr>
          <w:rStyle w:val="SingleTxtGChar"/>
        </w:rPr>
        <w:t xml:space="preserve">The Special Rapporteur </w:t>
      </w:r>
      <w:r w:rsidR="00B65D75">
        <w:rPr>
          <w:rStyle w:val="SingleTxtGChar"/>
        </w:rPr>
        <w:t>has</w:t>
      </w:r>
      <w:r w:rsidR="00B65D75" w:rsidRPr="000D6659">
        <w:rPr>
          <w:rStyle w:val="SingleTxtGChar"/>
        </w:rPr>
        <w:t xml:space="preserve"> </w:t>
      </w:r>
      <w:r w:rsidR="002B2719" w:rsidRPr="000D6659">
        <w:rPr>
          <w:rStyle w:val="SingleTxtGChar"/>
        </w:rPr>
        <w:t>emphasized that health</w:t>
      </w:r>
      <w:r w:rsidR="00B65D75">
        <w:rPr>
          <w:rStyle w:val="SingleTxtGChar"/>
        </w:rPr>
        <w:t>-</w:t>
      </w:r>
      <w:r w:rsidR="002B2719" w:rsidRPr="000D6659">
        <w:rPr>
          <w:rStyle w:val="SingleTxtGChar"/>
        </w:rPr>
        <w:t>care personnel have an obligation to provide treatment on a non-discriminatory basis and not to stigmatize or violate a patient’s human rights.</w:t>
      </w:r>
      <w:r w:rsidR="002B2719" w:rsidRPr="00F827BA">
        <w:rPr>
          <w:rStyle w:val="SingleTxtGChar"/>
          <w:vertAlign w:val="superscript"/>
        </w:rPr>
        <w:t xml:space="preserve"> </w:t>
      </w:r>
      <w:r w:rsidR="002B2719" w:rsidRPr="000D6659">
        <w:rPr>
          <w:rStyle w:val="SingleTxtGChar"/>
        </w:rPr>
        <w:t>Nevertheless, people who use drugs may be subject to discrimination in health</w:t>
      </w:r>
      <w:r w:rsidR="00B65D75">
        <w:rPr>
          <w:rStyle w:val="SingleTxtGChar"/>
        </w:rPr>
        <w:t>-</w:t>
      </w:r>
      <w:r w:rsidR="002B2719" w:rsidRPr="000D6659">
        <w:rPr>
          <w:rStyle w:val="SingleTxtGChar"/>
        </w:rPr>
        <w:t>care settings.</w:t>
      </w:r>
      <w:r w:rsidR="00E05629">
        <w:rPr>
          <w:rStyle w:val="SingleTxtGChar"/>
        </w:rPr>
        <w:t xml:space="preserve"> </w:t>
      </w:r>
      <w:r w:rsidR="002B2719" w:rsidRPr="000D6659">
        <w:rPr>
          <w:rStyle w:val="SingleTxtGChar"/>
        </w:rPr>
        <w:t xml:space="preserve">People who inject drugs, for example, may have poorer access to health care in some countries, including for </w:t>
      </w:r>
      <w:r w:rsidR="00B65D75">
        <w:rPr>
          <w:rStyle w:val="SingleTxtGChar"/>
        </w:rPr>
        <w:t xml:space="preserve">the </w:t>
      </w:r>
      <w:r w:rsidR="002B2719" w:rsidRPr="000D6659">
        <w:rPr>
          <w:rStyle w:val="SingleTxtGChar"/>
        </w:rPr>
        <w:t xml:space="preserve">treatment </w:t>
      </w:r>
      <w:r w:rsidR="00B65D75">
        <w:rPr>
          <w:rStyle w:val="SingleTxtGChar"/>
        </w:rPr>
        <w:t>of</w:t>
      </w:r>
      <w:r w:rsidR="00B65D75" w:rsidRPr="000D6659">
        <w:rPr>
          <w:rStyle w:val="SingleTxtGChar"/>
        </w:rPr>
        <w:t xml:space="preserve"> </w:t>
      </w:r>
      <w:r w:rsidR="002B2719" w:rsidRPr="000D6659">
        <w:rPr>
          <w:rStyle w:val="SingleTxtGChar"/>
        </w:rPr>
        <w:t>HIV/AIDS.</w:t>
      </w:r>
      <w:r w:rsidR="00E05629">
        <w:rPr>
          <w:rStyle w:val="SingleTxtGChar"/>
        </w:rPr>
        <w:t xml:space="preserve"> </w:t>
      </w:r>
      <w:r w:rsidR="002B2719" w:rsidRPr="000D6659">
        <w:rPr>
          <w:rStyle w:val="SingleTxtGChar"/>
        </w:rPr>
        <w:t>This may be due to unjustified restrictions by health-care providers on the provision of heath care for people who inject drugs.</w:t>
      </w:r>
      <w:r w:rsidR="002B2719" w:rsidRPr="00E05629">
        <w:rPr>
          <w:rStyle w:val="FootnoteReference"/>
        </w:rPr>
        <w:footnoteReference w:id="5"/>
      </w:r>
      <w:r w:rsidR="002B2719" w:rsidRPr="00D0670F">
        <w:rPr>
          <w:rStyle w:val="SingleTxtGChar"/>
          <w:sz w:val="18"/>
          <w:szCs w:val="18"/>
        </w:rPr>
        <w:t xml:space="preserve"> </w:t>
      </w:r>
      <w:r w:rsidR="002B2719" w:rsidRPr="000D6659">
        <w:rPr>
          <w:rStyle w:val="SingleTxtGChar"/>
        </w:rPr>
        <w:t>The</w:t>
      </w:r>
      <w:r w:rsidR="002B2719" w:rsidRPr="002B2719">
        <w:t xml:space="preserve"> Special Rapporteur noted that care providers may not have adequate information or training concerning harm</w:t>
      </w:r>
      <w:r w:rsidR="00F00B42">
        <w:t xml:space="preserve"> </w:t>
      </w:r>
      <w:r w:rsidR="002B2719" w:rsidRPr="002B2719">
        <w:t>reduction measures</w:t>
      </w:r>
      <w:r w:rsidR="008418FB">
        <w:t xml:space="preserve"> (see </w:t>
      </w:r>
      <w:r w:rsidR="008418FB" w:rsidRPr="000D6659">
        <w:t>A/65/255, para. 46</w:t>
      </w:r>
      <w:r w:rsidR="008418FB">
        <w:t>)</w:t>
      </w:r>
      <w:r w:rsidR="002B2719" w:rsidRPr="002B2719">
        <w:t>.</w:t>
      </w:r>
      <w:r w:rsidR="00E05629">
        <w:t xml:space="preserve"> </w:t>
      </w:r>
      <w:r w:rsidR="003851BC">
        <w:t>The World Health Organization (WHO)</w:t>
      </w:r>
      <w:r w:rsidR="006A0740">
        <w:t xml:space="preserve"> </w:t>
      </w:r>
      <w:r w:rsidR="002B2719" w:rsidRPr="002B2719">
        <w:t xml:space="preserve">has recommended training health workers </w:t>
      </w:r>
      <w:r w:rsidR="008E7DAC">
        <w:t>on</w:t>
      </w:r>
      <w:r w:rsidR="002B2719" w:rsidRPr="002B2719">
        <w:t xml:space="preserve"> issues of stigma and non-discrimination</w:t>
      </w:r>
      <w:r w:rsidR="00C33C62">
        <w:t>,</w:t>
      </w:r>
      <w:r w:rsidR="002B2719" w:rsidRPr="002B2719">
        <w:t xml:space="preserve"> to achieve better health outcomes.</w:t>
      </w:r>
      <w:r w:rsidR="002B2719" w:rsidRPr="00E05629">
        <w:rPr>
          <w:rStyle w:val="FootnoteReference"/>
        </w:rPr>
        <w:footnoteReference w:id="6"/>
      </w:r>
    </w:p>
    <w:p w:rsidR="002B2719" w:rsidRPr="002B2719" w:rsidRDefault="00D111EC" w:rsidP="00D111EC">
      <w:pPr>
        <w:pStyle w:val="SingleTxtG"/>
      </w:pPr>
      <w:r w:rsidRPr="002B2719">
        <w:rPr>
          <w:color w:val="000000" w:themeColor="text1"/>
        </w:rPr>
        <w:t>9.</w:t>
      </w:r>
      <w:r w:rsidRPr="002B2719">
        <w:rPr>
          <w:color w:val="000000" w:themeColor="text1"/>
        </w:rPr>
        <w:tab/>
      </w:r>
      <w:r w:rsidR="002B2719" w:rsidRPr="002B2719">
        <w:t xml:space="preserve">Individuals have sometimes been denied access to medical treatment on the grounds of their prior or current drug use, where evidence does not justify denial of treatment. </w:t>
      </w:r>
      <w:r w:rsidR="00C94FA3">
        <w:t>Such d</w:t>
      </w:r>
      <w:r w:rsidR="002B2719" w:rsidRPr="002B2719">
        <w:t>enial has occurred on the rationale that a person’s drug use would make him or her unable to adhere to treatment.</w:t>
      </w:r>
      <w:r w:rsidR="00E05629">
        <w:t xml:space="preserve"> </w:t>
      </w:r>
      <w:r w:rsidR="002B2719" w:rsidRPr="002B2719">
        <w:t xml:space="preserve">The Special Rapporteur </w:t>
      </w:r>
      <w:r w:rsidR="008418FB">
        <w:t>notes</w:t>
      </w:r>
      <w:r w:rsidR="002B2719" w:rsidRPr="002B2719">
        <w:t xml:space="preserve"> that adherence to medical treatment is not necessarily lower among persons who use drugs, and should be assessed on an individual basis</w:t>
      </w:r>
      <w:r w:rsidR="008418FB">
        <w:t xml:space="preserve"> (see A/65/255, </w:t>
      </w:r>
      <w:r w:rsidR="001E0701">
        <w:t>paras 2</w:t>
      </w:r>
      <w:r w:rsidR="008418FB">
        <w:t>3</w:t>
      </w:r>
      <w:r w:rsidR="001E0701">
        <w:t>-24</w:t>
      </w:r>
      <w:r w:rsidR="008418FB">
        <w:t>)</w:t>
      </w:r>
      <w:r w:rsidR="002B2719" w:rsidRPr="002B2719">
        <w:t>.</w:t>
      </w:r>
      <w:r w:rsidR="002B2719" w:rsidRPr="00D0670F">
        <w:rPr>
          <w:sz w:val="18"/>
          <w:szCs w:val="18"/>
        </w:rPr>
        <w:t xml:space="preserve"> </w:t>
      </w:r>
    </w:p>
    <w:p w:rsidR="002B2719" w:rsidRPr="002B2719" w:rsidRDefault="00D111EC" w:rsidP="00D111EC">
      <w:pPr>
        <w:pStyle w:val="SingleTxtG"/>
      </w:pPr>
      <w:r w:rsidRPr="002B2719">
        <w:rPr>
          <w:color w:val="000000" w:themeColor="text1"/>
        </w:rPr>
        <w:t>10.</w:t>
      </w:r>
      <w:r w:rsidRPr="002B2719">
        <w:rPr>
          <w:color w:val="000000" w:themeColor="text1"/>
        </w:rPr>
        <w:tab/>
      </w:r>
      <w:r w:rsidR="002B2719" w:rsidRPr="002B2719">
        <w:t>Outreach programmes are useful in providing information and referral health services to drug users in the community. Information and education programmes can minimize harm to individuals who use drugs and encourage drug dependent persons to seek treatment.</w:t>
      </w:r>
      <w:r w:rsidR="002B2719" w:rsidRPr="00E05629">
        <w:rPr>
          <w:rStyle w:val="FootnoteReference"/>
        </w:rPr>
        <w:footnoteReference w:id="7"/>
      </w:r>
    </w:p>
    <w:p w:rsidR="002B2719" w:rsidRPr="002B2719" w:rsidRDefault="00497A67" w:rsidP="00E16259">
      <w:pPr>
        <w:pStyle w:val="H1G"/>
      </w:pPr>
      <w:r>
        <w:tab/>
      </w:r>
      <w:r w:rsidRPr="003F030B">
        <w:t>B.</w:t>
      </w:r>
      <w:r w:rsidRPr="003F030B">
        <w:tab/>
      </w:r>
      <w:r w:rsidR="002B2719" w:rsidRPr="003F030B">
        <w:t>Harm reduction</w:t>
      </w:r>
    </w:p>
    <w:p w:rsidR="002B2719" w:rsidRPr="002B2719" w:rsidRDefault="00D111EC" w:rsidP="00D111EC">
      <w:pPr>
        <w:pStyle w:val="SingleTxtG"/>
      </w:pPr>
      <w:r w:rsidRPr="002B2719">
        <w:rPr>
          <w:color w:val="000000" w:themeColor="text1"/>
        </w:rPr>
        <w:t>11.</w:t>
      </w:r>
      <w:r w:rsidRPr="002B2719">
        <w:rPr>
          <w:color w:val="000000" w:themeColor="text1"/>
        </w:rPr>
        <w:tab/>
      </w:r>
      <w:r w:rsidR="002B2719" w:rsidRPr="002B2719">
        <w:t>Harm reduction interventions aim to reduce the harms associated with the use of psychoactive drugs, without necessarily discouraging use. The</w:t>
      </w:r>
      <w:r w:rsidR="00C94FA3">
        <w:t>y</w:t>
      </w:r>
      <w:r w:rsidR="002B2719" w:rsidRPr="002B2719">
        <w:t xml:space="preserve"> include needle and syringe programmes, prescription of substitute medications, drug-consumption rooms, promotion of non-injecting routes </w:t>
      </w:r>
      <w:r w:rsidR="00D52968">
        <w:t>for the</w:t>
      </w:r>
      <w:r w:rsidR="002B2719" w:rsidRPr="002B2719">
        <w:t xml:space="preserve"> administration</w:t>
      </w:r>
      <w:r w:rsidR="00D52968">
        <w:t xml:space="preserve"> of drugs</w:t>
      </w:r>
      <w:r w:rsidR="002B2719" w:rsidRPr="002B2719">
        <w:t>, overdose prevention practices, and outreach and education programmes</w:t>
      </w:r>
      <w:r w:rsidR="00D52968">
        <w:t xml:space="preserve"> (see </w:t>
      </w:r>
      <w:r w:rsidR="00D52968" w:rsidRPr="00405F0C">
        <w:rPr>
          <w:szCs w:val="18"/>
        </w:rPr>
        <w:t>A/65/255, para. 50</w:t>
      </w:r>
      <w:r w:rsidR="00D52968">
        <w:rPr>
          <w:szCs w:val="18"/>
        </w:rPr>
        <w:t>)</w:t>
      </w:r>
      <w:r w:rsidR="002B2719" w:rsidRPr="002B2719">
        <w:t>.</w:t>
      </w:r>
      <w:r w:rsidR="001E0701">
        <w:t xml:space="preserve"> </w:t>
      </w:r>
      <w:r w:rsidR="002B2719" w:rsidRPr="002B2719">
        <w:t xml:space="preserve">Persons who inject drugs </w:t>
      </w:r>
      <w:r w:rsidR="00D52968">
        <w:t>are at a</w:t>
      </w:r>
      <w:r w:rsidR="00D52968" w:rsidRPr="002B2719">
        <w:t xml:space="preserve"> </w:t>
      </w:r>
      <w:r w:rsidR="002B2719" w:rsidRPr="002B2719">
        <w:t>heightened risk of contracting HIV, hepatitis B and C</w:t>
      </w:r>
      <w:r w:rsidR="001E0701">
        <w:t>,</w:t>
      </w:r>
      <w:r w:rsidR="002B2719" w:rsidRPr="00E05629">
        <w:rPr>
          <w:rStyle w:val="FootnoteReference"/>
        </w:rPr>
        <w:footnoteReference w:id="8"/>
      </w:r>
      <w:r w:rsidR="002B2719" w:rsidRPr="002B2719">
        <w:t xml:space="preserve"> and tuberculosis.</w:t>
      </w:r>
      <w:r w:rsidR="002B2719" w:rsidRPr="00E05629">
        <w:rPr>
          <w:rStyle w:val="FootnoteReference"/>
        </w:rPr>
        <w:footnoteReference w:id="9"/>
      </w:r>
    </w:p>
    <w:p w:rsidR="002B2719" w:rsidRPr="002B2719" w:rsidRDefault="00D111EC" w:rsidP="00D111EC">
      <w:pPr>
        <w:pStyle w:val="SingleTxtG"/>
      </w:pPr>
      <w:r w:rsidRPr="002B2719">
        <w:rPr>
          <w:color w:val="000000" w:themeColor="text1"/>
        </w:rPr>
        <w:t>12.</w:t>
      </w:r>
      <w:r w:rsidRPr="002B2719">
        <w:rPr>
          <w:color w:val="000000" w:themeColor="text1"/>
        </w:rPr>
        <w:tab/>
      </w:r>
      <w:r w:rsidR="002B2719" w:rsidRPr="002B2719">
        <w:t>The Committee on Economic, Social and Cultural Rights,</w:t>
      </w:r>
      <w:r w:rsidR="002B2719" w:rsidRPr="00E05629">
        <w:rPr>
          <w:rStyle w:val="FootnoteReference"/>
        </w:rPr>
        <w:footnoteReference w:id="10"/>
      </w:r>
      <w:r w:rsidR="002B2719" w:rsidRPr="002B2719">
        <w:t xml:space="preserve"> the Committee on the Rights of the Child</w:t>
      </w:r>
      <w:r w:rsidR="002B2719" w:rsidRPr="00E05629">
        <w:rPr>
          <w:rStyle w:val="FootnoteReference"/>
        </w:rPr>
        <w:footnoteReference w:id="11"/>
      </w:r>
      <w:r w:rsidR="002B2719" w:rsidRPr="00D0670F">
        <w:rPr>
          <w:sz w:val="18"/>
          <w:szCs w:val="18"/>
        </w:rPr>
        <w:t xml:space="preserve"> </w:t>
      </w:r>
      <w:r w:rsidR="002B2719" w:rsidRPr="002B2719">
        <w:t xml:space="preserve">and the Special Rapporteur on the right to health </w:t>
      </w:r>
      <w:r w:rsidR="00583C5E">
        <w:t xml:space="preserve">have </w:t>
      </w:r>
      <w:r w:rsidR="002B2719" w:rsidRPr="002B2719">
        <w:t xml:space="preserve">all determined that </w:t>
      </w:r>
      <w:r w:rsidR="00583C5E">
        <w:t xml:space="preserve">a </w:t>
      </w:r>
      <w:r w:rsidR="002B2719" w:rsidRPr="002B2719">
        <w:t>harm reduction</w:t>
      </w:r>
      <w:r w:rsidR="00583C5E">
        <w:t xml:space="preserve"> approach</w:t>
      </w:r>
      <w:r w:rsidR="002B2719" w:rsidRPr="002B2719">
        <w:t xml:space="preserve"> is essential for persons who use drugs. WHO, UNODC and </w:t>
      </w:r>
      <w:r w:rsidR="00583C5E">
        <w:t>the Joint United Nations Programme on HIV/AIDS (</w:t>
      </w:r>
      <w:r w:rsidR="002B2719" w:rsidRPr="002B2719">
        <w:t>UNAIDS</w:t>
      </w:r>
      <w:r w:rsidR="00583C5E">
        <w:t>)</w:t>
      </w:r>
      <w:r w:rsidR="002B2719" w:rsidRPr="002B2719">
        <w:t xml:space="preserve"> promote harm reduction for injecting drug users.</w:t>
      </w:r>
      <w:r w:rsidR="002B2719" w:rsidRPr="00E05629">
        <w:rPr>
          <w:rStyle w:val="FootnoteReference"/>
        </w:rPr>
        <w:footnoteReference w:id="12"/>
      </w:r>
      <w:r w:rsidR="00E05629">
        <w:t xml:space="preserve"> </w:t>
      </w:r>
      <w:r w:rsidR="003F030B">
        <w:t xml:space="preserve">The Office of the United Nations High Commissioner for </w:t>
      </w:r>
      <w:r w:rsidR="003F030B" w:rsidRPr="00A463A0">
        <w:t>Human Rights</w:t>
      </w:r>
      <w:r w:rsidR="002650E9" w:rsidRPr="002C0FEF">
        <w:t xml:space="preserve"> </w:t>
      </w:r>
      <w:r w:rsidR="002164CA" w:rsidRPr="00A463A0">
        <w:t xml:space="preserve">has </w:t>
      </w:r>
      <w:r w:rsidR="002B2719" w:rsidRPr="00A463A0">
        <w:t>supported harm</w:t>
      </w:r>
      <w:r w:rsidR="002B2719" w:rsidRPr="002B2719">
        <w:t xml:space="preserve"> reduction</w:t>
      </w:r>
      <w:r w:rsidR="002B2719" w:rsidRPr="00D0670F">
        <w:rPr>
          <w:sz w:val="18"/>
          <w:szCs w:val="18"/>
        </w:rPr>
        <w:t xml:space="preserve"> </w:t>
      </w:r>
      <w:r w:rsidR="002B2719" w:rsidRPr="002B2719">
        <w:t>and the Human Rights Council, in its resolution 12/27, recognized the need for harm reduction programmes.</w:t>
      </w:r>
      <w:r w:rsidR="002B2719" w:rsidRPr="00D0670F">
        <w:rPr>
          <w:sz w:val="18"/>
          <w:szCs w:val="18"/>
        </w:rPr>
        <w:t xml:space="preserve"> </w:t>
      </w:r>
    </w:p>
    <w:p w:rsidR="002B2719" w:rsidRPr="002B2719" w:rsidRDefault="00D111EC" w:rsidP="00D111EC">
      <w:pPr>
        <w:pStyle w:val="SingleTxtG"/>
      </w:pPr>
      <w:r w:rsidRPr="002B2719">
        <w:rPr>
          <w:color w:val="000000" w:themeColor="text1"/>
        </w:rPr>
        <w:t>13.</w:t>
      </w:r>
      <w:r w:rsidRPr="002B2719">
        <w:rPr>
          <w:color w:val="000000" w:themeColor="text1"/>
        </w:rPr>
        <w:tab/>
      </w:r>
      <w:r w:rsidR="002B2719" w:rsidRPr="002B2719">
        <w:t xml:space="preserve">Needle and syringe programmes involve </w:t>
      </w:r>
      <w:r w:rsidR="003F030B">
        <w:t xml:space="preserve">the </w:t>
      </w:r>
      <w:r w:rsidR="002B2719" w:rsidRPr="002B2719">
        <w:t>provision of sterile injection equipment to injecting drug users. WHO has endorsed the use of such programmes, noting that they reduce HIV infections substantially, in a cost-effective manner, without any major negative consequences.</w:t>
      </w:r>
      <w:r w:rsidR="002B2719" w:rsidRPr="00E05629">
        <w:rPr>
          <w:rStyle w:val="FootnoteReference"/>
        </w:rPr>
        <w:footnoteReference w:id="13"/>
      </w:r>
      <w:r w:rsidR="002B2719" w:rsidRPr="002B2719">
        <w:t xml:space="preserve"> Needle and syringe programmes eliminate contaminated needles, which reduces</w:t>
      </w:r>
      <w:r w:rsidR="003843D8">
        <w:t xml:space="preserve"> the risk of</w:t>
      </w:r>
      <w:r w:rsidR="002B2719" w:rsidRPr="002B2719">
        <w:t xml:space="preserve"> transmi</w:t>
      </w:r>
      <w:r w:rsidR="003843D8">
        <w:t>tting</w:t>
      </w:r>
      <w:r w:rsidR="002B2719" w:rsidRPr="002B2719">
        <w:t xml:space="preserve"> HIV and other blood-borne diseases such as viral hepatitis, in particular hepatitis B and hepatitis C</w:t>
      </w:r>
      <w:r w:rsidR="004668C6">
        <w:t xml:space="preserve"> (see </w:t>
      </w:r>
      <w:r w:rsidR="004668C6" w:rsidRPr="00497A67">
        <w:rPr>
          <w:szCs w:val="18"/>
        </w:rPr>
        <w:t xml:space="preserve">A/65/255, para. </w:t>
      </w:r>
      <w:r w:rsidR="0028157D">
        <w:rPr>
          <w:szCs w:val="18"/>
        </w:rPr>
        <w:t>51</w:t>
      </w:r>
      <w:r w:rsidR="004668C6">
        <w:rPr>
          <w:szCs w:val="18"/>
        </w:rPr>
        <w:t>)</w:t>
      </w:r>
      <w:r w:rsidR="002B2719" w:rsidRPr="002B2719">
        <w:t>.</w:t>
      </w:r>
      <w:r w:rsidR="002B2719" w:rsidRPr="00E05629">
        <w:rPr>
          <w:rStyle w:val="FootnoteReference"/>
        </w:rPr>
        <w:footnoteReference w:id="14"/>
      </w:r>
      <w:r w:rsidR="00E05629">
        <w:rPr>
          <w:sz w:val="18"/>
          <w:szCs w:val="18"/>
        </w:rPr>
        <w:t xml:space="preserve"> </w:t>
      </w:r>
    </w:p>
    <w:p w:rsidR="002B2719" w:rsidRPr="002B2719" w:rsidRDefault="00D111EC" w:rsidP="00D111EC">
      <w:pPr>
        <w:pStyle w:val="SingleTxtG"/>
      </w:pPr>
      <w:r w:rsidRPr="002B2719">
        <w:rPr>
          <w:color w:val="000000" w:themeColor="text1"/>
        </w:rPr>
        <w:t>14.</w:t>
      </w:r>
      <w:r w:rsidRPr="002B2719">
        <w:rPr>
          <w:color w:val="000000" w:themeColor="text1"/>
        </w:rPr>
        <w:tab/>
      </w:r>
      <w:r w:rsidR="002B2719" w:rsidRPr="002B2719">
        <w:t>Opioid substitution therapy</w:t>
      </w:r>
      <w:r w:rsidR="002B2719" w:rsidRPr="002B2719">
        <w:rPr>
          <w:vertAlign w:val="superscript"/>
        </w:rPr>
        <w:t xml:space="preserve"> </w:t>
      </w:r>
      <w:r w:rsidR="002B2719" w:rsidRPr="00E05629">
        <w:rPr>
          <w:rStyle w:val="FootnoteReference"/>
        </w:rPr>
        <w:footnoteReference w:id="15"/>
      </w:r>
      <w:r w:rsidR="002B2719" w:rsidRPr="002B2719">
        <w:t xml:space="preserve"> is an evidence-based approach involving </w:t>
      </w:r>
      <w:r w:rsidR="003843D8">
        <w:t xml:space="preserve">the </w:t>
      </w:r>
      <w:r w:rsidR="002B2719" w:rsidRPr="002B2719">
        <w:t>prescription of medications such as methadone or buprenorphine</w:t>
      </w:r>
      <w:r w:rsidR="003843D8" w:rsidRPr="003843D8">
        <w:t xml:space="preserve"> </w:t>
      </w:r>
      <w:r w:rsidR="003843D8">
        <w:t xml:space="preserve">to treat </w:t>
      </w:r>
      <w:r w:rsidR="003843D8" w:rsidRPr="002B2719">
        <w:t>opioid dependence</w:t>
      </w:r>
      <w:r w:rsidR="002B2719" w:rsidRPr="002B2719">
        <w:t xml:space="preserve">. </w:t>
      </w:r>
      <w:r w:rsidR="003843D8" w:rsidRPr="002B2719">
        <w:t>Opioid substitution therapy</w:t>
      </w:r>
      <w:r w:rsidR="003843D8" w:rsidRPr="002B2719" w:rsidDel="003843D8">
        <w:t xml:space="preserve"> </w:t>
      </w:r>
      <w:r w:rsidR="002B2719" w:rsidRPr="002B2719">
        <w:t xml:space="preserve">decreases the prevalence of injecting drug use and </w:t>
      </w:r>
      <w:r w:rsidR="003843D8">
        <w:t xml:space="preserve">of </w:t>
      </w:r>
      <w:r w:rsidR="002B2719" w:rsidRPr="002B2719">
        <w:t>sharing injecting equipment, thereby reducing the risk of contracting HIV and other blood-borne viruses</w:t>
      </w:r>
      <w:r w:rsidR="004668C6">
        <w:t xml:space="preserve">, and </w:t>
      </w:r>
      <w:r w:rsidR="002B2719" w:rsidRPr="002B2719">
        <w:t xml:space="preserve">is effective </w:t>
      </w:r>
      <w:r w:rsidR="004668C6">
        <w:t>in</w:t>
      </w:r>
      <w:r w:rsidR="004668C6" w:rsidRPr="002B2719">
        <w:t xml:space="preserve"> </w:t>
      </w:r>
      <w:r w:rsidR="002B2719" w:rsidRPr="002B2719">
        <w:t xml:space="preserve">managing withdrawal from opioids and preventing </w:t>
      </w:r>
      <w:r w:rsidR="003843D8">
        <w:t xml:space="preserve">a </w:t>
      </w:r>
      <w:r w:rsidR="002B2719" w:rsidRPr="002B2719">
        <w:t>relapse into drug use</w:t>
      </w:r>
      <w:r w:rsidR="004668C6">
        <w:t xml:space="preserve"> (see </w:t>
      </w:r>
      <w:r w:rsidR="004668C6" w:rsidRPr="00497A67">
        <w:rPr>
          <w:szCs w:val="18"/>
        </w:rPr>
        <w:t>A/65/255</w:t>
      </w:r>
      <w:r w:rsidR="004668C6">
        <w:rPr>
          <w:szCs w:val="18"/>
        </w:rPr>
        <w:t>,</w:t>
      </w:r>
      <w:r w:rsidR="004668C6" w:rsidRPr="00497A67">
        <w:rPr>
          <w:szCs w:val="18"/>
        </w:rPr>
        <w:t xml:space="preserve"> para. 52</w:t>
      </w:r>
      <w:r w:rsidR="004668C6">
        <w:rPr>
          <w:szCs w:val="18"/>
        </w:rPr>
        <w:t>)</w:t>
      </w:r>
      <w:r w:rsidR="002B2719" w:rsidRPr="002B2719">
        <w:t xml:space="preserve">. WHO has recommended that all people from key populations who are dependent on opioids be offered and </w:t>
      </w:r>
      <w:r w:rsidR="003843D8">
        <w:t>be given</w:t>
      </w:r>
      <w:r w:rsidR="003843D8" w:rsidRPr="002B2719">
        <w:t xml:space="preserve"> </w:t>
      </w:r>
      <w:r w:rsidR="002B2719" w:rsidRPr="002B2719">
        <w:t xml:space="preserve">access to </w:t>
      </w:r>
      <w:r w:rsidR="003843D8">
        <w:t>o</w:t>
      </w:r>
      <w:r w:rsidR="003843D8" w:rsidRPr="002B2719">
        <w:t>pioid substitution therapy</w:t>
      </w:r>
      <w:r w:rsidR="002B2719" w:rsidRPr="002B2719">
        <w:t>.</w:t>
      </w:r>
      <w:r w:rsidR="002B2719" w:rsidRPr="00E05629">
        <w:rPr>
          <w:rStyle w:val="FootnoteReference"/>
        </w:rPr>
        <w:footnoteReference w:id="16"/>
      </w:r>
    </w:p>
    <w:p w:rsidR="002B2719" w:rsidRPr="002B2719" w:rsidRDefault="00D111EC" w:rsidP="00D111EC">
      <w:pPr>
        <w:pStyle w:val="SingleTxtG"/>
      </w:pPr>
      <w:r w:rsidRPr="002B2719">
        <w:rPr>
          <w:color w:val="000000" w:themeColor="text1"/>
        </w:rPr>
        <w:t>15.</w:t>
      </w:r>
      <w:r w:rsidRPr="002B2719">
        <w:rPr>
          <w:color w:val="000000" w:themeColor="text1"/>
        </w:rPr>
        <w:tab/>
      </w:r>
      <w:r w:rsidR="002B2719" w:rsidRPr="002B2719">
        <w:t>Drug overdose</w:t>
      </w:r>
      <w:r w:rsidR="003521C0">
        <w:t>s</w:t>
      </w:r>
      <w:r w:rsidR="003843D8">
        <w:t>, most of which involve opioids,</w:t>
      </w:r>
      <w:r w:rsidR="002B2719" w:rsidRPr="002B2719">
        <w:t xml:space="preserve"> </w:t>
      </w:r>
      <w:r w:rsidR="003521C0">
        <w:t>are</w:t>
      </w:r>
      <w:r w:rsidR="003521C0" w:rsidRPr="002B2719">
        <w:t xml:space="preserve"> </w:t>
      </w:r>
      <w:r w:rsidR="002B2719" w:rsidRPr="002B2719">
        <w:t xml:space="preserve">the main cause of drug-related deaths. </w:t>
      </w:r>
      <w:r w:rsidR="003843D8" w:rsidRPr="002B2719">
        <w:t>Opioid substitution therapy</w:t>
      </w:r>
      <w:r w:rsidR="003843D8" w:rsidRPr="002B2719" w:rsidDel="003843D8">
        <w:t xml:space="preserve"> </w:t>
      </w:r>
      <w:r w:rsidR="002B2719" w:rsidRPr="002B2719">
        <w:t xml:space="preserve">reduces the </w:t>
      </w:r>
      <w:r w:rsidR="003843D8">
        <w:t>use</w:t>
      </w:r>
      <w:r w:rsidR="003843D8" w:rsidRPr="002B2719">
        <w:t xml:space="preserve"> </w:t>
      </w:r>
      <w:r w:rsidR="002B2719" w:rsidRPr="002B2719">
        <w:t>of</w:t>
      </w:r>
      <w:r w:rsidR="003843D8">
        <w:t xml:space="preserve"> drugs by</w:t>
      </w:r>
      <w:r w:rsidR="002B2719" w:rsidRPr="002B2719">
        <w:t xml:space="preserve"> injection and thus </w:t>
      </w:r>
      <w:r w:rsidR="003843D8">
        <w:t xml:space="preserve">of </w:t>
      </w:r>
      <w:r w:rsidR="002B2719" w:rsidRPr="002B2719">
        <w:t>overdos</w:t>
      </w:r>
      <w:r w:rsidR="003843D8">
        <w:t>ing</w:t>
      </w:r>
      <w:r w:rsidR="002B2719" w:rsidRPr="002B2719">
        <w:t xml:space="preserve"> by almost 90 per</w:t>
      </w:r>
      <w:r w:rsidR="003843D8">
        <w:t xml:space="preserve"> </w:t>
      </w:r>
      <w:r w:rsidR="002B2719" w:rsidRPr="002B2719">
        <w:t>cent.</w:t>
      </w:r>
      <w:r w:rsidR="002B2719" w:rsidRPr="002B2719">
        <w:rPr>
          <w:vertAlign w:val="superscript"/>
        </w:rPr>
        <w:t xml:space="preserve"> </w:t>
      </w:r>
      <w:r w:rsidR="002B2719" w:rsidRPr="00E05629">
        <w:rPr>
          <w:rStyle w:val="FootnoteReference"/>
        </w:rPr>
        <w:footnoteReference w:id="17"/>
      </w:r>
      <w:r w:rsidR="002B2719" w:rsidRPr="002B2719">
        <w:t xml:space="preserve"> The Special Rapporteur on the right to health and WHO </w:t>
      </w:r>
      <w:r w:rsidR="003843D8">
        <w:t xml:space="preserve">have </w:t>
      </w:r>
      <w:r w:rsidR="002B2719" w:rsidRPr="002B2719">
        <w:t xml:space="preserve">highlighted that first aid training for </w:t>
      </w:r>
      <w:r w:rsidR="003843D8">
        <w:t xml:space="preserve">the </w:t>
      </w:r>
      <w:r w:rsidR="002B2719" w:rsidRPr="002B2719">
        <w:t>administration of naloxone, which counters the effects of opioid overdose, can prevent overdose</w:t>
      </w:r>
      <w:r w:rsidR="003843D8">
        <w:t>-related</w:t>
      </w:r>
      <w:r w:rsidR="002B2719" w:rsidRPr="002B2719">
        <w:t xml:space="preserve"> deaths and minimize </w:t>
      </w:r>
      <w:r w:rsidR="003843D8">
        <w:t xml:space="preserve">the </w:t>
      </w:r>
      <w:r w:rsidR="002B2719" w:rsidRPr="002B2719">
        <w:t>harm associated with drug overdose</w:t>
      </w:r>
      <w:r w:rsidR="004668C6">
        <w:t xml:space="preserve"> (see </w:t>
      </w:r>
      <w:r w:rsidR="004668C6" w:rsidRPr="00497A67">
        <w:t>A/65/255, para. 54</w:t>
      </w:r>
      <w:r w:rsidR="004668C6">
        <w:t>)</w:t>
      </w:r>
      <w:r w:rsidR="002B2719" w:rsidRPr="002B2719">
        <w:t>.</w:t>
      </w:r>
      <w:r w:rsidR="002B2719" w:rsidRPr="00E05629">
        <w:rPr>
          <w:rStyle w:val="FootnoteReference"/>
        </w:rPr>
        <w:footnoteReference w:id="18"/>
      </w:r>
      <w:r w:rsidR="00E05629">
        <w:rPr>
          <w:sz w:val="18"/>
          <w:szCs w:val="18"/>
        </w:rPr>
        <w:t xml:space="preserve"> </w:t>
      </w:r>
    </w:p>
    <w:p w:rsidR="002B2719" w:rsidRPr="002B2719" w:rsidRDefault="00D111EC" w:rsidP="00D111EC">
      <w:pPr>
        <w:pStyle w:val="SingleTxtG"/>
      </w:pPr>
      <w:r w:rsidRPr="002B2719">
        <w:rPr>
          <w:color w:val="000000" w:themeColor="text1"/>
        </w:rPr>
        <w:t>16.</w:t>
      </w:r>
      <w:r w:rsidRPr="002B2719">
        <w:rPr>
          <w:color w:val="000000" w:themeColor="text1"/>
        </w:rPr>
        <w:tab/>
      </w:r>
      <w:r w:rsidR="003843D8">
        <w:t>Providing drug users with access to</w:t>
      </w:r>
      <w:r w:rsidR="002B2719" w:rsidRPr="002B2719">
        <w:t xml:space="preserve"> drug-consumption rooms </w:t>
      </w:r>
      <w:r w:rsidR="003843D8">
        <w:t xml:space="preserve">can contribute to </w:t>
      </w:r>
      <w:r w:rsidR="002B2719" w:rsidRPr="002B2719">
        <w:t>preventi</w:t>
      </w:r>
      <w:r w:rsidR="003843D8">
        <w:t>ng</w:t>
      </w:r>
      <w:r w:rsidR="002B2719" w:rsidRPr="002B2719">
        <w:t xml:space="preserve"> </w:t>
      </w:r>
      <w:r w:rsidR="005B2E2D">
        <w:t xml:space="preserve">the transmission of </w:t>
      </w:r>
      <w:r w:rsidR="002B2719" w:rsidRPr="002B2719">
        <w:t>disease</w:t>
      </w:r>
      <w:r w:rsidR="005B2E2D">
        <w:t>s</w:t>
      </w:r>
      <w:r w:rsidR="002B2719" w:rsidRPr="002B2719">
        <w:t xml:space="preserve"> and </w:t>
      </w:r>
      <w:r w:rsidR="005B2E2D">
        <w:t xml:space="preserve">to </w:t>
      </w:r>
      <w:r w:rsidR="002B2719" w:rsidRPr="002B2719">
        <w:t>reduc</w:t>
      </w:r>
      <w:r w:rsidR="005B2E2D">
        <w:t>ing</w:t>
      </w:r>
      <w:r w:rsidR="002B2719" w:rsidRPr="002B2719">
        <w:t xml:space="preserve"> damage</w:t>
      </w:r>
      <w:r w:rsidR="005B2E2D">
        <w:t xml:space="preserve"> to the veins</w:t>
      </w:r>
      <w:r w:rsidR="002B2719" w:rsidRPr="002B2719">
        <w:t>, as well as encourag</w:t>
      </w:r>
      <w:r w:rsidR="005B2E2D">
        <w:t>e users to</w:t>
      </w:r>
      <w:r w:rsidR="002B2719" w:rsidRPr="002B2719">
        <w:t xml:space="preserve"> </w:t>
      </w:r>
      <w:r w:rsidR="005B2E2D">
        <w:t>make use of</w:t>
      </w:r>
      <w:r w:rsidR="002B2719" w:rsidRPr="002B2719">
        <w:t xml:space="preserve"> treatment and other services. Drug-consumption rooms have contributed to reducing overdose rates and increased access to medical and social services</w:t>
      </w:r>
      <w:r w:rsidR="00C90C5C">
        <w:t xml:space="preserve"> (see </w:t>
      </w:r>
      <w:r w:rsidR="00C90C5C" w:rsidRPr="00497A67">
        <w:t>A/65/255, para. 54</w:t>
      </w:r>
      <w:r w:rsidR="00C90C5C">
        <w:t>).</w:t>
      </w:r>
    </w:p>
    <w:p w:rsidR="002B2719" w:rsidRPr="00E16259" w:rsidRDefault="00D111EC" w:rsidP="00D111EC">
      <w:pPr>
        <w:pStyle w:val="SingleTxtG"/>
      </w:pPr>
      <w:r w:rsidRPr="00E16259">
        <w:rPr>
          <w:color w:val="000000" w:themeColor="text1"/>
        </w:rPr>
        <w:t>17.</w:t>
      </w:r>
      <w:r w:rsidRPr="00E16259">
        <w:rPr>
          <w:color w:val="000000" w:themeColor="text1"/>
        </w:rPr>
        <w:tab/>
      </w:r>
      <w:r w:rsidR="002B2719" w:rsidRPr="00497A67">
        <w:rPr>
          <w:rStyle w:val="SingleTxtGChar"/>
        </w:rPr>
        <w:t xml:space="preserve">As of 2014, needle and syringe programmes had been implemented in 90 countries and </w:t>
      </w:r>
      <w:r w:rsidR="005B2E2D">
        <w:t>o</w:t>
      </w:r>
      <w:r w:rsidR="005B2E2D" w:rsidRPr="002B2719">
        <w:t>pioid substitution therapy</w:t>
      </w:r>
      <w:r w:rsidR="005B2E2D" w:rsidRPr="00497A67" w:rsidDel="005B2E2D">
        <w:rPr>
          <w:rStyle w:val="SingleTxtGChar"/>
        </w:rPr>
        <w:t xml:space="preserve"> </w:t>
      </w:r>
      <w:r w:rsidR="005B2E2D">
        <w:rPr>
          <w:rStyle w:val="SingleTxtGChar"/>
        </w:rPr>
        <w:t xml:space="preserve">was available </w:t>
      </w:r>
      <w:r w:rsidR="002B2719" w:rsidRPr="00497A67">
        <w:rPr>
          <w:rStyle w:val="SingleTxtGChar"/>
        </w:rPr>
        <w:t>in 80 countries</w:t>
      </w:r>
      <w:r w:rsidR="00FE0E72">
        <w:rPr>
          <w:rStyle w:val="SingleTxtGChar"/>
        </w:rPr>
        <w:t>.</w:t>
      </w:r>
      <w:r w:rsidR="00E05629">
        <w:rPr>
          <w:rStyle w:val="SingleTxtGChar"/>
          <w:vertAlign w:val="superscript"/>
        </w:rPr>
        <w:t xml:space="preserve"> </w:t>
      </w:r>
      <w:r w:rsidR="002B2719" w:rsidRPr="00497A67">
        <w:rPr>
          <w:rStyle w:val="SingleTxtGChar"/>
        </w:rPr>
        <w:t xml:space="preserve">However, needle and syringe </w:t>
      </w:r>
      <w:r w:rsidR="002B2719" w:rsidRPr="00A463A0">
        <w:rPr>
          <w:rStyle w:val="SingleTxtGChar"/>
        </w:rPr>
        <w:t>programmes have been confirmed to be</w:t>
      </w:r>
      <w:r w:rsidR="002B2719" w:rsidRPr="0069276D">
        <w:rPr>
          <w:rStyle w:val="SingleTxtGChar"/>
        </w:rPr>
        <w:t xml:space="preserve"> absent in 68 countries where </w:t>
      </w:r>
      <w:r w:rsidR="002B2719" w:rsidRPr="00497A67">
        <w:rPr>
          <w:rStyle w:val="SingleTxtGChar"/>
        </w:rPr>
        <w:t xml:space="preserve">drugs are </w:t>
      </w:r>
      <w:r w:rsidR="005B2E2D">
        <w:rPr>
          <w:rStyle w:val="SingleTxtGChar"/>
        </w:rPr>
        <w:t>injected</w:t>
      </w:r>
      <w:r w:rsidR="002B2719" w:rsidRPr="00497A67">
        <w:rPr>
          <w:rStyle w:val="SingleTxtGChar"/>
        </w:rPr>
        <w:t>.</w:t>
      </w:r>
      <w:r w:rsidR="00E05629">
        <w:rPr>
          <w:rStyle w:val="SingleTxtGChar"/>
          <w:vertAlign w:val="superscript"/>
        </w:rPr>
        <w:t xml:space="preserve"> </w:t>
      </w:r>
      <w:r w:rsidR="002B2719" w:rsidRPr="00497A67">
        <w:rPr>
          <w:rStyle w:val="SingleTxtGChar"/>
        </w:rPr>
        <w:t>In 2014, it was reported that there were 88</w:t>
      </w:r>
      <w:r w:rsidR="002B2719" w:rsidRPr="002B2719">
        <w:t xml:space="preserve"> drug</w:t>
      </w:r>
      <w:r w:rsidR="005B2E2D">
        <w:t>-</w:t>
      </w:r>
      <w:r w:rsidR="002B2719" w:rsidRPr="002B2719">
        <w:t xml:space="preserve">consumption rooms worldwide, </w:t>
      </w:r>
      <w:r w:rsidR="005B2E2D">
        <w:t xml:space="preserve">of which </w:t>
      </w:r>
      <w:r w:rsidR="002B2719" w:rsidRPr="002B2719">
        <w:t xml:space="preserve">only two </w:t>
      </w:r>
      <w:r w:rsidR="005B2E2D">
        <w:t>were</w:t>
      </w:r>
      <w:r w:rsidR="002B2719" w:rsidRPr="002B2719">
        <w:t xml:space="preserve"> outside of Europe, Australia and Canada.</w:t>
      </w:r>
      <w:r w:rsidR="00C90C5C">
        <w:rPr>
          <w:rStyle w:val="FootnoteReference"/>
        </w:rPr>
        <w:footnoteReference w:id="19"/>
      </w:r>
      <w:r w:rsidR="00E05629">
        <w:rPr>
          <w:sz w:val="18"/>
          <w:szCs w:val="18"/>
        </w:rPr>
        <w:t xml:space="preserve"> </w:t>
      </w:r>
    </w:p>
    <w:p w:rsidR="002B2719" w:rsidRPr="002B2719" w:rsidRDefault="00D111EC" w:rsidP="00D111EC">
      <w:pPr>
        <w:pStyle w:val="SingleTxtG"/>
      </w:pPr>
      <w:r w:rsidRPr="002B2719">
        <w:rPr>
          <w:color w:val="000000" w:themeColor="text1"/>
        </w:rPr>
        <w:t>18.</w:t>
      </w:r>
      <w:r w:rsidRPr="002B2719">
        <w:rPr>
          <w:color w:val="000000" w:themeColor="text1"/>
        </w:rPr>
        <w:tab/>
      </w:r>
      <w:r w:rsidR="00545FE7">
        <w:t xml:space="preserve">The lack of needle and syringe programmes, in particular, </w:t>
      </w:r>
      <w:r w:rsidR="005B2E2D">
        <w:t xml:space="preserve">has a </w:t>
      </w:r>
      <w:r w:rsidR="002B2719" w:rsidRPr="00E16259">
        <w:rPr>
          <w:rStyle w:val="SingleTxtGChar"/>
        </w:rPr>
        <w:t xml:space="preserve">direct impact </w:t>
      </w:r>
      <w:r w:rsidR="005B2E2D">
        <w:rPr>
          <w:rStyle w:val="SingleTxtGChar"/>
        </w:rPr>
        <w:t xml:space="preserve">on </w:t>
      </w:r>
      <w:r w:rsidR="002B2719" w:rsidRPr="00E16259">
        <w:rPr>
          <w:rStyle w:val="SingleTxtGChar"/>
        </w:rPr>
        <w:t>the spread of HIV</w:t>
      </w:r>
      <w:r w:rsidR="00545FE7">
        <w:rPr>
          <w:rStyle w:val="SingleTxtGChar"/>
        </w:rPr>
        <w:t>.</w:t>
      </w:r>
      <w:r w:rsidR="002B2719" w:rsidRPr="00E16259">
        <w:rPr>
          <w:rStyle w:val="SingleTxtGChar"/>
        </w:rPr>
        <w:t xml:space="preserve"> People who inject drugs account for approximately 10 per cent of all new HIV infections and </w:t>
      </w:r>
      <w:r w:rsidR="005B2E2D">
        <w:rPr>
          <w:rStyle w:val="SingleTxtGChar"/>
        </w:rPr>
        <w:t xml:space="preserve">for </w:t>
      </w:r>
      <w:r w:rsidR="002B2719" w:rsidRPr="00E16259">
        <w:rPr>
          <w:rStyle w:val="SingleTxtGChar"/>
        </w:rPr>
        <w:t>up to 30 per cent of new HIV infections</w:t>
      </w:r>
      <w:r w:rsidR="005B2E2D" w:rsidRPr="005B2E2D">
        <w:rPr>
          <w:rStyle w:val="SingleTxtGChar"/>
        </w:rPr>
        <w:t xml:space="preserve"> </w:t>
      </w:r>
      <w:r w:rsidR="005B2E2D" w:rsidRPr="00E16259">
        <w:rPr>
          <w:rStyle w:val="SingleTxtGChar"/>
        </w:rPr>
        <w:t>outside sub-Saharan Afric</w:t>
      </w:r>
      <w:r w:rsidR="005B2E2D">
        <w:rPr>
          <w:rStyle w:val="SingleTxtGChar"/>
        </w:rPr>
        <w:t>a</w:t>
      </w:r>
      <w:r w:rsidR="002B2719" w:rsidRPr="00E16259">
        <w:rPr>
          <w:rStyle w:val="SingleTxtGChar"/>
        </w:rPr>
        <w:t>. Worldwide</w:t>
      </w:r>
      <w:r w:rsidR="005B2E2D">
        <w:rPr>
          <w:rStyle w:val="SingleTxtGChar"/>
        </w:rPr>
        <w:t>,</w:t>
      </w:r>
      <w:r w:rsidR="002B2719" w:rsidRPr="00E16259">
        <w:rPr>
          <w:rStyle w:val="SingleTxtGChar"/>
        </w:rPr>
        <w:t xml:space="preserve"> an estimated 12.19 million people inject drugs, of </w:t>
      </w:r>
      <w:r w:rsidR="005B2E2D">
        <w:rPr>
          <w:rStyle w:val="SingleTxtGChar"/>
        </w:rPr>
        <w:t>whom</w:t>
      </w:r>
      <w:r w:rsidR="005B2E2D" w:rsidRPr="00E16259">
        <w:rPr>
          <w:rStyle w:val="SingleTxtGChar"/>
        </w:rPr>
        <w:t xml:space="preserve"> </w:t>
      </w:r>
      <w:r w:rsidR="002B2719" w:rsidRPr="00E16259">
        <w:rPr>
          <w:rStyle w:val="SingleTxtGChar"/>
        </w:rPr>
        <w:t xml:space="preserve">1.65 </w:t>
      </w:r>
      <w:r w:rsidR="005B2E2D">
        <w:rPr>
          <w:rStyle w:val="SingleTxtGChar"/>
        </w:rPr>
        <w:t xml:space="preserve">million </w:t>
      </w:r>
      <w:r w:rsidR="002B2719" w:rsidRPr="00E16259">
        <w:rPr>
          <w:rStyle w:val="SingleTxtGChar"/>
        </w:rPr>
        <w:t>are living with HIV.</w:t>
      </w:r>
      <w:r w:rsidR="002B2719" w:rsidRPr="00E05629">
        <w:rPr>
          <w:rStyle w:val="FootnoteReference"/>
        </w:rPr>
        <w:footnoteReference w:id="20"/>
      </w:r>
      <w:r w:rsidR="00E05629">
        <w:rPr>
          <w:rStyle w:val="SingleTxtGChar"/>
        </w:rPr>
        <w:t xml:space="preserve"> </w:t>
      </w:r>
      <w:r w:rsidR="002B2719" w:rsidRPr="00E16259">
        <w:rPr>
          <w:rStyle w:val="SingleTxtGChar"/>
        </w:rPr>
        <w:t>WHO has estimated</w:t>
      </w:r>
      <w:r w:rsidR="005B2E2D">
        <w:rPr>
          <w:rStyle w:val="SingleTxtGChar"/>
        </w:rPr>
        <w:t>, on the basis of</w:t>
      </w:r>
      <w:r w:rsidR="002B2719" w:rsidRPr="00E16259">
        <w:rPr>
          <w:rStyle w:val="SingleTxtGChar"/>
        </w:rPr>
        <w:t xml:space="preserve"> data from 49</w:t>
      </w:r>
      <w:r w:rsidR="002B2719" w:rsidRPr="002B2719">
        <w:t xml:space="preserve"> countries, </w:t>
      </w:r>
      <w:r w:rsidR="005B2E2D">
        <w:t xml:space="preserve">that </w:t>
      </w:r>
      <w:r w:rsidR="002B2719" w:rsidRPr="002B2719">
        <w:t xml:space="preserve">the average risk of HIV infection </w:t>
      </w:r>
      <w:r w:rsidR="005B2E2D">
        <w:t>is</w:t>
      </w:r>
      <w:r w:rsidR="005B2E2D" w:rsidRPr="002B2719">
        <w:t xml:space="preserve"> </w:t>
      </w:r>
      <w:r w:rsidR="002B2719" w:rsidRPr="002B2719">
        <w:t xml:space="preserve">22 times greater among people who inject drugs than </w:t>
      </w:r>
      <w:r w:rsidR="005B2E2D">
        <w:t xml:space="preserve">among people in </w:t>
      </w:r>
      <w:r w:rsidR="002B2719" w:rsidRPr="002B2719">
        <w:t>the general population</w:t>
      </w:r>
      <w:r w:rsidR="00A12307">
        <w:t>;</w:t>
      </w:r>
      <w:r w:rsidR="002B2719" w:rsidRPr="002B2719">
        <w:t xml:space="preserve"> in 11 of those countries</w:t>
      </w:r>
      <w:r w:rsidR="00F827BA">
        <w:t>,</w:t>
      </w:r>
      <w:r w:rsidR="002B2719" w:rsidRPr="002B2719">
        <w:t xml:space="preserve"> the risk </w:t>
      </w:r>
      <w:r w:rsidR="003521C0">
        <w:t>i</w:t>
      </w:r>
      <w:r w:rsidR="002B2719" w:rsidRPr="002B2719">
        <w:t>s at least 50 times higher.</w:t>
      </w:r>
      <w:r w:rsidR="002B2719" w:rsidRPr="00E05629">
        <w:rPr>
          <w:rStyle w:val="FootnoteReference"/>
        </w:rPr>
        <w:footnoteReference w:id="21"/>
      </w:r>
      <w:r w:rsidR="00E05629">
        <w:t xml:space="preserve"> </w:t>
      </w:r>
    </w:p>
    <w:p w:rsidR="002B2719" w:rsidRPr="002B2719" w:rsidRDefault="00D111EC" w:rsidP="00D111EC">
      <w:pPr>
        <w:pStyle w:val="SingleTxtG"/>
      </w:pPr>
      <w:r w:rsidRPr="002B2719">
        <w:rPr>
          <w:color w:val="000000" w:themeColor="text1"/>
        </w:rPr>
        <w:t>19.</w:t>
      </w:r>
      <w:r w:rsidRPr="002B2719">
        <w:rPr>
          <w:color w:val="000000" w:themeColor="text1"/>
        </w:rPr>
        <w:tab/>
      </w:r>
      <w:r w:rsidR="00A12307">
        <w:t>Among the b</w:t>
      </w:r>
      <w:r w:rsidR="002B2719" w:rsidRPr="002B2719">
        <w:t xml:space="preserve">enefits associated with harm reduction programmes </w:t>
      </w:r>
      <w:r w:rsidR="00A12307">
        <w:t>is the</w:t>
      </w:r>
      <w:r w:rsidR="00A12307" w:rsidRPr="002B2719">
        <w:t xml:space="preserve"> </w:t>
      </w:r>
      <w:r w:rsidR="002B2719" w:rsidRPr="002B2719">
        <w:t>increased entry into HIV</w:t>
      </w:r>
      <w:r w:rsidR="00A12307">
        <w:t>/</w:t>
      </w:r>
      <w:r w:rsidR="002B2719" w:rsidRPr="002B2719">
        <w:t>AIDS treatment programmes</w:t>
      </w:r>
      <w:r w:rsidR="00B2569F">
        <w:t xml:space="preserve"> (see </w:t>
      </w:r>
      <w:r w:rsidR="00B2569F" w:rsidRPr="00E16259">
        <w:t>A/65/255, para. 57</w:t>
      </w:r>
      <w:r w:rsidR="00B2569F">
        <w:t>)</w:t>
      </w:r>
      <w:r w:rsidR="002B2719" w:rsidRPr="002B2719">
        <w:t>.</w:t>
      </w:r>
      <w:r w:rsidR="00E05629">
        <w:t xml:space="preserve"> </w:t>
      </w:r>
      <w:r w:rsidR="002B2719" w:rsidRPr="002B2719">
        <w:t>UNODC, WHO and UNAIDS have recommended that a comprehensive package of harm reduction services be integrated into national AIDS programmes, both as an HIV prevention measure and to support adherence to antiretroviral therapy services and medical follow</w:t>
      </w:r>
      <w:r w:rsidR="00A12307">
        <w:t>-</w:t>
      </w:r>
      <w:r w:rsidR="002B2719" w:rsidRPr="002B2719">
        <w:t>up for people who use drugs.</w:t>
      </w:r>
      <w:r w:rsidR="002B2719" w:rsidRPr="00E05629">
        <w:rPr>
          <w:rStyle w:val="FootnoteReference"/>
        </w:rPr>
        <w:footnoteReference w:id="22"/>
      </w:r>
      <w:r w:rsidR="00E05629">
        <w:t xml:space="preserve"> </w:t>
      </w:r>
    </w:p>
    <w:p w:rsidR="002B2719" w:rsidRPr="002B2719" w:rsidRDefault="00D111EC" w:rsidP="00D111EC">
      <w:pPr>
        <w:pStyle w:val="SingleTxtG"/>
      </w:pPr>
      <w:r w:rsidRPr="002B2719">
        <w:rPr>
          <w:color w:val="000000" w:themeColor="text1"/>
        </w:rPr>
        <w:t>20.</w:t>
      </w:r>
      <w:r w:rsidRPr="002B2719">
        <w:rPr>
          <w:color w:val="000000" w:themeColor="text1"/>
        </w:rPr>
        <w:tab/>
      </w:r>
      <w:r w:rsidR="002B2719" w:rsidRPr="002B2719">
        <w:t xml:space="preserve">One study compared countries </w:t>
      </w:r>
      <w:r w:rsidR="00CE161E">
        <w:t>that</w:t>
      </w:r>
      <w:r w:rsidR="002B2719" w:rsidRPr="002B2719">
        <w:t xml:space="preserve"> comprehensively and consistently </w:t>
      </w:r>
      <w:r w:rsidR="00A12307">
        <w:t>adopted</w:t>
      </w:r>
      <w:r w:rsidR="00A12307" w:rsidRPr="002B2719">
        <w:t xml:space="preserve"> </w:t>
      </w:r>
      <w:r w:rsidR="00A12307">
        <w:t xml:space="preserve">approaches based on </w:t>
      </w:r>
      <w:r w:rsidR="002B2719" w:rsidRPr="002B2719">
        <w:t xml:space="preserve">harm reduction without punitive approaches with countries that </w:t>
      </w:r>
      <w:r w:rsidR="00CE161E">
        <w:t xml:space="preserve">steadfastly </w:t>
      </w:r>
      <w:r w:rsidR="002B2719" w:rsidRPr="002B2719">
        <w:t>resist</w:t>
      </w:r>
      <w:r w:rsidR="00CE161E">
        <w:t xml:space="preserve">ed the </w:t>
      </w:r>
      <w:r w:rsidR="002B2719" w:rsidRPr="002B2719">
        <w:t xml:space="preserve">harm reduction </w:t>
      </w:r>
      <w:r w:rsidR="00CE161E">
        <w:t xml:space="preserve">programmes </w:t>
      </w:r>
      <w:r w:rsidR="002B2719" w:rsidRPr="002B2719">
        <w:t xml:space="preserve">and focused </w:t>
      </w:r>
      <w:r w:rsidR="00CE161E">
        <w:t xml:space="preserve">instead </w:t>
      </w:r>
      <w:r w:rsidR="002B2719" w:rsidRPr="002B2719">
        <w:t>on punitive approaches. It found that the prevalence of HIV among people who inject</w:t>
      </w:r>
      <w:r w:rsidR="00CE161E">
        <w:t>ed</w:t>
      </w:r>
      <w:r w:rsidR="002B2719" w:rsidRPr="002B2719">
        <w:t xml:space="preserve"> drugs in Australia, Germany, </w:t>
      </w:r>
      <w:r w:rsidR="004C7078">
        <w:t xml:space="preserve">Switzerland and </w:t>
      </w:r>
      <w:r w:rsidR="00CE161E">
        <w:t xml:space="preserve">the </w:t>
      </w:r>
      <w:r w:rsidR="002B2719" w:rsidRPr="002B2719">
        <w:t>United Kingdom</w:t>
      </w:r>
      <w:r w:rsidR="00CE161E">
        <w:t xml:space="preserve"> of Great Britain and Northern Ireland</w:t>
      </w:r>
      <w:r w:rsidR="002B2719" w:rsidRPr="002B2719">
        <w:t xml:space="preserve"> was less than 5 per cent, whereas in the Russian Federation and Thailand HIV prevalence among people who inject</w:t>
      </w:r>
      <w:r w:rsidR="00CE161E">
        <w:t>ed</w:t>
      </w:r>
      <w:r w:rsidR="002B2719" w:rsidRPr="002B2719">
        <w:t xml:space="preserve"> drugs was over 35 per cent.</w:t>
      </w:r>
      <w:r w:rsidR="002B2719" w:rsidRPr="00E05629">
        <w:rPr>
          <w:rStyle w:val="FootnoteReference"/>
        </w:rPr>
        <w:footnoteReference w:id="23"/>
      </w:r>
    </w:p>
    <w:p w:rsidR="002B2719" w:rsidRPr="002B2719" w:rsidRDefault="00E16259" w:rsidP="00E16259">
      <w:pPr>
        <w:pStyle w:val="H1G"/>
      </w:pPr>
      <w:r>
        <w:tab/>
        <w:t>C.</w:t>
      </w:r>
      <w:r>
        <w:tab/>
      </w:r>
      <w:r w:rsidR="002B2719" w:rsidRPr="002B2719">
        <w:t>Heath care in prison</w:t>
      </w:r>
    </w:p>
    <w:p w:rsidR="002B2719" w:rsidRPr="002B2719" w:rsidRDefault="00D111EC" w:rsidP="00D111EC">
      <w:pPr>
        <w:pStyle w:val="SingleTxtG"/>
      </w:pPr>
      <w:r w:rsidRPr="002B2719">
        <w:rPr>
          <w:color w:val="000000" w:themeColor="text1"/>
        </w:rPr>
        <w:t>21.</w:t>
      </w:r>
      <w:r w:rsidRPr="002B2719">
        <w:rPr>
          <w:color w:val="000000" w:themeColor="text1"/>
        </w:rPr>
        <w:tab/>
      </w:r>
      <w:r w:rsidR="002B2719" w:rsidRPr="002B2719">
        <w:t>Drug use, including by injection, has been consistently documented to occur in prisons throughout the world.</w:t>
      </w:r>
      <w:r w:rsidR="00E05629">
        <w:t xml:space="preserve"> </w:t>
      </w:r>
      <w:r w:rsidR="002B2719" w:rsidRPr="002B2719">
        <w:t xml:space="preserve">High rates of sharing injecting equipment leads to </w:t>
      </w:r>
      <w:r w:rsidR="000F5B6C">
        <w:t xml:space="preserve">an </w:t>
      </w:r>
      <w:r w:rsidR="002B2719" w:rsidRPr="002B2719">
        <w:t>elevated</w:t>
      </w:r>
      <w:r w:rsidR="000F5B6C">
        <w:t xml:space="preserve"> risk of transmitting</w:t>
      </w:r>
      <w:r w:rsidR="002B2719" w:rsidRPr="002B2719">
        <w:t xml:space="preserve"> HIV in prisons.</w:t>
      </w:r>
      <w:r w:rsidR="00E05629">
        <w:t xml:space="preserve"> </w:t>
      </w:r>
      <w:r w:rsidR="002B2719" w:rsidRPr="002B2719">
        <w:t>Persons in custodial setting</w:t>
      </w:r>
      <w:r w:rsidR="000F5B6C">
        <w:t>s</w:t>
      </w:r>
      <w:r w:rsidR="002B2719" w:rsidRPr="002B2719">
        <w:t xml:space="preserve"> are entitled, without discrimination, to the </w:t>
      </w:r>
      <w:r w:rsidR="000F5B6C">
        <w:t xml:space="preserve">same </w:t>
      </w:r>
      <w:r w:rsidR="002B2719" w:rsidRPr="002B2719">
        <w:t xml:space="preserve">standard of health care found </w:t>
      </w:r>
      <w:r w:rsidR="000F5B6C">
        <w:t xml:space="preserve">on </w:t>
      </w:r>
      <w:r w:rsidR="002B2719" w:rsidRPr="002B2719">
        <w:t xml:space="preserve">the outside, including </w:t>
      </w:r>
      <w:r w:rsidR="000F5B6C">
        <w:t xml:space="preserve">with regard to </w:t>
      </w:r>
      <w:r w:rsidR="002B2719" w:rsidRPr="002B2719">
        <w:t xml:space="preserve">prevention, harm reduction and </w:t>
      </w:r>
      <w:r w:rsidR="000F5B6C" w:rsidRPr="002B2719">
        <w:t>antiretroviral therapy</w:t>
      </w:r>
      <w:r w:rsidR="002B2719" w:rsidRPr="002B2719">
        <w:t>.</w:t>
      </w:r>
      <w:r w:rsidR="00E05629">
        <w:t xml:space="preserve"> </w:t>
      </w:r>
      <w:r w:rsidR="002B2719" w:rsidRPr="002B2719">
        <w:t xml:space="preserve">Continuity of care is critical for those entering places of detention and who have been receiving treatment such as </w:t>
      </w:r>
      <w:r w:rsidR="000F5B6C">
        <w:t>o</w:t>
      </w:r>
      <w:r w:rsidR="000F5B6C" w:rsidRPr="002B2719">
        <w:t>pioid substitution</w:t>
      </w:r>
      <w:r w:rsidR="000F5B6C">
        <w:t xml:space="preserve"> and</w:t>
      </w:r>
      <w:r w:rsidR="002B2719" w:rsidRPr="002B2719">
        <w:t xml:space="preserve"> </w:t>
      </w:r>
      <w:r w:rsidR="000F5B6C" w:rsidRPr="002B2719">
        <w:t>antiretroviral therapy</w:t>
      </w:r>
      <w:r w:rsidR="000F5B6C" w:rsidRPr="002B2719" w:rsidDel="000F5B6C">
        <w:t xml:space="preserve"> </w:t>
      </w:r>
      <w:r w:rsidR="002B2719" w:rsidRPr="002B2719">
        <w:t>or treatment for tuberculosis, as interrupti</w:t>
      </w:r>
      <w:r w:rsidR="000F5B6C">
        <w:t>ng such</w:t>
      </w:r>
      <w:r w:rsidR="002B2719" w:rsidRPr="002B2719">
        <w:t xml:space="preserve"> treatment has serious health consequences.</w:t>
      </w:r>
      <w:r w:rsidR="00B2569F">
        <w:rPr>
          <w:rStyle w:val="FootnoteReference"/>
        </w:rPr>
        <w:footnoteReference w:id="24"/>
      </w:r>
      <w:r w:rsidR="00E05629">
        <w:rPr>
          <w:sz w:val="18"/>
          <w:szCs w:val="18"/>
        </w:rPr>
        <w:t xml:space="preserve"> </w:t>
      </w:r>
    </w:p>
    <w:p w:rsidR="002B2719" w:rsidRPr="002B2719" w:rsidRDefault="00D111EC" w:rsidP="00D111EC">
      <w:pPr>
        <w:pStyle w:val="SingleTxtG"/>
      </w:pPr>
      <w:r w:rsidRPr="002B2719">
        <w:rPr>
          <w:color w:val="000000" w:themeColor="text1"/>
        </w:rPr>
        <w:t>22.</w:t>
      </w:r>
      <w:r w:rsidRPr="002B2719">
        <w:rPr>
          <w:color w:val="000000" w:themeColor="text1"/>
        </w:rPr>
        <w:tab/>
      </w:r>
      <w:r w:rsidR="004C7078">
        <w:t>T</w:t>
      </w:r>
      <w:r w:rsidR="002B2719" w:rsidRPr="002B2719">
        <w:t>he Special Rapporteur on the right to health has stated that if harm reduction programmes and evidence-based treatment</w:t>
      </w:r>
      <w:r w:rsidR="000F5B6C">
        <w:t>s</w:t>
      </w:r>
      <w:r w:rsidR="002B2719" w:rsidRPr="002B2719">
        <w:t xml:space="preserve"> are made available to the general public, but not to persons in detention, this contravenes the right to health</w:t>
      </w:r>
      <w:r w:rsidR="002B2719" w:rsidRPr="003521C0">
        <w:t>.</w:t>
      </w:r>
      <w:r w:rsidR="00B2569F" w:rsidRPr="003521C0">
        <w:t xml:space="preserve"> </w:t>
      </w:r>
      <w:r w:rsidR="002B2719" w:rsidRPr="003521C0">
        <w:t xml:space="preserve">However, in 2014, while </w:t>
      </w:r>
      <w:r w:rsidR="00BB386E">
        <w:t xml:space="preserve">opioid substitution therapy </w:t>
      </w:r>
      <w:r w:rsidR="002B2719" w:rsidRPr="003521C0">
        <w:t>was available in 80 countries, only 43 countries provide</w:t>
      </w:r>
      <w:r w:rsidR="00BB386E">
        <w:t>d such therapy</w:t>
      </w:r>
      <w:r w:rsidR="009328DC">
        <w:t>.</w:t>
      </w:r>
      <w:r w:rsidR="00B2569F" w:rsidRPr="003521C0">
        <w:t>He has also</w:t>
      </w:r>
      <w:r w:rsidR="002B2719" w:rsidRPr="003521C0">
        <w:t xml:space="preserve"> </w:t>
      </w:r>
      <w:r w:rsidR="002B2719" w:rsidRPr="002B2719">
        <w:t>argued that</w:t>
      </w:r>
      <w:r w:rsidR="000F5B6C">
        <w:t>,</w:t>
      </w:r>
      <w:r w:rsidR="002B2719" w:rsidRPr="002B2719">
        <w:t xml:space="preserve"> given the substantially higher health risks associated with incarceration, harm reduction </w:t>
      </w:r>
      <w:r w:rsidR="000F5B6C">
        <w:t xml:space="preserve">programmes </w:t>
      </w:r>
      <w:r w:rsidR="002B2719" w:rsidRPr="002B2719">
        <w:t>should be implemented</w:t>
      </w:r>
      <w:r w:rsidR="000F5B6C">
        <w:t xml:space="preserve"> and </w:t>
      </w:r>
      <w:r w:rsidR="000F5B6C" w:rsidRPr="002B2719">
        <w:t>drug dependent persons</w:t>
      </w:r>
      <w:r w:rsidR="002B2719" w:rsidRPr="002B2719">
        <w:t xml:space="preserve"> </w:t>
      </w:r>
      <w:r w:rsidR="000F5B6C">
        <w:t xml:space="preserve">should be treated so as </w:t>
      </w:r>
      <w:r w:rsidR="002B2719" w:rsidRPr="002B2719">
        <w:t>to meet public health objectives</w:t>
      </w:r>
      <w:r w:rsidR="000F5B6C">
        <w:t>,</w:t>
      </w:r>
      <w:r w:rsidR="002B2719" w:rsidRPr="002B2719">
        <w:t xml:space="preserve"> even if these services are not yet available in the community</w:t>
      </w:r>
      <w:r w:rsidR="00B2569F">
        <w:t xml:space="preserve"> (see </w:t>
      </w:r>
      <w:r w:rsidR="00B2569F" w:rsidRPr="00E16259">
        <w:t>A/65/255, p</w:t>
      </w:r>
      <w:r w:rsidR="00B2569F">
        <w:t>ara</w:t>
      </w:r>
      <w:r w:rsidR="00B2569F" w:rsidRPr="00E16259">
        <w:t>. 60</w:t>
      </w:r>
      <w:r w:rsidR="00B2569F">
        <w:t>)</w:t>
      </w:r>
      <w:r w:rsidR="002B2719" w:rsidRPr="002B2719">
        <w:t>.</w:t>
      </w:r>
    </w:p>
    <w:p w:rsidR="002B2719" w:rsidRPr="002B2719" w:rsidRDefault="00D111EC" w:rsidP="00D111EC">
      <w:pPr>
        <w:pStyle w:val="SingleTxtG"/>
      </w:pPr>
      <w:r w:rsidRPr="002B2719">
        <w:rPr>
          <w:color w:val="000000" w:themeColor="text1"/>
        </w:rPr>
        <w:t>23.</w:t>
      </w:r>
      <w:r w:rsidRPr="002B2719">
        <w:rPr>
          <w:color w:val="000000" w:themeColor="text1"/>
        </w:rPr>
        <w:tab/>
      </w:r>
      <w:r w:rsidR="002B2719" w:rsidRPr="002B2719">
        <w:t>Health protection measures, including harm</w:t>
      </w:r>
      <w:r w:rsidR="000F5B6C">
        <w:t xml:space="preserve"> </w:t>
      </w:r>
      <w:r w:rsidR="002B2719" w:rsidRPr="002B2719">
        <w:t>reduction measures, are effective in prisons and treatment programmes for people who use drugs, and are urgently needed in all prison settings.</w:t>
      </w:r>
      <w:r w:rsidR="002B2719" w:rsidRPr="00E05629">
        <w:rPr>
          <w:rStyle w:val="FootnoteReference"/>
        </w:rPr>
        <w:footnoteReference w:id="25"/>
      </w:r>
      <w:r w:rsidR="00E05629">
        <w:rPr>
          <w:sz w:val="18"/>
          <w:szCs w:val="18"/>
        </w:rPr>
        <w:t xml:space="preserve"> </w:t>
      </w:r>
      <w:r w:rsidR="002B2719" w:rsidRPr="002B2719">
        <w:t>Drug</w:t>
      </w:r>
      <w:r w:rsidR="000F5B6C">
        <w:t xml:space="preserve"> </w:t>
      </w:r>
      <w:r w:rsidR="002B2719" w:rsidRPr="002B2719">
        <w:t>dependence treatment has also been noted to be</w:t>
      </w:r>
      <w:r w:rsidR="000F5B6C">
        <w:t xml:space="preserve"> </w:t>
      </w:r>
      <w:r w:rsidR="002B2719" w:rsidRPr="002B2719">
        <w:t>highly effective in reducing crime, as treatment and care within prison</w:t>
      </w:r>
      <w:r w:rsidR="000F5B6C">
        <w:t>s</w:t>
      </w:r>
      <w:r w:rsidR="002B2719" w:rsidRPr="002B2719">
        <w:t>, or as alternatives to imprisonment, reduce rates of relapse, HIV transmission and recidivism.</w:t>
      </w:r>
      <w:r w:rsidR="002B2719" w:rsidRPr="00E05629">
        <w:rPr>
          <w:rStyle w:val="FootnoteReference"/>
        </w:rPr>
        <w:footnoteReference w:id="26"/>
      </w:r>
      <w:r w:rsidR="002B2719" w:rsidRPr="002B2719">
        <w:t xml:space="preserve"> </w:t>
      </w:r>
    </w:p>
    <w:p w:rsidR="002B2719" w:rsidRPr="002B2719" w:rsidRDefault="00A440C7" w:rsidP="00A440C7">
      <w:pPr>
        <w:pStyle w:val="H1G"/>
      </w:pPr>
      <w:r>
        <w:tab/>
        <w:t>D.</w:t>
      </w:r>
      <w:r>
        <w:tab/>
      </w:r>
      <w:r w:rsidR="002B2719" w:rsidRPr="002B2719">
        <w:t>Obstacles to achieving the right to health</w:t>
      </w:r>
    </w:p>
    <w:p w:rsidR="002B2719" w:rsidRPr="002B2719" w:rsidRDefault="00D111EC" w:rsidP="00D111EC">
      <w:pPr>
        <w:pStyle w:val="SingleTxtG"/>
      </w:pPr>
      <w:r w:rsidRPr="002B2719">
        <w:rPr>
          <w:color w:val="000000" w:themeColor="text1"/>
        </w:rPr>
        <w:t>24.</w:t>
      </w:r>
      <w:r w:rsidRPr="002B2719">
        <w:rPr>
          <w:color w:val="000000" w:themeColor="text1"/>
        </w:rPr>
        <w:tab/>
      </w:r>
      <w:r w:rsidR="002B2719" w:rsidRPr="002B2719">
        <w:t xml:space="preserve">The Special Rapporteur on the right to health </w:t>
      </w:r>
      <w:r w:rsidR="00FA3980">
        <w:t xml:space="preserve">has </w:t>
      </w:r>
      <w:r w:rsidR="002B2719" w:rsidRPr="002B2719">
        <w:t>noted that</w:t>
      </w:r>
      <w:r w:rsidR="00FA3980">
        <w:t xml:space="preserve"> drug users</w:t>
      </w:r>
      <w:r w:rsidR="002B2719" w:rsidRPr="002B2719">
        <w:t xml:space="preserve"> in States </w:t>
      </w:r>
      <w:r w:rsidR="00FA3980">
        <w:t>that</w:t>
      </w:r>
      <w:r w:rsidR="00FA3980" w:rsidRPr="002B2719">
        <w:t xml:space="preserve"> </w:t>
      </w:r>
      <w:r w:rsidR="002B2719" w:rsidRPr="002B2719">
        <w:t>criminalize drug use may avoid seeking health care for fear that information regarding their drug use will be shared with authorities, which could result in arrest</w:t>
      </w:r>
      <w:r w:rsidR="00FA3980">
        <w:t xml:space="preserve"> and</w:t>
      </w:r>
      <w:r w:rsidR="002B2719" w:rsidRPr="002B2719">
        <w:t xml:space="preserve"> imprisonment</w:t>
      </w:r>
      <w:r w:rsidR="00FA3980">
        <w:t>,</w:t>
      </w:r>
      <w:r w:rsidR="002B2719" w:rsidRPr="00883892">
        <w:rPr>
          <w:sz w:val="18"/>
          <w:szCs w:val="18"/>
        </w:rPr>
        <w:t xml:space="preserve"> </w:t>
      </w:r>
      <w:r w:rsidR="002B2719" w:rsidRPr="002B2719">
        <w:t xml:space="preserve">or </w:t>
      </w:r>
      <w:r w:rsidR="00FA3980">
        <w:t xml:space="preserve">in </w:t>
      </w:r>
      <w:r w:rsidR="002B2719" w:rsidRPr="002B2719">
        <w:t>treatment against their will</w:t>
      </w:r>
      <w:r w:rsidR="00FA3980">
        <w:t>.</w:t>
      </w:r>
      <w:r w:rsidR="00E05629">
        <w:t xml:space="preserve"> </w:t>
      </w:r>
      <w:r w:rsidR="00FA3980">
        <w:t>The u</w:t>
      </w:r>
      <w:r w:rsidR="002B2719" w:rsidRPr="002B2719">
        <w:t xml:space="preserve">se of drug registries </w:t>
      </w:r>
      <w:r w:rsidR="00FA3980">
        <w:t>(lists of</w:t>
      </w:r>
      <w:r w:rsidR="00FA3980" w:rsidRPr="002B2719">
        <w:t xml:space="preserve"> </w:t>
      </w:r>
      <w:r w:rsidR="002B2719" w:rsidRPr="002B2719">
        <w:t>people who use drugs</w:t>
      </w:r>
      <w:r w:rsidR="00FA3980">
        <w:t>)</w:t>
      </w:r>
      <w:r w:rsidR="002B2719" w:rsidRPr="002B2719">
        <w:t xml:space="preserve"> may deter individuals from seeking treatment,</w:t>
      </w:r>
      <w:r w:rsidR="00FA3980">
        <w:t xml:space="preserve"> especially</w:t>
      </w:r>
      <w:r w:rsidR="002B2719" w:rsidRPr="002B2719">
        <w:t xml:space="preserve"> given that violations of patient confidentiality have been frequently documented in States </w:t>
      </w:r>
      <w:r w:rsidR="00FA3980">
        <w:t>that maintain</w:t>
      </w:r>
      <w:r w:rsidR="00FA3980" w:rsidRPr="002B2719">
        <w:t xml:space="preserve"> </w:t>
      </w:r>
      <w:r w:rsidR="002B2719" w:rsidRPr="002B2719">
        <w:t>such registries</w:t>
      </w:r>
      <w:r w:rsidR="009C5D40">
        <w:t xml:space="preserve"> (see </w:t>
      </w:r>
      <w:r w:rsidR="009C5D40" w:rsidRPr="001B0FC1">
        <w:rPr>
          <w:lang w:val="en-US"/>
        </w:rPr>
        <w:t>A/65/255</w:t>
      </w:r>
      <w:r w:rsidR="009C5D40">
        <w:rPr>
          <w:lang w:val="en-US"/>
        </w:rPr>
        <w:t>,</w:t>
      </w:r>
      <w:r w:rsidR="009C5D40" w:rsidRPr="001B0FC1">
        <w:rPr>
          <w:lang w:val="en-US"/>
        </w:rPr>
        <w:t xml:space="preserve"> para. 20, and A/64/272, p</w:t>
      </w:r>
      <w:r w:rsidR="009C5D40">
        <w:rPr>
          <w:lang w:val="en-US"/>
        </w:rPr>
        <w:t>ara</w:t>
      </w:r>
      <w:r w:rsidR="009C5D40" w:rsidRPr="001B0FC1">
        <w:rPr>
          <w:lang w:val="en-US"/>
        </w:rPr>
        <w:t xml:space="preserve"> 23)</w:t>
      </w:r>
      <w:r w:rsidR="002B2719" w:rsidRPr="002B2719">
        <w:t>.</w:t>
      </w:r>
    </w:p>
    <w:p w:rsidR="002B2719" w:rsidRPr="002B2719" w:rsidRDefault="00D111EC" w:rsidP="00D111EC">
      <w:pPr>
        <w:pStyle w:val="SingleTxtG"/>
      </w:pPr>
      <w:r w:rsidRPr="002B2719">
        <w:rPr>
          <w:color w:val="000000" w:themeColor="text1"/>
        </w:rPr>
        <w:t>25.</w:t>
      </w:r>
      <w:r w:rsidRPr="002B2719">
        <w:rPr>
          <w:color w:val="000000" w:themeColor="text1"/>
        </w:rPr>
        <w:tab/>
      </w:r>
      <w:r w:rsidR="002B2719" w:rsidRPr="002B2719">
        <w:t xml:space="preserve">The Special Rapporteur has observed that criminalizing drug use and possession has led to risky forms of drug use designed to evade criminal prohibitions, </w:t>
      </w:r>
      <w:r w:rsidR="00FA3980">
        <w:t xml:space="preserve">which has in turn </w:t>
      </w:r>
      <w:r w:rsidR="002B2719" w:rsidRPr="002B2719">
        <w:t>resulted in increased health risks for drug users.</w:t>
      </w:r>
      <w:r w:rsidR="00E05629">
        <w:t xml:space="preserve"> </w:t>
      </w:r>
      <w:r w:rsidR="002B2719" w:rsidRPr="002B2719">
        <w:t xml:space="preserve">Risky forms of drug use may include the sharing of syringes and injection supplies, hurried </w:t>
      </w:r>
      <w:r w:rsidR="00845712">
        <w:t xml:space="preserve">or risky </w:t>
      </w:r>
      <w:r w:rsidR="002B2719" w:rsidRPr="002B2719">
        <w:t>injecting</w:t>
      </w:r>
      <w:r w:rsidR="002E327B">
        <w:t xml:space="preserve"> and</w:t>
      </w:r>
      <w:r w:rsidR="002B2719" w:rsidRPr="002B2719">
        <w:t xml:space="preserve"> the use of drugs in unsafe places. </w:t>
      </w:r>
      <w:r w:rsidR="002E327B">
        <w:t xml:space="preserve">The </w:t>
      </w:r>
      <w:r w:rsidR="002B2719" w:rsidRPr="002B2719">
        <w:t xml:space="preserve">preparation of drugs </w:t>
      </w:r>
      <w:r w:rsidR="002E327B">
        <w:t xml:space="preserve">in a hurry, </w:t>
      </w:r>
      <w:r w:rsidR="002B2719" w:rsidRPr="002B2719">
        <w:t>to avoid detection by law enforcement</w:t>
      </w:r>
      <w:r w:rsidR="002E327B">
        <w:t xml:space="preserve"> officers,</w:t>
      </w:r>
      <w:r w:rsidR="002B2719" w:rsidRPr="002B2719">
        <w:t xml:space="preserve"> may increase the risk of overdose, vascular accidents and infections.</w:t>
      </w:r>
      <w:r w:rsidR="00E05629">
        <w:t xml:space="preserve"> </w:t>
      </w:r>
      <w:r w:rsidR="002E327B" w:rsidRPr="002B2719">
        <w:t xml:space="preserve">The Special Rapporteur </w:t>
      </w:r>
      <w:r w:rsidR="002E327B">
        <w:t xml:space="preserve">has </w:t>
      </w:r>
      <w:r w:rsidR="002B2719" w:rsidRPr="002B2719">
        <w:t>noted that criminaliz</w:t>
      </w:r>
      <w:r w:rsidR="002E327B">
        <w:t>ing</w:t>
      </w:r>
      <w:r w:rsidR="002B2719" w:rsidRPr="002B2719">
        <w:t xml:space="preserve"> drug use and possession may lead to an increased risk of illness, </w:t>
      </w:r>
      <w:r w:rsidR="002E327B">
        <w:t>including</w:t>
      </w:r>
      <w:r w:rsidR="002B2719" w:rsidRPr="002B2719">
        <w:t xml:space="preserve"> </w:t>
      </w:r>
      <w:r w:rsidR="002E327B">
        <w:t xml:space="preserve">from </w:t>
      </w:r>
      <w:r w:rsidR="002B2719" w:rsidRPr="002B2719">
        <w:t>HIV</w:t>
      </w:r>
      <w:r w:rsidR="002E327B">
        <w:t xml:space="preserve"> infection</w:t>
      </w:r>
      <w:r w:rsidR="002B2719" w:rsidRPr="002B2719">
        <w:t>, among people who use drugs</w:t>
      </w:r>
      <w:r w:rsidR="009C5D40">
        <w:t xml:space="preserve"> (see </w:t>
      </w:r>
      <w:r w:rsidR="009C5D40" w:rsidRPr="0073229C">
        <w:rPr>
          <w:szCs w:val="18"/>
        </w:rPr>
        <w:t>A/65/255, paras. 25-26</w:t>
      </w:r>
      <w:r w:rsidR="009C5D40">
        <w:rPr>
          <w:szCs w:val="18"/>
        </w:rPr>
        <w:t>)</w:t>
      </w:r>
      <w:r w:rsidR="002B2719" w:rsidRPr="002B2719">
        <w:t>.</w:t>
      </w:r>
    </w:p>
    <w:p w:rsidR="002B2719" w:rsidRPr="002B2719" w:rsidRDefault="00D111EC" w:rsidP="00D111EC">
      <w:pPr>
        <w:pStyle w:val="SingleTxtG"/>
      </w:pPr>
      <w:r w:rsidRPr="002B2719">
        <w:rPr>
          <w:color w:val="000000" w:themeColor="text1"/>
        </w:rPr>
        <w:t>26.</w:t>
      </w:r>
      <w:r w:rsidRPr="002B2719">
        <w:rPr>
          <w:color w:val="000000" w:themeColor="text1"/>
        </w:rPr>
        <w:tab/>
      </w:r>
      <w:r w:rsidR="002B2719" w:rsidRPr="002B2719">
        <w:t xml:space="preserve">The Special Rapporteur </w:t>
      </w:r>
      <w:r w:rsidR="002E327B">
        <w:t>has</w:t>
      </w:r>
      <w:r w:rsidR="002B2719" w:rsidRPr="002B2719">
        <w:t xml:space="preserve"> stated that these risks may be compounded by the drug user’s reluctance, </w:t>
      </w:r>
      <w:r w:rsidR="002E327B">
        <w:t>for</w:t>
      </w:r>
      <w:r w:rsidR="002B2719" w:rsidRPr="002B2719">
        <w:t xml:space="preserve"> fear of arrest, to seek health assistance in preparing and injecting drugs.</w:t>
      </w:r>
      <w:r w:rsidR="00E05629">
        <w:t xml:space="preserve"> </w:t>
      </w:r>
      <w:r w:rsidR="002B2719" w:rsidRPr="002B2719">
        <w:t>He noted that criminaliz</w:t>
      </w:r>
      <w:r w:rsidR="002E327B">
        <w:t>ing</w:t>
      </w:r>
      <w:r w:rsidR="002B2719" w:rsidRPr="002B2719">
        <w:t xml:space="preserve"> drug use increases the risk </w:t>
      </w:r>
      <w:r w:rsidR="00C50117">
        <w:t>of</w:t>
      </w:r>
      <w:r w:rsidR="002B2719" w:rsidRPr="002B2719">
        <w:t xml:space="preserve"> drug</w:t>
      </w:r>
      <w:r w:rsidR="00C50117">
        <w:t>s becoming</w:t>
      </w:r>
      <w:r w:rsidR="002B2719" w:rsidRPr="002B2719">
        <w:t xml:space="preserve"> contaminated with harmful or even deadly substances</w:t>
      </w:r>
      <w:r w:rsidR="009C5D40">
        <w:t xml:space="preserve"> (see </w:t>
      </w:r>
      <w:r w:rsidR="009C5D40" w:rsidRPr="0073229C">
        <w:rPr>
          <w:szCs w:val="18"/>
        </w:rPr>
        <w:t>A/65/255, paras. 25-26</w:t>
      </w:r>
      <w:r w:rsidR="009C5D40">
        <w:rPr>
          <w:szCs w:val="18"/>
        </w:rPr>
        <w:t>)</w:t>
      </w:r>
      <w:r w:rsidR="002B2719" w:rsidRPr="002B2719">
        <w:t xml:space="preserve">. </w:t>
      </w:r>
      <w:r w:rsidR="00C50117">
        <w:t>He</w:t>
      </w:r>
      <w:r w:rsidR="00845712">
        <w:t xml:space="preserve"> added that c</w:t>
      </w:r>
      <w:r w:rsidR="002B2719" w:rsidRPr="002B2719">
        <w:t xml:space="preserve">riminalizing the dissemination of information, including on safe practices pertaining to drug use and harm reduction, is not compatible with the right to health because it </w:t>
      </w:r>
      <w:r w:rsidR="00C50117">
        <w:t xml:space="preserve">hinders </w:t>
      </w:r>
      <w:r w:rsidR="002B2719" w:rsidRPr="002B2719">
        <w:t>individuals</w:t>
      </w:r>
      <w:r w:rsidR="00C50117">
        <w:t>’ ability to</w:t>
      </w:r>
      <w:r w:rsidR="002B2719" w:rsidRPr="002B2719">
        <w:t xml:space="preserve"> make informed choices about their health.</w:t>
      </w:r>
      <w:r w:rsidR="002B2719" w:rsidRPr="00E05629">
        <w:rPr>
          <w:rStyle w:val="FootnoteReference"/>
        </w:rPr>
        <w:footnoteReference w:id="27"/>
      </w:r>
    </w:p>
    <w:p w:rsidR="002B2719" w:rsidRPr="002B2719" w:rsidRDefault="00D111EC" w:rsidP="00D111EC">
      <w:pPr>
        <w:pStyle w:val="SingleTxtG"/>
      </w:pPr>
      <w:r w:rsidRPr="002B2719">
        <w:rPr>
          <w:color w:val="000000" w:themeColor="text1"/>
        </w:rPr>
        <w:t>27.</w:t>
      </w:r>
      <w:r w:rsidRPr="002B2719">
        <w:rPr>
          <w:color w:val="000000" w:themeColor="text1"/>
        </w:rPr>
        <w:tab/>
      </w:r>
      <w:r w:rsidR="002B2719" w:rsidRPr="002B2719">
        <w:t xml:space="preserve">The Special Rapporteur </w:t>
      </w:r>
      <w:r w:rsidR="00C50117">
        <w:t xml:space="preserve">has </w:t>
      </w:r>
      <w:r w:rsidR="002B2719" w:rsidRPr="002B2719">
        <w:t>observed that some States opposed to harm reduction measures have criminalized the carrying of needles, syringes and other drug paraphernalia,</w:t>
      </w:r>
      <w:r w:rsidR="002B2719" w:rsidRPr="00E05629">
        <w:rPr>
          <w:rStyle w:val="FootnoteReference"/>
        </w:rPr>
        <w:footnoteReference w:id="28"/>
      </w:r>
      <w:r w:rsidR="002B2719" w:rsidRPr="002B2719">
        <w:t xml:space="preserve"> </w:t>
      </w:r>
      <w:r w:rsidR="00C50117">
        <w:t>in contravention</w:t>
      </w:r>
      <w:r w:rsidR="002B2719" w:rsidRPr="002B2719">
        <w:t xml:space="preserve"> </w:t>
      </w:r>
      <w:r w:rsidR="009C5D40">
        <w:t>of</w:t>
      </w:r>
      <w:r w:rsidR="009C5D40" w:rsidRPr="002B2719">
        <w:t xml:space="preserve"> </w:t>
      </w:r>
      <w:r w:rsidR="002B2719" w:rsidRPr="002B2719">
        <w:t xml:space="preserve">the </w:t>
      </w:r>
      <w:r w:rsidR="002B2719" w:rsidRPr="002C0FEF">
        <w:rPr>
          <w:i/>
          <w:iCs/>
        </w:rPr>
        <w:t>International Guidelines on HIV/AIDS and Human Rights</w:t>
      </w:r>
      <w:r w:rsidR="002B2719" w:rsidRPr="002B2719">
        <w:t>.</w:t>
      </w:r>
      <w:r w:rsidR="002B2719" w:rsidRPr="00E05629">
        <w:rPr>
          <w:rStyle w:val="FootnoteReference"/>
        </w:rPr>
        <w:footnoteReference w:id="29"/>
      </w:r>
      <w:r w:rsidR="00E05629">
        <w:t xml:space="preserve"> </w:t>
      </w:r>
      <w:r w:rsidR="002B2719" w:rsidRPr="002B2719">
        <w:t xml:space="preserve">Fear of arrest and criminal sanctions may deter individuals from </w:t>
      </w:r>
      <w:r w:rsidR="00C50117">
        <w:t>participating in</w:t>
      </w:r>
      <w:r w:rsidR="00C50117" w:rsidRPr="002B2719">
        <w:t xml:space="preserve"> </w:t>
      </w:r>
      <w:r w:rsidR="002B2719" w:rsidRPr="002B2719">
        <w:t xml:space="preserve">needle and syringe programmes and </w:t>
      </w:r>
      <w:r w:rsidR="00C50117">
        <w:t xml:space="preserve">from </w:t>
      </w:r>
      <w:r w:rsidR="002B2719" w:rsidRPr="002B2719">
        <w:t xml:space="preserve">carrying sterile equipment, which increases the likelihood of </w:t>
      </w:r>
      <w:r w:rsidR="00C50117">
        <w:t xml:space="preserve">using </w:t>
      </w:r>
      <w:r w:rsidR="002B2719" w:rsidRPr="002B2719">
        <w:t xml:space="preserve">unsterile equipment and </w:t>
      </w:r>
      <w:r w:rsidR="00C50117">
        <w:t xml:space="preserve">transmitting </w:t>
      </w:r>
      <w:r w:rsidR="002B2719" w:rsidRPr="002B2719">
        <w:t>disease</w:t>
      </w:r>
      <w:r w:rsidR="00C50117">
        <w:t>s</w:t>
      </w:r>
      <w:r w:rsidR="002B2719" w:rsidRPr="002B2719">
        <w:t>. Legislation penalizing the carrying of such equipment, including by outreach workers, is a barrier to HIV control.</w:t>
      </w:r>
      <w:r w:rsidR="002B2719" w:rsidRPr="00E05629">
        <w:rPr>
          <w:rStyle w:val="FootnoteReference"/>
        </w:rPr>
        <w:footnoteReference w:id="30"/>
      </w:r>
      <w:r w:rsidR="00E05629">
        <w:t xml:space="preserve"> </w:t>
      </w:r>
      <w:r w:rsidR="00C50117">
        <w:t>P</w:t>
      </w:r>
      <w:r w:rsidR="002B2719" w:rsidRPr="002B2719">
        <w:t>romoti</w:t>
      </w:r>
      <w:r w:rsidR="00C50117">
        <w:t xml:space="preserve">ng the use and </w:t>
      </w:r>
      <w:r w:rsidR="002B2719" w:rsidRPr="002B2719">
        <w:t>supply of methadone</w:t>
      </w:r>
      <w:r w:rsidR="00C50117">
        <w:t>, which is used in opi</w:t>
      </w:r>
      <w:r w:rsidR="00AA2346">
        <w:t>oid</w:t>
      </w:r>
      <w:r w:rsidR="00740D31">
        <w:t xml:space="preserve"> </w:t>
      </w:r>
      <w:r w:rsidR="00C50117">
        <w:t>substitution therapy,</w:t>
      </w:r>
      <w:r w:rsidR="002B2719" w:rsidRPr="002B2719">
        <w:t xml:space="preserve"> is a criminal offence in some countries.</w:t>
      </w:r>
      <w:r w:rsidR="002B2719" w:rsidRPr="00E05629">
        <w:rPr>
          <w:rStyle w:val="FootnoteReference"/>
        </w:rPr>
        <w:footnoteReference w:id="31"/>
      </w:r>
      <w:r w:rsidR="002B2719" w:rsidRPr="002B2719">
        <w:t xml:space="preserve"> </w:t>
      </w:r>
    </w:p>
    <w:p w:rsidR="002B2719" w:rsidRPr="002B2719" w:rsidRDefault="00D111EC" w:rsidP="00D111EC">
      <w:pPr>
        <w:pStyle w:val="SingleTxtG"/>
      </w:pPr>
      <w:r w:rsidRPr="002B2719">
        <w:rPr>
          <w:color w:val="000000" w:themeColor="text1"/>
        </w:rPr>
        <w:t>28.</w:t>
      </w:r>
      <w:r w:rsidRPr="002B2719">
        <w:rPr>
          <w:color w:val="000000" w:themeColor="text1"/>
        </w:rPr>
        <w:tab/>
      </w:r>
      <w:r w:rsidR="002B2719" w:rsidRPr="002B2719">
        <w:t xml:space="preserve">WHO </w:t>
      </w:r>
      <w:r w:rsidR="00F96B0C">
        <w:t xml:space="preserve">has </w:t>
      </w:r>
      <w:r w:rsidR="002B2719" w:rsidRPr="002B2719">
        <w:t>recommend</w:t>
      </w:r>
      <w:r w:rsidR="00F96B0C">
        <w:t>ed</w:t>
      </w:r>
      <w:r w:rsidR="002B2719" w:rsidRPr="002B2719">
        <w:t xml:space="preserve"> decriminalizing drug use, including injecting drug use, </w:t>
      </w:r>
      <w:r w:rsidR="00F96B0C">
        <w:t>as doing so</w:t>
      </w:r>
      <w:r w:rsidR="002B2719" w:rsidRPr="002B2719">
        <w:t xml:space="preserve"> could </w:t>
      </w:r>
      <w:r w:rsidR="00F96B0C">
        <w:t xml:space="preserve">play a </w:t>
      </w:r>
      <w:r w:rsidR="002B2719" w:rsidRPr="002B2719">
        <w:t>critical</w:t>
      </w:r>
      <w:r w:rsidR="00F96B0C">
        <w:t xml:space="preserve"> role in</w:t>
      </w:r>
      <w:r w:rsidR="002B2719" w:rsidRPr="002B2719">
        <w:t xml:space="preserve"> the implementation of its recommendations </w:t>
      </w:r>
      <w:r w:rsidR="00F96B0C">
        <w:t>on</w:t>
      </w:r>
      <w:r w:rsidR="00F96B0C" w:rsidRPr="002B2719">
        <w:t xml:space="preserve"> </w:t>
      </w:r>
      <w:r w:rsidR="002B2719" w:rsidRPr="002B2719">
        <w:t>health sector interventions, including harm reduction</w:t>
      </w:r>
      <w:r w:rsidR="00F96B0C">
        <w:t xml:space="preserve"> and the </w:t>
      </w:r>
      <w:r w:rsidR="002B2719" w:rsidRPr="002B2719">
        <w:t>treatment and care of people who use drugs.</w:t>
      </w:r>
      <w:r w:rsidR="002B2719" w:rsidRPr="00E05629">
        <w:rPr>
          <w:rStyle w:val="FootnoteReference"/>
        </w:rPr>
        <w:footnoteReference w:id="32"/>
      </w:r>
      <w:r w:rsidR="00E05629">
        <w:t xml:space="preserve"> </w:t>
      </w:r>
      <w:r w:rsidR="002B2719" w:rsidRPr="002B2719">
        <w:t xml:space="preserve">UNAIDS </w:t>
      </w:r>
      <w:r w:rsidR="00F96B0C">
        <w:t>too has</w:t>
      </w:r>
      <w:r w:rsidR="00F96B0C" w:rsidRPr="002B2719">
        <w:t xml:space="preserve"> </w:t>
      </w:r>
      <w:r w:rsidR="002B2719" w:rsidRPr="002B2719">
        <w:t xml:space="preserve">recommended decriminalizing drug use </w:t>
      </w:r>
      <w:r w:rsidR="00F96B0C">
        <w:t xml:space="preserve">as a means </w:t>
      </w:r>
      <w:r w:rsidR="002B2719" w:rsidRPr="002B2719">
        <w:t>to reduc</w:t>
      </w:r>
      <w:r w:rsidR="00F96B0C">
        <w:t>e the number of</w:t>
      </w:r>
      <w:r w:rsidR="002B2719" w:rsidRPr="002B2719">
        <w:t xml:space="preserve"> HIV infections and </w:t>
      </w:r>
      <w:r w:rsidR="00F96B0C">
        <w:t xml:space="preserve">to </w:t>
      </w:r>
      <w:r w:rsidR="002B2719" w:rsidRPr="002B2719">
        <w:t>treat AIDS.</w:t>
      </w:r>
      <w:r w:rsidR="002B2719" w:rsidRPr="00E05629">
        <w:rPr>
          <w:rStyle w:val="FootnoteReference"/>
        </w:rPr>
        <w:footnoteReference w:id="33"/>
      </w:r>
    </w:p>
    <w:p w:rsidR="002B2719" w:rsidRPr="002B2719" w:rsidRDefault="00D111EC" w:rsidP="00D111EC">
      <w:pPr>
        <w:pStyle w:val="SingleTxtG"/>
      </w:pPr>
      <w:r w:rsidRPr="002B2719">
        <w:rPr>
          <w:color w:val="000000" w:themeColor="text1"/>
        </w:rPr>
        <w:t>29.</w:t>
      </w:r>
      <w:r w:rsidRPr="002B2719">
        <w:rPr>
          <w:color w:val="000000" w:themeColor="text1"/>
        </w:rPr>
        <w:tab/>
      </w:r>
      <w:r w:rsidR="002B2719" w:rsidRPr="002B2719">
        <w:t xml:space="preserve">The Special Rapporteur </w:t>
      </w:r>
      <w:r w:rsidR="00C658BF">
        <w:t>has</w:t>
      </w:r>
      <w:r w:rsidR="002B2719" w:rsidRPr="002B2719">
        <w:t xml:space="preserve"> identified many </w:t>
      </w:r>
      <w:r w:rsidR="00C658BF">
        <w:t>ways in which</w:t>
      </w:r>
      <w:r w:rsidR="002B2719" w:rsidRPr="002B2719">
        <w:t xml:space="preserve"> criminaliz</w:t>
      </w:r>
      <w:r w:rsidR="00C658BF">
        <w:t>ing</w:t>
      </w:r>
      <w:r w:rsidR="002B2719" w:rsidRPr="002B2719">
        <w:t xml:space="preserve"> drug use and possession </w:t>
      </w:r>
      <w:r w:rsidR="00C658BF">
        <w:t>impedes the</w:t>
      </w:r>
      <w:r w:rsidR="002B2719" w:rsidRPr="002B2719">
        <w:t xml:space="preserve"> achiev</w:t>
      </w:r>
      <w:r w:rsidR="00C658BF">
        <w:t>ement of</w:t>
      </w:r>
      <w:r w:rsidR="002B2719" w:rsidRPr="002B2719">
        <w:t xml:space="preserve"> the right to health.</w:t>
      </w:r>
      <w:r w:rsidR="00E05629">
        <w:t xml:space="preserve"> </w:t>
      </w:r>
      <w:r w:rsidR="002B2719" w:rsidRPr="002B2719">
        <w:t xml:space="preserve">He </w:t>
      </w:r>
      <w:r w:rsidR="00C658BF">
        <w:t xml:space="preserve">has </w:t>
      </w:r>
      <w:r w:rsidR="002B2719" w:rsidRPr="002B2719">
        <w:t>called for the decriminalization of drug use and possession as an important step to</w:t>
      </w:r>
      <w:r w:rsidR="00C658BF">
        <w:t>wards</w:t>
      </w:r>
      <w:r w:rsidR="002B2719" w:rsidRPr="002B2719">
        <w:t xml:space="preserve"> fulfilling the right to health.</w:t>
      </w:r>
      <w:r w:rsidR="00E05629">
        <w:t xml:space="preserve"> </w:t>
      </w:r>
      <w:r w:rsidR="002B2719" w:rsidRPr="002B2719">
        <w:t xml:space="preserve">He </w:t>
      </w:r>
      <w:r w:rsidR="00C658BF">
        <w:t xml:space="preserve">has </w:t>
      </w:r>
      <w:r w:rsidR="002B2719" w:rsidRPr="002B2719">
        <w:t>noted that decriminaliz</w:t>
      </w:r>
      <w:r w:rsidR="00C658BF">
        <w:t>ing</w:t>
      </w:r>
      <w:r w:rsidR="002B2719" w:rsidRPr="002B2719">
        <w:t xml:space="preserve"> drug use cannot be equated with legaliz</w:t>
      </w:r>
      <w:r w:rsidR="00C658BF">
        <w:t>ing</w:t>
      </w:r>
      <w:r w:rsidR="002B2719" w:rsidRPr="002B2719">
        <w:t xml:space="preserve"> </w:t>
      </w:r>
      <w:r w:rsidR="00C658BF">
        <w:t>it. D</w:t>
      </w:r>
      <w:r w:rsidR="002B2719" w:rsidRPr="002B2719">
        <w:t>ecriminaliz</w:t>
      </w:r>
      <w:r w:rsidR="00C658BF">
        <w:t>ation means that drug use and possession</w:t>
      </w:r>
      <w:r w:rsidR="002B2719" w:rsidRPr="002B2719">
        <w:t xml:space="preserve"> remain legally prohibited but </w:t>
      </w:r>
      <w:r w:rsidR="00C658BF">
        <w:t xml:space="preserve">that </w:t>
      </w:r>
      <w:r w:rsidR="002B2719" w:rsidRPr="002B2719">
        <w:t>criminal penalties</w:t>
      </w:r>
      <w:r w:rsidR="00C658BF">
        <w:t>, if they are applied at all,</w:t>
      </w:r>
      <w:r w:rsidR="002B2719" w:rsidRPr="002B2719">
        <w:t xml:space="preserve"> are minor</w:t>
      </w:r>
      <w:r w:rsidR="00C658BF">
        <w:t xml:space="preserve"> and of a</w:t>
      </w:r>
      <w:r w:rsidR="002B2719" w:rsidRPr="002B2719">
        <w:t xml:space="preserve"> non-custodial </w:t>
      </w:r>
      <w:r w:rsidR="00C658BF">
        <w:t>nature</w:t>
      </w:r>
      <w:r w:rsidR="002B2719" w:rsidRPr="002B2719">
        <w:t>.</w:t>
      </w:r>
      <w:r w:rsidR="00E05629">
        <w:t xml:space="preserve"> </w:t>
      </w:r>
      <w:r w:rsidR="002B2719" w:rsidRPr="002B2719">
        <w:t>Legalization, by contrast, involves no prohibition o</w:t>
      </w:r>
      <w:r w:rsidR="00C658BF">
        <w:t>f</w:t>
      </w:r>
      <w:r w:rsidR="002B2719" w:rsidRPr="002B2719">
        <w:t xml:space="preserve"> the relevant conduct</w:t>
      </w:r>
      <w:r w:rsidR="009C5D40">
        <w:t xml:space="preserve"> (see </w:t>
      </w:r>
      <w:r w:rsidR="009C5D40" w:rsidRPr="007E1C82">
        <w:rPr>
          <w:szCs w:val="18"/>
        </w:rPr>
        <w:t>A/65/255, para. 62</w:t>
      </w:r>
      <w:r w:rsidR="009C5D40">
        <w:rPr>
          <w:szCs w:val="18"/>
        </w:rPr>
        <w:t>)</w:t>
      </w:r>
      <w:r w:rsidR="002B2719" w:rsidRPr="002B2719">
        <w:t>.</w:t>
      </w:r>
    </w:p>
    <w:p w:rsidR="002B2719" w:rsidRPr="002B2719" w:rsidRDefault="00D111EC" w:rsidP="00D111EC">
      <w:pPr>
        <w:pStyle w:val="SingleTxtG"/>
      </w:pPr>
      <w:r w:rsidRPr="002B2719">
        <w:rPr>
          <w:color w:val="000000" w:themeColor="text1"/>
        </w:rPr>
        <w:t>30.</w:t>
      </w:r>
      <w:r w:rsidRPr="002B2719">
        <w:rPr>
          <w:color w:val="000000" w:themeColor="text1"/>
        </w:rPr>
        <w:tab/>
      </w:r>
      <w:r w:rsidR="002B2719" w:rsidRPr="002B2719">
        <w:t xml:space="preserve">The Special Rapporteur </w:t>
      </w:r>
      <w:r w:rsidR="00C658BF">
        <w:t xml:space="preserve">has </w:t>
      </w:r>
      <w:r w:rsidR="002B2719" w:rsidRPr="002B2719">
        <w:t xml:space="preserve">noted </w:t>
      </w:r>
      <w:r w:rsidR="00C658BF">
        <w:t xml:space="preserve">as </w:t>
      </w:r>
      <w:r w:rsidR="002B2719" w:rsidRPr="002B2719">
        <w:t>positive the decriminalization experience in Portugal</w:t>
      </w:r>
      <w:r w:rsidR="009C5D40">
        <w:t xml:space="preserve"> (see </w:t>
      </w:r>
      <w:r w:rsidR="009C5D40" w:rsidRPr="007E1C82">
        <w:rPr>
          <w:szCs w:val="18"/>
        </w:rPr>
        <w:t>A/65/255, para. 64</w:t>
      </w:r>
      <w:r w:rsidR="009C5D40">
        <w:rPr>
          <w:szCs w:val="18"/>
        </w:rPr>
        <w:t>)</w:t>
      </w:r>
      <w:r w:rsidR="002B2719" w:rsidRPr="002B2719">
        <w:t>.</w:t>
      </w:r>
      <w:r w:rsidR="00E05629">
        <w:t xml:space="preserve"> </w:t>
      </w:r>
      <w:r w:rsidR="002B2719" w:rsidRPr="002B2719">
        <w:t>In 2001, all drugs for personal use were decriminalized and drug use was characterized as an administrative offence.</w:t>
      </w:r>
      <w:r w:rsidR="00E05629">
        <w:t xml:space="preserve"> </w:t>
      </w:r>
      <w:r w:rsidR="002B2719" w:rsidRPr="002B2719">
        <w:t>This was combined with an increased public health and social response to assist drug users.</w:t>
      </w:r>
      <w:r w:rsidR="00E05629">
        <w:t xml:space="preserve"> </w:t>
      </w:r>
      <w:r w:rsidR="002B2719" w:rsidRPr="002B2719">
        <w:t>Portugal has not witnessed a material increase in drug use</w:t>
      </w:r>
      <w:r w:rsidR="008E57D1">
        <w:t>;</w:t>
      </w:r>
      <w:r w:rsidR="002B2719" w:rsidRPr="002B2719">
        <w:t xml:space="preserve"> </w:t>
      </w:r>
      <w:r w:rsidR="008E57D1">
        <w:t xml:space="preserve">in fact, </w:t>
      </w:r>
      <w:r w:rsidR="002B2719" w:rsidRPr="002B2719">
        <w:t xml:space="preserve">indicators for certain groups </w:t>
      </w:r>
      <w:r w:rsidR="008E57D1">
        <w:t>show</w:t>
      </w:r>
      <w:r w:rsidR="002B2719" w:rsidRPr="002B2719">
        <w:t xml:space="preserve"> a decrease. Positive effects have included </w:t>
      </w:r>
      <w:r w:rsidR="008E57D1">
        <w:t xml:space="preserve">the </w:t>
      </w:r>
      <w:r w:rsidR="002B2719" w:rsidRPr="002B2719">
        <w:t>destigmatiz</w:t>
      </w:r>
      <w:r w:rsidR="008E57D1">
        <w:t>ation of</w:t>
      </w:r>
      <w:r w:rsidR="002B2719" w:rsidRPr="002B2719">
        <w:t xml:space="preserve"> drug users and </w:t>
      </w:r>
      <w:r w:rsidR="008E57D1">
        <w:t xml:space="preserve">the </w:t>
      </w:r>
      <w:r w:rsidR="002B2719" w:rsidRPr="002B2719">
        <w:t>unburdening</w:t>
      </w:r>
      <w:r w:rsidR="008E57D1">
        <w:t xml:space="preserve"> of</w:t>
      </w:r>
      <w:r w:rsidR="002B2719" w:rsidRPr="002B2719">
        <w:t xml:space="preserve"> the criminal justice system.</w:t>
      </w:r>
      <w:r w:rsidR="002B2719" w:rsidRPr="00E05629">
        <w:rPr>
          <w:rStyle w:val="FootnoteReference"/>
        </w:rPr>
        <w:footnoteReference w:id="34"/>
      </w:r>
      <w:r w:rsidR="00E05629">
        <w:t xml:space="preserve"> </w:t>
      </w:r>
      <w:r w:rsidR="002B2719" w:rsidRPr="002B2719">
        <w:t xml:space="preserve">The </w:t>
      </w:r>
      <w:r w:rsidR="008E57D1">
        <w:t>International Narcotics Control Board has</w:t>
      </w:r>
      <w:r w:rsidR="008E57D1" w:rsidRPr="002B2719">
        <w:t xml:space="preserve"> </w:t>
      </w:r>
      <w:r w:rsidR="002B2719" w:rsidRPr="002B2719">
        <w:t xml:space="preserve">indicated that </w:t>
      </w:r>
      <w:r w:rsidR="008E57D1">
        <w:t xml:space="preserve">the move to </w:t>
      </w:r>
      <w:r w:rsidR="002B2719" w:rsidRPr="002B2719">
        <w:t>decriminaliz</w:t>
      </w:r>
      <w:r w:rsidR="008E57D1">
        <w:t>e drug use</w:t>
      </w:r>
      <w:r w:rsidR="002B2719" w:rsidRPr="002B2719">
        <w:t xml:space="preserve"> in Portugal was consistent with the 1988 Convention.</w:t>
      </w:r>
      <w:r w:rsidR="002B2719" w:rsidRPr="00E05629">
        <w:rPr>
          <w:rStyle w:val="FootnoteReference"/>
        </w:rPr>
        <w:footnoteReference w:id="35"/>
      </w:r>
      <w:r w:rsidR="00E05629">
        <w:t xml:space="preserve"> </w:t>
      </w:r>
      <w:r w:rsidR="008E57D1">
        <w:t xml:space="preserve">In total, </w:t>
      </w:r>
      <w:r w:rsidR="002B2719" w:rsidRPr="002B2719">
        <w:t xml:space="preserve">22 States have adopted decriminalization </w:t>
      </w:r>
      <w:r w:rsidR="008E57D1">
        <w:t xml:space="preserve">measures of </w:t>
      </w:r>
      <w:r w:rsidR="002B2719" w:rsidRPr="002B2719">
        <w:t xml:space="preserve">one </w:t>
      </w:r>
      <w:r w:rsidR="008E57D1">
        <w:t>kind</w:t>
      </w:r>
      <w:r w:rsidR="008E57D1" w:rsidRPr="002B2719">
        <w:t xml:space="preserve"> </w:t>
      </w:r>
      <w:r w:rsidR="002B2719" w:rsidRPr="002B2719">
        <w:t>or another, although not always on the grounds of promoting public health.</w:t>
      </w:r>
      <w:r w:rsidR="002B2719" w:rsidRPr="00E05629">
        <w:rPr>
          <w:rStyle w:val="FootnoteReference"/>
        </w:rPr>
        <w:footnoteReference w:id="36"/>
      </w:r>
      <w:r w:rsidR="002B2719" w:rsidRPr="002B2719">
        <w:t xml:space="preserve"> The Special Rapporteur </w:t>
      </w:r>
      <w:r w:rsidR="008E57D1">
        <w:t xml:space="preserve">has </w:t>
      </w:r>
      <w:r w:rsidR="002B2719" w:rsidRPr="002B2719">
        <w:t xml:space="preserve">indicated that decriminalization should be accompanied by an expansion </w:t>
      </w:r>
      <w:r w:rsidR="008E57D1">
        <w:t>in</w:t>
      </w:r>
      <w:r w:rsidR="008E57D1" w:rsidRPr="002B2719">
        <w:t xml:space="preserve"> </w:t>
      </w:r>
      <w:r w:rsidR="002B2719" w:rsidRPr="002B2719">
        <w:t>drug treatment programmes and drug education</w:t>
      </w:r>
      <w:r w:rsidR="00FF4477">
        <w:t xml:space="preserve"> (see </w:t>
      </w:r>
      <w:r w:rsidR="00FF4477" w:rsidRPr="00147EBC">
        <w:rPr>
          <w:szCs w:val="18"/>
        </w:rPr>
        <w:t>A/65/255, para. 67</w:t>
      </w:r>
      <w:r w:rsidR="00FF4477">
        <w:rPr>
          <w:szCs w:val="18"/>
        </w:rPr>
        <w:t>)</w:t>
      </w:r>
      <w:r w:rsidR="002B2719" w:rsidRPr="002B2719">
        <w:t>.</w:t>
      </w:r>
      <w:r w:rsidR="00E05629">
        <w:t xml:space="preserve"> </w:t>
      </w:r>
      <w:r w:rsidR="00FF4477">
        <w:t>O</w:t>
      </w:r>
      <w:r w:rsidR="002B2719" w:rsidRPr="002B2719">
        <w:t xml:space="preserve">n </w:t>
      </w:r>
      <w:r w:rsidR="00FF4477">
        <w:t xml:space="preserve">26 </w:t>
      </w:r>
      <w:r w:rsidR="002B2719" w:rsidRPr="002B2719">
        <w:t xml:space="preserve">June 2015, </w:t>
      </w:r>
      <w:r w:rsidR="00FF4477">
        <w:t xml:space="preserve">on the occasion of the </w:t>
      </w:r>
      <w:r w:rsidR="00FF4477" w:rsidRPr="00147EBC">
        <w:rPr>
          <w:szCs w:val="18"/>
        </w:rPr>
        <w:t xml:space="preserve">International </w:t>
      </w:r>
      <w:r w:rsidR="00FF4477">
        <w:rPr>
          <w:szCs w:val="18"/>
        </w:rPr>
        <w:t>D</w:t>
      </w:r>
      <w:r w:rsidR="00FF4477" w:rsidRPr="00147EBC">
        <w:rPr>
          <w:szCs w:val="18"/>
        </w:rPr>
        <w:t xml:space="preserve">ay against </w:t>
      </w:r>
      <w:r w:rsidR="00FF4477">
        <w:rPr>
          <w:szCs w:val="18"/>
        </w:rPr>
        <w:t>D</w:t>
      </w:r>
      <w:r w:rsidR="00FF4477" w:rsidRPr="00147EBC">
        <w:rPr>
          <w:szCs w:val="18"/>
        </w:rPr>
        <w:t xml:space="preserve">rug </w:t>
      </w:r>
      <w:r w:rsidR="00FF4477">
        <w:rPr>
          <w:szCs w:val="18"/>
        </w:rPr>
        <w:t>A</w:t>
      </w:r>
      <w:r w:rsidR="00FF4477" w:rsidRPr="00147EBC">
        <w:rPr>
          <w:szCs w:val="18"/>
        </w:rPr>
        <w:t xml:space="preserve">buse and </w:t>
      </w:r>
      <w:r w:rsidR="00FF4477">
        <w:rPr>
          <w:szCs w:val="18"/>
        </w:rPr>
        <w:t>I</w:t>
      </w:r>
      <w:r w:rsidR="00FF4477" w:rsidRPr="00147EBC">
        <w:rPr>
          <w:szCs w:val="18"/>
        </w:rPr>
        <w:t>ll</w:t>
      </w:r>
      <w:r w:rsidR="00FF4477">
        <w:rPr>
          <w:szCs w:val="18"/>
        </w:rPr>
        <w:t>icit</w:t>
      </w:r>
      <w:r w:rsidR="00FF4477" w:rsidRPr="00147EBC">
        <w:rPr>
          <w:szCs w:val="18"/>
        </w:rPr>
        <w:t xml:space="preserve"> </w:t>
      </w:r>
      <w:r w:rsidR="00FF4477">
        <w:rPr>
          <w:szCs w:val="18"/>
        </w:rPr>
        <w:t>T</w:t>
      </w:r>
      <w:r w:rsidR="00FF4477" w:rsidRPr="00147EBC">
        <w:rPr>
          <w:szCs w:val="18"/>
        </w:rPr>
        <w:t>rafficking</w:t>
      </w:r>
      <w:r w:rsidR="00FF4477">
        <w:rPr>
          <w:szCs w:val="18"/>
        </w:rPr>
        <w:t>,</w:t>
      </w:r>
      <w:r w:rsidR="00FF4477" w:rsidRPr="002B2719">
        <w:t xml:space="preserve"> </w:t>
      </w:r>
      <w:r w:rsidR="002B2719" w:rsidRPr="002B2719">
        <w:t>the Secretary-General stated that consideration should be given to alternatives to criminalization and incarceration of people who use drugs</w:t>
      </w:r>
      <w:r w:rsidR="008E57D1">
        <w:rPr>
          <w:iCs/>
        </w:rPr>
        <w:t xml:space="preserve"> </w:t>
      </w:r>
      <w:r w:rsidR="002B2719" w:rsidRPr="002B2719">
        <w:t>and</w:t>
      </w:r>
      <w:r w:rsidR="008E57D1">
        <w:t xml:space="preserve"> that there should be</w:t>
      </w:r>
      <w:r w:rsidR="002B2719" w:rsidRPr="002B2719">
        <w:t xml:space="preserve"> an increased focus on public health, prevention, treatment and care, as well as on economic, social and cultural strategies.</w:t>
      </w:r>
      <w:r w:rsidR="00E05629">
        <w:t xml:space="preserve"> </w:t>
      </w:r>
      <w:r w:rsidR="002B2719" w:rsidRPr="002B2719">
        <w:t xml:space="preserve">Decriminalization has been called for by </w:t>
      </w:r>
      <w:r w:rsidR="003D588D">
        <w:t xml:space="preserve">a number of </w:t>
      </w:r>
      <w:r w:rsidR="002B2719" w:rsidRPr="002B2719">
        <w:t>civil society organizations on the grounds that criminalization poses a major obstacle to public health responses to drug users and their right to health.</w:t>
      </w:r>
      <w:r w:rsidR="002B2719" w:rsidRPr="00E05629">
        <w:rPr>
          <w:rStyle w:val="FootnoteReference"/>
        </w:rPr>
        <w:footnoteReference w:id="37"/>
      </w:r>
    </w:p>
    <w:p w:rsidR="002B2719" w:rsidRPr="002B2719" w:rsidRDefault="008415FF" w:rsidP="00147EBC">
      <w:pPr>
        <w:pStyle w:val="H1G"/>
      </w:pPr>
      <w:r>
        <w:tab/>
        <w:t>E.</w:t>
      </w:r>
      <w:r>
        <w:tab/>
      </w:r>
      <w:r w:rsidR="002B2719" w:rsidRPr="002B2719">
        <w:t>Access to essential medicines</w:t>
      </w:r>
    </w:p>
    <w:p w:rsidR="002B2719" w:rsidRPr="002B2719" w:rsidRDefault="00D111EC" w:rsidP="00D111EC">
      <w:pPr>
        <w:pStyle w:val="SingleTxtG"/>
      </w:pPr>
      <w:r w:rsidRPr="002B2719">
        <w:rPr>
          <w:color w:val="000000" w:themeColor="text1"/>
        </w:rPr>
        <w:t>31.</w:t>
      </w:r>
      <w:r w:rsidRPr="002B2719">
        <w:rPr>
          <w:color w:val="000000" w:themeColor="text1"/>
        </w:rPr>
        <w:tab/>
      </w:r>
      <w:r w:rsidR="008E57D1">
        <w:t>In t</w:t>
      </w:r>
      <w:r w:rsidR="002B2719" w:rsidRPr="002B2719">
        <w:t xml:space="preserve">he </w:t>
      </w:r>
      <w:r w:rsidR="008E57D1">
        <w:t xml:space="preserve">preamble to the </w:t>
      </w:r>
      <w:r w:rsidR="002B2719" w:rsidRPr="002B2719">
        <w:t>1961 Convention</w:t>
      </w:r>
      <w:r w:rsidR="008E57D1">
        <w:t>,</w:t>
      </w:r>
      <w:r w:rsidR="002B2719" w:rsidRPr="002B2719">
        <w:t xml:space="preserve"> </w:t>
      </w:r>
      <w:r w:rsidR="008E57D1">
        <w:t xml:space="preserve">it is </w:t>
      </w:r>
      <w:r w:rsidR="002B2719" w:rsidRPr="002B2719">
        <w:t>recognize</w:t>
      </w:r>
      <w:r w:rsidR="008E57D1">
        <w:t>d</w:t>
      </w:r>
      <w:r w:rsidR="002B2719" w:rsidRPr="002B2719">
        <w:t xml:space="preserve"> that the medical use of narcotic drugs is indispensable for the relief of pain and suffering.</w:t>
      </w:r>
      <w:r w:rsidR="00E05629">
        <w:t xml:space="preserve"> </w:t>
      </w:r>
      <w:r w:rsidR="002B2719" w:rsidRPr="002B2719">
        <w:t xml:space="preserve">Nevertheless, millions of people worldwide who require essential medicines for pain, drug dependency and other health conditions find that availability is often limited or </w:t>
      </w:r>
      <w:r w:rsidR="008E57D1">
        <w:t>absent</w:t>
      </w:r>
      <w:r w:rsidR="002B2719" w:rsidRPr="002B2719">
        <w:t>.</w:t>
      </w:r>
      <w:r w:rsidR="00E05629">
        <w:t xml:space="preserve"> </w:t>
      </w:r>
      <w:r w:rsidR="002B2719" w:rsidRPr="002B2719">
        <w:t xml:space="preserve">The Special Rapporteur on the right to health </w:t>
      </w:r>
      <w:r w:rsidR="008E57D1">
        <w:t>noted</w:t>
      </w:r>
      <w:r w:rsidR="008E57D1" w:rsidRPr="002B2719">
        <w:t xml:space="preserve"> </w:t>
      </w:r>
      <w:r w:rsidR="002B2719" w:rsidRPr="002B2719">
        <w:t>that</w:t>
      </w:r>
      <w:r w:rsidR="008E57D1">
        <w:t xml:space="preserve"> access to</w:t>
      </w:r>
      <w:r w:rsidR="002B2719" w:rsidRPr="002B2719">
        <w:t xml:space="preserve"> these medications </w:t>
      </w:r>
      <w:r w:rsidR="008E57D1">
        <w:t>is</w:t>
      </w:r>
      <w:r w:rsidR="008E57D1" w:rsidRPr="002B2719">
        <w:t xml:space="preserve"> </w:t>
      </w:r>
      <w:r w:rsidR="002B2719" w:rsidRPr="002B2719">
        <w:t xml:space="preserve">often </w:t>
      </w:r>
      <w:r w:rsidR="008E57D1" w:rsidRPr="002B2719">
        <w:t xml:space="preserve">excessively </w:t>
      </w:r>
      <w:r w:rsidR="002B2719" w:rsidRPr="002B2719">
        <w:t xml:space="preserve">restricted for fear </w:t>
      </w:r>
      <w:r w:rsidR="008E57D1">
        <w:t xml:space="preserve">that </w:t>
      </w:r>
      <w:r w:rsidR="002B2719" w:rsidRPr="002B2719">
        <w:t>they will be diverted from legitimate medical uses to illicit purposes</w:t>
      </w:r>
      <w:r w:rsidR="003F6B52">
        <w:t xml:space="preserve"> (see </w:t>
      </w:r>
      <w:r w:rsidR="003F6B52" w:rsidRPr="002C0FEF">
        <w:rPr>
          <w:szCs w:val="18"/>
          <w:lang w:val="en-US"/>
        </w:rPr>
        <w:t xml:space="preserve">A/65/255, para. </w:t>
      </w:r>
      <w:r w:rsidR="003F6B52" w:rsidRPr="00D111EC">
        <w:rPr>
          <w:szCs w:val="18"/>
          <w:lang w:val="en-US"/>
        </w:rPr>
        <w:t>4</w:t>
      </w:r>
      <w:r w:rsidR="003A7CBB" w:rsidRPr="00D111EC">
        <w:rPr>
          <w:szCs w:val="18"/>
          <w:lang w:val="en-US"/>
        </w:rPr>
        <w:t>1</w:t>
      </w:r>
      <w:r w:rsidR="003F6B52" w:rsidRPr="00D111EC">
        <w:rPr>
          <w:szCs w:val="18"/>
          <w:lang w:val="en-US"/>
        </w:rPr>
        <w:t>)</w:t>
      </w:r>
      <w:r w:rsidR="002B2719" w:rsidRPr="002B2719">
        <w:t>.</w:t>
      </w:r>
      <w:r w:rsidR="00E05629">
        <w:t xml:space="preserve"> </w:t>
      </w:r>
    </w:p>
    <w:p w:rsidR="002B2719" w:rsidRPr="002B2719" w:rsidRDefault="00D111EC" w:rsidP="00D111EC">
      <w:pPr>
        <w:pStyle w:val="SingleTxtG"/>
      </w:pPr>
      <w:r w:rsidRPr="002B2719">
        <w:rPr>
          <w:color w:val="000000" w:themeColor="text1"/>
        </w:rPr>
        <w:t>32.</w:t>
      </w:r>
      <w:r w:rsidRPr="002B2719">
        <w:rPr>
          <w:color w:val="000000" w:themeColor="text1"/>
        </w:rPr>
        <w:tab/>
      </w:r>
      <w:r w:rsidR="002B2719" w:rsidRPr="002B2719">
        <w:t xml:space="preserve">Restricting access to opioids affects not only the availability of </w:t>
      </w:r>
      <w:r w:rsidR="008E57D1">
        <w:t>opi</w:t>
      </w:r>
      <w:r w:rsidR="00AA2346">
        <w:t>oid</w:t>
      </w:r>
      <w:r w:rsidR="008E57D1">
        <w:t xml:space="preserve"> substitution therapy</w:t>
      </w:r>
      <w:r w:rsidR="002B2719" w:rsidRPr="002B2719">
        <w:t xml:space="preserve"> but</w:t>
      </w:r>
      <w:r w:rsidR="008E57D1">
        <w:t xml:space="preserve"> also</w:t>
      </w:r>
      <w:r w:rsidR="002B2719" w:rsidRPr="002B2719">
        <w:t xml:space="preserve"> three unrelated areas </w:t>
      </w:r>
      <w:r w:rsidR="008E57D1">
        <w:t>where</w:t>
      </w:r>
      <w:r w:rsidR="002B2719" w:rsidRPr="002B2719">
        <w:t xml:space="preserve"> access to controlled medicines is essential: (a) management of moderate to severe pain, including as part of palliative care for people with life-limiting illnesses; (b) certain emergency obstetric situations; and (c) management of epilepsy</w:t>
      </w:r>
      <w:r w:rsidR="003F6B52">
        <w:t xml:space="preserve"> (see </w:t>
      </w:r>
      <w:r w:rsidR="003F6B52" w:rsidRPr="001B0FC1">
        <w:rPr>
          <w:szCs w:val="18"/>
          <w:lang w:val="en-US"/>
        </w:rPr>
        <w:t xml:space="preserve">A/65/255, para. </w:t>
      </w:r>
      <w:r w:rsidR="003F6B52" w:rsidRPr="002C0FEF">
        <w:rPr>
          <w:szCs w:val="18"/>
          <w:lang w:val="en-US"/>
        </w:rPr>
        <w:t>4</w:t>
      </w:r>
      <w:r w:rsidR="003A7CBB">
        <w:rPr>
          <w:szCs w:val="18"/>
          <w:lang w:val="en-US"/>
        </w:rPr>
        <w:t>2</w:t>
      </w:r>
      <w:r w:rsidR="003F6B52" w:rsidRPr="002C0FEF">
        <w:rPr>
          <w:szCs w:val="18"/>
          <w:lang w:val="en-US"/>
        </w:rPr>
        <w:t>)</w:t>
      </w:r>
      <w:r w:rsidR="002B2719" w:rsidRPr="002B2719">
        <w:t>.</w:t>
      </w:r>
    </w:p>
    <w:p w:rsidR="002B2719" w:rsidRPr="002B2719" w:rsidRDefault="00D111EC" w:rsidP="00D111EC">
      <w:pPr>
        <w:pStyle w:val="SingleTxtG"/>
      </w:pPr>
      <w:r w:rsidRPr="002B2719">
        <w:rPr>
          <w:color w:val="000000" w:themeColor="text1"/>
        </w:rPr>
        <w:t>33.</w:t>
      </w:r>
      <w:r w:rsidRPr="002B2719">
        <w:rPr>
          <w:color w:val="000000" w:themeColor="text1"/>
        </w:rPr>
        <w:tab/>
      </w:r>
      <w:r w:rsidR="008E57D1">
        <w:t>In its general comment No. 14</w:t>
      </w:r>
      <w:r w:rsidR="00743B0C">
        <w:t xml:space="preserve"> (2000) on the right to the highest attainable standard of health,</w:t>
      </w:r>
      <w:r w:rsidR="008E57D1">
        <w:t xml:space="preserve"> </w:t>
      </w:r>
      <w:r w:rsidR="00743B0C">
        <w:t>t</w:t>
      </w:r>
      <w:r w:rsidR="002B2719" w:rsidRPr="002B2719">
        <w:t xml:space="preserve">he Committee on Economic, Social and Cultural Rights stated that </w:t>
      </w:r>
      <w:r w:rsidR="008E57D1">
        <w:t xml:space="preserve">ensuring </w:t>
      </w:r>
      <w:r w:rsidR="002B2719" w:rsidRPr="002B2719">
        <w:t xml:space="preserve">access to essential </w:t>
      </w:r>
      <w:r w:rsidR="00743B0C">
        <w:t>drugs</w:t>
      </w:r>
      <w:r w:rsidR="002B2719" w:rsidRPr="002B2719">
        <w:t>, includ</w:t>
      </w:r>
      <w:r w:rsidR="008E57D1">
        <w:t>ing</w:t>
      </w:r>
      <w:r w:rsidR="002B2719" w:rsidRPr="002B2719">
        <w:t xml:space="preserve"> opioids, is a</w:t>
      </w:r>
      <w:r w:rsidR="00743B0C">
        <w:t xml:space="preserve">n essential element </w:t>
      </w:r>
      <w:r w:rsidR="002B2719" w:rsidRPr="002B2719">
        <w:t>of the right to health and that States must comply with this obligation regardless of resource constraints.</w:t>
      </w:r>
      <w:r w:rsidR="00E05629">
        <w:t xml:space="preserve"> </w:t>
      </w:r>
      <w:r w:rsidR="002B2719" w:rsidRPr="002B2719">
        <w:t xml:space="preserve">The Special Rapporteur </w:t>
      </w:r>
      <w:r w:rsidR="00743B0C">
        <w:t>has</w:t>
      </w:r>
      <w:r w:rsidR="002B2719" w:rsidRPr="002B2719">
        <w:t xml:space="preserve"> noted that access to controlled drugs is a critical part of the right to health and recommended </w:t>
      </w:r>
      <w:r w:rsidR="00743B0C">
        <w:t>that</w:t>
      </w:r>
      <w:r w:rsidR="00743B0C" w:rsidRPr="002B2719">
        <w:t xml:space="preserve"> </w:t>
      </w:r>
      <w:r w:rsidR="002B2719" w:rsidRPr="002B2719">
        <w:t>States increase access to controlled essential medicines</w:t>
      </w:r>
      <w:r w:rsidR="00D001B3">
        <w:t xml:space="preserve"> (see </w:t>
      </w:r>
      <w:r w:rsidR="00D001B3" w:rsidRPr="00147EBC">
        <w:rPr>
          <w:szCs w:val="18"/>
        </w:rPr>
        <w:t>A/65/255, paras. 40-47</w:t>
      </w:r>
      <w:r w:rsidR="00D001B3">
        <w:rPr>
          <w:szCs w:val="18"/>
        </w:rPr>
        <w:t xml:space="preserve"> and</w:t>
      </w:r>
      <w:r w:rsidR="00D001B3" w:rsidRPr="00147EBC">
        <w:rPr>
          <w:szCs w:val="18"/>
        </w:rPr>
        <w:t xml:space="preserve"> 76</w:t>
      </w:r>
      <w:r w:rsidR="00D001B3">
        <w:rPr>
          <w:szCs w:val="18"/>
        </w:rPr>
        <w:t>)</w:t>
      </w:r>
      <w:r w:rsidR="002B2719" w:rsidRPr="002B2719">
        <w:t>.</w:t>
      </w:r>
    </w:p>
    <w:p w:rsidR="002B2719" w:rsidRPr="002B2719" w:rsidRDefault="00D111EC" w:rsidP="00D111EC">
      <w:pPr>
        <w:pStyle w:val="SingleTxtG"/>
      </w:pPr>
      <w:r w:rsidRPr="002B2719">
        <w:rPr>
          <w:color w:val="000000" w:themeColor="text1"/>
        </w:rPr>
        <w:t>34.</w:t>
      </w:r>
      <w:r w:rsidRPr="002B2719">
        <w:rPr>
          <w:color w:val="000000" w:themeColor="text1"/>
        </w:rPr>
        <w:tab/>
      </w:r>
      <w:r w:rsidR="002B2719" w:rsidRPr="00A01326">
        <w:rPr>
          <w:rStyle w:val="SingleTxtGChar"/>
        </w:rPr>
        <w:t xml:space="preserve">The </w:t>
      </w:r>
      <w:r w:rsidR="00DA75F7">
        <w:rPr>
          <w:rStyle w:val="SingleTxtGChar"/>
        </w:rPr>
        <w:t>International Narcotics Control Board</w:t>
      </w:r>
      <w:r w:rsidR="00DA75F7" w:rsidRPr="00A01326">
        <w:rPr>
          <w:rStyle w:val="SingleTxtGChar"/>
        </w:rPr>
        <w:t xml:space="preserve"> </w:t>
      </w:r>
      <w:r w:rsidR="002B2719" w:rsidRPr="00A01326">
        <w:rPr>
          <w:rStyle w:val="SingleTxtGChar"/>
        </w:rPr>
        <w:t xml:space="preserve">has consistently found that availability of essential controlled medicines is too limited in many countries. In </w:t>
      </w:r>
      <w:r w:rsidR="00DA75F7">
        <w:rPr>
          <w:rStyle w:val="SingleTxtGChar"/>
        </w:rPr>
        <w:t>its</w:t>
      </w:r>
      <w:r w:rsidR="00DA75F7" w:rsidRPr="00A01326">
        <w:rPr>
          <w:rStyle w:val="SingleTxtGChar"/>
        </w:rPr>
        <w:t xml:space="preserve"> </w:t>
      </w:r>
      <w:r w:rsidR="002B2719" w:rsidRPr="00A01326">
        <w:rPr>
          <w:rStyle w:val="SingleTxtGChar"/>
        </w:rPr>
        <w:t xml:space="preserve">2014 annual report, </w:t>
      </w:r>
      <w:r w:rsidR="00DA75F7">
        <w:rPr>
          <w:rStyle w:val="SingleTxtGChar"/>
        </w:rPr>
        <w:t>the Board</w:t>
      </w:r>
      <w:r w:rsidR="00DA75F7" w:rsidRPr="00A01326">
        <w:rPr>
          <w:rStyle w:val="SingleTxtGChar"/>
        </w:rPr>
        <w:t xml:space="preserve"> </w:t>
      </w:r>
      <w:r w:rsidR="00DA75F7">
        <w:rPr>
          <w:rStyle w:val="SingleTxtGChar"/>
        </w:rPr>
        <w:t>noted</w:t>
      </w:r>
      <w:r w:rsidR="002B2719" w:rsidRPr="00A01326">
        <w:rPr>
          <w:rStyle w:val="SingleTxtGChar"/>
        </w:rPr>
        <w:t xml:space="preserve"> that approximately 5.5 billion people, or three quarters of the world’s population, live in countries </w:t>
      </w:r>
      <w:r w:rsidR="00DA75F7">
        <w:rPr>
          <w:rStyle w:val="SingleTxtGChar"/>
        </w:rPr>
        <w:t>where</w:t>
      </w:r>
      <w:r w:rsidR="002B2719" w:rsidRPr="00A01326">
        <w:rPr>
          <w:rStyle w:val="SingleTxtGChar"/>
        </w:rPr>
        <w:t xml:space="preserve"> access to medicines containing narcotic drugs</w:t>
      </w:r>
      <w:r w:rsidR="00DA75F7">
        <w:rPr>
          <w:rStyle w:val="SingleTxtGChar"/>
        </w:rPr>
        <w:t xml:space="preserve"> is low or non-existent</w:t>
      </w:r>
      <w:r w:rsidR="002B2719" w:rsidRPr="00A01326">
        <w:rPr>
          <w:rStyle w:val="SingleTxtGChar"/>
        </w:rPr>
        <w:t xml:space="preserve"> and have inadequate access to treatment for moderate to severe pain</w:t>
      </w:r>
      <w:r w:rsidR="00DA75F7">
        <w:rPr>
          <w:rStyle w:val="SingleTxtGChar"/>
        </w:rPr>
        <w:t>.</w:t>
      </w:r>
      <w:r w:rsidR="002B2719" w:rsidRPr="00A01326">
        <w:rPr>
          <w:rStyle w:val="SingleTxtGChar"/>
        </w:rPr>
        <w:t xml:space="preserve"> </w:t>
      </w:r>
      <w:r w:rsidR="00DA75F7">
        <w:rPr>
          <w:rStyle w:val="SingleTxtGChar"/>
        </w:rPr>
        <w:t>The Board also noted that</w:t>
      </w:r>
      <w:r w:rsidR="002B2719" w:rsidRPr="00A01326">
        <w:rPr>
          <w:rStyle w:val="SingleTxtGChar"/>
        </w:rPr>
        <w:t xml:space="preserve"> 92 per cent of the world’s morphine (an opioid) is consumed by 17 per cent of the world’s population, primarily in North America, Oceania and Western Europe.</w:t>
      </w:r>
      <w:r w:rsidR="00E05629">
        <w:rPr>
          <w:rStyle w:val="SingleTxtGChar"/>
        </w:rPr>
        <w:t xml:space="preserve"> </w:t>
      </w:r>
      <w:r w:rsidR="00DA75F7">
        <w:rPr>
          <w:rStyle w:val="SingleTxtGChar"/>
        </w:rPr>
        <w:t>The Board</w:t>
      </w:r>
      <w:r w:rsidR="00DA75F7" w:rsidRPr="00A01326">
        <w:rPr>
          <w:rStyle w:val="SingleTxtGChar"/>
        </w:rPr>
        <w:t xml:space="preserve"> </w:t>
      </w:r>
      <w:r w:rsidR="002B2719" w:rsidRPr="00A01326">
        <w:rPr>
          <w:rStyle w:val="SingleTxtGChar"/>
        </w:rPr>
        <w:t>and WHO have both recognized that</w:t>
      </w:r>
      <w:r w:rsidR="002B2719" w:rsidRPr="002B2719">
        <w:t xml:space="preserve"> unnecessarily restrictive drug control regulations and practices are a significant barrier to access</w:t>
      </w:r>
      <w:r w:rsidR="00DA75F7">
        <w:t>ing</w:t>
      </w:r>
      <w:r w:rsidR="002B2719" w:rsidRPr="002B2719">
        <w:t xml:space="preserve"> essential controlled medicines.</w:t>
      </w:r>
      <w:r w:rsidR="002B2719" w:rsidRPr="00E05629">
        <w:rPr>
          <w:rStyle w:val="FootnoteReference"/>
        </w:rPr>
        <w:footnoteReference w:id="38"/>
      </w:r>
      <w:r w:rsidR="002B2719" w:rsidRPr="002B2719">
        <w:t xml:space="preserve"> </w:t>
      </w:r>
    </w:p>
    <w:p w:rsidR="00A860D9" w:rsidRPr="002C0FEF" w:rsidRDefault="00547B80">
      <w:pPr>
        <w:pStyle w:val="HChG"/>
      </w:pPr>
      <w:r>
        <w:tab/>
      </w:r>
      <w:r w:rsidRPr="00F27CFD">
        <w:t>I</w:t>
      </w:r>
      <w:r w:rsidR="00AF7DB0" w:rsidRPr="00F27CFD">
        <w:t>II</w:t>
      </w:r>
      <w:r w:rsidRPr="00F27CFD">
        <w:t>.</w:t>
      </w:r>
      <w:r w:rsidRPr="00F27CFD">
        <w:tab/>
      </w:r>
      <w:r w:rsidR="002B2719" w:rsidRPr="00F27CFD">
        <w:t>Rights related to</w:t>
      </w:r>
      <w:r w:rsidR="003B13EA" w:rsidRPr="00F27CFD">
        <w:t xml:space="preserve"> </w:t>
      </w:r>
      <w:r w:rsidR="002B2719" w:rsidRPr="00F27CFD">
        <w:t>criminal justice</w:t>
      </w:r>
      <w:r w:rsidR="003B13EA">
        <w:t xml:space="preserve"> </w:t>
      </w:r>
    </w:p>
    <w:p w:rsidR="002B2719" w:rsidRPr="00837D98" w:rsidRDefault="004F0C04">
      <w:pPr>
        <w:pStyle w:val="H1G"/>
        <w:tabs>
          <w:tab w:val="clear" w:pos="851"/>
          <w:tab w:val="right" w:pos="850"/>
        </w:tabs>
      </w:pPr>
      <w:r>
        <w:tab/>
        <w:t>A.</w:t>
      </w:r>
      <w:r>
        <w:tab/>
      </w:r>
      <w:r w:rsidR="00A77E12" w:rsidRPr="00A860D9">
        <w:t>Prohibition</w:t>
      </w:r>
      <w:r w:rsidR="00547B80" w:rsidRPr="00A860D9">
        <w:t xml:space="preserve"> of a</w:t>
      </w:r>
      <w:r w:rsidR="002B2719" w:rsidRPr="00A860D9">
        <w:t xml:space="preserve">rbitrary arrest and detention </w:t>
      </w:r>
    </w:p>
    <w:p w:rsidR="002B2719" w:rsidRPr="002B2719" w:rsidRDefault="00D111EC" w:rsidP="00D111EC">
      <w:pPr>
        <w:pStyle w:val="SingleTxtG"/>
      </w:pPr>
      <w:r w:rsidRPr="002B2719">
        <w:rPr>
          <w:color w:val="000000" w:themeColor="text1"/>
        </w:rPr>
        <w:t>35.</w:t>
      </w:r>
      <w:r w:rsidRPr="002B2719">
        <w:rPr>
          <w:color w:val="000000" w:themeColor="text1"/>
        </w:rPr>
        <w:tab/>
      </w:r>
      <w:r w:rsidR="002B2719" w:rsidRPr="002B2719">
        <w:t>It has been alleged that police have sometimes targeted areas at or near drug treatment centres to make arrests.</w:t>
      </w:r>
      <w:r w:rsidR="002B2719" w:rsidRPr="00E05629">
        <w:rPr>
          <w:rStyle w:val="FootnoteReference"/>
        </w:rPr>
        <w:footnoteReference w:id="39"/>
      </w:r>
      <w:r w:rsidR="002B2719" w:rsidRPr="002B2719">
        <w:t xml:space="preserve"> These practices may be linked to how law enforcement success is measured in efforts to counter drug use, especially where the number of arrests for drug use has been used as an indicator of successful law enforcement activity. It has been reported </w:t>
      </w:r>
      <w:r w:rsidR="00F27CFD">
        <w:t xml:space="preserve">that </w:t>
      </w:r>
      <w:r w:rsidR="002B2719" w:rsidRPr="002B2719">
        <w:t xml:space="preserve">in some countries </w:t>
      </w:r>
      <w:r w:rsidR="00F27CFD">
        <w:t xml:space="preserve">the </w:t>
      </w:r>
      <w:r w:rsidR="002B2719" w:rsidRPr="002B2719">
        <w:t xml:space="preserve">police obtain </w:t>
      </w:r>
      <w:r w:rsidR="00F27CFD">
        <w:t xml:space="preserve">the </w:t>
      </w:r>
      <w:r w:rsidR="002B2719" w:rsidRPr="002B2719">
        <w:t xml:space="preserve">health information </w:t>
      </w:r>
      <w:r w:rsidR="00F27CFD">
        <w:t>of</w:t>
      </w:r>
      <w:r w:rsidR="00F27CFD" w:rsidRPr="002B2719">
        <w:t xml:space="preserve"> </w:t>
      </w:r>
      <w:r w:rsidR="002B2719" w:rsidRPr="002B2719">
        <w:t>people who are registered with drug dependence treatment clinics and use th</w:t>
      </w:r>
      <w:r w:rsidR="00F27CFD">
        <w:t>at</w:t>
      </w:r>
      <w:r w:rsidR="002B2719" w:rsidRPr="002B2719">
        <w:t xml:space="preserve"> information for law enforcement purposes</w:t>
      </w:r>
      <w:r w:rsidR="00D001B3">
        <w:t xml:space="preserve"> (see </w:t>
      </w:r>
      <w:r w:rsidR="00D001B3" w:rsidRPr="003952FB">
        <w:rPr>
          <w:szCs w:val="18"/>
        </w:rPr>
        <w:t>A/65/255, para. 20</w:t>
      </w:r>
      <w:r w:rsidR="00D001B3">
        <w:rPr>
          <w:szCs w:val="18"/>
        </w:rPr>
        <w:t>)</w:t>
      </w:r>
      <w:r w:rsidR="002B2719" w:rsidRPr="002B2719">
        <w:t>.</w:t>
      </w:r>
      <w:r w:rsidR="002B2719" w:rsidRPr="00E05629">
        <w:rPr>
          <w:rStyle w:val="FootnoteReference"/>
        </w:rPr>
        <w:footnoteReference w:id="40"/>
      </w:r>
      <w:r w:rsidR="00845712" w:rsidRPr="00845712">
        <w:t xml:space="preserve"> </w:t>
      </w:r>
      <w:r w:rsidR="00F27CFD">
        <w:t>I</w:t>
      </w:r>
      <w:r w:rsidR="00845712" w:rsidRPr="002B2719">
        <w:t>n some countries</w:t>
      </w:r>
      <w:r w:rsidR="00F27CFD">
        <w:t>, the police is</w:t>
      </w:r>
      <w:r w:rsidR="00845712" w:rsidRPr="002B2719">
        <w:t xml:space="preserve"> reported to have targeted drug users to meet arrest quotas or to </w:t>
      </w:r>
      <w:r w:rsidR="00F27CFD">
        <w:t xml:space="preserve">have </w:t>
      </w:r>
      <w:r w:rsidR="00845712" w:rsidRPr="002B2719">
        <w:t>harass</w:t>
      </w:r>
      <w:r w:rsidR="00F27CFD">
        <w:t>ed</w:t>
      </w:r>
      <w:r w:rsidR="00845712" w:rsidRPr="002B2719">
        <w:t xml:space="preserve"> users for money or, in the case of women, sex.</w:t>
      </w:r>
      <w:r w:rsidR="00845712" w:rsidRPr="00E05629">
        <w:rPr>
          <w:rStyle w:val="FootnoteReference"/>
        </w:rPr>
        <w:footnoteReference w:id="41"/>
      </w:r>
      <w:r w:rsidR="00E05629">
        <w:t xml:space="preserve"> </w:t>
      </w:r>
    </w:p>
    <w:p w:rsidR="002B2719" w:rsidRPr="002B2719" w:rsidRDefault="00D111EC" w:rsidP="00D111EC">
      <w:pPr>
        <w:pStyle w:val="SingleTxtG"/>
      </w:pPr>
      <w:r w:rsidRPr="002B2719">
        <w:rPr>
          <w:color w:val="000000" w:themeColor="text1"/>
        </w:rPr>
        <w:t>36.</w:t>
      </w:r>
      <w:r w:rsidRPr="002B2719">
        <w:rPr>
          <w:color w:val="000000" w:themeColor="text1"/>
        </w:rPr>
        <w:tab/>
      </w:r>
      <w:r w:rsidR="002B2719" w:rsidRPr="00325939">
        <w:rPr>
          <w:rStyle w:val="SingleTxtGChar"/>
        </w:rPr>
        <w:t>The Working Group on Arbitrary Detention has found that people who use drugs are particularly at risk of arbitrary detention</w:t>
      </w:r>
      <w:r w:rsidR="00D001B3">
        <w:rPr>
          <w:rStyle w:val="SingleTxtGChar"/>
        </w:rPr>
        <w:t xml:space="preserve"> (see </w:t>
      </w:r>
      <w:r w:rsidR="00D001B3" w:rsidRPr="003952FB">
        <w:rPr>
          <w:szCs w:val="18"/>
        </w:rPr>
        <w:t>E/CN.4/1998/44/Add.2</w:t>
      </w:r>
      <w:r w:rsidR="00D001B3">
        <w:rPr>
          <w:szCs w:val="18"/>
        </w:rPr>
        <w:t xml:space="preserve">, </w:t>
      </w:r>
      <w:r w:rsidR="00D001B3" w:rsidRPr="003952FB">
        <w:rPr>
          <w:szCs w:val="18"/>
        </w:rPr>
        <w:t>paras. 81</w:t>
      </w:r>
      <w:r w:rsidR="00D001B3">
        <w:rPr>
          <w:szCs w:val="18"/>
        </w:rPr>
        <w:t xml:space="preserve"> and</w:t>
      </w:r>
      <w:r w:rsidR="00D001B3" w:rsidRPr="003952FB">
        <w:rPr>
          <w:szCs w:val="18"/>
        </w:rPr>
        <w:t xml:space="preserve"> 97-99</w:t>
      </w:r>
      <w:r w:rsidR="00D001B3">
        <w:rPr>
          <w:szCs w:val="18"/>
        </w:rPr>
        <w:t>, and</w:t>
      </w:r>
      <w:r w:rsidR="00D001B3" w:rsidRPr="003952FB">
        <w:rPr>
          <w:szCs w:val="18"/>
        </w:rPr>
        <w:t xml:space="preserve"> A/HRC/27/48/Add.3, paras. 111-119</w:t>
      </w:r>
      <w:r w:rsidR="00D001B3">
        <w:rPr>
          <w:rStyle w:val="SingleTxtGChar"/>
        </w:rPr>
        <w:t>)</w:t>
      </w:r>
      <w:r w:rsidR="002B2719" w:rsidRPr="00325939">
        <w:rPr>
          <w:rStyle w:val="SingleTxtGChar"/>
        </w:rPr>
        <w:t>.</w:t>
      </w:r>
      <w:r w:rsidR="00E05629">
        <w:rPr>
          <w:rStyle w:val="SingleTxtGChar"/>
        </w:rPr>
        <w:t xml:space="preserve"> </w:t>
      </w:r>
      <w:r w:rsidR="002B2719" w:rsidRPr="00325939">
        <w:rPr>
          <w:rStyle w:val="SingleTxtGChar"/>
        </w:rPr>
        <w:t xml:space="preserve">Some States reportedly provide for automatic pretrial detention for persons arrested for drug use without examining the circumstances of each individual case, although the Inter-American Commission </w:t>
      </w:r>
      <w:r w:rsidR="00F27CFD">
        <w:rPr>
          <w:rStyle w:val="SingleTxtGChar"/>
        </w:rPr>
        <w:t>on</w:t>
      </w:r>
      <w:r w:rsidR="00F27CFD" w:rsidRPr="00325939">
        <w:rPr>
          <w:rStyle w:val="SingleTxtGChar"/>
        </w:rPr>
        <w:t xml:space="preserve"> </w:t>
      </w:r>
      <w:r w:rsidR="002B2719" w:rsidRPr="00325939">
        <w:rPr>
          <w:rStyle w:val="SingleTxtGChar"/>
        </w:rPr>
        <w:t>Human Rights has declared this practice to be incompatible with human rights.</w:t>
      </w:r>
      <w:r w:rsidR="002B2719" w:rsidRPr="00E05629">
        <w:rPr>
          <w:rStyle w:val="FootnoteReference"/>
        </w:rPr>
        <w:footnoteReference w:id="42"/>
      </w:r>
      <w:r w:rsidR="00E05629">
        <w:rPr>
          <w:rStyle w:val="SingleTxtGChar"/>
          <w:vertAlign w:val="superscript"/>
        </w:rPr>
        <w:t xml:space="preserve"> </w:t>
      </w:r>
      <w:r w:rsidR="002E56DF">
        <w:rPr>
          <w:rStyle w:val="SingleTxtGChar"/>
        </w:rPr>
        <w:t xml:space="preserve">According to </w:t>
      </w:r>
      <w:r w:rsidR="002E56DF" w:rsidRPr="00325939">
        <w:rPr>
          <w:rStyle w:val="SingleTxtGChar"/>
        </w:rPr>
        <w:t xml:space="preserve">article 9 of the </w:t>
      </w:r>
      <w:r w:rsidR="00F27CFD" w:rsidRPr="002B2719">
        <w:t>International Covenant on Civil and Political Rights</w:t>
      </w:r>
      <w:r w:rsidR="002E56DF" w:rsidRPr="00325939">
        <w:rPr>
          <w:rStyle w:val="SingleTxtGChar"/>
        </w:rPr>
        <w:t>, anyone arrested or detained on a criminal charge shall be promptly brought before a judge, which the Human Rights Committee has interpreted</w:t>
      </w:r>
      <w:r w:rsidR="00815414">
        <w:rPr>
          <w:rStyle w:val="SingleTxtGChar"/>
        </w:rPr>
        <w:t>, in paragraph 33 of its general comment No. 35 (2014) on liberty and security of person,</w:t>
      </w:r>
      <w:r w:rsidR="002E56DF" w:rsidRPr="00325939">
        <w:rPr>
          <w:rStyle w:val="SingleTxtGChar"/>
        </w:rPr>
        <w:t xml:space="preserve"> to mean a few days from the time of arrest, with 48 hours being ordinarily sufficient.</w:t>
      </w:r>
      <w:r w:rsidR="002E56DF">
        <w:rPr>
          <w:rStyle w:val="SingleTxtGChar"/>
        </w:rPr>
        <w:t xml:space="preserve"> </w:t>
      </w:r>
      <w:r w:rsidR="002E56DF" w:rsidRPr="00325939">
        <w:rPr>
          <w:rStyle w:val="SingleTxtGChar"/>
        </w:rPr>
        <w:t>There have been reports of persons detained for drug</w:t>
      </w:r>
      <w:r w:rsidR="00F00B42">
        <w:rPr>
          <w:rStyle w:val="SingleTxtGChar"/>
        </w:rPr>
        <w:t>-related</w:t>
      </w:r>
      <w:r w:rsidR="002E56DF" w:rsidRPr="00325939">
        <w:rPr>
          <w:rStyle w:val="SingleTxtGChar"/>
        </w:rPr>
        <w:t xml:space="preserve"> offences not being registered or promptly brought before a judge.</w:t>
      </w:r>
      <w:r w:rsidR="002E56DF">
        <w:rPr>
          <w:rStyle w:val="SingleTxtGChar"/>
        </w:rPr>
        <w:t xml:space="preserve"> </w:t>
      </w:r>
      <w:r w:rsidR="00815414">
        <w:rPr>
          <w:rStyle w:val="SingleTxtGChar"/>
        </w:rPr>
        <w:t>I</w:t>
      </w:r>
      <w:r w:rsidR="002E56DF">
        <w:rPr>
          <w:rStyle w:val="SingleTxtGChar"/>
        </w:rPr>
        <w:t>n s</w:t>
      </w:r>
      <w:r w:rsidR="002B2719" w:rsidRPr="00325939">
        <w:rPr>
          <w:rStyle w:val="SingleTxtGChar"/>
        </w:rPr>
        <w:t>ome States</w:t>
      </w:r>
      <w:r w:rsidR="00815414">
        <w:rPr>
          <w:rStyle w:val="SingleTxtGChar"/>
        </w:rPr>
        <w:t xml:space="preserve">, </w:t>
      </w:r>
      <w:r w:rsidR="002B2719" w:rsidRPr="00325939">
        <w:rPr>
          <w:rStyle w:val="SingleTxtGChar"/>
        </w:rPr>
        <w:t xml:space="preserve">an arrested person suspected of a drug-related offence can be kept in custody without being charged </w:t>
      </w:r>
      <w:r w:rsidR="00DC7A65">
        <w:rPr>
          <w:rStyle w:val="SingleTxtGChar"/>
        </w:rPr>
        <w:t xml:space="preserve">for a </w:t>
      </w:r>
      <w:r w:rsidR="002B2719" w:rsidRPr="00325939">
        <w:rPr>
          <w:rStyle w:val="SingleTxtGChar"/>
        </w:rPr>
        <w:t xml:space="preserve">substantially longer </w:t>
      </w:r>
      <w:r w:rsidR="00DC7A65">
        <w:rPr>
          <w:rStyle w:val="SingleTxtGChar"/>
        </w:rPr>
        <w:t xml:space="preserve">time </w:t>
      </w:r>
      <w:r w:rsidR="002B2719" w:rsidRPr="00325939">
        <w:rPr>
          <w:rStyle w:val="SingleTxtGChar"/>
        </w:rPr>
        <w:t xml:space="preserve">than </w:t>
      </w:r>
      <w:r w:rsidR="00DC7A65">
        <w:rPr>
          <w:rStyle w:val="SingleTxtGChar"/>
        </w:rPr>
        <w:t>a</w:t>
      </w:r>
      <w:r w:rsidR="002B2719" w:rsidRPr="00325939">
        <w:rPr>
          <w:rStyle w:val="SingleTxtGChar"/>
        </w:rPr>
        <w:t xml:space="preserve"> person detained for other offences</w:t>
      </w:r>
      <w:r w:rsidR="00DC7A65">
        <w:rPr>
          <w:rStyle w:val="SingleTxtGChar"/>
        </w:rPr>
        <w:t xml:space="preserve"> can be</w:t>
      </w:r>
      <w:r w:rsidR="002B2719" w:rsidRPr="00325939">
        <w:rPr>
          <w:rStyle w:val="SingleTxtGChar"/>
        </w:rPr>
        <w:t>.</w:t>
      </w:r>
      <w:r w:rsidR="002B2719" w:rsidRPr="00E05629">
        <w:rPr>
          <w:rStyle w:val="FootnoteReference"/>
        </w:rPr>
        <w:footnoteReference w:id="43"/>
      </w:r>
      <w:r w:rsidR="00E05629">
        <w:rPr>
          <w:rStyle w:val="SingleTxtGChar"/>
        </w:rPr>
        <w:t xml:space="preserve"> </w:t>
      </w:r>
    </w:p>
    <w:p w:rsidR="002B2719" w:rsidRPr="00837D98" w:rsidRDefault="00325939">
      <w:pPr>
        <w:pStyle w:val="H1G"/>
      </w:pPr>
      <w:r>
        <w:tab/>
        <w:t>B.</w:t>
      </w:r>
      <w:r>
        <w:tab/>
      </w:r>
      <w:r w:rsidR="002B2719" w:rsidRPr="002B2719">
        <w:t>Prohibition of torture and other forms of ill</w:t>
      </w:r>
      <w:r w:rsidR="00DC7A65">
        <w:t>-</w:t>
      </w:r>
      <w:r w:rsidR="002B2719" w:rsidRPr="002B2719">
        <w:t>treatment</w:t>
      </w:r>
    </w:p>
    <w:p w:rsidR="002822EE" w:rsidRDefault="00D111EC" w:rsidP="00D111EC">
      <w:pPr>
        <w:pStyle w:val="SingleTxtG"/>
      </w:pPr>
      <w:r>
        <w:rPr>
          <w:color w:val="000000" w:themeColor="text1"/>
        </w:rPr>
        <w:t>37.</w:t>
      </w:r>
      <w:r>
        <w:rPr>
          <w:color w:val="000000" w:themeColor="text1"/>
        </w:rPr>
        <w:tab/>
      </w:r>
      <w:r w:rsidR="002B2719" w:rsidRPr="003952FB">
        <w:rPr>
          <w:rStyle w:val="SingleTxtGChar"/>
        </w:rPr>
        <w:t xml:space="preserve">In some States, it has been reported that people who use drugs are subjected to violence during detention, often </w:t>
      </w:r>
      <w:r w:rsidR="00DC7A65">
        <w:rPr>
          <w:rStyle w:val="SingleTxtGChar"/>
        </w:rPr>
        <w:t>as a means of</w:t>
      </w:r>
      <w:r w:rsidR="002B2719" w:rsidRPr="003952FB">
        <w:rPr>
          <w:rStyle w:val="SingleTxtGChar"/>
        </w:rPr>
        <w:t xml:space="preserve"> extract</w:t>
      </w:r>
      <w:r w:rsidR="00DC7A65">
        <w:rPr>
          <w:rStyle w:val="SingleTxtGChar"/>
        </w:rPr>
        <w:t>ing</w:t>
      </w:r>
      <w:r w:rsidR="002B2719" w:rsidRPr="003952FB">
        <w:rPr>
          <w:rStyle w:val="SingleTxtGChar"/>
        </w:rPr>
        <w:t xml:space="preserve"> confessions or obtain</w:t>
      </w:r>
      <w:r w:rsidR="00DC7A65">
        <w:rPr>
          <w:rStyle w:val="SingleTxtGChar"/>
        </w:rPr>
        <w:t>ing</w:t>
      </w:r>
      <w:r w:rsidR="002B2719" w:rsidRPr="003952FB">
        <w:rPr>
          <w:rStyle w:val="SingleTxtGChar"/>
        </w:rPr>
        <w:t xml:space="preserve"> information about other drug users or traffickers.</w:t>
      </w:r>
      <w:r w:rsidR="002B2719" w:rsidRPr="00E05629">
        <w:rPr>
          <w:rStyle w:val="FootnoteReference"/>
        </w:rPr>
        <w:footnoteReference w:id="44"/>
      </w:r>
      <w:r w:rsidR="002B2719" w:rsidRPr="005E1826">
        <w:rPr>
          <w:rStyle w:val="SingleTxtGChar"/>
          <w:vertAlign w:val="superscript"/>
        </w:rPr>
        <w:t xml:space="preserve"> </w:t>
      </w:r>
      <w:r w:rsidR="002B2719" w:rsidRPr="003952FB">
        <w:rPr>
          <w:rStyle w:val="SingleTxtGChar"/>
        </w:rPr>
        <w:t xml:space="preserve">The Special Rapporteur </w:t>
      </w:r>
      <w:r w:rsidR="00DC7A65">
        <w:rPr>
          <w:rStyle w:val="SingleTxtGChar"/>
        </w:rPr>
        <w:t>on t</w:t>
      </w:r>
      <w:r w:rsidR="002B2719" w:rsidRPr="003952FB">
        <w:rPr>
          <w:rStyle w:val="SingleTxtGChar"/>
        </w:rPr>
        <w:t>orture</w:t>
      </w:r>
      <w:r w:rsidR="00DC7A65" w:rsidRPr="00DC7A65">
        <w:rPr>
          <w:rFonts w:ascii="Helvetica" w:hAnsi="Helvetica" w:cs="Helvetica"/>
          <w:color w:val="333333"/>
          <w:sz w:val="21"/>
          <w:szCs w:val="21"/>
          <w:shd w:val="clear" w:color="auto" w:fill="F5F5F5"/>
        </w:rPr>
        <w:t xml:space="preserve"> </w:t>
      </w:r>
      <w:r w:rsidR="00DC7A65" w:rsidRPr="00DC7A65">
        <w:t>and other cruel, inhuman or degrading treatment or punishment</w:t>
      </w:r>
      <w:r w:rsidR="002B2719" w:rsidRPr="003952FB">
        <w:rPr>
          <w:rStyle w:val="SingleTxtGChar"/>
        </w:rPr>
        <w:t xml:space="preserve"> and the Human Rights Committee</w:t>
      </w:r>
      <w:r w:rsidR="00E05629">
        <w:rPr>
          <w:rStyle w:val="SingleTxtGChar"/>
        </w:rPr>
        <w:t xml:space="preserve"> </w:t>
      </w:r>
      <w:r w:rsidR="00DC7A65">
        <w:rPr>
          <w:rStyle w:val="SingleTxtGChar"/>
        </w:rPr>
        <w:t xml:space="preserve">have </w:t>
      </w:r>
      <w:r w:rsidR="002B2719" w:rsidRPr="003952FB">
        <w:rPr>
          <w:rStyle w:val="SingleTxtGChar"/>
        </w:rPr>
        <w:t xml:space="preserve">noted that </w:t>
      </w:r>
      <w:r w:rsidR="00DC7A65">
        <w:rPr>
          <w:rStyle w:val="SingleTxtGChar"/>
        </w:rPr>
        <w:t xml:space="preserve">some </w:t>
      </w:r>
      <w:r w:rsidR="002B2719" w:rsidRPr="003952FB">
        <w:rPr>
          <w:rStyle w:val="SingleTxtGChar"/>
        </w:rPr>
        <w:t xml:space="preserve">law enforcement </w:t>
      </w:r>
      <w:r w:rsidR="00DC7A65">
        <w:rPr>
          <w:rStyle w:val="SingleTxtGChar"/>
        </w:rPr>
        <w:t>agencies</w:t>
      </w:r>
      <w:r w:rsidR="002B2719" w:rsidRPr="003952FB">
        <w:rPr>
          <w:rStyle w:val="SingleTxtGChar"/>
        </w:rPr>
        <w:t xml:space="preserve"> have intentionally</w:t>
      </w:r>
      <w:r w:rsidR="002B2719" w:rsidRPr="002B2719">
        <w:t xml:space="preserve"> withheld </w:t>
      </w:r>
      <w:r w:rsidR="00DC7A65">
        <w:t>opi</w:t>
      </w:r>
      <w:r w:rsidR="009C73D6">
        <w:t>oid</w:t>
      </w:r>
      <w:r w:rsidR="00DC7A65">
        <w:t xml:space="preserve"> substitution </w:t>
      </w:r>
      <w:r w:rsidR="009C73D6">
        <w:t xml:space="preserve"> therapy </w:t>
      </w:r>
      <w:r w:rsidR="002B2719" w:rsidRPr="002B2719">
        <w:t>from drug dependent suspects in custody to extract confessions or obtain information, a practice</w:t>
      </w:r>
      <w:r w:rsidR="00DC7A65">
        <w:t xml:space="preserve"> that</w:t>
      </w:r>
      <w:r w:rsidR="002B2719" w:rsidRPr="002B2719">
        <w:t xml:space="preserve"> they have found to constitute torture</w:t>
      </w:r>
      <w:r w:rsidR="00003E3B">
        <w:t xml:space="preserve"> (see </w:t>
      </w:r>
      <w:r w:rsidR="00003E3B" w:rsidRPr="001B0FC1">
        <w:rPr>
          <w:szCs w:val="18"/>
          <w:lang w:val="en-US"/>
        </w:rPr>
        <w:t xml:space="preserve">A/HRC/22/53, para. </w:t>
      </w:r>
      <w:r w:rsidR="00003E3B" w:rsidRPr="002C0FEF">
        <w:rPr>
          <w:szCs w:val="18"/>
          <w:lang w:val="en-US"/>
        </w:rPr>
        <w:t xml:space="preserve">73, A/HRC/13/39/Add.2, para. 85, </w:t>
      </w:r>
      <w:r w:rsidR="002E6D6F" w:rsidRPr="002C0FEF">
        <w:rPr>
          <w:szCs w:val="18"/>
          <w:lang w:val="en-US"/>
        </w:rPr>
        <w:t xml:space="preserve">and </w:t>
      </w:r>
      <w:r w:rsidR="00003E3B" w:rsidRPr="002C0FEF">
        <w:rPr>
          <w:szCs w:val="18"/>
          <w:lang w:val="en-US"/>
        </w:rPr>
        <w:t>A/68/295, para. 68</w:t>
      </w:r>
      <w:r w:rsidR="002E6D6F" w:rsidRPr="002C0FEF">
        <w:rPr>
          <w:szCs w:val="18"/>
          <w:lang w:val="en-US"/>
        </w:rPr>
        <w:t>)</w:t>
      </w:r>
      <w:r w:rsidR="002B2719" w:rsidRPr="002B2719">
        <w:t xml:space="preserve">. The Special Rapporteur </w:t>
      </w:r>
      <w:r w:rsidR="00DC7A65">
        <w:t>on t</w:t>
      </w:r>
      <w:r w:rsidR="002B2719" w:rsidRPr="002B2719">
        <w:t xml:space="preserve">orture </w:t>
      </w:r>
      <w:r w:rsidR="00DC7A65">
        <w:t xml:space="preserve">has </w:t>
      </w:r>
      <w:r w:rsidR="002B2719" w:rsidRPr="002B2719">
        <w:t xml:space="preserve">also found </w:t>
      </w:r>
      <w:r w:rsidR="00DC7A65">
        <w:t xml:space="preserve">such a practice </w:t>
      </w:r>
      <w:r w:rsidR="002B2719" w:rsidRPr="002B2719">
        <w:t>to be torture or ill treatment</w:t>
      </w:r>
      <w:r w:rsidR="00DC7A65">
        <w:t>,</w:t>
      </w:r>
      <w:r w:rsidR="002B2719" w:rsidRPr="002B2719">
        <w:t xml:space="preserve"> in certain circumstances</w:t>
      </w:r>
      <w:r w:rsidR="00DC7A65">
        <w:t>, even when it is carried out without the intention of obtaining information</w:t>
      </w:r>
      <w:r w:rsidR="00003E3B">
        <w:t xml:space="preserve"> (see </w:t>
      </w:r>
      <w:r w:rsidR="00003E3B" w:rsidRPr="00B77D20">
        <w:rPr>
          <w:szCs w:val="18"/>
        </w:rPr>
        <w:t>A/HRC/22/53, para. 74</w:t>
      </w:r>
      <w:r w:rsidR="00003E3B">
        <w:rPr>
          <w:szCs w:val="18"/>
        </w:rPr>
        <w:t>)</w:t>
      </w:r>
      <w:r w:rsidR="002B2719" w:rsidRPr="002B2719">
        <w:t>.</w:t>
      </w:r>
    </w:p>
    <w:p w:rsidR="002822EE" w:rsidRDefault="002822EE" w:rsidP="002C0FEF">
      <w:pPr>
        <w:pStyle w:val="H1G"/>
      </w:pPr>
      <w:r>
        <w:tab/>
      </w:r>
      <w:r w:rsidRPr="002822EE">
        <w:t>C.</w:t>
      </w:r>
      <w:r>
        <w:tab/>
      </w:r>
      <w:r w:rsidRPr="002822EE">
        <w:t>Right to life</w:t>
      </w:r>
    </w:p>
    <w:p w:rsidR="002822EE" w:rsidRPr="002B2719" w:rsidRDefault="00D111EC" w:rsidP="00D111EC">
      <w:pPr>
        <w:pStyle w:val="SingleTxtG"/>
      </w:pPr>
      <w:r w:rsidRPr="002B2719">
        <w:rPr>
          <w:color w:val="000000" w:themeColor="text1"/>
        </w:rPr>
        <w:t>38.</w:t>
      </w:r>
      <w:r w:rsidRPr="002B2719">
        <w:rPr>
          <w:color w:val="000000" w:themeColor="text1"/>
        </w:rPr>
        <w:tab/>
      </w:r>
      <w:r w:rsidR="002822EE" w:rsidRPr="002B2719">
        <w:t>Article 6 of the International Covenant on Civil and Political Rights provides that, in those States which have not abolished the death penalty, the sentence of death can only be applied for the “most serious crimes”</w:t>
      </w:r>
      <w:r w:rsidR="00DC7A65">
        <w:t>.</w:t>
      </w:r>
      <w:r w:rsidR="00E05629">
        <w:t xml:space="preserve"> </w:t>
      </w:r>
      <w:r w:rsidR="002822EE" w:rsidRPr="002B2719">
        <w:t>The Human Rights Committee has determined that drug-related offences do not meet the threshold of “most serious crimes”</w:t>
      </w:r>
      <w:r w:rsidR="00003E3B">
        <w:t xml:space="preserve"> (see</w:t>
      </w:r>
      <w:r w:rsidR="00003E3B" w:rsidRPr="00BF560B">
        <w:rPr>
          <w:szCs w:val="18"/>
        </w:rPr>
        <w:t xml:space="preserve"> CCPR/C/IDN/CO/1, para. 10</w:t>
      </w:r>
      <w:r w:rsidR="00003E3B">
        <w:rPr>
          <w:szCs w:val="18"/>
        </w:rPr>
        <w:t>,</w:t>
      </w:r>
      <w:r w:rsidR="00003E3B" w:rsidRPr="00BF560B">
        <w:rPr>
          <w:szCs w:val="18"/>
        </w:rPr>
        <w:t xml:space="preserve"> CCPR/CO/84/THA, para</w:t>
      </w:r>
      <w:r w:rsidR="00003E3B">
        <w:rPr>
          <w:szCs w:val="18"/>
        </w:rPr>
        <w:t>.</w:t>
      </w:r>
      <w:r w:rsidR="00003E3B" w:rsidRPr="00BF560B">
        <w:rPr>
          <w:szCs w:val="18"/>
        </w:rPr>
        <w:t xml:space="preserve"> 14</w:t>
      </w:r>
      <w:r w:rsidR="00003E3B">
        <w:rPr>
          <w:szCs w:val="18"/>
        </w:rPr>
        <w:t xml:space="preserve">, and </w:t>
      </w:r>
      <w:r w:rsidR="00003E3B" w:rsidRPr="00BF560B">
        <w:rPr>
          <w:szCs w:val="18"/>
        </w:rPr>
        <w:t>CCPR/C/SDN/CO/3, para. 19</w:t>
      </w:r>
      <w:r w:rsidR="00003E3B">
        <w:rPr>
          <w:szCs w:val="18"/>
        </w:rPr>
        <w:t>)</w:t>
      </w:r>
      <w:r w:rsidR="002822EE" w:rsidRPr="002B2719">
        <w:t xml:space="preserve">. </w:t>
      </w:r>
      <w:r w:rsidR="002822EE">
        <w:t xml:space="preserve">The </w:t>
      </w:r>
      <w:r w:rsidR="00DC7A65">
        <w:t xml:space="preserve">United Nations </w:t>
      </w:r>
      <w:r w:rsidR="002822EE">
        <w:t>High Commissioner for Human Rights, t</w:t>
      </w:r>
      <w:r w:rsidR="002822EE" w:rsidRPr="002B2719">
        <w:t xml:space="preserve">he Special Rapporteur on </w:t>
      </w:r>
      <w:r w:rsidR="00DC7A65">
        <w:t>t</w:t>
      </w:r>
      <w:r w:rsidR="002822EE" w:rsidRPr="002B2719">
        <w:t>orture, the Special Rapporteur on extrajudicial, summary or arbitrary executions, the Economic and Social Council, the General Assembly and the Secretary-General support this interpretation</w:t>
      </w:r>
      <w:r w:rsidR="00003E3B">
        <w:t xml:space="preserve"> (see </w:t>
      </w:r>
      <w:r w:rsidR="00003E3B" w:rsidRPr="002C0FEF">
        <w:rPr>
          <w:szCs w:val="18"/>
          <w:lang w:val="en-US"/>
        </w:rPr>
        <w:t>A/HRC/10/44</w:t>
      </w:r>
      <w:r w:rsidR="002E6D6F">
        <w:rPr>
          <w:szCs w:val="18"/>
          <w:lang w:val="en-US"/>
        </w:rPr>
        <w:t xml:space="preserve"> and Corr.1</w:t>
      </w:r>
      <w:r w:rsidR="00003E3B" w:rsidRPr="002C0FEF">
        <w:rPr>
          <w:szCs w:val="18"/>
          <w:lang w:val="en-US"/>
        </w:rPr>
        <w:t xml:space="preserve">, para. 66, </w:t>
      </w:r>
      <w:r w:rsidR="00BB386E">
        <w:rPr>
          <w:szCs w:val="18"/>
        </w:rPr>
        <w:t>A/HRC/4/20, paras. 51-53</w:t>
      </w:r>
      <w:r w:rsidR="00003E3B">
        <w:rPr>
          <w:szCs w:val="18"/>
        </w:rPr>
        <w:t xml:space="preserve">, and </w:t>
      </w:r>
      <w:r w:rsidR="00003E3B" w:rsidRPr="00BF560B">
        <w:rPr>
          <w:szCs w:val="18"/>
          <w:lang w:eastAsia="en-GB"/>
        </w:rPr>
        <w:t>A/HRC/24/18, para. 24</w:t>
      </w:r>
      <w:r w:rsidR="00003E3B">
        <w:t>)</w:t>
      </w:r>
      <w:r w:rsidR="002822EE" w:rsidRPr="002B2719">
        <w:t>.</w:t>
      </w:r>
      <w:r w:rsidR="00003E3B">
        <w:rPr>
          <w:rStyle w:val="FootnoteReference"/>
        </w:rPr>
        <w:footnoteReference w:id="45"/>
      </w:r>
      <w:r w:rsidR="002822EE" w:rsidRPr="002B2719">
        <w:t xml:space="preserve"> </w:t>
      </w:r>
      <w:r w:rsidR="002822EE" w:rsidRPr="002B2719">
        <w:rPr>
          <w:bCs/>
        </w:rPr>
        <w:t xml:space="preserve">The </w:t>
      </w:r>
      <w:r w:rsidR="00DC7A65">
        <w:rPr>
          <w:bCs/>
        </w:rPr>
        <w:t>International Narcotics Control Board</w:t>
      </w:r>
      <w:r w:rsidR="00DC7A65" w:rsidRPr="002B2719">
        <w:rPr>
          <w:bCs/>
        </w:rPr>
        <w:t xml:space="preserve"> </w:t>
      </w:r>
      <w:r w:rsidR="002822EE" w:rsidRPr="002B2719">
        <w:rPr>
          <w:bCs/>
        </w:rPr>
        <w:t>has encouraged States that impose the death penalty to abolish it for drug-related offences</w:t>
      </w:r>
      <w:r w:rsidR="00003E3B">
        <w:rPr>
          <w:bCs/>
        </w:rPr>
        <w:t xml:space="preserve"> (see </w:t>
      </w:r>
      <w:r w:rsidR="00003E3B" w:rsidRPr="00BF560B">
        <w:rPr>
          <w:szCs w:val="18"/>
        </w:rPr>
        <w:t>A/HRC/27/23, para. 31</w:t>
      </w:r>
      <w:r w:rsidR="00003E3B">
        <w:rPr>
          <w:szCs w:val="18"/>
        </w:rPr>
        <w:t>)</w:t>
      </w:r>
      <w:r w:rsidR="002822EE" w:rsidRPr="002B2719">
        <w:rPr>
          <w:bCs/>
        </w:rPr>
        <w:t>.</w:t>
      </w:r>
    </w:p>
    <w:p w:rsidR="002822EE" w:rsidRPr="002B2719" w:rsidRDefault="00D111EC" w:rsidP="00D111EC">
      <w:pPr>
        <w:pStyle w:val="SingleTxtG"/>
      </w:pPr>
      <w:r w:rsidRPr="002B2719">
        <w:rPr>
          <w:color w:val="000000" w:themeColor="text1"/>
        </w:rPr>
        <w:t>39.</w:t>
      </w:r>
      <w:r w:rsidRPr="002B2719">
        <w:rPr>
          <w:color w:val="000000" w:themeColor="text1"/>
        </w:rPr>
        <w:tab/>
      </w:r>
      <w:r w:rsidR="002822EE" w:rsidRPr="002B2719">
        <w:t>Nevertheless, it has been estimated that 33 countries or territories continue to impose the death penalty for drug-related offences, resulting in approximately 1,000 executions annually.</w:t>
      </w:r>
      <w:r w:rsidR="002822EE" w:rsidRPr="00E05629">
        <w:rPr>
          <w:rStyle w:val="FootnoteReference"/>
        </w:rPr>
        <w:footnoteReference w:id="46"/>
      </w:r>
      <w:r w:rsidR="002822EE" w:rsidRPr="002B2719">
        <w:t xml:space="preserve"> Drug</w:t>
      </w:r>
      <w:r w:rsidR="002822EE">
        <w:t>-related</w:t>
      </w:r>
      <w:r w:rsidR="002822EE" w:rsidRPr="002B2719">
        <w:t xml:space="preserve"> offences account for the majority of executions carried out in some countries and are mandatorily punished by death in a number of States</w:t>
      </w:r>
      <w:r w:rsidR="0065732E">
        <w:t xml:space="preserve"> (see </w:t>
      </w:r>
      <w:r w:rsidR="0065732E" w:rsidRPr="00BF560B">
        <w:rPr>
          <w:szCs w:val="18"/>
        </w:rPr>
        <w:t>E/2015/49</w:t>
      </w:r>
      <w:r w:rsidR="00284DE1">
        <w:rPr>
          <w:szCs w:val="18"/>
        </w:rPr>
        <w:t xml:space="preserve"> and Corr.1</w:t>
      </w:r>
      <w:r w:rsidR="0065732E" w:rsidRPr="00BF560B">
        <w:rPr>
          <w:szCs w:val="18"/>
        </w:rPr>
        <w:t>, para. 72</w:t>
      </w:r>
      <w:r w:rsidR="0065732E">
        <w:rPr>
          <w:szCs w:val="18"/>
        </w:rPr>
        <w:t>)</w:t>
      </w:r>
      <w:r w:rsidR="002822EE" w:rsidRPr="002B2719">
        <w:t>.</w:t>
      </w:r>
      <w:r w:rsidR="0065732E">
        <w:rPr>
          <w:rStyle w:val="FootnoteReference"/>
        </w:rPr>
        <w:footnoteReference w:id="47"/>
      </w:r>
      <w:r w:rsidR="002822EE" w:rsidRPr="002B2719">
        <w:t xml:space="preserve"> </w:t>
      </w:r>
    </w:p>
    <w:p w:rsidR="002822EE" w:rsidRPr="002B2719" w:rsidRDefault="00D111EC" w:rsidP="00D111EC">
      <w:pPr>
        <w:pStyle w:val="SingleTxtG"/>
      </w:pPr>
      <w:r w:rsidRPr="002B2719">
        <w:rPr>
          <w:color w:val="000000" w:themeColor="text1"/>
        </w:rPr>
        <w:t>40.</w:t>
      </w:r>
      <w:r w:rsidRPr="002B2719">
        <w:rPr>
          <w:color w:val="000000" w:themeColor="text1"/>
        </w:rPr>
        <w:tab/>
      </w:r>
      <w:r w:rsidR="002822EE" w:rsidRPr="002B2719">
        <w:t>Human rights organizations have expressed concern about international funding and technical assistance for drug control programmes in States that retain the death penalty for drug-related offences.</w:t>
      </w:r>
      <w:r w:rsidR="002822EE" w:rsidRPr="00E05629">
        <w:rPr>
          <w:rStyle w:val="FootnoteReference"/>
        </w:rPr>
        <w:footnoteReference w:id="48"/>
      </w:r>
      <w:r w:rsidR="00E05629">
        <w:t xml:space="preserve"> </w:t>
      </w:r>
      <w:r w:rsidR="002822EE" w:rsidRPr="002B2719">
        <w:t>UNODC, which opposes the death penalty, has stated that if “a country actively continues to apply the death penalty for drug offences, UNODC places itself in a very vulnerable position vis-à-vis its responsibility to respect human rights if it maintains support to law enforcement units, prosecutors or courts within the criminal justice system”.</w:t>
      </w:r>
      <w:r w:rsidR="00E05629">
        <w:t xml:space="preserve"> </w:t>
      </w:r>
      <w:r w:rsidR="002822EE" w:rsidRPr="002B2719">
        <w:t>It noted that “at the very least, continued support in such circumstances can be perceived as legitimizing government action</w:t>
      </w:r>
      <w:r w:rsidR="00DC7A65">
        <w:t>s</w:t>
      </w:r>
      <w:r w:rsidR="002822EE" w:rsidRPr="002B2719">
        <w:t>. If, following requests for guarantees and high-level political intervention, executions for drug-related offences continue, UNODC may have no choice but to employ a temporary freeze or withdrawal of support”.</w:t>
      </w:r>
      <w:r w:rsidR="002822EE" w:rsidRPr="00E05629">
        <w:rPr>
          <w:rStyle w:val="FootnoteReference"/>
        </w:rPr>
        <w:footnoteReference w:id="49"/>
      </w:r>
      <w:r w:rsidR="00E05629">
        <w:t xml:space="preserve"> </w:t>
      </w:r>
      <w:r w:rsidR="002822EE" w:rsidRPr="002B2719">
        <w:t>The European Union has emphasized that actions such as legal, financial or other technical assistance to third countries should not contribute to the use of the death penalty, and specifically indicate</w:t>
      </w:r>
      <w:r w:rsidR="0088643A">
        <w:t>d</w:t>
      </w:r>
      <w:r w:rsidR="002822EE" w:rsidRPr="002B2719">
        <w:t xml:space="preserve"> that the death penalty should not be imposed for drug-related crimes.</w:t>
      </w:r>
      <w:r w:rsidR="0065732E">
        <w:rPr>
          <w:rStyle w:val="FootnoteReference"/>
        </w:rPr>
        <w:footnoteReference w:id="50"/>
      </w:r>
      <w:r w:rsidR="00E05629">
        <w:t xml:space="preserve"> </w:t>
      </w:r>
    </w:p>
    <w:p w:rsidR="002822EE" w:rsidRPr="002C0FEF" w:rsidRDefault="00D111EC" w:rsidP="00D111EC">
      <w:pPr>
        <w:pStyle w:val="SingleTxtG"/>
        <w:rPr>
          <w:iCs/>
        </w:rPr>
      </w:pPr>
      <w:r w:rsidRPr="002C0FEF">
        <w:rPr>
          <w:iCs/>
          <w:color w:val="000000" w:themeColor="text1"/>
        </w:rPr>
        <w:t>41.</w:t>
      </w:r>
      <w:r w:rsidRPr="002C0FEF">
        <w:rPr>
          <w:iCs/>
          <w:color w:val="000000" w:themeColor="text1"/>
        </w:rPr>
        <w:tab/>
      </w:r>
      <w:r w:rsidR="002822EE" w:rsidRPr="002B2719">
        <w:t>The Special Rapporteur on extrajudicial, summary or arbitrary executions has expressed concern about extrajudicial executions against people in the war on drugs</w:t>
      </w:r>
      <w:r w:rsidR="0065732E">
        <w:t xml:space="preserve"> (see </w:t>
      </w:r>
      <w:r w:rsidR="00284DE1" w:rsidRPr="00284DE1">
        <w:rPr>
          <w:szCs w:val="18"/>
          <w:lang w:val="en-US"/>
        </w:rPr>
        <w:t>A/HRC/26/36/</w:t>
      </w:r>
      <w:r w:rsidR="0065732E" w:rsidRPr="002C0FEF">
        <w:rPr>
          <w:szCs w:val="18"/>
          <w:lang w:val="en-US"/>
        </w:rPr>
        <w:t xml:space="preserve">Add.1, para. </w:t>
      </w:r>
      <w:r w:rsidR="0065732E" w:rsidRPr="000D6659">
        <w:rPr>
          <w:szCs w:val="18"/>
        </w:rPr>
        <w:t>8</w:t>
      </w:r>
      <w:r w:rsidR="0065732E">
        <w:t>)</w:t>
      </w:r>
      <w:r w:rsidR="002822EE" w:rsidRPr="002B2719">
        <w:t xml:space="preserve">, a concern voiced </w:t>
      </w:r>
      <w:r w:rsidR="0065732E">
        <w:t xml:space="preserve">also </w:t>
      </w:r>
      <w:r w:rsidR="002822EE" w:rsidRPr="002B2719">
        <w:t xml:space="preserve">by States and </w:t>
      </w:r>
      <w:r w:rsidR="0088643A">
        <w:t>non-governmental organizations</w:t>
      </w:r>
      <w:r w:rsidR="002822EE" w:rsidRPr="002B2719">
        <w:t>.</w:t>
      </w:r>
      <w:r w:rsidR="002822EE" w:rsidRPr="00E05629">
        <w:rPr>
          <w:rStyle w:val="FootnoteReference"/>
        </w:rPr>
        <w:footnoteReference w:id="51"/>
      </w:r>
      <w:r w:rsidR="00E05629">
        <w:t xml:space="preserve"> </w:t>
      </w:r>
      <w:r w:rsidR="002822EE" w:rsidRPr="002B2719">
        <w:t>Impunity for extrajudicial killings is also a source of concern in operations aimed at the drug trade</w:t>
      </w:r>
      <w:r w:rsidR="002822EE">
        <w:t>.</w:t>
      </w:r>
      <w:r w:rsidR="002822EE" w:rsidRPr="002B2719">
        <w:t xml:space="preserve"> </w:t>
      </w:r>
      <w:r w:rsidR="002822EE">
        <w:t>T</w:t>
      </w:r>
      <w:r w:rsidR="002822EE" w:rsidRPr="002B2719">
        <w:t xml:space="preserve">he Special Rapporteur on </w:t>
      </w:r>
      <w:r w:rsidR="0088643A">
        <w:t>t</w:t>
      </w:r>
      <w:r w:rsidR="002822EE" w:rsidRPr="002B2719">
        <w:t>orture has criticized ineffective investigations and relative impunity for actors alleged to have committed such human rights violations</w:t>
      </w:r>
      <w:r w:rsidR="002822EE">
        <w:t xml:space="preserve">, and the </w:t>
      </w:r>
      <w:r w:rsidR="0088643A">
        <w:t xml:space="preserve">United Nations </w:t>
      </w:r>
      <w:r w:rsidR="002822EE">
        <w:t>High Commissioner for Human Rights has stressed the need for accountability for gross violations of human rights</w:t>
      </w:r>
      <w:r w:rsidR="00062F11">
        <w:t xml:space="preserve"> (see </w:t>
      </w:r>
      <w:r w:rsidR="00062F11" w:rsidRPr="000D6659">
        <w:rPr>
          <w:szCs w:val="18"/>
        </w:rPr>
        <w:t>A/HRC/11/2/Add.2, paras. 33</w:t>
      </w:r>
      <w:r w:rsidR="00062F11">
        <w:rPr>
          <w:szCs w:val="18"/>
        </w:rPr>
        <w:t xml:space="preserve"> and</w:t>
      </w:r>
      <w:r w:rsidR="00062F11" w:rsidRPr="000D6659">
        <w:rPr>
          <w:szCs w:val="18"/>
        </w:rPr>
        <w:t xml:space="preserve"> 53, </w:t>
      </w:r>
      <w:r w:rsidR="00062F11">
        <w:rPr>
          <w:szCs w:val="18"/>
        </w:rPr>
        <w:t xml:space="preserve">and </w:t>
      </w:r>
      <w:r w:rsidR="00062F11" w:rsidRPr="000D6659">
        <w:rPr>
          <w:szCs w:val="18"/>
        </w:rPr>
        <w:t>A/HRC/26/36/Add.1, paras. 81, 111</w:t>
      </w:r>
      <w:r w:rsidR="00062F11">
        <w:rPr>
          <w:szCs w:val="18"/>
        </w:rPr>
        <w:t xml:space="preserve"> and</w:t>
      </w:r>
      <w:r w:rsidR="00062F11" w:rsidRPr="000D6659">
        <w:rPr>
          <w:szCs w:val="18"/>
        </w:rPr>
        <w:t xml:space="preserve"> 117</w:t>
      </w:r>
      <w:r w:rsidR="00062F11">
        <w:rPr>
          <w:szCs w:val="18"/>
        </w:rPr>
        <w:t>)</w:t>
      </w:r>
      <w:r w:rsidR="002822EE">
        <w:t>.</w:t>
      </w:r>
      <w:r w:rsidR="002822EE" w:rsidRPr="00E05629">
        <w:rPr>
          <w:rStyle w:val="FootnoteReference"/>
        </w:rPr>
        <w:footnoteReference w:id="52"/>
      </w:r>
    </w:p>
    <w:p w:rsidR="002B2719" w:rsidRPr="00837D98" w:rsidRDefault="003952FB">
      <w:pPr>
        <w:pStyle w:val="H1G"/>
      </w:pPr>
      <w:r>
        <w:tab/>
      </w:r>
      <w:r w:rsidR="00AF7DB0">
        <w:t>D</w:t>
      </w:r>
      <w:r>
        <w:t>.</w:t>
      </w:r>
      <w:r>
        <w:tab/>
      </w:r>
      <w:r w:rsidR="0093537D">
        <w:t>R</w:t>
      </w:r>
      <w:r w:rsidR="002B2719" w:rsidRPr="002B2719">
        <w:t xml:space="preserve">ight to </w:t>
      </w:r>
      <w:r w:rsidR="0088643A">
        <w:t xml:space="preserve">a </w:t>
      </w:r>
      <w:r w:rsidR="002B2719" w:rsidRPr="002B2719">
        <w:t xml:space="preserve">fair trial </w:t>
      </w:r>
    </w:p>
    <w:p w:rsidR="002B2719" w:rsidRPr="002B2719" w:rsidRDefault="00D111EC" w:rsidP="00D111EC">
      <w:pPr>
        <w:pStyle w:val="SingleTxtG"/>
      </w:pPr>
      <w:r w:rsidRPr="002B2719">
        <w:rPr>
          <w:color w:val="000000" w:themeColor="text1"/>
        </w:rPr>
        <w:t>42.</w:t>
      </w:r>
      <w:r w:rsidRPr="002B2719">
        <w:rPr>
          <w:color w:val="000000" w:themeColor="text1"/>
        </w:rPr>
        <w:tab/>
      </w:r>
      <w:r w:rsidR="002B2719" w:rsidRPr="002B2719">
        <w:t>In some States, law enforcement</w:t>
      </w:r>
      <w:r w:rsidR="0088643A">
        <w:t xml:space="preserve"> responsibility</w:t>
      </w:r>
      <w:r w:rsidR="002B2719" w:rsidRPr="002B2719">
        <w:t xml:space="preserve"> for drug</w:t>
      </w:r>
      <w:r w:rsidR="00F00B42">
        <w:t>-related</w:t>
      </w:r>
      <w:r w:rsidR="002B2719" w:rsidRPr="002B2719">
        <w:t xml:space="preserve"> offences has been reportedly shared with or transferred to the military, often resulting in </w:t>
      </w:r>
      <w:r w:rsidR="0088643A">
        <w:t xml:space="preserve">an </w:t>
      </w:r>
      <w:r w:rsidR="002B2719" w:rsidRPr="002B2719">
        <w:t>excessive use of violence.</w:t>
      </w:r>
      <w:r w:rsidR="002B2719" w:rsidRPr="00E05629">
        <w:rPr>
          <w:rStyle w:val="FootnoteReference"/>
        </w:rPr>
        <w:footnoteReference w:id="53"/>
      </w:r>
      <w:r w:rsidR="00E05629">
        <w:t xml:space="preserve"> </w:t>
      </w:r>
      <w:r w:rsidR="002B2719" w:rsidRPr="002B2719">
        <w:t xml:space="preserve">It has been reported </w:t>
      </w:r>
      <w:r w:rsidR="00C80242">
        <w:t>that</w:t>
      </w:r>
      <w:r w:rsidR="002B2719" w:rsidRPr="002B2719">
        <w:t xml:space="preserve"> people accused of drug-related offenses have been tried before military courts or special courts that may fall short of fair trial standards.</w:t>
      </w:r>
      <w:r w:rsidR="002B2719" w:rsidRPr="00E05629">
        <w:rPr>
          <w:rStyle w:val="FootnoteReference"/>
        </w:rPr>
        <w:footnoteReference w:id="54"/>
      </w:r>
      <w:r w:rsidR="00E05629">
        <w:t xml:space="preserve"> </w:t>
      </w:r>
      <w:r w:rsidR="002B2719" w:rsidRPr="002B2719">
        <w:t xml:space="preserve">Concerning the trial of persons in military or special courts, the Human Rights Committee has said that </w:t>
      </w:r>
      <w:r w:rsidR="00C80242">
        <w:t>civilians should be tried in the</w:t>
      </w:r>
      <w:r w:rsidR="002B2719" w:rsidRPr="002B2719">
        <w:t xml:space="preserve"> ordinary courts, subject to narrowly defined exceptional circumstances, and that </w:t>
      </w:r>
      <w:r w:rsidR="00C779CE">
        <w:t>the</w:t>
      </w:r>
      <w:r w:rsidR="002B2719" w:rsidRPr="002B2719">
        <w:t xml:space="preserve"> protections of the </w:t>
      </w:r>
      <w:r w:rsidR="00F27CFD" w:rsidRPr="002B2719">
        <w:t xml:space="preserve">International Covenant on Civil and Political Rights </w:t>
      </w:r>
      <w:r w:rsidR="002B2719" w:rsidRPr="002B2719">
        <w:t xml:space="preserve">cannot be </w:t>
      </w:r>
      <w:r w:rsidR="00C779CE">
        <w:t>limited or modified</w:t>
      </w:r>
      <w:r w:rsidR="002B2719" w:rsidRPr="002B2719">
        <w:t xml:space="preserve"> because of the military or special character of the court.</w:t>
      </w:r>
      <w:r w:rsidR="002B2719" w:rsidRPr="00E05629">
        <w:rPr>
          <w:rStyle w:val="FootnoteReference"/>
        </w:rPr>
        <w:footnoteReference w:id="55"/>
      </w:r>
      <w:r w:rsidR="00B77D20">
        <w:t xml:space="preserve"> </w:t>
      </w:r>
    </w:p>
    <w:p w:rsidR="002B2719" w:rsidRPr="002B2719" w:rsidRDefault="00D111EC" w:rsidP="00D111EC">
      <w:pPr>
        <w:pStyle w:val="SingleTxtG"/>
      </w:pPr>
      <w:r w:rsidRPr="002B2719">
        <w:rPr>
          <w:color w:val="000000" w:themeColor="text1"/>
        </w:rPr>
        <w:t>43.</w:t>
      </w:r>
      <w:r w:rsidRPr="002B2719">
        <w:rPr>
          <w:color w:val="000000" w:themeColor="text1"/>
        </w:rPr>
        <w:tab/>
      </w:r>
      <w:r w:rsidR="002B2719" w:rsidRPr="002B2719">
        <w:t>In some States, it has been reported that accused persons may be given a choice between serving a sentence after conviction or submitting to drug treatment.</w:t>
      </w:r>
      <w:r w:rsidR="00E05629">
        <w:t xml:space="preserve"> </w:t>
      </w:r>
      <w:r w:rsidR="00C779CE">
        <w:t>Bearing in mind the right of a person to refuse treatment, this practice may be a cause for concern, in particular given the level of coercion involved.</w:t>
      </w:r>
      <w:r w:rsidR="00F857C3" w:rsidRPr="00E05629">
        <w:rPr>
          <w:rStyle w:val="FootnoteReference"/>
        </w:rPr>
        <w:footnoteReference w:id="56"/>
      </w:r>
      <w:r w:rsidR="00C779CE">
        <w:t xml:space="preserve"> </w:t>
      </w:r>
      <w:r w:rsidR="002B2719" w:rsidRPr="002B2719">
        <w:t>Some States subject individuals to additional penal measures unless the treatment is successful, ignoring the particular circumstances of each individual’s condition and that treatment for drug dependence has been characterized by medical professionals as often involving relapse on one or more occasions or requiring several types of treatment.</w:t>
      </w:r>
      <w:r w:rsidR="002B2719" w:rsidRPr="00E05629">
        <w:rPr>
          <w:rStyle w:val="FootnoteReference"/>
        </w:rPr>
        <w:footnoteReference w:id="57"/>
      </w:r>
      <w:r w:rsidR="00E05629">
        <w:t xml:space="preserve"> </w:t>
      </w:r>
      <w:r w:rsidR="002B2719" w:rsidRPr="002B2719">
        <w:t>The Working Group on Arbitrary Detention has determined that when treatment is undertaken as an alternative to incarceration</w:t>
      </w:r>
      <w:r w:rsidR="00C80242">
        <w:t>,</w:t>
      </w:r>
      <w:r w:rsidR="002B2719" w:rsidRPr="002B2719">
        <w:t xml:space="preserve"> under no circumstances may it extend beyond the period of the criminal sentence</w:t>
      </w:r>
      <w:r w:rsidR="00062F11">
        <w:t xml:space="preserve"> (see </w:t>
      </w:r>
      <w:r w:rsidR="00062F11" w:rsidRPr="002C0FEF">
        <w:rPr>
          <w:lang w:val="en-US"/>
        </w:rPr>
        <w:t>A/HRC/4/40/Add.2, para. 74)</w:t>
      </w:r>
      <w:r w:rsidR="002B2719" w:rsidRPr="002B2719">
        <w:t>.</w:t>
      </w:r>
    </w:p>
    <w:p w:rsidR="002B2719" w:rsidRPr="002B2719" w:rsidRDefault="00D111EC" w:rsidP="00D111EC">
      <w:pPr>
        <w:pStyle w:val="SingleTxtG"/>
      </w:pPr>
      <w:r w:rsidRPr="002B2719">
        <w:rPr>
          <w:color w:val="000000" w:themeColor="text1"/>
        </w:rPr>
        <w:t>44.</w:t>
      </w:r>
      <w:r w:rsidRPr="002B2719">
        <w:rPr>
          <w:color w:val="000000" w:themeColor="text1"/>
        </w:rPr>
        <w:tab/>
      </w:r>
      <w:r w:rsidR="002B2719" w:rsidRPr="002B2719">
        <w:t>Some States do not allow persons convicted for drug</w:t>
      </w:r>
      <w:r w:rsidR="00F00B42">
        <w:t>-related</w:t>
      </w:r>
      <w:r w:rsidR="002B2719" w:rsidRPr="002B2719">
        <w:t xml:space="preserve"> offences to be considered for suspended sentence, parole, pardon or amnesty that are available to those convicted of different crimes.</w:t>
      </w:r>
      <w:r w:rsidR="002B2719" w:rsidRPr="00E05629">
        <w:rPr>
          <w:rStyle w:val="FootnoteReference"/>
        </w:rPr>
        <w:footnoteReference w:id="58"/>
      </w:r>
      <w:r w:rsidR="002B2719" w:rsidRPr="002B2719">
        <w:t xml:space="preserve"> The Working Group on Arbitrary Detention has recommended that States amend their laws if they include provisions to th</w:t>
      </w:r>
      <w:r w:rsidR="0088643A">
        <w:t>at</w:t>
      </w:r>
      <w:r w:rsidR="002B2719" w:rsidRPr="002B2719">
        <w:t xml:space="preserve"> effect</w:t>
      </w:r>
      <w:r w:rsidR="00062F11">
        <w:t xml:space="preserve"> (see </w:t>
      </w:r>
      <w:r w:rsidR="00062F11" w:rsidRPr="002C0FEF">
        <w:rPr>
          <w:lang w:val="en-US"/>
        </w:rPr>
        <w:t xml:space="preserve">A/HRC//4/40/Add.3, para. </w:t>
      </w:r>
      <w:r w:rsidR="00062F11" w:rsidRPr="00D111EC">
        <w:rPr>
          <w:lang w:val="en-US"/>
        </w:rPr>
        <w:t>102 (c))</w:t>
      </w:r>
      <w:r w:rsidR="002B2719" w:rsidRPr="002B2719">
        <w:t>.</w:t>
      </w:r>
    </w:p>
    <w:p w:rsidR="002B2719" w:rsidRPr="002B2719" w:rsidRDefault="00D111EC" w:rsidP="00D111EC">
      <w:pPr>
        <w:pStyle w:val="SingleTxtG"/>
      </w:pPr>
      <w:r w:rsidRPr="002B2719">
        <w:rPr>
          <w:color w:val="000000" w:themeColor="text1"/>
        </w:rPr>
        <w:t>45.</w:t>
      </w:r>
      <w:r w:rsidRPr="002B2719">
        <w:rPr>
          <w:color w:val="000000" w:themeColor="text1"/>
        </w:rPr>
        <w:tab/>
      </w:r>
      <w:r w:rsidR="002B2719" w:rsidRPr="004676F8">
        <w:t>The focus on arresting and imprisoning drug users for possession or use small</w:t>
      </w:r>
      <w:r w:rsidR="002B2719" w:rsidRPr="002B2719">
        <w:t xml:space="preserve"> amounts has </w:t>
      </w:r>
      <w:r w:rsidR="00E06DDB">
        <w:t xml:space="preserve">often </w:t>
      </w:r>
      <w:r w:rsidR="002B2719" w:rsidRPr="002B2719">
        <w:t xml:space="preserve">resulted in </w:t>
      </w:r>
      <w:r w:rsidR="00E06DDB">
        <w:t>prolonged pretrial detention, and</w:t>
      </w:r>
      <w:r w:rsidR="002B2719" w:rsidRPr="002B2719">
        <w:t xml:space="preserve"> persons </w:t>
      </w:r>
      <w:r w:rsidR="00E06DDB">
        <w:t xml:space="preserve">convicted of drug-related offences frequently </w:t>
      </w:r>
      <w:r w:rsidR="002B2719" w:rsidRPr="002B2719">
        <w:t>constitut</w:t>
      </w:r>
      <w:r w:rsidR="00E06DDB">
        <w:t>e</w:t>
      </w:r>
      <w:r w:rsidR="002B2719" w:rsidRPr="002B2719">
        <w:t xml:space="preserve"> a very high percentage of total prisoners in many countries.</w:t>
      </w:r>
      <w:r w:rsidR="00E05629">
        <w:t xml:space="preserve"> </w:t>
      </w:r>
      <w:r w:rsidR="002B2719" w:rsidRPr="002B2719">
        <w:t>Mandatory sentencing and disproportionately long sentences for drug possession or use have often resulted in sentences longer than those for serious crimes such as murder, rape, kidnapping or bank robbery, and have contributed to overincarceration and prison overcrowding.</w:t>
      </w:r>
      <w:r w:rsidR="002B2719" w:rsidRPr="00E05629">
        <w:rPr>
          <w:rStyle w:val="FootnoteReference"/>
        </w:rPr>
        <w:footnoteReference w:id="59"/>
      </w:r>
      <w:r w:rsidR="00E05629">
        <w:t xml:space="preserve"> </w:t>
      </w:r>
      <w:r w:rsidR="002B2719" w:rsidRPr="002B2719">
        <w:t>The Working Group on Arbitrary Detention has called for reform to ensure that sentences for drug</w:t>
      </w:r>
      <w:r w:rsidR="00F00B42">
        <w:t>-related</w:t>
      </w:r>
      <w:r w:rsidR="002B2719" w:rsidRPr="002B2719">
        <w:t xml:space="preserve"> offences are proportionate to the nature of the crime</w:t>
      </w:r>
      <w:r w:rsidR="009467D4">
        <w:t xml:space="preserve"> (see </w:t>
      </w:r>
      <w:r w:rsidR="009467D4" w:rsidRPr="002C0FEF">
        <w:rPr>
          <w:lang w:val="en-US"/>
        </w:rPr>
        <w:t>E/CN.4/2003/8/Add.3, paras. 44</w:t>
      </w:r>
      <w:r w:rsidR="00A563A8" w:rsidRPr="002C0FEF">
        <w:rPr>
          <w:lang w:val="en-US"/>
        </w:rPr>
        <w:t xml:space="preserve"> and</w:t>
      </w:r>
      <w:r w:rsidR="009467D4" w:rsidRPr="002C0FEF">
        <w:rPr>
          <w:lang w:val="en-US"/>
        </w:rPr>
        <w:t xml:space="preserve"> 72</w:t>
      </w:r>
      <w:r w:rsidR="00A563A8" w:rsidRPr="002C0FEF">
        <w:rPr>
          <w:lang w:val="en-US"/>
        </w:rPr>
        <w:t xml:space="preserve"> </w:t>
      </w:r>
      <w:r w:rsidR="009467D4" w:rsidRPr="002C0FEF">
        <w:rPr>
          <w:lang w:val="en-US"/>
        </w:rPr>
        <w:t>(a)</w:t>
      </w:r>
      <w:r w:rsidR="00A563A8" w:rsidRPr="002C0FEF">
        <w:rPr>
          <w:lang w:val="en-US"/>
        </w:rPr>
        <w:t>,</w:t>
      </w:r>
      <w:r w:rsidR="009467D4" w:rsidRPr="002C0FEF">
        <w:rPr>
          <w:lang w:val="en-US"/>
        </w:rPr>
        <w:t xml:space="preserve"> A/HRC/4/40</w:t>
      </w:r>
      <w:r w:rsidR="00F76288">
        <w:rPr>
          <w:lang w:val="en-US"/>
        </w:rPr>
        <w:t>/</w:t>
      </w:r>
      <w:r w:rsidR="009467D4" w:rsidRPr="002C0FEF">
        <w:rPr>
          <w:lang w:val="en-US"/>
        </w:rPr>
        <w:t>Add.4, paras. 47</w:t>
      </w:r>
      <w:r w:rsidR="00A563A8">
        <w:rPr>
          <w:lang w:val="en-US"/>
        </w:rPr>
        <w:t xml:space="preserve"> and</w:t>
      </w:r>
      <w:r w:rsidR="009467D4" w:rsidRPr="002C0FEF">
        <w:rPr>
          <w:lang w:val="en-US"/>
        </w:rPr>
        <w:t xml:space="preserve"> 87</w:t>
      </w:r>
      <w:r w:rsidR="00A563A8">
        <w:rPr>
          <w:lang w:val="en-US"/>
        </w:rPr>
        <w:t>, and</w:t>
      </w:r>
      <w:r w:rsidR="009467D4" w:rsidRPr="002C0FEF">
        <w:rPr>
          <w:lang w:val="en-US"/>
        </w:rPr>
        <w:t xml:space="preserve"> A/HRC/22/44/</w:t>
      </w:r>
      <w:r w:rsidR="00F76288">
        <w:rPr>
          <w:lang w:val="en-US"/>
        </w:rPr>
        <w:t>A</w:t>
      </w:r>
      <w:r w:rsidR="009467D4" w:rsidRPr="002C0FEF">
        <w:rPr>
          <w:lang w:val="en-US"/>
        </w:rPr>
        <w:t>dd.2, para. 125</w:t>
      </w:r>
      <w:r w:rsidR="009467D4">
        <w:rPr>
          <w:lang w:val="en-US"/>
        </w:rPr>
        <w:t>)</w:t>
      </w:r>
      <w:r w:rsidR="002B2719" w:rsidRPr="002B2719">
        <w:t>.</w:t>
      </w:r>
      <w:r w:rsidR="00E05629">
        <w:t xml:space="preserve"> </w:t>
      </w:r>
      <w:r w:rsidR="002B2719" w:rsidRPr="002B2719">
        <w:t>The Working Group has found that overincarceration for drug</w:t>
      </w:r>
      <w:r w:rsidR="00F00B42">
        <w:t>-related</w:t>
      </w:r>
      <w:r w:rsidR="002B2719" w:rsidRPr="002B2719">
        <w:t xml:space="preserve"> offences contributes significantly to prison overcrowding and that overcrowding can call into question compliance with article 10 of the </w:t>
      </w:r>
      <w:r w:rsidR="00F27CFD" w:rsidRPr="002B2719">
        <w:t>International Covenant on Civil and Political Rights</w:t>
      </w:r>
      <w:r w:rsidR="0088643A">
        <w:t>,</w:t>
      </w:r>
      <w:r w:rsidR="00F27CFD" w:rsidRPr="002B2719">
        <w:t xml:space="preserve"> </w:t>
      </w:r>
      <w:r w:rsidR="002B2719" w:rsidRPr="002B2719">
        <w:t>which guarantees that everyone in detention shall be treated with humanity and respect for their dignity</w:t>
      </w:r>
      <w:r w:rsidR="00A563A8">
        <w:t xml:space="preserve"> (see </w:t>
      </w:r>
      <w:r w:rsidR="00A563A8" w:rsidRPr="002C0FEF">
        <w:rPr>
          <w:szCs w:val="18"/>
          <w:lang w:val="en-US"/>
        </w:rPr>
        <w:t xml:space="preserve">E//CN.4//2003/8/Add.3, para. 44, A/HRC/4/40/Add.3, para. 64, and A/HRC/4/40, paras. </w:t>
      </w:r>
      <w:r w:rsidR="00A563A8" w:rsidRPr="008A55FC">
        <w:rPr>
          <w:szCs w:val="18"/>
        </w:rPr>
        <w:t>59-80</w:t>
      </w:r>
      <w:r w:rsidR="00A563A8">
        <w:rPr>
          <w:szCs w:val="18"/>
        </w:rPr>
        <w:t>)</w:t>
      </w:r>
      <w:r w:rsidR="002B2719" w:rsidRPr="002B2719">
        <w:t>.</w:t>
      </w:r>
      <w:r w:rsidR="006A53C2">
        <w:t xml:space="preserve"> </w:t>
      </w:r>
    </w:p>
    <w:p w:rsidR="002B2719" w:rsidRPr="00837D98" w:rsidRDefault="006A53C2">
      <w:pPr>
        <w:pStyle w:val="H1G"/>
      </w:pPr>
      <w:r>
        <w:tab/>
      </w:r>
      <w:r w:rsidR="00AF7DB0">
        <w:t>E</w:t>
      </w:r>
      <w:r>
        <w:t>.</w:t>
      </w:r>
      <w:r>
        <w:tab/>
      </w:r>
      <w:r w:rsidR="00FA12D6">
        <w:t>Human rights violations in c</w:t>
      </w:r>
      <w:r w:rsidR="0093537D">
        <w:t xml:space="preserve">ompulsory detention </w:t>
      </w:r>
      <w:r w:rsidR="002B2719" w:rsidRPr="002B2719">
        <w:t>centres</w:t>
      </w:r>
    </w:p>
    <w:p w:rsidR="002B2719" w:rsidRPr="002B2719" w:rsidRDefault="00D111EC" w:rsidP="00D111EC">
      <w:pPr>
        <w:pStyle w:val="SingleTxtG"/>
      </w:pPr>
      <w:r w:rsidRPr="002B2719">
        <w:rPr>
          <w:color w:val="000000" w:themeColor="text1"/>
        </w:rPr>
        <w:t>46.</w:t>
      </w:r>
      <w:r w:rsidRPr="002B2719">
        <w:rPr>
          <w:color w:val="000000" w:themeColor="text1"/>
        </w:rPr>
        <w:tab/>
      </w:r>
      <w:r w:rsidR="002B2719" w:rsidRPr="002B2719">
        <w:t>Persons who use drugs or who are suspected of using drugs may be confined in compulsory drug detention and rehabilitation centres without trial or an evaluation of their drug dependency, often for months or years, and frequently outside the supervision of the criminal justice.</w:t>
      </w:r>
      <w:r w:rsidR="002B2719" w:rsidRPr="00E05629">
        <w:rPr>
          <w:rStyle w:val="FootnoteReference"/>
        </w:rPr>
        <w:footnoteReference w:id="60"/>
      </w:r>
      <w:r w:rsidR="008A55FC">
        <w:t xml:space="preserve"> </w:t>
      </w:r>
    </w:p>
    <w:p w:rsidR="002B2719" w:rsidRPr="002B2719" w:rsidRDefault="00D111EC" w:rsidP="00D111EC">
      <w:pPr>
        <w:pStyle w:val="SingleTxtG"/>
      </w:pPr>
      <w:r w:rsidRPr="002B2719">
        <w:rPr>
          <w:color w:val="000000" w:themeColor="text1"/>
        </w:rPr>
        <w:t>47.</w:t>
      </w:r>
      <w:r w:rsidRPr="002B2719">
        <w:rPr>
          <w:color w:val="000000" w:themeColor="text1"/>
        </w:rPr>
        <w:tab/>
      </w:r>
      <w:r w:rsidR="002B2719" w:rsidRPr="002B2719">
        <w:t xml:space="preserve">Compulsory drug detention and rehabilitation centres, sometimes referred to as re-education through labour centres, typically subject detainees to long hours of physically strenuous exercise, physical and verbal abuse, beatings, solitary confinement and enforced labour, according to the Special Rapporteur </w:t>
      </w:r>
      <w:r w:rsidR="0088643A">
        <w:t>on</w:t>
      </w:r>
      <w:r w:rsidR="0088643A" w:rsidRPr="002B2719">
        <w:t xml:space="preserve"> </w:t>
      </w:r>
      <w:r w:rsidR="0088643A">
        <w:t>t</w:t>
      </w:r>
      <w:r w:rsidR="002B2719" w:rsidRPr="002B2719">
        <w:t>orture</w:t>
      </w:r>
      <w:r w:rsidR="00F90635">
        <w:t xml:space="preserve"> (see </w:t>
      </w:r>
      <w:r w:rsidR="00F90635" w:rsidRPr="008A55FC">
        <w:rPr>
          <w:szCs w:val="18"/>
        </w:rPr>
        <w:t>A/HRC/22/53, para</w:t>
      </w:r>
      <w:r w:rsidR="00F76288">
        <w:rPr>
          <w:szCs w:val="18"/>
        </w:rPr>
        <w:t>s</w:t>
      </w:r>
      <w:r w:rsidR="00F90635" w:rsidRPr="008A55FC">
        <w:rPr>
          <w:szCs w:val="18"/>
        </w:rPr>
        <w:t>. 40-42</w:t>
      </w:r>
      <w:r w:rsidR="00F90635">
        <w:rPr>
          <w:szCs w:val="18"/>
        </w:rPr>
        <w:t>)</w:t>
      </w:r>
      <w:r w:rsidR="002B2719" w:rsidRPr="002B2719">
        <w:t>.</w:t>
      </w:r>
      <w:r w:rsidR="00E05629">
        <w:t xml:space="preserve"> </w:t>
      </w:r>
      <w:r w:rsidR="002B2719" w:rsidRPr="002B2719">
        <w:t xml:space="preserve">The Special Rapporteur on the right to health noted that these practices are not evidence-based and medical professionals who are trained to manage drug dependence are often inaccessible. </w:t>
      </w:r>
      <w:r w:rsidR="00F90635">
        <w:t>Moreover, t</w:t>
      </w:r>
      <w:r w:rsidR="002B2719" w:rsidRPr="002B2719">
        <w:t>reatment is often conducted en masse and disregarding the need for informed consent to be given on an individual basis</w:t>
      </w:r>
      <w:r w:rsidR="00F90635">
        <w:t xml:space="preserve"> (</w:t>
      </w:r>
      <w:r w:rsidR="00710D4C">
        <w:t xml:space="preserve">see </w:t>
      </w:r>
      <w:r w:rsidR="00F90635" w:rsidRPr="008A55FC">
        <w:rPr>
          <w:szCs w:val="18"/>
        </w:rPr>
        <w:t>A/65/255, para</w:t>
      </w:r>
      <w:r w:rsidR="004676F8">
        <w:rPr>
          <w:szCs w:val="18"/>
        </w:rPr>
        <w:t>s</w:t>
      </w:r>
      <w:r w:rsidR="00F90635" w:rsidRPr="008A55FC">
        <w:rPr>
          <w:szCs w:val="18"/>
        </w:rPr>
        <w:t xml:space="preserve">. </w:t>
      </w:r>
      <w:r w:rsidR="004676F8">
        <w:rPr>
          <w:szCs w:val="18"/>
        </w:rPr>
        <w:t>31-</w:t>
      </w:r>
      <w:r w:rsidR="00F90635" w:rsidRPr="008A55FC">
        <w:rPr>
          <w:szCs w:val="18"/>
        </w:rPr>
        <w:t>33</w:t>
      </w:r>
      <w:r w:rsidR="00F90635">
        <w:rPr>
          <w:szCs w:val="18"/>
        </w:rPr>
        <w:t>)</w:t>
      </w:r>
      <w:r w:rsidR="002B2719" w:rsidRPr="002B2719">
        <w:t>.</w:t>
      </w:r>
      <w:r w:rsidR="008A55FC">
        <w:t xml:space="preserve"> </w:t>
      </w:r>
    </w:p>
    <w:p w:rsidR="002B2719" w:rsidRPr="002B2719" w:rsidRDefault="00D111EC" w:rsidP="00D111EC">
      <w:pPr>
        <w:pStyle w:val="SingleTxtG"/>
      </w:pPr>
      <w:r w:rsidRPr="002B2719">
        <w:rPr>
          <w:color w:val="000000" w:themeColor="text1"/>
        </w:rPr>
        <w:t>48.</w:t>
      </w:r>
      <w:r w:rsidRPr="002B2719">
        <w:rPr>
          <w:color w:val="000000" w:themeColor="text1"/>
        </w:rPr>
        <w:tab/>
      </w:r>
      <w:r w:rsidR="002B2719" w:rsidRPr="002B2719">
        <w:t>Non-consensual experimental treatment, torture, ill</w:t>
      </w:r>
      <w:r w:rsidR="0088643A">
        <w:t>-</w:t>
      </w:r>
      <w:r w:rsidR="002B2719" w:rsidRPr="002B2719">
        <w:t>treatment and sexual violence have also been reported at compulsory detention centres</w:t>
      </w:r>
      <w:r w:rsidR="00F90635">
        <w:t xml:space="preserve"> (see </w:t>
      </w:r>
      <w:r w:rsidR="00F90635" w:rsidRPr="00C94FA3">
        <w:rPr>
          <w:szCs w:val="18"/>
        </w:rPr>
        <w:t>A/HRC/22/53, paras. 40-42</w:t>
      </w:r>
      <w:r w:rsidR="00F90635">
        <w:rPr>
          <w:szCs w:val="18"/>
        </w:rPr>
        <w:t>)</w:t>
      </w:r>
      <w:r w:rsidR="002B2719" w:rsidRPr="002B2719">
        <w:t>.</w:t>
      </w:r>
      <w:r w:rsidR="00E05629">
        <w:t xml:space="preserve"> </w:t>
      </w:r>
      <w:r w:rsidR="002B2719" w:rsidRPr="002B2719">
        <w:t xml:space="preserve">Imposition of compulsory treatment, at the expense of not having access to </w:t>
      </w:r>
      <w:r w:rsidR="0088643A">
        <w:t>opi</w:t>
      </w:r>
      <w:r w:rsidR="009C73D6">
        <w:t>oid</w:t>
      </w:r>
      <w:r w:rsidR="0088643A">
        <w:t xml:space="preserve"> substitution therapy</w:t>
      </w:r>
      <w:r w:rsidR="0088643A" w:rsidRPr="002B2719">
        <w:t xml:space="preserve"> </w:t>
      </w:r>
      <w:r w:rsidR="002B2719" w:rsidRPr="002B2719">
        <w:t>and other harm</w:t>
      </w:r>
      <w:r w:rsidR="00F00B42">
        <w:t xml:space="preserve"> </w:t>
      </w:r>
      <w:r w:rsidR="002B2719" w:rsidRPr="002B2719">
        <w:t xml:space="preserve">reduction interventions, also increases the risk of disease, particularly </w:t>
      </w:r>
      <w:r w:rsidR="004676F8">
        <w:t xml:space="preserve">through </w:t>
      </w:r>
      <w:r w:rsidR="002B2719" w:rsidRPr="002B2719">
        <w:t>HIV</w:t>
      </w:r>
      <w:r w:rsidR="004676F8">
        <w:t xml:space="preserve"> infection</w:t>
      </w:r>
      <w:r w:rsidR="00F90635">
        <w:t xml:space="preserve"> (see </w:t>
      </w:r>
      <w:r w:rsidR="00F90635" w:rsidRPr="008A55FC">
        <w:rPr>
          <w:szCs w:val="18"/>
        </w:rPr>
        <w:t>A/65/255, para. 36</w:t>
      </w:r>
      <w:r w:rsidR="00F90635">
        <w:rPr>
          <w:szCs w:val="18"/>
        </w:rPr>
        <w:t>)</w:t>
      </w:r>
      <w:r w:rsidR="002B2719" w:rsidRPr="002B2719">
        <w:t>.</w:t>
      </w:r>
      <w:r w:rsidR="008A55FC">
        <w:t xml:space="preserve"> </w:t>
      </w:r>
    </w:p>
    <w:p w:rsidR="002B2719" w:rsidRPr="002B2719" w:rsidRDefault="00D111EC" w:rsidP="00D111EC">
      <w:pPr>
        <w:pStyle w:val="SingleTxtG"/>
      </w:pPr>
      <w:r w:rsidRPr="002B2719">
        <w:rPr>
          <w:color w:val="000000" w:themeColor="text1"/>
        </w:rPr>
        <w:t>49.</w:t>
      </w:r>
      <w:r w:rsidRPr="002B2719">
        <w:rPr>
          <w:color w:val="000000" w:themeColor="text1"/>
        </w:rPr>
        <w:tab/>
      </w:r>
      <w:r w:rsidR="002B2719" w:rsidRPr="002B2719">
        <w:t xml:space="preserve">These practices have been condemned by 12 </w:t>
      </w:r>
      <w:r w:rsidR="00F267F5">
        <w:t>United Nations</w:t>
      </w:r>
      <w:r w:rsidR="0088643A">
        <w:t xml:space="preserve"> </w:t>
      </w:r>
      <w:r w:rsidR="002B2719" w:rsidRPr="002B2719">
        <w:t>entities</w:t>
      </w:r>
      <w:r w:rsidR="00F90635" w:rsidRPr="00F90635">
        <w:t xml:space="preserve"> </w:t>
      </w:r>
      <w:r w:rsidR="00F90635">
        <w:t>in a</w:t>
      </w:r>
      <w:r w:rsidR="00F90635" w:rsidRPr="008A55FC">
        <w:t xml:space="preserve"> </w:t>
      </w:r>
      <w:r w:rsidR="00F90635">
        <w:t>j</w:t>
      </w:r>
      <w:r w:rsidR="00F90635" w:rsidRPr="008A55FC">
        <w:t xml:space="preserve">oint </w:t>
      </w:r>
      <w:r w:rsidR="00F90635">
        <w:t>s</w:t>
      </w:r>
      <w:r w:rsidR="00F90635" w:rsidRPr="008A55FC">
        <w:t>tatement</w:t>
      </w:r>
      <w:r w:rsidR="002B2719" w:rsidRPr="002B2719">
        <w:t xml:space="preserve"> </w:t>
      </w:r>
      <w:r w:rsidR="004676F8">
        <w:t xml:space="preserve">in </w:t>
      </w:r>
      <w:r w:rsidR="002B2719" w:rsidRPr="002B2719">
        <w:t>which</w:t>
      </w:r>
      <w:r w:rsidR="00F90635">
        <w:t xml:space="preserve"> th</w:t>
      </w:r>
      <w:r w:rsidR="004676F8">
        <w:t>ey</w:t>
      </w:r>
      <w:r w:rsidR="002B2719" w:rsidRPr="002B2719">
        <w:t xml:space="preserve"> call for </w:t>
      </w:r>
      <w:r w:rsidR="0088643A">
        <w:t xml:space="preserve">the </w:t>
      </w:r>
      <w:r w:rsidR="002B2719" w:rsidRPr="002B2719">
        <w:t>closure of compulsory detention centres.</w:t>
      </w:r>
      <w:r w:rsidR="002B2719" w:rsidRPr="00E05629">
        <w:rPr>
          <w:rStyle w:val="FootnoteReference"/>
        </w:rPr>
        <w:footnoteReference w:id="61"/>
      </w:r>
      <w:r w:rsidR="002B2719" w:rsidRPr="002B2719">
        <w:t xml:space="preserve"> Nevertheless, compulsory drug detention centres, </w:t>
      </w:r>
      <w:r w:rsidR="0088643A">
        <w:t xml:space="preserve">many of which are </w:t>
      </w:r>
      <w:r w:rsidR="002B2719" w:rsidRPr="002B2719">
        <w:t>located in East and South</w:t>
      </w:r>
      <w:r w:rsidR="0088643A">
        <w:t>-E</w:t>
      </w:r>
      <w:r w:rsidR="002B2719" w:rsidRPr="002B2719">
        <w:t>ast Asia, continue to detain approximately 235,000 people.</w:t>
      </w:r>
      <w:r w:rsidR="002B2719" w:rsidRPr="00E05629">
        <w:rPr>
          <w:rStyle w:val="FootnoteReference"/>
        </w:rPr>
        <w:footnoteReference w:id="62"/>
      </w:r>
      <w:r w:rsidR="004715F5">
        <w:t xml:space="preserve"> </w:t>
      </w:r>
    </w:p>
    <w:p w:rsidR="002B2719" w:rsidRPr="00837D98" w:rsidRDefault="004715F5">
      <w:pPr>
        <w:pStyle w:val="HChG"/>
      </w:pPr>
      <w:r>
        <w:tab/>
      </w:r>
      <w:r w:rsidR="00AF7DB0">
        <w:t>I</w:t>
      </w:r>
      <w:r>
        <w:t>V.</w:t>
      </w:r>
      <w:r>
        <w:tab/>
        <w:t>Prohibition of discrimination</w:t>
      </w:r>
    </w:p>
    <w:p w:rsidR="002B2719" w:rsidRPr="002B2719" w:rsidRDefault="00FB01D1" w:rsidP="00A463A0">
      <w:pPr>
        <w:pStyle w:val="SingleTxtG"/>
      </w:pPr>
      <w:r>
        <w:t>50.</w:t>
      </w:r>
      <w:r>
        <w:tab/>
      </w:r>
      <w:r w:rsidR="002B2719" w:rsidRPr="004715F5">
        <w:t xml:space="preserve">Different forms of discrimination may result once an individual has a criminal record resulting from a conviction for a drug-related offence. These may include obstacles to obtaining employment, adverse effects on </w:t>
      </w:r>
      <w:r w:rsidR="0088643A">
        <w:t xml:space="preserve">the </w:t>
      </w:r>
      <w:r w:rsidR="002B2719" w:rsidRPr="004715F5">
        <w:t>custody of children or visitation rights, losing government benefits such as access to public housing, food assistance or student financial aid,</w:t>
      </w:r>
      <w:r w:rsidR="00A30379">
        <w:t xml:space="preserve"> or difficulties concerning </w:t>
      </w:r>
      <w:r w:rsidR="002B2719" w:rsidRPr="004715F5">
        <w:t xml:space="preserve">travel </w:t>
      </w:r>
      <w:r w:rsidR="00A30379">
        <w:t>abroad</w:t>
      </w:r>
      <w:r w:rsidR="002B2719" w:rsidRPr="004715F5">
        <w:t>.</w:t>
      </w:r>
      <w:r w:rsidR="002B2719" w:rsidRPr="00E05629">
        <w:rPr>
          <w:rStyle w:val="FootnoteReference"/>
        </w:rPr>
        <w:footnoteReference w:id="63"/>
      </w:r>
      <w:r w:rsidR="00E05629">
        <w:rPr>
          <w:vertAlign w:val="superscript"/>
        </w:rPr>
        <w:t xml:space="preserve"> </w:t>
      </w:r>
      <w:r w:rsidR="002B2719" w:rsidRPr="004715F5">
        <w:t xml:space="preserve">This has been a factor in the decision by some States to decriminalize </w:t>
      </w:r>
      <w:r w:rsidR="00910CB2">
        <w:t xml:space="preserve">the </w:t>
      </w:r>
      <w:r w:rsidR="002B2719" w:rsidRPr="004715F5">
        <w:t>person</w:t>
      </w:r>
      <w:r w:rsidR="00F64D22">
        <w:t>al</w:t>
      </w:r>
      <w:r w:rsidR="002B2719" w:rsidRPr="004715F5">
        <w:t xml:space="preserve"> use and possession</w:t>
      </w:r>
      <w:r w:rsidR="00910CB2">
        <w:t xml:space="preserve"> of drugs</w:t>
      </w:r>
      <w:r w:rsidR="002B2719" w:rsidRPr="004715F5">
        <w:t>.</w:t>
      </w:r>
      <w:r w:rsidR="002B2719" w:rsidRPr="00E05629">
        <w:rPr>
          <w:rStyle w:val="FootnoteReference"/>
        </w:rPr>
        <w:footnoteReference w:id="64"/>
      </w:r>
      <w:r w:rsidR="00E05629">
        <w:t xml:space="preserve"> </w:t>
      </w:r>
      <w:r w:rsidR="002B2719" w:rsidRPr="004715F5">
        <w:t xml:space="preserve">As </w:t>
      </w:r>
      <w:r w:rsidR="002B2719" w:rsidRPr="00A463A0">
        <w:t>former Secretary-General Kofi Annan said</w:t>
      </w:r>
      <w:r w:rsidR="00806E88" w:rsidRPr="00A463A0">
        <w:t xml:space="preserve"> on 19 May 2015 at a side ev</w:t>
      </w:r>
      <w:r w:rsidR="00806E88">
        <w:t>ent on the theme “Strengthening a public health approach when addressing the world drug problem”</w:t>
      </w:r>
      <w:r w:rsidR="00910CB2">
        <w:t>:</w:t>
      </w:r>
      <w:r w:rsidR="002B2719" w:rsidRPr="004715F5">
        <w:t xml:space="preserve"> “A criminal record for a young person for a minor drug offence can be a far greater threat to their well</w:t>
      </w:r>
      <w:r w:rsidR="00910CB2">
        <w:t>-</w:t>
      </w:r>
      <w:r w:rsidR="002B2719" w:rsidRPr="004715F5">
        <w:t>being than occasional drug use”</w:t>
      </w:r>
      <w:r w:rsidR="00910CB2">
        <w:t>.</w:t>
      </w:r>
      <w:r w:rsidR="002B2719" w:rsidRPr="007F0CD3">
        <w:rPr>
          <w:vertAlign w:val="superscript"/>
        </w:rPr>
        <w:t xml:space="preserve"> </w:t>
      </w:r>
    </w:p>
    <w:p w:rsidR="002B2719" w:rsidRPr="00837D98" w:rsidRDefault="004715F5">
      <w:pPr>
        <w:pStyle w:val="H1G"/>
      </w:pPr>
      <w:r>
        <w:tab/>
        <w:t>A.</w:t>
      </w:r>
      <w:r>
        <w:tab/>
      </w:r>
      <w:r w:rsidR="002B2719" w:rsidRPr="002B2719">
        <w:t>Ethnic minorities</w:t>
      </w:r>
    </w:p>
    <w:p w:rsidR="002B2719" w:rsidRPr="004715F5" w:rsidRDefault="00D111EC" w:rsidP="00FB01D1">
      <w:pPr>
        <w:pStyle w:val="SingleTxtG"/>
      </w:pPr>
      <w:r w:rsidRPr="004715F5">
        <w:rPr>
          <w:color w:val="000000" w:themeColor="text1"/>
        </w:rPr>
        <w:t>5</w:t>
      </w:r>
      <w:r w:rsidR="00FB01D1">
        <w:rPr>
          <w:color w:val="000000" w:themeColor="text1"/>
        </w:rPr>
        <w:t>1</w:t>
      </w:r>
      <w:r w:rsidRPr="004715F5">
        <w:rPr>
          <w:color w:val="000000" w:themeColor="text1"/>
        </w:rPr>
        <w:t>.</w:t>
      </w:r>
      <w:r w:rsidRPr="004715F5">
        <w:rPr>
          <w:color w:val="000000" w:themeColor="text1"/>
        </w:rPr>
        <w:tab/>
      </w:r>
      <w:r w:rsidR="002B2719" w:rsidRPr="002B2719">
        <w:t xml:space="preserve">It has been reported that </w:t>
      </w:r>
      <w:r w:rsidR="00910CB2">
        <w:t xml:space="preserve">members of </w:t>
      </w:r>
      <w:r w:rsidR="002B2719" w:rsidRPr="002B2719">
        <w:t>ethnic minorities</w:t>
      </w:r>
      <w:r w:rsidR="00910CB2">
        <w:t>,</w:t>
      </w:r>
      <w:r w:rsidR="00910CB2" w:rsidRPr="00910CB2">
        <w:t xml:space="preserve"> </w:t>
      </w:r>
      <w:r w:rsidR="00910CB2">
        <w:t>in particular those</w:t>
      </w:r>
      <w:r w:rsidR="00910CB2" w:rsidRPr="002B2719">
        <w:t xml:space="preserve"> who are poor and live in marginalized communities</w:t>
      </w:r>
      <w:r w:rsidR="00910CB2">
        <w:t>,</w:t>
      </w:r>
      <w:r w:rsidR="002B2719" w:rsidRPr="002B2719">
        <w:t xml:space="preserve"> may be particularly subject to discrimination </w:t>
      </w:r>
      <w:r w:rsidR="00A30379">
        <w:t xml:space="preserve">in the context of </w:t>
      </w:r>
      <w:r w:rsidR="002B2719" w:rsidRPr="002B2719">
        <w:t>drug enforcement efforts. In the United States</w:t>
      </w:r>
      <w:r w:rsidR="00910CB2">
        <w:t xml:space="preserve"> of America</w:t>
      </w:r>
      <w:r w:rsidR="002B2719" w:rsidRPr="002B2719">
        <w:t>, for example, African Americans make up 13 per</w:t>
      </w:r>
      <w:r w:rsidR="00910CB2">
        <w:t xml:space="preserve"> </w:t>
      </w:r>
      <w:r w:rsidR="002B2719" w:rsidRPr="002B2719">
        <w:t>cent of the population, yet account for 33.7 per</w:t>
      </w:r>
      <w:r w:rsidR="00910CB2">
        <w:t xml:space="preserve"> </w:t>
      </w:r>
      <w:r w:rsidR="002B2719" w:rsidRPr="002B2719">
        <w:t>cent of drug</w:t>
      </w:r>
      <w:r w:rsidR="00910CB2">
        <w:t>-related</w:t>
      </w:r>
      <w:r w:rsidR="002B2719" w:rsidRPr="002B2719">
        <w:t xml:space="preserve"> arrests and 37 per</w:t>
      </w:r>
      <w:r w:rsidR="00910CB2">
        <w:t xml:space="preserve"> </w:t>
      </w:r>
      <w:r w:rsidR="002B2719" w:rsidRPr="002B2719">
        <w:t xml:space="preserve">cent of people sent to state prisons on drug charges. African Americans are 3.7 times more likely to be arrested for </w:t>
      </w:r>
      <w:r w:rsidR="00910CB2">
        <w:t xml:space="preserve">possessing or using </w:t>
      </w:r>
      <w:r w:rsidR="002B2719" w:rsidRPr="002B2719">
        <w:t xml:space="preserve">marijuana than </w:t>
      </w:r>
      <w:r w:rsidR="004D786A" w:rsidRPr="00A463A0">
        <w:t>white</w:t>
      </w:r>
      <w:r w:rsidR="00193E3B" w:rsidRPr="00A463A0">
        <w:t>s</w:t>
      </w:r>
      <w:r w:rsidR="00D13716">
        <w:t xml:space="preserve"> </w:t>
      </w:r>
      <w:r w:rsidR="00910CB2">
        <w:t>are</w:t>
      </w:r>
      <w:r w:rsidR="002B6DB4">
        <w:t>,</w:t>
      </w:r>
      <w:r w:rsidR="004D786A">
        <w:t xml:space="preserve"> </w:t>
      </w:r>
      <w:r w:rsidR="002B2719" w:rsidRPr="002B2719">
        <w:t>despite comparable usage rates.</w:t>
      </w:r>
      <w:r w:rsidR="00E05629">
        <w:t xml:space="preserve"> </w:t>
      </w:r>
      <w:r w:rsidR="002B2719" w:rsidRPr="002B2719">
        <w:t>Similar disparities have been observed in countries such as Australia, Canada and the United Kingdom.</w:t>
      </w:r>
      <w:r w:rsidR="002B2719" w:rsidRPr="00E05629">
        <w:rPr>
          <w:rStyle w:val="FootnoteReference"/>
        </w:rPr>
        <w:footnoteReference w:id="65"/>
      </w:r>
      <w:r w:rsidR="00E05629">
        <w:t xml:space="preserve"> </w:t>
      </w:r>
      <w:r w:rsidR="002B2719" w:rsidRPr="002B2719">
        <w:t xml:space="preserve">One law enforcement official observed that </w:t>
      </w:r>
      <w:r w:rsidR="00910CB2">
        <w:t>it was harder to intercept the sale and purchase of</w:t>
      </w:r>
      <w:r w:rsidR="002B2719" w:rsidRPr="002B2719">
        <w:t xml:space="preserve"> drugs in offices or affluent neighbourhoods</w:t>
      </w:r>
      <w:r w:rsidR="00910CB2">
        <w:t xml:space="preserve"> than</w:t>
      </w:r>
      <w:r w:rsidR="00352C2D">
        <w:t xml:space="preserve"> it was</w:t>
      </w:r>
      <w:r w:rsidR="002B2719" w:rsidRPr="002B2719">
        <w:t xml:space="preserve"> in poor and marginalized neighbourhoods</w:t>
      </w:r>
      <w:r w:rsidR="00910CB2">
        <w:t>,</w:t>
      </w:r>
      <w:r w:rsidR="002B2719" w:rsidRPr="002B2719">
        <w:t xml:space="preserve"> where </w:t>
      </w:r>
      <w:r w:rsidR="00910CB2">
        <w:t>such</w:t>
      </w:r>
      <w:r w:rsidR="00910CB2" w:rsidRPr="002B2719">
        <w:t xml:space="preserve"> </w:t>
      </w:r>
      <w:r w:rsidR="002B2719" w:rsidRPr="002B2719">
        <w:t xml:space="preserve">activity </w:t>
      </w:r>
      <w:r w:rsidR="00910CB2">
        <w:t>was</w:t>
      </w:r>
      <w:r w:rsidR="00910CB2" w:rsidRPr="002B2719">
        <w:t xml:space="preserve"> </w:t>
      </w:r>
      <w:r w:rsidR="002B2719" w:rsidRPr="002B2719">
        <w:t>often conducted in</w:t>
      </w:r>
      <w:r w:rsidR="00D220B6">
        <w:t xml:space="preserve"> the</w:t>
      </w:r>
      <w:r w:rsidR="002B2719" w:rsidRPr="002B2719">
        <w:t xml:space="preserve"> street or other public areas and where police controls </w:t>
      </w:r>
      <w:r w:rsidR="00910CB2">
        <w:t>we</w:t>
      </w:r>
      <w:r w:rsidR="002B2719" w:rsidRPr="002B2719">
        <w:t>re more frequent.</w:t>
      </w:r>
      <w:r w:rsidR="002B2719" w:rsidRPr="00E05629">
        <w:rPr>
          <w:rStyle w:val="FootnoteReference"/>
        </w:rPr>
        <w:footnoteReference w:id="66"/>
      </w:r>
      <w:r w:rsidR="004715F5">
        <w:t xml:space="preserve"> </w:t>
      </w:r>
    </w:p>
    <w:p w:rsidR="002B2719" w:rsidRPr="00837D98" w:rsidRDefault="004715F5">
      <w:pPr>
        <w:pStyle w:val="H1G"/>
      </w:pPr>
      <w:r>
        <w:tab/>
        <w:t>B.</w:t>
      </w:r>
      <w:r>
        <w:tab/>
      </w:r>
      <w:r w:rsidR="002B2719" w:rsidRPr="002B2719">
        <w:t>Women</w:t>
      </w:r>
    </w:p>
    <w:p w:rsidR="00A30379" w:rsidRDefault="00D111EC" w:rsidP="00FB01D1">
      <w:pPr>
        <w:pStyle w:val="SingleTxtG"/>
      </w:pPr>
      <w:r>
        <w:rPr>
          <w:color w:val="000000" w:themeColor="text1"/>
        </w:rPr>
        <w:t>5</w:t>
      </w:r>
      <w:r w:rsidR="00FB01D1">
        <w:rPr>
          <w:color w:val="000000" w:themeColor="text1"/>
        </w:rPr>
        <w:t>2</w:t>
      </w:r>
      <w:r>
        <w:rPr>
          <w:color w:val="000000" w:themeColor="text1"/>
        </w:rPr>
        <w:t>.</w:t>
      </w:r>
      <w:r>
        <w:rPr>
          <w:color w:val="000000" w:themeColor="text1"/>
        </w:rPr>
        <w:tab/>
      </w:r>
      <w:r w:rsidR="002B2719" w:rsidRPr="002B2719">
        <w:t>Globally, women are imprisoned for drug</w:t>
      </w:r>
      <w:r w:rsidR="00F00B42">
        <w:t>-related</w:t>
      </w:r>
      <w:r w:rsidR="002B2719" w:rsidRPr="002B2719">
        <w:t xml:space="preserve"> offences more than for any other crime. In several Latin American countries, 60</w:t>
      </w:r>
      <w:r w:rsidR="00B10803">
        <w:t>-</w:t>
      </w:r>
      <w:r w:rsidR="002B2719" w:rsidRPr="002B2719">
        <w:t>80 per</w:t>
      </w:r>
      <w:r w:rsidR="00B10803">
        <w:t xml:space="preserve"> </w:t>
      </w:r>
      <w:r w:rsidR="002B2719" w:rsidRPr="002B2719">
        <w:t>cent of women in prison are incarcerated for drug-related offences.</w:t>
      </w:r>
      <w:r w:rsidR="002B2719" w:rsidRPr="00E05629">
        <w:rPr>
          <w:rStyle w:val="FootnoteReference"/>
        </w:rPr>
        <w:footnoteReference w:id="67"/>
      </w:r>
      <w:r w:rsidR="002B2719" w:rsidRPr="002B2719">
        <w:t xml:space="preserve"> </w:t>
      </w:r>
      <w:r w:rsidR="00A30379" w:rsidRPr="002B2719">
        <w:t>In some States, women convicted of drug</w:t>
      </w:r>
      <w:r w:rsidR="00F00B42">
        <w:t>-related</w:t>
      </w:r>
      <w:r w:rsidR="00A30379" w:rsidRPr="002B2719">
        <w:t xml:space="preserve"> offences constitute the fastest growing part of the prison population.</w:t>
      </w:r>
      <w:r w:rsidR="00A30379">
        <w:t xml:space="preserve"> </w:t>
      </w:r>
      <w:r w:rsidR="002B2719" w:rsidRPr="002B2719">
        <w:t>One in four women in priso</w:t>
      </w:r>
      <w:r w:rsidR="00D220B6">
        <w:t>n in Europe and Central Asia is incarcerated for drug</w:t>
      </w:r>
      <w:r w:rsidR="00F00B42">
        <w:t>-related</w:t>
      </w:r>
      <w:r w:rsidR="00D220B6">
        <w:t xml:space="preserve"> offences</w:t>
      </w:r>
      <w:r w:rsidR="002B2719" w:rsidRPr="002B2719">
        <w:t>, with levels as high as 70 per</w:t>
      </w:r>
      <w:r w:rsidR="00B10803">
        <w:t xml:space="preserve"> </w:t>
      </w:r>
      <w:r w:rsidR="002B2719" w:rsidRPr="002B2719">
        <w:t xml:space="preserve">cent in some countries. </w:t>
      </w:r>
      <w:r w:rsidR="00A30379" w:rsidRPr="002B2719">
        <w:t>The Committee on the Elimination of Discrimination against Women</w:t>
      </w:r>
      <w:r w:rsidR="00F64D22">
        <w:t xml:space="preserve"> </w:t>
      </w:r>
      <w:r w:rsidR="00B10803">
        <w:t xml:space="preserve">has </w:t>
      </w:r>
      <w:r w:rsidR="00A30379" w:rsidRPr="002B2719">
        <w:t>expressed concern at the number of women imprisoned for drug-related offences, observing that this may be indicative of women’s poverty</w:t>
      </w:r>
      <w:r w:rsidR="00806E88">
        <w:t xml:space="preserve"> (see </w:t>
      </w:r>
      <w:r w:rsidR="00806E88" w:rsidRPr="002C0FEF">
        <w:rPr>
          <w:lang w:val="en-US"/>
        </w:rPr>
        <w:t>CEDAW/C/UK/3</w:t>
      </w:r>
      <w:r w:rsidR="00806E88">
        <w:rPr>
          <w:lang w:val="en-US"/>
        </w:rPr>
        <w:t xml:space="preserve"> and 4)</w:t>
      </w:r>
      <w:r w:rsidR="00A30379" w:rsidRPr="002B2719">
        <w:t>.</w:t>
      </w:r>
      <w:r w:rsidR="00A30379">
        <w:t xml:space="preserve"> </w:t>
      </w:r>
      <w:r w:rsidR="002B2719" w:rsidRPr="002B2719">
        <w:t xml:space="preserve">Women are typically involved in selling small quantities of drugs and </w:t>
      </w:r>
      <w:r w:rsidR="00B10803">
        <w:t xml:space="preserve">are </w:t>
      </w:r>
      <w:r w:rsidR="002B2719" w:rsidRPr="002B2719">
        <w:t xml:space="preserve">used as </w:t>
      </w:r>
      <w:r w:rsidR="00837D98">
        <w:t>“</w:t>
      </w:r>
      <w:r w:rsidR="002B2719" w:rsidRPr="002B2719">
        <w:t>mules</w:t>
      </w:r>
      <w:r w:rsidR="00837D98">
        <w:t>”</w:t>
      </w:r>
      <w:r w:rsidR="002B2719" w:rsidRPr="002B2719">
        <w:t xml:space="preserve"> to carry small amounts of drugs from one country to another.</w:t>
      </w:r>
      <w:r w:rsidR="00E05629">
        <w:t xml:space="preserve"> </w:t>
      </w:r>
      <w:r w:rsidR="002B2719" w:rsidRPr="002B2719">
        <w:t>Many of them are young, illiterate and single mothers who have to take care of their children and other family members.</w:t>
      </w:r>
      <w:r w:rsidR="002B2719" w:rsidRPr="00E05629">
        <w:rPr>
          <w:rStyle w:val="FootnoteReference"/>
        </w:rPr>
        <w:footnoteReference w:id="68"/>
      </w:r>
      <w:r w:rsidR="00E05629">
        <w:t xml:space="preserve"> </w:t>
      </w:r>
    </w:p>
    <w:p w:rsidR="002B2719" w:rsidRPr="002B2719" w:rsidRDefault="00D111EC" w:rsidP="00FB01D1">
      <w:pPr>
        <w:pStyle w:val="SingleTxtG"/>
        <w:rPr>
          <w:bCs/>
        </w:rPr>
      </w:pPr>
      <w:r w:rsidRPr="002B2719">
        <w:rPr>
          <w:color w:val="000000" w:themeColor="text1"/>
        </w:rPr>
        <w:t>5</w:t>
      </w:r>
      <w:r w:rsidR="00FB01D1">
        <w:rPr>
          <w:color w:val="000000" w:themeColor="text1"/>
        </w:rPr>
        <w:t>3</w:t>
      </w:r>
      <w:r w:rsidRPr="002B2719">
        <w:rPr>
          <w:color w:val="000000" w:themeColor="text1"/>
        </w:rPr>
        <w:t>.</w:t>
      </w:r>
      <w:r w:rsidRPr="002B2719">
        <w:rPr>
          <w:color w:val="000000" w:themeColor="text1"/>
        </w:rPr>
        <w:tab/>
      </w:r>
      <w:r w:rsidR="002B2719" w:rsidRPr="002B2719">
        <w:t>It has been reported that women who use drugs may, depending on the laws and policies in force, face</w:t>
      </w:r>
      <w:r w:rsidR="00352C2D">
        <w:t xml:space="preserve"> </w:t>
      </w:r>
      <w:r w:rsidR="00B10803">
        <w:t xml:space="preserve">losing </w:t>
      </w:r>
      <w:r w:rsidR="002B2719" w:rsidRPr="002B2719">
        <w:t>custody of their children, forced or coerced sterilization, abortion or criminal</w:t>
      </w:r>
      <w:r w:rsidR="00B10803">
        <w:t xml:space="preserve"> penalties</w:t>
      </w:r>
      <w:r w:rsidR="002B2719" w:rsidRPr="002B2719">
        <w:t xml:space="preserve"> for </w:t>
      </w:r>
      <w:r w:rsidR="00B10803">
        <w:t xml:space="preserve">using </w:t>
      </w:r>
      <w:r w:rsidR="002B2719" w:rsidRPr="002B2719">
        <w:t>drug</w:t>
      </w:r>
      <w:r w:rsidR="00B10803">
        <w:t>s</w:t>
      </w:r>
      <w:r w:rsidR="002B2719" w:rsidRPr="002B2719">
        <w:t xml:space="preserve"> during pregnancy.</w:t>
      </w:r>
      <w:r w:rsidR="00E05629">
        <w:t xml:space="preserve"> </w:t>
      </w:r>
      <w:r w:rsidR="002B2719" w:rsidRPr="002B2719">
        <w:t>In certain States, women who use drugs may be subject to detention during their pregnancy. Women who use drugs may not receive the appropriate care when they are pregnant.</w:t>
      </w:r>
      <w:r w:rsidR="002B2719" w:rsidRPr="00E05629">
        <w:rPr>
          <w:rStyle w:val="FootnoteReference"/>
        </w:rPr>
        <w:footnoteReference w:id="69"/>
      </w:r>
      <w:r w:rsidR="00E05629">
        <w:t xml:space="preserve"> </w:t>
      </w:r>
      <w:r w:rsidR="002B2719" w:rsidRPr="002B2719">
        <w:t xml:space="preserve">WHO has published guidelines </w:t>
      </w:r>
      <w:r w:rsidR="002B2719" w:rsidRPr="002B2719">
        <w:rPr>
          <w:bCs/>
        </w:rPr>
        <w:t xml:space="preserve">for the identification and management of substance use and </w:t>
      </w:r>
      <w:r w:rsidR="00B10803">
        <w:rPr>
          <w:bCs/>
        </w:rPr>
        <w:t>related</w:t>
      </w:r>
      <w:r w:rsidR="0093537D">
        <w:rPr>
          <w:bCs/>
        </w:rPr>
        <w:t xml:space="preserve"> disorders during pregnancy. </w:t>
      </w:r>
    </w:p>
    <w:p w:rsidR="002B2719" w:rsidRPr="002B2719" w:rsidRDefault="00D111EC" w:rsidP="00FB01D1">
      <w:pPr>
        <w:pStyle w:val="SingleTxtG"/>
      </w:pPr>
      <w:r w:rsidRPr="002B2719">
        <w:rPr>
          <w:color w:val="000000" w:themeColor="text1"/>
        </w:rPr>
        <w:t>5</w:t>
      </w:r>
      <w:r w:rsidR="00FB01D1">
        <w:rPr>
          <w:color w:val="000000" w:themeColor="text1"/>
        </w:rPr>
        <w:t>4</w:t>
      </w:r>
      <w:r w:rsidRPr="002B2719">
        <w:rPr>
          <w:color w:val="000000" w:themeColor="text1"/>
        </w:rPr>
        <w:t>.</w:t>
      </w:r>
      <w:r w:rsidRPr="002B2719">
        <w:rPr>
          <w:color w:val="000000" w:themeColor="text1"/>
        </w:rPr>
        <w:tab/>
      </w:r>
      <w:r w:rsidR="002B2719" w:rsidRPr="00CD140F">
        <w:rPr>
          <w:bCs/>
        </w:rPr>
        <w:t xml:space="preserve">Discrimination may exist </w:t>
      </w:r>
      <w:r w:rsidR="00D220B6">
        <w:t>in women’s prisons where</w:t>
      </w:r>
      <w:r w:rsidR="002B2719" w:rsidRPr="002B2719">
        <w:t xml:space="preserve"> harm reduction, including </w:t>
      </w:r>
      <w:r w:rsidR="00B10803">
        <w:t>opium substitution therapy</w:t>
      </w:r>
      <w:r w:rsidR="002B2719" w:rsidRPr="002B2719">
        <w:t>, may not be available.</w:t>
      </w:r>
      <w:r w:rsidR="002B2719" w:rsidRPr="00E05629">
        <w:rPr>
          <w:rStyle w:val="FootnoteReference"/>
        </w:rPr>
        <w:footnoteReference w:id="70"/>
      </w:r>
      <w:r w:rsidR="002B2719" w:rsidRPr="002B2719">
        <w:t xml:space="preserve"> </w:t>
      </w:r>
      <w:r w:rsidR="00B10803">
        <w:t xml:space="preserve">The </w:t>
      </w:r>
      <w:r w:rsidR="00B10803" w:rsidRPr="002B2719">
        <w:t>Committee on the Elimination of Discrimination against Women</w:t>
      </w:r>
      <w:r w:rsidR="00B10803" w:rsidDel="00B10803">
        <w:t xml:space="preserve"> </w:t>
      </w:r>
      <w:r w:rsidR="00B10803">
        <w:t xml:space="preserve">has </w:t>
      </w:r>
      <w:r w:rsidR="002B2719" w:rsidRPr="002B2719">
        <w:t>recommended that States provide gender-sensitive and evidence-based drug treatment services, including harm reduction programmes for women in detention</w:t>
      </w:r>
      <w:r w:rsidR="00B10803">
        <w:t>,</w:t>
      </w:r>
      <w:r w:rsidR="00B10803" w:rsidRPr="00B10803">
        <w:t xml:space="preserve"> </w:t>
      </w:r>
      <w:r w:rsidR="00B10803" w:rsidRPr="002B2719">
        <w:t xml:space="preserve">to reduce </w:t>
      </w:r>
      <w:r w:rsidR="00B10803">
        <w:t xml:space="preserve">the </w:t>
      </w:r>
      <w:r w:rsidR="00B10803" w:rsidRPr="002B2719">
        <w:t xml:space="preserve">harmful effects </w:t>
      </w:r>
      <w:r w:rsidR="00B10803">
        <w:t>of drug use</w:t>
      </w:r>
      <w:r w:rsidR="00CD140F">
        <w:t xml:space="preserve"> (see </w:t>
      </w:r>
      <w:r w:rsidR="00CD140F" w:rsidRPr="002C0FEF">
        <w:rPr>
          <w:lang w:val="en-US"/>
        </w:rPr>
        <w:t>CEDAW/C/GEO/CO/4-5</w:t>
      </w:r>
      <w:r w:rsidR="00CD140F">
        <w:rPr>
          <w:lang w:val="en-US"/>
        </w:rPr>
        <w:t xml:space="preserve">, </w:t>
      </w:r>
      <w:r w:rsidR="00CD140F" w:rsidRPr="002C0FEF">
        <w:rPr>
          <w:lang w:val="en-US"/>
        </w:rPr>
        <w:t>para. 31</w:t>
      </w:r>
      <w:r w:rsidR="00CD140F">
        <w:rPr>
          <w:lang w:val="en-US"/>
        </w:rPr>
        <w:t xml:space="preserve"> </w:t>
      </w:r>
      <w:r w:rsidR="00CD140F" w:rsidRPr="002C0FEF">
        <w:rPr>
          <w:lang w:val="en-US"/>
        </w:rPr>
        <w:t>(e)</w:t>
      </w:r>
      <w:r w:rsidR="00CD140F" w:rsidRPr="00CD140F">
        <w:rPr>
          <w:lang w:val="en-US"/>
        </w:rPr>
        <w:t>)</w:t>
      </w:r>
      <w:r w:rsidR="002B2719" w:rsidRPr="002B2719">
        <w:t xml:space="preserve">.It has been reported that women who use drugs are often </w:t>
      </w:r>
      <w:r w:rsidR="00B10803">
        <w:t xml:space="preserve">the </w:t>
      </w:r>
      <w:r w:rsidR="002B2719" w:rsidRPr="002B2719">
        <w:t xml:space="preserve">targets of </w:t>
      </w:r>
      <w:r w:rsidR="00A30379">
        <w:t xml:space="preserve">violence, including </w:t>
      </w:r>
      <w:r w:rsidR="002B2719" w:rsidRPr="002B2719">
        <w:t>sexual violence</w:t>
      </w:r>
      <w:r w:rsidR="00A30379">
        <w:t>,</w:t>
      </w:r>
      <w:r w:rsidR="002B2719" w:rsidRPr="002B2719">
        <w:t xml:space="preserve"> </w:t>
      </w:r>
      <w:r w:rsidR="00B10803">
        <w:t>perpetrated by</w:t>
      </w:r>
      <w:r w:rsidR="00B10803" w:rsidRPr="002B2719">
        <w:t xml:space="preserve"> </w:t>
      </w:r>
      <w:r w:rsidR="00B10803">
        <w:t xml:space="preserve">their partners and </w:t>
      </w:r>
      <w:r w:rsidR="002B2719" w:rsidRPr="002B2719">
        <w:t xml:space="preserve">law enforcement </w:t>
      </w:r>
      <w:r w:rsidR="00B10803">
        <w:t>officers</w:t>
      </w:r>
      <w:r w:rsidR="002B2719" w:rsidRPr="002B2719">
        <w:t>. Women may be forced to have sex to avoid arrest or punishment by law enforcement</w:t>
      </w:r>
      <w:r w:rsidR="00E62209">
        <w:t xml:space="preserve"> officers</w:t>
      </w:r>
      <w:r w:rsidR="002B2719" w:rsidRPr="002B2719">
        <w:t>.</w:t>
      </w:r>
      <w:r w:rsidR="002B2719" w:rsidRPr="00E05629">
        <w:rPr>
          <w:rStyle w:val="FootnoteReference"/>
        </w:rPr>
        <w:footnoteReference w:id="71"/>
      </w:r>
      <w:r w:rsidR="002B2719" w:rsidRPr="002B2719">
        <w:t xml:space="preserve"> Women who use drugs and </w:t>
      </w:r>
      <w:r w:rsidR="00E62209">
        <w:t xml:space="preserve">who </w:t>
      </w:r>
      <w:r w:rsidR="002B2719" w:rsidRPr="002B2719">
        <w:t>are also sex workers are reported</w:t>
      </w:r>
      <w:r w:rsidR="00E62209">
        <w:t xml:space="preserve"> to be even more</w:t>
      </w:r>
      <w:r w:rsidR="002B2719" w:rsidRPr="002B2719">
        <w:t xml:space="preserve"> vulnerab</w:t>
      </w:r>
      <w:r w:rsidR="00E62209">
        <w:t>le</w:t>
      </w:r>
      <w:r w:rsidR="002B2719" w:rsidRPr="002B2719">
        <w:t>.</w:t>
      </w:r>
      <w:r w:rsidR="002B2719" w:rsidRPr="00E05629">
        <w:rPr>
          <w:rStyle w:val="FootnoteReference"/>
        </w:rPr>
        <w:footnoteReference w:id="72"/>
      </w:r>
    </w:p>
    <w:p w:rsidR="002B2719" w:rsidRPr="002B2719" w:rsidRDefault="0093537D" w:rsidP="0093537D">
      <w:pPr>
        <w:pStyle w:val="HChG"/>
      </w:pPr>
      <w:r>
        <w:tab/>
        <w:t>V.</w:t>
      </w:r>
      <w:r>
        <w:tab/>
      </w:r>
      <w:r w:rsidR="002B2719" w:rsidRPr="002B2719">
        <w:t>Rights of the child</w:t>
      </w:r>
    </w:p>
    <w:p w:rsidR="002B2719" w:rsidRPr="002B2719" w:rsidRDefault="00D111EC" w:rsidP="00FB01D1">
      <w:pPr>
        <w:pStyle w:val="SingleTxtG"/>
      </w:pPr>
      <w:r w:rsidRPr="002B2719">
        <w:rPr>
          <w:color w:val="000000" w:themeColor="text1"/>
        </w:rPr>
        <w:t>5</w:t>
      </w:r>
      <w:r w:rsidR="00FB01D1">
        <w:rPr>
          <w:color w:val="000000" w:themeColor="text1"/>
        </w:rPr>
        <w:t>5</w:t>
      </w:r>
      <w:r w:rsidRPr="002B2719">
        <w:rPr>
          <w:color w:val="000000" w:themeColor="text1"/>
        </w:rPr>
        <w:t>.</w:t>
      </w:r>
      <w:r w:rsidRPr="002B2719">
        <w:rPr>
          <w:color w:val="000000" w:themeColor="text1"/>
        </w:rPr>
        <w:tab/>
      </w:r>
      <w:r w:rsidR="002B2719" w:rsidRPr="002B2719">
        <w:t>Article 33 of the Convention o</w:t>
      </w:r>
      <w:r w:rsidR="005410C9">
        <w:t>n</w:t>
      </w:r>
      <w:r w:rsidR="002B2719" w:rsidRPr="002B2719">
        <w:t xml:space="preserve"> the Rights of the Child provides that States </w:t>
      </w:r>
      <w:r w:rsidR="005410C9">
        <w:t>p</w:t>
      </w:r>
      <w:r w:rsidR="002B2719" w:rsidRPr="002B2719">
        <w:t>arties shall take all appropriate measures to protect children from the illicit use of narcotic drugs and psychotropic substances as defined in</w:t>
      </w:r>
      <w:r w:rsidR="005410C9">
        <w:t xml:space="preserve"> the</w:t>
      </w:r>
      <w:r w:rsidR="002B2719" w:rsidRPr="002B2719">
        <w:t xml:space="preserve"> relevant international treaties, and to prevent the use of children in the illicit production and trafficking of such substances. </w:t>
      </w:r>
    </w:p>
    <w:p w:rsidR="002B2719" w:rsidRPr="00D111EC" w:rsidRDefault="00D111EC" w:rsidP="00FB01D1">
      <w:pPr>
        <w:pStyle w:val="SingleTxtG"/>
        <w:rPr>
          <w:lang w:val="en-US"/>
        </w:rPr>
      </w:pPr>
      <w:r w:rsidRPr="00D111EC">
        <w:rPr>
          <w:color w:val="000000" w:themeColor="text1"/>
          <w:lang w:val="en-US"/>
        </w:rPr>
        <w:t>5</w:t>
      </w:r>
      <w:r w:rsidR="00FB01D1">
        <w:rPr>
          <w:color w:val="000000" w:themeColor="text1"/>
          <w:lang w:val="en-US"/>
        </w:rPr>
        <w:t>6</w:t>
      </w:r>
      <w:r w:rsidRPr="00D111EC">
        <w:rPr>
          <w:color w:val="000000" w:themeColor="text1"/>
          <w:lang w:val="en-US"/>
        </w:rPr>
        <w:t>.</w:t>
      </w:r>
      <w:r w:rsidRPr="00D111EC">
        <w:rPr>
          <w:color w:val="000000" w:themeColor="text1"/>
          <w:lang w:val="en-US"/>
        </w:rPr>
        <w:tab/>
      </w:r>
      <w:r w:rsidR="002B2719" w:rsidRPr="002B2719">
        <w:t xml:space="preserve">In its </w:t>
      </w:r>
      <w:r w:rsidR="005410C9">
        <w:t>g</w:t>
      </w:r>
      <w:r w:rsidR="002B2719" w:rsidRPr="002B2719">
        <w:t xml:space="preserve">eneral </w:t>
      </w:r>
      <w:r w:rsidR="005410C9">
        <w:t>c</w:t>
      </w:r>
      <w:r w:rsidR="002B2719" w:rsidRPr="002B2719">
        <w:t xml:space="preserve">omment No. 3 </w:t>
      </w:r>
      <w:r w:rsidR="005410C9">
        <w:t xml:space="preserve">(2003) </w:t>
      </w:r>
      <w:r w:rsidR="002B2719" w:rsidRPr="002B2719">
        <w:t>on HIV</w:t>
      </w:r>
      <w:r w:rsidR="005410C9">
        <w:t>/AIDS and the rights of the child</w:t>
      </w:r>
      <w:r w:rsidR="002B2719" w:rsidRPr="002B2719">
        <w:t>, the Committee on the Rights of the Child noted that</w:t>
      </w:r>
      <w:r w:rsidR="005410C9">
        <w:t>,</w:t>
      </w:r>
      <w:r w:rsidR="002B2719" w:rsidRPr="002B2719">
        <w:t xml:space="preserve"> in most countries, children have not benefited from HIV prevention programmes related to substance use and that</w:t>
      </w:r>
      <w:r w:rsidR="005410C9">
        <w:t>,</w:t>
      </w:r>
      <w:r w:rsidR="002B2719" w:rsidRPr="002B2719">
        <w:t xml:space="preserve"> where HIV prevention programmes exist, they have largely targeted adults.</w:t>
      </w:r>
      <w:r w:rsidR="00E05629">
        <w:t xml:space="preserve"> </w:t>
      </w:r>
      <w:r w:rsidR="002B2719" w:rsidRPr="002B2719">
        <w:t xml:space="preserve">It observed that injecting practices using unsterilized instruments increase the risk of HIV transmission and that programmes and policies aimed at reducing substance use and HIV transmission must recognize the particular sensitivities and lifestyles of children. In its </w:t>
      </w:r>
      <w:r w:rsidR="005410C9">
        <w:t>g</w:t>
      </w:r>
      <w:r w:rsidR="002B2719" w:rsidRPr="002B2719">
        <w:t xml:space="preserve">eneral </w:t>
      </w:r>
      <w:r w:rsidR="005410C9">
        <w:t>c</w:t>
      </w:r>
      <w:r w:rsidR="002B2719" w:rsidRPr="002B2719">
        <w:t xml:space="preserve">omment No. 15 </w:t>
      </w:r>
      <w:r w:rsidR="005410C9">
        <w:t xml:space="preserve">(2013) </w:t>
      </w:r>
      <w:r w:rsidR="002B2719" w:rsidRPr="002B2719">
        <w:t xml:space="preserve">on </w:t>
      </w:r>
      <w:r w:rsidR="005410C9" w:rsidRPr="005410C9">
        <w:t xml:space="preserve">the right of the child to the enjoyment of the highest attainable standard of </w:t>
      </w:r>
      <w:r w:rsidR="002B2719" w:rsidRPr="002B2719">
        <w:t>health, the Committee endorsed harm reduction as an important approach to minimizing the negative health impacts of substance abuse.</w:t>
      </w:r>
      <w:r w:rsidR="00E05629">
        <w:t xml:space="preserve"> </w:t>
      </w:r>
      <w:r w:rsidR="002B2719" w:rsidRPr="002B2719">
        <w:t>It called for children to benefit from harm reduction programmes in its concluding observations</w:t>
      </w:r>
      <w:r w:rsidR="006A1464">
        <w:t xml:space="preserve"> (see </w:t>
      </w:r>
      <w:r w:rsidR="006A1464" w:rsidRPr="00C94FA3">
        <w:t xml:space="preserve">CRC/C/UKR/CO/4, para. </w:t>
      </w:r>
      <w:r w:rsidR="006A1464" w:rsidRPr="002C0FEF">
        <w:rPr>
          <w:lang w:val="en-US"/>
        </w:rPr>
        <w:t xml:space="preserve">59, CRC/C/AUT/CO/3-4, para. 51, and CRC/C/ALB/CO/2-4, para. </w:t>
      </w:r>
      <w:r w:rsidR="006A1464" w:rsidRPr="00D111EC">
        <w:rPr>
          <w:lang w:val="en-US"/>
        </w:rPr>
        <w:t>63 (b))</w:t>
      </w:r>
      <w:r w:rsidR="002B2719" w:rsidRPr="00D111EC">
        <w:rPr>
          <w:lang w:val="en-US"/>
        </w:rPr>
        <w:t>.</w:t>
      </w:r>
    </w:p>
    <w:p w:rsidR="0093537D" w:rsidRPr="0093537D" w:rsidRDefault="00D111EC" w:rsidP="00FB01D1">
      <w:pPr>
        <w:pStyle w:val="SingleTxtG"/>
      </w:pPr>
      <w:r w:rsidRPr="0093537D">
        <w:rPr>
          <w:color w:val="000000" w:themeColor="text1"/>
        </w:rPr>
        <w:t>5</w:t>
      </w:r>
      <w:r w:rsidR="00FB01D1">
        <w:rPr>
          <w:color w:val="000000" w:themeColor="text1"/>
        </w:rPr>
        <w:t>7</w:t>
      </w:r>
      <w:r w:rsidRPr="0093537D">
        <w:rPr>
          <w:color w:val="000000" w:themeColor="text1"/>
        </w:rPr>
        <w:t>.</w:t>
      </w:r>
      <w:r w:rsidRPr="0093537D">
        <w:rPr>
          <w:color w:val="000000" w:themeColor="text1"/>
        </w:rPr>
        <w:tab/>
      </w:r>
      <w:r w:rsidR="002B2719" w:rsidRPr="002B2719">
        <w:t xml:space="preserve">The Committee has recommended that children receive accurate and objective information on drugs. It </w:t>
      </w:r>
      <w:r w:rsidR="00BA00EB">
        <w:t xml:space="preserve">has </w:t>
      </w:r>
      <w:r w:rsidR="002B2719" w:rsidRPr="002B2719">
        <w:t>called for children who use drugs not to be subject</w:t>
      </w:r>
      <w:r w:rsidR="00BA00EB">
        <w:t>ed</w:t>
      </w:r>
      <w:r w:rsidR="002B2719" w:rsidRPr="002B2719">
        <w:t xml:space="preserve"> to criminal proceedings and for </w:t>
      </w:r>
      <w:r w:rsidR="00BA00EB">
        <w:t xml:space="preserve">the </w:t>
      </w:r>
      <w:r w:rsidR="002B2719" w:rsidRPr="002B2719">
        <w:t>possession</w:t>
      </w:r>
      <w:r w:rsidR="00BA00EB">
        <w:t xml:space="preserve"> of drugs</w:t>
      </w:r>
      <w:r w:rsidR="002B2719" w:rsidRPr="002B2719">
        <w:t xml:space="preserve"> by children</w:t>
      </w:r>
      <w:r w:rsidR="00BA00EB">
        <w:t xml:space="preserve"> to be decriminalized</w:t>
      </w:r>
      <w:r w:rsidR="006A1464">
        <w:t xml:space="preserve"> (see </w:t>
      </w:r>
      <w:r w:rsidR="006A1464" w:rsidRPr="002C0FEF">
        <w:rPr>
          <w:lang w:val="en-US"/>
        </w:rPr>
        <w:t>CRC/C/OPAC/MEX/CO</w:t>
      </w:r>
      <w:r w:rsidR="006A1464">
        <w:rPr>
          <w:lang w:val="en-US"/>
        </w:rPr>
        <w:t>/</w:t>
      </w:r>
      <w:r w:rsidR="006A1464" w:rsidRPr="002C0FEF">
        <w:rPr>
          <w:lang w:val="en-US"/>
        </w:rPr>
        <w:t xml:space="preserve">1, para. 29, </w:t>
      </w:r>
      <w:r w:rsidR="006A1464">
        <w:rPr>
          <w:lang w:val="en-US"/>
        </w:rPr>
        <w:t xml:space="preserve">and </w:t>
      </w:r>
      <w:r w:rsidR="006A1464" w:rsidRPr="002C0FEF">
        <w:rPr>
          <w:lang w:val="en-US"/>
        </w:rPr>
        <w:t>CRC/C/UKR/CO/4, paras. 59-60</w:t>
      </w:r>
      <w:r w:rsidR="006A1464">
        <w:rPr>
          <w:lang w:val="en-US"/>
        </w:rPr>
        <w:t>)</w:t>
      </w:r>
      <w:r w:rsidR="002B2719" w:rsidRPr="002B2719">
        <w:t>.</w:t>
      </w:r>
      <w:r w:rsidR="00E05629">
        <w:t xml:space="preserve"> </w:t>
      </w:r>
      <w:r w:rsidR="002B2719" w:rsidRPr="002B2719">
        <w:t>However, the Committee found that</w:t>
      </w:r>
      <w:r w:rsidR="00BA00EB">
        <w:t>,</w:t>
      </w:r>
      <w:r w:rsidR="002B2719" w:rsidRPr="002B2719">
        <w:t xml:space="preserve"> in practice</w:t>
      </w:r>
      <w:r w:rsidR="00603C58">
        <w:t>,</w:t>
      </w:r>
      <w:r w:rsidR="002B2719" w:rsidRPr="002B2719">
        <w:t xml:space="preserve"> </w:t>
      </w:r>
      <w:r w:rsidR="00BA00EB">
        <w:t xml:space="preserve">in most States </w:t>
      </w:r>
      <w:r w:rsidR="002B2719" w:rsidRPr="002B2719">
        <w:t>children who use drugs are subject to criminal prosecution and often have no access to harm reduction and drug treatment services. The Committee criticized the aerial fumigation of drug crops because of its effects on children</w:t>
      </w:r>
      <w:r w:rsidR="006A1464">
        <w:t xml:space="preserve"> (see </w:t>
      </w:r>
      <w:r w:rsidR="006A1464" w:rsidRPr="002C0FEF">
        <w:rPr>
          <w:lang w:val="en-US"/>
        </w:rPr>
        <w:t>CRC/C/COL/CO/3, para. 72</w:t>
      </w:r>
      <w:r w:rsidR="006A1464">
        <w:rPr>
          <w:lang w:val="en-US"/>
        </w:rPr>
        <w:t>)</w:t>
      </w:r>
      <w:r w:rsidR="002B2719" w:rsidRPr="002B2719">
        <w:t>. It also condemned the practice of placing children in compulsory drug detention and rehabilitation centres</w:t>
      </w:r>
      <w:r w:rsidR="006A1464">
        <w:t xml:space="preserve"> (see </w:t>
      </w:r>
      <w:r w:rsidR="006A1464" w:rsidRPr="002C0FEF">
        <w:rPr>
          <w:lang w:val="en-US"/>
        </w:rPr>
        <w:t xml:space="preserve">CRC/C/KHM/CO/2, paras. </w:t>
      </w:r>
      <w:r w:rsidR="006A1464" w:rsidRPr="00D111EC">
        <w:rPr>
          <w:lang w:val="en-US"/>
        </w:rPr>
        <w:t>55-56)</w:t>
      </w:r>
      <w:r w:rsidR="002B2719" w:rsidRPr="002B2719">
        <w:t>.</w:t>
      </w:r>
    </w:p>
    <w:p w:rsidR="0093537D" w:rsidRPr="00A77E12" w:rsidRDefault="0093537D" w:rsidP="00A77E12">
      <w:pPr>
        <w:pStyle w:val="HChG"/>
      </w:pPr>
      <w:r>
        <w:tab/>
        <w:t>VI.</w:t>
      </w:r>
      <w:r>
        <w:tab/>
      </w:r>
      <w:r w:rsidRPr="0093537D">
        <w:t>Rights of in</w:t>
      </w:r>
      <w:r w:rsidR="00A45EA7">
        <w:t>digenous peoples</w:t>
      </w:r>
    </w:p>
    <w:p w:rsidR="0093537D" w:rsidRPr="00A77E12" w:rsidRDefault="00D111EC" w:rsidP="00FB01D1">
      <w:pPr>
        <w:pStyle w:val="SingleTxtG"/>
      </w:pPr>
      <w:r w:rsidRPr="00A77E12">
        <w:rPr>
          <w:color w:val="000000" w:themeColor="text1"/>
        </w:rPr>
        <w:t>5</w:t>
      </w:r>
      <w:r w:rsidR="00FB01D1">
        <w:rPr>
          <w:color w:val="000000" w:themeColor="text1"/>
        </w:rPr>
        <w:t>8</w:t>
      </w:r>
      <w:r w:rsidRPr="00A77E12">
        <w:rPr>
          <w:color w:val="000000" w:themeColor="text1"/>
        </w:rPr>
        <w:t>.</w:t>
      </w:r>
      <w:r w:rsidRPr="00A77E12">
        <w:rPr>
          <w:color w:val="000000" w:themeColor="text1"/>
        </w:rPr>
        <w:tab/>
      </w:r>
      <w:r w:rsidR="0093537D" w:rsidRPr="0093537D">
        <w:t>The 1961 Convention imposes restrictions on the cultivation of coca</w:t>
      </w:r>
      <w:r w:rsidR="00892CC9">
        <w:t xml:space="preserve"> bush</w:t>
      </w:r>
      <w:r w:rsidR="0093537D" w:rsidRPr="0093537D">
        <w:t xml:space="preserve">, opium </w:t>
      </w:r>
      <w:r w:rsidR="00892CC9">
        <w:t xml:space="preserve">poppy </w:t>
      </w:r>
      <w:r w:rsidR="0093537D" w:rsidRPr="0093537D">
        <w:t>and cannabis</w:t>
      </w:r>
      <w:r w:rsidR="00892CC9">
        <w:t xml:space="preserve"> plant</w:t>
      </w:r>
      <w:r w:rsidR="0093537D" w:rsidRPr="0093537D">
        <w:t xml:space="preserve"> for indigenous, traditional and religious uses, and requires that </w:t>
      </w:r>
      <w:r w:rsidR="00BA00EB">
        <w:t>opium smoking</w:t>
      </w:r>
      <w:r w:rsidR="00BA00EB" w:rsidRPr="0093537D">
        <w:t xml:space="preserve"> </w:t>
      </w:r>
      <w:r w:rsidR="0093537D" w:rsidRPr="0093537D">
        <w:t xml:space="preserve">be abolished within 15 years, </w:t>
      </w:r>
      <w:r w:rsidR="00BA00EB">
        <w:t xml:space="preserve">that </w:t>
      </w:r>
      <w:r w:rsidR="00BA00EB" w:rsidRPr="0093537D">
        <w:t xml:space="preserve">coca leaf chewing be abolished </w:t>
      </w:r>
      <w:r w:rsidR="00BA00EB">
        <w:t xml:space="preserve">within </w:t>
      </w:r>
      <w:r w:rsidR="0093537D" w:rsidRPr="0093537D">
        <w:t xml:space="preserve">25 years and </w:t>
      </w:r>
      <w:r w:rsidR="00BA00EB">
        <w:t xml:space="preserve">that </w:t>
      </w:r>
      <w:r w:rsidR="0093537D" w:rsidRPr="0093537D">
        <w:t>cannabis</w:t>
      </w:r>
      <w:r w:rsidR="00BA00EB">
        <w:t xml:space="preserve"> use be abolished within</w:t>
      </w:r>
      <w:r w:rsidR="00BA00EB" w:rsidRPr="0093537D">
        <w:t xml:space="preserve"> 25 years</w:t>
      </w:r>
      <w:r w:rsidR="00BA00EB">
        <w:t xml:space="preserve"> at the latest</w:t>
      </w:r>
      <w:r w:rsidR="006A1464">
        <w:t xml:space="preserve"> (art. 49 (2))</w:t>
      </w:r>
      <w:r w:rsidR="0093537D" w:rsidRPr="0093537D">
        <w:t>. The 1988 Convention requires States to criminalize the possession, purchase and cultivation of coca for person</w:t>
      </w:r>
      <w:r w:rsidR="00BA00EB">
        <w:t>al</w:t>
      </w:r>
      <w:r w:rsidR="0093537D" w:rsidRPr="0093537D">
        <w:t xml:space="preserve"> consumption and to take measures to prevent </w:t>
      </w:r>
      <w:r w:rsidR="00BA00EB">
        <w:t xml:space="preserve">the </w:t>
      </w:r>
      <w:r w:rsidR="0093537D" w:rsidRPr="0093537D">
        <w:t xml:space="preserve">cultivation </w:t>
      </w:r>
      <w:r w:rsidR="00BA00EB">
        <w:t xml:space="preserve">of </w:t>
      </w:r>
      <w:r w:rsidR="0093537D" w:rsidRPr="0093537D">
        <w:t>and to eradicate illicit crops. In doing so, States must “take due account of traditional licit uses, where there is historic evidence of such use”</w:t>
      </w:r>
      <w:r w:rsidR="006A1464">
        <w:t xml:space="preserve"> (a</w:t>
      </w:r>
      <w:r w:rsidR="006A1464" w:rsidRPr="002C0FEF">
        <w:rPr>
          <w:lang w:val="en-US"/>
        </w:rPr>
        <w:t>rt</w:t>
      </w:r>
      <w:r w:rsidR="006A1464">
        <w:rPr>
          <w:lang w:val="en-US"/>
        </w:rPr>
        <w:t>. 14</w:t>
      </w:r>
      <w:r w:rsidR="006A1464" w:rsidRPr="002C0FEF">
        <w:rPr>
          <w:lang w:val="en-US"/>
        </w:rPr>
        <w:t xml:space="preserve"> </w:t>
      </w:r>
      <w:r w:rsidR="006A1464">
        <w:rPr>
          <w:lang w:val="en-US"/>
        </w:rPr>
        <w:t>(</w:t>
      </w:r>
      <w:r w:rsidR="006A1464" w:rsidRPr="002C0FEF">
        <w:rPr>
          <w:lang w:val="en-US"/>
        </w:rPr>
        <w:t>2</w:t>
      </w:r>
      <w:r w:rsidR="006A1464">
        <w:rPr>
          <w:lang w:val="en-US"/>
        </w:rPr>
        <w:t>))</w:t>
      </w:r>
      <w:r w:rsidR="00BA00EB">
        <w:t>.</w:t>
      </w:r>
      <w:r w:rsidR="0093537D" w:rsidRPr="0093537D">
        <w:t xml:space="preserve"> </w:t>
      </w:r>
    </w:p>
    <w:p w:rsidR="0093537D" w:rsidRPr="0093537D" w:rsidRDefault="00D111EC" w:rsidP="00FB01D1">
      <w:pPr>
        <w:pStyle w:val="SingleTxtG"/>
        <w:rPr>
          <w:bCs/>
        </w:rPr>
      </w:pPr>
      <w:r w:rsidRPr="0093537D">
        <w:rPr>
          <w:color w:val="000000" w:themeColor="text1"/>
        </w:rPr>
        <w:t>5</w:t>
      </w:r>
      <w:r w:rsidR="00FB01D1">
        <w:rPr>
          <w:color w:val="000000" w:themeColor="text1"/>
        </w:rPr>
        <w:t>9</w:t>
      </w:r>
      <w:r w:rsidRPr="0093537D">
        <w:rPr>
          <w:color w:val="000000" w:themeColor="text1"/>
        </w:rPr>
        <w:t>.</w:t>
      </w:r>
      <w:r w:rsidRPr="0093537D">
        <w:rPr>
          <w:color w:val="000000" w:themeColor="text1"/>
        </w:rPr>
        <w:tab/>
      </w:r>
      <w:r w:rsidR="0093537D" w:rsidRPr="0093537D">
        <w:rPr>
          <w:bCs/>
        </w:rPr>
        <w:t xml:space="preserve">In 2009, the Permanent Forum on Indigenous Issues called for the amendment or repeal of </w:t>
      </w:r>
      <w:r w:rsidR="0093537D" w:rsidRPr="0093537D">
        <w:rPr>
          <w:bCs/>
          <w:iCs/>
        </w:rPr>
        <w:t xml:space="preserve">those portions of the 1961 Convention regarding coca leaf chewing that are inconsistent with the rights of indigenous peoples to maintain their traditional health and cultural practices, as recognized in articles 11, 24 and 31 of the </w:t>
      </w:r>
      <w:r w:rsidR="00911C5A">
        <w:rPr>
          <w:bCs/>
          <w:iCs/>
        </w:rPr>
        <w:t xml:space="preserve">United Nations </w:t>
      </w:r>
      <w:r w:rsidR="0093537D" w:rsidRPr="0093537D">
        <w:rPr>
          <w:bCs/>
          <w:iCs/>
        </w:rPr>
        <w:t>Declaration</w:t>
      </w:r>
      <w:r w:rsidR="00911C5A">
        <w:rPr>
          <w:bCs/>
          <w:iCs/>
        </w:rPr>
        <w:t xml:space="preserve"> on the Rights of Indigenous Peoples</w:t>
      </w:r>
      <w:r w:rsidR="006A1464">
        <w:rPr>
          <w:bCs/>
          <w:iCs/>
        </w:rPr>
        <w:t xml:space="preserve"> (see </w:t>
      </w:r>
      <w:r w:rsidR="006A1464" w:rsidRPr="002C0FEF">
        <w:rPr>
          <w:lang w:val="en-US"/>
        </w:rPr>
        <w:t xml:space="preserve">E/2009/43-E/C.19/2009/14, para. </w:t>
      </w:r>
      <w:r w:rsidR="006A1464" w:rsidRPr="00A77E12">
        <w:t>89</w:t>
      </w:r>
      <w:r w:rsidR="006A1464">
        <w:t>)</w:t>
      </w:r>
      <w:r w:rsidR="0093537D" w:rsidRPr="0093537D">
        <w:rPr>
          <w:bCs/>
          <w:iCs/>
        </w:rPr>
        <w:t>.</w:t>
      </w:r>
      <w:r w:rsidR="0093537D" w:rsidRPr="00E05629">
        <w:rPr>
          <w:rStyle w:val="FootnoteReference"/>
        </w:rPr>
        <w:footnoteReference w:id="73"/>
      </w:r>
      <w:r w:rsidR="00E05629">
        <w:rPr>
          <w:bCs/>
        </w:rPr>
        <w:t xml:space="preserve"> </w:t>
      </w:r>
      <w:r w:rsidR="0093537D" w:rsidRPr="0093537D">
        <w:rPr>
          <w:bCs/>
        </w:rPr>
        <w:t xml:space="preserve">In 2011, </w:t>
      </w:r>
      <w:r w:rsidR="00911C5A">
        <w:rPr>
          <w:bCs/>
        </w:rPr>
        <w:t xml:space="preserve">the Plurinational State of </w:t>
      </w:r>
      <w:r w:rsidR="0093537D" w:rsidRPr="0093537D">
        <w:rPr>
          <w:bCs/>
        </w:rPr>
        <w:t>Bolivia withdrew from the 1961 Convention, subsequently re-acced</w:t>
      </w:r>
      <w:r w:rsidR="00911C5A">
        <w:rPr>
          <w:bCs/>
        </w:rPr>
        <w:t>ing</w:t>
      </w:r>
      <w:r w:rsidR="0093537D" w:rsidRPr="0093537D">
        <w:rPr>
          <w:bCs/>
        </w:rPr>
        <w:t xml:space="preserve"> to</w:t>
      </w:r>
      <w:r w:rsidR="00911C5A">
        <w:rPr>
          <w:bCs/>
        </w:rPr>
        <w:t xml:space="preserve"> it</w:t>
      </w:r>
      <w:r w:rsidR="0093537D" w:rsidRPr="0093537D">
        <w:rPr>
          <w:bCs/>
        </w:rPr>
        <w:t xml:space="preserve"> with a reservation concerning the traditional practices associated with the coca leaf.</w:t>
      </w:r>
      <w:r w:rsidR="0093537D" w:rsidRPr="00E05629">
        <w:rPr>
          <w:rStyle w:val="FootnoteReference"/>
        </w:rPr>
        <w:footnoteReference w:id="74"/>
      </w:r>
      <w:r w:rsidR="00E05629">
        <w:rPr>
          <w:bCs/>
        </w:rPr>
        <w:t xml:space="preserve"> </w:t>
      </w:r>
    </w:p>
    <w:p w:rsidR="0093537D" w:rsidRPr="0093537D" w:rsidRDefault="00FB01D1" w:rsidP="00D111EC">
      <w:pPr>
        <w:pStyle w:val="SingleTxtG"/>
        <w:rPr>
          <w:bCs/>
        </w:rPr>
      </w:pPr>
      <w:r>
        <w:rPr>
          <w:color w:val="000000" w:themeColor="text1"/>
        </w:rPr>
        <w:t>60</w:t>
      </w:r>
      <w:r w:rsidR="00D111EC" w:rsidRPr="0093537D">
        <w:rPr>
          <w:color w:val="000000" w:themeColor="text1"/>
        </w:rPr>
        <w:t>.</w:t>
      </w:r>
      <w:r w:rsidR="00D111EC" w:rsidRPr="0093537D">
        <w:rPr>
          <w:color w:val="000000" w:themeColor="text1"/>
        </w:rPr>
        <w:tab/>
      </w:r>
      <w:r w:rsidR="00A45EA7">
        <w:rPr>
          <w:bCs/>
        </w:rPr>
        <w:t>Some</w:t>
      </w:r>
      <w:r w:rsidR="0093537D" w:rsidRPr="0093537D">
        <w:rPr>
          <w:bCs/>
        </w:rPr>
        <w:t xml:space="preserve"> States have recognized exceptions to the application of the drug control treaties</w:t>
      </w:r>
      <w:r w:rsidR="00911C5A">
        <w:rPr>
          <w:bCs/>
        </w:rPr>
        <w:t>, including</w:t>
      </w:r>
      <w:r w:rsidR="0093537D" w:rsidRPr="0093537D">
        <w:rPr>
          <w:bCs/>
        </w:rPr>
        <w:t xml:space="preserve"> </w:t>
      </w:r>
      <w:r w:rsidR="00A45EA7">
        <w:rPr>
          <w:bCs/>
        </w:rPr>
        <w:t>on grounds of religious belief.</w:t>
      </w:r>
      <w:r w:rsidR="0093537D" w:rsidRPr="0093537D">
        <w:rPr>
          <w:bCs/>
        </w:rPr>
        <w:t xml:space="preserve"> In the United States, the Native American Church </w:t>
      </w:r>
      <w:r w:rsidR="00911C5A">
        <w:rPr>
          <w:bCs/>
        </w:rPr>
        <w:t>is exempted from the prohibition on</w:t>
      </w:r>
      <w:r w:rsidR="0093537D" w:rsidRPr="0093537D">
        <w:rPr>
          <w:bCs/>
        </w:rPr>
        <w:t xml:space="preserve"> consum</w:t>
      </w:r>
      <w:r w:rsidR="00911C5A">
        <w:rPr>
          <w:bCs/>
        </w:rPr>
        <w:t>ing</w:t>
      </w:r>
      <w:r w:rsidR="0093537D" w:rsidRPr="0093537D">
        <w:rPr>
          <w:bCs/>
        </w:rPr>
        <w:t xml:space="preserve"> peyote, a controlled substance, in religious ceremonies.</w:t>
      </w:r>
      <w:r w:rsidR="0093537D" w:rsidRPr="00E05629">
        <w:rPr>
          <w:rStyle w:val="FootnoteReference"/>
        </w:rPr>
        <w:footnoteReference w:id="75"/>
      </w:r>
      <w:r w:rsidR="00E05629">
        <w:rPr>
          <w:bCs/>
        </w:rPr>
        <w:t xml:space="preserve"> </w:t>
      </w:r>
      <w:r w:rsidR="0093537D" w:rsidRPr="0093537D">
        <w:rPr>
          <w:bCs/>
        </w:rPr>
        <w:t xml:space="preserve">In Italy, a drug conviction was reversed on appeal because </w:t>
      </w:r>
      <w:r w:rsidR="00911C5A">
        <w:rPr>
          <w:bCs/>
        </w:rPr>
        <w:t>a</w:t>
      </w:r>
      <w:r w:rsidR="00911C5A" w:rsidRPr="0093537D">
        <w:rPr>
          <w:bCs/>
        </w:rPr>
        <w:t xml:space="preserve"> </w:t>
      </w:r>
      <w:r w:rsidR="0093537D" w:rsidRPr="0093537D">
        <w:rPr>
          <w:bCs/>
        </w:rPr>
        <w:t>lower court had not considered the arguments made by the Rastafarian defendant based on his religious convictions.</w:t>
      </w:r>
      <w:r w:rsidR="0093537D" w:rsidRPr="00E05629">
        <w:rPr>
          <w:rStyle w:val="FootnoteReference"/>
        </w:rPr>
        <w:footnoteReference w:id="76"/>
      </w:r>
      <w:r w:rsidR="00E05629">
        <w:rPr>
          <w:bCs/>
        </w:rPr>
        <w:t xml:space="preserve"> </w:t>
      </w:r>
      <w:r w:rsidR="0093537D" w:rsidRPr="0093537D">
        <w:rPr>
          <w:bCs/>
        </w:rPr>
        <w:t>In Jamaica, the Government in 2015 changed its legislation to allow Rastafarians the right to use cannabis in their religious ceremonies.</w:t>
      </w:r>
      <w:r w:rsidR="0093537D" w:rsidRPr="00E05629">
        <w:rPr>
          <w:rStyle w:val="FootnoteReference"/>
        </w:rPr>
        <w:footnoteReference w:id="77"/>
      </w:r>
      <w:r w:rsidR="00E05629">
        <w:rPr>
          <w:bCs/>
        </w:rPr>
        <w:t xml:space="preserve"> </w:t>
      </w:r>
      <w:r w:rsidR="005D2432">
        <w:rPr>
          <w:bCs/>
        </w:rPr>
        <w:t>Previous</w:t>
      </w:r>
      <w:r w:rsidR="0093537D" w:rsidRPr="0093537D">
        <w:rPr>
          <w:bCs/>
        </w:rPr>
        <w:t xml:space="preserve"> jurisprudence has tended not to permit </w:t>
      </w:r>
      <w:r w:rsidR="00911C5A">
        <w:rPr>
          <w:bCs/>
        </w:rPr>
        <w:t xml:space="preserve">the </w:t>
      </w:r>
      <w:r w:rsidR="0093537D" w:rsidRPr="0093537D">
        <w:rPr>
          <w:bCs/>
        </w:rPr>
        <w:t>use of controlled drugs in religious ceremonies as a manifestation of religious beliefs, although sometimes with sharply divided views.</w:t>
      </w:r>
      <w:r w:rsidR="0093537D" w:rsidRPr="00E05629">
        <w:rPr>
          <w:rStyle w:val="FootnoteReference"/>
        </w:rPr>
        <w:footnoteReference w:id="78"/>
      </w:r>
      <w:r w:rsidR="00E05629">
        <w:rPr>
          <w:bCs/>
        </w:rPr>
        <w:t xml:space="preserve"> </w:t>
      </w:r>
    </w:p>
    <w:p w:rsidR="0093537D" w:rsidRPr="0053423D" w:rsidRDefault="0053423D" w:rsidP="0053423D">
      <w:pPr>
        <w:pStyle w:val="HChG"/>
      </w:pPr>
      <w:r>
        <w:tab/>
        <w:t>VII.</w:t>
      </w:r>
      <w:r>
        <w:tab/>
      </w:r>
      <w:r w:rsidR="0093537D" w:rsidRPr="0093537D">
        <w:t>Conclusions and recommendations</w:t>
      </w:r>
    </w:p>
    <w:p w:rsidR="0093537D" w:rsidRPr="0093537D" w:rsidRDefault="00D111EC" w:rsidP="00FB01D1">
      <w:pPr>
        <w:pStyle w:val="SingleTxtG"/>
        <w:rPr>
          <w:bCs/>
        </w:rPr>
      </w:pPr>
      <w:r w:rsidRPr="0093537D">
        <w:rPr>
          <w:color w:val="000000" w:themeColor="text1"/>
        </w:rPr>
        <w:t>6</w:t>
      </w:r>
      <w:r w:rsidR="00FB01D1">
        <w:rPr>
          <w:color w:val="000000" w:themeColor="text1"/>
        </w:rPr>
        <w:t>1</w:t>
      </w:r>
      <w:r w:rsidRPr="0093537D">
        <w:rPr>
          <w:color w:val="000000" w:themeColor="text1"/>
        </w:rPr>
        <w:t>.</w:t>
      </w:r>
      <w:r w:rsidRPr="0093537D">
        <w:rPr>
          <w:color w:val="000000" w:themeColor="text1"/>
        </w:rPr>
        <w:tab/>
      </w:r>
      <w:r w:rsidR="0093537D" w:rsidRPr="00864A73">
        <w:rPr>
          <w:b/>
          <w:bCs/>
        </w:rPr>
        <w:t>The right to health should be protected by ensuring that persons who use drugs have access to health</w:t>
      </w:r>
      <w:r w:rsidR="00911C5A">
        <w:rPr>
          <w:b/>
          <w:bCs/>
        </w:rPr>
        <w:t>-related</w:t>
      </w:r>
      <w:r w:rsidR="0093537D" w:rsidRPr="00864A73">
        <w:rPr>
          <w:b/>
          <w:bCs/>
        </w:rPr>
        <w:t xml:space="preserve"> information and treatment on a non-discriminatory basis. Harm reduction programmes, in particular </w:t>
      </w:r>
      <w:r w:rsidR="002B6DB4">
        <w:rPr>
          <w:b/>
          <w:bCs/>
        </w:rPr>
        <w:t>opi</w:t>
      </w:r>
      <w:r w:rsidR="00975D78">
        <w:rPr>
          <w:b/>
          <w:bCs/>
        </w:rPr>
        <w:t>oid</w:t>
      </w:r>
      <w:r w:rsidR="002B6DB4">
        <w:rPr>
          <w:b/>
          <w:bCs/>
        </w:rPr>
        <w:t xml:space="preserve"> </w:t>
      </w:r>
      <w:r w:rsidR="00911C5A">
        <w:rPr>
          <w:b/>
          <w:bCs/>
        </w:rPr>
        <w:t>substitution therapy</w:t>
      </w:r>
      <w:r w:rsidR="0093537D" w:rsidRPr="00864A73">
        <w:rPr>
          <w:b/>
          <w:bCs/>
        </w:rPr>
        <w:t xml:space="preserve"> </w:t>
      </w:r>
      <w:r w:rsidR="00911C5A">
        <w:rPr>
          <w:b/>
          <w:bCs/>
        </w:rPr>
        <w:t xml:space="preserve">should be available and offered </w:t>
      </w:r>
      <w:r w:rsidR="000A466B">
        <w:rPr>
          <w:b/>
          <w:bCs/>
        </w:rPr>
        <w:t>to</w:t>
      </w:r>
      <w:r w:rsidR="0093537D" w:rsidRPr="00864A73">
        <w:rPr>
          <w:b/>
          <w:bCs/>
        </w:rPr>
        <w:t xml:space="preserve"> persons who are drug dependent, </w:t>
      </w:r>
      <w:r w:rsidR="00911C5A">
        <w:rPr>
          <w:b/>
          <w:bCs/>
        </w:rPr>
        <w:t>e</w:t>
      </w:r>
      <w:r w:rsidR="0093537D" w:rsidRPr="00864A73">
        <w:rPr>
          <w:b/>
          <w:bCs/>
        </w:rPr>
        <w:t>special</w:t>
      </w:r>
      <w:r w:rsidR="00911C5A">
        <w:rPr>
          <w:b/>
          <w:bCs/>
        </w:rPr>
        <w:t>ly</w:t>
      </w:r>
      <w:r w:rsidR="0093537D" w:rsidRPr="00864A73">
        <w:rPr>
          <w:b/>
          <w:bCs/>
        </w:rPr>
        <w:t xml:space="preserve"> those in prisons and other custodial settings. Consideration should be given to removing obstacles to the right to health, including </w:t>
      </w:r>
      <w:r w:rsidR="00911C5A">
        <w:rPr>
          <w:b/>
          <w:bCs/>
        </w:rPr>
        <w:t xml:space="preserve">by </w:t>
      </w:r>
      <w:r w:rsidR="0093537D" w:rsidRPr="00864A73">
        <w:rPr>
          <w:b/>
          <w:bCs/>
        </w:rPr>
        <w:t>decriminaliz</w:t>
      </w:r>
      <w:r w:rsidR="00911C5A">
        <w:rPr>
          <w:b/>
          <w:bCs/>
        </w:rPr>
        <w:t>ing the</w:t>
      </w:r>
      <w:r w:rsidR="000462E1">
        <w:rPr>
          <w:b/>
          <w:bCs/>
        </w:rPr>
        <w:t xml:space="preserve"> </w:t>
      </w:r>
      <w:r w:rsidR="0093537D" w:rsidRPr="00864A73">
        <w:rPr>
          <w:b/>
          <w:bCs/>
        </w:rPr>
        <w:t>personal use and possession</w:t>
      </w:r>
      <w:r w:rsidR="00911C5A">
        <w:rPr>
          <w:b/>
          <w:bCs/>
        </w:rPr>
        <w:t xml:space="preserve"> of drugs</w:t>
      </w:r>
      <w:r w:rsidR="00975D78">
        <w:rPr>
          <w:b/>
          <w:bCs/>
        </w:rPr>
        <w:t>;</w:t>
      </w:r>
      <w:r w:rsidR="0093537D" w:rsidRPr="00864A73">
        <w:rPr>
          <w:b/>
          <w:bCs/>
        </w:rPr>
        <w:t xml:space="preserve"> </w:t>
      </w:r>
      <w:r w:rsidR="002B6DB4">
        <w:rPr>
          <w:b/>
          <w:bCs/>
        </w:rPr>
        <w:t xml:space="preserve">moreover, </w:t>
      </w:r>
      <w:r w:rsidR="0093537D" w:rsidRPr="00864A73">
        <w:rPr>
          <w:b/>
          <w:bCs/>
        </w:rPr>
        <w:t>public health programmes</w:t>
      </w:r>
      <w:r w:rsidR="00911C5A">
        <w:rPr>
          <w:b/>
          <w:bCs/>
        </w:rPr>
        <w:t xml:space="preserve"> should be increased</w:t>
      </w:r>
      <w:r w:rsidR="0093537D" w:rsidRPr="00864A73">
        <w:rPr>
          <w:b/>
          <w:bCs/>
        </w:rPr>
        <w:t>. The right to health requires better access to controlled essential medicines, especially in devel</w:t>
      </w:r>
      <w:r w:rsidR="0053423D" w:rsidRPr="00864A73">
        <w:rPr>
          <w:b/>
          <w:bCs/>
        </w:rPr>
        <w:t>oping countries.</w:t>
      </w:r>
    </w:p>
    <w:p w:rsidR="0093537D" w:rsidRDefault="00D111EC" w:rsidP="00FB01D1">
      <w:pPr>
        <w:pStyle w:val="SingleTxtG"/>
        <w:rPr>
          <w:b/>
          <w:bCs/>
        </w:rPr>
      </w:pPr>
      <w:r>
        <w:rPr>
          <w:color w:val="000000" w:themeColor="text1"/>
        </w:rPr>
        <w:t>6</w:t>
      </w:r>
      <w:r w:rsidR="00FB01D1">
        <w:rPr>
          <w:color w:val="000000" w:themeColor="text1"/>
        </w:rPr>
        <w:t>2</w:t>
      </w:r>
      <w:r>
        <w:rPr>
          <w:color w:val="000000" w:themeColor="text1"/>
        </w:rPr>
        <w:t>.</w:t>
      </w:r>
      <w:r>
        <w:rPr>
          <w:color w:val="000000" w:themeColor="text1"/>
        </w:rPr>
        <w:tab/>
      </w:r>
      <w:r w:rsidR="0093537D" w:rsidRPr="00864A73">
        <w:rPr>
          <w:b/>
          <w:bCs/>
        </w:rPr>
        <w:t>The prohibition of arbitrary arrest and detention, torture and other forms of ill</w:t>
      </w:r>
      <w:r w:rsidR="00911C5A">
        <w:rPr>
          <w:b/>
          <w:bCs/>
        </w:rPr>
        <w:t>-</w:t>
      </w:r>
      <w:r w:rsidR="0093537D" w:rsidRPr="00864A73">
        <w:rPr>
          <w:b/>
          <w:bCs/>
        </w:rPr>
        <w:t xml:space="preserve">treatment and </w:t>
      </w:r>
      <w:r w:rsidR="000A466B">
        <w:rPr>
          <w:b/>
          <w:bCs/>
        </w:rPr>
        <w:t xml:space="preserve">the </w:t>
      </w:r>
      <w:r w:rsidR="0093537D" w:rsidRPr="00864A73">
        <w:rPr>
          <w:b/>
          <w:bCs/>
        </w:rPr>
        <w:t xml:space="preserve">right to </w:t>
      </w:r>
      <w:r w:rsidR="00911C5A">
        <w:rPr>
          <w:b/>
          <w:bCs/>
        </w:rPr>
        <w:t xml:space="preserve">a </w:t>
      </w:r>
      <w:r w:rsidR="0093537D" w:rsidRPr="00864A73">
        <w:rPr>
          <w:b/>
          <w:bCs/>
        </w:rPr>
        <w:t>fair trial should be protected in accordance with international norms</w:t>
      </w:r>
      <w:r w:rsidR="00911C5A">
        <w:rPr>
          <w:b/>
          <w:bCs/>
        </w:rPr>
        <w:t>, including in respect of</w:t>
      </w:r>
      <w:r w:rsidR="0093537D" w:rsidRPr="00864A73">
        <w:rPr>
          <w:b/>
          <w:bCs/>
        </w:rPr>
        <w:t xml:space="preserve"> persons who are arrested, detained or charged </w:t>
      </w:r>
      <w:r w:rsidR="00911C5A">
        <w:rPr>
          <w:b/>
          <w:bCs/>
        </w:rPr>
        <w:t>for</w:t>
      </w:r>
      <w:r w:rsidR="00911C5A" w:rsidRPr="00864A73">
        <w:rPr>
          <w:b/>
          <w:bCs/>
        </w:rPr>
        <w:t xml:space="preserve"> </w:t>
      </w:r>
      <w:r w:rsidR="0093537D" w:rsidRPr="00864A73">
        <w:rPr>
          <w:b/>
          <w:bCs/>
        </w:rPr>
        <w:t>drug</w:t>
      </w:r>
      <w:r w:rsidR="00911C5A">
        <w:rPr>
          <w:b/>
          <w:bCs/>
        </w:rPr>
        <w:t>-related</w:t>
      </w:r>
      <w:r w:rsidR="0093537D" w:rsidRPr="00864A73">
        <w:rPr>
          <w:b/>
          <w:bCs/>
        </w:rPr>
        <w:t xml:space="preserve"> offences.</w:t>
      </w:r>
      <w:r w:rsidR="00E05629">
        <w:rPr>
          <w:b/>
          <w:bCs/>
        </w:rPr>
        <w:t xml:space="preserve"> </w:t>
      </w:r>
      <w:r w:rsidR="0093537D" w:rsidRPr="00864A73">
        <w:rPr>
          <w:b/>
          <w:bCs/>
        </w:rPr>
        <w:t xml:space="preserve">Drug dependent persons in custodial settings should not be denied </w:t>
      </w:r>
      <w:r w:rsidR="00911C5A">
        <w:rPr>
          <w:b/>
          <w:bCs/>
        </w:rPr>
        <w:t>opi</w:t>
      </w:r>
      <w:r w:rsidR="00975D78">
        <w:rPr>
          <w:b/>
          <w:bCs/>
        </w:rPr>
        <w:t>oid</w:t>
      </w:r>
      <w:r w:rsidR="00911C5A">
        <w:rPr>
          <w:b/>
          <w:bCs/>
        </w:rPr>
        <w:t xml:space="preserve"> substitution therapy</w:t>
      </w:r>
      <w:r w:rsidR="00911C5A" w:rsidRPr="00864A73" w:rsidDel="00911C5A">
        <w:rPr>
          <w:b/>
          <w:bCs/>
        </w:rPr>
        <w:t xml:space="preserve"> </w:t>
      </w:r>
      <w:r w:rsidR="0093537D" w:rsidRPr="00864A73">
        <w:rPr>
          <w:b/>
          <w:bCs/>
        </w:rPr>
        <w:t xml:space="preserve">as a means of eliciting confessions or other information, and </w:t>
      </w:r>
      <w:r w:rsidR="00911C5A">
        <w:rPr>
          <w:b/>
          <w:bCs/>
        </w:rPr>
        <w:t>opi</w:t>
      </w:r>
      <w:r w:rsidR="00975D78">
        <w:rPr>
          <w:b/>
          <w:bCs/>
        </w:rPr>
        <w:t>oid</w:t>
      </w:r>
      <w:r w:rsidR="00911C5A">
        <w:rPr>
          <w:b/>
          <w:bCs/>
        </w:rPr>
        <w:t xml:space="preserve"> substitution therapy</w:t>
      </w:r>
      <w:r w:rsidR="00911C5A" w:rsidRPr="00864A73" w:rsidDel="00911C5A">
        <w:rPr>
          <w:b/>
          <w:bCs/>
        </w:rPr>
        <w:t xml:space="preserve"> </w:t>
      </w:r>
      <w:r w:rsidR="0093537D" w:rsidRPr="00864A73">
        <w:rPr>
          <w:b/>
          <w:bCs/>
        </w:rPr>
        <w:t>should be provided as part of a detainee’s right to health in all circumstances. Compulsory detention centres should be closed.</w:t>
      </w:r>
    </w:p>
    <w:p w:rsidR="000462E1" w:rsidRPr="00864A73" w:rsidRDefault="00D111EC" w:rsidP="00FB01D1">
      <w:pPr>
        <w:pStyle w:val="SingleTxtG"/>
        <w:rPr>
          <w:b/>
          <w:bCs/>
        </w:rPr>
      </w:pPr>
      <w:r w:rsidRPr="00864A73">
        <w:rPr>
          <w:color w:val="000000" w:themeColor="text1"/>
        </w:rPr>
        <w:t>6</w:t>
      </w:r>
      <w:r w:rsidR="00FB01D1">
        <w:rPr>
          <w:color w:val="000000" w:themeColor="text1"/>
        </w:rPr>
        <w:t>3</w:t>
      </w:r>
      <w:r w:rsidRPr="00864A73">
        <w:rPr>
          <w:color w:val="000000" w:themeColor="text1"/>
        </w:rPr>
        <w:t>.</w:t>
      </w:r>
      <w:r w:rsidRPr="00864A73">
        <w:rPr>
          <w:color w:val="000000" w:themeColor="text1"/>
        </w:rPr>
        <w:tab/>
      </w:r>
      <w:r w:rsidR="000462E1" w:rsidRPr="00864A73">
        <w:rPr>
          <w:b/>
          <w:bCs/>
        </w:rPr>
        <w:t>The right to life of persons convicted of drug</w:t>
      </w:r>
      <w:r w:rsidR="00F00B42" w:rsidRPr="00F00B42">
        <w:rPr>
          <w:b/>
          <w:bCs/>
        </w:rPr>
        <w:t>-related</w:t>
      </w:r>
      <w:r w:rsidR="000462E1" w:rsidRPr="00864A73">
        <w:rPr>
          <w:b/>
          <w:bCs/>
        </w:rPr>
        <w:t xml:space="preserve"> offences should be protected and</w:t>
      </w:r>
      <w:r w:rsidR="00911C5A">
        <w:rPr>
          <w:b/>
          <w:bCs/>
        </w:rPr>
        <w:t>,</w:t>
      </w:r>
      <w:r w:rsidR="000462E1" w:rsidRPr="00864A73">
        <w:rPr>
          <w:b/>
          <w:bCs/>
        </w:rPr>
        <w:t xml:space="preserve"> in accordance with article 6 of </w:t>
      </w:r>
      <w:r w:rsidR="000462E1" w:rsidRPr="00F27CFD">
        <w:rPr>
          <w:b/>
          <w:bCs/>
        </w:rPr>
        <w:t xml:space="preserve">the </w:t>
      </w:r>
      <w:r w:rsidR="00F27CFD" w:rsidRPr="002C0FEF">
        <w:rPr>
          <w:b/>
          <w:bCs/>
        </w:rPr>
        <w:t xml:space="preserve">International Covenant on Civil and Political Rights </w:t>
      </w:r>
      <w:r w:rsidR="000462E1" w:rsidRPr="00F27CFD">
        <w:rPr>
          <w:b/>
          <w:bCs/>
        </w:rPr>
        <w:t>and the jurisprudence of the Human Rights Committee</w:t>
      </w:r>
      <w:r w:rsidR="00911C5A">
        <w:rPr>
          <w:b/>
          <w:bCs/>
        </w:rPr>
        <w:t>,</w:t>
      </w:r>
      <w:r w:rsidR="00911C5A" w:rsidRPr="00911C5A">
        <w:rPr>
          <w:b/>
          <w:bCs/>
        </w:rPr>
        <w:t xml:space="preserve"> </w:t>
      </w:r>
      <w:r w:rsidR="00911C5A" w:rsidRPr="00864A73">
        <w:rPr>
          <w:b/>
          <w:bCs/>
        </w:rPr>
        <w:t>such persons should not be subject to the death penalty</w:t>
      </w:r>
      <w:r w:rsidR="000462E1" w:rsidRPr="00F27CFD">
        <w:rPr>
          <w:b/>
          <w:bCs/>
        </w:rPr>
        <w:t>. The right to life should be protected</w:t>
      </w:r>
      <w:r w:rsidR="000462E1" w:rsidRPr="00864A73">
        <w:rPr>
          <w:b/>
          <w:bCs/>
        </w:rPr>
        <w:t xml:space="preserve"> by law enforcement </w:t>
      </w:r>
      <w:r w:rsidR="00911C5A">
        <w:rPr>
          <w:b/>
          <w:bCs/>
        </w:rPr>
        <w:t xml:space="preserve">agencies </w:t>
      </w:r>
      <w:r w:rsidR="000462E1" w:rsidRPr="00864A73">
        <w:rPr>
          <w:b/>
          <w:bCs/>
        </w:rPr>
        <w:t xml:space="preserve">in </w:t>
      </w:r>
      <w:r w:rsidR="00911C5A">
        <w:rPr>
          <w:b/>
          <w:bCs/>
        </w:rPr>
        <w:t xml:space="preserve">their </w:t>
      </w:r>
      <w:r w:rsidR="000462E1" w:rsidRPr="00864A73">
        <w:rPr>
          <w:b/>
          <w:bCs/>
        </w:rPr>
        <w:t>efforts to address drug-related crime, and only proportional force should be used</w:t>
      </w:r>
      <w:r w:rsidR="00EA4300">
        <w:rPr>
          <w:b/>
          <w:bCs/>
        </w:rPr>
        <w:t>,</w:t>
      </w:r>
      <w:r w:rsidR="000462E1" w:rsidRPr="00864A73">
        <w:rPr>
          <w:b/>
          <w:bCs/>
        </w:rPr>
        <w:t xml:space="preserve"> when necessary. Extrajudicial killings should be subject to prompt, independent and effective investigations to bring </w:t>
      </w:r>
      <w:r w:rsidR="00EA4300">
        <w:rPr>
          <w:b/>
          <w:bCs/>
        </w:rPr>
        <w:t xml:space="preserve">the </w:t>
      </w:r>
      <w:r w:rsidR="000462E1" w:rsidRPr="00864A73">
        <w:rPr>
          <w:b/>
          <w:bCs/>
        </w:rPr>
        <w:t>alleged perpetrators to justice</w:t>
      </w:r>
      <w:r w:rsidR="000462E1">
        <w:rPr>
          <w:b/>
          <w:bCs/>
        </w:rPr>
        <w:t>.</w:t>
      </w:r>
    </w:p>
    <w:p w:rsidR="0093537D" w:rsidRPr="00864A73" w:rsidRDefault="00D111EC" w:rsidP="00FB01D1">
      <w:pPr>
        <w:pStyle w:val="SingleTxtG"/>
        <w:rPr>
          <w:b/>
          <w:bCs/>
        </w:rPr>
      </w:pPr>
      <w:r w:rsidRPr="00864A73">
        <w:rPr>
          <w:color w:val="000000" w:themeColor="text1"/>
        </w:rPr>
        <w:t>6</w:t>
      </w:r>
      <w:r w:rsidR="00FB01D1">
        <w:rPr>
          <w:color w:val="000000" w:themeColor="text1"/>
        </w:rPr>
        <w:t>4</w:t>
      </w:r>
      <w:r w:rsidRPr="00864A73">
        <w:rPr>
          <w:color w:val="000000" w:themeColor="text1"/>
        </w:rPr>
        <w:t>.</w:t>
      </w:r>
      <w:r w:rsidRPr="00864A73">
        <w:rPr>
          <w:color w:val="000000" w:themeColor="text1"/>
        </w:rPr>
        <w:tab/>
      </w:r>
      <w:r w:rsidR="000A466B" w:rsidRPr="000A466B">
        <w:rPr>
          <w:b/>
          <w:bCs/>
        </w:rPr>
        <w:t>E</w:t>
      </w:r>
      <w:r w:rsidR="0093537D" w:rsidRPr="00864A73">
        <w:rPr>
          <w:b/>
          <w:bCs/>
        </w:rPr>
        <w:t xml:space="preserve">thnic minorities and women who possess or use drugs, or who are </w:t>
      </w:r>
      <w:r w:rsidR="00EA4300">
        <w:rPr>
          <w:b/>
          <w:bCs/>
        </w:rPr>
        <w:t>“</w:t>
      </w:r>
      <w:r w:rsidR="0093537D" w:rsidRPr="00864A73">
        <w:rPr>
          <w:b/>
          <w:bCs/>
        </w:rPr>
        <w:t>microdistributors</w:t>
      </w:r>
      <w:r w:rsidR="00EA4300">
        <w:rPr>
          <w:b/>
          <w:bCs/>
        </w:rPr>
        <w:t>”</w:t>
      </w:r>
      <w:r w:rsidR="0093537D" w:rsidRPr="00864A73">
        <w:rPr>
          <w:b/>
          <w:bCs/>
        </w:rPr>
        <w:t>, should be protected</w:t>
      </w:r>
      <w:r w:rsidR="000A466B">
        <w:rPr>
          <w:b/>
          <w:bCs/>
        </w:rPr>
        <w:t xml:space="preserve"> against discrimination</w:t>
      </w:r>
      <w:r w:rsidR="0093537D" w:rsidRPr="00864A73">
        <w:rPr>
          <w:b/>
          <w:bCs/>
        </w:rPr>
        <w:t xml:space="preserve">. </w:t>
      </w:r>
      <w:r w:rsidR="004D786A">
        <w:rPr>
          <w:b/>
          <w:bCs/>
        </w:rPr>
        <w:t>Consideration should be given to</w:t>
      </w:r>
      <w:r w:rsidR="00EA4300">
        <w:rPr>
          <w:b/>
          <w:bCs/>
        </w:rPr>
        <w:t xml:space="preserve"> reforming</w:t>
      </w:r>
      <w:r w:rsidR="004D786A">
        <w:rPr>
          <w:b/>
          <w:bCs/>
        </w:rPr>
        <w:t xml:space="preserve"> law</w:t>
      </w:r>
      <w:r w:rsidR="00EA4300">
        <w:rPr>
          <w:b/>
          <w:bCs/>
        </w:rPr>
        <w:t>s</w:t>
      </w:r>
      <w:r w:rsidR="004D786A">
        <w:rPr>
          <w:b/>
          <w:bCs/>
        </w:rPr>
        <w:t xml:space="preserve"> </w:t>
      </w:r>
      <w:r w:rsidR="00E3545A">
        <w:rPr>
          <w:b/>
          <w:bCs/>
        </w:rPr>
        <w:t>and polic</w:t>
      </w:r>
      <w:r w:rsidR="00EA4300">
        <w:rPr>
          <w:b/>
          <w:bCs/>
        </w:rPr>
        <w:t>ies</w:t>
      </w:r>
      <w:r w:rsidR="004D786A">
        <w:rPr>
          <w:b/>
          <w:bCs/>
        </w:rPr>
        <w:t xml:space="preserve"> to address the disparate impact of drug policies on ethnic minorities and women. P</w:t>
      </w:r>
      <w:r w:rsidR="0093537D" w:rsidRPr="00864A73">
        <w:rPr>
          <w:b/>
          <w:bCs/>
        </w:rPr>
        <w:t>roviding training to law enforcement, health personnel and social service workers who come in</w:t>
      </w:r>
      <w:r w:rsidR="00EA4300">
        <w:rPr>
          <w:b/>
          <w:bCs/>
        </w:rPr>
        <w:t>to</w:t>
      </w:r>
      <w:r w:rsidR="0093537D" w:rsidRPr="00864A73">
        <w:rPr>
          <w:b/>
          <w:bCs/>
        </w:rPr>
        <w:t xml:space="preserve"> contact with drug users </w:t>
      </w:r>
      <w:r w:rsidR="004D786A">
        <w:rPr>
          <w:b/>
          <w:bCs/>
        </w:rPr>
        <w:t>should also be considered</w:t>
      </w:r>
      <w:r w:rsidR="00EA4300">
        <w:rPr>
          <w:b/>
          <w:bCs/>
        </w:rPr>
        <w:t>,</w:t>
      </w:r>
      <w:r w:rsidR="004D786A">
        <w:rPr>
          <w:b/>
          <w:bCs/>
        </w:rPr>
        <w:t xml:space="preserve"> </w:t>
      </w:r>
      <w:r w:rsidR="0093537D" w:rsidRPr="00864A73">
        <w:rPr>
          <w:b/>
          <w:bCs/>
        </w:rPr>
        <w:t>to eliminat</w:t>
      </w:r>
      <w:r w:rsidR="000A466B">
        <w:rPr>
          <w:b/>
          <w:bCs/>
        </w:rPr>
        <w:t>e</w:t>
      </w:r>
      <w:r w:rsidR="0093537D" w:rsidRPr="00864A73">
        <w:rPr>
          <w:b/>
          <w:bCs/>
        </w:rPr>
        <w:t xml:space="preserve"> di</w:t>
      </w:r>
      <w:r w:rsidR="0053423D" w:rsidRPr="00864A73">
        <w:rPr>
          <w:b/>
          <w:bCs/>
        </w:rPr>
        <w:t>scrimination.</w:t>
      </w:r>
      <w:r w:rsidR="004D786A">
        <w:rPr>
          <w:b/>
          <w:bCs/>
        </w:rPr>
        <w:t xml:space="preserve"> </w:t>
      </w:r>
    </w:p>
    <w:p w:rsidR="0093537D" w:rsidRPr="00864A73" w:rsidRDefault="00D111EC" w:rsidP="00FB01D1">
      <w:pPr>
        <w:pStyle w:val="SingleTxtG"/>
        <w:rPr>
          <w:b/>
          <w:bCs/>
        </w:rPr>
      </w:pPr>
      <w:r w:rsidRPr="00864A73">
        <w:rPr>
          <w:color w:val="000000" w:themeColor="text1"/>
        </w:rPr>
        <w:t>6</w:t>
      </w:r>
      <w:r w:rsidR="00FB01D1">
        <w:rPr>
          <w:color w:val="000000" w:themeColor="text1"/>
        </w:rPr>
        <w:t>5</w:t>
      </w:r>
      <w:r w:rsidRPr="00864A73">
        <w:rPr>
          <w:color w:val="000000" w:themeColor="text1"/>
        </w:rPr>
        <w:t>.</w:t>
      </w:r>
      <w:r w:rsidRPr="00864A73">
        <w:rPr>
          <w:color w:val="000000" w:themeColor="text1"/>
        </w:rPr>
        <w:tab/>
      </w:r>
      <w:r w:rsidR="0093537D" w:rsidRPr="00864A73">
        <w:rPr>
          <w:b/>
          <w:bCs/>
        </w:rPr>
        <w:t xml:space="preserve">Taking into account the severe impact </w:t>
      </w:r>
      <w:r w:rsidR="00EA4300">
        <w:rPr>
          <w:b/>
          <w:bCs/>
        </w:rPr>
        <w:t xml:space="preserve">that </w:t>
      </w:r>
      <w:r w:rsidR="0093537D" w:rsidRPr="00864A73">
        <w:rPr>
          <w:b/>
          <w:bCs/>
        </w:rPr>
        <w:t xml:space="preserve">a conviction for </w:t>
      </w:r>
      <w:r w:rsidR="00AA2346">
        <w:rPr>
          <w:b/>
          <w:bCs/>
        </w:rPr>
        <w:t xml:space="preserve">a </w:t>
      </w:r>
      <w:r w:rsidR="0093537D" w:rsidRPr="00864A73">
        <w:rPr>
          <w:b/>
          <w:bCs/>
        </w:rPr>
        <w:t>drug</w:t>
      </w:r>
      <w:r w:rsidR="00EA4300">
        <w:rPr>
          <w:b/>
          <w:bCs/>
        </w:rPr>
        <w:t xml:space="preserve">-related </w:t>
      </w:r>
      <w:r w:rsidR="00AA2346">
        <w:rPr>
          <w:b/>
          <w:bCs/>
        </w:rPr>
        <w:t xml:space="preserve">offence </w:t>
      </w:r>
      <w:r w:rsidR="0093537D" w:rsidRPr="00864A73">
        <w:rPr>
          <w:b/>
          <w:bCs/>
        </w:rPr>
        <w:t xml:space="preserve">can have on a person’s life, consideration should be given to alternatives to </w:t>
      </w:r>
      <w:r w:rsidR="00EA4300">
        <w:rPr>
          <w:b/>
          <w:bCs/>
        </w:rPr>
        <w:t xml:space="preserve">the </w:t>
      </w:r>
      <w:r w:rsidR="0093537D" w:rsidRPr="00864A73">
        <w:rPr>
          <w:b/>
          <w:bCs/>
        </w:rPr>
        <w:t>prosecution and imprisonment of persons for mi</w:t>
      </w:r>
      <w:r w:rsidR="0053423D" w:rsidRPr="00864A73">
        <w:rPr>
          <w:b/>
          <w:bCs/>
        </w:rPr>
        <w:t>nor, non-violent drug</w:t>
      </w:r>
      <w:r w:rsidR="00F00B42" w:rsidRPr="00F00B42">
        <w:rPr>
          <w:b/>
          <w:bCs/>
        </w:rPr>
        <w:t>-related</w:t>
      </w:r>
      <w:r w:rsidR="0053423D" w:rsidRPr="00864A73">
        <w:rPr>
          <w:b/>
          <w:bCs/>
        </w:rPr>
        <w:t xml:space="preserve"> offences.</w:t>
      </w:r>
      <w:r w:rsidR="004D786A">
        <w:rPr>
          <w:b/>
          <w:bCs/>
        </w:rPr>
        <w:t xml:space="preserve"> Reforms aimed at reducing overincarceration should take into account such alternatives.</w:t>
      </w:r>
    </w:p>
    <w:p w:rsidR="0093537D" w:rsidRPr="00E2256E" w:rsidRDefault="00D111EC">
      <w:pPr>
        <w:pStyle w:val="SingleTxtG"/>
        <w:rPr>
          <w:b/>
          <w:bCs/>
        </w:rPr>
      </w:pPr>
      <w:r w:rsidRPr="00E2256E">
        <w:rPr>
          <w:color w:val="000000" w:themeColor="text1"/>
        </w:rPr>
        <w:t>6</w:t>
      </w:r>
      <w:r w:rsidR="00FB01D1">
        <w:rPr>
          <w:color w:val="000000" w:themeColor="text1"/>
        </w:rPr>
        <w:t>6</w:t>
      </w:r>
      <w:r w:rsidRPr="00E2256E">
        <w:rPr>
          <w:color w:val="000000" w:themeColor="text1"/>
        </w:rPr>
        <w:t>.</w:t>
      </w:r>
      <w:r w:rsidRPr="00E2256E">
        <w:rPr>
          <w:color w:val="000000" w:themeColor="text1"/>
        </w:rPr>
        <w:tab/>
      </w:r>
      <w:r w:rsidR="0093537D" w:rsidRPr="00864A73">
        <w:rPr>
          <w:b/>
          <w:bCs/>
        </w:rPr>
        <w:t xml:space="preserve">The rights of the child should be protected by focusing on prevention and communicating in a child-friendly and age-appropriate manner, including on </w:t>
      </w:r>
      <w:r w:rsidR="00EA4300">
        <w:rPr>
          <w:b/>
          <w:bCs/>
        </w:rPr>
        <w:t xml:space="preserve">the </w:t>
      </w:r>
      <w:r w:rsidR="0093537D" w:rsidRPr="00864A73">
        <w:rPr>
          <w:b/>
          <w:bCs/>
        </w:rPr>
        <w:t xml:space="preserve">risks of </w:t>
      </w:r>
      <w:r w:rsidR="00EA4300">
        <w:rPr>
          <w:b/>
          <w:bCs/>
        </w:rPr>
        <w:t>transmitting HIV</w:t>
      </w:r>
      <w:r w:rsidR="0093537D" w:rsidRPr="00864A73">
        <w:rPr>
          <w:b/>
          <w:bCs/>
        </w:rPr>
        <w:t xml:space="preserve"> and other blood</w:t>
      </w:r>
      <w:r w:rsidR="00EA4300">
        <w:rPr>
          <w:b/>
          <w:bCs/>
        </w:rPr>
        <w:t>-</w:t>
      </w:r>
      <w:r w:rsidR="0093537D" w:rsidRPr="00864A73">
        <w:rPr>
          <w:b/>
          <w:bCs/>
        </w:rPr>
        <w:t xml:space="preserve">borne viruses </w:t>
      </w:r>
      <w:r w:rsidR="00EA4300">
        <w:rPr>
          <w:b/>
          <w:bCs/>
        </w:rPr>
        <w:t>through</w:t>
      </w:r>
      <w:r w:rsidR="00EA4300" w:rsidRPr="00864A73">
        <w:rPr>
          <w:b/>
          <w:bCs/>
        </w:rPr>
        <w:t xml:space="preserve"> </w:t>
      </w:r>
      <w:r w:rsidR="0093537D" w:rsidRPr="00864A73">
        <w:rPr>
          <w:b/>
          <w:bCs/>
        </w:rPr>
        <w:t>injecting drug use. Children should not be subjected to criminal prosecution, but responses should focus on health education</w:t>
      </w:r>
      <w:r w:rsidR="00EA4300">
        <w:rPr>
          <w:b/>
          <w:bCs/>
        </w:rPr>
        <w:t>,</w:t>
      </w:r>
      <w:r w:rsidR="0093537D" w:rsidRPr="00864A73">
        <w:rPr>
          <w:b/>
          <w:bCs/>
        </w:rPr>
        <w:t xml:space="preserve"> treatment, including harm reduction programm</w:t>
      </w:r>
      <w:r w:rsidR="00E2256E">
        <w:rPr>
          <w:b/>
          <w:bCs/>
        </w:rPr>
        <w:t xml:space="preserve">es, and social re-integration. </w:t>
      </w:r>
    </w:p>
    <w:p w:rsidR="0093537D" w:rsidRDefault="00D111EC">
      <w:pPr>
        <w:pStyle w:val="SingleTxtG"/>
        <w:rPr>
          <w:b/>
          <w:bCs/>
        </w:rPr>
      </w:pPr>
      <w:r>
        <w:rPr>
          <w:color w:val="000000" w:themeColor="text1"/>
        </w:rPr>
        <w:t>6</w:t>
      </w:r>
      <w:r w:rsidR="00FB01D1">
        <w:rPr>
          <w:color w:val="000000" w:themeColor="text1"/>
        </w:rPr>
        <w:t>7</w:t>
      </w:r>
      <w:r>
        <w:rPr>
          <w:color w:val="000000" w:themeColor="text1"/>
        </w:rPr>
        <w:t>.</w:t>
      </w:r>
      <w:r>
        <w:rPr>
          <w:color w:val="000000" w:themeColor="text1"/>
        </w:rPr>
        <w:tab/>
      </w:r>
      <w:r w:rsidR="00EA4300">
        <w:rPr>
          <w:b/>
          <w:bCs/>
        </w:rPr>
        <w:t>I</w:t>
      </w:r>
      <w:r w:rsidR="0093537D" w:rsidRPr="00864A73">
        <w:rPr>
          <w:b/>
          <w:bCs/>
        </w:rPr>
        <w:t xml:space="preserve">ndigenous peoples </w:t>
      </w:r>
      <w:r w:rsidR="00EA4300">
        <w:rPr>
          <w:b/>
          <w:bCs/>
        </w:rPr>
        <w:t>have a</w:t>
      </w:r>
      <w:r w:rsidR="0093537D" w:rsidRPr="00864A73">
        <w:rPr>
          <w:b/>
          <w:bCs/>
        </w:rPr>
        <w:t xml:space="preserve"> right to </w:t>
      </w:r>
      <w:r w:rsidR="00EA4300">
        <w:rPr>
          <w:b/>
          <w:bCs/>
        </w:rPr>
        <w:t xml:space="preserve">follow </w:t>
      </w:r>
      <w:r w:rsidR="0093537D" w:rsidRPr="00864A73">
        <w:rPr>
          <w:b/>
          <w:bCs/>
        </w:rPr>
        <w:t xml:space="preserve">their traditional, cultural and religious practices. Where drug use is part of these practices, the right of use for </w:t>
      </w:r>
      <w:r w:rsidR="00EA4300">
        <w:rPr>
          <w:b/>
          <w:bCs/>
        </w:rPr>
        <w:t>such</w:t>
      </w:r>
      <w:r w:rsidR="00EA4300" w:rsidRPr="00864A73">
        <w:rPr>
          <w:b/>
          <w:bCs/>
        </w:rPr>
        <w:t xml:space="preserve"> </w:t>
      </w:r>
      <w:r w:rsidR="0093537D" w:rsidRPr="00864A73">
        <w:rPr>
          <w:b/>
          <w:bCs/>
        </w:rPr>
        <w:t>narrowly defined purposes should in principle be protected, subject to limitations pro</w:t>
      </w:r>
      <w:r w:rsidR="00883892">
        <w:rPr>
          <w:b/>
          <w:bCs/>
        </w:rPr>
        <w:t>vided for in human rights law.</w:t>
      </w:r>
    </w:p>
    <w:p w:rsidR="002B2719" w:rsidRPr="00883892" w:rsidRDefault="00883892" w:rsidP="00D111EC">
      <w:pPr>
        <w:pStyle w:val="SingleTxtG"/>
        <w:spacing w:before="240" w:after="0"/>
        <w:jc w:val="center"/>
        <w:rPr>
          <w:u w:val="single"/>
        </w:rPr>
      </w:pPr>
      <w:r>
        <w:rPr>
          <w:bCs/>
          <w:u w:val="single"/>
        </w:rPr>
        <w:tab/>
      </w:r>
      <w:r>
        <w:rPr>
          <w:bCs/>
          <w:u w:val="single"/>
        </w:rPr>
        <w:tab/>
      </w:r>
      <w:r>
        <w:rPr>
          <w:bCs/>
          <w:u w:val="single"/>
        </w:rPr>
        <w:tab/>
      </w:r>
    </w:p>
    <w:sectPr w:rsidR="002B2719" w:rsidRPr="00883892" w:rsidSect="0037521C">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4FB" w:rsidRDefault="00C644FB"/>
  </w:endnote>
  <w:endnote w:type="continuationSeparator" w:id="0">
    <w:p w:rsidR="00C644FB" w:rsidRDefault="00C644FB"/>
  </w:endnote>
  <w:endnote w:type="continuationNotice" w:id="1">
    <w:p w:rsidR="00C644FB" w:rsidRDefault="00C644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rcode 3 of 9 by request">
    <w:altName w:val="Tw Cen MT Condensed Extra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8F8" w:rsidRPr="00EC6382" w:rsidRDefault="005A18F8" w:rsidP="00EC6382">
    <w:pPr>
      <w:pStyle w:val="Footer"/>
      <w:tabs>
        <w:tab w:val="right" w:pos="9638"/>
      </w:tabs>
    </w:pPr>
    <w:r w:rsidRPr="00EC6382">
      <w:rPr>
        <w:b/>
        <w:sz w:val="18"/>
      </w:rPr>
      <w:fldChar w:fldCharType="begin"/>
    </w:r>
    <w:r w:rsidRPr="00EC6382">
      <w:rPr>
        <w:b/>
        <w:sz w:val="18"/>
      </w:rPr>
      <w:instrText xml:space="preserve"> PAGE  \* MERGEFORMAT </w:instrText>
    </w:r>
    <w:r w:rsidRPr="00EC6382">
      <w:rPr>
        <w:b/>
        <w:sz w:val="18"/>
      </w:rPr>
      <w:fldChar w:fldCharType="separate"/>
    </w:r>
    <w:r w:rsidR="001E76E7">
      <w:rPr>
        <w:b/>
        <w:noProof/>
        <w:sz w:val="18"/>
      </w:rPr>
      <w:t>16</w:t>
    </w:r>
    <w:r w:rsidRPr="00EC6382">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8F8" w:rsidRPr="00EC6382" w:rsidRDefault="005A18F8" w:rsidP="00EC6382">
    <w:pPr>
      <w:pStyle w:val="Footer"/>
      <w:tabs>
        <w:tab w:val="right" w:pos="9638"/>
      </w:tabs>
      <w:rPr>
        <w:b/>
        <w:sz w:val="18"/>
      </w:rPr>
    </w:pPr>
    <w:r>
      <w:tab/>
    </w:r>
    <w:r w:rsidRPr="00EC6382">
      <w:rPr>
        <w:b/>
        <w:sz w:val="18"/>
      </w:rPr>
      <w:fldChar w:fldCharType="begin"/>
    </w:r>
    <w:r w:rsidRPr="00EC6382">
      <w:rPr>
        <w:b/>
        <w:sz w:val="18"/>
      </w:rPr>
      <w:instrText xml:space="preserve"> PAGE  \* MERGEFORMAT </w:instrText>
    </w:r>
    <w:r w:rsidRPr="00EC6382">
      <w:rPr>
        <w:b/>
        <w:sz w:val="18"/>
      </w:rPr>
      <w:fldChar w:fldCharType="separate"/>
    </w:r>
    <w:r w:rsidR="001E76E7">
      <w:rPr>
        <w:b/>
        <w:noProof/>
        <w:sz w:val="18"/>
      </w:rPr>
      <w:t>15</w:t>
    </w:r>
    <w:r w:rsidRPr="00EC6382">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37521C" w:rsidTr="0037521C">
      <w:tc>
        <w:tcPr>
          <w:tcW w:w="3614" w:type="dxa"/>
          <w:shd w:val="clear" w:color="auto" w:fill="auto"/>
        </w:tcPr>
        <w:p w:rsidR="0037521C" w:rsidRDefault="0037521C" w:rsidP="0037521C">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A/HRC/30/65&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65&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GE.15-14996(E)</w:t>
          </w:r>
        </w:p>
        <w:p w:rsidR="0037521C" w:rsidRPr="0037521C" w:rsidRDefault="0037521C" w:rsidP="0037521C">
          <w:pPr>
            <w:pStyle w:val="Footer"/>
            <w:rPr>
              <w:rFonts w:ascii="Barcode 3 of 9 by request" w:hAnsi="Barcode 3 of 9 by request"/>
              <w:sz w:val="24"/>
            </w:rPr>
          </w:pPr>
          <w:r>
            <w:rPr>
              <w:rFonts w:ascii="Barcode 3 of 9 by request" w:hAnsi="Barcode 3 of 9 by request"/>
              <w:sz w:val="24"/>
            </w:rPr>
            <w:t>*1514996*</w:t>
          </w:r>
        </w:p>
      </w:tc>
      <w:tc>
        <w:tcPr>
          <w:tcW w:w="4752" w:type="dxa"/>
          <w:shd w:val="clear" w:color="auto" w:fill="auto"/>
        </w:tcPr>
        <w:p w:rsidR="0037521C" w:rsidRDefault="0037521C" w:rsidP="0037521C">
          <w:pPr>
            <w:pStyle w:val="Footer"/>
            <w:spacing w:line="240" w:lineRule="atLeast"/>
            <w:jc w:val="right"/>
            <w:rPr>
              <w:sz w:val="20"/>
            </w:rPr>
          </w:pPr>
          <w:r>
            <w:rPr>
              <w:noProof/>
              <w:sz w:val="20"/>
              <w:lang w:eastAsia="en-GB"/>
            </w:rPr>
            <w:drawing>
              <wp:inline distT="0" distB="0" distL="0" distR="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37521C" w:rsidRPr="0037521C" w:rsidRDefault="0037521C" w:rsidP="0037521C">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4FB" w:rsidRPr="000B175B" w:rsidRDefault="00C644FB" w:rsidP="000B175B">
      <w:pPr>
        <w:tabs>
          <w:tab w:val="right" w:pos="2155"/>
        </w:tabs>
        <w:spacing w:after="80"/>
        <w:ind w:left="680"/>
        <w:rPr>
          <w:u w:val="single"/>
        </w:rPr>
      </w:pPr>
      <w:r>
        <w:rPr>
          <w:u w:val="single"/>
        </w:rPr>
        <w:tab/>
      </w:r>
    </w:p>
  </w:footnote>
  <w:footnote w:type="continuationSeparator" w:id="0">
    <w:p w:rsidR="00C644FB" w:rsidRPr="00FC68B7" w:rsidRDefault="00C644FB" w:rsidP="00FC68B7">
      <w:pPr>
        <w:tabs>
          <w:tab w:val="left" w:pos="2155"/>
        </w:tabs>
        <w:spacing w:after="80"/>
        <w:ind w:left="680"/>
        <w:rPr>
          <w:u w:val="single"/>
        </w:rPr>
      </w:pPr>
      <w:r>
        <w:rPr>
          <w:u w:val="single"/>
        </w:rPr>
        <w:tab/>
      </w:r>
    </w:p>
  </w:footnote>
  <w:footnote w:type="continuationNotice" w:id="1">
    <w:p w:rsidR="00C644FB" w:rsidRDefault="00C644FB"/>
  </w:footnote>
  <w:footnote w:id="2">
    <w:p w:rsidR="005A18F8" w:rsidRPr="00A4489D" w:rsidRDefault="005A18F8">
      <w:pPr>
        <w:pStyle w:val="FootnoteText"/>
        <w:rPr>
          <w:szCs w:val="18"/>
        </w:rPr>
      </w:pPr>
      <w:r>
        <w:rPr>
          <w:rStyle w:val="FootnoteReference"/>
        </w:rPr>
        <w:tab/>
      </w:r>
      <w:r w:rsidRPr="002C0FEF">
        <w:rPr>
          <w:rStyle w:val="FootnoteReference"/>
          <w:sz w:val="20"/>
          <w:vertAlign w:val="baseline"/>
        </w:rPr>
        <w:t>*</w:t>
      </w:r>
      <w:r w:rsidRPr="00A4489D">
        <w:rPr>
          <w:rStyle w:val="FootnoteReference"/>
          <w:szCs w:val="18"/>
          <w:vertAlign w:val="baseline"/>
        </w:rPr>
        <w:tab/>
      </w:r>
      <w:r>
        <w:rPr>
          <w:szCs w:val="18"/>
        </w:rPr>
        <w:t>Late submission.</w:t>
      </w:r>
    </w:p>
  </w:footnote>
  <w:footnote w:id="3">
    <w:p w:rsidR="005A18F8" w:rsidRPr="004715F5" w:rsidRDefault="005A18F8" w:rsidP="002C0FEF">
      <w:pPr>
        <w:pStyle w:val="FootnoteText"/>
        <w:ind w:right="850"/>
        <w:rPr>
          <w:szCs w:val="18"/>
        </w:rPr>
      </w:pPr>
      <w:r>
        <w:rPr>
          <w:lang w:eastAsia="en-GB"/>
        </w:rPr>
        <w:tab/>
      </w:r>
      <w:r w:rsidRPr="00E05629">
        <w:rPr>
          <w:rStyle w:val="FootnoteReference"/>
        </w:rPr>
        <w:footnoteRef/>
      </w:r>
      <w:r>
        <w:rPr>
          <w:lang w:eastAsia="en-GB"/>
        </w:rPr>
        <w:tab/>
        <w:t xml:space="preserve">The submissions are available from </w:t>
      </w:r>
      <w:r w:rsidRPr="004715F5">
        <w:rPr>
          <w:lang w:eastAsia="en-GB"/>
        </w:rPr>
        <w:t>www.ohchr.org/EN/HRBodies/HRC/Pages/WorldDrugProblem.aspx</w:t>
      </w:r>
      <w:r>
        <w:rPr>
          <w:lang w:eastAsia="en-GB"/>
        </w:rPr>
        <w:t>.</w:t>
      </w:r>
    </w:p>
  </w:footnote>
  <w:footnote w:id="4">
    <w:p w:rsidR="005A18F8" w:rsidRPr="00BF560B" w:rsidRDefault="005A18F8">
      <w:pPr>
        <w:pStyle w:val="FootnoteText"/>
      </w:pPr>
      <w:r>
        <w:tab/>
      </w:r>
      <w:r w:rsidRPr="00E05629">
        <w:rPr>
          <w:rStyle w:val="FootnoteReference"/>
        </w:rPr>
        <w:footnoteRef/>
      </w:r>
      <w:r>
        <w:tab/>
        <w:t xml:space="preserve">See </w:t>
      </w:r>
      <w:r w:rsidRPr="00BF560B">
        <w:t>Single Convention on Narcotic Drugs</w:t>
      </w:r>
      <w:r>
        <w:t xml:space="preserve"> of</w:t>
      </w:r>
      <w:r w:rsidRPr="00BF560B">
        <w:t xml:space="preserve"> 1961, art</w:t>
      </w:r>
      <w:r>
        <w:t>.</w:t>
      </w:r>
      <w:r w:rsidRPr="00BF560B">
        <w:t xml:space="preserve"> </w:t>
      </w:r>
      <w:r>
        <w:t xml:space="preserve"> </w:t>
      </w:r>
      <w:r w:rsidR="004D06E7">
        <w:t>2 (</w:t>
      </w:r>
      <w:r>
        <w:t>5</w:t>
      </w:r>
      <w:r w:rsidR="004D06E7">
        <w:t>)</w:t>
      </w:r>
      <w:r w:rsidRPr="00BF560B">
        <w:t>.</w:t>
      </w:r>
    </w:p>
  </w:footnote>
  <w:footnote w:id="5">
    <w:p w:rsidR="005A18F8" w:rsidRPr="000D6659" w:rsidRDefault="005A18F8" w:rsidP="008418FB">
      <w:pPr>
        <w:pStyle w:val="FootnoteText"/>
      </w:pPr>
      <w:r>
        <w:tab/>
      </w:r>
      <w:r w:rsidRPr="00E05629">
        <w:rPr>
          <w:rStyle w:val="FootnoteReference"/>
        </w:rPr>
        <w:footnoteRef/>
      </w:r>
      <w:r>
        <w:tab/>
      </w:r>
      <w:r w:rsidRPr="000D6659">
        <w:t>W</w:t>
      </w:r>
      <w:r>
        <w:t xml:space="preserve">orld </w:t>
      </w:r>
      <w:r w:rsidRPr="000D6659">
        <w:t>H</w:t>
      </w:r>
      <w:r>
        <w:t xml:space="preserve">ealth </w:t>
      </w:r>
      <w:r w:rsidRPr="000D6659">
        <w:t>O</w:t>
      </w:r>
      <w:r>
        <w:t>rganization (WHO)</w:t>
      </w:r>
      <w:r w:rsidRPr="000D6659">
        <w:t>, U</w:t>
      </w:r>
      <w:r>
        <w:t xml:space="preserve">nited </w:t>
      </w:r>
      <w:r w:rsidRPr="000D6659">
        <w:t>N</w:t>
      </w:r>
      <w:r>
        <w:t xml:space="preserve">ations </w:t>
      </w:r>
      <w:r w:rsidRPr="000D6659">
        <w:t>O</w:t>
      </w:r>
      <w:r>
        <w:t xml:space="preserve">ffice on </w:t>
      </w:r>
      <w:r w:rsidRPr="000D6659">
        <w:t>D</w:t>
      </w:r>
      <w:r>
        <w:t xml:space="preserve">rugs and </w:t>
      </w:r>
      <w:r w:rsidRPr="000D6659">
        <w:t>C</w:t>
      </w:r>
      <w:r>
        <w:t>rime (UNODC) and Joint United Nations Programme on HIV/AIDS (</w:t>
      </w:r>
      <w:r w:rsidRPr="000D6659">
        <w:t>UNAIDS</w:t>
      </w:r>
      <w:r>
        <w:t>)</w:t>
      </w:r>
      <w:r w:rsidRPr="000D6659">
        <w:t xml:space="preserve">, </w:t>
      </w:r>
      <w:r w:rsidRPr="002C0FEF">
        <w:rPr>
          <w:i/>
          <w:iCs/>
        </w:rPr>
        <w:t xml:space="preserve">Technical Guide for </w:t>
      </w:r>
      <w:r>
        <w:rPr>
          <w:i/>
          <w:iCs/>
        </w:rPr>
        <w:t>C</w:t>
      </w:r>
      <w:r w:rsidRPr="002C0FEF">
        <w:rPr>
          <w:i/>
          <w:iCs/>
        </w:rPr>
        <w:t xml:space="preserve">ountries to </w:t>
      </w:r>
      <w:r>
        <w:rPr>
          <w:i/>
          <w:iCs/>
        </w:rPr>
        <w:t>S</w:t>
      </w:r>
      <w:r w:rsidRPr="002C0FEF">
        <w:rPr>
          <w:i/>
          <w:iCs/>
        </w:rPr>
        <w:t xml:space="preserve">et </w:t>
      </w:r>
      <w:r>
        <w:rPr>
          <w:i/>
          <w:iCs/>
        </w:rPr>
        <w:t>T</w:t>
      </w:r>
      <w:r w:rsidRPr="002C0FEF">
        <w:rPr>
          <w:i/>
          <w:iCs/>
        </w:rPr>
        <w:t xml:space="preserve">argets for </w:t>
      </w:r>
      <w:r>
        <w:rPr>
          <w:i/>
          <w:iCs/>
        </w:rPr>
        <w:t>U</w:t>
      </w:r>
      <w:r w:rsidRPr="002C0FEF">
        <w:rPr>
          <w:i/>
          <w:iCs/>
        </w:rPr>
        <w:t xml:space="preserve">niversal </w:t>
      </w:r>
      <w:r>
        <w:rPr>
          <w:i/>
          <w:iCs/>
        </w:rPr>
        <w:t>A</w:t>
      </w:r>
      <w:r w:rsidRPr="002C0FEF">
        <w:rPr>
          <w:i/>
          <w:iCs/>
        </w:rPr>
        <w:t xml:space="preserve">ccess to HIV </w:t>
      </w:r>
      <w:r>
        <w:rPr>
          <w:i/>
          <w:iCs/>
        </w:rPr>
        <w:t>P</w:t>
      </w:r>
      <w:r w:rsidRPr="002C0FEF">
        <w:rPr>
          <w:i/>
          <w:iCs/>
        </w:rPr>
        <w:t xml:space="preserve">revention, </w:t>
      </w:r>
      <w:r>
        <w:rPr>
          <w:i/>
          <w:iCs/>
        </w:rPr>
        <w:t>T</w:t>
      </w:r>
      <w:r w:rsidRPr="002C0FEF">
        <w:rPr>
          <w:i/>
          <w:iCs/>
        </w:rPr>
        <w:t xml:space="preserve">reatment and </w:t>
      </w:r>
      <w:r>
        <w:rPr>
          <w:i/>
          <w:iCs/>
        </w:rPr>
        <w:t>C</w:t>
      </w:r>
      <w:r w:rsidRPr="002C0FEF">
        <w:rPr>
          <w:i/>
          <w:iCs/>
        </w:rPr>
        <w:t xml:space="preserve">are for </w:t>
      </w:r>
      <w:r>
        <w:rPr>
          <w:i/>
          <w:iCs/>
        </w:rPr>
        <w:t>I</w:t>
      </w:r>
      <w:r w:rsidRPr="002C0FEF">
        <w:rPr>
          <w:i/>
          <w:iCs/>
        </w:rPr>
        <w:t xml:space="preserve">njecting </w:t>
      </w:r>
      <w:r>
        <w:rPr>
          <w:i/>
          <w:iCs/>
        </w:rPr>
        <w:t>D</w:t>
      </w:r>
      <w:r w:rsidRPr="002C0FEF">
        <w:rPr>
          <w:i/>
          <w:iCs/>
        </w:rPr>
        <w:t xml:space="preserve">rug </w:t>
      </w:r>
      <w:r>
        <w:rPr>
          <w:i/>
          <w:iCs/>
        </w:rPr>
        <w:t>U</w:t>
      </w:r>
      <w:r w:rsidRPr="002C0FEF">
        <w:rPr>
          <w:i/>
          <w:iCs/>
        </w:rPr>
        <w:t>sers</w:t>
      </w:r>
      <w:r w:rsidRPr="000D6659">
        <w:t xml:space="preserve"> </w:t>
      </w:r>
      <w:r>
        <w:t>(</w:t>
      </w:r>
      <w:r w:rsidRPr="000D6659">
        <w:t>2012</w:t>
      </w:r>
      <w:r>
        <w:t>)</w:t>
      </w:r>
      <w:r w:rsidRPr="000D6659">
        <w:t>, p. 26.</w:t>
      </w:r>
    </w:p>
  </w:footnote>
  <w:footnote w:id="6">
    <w:p w:rsidR="005A18F8" w:rsidRPr="00405F0C" w:rsidRDefault="005A18F8" w:rsidP="008418FB">
      <w:pPr>
        <w:pStyle w:val="FootnoteText"/>
      </w:pPr>
      <w:r>
        <w:tab/>
      </w:r>
      <w:r w:rsidRPr="00E05629">
        <w:rPr>
          <w:rStyle w:val="FootnoteReference"/>
        </w:rPr>
        <w:footnoteRef/>
      </w:r>
      <w:r>
        <w:tab/>
      </w:r>
      <w:r w:rsidRPr="00405F0C">
        <w:t xml:space="preserve">WHO, </w:t>
      </w:r>
      <w:r w:rsidRPr="002C0FEF">
        <w:rPr>
          <w:i/>
          <w:iCs/>
        </w:rPr>
        <w:t>Consolidated Guidelines on HIV Prevention, Diagnosis, Treatment and Care for Key Populations</w:t>
      </w:r>
      <w:r w:rsidRPr="00405F0C">
        <w:t xml:space="preserve"> </w:t>
      </w:r>
      <w:r>
        <w:t>(</w:t>
      </w:r>
      <w:r w:rsidRPr="00405F0C">
        <w:t>July 2014</w:t>
      </w:r>
      <w:r>
        <w:t>)</w:t>
      </w:r>
      <w:r w:rsidRPr="00405F0C">
        <w:t>, pp. 96-99.</w:t>
      </w:r>
    </w:p>
  </w:footnote>
  <w:footnote w:id="7">
    <w:p w:rsidR="005A18F8" w:rsidRPr="00405F0C" w:rsidRDefault="005A18F8" w:rsidP="002C0FEF">
      <w:pPr>
        <w:pStyle w:val="FootnoteText"/>
      </w:pPr>
      <w:r>
        <w:tab/>
      </w:r>
      <w:r w:rsidRPr="00E05629">
        <w:rPr>
          <w:rStyle w:val="FootnoteReference"/>
        </w:rPr>
        <w:footnoteRef/>
      </w:r>
      <w:r>
        <w:tab/>
      </w:r>
      <w:r w:rsidR="00255FEC">
        <w:t xml:space="preserve">Submission of the </w:t>
      </w:r>
      <w:r w:rsidRPr="00405F0C">
        <w:t xml:space="preserve">Special Rapporteur to the Committee against Torture </w:t>
      </w:r>
      <w:r>
        <w:t>(</w:t>
      </w:r>
      <w:r w:rsidRPr="00405F0C">
        <w:t>19 October 2012</w:t>
      </w:r>
      <w:r>
        <w:t>)</w:t>
      </w:r>
      <w:r w:rsidRPr="00405F0C">
        <w:t>, p. 6.</w:t>
      </w:r>
      <w:r w:rsidR="00255FEC" w:rsidRPr="00255FEC">
        <w:rPr>
          <w:szCs w:val="18"/>
        </w:rPr>
        <w:t xml:space="preserve"> </w:t>
      </w:r>
      <w:r w:rsidR="00255FEC">
        <w:rPr>
          <w:szCs w:val="18"/>
        </w:rPr>
        <w:t xml:space="preserve">Available from </w:t>
      </w:r>
      <w:r w:rsidR="00255FEC" w:rsidRPr="00892CC9">
        <w:rPr>
          <w:szCs w:val="18"/>
        </w:rPr>
        <w:t>www.ohchr.org/Documents/Issues/Health/drugPolicyLaw.pdf</w:t>
      </w:r>
      <w:r w:rsidR="00255FEC">
        <w:rPr>
          <w:szCs w:val="18"/>
        </w:rPr>
        <w:t>.</w:t>
      </w:r>
    </w:p>
  </w:footnote>
  <w:footnote w:id="8">
    <w:p w:rsidR="005A18F8" w:rsidRPr="00405F0C" w:rsidRDefault="005A18F8" w:rsidP="003F030B">
      <w:pPr>
        <w:pStyle w:val="FootnoteText"/>
      </w:pPr>
      <w:r>
        <w:tab/>
      </w:r>
      <w:r w:rsidRPr="00E05629">
        <w:rPr>
          <w:rStyle w:val="FootnoteReference"/>
        </w:rPr>
        <w:footnoteRef/>
      </w:r>
      <w:r>
        <w:tab/>
      </w:r>
      <w:r w:rsidRPr="00405F0C">
        <w:t xml:space="preserve">WHO, </w:t>
      </w:r>
      <w:r w:rsidRPr="002C0FEF">
        <w:rPr>
          <w:i/>
          <w:iCs/>
        </w:rPr>
        <w:t>Guidance on Prevention of Viral Hepatitis B and C among People Who Inject Drugs</w:t>
      </w:r>
      <w:r w:rsidRPr="00405F0C">
        <w:t xml:space="preserve">, </w:t>
      </w:r>
      <w:r>
        <w:t>p</w:t>
      </w:r>
      <w:r w:rsidRPr="00405F0C">
        <w:t xml:space="preserve">olicy </w:t>
      </w:r>
      <w:r>
        <w:t>b</w:t>
      </w:r>
      <w:r w:rsidRPr="00405F0C">
        <w:t>rief (July 2012).</w:t>
      </w:r>
    </w:p>
  </w:footnote>
  <w:footnote w:id="9">
    <w:p w:rsidR="005A18F8" w:rsidRPr="00405F0C" w:rsidRDefault="005A18F8" w:rsidP="003F030B">
      <w:pPr>
        <w:pStyle w:val="FootnoteText"/>
        <w:rPr>
          <w:szCs w:val="18"/>
        </w:rPr>
      </w:pPr>
      <w:r>
        <w:rPr>
          <w:szCs w:val="18"/>
        </w:rPr>
        <w:tab/>
      </w:r>
      <w:r w:rsidRPr="00E05629">
        <w:rPr>
          <w:rStyle w:val="FootnoteReference"/>
        </w:rPr>
        <w:footnoteRef/>
      </w:r>
      <w:r>
        <w:rPr>
          <w:szCs w:val="18"/>
        </w:rPr>
        <w:tab/>
      </w:r>
      <w:r w:rsidRPr="00405F0C">
        <w:rPr>
          <w:szCs w:val="18"/>
        </w:rPr>
        <w:t xml:space="preserve">Harm Reduction International, </w:t>
      </w:r>
      <w:r w:rsidRPr="002C0FEF">
        <w:rPr>
          <w:i/>
          <w:iCs/>
          <w:szCs w:val="18"/>
        </w:rPr>
        <w:t>Global State of Harm Reduction</w:t>
      </w:r>
      <w:r w:rsidRPr="00405F0C">
        <w:rPr>
          <w:szCs w:val="18"/>
        </w:rPr>
        <w:t xml:space="preserve"> </w:t>
      </w:r>
      <w:r w:rsidRPr="002C0FEF">
        <w:rPr>
          <w:i/>
          <w:iCs/>
          <w:szCs w:val="18"/>
        </w:rPr>
        <w:t>2012</w:t>
      </w:r>
      <w:r w:rsidRPr="00405F0C">
        <w:rPr>
          <w:szCs w:val="18"/>
        </w:rPr>
        <w:t xml:space="preserve">. </w:t>
      </w:r>
    </w:p>
  </w:footnote>
  <w:footnote w:id="10">
    <w:p w:rsidR="005A18F8" w:rsidRPr="00405F0C" w:rsidRDefault="005A18F8" w:rsidP="003521C0">
      <w:pPr>
        <w:pStyle w:val="FootnoteText"/>
      </w:pPr>
      <w:r>
        <w:tab/>
      </w:r>
      <w:r w:rsidRPr="00E05629">
        <w:rPr>
          <w:rStyle w:val="FootnoteReference"/>
        </w:rPr>
        <w:footnoteRef/>
      </w:r>
      <w:r>
        <w:tab/>
        <w:t xml:space="preserve">See </w:t>
      </w:r>
      <w:r w:rsidRPr="00405F0C">
        <w:t>E/C.12/RUS/CO/5, E/C.12/ZAZ/CO/1, E/C.12/EST/CO/2</w:t>
      </w:r>
      <w:r>
        <w:t xml:space="preserve"> and</w:t>
      </w:r>
      <w:r w:rsidRPr="00405F0C">
        <w:t xml:space="preserve"> E/C.12/UKR/CO/5. </w:t>
      </w:r>
    </w:p>
  </w:footnote>
  <w:footnote w:id="11">
    <w:p w:rsidR="005A18F8" w:rsidRPr="002C0FEF" w:rsidRDefault="005A18F8" w:rsidP="002C0FEF">
      <w:pPr>
        <w:pStyle w:val="FootnoteText"/>
        <w:rPr>
          <w:szCs w:val="18"/>
          <w:lang w:val="en-US"/>
        </w:rPr>
      </w:pPr>
      <w:r>
        <w:rPr>
          <w:szCs w:val="18"/>
        </w:rPr>
        <w:tab/>
      </w:r>
      <w:r w:rsidRPr="00E05629">
        <w:rPr>
          <w:rStyle w:val="FootnoteReference"/>
        </w:rPr>
        <w:footnoteRef/>
      </w:r>
      <w:r w:rsidRPr="002C0FEF">
        <w:rPr>
          <w:szCs w:val="18"/>
          <w:lang w:val="en-US"/>
        </w:rPr>
        <w:tab/>
        <w:t xml:space="preserve">In its </w:t>
      </w:r>
      <w:r>
        <w:rPr>
          <w:szCs w:val="18"/>
          <w:lang w:val="en-US"/>
        </w:rPr>
        <w:t>g</w:t>
      </w:r>
      <w:r w:rsidRPr="002C0FEF">
        <w:rPr>
          <w:szCs w:val="18"/>
          <w:lang w:val="en-US"/>
        </w:rPr>
        <w:t xml:space="preserve">eneral </w:t>
      </w:r>
      <w:r w:rsidRPr="002C0FEF">
        <w:t>c</w:t>
      </w:r>
      <w:r w:rsidRPr="00454533">
        <w:t>omment</w:t>
      </w:r>
      <w:r w:rsidRPr="002C0FEF">
        <w:rPr>
          <w:szCs w:val="18"/>
          <w:lang w:val="en-US"/>
        </w:rPr>
        <w:t xml:space="preserve"> No. 15</w:t>
      </w:r>
      <w:r>
        <w:rPr>
          <w:szCs w:val="18"/>
          <w:lang w:val="en-US"/>
        </w:rPr>
        <w:t xml:space="preserve"> (2013) on the right of the child to the enjoyment of the highest attainable standard of health</w:t>
      </w:r>
      <w:r w:rsidRPr="002C0FEF">
        <w:rPr>
          <w:szCs w:val="18"/>
          <w:lang w:val="en-US"/>
        </w:rPr>
        <w:t>.</w:t>
      </w:r>
    </w:p>
  </w:footnote>
  <w:footnote w:id="12">
    <w:p w:rsidR="005A18F8" w:rsidRPr="00405F0C" w:rsidRDefault="005A18F8" w:rsidP="003F030B">
      <w:pPr>
        <w:pStyle w:val="FootnoteText"/>
      </w:pPr>
      <w:r>
        <w:tab/>
      </w:r>
      <w:r w:rsidRPr="00E05629">
        <w:rPr>
          <w:rStyle w:val="FootnoteReference"/>
        </w:rPr>
        <w:footnoteRef/>
      </w:r>
      <w:r>
        <w:tab/>
      </w:r>
      <w:r w:rsidRPr="00405F0C">
        <w:t>WHO, UNODC</w:t>
      </w:r>
      <w:r>
        <w:t xml:space="preserve"> and</w:t>
      </w:r>
      <w:r w:rsidRPr="00405F0C">
        <w:t xml:space="preserve"> UNAIDS</w:t>
      </w:r>
      <w:r>
        <w:t>,</w:t>
      </w:r>
      <w:r w:rsidRPr="00405F0C">
        <w:t xml:space="preserve"> </w:t>
      </w:r>
      <w:r w:rsidRPr="002C0FEF">
        <w:rPr>
          <w:i/>
          <w:iCs/>
        </w:rPr>
        <w:t>Technical Guide</w:t>
      </w:r>
      <w:r w:rsidRPr="00405F0C">
        <w:t>, pp. 10-26.</w:t>
      </w:r>
    </w:p>
  </w:footnote>
  <w:footnote w:id="13">
    <w:p w:rsidR="005A18F8" w:rsidRPr="00497A67" w:rsidRDefault="005A18F8">
      <w:pPr>
        <w:pStyle w:val="FootnoteText"/>
      </w:pPr>
      <w:r>
        <w:tab/>
      </w:r>
      <w:r w:rsidRPr="00E05629">
        <w:rPr>
          <w:rStyle w:val="FootnoteReference"/>
        </w:rPr>
        <w:footnoteRef/>
      </w:r>
      <w:r>
        <w:tab/>
      </w:r>
      <w:r w:rsidRPr="00497A67">
        <w:t xml:space="preserve">WHO, </w:t>
      </w:r>
      <w:r>
        <w:t>“</w:t>
      </w:r>
      <w:r w:rsidRPr="00497A67">
        <w:t>Effectiveness of sterile needle and syringe programming in reducing HIV/AIDS among injecting drug users</w:t>
      </w:r>
      <w:r>
        <w:t>”</w:t>
      </w:r>
      <w:r w:rsidRPr="00497A67">
        <w:t xml:space="preserve"> (Geneva, 2004), p. 28, </w:t>
      </w:r>
      <w:r>
        <w:t xml:space="preserve">and </w:t>
      </w:r>
      <w:r w:rsidRPr="00497A67">
        <w:t xml:space="preserve">WHO, </w:t>
      </w:r>
      <w:r w:rsidRPr="002C0FEF">
        <w:rPr>
          <w:i/>
          <w:iCs/>
        </w:rPr>
        <w:t>Consolidated Guidelines</w:t>
      </w:r>
      <w:r w:rsidRPr="00497A67">
        <w:t>, p. 4.</w:t>
      </w:r>
      <w:r>
        <w:t xml:space="preserve"> </w:t>
      </w:r>
    </w:p>
  </w:footnote>
  <w:footnote w:id="14">
    <w:p w:rsidR="005A18F8" w:rsidRPr="00497A67" w:rsidRDefault="005A18F8" w:rsidP="00A463A0">
      <w:pPr>
        <w:pStyle w:val="FootnoteText"/>
        <w:rPr>
          <w:szCs w:val="18"/>
        </w:rPr>
      </w:pPr>
      <w:r>
        <w:rPr>
          <w:szCs w:val="18"/>
        </w:rPr>
        <w:tab/>
      </w:r>
      <w:r w:rsidRPr="00E05629">
        <w:rPr>
          <w:rStyle w:val="FootnoteReference"/>
        </w:rPr>
        <w:footnoteRef/>
      </w:r>
      <w:r>
        <w:rPr>
          <w:szCs w:val="18"/>
        </w:rPr>
        <w:tab/>
        <w:t>WHO</w:t>
      </w:r>
      <w:r w:rsidR="00493A7C">
        <w:rPr>
          <w:szCs w:val="18"/>
        </w:rPr>
        <w:t>,</w:t>
      </w:r>
      <w:r>
        <w:rPr>
          <w:szCs w:val="18"/>
        </w:rPr>
        <w:t xml:space="preserve"> </w:t>
      </w:r>
      <w:r w:rsidR="00493A7C">
        <w:rPr>
          <w:szCs w:val="18"/>
        </w:rPr>
        <w:t>“</w:t>
      </w:r>
      <w:r>
        <w:rPr>
          <w:szCs w:val="18"/>
        </w:rPr>
        <w:t>Four ways to reduce hepatitis infections in people who use drugs</w:t>
      </w:r>
      <w:r w:rsidR="00493A7C">
        <w:rPr>
          <w:szCs w:val="18"/>
        </w:rPr>
        <w:t>”</w:t>
      </w:r>
      <w:r>
        <w:rPr>
          <w:szCs w:val="18"/>
        </w:rPr>
        <w:t xml:space="preserve"> </w:t>
      </w:r>
      <w:r w:rsidR="00493A7C">
        <w:rPr>
          <w:szCs w:val="18"/>
        </w:rPr>
        <w:t>(</w:t>
      </w:r>
      <w:r>
        <w:rPr>
          <w:szCs w:val="18"/>
        </w:rPr>
        <w:t>21 July 2012</w:t>
      </w:r>
      <w:r w:rsidR="00493A7C">
        <w:rPr>
          <w:szCs w:val="18"/>
        </w:rPr>
        <w:t>) and</w:t>
      </w:r>
      <w:r>
        <w:rPr>
          <w:szCs w:val="18"/>
        </w:rPr>
        <w:t xml:space="preserve"> </w:t>
      </w:r>
      <w:r w:rsidRPr="00497A67">
        <w:rPr>
          <w:szCs w:val="18"/>
        </w:rPr>
        <w:t xml:space="preserve">UNAIDS, </w:t>
      </w:r>
      <w:r w:rsidRPr="00497A67">
        <w:rPr>
          <w:i/>
          <w:szCs w:val="18"/>
        </w:rPr>
        <w:t>The Gap Report</w:t>
      </w:r>
      <w:r w:rsidRPr="00497A67">
        <w:rPr>
          <w:szCs w:val="18"/>
        </w:rPr>
        <w:t xml:space="preserve"> </w:t>
      </w:r>
      <w:r>
        <w:rPr>
          <w:szCs w:val="18"/>
        </w:rPr>
        <w:t xml:space="preserve">(Geneva, </w:t>
      </w:r>
      <w:r w:rsidRPr="00497A67">
        <w:rPr>
          <w:szCs w:val="18"/>
        </w:rPr>
        <w:t>2014</w:t>
      </w:r>
      <w:r>
        <w:rPr>
          <w:szCs w:val="18"/>
        </w:rPr>
        <w:t>)</w:t>
      </w:r>
      <w:r w:rsidRPr="00497A67">
        <w:rPr>
          <w:szCs w:val="18"/>
        </w:rPr>
        <w:t>, p. 173</w:t>
      </w:r>
      <w:r>
        <w:rPr>
          <w:szCs w:val="18"/>
        </w:rPr>
        <w:t>.</w:t>
      </w:r>
    </w:p>
  </w:footnote>
  <w:footnote w:id="15">
    <w:p w:rsidR="005A18F8" w:rsidRPr="00497A67" w:rsidRDefault="005A18F8" w:rsidP="004668C6">
      <w:pPr>
        <w:pStyle w:val="FootnoteText"/>
      </w:pPr>
      <w:r>
        <w:tab/>
      </w:r>
      <w:r w:rsidRPr="00E05629">
        <w:rPr>
          <w:rStyle w:val="FootnoteReference"/>
        </w:rPr>
        <w:footnoteRef/>
      </w:r>
      <w:r>
        <w:tab/>
      </w:r>
      <w:r w:rsidRPr="002B2719">
        <w:t>Opioid substitution therapy</w:t>
      </w:r>
      <w:r w:rsidRPr="00497A67" w:rsidDel="004668C6">
        <w:t xml:space="preserve"> </w:t>
      </w:r>
      <w:r w:rsidRPr="00497A67">
        <w:t xml:space="preserve">is also referred to as </w:t>
      </w:r>
      <w:r w:rsidRPr="00497A67">
        <w:rPr>
          <w:lang w:eastAsia="en-GB"/>
        </w:rPr>
        <w:t xml:space="preserve">opioid maintenance treatment, opioid agonist maintenance treatment or medication assisted treatment, according to WHO. </w:t>
      </w:r>
    </w:p>
  </w:footnote>
  <w:footnote w:id="16">
    <w:p w:rsidR="005A18F8" w:rsidRPr="00497A67" w:rsidRDefault="005A18F8">
      <w:pPr>
        <w:pStyle w:val="FootnoteText"/>
      </w:pPr>
      <w:r>
        <w:tab/>
      </w:r>
      <w:r w:rsidRPr="00E05629">
        <w:rPr>
          <w:rStyle w:val="FootnoteReference"/>
        </w:rPr>
        <w:footnoteRef/>
      </w:r>
      <w:r>
        <w:tab/>
      </w:r>
      <w:r w:rsidRPr="00497A67">
        <w:t xml:space="preserve">WHO, </w:t>
      </w:r>
      <w:r w:rsidRPr="002C0FEF">
        <w:rPr>
          <w:i/>
          <w:iCs/>
        </w:rPr>
        <w:t>Consolidated Guidelines</w:t>
      </w:r>
      <w:r w:rsidRPr="00497A67">
        <w:t>, p. 4.</w:t>
      </w:r>
      <w:r>
        <w:t xml:space="preserve"> </w:t>
      </w:r>
    </w:p>
  </w:footnote>
  <w:footnote w:id="17">
    <w:p w:rsidR="005A18F8" w:rsidRPr="00497A67" w:rsidRDefault="005A18F8">
      <w:pPr>
        <w:pStyle w:val="FootnoteText"/>
      </w:pPr>
      <w:r>
        <w:tab/>
      </w:r>
      <w:r w:rsidRPr="00E05629">
        <w:rPr>
          <w:rStyle w:val="FootnoteReference"/>
        </w:rPr>
        <w:footnoteRef/>
      </w:r>
      <w:r>
        <w:tab/>
      </w:r>
      <w:r w:rsidRPr="00497A67">
        <w:t xml:space="preserve">WHO, </w:t>
      </w:r>
      <w:r w:rsidRPr="002C0FEF">
        <w:rPr>
          <w:i/>
          <w:iCs/>
        </w:rPr>
        <w:t>Community Management of Opioid Overdose</w:t>
      </w:r>
      <w:r w:rsidRPr="00497A67">
        <w:t xml:space="preserve"> </w:t>
      </w:r>
      <w:r>
        <w:t xml:space="preserve">(Geneva, </w:t>
      </w:r>
      <w:r w:rsidRPr="00497A67">
        <w:t>2014</w:t>
      </w:r>
      <w:r>
        <w:t>)</w:t>
      </w:r>
      <w:r w:rsidRPr="00497A67">
        <w:t>, p. 3.</w:t>
      </w:r>
    </w:p>
  </w:footnote>
  <w:footnote w:id="18">
    <w:p w:rsidR="005A18F8" w:rsidRPr="00497A67" w:rsidRDefault="005A18F8">
      <w:pPr>
        <w:pStyle w:val="FootnoteText"/>
      </w:pPr>
      <w:r>
        <w:tab/>
      </w:r>
      <w:r w:rsidRPr="00E05629">
        <w:rPr>
          <w:rStyle w:val="FootnoteReference"/>
        </w:rPr>
        <w:footnoteRef/>
      </w:r>
      <w:r>
        <w:tab/>
      </w:r>
      <w:r w:rsidRPr="00497A67">
        <w:t xml:space="preserve">WHO, </w:t>
      </w:r>
      <w:r w:rsidRPr="002C0FEF">
        <w:rPr>
          <w:i/>
          <w:iCs/>
        </w:rPr>
        <w:t>Consolidated Guidelines</w:t>
      </w:r>
      <w:r w:rsidRPr="00497A67">
        <w:t>, p. 4.</w:t>
      </w:r>
      <w:r>
        <w:t xml:space="preserve"> </w:t>
      </w:r>
    </w:p>
  </w:footnote>
  <w:footnote w:id="19">
    <w:p w:rsidR="005A18F8" w:rsidRPr="002C0FEF" w:rsidRDefault="005A18F8">
      <w:pPr>
        <w:pStyle w:val="FootnoteText"/>
        <w:rPr>
          <w:lang w:val="en-US"/>
        </w:rPr>
      </w:pPr>
      <w:r>
        <w:tab/>
      </w:r>
      <w:r>
        <w:rPr>
          <w:rStyle w:val="FootnoteReference"/>
        </w:rPr>
        <w:footnoteRef/>
      </w:r>
      <w:r>
        <w:tab/>
        <w:t>Harm Reduction International</w:t>
      </w:r>
      <w:r w:rsidRPr="00497A67">
        <w:t xml:space="preserve">, </w:t>
      </w:r>
      <w:r w:rsidRPr="00497A67">
        <w:rPr>
          <w:i/>
        </w:rPr>
        <w:t>The Global State of Harm Reduction 201</w:t>
      </w:r>
      <w:r>
        <w:rPr>
          <w:i/>
        </w:rPr>
        <w:t>4</w:t>
      </w:r>
      <w:r w:rsidRPr="00497A67">
        <w:t>.</w:t>
      </w:r>
    </w:p>
  </w:footnote>
  <w:footnote w:id="20">
    <w:p w:rsidR="005A18F8" w:rsidRPr="000442DD" w:rsidRDefault="005A18F8">
      <w:pPr>
        <w:pStyle w:val="FootnoteText"/>
      </w:pPr>
      <w:r>
        <w:tab/>
      </w:r>
      <w:r w:rsidRPr="00E05629">
        <w:rPr>
          <w:rStyle w:val="FootnoteReference"/>
        </w:rPr>
        <w:footnoteRef/>
      </w:r>
      <w:r>
        <w:tab/>
      </w:r>
      <w:r w:rsidRPr="00E16259">
        <w:t xml:space="preserve">UNODC, </w:t>
      </w:r>
      <w:r w:rsidRPr="002C0FEF">
        <w:rPr>
          <w:i/>
          <w:iCs/>
        </w:rPr>
        <w:t>World Drug Report 2015</w:t>
      </w:r>
      <w:r>
        <w:t xml:space="preserve"> (United Nations publication, sales No. E.15.XI.6)</w:t>
      </w:r>
      <w:r w:rsidRPr="00E16259">
        <w:t>, p. ix.</w:t>
      </w:r>
    </w:p>
  </w:footnote>
  <w:footnote w:id="21">
    <w:p w:rsidR="005A18F8" w:rsidRPr="00E16259" w:rsidRDefault="005A18F8">
      <w:pPr>
        <w:pStyle w:val="FootnoteText"/>
      </w:pPr>
      <w:r>
        <w:tab/>
      </w:r>
      <w:r w:rsidRPr="00E05629">
        <w:rPr>
          <w:rStyle w:val="FootnoteReference"/>
        </w:rPr>
        <w:footnoteRef/>
      </w:r>
      <w:r>
        <w:tab/>
      </w:r>
      <w:r w:rsidRPr="00E16259">
        <w:t xml:space="preserve">WHO, </w:t>
      </w:r>
      <w:r w:rsidRPr="002C0FEF">
        <w:rPr>
          <w:i/>
          <w:iCs/>
        </w:rPr>
        <w:t>Consolidated Guidelines</w:t>
      </w:r>
      <w:r w:rsidRPr="00E16259">
        <w:t>, p. 5.</w:t>
      </w:r>
    </w:p>
  </w:footnote>
  <w:footnote w:id="22">
    <w:p w:rsidR="005A18F8" w:rsidRPr="00E16259" w:rsidRDefault="005A18F8">
      <w:pPr>
        <w:pStyle w:val="FootnoteText"/>
      </w:pPr>
      <w:r>
        <w:tab/>
      </w:r>
      <w:r w:rsidRPr="00E05629">
        <w:rPr>
          <w:rStyle w:val="FootnoteReference"/>
        </w:rPr>
        <w:footnoteRef/>
      </w:r>
      <w:r>
        <w:tab/>
      </w:r>
      <w:r w:rsidRPr="00E16259">
        <w:t>WHO, UNODC</w:t>
      </w:r>
      <w:r>
        <w:t xml:space="preserve"> and</w:t>
      </w:r>
      <w:r w:rsidRPr="00E16259">
        <w:t xml:space="preserve"> UNAIDS</w:t>
      </w:r>
      <w:r>
        <w:t>,</w:t>
      </w:r>
      <w:r w:rsidRPr="00E16259">
        <w:t xml:space="preserve"> </w:t>
      </w:r>
      <w:r w:rsidRPr="002C0FEF">
        <w:rPr>
          <w:i/>
          <w:iCs/>
        </w:rPr>
        <w:t>Technical Guide</w:t>
      </w:r>
      <w:r w:rsidRPr="00E16259">
        <w:t>, pp. 10-21.</w:t>
      </w:r>
    </w:p>
  </w:footnote>
  <w:footnote w:id="23">
    <w:p w:rsidR="005A18F8" w:rsidRPr="00E16259" w:rsidRDefault="005A18F8">
      <w:pPr>
        <w:pStyle w:val="FootnoteText"/>
      </w:pPr>
      <w:r>
        <w:tab/>
      </w:r>
      <w:r w:rsidRPr="00E05629">
        <w:rPr>
          <w:rStyle w:val="FootnoteReference"/>
        </w:rPr>
        <w:footnoteRef/>
      </w:r>
      <w:r>
        <w:tab/>
      </w:r>
      <w:r w:rsidRPr="00E16259">
        <w:t xml:space="preserve">Global Commission on HIV and the Law, </w:t>
      </w:r>
      <w:r w:rsidRPr="002C0FEF">
        <w:rPr>
          <w:i/>
          <w:iCs/>
        </w:rPr>
        <w:t>HIV and the Law: Risks, Rights and Health</w:t>
      </w:r>
      <w:r>
        <w:t xml:space="preserve"> (New York, July 2012) and the United Nations Development Programme (</w:t>
      </w:r>
      <w:r w:rsidRPr="00E16259">
        <w:t>UNDP</w:t>
      </w:r>
      <w:r>
        <w:t>)</w:t>
      </w:r>
      <w:r w:rsidRPr="00E16259">
        <w:t xml:space="preserve">, </w:t>
      </w:r>
      <w:r w:rsidRPr="00E16259">
        <w:rPr>
          <w:i/>
        </w:rPr>
        <w:t xml:space="preserve">Addressing the </w:t>
      </w:r>
      <w:r>
        <w:rPr>
          <w:i/>
        </w:rPr>
        <w:t>D</w:t>
      </w:r>
      <w:r w:rsidRPr="00E16259">
        <w:rPr>
          <w:i/>
        </w:rPr>
        <w:t xml:space="preserve">evelopment </w:t>
      </w:r>
      <w:r>
        <w:rPr>
          <w:i/>
        </w:rPr>
        <w:t>D</w:t>
      </w:r>
      <w:r w:rsidRPr="00E16259">
        <w:rPr>
          <w:i/>
        </w:rPr>
        <w:t xml:space="preserve">imensions of </w:t>
      </w:r>
      <w:r>
        <w:rPr>
          <w:i/>
        </w:rPr>
        <w:t>D</w:t>
      </w:r>
      <w:r w:rsidRPr="00E16259">
        <w:rPr>
          <w:i/>
        </w:rPr>
        <w:t xml:space="preserve">rug </w:t>
      </w:r>
      <w:r>
        <w:rPr>
          <w:i/>
        </w:rPr>
        <w:t>P</w:t>
      </w:r>
      <w:r w:rsidRPr="00E16259">
        <w:rPr>
          <w:i/>
        </w:rPr>
        <w:t>olicy</w:t>
      </w:r>
      <w:r w:rsidRPr="00E16259">
        <w:t xml:space="preserve"> </w:t>
      </w:r>
      <w:r>
        <w:t>(</w:t>
      </w:r>
      <w:r w:rsidRPr="00E16259">
        <w:t>June 2015</w:t>
      </w:r>
      <w:r>
        <w:t>)</w:t>
      </w:r>
      <w:r w:rsidRPr="00E16259">
        <w:t>, p. 19.</w:t>
      </w:r>
    </w:p>
  </w:footnote>
  <w:footnote w:id="24">
    <w:p w:rsidR="005A18F8" w:rsidRPr="002C0FEF" w:rsidRDefault="005A18F8">
      <w:pPr>
        <w:pStyle w:val="FootnoteText"/>
        <w:rPr>
          <w:lang w:val="en-US"/>
        </w:rPr>
      </w:pPr>
      <w:r>
        <w:tab/>
      </w:r>
      <w:r>
        <w:rPr>
          <w:rStyle w:val="FootnoteReference"/>
        </w:rPr>
        <w:footnoteRef/>
      </w:r>
      <w:r>
        <w:tab/>
      </w:r>
      <w:r w:rsidRPr="00E16259">
        <w:t>WHO, UNODC</w:t>
      </w:r>
      <w:r>
        <w:t xml:space="preserve"> and</w:t>
      </w:r>
      <w:r w:rsidRPr="00E16259">
        <w:t xml:space="preserve"> UNAIDS, </w:t>
      </w:r>
      <w:r w:rsidRPr="001B0FC1">
        <w:rPr>
          <w:i/>
          <w:iCs/>
        </w:rPr>
        <w:t>Technical Guide</w:t>
      </w:r>
      <w:r w:rsidRPr="00E16259">
        <w:t>, p. 26</w:t>
      </w:r>
      <w:r>
        <w:t xml:space="preserve">, and </w:t>
      </w:r>
      <w:r w:rsidRPr="00E16259">
        <w:t xml:space="preserve">WHO, </w:t>
      </w:r>
      <w:r w:rsidRPr="001B0FC1">
        <w:rPr>
          <w:i/>
          <w:iCs/>
        </w:rPr>
        <w:t>Consolidated Guidelines</w:t>
      </w:r>
      <w:r w:rsidRPr="00E16259">
        <w:t>, p. 5</w:t>
      </w:r>
      <w:r>
        <w:t>.</w:t>
      </w:r>
    </w:p>
  </w:footnote>
  <w:footnote w:id="25">
    <w:p w:rsidR="005A18F8" w:rsidRPr="0073229C" w:rsidRDefault="005A18F8">
      <w:pPr>
        <w:pStyle w:val="FootnoteText"/>
      </w:pPr>
      <w:r>
        <w:tab/>
      </w:r>
      <w:r w:rsidRPr="00E05629">
        <w:rPr>
          <w:rStyle w:val="FootnoteReference"/>
        </w:rPr>
        <w:footnoteRef/>
      </w:r>
      <w:r>
        <w:tab/>
      </w:r>
      <w:r w:rsidRPr="0073229C">
        <w:t xml:space="preserve">WHO </w:t>
      </w:r>
      <w:r>
        <w:t xml:space="preserve">Regional Office for </w:t>
      </w:r>
      <w:r w:rsidRPr="0073229C">
        <w:t xml:space="preserve">Europe, </w:t>
      </w:r>
      <w:r w:rsidRPr="002C0FEF">
        <w:rPr>
          <w:i/>
          <w:iCs/>
        </w:rPr>
        <w:t>The Madrid Recommendation: Health Protection in Prisons as an Essential Part of Public Health</w:t>
      </w:r>
      <w:r>
        <w:t xml:space="preserve"> (Copenhagen, 2010),</w:t>
      </w:r>
      <w:r w:rsidRPr="0073229C">
        <w:t xml:space="preserve"> pp. 3-4.</w:t>
      </w:r>
    </w:p>
  </w:footnote>
  <w:footnote w:id="26">
    <w:p w:rsidR="005A18F8" w:rsidRPr="0073229C" w:rsidRDefault="005A18F8" w:rsidP="004676F8">
      <w:pPr>
        <w:pStyle w:val="FootnoteText"/>
      </w:pPr>
      <w:r>
        <w:tab/>
      </w:r>
      <w:r w:rsidRPr="00E05629">
        <w:rPr>
          <w:rStyle w:val="FootnoteReference"/>
        </w:rPr>
        <w:footnoteRef/>
      </w:r>
      <w:r>
        <w:tab/>
      </w:r>
      <w:r w:rsidRPr="0073229C">
        <w:t xml:space="preserve">UNODC and WHO, </w:t>
      </w:r>
      <w:r>
        <w:t>“</w:t>
      </w:r>
      <w:r w:rsidRPr="0073229C">
        <w:t xml:space="preserve">Principles of </w:t>
      </w:r>
      <w:r>
        <w:t>d</w:t>
      </w:r>
      <w:r w:rsidRPr="0073229C">
        <w:t xml:space="preserve">rug </w:t>
      </w:r>
      <w:r>
        <w:t>d</w:t>
      </w:r>
      <w:r w:rsidRPr="0073229C">
        <w:t xml:space="preserve">ependence </w:t>
      </w:r>
      <w:r>
        <w:t>t</w:t>
      </w:r>
      <w:r w:rsidRPr="0073229C">
        <w:t>reatment</w:t>
      </w:r>
      <w:r>
        <w:t>”, d</w:t>
      </w:r>
      <w:r w:rsidRPr="0073229C">
        <w:t xml:space="preserve">iscussion </w:t>
      </w:r>
      <w:r>
        <w:t>p</w:t>
      </w:r>
      <w:r w:rsidRPr="0073229C">
        <w:t xml:space="preserve">aper </w:t>
      </w:r>
      <w:r>
        <w:t>(</w:t>
      </w:r>
      <w:r w:rsidRPr="0073229C">
        <w:t>2008</w:t>
      </w:r>
      <w:r>
        <w:t>)</w:t>
      </w:r>
      <w:r w:rsidRPr="0073229C">
        <w:t>, p. 14.</w:t>
      </w:r>
    </w:p>
  </w:footnote>
  <w:footnote w:id="27">
    <w:p w:rsidR="005A18F8" w:rsidRPr="0073229C" w:rsidRDefault="005A18F8" w:rsidP="002C0FEF">
      <w:pPr>
        <w:pStyle w:val="FootnoteText"/>
        <w:rPr>
          <w:szCs w:val="18"/>
        </w:rPr>
      </w:pPr>
      <w:r>
        <w:rPr>
          <w:szCs w:val="18"/>
        </w:rPr>
        <w:tab/>
      </w:r>
      <w:r w:rsidRPr="00E05629">
        <w:rPr>
          <w:rStyle w:val="FootnoteReference"/>
        </w:rPr>
        <w:footnoteRef/>
      </w:r>
      <w:r>
        <w:rPr>
          <w:szCs w:val="18"/>
        </w:rPr>
        <w:tab/>
      </w:r>
      <w:r w:rsidRPr="00E859F2">
        <w:rPr>
          <w:szCs w:val="18"/>
        </w:rPr>
        <w:t>S</w:t>
      </w:r>
      <w:r w:rsidRPr="00A463A0">
        <w:rPr>
          <w:szCs w:val="18"/>
        </w:rPr>
        <w:t xml:space="preserve">ubmission </w:t>
      </w:r>
      <w:r w:rsidR="00E859F2">
        <w:rPr>
          <w:szCs w:val="18"/>
        </w:rPr>
        <w:t xml:space="preserve">of the Special Rapporteur </w:t>
      </w:r>
      <w:r w:rsidRPr="00A463A0">
        <w:rPr>
          <w:szCs w:val="18"/>
        </w:rPr>
        <w:t xml:space="preserve">to </w:t>
      </w:r>
      <w:r w:rsidRPr="002C0FEF">
        <w:rPr>
          <w:szCs w:val="18"/>
        </w:rPr>
        <w:t xml:space="preserve">the Committee against Torture </w:t>
      </w:r>
      <w:r w:rsidR="00255FEC" w:rsidRPr="002C0FEF">
        <w:rPr>
          <w:szCs w:val="18"/>
        </w:rPr>
        <w:t>(</w:t>
      </w:r>
      <w:r w:rsidRPr="002C0FEF">
        <w:rPr>
          <w:szCs w:val="18"/>
        </w:rPr>
        <w:t>19 Octob</w:t>
      </w:r>
      <w:r w:rsidRPr="00A463A0">
        <w:rPr>
          <w:szCs w:val="18"/>
        </w:rPr>
        <w:t>er 2012</w:t>
      </w:r>
      <w:r w:rsidR="00255FEC">
        <w:rPr>
          <w:szCs w:val="18"/>
        </w:rPr>
        <w:t>)</w:t>
      </w:r>
      <w:r w:rsidRPr="00A463A0">
        <w:rPr>
          <w:szCs w:val="18"/>
        </w:rPr>
        <w:t>, p. 6.</w:t>
      </w:r>
      <w:r w:rsidR="00892CC9">
        <w:rPr>
          <w:szCs w:val="18"/>
        </w:rPr>
        <w:t xml:space="preserve"> </w:t>
      </w:r>
    </w:p>
  </w:footnote>
  <w:footnote w:id="28">
    <w:p w:rsidR="005A18F8" w:rsidRPr="002C0FEF" w:rsidRDefault="005A18F8" w:rsidP="002B2719">
      <w:pPr>
        <w:pStyle w:val="FootnoteText"/>
        <w:rPr>
          <w:szCs w:val="18"/>
          <w:lang w:val="en-US"/>
        </w:rPr>
      </w:pPr>
      <w:r>
        <w:rPr>
          <w:szCs w:val="18"/>
        </w:rPr>
        <w:tab/>
      </w:r>
      <w:r w:rsidRPr="00E05629">
        <w:rPr>
          <w:rStyle w:val="FootnoteReference"/>
        </w:rPr>
        <w:footnoteRef/>
      </w:r>
      <w:r w:rsidRPr="002C0FEF">
        <w:rPr>
          <w:szCs w:val="18"/>
          <w:lang w:val="en-US"/>
        </w:rPr>
        <w:tab/>
        <w:t>Ibid.</w:t>
      </w:r>
    </w:p>
  </w:footnote>
  <w:footnote w:id="29">
    <w:p w:rsidR="005A18F8" w:rsidRPr="002C0FEF" w:rsidRDefault="005A18F8">
      <w:pPr>
        <w:pStyle w:val="FootnoteText"/>
        <w:rPr>
          <w:szCs w:val="18"/>
          <w:lang w:val="en-US"/>
        </w:rPr>
      </w:pPr>
      <w:r w:rsidRPr="002C0FEF">
        <w:rPr>
          <w:szCs w:val="18"/>
          <w:lang w:val="en-US"/>
        </w:rPr>
        <w:tab/>
      </w:r>
      <w:r w:rsidRPr="00E05629">
        <w:rPr>
          <w:rStyle w:val="FootnoteReference"/>
        </w:rPr>
        <w:footnoteRef/>
      </w:r>
      <w:r w:rsidRPr="002C0FEF">
        <w:rPr>
          <w:szCs w:val="18"/>
          <w:lang w:val="en-US"/>
        </w:rPr>
        <w:tab/>
        <w:t xml:space="preserve">United Nations publication, </w:t>
      </w:r>
      <w:r>
        <w:rPr>
          <w:szCs w:val="18"/>
          <w:lang w:val="en-US"/>
        </w:rPr>
        <w:t>s</w:t>
      </w:r>
      <w:r w:rsidRPr="002C0FEF">
        <w:rPr>
          <w:szCs w:val="18"/>
          <w:lang w:val="en-US"/>
        </w:rPr>
        <w:t>ales No. E</w:t>
      </w:r>
      <w:r>
        <w:rPr>
          <w:szCs w:val="18"/>
          <w:lang w:val="en-US"/>
        </w:rPr>
        <w:t>.</w:t>
      </w:r>
      <w:r w:rsidRPr="002C0FEF">
        <w:rPr>
          <w:szCs w:val="18"/>
          <w:lang w:val="en-US"/>
        </w:rPr>
        <w:t>06.XIV.</w:t>
      </w:r>
      <w:r>
        <w:rPr>
          <w:szCs w:val="18"/>
          <w:lang w:val="en-US"/>
        </w:rPr>
        <w:t>4</w:t>
      </w:r>
      <w:r w:rsidRPr="002C0FEF">
        <w:rPr>
          <w:szCs w:val="18"/>
          <w:lang w:val="en-US"/>
        </w:rPr>
        <w:t>, p. 30.</w:t>
      </w:r>
    </w:p>
  </w:footnote>
  <w:footnote w:id="30">
    <w:p w:rsidR="005A18F8" w:rsidRPr="007E1C82" w:rsidRDefault="005A18F8" w:rsidP="002C0FEF">
      <w:pPr>
        <w:pStyle w:val="FootnoteText"/>
        <w:rPr>
          <w:szCs w:val="18"/>
        </w:rPr>
      </w:pPr>
      <w:r w:rsidRPr="002C0FEF">
        <w:rPr>
          <w:szCs w:val="18"/>
          <w:lang w:val="en-US"/>
        </w:rPr>
        <w:tab/>
      </w:r>
      <w:r w:rsidRPr="00E05629">
        <w:rPr>
          <w:rStyle w:val="FootnoteReference"/>
        </w:rPr>
        <w:footnoteRef/>
      </w:r>
      <w:r>
        <w:rPr>
          <w:szCs w:val="18"/>
        </w:rPr>
        <w:tab/>
        <w:t xml:space="preserve">WHO, </w:t>
      </w:r>
      <w:r w:rsidRPr="007E1C82">
        <w:rPr>
          <w:szCs w:val="18"/>
        </w:rPr>
        <w:t>UNODC</w:t>
      </w:r>
      <w:r>
        <w:rPr>
          <w:szCs w:val="18"/>
        </w:rPr>
        <w:t xml:space="preserve"> and</w:t>
      </w:r>
      <w:r w:rsidRPr="007E1C82">
        <w:rPr>
          <w:szCs w:val="18"/>
        </w:rPr>
        <w:t xml:space="preserve"> UNAIDS, </w:t>
      </w:r>
      <w:r>
        <w:rPr>
          <w:szCs w:val="18"/>
        </w:rPr>
        <w:t>“</w:t>
      </w:r>
      <w:r>
        <w:rPr>
          <w:i/>
          <w:szCs w:val="18"/>
        </w:rPr>
        <w:t>P</w:t>
      </w:r>
      <w:r w:rsidRPr="007E1C82">
        <w:rPr>
          <w:i/>
          <w:szCs w:val="18"/>
        </w:rPr>
        <w:t>rovision of sterile injecting equipment to reduce HIV transmission</w:t>
      </w:r>
      <w:r>
        <w:rPr>
          <w:i/>
          <w:szCs w:val="18"/>
        </w:rPr>
        <w:t xml:space="preserve">” policy brief </w:t>
      </w:r>
      <w:r w:rsidRPr="007E1C82">
        <w:rPr>
          <w:szCs w:val="18"/>
        </w:rPr>
        <w:t>(2004), p. 2.</w:t>
      </w:r>
    </w:p>
  </w:footnote>
  <w:footnote w:id="31">
    <w:p w:rsidR="005A18F8" w:rsidRPr="007E1C82" w:rsidRDefault="005A18F8" w:rsidP="002C0FEF">
      <w:pPr>
        <w:pStyle w:val="FootnoteText"/>
        <w:rPr>
          <w:szCs w:val="18"/>
        </w:rPr>
      </w:pPr>
      <w:r>
        <w:rPr>
          <w:szCs w:val="18"/>
        </w:rPr>
        <w:tab/>
      </w:r>
      <w:r w:rsidRPr="00E05629">
        <w:rPr>
          <w:rStyle w:val="FootnoteReference"/>
        </w:rPr>
        <w:footnoteRef/>
      </w:r>
      <w:r>
        <w:rPr>
          <w:szCs w:val="18"/>
        </w:rPr>
        <w:tab/>
      </w:r>
      <w:r>
        <w:t>Harm Reduction International</w:t>
      </w:r>
      <w:r w:rsidRPr="007E1C82">
        <w:rPr>
          <w:szCs w:val="18"/>
        </w:rPr>
        <w:t xml:space="preserve">, </w:t>
      </w:r>
      <w:r w:rsidRPr="002C0FEF">
        <w:rPr>
          <w:i/>
          <w:iCs/>
          <w:szCs w:val="18"/>
        </w:rPr>
        <w:t>Global State of Harm Reduction 2014</w:t>
      </w:r>
      <w:r w:rsidRPr="007E1C82">
        <w:rPr>
          <w:szCs w:val="18"/>
        </w:rPr>
        <w:t>.</w:t>
      </w:r>
    </w:p>
  </w:footnote>
  <w:footnote w:id="32">
    <w:p w:rsidR="005A18F8" w:rsidRPr="007E1C82" w:rsidRDefault="005A18F8" w:rsidP="002C0FEF">
      <w:pPr>
        <w:pStyle w:val="FootnoteText"/>
        <w:rPr>
          <w:szCs w:val="18"/>
        </w:rPr>
      </w:pPr>
      <w:r>
        <w:rPr>
          <w:szCs w:val="18"/>
        </w:rPr>
        <w:tab/>
      </w:r>
      <w:r w:rsidRPr="00E05629">
        <w:rPr>
          <w:rStyle w:val="FootnoteReference"/>
        </w:rPr>
        <w:footnoteRef/>
      </w:r>
      <w:r>
        <w:rPr>
          <w:szCs w:val="18"/>
        </w:rPr>
        <w:tab/>
      </w:r>
      <w:r w:rsidRPr="007E1C82">
        <w:rPr>
          <w:szCs w:val="18"/>
        </w:rPr>
        <w:t xml:space="preserve">WHO, </w:t>
      </w:r>
      <w:r w:rsidRPr="007E1C82">
        <w:rPr>
          <w:i/>
          <w:szCs w:val="18"/>
        </w:rPr>
        <w:t>Consolidated Guidelines</w:t>
      </w:r>
      <w:r w:rsidRPr="007E1C82">
        <w:rPr>
          <w:szCs w:val="18"/>
        </w:rPr>
        <w:t>, p. 91.</w:t>
      </w:r>
    </w:p>
  </w:footnote>
  <w:footnote w:id="33">
    <w:p w:rsidR="005A18F8" w:rsidRPr="007E1C82" w:rsidRDefault="005A18F8">
      <w:pPr>
        <w:pStyle w:val="FootnoteText"/>
        <w:rPr>
          <w:szCs w:val="18"/>
        </w:rPr>
      </w:pPr>
      <w:r>
        <w:rPr>
          <w:szCs w:val="18"/>
        </w:rPr>
        <w:tab/>
      </w:r>
      <w:r w:rsidRPr="00E05629">
        <w:rPr>
          <w:rStyle w:val="FootnoteReference"/>
        </w:rPr>
        <w:footnoteRef/>
      </w:r>
      <w:r>
        <w:rPr>
          <w:szCs w:val="18"/>
        </w:rPr>
        <w:tab/>
      </w:r>
      <w:r w:rsidRPr="007E1C82">
        <w:rPr>
          <w:szCs w:val="18"/>
        </w:rPr>
        <w:t xml:space="preserve">UNAIDS, </w:t>
      </w:r>
      <w:r w:rsidRPr="002C0FEF">
        <w:rPr>
          <w:i/>
          <w:iCs/>
          <w:szCs w:val="18"/>
        </w:rPr>
        <w:t>The Gap Report</w:t>
      </w:r>
      <w:r>
        <w:rPr>
          <w:szCs w:val="18"/>
        </w:rPr>
        <w:t>, p. 183</w:t>
      </w:r>
      <w:r w:rsidRPr="007E1C82">
        <w:rPr>
          <w:szCs w:val="18"/>
        </w:rPr>
        <w:t>.</w:t>
      </w:r>
    </w:p>
  </w:footnote>
  <w:footnote w:id="34">
    <w:p w:rsidR="005A18F8" w:rsidRPr="007E1C82" w:rsidRDefault="005A18F8" w:rsidP="002C0FEF">
      <w:pPr>
        <w:pStyle w:val="FootnoteText"/>
        <w:rPr>
          <w:szCs w:val="18"/>
        </w:rPr>
      </w:pPr>
      <w:r>
        <w:rPr>
          <w:szCs w:val="18"/>
        </w:rPr>
        <w:tab/>
      </w:r>
      <w:r w:rsidRPr="00E05629">
        <w:rPr>
          <w:rStyle w:val="FootnoteReference"/>
        </w:rPr>
        <w:footnoteRef/>
      </w:r>
      <w:r>
        <w:rPr>
          <w:szCs w:val="18"/>
        </w:rPr>
        <w:tab/>
      </w:r>
      <w:r w:rsidRPr="00A463A0">
        <w:rPr>
          <w:szCs w:val="18"/>
        </w:rPr>
        <w:t>Submission of Portugal. See</w:t>
      </w:r>
      <w:r w:rsidRPr="007E1C82">
        <w:rPr>
          <w:szCs w:val="18"/>
        </w:rPr>
        <w:t xml:space="preserve"> </w:t>
      </w:r>
      <w:r>
        <w:rPr>
          <w:szCs w:val="18"/>
        </w:rPr>
        <w:t xml:space="preserve">Artur </w:t>
      </w:r>
      <w:r w:rsidRPr="007E1C82">
        <w:rPr>
          <w:szCs w:val="18"/>
        </w:rPr>
        <w:t>Domos</w:t>
      </w:r>
      <w:r>
        <w:rPr>
          <w:szCs w:val="18"/>
        </w:rPr>
        <w:t>ł</w:t>
      </w:r>
      <w:r w:rsidRPr="007E1C82">
        <w:rPr>
          <w:szCs w:val="18"/>
        </w:rPr>
        <w:t xml:space="preserve">awski, </w:t>
      </w:r>
      <w:r w:rsidRPr="007E1C82">
        <w:rPr>
          <w:i/>
          <w:szCs w:val="18"/>
        </w:rPr>
        <w:t>Drug policy in Portugal</w:t>
      </w:r>
      <w:r>
        <w:rPr>
          <w:i/>
          <w:szCs w:val="18"/>
        </w:rPr>
        <w:t>:</w:t>
      </w:r>
      <w:r w:rsidRPr="007E1C82">
        <w:rPr>
          <w:i/>
          <w:szCs w:val="18"/>
        </w:rPr>
        <w:t xml:space="preserve"> </w:t>
      </w:r>
      <w:r>
        <w:rPr>
          <w:i/>
          <w:szCs w:val="18"/>
        </w:rPr>
        <w:t>t</w:t>
      </w:r>
      <w:r w:rsidRPr="007E1C82">
        <w:rPr>
          <w:i/>
          <w:szCs w:val="18"/>
        </w:rPr>
        <w:t xml:space="preserve">he </w:t>
      </w:r>
      <w:r>
        <w:rPr>
          <w:i/>
          <w:szCs w:val="18"/>
        </w:rPr>
        <w:t>B</w:t>
      </w:r>
      <w:r w:rsidRPr="007E1C82">
        <w:rPr>
          <w:i/>
          <w:szCs w:val="18"/>
        </w:rPr>
        <w:t xml:space="preserve">enefits of </w:t>
      </w:r>
      <w:r>
        <w:rPr>
          <w:i/>
          <w:szCs w:val="18"/>
        </w:rPr>
        <w:t>D</w:t>
      </w:r>
      <w:r w:rsidRPr="007E1C82">
        <w:rPr>
          <w:i/>
          <w:szCs w:val="18"/>
        </w:rPr>
        <w:t xml:space="preserve">ecriminalizing </w:t>
      </w:r>
      <w:r>
        <w:rPr>
          <w:i/>
          <w:szCs w:val="18"/>
        </w:rPr>
        <w:t>D</w:t>
      </w:r>
      <w:r w:rsidRPr="007E1C82">
        <w:rPr>
          <w:i/>
          <w:szCs w:val="18"/>
        </w:rPr>
        <w:t xml:space="preserve">rug </w:t>
      </w:r>
      <w:r>
        <w:rPr>
          <w:i/>
          <w:szCs w:val="18"/>
        </w:rPr>
        <w:t>U</w:t>
      </w:r>
      <w:r w:rsidRPr="007E1C82">
        <w:rPr>
          <w:i/>
          <w:szCs w:val="18"/>
        </w:rPr>
        <w:t>se</w:t>
      </w:r>
      <w:r w:rsidRPr="007E1C82">
        <w:rPr>
          <w:szCs w:val="18"/>
        </w:rPr>
        <w:t xml:space="preserve"> </w:t>
      </w:r>
      <w:r>
        <w:rPr>
          <w:szCs w:val="18"/>
        </w:rPr>
        <w:t xml:space="preserve">(Warsaw, </w:t>
      </w:r>
      <w:r w:rsidRPr="007E1C82">
        <w:rPr>
          <w:szCs w:val="18"/>
        </w:rPr>
        <w:t>Open Society Foundations, 2011</w:t>
      </w:r>
      <w:r>
        <w:rPr>
          <w:szCs w:val="18"/>
        </w:rPr>
        <w:t>)</w:t>
      </w:r>
      <w:r w:rsidRPr="007E1C82">
        <w:rPr>
          <w:szCs w:val="18"/>
        </w:rPr>
        <w:t>.</w:t>
      </w:r>
    </w:p>
  </w:footnote>
  <w:footnote w:id="35">
    <w:p w:rsidR="005A18F8" w:rsidRPr="007E1C82" w:rsidRDefault="005A18F8">
      <w:pPr>
        <w:pStyle w:val="FootnoteText"/>
        <w:rPr>
          <w:szCs w:val="18"/>
        </w:rPr>
      </w:pPr>
      <w:r>
        <w:rPr>
          <w:szCs w:val="18"/>
        </w:rPr>
        <w:tab/>
      </w:r>
      <w:r w:rsidRPr="00FF4477">
        <w:rPr>
          <w:rStyle w:val="FootnoteReference"/>
        </w:rPr>
        <w:footnoteRef/>
      </w:r>
      <w:r w:rsidRPr="00FF4477">
        <w:rPr>
          <w:szCs w:val="18"/>
        </w:rPr>
        <w:tab/>
      </w:r>
      <w:r w:rsidRPr="002C0FEF">
        <w:rPr>
          <w:i/>
          <w:iCs/>
          <w:szCs w:val="18"/>
        </w:rPr>
        <w:t xml:space="preserve">Report </w:t>
      </w:r>
      <w:r>
        <w:rPr>
          <w:i/>
          <w:iCs/>
          <w:szCs w:val="18"/>
        </w:rPr>
        <w:t xml:space="preserve">of the International Narcotics Control Board for </w:t>
      </w:r>
      <w:r w:rsidRPr="002C0FEF">
        <w:rPr>
          <w:i/>
          <w:iCs/>
          <w:szCs w:val="18"/>
        </w:rPr>
        <w:t>2004</w:t>
      </w:r>
      <w:r w:rsidRPr="00FF4477">
        <w:rPr>
          <w:szCs w:val="18"/>
        </w:rPr>
        <w:t>, p. 80.</w:t>
      </w:r>
    </w:p>
  </w:footnote>
  <w:footnote w:id="36">
    <w:p w:rsidR="005A18F8" w:rsidRPr="007E1C82" w:rsidRDefault="005A18F8" w:rsidP="002C0FEF">
      <w:pPr>
        <w:pStyle w:val="FootnoteText"/>
        <w:rPr>
          <w:szCs w:val="18"/>
        </w:rPr>
      </w:pPr>
      <w:r>
        <w:rPr>
          <w:szCs w:val="18"/>
        </w:rPr>
        <w:tab/>
      </w:r>
      <w:r w:rsidRPr="00E05629">
        <w:rPr>
          <w:rStyle w:val="FootnoteReference"/>
        </w:rPr>
        <w:footnoteRef/>
      </w:r>
      <w:r>
        <w:rPr>
          <w:szCs w:val="18"/>
        </w:rPr>
        <w:tab/>
      </w:r>
      <w:r w:rsidRPr="007E1C82">
        <w:rPr>
          <w:szCs w:val="18"/>
        </w:rPr>
        <w:t>A</w:t>
      </w:r>
      <w:r>
        <w:rPr>
          <w:szCs w:val="18"/>
        </w:rPr>
        <w:t>ri</w:t>
      </w:r>
      <w:r w:rsidRPr="007E1C82">
        <w:rPr>
          <w:szCs w:val="18"/>
        </w:rPr>
        <w:t xml:space="preserve"> Rosmarin </w:t>
      </w:r>
      <w:r>
        <w:rPr>
          <w:szCs w:val="18"/>
        </w:rPr>
        <w:t>and</w:t>
      </w:r>
      <w:r w:rsidRPr="007E1C82">
        <w:rPr>
          <w:szCs w:val="18"/>
        </w:rPr>
        <w:t xml:space="preserve"> N</w:t>
      </w:r>
      <w:r>
        <w:rPr>
          <w:szCs w:val="18"/>
        </w:rPr>
        <w:t>iamh</w:t>
      </w:r>
      <w:r w:rsidRPr="007E1C82">
        <w:rPr>
          <w:szCs w:val="18"/>
        </w:rPr>
        <w:t xml:space="preserve"> Eastwood, </w:t>
      </w:r>
      <w:r w:rsidRPr="007E1C82">
        <w:rPr>
          <w:i/>
          <w:szCs w:val="18"/>
        </w:rPr>
        <w:t xml:space="preserve">A </w:t>
      </w:r>
      <w:r>
        <w:rPr>
          <w:i/>
          <w:szCs w:val="18"/>
        </w:rPr>
        <w:t>Q</w:t>
      </w:r>
      <w:r w:rsidRPr="007E1C82">
        <w:rPr>
          <w:i/>
          <w:szCs w:val="18"/>
        </w:rPr>
        <w:t xml:space="preserve">uiet </w:t>
      </w:r>
      <w:r>
        <w:rPr>
          <w:i/>
          <w:szCs w:val="18"/>
        </w:rPr>
        <w:t>R</w:t>
      </w:r>
      <w:r w:rsidRPr="007E1C82">
        <w:rPr>
          <w:i/>
          <w:szCs w:val="18"/>
        </w:rPr>
        <w:t xml:space="preserve">evolution: Drug </w:t>
      </w:r>
      <w:r>
        <w:rPr>
          <w:i/>
          <w:szCs w:val="18"/>
        </w:rPr>
        <w:t>D</w:t>
      </w:r>
      <w:r w:rsidRPr="007E1C82">
        <w:rPr>
          <w:i/>
          <w:szCs w:val="18"/>
        </w:rPr>
        <w:t xml:space="preserve">ecriminalisation </w:t>
      </w:r>
      <w:r>
        <w:rPr>
          <w:i/>
          <w:szCs w:val="18"/>
        </w:rPr>
        <w:t>P</w:t>
      </w:r>
      <w:r w:rsidRPr="007E1C82">
        <w:rPr>
          <w:i/>
          <w:szCs w:val="18"/>
        </w:rPr>
        <w:t xml:space="preserve">olicies in </w:t>
      </w:r>
      <w:r>
        <w:rPr>
          <w:i/>
          <w:szCs w:val="18"/>
        </w:rPr>
        <w:t>P</w:t>
      </w:r>
      <w:r w:rsidRPr="007E1C82">
        <w:rPr>
          <w:i/>
          <w:szCs w:val="18"/>
        </w:rPr>
        <w:t xml:space="preserve">ractice across the </w:t>
      </w:r>
      <w:r>
        <w:rPr>
          <w:i/>
          <w:szCs w:val="18"/>
        </w:rPr>
        <w:t>G</w:t>
      </w:r>
      <w:r w:rsidRPr="007E1C82">
        <w:rPr>
          <w:i/>
          <w:szCs w:val="18"/>
        </w:rPr>
        <w:t>lobe</w:t>
      </w:r>
      <w:r w:rsidRPr="007E1C82">
        <w:rPr>
          <w:szCs w:val="18"/>
        </w:rPr>
        <w:t xml:space="preserve"> </w:t>
      </w:r>
      <w:r>
        <w:rPr>
          <w:szCs w:val="18"/>
        </w:rPr>
        <w:t xml:space="preserve">(London, </w:t>
      </w:r>
      <w:r w:rsidRPr="007E1C82">
        <w:rPr>
          <w:szCs w:val="18"/>
        </w:rPr>
        <w:t>Release, 2012</w:t>
      </w:r>
      <w:r>
        <w:rPr>
          <w:szCs w:val="18"/>
        </w:rPr>
        <w:t>)</w:t>
      </w:r>
      <w:r w:rsidRPr="007E1C82">
        <w:rPr>
          <w:szCs w:val="18"/>
        </w:rPr>
        <w:t xml:space="preserve">. Jamaica has decriminalized cannabis use </w:t>
      </w:r>
      <w:r>
        <w:rPr>
          <w:szCs w:val="18"/>
        </w:rPr>
        <w:t>(see t</w:t>
      </w:r>
      <w:r w:rsidRPr="007E1C82">
        <w:rPr>
          <w:szCs w:val="18"/>
        </w:rPr>
        <w:t>he Dangerous Drug Amendment Act, 2015, para. 6</w:t>
      </w:r>
      <w:r>
        <w:rPr>
          <w:szCs w:val="18"/>
        </w:rPr>
        <w:t>,</w:t>
      </w:r>
      <w:r w:rsidRPr="007E1C82">
        <w:rPr>
          <w:szCs w:val="18"/>
        </w:rPr>
        <w:t xml:space="preserve"> amending </w:t>
      </w:r>
      <w:r>
        <w:rPr>
          <w:szCs w:val="18"/>
        </w:rPr>
        <w:t>s</w:t>
      </w:r>
      <w:r w:rsidRPr="007E1C82">
        <w:rPr>
          <w:szCs w:val="18"/>
        </w:rPr>
        <w:t>ect</w:t>
      </w:r>
      <w:r>
        <w:rPr>
          <w:szCs w:val="18"/>
        </w:rPr>
        <w:t>.</w:t>
      </w:r>
      <w:r w:rsidRPr="007E1C82">
        <w:rPr>
          <w:szCs w:val="18"/>
        </w:rPr>
        <w:t xml:space="preserve"> 7C of the Act</w:t>
      </w:r>
      <w:r>
        <w:rPr>
          <w:szCs w:val="18"/>
        </w:rPr>
        <w:t>)</w:t>
      </w:r>
      <w:r w:rsidRPr="007E1C82">
        <w:rPr>
          <w:szCs w:val="18"/>
        </w:rPr>
        <w:t>.</w:t>
      </w:r>
    </w:p>
  </w:footnote>
  <w:footnote w:id="37">
    <w:p w:rsidR="005A18F8" w:rsidRPr="00147EBC" w:rsidRDefault="005A18F8" w:rsidP="002C0FEF">
      <w:pPr>
        <w:pStyle w:val="FootnoteText"/>
        <w:rPr>
          <w:szCs w:val="18"/>
        </w:rPr>
      </w:pPr>
      <w:r>
        <w:rPr>
          <w:szCs w:val="18"/>
        </w:rPr>
        <w:tab/>
      </w:r>
      <w:r w:rsidRPr="00E05629">
        <w:rPr>
          <w:rStyle w:val="FootnoteReference"/>
        </w:rPr>
        <w:footnoteRef/>
      </w:r>
      <w:r>
        <w:rPr>
          <w:szCs w:val="18"/>
        </w:rPr>
        <w:tab/>
      </w:r>
      <w:r w:rsidRPr="00147EBC">
        <w:rPr>
          <w:szCs w:val="18"/>
        </w:rPr>
        <w:t xml:space="preserve">Submissions </w:t>
      </w:r>
      <w:r>
        <w:rPr>
          <w:szCs w:val="18"/>
        </w:rPr>
        <w:t>of</w:t>
      </w:r>
      <w:r w:rsidRPr="00147EBC">
        <w:rPr>
          <w:szCs w:val="18"/>
        </w:rPr>
        <w:t xml:space="preserve"> </w:t>
      </w:r>
      <w:r>
        <w:rPr>
          <w:szCs w:val="18"/>
        </w:rPr>
        <w:t xml:space="preserve">the </w:t>
      </w:r>
      <w:r w:rsidRPr="00147EBC">
        <w:rPr>
          <w:szCs w:val="18"/>
        </w:rPr>
        <w:t>Global Commission on Drug Policy, pp. 3-5</w:t>
      </w:r>
      <w:r>
        <w:rPr>
          <w:szCs w:val="18"/>
        </w:rPr>
        <w:t>;</w:t>
      </w:r>
      <w:r w:rsidRPr="00147EBC">
        <w:rPr>
          <w:szCs w:val="18"/>
        </w:rPr>
        <w:t xml:space="preserve"> Human Rights Watch, p. 2</w:t>
      </w:r>
      <w:r>
        <w:rPr>
          <w:szCs w:val="18"/>
        </w:rPr>
        <w:t>; the International Drug Policy Consortium, p. 5; Release, p. 8; and the Women’s Harm Reduction International Network, p. 9.</w:t>
      </w:r>
    </w:p>
  </w:footnote>
  <w:footnote w:id="38">
    <w:p w:rsidR="005A18F8" w:rsidRPr="00147EBC" w:rsidRDefault="005A18F8" w:rsidP="002C0FEF">
      <w:pPr>
        <w:pStyle w:val="FootnoteText"/>
        <w:rPr>
          <w:szCs w:val="18"/>
        </w:rPr>
      </w:pPr>
      <w:r>
        <w:rPr>
          <w:szCs w:val="18"/>
        </w:rPr>
        <w:tab/>
      </w:r>
      <w:r w:rsidRPr="00E05629">
        <w:rPr>
          <w:rStyle w:val="FootnoteReference"/>
        </w:rPr>
        <w:footnoteRef/>
      </w:r>
      <w:r>
        <w:rPr>
          <w:szCs w:val="18"/>
        </w:rPr>
        <w:tab/>
        <w:t xml:space="preserve">See </w:t>
      </w:r>
      <w:r w:rsidRPr="001B0FC1">
        <w:rPr>
          <w:i/>
          <w:iCs/>
          <w:szCs w:val="18"/>
        </w:rPr>
        <w:t xml:space="preserve">Report </w:t>
      </w:r>
      <w:r>
        <w:rPr>
          <w:i/>
          <w:iCs/>
          <w:szCs w:val="18"/>
        </w:rPr>
        <w:t xml:space="preserve">of the International Narcotics Control Board for </w:t>
      </w:r>
      <w:r w:rsidRPr="001B0FC1">
        <w:rPr>
          <w:i/>
          <w:iCs/>
          <w:szCs w:val="18"/>
        </w:rPr>
        <w:t>2014</w:t>
      </w:r>
      <w:r w:rsidRPr="00147EBC">
        <w:rPr>
          <w:szCs w:val="18"/>
        </w:rPr>
        <w:t>, para. 12</w:t>
      </w:r>
      <w:r>
        <w:rPr>
          <w:szCs w:val="18"/>
        </w:rPr>
        <w:t>, and</w:t>
      </w:r>
      <w:r w:rsidRPr="00147EBC">
        <w:rPr>
          <w:szCs w:val="18"/>
        </w:rPr>
        <w:t xml:space="preserve"> WHO, </w:t>
      </w:r>
      <w:r w:rsidRPr="00147EBC">
        <w:rPr>
          <w:i/>
          <w:szCs w:val="18"/>
        </w:rPr>
        <w:t xml:space="preserve">Ensuring </w:t>
      </w:r>
      <w:r>
        <w:rPr>
          <w:i/>
          <w:szCs w:val="18"/>
        </w:rPr>
        <w:t>B</w:t>
      </w:r>
      <w:r w:rsidRPr="00147EBC">
        <w:rPr>
          <w:i/>
          <w:szCs w:val="18"/>
        </w:rPr>
        <w:t xml:space="preserve">alance in </w:t>
      </w:r>
      <w:r>
        <w:rPr>
          <w:i/>
          <w:szCs w:val="18"/>
        </w:rPr>
        <w:t>N</w:t>
      </w:r>
      <w:r w:rsidRPr="00147EBC">
        <w:rPr>
          <w:i/>
          <w:szCs w:val="18"/>
        </w:rPr>
        <w:t xml:space="preserve">ational </w:t>
      </w:r>
      <w:r>
        <w:rPr>
          <w:i/>
          <w:szCs w:val="18"/>
        </w:rPr>
        <w:t>P</w:t>
      </w:r>
      <w:r w:rsidRPr="00147EBC">
        <w:rPr>
          <w:i/>
          <w:szCs w:val="18"/>
        </w:rPr>
        <w:t xml:space="preserve">olicies on </w:t>
      </w:r>
      <w:r>
        <w:rPr>
          <w:i/>
          <w:szCs w:val="18"/>
        </w:rPr>
        <w:t>C</w:t>
      </w:r>
      <w:r w:rsidRPr="00147EBC">
        <w:rPr>
          <w:i/>
          <w:szCs w:val="18"/>
        </w:rPr>
        <w:t xml:space="preserve">ontrolled </w:t>
      </w:r>
      <w:r>
        <w:rPr>
          <w:i/>
          <w:szCs w:val="18"/>
        </w:rPr>
        <w:t>S</w:t>
      </w:r>
      <w:r w:rsidRPr="00147EBC">
        <w:rPr>
          <w:i/>
          <w:szCs w:val="18"/>
        </w:rPr>
        <w:t xml:space="preserve">ubstances: Guidance for </w:t>
      </w:r>
      <w:r>
        <w:rPr>
          <w:i/>
          <w:szCs w:val="18"/>
        </w:rPr>
        <w:t>A</w:t>
      </w:r>
      <w:r w:rsidRPr="00147EBC">
        <w:rPr>
          <w:i/>
          <w:szCs w:val="18"/>
        </w:rPr>
        <w:t xml:space="preserve">vailability and </w:t>
      </w:r>
      <w:r>
        <w:rPr>
          <w:i/>
          <w:szCs w:val="18"/>
        </w:rPr>
        <w:t>A</w:t>
      </w:r>
      <w:r w:rsidRPr="00147EBC">
        <w:rPr>
          <w:i/>
          <w:szCs w:val="18"/>
        </w:rPr>
        <w:t xml:space="preserve">ccessibility of </w:t>
      </w:r>
      <w:r>
        <w:rPr>
          <w:i/>
          <w:szCs w:val="18"/>
        </w:rPr>
        <w:t>C</w:t>
      </w:r>
      <w:r w:rsidRPr="00147EBC">
        <w:rPr>
          <w:i/>
          <w:szCs w:val="18"/>
        </w:rPr>
        <w:t xml:space="preserve">ontrolled </w:t>
      </w:r>
      <w:r>
        <w:rPr>
          <w:i/>
          <w:szCs w:val="18"/>
        </w:rPr>
        <w:t>M</w:t>
      </w:r>
      <w:r w:rsidRPr="00147EBC">
        <w:rPr>
          <w:i/>
          <w:szCs w:val="18"/>
        </w:rPr>
        <w:t>edicines</w:t>
      </w:r>
      <w:r w:rsidRPr="00147EBC">
        <w:rPr>
          <w:szCs w:val="18"/>
        </w:rPr>
        <w:t xml:space="preserve"> </w:t>
      </w:r>
      <w:r>
        <w:rPr>
          <w:szCs w:val="18"/>
        </w:rPr>
        <w:t xml:space="preserve">(Malta, </w:t>
      </w:r>
      <w:r w:rsidRPr="00147EBC">
        <w:rPr>
          <w:szCs w:val="18"/>
        </w:rPr>
        <w:t>2011</w:t>
      </w:r>
      <w:r>
        <w:rPr>
          <w:szCs w:val="18"/>
        </w:rPr>
        <w:t>)</w:t>
      </w:r>
      <w:r w:rsidRPr="00147EBC">
        <w:rPr>
          <w:szCs w:val="18"/>
        </w:rPr>
        <w:t>.</w:t>
      </w:r>
    </w:p>
  </w:footnote>
  <w:footnote w:id="39">
    <w:p w:rsidR="005A18F8" w:rsidRPr="003952FB" w:rsidRDefault="005A18F8">
      <w:pPr>
        <w:pStyle w:val="FootnoteText"/>
        <w:rPr>
          <w:szCs w:val="18"/>
        </w:rPr>
      </w:pPr>
      <w:r w:rsidRPr="003952FB">
        <w:rPr>
          <w:szCs w:val="18"/>
        </w:rPr>
        <w:tab/>
      </w:r>
      <w:r w:rsidRPr="00E05629">
        <w:rPr>
          <w:rStyle w:val="FootnoteReference"/>
        </w:rPr>
        <w:footnoteRef/>
      </w:r>
      <w:r>
        <w:rPr>
          <w:szCs w:val="18"/>
        </w:rPr>
        <w:tab/>
      </w:r>
      <w:r w:rsidRPr="003952FB">
        <w:rPr>
          <w:szCs w:val="18"/>
        </w:rPr>
        <w:t xml:space="preserve">Submission of </w:t>
      </w:r>
      <w:r>
        <w:rPr>
          <w:szCs w:val="18"/>
        </w:rPr>
        <w:t xml:space="preserve">the </w:t>
      </w:r>
      <w:r w:rsidRPr="003952FB">
        <w:rPr>
          <w:szCs w:val="18"/>
        </w:rPr>
        <w:t>Women</w:t>
      </w:r>
      <w:r>
        <w:rPr>
          <w:szCs w:val="18"/>
        </w:rPr>
        <w:t>’s</w:t>
      </w:r>
      <w:r w:rsidRPr="003952FB">
        <w:rPr>
          <w:szCs w:val="18"/>
        </w:rPr>
        <w:t xml:space="preserve"> Harm Reduction International Network, p. 4.</w:t>
      </w:r>
    </w:p>
  </w:footnote>
  <w:footnote w:id="40">
    <w:p w:rsidR="005A18F8" w:rsidRPr="003952FB" w:rsidRDefault="005A18F8" w:rsidP="002C0FEF">
      <w:pPr>
        <w:pStyle w:val="FootnoteText"/>
        <w:rPr>
          <w:szCs w:val="18"/>
        </w:rPr>
      </w:pPr>
      <w:r>
        <w:rPr>
          <w:szCs w:val="18"/>
        </w:rPr>
        <w:tab/>
      </w:r>
      <w:r w:rsidRPr="00E05629">
        <w:rPr>
          <w:rStyle w:val="FootnoteReference"/>
        </w:rPr>
        <w:footnoteRef/>
      </w:r>
      <w:r>
        <w:rPr>
          <w:szCs w:val="18"/>
        </w:rPr>
        <w:tab/>
      </w:r>
      <w:r w:rsidRPr="003952FB">
        <w:rPr>
          <w:szCs w:val="18"/>
        </w:rPr>
        <w:t xml:space="preserve">Submission </w:t>
      </w:r>
      <w:r>
        <w:rPr>
          <w:szCs w:val="18"/>
        </w:rPr>
        <w:t>of</w:t>
      </w:r>
      <w:r w:rsidRPr="003952FB">
        <w:rPr>
          <w:szCs w:val="18"/>
        </w:rPr>
        <w:t xml:space="preserve"> the Russian Civil Society Mechanism for Monitoring of Drug Policy Reforms in Russia, pp. 5-6.</w:t>
      </w:r>
    </w:p>
  </w:footnote>
  <w:footnote w:id="41">
    <w:p w:rsidR="005A18F8" w:rsidRPr="003952FB" w:rsidRDefault="005A18F8" w:rsidP="002C0FEF">
      <w:pPr>
        <w:pStyle w:val="FootnoteText"/>
        <w:rPr>
          <w:szCs w:val="18"/>
        </w:rPr>
      </w:pPr>
      <w:r>
        <w:rPr>
          <w:szCs w:val="18"/>
        </w:rPr>
        <w:tab/>
      </w:r>
      <w:r w:rsidRPr="00E05629">
        <w:rPr>
          <w:rStyle w:val="FootnoteReference"/>
        </w:rPr>
        <w:footnoteRef/>
      </w:r>
      <w:r>
        <w:rPr>
          <w:szCs w:val="18"/>
        </w:rPr>
        <w:tab/>
      </w:r>
      <w:r w:rsidRPr="003952FB">
        <w:rPr>
          <w:szCs w:val="18"/>
        </w:rPr>
        <w:t xml:space="preserve">Global Commission on HIV and the Law, </w:t>
      </w:r>
      <w:r w:rsidRPr="002C0FEF">
        <w:rPr>
          <w:i/>
          <w:iCs/>
          <w:szCs w:val="18"/>
        </w:rPr>
        <w:t>HIV and the Law</w:t>
      </w:r>
      <w:r>
        <w:rPr>
          <w:szCs w:val="18"/>
        </w:rPr>
        <w:t>, and s</w:t>
      </w:r>
      <w:r w:rsidRPr="003952FB">
        <w:rPr>
          <w:szCs w:val="18"/>
        </w:rPr>
        <w:t xml:space="preserve">ubmission </w:t>
      </w:r>
      <w:r>
        <w:rPr>
          <w:szCs w:val="18"/>
        </w:rPr>
        <w:t>of</w:t>
      </w:r>
      <w:r w:rsidRPr="003952FB">
        <w:rPr>
          <w:szCs w:val="18"/>
        </w:rPr>
        <w:t xml:space="preserve"> Eurasian Harm Reduction Network, p. 4.</w:t>
      </w:r>
    </w:p>
  </w:footnote>
  <w:footnote w:id="42">
    <w:p w:rsidR="005A18F8" w:rsidRPr="002C0FEF" w:rsidRDefault="005A18F8" w:rsidP="002C0FEF">
      <w:pPr>
        <w:pStyle w:val="FootnoteText"/>
        <w:rPr>
          <w:szCs w:val="18"/>
          <w:lang w:val="es-ES"/>
        </w:rPr>
      </w:pPr>
      <w:r>
        <w:rPr>
          <w:szCs w:val="18"/>
        </w:rPr>
        <w:tab/>
      </w:r>
      <w:r w:rsidRPr="00E05629">
        <w:rPr>
          <w:rStyle w:val="FootnoteReference"/>
        </w:rPr>
        <w:footnoteRef/>
      </w:r>
      <w:r>
        <w:rPr>
          <w:szCs w:val="18"/>
        </w:rPr>
        <w:tab/>
      </w:r>
      <w:r w:rsidRPr="003952FB">
        <w:rPr>
          <w:szCs w:val="18"/>
        </w:rPr>
        <w:t xml:space="preserve">Submission </w:t>
      </w:r>
      <w:r>
        <w:rPr>
          <w:szCs w:val="18"/>
        </w:rPr>
        <w:t xml:space="preserve">of </w:t>
      </w:r>
      <w:r w:rsidRPr="00D001B3">
        <w:rPr>
          <w:szCs w:val="18"/>
        </w:rPr>
        <w:t>Centro de Estudios Legales y Sociales</w:t>
      </w:r>
      <w:r w:rsidRPr="003952FB">
        <w:rPr>
          <w:szCs w:val="18"/>
        </w:rPr>
        <w:t>, Conectas Human Rights</w:t>
      </w:r>
      <w:r>
        <w:rPr>
          <w:szCs w:val="18"/>
        </w:rPr>
        <w:t xml:space="preserve"> and</w:t>
      </w:r>
      <w:r w:rsidRPr="003952FB">
        <w:rPr>
          <w:szCs w:val="18"/>
        </w:rPr>
        <w:t xml:space="preserve"> Corporacion Humanas, p. 4</w:t>
      </w:r>
      <w:r>
        <w:rPr>
          <w:szCs w:val="18"/>
        </w:rPr>
        <w:t>, and</w:t>
      </w:r>
      <w:r w:rsidRPr="003952FB">
        <w:rPr>
          <w:szCs w:val="18"/>
        </w:rPr>
        <w:t xml:space="preserve"> </w:t>
      </w:r>
      <w:r>
        <w:rPr>
          <w:szCs w:val="18"/>
        </w:rPr>
        <w:t>Inter-American Commission on Human Rights</w:t>
      </w:r>
      <w:r w:rsidRPr="003952FB">
        <w:rPr>
          <w:szCs w:val="18"/>
        </w:rPr>
        <w:t xml:space="preserve">, </w:t>
      </w:r>
      <w:r w:rsidRPr="002C0FEF">
        <w:rPr>
          <w:i/>
          <w:iCs/>
          <w:szCs w:val="18"/>
        </w:rPr>
        <w:t>Report on the Use of Pretrial Detention in the Americas</w:t>
      </w:r>
      <w:r w:rsidRPr="003952FB">
        <w:rPr>
          <w:szCs w:val="18"/>
        </w:rPr>
        <w:t xml:space="preserve"> </w:t>
      </w:r>
      <w:r>
        <w:rPr>
          <w:szCs w:val="18"/>
        </w:rPr>
        <w:t>(</w:t>
      </w:r>
      <w:r w:rsidRPr="003952FB">
        <w:rPr>
          <w:szCs w:val="18"/>
        </w:rPr>
        <w:t>2013</w:t>
      </w:r>
      <w:r>
        <w:rPr>
          <w:szCs w:val="18"/>
        </w:rPr>
        <w:t>)</w:t>
      </w:r>
      <w:r w:rsidRPr="003952FB">
        <w:rPr>
          <w:szCs w:val="18"/>
        </w:rPr>
        <w:t xml:space="preserve">, para. </w:t>
      </w:r>
      <w:r w:rsidRPr="002C0FEF">
        <w:rPr>
          <w:szCs w:val="18"/>
          <w:lang w:val="es-ES"/>
        </w:rPr>
        <w:t>137.</w:t>
      </w:r>
    </w:p>
  </w:footnote>
  <w:footnote w:id="43">
    <w:p w:rsidR="005A18F8" w:rsidRPr="002C0FEF" w:rsidRDefault="005A18F8">
      <w:pPr>
        <w:pStyle w:val="FootnoteText"/>
        <w:rPr>
          <w:szCs w:val="18"/>
          <w:lang w:val="es-ES"/>
        </w:rPr>
      </w:pPr>
      <w:r w:rsidRPr="002C0FEF">
        <w:rPr>
          <w:szCs w:val="18"/>
          <w:lang w:val="es-ES"/>
        </w:rPr>
        <w:tab/>
      </w:r>
      <w:r w:rsidRPr="00E05629">
        <w:rPr>
          <w:rStyle w:val="FootnoteReference"/>
        </w:rPr>
        <w:footnoteRef/>
      </w:r>
      <w:r w:rsidRPr="002C0FEF">
        <w:rPr>
          <w:szCs w:val="18"/>
          <w:lang w:val="es-ES"/>
        </w:rPr>
        <w:tab/>
      </w:r>
      <w:r w:rsidRPr="001B0FC1">
        <w:rPr>
          <w:szCs w:val="18"/>
          <w:lang w:val="es-ES"/>
        </w:rPr>
        <w:t>Submission of Centro de Estudios Legales y Sociales et al, pp. 5</w:t>
      </w:r>
      <w:r>
        <w:rPr>
          <w:szCs w:val="18"/>
          <w:lang w:val="es-ES"/>
        </w:rPr>
        <w:t>,</w:t>
      </w:r>
      <w:r w:rsidRPr="001B0FC1">
        <w:rPr>
          <w:szCs w:val="18"/>
          <w:lang w:val="es-ES"/>
        </w:rPr>
        <w:t xml:space="preserve"> 9</w:t>
      </w:r>
      <w:r>
        <w:rPr>
          <w:szCs w:val="18"/>
          <w:lang w:val="es-ES"/>
        </w:rPr>
        <w:t xml:space="preserve"> and</w:t>
      </w:r>
      <w:r w:rsidRPr="002C0FEF">
        <w:rPr>
          <w:szCs w:val="18"/>
          <w:lang w:val="es-ES"/>
        </w:rPr>
        <w:t xml:space="preserve"> 27.</w:t>
      </w:r>
    </w:p>
  </w:footnote>
  <w:footnote w:id="44">
    <w:p w:rsidR="005A18F8" w:rsidRPr="003952FB" w:rsidRDefault="005A18F8" w:rsidP="002C0FEF">
      <w:pPr>
        <w:pStyle w:val="FootnoteText"/>
        <w:rPr>
          <w:szCs w:val="18"/>
        </w:rPr>
      </w:pPr>
      <w:r w:rsidRPr="002C0FEF">
        <w:rPr>
          <w:szCs w:val="18"/>
          <w:lang w:val="es-ES"/>
        </w:rPr>
        <w:tab/>
      </w:r>
      <w:r w:rsidRPr="00E05629">
        <w:rPr>
          <w:rStyle w:val="FootnoteReference"/>
        </w:rPr>
        <w:footnoteRef/>
      </w:r>
      <w:r>
        <w:rPr>
          <w:szCs w:val="18"/>
        </w:rPr>
        <w:tab/>
      </w:r>
      <w:r w:rsidRPr="00003E3B">
        <w:rPr>
          <w:szCs w:val="18"/>
          <w:lang w:val="en-US"/>
        </w:rPr>
        <w:t>F</w:t>
      </w:r>
      <w:r>
        <w:rPr>
          <w:szCs w:val="18"/>
          <w:lang w:val="en-US"/>
        </w:rPr>
        <w:t>rançois</w:t>
      </w:r>
      <w:r w:rsidRPr="00003E3B">
        <w:rPr>
          <w:szCs w:val="18"/>
          <w:lang w:val="en-US"/>
        </w:rPr>
        <w:t>-X</w:t>
      </w:r>
      <w:r>
        <w:rPr>
          <w:szCs w:val="18"/>
          <w:lang w:val="en-US"/>
        </w:rPr>
        <w:t>avier</w:t>
      </w:r>
      <w:r w:rsidRPr="00003E3B">
        <w:rPr>
          <w:szCs w:val="18"/>
          <w:lang w:val="en-US"/>
        </w:rPr>
        <w:t xml:space="preserve"> B</w:t>
      </w:r>
      <w:r>
        <w:rPr>
          <w:szCs w:val="18"/>
          <w:lang w:val="en-US"/>
        </w:rPr>
        <w:t>agnoud</w:t>
      </w:r>
      <w:r w:rsidRPr="00003E3B" w:rsidDel="00003E3B">
        <w:rPr>
          <w:szCs w:val="18"/>
        </w:rPr>
        <w:t xml:space="preserve"> </w:t>
      </w:r>
      <w:r w:rsidRPr="003952FB">
        <w:rPr>
          <w:szCs w:val="18"/>
        </w:rPr>
        <w:t>Center for Health and Human Rights,</w:t>
      </w:r>
      <w:r>
        <w:rPr>
          <w:szCs w:val="18"/>
        </w:rPr>
        <w:t xml:space="preserve"> </w:t>
      </w:r>
      <w:r w:rsidRPr="002C0FEF">
        <w:rPr>
          <w:i/>
          <w:iCs/>
          <w:szCs w:val="18"/>
        </w:rPr>
        <w:t>Health and Human Rights Resource Guide</w:t>
      </w:r>
      <w:r w:rsidRPr="003952FB">
        <w:rPr>
          <w:szCs w:val="18"/>
        </w:rPr>
        <w:t xml:space="preserve"> </w:t>
      </w:r>
      <w:r>
        <w:rPr>
          <w:szCs w:val="18"/>
        </w:rPr>
        <w:t>(</w:t>
      </w:r>
      <w:r w:rsidRPr="003952FB">
        <w:rPr>
          <w:szCs w:val="18"/>
        </w:rPr>
        <w:t>Harvard University</w:t>
      </w:r>
      <w:r>
        <w:rPr>
          <w:szCs w:val="18"/>
        </w:rPr>
        <w:t>,</w:t>
      </w:r>
      <w:r w:rsidRPr="003952FB">
        <w:rPr>
          <w:szCs w:val="18"/>
        </w:rPr>
        <w:t xml:space="preserve"> 2013), p. 4.9. </w:t>
      </w:r>
    </w:p>
  </w:footnote>
  <w:footnote w:id="45">
    <w:p w:rsidR="005A18F8" w:rsidRPr="002C0FEF" w:rsidRDefault="005A18F8">
      <w:pPr>
        <w:pStyle w:val="FootnoteText"/>
        <w:rPr>
          <w:lang w:val="en-US"/>
        </w:rPr>
      </w:pPr>
      <w:r>
        <w:tab/>
      </w:r>
      <w:r>
        <w:rPr>
          <w:rStyle w:val="FootnoteReference"/>
        </w:rPr>
        <w:footnoteRef/>
      </w:r>
      <w:r>
        <w:tab/>
        <w:t xml:space="preserve">See also </w:t>
      </w:r>
      <w:r w:rsidRPr="00BF560B">
        <w:rPr>
          <w:szCs w:val="18"/>
          <w:lang w:eastAsia="en-GB"/>
        </w:rPr>
        <w:t>Economic and Social Council resolution 1984/50</w:t>
      </w:r>
      <w:r>
        <w:rPr>
          <w:szCs w:val="18"/>
          <w:lang w:eastAsia="en-GB"/>
        </w:rPr>
        <w:t xml:space="preserve"> and</w:t>
      </w:r>
      <w:r w:rsidRPr="00BF560B">
        <w:rPr>
          <w:szCs w:val="18"/>
          <w:lang w:eastAsia="en-GB"/>
        </w:rPr>
        <w:t xml:space="preserve"> General Assembly resolution 39/118</w:t>
      </w:r>
      <w:r>
        <w:rPr>
          <w:szCs w:val="18"/>
          <w:lang w:eastAsia="en-GB"/>
        </w:rPr>
        <w:t>.</w:t>
      </w:r>
    </w:p>
  </w:footnote>
  <w:footnote w:id="46">
    <w:p w:rsidR="005A18F8" w:rsidRPr="00BF560B" w:rsidRDefault="005A18F8" w:rsidP="002C0FEF">
      <w:pPr>
        <w:pStyle w:val="FootnoteText"/>
        <w:rPr>
          <w:szCs w:val="18"/>
        </w:rPr>
      </w:pPr>
      <w:r>
        <w:rPr>
          <w:szCs w:val="18"/>
        </w:rPr>
        <w:tab/>
      </w:r>
      <w:r w:rsidRPr="00E05629">
        <w:rPr>
          <w:rStyle w:val="FootnoteReference"/>
        </w:rPr>
        <w:footnoteRef/>
      </w:r>
      <w:r>
        <w:rPr>
          <w:szCs w:val="18"/>
        </w:rPr>
        <w:tab/>
      </w:r>
      <w:r w:rsidRPr="00BF560B">
        <w:rPr>
          <w:szCs w:val="18"/>
        </w:rPr>
        <w:t>Harm Reduction International</w:t>
      </w:r>
      <w:r>
        <w:rPr>
          <w:szCs w:val="18"/>
        </w:rPr>
        <w:t xml:space="preserve">, </w:t>
      </w:r>
      <w:r w:rsidRPr="00BF560B">
        <w:rPr>
          <w:i/>
          <w:szCs w:val="18"/>
        </w:rPr>
        <w:t xml:space="preserve">The </w:t>
      </w:r>
      <w:r>
        <w:rPr>
          <w:i/>
          <w:szCs w:val="18"/>
        </w:rPr>
        <w:t>D</w:t>
      </w:r>
      <w:r w:rsidRPr="00BF560B">
        <w:rPr>
          <w:i/>
          <w:szCs w:val="18"/>
        </w:rPr>
        <w:t xml:space="preserve">eath </w:t>
      </w:r>
      <w:r>
        <w:rPr>
          <w:i/>
          <w:szCs w:val="18"/>
        </w:rPr>
        <w:t>P</w:t>
      </w:r>
      <w:r w:rsidRPr="00BF560B">
        <w:rPr>
          <w:i/>
          <w:szCs w:val="18"/>
        </w:rPr>
        <w:t xml:space="preserve">enalty for </w:t>
      </w:r>
      <w:r>
        <w:rPr>
          <w:i/>
          <w:szCs w:val="18"/>
        </w:rPr>
        <w:t>D</w:t>
      </w:r>
      <w:r w:rsidRPr="00BF560B">
        <w:rPr>
          <w:i/>
          <w:szCs w:val="18"/>
        </w:rPr>
        <w:t xml:space="preserve">rug </w:t>
      </w:r>
      <w:r>
        <w:rPr>
          <w:i/>
          <w:szCs w:val="18"/>
        </w:rPr>
        <w:t>O</w:t>
      </w:r>
      <w:r w:rsidRPr="00BF560B">
        <w:rPr>
          <w:i/>
          <w:szCs w:val="18"/>
        </w:rPr>
        <w:t xml:space="preserve">ffences: Global </w:t>
      </w:r>
      <w:r>
        <w:rPr>
          <w:i/>
          <w:szCs w:val="18"/>
        </w:rPr>
        <w:t>O</w:t>
      </w:r>
      <w:r w:rsidRPr="00BF560B">
        <w:rPr>
          <w:i/>
          <w:szCs w:val="18"/>
        </w:rPr>
        <w:t>verview 2012</w:t>
      </w:r>
      <w:r w:rsidRPr="00BF560B">
        <w:rPr>
          <w:szCs w:val="18"/>
        </w:rPr>
        <w:t>, p. 5.</w:t>
      </w:r>
    </w:p>
  </w:footnote>
  <w:footnote w:id="47">
    <w:p w:rsidR="005A18F8" w:rsidRPr="002C0FEF" w:rsidRDefault="005A18F8">
      <w:pPr>
        <w:pStyle w:val="FootnoteText"/>
        <w:rPr>
          <w:lang w:val="en-US"/>
        </w:rPr>
      </w:pPr>
      <w:r>
        <w:tab/>
      </w:r>
      <w:r>
        <w:rPr>
          <w:rStyle w:val="FootnoteReference"/>
        </w:rPr>
        <w:footnoteRef/>
      </w:r>
      <w:r>
        <w:tab/>
        <w:t>See also the</w:t>
      </w:r>
      <w:r>
        <w:rPr>
          <w:szCs w:val="18"/>
        </w:rPr>
        <w:t xml:space="preserve"> s</w:t>
      </w:r>
      <w:r w:rsidRPr="00BF560B">
        <w:rPr>
          <w:szCs w:val="18"/>
        </w:rPr>
        <w:t xml:space="preserve">ubmission </w:t>
      </w:r>
      <w:r>
        <w:rPr>
          <w:szCs w:val="18"/>
        </w:rPr>
        <w:t>of</w:t>
      </w:r>
      <w:r w:rsidRPr="00BF560B">
        <w:rPr>
          <w:szCs w:val="18"/>
        </w:rPr>
        <w:t xml:space="preserve"> Amnesty International,</w:t>
      </w:r>
      <w:r>
        <w:rPr>
          <w:szCs w:val="18"/>
        </w:rPr>
        <w:t xml:space="preserve"> </w:t>
      </w:r>
      <w:r w:rsidRPr="00BF560B">
        <w:rPr>
          <w:szCs w:val="18"/>
        </w:rPr>
        <w:t>p. 2.</w:t>
      </w:r>
    </w:p>
  </w:footnote>
  <w:footnote w:id="48">
    <w:p w:rsidR="005A18F8" w:rsidRPr="00BF560B" w:rsidRDefault="005A18F8" w:rsidP="002C0FEF">
      <w:pPr>
        <w:pStyle w:val="FootnoteText"/>
        <w:rPr>
          <w:szCs w:val="18"/>
        </w:rPr>
      </w:pPr>
      <w:r>
        <w:rPr>
          <w:szCs w:val="18"/>
        </w:rPr>
        <w:tab/>
      </w:r>
      <w:r w:rsidRPr="00E05629">
        <w:rPr>
          <w:rStyle w:val="FootnoteReference"/>
        </w:rPr>
        <w:footnoteRef/>
      </w:r>
      <w:r>
        <w:rPr>
          <w:szCs w:val="18"/>
        </w:rPr>
        <w:tab/>
      </w:r>
      <w:r w:rsidRPr="00BF560B">
        <w:rPr>
          <w:szCs w:val="18"/>
        </w:rPr>
        <w:t>Reprieve, Harm Reduction International, International Drug Policy Consortium, Transform, Release, Espolea, Drug Policy Alliance, Diogenis, A</w:t>
      </w:r>
      <w:r>
        <w:rPr>
          <w:szCs w:val="18"/>
        </w:rPr>
        <w:t xml:space="preserve">ndrey </w:t>
      </w:r>
      <w:r w:rsidRPr="00BF560B">
        <w:rPr>
          <w:szCs w:val="18"/>
        </w:rPr>
        <w:t>R</w:t>
      </w:r>
      <w:r>
        <w:rPr>
          <w:szCs w:val="18"/>
        </w:rPr>
        <w:t>ylkov Foundation</w:t>
      </w:r>
      <w:r w:rsidRPr="00BF560B">
        <w:rPr>
          <w:szCs w:val="18"/>
        </w:rPr>
        <w:t>, Canadian Drug Policy Coalition</w:t>
      </w:r>
      <w:r>
        <w:rPr>
          <w:szCs w:val="18"/>
        </w:rPr>
        <w:t xml:space="preserve"> and</w:t>
      </w:r>
      <w:r w:rsidRPr="00BF560B">
        <w:rPr>
          <w:szCs w:val="18"/>
        </w:rPr>
        <w:t xml:space="preserve"> </w:t>
      </w:r>
      <w:r>
        <w:rPr>
          <w:szCs w:val="18"/>
        </w:rPr>
        <w:t>F</w:t>
      </w:r>
      <w:r w:rsidRPr="00BF560B">
        <w:rPr>
          <w:szCs w:val="18"/>
        </w:rPr>
        <w:t xml:space="preserve">orum </w:t>
      </w:r>
      <w:r>
        <w:rPr>
          <w:szCs w:val="18"/>
        </w:rPr>
        <w:t>D</w:t>
      </w:r>
      <w:r w:rsidRPr="00BF560B">
        <w:rPr>
          <w:szCs w:val="18"/>
        </w:rPr>
        <w:t>roghe,</w:t>
      </w:r>
      <w:r>
        <w:rPr>
          <w:szCs w:val="18"/>
        </w:rPr>
        <w:t xml:space="preserve"> “</w:t>
      </w:r>
      <w:r w:rsidRPr="00BF560B">
        <w:rPr>
          <w:szCs w:val="18"/>
        </w:rPr>
        <w:t>INCB report launch and the death penalty for drug offences</w:t>
      </w:r>
      <w:r>
        <w:rPr>
          <w:szCs w:val="18"/>
        </w:rPr>
        <w:t>”</w:t>
      </w:r>
      <w:r w:rsidRPr="00BF560B">
        <w:rPr>
          <w:szCs w:val="18"/>
        </w:rPr>
        <w:t xml:space="preserve"> </w:t>
      </w:r>
      <w:r>
        <w:rPr>
          <w:szCs w:val="18"/>
        </w:rPr>
        <w:t>(joint statement</w:t>
      </w:r>
      <w:r w:rsidR="003A2D76">
        <w:rPr>
          <w:szCs w:val="18"/>
        </w:rPr>
        <w:t>,</w:t>
      </w:r>
      <w:r>
        <w:rPr>
          <w:szCs w:val="18"/>
        </w:rPr>
        <w:t xml:space="preserve"> </w:t>
      </w:r>
      <w:r w:rsidRPr="00BF560B">
        <w:rPr>
          <w:szCs w:val="18"/>
        </w:rPr>
        <w:t>3 March 2015</w:t>
      </w:r>
      <w:r>
        <w:rPr>
          <w:szCs w:val="18"/>
        </w:rPr>
        <w:t>)</w:t>
      </w:r>
      <w:r w:rsidRPr="00BF560B">
        <w:rPr>
          <w:szCs w:val="18"/>
        </w:rPr>
        <w:t>.</w:t>
      </w:r>
    </w:p>
  </w:footnote>
  <w:footnote w:id="49">
    <w:p w:rsidR="005A18F8" w:rsidRPr="00BF560B" w:rsidRDefault="005A18F8" w:rsidP="002C0FEF">
      <w:pPr>
        <w:pStyle w:val="FootnoteText"/>
        <w:rPr>
          <w:szCs w:val="18"/>
        </w:rPr>
      </w:pPr>
      <w:r>
        <w:rPr>
          <w:szCs w:val="18"/>
        </w:rPr>
        <w:tab/>
      </w:r>
      <w:r w:rsidRPr="00E05629">
        <w:rPr>
          <w:rStyle w:val="FootnoteReference"/>
        </w:rPr>
        <w:footnoteRef/>
      </w:r>
      <w:r>
        <w:rPr>
          <w:szCs w:val="18"/>
        </w:rPr>
        <w:tab/>
      </w:r>
      <w:r w:rsidRPr="00BF560B">
        <w:rPr>
          <w:szCs w:val="18"/>
        </w:rPr>
        <w:t>UNODC,</w:t>
      </w:r>
      <w:r>
        <w:rPr>
          <w:szCs w:val="18"/>
        </w:rPr>
        <w:t xml:space="preserve"> “</w:t>
      </w:r>
      <w:r w:rsidRPr="00BF560B">
        <w:rPr>
          <w:szCs w:val="18"/>
        </w:rPr>
        <w:t xml:space="preserve">UNODC and the </w:t>
      </w:r>
      <w:r>
        <w:rPr>
          <w:szCs w:val="18"/>
        </w:rPr>
        <w:t>p</w:t>
      </w:r>
      <w:r w:rsidRPr="00BF560B">
        <w:rPr>
          <w:szCs w:val="18"/>
        </w:rPr>
        <w:t xml:space="preserve">romotion and </w:t>
      </w:r>
      <w:r>
        <w:rPr>
          <w:szCs w:val="18"/>
        </w:rPr>
        <w:t>p</w:t>
      </w:r>
      <w:r w:rsidRPr="00BF560B">
        <w:rPr>
          <w:szCs w:val="18"/>
        </w:rPr>
        <w:t xml:space="preserve">rotection of </w:t>
      </w:r>
      <w:r>
        <w:rPr>
          <w:szCs w:val="18"/>
        </w:rPr>
        <w:t>h</w:t>
      </w:r>
      <w:r w:rsidRPr="00BF560B">
        <w:rPr>
          <w:szCs w:val="18"/>
        </w:rPr>
        <w:t xml:space="preserve">uman </w:t>
      </w:r>
      <w:r>
        <w:rPr>
          <w:szCs w:val="18"/>
        </w:rPr>
        <w:t>r</w:t>
      </w:r>
      <w:r w:rsidRPr="00BF560B">
        <w:rPr>
          <w:szCs w:val="18"/>
        </w:rPr>
        <w:t>ights</w:t>
      </w:r>
      <w:r>
        <w:rPr>
          <w:szCs w:val="18"/>
        </w:rPr>
        <w:t>” (2102)</w:t>
      </w:r>
      <w:r w:rsidRPr="00BF560B">
        <w:rPr>
          <w:szCs w:val="18"/>
        </w:rPr>
        <w:t xml:space="preserve">, p. 10. </w:t>
      </w:r>
    </w:p>
  </w:footnote>
  <w:footnote w:id="50">
    <w:p w:rsidR="005A18F8" w:rsidRPr="002C0FEF" w:rsidRDefault="005A18F8">
      <w:pPr>
        <w:pStyle w:val="FootnoteText"/>
        <w:rPr>
          <w:lang w:val="en-US"/>
        </w:rPr>
      </w:pPr>
      <w:r>
        <w:tab/>
      </w:r>
      <w:r>
        <w:rPr>
          <w:rStyle w:val="FootnoteReference"/>
        </w:rPr>
        <w:footnoteRef/>
      </w:r>
      <w:r>
        <w:tab/>
        <w:t xml:space="preserve">Council of the European Union, “EU guidelines on the death penalty” (doc. No. </w:t>
      </w:r>
      <w:r w:rsidRPr="000D6659">
        <w:rPr>
          <w:szCs w:val="18"/>
        </w:rPr>
        <w:t>8416/13</w:t>
      </w:r>
      <w:r>
        <w:rPr>
          <w:szCs w:val="18"/>
        </w:rPr>
        <w:t>, annex</w:t>
      </w:r>
      <w:r>
        <w:t>).</w:t>
      </w:r>
    </w:p>
  </w:footnote>
  <w:footnote w:id="51">
    <w:p w:rsidR="005A18F8" w:rsidRPr="000D6659" w:rsidRDefault="005A18F8" w:rsidP="002C0FEF">
      <w:pPr>
        <w:pStyle w:val="FootnoteText"/>
        <w:rPr>
          <w:szCs w:val="18"/>
        </w:rPr>
      </w:pPr>
      <w:r>
        <w:rPr>
          <w:szCs w:val="18"/>
        </w:rPr>
        <w:tab/>
      </w:r>
      <w:r w:rsidRPr="00E05629">
        <w:rPr>
          <w:rStyle w:val="FootnoteReference"/>
        </w:rPr>
        <w:footnoteRef/>
      </w:r>
      <w:r>
        <w:rPr>
          <w:szCs w:val="18"/>
        </w:rPr>
        <w:tab/>
      </w:r>
      <w:r w:rsidRPr="000D6659">
        <w:rPr>
          <w:szCs w:val="18"/>
        </w:rPr>
        <w:t>Submission</w:t>
      </w:r>
      <w:r>
        <w:rPr>
          <w:szCs w:val="18"/>
        </w:rPr>
        <w:t>s</w:t>
      </w:r>
      <w:r w:rsidRPr="000D6659">
        <w:rPr>
          <w:szCs w:val="18"/>
        </w:rPr>
        <w:t xml:space="preserve"> of Switzerland</w:t>
      </w:r>
      <w:r>
        <w:rPr>
          <w:szCs w:val="18"/>
        </w:rPr>
        <w:t>;</w:t>
      </w:r>
      <w:r w:rsidRPr="000D6659">
        <w:rPr>
          <w:szCs w:val="18"/>
        </w:rPr>
        <w:t xml:space="preserve"> the Mexican Commission for the Defence and Promotion of Human Rights, pp. 3-4</w:t>
      </w:r>
      <w:r w:rsidR="00740D31">
        <w:rPr>
          <w:szCs w:val="18"/>
        </w:rPr>
        <w:t>;</w:t>
      </w:r>
      <w:r w:rsidRPr="000D6659">
        <w:rPr>
          <w:szCs w:val="18"/>
        </w:rPr>
        <w:t xml:space="preserve"> the Count the Costs Initiative,</w:t>
      </w:r>
      <w:r>
        <w:rPr>
          <w:szCs w:val="18"/>
        </w:rPr>
        <w:t xml:space="preserve"> </w:t>
      </w:r>
      <w:r w:rsidRPr="000D6659">
        <w:rPr>
          <w:szCs w:val="18"/>
        </w:rPr>
        <w:t>p. 7</w:t>
      </w:r>
      <w:r w:rsidR="00740D31">
        <w:rPr>
          <w:szCs w:val="18"/>
        </w:rPr>
        <w:t>;</w:t>
      </w:r>
      <w:r>
        <w:rPr>
          <w:szCs w:val="18"/>
        </w:rPr>
        <w:t xml:space="preserve"> and </w:t>
      </w:r>
      <w:r w:rsidRPr="000D6659">
        <w:rPr>
          <w:szCs w:val="18"/>
        </w:rPr>
        <w:t xml:space="preserve">Human Rights Watch, pp. 2-3. </w:t>
      </w:r>
    </w:p>
  </w:footnote>
  <w:footnote w:id="52">
    <w:p w:rsidR="005A18F8" w:rsidRPr="000D6659" w:rsidRDefault="005A18F8">
      <w:pPr>
        <w:pStyle w:val="FootnoteText"/>
        <w:rPr>
          <w:szCs w:val="18"/>
        </w:rPr>
      </w:pPr>
      <w:r w:rsidRPr="000D6659">
        <w:rPr>
          <w:szCs w:val="18"/>
        </w:rPr>
        <w:tab/>
      </w:r>
      <w:r w:rsidRPr="00E05629">
        <w:rPr>
          <w:rStyle w:val="FootnoteReference"/>
        </w:rPr>
        <w:footnoteRef/>
      </w:r>
      <w:r>
        <w:rPr>
          <w:szCs w:val="18"/>
        </w:rPr>
        <w:tab/>
        <w:t>See also the High Commissioner’s opening statement at the twenty-seventh session of the Human Rights Council.</w:t>
      </w:r>
    </w:p>
  </w:footnote>
  <w:footnote w:id="53">
    <w:p w:rsidR="005A18F8" w:rsidRPr="00B77D20" w:rsidRDefault="005A18F8" w:rsidP="002C0FEF">
      <w:pPr>
        <w:pStyle w:val="FootnoteText"/>
      </w:pPr>
      <w:r>
        <w:tab/>
      </w:r>
      <w:r w:rsidRPr="00E05629">
        <w:rPr>
          <w:rStyle w:val="FootnoteReference"/>
        </w:rPr>
        <w:footnoteRef/>
      </w:r>
      <w:r>
        <w:tab/>
      </w:r>
      <w:r w:rsidRPr="00B77D20">
        <w:t>Submission</w:t>
      </w:r>
      <w:r>
        <w:t>s</w:t>
      </w:r>
      <w:r w:rsidRPr="00B77D20">
        <w:t xml:space="preserve"> of </w:t>
      </w:r>
      <w:r w:rsidRPr="00D001B3">
        <w:rPr>
          <w:szCs w:val="18"/>
        </w:rPr>
        <w:t>Centro de Estudios Legales y Sociales</w:t>
      </w:r>
      <w:r w:rsidRPr="00B77D20">
        <w:t>, Conectas Human Rights and Corporacion Humanas, pp. 3</w:t>
      </w:r>
      <w:r>
        <w:t xml:space="preserve"> and</w:t>
      </w:r>
      <w:r w:rsidRPr="00B77D20">
        <w:t xml:space="preserve"> 6-9</w:t>
      </w:r>
      <w:r w:rsidR="00740D31">
        <w:t>;</w:t>
      </w:r>
      <w:r>
        <w:t xml:space="preserve"> </w:t>
      </w:r>
      <w:r w:rsidRPr="00B77D20">
        <w:t>International Service for Human Rights and Peace Brigades International, p. 6</w:t>
      </w:r>
      <w:r w:rsidR="00740D31">
        <w:t>;</w:t>
      </w:r>
      <w:r w:rsidRPr="00B77D20">
        <w:t xml:space="preserve"> </w:t>
      </w:r>
      <w:r>
        <w:t xml:space="preserve">and </w:t>
      </w:r>
      <w:r w:rsidR="00740D31">
        <w:t xml:space="preserve">the </w:t>
      </w:r>
      <w:r w:rsidRPr="00B77D20">
        <w:t>Mexican Commission for the Defence and Promotion of Human Rights, pp. 1-6.</w:t>
      </w:r>
    </w:p>
  </w:footnote>
  <w:footnote w:id="54">
    <w:p w:rsidR="005A18F8" w:rsidRPr="00B77D20" w:rsidRDefault="005A18F8">
      <w:pPr>
        <w:pStyle w:val="FootnoteText"/>
      </w:pPr>
      <w:r>
        <w:tab/>
      </w:r>
      <w:r w:rsidRPr="00E05629">
        <w:rPr>
          <w:rStyle w:val="FootnoteReference"/>
        </w:rPr>
        <w:footnoteRef/>
      </w:r>
      <w:r>
        <w:tab/>
      </w:r>
      <w:r w:rsidRPr="00B77D20">
        <w:t>Count the Costs</w:t>
      </w:r>
      <w:r>
        <w:t>,</w:t>
      </w:r>
      <w:r w:rsidRPr="00B77D20">
        <w:t xml:space="preserve"> </w:t>
      </w:r>
      <w:r>
        <w:t>“</w:t>
      </w:r>
      <w:r w:rsidRPr="00B77D20">
        <w:t xml:space="preserve">The war on drugs: </w:t>
      </w:r>
      <w:r>
        <w:t>u</w:t>
      </w:r>
      <w:r w:rsidRPr="00B77D20">
        <w:t>ndermining human rights</w:t>
      </w:r>
      <w:r>
        <w:t>”</w:t>
      </w:r>
      <w:r w:rsidRPr="00B77D20">
        <w:t>, p. 4.</w:t>
      </w:r>
    </w:p>
  </w:footnote>
  <w:footnote w:id="55">
    <w:p w:rsidR="005A18F8" w:rsidRPr="00B77D20" w:rsidRDefault="005A18F8">
      <w:pPr>
        <w:pStyle w:val="FootnoteText"/>
      </w:pPr>
      <w:r>
        <w:tab/>
      </w:r>
      <w:r w:rsidRPr="00E05629">
        <w:rPr>
          <w:rStyle w:val="FootnoteReference"/>
        </w:rPr>
        <w:footnoteRef/>
      </w:r>
      <w:r>
        <w:tab/>
      </w:r>
      <w:r w:rsidRPr="00B77D20">
        <w:t xml:space="preserve">General </w:t>
      </w:r>
      <w:r>
        <w:t>c</w:t>
      </w:r>
      <w:r w:rsidRPr="00B77D20">
        <w:t xml:space="preserve">omment No. 32 </w:t>
      </w:r>
      <w:r>
        <w:t xml:space="preserve">(2007) </w:t>
      </w:r>
      <w:r w:rsidRPr="00B77D20">
        <w:t xml:space="preserve">on </w:t>
      </w:r>
      <w:r>
        <w:t>the right to equality before the law and to a f</w:t>
      </w:r>
      <w:r w:rsidRPr="00B77D20">
        <w:t xml:space="preserve">air </w:t>
      </w:r>
      <w:r>
        <w:t>t</w:t>
      </w:r>
      <w:r w:rsidRPr="00B77D20">
        <w:t>rial, para. 22.</w:t>
      </w:r>
    </w:p>
  </w:footnote>
  <w:footnote w:id="56">
    <w:p w:rsidR="005A18F8" w:rsidRPr="00F857C3" w:rsidRDefault="005A18F8">
      <w:pPr>
        <w:pStyle w:val="FootnoteText"/>
      </w:pPr>
      <w:r>
        <w:tab/>
      </w:r>
      <w:r w:rsidRPr="00E05629">
        <w:rPr>
          <w:rStyle w:val="FootnoteReference"/>
        </w:rPr>
        <w:footnoteRef/>
      </w:r>
      <w:r>
        <w:tab/>
        <w:t xml:space="preserve">Global Commission on Drug Policy, </w:t>
      </w:r>
      <w:r w:rsidRPr="002C0FEF">
        <w:rPr>
          <w:i/>
          <w:iCs/>
        </w:rPr>
        <w:t>Taking Control: Pathways to Drug Policies that Work</w:t>
      </w:r>
      <w:r>
        <w:t xml:space="preserve"> (2014), p. 22.</w:t>
      </w:r>
    </w:p>
  </w:footnote>
  <w:footnote w:id="57">
    <w:p w:rsidR="005A18F8" w:rsidRPr="00B77D20" w:rsidRDefault="005A18F8">
      <w:pPr>
        <w:pStyle w:val="FootnoteText"/>
      </w:pPr>
      <w:r>
        <w:tab/>
      </w:r>
      <w:r w:rsidRPr="00E05629">
        <w:rPr>
          <w:rStyle w:val="FootnoteReference"/>
        </w:rPr>
        <w:footnoteRef/>
      </w:r>
      <w:r>
        <w:tab/>
      </w:r>
      <w:r w:rsidRPr="00B77D20">
        <w:t xml:space="preserve">UNDP, </w:t>
      </w:r>
      <w:r w:rsidRPr="00B77D20">
        <w:rPr>
          <w:i/>
        </w:rPr>
        <w:t xml:space="preserve">Addressing the </w:t>
      </w:r>
      <w:r>
        <w:rPr>
          <w:i/>
        </w:rPr>
        <w:t>D</w:t>
      </w:r>
      <w:r w:rsidRPr="00B77D20">
        <w:rPr>
          <w:i/>
        </w:rPr>
        <w:t xml:space="preserve">evelopment </w:t>
      </w:r>
      <w:r>
        <w:rPr>
          <w:i/>
        </w:rPr>
        <w:t>D</w:t>
      </w:r>
      <w:r w:rsidRPr="00B77D20">
        <w:rPr>
          <w:i/>
        </w:rPr>
        <w:t xml:space="preserve">imensions of </w:t>
      </w:r>
      <w:r>
        <w:rPr>
          <w:i/>
        </w:rPr>
        <w:t>D</w:t>
      </w:r>
      <w:r w:rsidRPr="00B77D20">
        <w:rPr>
          <w:i/>
        </w:rPr>
        <w:t xml:space="preserve">rug </w:t>
      </w:r>
      <w:r>
        <w:rPr>
          <w:i/>
        </w:rPr>
        <w:t>P</w:t>
      </w:r>
      <w:r w:rsidRPr="00B77D20">
        <w:rPr>
          <w:i/>
        </w:rPr>
        <w:t>olicy</w:t>
      </w:r>
      <w:r w:rsidRPr="00B77D20">
        <w:t>, p. 25</w:t>
      </w:r>
      <w:r>
        <w:t>,</w:t>
      </w:r>
      <w:r w:rsidRPr="00B77D20">
        <w:t xml:space="preserve"> </w:t>
      </w:r>
      <w:r>
        <w:t>and the s</w:t>
      </w:r>
      <w:r w:rsidRPr="00B77D20">
        <w:t xml:space="preserve">ubmission </w:t>
      </w:r>
      <w:r>
        <w:t>of</w:t>
      </w:r>
      <w:r w:rsidRPr="00B77D20">
        <w:t xml:space="preserve"> Release, p. 2.</w:t>
      </w:r>
    </w:p>
  </w:footnote>
  <w:footnote w:id="58">
    <w:p w:rsidR="005A18F8" w:rsidRPr="002C0FEF" w:rsidRDefault="005A18F8">
      <w:pPr>
        <w:pStyle w:val="FootnoteText"/>
        <w:rPr>
          <w:lang w:val="en-US"/>
        </w:rPr>
      </w:pPr>
      <w:r w:rsidRPr="002C0FEF">
        <w:rPr>
          <w:lang w:val="en-US"/>
        </w:rPr>
        <w:tab/>
      </w:r>
      <w:r w:rsidRPr="00E05629">
        <w:rPr>
          <w:rStyle w:val="FootnoteReference"/>
        </w:rPr>
        <w:footnoteRef/>
      </w:r>
      <w:r w:rsidRPr="002C0FEF">
        <w:rPr>
          <w:lang w:val="en-US"/>
        </w:rPr>
        <w:tab/>
        <w:t xml:space="preserve">Submission of </w:t>
      </w:r>
      <w:r w:rsidRPr="002C0FEF">
        <w:rPr>
          <w:szCs w:val="18"/>
          <w:lang w:val="en-US"/>
        </w:rPr>
        <w:t>Centro de Estudios Legales y Sociales</w:t>
      </w:r>
      <w:r w:rsidRPr="002C0FEF">
        <w:rPr>
          <w:lang w:val="en-US"/>
        </w:rPr>
        <w:t>, Conectas Human Rights and Corporacion Humanas, p. 27.</w:t>
      </w:r>
    </w:p>
  </w:footnote>
  <w:footnote w:id="59">
    <w:p w:rsidR="005A18F8" w:rsidRPr="002C0FEF" w:rsidRDefault="005A18F8" w:rsidP="002C0FEF">
      <w:pPr>
        <w:pStyle w:val="FootnoteText"/>
        <w:rPr>
          <w:lang w:val="en-US"/>
        </w:rPr>
      </w:pPr>
      <w:r w:rsidRPr="002C0FEF">
        <w:rPr>
          <w:lang w:val="en-US"/>
        </w:rPr>
        <w:tab/>
      </w:r>
      <w:r w:rsidRPr="00E05629">
        <w:rPr>
          <w:rStyle w:val="FootnoteReference"/>
        </w:rPr>
        <w:footnoteRef/>
      </w:r>
      <w:r w:rsidRPr="002C0FEF">
        <w:rPr>
          <w:lang w:val="en-US"/>
        </w:rPr>
        <w:tab/>
        <w:t>Submission</w:t>
      </w:r>
      <w:r>
        <w:rPr>
          <w:lang w:val="en-US"/>
        </w:rPr>
        <w:t>s</w:t>
      </w:r>
      <w:r w:rsidRPr="002C0FEF">
        <w:rPr>
          <w:lang w:val="en-US"/>
        </w:rPr>
        <w:t xml:space="preserve"> of Colectivo de Estudios Drogas y Derecho</w:t>
      </w:r>
      <w:r w:rsidR="00740D31">
        <w:rPr>
          <w:lang w:val="en-US"/>
        </w:rPr>
        <w:t>;</w:t>
      </w:r>
      <w:r w:rsidRPr="002C0FEF">
        <w:rPr>
          <w:lang w:val="en-US"/>
        </w:rPr>
        <w:t xml:space="preserve"> </w:t>
      </w:r>
      <w:r>
        <w:rPr>
          <w:lang w:val="en-US"/>
        </w:rPr>
        <w:t xml:space="preserve">and </w:t>
      </w:r>
      <w:r w:rsidRPr="002C0FEF">
        <w:rPr>
          <w:lang w:val="en-US"/>
        </w:rPr>
        <w:t xml:space="preserve">Harm Reduction International and </w:t>
      </w:r>
      <w:r>
        <w:rPr>
          <w:lang w:val="en-US"/>
        </w:rPr>
        <w:t>Penal Reform International</w:t>
      </w:r>
      <w:r w:rsidRPr="002C0FEF">
        <w:rPr>
          <w:lang w:val="en-US"/>
        </w:rPr>
        <w:t xml:space="preserve">, p. </w:t>
      </w:r>
      <w:r>
        <w:rPr>
          <w:lang w:val="en-US"/>
        </w:rPr>
        <w:t>1</w:t>
      </w:r>
      <w:r w:rsidRPr="002C0FEF">
        <w:rPr>
          <w:lang w:val="en-US"/>
        </w:rPr>
        <w:t>.</w:t>
      </w:r>
    </w:p>
  </w:footnote>
  <w:footnote w:id="60">
    <w:p w:rsidR="005A18F8" w:rsidRPr="008A55FC" w:rsidRDefault="005A18F8" w:rsidP="002C0FEF">
      <w:pPr>
        <w:pStyle w:val="FootnoteText"/>
        <w:rPr>
          <w:szCs w:val="18"/>
        </w:rPr>
      </w:pPr>
      <w:r>
        <w:rPr>
          <w:szCs w:val="18"/>
        </w:rPr>
        <w:tab/>
      </w:r>
      <w:r w:rsidRPr="00E05629">
        <w:rPr>
          <w:rStyle w:val="FootnoteReference"/>
        </w:rPr>
        <w:footnoteRef/>
      </w:r>
      <w:r>
        <w:rPr>
          <w:szCs w:val="18"/>
        </w:rPr>
        <w:tab/>
        <w:t xml:space="preserve">Harvard FXB Center for Health and Human Rights and Open Society Foundations, </w:t>
      </w:r>
      <w:r w:rsidRPr="002C0FEF">
        <w:rPr>
          <w:i/>
          <w:szCs w:val="18"/>
        </w:rPr>
        <w:t>Health and Human Rights Resource Guide</w:t>
      </w:r>
      <w:r>
        <w:rPr>
          <w:szCs w:val="18"/>
        </w:rPr>
        <w:t xml:space="preserve"> (2013), </w:t>
      </w:r>
      <w:r w:rsidRPr="004676F8">
        <w:rPr>
          <w:szCs w:val="18"/>
        </w:rPr>
        <w:t>p. 4.7. See</w:t>
      </w:r>
      <w:r w:rsidRPr="008A55FC">
        <w:rPr>
          <w:szCs w:val="18"/>
        </w:rPr>
        <w:t xml:space="preserve"> </w:t>
      </w:r>
      <w:r>
        <w:rPr>
          <w:szCs w:val="18"/>
        </w:rPr>
        <w:t xml:space="preserve">also </w:t>
      </w:r>
      <w:r w:rsidRPr="008A55FC">
        <w:rPr>
          <w:szCs w:val="18"/>
        </w:rPr>
        <w:t>Open Society Foundation</w:t>
      </w:r>
      <w:r>
        <w:rPr>
          <w:szCs w:val="18"/>
        </w:rPr>
        <w:t>s</w:t>
      </w:r>
      <w:r w:rsidRPr="008A55FC">
        <w:rPr>
          <w:szCs w:val="18"/>
        </w:rPr>
        <w:t xml:space="preserve">, </w:t>
      </w:r>
      <w:r w:rsidRPr="008A55FC">
        <w:rPr>
          <w:i/>
          <w:szCs w:val="18"/>
        </w:rPr>
        <w:t>Treated with Cruelty: Abuses in the Name of Rehabilitation</w:t>
      </w:r>
      <w:r w:rsidRPr="008A55FC">
        <w:rPr>
          <w:szCs w:val="18"/>
        </w:rPr>
        <w:t xml:space="preserve"> (2011)</w:t>
      </w:r>
      <w:r>
        <w:rPr>
          <w:szCs w:val="18"/>
        </w:rPr>
        <w:t xml:space="preserve"> and</w:t>
      </w:r>
      <w:r w:rsidRPr="008A55FC">
        <w:rPr>
          <w:szCs w:val="18"/>
        </w:rPr>
        <w:t xml:space="preserve"> </w:t>
      </w:r>
      <w:r w:rsidRPr="00F90635">
        <w:rPr>
          <w:szCs w:val="18"/>
        </w:rPr>
        <w:t>“</w:t>
      </w:r>
      <w:r w:rsidRPr="002C0FEF">
        <w:rPr>
          <w:szCs w:val="18"/>
        </w:rPr>
        <w:t>Human rights abuses in the name of drug treatment: reports from the field”</w:t>
      </w:r>
      <w:r w:rsidRPr="008A55FC">
        <w:rPr>
          <w:szCs w:val="18"/>
        </w:rPr>
        <w:t xml:space="preserve"> (2009)</w:t>
      </w:r>
      <w:r>
        <w:rPr>
          <w:szCs w:val="18"/>
        </w:rPr>
        <w:t>.</w:t>
      </w:r>
    </w:p>
  </w:footnote>
  <w:footnote w:id="61">
    <w:p w:rsidR="005A18F8" w:rsidRPr="008A55FC" w:rsidRDefault="005A18F8">
      <w:pPr>
        <w:pStyle w:val="FootnoteText"/>
      </w:pPr>
      <w:r>
        <w:tab/>
      </w:r>
      <w:r w:rsidRPr="00E05629">
        <w:rPr>
          <w:rStyle w:val="FootnoteReference"/>
        </w:rPr>
        <w:footnoteRef/>
      </w:r>
      <w:r>
        <w:tab/>
        <w:t xml:space="preserve">Available from </w:t>
      </w:r>
      <w:r w:rsidRPr="00F90635">
        <w:t>www.unaids.org/sites/default/files/en/media/unaids/contentassets/documents/document/2012/JC2310_Joint%20Statement6March12FINAL_en.pdf</w:t>
      </w:r>
      <w:r w:rsidRPr="008A55FC">
        <w:t>.</w:t>
      </w:r>
    </w:p>
  </w:footnote>
  <w:footnote w:id="62">
    <w:p w:rsidR="005A18F8" w:rsidRPr="004715F5" w:rsidRDefault="005A18F8">
      <w:pPr>
        <w:pStyle w:val="FootnoteText"/>
      </w:pPr>
      <w:r>
        <w:tab/>
      </w:r>
      <w:r w:rsidRPr="00E05629">
        <w:rPr>
          <w:rStyle w:val="FootnoteReference"/>
        </w:rPr>
        <w:footnoteRef/>
      </w:r>
      <w:r>
        <w:tab/>
        <w:t xml:space="preserve">UNDP, </w:t>
      </w:r>
      <w:r w:rsidRPr="002C0FEF">
        <w:rPr>
          <w:i/>
          <w:iCs/>
        </w:rPr>
        <w:t>Addressing the Development Dimensions of Drug Policy</w:t>
      </w:r>
      <w:r w:rsidRPr="004715F5">
        <w:t>, p. 25.</w:t>
      </w:r>
    </w:p>
  </w:footnote>
  <w:footnote w:id="63">
    <w:p w:rsidR="005A18F8" w:rsidRPr="004715F5" w:rsidRDefault="005A18F8">
      <w:pPr>
        <w:pStyle w:val="FootnoteText"/>
      </w:pPr>
      <w:r>
        <w:tab/>
      </w:r>
      <w:r w:rsidRPr="00E05629">
        <w:rPr>
          <w:rStyle w:val="FootnoteReference"/>
        </w:rPr>
        <w:footnoteRef/>
      </w:r>
      <w:r>
        <w:tab/>
      </w:r>
      <w:r w:rsidRPr="004715F5">
        <w:t xml:space="preserve">Count the Costs, </w:t>
      </w:r>
      <w:r>
        <w:t>“</w:t>
      </w:r>
      <w:r w:rsidRPr="004715F5">
        <w:t xml:space="preserve">The war on drugs: </w:t>
      </w:r>
      <w:r>
        <w:t>p</w:t>
      </w:r>
      <w:r w:rsidRPr="004715F5">
        <w:t>romoting stigma and discrimination</w:t>
      </w:r>
      <w:r>
        <w:t>”</w:t>
      </w:r>
      <w:r w:rsidRPr="004715F5">
        <w:t>, pp. 3-5.</w:t>
      </w:r>
    </w:p>
  </w:footnote>
  <w:footnote w:id="64">
    <w:p w:rsidR="005A18F8" w:rsidRPr="004715F5" w:rsidRDefault="005A18F8">
      <w:pPr>
        <w:pStyle w:val="FootnoteText"/>
        <w:rPr>
          <w:lang w:eastAsia="en-GB"/>
        </w:rPr>
      </w:pPr>
      <w:r>
        <w:tab/>
      </w:r>
      <w:r w:rsidRPr="00E05629">
        <w:rPr>
          <w:rStyle w:val="FootnoteReference"/>
        </w:rPr>
        <w:footnoteRef/>
      </w:r>
      <w:r>
        <w:tab/>
      </w:r>
      <w:r w:rsidRPr="004715F5">
        <w:t xml:space="preserve">Rosmarin </w:t>
      </w:r>
      <w:r>
        <w:t xml:space="preserve">and </w:t>
      </w:r>
      <w:r w:rsidRPr="004715F5">
        <w:t xml:space="preserve">Eastwood, </w:t>
      </w:r>
      <w:r w:rsidRPr="002C0FEF">
        <w:rPr>
          <w:i/>
          <w:iCs/>
        </w:rPr>
        <w:t>A Quiet Revolution</w:t>
      </w:r>
      <w:r w:rsidRPr="004715F5">
        <w:t>.</w:t>
      </w:r>
    </w:p>
  </w:footnote>
  <w:footnote w:id="65">
    <w:p w:rsidR="005A18F8" w:rsidRPr="004715F5" w:rsidRDefault="005A18F8" w:rsidP="002C0FEF">
      <w:pPr>
        <w:pStyle w:val="FootnoteText"/>
      </w:pPr>
      <w:r>
        <w:tab/>
      </w:r>
      <w:r w:rsidRPr="00E05629">
        <w:rPr>
          <w:rStyle w:val="FootnoteReference"/>
        </w:rPr>
        <w:footnoteRef/>
      </w:r>
      <w:r>
        <w:tab/>
      </w:r>
      <w:r w:rsidRPr="004715F5">
        <w:t>Submission</w:t>
      </w:r>
      <w:r>
        <w:t>s</w:t>
      </w:r>
      <w:r w:rsidRPr="004715F5">
        <w:t xml:space="preserve"> </w:t>
      </w:r>
      <w:r>
        <w:t>of the</w:t>
      </w:r>
      <w:r w:rsidRPr="004715F5">
        <w:t xml:space="preserve"> Global Commission on Drug Policy, p. 6</w:t>
      </w:r>
      <w:r w:rsidR="00740D31">
        <w:t>;</w:t>
      </w:r>
      <w:r>
        <w:t xml:space="preserve"> and </w:t>
      </w:r>
      <w:r w:rsidRPr="004715F5">
        <w:t xml:space="preserve">Harm Reduction International and </w:t>
      </w:r>
      <w:r>
        <w:t>Penal Reform International</w:t>
      </w:r>
      <w:r w:rsidRPr="004715F5">
        <w:t>, p.</w:t>
      </w:r>
      <w:r>
        <w:t xml:space="preserve"> </w:t>
      </w:r>
      <w:r w:rsidRPr="004715F5">
        <w:t>4.</w:t>
      </w:r>
    </w:p>
  </w:footnote>
  <w:footnote w:id="66">
    <w:p w:rsidR="005A18F8" w:rsidRPr="004715F5" w:rsidRDefault="005A18F8">
      <w:pPr>
        <w:pStyle w:val="FootnoteText"/>
      </w:pPr>
      <w:r>
        <w:tab/>
      </w:r>
      <w:r w:rsidRPr="00E05629">
        <w:rPr>
          <w:rStyle w:val="FootnoteReference"/>
        </w:rPr>
        <w:footnoteRef/>
      </w:r>
      <w:r>
        <w:tab/>
      </w:r>
      <w:r w:rsidRPr="004715F5">
        <w:t xml:space="preserve">Count the Costs, </w:t>
      </w:r>
      <w:r>
        <w:t>“</w:t>
      </w:r>
      <w:r w:rsidRPr="004715F5">
        <w:t xml:space="preserve">The war on drugs: </w:t>
      </w:r>
      <w:r>
        <w:t>p</w:t>
      </w:r>
      <w:r w:rsidRPr="004715F5">
        <w:t>romoting stigma and discrimination</w:t>
      </w:r>
      <w:r>
        <w:t>”</w:t>
      </w:r>
      <w:r w:rsidRPr="004715F5">
        <w:t>, pp. 7-8.</w:t>
      </w:r>
    </w:p>
  </w:footnote>
  <w:footnote w:id="67">
    <w:p w:rsidR="005A18F8" w:rsidRPr="004715F5" w:rsidRDefault="005A18F8">
      <w:pPr>
        <w:pStyle w:val="FootnoteText"/>
      </w:pPr>
      <w:r>
        <w:tab/>
      </w:r>
      <w:r w:rsidRPr="00E05629">
        <w:rPr>
          <w:rStyle w:val="FootnoteReference"/>
        </w:rPr>
        <w:footnoteRef/>
      </w:r>
      <w:r>
        <w:tab/>
        <w:t xml:space="preserve">Corina </w:t>
      </w:r>
      <w:r w:rsidRPr="004715F5">
        <w:t xml:space="preserve">Giacomello, </w:t>
      </w:r>
      <w:r>
        <w:t>“</w:t>
      </w:r>
      <w:r w:rsidRPr="002C0FEF">
        <w:rPr>
          <w:iCs/>
        </w:rPr>
        <w:t>Women, drug offenses and penitentiary systems in Latin America</w:t>
      </w:r>
      <w:r>
        <w:rPr>
          <w:iCs/>
        </w:rPr>
        <w:t>”</w:t>
      </w:r>
      <w:r w:rsidRPr="004715F5">
        <w:t xml:space="preserve"> </w:t>
      </w:r>
      <w:r>
        <w:t>(</w:t>
      </w:r>
      <w:r w:rsidRPr="004715F5">
        <w:t>International Drug Policy Consortium</w:t>
      </w:r>
      <w:r>
        <w:t xml:space="preserve">, </w:t>
      </w:r>
      <w:r w:rsidRPr="004715F5">
        <w:t xml:space="preserve">2013). </w:t>
      </w:r>
    </w:p>
  </w:footnote>
  <w:footnote w:id="68">
    <w:p w:rsidR="005A18F8" w:rsidRPr="0093537D" w:rsidRDefault="005A18F8">
      <w:pPr>
        <w:pStyle w:val="FootnoteText"/>
      </w:pPr>
      <w:r>
        <w:tab/>
      </w:r>
      <w:r w:rsidRPr="00E05629">
        <w:rPr>
          <w:rStyle w:val="FootnoteReference"/>
        </w:rPr>
        <w:footnoteRef/>
      </w:r>
      <w:r>
        <w:tab/>
      </w:r>
      <w:r w:rsidRPr="0093537D">
        <w:t xml:space="preserve">Count the Costs, </w:t>
      </w:r>
      <w:r>
        <w:t>“</w:t>
      </w:r>
      <w:r w:rsidRPr="0093537D">
        <w:t xml:space="preserve">The war on drugs: </w:t>
      </w:r>
      <w:r>
        <w:t>p</w:t>
      </w:r>
      <w:r w:rsidRPr="0093537D">
        <w:t>romoting stigma and discrimination</w:t>
      </w:r>
      <w:r>
        <w:t>”</w:t>
      </w:r>
      <w:r w:rsidRPr="0093537D">
        <w:t>, pp. 8-9.</w:t>
      </w:r>
    </w:p>
  </w:footnote>
  <w:footnote w:id="69">
    <w:p w:rsidR="005A18F8" w:rsidRPr="0093537D" w:rsidRDefault="005A18F8">
      <w:pPr>
        <w:pStyle w:val="FootnoteText"/>
      </w:pPr>
      <w:r>
        <w:tab/>
      </w:r>
      <w:r w:rsidRPr="00E05629">
        <w:rPr>
          <w:rStyle w:val="FootnoteReference"/>
        </w:rPr>
        <w:footnoteRef/>
      </w:r>
      <w:r>
        <w:tab/>
      </w:r>
      <w:r w:rsidRPr="0093537D">
        <w:t xml:space="preserve">Submission </w:t>
      </w:r>
      <w:r>
        <w:t>of the Women’s</w:t>
      </w:r>
      <w:r w:rsidRPr="00806E88">
        <w:rPr>
          <w:szCs w:val="18"/>
        </w:rPr>
        <w:t xml:space="preserve"> </w:t>
      </w:r>
      <w:r>
        <w:rPr>
          <w:szCs w:val="18"/>
        </w:rPr>
        <w:t>Harm Reduction International Network</w:t>
      </w:r>
      <w:r w:rsidRPr="0093537D">
        <w:t>, pp. 6-7.</w:t>
      </w:r>
    </w:p>
  </w:footnote>
  <w:footnote w:id="70">
    <w:p w:rsidR="005A18F8" w:rsidRPr="0093537D" w:rsidRDefault="005A18F8" w:rsidP="00883892">
      <w:pPr>
        <w:pStyle w:val="FootnoteText"/>
      </w:pPr>
      <w:r>
        <w:tab/>
      </w:r>
      <w:r w:rsidRPr="00E05629">
        <w:rPr>
          <w:rStyle w:val="FootnoteReference"/>
        </w:rPr>
        <w:footnoteRef/>
      </w:r>
      <w:r>
        <w:tab/>
      </w:r>
      <w:r w:rsidRPr="0093537D">
        <w:t>Ibid., p. 5.</w:t>
      </w:r>
    </w:p>
  </w:footnote>
  <w:footnote w:id="71">
    <w:p w:rsidR="005A18F8" w:rsidRPr="00175718" w:rsidRDefault="005A18F8">
      <w:pPr>
        <w:pStyle w:val="FootnoteText"/>
        <w:rPr>
          <w:rStyle w:val="FootnoteReference"/>
          <w:vertAlign w:val="baseline"/>
        </w:rPr>
      </w:pPr>
      <w:r>
        <w:tab/>
      </w:r>
      <w:r w:rsidRPr="00E05629">
        <w:rPr>
          <w:rStyle w:val="FootnoteReference"/>
        </w:rPr>
        <w:footnoteRef/>
      </w:r>
      <w:r>
        <w:tab/>
      </w:r>
      <w:r w:rsidRPr="0093537D">
        <w:t xml:space="preserve">Submission </w:t>
      </w:r>
      <w:r>
        <w:t>of the</w:t>
      </w:r>
      <w:r w:rsidRPr="0093537D">
        <w:t xml:space="preserve"> Open Society Institute, pp. 49-52</w:t>
      </w:r>
      <w:r>
        <w:t>. See also</w:t>
      </w:r>
      <w:r w:rsidRPr="0053423D">
        <w:t xml:space="preserve"> UNODC, </w:t>
      </w:r>
      <w:r w:rsidRPr="00CD140F">
        <w:t xml:space="preserve">the United Nations Entity for Gender Equality and the Empowerment of Women </w:t>
      </w:r>
      <w:r>
        <w:t>(</w:t>
      </w:r>
      <w:r w:rsidRPr="0053423D">
        <w:t>UN</w:t>
      </w:r>
      <w:r>
        <w:t>-</w:t>
      </w:r>
      <w:r w:rsidRPr="0053423D">
        <w:t>Women</w:t>
      </w:r>
      <w:r>
        <w:t>)</w:t>
      </w:r>
      <w:r w:rsidRPr="0053423D">
        <w:t>, WHO</w:t>
      </w:r>
      <w:r>
        <w:t xml:space="preserve"> and the International Network of People Who Use Drugs</w:t>
      </w:r>
      <w:r w:rsidRPr="00333128">
        <w:t xml:space="preserve">, </w:t>
      </w:r>
      <w:r>
        <w:t>“</w:t>
      </w:r>
      <w:r w:rsidRPr="00333128">
        <w:t xml:space="preserve">Women who inject drugs and HIV: </w:t>
      </w:r>
      <w:r>
        <w:t>a</w:t>
      </w:r>
      <w:r w:rsidRPr="00333128">
        <w:t>ddressing specific needs</w:t>
      </w:r>
      <w:r>
        <w:t>”</w:t>
      </w:r>
      <w:r w:rsidRPr="0053423D">
        <w:t xml:space="preserve"> (2014).</w:t>
      </w:r>
    </w:p>
  </w:footnote>
  <w:footnote w:id="72">
    <w:p w:rsidR="005A18F8" w:rsidRPr="0093537D" w:rsidRDefault="005A18F8" w:rsidP="002C0FEF">
      <w:pPr>
        <w:pStyle w:val="FootnoteText"/>
      </w:pPr>
      <w:r>
        <w:tab/>
      </w:r>
      <w:r w:rsidRPr="00E05629">
        <w:rPr>
          <w:rStyle w:val="FootnoteReference"/>
        </w:rPr>
        <w:footnoteRef/>
      </w:r>
      <w:r>
        <w:tab/>
      </w:r>
      <w:r w:rsidRPr="0053423D">
        <w:t xml:space="preserve">Submissions </w:t>
      </w:r>
      <w:r>
        <w:t>of the</w:t>
      </w:r>
      <w:r w:rsidRPr="0053423D">
        <w:t xml:space="preserve"> Women</w:t>
      </w:r>
      <w:r>
        <w:t>’s</w:t>
      </w:r>
      <w:r w:rsidRPr="0053423D">
        <w:t xml:space="preserve"> Harm Reduction International Network, p. 8</w:t>
      </w:r>
      <w:r w:rsidR="00740D31">
        <w:t>;</w:t>
      </w:r>
      <w:r>
        <w:t xml:space="preserve"> and the </w:t>
      </w:r>
      <w:r w:rsidRPr="0053423D">
        <w:t>Eurasian Harm</w:t>
      </w:r>
      <w:r>
        <w:t xml:space="preserve"> </w:t>
      </w:r>
      <w:r w:rsidRPr="0053423D">
        <w:t>Reduction Network, pp</w:t>
      </w:r>
      <w:r>
        <w:t>.</w:t>
      </w:r>
      <w:r w:rsidRPr="0053423D">
        <w:t xml:space="preserve"> 4-5.</w:t>
      </w:r>
    </w:p>
  </w:footnote>
  <w:footnote w:id="73">
    <w:p w:rsidR="005A18F8" w:rsidRPr="00A77E12" w:rsidRDefault="005A18F8">
      <w:pPr>
        <w:pStyle w:val="FootnoteText"/>
      </w:pPr>
      <w:r w:rsidRPr="002C0FEF">
        <w:rPr>
          <w:lang w:val="en-US"/>
        </w:rPr>
        <w:tab/>
      </w:r>
      <w:r w:rsidRPr="00E05629">
        <w:rPr>
          <w:rStyle w:val="FootnoteReference"/>
        </w:rPr>
        <w:footnoteRef/>
      </w:r>
      <w:r w:rsidRPr="002C0FEF">
        <w:rPr>
          <w:lang w:val="en-US"/>
        </w:rPr>
        <w:tab/>
      </w:r>
      <w:r w:rsidRPr="00A77E12">
        <w:t xml:space="preserve">See also </w:t>
      </w:r>
      <w:r>
        <w:t xml:space="preserve">the International Labour Organization </w:t>
      </w:r>
      <w:r w:rsidRPr="00A77E12">
        <w:rPr>
          <w:lang w:eastAsia="en-GB"/>
        </w:rPr>
        <w:t>Indigenous and Tribal Peoples Convention, 1989</w:t>
      </w:r>
      <w:r>
        <w:rPr>
          <w:lang w:eastAsia="en-GB"/>
        </w:rPr>
        <w:t xml:space="preserve"> (No. 169)</w:t>
      </w:r>
      <w:r w:rsidRPr="00A77E12">
        <w:rPr>
          <w:lang w:eastAsia="en-GB"/>
        </w:rPr>
        <w:t xml:space="preserve">, </w:t>
      </w:r>
      <w:r>
        <w:rPr>
          <w:lang w:eastAsia="en-GB"/>
        </w:rPr>
        <w:t>and the</w:t>
      </w:r>
      <w:r w:rsidRPr="00A77E12">
        <w:rPr>
          <w:lang w:eastAsia="en-GB"/>
        </w:rPr>
        <w:t xml:space="preserve"> Convention for the Safeguarding of</w:t>
      </w:r>
      <w:r>
        <w:rPr>
          <w:lang w:eastAsia="en-GB"/>
        </w:rPr>
        <w:t xml:space="preserve"> the</w:t>
      </w:r>
      <w:r w:rsidRPr="00A77E12">
        <w:rPr>
          <w:lang w:eastAsia="en-GB"/>
        </w:rPr>
        <w:t xml:space="preserve"> Intangible Cultural Heritage.</w:t>
      </w:r>
      <w:r>
        <w:rPr>
          <w:lang w:eastAsia="en-GB"/>
        </w:rPr>
        <w:t xml:space="preserve"> </w:t>
      </w:r>
    </w:p>
  </w:footnote>
  <w:footnote w:id="74">
    <w:p w:rsidR="005A18F8" w:rsidRPr="00A77E12" w:rsidRDefault="005A18F8">
      <w:pPr>
        <w:pStyle w:val="FootnoteText"/>
        <w:rPr>
          <w:lang w:eastAsia="en-GB"/>
        </w:rPr>
      </w:pPr>
      <w:r>
        <w:tab/>
      </w:r>
      <w:r w:rsidRPr="00E05629">
        <w:rPr>
          <w:rStyle w:val="FootnoteReference"/>
        </w:rPr>
        <w:footnoteRef/>
      </w:r>
      <w:r>
        <w:tab/>
        <w:t xml:space="preserve">See </w:t>
      </w:r>
      <w:r w:rsidRPr="002C0FEF">
        <w:rPr>
          <w:i/>
          <w:iCs/>
        </w:rPr>
        <w:t>Report of the International Narcotics Control Board of 2011</w:t>
      </w:r>
      <w:r w:rsidRPr="00A77E12">
        <w:t xml:space="preserve">, paras. 270-280. </w:t>
      </w:r>
    </w:p>
  </w:footnote>
  <w:footnote w:id="75">
    <w:p w:rsidR="005A18F8" w:rsidRPr="00A77E12" w:rsidRDefault="005A18F8">
      <w:pPr>
        <w:pStyle w:val="FootnoteText"/>
      </w:pPr>
      <w:r>
        <w:tab/>
      </w:r>
      <w:r w:rsidRPr="00E05629">
        <w:rPr>
          <w:rStyle w:val="FootnoteReference"/>
        </w:rPr>
        <w:footnoteRef/>
      </w:r>
      <w:r>
        <w:tab/>
        <w:t xml:space="preserve">See </w:t>
      </w:r>
      <w:r w:rsidRPr="00A77E12">
        <w:t xml:space="preserve">American Indian Religious Freedom </w:t>
      </w:r>
      <w:r>
        <w:t xml:space="preserve">Act </w:t>
      </w:r>
      <w:r w:rsidRPr="00A77E12">
        <w:t>Amendments of 199</w:t>
      </w:r>
      <w:r>
        <w:t>4</w:t>
      </w:r>
      <w:r w:rsidRPr="00A77E12">
        <w:t xml:space="preserve">, </w:t>
      </w:r>
      <w:r>
        <w:t>s</w:t>
      </w:r>
      <w:r w:rsidRPr="00A77E12">
        <w:t>ect</w:t>
      </w:r>
      <w:r>
        <w:t>.</w:t>
      </w:r>
      <w:r w:rsidRPr="00A77E12">
        <w:t xml:space="preserve"> </w:t>
      </w:r>
      <w:r>
        <w:t xml:space="preserve">3 </w:t>
      </w:r>
      <w:r w:rsidRPr="00A77E12">
        <w:t>(a).</w:t>
      </w:r>
    </w:p>
  </w:footnote>
  <w:footnote w:id="76">
    <w:p w:rsidR="005A18F8" w:rsidRPr="00A77E12" w:rsidRDefault="005A18F8">
      <w:pPr>
        <w:pStyle w:val="FootnoteText"/>
      </w:pPr>
      <w:r>
        <w:tab/>
      </w:r>
      <w:r w:rsidRPr="00E05629">
        <w:rPr>
          <w:rStyle w:val="FootnoteReference"/>
        </w:rPr>
        <w:footnoteRef/>
      </w:r>
      <w:r>
        <w:tab/>
      </w:r>
      <w:r w:rsidRPr="00A77E12">
        <w:t xml:space="preserve">Supreme Court of Italy, </w:t>
      </w:r>
      <w:r>
        <w:t>j</w:t>
      </w:r>
      <w:r w:rsidRPr="00A77E12">
        <w:t>udg</w:t>
      </w:r>
      <w:r>
        <w:t>e</w:t>
      </w:r>
      <w:r w:rsidRPr="00A77E12">
        <w:t>ment No. 14876 (2012)</w:t>
      </w:r>
      <w:r>
        <w:t>.</w:t>
      </w:r>
    </w:p>
  </w:footnote>
  <w:footnote w:id="77">
    <w:p w:rsidR="005A18F8" w:rsidRPr="00A77E12" w:rsidRDefault="005A18F8">
      <w:pPr>
        <w:pStyle w:val="FootnoteText"/>
      </w:pPr>
      <w:r>
        <w:tab/>
      </w:r>
      <w:r w:rsidRPr="00E05629">
        <w:rPr>
          <w:rStyle w:val="FootnoteReference"/>
        </w:rPr>
        <w:footnoteRef/>
      </w:r>
      <w:r>
        <w:tab/>
      </w:r>
      <w:r w:rsidRPr="00A77E12">
        <w:t xml:space="preserve">The Dangerous Drug </w:t>
      </w:r>
      <w:r>
        <w:t>(</w:t>
      </w:r>
      <w:r w:rsidRPr="00A77E12">
        <w:t>Amendment</w:t>
      </w:r>
      <w:r>
        <w:t>)</w:t>
      </w:r>
      <w:r w:rsidRPr="00A77E12">
        <w:t xml:space="preserve"> Act, 2015, para. 6</w:t>
      </w:r>
      <w:r>
        <w:t>,</w:t>
      </w:r>
      <w:r w:rsidRPr="00A77E12">
        <w:t xml:space="preserve"> amending </w:t>
      </w:r>
      <w:r>
        <w:t>s</w:t>
      </w:r>
      <w:r w:rsidRPr="00A77E12">
        <w:t>ect</w:t>
      </w:r>
      <w:r>
        <w:t>.</w:t>
      </w:r>
      <w:r w:rsidRPr="00A77E12">
        <w:t xml:space="preserve"> 7C of the Act.</w:t>
      </w:r>
    </w:p>
  </w:footnote>
  <w:footnote w:id="78">
    <w:p w:rsidR="005A18F8" w:rsidRPr="0053423D" w:rsidRDefault="005A18F8">
      <w:pPr>
        <w:pStyle w:val="FootnoteText"/>
      </w:pPr>
      <w:r>
        <w:rPr>
          <w:i/>
        </w:rPr>
        <w:tab/>
      </w:r>
      <w:r w:rsidRPr="00E05629">
        <w:rPr>
          <w:rStyle w:val="FootnoteReference"/>
        </w:rPr>
        <w:footnoteRef/>
      </w:r>
      <w:r>
        <w:rPr>
          <w:i/>
        </w:rPr>
        <w:tab/>
      </w:r>
      <w:r>
        <w:rPr>
          <w:iCs/>
        </w:rPr>
        <w:t xml:space="preserve">See </w:t>
      </w:r>
      <w:r w:rsidRPr="0053423D">
        <w:rPr>
          <w:i/>
        </w:rPr>
        <w:t>Prince v. President of the Law Society of the Cape of Good Hope</w:t>
      </w:r>
      <w:r>
        <w:rPr>
          <w:i/>
        </w:rPr>
        <w:t xml:space="preserve"> and Others</w:t>
      </w:r>
      <w:r w:rsidRPr="0053423D">
        <w:t>, Constitutional Court of South Africa (2002)</w:t>
      </w:r>
      <w:r>
        <w:t xml:space="preserve">, in which </w:t>
      </w:r>
      <w:r w:rsidRPr="0053423D">
        <w:t>four of the nine judges agreed that denying the petitioner access to the bar because of his religious cannabis use amounted to a disproportionate infringement on the religious freedom of the Rastafari</w:t>
      </w:r>
      <w:r>
        <w:t>, and</w:t>
      </w:r>
      <w:r w:rsidRPr="0053423D">
        <w:t xml:space="preserve"> CCPR/C/91/D/1474/2006.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8F8" w:rsidRPr="00EC6382" w:rsidRDefault="005A18F8">
    <w:pPr>
      <w:pStyle w:val="Header"/>
    </w:pPr>
    <w:r>
      <w:t>A/HRC/30/65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8F8" w:rsidRPr="00EC6382" w:rsidRDefault="005A18F8" w:rsidP="00EC6382">
    <w:pPr>
      <w:pStyle w:val="Header"/>
      <w:jc w:val="right"/>
    </w:pPr>
    <w:r>
      <w:t>A/HRC/30/65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13E2"/>
    <w:multiLevelType w:val="hybridMultilevel"/>
    <w:tmpl w:val="39BC7146"/>
    <w:lvl w:ilvl="0" w:tplc="08090015">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3216A9"/>
    <w:multiLevelType w:val="hybridMultilevel"/>
    <w:tmpl w:val="B9E4F18E"/>
    <w:lvl w:ilvl="0" w:tplc="5A6A064A">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2CE4414"/>
    <w:multiLevelType w:val="hybridMultilevel"/>
    <w:tmpl w:val="920A1870"/>
    <w:lvl w:ilvl="0" w:tplc="8506BF3A">
      <w:start w:val="1"/>
      <w:numFmt w:val="upperLetter"/>
      <w:lvlText w:val="%1."/>
      <w:lvlJc w:val="left"/>
      <w:pPr>
        <w:ind w:left="2055" w:hanging="36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4">
    <w:nsid w:val="0397703E"/>
    <w:multiLevelType w:val="hybridMultilevel"/>
    <w:tmpl w:val="C6540F74"/>
    <w:lvl w:ilvl="0" w:tplc="EA80BDD2">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057172FC"/>
    <w:multiLevelType w:val="hybridMultilevel"/>
    <w:tmpl w:val="5886610C"/>
    <w:lvl w:ilvl="0" w:tplc="967E00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081F41D3"/>
    <w:multiLevelType w:val="hybridMultilevel"/>
    <w:tmpl w:val="066A8A8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nsid w:val="0E3E2348"/>
    <w:multiLevelType w:val="hybridMultilevel"/>
    <w:tmpl w:val="0514262A"/>
    <w:lvl w:ilvl="0" w:tplc="7C24DAD6">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F141C11"/>
    <w:multiLevelType w:val="hybridMultilevel"/>
    <w:tmpl w:val="CE32E854"/>
    <w:lvl w:ilvl="0" w:tplc="D16EE482">
      <w:start w:val="1"/>
      <w:numFmt w:val="upperLetter"/>
      <w:lvlText w:val="%1."/>
      <w:lvlJc w:val="left"/>
      <w:pPr>
        <w:ind w:left="1989" w:hanging="8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16803DB"/>
    <w:multiLevelType w:val="hybridMultilevel"/>
    <w:tmpl w:val="188CF898"/>
    <w:lvl w:ilvl="0" w:tplc="5C940F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41809AB"/>
    <w:multiLevelType w:val="hybridMultilevel"/>
    <w:tmpl w:val="392E2D38"/>
    <w:lvl w:ilvl="0" w:tplc="0ABAF2E0">
      <w:start w:val="1"/>
      <w:numFmt w:val="upp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3">
    <w:nsid w:val="158C4278"/>
    <w:multiLevelType w:val="hybridMultilevel"/>
    <w:tmpl w:val="667C0010"/>
    <w:lvl w:ilvl="0" w:tplc="855A7148">
      <w:start w:val="1"/>
      <w:numFmt w:val="upperRoman"/>
      <w:lvlText w:val="%1."/>
      <w:lvlJc w:val="left"/>
      <w:pPr>
        <w:ind w:left="795" w:hanging="72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4">
    <w:nsid w:val="199D5FA2"/>
    <w:multiLevelType w:val="hybridMultilevel"/>
    <w:tmpl w:val="120A8EE4"/>
    <w:lvl w:ilvl="0" w:tplc="07A0C5E2">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AE871DE"/>
    <w:multiLevelType w:val="hybridMultilevel"/>
    <w:tmpl w:val="752EECB6"/>
    <w:lvl w:ilvl="0" w:tplc="19A0804C">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33022D"/>
    <w:multiLevelType w:val="hybridMultilevel"/>
    <w:tmpl w:val="C9A2F6A8"/>
    <w:lvl w:ilvl="0" w:tplc="A314C49A">
      <w:numFmt w:val="bullet"/>
      <w:lvlText w:val=""/>
      <w:lvlJc w:val="left"/>
      <w:pPr>
        <w:ind w:left="1570" w:hanging="360"/>
      </w:pPr>
      <w:rPr>
        <w:rFonts w:ascii="Symbol" w:eastAsia="Times New Roman" w:hAnsi="Symbol" w:cs="Times New Roman" w:hint="default"/>
        <w:sz w:val="20"/>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8">
    <w:nsid w:val="238D0D21"/>
    <w:multiLevelType w:val="hybridMultilevel"/>
    <w:tmpl w:val="A7F03B6E"/>
    <w:lvl w:ilvl="0" w:tplc="08090001">
      <w:numFmt w:val="bullet"/>
      <w:lvlText w:val=""/>
      <w:lvlJc w:val="left"/>
      <w:pPr>
        <w:ind w:left="72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64B1537"/>
    <w:multiLevelType w:val="hybridMultilevel"/>
    <w:tmpl w:val="E418EC34"/>
    <w:lvl w:ilvl="0" w:tplc="7D9C5930">
      <w:numFmt w:val="bullet"/>
      <w:lvlText w:val=""/>
      <w:lvlJc w:val="left"/>
      <w:pPr>
        <w:ind w:left="1210" w:hanging="360"/>
      </w:pPr>
      <w:rPr>
        <w:rFonts w:ascii="Symbol" w:eastAsia="Times New Roman" w:hAnsi="Symbol" w:cs="Times New Roman" w:hint="default"/>
        <w:sz w:val="20"/>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1">
    <w:nsid w:val="3A2135EF"/>
    <w:multiLevelType w:val="hybridMultilevel"/>
    <w:tmpl w:val="9052431A"/>
    <w:lvl w:ilvl="0" w:tplc="5192AF96">
      <w:start w:val="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495574F"/>
    <w:multiLevelType w:val="hybridMultilevel"/>
    <w:tmpl w:val="91CCB532"/>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4A295179"/>
    <w:multiLevelType w:val="hybridMultilevel"/>
    <w:tmpl w:val="E94A57C2"/>
    <w:lvl w:ilvl="0" w:tplc="1462687C">
      <w:start w:val="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0A2BFE"/>
    <w:multiLevelType w:val="hybridMultilevel"/>
    <w:tmpl w:val="9A681AC8"/>
    <w:lvl w:ilvl="0" w:tplc="CD84D492">
      <w:start w:val="1"/>
      <w:numFmt w:val="upperLetter"/>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nsid w:val="521C5580"/>
    <w:multiLevelType w:val="hybridMultilevel"/>
    <w:tmpl w:val="F75C1640"/>
    <w:lvl w:ilvl="0" w:tplc="1CBCA0BC">
      <w:start w:val="1"/>
      <w:numFmt w:val="upp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26">
    <w:nsid w:val="5A344255"/>
    <w:multiLevelType w:val="hybridMultilevel"/>
    <w:tmpl w:val="EF74F04C"/>
    <w:lvl w:ilvl="0" w:tplc="B1548D6C">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C403F8D"/>
    <w:multiLevelType w:val="hybridMultilevel"/>
    <w:tmpl w:val="09AC6DF6"/>
    <w:lvl w:ilvl="0" w:tplc="B80C525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F3A0AAE"/>
    <w:multiLevelType w:val="hybridMultilevel"/>
    <w:tmpl w:val="EBD6FB58"/>
    <w:lvl w:ilvl="0" w:tplc="A1EC60F4">
      <w:start w:val="6"/>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0487700"/>
    <w:multiLevelType w:val="hybridMultilevel"/>
    <w:tmpl w:val="BBF8943A"/>
    <w:lvl w:ilvl="0" w:tplc="DAE8842C">
      <w:start w:val="1"/>
      <w:numFmt w:val="decimal"/>
      <w:lvlText w:val="%1."/>
      <w:lvlJc w:val="left"/>
      <w:pPr>
        <w:tabs>
          <w:tab w:val="num" w:pos="2835"/>
        </w:tabs>
        <w:ind w:left="2268" w:firstLine="0"/>
      </w:pPr>
      <w:rPr>
        <w:rFonts w:hint="default"/>
        <w:b w:val="0"/>
        <w:bCs w:val="0"/>
        <w:sz w:val="20"/>
        <w:szCs w:val="20"/>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30">
    <w:nsid w:val="62774119"/>
    <w:multiLevelType w:val="hybridMultilevel"/>
    <w:tmpl w:val="3D0EBF10"/>
    <w:lvl w:ilvl="0" w:tplc="D4E024A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45C638D"/>
    <w:multiLevelType w:val="hybridMultilevel"/>
    <w:tmpl w:val="D0BA0C92"/>
    <w:lvl w:ilvl="0" w:tplc="08090015">
      <w:start w:val="1"/>
      <w:numFmt w:val="upp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32">
    <w:nsid w:val="67B72A81"/>
    <w:multiLevelType w:val="hybridMultilevel"/>
    <w:tmpl w:val="CB9A6064"/>
    <w:lvl w:ilvl="0" w:tplc="6CAC81DC">
      <w:start w:val="1"/>
      <w:numFmt w:val="decimal"/>
      <w:lvlText w:val="%1."/>
      <w:lvlJc w:val="left"/>
      <w:pPr>
        <w:ind w:left="1689" w:hanging="555"/>
      </w:pPr>
      <w:rPr>
        <w:rFonts w:hint="default"/>
        <w:b w:val="0"/>
        <w:bCs w:val="0"/>
        <w:color w:val="000000" w:themeColor="text1"/>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nsid w:val="70C50C79"/>
    <w:multiLevelType w:val="hybridMultilevel"/>
    <w:tmpl w:val="71C04018"/>
    <w:lvl w:ilvl="0" w:tplc="70F49A9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728F350E"/>
    <w:multiLevelType w:val="hybridMultilevel"/>
    <w:tmpl w:val="2E0AC00C"/>
    <w:lvl w:ilvl="0" w:tplc="08090001">
      <w:numFmt w:val="bullet"/>
      <w:lvlText w:val=""/>
      <w:lvlJc w:val="left"/>
      <w:pPr>
        <w:ind w:left="72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593656D"/>
    <w:multiLevelType w:val="hybridMultilevel"/>
    <w:tmpl w:val="EA404590"/>
    <w:lvl w:ilvl="0" w:tplc="93164C2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B5E0562"/>
    <w:multiLevelType w:val="hybridMultilevel"/>
    <w:tmpl w:val="C97296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6"/>
  </w:num>
  <w:num w:numId="3">
    <w:abstractNumId w:val="34"/>
  </w:num>
  <w:num w:numId="4">
    <w:abstractNumId w:val="10"/>
  </w:num>
  <w:num w:numId="5">
    <w:abstractNumId w:val="1"/>
  </w:num>
  <w:num w:numId="6">
    <w:abstractNumId w:val="5"/>
  </w:num>
  <w:num w:numId="7">
    <w:abstractNumId w:val="33"/>
  </w:num>
  <w:num w:numId="8">
    <w:abstractNumId w:val="11"/>
  </w:num>
  <w:num w:numId="9">
    <w:abstractNumId w:val="12"/>
  </w:num>
  <w:num w:numId="10">
    <w:abstractNumId w:val="25"/>
  </w:num>
  <w:num w:numId="11">
    <w:abstractNumId w:val="31"/>
  </w:num>
  <w:num w:numId="12">
    <w:abstractNumId w:val="37"/>
  </w:num>
  <w:num w:numId="13">
    <w:abstractNumId w:val="29"/>
  </w:num>
  <w:num w:numId="14">
    <w:abstractNumId w:val="4"/>
  </w:num>
  <w:num w:numId="15">
    <w:abstractNumId w:val="30"/>
  </w:num>
  <w:num w:numId="16">
    <w:abstractNumId w:val="6"/>
  </w:num>
  <w:num w:numId="17">
    <w:abstractNumId w:val="35"/>
  </w:num>
  <w:num w:numId="18">
    <w:abstractNumId w:val="22"/>
  </w:num>
  <w:num w:numId="19">
    <w:abstractNumId w:val="27"/>
  </w:num>
  <w:num w:numId="20">
    <w:abstractNumId w:val="21"/>
  </w:num>
  <w:num w:numId="21">
    <w:abstractNumId w:val="28"/>
  </w:num>
  <w:num w:numId="22">
    <w:abstractNumId w:val="23"/>
  </w:num>
  <w:num w:numId="23">
    <w:abstractNumId w:val="13"/>
  </w:num>
  <w:num w:numId="24">
    <w:abstractNumId w:val="2"/>
  </w:num>
  <w:num w:numId="25">
    <w:abstractNumId w:val="3"/>
  </w:num>
  <w:num w:numId="26">
    <w:abstractNumId w:val="14"/>
  </w:num>
  <w:num w:numId="27">
    <w:abstractNumId w:val="26"/>
  </w:num>
  <w:num w:numId="28">
    <w:abstractNumId w:val="24"/>
  </w:num>
  <w:num w:numId="29">
    <w:abstractNumId w:val="15"/>
  </w:num>
  <w:num w:numId="30">
    <w:abstractNumId w:val="0"/>
  </w:num>
  <w:num w:numId="31">
    <w:abstractNumId w:val="38"/>
  </w:num>
  <w:num w:numId="32">
    <w:abstractNumId w:val="8"/>
  </w:num>
  <w:num w:numId="33">
    <w:abstractNumId w:val="9"/>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17"/>
  </w:num>
  <w:num w:numId="37">
    <w:abstractNumId w:val="36"/>
  </w:num>
  <w:num w:numId="38">
    <w:abstractNumId w:val="18"/>
  </w:num>
  <w:num w:numId="39">
    <w:abstractNumId w:val="7"/>
  </w:num>
  <w:num w:numId="40">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382"/>
    <w:rsid w:val="00003E3B"/>
    <w:rsid w:val="00007F7F"/>
    <w:rsid w:val="00015122"/>
    <w:rsid w:val="00022DB5"/>
    <w:rsid w:val="000350E7"/>
    <w:rsid w:val="000403D1"/>
    <w:rsid w:val="000449AA"/>
    <w:rsid w:val="000462E1"/>
    <w:rsid w:val="00050F6B"/>
    <w:rsid w:val="00055D3B"/>
    <w:rsid w:val="00056ED3"/>
    <w:rsid w:val="00062F11"/>
    <w:rsid w:val="00063C17"/>
    <w:rsid w:val="00072C8C"/>
    <w:rsid w:val="00073E70"/>
    <w:rsid w:val="000876EB"/>
    <w:rsid w:val="00091419"/>
    <w:rsid w:val="000931C0"/>
    <w:rsid w:val="00095438"/>
    <w:rsid w:val="000971AD"/>
    <w:rsid w:val="000A466B"/>
    <w:rsid w:val="000B175B"/>
    <w:rsid w:val="000B3A0F"/>
    <w:rsid w:val="000B4A3B"/>
    <w:rsid w:val="000B57A2"/>
    <w:rsid w:val="000D1851"/>
    <w:rsid w:val="000D65B4"/>
    <w:rsid w:val="000D6652"/>
    <w:rsid w:val="000D6659"/>
    <w:rsid w:val="000E0415"/>
    <w:rsid w:val="000E61E0"/>
    <w:rsid w:val="000E62D4"/>
    <w:rsid w:val="000F5B6C"/>
    <w:rsid w:val="00105D50"/>
    <w:rsid w:val="001124B9"/>
    <w:rsid w:val="001131A5"/>
    <w:rsid w:val="00120698"/>
    <w:rsid w:val="00124A93"/>
    <w:rsid w:val="001444CB"/>
    <w:rsid w:val="00146D32"/>
    <w:rsid w:val="00147EBC"/>
    <w:rsid w:val="001509BA"/>
    <w:rsid w:val="00153EEB"/>
    <w:rsid w:val="0015671E"/>
    <w:rsid w:val="001607EB"/>
    <w:rsid w:val="001625DB"/>
    <w:rsid w:val="00175718"/>
    <w:rsid w:val="00182977"/>
    <w:rsid w:val="00193E3B"/>
    <w:rsid w:val="00197DCF"/>
    <w:rsid w:val="001A2F00"/>
    <w:rsid w:val="001B244A"/>
    <w:rsid w:val="001B4B04"/>
    <w:rsid w:val="001C6663"/>
    <w:rsid w:val="001C7895"/>
    <w:rsid w:val="001D26DF"/>
    <w:rsid w:val="001E0701"/>
    <w:rsid w:val="001E1CFA"/>
    <w:rsid w:val="001E2790"/>
    <w:rsid w:val="001E76E7"/>
    <w:rsid w:val="00211E0B"/>
    <w:rsid w:val="00211E72"/>
    <w:rsid w:val="00214047"/>
    <w:rsid w:val="002164CA"/>
    <w:rsid w:val="0022002E"/>
    <w:rsid w:val="0022130F"/>
    <w:rsid w:val="002268E0"/>
    <w:rsid w:val="00233533"/>
    <w:rsid w:val="00236755"/>
    <w:rsid w:val="00237349"/>
    <w:rsid w:val="00237785"/>
    <w:rsid w:val="002410DD"/>
    <w:rsid w:val="00241466"/>
    <w:rsid w:val="00253D58"/>
    <w:rsid w:val="00255FEC"/>
    <w:rsid w:val="00261929"/>
    <w:rsid w:val="002650E9"/>
    <w:rsid w:val="00276128"/>
    <w:rsid w:val="0027725F"/>
    <w:rsid w:val="0028157D"/>
    <w:rsid w:val="002822EE"/>
    <w:rsid w:val="00284DE1"/>
    <w:rsid w:val="002B2719"/>
    <w:rsid w:val="002B6DB4"/>
    <w:rsid w:val="002C0FEF"/>
    <w:rsid w:val="002C21F0"/>
    <w:rsid w:val="002D266B"/>
    <w:rsid w:val="002E327B"/>
    <w:rsid w:val="002E56DF"/>
    <w:rsid w:val="002E6D6F"/>
    <w:rsid w:val="00301B46"/>
    <w:rsid w:val="003107FA"/>
    <w:rsid w:val="00310F29"/>
    <w:rsid w:val="00316A8C"/>
    <w:rsid w:val="00317977"/>
    <w:rsid w:val="003229D8"/>
    <w:rsid w:val="00325939"/>
    <w:rsid w:val="003314D1"/>
    <w:rsid w:val="00332EC5"/>
    <w:rsid w:val="00333128"/>
    <w:rsid w:val="00335A2F"/>
    <w:rsid w:val="00341937"/>
    <w:rsid w:val="003521C0"/>
    <w:rsid w:val="00352C2D"/>
    <w:rsid w:val="0037521C"/>
    <w:rsid w:val="003843D8"/>
    <w:rsid w:val="003851BC"/>
    <w:rsid w:val="00390B52"/>
    <w:rsid w:val="0039277A"/>
    <w:rsid w:val="003952FB"/>
    <w:rsid w:val="003972E0"/>
    <w:rsid w:val="003975ED"/>
    <w:rsid w:val="003A2D76"/>
    <w:rsid w:val="003A4714"/>
    <w:rsid w:val="003A6F65"/>
    <w:rsid w:val="003A7CBB"/>
    <w:rsid w:val="003B13EA"/>
    <w:rsid w:val="003B3ADC"/>
    <w:rsid w:val="003C2CC4"/>
    <w:rsid w:val="003D4B23"/>
    <w:rsid w:val="003D588D"/>
    <w:rsid w:val="003D74F4"/>
    <w:rsid w:val="003E6A81"/>
    <w:rsid w:val="003F030B"/>
    <w:rsid w:val="003F5026"/>
    <w:rsid w:val="003F6B52"/>
    <w:rsid w:val="0040531E"/>
    <w:rsid w:val="00405F0C"/>
    <w:rsid w:val="0041128D"/>
    <w:rsid w:val="00421E71"/>
    <w:rsid w:val="00424C80"/>
    <w:rsid w:val="0042598A"/>
    <w:rsid w:val="004325CB"/>
    <w:rsid w:val="00442F1C"/>
    <w:rsid w:val="0044503A"/>
    <w:rsid w:val="00446DE4"/>
    <w:rsid w:val="00447761"/>
    <w:rsid w:val="00451EC3"/>
    <w:rsid w:val="00454533"/>
    <w:rsid w:val="0045575E"/>
    <w:rsid w:val="00456BF5"/>
    <w:rsid w:val="0046480C"/>
    <w:rsid w:val="004668C6"/>
    <w:rsid w:val="004676F8"/>
    <w:rsid w:val="004715F5"/>
    <w:rsid w:val="004721B1"/>
    <w:rsid w:val="00472606"/>
    <w:rsid w:val="004859EC"/>
    <w:rsid w:val="00493A7C"/>
    <w:rsid w:val="00496A15"/>
    <w:rsid w:val="00497A67"/>
    <w:rsid w:val="004A2343"/>
    <w:rsid w:val="004A66AC"/>
    <w:rsid w:val="004B75D2"/>
    <w:rsid w:val="004C7078"/>
    <w:rsid w:val="004D06E7"/>
    <w:rsid w:val="004D1140"/>
    <w:rsid w:val="004D5F00"/>
    <w:rsid w:val="004D786A"/>
    <w:rsid w:val="004F0C04"/>
    <w:rsid w:val="004F55ED"/>
    <w:rsid w:val="004F587E"/>
    <w:rsid w:val="0051437D"/>
    <w:rsid w:val="00516007"/>
    <w:rsid w:val="005215AF"/>
    <w:rsid w:val="0052176C"/>
    <w:rsid w:val="0052521A"/>
    <w:rsid w:val="005261E5"/>
    <w:rsid w:val="005264C3"/>
    <w:rsid w:val="005311FC"/>
    <w:rsid w:val="0053423D"/>
    <w:rsid w:val="005410C9"/>
    <w:rsid w:val="005420F2"/>
    <w:rsid w:val="00542574"/>
    <w:rsid w:val="005436AB"/>
    <w:rsid w:val="00544851"/>
    <w:rsid w:val="00545FE7"/>
    <w:rsid w:val="00546DBF"/>
    <w:rsid w:val="00547B80"/>
    <w:rsid w:val="00547DBA"/>
    <w:rsid w:val="00552974"/>
    <w:rsid w:val="00553D76"/>
    <w:rsid w:val="005552B5"/>
    <w:rsid w:val="00560052"/>
    <w:rsid w:val="0056117B"/>
    <w:rsid w:val="00566CFF"/>
    <w:rsid w:val="00570C1A"/>
    <w:rsid w:val="00571365"/>
    <w:rsid w:val="00575B19"/>
    <w:rsid w:val="00582CA3"/>
    <w:rsid w:val="00583C5E"/>
    <w:rsid w:val="005843B6"/>
    <w:rsid w:val="005A18F8"/>
    <w:rsid w:val="005A275C"/>
    <w:rsid w:val="005A7036"/>
    <w:rsid w:val="005B2E2D"/>
    <w:rsid w:val="005B3DB3"/>
    <w:rsid w:val="005B4F77"/>
    <w:rsid w:val="005B6E48"/>
    <w:rsid w:val="005C6543"/>
    <w:rsid w:val="005D12F7"/>
    <w:rsid w:val="005D2432"/>
    <w:rsid w:val="005E02B6"/>
    <w:rsid w:val="005E1712"/>
    <w:rsid w:val="005E1826"/>
    <w:rsid w:val="005F332F"/>
    <w:rsid w:val="00603C58"/>
    <w:rsid w:val="00611FC4"/>
    <w:rsid w:val="006127AA"/>
    <w:rsid w:val="006176FB"/>
    <w:rsid w:val="0062191C"/>
    <w:rsid w:val="00630BA5"/>
    <w:rsid w:val="00640B26"/>
    <w:rsid w:val="00654C2C"/>
    <w:rsid w:val="0065732E"/>
    <w:rsid w:val="006577C2"/>
    <w:rsid w:val="00670741"/>
    <w:rsid w:val="0069276D"/>
    <w:rsid w:val="00696BD6"/>
    <w:rsid w:val="006A0740"/>
    <w:rsid w:val="006A1464"/>
    <w:rsid w:val="006A53C2"/>
    <w:rsid w:val="006A6B9D"/>
    <w:rsid w:val="006A7392"/>
    <w:rsid w:val="006B3189"/>
    <w:rsid w:val="006B533B"/>
    <w:rsid w:val="006B7D65"/>
    <w:rsid w:val="006D6DA6"/>
    <w:rsid w:val="006E564B"/>
    <w:rsid w:val="006E6BB9"/>
    <w:rsid w:val="006E7E97"/>
    <w:rsid w:val="006F13F0"/>
    <w:rsid w:val="006F3DC5"/>
    <w:rsid w:val="006F5035"/>
    <w:rsid w:val="00704814"/>
    <w:rsid w:val="007065EB"/>
    <w:rsid w:val="00710D4C"/>
    <w:rsid w:val="00715718"/>
    <w:rsid w:val="00720183"/>
    <w:rsid w:val="0072632A"/>
    <w:rsid w:val="00732235"/>
    <w:rsid w:val="0073229C"/>
    <w:rsid w:val="00740D31"/>
    <w:rsid w:val="0074200B"/>
    <w:rsid w:val="00743B0C"/>
    <w:rsid w:val="0075417C"/>
    <w:rsid w:val="00774DC3"/>
    <w:rsid w:val="0078443E"/>
    <w:rsid w:val="00795837"/>
    <w:rsid w:val="007A6296"/>
    <w:rsid w:val="007A644C"/>
    <w:rsid w:val="007B6BA5"/>
    <w:rsid w:val="007C1B62"/>
    <w:rsid w:val="007C3390"/>
    <w:rsid w:val="007C4F4B"/>
    <w:rsid w:val="007D2CDC"/>
    <w:rsid w:val="007D5327"/>
    <w:rsid w:val="007E1C82"/>
    <w:rsid w:val="007F0BFE"/>
    <w:rsid w:val="007F0CD3"/>
    <w:rsid w:val="007F6611"/>
    <w:rsid w:val="00806E88"/>
    <w:rsid w:val="008140A7"/>
    <w:rsid w:val="008140EF"/>
    <w:rsid w:val="00815414"/>
    <w:rsid w:val="008155C3"/>
    <w:rsid w:val="008175E9"/>
    <w:rsid w:val="0082243E"/>
    <w:rsid w:val="008242D7"/>
    <w:rsid w:val="00837D98"/>
    <w:rsid w:val="008415FF"/>
    <w:rsid w:val="008418FB"/>
    <w:rsid w:val="00845712"/>
    <w:rsid w:val="00856CD2"/>
    <w:rsid w:val="008577E9"/>
    <w:rsid w:val="00861BC6"/>
    <w:rsid w:val="00864A73"/>
    <w:rsid w:val="00866F82"/>
    <w:rsid w:val="00870067"/>
    <w:rsid w:val="00871FD5"/>
    <w:rsid w:val="00880C4F"/>
    <w:rsid w:val="00883892"/>
    <w:rsid w:val="0088643A"/>
    <w:rsid w:val="00892CC9"/>
    <w:rsid w:val="008979B1"/>
    <w:rsid w:val="008A55FC"/>
    <w:rsid w:val="008A6B25"/>
    <w:rsid w:val="008A6C4F"/>
    <w:rsid w:val="008C0064"/>
    <w:rsid w:val="008C1E4D"/>
    <w:rsid w:val="008C4E12"/>
    <w:rsid w:val="008E0CBA"/>
    <w:rsid w:val="008E0E46"/>
    <w:rsid w:val="008E339A"/>
    <w:rsid w:val="008E44AF"/>
    <w:rsid w:val="008E57D1"/>
    <w:rsid w:val="008E7B2F"/>
    <w:rsid w:val="008E7DAC"/>
    <w:rsid w:val="0090452C"/>
    <w:rsid w:val="00907C3F"/>
    <w:rsid w:val="00910CB2"/>
    <w:rsid w:val="00911C5A"/>
    <w:rsid w:val="0092237C"/>
    <w:rsid w:val="009328DC"/>
    <w:rsid w:val="0093537D"/>
    <w:rsid w:val="0093707B"/>
    <w:rsid w:val="009374A1"/>
    <w:rsid w:val="009400EB"/>
    <w:rsid w:val="009427E3"/>
    <w:rsid w:val="009467D4"/>
    <w:rsid w:val="00946A56"/>
    <w:rsid w:val="00956D9B"/>
    <w:rsid w:val="00963CBA"/>
    <w:rsid w:val="009645E5"/>
    <w:rsid w:val="009654B7"/>
    <w:rsid w:val="00975D78"/>
    <w:rsid w:val="00982B2F"/>
    <w:rsid w:val="00991261"/>
    <w:rsid w:val="009A0B83"/>
    <w:rsid w:val="009B0A4C"/>
    <w:rsid w:val="009B3800"/>
    <w:rsid w:val="009C0FE1"/>
    <w:rsid w:val="009C5D40"/>
    <w:rsid w:val="009C73D6"/>
    <w:rsid w:val="009D22AC"/>
    <w:rsid w:val="009D50DB"/>
    <w:rsid w:val="009E1C4E"/>
    <w:rsid w:val="00A0106B"/>
    <w:rsid w:val="00A01326"/>
    <w:rsid w:val="00A05E0B"/>
    <w:rsid w:val="00A12307"/>
    <w:rsid w:val="00A1427D"/>
    <w:rsid w:val="00A151AC"/>
    <w:rsid w:val="00A30379"/>
    <w:rsid w:val="00A36E1F"/>
    <w:rsid w:val="00A440C7"/>
    <w:rsid w:val="00A4489D"/>
    <w:rsid w:val="00A45EA7"/>
    <w:rsid w:val="00A46122"/>
    <w:rsid w:val="00A4634F"/>
    <w:rsid w:val="00A463A0"/>
    <w:rsid w:val="00A51CF3"/>
    <w:rsid w:val="00A563A8"/>
    <w:rsid w:val="00A72F22"/>
    <w:rsid w:val="00A748A6"/>
    <w:rsid w:val="00A77E12"/>
    <w:rsid w:val="00A860D9"/>
    <w:rsid w:val="00A879A4"/>
    <w:rsid w:val="00A87E95"/>
    <w:rsid w:val="00A92E29"/>
    <w:rsid w:val="00A962BD"/>
    <w:rsid w:val="00AA0D54"/>
    <w:rsid w:val="00AA2346"/>
    <w:rsid w:val="00AC5C55"/>
    <w:rsid w:val="00AD09E9"/>
    <w:rsid w:val="00AF0576"/>
    <w:rsid w:val="00AF3829"/>
    <w:rsid w:val="00AF7DB0"/>
    <w:rsid w:val="00B02DC4"/>
    <w:rsid w:val="00B037F0"/>
    <w:rsid w:val="00B10803"/>
    <w:rsid w:val="00B172EF"/>
    <w:rsid w:val="00B2327D"/>
    <w:rsid w:val="00B2569F"/>
    <w:rsid w:val="00B2718F"/>
    <w:rsid w:val="00B30179"/>
    <w:rsid w:val="00B3317B"/>
    <w:rsid w:val="00B334DC"/>
    <w:rsid w:val="00B3631A"/>
    <w:rsid w:val="00B4053E"/>
    <w:rsid w:val="00B43BEA"/>
    <w:rsid w:val="00B53013"/>
    <w:rsid w:val="00B5445F"/>
    <w:rsid w:val="00B63F7F"/>
    <w:rsid w:val="00B65D75"/>
    <w:rsid w:val="00B67F5E"/>
    <w:rsid w:val="00B710C8"/>
    <w:rsid w:val="00B73E65"/>
    <w:rsid w:val="00B77D20"/>
    <w:rsid w:val="00B81E12"/>
    <w:rsid w:val="00B87110"/>
    <w:rsid w:val="00B97FA8"/>
    <w:rsid w:val="00BA00EB"/>
    <w:rsid w:val="00BB0FA5"/>
    <w:rsid w:val="00BB386E"/>
    <w:rsid w:val="00BC0C25"/>
    <w:rsid w:val="00BC10EB"/>
    <w:rsid w:val="00BC1385"/>
    <w:rsid w:val="00BC2F8A"/>
    <w:rsid w:val="00BC71ED"/>
    <w:rsid w:val="00BC727A"/>
    <w:rsid w:val="00BC74E9"/>
    <w:rsid w:val="00BD5D94"/>
    <w:rsid w:val="00BE618E"/>
    <w:rsid w:val="00BF1621"/>
    <w:rsid w:val="00BF17FC"/>
    <w:rsid w:val="00BF560B"/>
    <w:rsid w:val="00C01DB9"/>
    <w:rsid w:val="00C01DFF"/>
    <w:rsid w:val="00C24693"/>
    <w:rsid w:val="00C33C62"/>
    <w:rsid w:val="00C34A31"/>
    <w:rsid w:val="00C34BF2"/>
    <w:rsid w:val="00C35F0B"/>
    <w:rsid w:val="00C463DD"/>
    <w:rsid w:val="00C50117"/>
    <w:rsid w:val="00C553AD"/>
    <w:rsid w:val="00C55B94"/>
    <w:rsid w:val="00C643B4"/>
    <w:rsid w:val="00C64458"/>
    <w:rsid w:val="00C644FB"/>
    <w:rsid w:val="00C658BF"/>
    <w:rsid w:val="00C745C3"/>
    <w:rsid w:val="00C779CE"/>
    <w:rsid w:val="00C80242"/>
    <w:rsid w:val="00C80E33"/>
    <w:rsid w:val="00C90C5C"/>
    <w:rsid w:val="00C920A1"/>
    <w:rsid w:val="00C94FA3"/>
    <w:rsid w:val="00CA2A58"/>
    <w:rsid w:val="00CB0B2B"/>
    <w:rsid w:val="00CC0B55"/>
    <w:rsid w:val="00CC4848"/>
    <w:rsid w:val="00CD140F"/>
    <w:rsid w:val="00CD6995"/>
    <w:rsid w:val="00CE161E"/>
    <w:rsid w:val="00CE4A8F"/>
    <w:rsid w:val="00CF0214"/>
    <w:rsid w:val="00CF2B81"/>
    <w:rsid w:val="00CF586F"/>
    <w:rsid w:val="00CF7D43"/>
    <w:rsid w:val="00D001B3"/>
    <w:rsid w:val="00D0670F"/>
    <w:rsid w:val="00D11129"/>
    <w:rsid w:val="00D111EC"/>
    <w:rsid w:val="00D12FAC"/>
    <w:rsid w:val="00D13716"/>
    <w:rsid w:val="00D2031B"/>
    <w:rsid w:val="00D220B6"/>
    <w:rsid w:val="00D22332"/>
    <w:rsid w:val="00D226FD"/>
    <w:rsid w:val="00D25FE2"/>
    <w:rsid w:val="00D43252"/>
    <w:rsid w:val="00D52968"/>
    <w:rsid w:val="00D550F9"/>
    <w:rsid w:val="00D572B0"/>
    <w:rsid w:val="00D62E90"/>
    <w:rsid w:val="00D62F07"/>
    <w:rsid w:val="00D76BE5"/>
    <w:rsid w:val="00D978C6"/>
    <w:rsid w:val="00DA67AD"/>
    <w:rsid w:val="00DA75F7"/>
    <w:rsid w:val="00DB18CE"/>
    <w:rsid w:val="00DB3860"/>
    <w:rsid w:val="00DB7AD8"/>
    <w:rsid w:val="00DC17C5"/>
    <w:rsid w:val="00DC7A65"/>
    <w:rsid w:val="00DE35D1"/>
    <w:rsid w:val="00DE3EC0"/>
    <w:rsid w:val="00DE729B"/>
    <w:rsid w:val="00DF1997"/>
    <w:rsid w:val="00E00192"/>
    <w:rsid w:val="00E03EDB"/>
    <w:rsid w:val="00E05629"/>
    <w:rsid w:val="00E06DDB"/>
    <w:rsid w:val="00E11593"/>
    <w:rsid w:val="00E12B6B"/>
    <w:rsid w:val="00E130AB"/>
    <w:rsid w:val="00E16259"/>
    <w:rsid w:val="00E2256E"/>
    <w:rsid w:val="00E3545A"/>
    <w:rsid w:val="00E438D9"/>
    <w:rsid w:val="00E47DA1"/>
    <w:rsid w:val="00E50EAC"/>
    <w:rsid w:val="00E5644E"/>
    <w:rsid w:val="00E61412"/>
    <w:rsid w:val="00E62209"/>
    <w:rsid w:val="00E7260F"/>
    <w:rsid w:val="00E806EE"/>
    <w:rsid w:val="00E859F2"/>
    <w:rsid w:val="00E87BA9"/>
    <w:rsid w:val="00E90382"/>
    <w:rsid w:val="00E945F7"/>
    <w:rsid w:val="00E96630"/>
    <w:rsid w:val="00EA4300"/>
    <w:rsid w:val="00EB0FB9"/>
    <w:rsid w:val="00EC6382"/>
    <w:rsid w:val="00ED0CA9"/>
    <w:rsid w:val="00ED108E"/>
    <w:rsid w:val="00ED7A2A"/>
    <w:rsid w:val="00EE1C29"/>
    <w:rsid w:val="00EF0DD5"/>
    <w:rsid w:val="00EF1D7F"/>
    <w:rsid w:val="00EF5BDB"/>
    <w:rsid w:val="00F00B42"/>
    <w:rsid w:val="00F07FD9"/>
    <w:rsid w:val="00F23933"/>
    <w:rsid w:val="00F24119"/>
    <w:rsid w:val="00F25203"/>
    <w:rsid w:val="00F267F5"/>
    <w:rsid w:val="00F27CFD"/>
    <w:rsid w:val="00F3470B"/>
    <w:rsid w:val="00F40E75"/>
    <w:rsid w:val="00F42CD9"/>
    <w:rsid w:val="00F52936"/>
    <w:rsid w:val="00F551FF"/>
    <w:rsid w:val="00F64D22"/>
    <w:rsid w:val="00F677CB"/>
    <w:rsid w:val="00F76288"/>
    <w:rsid w:val="00F827BA"/>
    <w:rsid w:val="00F857C3"/>
    <w:rsid w:val="00F90635"/>
    <w:rsid w:val="00F96B0C"/>
    <w:rsid w:val="00FA12D6"/>
    <w:rsid w:val="00FA3980"/>
    <w:rsid w:val="00FA7DF3"/>
    <w:rsid w:val="00FB01D1"/>
    <w:rsid w:val="00FC3640"/>
    <w:rsid w:val="00FC386B"/>
    <w:rsid w:val="00FC68B7"/>
    <w:rsid w:val="00FD4BB7"/>
    <w:rsid w:val="00FD7C12"/>
    <w:rsid w:val="00FE0E72"/>
    <w:rsid w:val="00FF195E"/>
    <w:rsid w:val="00FF2392"/>
    <w:rsid w:val="00FF447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2B2719"/>
    <w:rPr>
      <w:sz w:val="18"/>
      <w:lang w:eastAsia="en-US"/>
    </w:rPr>
  </w:style>
  <w:style w:type="character" w:customStyle="1" w:styleId="SingleTxtGChar">
    <w:name w:val="_ Single Txt_G Char"/>
    <w:link w:val="SingleTxtG"/>
    <w:rsid w:val="002B2719"/>
    <w:rPr>
      <w:lang w:eastAsia="en-US"/>
    </w:rPr>
  </w:style>
  <w:style w:type="character" w:customStyle="1" w:styleId="HeaderChar">
    <w:name w:val="Header Char"/>
    <w:aliases w:val="6_G Char"/>
    <w:link w:val="Header"/>
    <w:uiPriority w:val="99"/>
    <w:rsid w:val="002B2719"/>
    <w:rPr>
      <w:b/>
      <w:sz w:val="18"/>
      <w:lang w:eastAsia="en-US"/>
    </w:rPr>
  </w:style>
  <w:style w:type="character" w:customStyle="1" w:styleId="FooterChar">
    <w:name w:val="Footer Char"/>
    <w:aliases w:val="3_G Char"/>
    <w:link w:val="Footer"/>
    <w:uiPriority w:val="99"/>
    <w:rsid w:val="002B2719"/>
    <w:rPr>
      <w:sz w:val="16"/>
      <w:lang w:eastAsia="en-US"/>
    </w:rPr>
  </w:style>
  <w:style w:type="paragraph" w:styleId="BalloonText">
    <w:name w:val="Balloon Text"/>
    <w:basedOn w:val="Normal"/>
    <w:link w:val="BalloonTextChar"/>
    <w:uiPriority w:val="99"/>
    <w:unhideWhenUsed/>
    <w:rsid w:val="002B2719"/>
    <w:pPr>
      <w:suppressAutoHyphens w:val="0"/>
      <w:spacing w:line="240" w:lineRule="auto"/>
    </w:pPr>
    <w:rPr>
      <w:rFonts w:ascii="Tahoma" w:eastAsia="Calibri" w:hAnsi="Tahoma" w:cs="Tahoma"/>
      <w:sz w:val="16"/>
      <w:szCs w:val="16"/>
    </w:rPr>
  </w:style>
  <w:style w:type="character" w:customStyle="1" w:styleId="BalloonTextChar">
    <w:name w:val="Balloon Text Char"/>
    <w:link w:val="BalloonText"/>
    <w:uiPriority w:val="99"/>
    <w:rsid w:val="002B2719"/>
    <w:rPr>
      <w:rFonts w:ascii="Tahoma" w:eastAsia="Calibri" w:hAnsi="Tahoma" w:cs="Tahoma"/>
      <w:sz w:val="16"/>
      <w:szCs w:val="16"/>
      <w:lang w:eastAsia="en-US"/>
    </w:rPr>
  </w:style>
  <w:style w:type="character" w:styleId="CommentReference">
    <w:name w:val="annotation reference"/>
    <w:rsid w:val="00795837"/>
    <w:rPr>
      <w:sz w:val="16"/>
      <w:szCs w:val="16"/>
    </w:rPr>
  </w:style>
  <w:style w:type="paragraph" w:styleId="CommentText">
    <w:name w:val="annotation text"/>
    <w:basedOn w:val="Normal"/>
    <w:link w:val="CommentTextChar"/>
    <w:rsid w:val="00795837"/>
  </w:style>
  <w:style w:type="character" w:customStyle="1" w:styleId="CommentTextChar">
    <w:name w:val="Comment Text Char"/>
    <w:link w:val="CommentText"/>
    <w:rsid w:val="00795837"/>
    <w:rPr>
      <w:lang w:eastAsia="en-US"/>
    </w:rPr>
  </w:style>
  <w:style w:type="paragraph" w:styleId="CommentSubject">
    <w:name w:val="annotation subject"/>
    <w:basedOn w:val="CommentText"/>
    <w:next w:val="CommentText"/>
    <w:link w:val="CommentSubjectChar"/>
    <w:rsid w:val="00795837"/>
    <w:rPr>
      <w:b/>
      <w:bCs/>
    </w:rPr>
  </w:style>
  <w:style w:type="character" w:customStyle="1" w:styleId="CommentSubjectChar">
    <w:name w:val="Comment Subject Char"/>
    <w:link w:val="CommentSubject"/>
    <w:rsid w:val="00795837"/>
    <w:rPr>
      <w:b/>
      <w:bCs/>
      <w:lang w:eastAsia="en-US"/>
    </w:rPr>
  </w:style>
  <w:style w:type="paragraph" w:styleId="Revision">
    <w:name w:val="Revision"/>
    <w:hidden/>
    <w:uiPriority w:val="99"/>
    <w:semiHidden/>
    <w:rsid w:val="00BD5D94"/>
    <w:rPr>
      <w:lang w:eastAsia="en-US"/>
    </w:rPr>
  </w:style>
  <w:style w:type="character" w:styleId="Emphasis">
    <w:name w:val="Emphasis"/>
    <w:basedOn w:val="DefaultParagraphFont"/>
    <w:qFormat/>
    <w:rsid w:val="001E76E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2B2719"/>
    <w:rPr>
      <w:sz w:val="18"/>
      <w:lang w:eastAsia="en-US"/>
    </w:rPr>
  </w:style>
  <w:style w:type="character" w:customStyle="1" w:styleId="SingleTxtGChar">
    <w:name w:val="_ Single Txt_G Char"/>
    <w:link w:val="SingleTxtG"/>
    <w:rsid w:val="002B2719"/>
    <w:rPr>
      <w:lang w:eastAsia="en-US"/>
    </w:rPr>
  </w:style>
  <w:style w:type="character" w:customStyle="1" w:styleId="HeaderChar">
    <w:name w:val="Header Char"/>
    <w:aliases w:val="6_G Char"/>
    <w:link w:val="Header"/>
    <w:uiPriority w:val="99"/>
    <w:rsid w:val="002B2719"/>
    <w:rPr>
      <w:b/>
      <w:sz w:val="18"/>
      <w:lang w:eastAsia="en-US"/>
    </w:rPr>
  </w:style>
  <w:style w:type="character" w:customStyle="1" w:styleId="FooterChar">
    <w:name w:val="Footer Char"/>
    <w:aliases w:val="3_G Char"/>
    <w:link w:val="Footer"/>
    <w:uiPriority w:val="99"/>
    <w:rsid w:val="002B2719"/>
    <w:rPr>
      <w:sz w:val="16"/>
      <w:lang w:eastAsia="en-US"/>
    </w:rPr>
  </w:style>
  <w:style w:type="paragraph" w:styleId="BalloonText">
    <w:name w:val="Balloon Text"/>
    <w:basedOn w:val="Normal"/>
    <w:link w:val="BalloonTextChar"/>
    <w:uiPriority w:val="99"/>
    <w:unhideWhenUsed/>
    <w:rsid w:val="002B2719"/>
    <w:pPr>
      <w:suppressAutoHyphens w:val="0"/>
      <w:spacing w:line="240" w:lineRule="auto"/>
    </w:pPr>
    <w:rPr>
      <w:rFonts w:ascii="Tahoma" w:eastAsia="Calibri" w:hAnsi="Tahoma" w:cs="Tahoma"/>
      <w:sz w:val="16"/>
      <w:szCs w:val="16"/>
    </w:rPr>
  </w:style>
  <w:style w:type="character" w:customStyle="1" w:styleId="BalloonTextChar">
    <w:name w:val="Balloon Text Char"/>
    <w:link w:val="BalloonText"/>
    <w:uiPriority w:val="99"/>
    <w:rsid w:val="002B2719"/>
    <w:rPr>
      <w:rFonts w:ascii="Tahoma" w:eastAsia="Calibri" w:hAnsi="Tahoma" w:cs="Tahoma"/>
      <w:sz w:val="16"/>
      <w:szCs w:val="16"/>
      <w:lang w:eastAsia="en-US"/>
    </w:rPr>
  </w:style>
  <w:style w:type="character" w:styleId="CommentReference">
    <w:name w:val="annotation reference"/>
    <w:rsid w:val="00795837"/>
    <w:rPr>
      <w:sz w:val="16"/>
      <w:szCs w:val="16"/>
    </w:rPr>
  </w:style>
  <w:style w:type="paragraph" w:styleId="CommentText">
    <w:name w:val="annotation text"/>
    <w:basedOn w:val="Normal"/>
    <w:link w:val="CommentTextChar"/>
    <w:rsid w:val="00795837"/>
  </w:style>
  <w:style w:type="character" w:customStyle="1" w:styleId="CommentTextChar">
    <w:name w:val="Comment Text Char"/>
    <w:link w:val="CommentText"/>
    <w:rsid w:val="00795837"/>
    <w:rPr>
      <w:lang w:eastAsia="en-US"/>
    </w:rPr>
  </w:style>
  <w:style w:type="paragraph" w:styleId="CommentSubject">
    <w:name w:val="annotation subject"/>
    <w:basedOn w:val="CommentText"/>
    <w:next w:val="CommentText"/>
    <w:link w:val="CommentSubjectChar"/>
    <w:rsid w:val="00795837"/>
    <w:rPr>
      <w:b/>
      <w:bCs/>
    </w:rPr>
  </w:style>
  <w:style w:type="character" w:customStyle="1" w:styleId="CommentSubjectChar">
    <w:name w:val="Comment Subject Char"/>
    <w:link w:val="CommentSubject"/>
    <w:rsid w:val="00795837"/>
    <w:rPr>
      <w:b/>
      <w:bCs/>
      <w:lang w:eastAsia="en-US"/>
    </w:rPr>
  </w:style>
  <w:style w:type="paragraph" w:styleId="Revision">
    <w:name w:val="Revision"/>
    <w:hidden/>
    <w:uiPriority w:val="99"/>
    <w:semiHidden/>
    <w:rsid w:val="00BD5D94"/>
    <w:rPr>
      <w:lang w:eastAsia="en-US"/>
    </w:rPr>
  </w:style>
  <w:style w:type="character" w:styleId="Emphasis">
    <w:name w:val="Emphasis"/>
    <w:basedOn w:val="DefaultParagraphFont"/>
    <w:qFormat/>
    <w:rsid w:val="001E76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684617">
      <w:bodyDiv w:val="1"/>
      <w:marLeft w:val="0"/>
      <w:marRight w:val="0"/>
      <w:marTop w:val="0"/>
      <w:marBottom w:val="0"/>
      <w:divBdr>
        <w:top w:val="none" w:sz="0" w:space="0" w:color="auto"/>
        <w:left w:val="none" w:sz="0" w:space="0" w:color="auto"/>
        <w:bottom w:val="none" w:sz="0" w:space="0" w:color="auto"/>
        <w:right w:val="none" w:sz="0" w:space="0" w:color="auto"/>
      </w:divBdr>
    </w:div>
    <w:div w:id="434863398">
      <w:bodyDiv w:val="1"/>
      <w:marLeft w:val="0"/>
      <w:marRight w:val="0"/>
      <w:marTop w:val="0"/>
      <w:marBottom w:val="0"/>
      <w:divBdr>
        <w:top w:val="none" w:sz="0" w:space="0" w:color="auto"/>
        <w:left w:val="none" w:sz="0" w:space="0" w:color="auto"/>
        <w:bottom w:val="none" w:sz="0" w:space="0" w:color="auto"/>
        <w:right w:val="none" w:sz="0" w:space="0" w:color="auto"/>
      </w:divBdr>
    </w:div>
    <w:div w:id="121065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48052E-BC0C-497A-871E-2AABAD3463FD}"/>
</file>

<file path=customXml/itemProps2.xml><?xml version="1.0" encoding="utf-8"?>
<ds:datastoreItem xmlns:ds="http://schemas.openxmlformats.org/officeDocument/2006/customXml" ds:itemID="{A814509F-0D20-42E6-A069-C9592A18DF92}"/>
</file>

<file path=customXml/itemProps3.xml><?xml version="1.0" encoding="utf-8"?>
<ds:datastoreItem xmlns:ds="http://schemas.openxmlformats.org/officeDocument/2006/customXml" ds:itemID="{F4ECE56F-C4DE-44FB-9C22-2B03800F85D4}"/>
</file>

<file path=customXml/itemProps4.xml><?xml version="1.0" encoding="utf-8"?>
<ds:datastoreItem xmlns:ds="http://schemas.openxmlformats.org/officeDocument/2006/customXml" ds:itemID="{734CA6D5-C102-49AD-AE93-C1E88DF71E12}"/>
</file>

<file path=docProps/app.xml><?xml version="1.0" encoding="utf-8"?>
<Properties xmlns="http://schemas.openxmlformats.org/officeDocument/2006/extended-properties" xmlns:vt="http://schemas.openxmlformats.org/officeDocument/2006/docPropsVTypes">
  <Template>A_E</Template>
  <TotalTime>0</TotalTime>
  <Pages>16</Pages>
  <Words>6810</Words>
  <Characters>38820</Characters>
  <Application>Microsoft Office Word</Application>
  <DocSecurity>4</DocSecurity>
  <Lines>323</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45539</CharactersWithSpaces>
  <SharedDoc>false</SharedDoc>
  <HLinks>
    <vt:vector size="6" baseType="variant">
      <vt:variant>
        <vt:i4>262153</vt:i4>
      </vt:variant>
      <vt:variant>
        <vt:i4>0</vt:i4>
      </vt:variant>
      <vt:variant>
        <vt:i4>0</vt:i4>
      </vt:variant>
      <vt:variant>
        <vt:i4>5</vt:i4>
      </vt:variant>
      <vt:variant>
        <vt:lpwstr>http:///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on the impact of the world drug problem on the enjoyment of human rights in English</dc:title>
  <dc:creator>Ian Lanel</dc:creator>
  <cp:lastModifiedBy>Somova Iuliia</cp:lastModifiedBy>
  <cp:revision>2</cp:revision>
  <cp:lastPrinted>2015-08-13T13:17:00Z</cp:lastPrinted>
  <dcterms:created xsi:type="dcterms:W3CDTF">2015-09-16T14:36:00Z</dcterms:created>
  <dcterms:modified xsi:type="dcterms:W3CDTF">2015-09-16T14:36:00Z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41400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