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05AAD" w:rsidTr="00E806EE">
        <w:trPr>
          <w:trHeight w:val="851"/>
        </w:trPr>
        <w:tc>
          <w:tcPr>
            <w:tcW w:w="1259" w:type="dxa"/>
            <w:tcBorders>
              <w:top w:val="nil"/>
              <w:left w:val="nil"/>
              <w:bottom w:val="single" w:sz="4" w:space="0" w:color="auto"/>
              <w:right w:val="nil"/>
            </w:tcBorders>
          </w:tcPr>
          <w:p w:rsidR="00446DE4" w:rsidRPr="00457259" w:rsidRDefault="00446DE4" w:rsidP="00457259">
            <w:pPr>
              <w:tabs>
                <w:tab w:val="right" w:pos="850"/>
                <w:tab w:val="left" w:pos="1134"/>
                <w:tab w:val="right" w:leader="dot" w:pos="8504"/>
              </w:tabs>
              <w:spacing w:line="20" w:lineRule="exact"/>
              <w:rPr>
                <w:sz w:val="2"/>
              </w:rPr>
            </w:pPr>
            <w:bookmarkStart w:id="0" w:name="_GoBack"/>
            <w:bookmarkEnd w:id="0"/>
          </w:p>
          <w:p w:rsidR="00457259" w:rsidRPr="00405AAD" w:rsidRDefault="00457259"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405AAD" w:rsidRDefault="00B3317B" w:rsidP="0022130F">
            <w:pPr>
              <w:spacing w:after="80" w:line="300" w:lineRule="exact"/>
              <w:rPr>
                <w:sz w:val="28"/>
                <w:szCs w:val="28"/>
              </w:rPr>
            </w:pPr>
            <w:r w:rsidRPr="00405AAD">
              <w:rPr>
                <w:sz w:val="28"/>
                <w:szCs w:val="28"/>
              </w:rPr>
              <w:t>United Nations</w:t>
            </w:r>
          </w:p>
        </w:tc>
        <w:tc>
          <w:tcPr>
            <w:tcW w:w="6144" w:type="dxa"/>
            <w:gridSpan w:val="2"/>
            <w:tcBorders>
              <w:top w:val="nil"/>
              <w:left w:val="nil"/>
              <w:bottom w:val="single" w:sz="4" w:space="0" w:color="auto"/>
              <w:right w:val="nil"/>
            </w:tcBorders>
            <w:vAlign w:val="bottom"/>
          </w:tcPr>
          <w:p w:rsidR="00446DE4" w:rsidRPr="00405AAD" w:rsidRDefault="00875339" w:rsidP="0006425B">
            <w:pPr>
              <w:jc w:val="right"/>
            </w:pPr>
            <w:r w:rsidRPr="00405AAD">
              <w:rPr>
                <w:sz w:val="40"/>
              </w:rPr>
              <w:t>A</w:t>
            </w:r>
            <w:r w:rsidRPr="00405AAD">
              <w:t>/HRC/</w:t>
            </w:r>
            <w:r w:rsidR="00277989" w:rsidRPr="00405AAD">
              <w:t>30/66</w:t>
            </w:r>
          </w:p>
        </w:tc>
      </w:tr>
      <w:tr w:rsidR="003107FA" w:rsidRPr="00405AAD" w:rsidTr="00E806EE">
        <w:trPr>
          <w:trHeight w:val="2835"/>
        </w:trPr>
        <w:tc>
          <w:tcPr>
            <w:tcW w:w="1259" w:type="dxa"/>
            <w:tcBorders>
              <w:top w:val="single" w:sz="4" w:space="0" w:color="auto"/>
              <w:left w:val="nil"/>
              <w:bottom w:val="single" w:sz="12" w:space="0" w:color="auto"/>
              <w:right w:val="nil"/>
            </w:tcBorders>
          </w:tcPr>
          <w:p w:rsidR="003107FA" w:rsidRPr="00405AAD" w:rsidRDefault="00670432" w:rsidP="00956D9B">
            <w:pPr>
              <w:spacing w:before="120"/>
              <w:jc w:val="center"/>
            </w:pPr>
            <w:r w:rsidRPr="00405AAD">
              <w:rPr>
                <w:noProof/>
                <w:lang w:eastAsia="en-GB"/>
              </w:rPr>
              <w:drawing>
                <wp:inline distT="0" distB="0" distL="0" distR="0" wp14:anchorId="107BA92C" wp14:editId="7315AE52">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405AAD" w:rsidRDefault="00B3317B" w:rsidP="00EF5BDB">
            <w:pPr>
              <w:spacing w:before="120" w:line="420" w:lineRule="exact"/>
              <w:rPr>
                <w:b/>
                <w:sz w:val="40"/>
                <w:szCs w:val="40"/>
              </w:rPr>
            </w:pPr>
            <w:r w:rsidRPr="00405AAD">
              <w:rPr>
                <w:b/>
                <w:sz w:val="40"/>
                <w:szCs w:val="40"/>
              </w:rPr>
              <w:t>General Assembly</w:t>
            </w:r>
          </w:p>
        </w:tc>
        <w:tc>
          <w:tcPr>
            <w:tcW w:w="2930" w:type="dxa"/>
            <w:tcBorders>
              <w:top w:val="single" w:sz="4" w:space="0" w:color="auto"/>
              <w:left w:val="nil"/>
              <w:bottom w:val="single" w:sz="12" w:space="0" w:color="auto"/>
              <w:right w:val="nil"/>
            </w:tcBorders>
          </w:tcPr>
          <w:p w:rsidR="003107FA" w:rsidRPr="00405AAD" w:rsidRDefault="00875339" w:rsidP="00875339">
            <w:pPr>
              <w:spacing w:before="240" w:line="240" w:lineRule="exact"/>
            </w:pPr>
            <w:r w:rsidRPr="00405AAD">
              <w:t>Distr.: General</w:t>
            </w:r>
          </w:p>
          <w:p w:rsidR="00875339" w:rsidRPr="00405AAD" w:rsidRDefault="002C2AEE" w:rsidP="00213CE6">
            <w:pPr>
              <w:spacing w:line="240" w:lineRule="exact"/>
            </w:pPr>
            <w:r>
              <w:t>2</w:t>
            </w:r>
            <w:r w:rsidR="00115BF9">
              <w:t>7</w:t>
            </w:r>
            <w:r w:rsidR="00277989" w:rsidRPr="00405AAD">
              <w:t xml:space="preserve"> July </w:t>
            </w:r>
            <w:r w:rsidR="00802DD1" w:rsidRPr="00405AAD">
              <w:t>2015</w:t>
            </w:r>
          </w:p>
          <w:p w:rsidR="00875339" w:rsidRPr="00405AAD" w:rsidRDefault="00875339" w:rsidP="00875339">
            <w:pPr>
              <w:spacing w:line="240" w:lineRule="exact"/>
            </w:pPr>
          </w:p>
          <w:p w:rsidR="00875339" w:rsidRPr="00405AAD" w:rsidRDefault="00875339" w:rsidP="00875339">
            <w:pPr>
              <w:spacing w:line="240" w:lineRule="exact"/>
            </w:pPr>
            <w:r w:rsidRPr="00405AAD">
              <w:t>Original: English</w:t>
            </w:r>
          </w:p>
        </w:tc>
      </w:tr>
    </w:tbl>
    <w:p w:rsidR="00875339" w:rsidRPr="00405AAD" w:rsidRDefault="00875339" w:rsidP="00D20528">
      <w:pPr>
        <w:spacing w:before="120"/>
      </w:pPr>
      <w:r w:rsidRPr="00405AAD">
        <w:rPr>
          <w:b/>
          <w:sz w:val="24"/>
        </w:rPr>
        <w:t>Human Rights Council</w:t>
      </w:r>
      <w:r w:rsidRPr="00405AAD">
        <w:rPr>
          <w:b/>
          <w:sz w:val="24"/>
        </w:rPr>
        <w:br/>
      </w:r>
      <w:r w:rsidR="00FE624F" w:rsidRPr="00405AAD">
        <w:rPr>
          <w:b/>
        </w:rPr>
        <w:t>Thirtieth</w:t>
      </w:r>
      <w:r w:rsidRPr="00405AAD">
        <w:rPr>
          <w:b/>
        </w:rPr>
        <w:t xml:space="preserve"> session </w:t>
      </w:r>
      <w:r w:rsidRPr="00405AAD">
        <w:rPr>
          <w:b/>
        </w:rPr>
        <w:br/>
      </w:r>
      <w:r w:rsidR="000E7D07" w:rsidRPr="00405AAD">
        <w:t>Agenda item 10</w:t>
      </w:r>
    </w:p>
    <w:p w:rsidR="00104EC9" w:rsidRPr="00405AAD" w:rsidRDefault="00104EC9" w:rsidP="00130E38">
      <w:pPr>
        <w:spacing w:after="120"/>
        <w:rPr>
          <w:b/>
        </w:rPr>
      </w:pPr>
      <w:r w:rsidRPr="00405AAD">
        <w:rPr>
          <w:b/>
        </w:rPr>
        <w:t>Technical assistance and capacity-building</w:t>
      </w:r>
    </w:p>
    <w:p w:rsidR="003601F9" w:rsidRPr="00405AAD" w:rsidRDefault="006B6511" w:rsidP="00277989">
      <w:pPr>
        <w:pStyle w:val="HChG"/>
      </w:pPr>
      <w:r w:rsidRPr="00405AAD">
        <w:tab/>
      </w:r>
      <w:r w:rsidR="00277989" w:rsidRPr="00405AAD">
        <w:tab/>
      </w:r>
      <w:r w:rsidR="003601F9" w:rsidRPr="00D324D7">
        <w:t>T</w:t>
      </w:r>
      <w:r w:rsidR="00277989" w:rsidRPr="00405AAD">
        <w:t>echnical assistance provided to assist in the promotion and protection of human rights in Iraq</w:t>
      </w:r>
      <w:r w:rsidR="003601F9" w:rsidRPr="00405AAD">
        <w:t xml:space="preserve"> </w:t>
      </w:r>
    </w:p>
    <w:p w:rsidR="00277989" w:rsidRPr="00405AAD" w:rsidRDefault="003601F9" w:rsidP="00277989">
      <w:pPr>
        <w:pStyle w:val="HChG"/>
      </w:pPr>
      <w:r w:rsidRPr="00405AAD">
        <w:tab/>
      </w:r>
      <w:r w:rsidRPr="00405AAD">
        <w:tab/>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277989" w:rsidRPr="00405AAD" w:rsidTr="00372385">
        <w:trPr>
          <w:jc w:val="center"/>
        </w:trPr>
        <w:tc>
          <w:tcPr>
            <w:tcW w:w="9637" w:type="dxa"/>
            <w:shd w:val="clear" w:color="auto" w:fill="auto"/>
          </w:tcPr>
          <w:p w:rsidR="00277989" w:rsidRPr="00405AAD" w:rsidRDefault="00277989" w:rsidP="00372385">
            <w:pPr>
              <w:spacing w:before="240" w:after="120"/>
              <w:ind w:left="255"/>
              <w:rPr>
                <w:i/>
                <w:sz w:val="24"/>
              </w:rPr>
            </w:pPr>
            <w:r w:rsidRPr="00405AAD">
              <w:rPr>
                <w:i/>
                <w:sz w:val="24"/>
              </w:rPr>
              <w:t>Summary</w:t>
            </w:r>
          </w:p>
        </w:tc>
      </w:tr>
      <w:tr w:rsidR="00277989" w:rsidRPr="00405AAD" w:rsidTr="00372385">
        <w:trPr>
          <w:jc w:val="center"/>
        </w:trPr>
        <w:tc>
          <w:tcPr>
            <w:tcW w:w="9637" w:type="dxa"/>
            <w:shd w:val="clear" w:color="auto" w:fill="auto"/>
          </w:tcPr>
          <w:p w:rsidR="00277989" w:rsidRPr="00405AAD" w:rsidRDefault="003601F9" w:rsidP="00372385">
            <w:pPr>
              <w:pStyle w:val="SingleTxtG"/>
              <w:ind w:firstLine="567"/>
            </w:pPr>
            <w:r w:rsidRPr="00405AAD">
              <w:t>In t</w:t>
            </w:r>
            <w:r w:rsidR="00277989" w:rsidRPr="00405AAD">
              <w:t xml:space="preserve">he present report, submitted pursuant to Human Rights Council resolution 28/32, </w:t>
            </w:r>
            <w:r w:rsidRPr="00405AAD">
              <w:t>the United Nations High Commissioner for Human Rights describes</w:t>
            </w:r>
            <w:r w:rsidR="00277989" w:rsidRPr="00405AAD">
              <w:t xml:space="preserve"> the human rights-related challenges in Iraq and the technical assistance provided by the Human Rights Office of the United Nations Assistance Mission </w:t>
            </w:r>
            <w:r w:rsidR="00366B05">
              <w:t>for</w:t>
            </w:r>
            <w:r w:rsidR="00366B05" w:rsidRPr="00405AAD">
              <w:t xml:space="preserve"> </w:t>
            </w:r>
            <w:r w:rsidR="00277989" w:rsidRPr="00405AAD">
              <w:t xml:space="preserve">Iraq in cooperation with the Office of the </w:t>
            </w:r>
            <w:r w:rsidR="002A5C62">
              <w:t xml:space="preserve">United Nations </w:t>
            </w:r>
            <w:r w:rsidR="00277989" w:rsidRPr="00405AAD">
              <w:t xml:space="preserve">High Commissioner </w:t>
            </w:r>
            <w:r w:rsidR="00094166">
              <w:t xml:space="preserve">for Human </w:t>
            </w:r>
            <w:r w:rsidR="00277989" w:rsidRPr="00405AAD">
              <w:t>Rights.</w:t>
            </w:r>
          </w:p>
          <w:p w:rsidR="00277989" w:rsidRPr="00405AAD" w:rsidRDefault="00277989" w:rsidP="00FB5DB1">
            <w:pPr>
              <w:pStyle w:val="SingleTxtG"/>
              <w:ind w:firstLine="567"/>
            </w:pPr>
            <w:r w:rsidRPr="00405AAD">
              <w:t>The report address</w:t>
            </w:r>
            <w:r w:rsidR="00FB5DB1">
              <w:t>es</w:t>
            </w:r>
            <w:r w:rsidRPr="00405AAD">
              <w:t xml:space="preserve"> the protection of civilians</w:t>
            </w:r>
            <w:r w:rsidR="002A5C62">
              <w:t xml:space="preserve"> and</w:t>
            </w:r>
            <w:r w:rsidRPr="00405AAD">
              <w:t xml:space="preserve"> support</w:t>
            </w:r>
            <w:r w:rsidR="003601F9" w:rsidRPr="00405AAD">
              <w:t>ing</w:t>
            </w:r>
            <w:r w:rsidRPr="00405AAD">
              <w:t xml:space="preserve"> community reconciliation</w:t>
            </w:r>
            <w:r w:rsidR="002A5C62">
              <w:t>,</w:t>
            </w:r>
            <w:r w:rsidRPr="00405AAD">
              <w:t xml:space="preserve"> and </w:t>
            </w:r>
            <w:r w:rsidR="00E9704D">
              <w:t xml:space="preserve">reflects the need to </w:t>
            </w:r>
            <w:r w:rsidRPr="00405AAD">
              <w:t xml:space="preserve">strengthen the administration of justice, including by improving respect for due process and fair trial standards through comprehensive </w:t>
            </w:r>
            <w:r w:rsidR="00FB5DB1">
              <w:t>legal and institutional</w:t>
            </w:r>
            <w:r w:rsidRPr="00405AAD">
              <w:t xml:space="preserve"> reform</w:t>
            </w:r>
            <w:r w:rsidR="00FB5DB1">
              <w:t>s</w:t>
            </w:r>
            <w:r w:rsidRPr="00405AAD">
              <w:t>.</w:t>
            </w:r>
          </w:p>
        </w:tc>
      </w:tr>
      <w:tr w:rsidR="00277989" w:rsidRPr="00405AAD" w:rsidTr="00372385">
        <w:trPr>
          <w:jc w:val="center"/>
        </w:trPr>
        <w:tc>
          <w:tcPr>
            <w:tcW w:w="9637" w:type="dxa"/>
            <w:shd w:val="clear" w:color="auto" w:fill="auto"/>
          </w:tcPr>
          <w:p w:rsidR="00277989" w:rsidRPr="00405AAD" w:rsidRDefault="00277989" w:rsidP="00372385"/>
        </w:tc>
      </w:tr>
    </w:tbl>
    <w:p w:rsidR="00CF586F" w:rsidRPr="00893F80" w:rsidRDefault="00723C5D" w:rsidP="00C42397">
      <w:pPr>
        <w:rPr>
          <w:sz w:val="28"/>
        </w:rPr>
      </w:pPr>
      <w:r w:rsidRPr="00405AAD">
        <w:rPr>
          <w:sz w:val="28"/>
        </w:rPr>
        <w:br w:type="page"/>
      </w:r>
      <w:r w:rsidR="00875339" w:rsidRPr="00893F80">
        <w:rPr>
          <w:sz w:val="28"/>
        </w:rPr>
        <w:lastRenderedPageBreak/>
        <w:t>Contents</w:t>
      </w:r>
    </w:p>
    <w:p w:rsidR="00875339" w:rsidRPr="00893F80" w:rsidRDefault="00875339" w:rsidP="00875339">
      <w:pPr>
        <w:tabs>
          <w:tab w:val="right" w:pos="8929"/>
          <w:tab w:val="right" w:pos="9638"/>
        </w:tabs>
        <w:spacing w:after="120"/>
        <w:ind w:left="283"/>
      </w:pPr>
      <w:r w:rsidRPr="00893F80">
        <w:rPr>
          <w:i/>
          <w:sz w:val="18"/>
        </w:rPr>
        <w:tab/>
      </w:r>
      <w:r w:rsidRPr="00893F80">
        <w:rPr>
          <w:i/>
          <w:sz w:val="18"/>
        </w:rPr>
        <w:tab/>
        <w:t>Page</w:t>
      </w:r>
    </w:p>
    <w:p w:rsidR="00875339" w:rsidRPr="00405AAD" w:rsidRDefault="00875339" w:rsidP="00D76194">
      <w:pPr>
        <w:tabs>
          <w:tab w:val="right" w:pos="850"/>
          <w:tab w:val="left" w:pos="1134"/>
          <w:tab w:val="left" w:pos="1559"/>
          <w:tab w:val="left" w:pos="1984"/>
          <w:tab w:val="left" w:leader="dot" w:pos="8931"/>
          <w:tab w:val="right" w:pos="9638"/>
        </w:tabs>
        <w:spacing w:after="120"/>
      </w:pPr>
      <w:r w:rsidRPr="00405AAD">
        <w:tab/>
      </w:r>
      <w:r w:rsidR="001579B7" w:rsidRPr="00D324D7">
        <w:t>I.</w:t>
      </w:r>
      <w:r w:rsidR="001579B7" w:rsidRPr="00D324D7">
        <w:tab/>
      </w:r>
      <w:r w:rsidR="00D76194" w:rsidRPr="00405AAD">
        <w:t>Introduction</w:t>
      </w:r>
      <w:r w:rsidR="00D76194" w:rsidRPr="00405AAD">
        <w:tab/>
      </w:r>
      <w:r w:rsidR="00D76194" w:rsidRPr="00405AAD">
        <w:tab/>
      </w:r>
      <w:r w:rsidR="00EF2309">
        <w:t>3</w:t>
      </w:r>
    </w:p>
    <w:p w:rsidR="00875339" w:rsidRPr="00405AAD" w:rsidRDefault="00875339" w:rsidP="00D76194">
      <w:pPr>
        <w:tabs>
          <w:tab w:val="right" w:pos="850"/>
          <w:tab w:val="left" w:pos="1134"/>
          <w:tab w:val="left" w:pos="1559"/>
          <w:tab w:val="left" w:pos="1984"/>
          <w:tab w:val="left" w:leader="dot" w:pos="8931"/>
          <w:tab w:val="right" w:pos="9638"/>
        </w:tabs>
        <w:spacing w:after="120"/>
      </w:pPr>
      <w:r w:rsidRPr="00405AAD">
        <w:tab/>
        <w:t>II.</w:t>
      </w:r>
      <w:r w:rsidRPr="00405AAD">
        <w:tab/>
      </w:r>
      <w:r w:rsidR="00E86A7D" w:rsidRPr="00405AAD">
        <w:t>Background</w:t>
      </w:r>
      <w:r w:rsidRPr="00405AAD">
        <w:tab/>
      </w:r>
      <w:r w:rsidRPr="00405AAD">
        <w:tab/>
      </w:r>
      <w:r w:rsidR="00EF2309">
        <w:t>3</w:t>
      </w:r>
    </w:p>
    <w:p w:rsidR="001579B7" w:rsidRPr="00405AAD" w:rsidRDefault="00875339" w:rsidP="00D76194">
      <w:pPr>
        <w:tabs>
          <w:tab w:val="right" w:pos="850"/>
          <w:tab w:val="left" w:pos="1134"/>
          <w:tab w:val="left" w:pos="1559"/>
          <w:tab w:val="left" w:pos="1984"/>
          <w:tab w:val="left" w:leader="dot" w:pos="8931"/>
          <w:tab w:val="right" w:pos="9638"/>
        </w:tabs>
        <w:spacing w:after="120"/>
      </w:pPr>
      <w:r w:rsidRPr="00405AAD">
        <w:tab/>
        <w:t>III.</w:t>
      </w:r>
      <w:r w:rsidRPr="00405AAD">
        <w:tab/>
      </w:r>
      <w:r w:rsidR="00EC27B8" w:rsidRPr="00405AAD">
        <w:t>H</w:t>
      </w:r>
      <w:r w:rsidR="00E86A7D" w:rsidRPr="00405AAD">
        <w:t xml:space="preserve">uman rights </w:t>
      </w:r>
      <w:r w:rsidR="00EC27B8" w:rsidRPr="00405AAD">
        <w:t>priorities</w:t>
      </w:r>
      <w:r w:rsidR="00BE0C2D" w:rsidRPr="00405AAD">
        <w:t xml:space="preserve"> </w:t>
      </w:r>
      <w:r w:rsidR="007D5A9B" w:rsidRPr="00405AAD">
        <w:t>and</w:t>
      </w:r>
      <w:r w:rsidR="00E86A7D" w:rsidRPr="00405AAD">
        <w:t xml:space="preserve"> technical </w:t>
      </w:r>
      <w:r w:rsidR="00CA23BA" w:rsidRPr="00405AAD">
        <w:t xml:space="preserve">assistance </w:t>
      </w:r>
      <w:r w:rsidR="00EC27B8" w:rsidRPr="00405AAD">
        <w:t xml:space="preserve">needs </w:t>
      </w:r>
      <w:r w:rsidRPr="00405AAD">
        <w:tab/>
      </w:r>
      <w:r w:rsidR="00665C36" w:rsidRPr="00405AAD">
        <w:tab/>
      </w:r>
      <w:r w:rsidR="00E65167">
        <w:t>5</w:t>
      </w:r>
    </w:p>
    <w:p w:rsidR="001579B7" w:rsidRPr="00405AAD" w:rsidRDefault="00875339" w:rsidP="00D76194">
      <w:pPr>
        <w:tabs>
          <w:tab w:val="right" w:pos="850"/>
          <w:tab w:val="left" w:pos="1134"/>
          <w:tab w:val="left" w:pos="1559"/>
          <w:tab w:val="left" w:pos="1984"/>
          <w:tab w:val="left" w:leader="dot" w:pos="8931"/>
          <w:tab w:val="right" w:pos="9638"/>
        </w:tabs>
        <w:spacing w:after="120"/>
      </w:pPr>
      <w:r w:rsidRPr="00405AAD">
        <w:tab/>
      </w:r>
      <w:r w:rsidRPr="00405AAD">
        <w:tab/>
        <w:t>A.</w:t>
      </w:r>
      <w:r w:rsidRPr="00405AAD">
        <w:tab/>
      </w:r>
      <w:r w:rsidR="00B8144D" w:rsidRPr="00405AAD">
        <w:t>Protection of civilians</w:t>
      </w:r>
      <w:r w:rsidRPr="00405AAD">
        <w:tab/>
      </w:r>
      <w:r w:rsidRPr="00405AAD">
        <w:tab/>
      </w:r>
      <w:r w:rsidR="00E65167">
        <w:t>5</w:t>
      </w:r>
    </w:p>
    <w:p w:rsidR="001579B7" w:rsidRPr="00405AAD" w:rsidRDefault="00875339" w:rsidP="00D76194">
      <w:pPr>
        <w:tabs>
          <w:tab w:val="right" w:pos="850"/>
          <w:tab w:val="left" w:pos="1134"/>
          <w:tab w:val="left" w:pos="1559"/>
          <w:tab w:val="left" w:pos="1984"/>
          <w:tab w:val="left" w:leader="dot" w:pos="8931"/>
          <w:tab w:val="right" w:pos="9638"/>
        </w:tabs>
        <w:spacing w:after="120"/>
      </w:pPr>
      <w:r w:rsidRPr="00405AAD">
        <w:tab/>
      </w:r>
      <w:r w:rsidRPr="00405AAD">
        <w:tab/>
        <w:t>B.</w:t>
      </w:r>
      <w:r w:rsidRPr="00405AAD">
        <w:tab/>
      </w:r>
      <w:r w:rsidR="00B8144D" w:rsidRPr="00405AAD">
        <w:t>Groups in focus</w:t>
      </w:r>
      <w:r w:rsidR="00B8144D" w:rsidRPr="00405AAD">
        <w:tab/>
      </w:r>
      <w:r w:rsidRPr="00405AAD">
        <w:tab/>
      </w:r>
      <w:r w:rsidR="00E65167">
        <w:t>7</w:t>
      </w:r>
    </w:p>
    <w:p w:rsidR="004160DD" w:rsidRPr="00405AAD" w:rsidRDefault="00875339" w:rsidP="00D76194">
      <w:pPr>
        <w:tabs>
          <w:tab w:val="right" w:pos="850"/>
          <w:tab w:val="left" w:pos="1134"/>
          <w:tab w:val="left" w:pos="1559"/>
          <w:tab w:val="left" w:pos="1984"/>
          <w:tab w:val="left" w:leader="dot" w:pos="8931"/>
          <w:tab w:val="right" w:pos="9638"/>
        </w:tabs>
        <w:spacing w:after="120"/>
      </w:pPr>
      <w:r w:rsidRPr="00405AAD">
        <w:tab/>
      </w:r>
      <w:r w:rsidRPr="00405AAD">
        <w:tab/>
      </w:r>
      <w:r w:rsidR="006D1199" w:rsidRPr="00405AAD">
        <w:t>C</w:t>
      </w:r>
      <w:r w:rsidRPr="00405AAD">
        <w:t>.</w:t>
      </w:r>
      <w:r w:rsidRPr="00405AAD">
        <w:tab/>
      </w:r>
      <w:r w:rsidR="00B8144D" w:rsidRPr="00405AAD">
        <w:t>Administration of justice</w:t>
      </w:r>
      <w:r w:rsidR="00C93DEC" w:rsidRPr="00405AAD">
        <w:tab/>
      </w:r>
      <w:r w:rsidR="00C93DEC" w:rsidRPr="00405AAD">
        <w:tab/>
      </w:r>
      <w:r w:rsidR="00E65167">
        <w:t>11</w:t>
      </w:r>
    </w:p>
    <w:p w:rsidR="001579B7" w:rsidRPr="00405AAD" w:rsidRDefault="000147BF" w:rsidP="00D76194">
      <w:pPr>
        <w:tabs>
          <w:tab w:val="right" w:pos="850"/>
          <w:tab w:val="left" w:pos="1134"/>
          <w:tab w:val="left" w:pos="1559"/>
          <w:tab w:val="left" w:pos="1984"/>
          <w:tab w:val="left" w:leader="dot" w:pos="8931"/>
          <w:tab w:val="right" w:pos="9638"/>
        </w:tabs>
        <w:spacing w:after="120"/>
      </w:pPr>
      <w:r w:rsidRPr="00405AAD">
        <w:tab/>
      </w:r>
      <w:r w:rsidRPr="00405AAD">
        <w:tab/>
        <w:t>D.</w:t>
      </w:r>
      <w:r w:rsidRPr="00405AAD">
        <w:tab/>
        <w:t xml:space="preserve">National </w:t>
      </w:r>
      <w:r w:rsidR="00B9006D" w:rsidRPr="00405AAD">
        <w:t>i</w:t>
      </w:r>
      <w:r w:rsidRPr="00405AAD">
        <w:t>nstitutions</w:t>
      </w:r>
      <w:r w:rsidR="00B8144D" w:rsidRPr="00405AAD">
        <w:tab/>
      </w:r>
      <w:r w:rsidR="00875339" w:rsidRPr="00405AAD">
        <w:tab/>
      </w:r>
      <w:r w:rsidR="00E65167">
        <w:t>13</w:t>
      </w:r>
    </w:p>
    <w:p w:rsidR="001579B7" w:rsidRPr="00405AAD" w:rsidRDefault="00B8144D" w:rsidP="00D76194">
      <w:pPr>
        <w:tabs>
          <w:tab w:val="right" w:pos="850"/>
          <w:tab w:val="left" w:pos="1134"/>
          <w:tab w:val="left" w:pos="1559"/>
          <w:tab w:val="left" w:pos="1984"/>
          <w:tab w:val="left" w:leader="dot" w:pos="8931"/>
          <w:tab w:val="right" w:pos="9638"/>
        </w:tabs>
        <w:spacing w:after="120"/>
      </w:pPr>
      <w:r w:rsidRPr="00405AAD">
        <w:tab/>
      </w:r>
      <w:r w:rsidRPr="00405AAD">
        <w:tab/>
        <w:t>E.</w:t>
      </w:r>
      <w:r w:rsidRPr="00405AAD">
        <w:tab/>
      </w:r>
      <w:r w:rsidR="000147BF" w:rsidRPr="00405AAD">
        <w:t xml:space="preserve">Legal </w:t>
      </w:r>
      <w:r w:rsidR="00B9006D" w:rsidRPr="00405AAD">
        <w:t>r</w:t>
      </w:r>
      <w:r w:rsidR="000147BF" w:rsidRPr="00405AAD">
        <w:t>eform</w:t>
      </w:r>
      <w:r w:rsidRPr="00405AAD">
        <w:tab/>
      </w:r>
      <w:r w:rsidRPr="00405AAD">
        <w:tab/>
      </w:r>
      <w:r w:rsidR="00E65167">
        <w:t>14</w:t>
      </w:r>
    </w:p>
    <w:p w:rsidR="00D76194" w:rsidRPr="00405AAD" w:rsidRDefault="000147BF" w:rsidP="00D76194">
      <w:pPr>
        <w:tabs>
          <w:tab w:val="right" w:pos="850"/>
          <w:tab w:val="left" w:pos="1134"/>
          <w:tab w:val="left" w:pos="1559"/>
          <w:tab w:val="left" w:pos="1984"/>
          <w:tab w:val="left" w:leader="dot" w:pos="8931"/>
          <w:tab w:val="right" w:pos="9638"/>
        </w:tabs>
        <w:spacing w:after="120"/>
      </w:pPr>
      <w:r w:rsidRPr="00405AAD">
        <w:tab/>
      </w:r>
      <w:r w:rsidR="00875339" w:rsidRPr="00405AAD">
        <w:t>IV.</w:t>
      </w:r>
      <w:r w:rsidR="00875339" w:rsidRPr="00405AAD">
        <w:tab/>
      </w:r>
      <w:r w:rsidR="002A5C62">
        <w:t>Conclusions</w:t>
      </w:r>
      <w:r w:rsidR="00875339" w:rsidRPr="00405AAD">
        <w:tab/>
      </w:r>
      <w:r w:rsidR="00875339" w:rsidRPr="00405AAD">
        <w:tab/>
      </w:r>
      <w:r w:rsidR="00E65167">
        <w:t>16</w:t>
      </w:r>
    </w:p>
    <w:p w:rsidR="00D76194" w:rsidRPr="00405AAD" w:rsidRDefault="00D76194">
      <w:pPr>
        <w:suppressAutoHyphens w:val="0"/>
        <w:spacing w:line="240" w:lineRule="auto"/>
      </w:pPr>
      <w:r w:rsidRPr="00405AAD">
        <w:br w:type="page"/>
      </w:r>
    </w:p>
    <w:p w:rsidR="00875339" w:rsidRPr="00405AAD" w:rsidRDefault="004A0B2E" w:rsidP="004A0B2E">
      <w:pPr>
        <w:pStyle w:val="HChG"/>
      </w:pPr>
      <w:r w:rsidRPr="00405AAD">
        <w:lastRenderedPageBreak/>
        <w:tab/>
      </w:r>
      <w:r w:rsidR="00D76194" w:rsidRPr="00405AAD">
        <w:t>I.</w:t>
      </w:r>
      <w:r w:rsidR="00D76194" w:rsidRPr="00405AAD">
        <w:tab/>
      </w:r>
      <w:r w:rsidR="0095555A" w:rsidRPr="00405AAD">
        <w:t>Introduction</w:t>
      </w:r>
    </w:p>
    <w:p w:rsidR="003805F5" w:rsidRPr="00405AAD" w:rsidRDefault="00D76194" w:rsidP="00115BF9">
      <w:pPr>
        <w:pStyle w:val="SingleTxtG"/>
      </w:pPr>
      <w:r w:rsidRPr="00405AAD">
        <w:t>1.</w:t>
      </w:r>
      <w:r w:rsidRPr="00405AAD">
        <w:tab/>
      </w:r>
      <w:r w:rsidR="00FE36C1" w:rsidRPr="00405AAD">
        <w:t>The present report</w:t>
      </w:r>
      <w:r w:rsidR="003601F9" w:rsidRPr="00405AAD">
        <w:t>,</w:t>
      </w:r>
      <w:r w:rsidR="00FE36C1" w:rsidRPr="00405AAD">
        <w:t xml:space="preserve"> submitted pursuant to </w:t>
      </w:r>
      <w:r w:rsidR="00723C5D" w:rsidRPr="00405AAD">
        <w:t>Human Rights Council resolution </w:t>
      </w:r>
      <w:r w:rsidR="00387E54" w:rsidRPr="00405AAD">
        <w:t>28/</w:t>
      </w:r>
      <w:r w:rsidR="009C6F08" w:rsidRPr="00405AAD">
        <w:t>32</w:t>
      </w:r>
      <w:r w:rsidR="003601F9" w:rsidRPr="00405AAD">
        <w:t>,</w:t>
      </w:r>
      <w:r w:rsidR="00802DD1" w:rsidRPr="00405AAD">
        <w:t xml:space="preserve"> was</w:t>
      </w:r>
      <w:r w:rsidR="00FE36C1" w:rsidRPr="00405AAD">
        <w:t xml:space="preserve"> prepared in cooperation</w:t>
      </w:r>
      <w:r w:rsidR="00FE624F" w:rsidRPr="00405AAD">
        <w:t xml:space="preserve"> with </w:t>
      </w:r>
      <w:r w:rsidR="007D4E6A" w:rsidRPr="00405AAD">
        <w:t xml:space="preserve">the Human Rights Office of </w:t>
      </w:r>
      <w:r w:rsidR="00FE624F" w:rsidRPr="00405AAD">
        <w:t>the United Nations Assistance</w:t>
      </w:r>
      <w:r w:rsidR="00FE36C1" w:rsidRPr="00405AAD">
        <w:t xml:space="preserve"> </w:t>
      </w:r>
      <w:r w:rsidR="00FE624F" w:rsidRPr="00405AAD">
        <w:t>Mission for Iraq (UNAMI</w:t>
      </w:r>
      <w:r w:rsidR="00D262BB" w:rsidRPr="00405AAD">
        <w:t xml:space="preserve">). </w:t>
      </w:r>
      <w:r w:rsidR="000D6F14" w:rsidRPr="00405AAD">
        <w:t>The Office of the United Nations High Commissioner for Human Rights (</w:t>
      </w:r>
      <w:r w:rsidR="00FE36C1" w:rsidRPr="00405AAD">
        <w:t>OHCHR</w:t>
      </w:r>
      <w:r w:rsidR="000D6F14" w:rsidRPr="00405AAD">
        <w:t>)</w:t>
      </w:r>
      <w:r w:rsidR="00FE36C1" w:rsidRPr="00405AAD">
        <w:t xml:space="preserve"> continue</w:t>
      </w:r>
      <w:r w:rsidR="00287640" w:rsidRPr="00405AAD">
        <w:t>s</w:t>
      </w:r>
      <w:r w:rsidR="00FE36C1" w:rsidRPr="00405AAD">
        <w:t xml:space="preserve"> to </w:t>
      </w:r>
      <w:r w:rsidR="007D4E6A" w:rsidRPr="00405AAD">
        <w:t xml:space="preserve">assist UNAMI in implementing its mandate on the promotion and protection of </w:t>
      </w:r>
      <w:r w:rsidR="00FE624F" w:rsidRPr="00405AAD">
        <w:t>human rights</w:t>
      </w:r>
      <w:r w:rsidR="007D4E6A" w:rsidRPr="00405AAD">
        <w:t xml:space="preserve"> in Iraq</w:t>
      </w:r>
      <w:r w:rsidR="00146114" w:rsidRPr="00405AAD">
        <w:t>.</w:t>
      </w:r>
      <w:r w:rsidR="007D4E6A" w:rsidRPr="00405AAD">
        <w:t xml:space="preserve"> </w:t>
      </w:r>
      <w:r w:rsidR="006364F5" w:rsidRPr="00405AAD">
        <w:t>UNAMI</w:t>
      </w:r>
      <w:r w:rsidR="007D4E6A" w:rsidRPr="00405AAD">
        <w:t xml:space="preserve"> is located in Baghdad and has field offices in </w:t>
      </w:r>
      <w:r w:rsidR="006364F5" w:rsidRPr="00405AAD">
        <w:t xml:space="preserve">Basra, </w:t>
      </w:r>
      <w:r w:rsidR="007D4E6A" w:rsidRPr="00405AAD">
        <w:t>Erbil</w:t>
      </w:r>
      <w:r w:rsidR="006364F5" w:rsidRPr="00405AAD">
        <w:t xml:space="preserve"> and</w:t>
      </w:r>
      <w:r w:rsidR="007D4E6A" w:rsidRPr="00405AAD">
        <w:t xml:space="preserve"> Kirkuk. </w:t>
      </w:r>
      <w:r w:rsidR="006364F5" w:rsidRPr="00405AAD">
        <w:t xml:space="preserve">Despite the difficult security situation, UNAMI continues to conduct its activities in governorates of Iraq in coordination with relevant governmental and non-governmental institutions. </w:t>
      </w:r>
    </w:p>
    <w:p w:rsidR="003805F5" w:rsidRPr="00405AAD" w:rsidRDefault="004A0B2E" w:rsidP="00893F80">
      <w:pPr>
        <w:pStyle w:val="HChG"/>
        <w:spacing w:line="360" w:lineRule="auto"/>
      </w:pPr>
      <w:r w:rsidRPr="00405AAD">
        <w:tab/>
      </w:r>
      <w:r w:rsidR="00D76194" w:rsidRPr="00405AAD">
        <w:t>II.</w:t>
      </w:r>
      <w:r w:rsidR="00D76194" w:rsidRPr="00405AAD">
        <w:tab/>
      </w:r>
      <w:r w:rsidR="003805F5" w:rsidRPr="00405AAD">
        <w:t>Background</w:t>
      </w:r>
    </w:p>
    <w:p w:rsidR="003805F5" w:rsidRPr="00405AAD" w:rsidRDefault="00D76194" w:rsidP="00115BF9">
      <w:pPr>
        <w:pStyle w:val="SingleTxtG"/>
      </w:pPr>
      <w:r w:rsidRPr="00405AAD">
        <w:t>2.</w:t>
      </w:r>
      <w:r w:rsidRPr="00405AAD">
        <w:tab/>
      </w:r>
      <w:r w:rsidR="00DC1CC3" w:rsidRPr="00405AAD">
        <w:t xml:space="preserve">The human rights situation in Iraq remains alarming </w:t>
      </w:r>
      <w:r w:rsidR="00A50809" w:rsidRPr="00405AAD">
        <w:t xml:space="preserve">in the light of </w:t>
      </w:r>
      <w:r w:rsidR="003805F5" w:rsidRPr="00405AAD">
        <w:t xml:space="preserve">violations and </w:t>
      </w:r>
      <w:r w:rsidR="00A50809" w:rsidRPr="00405AAD">
        <w:t>abuses committed by the so-called Islamic State in Iraq and the Levant</w:t>
      </w:r>
      <w:r w:rsidR="00547DF7" w:rsidRPr="00405AAD">
        <w:t xml:space="preserve"> (ISIL) </w:t>
      </w:r>
      <w:r w:rsidR="00A50809" w:rsidRPr="00405AAD">
        <w:t>and associated groups</w:t>
      </w:r>
      <w:r w:rsidR="003805F5" w:rsidRPr="00405AAD">
        <w:t>.</w:t>
      </w:r>
      <w:r w:rsidR="00CC3BB3" w:rsidRPr="00405AAD">
        <w:t xml:space="preserve"> </w:t>
      </w:r>
      <w:r w:rsidR="008C6DDE" w:rsidRPr="00405AAD">
        <w:t>The n</w:t>
      </w:r>
      <w:r w:rsidR="00CC3BB3" w:rsidRPr="00405AAD">
        <w:t xml:space="preserve">on-international armed conflict continues to </w:t>
      </w:r>
      <w:r w:rsidR="00D76FA7" w:rsidRPr="00405AAD">
        <w:t xml:space="preserve">affect </w:t>
      </w:r>
      <w:r w:rsidR="006364F5" w:rsidRPr="00405AAD">
        <w:t xml:space="preserve">large </w:t>
      </w:r>
      <w:r w:rsidR="00D76FA7" w:rsidRPr="00405AAD">
        <w:t xml:space="preserve">areas of </w:t>
      </w:r>
      <w:r w:rsidR="003601F9" w:rsidRPr="00405AAD">
        <w:t xml:space="preserve">the </w:t>
      </w:r>
      <w:r w:rsidR="00CC3BB3" w:rsidRPr="00405AAD">
        <w:t>Anbar,</w:t>
      </w:r>
      <w:r w:rsidR="006364F5" w:rsidRPr="00405AAD">
        <w:t xml:space="preserve"> </w:t>
      </w:r>
      <w:proofErr w:type="spellStart"/>
      <w:r w:rsidR="006364F5" w:rsidRPr="00405AAD">
        <w:t>Diyala</w:t>
      </w:r>
      <w:proofErr w:type="spellEnd"/>
      <w:r w:rsidR="006364F5" w:rsidRPr="00405AAD">
        <w:t>,</w:t>
      </w:r>
      <w:r w:rsidR="00CC3BB3" w:rsidRPr="00405AAD">
        <w:t xml:space="preserve"> </w:t>
      </w:r>
      <w:r w:rsidR="006364F5" w:rsidRPr="00405AAD">
        <w:t xml:space="preserve">Kirkuk, </w:t>
      </w:r>
      <w:proofErr w:type="spellStart"/>
      <w:r w:rsidR="00CC3BB3" w:rsidRPr="00405AAD">
        <w:t>Ninewa</w:t>
      </w:r>
      <w:proofErr w:type="spellEnd"/>
      <w:r w:rsidR="00CC3BB3" w:rsidRPr="00405AAD">
        <w:t xml:space="preserve"> </w:t>
      </w:r>
      <w:r w:rsidR="006364F5" w:rsidRPr="00405AAD">
        <w:t xml:space="preserve">and </w:t>
      </w:r>
      <w:r w:rsidR="00CC3BB3" w:rsidRPr="00405AAD">
        <w:t xml:space="preserve">Salah al-Din </w:t>
      </w:r>
      <w:r w:rsidR="009A059F">
        <w:t>G</w:t>
      </w:r>
      <w:r w:rsidR="00CC3BB3" w:rsidRPr="00405AAD">
        <w:t>overnorate</w:t>
      </w:r>
      <w:r w:rsidR="004E1B6F" w:rsidRPr="00405AAD">
        <w:t xml:space="preserve">s, while </w:t>
      </w:r>
      <w:r w:rsidR="00CC3BB3" w:rsidRPr="00405AAD">
        <w:t xml:space="preserve">acts of violence and terrorism </w:t>
      </w:r>
      <w:r w:rsidR="00CE612A" w:rsidRPr="00405AAD">
        <w:t>continu</w:t>
      </w:r>
      <w:r w:rsidR="0095051A" w:rsidRPr="00405AAD">
        <w:t>e</w:t>
      </w:r>
      <w:r w:rsidR="00CE612A" w:rsidRPr="00405AAD">
        <w:t xml:space="preserve"> in</w:t>
      </w:r>
      <w:r w:rsidR="00B80A99" w:rsidRPr="00405AAD">
        <w:t xml:space="preserve"> </w:t>
      </w:r>
      <w:r w:rsidR="00CC3BB3" w:rsidRPr="00405AAD">
        <w:t>Baghdad and other areas of the country.</w:t>
      </w:r>
      <w:r w:rsidR="00903F00" w:rsidRPr="00405AAD">
        <w:t xml:space="preserve"> </w:t>
      </w:r>
      <w:r w:rsidR="003805F5" w:rsidRPr="00405AAD">
        <w:t xml:space="preserve">On 13 March 2015, OHCHR </w:t>
      </w:r>
      <w:r w:rsidR="003601F9" w:rsidRPr="00405AAD">
        <w:t xml:space="preserve">expressed its </w:t>
      </w:r>
      <w:r w:rsidR="003805F5" w:rsidRPr="00405AAD">
        <w:t>concern</w:t>
      </w:r>
      <w:r w:rsidR="003601F9" w:rsidRPr="00405AAD">
        <w:t xml:space="preserve"> </w:t>
      </w:r>
      <w:r w:rsidR="002A5C62">
        <w:t xml:space="preserve">about </w:t>
      </w:r>
      <w:r w:rsidR="003805F5" w:rsidRPr="00405AAD">
        <w:t xml:space="preserve">the situation in </w:t>
      </w:r>
      <w:r w:rsidR="00E809ED" w:rsidRPr="00405AAD">
        <w:t xml:space="preserve">Iraq in </w:t>
      </w:r>
      <w:r w:rsidR="003805F5" w:rsidRPr="00405AAD">
        <w:t>its report on the human rights situation in the light of abuses committed by the so-called Islamic State in Iraq and the Levant and associated groups.</w:t>
      </w:r>
      <w:r w:rsidR="003805F5" w:rsidRPr="00130E38">
        <w:rPr>
          <w:rStyle w:val="FootnoteReference"/>
          <w:lang w:val="en"/>
        </w:rPr>
        <w:footnoteReference w:id="2"/>
      </w:r>
    </w:p>
    <w:p w:rsidR="004E1B6F" w:rsidRPr="00405AAD" w:rsidRDefault="00D76194" w:rsidP="00115BF9">
      <w:pPr>
        <w:pStyle w:val="SingleTxtG"/>
      </w:pPr>
      <w:r w:rsidRPr="00D324D7">
        <w:t>3.</w:t>
      </w:r>
      <w:r w:rsidRPr="00D324D7">
        <w:tab/>
      </w:r>
      <w:r w:rsidR="004E1B6F" w:rsidRPr="00405AAD">
        <w:t xml:space="preserve">In March, Iraqi </w:t>
      </w:r>
      <w:r w:rsidR="003601F9" w:rsidRPr="00405AAD">
        <w:t>s</w:t>
      </w:r>
      <w:r w:rsidR="004E1B6F" w:rsidRPr="00405AAD">
        <w:t xml:space="preserve">ecurity </w:t>
      </w:r>
      <w:r w:rsidR="003601F9" w:rsidRPr="00405AAD">
        <w:t>f</w:t>
      </w:r>
      <w:r w:rsidR="004E1B6F" w:rsidRPr="00405AAD">
        <w:t>orces and associated forces began military operations to retake Tikrit, Salah al-Din</w:t>
      </w:r>
      <w:r w:rsidR="00AE09AE" w:rsidRPr="00405AAD">
        <w:t xml:space="preserve"> </w:t>
      </w:r>
      <w:r w:rsidR="006364F5" w:rsidRPr="00405AAD">
        <w:t>Governorate</w:t>
      </w:r>
      <w:r w:rsidR="004E1B6F" w:rsidRPr="00405AAD">
        <w:t xml:space="preserve"> from ISIL, which had held the town since June 2014. Military operations commenced on 2 March with an assault by about 30,000 </w:t>
      </w:r>
      <w:r w:rsidR="00F35154" w:rsidRPr="00405AAD">
        <w:t xml:space="preserve">Iraqi security </w:t>
      </w:r>
      <w:r w:rsidR="006364F5" w:rsidRPr="00405AAD">
        <w:t>personnel</w:t>
      </w:r>
      <w:r w:rsidR="004E1B6F" w:rsidRPr="00405AAD">
        <w:t xml:space="preserve">, </w:t>
      </w:r>
      <w:r w:rsidR="0044441A" w:rsidRPr="00405AAD">
        <w:t>Popular Mobili</w:t>
      </w:r>
      <w:r w:rsidR="00F35154" w:rsidRPr="00405AAD">
        <w:t>z</w:t>
      </w:r>
      <w:r w:rsidR="0044441A" w:rsidRPr="00405AAD">
        <w:t xml:space="preserve">ation </w:t>
      </w:r>
      <w:r w:rsidR="00893F80">
        <w:t>Units</w:t>
      </w:r>
      <w:r w:rsidR="004E1B6F" w:rsidRPr="00405AAD">
        <w:t>, armed groups and tribal fighters.</w:t>
      </w:r>
      <w:r w:rsidR="0044441A" w:rsidRPr="00130E38">
        <w:rPr>
          <w:lang w:val="en"/>
        </w:rPr>
        <w:t xml:space="preserve"> Booby</w:t>
      </w:r>
      <w:r w:rsidR="00F35154" w:rsidRPr="00130E38">
        <w:rPr>
          <w:lang w:val="en"/>
        </w:rPr>
        <w:t xml:space="preserve"> </w:t>
      </w:r>
      <w:r w:rsidR="0044441A" w:rsidRPr="00130E38">
        <w:rPr>
          <w:lang w:val="en"/>
        </w:rPr>
        <w:t xml:space="preserve">traps, roadside bombs and snipers impeded </w:t>
      </w:r>
      <w:r w:rsidR="00F35154" w:rsidRPr="00130E38">
        <w:rPr>
          <w:lang w:val="en"/>
        </w:rPr>
        <w:t>Iraqi</w:t>
      </w:r>
      <w:r w:rsidR="0044441A" w:rsidRPr="00130E38">
        <w:rPr>
          <w:lang w:val="en"/>
        </w:rPr>
        <w:t xml:space="preserve"> and associated forces in taking the town. </w:t>
      </w:r>
      <w:r w:rsidR="009877DC" w:rsidRPr="00130E38">
        <w:rPr>
          <w:lang w:val="en"/>
        </w:rPr>
        <w:t xml:space="preserve">The offensive was halted on 14 March, </w:t>
      </w:r>
      <w:r w:rsidR="0044441A" w:rsidRPr="00130E38">
        <w:rPr>
          <w:lang w:val="en"/>
        </w:rPr>
        <w:t>ostensi</w:t>
      </w:r>
      <w:r w:rsidR="00905B2F" w:rsidRPr="00130E38">
        <w:rPr>
          <w:lang w:val="en"/>
        </w:rPr>
        <w:t xml:space="preserve">bly </w:t>
      </w:r>
      <w:r w:rsidR="00F35154" w:rsidRPr="00130E38">
        <w:rPr>
          <w:lang w:val="en"/>
        </w:rPr>
        <w:t>pending</w:t>
      </w:r>
      <w:r w:rsidR="00905B2F" w:rsidRPr="00130E38">
        <w:rPr>
          <w:lang w:val="en"/>
        </w:rPr>
        <w:t xml:space="preserve"> </w:t>
      </w:r>
      <w:r w:rsidR="00F35154" w:rsidRPr="00130E38">
        <w:rPr>
          <w:lang w:val="en"/>
        </w:rPr>
        <w:t xml:space="preserve">the arrival of </w:t>
      </w:r>
      <w:r w:rsidR="00905B2F" w:rsidRPr="00130E38">
        <w:rPr>
          <w:lang w:val="en"/>
        </w:rPr>
        <w:t>reinforcements and</w:t>
      </w:r>
      <w:r w:rsidR="0044441A" w:rsidRPr="00130E38">
        <w:rPr>
          <w:lang w:val="en"/>
        </w:rPr>
        <w:t xml:space="preserve"> </w:t>
      </w:r>
      <w:r w:rsidR="00F35154" w:rsidRPr="00130E38">
        <w:rPr>
          <w:lang w:val="en"/>
        </w:rPr>
        <w:t xml:space="preserve">to </w:t>
      </w:r>
      <w:r w:rsidR="0044441A" w:rsidRPr="00130E38">
        <w:rPr>
          <w:lang w:val="en"/>
        </w:rPr>
        <w:t>al</w:t>
      </w:r>
      <w:r w:rsidR="009877DC" w:rsidRPr="00130E38">
        <w:rPr>
          <w:lang w:val="en"/>
        </w:rPr>
        <w:t xml:space="preserve">low civilians to leave the city, </w:t>
      </w:r>
      <w:r w:rsidR="006364F5" w:rsidRPr="00130E38">
        <w:rPr>
          <w:lang w:val="en"/>
        </w:rPr>
        <w:t xml:space="preserve">but </w:t>
      </w:r>
      <w:r w:rsidR="009877DC" w:rsidRPr="00130E38">
        <w:rPr>
          <w:lang w:val="en"/>
        </w:rPr>
        <w:t>resum</w:t>
      </w:r>
      <w:r w:rsidR="006364F5" w:rsidRPr="00130E38">
        <w:rPr>
          <w:lang w:val="en"/>
        </w:rPr>
        <w:t>ed</w:t>
      </w:r>
      <w:r w:rsidR="009877DC" w:rsidRPr="00130E38">
        <w:rPr>
          <w:lang w:val="en"/>
        </w:rPr>
        <w:t xml:space="preserve"> on 27 March. </w:t>
      </w:r>
      <w:r w:rsidR="0044441A" w:rsidRPr="00130E38">
        <w:rPr>
          <w:lang w:val="en"/>
        </w:rPr>
        <w:t xml:space="preserve">Prime Minister </w:t>
      </w:r>
      <w:proofErr w:type="spellStart"/>
      <w:r w:rsidR="006364F5" w:rsidRPr="00130E38">
        <w:rPr>
          <w:lang w:val="en"/>
        </w:rPr>
        <w:t>Haidar</w:t>
      </w:r>
      <w:proofErr w:type="spellEnd"/>
      <w:r w:rsidR="006364F5" w:rsidRPr="00130E38">
        <w:rPr>
          <w:lang w:val="en"/>
        </w:rPr>
        <w:t xml:space="preserve"> </w:t>
      </w:r>
      <w:r w:rsidR="0044441A" w:rsidRPr="00130E38">
        <w:rPr>
          <w:lang w:val="en"/>
        </w:rPr>
        <w:t>al-</w:t>
      </w:r>
      <w:proofErr w:type="spellStart"/>
      <w:r w:rsidR="0044441A" w:rsidRPr="00130E38">
        <w:rPr>
          <w:lang w:val="en"/>
        </w:rPr>
        <w:t>Abadi</w:t>
      </w:r>
      <w:proofErr w:type="spellEnd"/>
      <w:r w:rsidR="0044441A" w:rsidRPr="00130E38">
        <w:rPr>
          <w:lang w:val="en"/>
        </w:rPr>
        <w:t xml:space="preserve"> announced </w:t>
      </w:r>
      <w:r w:rsidR="00F35154" w:rsidRPr="00130E38">
        <w:rPr>
          <w:lang w:val="en"/>
        </w:rPr>
        <w:t xml:space="preserve">that the </w:t>
      </w:r>
      <w:r w:rsidR="00CE612A" w:rsidRPr="00130E38">
        <w:rPr>
          <w:lang w:val="en"/>
        </w:rPr>
        <w:t xml:space="preserve">State </w:t>
      </w:r>
      <w:r w:rsidR="00F35154" w:rsidRPr="00130E38">
        <w:rPr>
          <w:lang w:val="en"/>
        </w:rPr>
        <w:t xml:space="preserve">had retaken </w:t>
      </w:r>
      <w:r w:rsidR="00CE612A" w:rsidRPr="00130E38">
        <w:rPr>
          <w:lang w:val="en"/>
        </w:rPr>
        <w:t>control of</w:t>
      </w:r>
      <w:r w:rsidR="0044441A" w:rsidRPr="00130E38">
        <w:rPr>
          <w:lang w:val="en"/>
        </w:rPr>
        <w:t xml:space="preserve"> Tikrit on 31 March.</w:t>
      </w:r>
    </w:p>
    <w:p w:rsidR="009877DC" w:rsidRPr="00130E38" w:rsidRDefault="00D76194" w:rsidP="00115BF9">
      <w:pPr>
        <w:pStyle w:val="SingleTxtG"/>
        <w:rPr>
          <w:lang w:val="en"/>
        </w:rPr>
      </w:pPr>
      <w:r w:rsidRPr="00130E38">
        <w:rPr>
          <w:lang w:val="en"/>
        </w:rPr>
        <w:t>4.</w:t>
      </w:r>
      <w:r w:rsidRPr="00130E38">
        <w:rPr>
          <w:lang w:val="en"/>
        </w:rPr>
        <w:tab/>
      </w:r>
      <w:r w:rsidR="009877DC" w:rsidRPr="00130E38">
        <w:rPr>
          <w:lang w:val="en"/>
        </w:rPr>
        <w:t xml:space="preserve">On 13 April, ISIL </w:t>
      </w:r>
      <w:r w:rsidR="002C7157" w:rsidRPr="00130E38">
        <w:rPr>
          <w:lang w:val="en"/>
        </w:rPr>
        <w:t>attacked</w:t>
      </w:r>
      <w:r w:rsidR="009877DC" w:rsidRPr="00130E38">
        <w:rPr>
          <w:lang w:val="en"/>
        </w:rPr>
        <w:t xml:space="preserve"> </w:t>
      </w:r>
      <w:r w:rsidR="00F35154" w:rsidRPr="00130E38">
        <w:rPr>
          <w:lang w:val="en"/>
        </w:rPr>
        <w:t xml:space="preserve">the country’s </w:t>
      </w:r>
      <w:r w:rsidR="009877DC" w:rsidRPr="00130E38">
        <w:rPr>
          <w:lang w:val="en"/>
        </w:rPr>
        <w:t>largest refinery</w:t>
      </w:r>
      <w:r w:rsidR="00F35154" w:rsidRPr="00130E38">
        <w:rPr>
          <w:lang w:val="en"/>
        </w:rPr>
        <w:t>,</w:t>
      </w:r>
      <w:r w:rsidR="009877DC" w:rsidRPr="00130E38">
        <w:rPr>
          <w:lang w:val="en"/>
        </w:rPr>
        <w:t xml:space="preserve"> in </w:t>
      </w:r>
      <w:proofErr w:type="spellStart"/>
      <w:r w:rsidR="009877DC" w:rsidRPr="00130E38">
        <w:rPr>
          <w:lang w:val="en"/>
        </w:rPr>
        <w:t>Baiji</w:t>
      </w:r>
      <w:proofErr w:type="spellEnd"/>
      <w:r w:rsidR="009877DC" w:rsidRPr="00130E38">
        <w:rPr>
          <w:lang w:val="en"/>
        </w:rPr>
        <w:t>, Salah al-Din</w:t>
      </w:r>
      <w:r w:rsidR="006364F5" w:rsidRPr="00130E38">
        <w:rPr>
          <w:lang w:val="en"/>
        </w:rPr>
        <w:t xml:space="preserve"> Governorate</w:t>
      </w:r>
      <w:r w:rsidR="009877DC" w:rsidRPr="00130E38">
        <w:rPr>
          <w:lang w:val="en"/>
        </w:rPr>
        <w:t xml:space="preserve">, </w:t>
      </w:r>
      <w:r w:rsidR="00C50762" w:rsidRPr="00130E38">
        <w:rPr>
          <w:lang w:val="en"/>
        </w:rPr>
        <w:t xml:space="preserve">a strategically important facility </w:t>
      </w:r>
      <w:r w:rsidR="002C7157" w:rsidRPr="00130E38">
        <w:rPr>
          <w:lang w:val="en"/>
        </w:rPr>
        <w:t xml:space="preserve">accounting </w:t>
      </w:r>
      <w:r w:rsidR="00C50762" w:rsidRPr="00130E38">
        <w:rPr>
          <w:lang w:val="en"/>
        </w:rPr>
        <w:t xml:space="preserve">for more than a quarter of </w:t>
      </w:r>
      <w:r w:rsidR="00F35154" w:rsidRPr="00130E38">
        <w:rPr>
          <w:lang w:val="en"/>
        </w:rPr>
        <w:t xml:space="preserve">the State’s </w:t>
      </w:r>
      <w:r w:rsidR="00C50762" w:rsidRPr="00130E38">
        <w:rPr>
          <w:lang w:val="en"/>
        </w:rPr>
        <w:t xml:space="preserve">oil refining capacity. </w:t>
      </w:r>
      <w:r w:rsidR="00AD100E" w:rsidRPr="00130E38">
        <w:rPr>
          <w:lang w:val="en"/>
        </w:rPr>
        <w:t xml:space="preserve">ISIL surrounded </w:t>
      </w:r>
      <w:r w:rsidR="009877DC" w:rsidRPr="00130E38">
        <w:rPr>
          <w:lang w:val="en"/>
        </w:rPr>
        <w:t xml:space="preserve">the </w:t>
      </w:r>
      <w:r w:rsidR="002C7157" w:rsidRPr="00130E38">
        <w:rPr>
          <w:lang w:val="en"/>
        </w:rPr>
        <w:t xml:space="preserve">refinery </w:t>
      </w:r>
      <w:r w:rsidR="009877DC" w:rsidRPr="00130E38">
        <w:rPr>
          <w:lang w:val="en"/>
        </w:rPr>
        <w:t xml:space="preserve">and </w:t>
      </w:r>
      <w:r w:rsidR="00AD100E" w:rsidRPr="00130E38">
        <w:rPr>
          <w:lang w:val="en"/>
        </w:rPr>
        <w:t xml:space="preserve">set </w:t>
      </w:r>
      <w:r w:rsidR="009877DC" w:rsidRPr="00130E38">
        <w:rPr>
          <w:lang w:val="en"/>
        </w:rPr>
        <w:t xml:space="preserve">fire to three oil storage tanks. </w:t>
      </w:r>
      <w:r w:rsidR="00C168C2" w:rsidRPr="00130E38">
        <w:rPr>
          <w:lang w:val="en"/>
        </w:rPr>
        <w:t xml:space="preserve">On 21 May, </w:t>
      </w:r>
      <w:r w:rsidR="00F35154" w:rsidRPr="00130E38">
        <w:rPr>
          <w:lang w:val="en"/>
        </w:rPr>
        <w:t xml:space="preserve">Iraqi security forces </w:t>
      </w:r>
      <w:r w:rsidR="00C168C2" w:rsidRPr="00130E38">
        <w:rPr>
          <w:lang w:val="en"/>
        </w:rPr>
        <w:t xml:space="preserve">reportedly broke </w:t>
      </w:r>
      <w:r w:rsidR="00F35154" w:rsidRPr="00130E38">
        <w:rPr>
          <w:lang w:val="en"/>
        </w:rPr>
        <w:t xml:space="preserve">the </w:t>
      </w:r>
      <w:r w:rsidR="002A5C62">
        <w:rPr>
          <w:lang w:val="en"/>
        </w:rPr>
        <w:t>siege</w:t>
      </w:r>
      <w:r w:rsidR="002A5C62" w:rsidRPr="00130E38">
        <w:rPr>
          <w:lang w:val="en"/>
        </w:rPr>
        <w:t xml:space="preserve"> </w:t>
      </w:r>
      <w:r w:rsidR="00F35154" w:rsidRPr="00130E38">
        <w:rPr>
          <w:lang w:val="en"/>
        </w:rPr>
        <w:t xml:space="preserve">by </w:t>
      </w:r>
      <w:r w:rsidR="00C168C2" w:rsidRPr="00130E38">
        <w:rPr>
          <w:lang w:val="en"/>
        </w:rPr>
        <w:t>ISIL. Clashes</w:t>
      </w:r>
      <w:r w:rsidR="002C7157" w:rsidRPr="00130E38">
        <w:rPr>
          <w:lang w:val="en"/>
        </w:rPr>
        <w:t xml:space="preserve"> </w:t>
      </w:r>
      <w:r w:rsidR="00C168C2" w:rsidRPr="00130E38">
        <w:rPr>
          <w:lang w:val="en"/>
        </w:rPr>
        <w:t>continue</w:t>
      </w:r>
      <w:r w:rsidR="00364AAC" w:rsidRPr="00130E38">
        <w:rPr>
          <w:lang w:val="en"/>
        </w:rPr>
        <w:t>d</w:t>
      </w:r>
      <w:r w:rsidR="00F35154" w:rsidRPr="00130E38">
        <w:rPr>
          <w:lang w:val="en"/>
        </w:rPr>
        <w:t>,</w:t>
      </w:r>
      <w:r w:rsidR="00364AAC" w:rsidRPr="00130E38">
        <w:rPr>
          <w:lang w:val="en"/>
        </w:rPr>
        <w:t xml:space="preserve"> </w:t>
      </w:r>
      <w:r w:rsidR="00C168C2" w:rsidRPr="00130E38">
        <w:rPr>
          <w:lang w:val="en"/>
        </w:rPr>
        <w:t xml:space="preserve">with ISIL targeting </w:t>
      </w:r>
      <w:r w:rsidR="00F35154" w:rsidRPr="00130E38">
        <w:rPr>
          <w:lang w:val="en"/>
        </w:rPr>
        <w:t>the Iraqi forces</w:t>
      </w:r>
      <w:r w:rsidR="00C168C2" w:rsidRPr="00130E38">
        <w:rPr>
          <w:lang w:val="en"/>
        </w:rPr>
        <w:t xml:space="preserve"> with suicide </w:t>
      </w:r>
      <w:r w:rsidR="00533391" w:rsidRPr="00130E38">
        <w:rPr>
          <w:lang w:val="en"/>
        </w:rPr>
        <w:t>vehicle</w:t>
      </w:r>
      <w:r w:rsidR="00F35154" w:rsidRPr="00130E38">
        <w:rPr>
          <w:lang w:val="en"/>
        </w:rPr>
        <w:t xml:space="preserve">-borne </w:t>
      </w:r>
      <w:r w:rsidR="00DE6F6D" w:rsidRPr="00130E38">
        <w:rPr>
          <w:lang w:val="en"/>
        </w:rPr>
        <w:t>improvised explosive devices</w:t>
      </w:r>
      <w:r w:rsidR="00C168C2" w:rsidRPr="00130E38">
        <w:rPr>
          <w:lang w:val="en"/>
        </w:rPr>
        <w:t xml:space="preserve">. ISIL fighters reportedly set </w:t>
      </w:r>
      <w:r w:rsidR="00372385" w:rsidRPr="00130E38">
        <w:rPr>
          <w:lang w:val="en"/>
        </w:rPr>
        <w:t xml:space="preserve">areas </w:t>
      </w:r>
      <w:r w:rsidR="00C168C2" w:rsidRPr="00130E38">
        <w:rPr>
          <w:lang w:val="en"/>
        </w:rPr>
        <w:t>of the refinery on fire</w:t>
      </w:r>
      <w:r w:rsidR="001553D2" w:rsidRPr="00130E38">
        <w:rPr>
          <w:lang w:val="en"/>
        </w:rPr>
        <w:t xml:space="preserve"> </w:t>
      </w:r>
      <w:r w:rsidR="00C168C2" w:rsidRPr="00130E38">
        <w:rPr>
          <w:lang w:val="en"/>
        </w:rPr>
        <w:t xml:space="preserve">to hinder the </w:t>
      </w:r>
      <w:r w:rsidR="008D0765" w:rsidRPr="00130E38">
        <w:rPr>
          <w:lang w:val="en"/>
        </w:rPr>
        <w:t>advance</w:t>
      </w:r>
      <w:r w:rsidR="00372385" w:rsidRPr="00130E38">
        <w:rPr>
          <w:lang w:val="en"/>
        </w:rPr>
        <w:t xml:space="preserve"> of Iraqi forces</w:t>
      </w:r>
      <w:r w:rsidR="00C168C2" w:rsidRPr="00130E38">
        <w:rPr>
          <w:lang w:val="en"/>
        </w:rPr>
        <w:t xml:space="preserve">. </w:t>
      </w:r>
      <w:r w:rsidR="00290533" w:rsidRPr="00130E38">
        <w:rPr>
          <w:lang w:val="en"/>
        </w:rPr>
        <w:t>G</w:t>
      </w:r>
      <w:r w:rsidR="00364AAC" w:rsidRPr="00130E38">
        <w:rPr>
          <w:lang w:val="en"/>
        </w:rPr>
        <w:t xml:space="preserve">ains by </w:t>
      </w:r>
      <w:r w:rsidR="00372385" w:rsidRPr="00130E38">
        <w:rPr>
          <w:lang w:val="en"/>
        </w:rPr>
        <w:t xml:space="preserve">the Iraqi forces and the Popular Mobilization </w:t>
      </w:r>
      <w:r w:rsidR="00893F80" w:rsidRPr="00130E38">
        <w:rPr>
          <w:lang w:val="en"/>
        </w:rPr>
        <w:t xml:space="preserve">Units </w:t>
      </w:r>
      <w:r w:rsidR="00364AAC" w:rsidRPr="00130E38">
        <w:rPr>
          <w:lang w:val="en"/>
        </w:rPr>
        <w:t xml:space="preserve">were announced, </w:t>
      </w:r>
      <w:r w:rsidR="00056E63" w:rsidRPr="00130E38">
        <w:rPr>
          <w:lang w:val="en"/>
        </w:rPr>
        <w:t xml:space="preserve">but </w:t>
      </w:r>
      <w:r w:rsidR="001553D2" w:rsidRPr="00130E38">
        <w:rPr>
          <w:lang w:val="en"/>
        </w:rPr>
        <w:t xml:space="preserve">reportedly </w:t>
      </w:r>
      <w:r w:rsidR="00C21D80" w:rsidRPr="00130E38">
        <w:rPr>
          <w:lang w:val="en"/>
        </w:rPr>
        <w:t>suffered</w:t>
      </w:r>
      <w:r w:rsidR="00364AAC" w:rsidRPr="00130E38">
        <w:rPr>
          <w:lang w:val="en"/>
        </w:rPr>
        <w:t xml:space="preserve"> heavy casualties </w:t>
      </w:r>
      <w:r w:rsidR="001553D2" w:rsidRPr="00130E38">
        <w:rPr>
          <w:lang w:val="en"/>
        </w:rPr>
        <w:t xml:space="preserve">on 6 June </w:t>
      </w:r>
      <w:r w:rsidR="00364AAC" w:rsidRPr="00130E38">
        <w:rPr>
          <w:lang w:val="en"/>
        </w:rPr>
        <w:t xml:space="preserve">after the detonation of one or more </w:t>
      </w:r>
      <w:r w:rsidR="00372385" w:rsidRPr="00130E38">
        <w:rPr>
          <w:lang w:val="en"/>
        </w:rPr>
        <w:t>improvised explosive devices</w:t>
      </w:r>
      <w:r w:rsidR="00B828FE" w:rsidRPr="00130E38">
        <w:rPr>
          <w:lang w:val="en"/>
        </w:rPr>
        <w:t xml:space="preserve">. On 9 June, </w:t>
      </w:r>
      <w:r w:rsidR="00364AAC" w:rsidRPr="00130E38">
        <w:rPr>
          <w:lang w:val="en"/>
        </w:rPr>
        <w:t xml:space="preserve">ISIL </w:t>
      </w:r>
      <w:r w:rsidR="00B828FE" w:rsidRPr="00130E38">
        <w:rPr>
          <w:lang w:val="en"/>
        </w:rPr>
        <w:t xml:space="preserve">reportedly </w:t>
      </w:r>
      <w:r w:rsidR="00364AAC" w:rsidRPr="00130E38">
        <w:rPr>
          <w:lang w:val="en"/>
        </w:rPr>
        <w:t>advanced in</w:t>
      </w:r>
      <w:r w:rsidR="003A079B" w:rsidRPr="00130E38">
        <w:rPr>
          <w:lang w:val="en"/>
        </w:rPr>
        <w:t xml:space="preserve">to </w:t>
      </w:r>
      <w:r w:rsidR="00364AAC" w:rsidRPr="00130E38">
        <w:rPr>
          <w:lang w:val="en"/>
        </w:rPr>
        <w:t>the city in the wake of a number of suicide and mortar attacks.</w:t>
      </w:r>
      <w:r w:rsidR="00C05514" w:rsidRPr="00130E38">
        <w:rPr>
          <w:lang w:val="en"/>
        </w:rPr>
        <w:t xml:space="preserve"> </w:t>
      </w:r>
      <w:r w:rsidR="00372385" w:rsidRPr="00130E38">
        <w:rPr>
          <w:lang w:val="en"/>
        </w:rPr>
        <w:t>At the end of the period under review, h</w:t>
      </w:r>
      <w:r w:rsidR="00364AAC" w:rsidRPr="00130E38">
        <w:rPr>
          <w:lang w:val="en"/>
        </w:rPr>
        <w:t xml:space="preserve">eavy fighting </w:t>
      </w:r>
      <w:r w:rsidR="00F079DC" w:rsidRPr="00130E38">
        <w:rPr>
          <w:lang w:val="en"/>
        </w:rPr>
        <w:t xml:space="preserve">around </w:t>
      </w:r>
      <w:proofErr w:type="spellStart"/>
      <w:r w:rsidR="00F079DC" w:rsidRPr="00130E38">
        <w:rPr>
          <w:lang w:val="en"/>
        </w:rPr>
        <w:t>Baiji</w:t>
      </w:r>
      <w:proofErr w:type="spellEnd"/>
      <w:r w:rsidR="00F079DC" w:rsidRPr="00130E38">
        <w:rPr>
          <w:lang w:val="en"/>
        </w:rPr>
        <w:t xml:space="preserve"> </w:t>
      </w:r>
      <w:r w:rsidR="00372385" w:rsidRPr="00130E38">
        <w:rPr>
          <w:lang w:val="en"/>
        </w:rPr>
        <w:t xml:space="preserve">was </w:t>
      </w:r>
      <w:r w:rsidR="00056E63" w:rsidRPr="00130E38">
        <w:rPr>
          <w:lang w:val="en"/>
        </w:rPr>
        <w:t>continu</w:t>
      </w:r>
      <w:r w:rsidR="00372385" w:rsidRPr="00130E38">
        <w:rPr>
          <w:lang w:val="en"/>
        </w:rPr>
        <w:t>ing</w:t>
      </w:r>
      <w:r w:rsidR="00364AAC" w:rsidRPr="00130E38">
        <w:rPr>
          <w:lang w:val="en"/>
        </w:rPr>
        <w:t>.</w:t>
      </w:r>
    </w:p>
    <w:p w:rsidR="00CC74E4" w:rsidRPr="00130E38" w:rsidRDefault="00D76194" w:rsidP="00115BF9">
      <w:pPr>
        <w:pStyle w:val="SingleTxtG"/>
        <w:rPr>
          <w:lang w:val="en"/>
        </w:rPr>
      </w:pPr>
      <w:r w:rsidRPr="00130E38">
        <w:rPr>
          <w:lang w:val="en"/>
        </w:rPr>
        <w:t>5.</w:t>
      </w:r>
      <w:r w:rsidRPr="00130E38">
        <w:rPr>
          <w:lang w:val="en"/>
        </w:rPr>
        <w:tab/>
      </w:r>
      <w:r w:rsidR="009877DC" w:rsidRPr="00130E38">
        <w:rPr>
          <w:lang w:val="en"/>
        </w:rPr>
        <w:t xml:space="preserve">On 9 April, the Government </w:t>
      </w:r>
      <w:r w:rsidR="00903F00" w:rsidRPr="00130E38">
        <w:rPr>
          <w:lang w:val="en"/>
        </w:rPr>
        <w:t xml:space="preserve">of Iraq </w:t>
      </w:r>
      <w:r w:rsidR="009877DC" w:rsidRPr="00130E38">
        <w:rPr>
          <w:lang w:val="en"/>
        </w:rPr>
        <w:t xml:space="preserve">began military operations against ISIL in Anbar; the next day, ISIL launched an attack on Ramadi </w:t>
      </w:r>
      <w:r w:rsidR="00056E63" w:rsidRPr="00130E38">
        <w:rPr>
          <w:lang w:val="en"/>
        </w:rPr>
        <w:t xml:space="preserve">District </w:t>
      </w:r>
      <w:r w:rsidR="009877DC" w:rsidRPr="00130E38">
        <w:rPr>
          <w:lang w:val="en"/>
        </w:rPr>
        <w:t>on multiple fronts.</w:t>
      </w:r>
      <w:r w:rsidR="00740FA0" w:rsidRPr="00130E38">
        <w:rPr>
          <w:lang w:val="en"/>
        </w:rPr>
        <w:t xml:space="preserve"> On 9 May, </w:t>
      </w:r>
      <w:r w:rsidR="00903F00" w:rsidRPr="00130E38">
        <w:rPr>
          <w:lang w:val="en"/>
        </w:rPr>
        <w:t xml:space="preserve">the </w:t>
      </w:r>
      <w:r w:rsidR="00740FA0" w:rsidRPr="00130E38">
        <w:rPr>
          <w:lang w:val="en"/>
        </w:rPr>
        <w:t xml:space="preserve">authorities </w:t>
      </w:r>
      <w:r w:rsidR="00CC74E4" w:rsidRPr="00130E38">
        <w:rPr>
          <w:lang w:val="en"/>
        </w:rPr>
        <w:t>began</w:t>
      </w:r>
      <w:r w:rsidR="00740FA0" w:rsidRPr="00130E38">
        <w:rPr>
          <w:lang w:val="en"/>
        </w:rPr>
        <w:t xml:space="preserve"> enlisting 1,000 new recruits to a Sunni militia to assist </w:t>
      </w:r>
      <w:r w:rsidR="00372385" w:rsidRPr="00130E38">
        <w:rPr>
          <w:lang w:val="en"/>
        </w:rPr>
        <w:t xml:space="preserve">the Iraqi security forces </w:t>
      </w:r>
      <w:r w:rsidR="00740FA0" w:rsidRPr="00130E38">
        <w:rPr>
          <w:lang w:val="en"/>
        </w:rPr>
        <w:t xml:space="preserve">in Anbar. </w:t>
      </w:r>
      <w:r w:rsidR="009877DC" w:rsidRPr="00130E38">
        <w:rPr>
          <w:lang w:val="en"/>
        </w:rPr>
        <w:t>By 16 Ma</w:t>
      </w:r>
      <w:r w:rsidR="00E05BD1" w:rsidRPr="00130E38">
        <w:rPr>
          <w:lang w:val="en"/>
        </w:rPr>
        <w:t>y, the city had fallen to IS</w:t>
      </w:r>
      <w:r w:rsidR="00317314" w:rsidRPr="00130E38">
        <w:rPr>
          <w:lang w:val="en"/>
        </w:rPr>
        <w:t>IL</w:t>
      </w:r>
      <w:r w:rsidR="00C432EB" w:rsidRPr="00130E38">
        <w:rPr>
          <w:lang w:val="en"/>
        </w:rPr>
        <w:t xml:space="preserve">, </w:t>
      </w:r>
      <w:r w:rsidR="009E7EC5" w:rsidRPr="00130E38">
        <w:rPr>
          <w:lang w:val="en"/>
        </w:rPr>
        <w:t xml:space="preserve">which </w:t>
      </w:r>
      <w:r w:rsidR="00CC74E4" w:rsidRPr="00130E38">
        <w:rPr>
          <w:lang w:val="en"/>
        </w:rPr>
        <w:t>then began moving eastwards</w:t>
      </w:r>
      <w:r w:rsidR="008672FE" w:rsidRPr="00130E38">
        <w:rPr>
          <w:lang w:val="en"/>
        </w:rPr>
        <w:t>.</w:t>
      </w:r>
      <w:r w:rsidR="00CC74E4" w:rsidRPr="00130E38">
        <w:rPr>
          <w:lang w:val="en"/>
        </w:rPr>
        <w:t xml:space="preserve"> Reportedly, some 3,000 </w:t>
      </w:r>
      <w:r w:rsidR="00372385" w:rsidRPr="00130E38">
        <w:rPr>
          <w:lang w:val="en"/>
        </w:rPr>
        <w:t xml:space="preserve">Popular Mobilization </w:t>
      </w:r>
      <w:r w:rsidR="00372385" w:rsidRPr="00405AAD">
        <w:rPr>
          <w:lang w:val="en"/>
        </w:rPr>
        <w:t>Forces</w:t>
      </w:r>
      <w:r w:rsidR="00372385" w:rsidRPr="00130E38">
        <w:rPr>
          <w:lang w:val="en"/>
        </w:rPr>
        <w:t xml:space="preserve"> </w:t>
      </w:r>
      <w:r w:rsidR="00CC74E4" w:rsidRPr="00130E38">
        <w:rPr>
          <w:lang w:val="en"/>
        </w:rPr>
        <w:t xml:space="preserve">were deployed to the </w:t>
      </w:r>
      <w:proofErr w:type="spellStart"/>
      <w:r w:rsidR="00CC74E4" w:rsidRPr="00130E38">
        <w:rPr>
          <w:lang w:val="en"/>
        </w:rPr>
        <w:t>Habbaniyah</w:t>
      </w:r>
      <w:proofErr w:type="spellEnd"/>
      <w:r w:rsidR="00CC74E4" w:rsidRPr="00130E38">
        <w:rPr>
          <w:lang w:val="en"/>
        </w:rPr>
        <w:t xml:space="preserve"> </w:t>
      </w:r>
      <w:r w:rsidR="004F2E57" w:rsidRPr="00130E38">
        <w:rPr>
          <w:lang w:val="en"/>
        </w:rPr>
        <w:t>a</w:t>
      </w:r>
      <w:r w:rsidR="00056E63" w:rsidRPr="00130E38">
        <w:rPr>
          <w:lang w:val="en"/>
        </w:rPr>
        <w:t xml:space="preserve">irbase </w:t>
      </w:r>
      <w:r w:rsidR="00CC74E4" w:rsidRPr="00130E38">
        <w:rPr>
          <w:lang w:val="en"/>
        </w:rPr>
        <w:t>to f</w:t>
      </w:r>
      <w:r w:rsidR="00C55821" w:rsidRPr="00130E38">
        <w:rPr>
          <w:lang w:val="en"/>
        </w:rPr>
        <w:t>ight ISIL</w:t>
      </w:r>
      <w:r w:rsidR="00056E63" w:rsidRPr="00130E38">
        <w:rPr>
          <w:lang w:val="en"/>
        </w:rPr>
        <w:t>,</w:t>
      </w:r>
      <w:r w:rsidR="00C55821" w:rsidRPr="00130E38">
        <w:rPr>
          <w:lang w:val="en"/>
        </w:rPr>
        <w:t xml:space="preserve"> </w:t>
      </w:r>
      <w:r w:rsidR="00056E63" w:rsidRPr="00130E38">
        <w:rPr>
          <w:lang w:val="en"/>
        </w:rPr>
        <w:t xml:space="preserve">while </w:t>
      </w:r>
      <w:r w:rsidR="00C168C2" w:rsidRPr="00130E38">
        <w:rPr>
          <w:lang w:val="en"/>
        </w:rPr>
        <w:t xml:space="preserve">60,000 </w:t>
      </w:r>
      <w:r w:rsidR="00893F80" w:rsidRPr="00130E38">
        <w:rPr>
          <w:lang w:val="en"/>
        </w:rPr>
        <w:t xml:space="preserve">fighters </w:t>
      </w:r>
      <w:r w:rsidR="00CC74E4" w:rsidRPr="00130E38">
        <w:rPr>
          <w:lang w:val="en"/>
        </w:rPr>
        <w:t xml:space="preserve">were deployed </w:t>
      </w:r>
      <w:r w:rsidR="00056E63" w:rsidRPr="00130E38">
        <w:rPr>
          <w:lang w:val="en"/>
        </w:rPr>
        <w:t xml:space="preserve">to </w:t>
      </w:r>
      <w:r w:rsidR="00CC74E4" w:rsidRPr="00130E38">
        <w:rPr>
          <w:lang w:val="en"/>
        </w:rPr>
        <w:t>Baghdad to protect the city.</w:t>
      </w:r>
    </w:p>
    <w:p w:rsidR="00EC7ECF" w:rsidRPr="00130E38" w:rsidRDefault="00D76194" w:rsidP="00115BF9">
      <w:pPr>
        <w:pStyle w:val="SingleTxtG"/>
        <w:rPr>
          <w:lang w:val="en"/>
        </w:rPr>
      </w:pPr>
      <w:r w:rsidRPr="00130E38">
        <w:rPr>
          <w:lang w:val="en"/>
        </w:rPr>
        <w:t>6.</w:t>
      </w:r>
      <w:r w:rsidRPr="00130E38">
        <w:rPr>
          <w:lang w:val="en"/>
        </w:rPr>
        <w:tab/>
      </w:r>
      <w:r w:rsidR="00CC74E4" w:rsidRPr="00130E38">
        <w:rPr>
          <w:lang w:val="en"/>
        </w:rPr>
        <w:t>After the fall of Ramadi, r</w:t>
      </w:r>
      <w:r w:rsidR="00DE5419" w:rsidRPr="00130E38">
        <w:rPr>
          <w:lang w:val="en"/>
        </w:rPr>
        <w:t xml:space="preserve">eports received </w:t>
      </w:r>
      <w:r w:rsidR="00A943F4" w:rsidRPr="00130E38">
        <w:rPr>
          <w:lang w:val="en"/>
        </w:rPr>
        <w:t xml:space="preserve">contained </w:t>
      </w:r>
      <w:r w:rsidR="005E289A" w:rsidRPr="00130E38">
        <w:rPr>
          <w:lang w:val="en"/>
        </w:rPr>
        <w:t>alleg</w:t>
      </w:r>
      <w:r w:rsidR="00A943F4" w:rsidRPr="00130E38">
        <w:rPr>
          <w:lang w:val="en"/>
        </w:rPr>
        <w:t>ations</w:t>
      </w:r>
      <w:r w:rsidR="005E289A" w:rsidRPr="00130E38">
        <w:rPr>
          <w:lang w:val="en"/>
        </w:rPr>
        <w:t xml:space="preserve"> </w:t>
      </w:r>
      <w:r w:rsidR="00F54BB4" w:rsidRPr="00130E38">
        <w:rPr>
          <w:lang w:val="en"/>
        </w:rPr>
        <w:t>that ISIL had abducted and executed</w:t>
      </w:r>
      <w:r w:rsidR="00DE5419" w:rsidRPr="00130E38">
        <w:rPr>
          <w:lang w:val="en"/>
        </w:rPr>
        <w:t xml:space="preserve"> a significant number of civilians and </w:t>
      </w:r>
      <w:r w:rsidR="00F54BB4" w:rsidRPr="00130E38">
        <w:rPr>
          <w:lang w:val="en"/>
        </w:rPr>
        <w:t xml:space="preserve">captured </w:t>
      </w:r>
      <w:r w:rsidR="00A943F4" w:rsidRPr="00130E38">
        <w:rPr>
          <w:lang w:val="en"/>
        </w:rPr>
        <w:t xml:space="preserve">Iraqi security </w:t>
      </w:r>
      <w:r w:rsidR="00F54BB4" w:rsidRPr="00130E38">
        <w:rPr>
          <w:lang w:val="en"/>
        </w:rPr>
        <w:t>personnel</w:t>
      </w:r>
      <w:r w:rsidR="00056E63" w:rsidRPr="00130E38">
        <w:rPr>
          <w:lang w:val="en"/>
        </w:rPr>
        <w:t xml:space="preserve">. </w:t>
      </w:r>
      <w:r w:rsidR="00A943F4" w:rsidRPr="00130E38">
        <w:rPr>
          <w:lang w:val="en"/>
        </w:rPr>
        <w:t>There were</w:t>
      </w:r>
      <w:r w:rsidR="00056E63" w:rsidRPr="00130E38">
        <w:rPr>
          <w:lang w:val="en"/>
        </w:rPr>
        <w:t xml:space="preserve"> also alleg</w:t>
      </w:r>
      <w:r w:rsidR="00A943F4" w:rsidRPr="00130E38">
        <w:rPr>
          <w:lang w:val="en"/>
        </w:rPr>
        <w:t>ations</w:t>
      </w:r>
      <w:r w:rsidR="00056E63" w:rsidRPr="00130E38">
        <w:rPr>
          <w:lang w:val="en"/>
        </w:rPr>
        <w:t xml:space="preserve"> </w:t>
      </w:r>
      <w:r w:rsidR="00DE5419" w:rsidRPr="00130E38">
        <w:rPr>
          <w:lang w:val="en"/>
        </w:rPr>
        <w:t xml:space="preserve">that </w:t>
      </w:r>
      <w:r w:rsidR="004459B5" w:rsidRPr="00130E38">
        <w:rPr>
          <w:lang w:val="en"/>
        </w:rPr>
        <w:t xml:space="preserve">ISIL was preventing civilians from leaving the city. </w:t>
      </w:r>
      <w:r w:rsidR="005E289A" w:rsidRPr="00130E38">
        <w:rPr>
          <w:lang w:val="en"/>
        </w:rPr>
        <w:t>B</w:t>
      </w:r>
      <w:r w:rsidR="00E05BD1" w:rsidRPr="00130E38">
        <w:rPr>
          <w:lang w:val="en"/>
        </w:rPr>
        <w:t xml:space="preserve">y 26 May, 220,164 people had fled Ramadi and its </w:t>
      </w:r>
      <w:r w:rsidR="0071306E" w:rsidRPr="00130E38">
        <w:rPr>
          <w:lang w:val="en"/>
        </w:rPr>
        <w:t>environs</w:t>
      </w:r>
      <w:r w:rsidR="00E05BD1" w:rsidRPr="00130E38">
        <w:rPr>
          <w:lang w:val="en"/>
        </w:rPr>
        <w:t>.</w:t>
      </w:r>
      <w:r w:rsidR="00E05BD1" w:rsidRPr="00130E38">
        <w:rPr>
          <w:rStyle w:val="FootnoteReference"/>
          <w:lang w:val="en"/>
        </w:rPr>
        <w:footnoteReference w:id="3"/>
      </w:r>
      <w:r w:rsidR="00E05BD1" w:rsidRPr="00130E38">
        <w:rPr>
          <w:lang w:val="en"/>
        </w:rPr>
        <w:t xml:space="preserve"> </w:t>
      </w:r>
      <w:r w:rsidR="000D43C0" w:rsidRPr="00130E38">
        <w:rPr>
          <w:lang w:val="en"/>
        </w:rPr>
        <w:t xml:space="preserve">Large numbers of internally displaced persons </w:t>
      </w:r>
      <w:r w:rsidR="009877DC" w:rsidRPr="00130E38">
        <w:rPr>
          <w:lang w:val="en"/>
        </w:rPr>
        <w:t>made their way towa</w:t>
      </w:r>
      <w:r w:rsidR="000D43C0" w:rsidRPr="00130E38">
        <w:rPr>
          <w:lang w:val="en"/>
        </w:rPr>
        <w:t xml:space="preserve">rds Baghdad, Karbala and </w:t>
      </w:r>
      <w:proofErr w:type="spellStart"/>
      <w:r w:rsidR="000D43C0" w:rsidRPr="00130E38">
        <w:rPr>
          <w:lang w:val="en"/>
        </w:rPr>
        <w:t>Babil</w:t>
      </w:r>
      <w:proofErr w:type="spellEnd"/>
      <w:r w:rsidR="000D43C0" w:rsidRPr="00130E38">
        <w:rPr>
          <w:lang w:val="en"/>
        </w:rPr>
        <w:t xml:space="preserve"> </w:t>
      </w:r>
      <w:r w:rsidR="009A059F" w:rsidRPr="00130E38">
        <w:rPr>
          <w:lang w:val="en"/>
        </w:rPr>
        <w:t>G</w:t>
      </w:r>
      <w:r w:rsidR="009877DC" w:rsidRPr="00130E38">
        <w:rPr>
          <w:lang w:val="en"/>
        </w:rPr>
        <w:t>overnorates, although many were denied entry unless they had a sponsor resident</w:t>
      </w:r>
      <w:r w:rsidR="00D760FD" w:rsidRPr="00130E38">
        <w:rPr>
          <w:lang w:val="en"/>
        </w:rPr>
        <w:t xml:space="preserve">. </w:t>
      </w:r>
    </w:p>
    <w:p w:rsidR="00D60FB3" w:rsidRPr="00130E38" w:rsidRDefault="00D76194" w:rsidP="00115BF9">
      <w:pPr>
        <w:pStyle w:val="SingleTxtG"/>
        <w:rPr>
          <w:lang w:val="en"/>
        </w:rPr>
      </w:pPr>
      <w:r w:rsidRPr="00130E38">
        <w:rPr>
          <w:lang w:val="en"/>
        </w:rPr>
        <w:t>7.</w:t>
      </w:r>
      <w:r w:rsidRPr="00130E38">
        <w:rPr>
          <w:lang w:val="en"/>
        </w:rPr>
        <w:tab/>
      </w:r>
      <w:r w:rsidR="009A0994" w:rsidRPr="00130E38">
        <w:rPr>
          <w:lang w:val="en"/>
        </w:rPr>
        <w:t xml:space="preserve">In late </w:t>
      </w:r>
      <w:r w:rsidR="00C168C2" w:rsidRPr="00130E38">
        <w:rPr>
          <w:lang w:val="en"/>
        </w:rPr>
        <w:t>May, ISIL seized al-</w:t>
      </w:r>
      <w:proofErr w:type="spellStart"/>
      <w:r w:rsidR="00C168C2" w:rsidRPr="00130E38">
        <w:rPr>
          <w:lang w:val="en"/>
        </w:rPr>
        <w:t>Walid</w:t>
      </w:r>
      <w:proofErr w:type="spellEnd"/>
      <w:r w:rsidR="00C168C2" w:rsidRPr="00130E38">
        <w:rPr>
          <w:lang w:val="en"/>
        </w:rPr>
        <w:t xml:space="preserve"> border crossing between </w:t>
      </w:r>
      <w:r w:rsidR="001851BC" w:rsidRPr="00130E38">
        <w:rPr>
          <w:lang w:val="en"/>
        </w:rPr>
        <w:t xml:space="preserve">the </w:t>
      </w:r>
      <w:r w:rsidR="00C168C2" w:rsidRPr="00130E38">
        <w:rPr>
          <w:lang w:val="en"/>
        </w:rPr>
        <w:t>Syria</w:t>
      </w:r>
      <w:r w:rsidR="001851BC" w:rsidRPr="00130E38">
        <w:rPr>
          <w:lang w:val="en"/>
        </w:rPr>
        <w:t>n Arab Republic</w:t>
      </w:r>
      <w:r w:rsidR="00C168C2" w:rsidRPr="00130E38">
        <w:rPr>
          <w:lang w:val="en"/>
        </w:rPr>
        <w:t xml:space="preserve"> and Iraq</w:t>
      </w:r>
      <w:r w:rsidR="009A0994" w:rsidRPr="00130E38">
        <w:rPr>
          <w:lang w:val="en"/>
        </w:rPr>
        <w:t xml:space="preserve">, </w:t>
      </w:r>
      <w:r w:rsidR="00D60FB3" w:rsidRPr="00130E38">
        <w:rPr>
          <w:lang w:val="en"/>
        </w:rPr>
        <w:t>launched an offensive to retake Anbar</w:t>
      </w:r>
      <w:r w:rsidR="009A0994" w:rsidRPr="00130E38">
        <w:rPr>
          <w:lang w:val="en"/>
        </w:rPr>
        <w:t xml:space="preserve"> and </w:t>
      </w:r>
      <w:r w:rsidR="00D60FB3" w:rsidRPr="00130E38">
        <w:rPr>
          <w:lang w:val="en"/>
        </w:rPr>
        <w:t xml:space="preserve">carried out attacks </w:t>
      </w:r>
      <w:r w:rsidR="001851BC" w:rsidRPr="00130E38">
        <w:rPr>
          <w:lang w:val="en"/>
        </w:rPr>
        <w:t xml:space="preserve">east of Fallujah </w:t>
      </w:r>
      <w:r w:rsidR="00680E08" w:rsidRPr="00130E38">
        <w:rPr>
          <w:lang w:val="en"/>
        </w:rPr>
        <w:t xml:space="preserve">using </w:t>
      </w:r>
      <w:r w:rsidR="00357359" w:rsidRPr="00130E38">
        <w:rPr>
          <w:lang w:val="en"/>
        </w:rPr>
        <w:t>vehicle</w:t>
      </w:r>
      <w:r w:rsidR="001851BC" w:rsidRPr="00130E38">
        <w:rPr>
          <w:lang w:val="en"/>
        </w:rPr>
        <w:t>-</w:t>
      </w:r>
      <w:r w:rsidR="00357359" w:rsidRPr="00130E38">
        <w:rPr>
          <w:lang w:val="en"/>
        </w:rPr>
        <w:t>borne improvised explosive devices</w:t>
      </w:r>
      <w:r w:rsidR="00D10F72" w:rsidRPr="00130E38">
        <w:rPr>
          <w:lang w:val="en"/>
        </w:rPr>
        <w:t xml:space="preserve">, killing at least 17 </w:t>
      </w:r>
      <w:r w:rsidR="00C21D80" w:rsidRPr="00130E38">
        <w:rPr>
          <w:lang w:val="en"/>
        </w:rPr>
        <w:t>soldiers</w:t>
      </w:r>
      <w:r w:rsidR="00D10F72" w:rsidRPr="00130E38">
        <w:rPr>
          <w:lang w:val="en"/>
        </w:rPr>
        <w:t>.</w:t>
      </w:r>
    </w:p>
    <w:p w:rsidR="00C168C2" w:rsidRPr="00130E38" w:rsidRDefault="00D76194" w:rsidP="00115BF9">
      <w:pPr>
        <w:pStyle w:val="SingleTxtG"/>
        <w:rPr>
          <w:lang w:val="en"/>
        </w:rPr>
      </w:pPr>
      <w:r w:rsidRPr="00130E38">
        <w:rPr>
          <w:lang w:val="en"/>
        </w:rPr>
        <w:t>8.</w:t>
      </w:r>
      <w:r w:rsidRPr="00130E38">
        <w:rPr>
          <w:lang w:val="en"/>
        </w:rPr>
        <w:tab/>
      </w:r>
      <w:r w:rsidR="008672FE" w:rsidRPr="00130E38">
        <w:rPr>
          <w:lang w:val="en"/>
        </w:rPr>
        <w:t xml:space="preserve">On 2 June, ISIL </w:t>
      </w:r>
      <w:r w:rsidR="009A0994" w:rsidRPr="00130E38">
        <w:rPr>
          <w:lang w:val="en"/>
        </w:rPr>
        <w:t xml:space="preserve">reportedly </w:t>
      </w:r>
      <w:r w:rsidR="008672FE" w:rsidRPr="00130E38">
        <w:rPr>
          <w:lang w:val="en"/>
        </w:rPr>
        <w:t>closed the gates of a dam in Ramadi, cutting water supplies to al-</w:t>
      </w:r>
      <w:proofErr w:type="spellStart"/>
      <w:r w:rsidR="008672FE" w:rsidRPr="00130E38">
        <w:rPr>
          <w:lang w:val="en"/>
        </w:rPr>
        <w:t>Khalidiya</w:t>
      </w:r>
      <w:proofErr w:type="spellEnd"/>
      <w:r w:rsidR="008672FE" w:rsidRPr="00130E38">
        <w:rPr>
          <w:lang w:val="en"/>
        </w:rPr>
        <w:t xml:space="preserve"> and al-</w:t>
      </w:r>
      <w:proofErr w:type="spellStart"/>
      <w:r w:rsidR="008672FE" w:rsidRPr="00130E38">
        <w:rPr>
          <w:lang w:val="en"/>
        </w:rPr>
        <w:t>Habbaniya</w:t>
      </w:r>
      <w:proofErr w:type="spellEnd"/>
      <w:r w:rsidR="008672FE" w:rsidRPr="00130E38">
        <w:rPr>
          <w:lang w:val="en"/>
        </w:rPr>
        <w:t xml:space="preserve"> to the east, </w:t>
      </w:r>
      <w:r w:rsidR="001851BC" w:rsidRPr="00130E38">
        <w:rPr>
          <w:lang w:val="en"/>
        </w:rPr>
        <w:t xml:space="preserve">which were </w:t>
      </w:r>
      <w:r w:rsidR="008672FE" w:rsidRPr="00130E38">
        <w:rPr>
          <w:lang w:val="en"/>
        </w:rPr>
        <w:t xml:space="preserve">held by </w:t>
      </w:r>
      <w:r w:rsidR="001851BC" w:rsidRPr="00130E38">
        <w:rPr>
          <w:lang w:val="en"/>
        </w:rPr>
        <w:t xml:space="preserve">Iraqi security forces </w:t>
      </w:r>
      <w:r w:rsidR="008672FE" w:rsidRPr="00130E38">
        <w:rPr>
          <w:lang w:val="en"/>
        </w:rPr>
        <w:t xml:space="preserve">and </w:t>
      </w:r>
      <w:r w:rsidR="001851BC" w:rsidRPr="00130E38">
        <w:rPr>
          <w:lang w:val="en"/>
        </w:rPr>
        <w:t xml:space="preserve">Popular Mobilization </w:t>
      </w:r>
      <w:r w:rsidR="00893F80" w:rsidRPr="00130E38">
        <w:rPr>
          <w:lang w:val="en"/>
        </w:rPr>
        <w:t>Units</w:t>
      </w:r>
      <w:r w:rsidR="008672FE" w:rsidRPr="00130E38">
        <w:rPr>
          <w:lang w:val="en"/>
        </w:rPr>
        <w:t>.</w:t>
      </w:r>
      <w:r w:rsidR="00F352E8" w:rsidRPr="00130E38">
        <w:rPr>
          <w:lang w:val="en"/>
        </w:rPr>
        <w:t xml:space="preserve"> </w:t>
      </w:r>
      <w:r w:rsidR="00AB5EDA" w:rsidRPr="00130E38">
        <w:rPr>
          <w:lang w:val="en"/>
        </w:rPr>
        <w:t xml:space="preserve">Possibly as a result, the level of water in </w:t>
      </w:r>
      <w:proofErr w:type="spellStart"/>
      <w:r w:rsidR="00AB5EDA" w:rsidRPr="00130E38">
        <w:rPr>
          <w:lang w:val="en"/>
        </w:rPr>
        <w:t>Thi-Qar</w:t>
      </w:r>
      <w:proofErr w:type="spellEnd"/>
      <w:r w:rsidR="00AB5EDA" w:rsidRPr="00130E38">
        <w:rPr>
          <w:lang w:val="en"/>
        </w:rPr>
        <w:t xml:space="preserve"> </w:t>
      </w:r>
      <w:r w:rsidR="00056E63" w:rsidRPr="00130E38">
        <w:rPr>
          <w:lang w:val="en"/>
        </w:rPr>
        <w:t xml:space="preserve">Governorate </w:t>
      </w:r>
      <w:r w:rsidR="00AB5EDA" w:rsidRPr="00130E38">
        <w:rPr>
          <w:lang w:val="en"/>
        </w:rPr>
        <w:t>dropped</w:t>
      </w:r>
      <w:r w:rsidR="00A20952" w:rsidRPr="00130E38">
        <w:rPr>
          <w:lang w:val="en"/>
        </w:rPr>
        <w:t>, in some places critically</w:t>
      </w:r>
      <w:r w:rsidR="00AB5EDA" w:rsidRPr="00130E38">
        <w:rPr>
          <w:lang w:val="en"/>
        </w:rPr>
        <w:t>.</w:t>
      </w:r>
      <w:r w:rsidR="00747C33" w:rsidRPr="00130E38">
        <w:rPr>
          <w:lang w:val="en"/>
        </w:rPr>
        <w:t xml:space="preserve"> </w:t>
      </w:r>
      <w:r w:rsidR="009A0994" w:rsidRPr="00130E38">
        <w:rPr>
          <w:lang w:val="en"/>
        </w:rPr>
        <w:t>O</w:t>
      </w:r>
      <w:r w:rsidR="00F352E8" w:rsidRPr="00130E38">
        <w:rPr>
          <w:lang w:val="en"/>
        </w:rPr>
        <w:t>n 4 June</w:t>
      </w:r>
      <w:r w:rsidR="00056E63" w:rsidRPr="00130E38">
        <w:rPr>
          <w:lang w:val="en"/>
        </w:rPr>
        <w:t>,</w:t>
      </w:r>
      <w:r w:rsidR="00C21D80" w:rsidRPr="00130E38">
        <w:rPr>
          <w:lang w:val="en"/>
        </w:rPr>
        <w:t xml:space="preserve"> </w:t>
      </w:r>
      <w:r w:rsidR="00F352E8" w:rsidRPr="00130E38">
        <w:rPr>
          <w:lang w:val="en"/>
        </w:rPr>
        <w:t xml:space="preserve">several sheikhs and tribal leaders </w:t>
      </w:r>
      <w:r w:rsidR="00A20952" w:rsidRPr="00130E38">
        <w:rPr>
          <w:lang w:val="en"/>
        </w:rPr>
        <w:t xml:space="preserve">from Anbar </w:t>
      </w:r>
      <w:r w:rsidR="009A0994" w:rsidRPr="00130E38">
        <w:rPr>
          <w:lang w:val="en"/>
        </w:rPr>
        <w:t xml:space="preserve">reportedly </w:t>
      </w:r>
      <w:r w:rsidR="00F352E8" w:rsidRPr="00130E38">
        <w:rPr>
          <w:lang w:val="en"/>
        </w:rPr>
        <w:t>pledge</w:t>
      </w:r>
      <w:r w:rsidR="00A20952" w:rsidRPr="00130E38">
        <w:rPr>
          <w:lang w:val="en"/>
        </w:rPr>
        <w:t>d</w:t>
      </w:r>
      <w:r w:rsidR="00F352E8" w:rsidRPr="00130E38">
        <w:rPr>
          <w:lang w:val="en"/>
        </w:rPr>
        <w:t xml:space="preserve"> allegiance to ISIL after a meeting in Fallujah on 3 June</w:t>
      </w:r>
      <w:r w:rsidR="00056E63" w:rsidRPr="00130E38">
        <w:rPr>
          <w:lang w:val="en"/>
        </w:rPr>
        <w:t>. I</w:t>
      </w:r>
      <w:r w:rsidR="00F352E8" w:rsidRPr="00130E38">
        <w:rPr>
          <w:lang w:val="en"/>
        </w:rPr>
        <w:t xml:space="preserve">t is not clear </w:t>
      </w:r>
      <w:r w:rsidR="001851BC" w:rsidRPr="00130E38">
        <w:rPr>
          <w:lang w:val="en"/>
        </w:rPr>
        <w:t>whether</w:t>
      </w:r>
      <w:r w:rsidR="00F352E8" w:rsidRPr="00130E38">
        <w:rPr>
          <w:lang w:val="en"/>
        </w:rPr>
        <w:t xml:space="preserve"> support was </w:t>
      </w:r>
      <w:r w:rsidR="00056E63" w:rsidRPr="00130E38">
        <w:rPr>
          <w:lang w:val="en"/>
        </w:rPr>
        <w:t xml:space="preserve">pledged </w:t>
      </w:r>
      <w:r w:rsidR="00F352E8" w:rsidRPr="00130E38">
        <w:rPr>
          <w:lang w:val="en"/>
        </w:rPr>
        <w:t xml:space="preserve">under duress. </w:t>
      </w:r>
      <w:r w:rsidR="001851BC" w:rsidRPr="00130E38">
        <w:rPr>
          <w:lang w:val="en"/>
        </w:rPr>
        <w:t>At the end of the period under review, c</w:t>
      </w:r>
      <w:r w:rsidR="00C168C2" w:rsidRPr="00130E38">
        <w:rPr>
          <w:lang w:val="en"/>
        </w:rPr>
        <w:t>lashes</w:t>
      </w:r>
      <w:r w:rsidR="00A20952" w:rsidRPr="00130E38">
        <w:rPr>
          <w:lang w:val="en"/>
        </w:rPr>
        <w:t xml:space="preserve"> </w:t>
      </w:r>
      <w:r w:rsidR="001851BC" w:rsidRPr="00130E38">
        <w:rPr>
          <w:lang w:val="en"/>
        </w:rPr>
        <w:t xml:space="preserve">were </w:t>
      </w:r>
      <w:r w:rsidR="00A30C1D" w:rsidRPr="00130E38">
        <w:rPr>
          <w:lang w:val="en"/>
        </w:rPr>
        <w:t>continu</w:t>
      </w:r>
      <w:r w:rsidR="001851BC" w:rsidRPr="00130E38">
        <w:rPr>
          <w:lang w:val="en"/>
        </w:rPr>
        <w:t>ing</w:t>
      </w:r>
      <w:r w:rsidR="00A30C1D" w:rsidRPr="00130E38">
        <w:rPr>
          <w:lang w:val="en"/>
        </w:rPr>
        <w:t xml:space="preserve"> </w:t>
      </w:r>
      <w:r w:rsidR="00A20952" w:rsidRPr="00130E38">
        <w:rPr>
          <w:lang w:val="en"/>
        </w:rPr>
        <w:t xml:space="preserve">in several areas </w:t>
      </w:r>
      <w:r w:rsidR="00C168C2" w:rsidRPr="00130E38">
        <w:rPr>
          <w:lang w:val="en"/>
        </w:rPr>
        <w:t>of Anbar.</w:t>
      </w:r>
    </w:p>
    <w:p w:rsidR="005B2FB7" w:rsidRPr="00130E38" w:rsidRDefault="00D76194" w:rsidP="00115BF9">
      <w:pPr>
        <w:pStyle w:val="SingleTxtG"/>
        <w:rPr>
          <w:lang w:val="en"/>
        </w:rPr>
      </w:pPr>
      <w:r w:rsidRPr="00130E38">
        <w:rPr>
          <w:lang w:val="en"/>
        </w:rPr>
        <w:t>9.</w:t>
      </w:r>
      <w:r w:rsidRPr="00130E38">
        <w:rPr>
          <w:lang w:val="en"/>
        </w:rPr>
        <w:tab/>
      </w:r>
      <w:r w:rsidR="006A4FB3" w:rsidRPr="00130E38">
        <w:rPr>
          <w:lang w:val="en"/>
        </w:rPr>
        <w:t xml:space="preserve">The situation in Ramadi prompted the Kirkuk Provincial Council Security Committee to stop all road movement to and from areas controlled by ISIL on 20 May. On 25 May, the main Kirkuk-Baghdad road was reopened for part of the day. </w:t>
      </w:r>
      <w:r w:rsidR="00570F71" w:rsidRPr="00130E38">
        <w:rPr>
          <w:lang w:val="en"/>
        </w:rPr>
        <w:t>O</w:t>
      </w:r>
      <w:r w:rsidR="006A4FB3" w:rsidRPr="00130E38">
        <w:rPr>
          <w:lang w:val="en"/>
        </w:rPr>
        <w:t xml:space="preserve">n 3 June, </w:t>
      </w:r>
      <w:r w:rsidR="005B2FB7" w:rsidRPr="00130E38">
        <w:rPr>
          <w:lang w:val="en"/>
        </w:rPr>
        <w:t>an explosion caused by an airstrike hit</w:t>
      </w:r>
      <w:r w:rsidR="00714952" w:rsidRPr="00130E38">
        <w:rPr>
          <w:lang w:val="en"/>
        </w:rPr>
        <w:t xml:space="preserve"> </w:t>
      </w:r>
      <w:r w:rsidR="005B2FB7" w:rsidRPr="00130E38">
        <w:rPr>
          <w:lang w:val="en"/>
        </w:rPr>
        <w:t>a storage facility, causing a significant number of casualties and damage to surrounding structures. Some reports indicate</w:t>
      </w:r>
      <w:r w:rsidR="00DA0446" w:rsidRPr="00130E38">
        <w:rPr>
          <w:lang w:val="en"/>
        </w:rPr>
        <w:t>d</w:t>
      </w:r>
      <w:r w:rsidR="005B2FB7" w:rsidRPr="00130E38">
        <w:rPr>
          <w:lang w:val="en"/>
        </w:rPr>
        <w:t xml:space="preserve"> that the </w:t>
      </w:r>
      <w:r w:rsidR="00223202" w:rsidRPr="00130E38">
        <w:rPr>
          <w:lang w:val="en"/>
        </w:rPr>
        <w:t>facility</w:t>
      </w:r>
      <w:r w:rsidR="005B2FB7" w:rsidRPr="00130E38">
        <w:rPr>
          <w:lang w:val="en"/>
        </w:rPr>
        <w:t xml:space="preserve"> contained chemical fertilizers, while others claim</w:t>
      </w:r>
      <w:r w:rsidR="00DA0446" w:rsidRPr="00130E38">
        <w:rPr>
          <w:lang w:val="en"/>
        </w:rPr>
        <w:t>ed that</w:t>
      </w:r>
      <w:r w:rsidR="005B2FB7" w:rsidRPr="00130E38">
        <w:rPr>
          <w:lang w:val="en"/>
        </w:rPr>
        <w:t xml:space="preserve"> it was used to build </w:t>
      </w:r>
      <w:r w:rsidR="001851BC" w:rsidRPr="00130E38">
        <w:rPr>
          <w:lang w:val="en"/>
        </w:rPr>
        <w:t>improvised explosive devic</w:t>
      </w:r>
      <w:r w:rsidR="00C96D0B">
        <w:rPr>
          <w:lang w:val="en"/>
        </w:rPr>
        <w:t>e</w:t>
      </w:r>
      <w:r w:rsidR="001851BC" w:rsidRPr="00130E38">
        <w:rPr>
          <w:lang w:val="en"/>
        </w:rPr>
        <w:t>s</w:t>
      </w:r>
      <w:r w:rsidR="005B2FB7" w:rsidRPr="00130E38">
        <w:rPr>
          <w:lang w:val="en"/>
        </w:rPr>
        <w:t xml:space="preserve">. One Council member </w:t>
      </w:r>
      <w:r w:rsidR="001851BC" w:rsidRPr="00130E38">
        <w:rPr>
          <w:lang w:val="en"/>
        </w:rPr>
        <w:t>informed</w:t>
      </w:r>
      <w:r w:rsidR="0009774A" w:rsidRPr="00130E38">
        <w:rPr>
          <w:lang w:val="en"/>
        </w:rPr>
        <w:t xml:space="preserve"> </w:t>
      </w:r>
      <w:r w:rsidR="005B2FB7" w:rsidRPr="00130E38">
        <w:rPr>
          <w:lang w:val="en"/>
        </w:rPr>
        <w:t xml:space="preserve">media outlets that 150 civilians </w:t>
      </w:r>
      <w:r w:rsidR="001851BC" w:rsidRPr="00130E38">
        <w:rPr>
          <w:lang w:val="en"/>
        </w:rPr>
        <w:t>had been</w:t>
      </w:r>
      <w:r w:rsidR="005B2FB7" w:rsidRPr="00130E38">
        <w:rPr>
          <w:lang w:val="en"/>
        </w:rPr>
        <w:t xml:space="preserve"> killed and wounded, including women and children, </w:t>
      </w:r>
      <w:r w:rsidR="00223202" w:rsidRPr="00130E38">
        <w:rPr>
          <w:lang w:val="en"/>
        </w:rPr>
        <w:t>in addition to</w:t>
      </w:r>
      <w:r w:rsidR="005B2FB7" w:rsidRPr="00130E38">
        <w:rPr>
          <w:lang w:val="en"/>
        </w:rPr>
        <w:t xml:space="preserve"> 100 ISIL militants.</w:t>
      </w:r>
    </w:p>
    <w:p w:rsidR="00C05514" w:rsidRPr="00130E38" w:rsidRDefault="00D76194" w:rsidP="00115BF9">
      <w:pPr>
        <w:pStyle w:val="SingleTxtG"/>
        <w:rPr>
          <w:lang w:val="en"/>
        </w:rPr>
      </w:pPr>
      <w:r w:rsidRPr="00130E38">
        <w:rPr>
          <w:lang w:val="en"/>
        </w:rPr>
        <w:t>10.</w:t>
      </w:r>
      <w:r w:rsidRPr="00130E38">
        <w:rPr>
          <w:lang w:val="en"/>
        </w:rPr>
        <w:tab/>
      </w:r>
      <w:r w:rsidR="00CA23BA" w:rsidRPr="00130E38">
        <w:rPr>
          <w:lang w:val="en"/>
        </w:rPr>
        <w:t>During the period</w:t>
      </w:r>
      <w:r w:rsidR="001851BC" w:rsidRPr="00130E38">
        <w:rPr>
          <w:lang w:val="en"/>
        </w:rPr>
        <w:t xml:space="preserve"> under review</w:t>
      </w:r>
      <w:r w:rsidR="00CA23BA" w:rsidRPr="00130E38">
        <w:rPr>
          <w:lang w:val="en"/>
        </w:rPr>
        <w:t xml:space="preserve">, </w:t>
      </w:r>
      <w:proofErr w:type="spellStart"/>
      <w:r w:rsidR="00D10F72" w:rsidRPr="00130E38">
        <w:rPr>
          <w:lang w:val="en"/>
        </w:rPr>
        <w:t>Diyala</w:t>
      </w:r>
      <w:proofErr w:type="spellEnd"/>
      <w:r w:rsidR="00D10F72" w:rsidRPr="00130E38">
        <w:rPr>
          <w:lang w:val="en"/>
        </w:rPr>
        <w:t xml:space="preserve"> </w:t>
      </w:r>
      <w:r w:rsidR="00056E63" w:rsidRPr="00130E38">
        <w:rPr>
          <w:lang w:val="en"/>
        </w:rPr>
        <w:t>G</w:t>
      </w:r>
      <w:r w:rsidR="001627F5" w:rsidRPr="00130E38">
        <w:rPr>
          <w:lang w:val="en"/>
        </w:rPr>
        <w:t xml:space="preserve">overnorate </w:t>
      </w:r>
      <w:r w:rsidR="001851BC" w:rsidRPr="00130E38">
        <w:rPr>
          <w:lang w:val="en"/>
        </w:rPr>
        <w:t>witnessed</w:t>
      </w:r>
      <w:r w:rsidR="005053E4" w:rsidRPr="00130E38">
        <w:rPr>
          <w:lang w:val="en"/>
        </w:rPr>
        <w:t xml:space="preserve"> </w:t>
      </w:r>
      <w:r w:rsidR="001627F5" w:rsidRPr="00130E38">
        <w:rPr>
          <w:lang w:val="en"/>
        </w:rPr>
        <w:t xml:space="preserve">a steady increase in attacks targeting members of </w:t>
      </w:r>
      <w:r w:rsidR="00C87D17">
        <w:rPr>
          <w:lang w:val="en"/>
        </w:rPr>
        <w:t>its</w:t>
      </w:r>
      <w:r w:rsidR="00C87D17" w:rsidRPr="00130E38">
        <w:rPr>
          <w:lang w:val="en"/>
        </w:rPr>
        <w:t xml:space="preserve"> </w:t>
      </w:r>
      <w:r w:rsidR="001627F5" w:rsidRPr="00405AAD">
        <w:rPr>
          <w:lang w:val="en"/>
        </w:rPr>
        <w:t>communit</w:t>
      </w:r>
      <w:r w:rsidR="00103C82">
        <w:rPr>
          <w:lang w:val="en"/>
        </w:rPr>
        <w:t>ies</w:t>
      </w:r>
      <w:r w:rsidR="0009774A" w:rsidRPr="00130E38">
        <w:rPr>
          <w:lang w:val="en"/>
        </w:rPr>
        <w:t xml:space="preserve">, culminating in May with </w:t>
      </w:r>
      <w:r w:rsidR="001627F5" w:rsidRPr="00130E38">
        <w:rPr>
          <w:lang w:val="en"/>
        </w:rPr>
        <w:t xml:space="preserve">22 verified incidents, including at least 28 killings and 13 abductions. In </w:t>
      </w:r>
      <w:r w:rsidR="008D1EE8" w:rsidRPr="00130E38">
        <w:rPr>
          <w:lang w:val="en"/>
        </w:rPr>
        <w:t xml:space="preserve">most </w:t>
      </w:r>
      <w:r w:rsidR="001627F5" w:rsidRPr="00130E38">
        <w:rPr>
          <w:lang w:val="en"/>
        </w:rPr>
        <w:t>incidents, perpetrators remain unidentified</w:t>
      </w:r>
      <w:r w:rsidR="001627F5" w:rsidRPr="00405AAD">
        <w:rPr>
          <w:lang w:val="en"/>
        </w:rPr>
        <w:t>.</w:t>
      </w:r>
      <w:r w:rsidR="00C05514" w:rsidRPr="00130E38">
        <w:rPr>
          <w:lang w:val="en"/>
        </w:rPr>
        <w:t xml:space="preserve"> </w:t>
      </w:r>
      <w:r w:rsidR="008D1EE8" w:rsidRPr="00130E38">
        <w:rPr>
          <w:lang w:val="en"/>
        </w:rPr>
        <w:t>E</w:t>
      </w:r>
      <w:r w:rsidR="00C05514" w:rsidRPr="00130E38">
        <w:rPr>
          <w:lang w:val="en"/>
        </w:rPr>
        <w:t xml:space="preserve">xplosions and attacks continued </w:t>
      </w:r>
      <w:r w:rsidR="00056E63" w:rsidRPr="00130E38">
        <w:rPr>
          <w:lang w:val="en"/>
        </w:rPr>
        <w:t xml:space="preserve">through </w:t>
      </w:r>
      <w:r w:rsidR="00C05514" w:rsidRPr="00130E38">
        <w:rPr>
          <w:lang w:val="en"/>
        </w:rPr>
        <w:t>June, with an individual detonating a</w:t>
      </w:r>
      <w:r w:rsidR="008D1EE8" w:rsidRPr="00130E38">
        <w:rPr>
          <w:lang w:val="en"/>
        </w:rPr>
        <w:t xml:space="preserve"> </w:t>
      </w:r>
      <w:r w:rsidR="001851BC" w:rsidRPr="00130E38">
        <w:rPr>
          <w:lang w:val="en"/>
        </w:rPr>
        <w:t xml:space="preserve">vehicle-borne improvised explosive device </w:t>
      </w:r>
      <w:r w:rsidR="00C05514" w:rsidRPr="00130E38">
        <w:rPr>
          <w:lang w:val="en"/>
        </w:rPr>
        <w:t xml:space="preserve">at a security checkpoint in </w:t>
      </w:r>
      <w:proofErr w:type="spellStart"/>
      <w:r w:rsidR="00C05514" w:rsidRPr="00130E38">
        <w:rPr>
          <w:lang w:val="en"/>
        </w:rPr>
        <w:t>Baladruz</w:t>
      </w:r>
      <w:proofErr w:type="spellEnd"/>
      <w:r w:rsidR="00C05514" w:rsidRPr="00130E38">
        <w:rPr>
          <w:lang w:val="en"/>
        </w:rPr>
        <w:t xml:space="preserve"> on 6 June. </w:t>
      </w:r>
      <w:r w:rsidR="00F87889" w:rsidRPr="00130E38">
        <w:rPr>
          <w:lang w:val="en"/>
        </w:rPr>
        <w:t>T</w:t>
      </w:r>
      <w:r w:rsidR="00C05514" w:rsidRPr="00130E38">
        <w:rPr>
          <w:lang w:val="en"/>
        </w:rPr>
        <w:t>he incident killed at least 11 civilians and wounded 14 others.</w:t>
      </w:r>
      <w:r w:rsidR="00056E63" w:rsidRPr="00130E38">
        <w:rPr>
          <w:lang w:val="en"/>
        </w:rPr>
        <w:t xml:space="preserve"> </w:t>
      </w:r>
    </w:p>
    <w:p w:rsidR="00D10CF0" w:rsidRPr="00130E38" w:rsidRDefault="00D76194" w:rsidP="00115BF9">
      <w:pPr>
        <w:pStyle w:val="SingleTxtG"/>
        <w:rPr>
          <w:lang w:val="en"/>
        </w:rPr>
      </w:pPr>
      <w:r w:rsidRPr="00130E38">
        <w:rPr>
          <w:lang w:val="en"/>
        </w:rPr>
        <w:t>11.</w:t>
      </w:r>
      <w:r w:rsidRPr="00130E38">
        <w:rPr>
          <w:lang w:val="en"/>
        </w:rPr>
        <w:tab/>
      </w:r>
      <w:r w:rsidR="00056E63" w:rsidRPr="00130E38">
        <w:rPr>
          <w:lang w:val="en"/>
        </w:rPr>
        <w:t xml:space="preserve">ISIL </w:t>
      </w:r>
      <w:r w:rsidR="002D2E57" w:rsidRPr="00130E38">
        <w:rPr>
          <w:lang w:val="en"/>
        </w:rPr>
        <w:t>marked</w:t>
      </w:r>
      <w:r w:rsidR="002D2E57" w:rsidRPr="00130E38" w:rsidDel="00056E63">
        <w:rPr>
          <w:lang w:val="en"/>
        </w:rPr>
        <w:t xml:space="preserve"> </w:t>
      </w:r>
      <w:r w:rsidR="00714952" w:rsidRPr="00130E38">
        <w:rPr>
          <w:lang w:val="en"/>
        </w:rPr>
        <w:t xml:space="preserve">the </w:t>
      </w:r>
      <w:r w:rsidR="00CB6776" w:rsidRPr="00130E38">
        <w:rPr>
          <w:lang w:val="en"/>
        </w:rPr>
        <w:t>one-</w:t>
      </w:r>
      <w:r w:rsidR="00C55821" w:rsidRPr="00130E38">
        <w:rPr>
          <w:lang w:val="en"/>
        </w:rPr>
        <w:t xml:space="preserve">year </w:t>
      </w:r>
      <w:r w:rsidR="00714952" w:rsidRPr="00130E38">
        <w:rPr>
          <w:lang w:val="en"/>
        </w:rPr>
        <w:t xml:space="preserve">anniversary of </w:t>
      </w:r>
      <w:r w:rsidR="00345376" w:rsidRPr="00130E38">
        <w:rPr>
          <w:lang w:val="en"/>
        </w:rPr>
        <w:t xml:space="preserve">the capture of </w:t>
      </w:r>
      <w:r w:rsidR="00714952" w:rsidRPr="00130E38">
        <w:rPr>
          <w:lang w:val="en"/>
        </w:rPr>
        <w:t>Mosul</w:t>
      </w:r>
      <w:r w:rsidR="00F87889" w:rsidRPr="00130E38">
        <w:rPr>
          <w:lang w:val="en"/>
        </w:rPr>
        <w:t xml:space="preserve">, </w:t>
      </w:r>
      <w:proofErr w:type="spellStart"/>
      <w:r w:rsidR="00F87889" w:rsidRPr="00130E38">
        <w:rPr>
          <w:lang w:val="en"/>
        </w:rPr>
        <w:t>Ninewa</w:t>
      </w:r>
      <w:proofErr w:type="spellEnd"/>
      <w:r w:rsidR="00F87889" w:rsidRPr="00130E38">
        <w:rPr>
          <w:lang w:val="en"/>
        </w:rPr>
        <w:t xml:space="preserve"> </w:t>
      </w:r>
      <w:r w:rsidR="00056E63" w:rsidRPr="00130E38">
        <w:rPr>
          <w:lang w:val="en"/>
        </w:rPr>
        <w:t>Governorate</w:t>
      </w:r>
      <w:r w:rsidR="00C55821" w:rsidRPr="00130E38">
        <w:rPr>
          <w:lang w:val="en"/>
        </w:rPr>
        <w:t xml:space="preserve">. </w:t>
      </w:r>
      <w:r w:rsidR="00CA23BA" w:rsidRPr="00130E38">
        <w:rPr>
          <w:lang w:val="en"/>
        </w:rPr>
        <w:t xml:space="preserve">It </w:t>
      </w:r>
      <w:r w:rsidR="002D2E57" w:rsidRPr="00130E38">
        <w:rPr>
          <w:lang w:val="en"/>
        </w:rPr>
        <w:t xml:space="preserve">continued </w:t>
      </w:r>
      <w:r w:rsidR="00C55821" w:rsidRPr="00130E38">
        <w:rPr>
          <w:lang w:val="en"/>
        </w:rPr>
        <w:t xml:space="preserve">to </w:t>
      </w:r>
      <w:r w:rsidR="00345376" w:rsidRPr="00130E38">
        <w:rPr>
          <w:lang w:val="en"/>
        </w:rPr>
        <w:t xml:space="preserve">have </w:t>
      </w:r>
      <w:r w:rsidR="00C55821" w:rsidRPr="00130E38">
        <w:rPr>
          <w:lang w:val="en"/>
        </w:rPr>
        <w:t xml:space="preserve">control over all </w:t>
      </w:r>
      <w:r w:rsidR="00364AAC" w:rsidRPr="00130E38">
        <w:rPr>
          <w:lang w:val="en"/>
        </w:rPr>
        <w:t xml:space="preserve">aspects of </w:t>
      </w:r>
      <w:r w:rsidR="00002283" w:rsidRPr="00130E38">
        <w:rPr>
          <w:lang w:val="en"/>
        </w:rPr>
        <w:t xml:space="preserve">everyday </w:t>
      </w:r>
      <w:r w:rsidR="00364AAC" w:rsidRPr="00130E38">
        <w:rPr>
          <w:lang w:val="en"/>
        </w:rPr>
        <w:t xml:space="preserve">life </w:t>
      </w:r>
      <w:r w:rsidR="002D2E57" w:rsidRPr="00130E38">
        <w:rPr>
          <w:lang w:val="en"/>
        </w:rPr>
        <w:t xml:space="preserve">in </w:t>
      </w:r>
      <w:r w:rsidR="00364AAC" w:rsidRPr="00130E38">
        <w:rPr>
          <w:lang w:val="en"/>
        </w:rPr>
        <w:t xml:space="preserve">the city. </w:t>
      </w:r>
      <w:r w:rsidR="00F8794D" w:rsidRPr="00130E38">
        <w:rPr>
          <w:lang w:val="en"/>
        </w:rPr>
        <w:t>Dress codes have been imposed and freedom of movement</w:t>
      </w:r>
      <w:r w:rsidR="0092530C" w:rsidRPr="00130E38">
        <w:rPr>
          <w:lang w:val="en"/>
        </w:rPr>
        <w:t xml:space="preserve"> </w:t>
      </w:r>
      <w:r w:rsidR="00345376" w:rsidRPr="00130E38">
        <w:rPr>
          <w:lang w:val="en"/>
        </w:rPr>
        <w:t xml:space="preserve">is </w:t>
      </w:r>
      <w:r w:rsidR="0092530C" w:rsidRPr="00130E38">
        <w:rPr>
          <w:lang w:val="en"/>
        </w:rPr>
        <w:t>severely restricted</w:t>
      </w:r>
      <w:r w:rsidR="00F8794D" w:rsidRPr="00130E38">
        <w:rPr>
          <w:lang w:val="en"/>
        </w:rPr>
        <w:t>.</w:t>
      </w:r>
      <w:r w:rsidR="00D10CF0" w:rsidRPr="00130E38">
        <w:rPr>
          <w:lang w:val="en"/>
        </w:rPr>
        <w:t xml:space="preserve"> </w:t>
      </w:r>
      <w:r w:rsidR="007C32A8" w:rsidRPr="00130E38">
        <w:rPr>
          <w:lang w:val="en"/>
        </w:rPr>
        <w:t>ISIL has imposed its own education curriculum</w:t>
      </w:r>
      <w:r w:rsidR="00345376" w:rsidRPr="00130E38">
        <w:rPr>
          <w:lang w:val="en"/>
        </w:rPr>
        <w:t>,</w:t>
      </w:r>
      <w:r w:rsidR="007C32A8" w:rsidRPr="00130E38">
        <w:rPr>
          <w:lang w:val="en"/>
        </w:rPr>
        <w:t xml:space="preserve"> and </w:t>
      </w:r>
      <w:r w:rsidR="002D2E57" w:rsidRPr="00130E38">
        <w:rPr>
          <w:lang w:val="en"/>
        </w:rPr>
        <w:t>demand</w:t>
      </w:r>
      <w:r w:rsidR="00345376" w:rsidRPr="00130E38">
        <w:rPr>
          <w:lang w:val="en"/>
        </w:rPr>
        <w:t>s</w:t>
      </w:r>
      <w:r w:rsidR="002D2E57" w:rsidRPr="00130E38">
        <w:rPr>
          <w:lang w:val="en"/>
        </w:rPr>
        <w:t xml:space="preserve"> </w:t>
      </w:r>
      <w:r w:rsidR="002F0760" w:rsidRPr="00130E38">
        <w:rPr>
          <w:lang w:val="en"/>
        </w:rPr>
        <w:t>steep</w:t>
      </w:r>
      <w:r w:rsidR="007C32A8" w:rsidRPr="00130E38">
        <w:rPr>
          <w:lang w:val="en"/>
        </w:rPr>
        <w:t xml:space="preserve"> rents and taxes. </w:t>
      </w:r>
      <w:r w:rsidR="00D10CF0" w:rsidRPr="00130E38">
        <w:rPr>
          <w:lang w:val="en"/>
        </w:rPr>
        <w:t xml:space="preserve">Punishment for violating ISIL rules </w:t>
      </w:r>
      <w:r w:rsidR="009A059F" w:rsidRPr="00130E38">
        <w:rPr>
          <w:lang w:val="en"/>
        </w:rPr>
        <w:t xml:space="preserve">is </w:t>
      </w:r>
      <w:r w:rsidR="00D10CF0" w:rsidRPr="00130E38">
        <w:rPr>
          <w:lang w:val="en"/>
        </w:rPr>
        <w:t xml:space="preserve">severe, often imposed by </w:t>
      </w:r>
      <w:r w:rsidR="009A059F" w:rsidRPr="00130E38">
        <w:rPr>
          <w:lang w:val="en"/>
        </w:rPr>
        <w:t xml:space="preserve">its </w:t>
      </w:r>
      <w:r w:rsidR="00A5112A" w:rsidRPr="00130E38">
        <w:rPr>
          <w:lang w:val="en"/>
        </w:rPr>
        <w:t>self-appointed</w:t>
      </w:r>
      <w:r w:rsidR="00D10CF0" w:rsidRPr="00130E38">
        <w:rPr>
          <w:lang w:val="en"/>
        </w:rPr>
        <w:t xml:space="preserve"> courts, and include</w:t>
      </w:r>
      <w:r w:rsidR="002D2E57" w:rsidRPr="00130E38">
        <w:rPr>
          <w:lang w:val="en"/>
        </w:rPr>
        <w:t>d</w:t>
      </w:r>
      <w:r w:rsidR="00D10CF0" w:rsidRPr="00130E38">
        <w:rPr>
          <w:lang w:val="en"/>
        </w:rPr>
        <w:t xml:space="preserve"> </w:t>
      </w:r>
      <w:r w:rsidR="005C309C" w:rsidRPr="00130E38">
        <w:rPr>
          <w:lang w:val="en"/>
        </w:rPr>
        <w:t xml:space="preserve">flogging, </w:t>
      </w:r>
      <w:r w:rsidR="00D10CF0" w:rsidRPr="00130E38">
        <w:rPr>
          <w:lang w:val="en"/>
        </w:rPr>
        <w:t>amputation, beheading, stoning</w:t>
      </w:r>
      <w:r w:rsidR="005C309C" w:rsidRPr="00130E38">
        <w:rPr>
          <w:lang w:val="en"/>
        </w:rPr>
        <w:t xml:space="preserve">, immolation and other cruel and </w:t>
      </w:r>
      <w:r w:rsidR="002D2E57" w:rsidRPr="00130E38">
        <w:rPr>
          <w:lang w:val="en"/>
        </w:rPr>
        <w:t xml:space="preserve">unlawful </w:t>
      </w:r>
      <w:r w:rsidR="005C309C" w:rsidRPr="00130E38">
        <w:rPr>
          <w:lang w:val="en"/>
        </w:rPr>
        <w:t>punishment</w:t>
      </w:r>
      <w:r w:rsidR="00D10CF0" w:rsidRPr="00130E38">
        <w:rPr>
          <w:lang w:val="en"/>
        </w:rPr>
        <w:t xml:space="preserve">. </w:t>
      </w:r>
      <w:r w:rsidR="007C32A8" w:rsidRPr="00130E38">
        <w:rPr>
          <w:lang w:val="en"/>
        </w:rPr>
        <w:t xml:space="preserve">Reports have been received of </w:t>
      </w:r>
      <w:r w:rsidR="00345376" w:rsidRPr="00130E38">
        <w:rPr>
          <w:lang w:val="en"/>
        </w:rPr>
        <w:t xml:space="preserve">a </w:t>
      </w:r>
      <w:r w:rsidR="007C32A8" w:rsidRPr="00130E38">
        <w:rPr>
          <w:lang w:val="en"/>
        </w:rPr>
        <w:t>food scarcity in some areas under ISIL control</w:t>
      </w:r>
      <w:r w:rsidR="00C21D80" w:rsidRPr="00130E38">
        <w:rPr>
          <w:lang w:val="en"/>
        </w:rPr>
        <w:t xml:space="preserve"> in the </w:t>
      </w:r>
      <w:r w:rsidR="002D2E57" w:rsidRPr="00130E38">
        <w:rPr>
          <w:lang w:val="en"/>
        </w:rPr>
        <w:t>Governorate</w:t>
      </w:r>
      <w:r w:rsidR="007C32A8" w:rsidRPr="00130E38">
        <w:rPr>
          <w:lang w:val="en"/>
        </w:rPr>
        <w:t>.</w:t>
      </w:r>
    </w:p>
    <w:p w:rsidR="00F8794D" w:rsidRPr="00130E38" w:rsidRDefault="00D76194" w:rsidP="00115BF9">
      <w:pPr>
        <w:pStyle w:val="SingleTxtG"/>
        <w:rPr>
          <w:lang w:val="en"/>
        </w:rPr>
      </w:pPr>
      <w:r w:rsidRPr="00130E38">
        <w:rPr>
          <w:lang w:val="en"/>
        </w:rPr>
        <w:t>12.</w:t>
      </w:r>
      <w:r w:rsidRPr="00130E38">
        <w:rPr>
          <w:lang w:val="en"/>
        </w:rPr>
        <w:tab/>
      </w:r>
      <w:r w:rsidR="00395A55" w:rsidRPr="00130E38">
        <w:rPr>
          <w:lang w:val="en"/>
        </w:rPr>
        <w:t xml:space="preserve">In May, ISIL issued new instructions through mosques, pamphlets and </w:t>
      </w:r>
      <w:r w:rsidR="00345376" w:rsidRPr="00130E38">
        <w:rPr>
          <w:lang w:val="en"/>
        </w:rPr>
        <w:t>its</w:t>
      </w:r>
      <w:r w:rsidR="00395A55" w:rsidRPr="00130E38">
        <w:rPr>
          <w:lang w:val="en"/>
        </w:rPr>
        <w:t xml:space="preserve"> local radio channel ahead of the holy month of Ramadan.</w:t>
      </w:r>
      <w:r w:rsidR="00345376" w:rsidRPr="00130E38">
        <w:rPr>
          <w:lang w:val="en"/>
        </w:rPr>
        <w:t xml:space="preserve"> According to t</w:t>
      </w:r>
      <w:r w:rsidR="00E676D9" w:rsidRPr="00130E38">
        <w:rPr>
          <w:lang w:val="en"/>
        </w:rPr>
        <w:t>he instructions</w:t>
      </w:r>
      <w:r w:rsidR="00345376" w:rsidRPr="00130E38">
        <w:rPr>
          <w:lang w:val="en"/>
        </w:rPr>
        <w:t>,</w:t>
      </w:r>
      <w:r w:rsidR="00E676D9" w:rsidRPr="00130E38">
        <w:rPr>
          <w:lang w:val="en"/>
        </w:rPr>
        <w:t xml:space="preserve"> w</w:t>
      </w:r>
      <w:r w:rsidR="00395A55" w:rsidRPr="00130E38">
        <w:rPr>
          <w:lang w:val="en"/>
        </w:rPr>
        <w:t xml:space="preserve">omen </w:t>
      </w:r>
      <w:r w:rsidR="00EA145B" w:rsidRPr="00130E38">
        <w:rPr>
          <w:lang w:val="en"/>
        </w:rPr>
        <w:t xml:space="preserve">are </w:t>
      </w:r>
      <w:r w:rsidR="00395A55" w:rsidRPr="00130E38">
        <w:rPr>
          <w:lang w:val="en"/>
        </w:rPr>
        <w:t>not allowed to leave their home from dawn to sunset</w:t>
      </w:r>
      <w:r w:rsidR="00345376" w:rsidRPr="00130E38">
        <w:rPr>
          <w:lang w:val="en"/>
        </w:rPr>
        <w:t>,</w:t>
      </w:r>
      <w:r w:rsidR="00395A55" w:rsidRPr="00130E38">
        <w:rPr>
          <w:lang w:val="en"/>
        </w:rPr>
        <w:t xml:space="preserve"> and no stores</w:t>
      </w:r>
      <w:r w:rsidR="00B828FE" w:rsidRPr="00130E38">
        <w:rPr>
          <w:lang w:val="en"/>
        </w:rPr>
        <w:t>, except grocery stor</w:t>
      </w:r>
      <w:r w:rsidR="00395A55" w:rsidRPr="00130E38">
        <w:rPr>
          <w:lang w:val="en"/>
        </w:rPr>
        <w:t>es and pharmacies</w:t>
      </w:r>
      <w:r w:rsidR="00345376" w:rsidRPr="00130E38">
        <w:rPr>
          <w:lang w:val="en"/>
        </w:rPr>
        <w:t>,</w:t>
      </w:r>
      <w:r w:rsidR="00395A55" w:rsidRPr="00130E38">
        <w:rPr>
          <w:lang w:val="en"/>
        </w:rPr>
        <w:t xml:space="preserve"> </w:t>
      </w:r>
      <w:r w:rsidR="00345376" w:rsidRPr="00130E38">
        <w:rPr>
          <w:lang w:val="en"/>
        </w:rPr>
        <w:t>may</w:t>
      </w:r>
      <w:r w:rsidR="00395A55" w:rsidRPr="00130E38">
        <w:rPr>
          <w:lang w:val="en"/>
        </w:rPr>
        <w:t xml:space="preserve"> open during this period. On 17 May, ISIL divided </w:t>
      </w:r>
      <w:proofErr w:type="spellStart"/>
      <w:r w:rsidR="00395A55" w:rsidRPr="00130E38">
        <w:rPr>
          <w:lang w:val="en"/>
        </w:rPr>
        <w:t>Ninewa</w:t>
      </w:r>
      <w:proofErr w:type="spellEnd"/>
      <w:r w:rsidR="00395A55" w:rsidRPr="00130E38">
        <w:rPr>
          <w:lang w:val="en"/>
        </w:rPr>
        <w:t xml:space="preserve"> </w:t>
      </w:r>
      <w:r w:rsidR="002D2E57" w:rsidRPr="00130E38">
        <w:rPr>
          <w:lang w:val="en"/>
        </w:rPr>
        <w:t>G</w:t>
      </w:r>
      <w:r w:rsidR="00395A55" w:rsidRPr="00130E38">
        <w:rPr>
          <w:lang w:val="en"/>
        </w:rPr>
        <w:t xml:space="preserve">overnorate into three </w:t>
      </w:r>
      <w:r w:rsidR="00345376" w:rsidRPr="00130E38">
        <w:rPr>
          <w:lang w:val="en"/>
        </w:rPr>
        <w:t>“</w:t>
      </w:r>
      <w:r w:rsidR="00395A55" w:rsidRPr="00130E38">
        <w:rPr>
          <w:lang w:val="en"/>
        </w:rPr>
        <w:t>states</w:t>
      </w:r>
      <w:r w:rsidR="00345376" w:rsidRPr="00130E38">
        <w:rPr>
          <w:lang w:val="en"/>
        </w:rPr>
        <w:t>”</w:t>
      </w:r>
      <w:r w:rsidR="00395A55" w:rsidRPr="00130E38">
        <w:rPr>
          <w:lang w:val="en"/>
        </w:rPr>
        <w:t xml:space="preserve"> </w:t>
      </w:r>
      <w:r w:rsidR="00345376" w:rsidRPr="00130E38">
        <w:rPr>
          <w:lang w:val="en"/>
        </w:rPr>
        <w:t>–</w:t>
      </w:r>
      <w:r w:rsidR="00395A55" w:rsidRPr="00130E38">
        <w:rPr>
          <w:lang w:val="en"/>
        </w:rPr>
        <w:t xml:space="preserve"> Jazeera, Tigris and </w:t>
      </w:r>
      <w:proofErr w:type="spellStart"/>
      <w:r w:rsidR="00395A55" w:rsidRPr="00130E38">
        <w:rPr>
          <w:lang w:val="en"/>
        </w:rPr>
        <w:t>Ninewa</w:t>
      </w:r>
      <w:proofErr w:type="spellEnd"/>
      <w:r w:rsidR="00395A55" w:rsidRPr="00130E38">
        <w:rPr>
          <w:lang w:val="en"/>
        </w:rPr>
        <w:t xml:space="preserve"> – </w:t>
      </w:r>
      <w:r w:rsidR="00345376" w:rsidRPr="00130E38">
        <w:rPr>
          <w:lang w:val="en"/>
        </w:rPr>
        <w:t xml:space="preserve">and </w:t>
      </w:r>
      <w:r w:rsidR="00395A55" w:rsidRPr="00130E38">
        <w:rPr>
          <w:lang w:val="en"/>
        </w:rPr>
        <w:t>appoint</w:t>
      </w:r>
      <w:r w:rsidR="00345376" w:rsidRPr="00130E38">
        <w:rPr>
          <w:lang w:val="en"/>
        </w:rPr>
        <w:t>ed</w:t>
      </w:r>
      <w:r w:rsidR="00395A55" w:rsidRPr="00130E38">
        <w:rPr>
          <w:lang w:val="en"/>
        </w:rPr>
        <w:t xml:space="preserve"> a </w:t>
      </w:r>
      <w:proofErr w:type="spellStart"/>
      <w:r w:rsidR="00345376" w:rsidRPr="00130E38">
        <w:rPr>
          <w:i/>
          <w:lang w:val="en"/>
        </w:rPr>
        <w:t>w</w:t>
      </w:r>
      <w:r w:rsidR="00395A55" w:rsidRPr="00130E38">
        <w:rPr>
          <w:i/>
          <w:lang w:val="en"/>
        </w:rPr>
        <w:t>ali</w:t>
      </w:r>
      <w:proofErr w:type="spellEnd"/>
      <w:r w:rsidR="00395A55" w:rsidRPr="00130E38">
        <w:rPr>
          <w:lang w:val="en"/>
        </w:rPr>
        <w:t xml:space="preserve"> for each</w:t>
      </w:r>
      <w:r w:rsidR="00345376" w:rsidRPr="00130E38">
        <w:rPr>
          <w:lang w:val="en"/>
        </w:rPr>
        <w:t xml:space="preserve"> one</w:t>
      </w:r>
      <w:r w:rsidR="00395A55" w:rsidRPr="00130E38">
        <w:rPr>
          <w:lang w:val="en"/>
        </w:rPr>
        <w:t>. A</w:t>
      </w:r>
      <w:r w:rsidR="00E676D9" w:rsidRPr="00130E38">
        <w:rPr>
          <w:lang w:val="en"/>
        </w:rPr>
        <w:t>n</w:t>
      </w:r>
      <w:r w:rsidR="00395A55" w:rsidRPr="00130E38">
        <w:rPr>
          <w:lang w:val="en"/>
        </w:rPr>
        <w:t xml:space="preserve"> order was also is</w:t>
      </w:r>
      <w:r w:rsidR="00002283" w:rsidRPr="00130E38">
        <w:rPr>
          <w:lang w:val="en"/>
        </w:rPr>
        <w:t>sued preventing residents from</w:t>
      </w:r>
      <w:r w:rsidR="00395A55" w:rsidRPr="00130E38">
        <w:rPr>
          <w:lang w:val="en"/>
        </w:rPr>
        <w:t xml:space="preserve"> leaving Mosul, save for medical </w:t>
      </w:r>
      <w:r w:rsidR="00345376" w:rsidRPr="00130E38">
        <w:rPr>
          <w:lang w:val="en"/>
        </w:rPr>
        <w:t>emergencies</w:t>
      </w:r>
      <w:r w:rsidR="00395A55" w:rsidRPr="00130E38">
        <w:rPr>
          <w:lang w:val="en"/>
        </w:rPr>
        <w:t>.</w:t>
      </w:r>
      <w:r w:rsidR="00002283" w:rsidRPr="00130E38">
        <w:rPr>
          <w:lang w:val="en"/>
        </w:rPr>
        <w:t xml:space="preserve"> In mid-June, local media reported that ISIL </w:t>
      </w:r>
      <w:r w:rsidR="001B52B8" w:rsidRPr="00130E38">
        <w:rPr>
          <w:lang w:val="en"/>
        </w:rPr>
        <w:t xml:space="preserve">had </w:t>
      </w:r>
      <w:r w:rsidR="00002283" w:rsidRPr="00130E38">
        <w:rPr>
          <w:lang w:val="en"/>
        </w:rPr>
        <w:t xml:space="preserve">banned grain exports </w:t>
      </w:r>
      <w:r w:rsidR="00E676D9" w:rsidRPr="00130E38">
        <w:rPr>
          <w:lang w:val="en"/>
        </w:rPr>
        <w:t>from</w:t>
      </w:r>
      <w:r w:rsidR="00002283" w:rsidRPr="00130E38">
        <w:rPr>
          <w:lang w:val="en"/>
        </w:rPr>
        <w:t xml:space="preserve"> Mosul and </w:t>
      </w:r>
      <w:r w:rsidR="00345376" w:rsidRPr="00130E38">
        <w:rPr>
          <w:lang w:val="en"/>
        </w:rPr>
        <w:t>was</w:t>
      </w:r>
      <w:r w:rsidR="00002283" w:rsidRPr="00130E38">
        <w:rPr>
          <w:lang w:val="en"/>
        </w:rPr>
        <w:t xml:space="preserve"> demanding a share of harvests</w:t>
      </w:r>
      <w:r w:rsidR="004974CB" w:rsidRPr="00130E38">
        <w:rPr>
          <w:lang w:val="en"/>
        </w:rPr>
        <w:t xml:space="preserve"> from farmers</w:t>
      </w:r>
      <w:r w:rsidR="00002283" w:rsidRPr="00130E38">
        <w:rPr>
          <w:lang w:val="en"/>
        </w:rPr>
        <w:t>.</w:t>
      </w:r>
    </w:p>
    <w:p w:rsidR="00B7232F" w:rsidRPr="00130E38" w:rsidRDefault="00D76194" w:rsidP="00115BF9">
      <w:pPr>
        <w:pStyle w:val="SingleTxtG"/>
        <w:rPr>
          <w:lang w:val="en"/>
        </w:rPr>
      </w:pPr>
      <w:r w:rsidRPr="00130E38">
        <w:rPr>
          <w:lang w:val="en"/>
        </w:rPr>
        <w:t>13.</w:t>
      </w:r>
      <w:r w:rsidRPr="00130E38">
        <w:rPr>
          <w:lang w:val="en"/>
        </w:rPr>
        <w:tab/>
      </w:r>
      <w:r w:rsidR="00740FA0" w:rsidRPr="00130E38">
        <w:rPr>
          <w:lang w:val="en"/>
        </w:rPr>
        <w:t>In Baghdad,</w:t>
      </w:r>
      <w:r w:rsidR="00740FA0" w:rsidRPr="00405AAD">
        <w:rPr>
          <w:lang w:val="en"/>
        </w:rPr>
        <w:t xml:space="preserve"> </w:t>
      </w:r>
      <w:r w:rsidR="003E5DD0">
        <w:rPr>
          <w:lang w:val="en"/>
        </w:rPr>
        <w:t>terrorist</w:t>
      </w:r>
      <w:r w:rsidR="003E5DD0" w:rsidRPr="00130E38">
        <w:rPr>
          <w:lang w:val="en"/>
        </w:rPr>
        <w:t xml:space="preserve"> </w:t>
      </w:r>
      <w:r w:rsidR="00740FA0" w:rsidRPr="00130E38">
        <w:rPr>
          <w:lang w:val="en"/>
        </w:rPr>
        <w:t xml:space="preserve">attacks </w:t>
      </w:r>
      <w:r w:rsidR="00345376" w:rsidRPr="00130E38">
        <w:rPr>
          <w:lang w:val="en"/>
        </w:rPr>
        <w:t>with</w:t>
      </w:r>
      <w:r w:rsidR="003248D5" w:rsidRPr="00130E38">
        <w:rPr>
          <w:lang w:val="en"/>
        </w:rPr>
        <w:t xml:space="preserve"> improvised explosive device</w:t>
      </w:r>
      <w:r w:rsidR="00345376" w:rsidRPr="00130E38">
        <w:rPr>
          <w:lang w:val="en"/>
        </w:rPr>
        <w:t xml:space="preserve">s were made </w:t>
      </w:r>
      <w:r w:rsidR="00740FA0" w:rsidRPr="00130E38">
        <w:rPr>
          <w:lang w:val="en"/>
        </w:rPr>
        <w:t>on a daily basis, killing and wounding civilians.</w:t>
      </w:r>
      <w:r w:rsidR="00256F98" w:rsidRPr="00405AAD">
        <w:t xml:space="preserve"> Unidentified bodies continue</w:t>
      </w:r>
      <w:r w:rsidR="003248D5" w:rsidRPr="00405AAD">
        <w:t>d</w:t>
      </w:r>
      <w:r w:rsidR="00256F98" w:rsidRPr="00405AAD">
        <w:t xml:space="preserve"> to be found around Baghdad and its outlying areas.</w:t>
      </w:r>
    </w:p>
    <w:p w:rsidR="00D170C9" w:rsidRPr="00405AAD" w:rsidRDefault="00D76194" w:rsidP="00115BF9">
      <w:pPr>
        <w:pStyle w:val="SingleTxtG"/>
      </w:pPr>
      <w:r w:rsidRPr="00405AAD">
        <w:t>14.</w:t>
      </w:r>
      <w:r w:rsidRPr="00405AAD">
        <w:tab/>
      </w:r>
      <w:r w:rsidR="00B7232F" w:rsidRPr="00405AAD">
        <w:t>UNAMI/OHCHR continue</w:t>
      </w:r>
      <w:r w:rsidR="003248D5" w:rsidRPr="00405AAD">
        <w:t>d</w:t>
      </w:r>
      <w:r w:rsidR="00B7232F" w:rsidRPr="00405AAD">
        <w:t xml:space="preserve"> to monitor and report on the human rights situation. UNAMI/OHCHR has repeatedly called </w:t>
      </w:r>
      <w:r w:rsidR="00345376" w:rsidRPr="00D324D7">
        <w:t>up</w:t>
      </w:r>
      <w:r w:rsidR="00B7232F" w:rsidRPr="00D324D7">
        <w:t xml:space="preserve">on all armed groups to </w:t>
      </w:r>
      <w:r w:rsidR="00B7232F" w:rsidRPr="00405AAD">
        <w:t xml:space="preserve">comply </w:t>
      </w:r>
      <w:r w:rsidR="00345376" w:rsidRPr="00405AAD">
        <w:t xml:space="preserve">strictly </w:t>
      </w:r>
      <w:r w:rsidR="00B7232F" w:rsidRPr="00405AAD">
        <w:t>with applicable international humanitarian and human rights law and to take all feasible precautions to spare civilians the effects of hostilities</w:t>
      </w:r>
      <w:r w:rsidR="00CA23BA" w:rsidRPr="00405AAD">
        <w:t>. UNAMI and OHCHR</w:t>
      </w:r>
      <w:r w:rsidR="00A5112A" w:rsidRPr="00405AAD">
        <w:t xml:space="preserve"> iss</w:t>
      </w:r>
      <w:r w:rsidR="00CA23BA" w:rsidRPr="00405AAD">
        <w:t xml:space="preserve">ued joint </w:t>
      </w:r>
      <w:r w:rsidR="00B7232F" w:rsidRPr="00405AAD">
        <w:t>reports on the protection of civilians in the armed conflict in Iraq on 18 August 2014,</w:t>
      </w:r>
      <w:r w:rsidR="00B7232F" w:rsidRPr="00405AAD">
        <w:rPr>
          <w:rStyle w:val="FootnoteReference"/>
          <w:sz w:val="20"/>
        </w:rPr>
        <w:footnoteReference w:id="4"/>
      </w:r>
      <w:r w:rsidR="00B7232F" w:rsidRPr="00405AAD">
        <w:t xml:space="preserve"> 26 September 2014</w:t>
      </w:r>
      <w:r w:rsidR="00B7232F" w:rsidRPr="00405AAD">
        <w:rPr>
          <w:rStyle w:val="FootnoteReference"/>
          <w:sz w:val="20"/>
        </w:rPr>
        <w:footnoteReference w:id="5"/>
      </w:r>
      <w:r w:rsidR="00B7232F" w:rsidRPr="00405AAD">
        <w:t xml:space="preserve"> and 23 February 2015.</w:t>
      </w:r>
      <w:r w:rsidR="00B7232F" w:rsidRPr="00405AAD">
        <w:rPr>
          <w:rStyle w:val="FootnoteReference"/>
          <w:sz w:val="20"/>
        </w:rPr>
        <w:footnoteReference w:id="6"/>
      </w:r>
      <w:r w:rsidR="00B7232F" w:rsidRPr="00405AAD">
        <w:t xml:space="preserve"> </w:t>
      </w:r>
      <w:r w:rsidR="00CA23BA" w:rsidRPr="00D324D7">
        <w:t>They also issued j</w:t>
      </w:r>
      <w:r w:rsidR="004423E8" w:rsidRPr="00D324D7">
        <w:t>oint report</w:t>
      </w:r>
      <w:r w:rsidR="00D10F72" w:rsidRPr="00D324D7">
        <w:t xml:space="preserve">s </w:t>
      </w:r>
      <w:r w:rsidR="00CA23BA" w:rsidRPr="00405AAD">
        <w:t>on</w:t>
      </w:r>
      <w:r w:rsidR="00E56E7E" w:rsidRPr="00405AAD">
        <w:t xml:space="preserve"> the death penalty in Iraq in October 2014,</w:t>
      </w:r>
      <w:r w:rsidR="00E56E7E" w:rsidRPr="00405AAD">
        <w:rPr>
          <w:rStyle w:val="FootnoteReference"/>
        </w:rPr>
        <w:footnoteReference w:id="7"/>
      </w:r>
      <w:r w:rsidR="00E56E7E" w:rsidRPr="00405AAD">
        <w:t xml:space="preserve"> and on the </w:t>
      </w:r>
      <w:r w:rsidR="00552107" w:rsidRPr="00D324D7">
        <w:t xml:space="preserve">judicial response to allegations of torture </w:t>
      </w:r>
      <w:r w:rsidR="00D10F72" w:rsidRPr="00D324D7">
        <w:t>in February 2015</w:t>
      </w:r>
      <w:r w:rsidR="003E1D97" w:rsidRPr="00D324D7">
        <w:t>.</w:t>
      </w:r>
      <w:r w:rsidR="00552107" w:rsidRPr="00405AAD">
        <w:rPr>
          <w:rStyle w:val="FootnoteReference"/>
        </w:rPr>
        <w:footnoteReference w:id="8"/>
      </w:r>
      <w:r w:rsidR="00D10F72" w:rsidRPr="00405AAD">
        <w:t xml:space="preserve"> </w:t>
      </w:r>
      <w:r w:rsidR="00863EF8" w:rsidRPr="00D324D7">
        <w:t>The</w:t>
      </w:r>
      <w:r w:rsidR="00A30427" w:rsidRPr="00D324D7">
        <w:t xml:space="preserve"> </w:t>
      </w:r>
      <w:r w:rsidR="00585FDD" w:rsidRPr="00405AAD">
        <w:t xml:space="preserve">ongoing hostilities and violence </w:t>
      </w:r>
      <w:r w:rsidR="00CA23BA" w:rsidRPr="00405AAD">
        <w:t>have</w:t>
      </w:r>
      <w:r w:rsidR="00863EF8" w:rsidRPr="00405AAD">
        <w:t>, however, had a</w:t>
      </w:r>
      <w:r w:rsidR="00CA23BA" w:rsidRPr="00405AAD">
        <w:t xml:space="preserve"> </w:t>
      </w:r>
      <w:r w:rsidR="00585FDD" w:rsidRPr="00405AAD">
        <w:t>severe impact</w:t>
      </w:r>
      <w:r w:rsidR="00863EF8" w:rsidRPr="00405AAD">
        <w:t xml:space="preserve"> on the ability of</w:t>
      </w:r>
      <w:r w:rsidR="00585FDD" w:rsidRPr="00405AAD">
        <w:t xml:space="preserve"> UNAMI</w:t>
      </w:r>
      <w:r w:rsidR="00863EF8" w:rsidRPr="00405AAD">
        <w:t xml:space="preserve"> and </w:t>
      </w:r>
      <w:r w:rsidR="00585FDD" w:rsidRPr="00405AAD">
        <w:t xml:space="preserve">OHCHR to verify </w:t>
      </w:r>
      <w:r w:rsidR="00C477BF" w:rsidRPr="00405AAD">
        <w:t xml:space="preserve">furthermore </w:t>
      </w:r>
      <w:r w:rsidR="00585FDD" w:rsidRPr="00405AAD">
        <w:t xml:space="preserve">allegations </w:t>
      </w:r>
      <w:r w:rsidR="00C477BF" w:rsidRPr="00405AAD">
        <w:t xml:space="preserve">in areas under the control of ISIL </w:t>
      </w:r>
      <w:r w:rsidR="00CA23BA" w:rsidRPr="00405AAD">
        <w:t>or</w:t>
      </w:r>
      <w:r w:rsidR="004A59D4" w:rsidRPr="00405AAD">
        <w:t xml:space="preserve"> to</w:t>
      </w:r>
      <w:r w:rsidR="00C5381C" w:rsidRPr="00405AAD">
        <w:t xml:space="preserve"> </w:t>
      </w:r>
      <w:r w:rsidR="00CA23BA" w:rsidRPr="00405AAD">
        <w:t xml:space="preserve">provide </w:t>
      </w:r>
      <w:r w:rsidR="00585FDD" w:rsidRPr="00405AAD">
        <w:t>technical assistance</w:t>
      </w:r>
      <w:r w:rsidR="00F23B7A" w:rsidRPr="00405AAD">
        <w:t xml:space="preserve"> in those areas</w:t>
      </w:r>
      <w:r w:rsidR="00585FDD" w:rsidRPr="00405AAD">
        <w:t xml:space="preserve">. </w:t>
      </w:r>
    </w:p>
    <w:p w:rsidR="0095555A" w:rsidRPr="00405AAD" w:rsidRDefault="00C93DEC" w:rsidP="00893F80">
      <w:pPr>
        <w:pStyle w:val="HChG"/>
        <w:spacing w:line="360" w:lineRule="auto"/>
      </w:pPr>
      <w:r w:rsidRPr="00405AAD">
        <w:tab/>
      </w:r>
      <w:r w:rsidR="0095555A" w:rsidRPr="00405AAD">
        <w:t>III.</w:t>
      </w:r>
      <w:r w:rsidR="0095555A" w:rsidRPr="00405AAD">
        <w:tab/>
      </w:r>
      <w:r w:rsidR="00D21D58" w:rsidRPr="00405AAD">
        <w:t>Human rights priorities</w:t>
      </w:r>
      <w:r w:rsidR="00E86A7D" w:rsidRPr="00405AAD">
        <w:t xml:space="preserve"> and</w:t>
      </w:r>
      <w:r w:rsidR="00D21D58" w:rsidRPr="00405AAD">
        <w:t xml:space="preserve"> technical </w:t>
      </w:r>
      <w:r w:rsidR="00CA23BA" w:rsidRPr="00405AAD">
        <w:t xml:space="preserve">assistance </w:t>
      </w:r>
      <w:r w:rsidR="00D21D58" w:rsidRPr="00405AAD">
        <w:t>needs</w:t>
      </w:r>
    </w:p>
    <w:p w:rsidR="00D21D58" w:rsidRPr="00405AAD" w:rsidRDefault="00075EF7" w:rsidP="00893F80">
      <w:pPr>
        <w:pStyle w:val="H1G"/>
        <w:spacing w:line="360" w:lineRule="auto"/>
      </w:pPr>
      <w:r w:rsidRPr="00405AAD">
        <w:tab/>
        <w:t>A.</w:t>
      </w:r>
      <w:r w:rsidRPr="00405AAD">
        <w:tab/>
      </w:r>
      <w:r w:rsidR="00D21D58" w:rsidRPr="00405AAD">
        <w:t>Protection of civilians</w:t>
      </w:r>
    </w:p>
    <w:p w:rsidR="00D21D58" w:rsidRPr="00405AAD" w:rsidRDefault="004E0791" w:rsidP="00893F80">
      <w:pPr>
        <w:pStyle w:val="H23G"/>
        <w:spacing w:line="360" w:lineRule="auto"/>
        <w:ind w:left="1138" w:right="1138" w:hanging="1138"/>
      </w:pPr>
      <w:r w:rsidRPr="00405AAD">
        <w:tab/>
        <w:t>1.</w:t>
      </w:r>
      <w:r w:rsidRPr="00405AAD">
        <w:tab/>
        <w:t>Impact of the conflict on civilians</w:t>
      </w:r>
    </w:p>
    <w:p w:rsidR="004E0791" w:rsidRPr="00405AAD" w:rsidRDefault="00D76194" w:rsidP="00115BF9">
      <w:pPr>
        <w:pStyle w:val="SingleTxtG"/>
      </w:pPr>
      <w:r w:rsidRPr="00D324D7">
        <w:t>15.</w:t>
      </w:r>
      <w:r w:rsidRPr="00405AAD">
        <w:tab/>
      </w:r>
      <w:r w:rsidR="004E0791" w:rsidRPr="00405AAD">
        <w:t xml:space="preserve">From 1 January 2014 to </w:t>
      </w:r>
      <w:r w:rsidR="00541E30" w:rsidRPr="00405AAD">
        <w:t>31</w:t>
      </w:r>
      <w:r w:rsidR="004E0791" w:rsidRPr="00405AAD">
        <w:t xml:space="preserve"> May</w:t>
      </w:r>
      <w:r w:rsidR="00710220" w:rsidRPr="00405AAD">
        <w:t xml:space="preserve"> 2015</w:t>
      </w:r>
      <w:r w:rsidR="004E0791" w:rsidRPr="00405AAD">
        <w:t xml:space="preserve">, UNAMI/OHCHR recorded at least </w:t>
      </w:r>
      <w:r w:rsidR="00FB736C" w:rsidRPr="00405AAD">
        <w:t>46,114</w:t>
      </w:r>
      <w:r w:rsidR="004E0791" w:rsidRPr="00405AAD">
        <w:t xml:space="preserve"> civilian casualties (</w:t>
      </w:r>
      <w:r w:rsidR="00FB736C" w:rsidRPr="00405AAD">
        <w:t>15,612</w:t>
      </w:r>
      <w:r w:rsidR="004E0791" w:rsidRPr="00405AAD">
        <w:t xml:space="preserve"> killed and </w:t>
      </w:r>
      <w:r w:rsidR="00FB736C" w:rsidRPr="00405AAD">
        <w:t>30,502</w:t>
      </w:r>
      <w:r w:rsidR="004E0791" w:rsidRPr="00405AAD">
        <w:t xml:space="preserve"> wounded) as a result of the non-international armed conflict in Iraq.</w:t>
      </w:r>
      <w:r w:rsidR="004E0791" w:rsidRPr="00893F80">
        <w:rPr>
          <w:rStyle w:val="FootnoteReference"/>
          <w:szCs w:val="18"/>
        </w:rPr>
        <w:footnoteReference w:id="9"/>
      </w:r>
      <w:r w:rsidR="00C12644" w:rsidRPr="00405AAD">
        <w:t xml:space="preserve"> </w:t>
      </w:r>
      <w:r w:rsidR="004E0791" w:rsidRPr="00D324D7">
        <w:t xml:space="preserve">Owing to severe limitations </w:t>
      </w:r>
      <w:r w:rsidR="00CC16D2" w:rsidRPr="00405AAD">
        <w:t xml:space="preserve">to the capacity of </w:t>
      </w:r>
      <w:r w:rsidR="004E0791" w:rsidRPr="00405AAD">
        <w:t>UNAMI</w:t>
      </w:r>
      <w:r w:rsidR="00CC16D2" w:rsidRPr="00405AAD">
        <w:t xml:space="preserve"> and </w:t>
      </w:r>
      <w:r w:rsidR="004E0791" w:rsidRPr="00405AAD">
        <w:t xml:space="preserve">OHCHR to verify reports of civilian casualties, these figures should be regarded as </w:t>
      </w:r>
      <w:r w:rsidR="00CC16D2" w:rsidRPr="00405AAD">
        <w:t xml:space="preserve">the </w:t>
      </w:r>
      <w:r w:rsidR="004E0791" w:rsidRPr="00405AAD">
        <w:t xml:space="preserve">minimum. Additionally, the number of civilians </w:t>
      </w:r>
      <w:r w:rsidR="00C12644" w:rsidRPr="00405AAD">
        <w:t>killed as a result of</w:t>
      </w:r>
      <w:r w:rsidR="004E0791" w:rsidRPr="00405AAD">
        <w:t xml:space="preserve"> secondary effects of violence, such as lack of access to food, water or medicine</w:t>
      </w:r>
      <w:r w:rsidR="00CC16D2" w:rsidRPr="00405AAD">
        <w:t>,</w:t>
      </w:r>
      <w:r w:rsidR="004E0791" w:rsidRPr="00405AAD">
        <w:t xml:space="preserve"> is unknown.</w:t>
      </w:r>
    </w:p>
    <w:p w:rsidR="00E43F92" w:rsidRPr="00405AAD" w:rsidRDefault="00D76194" w:rsidP="00115BF9">
      <w:pPr>
        <w:pStyle w:val="SingleTxtG"/>
      </w:pPr>
      <w:r w:rsidRPr="00405AAD">
        <w:t>16.</w:t>
      </w:r>
      <w:r w:rsidRPr="00405AAD">
        <w:tab/>
      </w:r>
      <w:r w:rsidR="00E43F92" w:rsidRPr="00405AAD">
        <w:t xml:space="preserve">UNAMI/OHCHR supported the Government’s efforts to fulfil its primary responsibility to protect civilians from the effects of conflict </w:t>
      </w:r>
      <w:r w:rsidR="000C1E92" w:rsidRPr="00405AAD">
        <w:t>and violence</w:t>
      </w:r>
      <w:r w:rsidR="00F3468D" w:rsidRPr="00405AAD">
        <w:t>,</w:t>
      </w:r>
      <w:r w:rsidR="000C1E92" w:rsidRPr="00405AAD">
        <w:t xml:space="preserve"> </w:t>
      </w:r>
      <w:r w:rsidR="00E43F92" w:rsidRPr="00405AAD">
        <w:t xml:space="preserve">and to meet its obligations under international human rights and humanitarian law. </w:t>
      </w:r>
      <w:r w:rsidR="005E33DF" w:rsidRPr="00405AAD">
        <w:t>F</w:t>
      </w:r>
      <w:r w:rsidR="00E43F92" w:rsidRPr="00405AAD">
        <w:t>or instance</w:t>
      </w:r>
      <w:r w:rsidR="00CC16D2" w:rsidRPr="00405AAD">
        <w:t>,</w:t>
      </w:r>
      <w:r w:rsidR="00E43F92" w:rsidRPr="00405AAD">
        <w:t xml:space="preserve"> </w:t>
      </w:r>
      <w:r w:rsidR="009A059F">
        <w:t xml:space="preserve">in May, </w:t>
      </w:r>
      <w:r w:rsidR="00CC16D2" w:rsidRPr="00405AAD">
        <w:t>it</w:t>
      </w:r>
      <w:r w:rsidR="005E33DF" w:rsidRPr="00405AAD">
        <w:t xml:space="preserve"> </w:t>
      </w:r>
      <w:r w:rsidR="009A059F">
        <w:t>organized</w:t>
      </w:r>
      <w:r w:rsidR="009A059F" w:rsidRPr="00405AAD">
        <w:t xml:space="preserve"> </w:t>
      </w:r>
      <w:r w:rsidR="00E43F92" w:rsidRPr="00405AAD">
        <w:t>training</w:t>
      </w:r>
      <w:r w:rsidR="00BE41F1" w:rsidRPr="00405AAD">
        <w:t xml:space="preserve"> courses</w:t>
      </w:r>
      <w:r w:rsidR="00E43F92" w:rsidRPr="00405AAD">
        <w:t xml:space="preserve"> </w:t>
      </w:r>
      <w:r w:rsidR="009A059F">
        <w:t>for</w:t>
      </w:r>
      <w:r w:rsidR="00E43F92" w:rsidRPr="00405AAD">
        <w:t xml:space="preserve"> </w:t>
      </w:r>
      <w:r w:rsidR="009A059F">
        <w:t>staff members of the</w:t>
      </w:r>
      <w:r w:rsidR="009A059F" w:rsidRPr="00405AAD">
        <w:t xml:space="preserve"> </w:t>
      </w:r>
      <w:r w:rsidR="00E43F92" w:rsidRPr="00405AAD">
        <w:t xml:space="preserve">National Operations Centre, composed of representatives of </w:t>
      </w:r>
      <w:r w:rsidR="00F80CE4" w:rsidRPr="00405AAD">
        <w:t xml:space="preserve">various </w:t>
      </w:r>
      <w:r w:rsidR="00CC16D2" w:rsidRPr="00405AAD">
        <w:t>g</w:t>
      </w:r>
      <w:r w:rsidR="00F80CE4" w:rsidRPr="00405AAD">
        <w:t>overnment ministries</w:t>
      </w:r>
      <w:r w:rsidR="009A059F">
        <w:t xml:space="preserve">, </w:t>
      </w:r>
      <w:r w:rsidR="000A3FC3" w:rsidRPr="00405AAD">
        <w:t>on</w:t>
      </w:r>
      <w:r w:rsidR="00DE0BAB" w:rsidRPr="00405AAD">
        <w:t xml:space="preserve"> State obligations</w:t>
      </w:r>
      <w:r w:rsidR="00D12EB0" w:rsidRPr="00405AAD">
        <w:t xml:space="preserve"> in relation to international humanitarian law and human rights principles</w:t>
      </w:r>
      <w:r w:rsidR="00DE0BAB" w:rsidRPr="00405AAD">
        <w:t>,</w:t>
      </w:r>
      <w:r w:rsidR="000A3FC3" w:rsidRPr="00405AAD">
        <w:t xml:space="preserve"> </w:t>
      </w:r>
      <w:r w:rsidR="00D12EB0" w:rsidRPr="00405AAD">
        <w:t xml:space="preserve">including </w:t>
      </w:r>
      <w:r w:rsidR="000A3FC3" w:rsidRPr="00405AAD">
        <w:t>principles of proportionality and distinction</w:t>
      </w:r>
      <w:r w:rsidR="00CC16D2" w:rsidRPr="00405AAD">
        <w:t>,</w:t>
      </w:r>
      <w:r w:rsidR="00800AC3" w:rsidRPr="00405AAD">
        <w:t xml:space="preserve"> and </w:t>
      </w:r>
      <w:r w:rsidR="00DE0BAB" w:rsidRPr="00405AAD">
        <w:t xml:space="preserve">reporting on incidents involving civilian casualties. </w:t>
      </w:r>
    </w:p>
    <w:p w:rsidR="009612C2" w:rsidRPr="00405AAD" w:rsidRDefault="00D76194" w:rsidP="00115BF9">
      <w:pPr>
        <w:pStyle w:val="SingleTxtG"/>
      </w:pPr>
      <w:r w:rsidRPr="00405AAD">
        <w:t>17.</w:t>
      </w:r>
      <w:r w:rsidRPr="00405AAD">
        <w:tab/>
      </w:r>
      <w:r w:rsidR="00800AC3" w:rsidRPr="00405AAD">
        <w:t>UNAMI/OHCHR</w:t>
      </w:r>
      <w:r w:rsidR="00800AC3" w:rsidRPr="00405AAD" w:rsidDel="00800AC3">
        <w:t xml:space="preserve"> </w:t>
      </w:r>
      <w:r w:rsidR="009612C2" w:rsidRPr="00405AAD">
        <w:t>held a round</w:t>
      </w:r>
      <w:r w:rsidR="00CC16D2" w:rsidRPr="00405AAD">
        <w:t xml:space="preserve"> </w:t>
      </w:r>
      <w:r w:rsidR="009612C2" w:rsidRPr="00405AAD">
        <w:t xml:space="preserve">table with </w:t>
      </w:r>
      <w:proofErr w:type="spellStart"/>
      <w:r w:rsidR="009612C2" w:rsidRPr="00405AAD">
        <w:t>Ninewa</w:t>
      </w:r>
      <w:proofErr w:type="spellEnd"/>
      <w:r w:rsidR="009612C2" w:rsidRPr="00405AAD">
        <w:t xml:space="preserve"> Provincial Council</w:t>
      </w:r>
      <w:r w:rsidR="00F80CE4" w:rsidRPr="00405AAD">
        <w:t xml:space="preserve"> members</w:t>
      </w:r>
      <w:r w:rsidR="005C7FAC" w:rsidRPr="00405AAD">
        <w:t xml:space="preserve"> in June</w:t>
      </w:r>
      <w:r w:rsidR="009612C2" w:rsidRPr="00405AAD">
        <w:t xml:space="preserve"> to discuss the protection of civilians and the need for </w:t>
      </w:r>
      <w:r w:rsidR="00A55AE4" w:rsidRPr="00405AAD">
        <w:t xml:space="preserve">community </w:t>
      </w:r>
      <w:r w:rsidR="009612C2" w:rsidRPr="00405AAD">
        <w:t xml:space="preserve">reconciliation. </w:t>
      </w:r>
      <w:r w:rsidR="005C7FAC" w:rsidRPr="00405AAD">
        <w:t xml:space="preserve">The importance of accountability and justice for victims </w:t>
      </w:r>
      <w:r w:rsidR="00DD33F3" w:rsidRPr="00405AAD">
        <w:t xml:space="preserve">was emphasized as a means of overcoming the cycle of violence. </w:t>
      </w:r>
    </w:p>
    <w:p w:rsidR="004E0791" w:rsidRPr="00405AAD" w:rsidRDefault="008F5D46" w:rsidP="00893F80">
      <w:pPr>
        <w:pStyle w:val="H23G"/>
        <w:spacing w:line="360" w:lineRule="auto"/>
        <w:ind w:left="1138" w:right="1138" w:hanging="1138"/>
      </w:pPr>
      <w:r w:rsidRPr="00405AAD">
        <w:tab/>
        <w:t>2.</w:t>
      </w:r>
      <w:r w:rsidRPr="00405AAD">
        <w:tab/>
      </w:r>
      <w:r w:rsidR="004E0791" w:rsidRPr="00405AAD">
        <w:t xml:space="preserve">Unlawful killings and </w:t>
      </w:r>
      <w:r w:rsidR="009821CC" w:rsidRPr="00405AAD">
        <w:t>abductions</w:t>
      </w:r>
    </w:p>
    <w:p w:rsidR="004E0791" w:rsidRPr="00D324D7" w:rsidRDefault="00D76194" w:rsidP="00115BF9">
      <w:pPr>
        <w:pStyle w:val="SingleTxtG"/>
      </w:pPr>
      <w:r w:rsidRPr="00405AAD">
        <w:t>18.</w:t>
      </w:r>
      <w:r w:rsidRPr="00405AAD">
        <w:tab/>
      </w:r>
      <w:r w:rsidR="00DC6ED3" w:rsidRPr="00405AAD">
        <w:t xml:space="preserve">UNAMI/OHCHR </w:t>
      </w:r>
      <w:r w:rsidR="00C5381C" w:rsidRPr="00405AAD">
        <w:t xml:space="preserve">continued </w:t>
      </w:r>
      <w:r w:rsidR="00DC6ED3" w:rsidRPr="00405AAD">
        <w:t xml:space="preserve">to receive numerous credible reports of gross violations and abuses of human rights and serious violations of international humanitarian law being perpetrated </w:t>
      </w:r>
      <w:r w:rsidR="00EB71C1" w:rsidRPr="00405AAD">
        <w:t xml:space="preserve">by ISIL </w:t>
      </w:r>
      <w:r w:rsidR="00DC6ED3" w:rsidRPr="00405AAD">
        <w:t xml:space="preserve">against civilians </w:t>
      </w:r>
      <w:r w:rsidR="00EB71C1" w:rsidRPr="00405AAD">
        <w:t>in</w:t>
      </w:r>
      <w:r w:rsidR="00DC6ED3" w:rsidRPr="00405AAD">
        <w:t xml:space="preserve"> an apparent widespread </w:t>
      </w:r>
      <w:r w:rsidR="00C5381C" w:rsidRPr="00405AAD">
        <w:t xml:space="preserve">or </w:t>
      </w:r>
      <w:r w:rsidR="00DC6ED3" w:rsidRPr="00405AAD">
        <w:t>systematic manner</w:t>
      </w:r>
      <w:r w:rsidR="00A03923" w:rsidRPr="00405AAD">
        <w:t>. In some instances, these may amount to war crimes, crimes against humanity, and genocide</w:t>
      </w:r>
      <w:r w:rsidR="00CC16D2" w:rsidRPr="00405AAD">
        <w:t xml:space="preserve"> (see</w:t>
      </w:r>
      <w:r w:rsidR="00CC16D2" w:rsidRPr="00405AAD">
        <w:rPr>
          <w:szCs w:val="18"/>
        </w:rPr>
        <w:t xml:space="preserve"> A/HRC/28/18)</w:t>
      </w:r>
      <w:r w:rsidR="00CC16D2" w:rsidRPr="00405AAD">
        <w:t>.</w:t>
      </w:r>
    </w:p>
    <w:p w:rsidR="0075745F" w:rsidRPr="00405AAD" w:rsidRDefault="00D76194" w:rsidP="00115BF9">
      <w:pPr>
        <w:pStyle w:val="SingleTxtG"/>
      </w:pPr>
      <w:r w:rsidRPr="00405AAD">
        <w:t>19.</w:t>
      </w:r>
      <w:r w:rsidRPr="00405AAD">
        <w:tab/>
      </w:r>
      <w:r w:rsidR="00DD1536" w:rsidRPr="00405AAD">
        <w:t xml:space="preserve">In particular, </w:t>
      </w:r>
      <w:r w:rsidR="00A03923" w:rsidRPr="00405AAD">
        <w:t>ISIL continue</w:t>
      </w:r>
      <w:r w:rsidR="00C5381C" w:rsidRPr="00405AAD">
        <w:t>d</w:t>
      </w:r>
      <w:r w:rsidR="00A03923" w:rsidRPr="00405AAD">
        <w:t xml:space="preserve"> to target individuals and groups, including former members of </w:t>
      </w:r>
      <w:r w:rsidR="00CC16D2" w:rsidRPr="00405AAD">
        <w:t>the Iraqi security forces</w:t>
      </w:r>
      <w:r w:rsidR="00A03923" w:rsidRPr="00405AAD">
        <w:t>, public figures, professionals and persons perceived to be associated with the Government or against ISIL</w:t>
      </w:r>
      <w:r w:rsidR="00761FE1" w:rsidRPr="00405AAD">
        <w:t xml:space="preserve"> </w:t>
      </w:r>
      <w:r w:rsidR="00A03923" w:rsidRPr="00405AAD">
        <w:t>ideology</w:t>
      </w:r>
      <w:r w:rsidR="000C1E92" w:rsidRPr="00405AAD">
        <w:t xml:space="preserve"> or rule</w:t>
      </w:r>
      <w:r w:rsidR="00A03923" w:rsidRPr="00405AAD">
        <w:t>.</w:t>
      </w:r>
      <w:r w:rsidR="00C12158" w:rsidRPr="00405AAD">
        <w:t xml:space="preserve"> </w:t>
      </w:r>
      <w:r w:rsidR="00016D61" w:rsidRPr="00405AAD">
        <w:t>Sources report</w:t>
      </w:r>
      <w:r w:rsidR="00BE41F1" w:rsidRPr="00405AAD">
        <w:t>ed</w:t>
      </w:r>
      <w:r w:rsidR="00016D61" w:rsidRPr="00405AAD">
        <w:t xml:space="preserve"> </w:t>
      </w:r>
      <w:r w:rsidR="00082F0C" w:rsidRPr="00405AAD">
        <w:t>that</w:t>
      </w:r>
      <w:r w:rsidR="00CC16D2" w:rsidRPr="00405AAD">
        <w:t>,</w:t>
      </w:r>
      <w:r w:rsidR="00082F0C" w:rsidRPr="00405AAD">
        <w:t xml:space="preserve"> o</w:t>
      </w:r>
      <w:r w:rsidR="0075745F" w:rsidRPr="00405AAD">
        <w:t xml:space="preserve">n 9 June, ISIL killed 134 former members </w:t>
      </w:r>
      <w:r w:rsidR="00CC16D2" w:rsidRPr="00405AAD">
        <w:t xml:space="preserve">of the Iraqi security forces </w:t>
      </w:r>
      <w:r w:rsidR="0075745F" w:rsidRPr="00405AAD">
        <w:t xml:space="preserve">by shooting them in the head in Mosul, </w:t>
      </w:r>
      <w:proofErr w:type="spellStart"/>
      <w:r w:rsidR="0075745F" w:rsidRPr="00405AAD">
        <w:t>Ninewa</w:t>
      </w:r>
      <w:proofErr w:type="spellEnd"/>
      <w:r w:rsidR="0075745F" w:rsidRPr="00405AAD">
        <w:t xml:space="preserve">. The victims had been held captive for months and </w:t>
      </w:r>
      <w:r w:rsidR="005C15B3" w:rsidRPr="00405AAD">
        <w:t>forced to</w:t>
      </w:r>
      <w:r w:rsidR="00E67DE0">
        <w:t xml:space="preserve"> </w:t>
      </w:r>
      <w:r w:rsidR="00CC16D2" w:rsidRPr="00D324D7">
        <w:t>“</w:t>
      </w:r>
      <w:r w:rsidR="0075745F" w:rsidRPr="00405AAD">
        <w:t>repent</w:t>
      </w:r>
      <w:r w:rsidR="00CC16D2" w:rsidRPr="00405AAD">
        <w:t>”</w:t>
      </w:r>
      <w:r w:rsidR="0075745F" w:rsidRPr="00405AAD">
        <w:t xml:space="preserve"> to ISIL</w:t>
      </w:r>
      <w:r w:rsidR="00CC16D2" w:rsidRPr="00405AAD">
        <w:t>,</w:t>
      </w:r>
      <w:r w:rsidR="005C15B3" w:rsidRPr="00405AAD">
        <w:t xml:space="preserve"> whose members</w:t>
      </w:r>
      <w:r w:rsidR="00082F0C" w:rsidRPr="00405AAD">
        <w:t xml:space="preserve"> </w:t>
      </w:r>
      <w:r w:rsidR="0075745F" w:rsidRPr="00405AAD">
        <w:t xml:space="preserve">suspected that they </w:t>
      </w:r>
      <w:r w:rsidR="00082F0C" w:rsidRPr="00405AAD">
        <w:t xml:space="preserve">intended to </w:t>
      </w:r>
      <w:r w:rsidR="0075745F" w:rsidRPr="00405AAD">
        <w:t>join forces to liberate Mosul.</w:t>
      </w:r>
      <w:r w:rsidR="00854C3A" w:rsidRPr="00405AAD">
        <w:t xml:space="preserve"> </w:t>
      </w:r>
      <w:r w:rsidR="008029FE" w:rsidRPr="00405AAD">
        <w:t>Reports received describe</w:t>
      </w:r>
      <w:r w:rsidR="00BE41F1" w:rsidRPr="00405AAD">
        <w:t>d</w:t>
      </w:r>
      <w:r w:rsidR="008029FE" w:rsidRPr="00405AAD">
        <w:t xml:space="preserve"> how </w:t>
      </w:r>
      <w:r w:rsidR="00854C3A" w:rsidRPr="00405AAD">
        <w:t>ISIL also targeted and murdered religious and community leaders</w:t>
      </w:r>
      <w:r w:rsidR="00CC16D2" w:rsidRPr="00405AAD">
        <w:t>,</w:t>
      </w:r>
      <w:r w:rsidR="00854C3A" w:rsidRPr="00405AAD">
        <w:t xml:space="preserve"> </w:t>
      </w:r>
      <w:r w:rsidR="008029FE" w:rsidRPr="00405AAD">
        <w:t xml:space="preserve">as well as </w:t>
      </w:r>
      <w:r w:rsidR="00854C3A" w:rsidRPr="00405AAD">
        <w:t xml:space="preserve">professionals, including journalists and doctors, who refused to conform to </w:t>
      </w:r>
      <w:r w:rsidR="00CC16D2" w:rsidRPr="00405AAD">
        <w:t xml:space="preserve">its </w:t>
      </w:r>
      <w:r w:rsidR="00854C3A" w:rsidRPr="00405AAD">
        <w:t xml:space="preserve">rules or to work in </w:t>
      </w:r>
      <w:r w:rsidR="00CC16D2" w:rsidRPr="00405AAD">
        <w:t>its</w:t>
      </w:r>
      <w:r w:rsidR="00854C3A" w:rsidRPr="00405AAD">
        <w:t xml:space="preserve"> service.</w:t>
      </w:r>
    </w:p>
    <w:p w:rsidR="00CB30A9" w:rsidRPr="00405AAD" w:rsidRDefault="00D76194" w:rsidP="00115BF9">
      <w:pPr>
        <w:pStyle w:val="SingleTxtG"/>
      </w:pPr>
      <w:r w:rsidRPr="00405AAD">
        <w:t>20.</w:t>
      </w:r>
      <w:r w:rsidRPr="00405AAD">
        <w:tab/>
      </w:r>
      <w:r w:rsidR="00C12158" w:rsidRPr="00405AAD">
        <w:t xml:space="preserve">ISIL carried out executions following sentences imposed </w:t>
      </w:r>
      <w:r w:rsidR="00A5112A" w:rsidRPr="00405AAD">
        <w:t xml:space="preserve">its self-appointed </w:t>
      </w:r>
      <w:r w:rsidR="00C12158" w:rsidRPr="00405AAD">
        <w:t>courts, particularly in</w:t>
      </w:r>
      <w:r w:rsidR="00C21D80" w:rsidRPr="00405AAD">
        <w:t xml:space="preserve"> Mosul</w:t>
      </w:r>
      <w:r w:rsidR="00C12158" w:rsidRPr="00405AAD">
        <w:t xml:space="preserve">. </w:t>
      </w:r>
      <w:r w:rsidR="008029FE" w:rsidRPr="00405AAD">
        <w:t>S</w:t>
      </w:r>
      <w:r w:rsidR="00C12158" w:rsidRPr="00405AAD">
        <w:t>ources report</w:t>
      </w:r>
      <w:r w:rsidR="00CC16D2" w:rsidRPr="00405AAD">
        <w:t>ed</w:t>
      </w:r>
      <w:r w:rsidR="00C12158" w:rsidRPr="00405AAD">
        <w:t xml:space="preserve"> that residents </w:t>
      </w:r>
      <w:r w:rsidR="00CC16D2" w:rsidRPr="00405AAD">
        <w:t>were</w:t>
      </w:r>
      <w:r w:rsidR="00C12158" w:rsidRPr="00405AAD">
        <w:t xml:space="preserve"> gathered and forced to watch executions and other </w:t>
      </w:r>
      <w:r w:rsidR="00BE41F1" w:rsidRPr="00405AAD">
        <w:t xml:space="preserve">cruel </w:t>
      </w:r>
      <w:r w:rsidR="00C12158" w:rsidRPr="00405AAD">
        <w:t xml:space="preserve">treatment. </w:t>
      </w:r>
      <w:r w:rsidR="00CB30A9" w:rsidRPr="00405AAD">
        <w:t>Often</w:t>
      </w:r>
      <w:r w:rsidR="008029FE" w:rsidRPr="00405AAD">
        <w:t xml:space="preserve"> </w:t>
      </w:r>
      <w:r w:rsidR="00CB30A9" w:rsidRPr="00405AAD">
        <w:t xml:space="preserve">reasons for killings and abductions </w:t>
      </w:r>
      <w:r w:rsidR="00CC16D2" w:rsidRPr="00405AAD">
        <w:t>were</w:t>
      </w:r>
      <w:r w:rsidR="00CB30A9" w:rsidRPr="00405AAD">
        <w:t xml:space="preserve"> unknown. </w:t>
      </w:r>
    </w:p>
    <w:p w:rsidR="00660AC3" w:rsidRPr="00405AAD" w:rsidRDefault="00D76194" w:rsidP="00115BF9">
      <w:pPr>
        <w:pStyle w:val="SingleTxtG"/>
      </w:pPr>
      <w:r w:rsidRPr="00405AAD">
        <w:t>21.</w:t>
      </w:r>
      <w:r w:rsidRPr="00405AAD">
        <w:tab/>
      </w:r>
      <w:r w:rsidR="00660AC3" w:rsidRPr="00405AAD">
        <w:t xml:space="preserve">UNAMI/OHCHR also received reports of abuses and violations perpetrated by </w:t>
      </w:r>
      <w:r w:rsidR="00CC16D2" w:rsidRPr="00405AAD">
        <w:t xml:space="preserve">the Iraqi security forces </w:t>
      </w:r>
      <w:r w:rsidR="00660AC3" w:rsidRPr="00405AAD">
        <w:t>and associated forces. In some cases, civilians and civilian infrastructure appear to have been directly targeted</w:t>
      </w:r>
      <w:r w:rsidR="00854C3A" w:rsidRPr="00405AAD">
        <w:t xml:space="preserve"> during military operations</w:t>
      </w:r>
      <w:r w:rsidR="00874F40" w:rsidRPr="00405AAD">
        <w:t>;</w:t>
      </w:r>
      <w:r w:rsidR="00660AC3" w:rsidRPr="00405AAD">
        <w:t xml:space="preserve"> in other cases, military operations may have been carried out without proper regard for </w:t>
      </w:r>
      <w:r w:rsidR="00751B82" w:rsidRPr="00405AAD">
        <w:t>the principles of distinction and proportionality</w:t>
      </w:r>
      <w:r w:rsidR="00660AC3" w:rsidRPr="00405AAD">
        <w:t>. Reports indicate</w:t>
      </w:r>
      <w:r w:rsidR="00CC16D2" w:rsidRPr="00405AAD">
        <w:t>d</w:t>
      </w:r>
      <w:r w:rsidR="00660AC3" w:rsidRPr="00405AAD">
        <w:t xml:space="preserve"> that some </w:t>
      </w:r>
      <w:r w:rsidR="003F6914" w:rsidRPr="00405AAD">
        <w:t xml:space="preserve">armed </w:t>
      </w:r>
      <w:r w:rsidR="00660AC3" w:rsidRPr="00405AAD">
        <w:t xml:space="preserve">forces </w:t>
      </w:r>
      <w:r w:rsidR="00CC16D2" w:rsidRPr="00405AAD">
        <w:t xml:space="preserve">were </w:t>
      </w:r>
      <w:r w:rsidR="00660AC3" w:rsidRPr="00405AAD">
        <w:t>operating</w:t>
      </w:r>
      <w:r w:rsidR="001A4999" w:rsidRPr="00405AAD">
        <w:t xml:space="preserve"> outside of </w:t>
      </w:r>
      <w:r w:rsidR="009A059F">
        <w:t>g</w:t>
      </w:r>
      <w:r w:rsidR="001A4999" w:rsidRPr="00405AAD">
        <w:t>overnment control and perpetrating a range of violations</w:t>
      </w:r>
      <w:r w:rsidR="00887B6F" w:rsidRPr="00405AAD">
        <w:t xml:space="preserve"> and abuses</w:t>
      </w:r>
      <w:r w:rsidR="001A4999" w:rsidRPr="00405AAD">
        <w:t>, including unlawful killings</w:t>
      </w:r>
      <w:r w:rsidR="00751B82" w:rsidRPr="00405AAD">
        <w:t>, abductions and destruction of property in areas recently liberated from ISIL</w:t>
      </w:r>
      <w:r w:rsidR="001A4999" w:rsidRPr="00405AAD">
        <w:t>.</w:t>
      </w:r>
    </w:p>
    <w:p w:rsidR="00747B9B" w:rsidRPr="00405AAD" w:rsidRDefault="00D76194" w:rsidP="00115BF9">
      <w:pPr>
        <w:pStyle w:val="SingleTxtG"/>
      </w:pPr>
      <w:r w:rsidRPr="00405AAD">
        <w:t>22.</w:t>
      </w:r>
      <w:r w:rsidRPr="00405AAD">
        <w:tab/>
      </w:r>
      <w:r w:rsidR="00FE4B7A" w:rsidRPr="00405AAD">
        <w:t xml:space="preserve">UNAMI/OHCHR also </w:t>
      </w:r>
      <w:r w:rsidR="00EC400C" w:rsidRPr="00405AAD">
        <w:t xml:space="preserve">received reports </w:t>
      </w:r>
      <w:r w:rsidR="001A4999" w:rsidRPr="00405AAD">
        <w:t>of targeted attacks and reprisals against persons believed to support or</w:t>
      </w:r>
      <w:r w:rsidR="00C64D9F" w:rsidRPr="00405AAD">
        <w:t xml:space="preserve"> </w:t>
      </w:r>
      <w:r w:rsidR="00CC16D2" w:rsidRPr="00405AAD">
        <w:t xml:space="preserve">to </w:t>
      </w:r>
      <w:r w:rsidR="00C64D9F" w:rsidRPr="00405AAD">
        <w:t>be</w:t>
      </w:r>
      <w:r w:rsidR="001A4999" w:rsidRPr="00405AAD">
        <w:t xml:space="preserve"> associated with ISIL, particularly Sunni Arab community members. </w:t>
      </w:r>
      <w:r w:rsidR="003A06C9" w:rsidRPr="00405AAD">
        <w:t>In e</w:t>
      </w:r>
      <w:r w:rsidR="009B1ADE" w:rsidRPr="00405AAD">
        <w:t xml:space="preserve">arly June, a video </w:t>
      </w:r>
      <w:r w:rsidR="0087591D" w:rsidRPr="00405AAD">
        <w:t xml:space="preserve">was </w:t>
      </w:r>
      <w:r w:rsidR="009B1ADE" w:rsidRPr="00405AAD">
        <w:t>posted on</w:t>
      </w:r>
      <w:r w:rsidR="00CC16D2" w:rsidRPr="00405AAD">
        <w:t xml:space="preserve"> the Internet</w:t>
      </w:r>
      <w:r w:rsidR="003A06C9" w:rsidRPr="00405AAD">
        <w:t xml:space="preserve"> purporting to show members of a militia burning the body of a man hanging by his feet</w:t>
      </w:r>
      <w:r w:rsidR="0087591D" w:rsidRPr="00405AAD">
        <w:t xml:space="preserve">, reportedly in </w:t>
      </w:r>
      <w:proofErr w:type="spellStart"/>
      <w:r w:rsidR="0087591D" w:rsidRPr="00405AAD">
        <w:t>Garma</w:t>
      </w:r>
      <w:proofErr w:type="spellEnd"/>
      <w:r w:rsidR="0087591D" w:rsidRPr="00405AAD">
        <w:t>, north</w:t>
      </w:r>
      <w:r w:rsidR="00CC16D2" w:rsidRPr="00405AAD">
        <w:t>-</w:t>
      </w:r>
      <w:r w:rsidR="0087591D" w:rsidRPr="00405AAD">
        <w:t>east of Fallujah</w:t>
      </w:r>
      <w:r w:rsidR="00793726" w:rsidRPr="00405AAD">
        <w:t>, Anbar</w:t>
      </w:r>
      <w:r w:rsidR="003F6914" w:rsidRPr="00405AAD">
        <w:t xml:space="preserve"> Governorate</w:t>
      </w:r>
      <w:r w:rsidR="003A06C9" w:rsidRPr="00405AAD">
        <w:t xml:space="preserve">. </w:t>
      </w:r>
      <w:r w:rsidR="004F1766" w:rsidRPr="00405AAD">
        <w:t xml:space="preserve">Members of the militia are heard accusing </w:t>
      </w:r>
      <w:r w:rsidR="003A06C9" w:rsidRPr="00405AAD">
        <w:t xml:space="preserve">the man of </w:t>
      </w:r>
      <w:r w:rsidR="0095051A" w:rsidRPr="00405AAD">
        <w:t xml:space="preserve">having been </w:t>
      </w:r>
      <w:r w:rsidR="003A06C9" w:rsidRPr="00405AAD">
        <w:t xml:space="preserve">a member of ISIL. </w:t>
      </w:r>
    </w:p>
    <w:p w:rsidR="00747B9B" w:rsidRPr="00405AAD" w:rsidRDefault="00D76194" w:rsidP="00115BF9">
      <w:pPr>
        <w:pStyle w:val="SingleTxtG"/>
      </w:pPr>
      <w:r w:rsidRPr="00405AAD">
        <w:t>23.</w:t>
      </w:r>
      <w:r w:rsidRPr="00405AAD">
        <w:tab/>
      </w:r>
      <w:r w:rsidR="00747B9B" w:rsidRPr="00405AAD">
        <w:t xml:space="preserve">UNAMI/OHCHR documented human rights abuses and violations committed by unidentified perpetrators. </w:t>
      </w:r>
      <w:r w:rsidR="00E84655" w:rsidRPr="00405AAD">
        <w:t>D</w:t>
      </w:r>
      <w:r w:rsidR="00905B2F" w:rsidRPr="00405AAD">
        <w:t>etonation of</w:t>
      </w:r>
      <w:r w:rsidR="003F6914" w:rsidRPr="00405AAD">
        <w:t xml:space="preserve"> </w:t>
      </w:r>
      <w:r w:rsidR="00CC16D2" w:rsidRPr="00405AAD">
        <w:t xml:space="preserve">improvised explosive devices </w:t>
      </w:r>
      <w:r w:rsidR="00FE4B7A" w:rsidRPr="00405AAD">
        <w:t xml:space="preserve">in </w:t>
      </w:r>
      <w:r w:rsidR="005C15B3" w:rsidRPr="00405AAD">
        <w:t xml:space="preserve">public </w:t>
      </w:r>
      <w:r w:rsidR="005A6C9A" w:rsidRPr="00405AAD">
        <w:t>places</w:t>
      </w:r>
      <w:r w:rsidR="00D96867" w:rsidRPr="00405AAD">
        <w:t>,</w:t>
      </w:r>
      <w:r w:rsidR="00FE4B7A" w:rsidRPr="00405AAD">
        <w:t xml:space="preserve"> u</w:t>
      </w:r>
      <w:r w:rsidR="00747B9B" w:rsidRPr="00405AAD">
        <w:t xml:space="preserve">nlawful killings </w:t>
      </w:r>
      <w:r w:rsidR="00D96867" w:rsidRPr="00405AAD">
        <w:t xml:space="preserve">and abductions </w:t>
      </w:r>
      <w:r w:rsidR="00747B9B" w:rsidRPr="00405AAD">
        <w:t xml:space="preserve">continued to be reported in </w:t>
      </w:r>
      <w:r w:rsidR="005A6C9A" w:rsidRPr="00405AAD">
        <w:t xml:space="preserve">large </w:t>
      </w:r>
      <w:r w:rsidR="00747B9B" w:rsidRPr="00405AAD">
        <w:t>numbers</w:t>
      </w:r>
      <w:r w:rsidR="00D96867" w:rsidRPr="00405AAD">
        <w:t xml:space="preserve">, particularly in Baghdad, </w:t>
      </w:r>
      <w:r w:rsidR="00E84655" w:rsidRPr="00405AAD">
        <w:t xml:space="preserve">as well as </w:t>
      </w:r>
      <w:r w:rsidR="005A6C9A" w:rsidRPr="00405AAD">
        <w:t xml:space="preserve">in </w:t>
      </w:r>
      <w:r w:rsidR="00D96867" w:rsidRPr="00405AAD">
        <w:t>other areas of the country not directly affected by the armed conflict</w:t>
      </w:r>
      <w:r w:rsidR="00747B9B" w:rsidRPr="00405AAD">
        <w:t>. Targeted individua</w:t>
      </w:r>
      <w:r w:rsidR="00793726" w:rsidRPr="00405AAD">
        <w:t>ls include</w:t>
      </w:r>
      <w:r w:rsidR="005A6C9A" w:rsidRPr="00405AAD">
        <w:t>d</w:t>
      </w:r>
      <w:r w:rsidR="00747B9B" w:rsidRPr="00405AAD">
        <w:t xml:space="preserve"> parliamentarians, tribal and religious leaders, judges and other public officials.</w:t>
      </w:r>
      <w:r w:rsidR="001C24FF" w:rsidRPr="00405AAD">
        <w:t xml:space="preserve"> </w:t>
      </w:r>
    </w:p>
    <w:p w:rsidR="00D21D58" w:rsidRPr="00405AAD" w:rsidRDefault="00D21D58" w:rsidP="00893F80">
      <w:pPr>
        <w:pStyle w:val="H23G"/>
        <w:spacing w:line="360" w:lineRule="auto"/>
      </w:pPr>
      <w:r w:rsidRPr="00405AAD">
        <w:tab/>
      </w:r>
      <w:r w:rsidR="00145552" w:rsidRPr="00405AAD">
        <w:t>3</w:t>
      </w:r>
      <w:r w:rsidRPr="00405AAD">
        <w:t>.</w:t>
      </w:r>
      <w:r w:rsidRPr="00405AAD">
        <w:tab/>
      </w:r>
      <w:r w:rsidR="00142681" w:rsidRPr="00405AAD">
        <w:t>Destruction of civilian property and i</w:t>
      </w:r>
      <w:r w:rsidR="004923F7" w:rsidRPr="00405AAD">
        <w:t>nfrastructure</w:t>
      </w:r>
    </w:p>
    <w:p w:rsidR="003A7149" w:rsidRPr="00405AAD" w:rsidRDefault="00D76194" w:rsidP="00115BF9">
      <w:pPr>
        <w:pStyle w:val="SingleTxtG"/>
        <w:spacing w:line="240" w:lineRule="exact"/>
      </w:pPr>
      <w:r w:rsidRPr="00405AAD">
        <w:t>24.</w:t>
      </w:r>
      <w:r w:rsidRPr="00405AAD">
        <w:tab/>
      </w:r>
      <w:r w:rsidR="003A7149" w:rsidRPr="00405AAD">
        <w:t xml:space="preserve">ISIL </w:t>
      </w:r>
      <w:r w:rsidR="003F6914" w:rsidRPr="00405AAD">
        <w:t xml:space="preserve">continued </w:t>
      </w:r>
      <w:r w:rsidR="005A6C9A" w:rsidRPr="00405AAD">
        <w:t xml:space="preserve">deliberately </w:t>
      </w:r>
      <w:r w:rsidR="003A7149" w:rsidRPr="00405AAD">
        <w:t xml:space="preserve">to target </w:t>
      </w:r>
      <w:r w:rsidR="00EC400C" w:rsidRPr="00405AAD">
        <w:t>civilian objects</w:t>
      </w:r>
      <w:r w:rsidR="00E84655" w:rsidRPr="00405AAD">
        <w:t xml:space="preserve"> in </w:t>
      </w:r>
      <w:r w:rsidR="00672D1B" w:rsidRPr="00405AAD">
        <w:t>attacks</w:t>
      </w:r>
      <w:r w:rsidR="005A6C9A" w:rsidRPr="00405AAD">
        <w:t>,</w:t>
      </w:r>
      <w:r w:rsidR="003F6914" w:rsidRPr="00405AAD">
        <w:t xml:space="preserve"> </w:t>
      </w:r>
      <w:r w:rsidR="005A6C9A" w:rsidRPr="00405AAD">
        <w:t xml:space="preserve">in </w:t>
      </w:r>
      <w:r w:rsidR="003A7149" w:rsidRPr="00405AAD">
        <w:t xml:space="preserve">particular </w:t>
      </w:r>
      <w:r w:rsidR="00FE4B7A" w:rsidRPr="00405AAD">
        <w:t xml:space="preserve">the property of </w:t>
      </w:r>
      <w:r w:rsidR="003A7149" w:rsidRPr="00405AAD">
        <w:t xml:space="preserve">individuals </w:t>
      </w:r>
      <w:r w:rsidR="00173880" w:rsidRPr="00405AAD">
        <w:t>perceived to oppose ISIL</w:t>
      </w:r>
      <w:r w:rsidR="00BC5C19" w:rsidRPr="00405AAD">
        <w:t xml:space="preserve">, including the homes </w:t>
      </w:r>
      <w:r w:rsidR="003A7149" w:rsidRPr="00405AAD">
        <w:t>of tribal leaders, public officials</w:t>
      </w:r>
      <w:r w:rsidR="005A6C9A" w:rsidRPr="00405AAD">
        <w:t xml:space="preserve"> and</w:t>
      </w:r>
      <w:r w:rsidR="003A7149" w:rsidRPr="00405AAD">
        <w:t xml:space="preserve"> local leaders, as well as government buildings</w:t>
      </w:r>
      <w:r w:rsidR="00ED6208" w:rsidRPr="00405AAD">
        <w:t xml:space="preserve">. UNAMI/OHCHR </w:t>
      </w:r>
      <w:r w:rsidR="00BC5C19" w:rsidRPr="00405AAD">
        <w:t xml:space="preserve">also </w:t>
      </w:r>
      <w:r w:rsidR="00FE4B7A" w:rsidRPr="00405AAD">
        <w:t xml:space="preserve">verified </w:t>
      </w:r>
      <w:r w:rsidR="003A7149" w:rsidRPr="00405AAD">
        <w:t xml:space="preserve">reports that ISIL </w:t>
      </w:r>
      <w:r w:rsidR="005C15B3" w:rsidRPr="00405AAD">
        <w:t xml:space="preserve">had </w:t>
      </w:r>
      <w:r w:rsidR="003A7149" w:rsidRPr="00405AAD">
        <w:t xml:space="preserve">planted explosives in homes </w:t>
      </w:r>
      <w:r w:rsidR="00BC5C19" w:rsidRPr="00405AAD">
        <w:t xml:space="preserve">when </w:t>
      </w:r>
      <w:r w:rsidR="003A7149" w:rsidRPr="00405AAD">
        <w:t>retreat</w:t>
      </w:r>
      <w:r w:rsidR="00BC5C19" w:rsidRPr="00405AAD">
        <w:t>ing</w:t>
      </w:r>
      <w:r w:rsidR="003A7149" w:rsidRPr="00405AAD">
        <w:t xml:space="preserve"> from</w:t>
      </w:r>
      <w:r w:rsidR="00173880" w:rsidRPr="00405AAD">
        <w:t xml:space="preserve"> territory, killing civilians </w:t>
      </w:r>
      <w:r w:rsidR="005A6C9A" w:rsidRPr="00405AAD">
        <w:t xml:space="preserve">when </w:t>
      </w:r>
      <w:r w:rsidR="00D92ACA" w:rsidRPr="00405AAD">
        <w:t>they</w:t>
      </w:r>
      <w:r w:rsidR="003A7149" w:rsidRPr="00405AAD">
        <w:t xml:space="preserve"> return</w:t>
      </w:r>
      <w:r w:rsidR="005A6C9A" w:rsidRPr="00405AAD">
        <w:t>ed</w:t>
      </w:r>
      <w:r w:rsidR="003A7149" w:rsidRPr="00405AAD">
        <w:t>.</w:t>
      </w:r>
    </w:p>
    <w:p w:rsidR="003A7149" w:rsidRPr="00405AAD" w:rsidRDefault="00D76194" w:rsidP="00115BF9">
      <w:pPr>
        <w:pStyle w:val="SingleTxtG"/>
        <w:spacing w:line="240" w:lineRule="exact"/>
      </w:pPr>
      <w:r w:rsidRPr="00405AAD">
        <w:t>25.</w:t>
      </w:r>
      <w:r w:rsidRPr="00405AAD">
        <w:tab/>
      </w:r>
      <w:r w:rsidR="003A7149" w:rsidRPr="00405AAD">
        <w:t xml:space="preserve">ISIL also </w:t>
      </w:r>
      <w:r w:rsidR="003F6914" w:rsidRPr="00405AAD">
        <w:t xml:space="preserve">continued </w:t>
      </w:r>
      <w:r w:rsidR="003A7149" w:rsidRPr="00405AAD">
        <w:t>to destroy places of religious and cultural significance</w:t>
      </w:r>
      <w:r w:rsidR="003F6914" w:rsidRPr="00405AAD">
        <w:t>,</w:t>
      </w:r>
      <w:r w:rsidR="00CF1C8D" w:rsidRPr="00405AAD">
        <w:t xml:space="preserve"> which ISIL considers to be un-Islamic</w:t>
      </w:r>
      <w:r w:rsidR="005A6C9A" w:rsidRPr="00405AAD">
        <w:t>,</w:t>
      </w:r>
      <w:r w:rsidR="00CF1C8D" w:rsidRPr="00405AAD">
        <w:t xml:space="preserve"> including </w:t>
      </w:r>
      <w:r w:rsidR="005C15B3" w:rsidRPr="00405AAD">
        <w:t xml:space="preserve">mosques, </w:t>
      </w:r>
      <w:r w:rsidR="003A7149" w:rsidRPr="00405AAD">
        <w:t xml:space="preserve">churches, ancient sites, shrines, tombs and graves. </w:t>
      </w:r>
      <w:r w:rsidR="005C15B3" w:rsidRPr="00405AAD">
        <w:t>ISIL loot</w:t>
      </w:r>
      <w:r w:rsidR="005A6C9A" w:rsidRPr="00405AAD">
        <w:t>s</w:t>
      </w:r>
      <w:r w:rsidR="005C15B3" w:rsidRPr="00405AAD">
        <w:t xml:space="preserve"> </w:t>
      </w:r>
      <w:r w:rsidR="005A6C9A" w:rsidRPr="00405AAD">
        <w:t xml:space="preserve">the </w:t>
      </w:r>
      <w:r w:rsidR="003A7149" w:rsidRPr="00405AAD">
        <w:t>sites before destroy</w:t>
      </w:r>
      <w:r w:rsidR="005C15B3" w:rsidRPr="00405AAD">
        <w:t>ing them</w:t>
      </w:r>
      <w:r w:rsidR="003A7149" w:rsidRPr="00405AAD">
        <w:t>.</w:t>
      </w:r>
      <w:r w:rsidR="00F3468D" w:rsidRPr="00405AAD">
        <w:t xml:space="preserve"> </w:t>
      </w:r>
    </w:p>
    <w:p w:rsidR="00EE1913" w:rsidRPr="00405AAD" w:rsidRDefault="00D76194" w:rsidP="00115BF9">
      <w:pPr>
        <w:pStyle w:val="SingleTxtG"/>
        <w:spacing w:line="240" w:lineRule="exact"/>
      </w:pPr>
      <w:r w:rsidRPr="00405AAD">
        <w:t>26.</w:t>
      </w:r>
      <w:r w:rsidRPr="00405AAD">
        <w:tab/>
      </w:r>
      <w:r w:rsidR="00CC0EA7" w:rsidRPr="00405AAD">
        <w:t xml:space="preserve">UNAMI/OHCHR also received allegations </w:t>
      </w:r>
      <w:r w:rsidR="005C15B3" w:rsidRPr="00405AAD">
        <w:t xml:space="preserve">that pro-government </w:t>
      </w:r>
      <w:r w:rsidR="00CC0EA7" w:rsidRPr="00405AAD">
        <w:t xml:space="preserve">forces </w:t>
      </w:r>
      <w:r w:rsidR="005C15B3" w:rsidRPr="00405AAD">
        <w:t xml:space="preserve">had </w:t>
      </w:r>
      <w:r w:rsidR="00CC0EA7" w:rsidRPr="00405AAD">
        <w:t xml:space="preserve">destroyed civilian property. On 1 April, UNAMI received reports that </w:t>
      </w:r>
      <w:r w:rsidR="00FE4B7A" w:rsidRPr="00405AAD">
        <w:t xml:space="preserve">militias had </w:t>
      </w:r>
      <w:r w:rsidR="00CC0EA7" w:rsidRPr="00405AAD">
        <w:t>loot</w:t>
      </w:r>
      <w:r w:rsidR="00ED6208" w:rsidRPr="00405AAD">
        <w:t>ed</w:t>
      </w:r>
      <w:r w:rsidR="00CC0EA7" w:rsidRPr="00405AAD">
        <w:t xml:space="preserve"> </w:t>
      </w:r>
      <w:r w:rsidR="00372613" w:rsidRPr="00405AAD">
        <w:t xml:space="preserve">and burned more than 200 </w:t>
      </w:r>
      <w:r w:rsidR="00CC0EA7" w:rsidRPr="00405AAD">
        <w:t xml:space="preserve">civilian homes </w:t>
      </w:r>
      <w:r w:rsidR="00372613" w:rsidRPr="00405AAD">
        <w:t xml:space="preserve">and 300 shops </w:t>
      </w:r>
      <w:r w:rsidR="00CC0EA7" w:rsidRPr="00405AAD">
        <w:t>in Tikrit, Salah al-Din</w:t>
      </w:r>
      <w:r w:rsidR="00B72772" w:rsidRPr="00405AAD">
        <w:t xml:space="preserve"> </w:t>
      </w:r>
      <w:r w:rsidR="003F6914" w:rsidRPr="00405AAD">
        <w:t xml:space="preserve">Governorate in </w:t>
      </w:r>
      <w:r w:rsidR="00CC0EA7" w:rsidRPr="00405AAD">
        <w:t xml:space="preserve">the first 48 hours </w:t>
      </w:r>
      <w:r w:rsidR="003F6914" w:rsidRPr="00405AAD">
        <w:t xml:space="preserve">of the </w:t>
      </w:r>
      <w:r w:rsidR="00CC0EA7" w:rsidRPr="00405AAD">
        <w:t xml:space="preserve">liberation of </w:t>
      </w:r>
      <w:r w:rsidR="00FE4B7A" w:rsidRPr="00405AAD">
        <w:t xml:space="preserve">the </w:t>
      </w:r>
      <w:r w:rsidR="00CC0EA7" w:rsidRPr="00405AAD">
        <w:t xml:space="preserve">city. </w:t>
      </w:r>
      <w:r w:rsidR="002C3173">
        <w:t xml:space="preserve">The Prime Minister established a committee to investigate the events. The committee issued a statement noting that 67 homes and 85 shops were burned </w:t>
      </w:r>
      <w:r w:rsidR="00794066">
        <w:t xml:space="preserve">down </w:t>
      </w:r>
      <w:r w:rsidR="002C3173">
        <w:t xml:space="preserve">in Tikrit at the beginning of April. </w:t>
      </w:r>
      <w:r w:rsidR="00A35724" w:rsidRPr="00405AAD">
        <w:t>UNAMI met with tribal and community representatives from Tikrit</w:t>
      </w:r>
      <w:r w:rsidR="00B72772" w:rsidRPr="00405AAD">
        <w:t xml:space="preserve"> </w:t>
      </w:r>
      <w:r w:rsidR="00A35724" w:rsidRPr="00405AAD">
        <w:t xml:space="preserve">to discuss </w:t>
      </w:r>
      <w:r w:rsidR="00B72772" w:rsidRPr="00405AAD">
        <w:t>these reports</w:t>
      </w:r>
      <w:r w:rsidR="00A35724" w:rsidRPr="00405AAD">
        <w:t>, as well as</w:t>
      </w:r>
      <w:r w:rsidR="00B72772" w:rsidRPr="00405AAD">
        <w:t xml:space="preserve"> </w:t>
      </w:r>
      <w:r w:rsidR="008E39C6" w:rsidRPr="00405AAD">
        <w:t xml:space="preserve">the </w:t>
      </w:r>
      <w:r w:rsidR="00B72772" w:rsidRPr="00405AAD">
        <w:t>alleged</w:t>
      </w:r>
      <w:r w:rsidR="00A35724" w:rsidRPr="00405AAD">
        <w:t xml:space="preserve"> targeting of civilians by militia forces.</w:t>
      </w:r>
      <w:r w:rsidR="00142681" w:rsidRPr="00405AAD">
        <w:t xml:space="preserve"> </w:t>
      </w:r>
      <w:r w:rsidR="008E39C6" w:rsidRPr="00405AAD">
        <w:t>The m</w:t>
      </w:r>
      <w:r w:rsidR="00142681" w:rsidRPr="00405AAD">
        <w:t>eans of c</w:t>
      </w:r>
      <w:r w:rsidR="00EE1913" w:rsidRPr="00405AAD">
        <w:t xml:space="preserve">reating conditions for </w:t>
      </w:r>
      <w:r w:rsidR="008E39C6" w:rsidRPr="00405AAD">
        <w:t xml:space="preserve">the </w:t>
      </w:r>
      <w:r w:rsidR="00EE1913" w:rsidRPr="00405AAD">
        <w:t xml:space="preserve">safe, dignified and voluntary return </w:t>
      </w:r>
      <w:r w:rsidR="00ED6208" w:rsidRPr="00405AAD">
        <w:t xml:space="preserve">of displaced persons to their homes </w:t>
      </w:r>
      <w:r w:rsidR="008E39C6" w:rsidRPr="00405AAD">
        <w:t xml:space="preserve">were </w:t>
      </w:r>
      <w:r w:rsidR="00EE1913" w:rsidRPr="00405AAD">
        <w:t xml:space="preserve">also discussed. </w:t>
      </w:r>
    </w:p>
    <w:p w:rsidR="00D21D58" w:rsidRPr="00405AAD" w:rsidRDefault="00D21D58" w:rsidP="00893F80">
      <w:pPr>
        <w:pStyle w:val="H1G"/>
        <w:spacing w:line="360" w:lineRule="auto"/>
      </w:pPr>
      <w:r w:rsidRPr="00405AAD">
        <w:tab/>
        <w:t>B.</w:t>
      </w:r>
      <w:r w:rsidRPr="00405AAD">
        <w:tab/>
        <w:t>Groups in focus</w:t>
      </w:r>
    </w:p>
    <w:p w:rsidR="00075EF7" w:rsidRPr="00405AAD" w:rsidRDefault="00075EF7" w:rsidP="00893F80">
      <w:pPr>
        <w:pStyle w:val="H23G"/>
        <w:spacing w:line="360" w:lineRule="auto"/>
      </w:pPr>
      <w:r w:rsidRPr="00405AAD">
        <w:tab/>
        <w:t>1.</w:t>
      </w:r>
      <w:r w:rsidRPr="00405AAD">
        <w:tab/>
        <w:t>Women</w:t>
      </w:r>
    </w:p>
    <w:p w:rsidR="009A54B5" w:rsidRPr="00405AAD" w:rsidRDefault="00D76194" w:rsidP="00115BF9">
      <w:pPr>
        <w:pStyle w:val="SingleTxtG"/>
        <w:spacing w:line="240" w:lineRule="exact"/>
      </w:pPr>
      <w:r w:rsidRPr="00405AAD">
        <w:t>27.</w:t>
      </w:r>
      <w:r w:rsidRPr="00405AAD">
        <w:tab/>
      </w:r>
      <w:r w:rsidR="00FC49BE" w:rsidRPr="00405AAD">
        <w:t>The 2005</w:t>
      </w:r>
      <w:r w:rsidR="00FC49BE" w:rsidRPr="009A059F">
        <w:t xml:space="preserve"> </w:t>
      </w:r>
      <w:r w:rsidR="00FC49BE" w:rsidRPr="00405AAD">
        <w:t xml:space="preserve">Constitution </w:t>
      </w:r>
      <w:r w:rsidR="00FC49BE" w:rsidRPr="009A059F">
        <w:t xml:space="preserve">provides for fundamental women’s rights, including equal treatment before the law. </w:t>
      </w:r>
      <w:r w:rsidR="006C47C3" w:rsidRPr="00405AAD">
        <w:t xml:space="preserve">UNAMI/OHCHR </w:t>
      </w:r>
      <w:r w:rsidR="00AC7BB8" w:rsidRPr="00405AAD">
        <w:t>nonetheless</w:t>
      </w:r>
      <w:r w:rsidR="006C47C3" w:rsidRPr="00405AAD">
        <w:t xml:space="preserve"> observed that </w:t>
      </w:r>
      <w:r w:rsidR="00FC49BE" w:rsidRPr="00405AAD">
        <w:t>Iraqi women continue</w:t>
      </w:r>
      <w:r w:rsidR="00936135" w:rsidRPr="00405AAD">
        <w:t>d</w:t>
      </w:r>
      <w:r w:rsidR="00FC49BE" w:rsidRPr="00405AAD">
        <w:t xml:space="preserve"> to face violence, discrimination and unequal treatment. Cases of domestic violence are believed to go largely unreported and unpunished</w:t>
      </w:r>
      <w:r w:rsidR="00AC7BB8" w:rsidRPr="00405AAD">
        <w:t>,</w:t>
      </w:r>
      <w:r w:rsidR="00FC49BE" w:rsidRPr="00405AAD">
        <w:t xml:space="preserve"> and victims remain largely unprotected. </w:t>
      </w:r>
      <w:r w:rsidR="00BC303E" w:rsidRPr="00405AAD">
        <w:t xml:space="preserve">The lack of comprehensive official statistics </w:t>
      </w:r>
      <w:r w:rsidR="00F377EF" w:rsidRPr="00405AAD">
        <w:t xml:space="preserve">on domestic violence </w:t>
      </w:r>
      <w:r w:rsidR="00AC7BB8" w:rsidRPr="00405AAD">
        <w:t xml:space="preserve">prevents </w:t>
      </w:r>
      <w:r w:rsidR="00BC303E" w:rsidRPr="00405AAD">
        <w:t xml:space="preserve">a full understanding and </w:t>
      </w:r>
      <w:r w:rsidR="00AC7BB8" w:rsidRPr="00405AAD">
        <w:t xml:space="preserve">the formulation of a </w:t>
      </w:r>
      <w:r w:rsidR="00BC303E" w:rsidRPr="00405AAD">
        <w:t>proper response to such cases.</w:t>
      </w:r>
    </w:p>
    <w:p w:rsidR="009A54B5" w:rsidRPr="00405AAD" w:rsidRDefault="00D76194" w:rsidP="00115BF9">
      <w:pPr>
        <w:pStyle w:val="SingleTxtG"/>
        <w:spacing w:line="240" w:lineRule="exact"/>
      </w:pPr>
      <w:r w:rsidRPr="00405AAD">
        <w:t>28.</w:t>
      </w:r>
      <w:r w:rsidRPr="00405AAD">
        <w:tab/>
      </w:r>
      <w:r w:rsidR="00AC7BB8" w:rsidRPr="00405AAD">
        <w:t xml:space="preserve">Strengthening </w:t>
      </w:r>
      <w:r w:rsidR="00F377EF" w:rsidRPr="00405AAD">
        <w:t>the legal protection framework against gender</w:t>
      </w:r>
      <w:r w:rsidR="00AC7BB8" w:rsidRPr="00405AAD">
        <w:t>-</w:t>
      </w:r>
      <w:r w:rsidR="00F377EF" w:rsidRPr="00405AAD">
        <w:t>based violence continues to be a priority</w:t>
      </w:r>
      <w:r w:rsidR="009A54B5" w:rsidRPr="00405AAD">
        <w:t xml:space="preserve">. The draft </w:t>
      </w:r>
      <w:r w:rsidR="00AC7BB8" w:rsidRPr="00405AAD">
        <w:t>f</w:t>
      </w:r>
      <w:r w:rsidR="009A54B5" w:rsidRPr="00405AAD">
        <w:t xml:space="preserve">amily </w:t>
      </w:r>
      <w:r w:rsidR="00AC7BB8" w:rsidRPr="00405AAD">
        <w:t>p</w:t>
      </w:r>
      <w:r w:rsidR="009A54B5" w:rsidRPr="00405AAD">
        <w:t xml:space="preserve">rotection </w:t>
      </w:r>
      <w:r w:rsidR="00AC7BB8" w:rsidRPr="00405AAD">
        <w:t>l</w:t>
      </w:r>
      <w:r w:rsidR="009A54B5" w:rsidRPr="00405AAD">
        <w:t xml:space="preserve">aw, the text of which substantively fails to meet </w:t>
      </w:r>
      <w:r w:rsidR="00AC7BB8" w:rsidRPr="00405AAD">
        <w:t xml:space="preserve">the State’s </w:t>
      </w:r>
      <w:r w:rsidR="009A54B5" w:rsidRPr="00405AAD">
        <w:t xml:space="preserve">obligations under international law, </w:t>
      </w:r>
      <w:r w:rsidR="00F377EF" w:rsidRPr="00405AAD">
        <w:t xml:space="preserve">has been </w:t>
      </w:r>
      <w:r w:rsidR="002644A3" w:rsidRPr="00405AAD">
        <w:t xml:space="preserve">pending </w:t>
      </w:r>
      <w:r w:rsidR="009A54B5" w:rsidRPr="00405AAD">
        <w:t xml:space="preserve">before the Council of Representatives. </w:t>
      </w:r>
      <w:r w:rsidR="00F377EF" w:rsidRPr="00405AAD">
        <w:t>T</w:t>
      </w:r>
      <w:r w:rsidR="009A54B5" w:rsidRPr="00405AAD">
        <w:t xml:space="preserve">he draft </w:t>
      </w:r>
      <w:r w:rsidR="00AC7BB8" w:rsidRPr="00405AAD">
        <w:t>s</w:t>
      </w:r>
      <w:r w:rsidR="009A54B5" w:rsidRPr="00405AAD">
        <w:t xml:space="preserve">helter policy for victims of domestic violence also </w:t>
      </w:r>
      <w:r w:rsidR="00F377EF" w:rsidRPr="00405AAD">
        <w:t xml:space="preserve">remained </w:t>
      </w:r>
      <w:r w:rsidR="009A54B5" w:rsidRPr="00405AAD">
        <w:t>under review. The Criminal Code No.</w:t>
      </w:r>
      <w:r w:rsidR="00F45C79">
        <w:t> </w:t>
      </w:r>
      <w:r w:rsidR="009A54B5" w:rsidRPr="00405AAD">
        <w:t xml:space="preserve">111 of 1969 continues to permit </w:t>
      </w:r>
      <w:r w:rsidR="00AC7BB8" w:rsidRPr="00405AAD">
        <w:t>“</w:t>
      </w:r>
      <w:r w:rsidR="009A54B5" w:rsidRPr="00405AAD">
        <w:t>honour</w:t>
      </w:r>
      <w:r w:rsidR="00AC7BB8" w:rsidRPr="00405AAD">
        <w:t>”</w:t>
      </w:r>
      <w:r w:rsidR="009A54B5" w:rsidRPr="00405AAD">
        <w:t xml:space="preserve"> as a lawful defence in crimes alleging violence against women and family members</w:t>
      </w:r>
      <w:r w:rsidR="00F377EF" w:rsidRPr="00405AAD">
        <w:t xml:space="preserve">, although </w:t>
      </w:r>
      <w:r w:rsidR="009A54B5" w:rsidRPr="00405AAD">
        <w:t xml:space="preserve">it is reported that many hundreds of women die from honour killings each year. UNAMI/OHCHR </w:t>
      </w:r>
      <w:r w:rsidR="00C93B0C" w:rsidRPr="00405AAD">
        <w:t xml:space="preserve">also </w:t>
      </w:r>
      <w:r w:rsidR="009A54B5" w:rsidRPr="00405AAD">
        <w:t xml:space="preserve">received credible reports of women being trafficked </w:t>
      </w:r>
      <w:r w:rsidR="00AC7BB8" w:rsidRPr="00405AAD">
        <w:t xml:space="preserve">inside </w:t>
      </w:r>
      <w:r w:rsidR="009A54B5" w:rsidRPr="00405AAD">
        <w:t xml:space="preserve">Iraq. Women remain underrepresented in public life. </w:t>
      </w:r>
    </w:p>
    <w:p w:rsidR="009A54B5" w:rsidRPr="00405AAD" w:rsidRDefault="00D76194" w:rsidP="00115BF9">
      <w:pPr>
        <w:pStyle w:val="SingleTxtG"/>
        <w:spacing w:line="240" w:lineRule="exact"/>
      </w:pPr>
      <w:r w:rsidRPr="00405AAD">
        <w:t>29.</w:t>
      </w:r>
      <w:r w:rsidRPr="00405AAD">
        <w:tab/>
      </w:r>
      <w:r w:rsidR="009A54B5" w:rsidRPr="00405AAD">
        <w:t xml:space="preserve">The </w:t>
      </w:r>
      <w:r w:rsidR="00AC7BB8" w:rsidRPr="00405AAD">
        <w:t>f</w:t>
      </w:r>
      <w:r w:rsidR="009A54B5" w:rsidRPr="00405AAD">
        <w:t xml:space="preserve">amily </w:t>
      </w:r>
      <w:r w:rsidR="00AC7BB8" w:rsidRPr="00405AAD">
        <w:t>p</w:t>
      </w:r>
      <w:r w:rsidR="009A54B5" w:rsidRPr="00405AAD">
        <w:t xml:space="preserve">rotection </w:t>
      </w:r>
      <w:r w:rsidR="00AC7BB8" w:rsidRPr="00405AAD">
        <w:t>u</w:t>
      </w:r>
      <w:r w:rsidR="009A54B5" w:rsidRPr="00405AAD">
        <w:t xml:space="preserve">nits of the Iraqi </w:t>
      </w:r>
      <w:r w:rsidR="00AC7BB8" w:rsidRPr="00405AAD">
        <w:t>p</w:t>
      </w:r>
      <w:r w:rsidR="009A54B5" w:rsidRPr="00405AAD">
        <w:t xml:space="preserve">olice, aimed at providing protection to victims of domestic violence, are </w:t>
      </w:r>
      <w:proofErr w:type="spellStart"/>
      <w:r w:rsidR="002644A3" w:rsidRPr="00405AAD">
        <w:t>under</w:t>
      </w:r>
      <w:r w:rsidR="009A54B5" w:rsidRPr="00405AAD">
        <w:t>resourced</w:t>
      </w:r>
      <w:proofErr w:type="spellEnd"/>
      <w:r w:rsidR="009A54B5" w:rsidRPr="00405AAD">
        <w:t xml:space="preserve"> and </w:t>
      </w:r>
      <w:r w:rsidR="002644A3" w:rsidRPr="00405AAD">
        <w:t>under</w:t>
      </w:r>
      <w:r w:rsidR="009A54B5" w:rsidRPr="00405AAD">
        <w:t>staffed, and remain inaccessible to most victims</w:t>
      </w:r>
      <w:r w:rsidR="00AC7BB8" w:rsidRPr="00405AAD">
        <w:t>; consequently</w:t>
      </w:r>
      <w:r w:rsidR="009A54B5" w:rsidRPr="00405AAD">
        <w:t>, women who are the victims of domestic and other forms of gender</w:t>
      </w:r>
      <w:r w:rsidR="00AC7BB8" w:rsidRPr="00405AAD">
        <w:t>-</w:t>
      </w:r>
      <w:r w:rsidR="009A54B5" w:rsidRPr="00405AAD">
        <w:t xml:space="preserve">based violence still have nowhere to seek sanctuary </w:t>
      </w:r>
      <w:r w:rsidR="00AC7BB8" w:rsidRPr="00405AAD">
        <w:t>or to</w:t>
      </w:r>
      <w:r w:rsidR="009A54B5" w:rsidRPr="00405AAD">
        <w:t xml:space="preserve"> claim their legal rights. </w:t>
      </w:r>
      <w:r w:rsidR="00F377EF" w:rsidRPr="00405AAD">
        <w:t xml:space="preserve">Those who </w:t>
      </w:r>
      <w:r w:rsidR="007B57DB" w:rsidRPr="00405AAD">
        <w:t xml:space="preserve">seek </w:t>
      </w:r>
      <w:r w:rsidR="009A54B5" w:rsidRPr="00405AAD">
        <w:t xml:space="preserve">protection are often housed in women’s prisons and detention centres. </w:t>
      </w:r>
    </w:p>
    <w:p w:rsidR="00FC49BE" w:rsidRPr="00405AAD" w:rsidRDefault="00D76194" w:rsidP="00115BF9">
      <w:pPr>
        <w:pStyle w:val="SingleTxtG"/>
        <w:spacing w:line="240" w:lineRule="exact"/>
      </w:pPr>
      <w:r w:rsidRPr="00405AAD">
        <w:t>30.</w:t>
      </w:r>
      <w:r w:rsidRPr="00405AAD">
        <w:tab/>
      </w:r>
      <w:r w:rsidR="0072746F" w:rsidRPr="00405AAD">
        <w:t xml:space="preserve">In the Kurdistan </w:t>
      </w:r>
      <w:r w:rsidR="006B0D22" w:rsidRPr="00405AAD">
        <w:t>r</w:t>
      </w:r>
      <w:r w:rsidR="0072746F" w:rsidRPr="00405AAD">
        <w:t>egion of Iraq</w:t>
      </w:r>
      <w:r w:rsidR="00FC49BE" w:rsidRPr="00405AAD">
        <w:t xml:space="preserve">, </w:t>
      </w:r>
      <w:r w:rsidR="006B0D22" w:rsidRPr="00405AAD">
        <w:t xml:space="preserve">the </w:t>
      </w:r>
      <w:r w:rsidR="00FC49BE" w:rsidRPr="00405AAD">
        <w:t>full reali</w:t>
      </w:r>
      <w:r w:rsidR="006B0D22" w:rsidRPr="00405AAD">
        <w:t>z</w:t>
      </w:r>
      <w:r w:rsidR="00FC49BE" w:rsidRPr="00405AAD">
        <w:t>ation of women’s rights continues to be hindered by a number of factors</w:t>
      </w:r>
      <w:r w:rsidR="006B0D22" w:rsidRPr="00405AAD">
        <w:t>,</w:t>
      </w:r>
      <w:r w:rsidR="00FC49BE" w:rsidRPr="00405AAD">
        <w:t xml:space="preserve"> </w:t>
      </w:r>
      <w:r w:rsidR="00590143" w:rsidRPr="00405AAD">
        <w:t xml:space="preserve">including </w:t>
      </w:r>
      <w:r w:rsidR="00FC49BE" w:rsidRPr="00405AAD">
        <w:t>deep-rooted patriarchal norms, legislative gaps and a culture of silence.</w:t>
      </w:r>
      <w:r w:rsidR="004C3B44" w:rsidRPr="00405AAD">
        <w:t xml:space="preserve"> </w:t>
      </w:r>
      <w:r w:rsidR="00FC49BE" w:rsidRPr="00405AAD">
        <w:t xml:space="preserve">The participation of women in political life remains limited. </w:t>
      </w:r>
      <w:r w:rsidR="006B0D22" w:rsidRPr="00405AAD">
        <w:t>T</w:t>
      </w:r>
      <w:r w:rsidR="00672D1B" w:rsidRPr="00405AAD">
        <w:t xml:space="preserve">he Government </w:t>
      </w:r>
      <w:r w:rsidR="006B0D22" w:rsidRPr="00405AAD">
        <w:t xml:space="preserve">of the Kurdistan region of Iraq </w:t>
      </w:r>
      <w:r w:rsidR="00672D1B" w:rsidRPr="00405AAD">
        <w:t>has</w:t>
      </w:r>
      <w:r w:rsidR="006B0D22" w:rsidRPr="00405AAD">
        <w:t>, however,</w:t>
      </w:r>
      <w:r w:rsidR="00672D1B" w:rsidRPr="00405AAD">
        <w:t xml:space="preserve"> introduced a number of legislative, institutional and policy reforms aimed at addressing violence against women and other forms of discrimination.</w:t>
      </w:r>
    </w:p>
    <w:p w:rsidR="002035FC" w:rsidRPr="00405AAD" w:rsidRDefault="00D76194" w:rsidP="00115BF9">
      <w:pPr>
        <w:pStyle w:val="SingleTxtG"/>
        <w:spacing w:line="240" w:lineRule="exact"/>
      </w:pPr>
      <w:r w:rsidRPr="00405AAD">
        <w:t>31.</w:t>
      </w:r>
      <w:r w:rsidRPr="00405AAD">
        <w:tab/>
      </w:r>
      <w:r w:rsidR="009D4565" w:rsidRPr="00405AAD">
        <w:t xml:space="preserve">The </w:t>
      </w:r>
      <w:r w:rsidR="00F93032" w:rsidRPr="00405AAD">
        <w:t xml:space="preserve">ability </w:t>
      </w:r>
      <w:r w:rsidR="009D4565" w:rsidRPr="00405AAD">
        <w:t xml:space="preserve">of women </w:t>
      </w:r>
      <w:r w:rsidR="00905B2F" w:rsidRPr="00405AAD">
        <w:t>to enjoy</w:t>
      </w:r>
      <w:r w:rsidR="00590143" w:rsidRPr="00405AAD">
        <w:t xml:space="preserve"> a</w:t>
      </w:r>
      <w:r w:rsidR="00F93032" w:rsidRPr="00405AAD">
        <w:t xml:space="preserve"> </w:t>
      </w:r>
      <w:r w:rsidR="00590143" w:rsidRPr="00405AAD">
        <w:t xml:space="preserve">full </w:t>
      </w:r>
      <w:r w:rsidR="00F93032" w:rsidRPr="00405AAD">
        <w:t xml:space="preserve">range of human rights has deteriorated considerably with the ongoing armed conflict. ISIL, in particular, continues to perpetrate gross violations of </w:t>
      </w:r>
      <w:r w:rsidR="00590143" w:rsidRPr="00405AAD">
        <w:t>women’s rights</w:t>
      </w:r>
      <w:r w:rsidR="00F93032" w:rsidRPr="00405AAD">
        <w:t xml:space="preserve">. </w:t>
      </w:r>
      <w:r w:rsidR="006B0D22" w:rsidRPr="00405AAD">
        <w:t xml:space="preserve">It has </w:t>
      </w:r>
      <w:r w:rsidR="00590143" w:rsidRPr="00405AAD">
        <w:t>imposed s</w:t>
      </w:r>
      <w:r w:rsidR="00220314" w:rsidRPr="00405AAD">
        <w:t>trict codes of behaviour</w:t>
      </w:r>
      <w:r w:rsidR="006B0D22" w:rsidRPr="00405AAD">
        <w:t>,</w:t>
      </w:r>
      <w:r w:rsidR="00220314" w:rsidRPr="00405AAD">
        <w:t xml:space="preserve"> including regulations concerning dress and freedom of movement. Women must be fully covered while in public and are only allowed to move in public in the company of an appropriately related male chaperone. Severe </w:t>
      </w:r>
      <w:r w:rsidR="00C8705D" w:rsidRPr="00405AAD">
        <w:t xml:space="preserve">forms of </w:t>
      </w:r>
      <w:r w:rsidR="00220314" w:rsidRPr="00405AAD">
        <w:t>punishment are imposed for non-</w:t>
      </w:r>
      <w:r w:rsidR="002613AA" w:rsidRPr="00405AAD">
        <w:t xml:space="preserve">compliance, including fines, </w:t>
      </w:r>
      <w:r w:rsidR="00220314" w:rsidRPr="00405AAD">
        <w:t xml:space="preserve">lashings and </w:t>
      </w:r>
      <w:r w:rsidR="00C8705D" w:rsidRPr="00405AAD">
        <w:t xml:space="preserve">even </w:t>
      </w:r>
      <w:r w:rsidR="00220314" w:rsidRPr="00405AAD">
        <w:t xml:space="preserve">execution. </w:t>
      </w:r>
    </w:p>
    <w:p w:rsidR="00220314" w:rsidRPr="00405AAD" w:rsidRDefault="00D76194" w:rsidP="00115BF9">
      <w:pPr>
        <w:pStyle w:val="SingleTxtG"/>
        <w:spacing w:line="240" w:lineRule="exact"/>
      </w:pPr>
      <w:r w:rsidRPr="00405AAD">
        <w:t>32.</w:t>
      </w:r>
      <w:r w:rsidRPr="00405AAD">
        <w:tab/>
      </w:r>
      <w:r w:rsidR="00F93032" w:rsidRPr="00405AAD">
        <w:t xml:space="preserve">ISIL </w:t>
      </w:r>
      <w:r w:rsidR="0099417B" w:rsidRPr="00405AAD">
        <w:t xml:space="preserve">continued to target </w:t>
      </w:r>
      <w:r w:rsidR="00A52783" w:rsidRPr="00405AAD">
        <w:t>female</w:t>
      </w:r>
      <w:r w:rsidR="00F93032" w:rsidRPr="00405AAD">
        <w:t xml:space="preserve"> community and political leaders, subjecting them to abduction, torture and murder. </w:t>
      </w:r>
      <w:r w:rsidR="00220314" w:rsidRPr="00405AAD">
        <w:t>UNAMI/OHCHR continue</w:t>
      </w:r>
      <w:r w:rsidR="00C8705D" w:rsidRPr="00405AAD">
        <w:t>d</w:t>
      </w:r>
      <w:r w:rsidR="00220314" w:rsidRPr="00405AAD">
        <w:t xml:space="preserve"> to receive reports that</w:t>
      </w:r>
      <w:r w:rsidR="00160977" w:rsidRPr="00405AAD">
        <w:t xml:space="preserve"> women and girls</w:t>
      </w:r>
      <w:r w:rsidR="00220314" w:rsidRPr="00405AAD">
        <w:t xml:space="preserve"> </w:t>
      </w:r>
      <w:r w:rsidR="00C8705D" w:rsidRPr="00405AAD">
        <w:t xml:space="preserve">held by </w:t>
      </w:r>
      <w:r w:rsidR="00220314" w:rsidRPr="00405AAD">
        <w:t>ISIL</w:t>
      </w:r>
      <w:r w:rsidR="0099417B" w:rsidRPr="00405AAD">
        <w:t xml:space="preserve">, particularly </w:t>
      </w:r>
      <w:r w:rsidR="00C8705D" w:rsidRPr="00405AAD">
        <w:t xml:space="preserve">those </w:t>
      </w:r>
      <w:r w:rsidR="0099417B" w:rsidRPr="00405AAD">
        <w:t xml:space="preserve">from ethnic and religious minority communities such as the </w:t>
      </w:r>
      <w:proofErr w:type="spellStart"/>
      <w:r w:rsidR="0099417B" w:rsidRPr="00405AAD">
        <w:t>Yezidi</w:t>
      </w:r>
      <w:proofErr w:type="spellEnd"/>
      <w:r w:rsidR="0099417B" w:rsidRPr="00405AAD">
        <w:t xml:space="preserve"> and others,</w:t>
      </w:r>
      <w:r w:rsidR="00220314" w:rsidRPr="00405AAD">
        <w:t xml:space="preserve"> are subjected to harrowing acts of sexual and physical violence</w:t>
      </w:r>
      <w:r w:rsidR="0099417B" w:rsidRPr="00405AAD">
        <w:t xml:space="preserve"> and to sexual slavery</w:t>
      </w:r>
      <w:r w:rsidR="00220314" w:rsidRPr="00405AAD">
        <w:t xml:space="preserve">. </w:t>
      </w:r>
      <w:r w:rsidR="0099417B" w:rsidRPr="00405AAD">
        <w:t xml:space="preserve">UNAMI/OHCHR believes that there may still be </w:t>
      </w:r>
      <w:r w:rsidR="00C8705D" w:rsidRPr="00405AAD">
        <w:t>as many as</w:t>
      </w:r>
      <w:r w:rsidR="0099417B" w:rsidRPr="00405AAD">
        <w:t xml:space="preserve"> 3</w:t>
      </w:r>
      <w:r w:rsidR="00CA18CB" w:rsidRPr="00405AAD">
        <w:t>,</w:t>
      </w:r>
      <w:r w:rsidR="0099417B" w:rsidRPr="00405AAD">
        <w:t xml:space="preserve">500 women and children, and some men, predominantly </w:t>
      </w:r>
      <w:proofErr w:type="spellStart"/>
      <w:r w:rsidR="0099417B" w:rsidRPr="00405AAD">
        <w:t>Yezidi</w:t>
      </w:r>
      <w:proofErr w:type="spellEnd"/>
      <w:r w:rsidR="00CA18CB" w:rsidRPr="00405AAD">
        <w:t>,</w:t>
      </w:r>
      <w:r w:rsidR="0099417B" w:rsidRPr="00405AAD">
        <w:t xml:space="preserve"> but also other ethnic and religious communities who are still </w:t>
      </w:r>
      <w:r w:rsidR="00C8705D" w:rsidRPr="00405AAD">
        <w:t xml:space="preserve">being held by </w:t>
      </w:r>
      <w:r w:rsidR="0099417B" w:rsidRPr="00405AAD">
        <w:t xml:space="preserve">ISIL. </w:t>
      </w:r>
      <w:r w:rsidR="00220314" w:rsidRPr="00405AAD">
        <w:t>Sexual violence appears to be used by ISIL as a deliberate tactic in targeting diverse ethnic and religious communities.</w:t>
      </w:r>
    </w:p>
    <w:p w:rsidR="008F2B45" w:rsidRPr="00405AAD" w:rsidRDefault="00D76194" w:rsidP="00115BF9">
      <w:pPr>
        <w:pStyle w:val="SingleTxtG"/>
        <w:spacing w:line="240" w:lineRule="exact"/>
      </w:pPr>
      <w:r w:rsidRPr="00405AAD">
        <w:t>33.</w:t>
      </w:r>
      <w:r w:rsidRPr="00405AAD">
        <w:tab/>
      </w:r>
      <w:r w:rsidR="00A222DF" w:rsidRPr="00405AAD">
        <w:t>UNAMI/OHCHR</w:t>
      </w:r>
      <w:r w:rsidR="00A52783" w:rsidRPr="00405AAD">
        <w:t xml:space="preserve"> works with a range of </w:t>
      </w:r>
      <w:r w:rsidR="00590143" w:rsidRPr="00405AAD">
        <w:t>counterparts,</w:t>
      </w:r>
      <w:r w:rsidR="00A52783" w:rsidRPr="00405AAD">
        <w:t xml:space="preserve"> including </w:t>
      </w:r>
      <w:r w:rsidR="00C8705D" w:rsidRPr="00405AAD">
        <w:t>g</w:t>
      </w:r>
      <w:r w:rsidR="00590143" w:rsidRPr="00405AAD">
        <w:t xml:space="preserve">overnment </w:t>
      </w:r>
      <w:r w:rsidR="00A52783" w:rsidRPr="00405AAD">
        <w:t xml:space="preserve">actors, </w:t>
      </w:r>
      <w:r w:rsidR="00590143" w:rsidRPr="00405AAD">
        <w:t xml:space="preserve">institutions, </w:t>
      </w:r>
      <w:r w:rsidR="00A52783" w:rsidRPr="00405AAD">
        <w:t xml:space="preserve">civil society groups and women’s right defenders to monitor women’s rights to raise awareness and build capacity of local actors. </w:t>
      </w:r>
      <w:r w:rsidR="00A222DF" w:rsidRPr="00405AAD">
        <w:t xml:space="preserve">For instance, </w:t>
      </w:r>
      <w:r w:rsidR="00E1789D" w:rsidRPr="00405AAD">
        <w:t xml:space="preserve">in the Kurdistan region of Iraq, </w:t>
      </w:r>
      <w:r w:rsidR="00A222DF" w:rsidRPr="00405AAD">
        <w:t>UNAMI is working with the Directorate f</w:t>
      </w:r>
      <w:r w:rsidR="00160977" w:rsidRPr="00405AAD">
        <w:t>or Combating Violence against W</w:t>
      </w:r>
      <w:r w:rsidR="00A222DF" w:rsidRPr="00405AAD">
        <w:t xml:space="preserve">omen to </w:t>
      </w:r>
      <w:r w:rsidR="00F411FC" w:rsidRPr="00405AAD">
        <w:t>promote</w:t>
      </w:r>
      <w:r w:rsidR="00A222DF" w:rsidRPr="00405AAD">
        <w:t xml:space="preserve"> respect for key human rights standards </w:t>
      </w:r>
      <w:r w:rsidR="008F2B45" w:rsidRPr="00405AAD">
        <w:t xml:space="preserve">and </w:t>
      </w:r>
      <w:r w:rsidR="00E1789D" w:rsidRPr="00405AAD">
        <w:t xml:space="preserve">to </w:t>
      </w:r>
      <w:r w:rsidR="008F2B45" w:rsidRPr="00405AAD">
        <w:t>raise awareness</w:t>
      </w:r>
      <w:r w:rsidR="00160977" w:rsidRPr="00405AAD">
        <w:t xml:space="preserve"> about violations against women</w:t>
      </w:r>
      <w:r w:rsidR="008F2B45" w:rsidRPr="00405AAD">
        <w:t>.</w:t>
      </w:r>
    </w:p>
    <w:p w:rsidR="005B59A6" w:rsidRPr="00405AAD" w:rsidRDefault="00D76194" w:rsidP="00115BF9">
      <w:pPr>
        <w:pStyle w:val="SingleTxtG"/>
        <w:spacing w:line="240" w:lineRule="exact"/>
        <w:rPr>
          <w:color w:val="000000"/>
        </w:rPr>
      </w:pPr>
      <w:r w:rsidRPr="00405AAD">
        <w:rPr>
          <w:color w:val="000000"/>
        </w:rPr>
        <w:t>34.</w:t>
      </w:r>
      <w:r w:rsidRPr="00405AAD">
        <w:rPr>
          <w:color w:val="000000"/>
        </w:rPr>
        <w:tab/>
      </w:r>
      <w:r w:rsidR="002613AA" w:rsidRPr="00405AAD">
        <w:t>In mid-May</w:t>
      </w:r>
      <w:r w:rsidR="00E1789D" w:rsidRPr="00405AAD">
        <w:t>,</w:t>
      </w:r>
      <w:r w:rsidR="002613AA" w:rsidRPr="00405AAD">
        <w:t xml:space="preserve"> </w:t>
      </w:r>
      <w:r w:rsidR="00160977" w:rsidRPr="00405AAD">
        <w:t>UNAMI</w:t>
      </w:r>
      <w:r w:rsidR="00194036" w:rsidRPr="00405AAD">
        <w:t>/OHCHR</w:t>
      </w:r>
      <w:r w:rsidR="00160977" w:rsidRPr="00405AAD">
        <w:t xml:space="preserve"> met with a member of the Board of Commissioners </w:t>
      </w:r>
      <w:r w:rsidR="00E1789D" w:rsidRPr="00405AAD">
        <w:t xml:space="preserve">of </w:t>
      </w:r>
      <w:r w:rsidR="00160977" w:rsidRPr="00405AAD">
        <w:t xml:space="preserve">the Iraq High Commission for Human Rights to discuss concerns regarding </w:t>
      </w:r>
      <w:r w:rsidR="00765CA2">
        <w:t xml:space="preserve">allegations of </w:t>
      </w:r>
      <w:r w:rsidR="00160977" w:rsidRPr="00405AAD">
        <w:t xml:space="preserve">violations and abuse of </w:t>
      </w:r>
      <w:r w:rsidR="00E1789D" w:rsidRPr="00405AAD">
        <w:t>internally displaced persons</w:t>
      </w:r>
      <w:r w:rsidR="00160977" w:rsidRPr="00405AAD">
        <w:t xml:space="preserve"> perpetrated by security forces, including alleged sexual violence. </w:t>
      </w:r>
      <w:r w:rsidR="00E1789D" w:rsidRPr="00405AAD">
        <w:t xml:space="preserve">On 2 June, </w:t>
      </w:r>
      <w:r w:rsidR="00556673" w:rsidRPr="00405AAD">
        <w:t>UNAMI</w:t>
      </w:r>
      <w:r w:rsidR="002613AA" w:rsidRPr="00405AAD">
        <w:t>/OHCHR</w:t>
      </w:r>
      <w:r w:rsidR="00556673" w:rsidRPr="00405AAD">
        <w:t xml:space="preserve"> </w:t>
      </w:r>
      <w:r w:rsidR="00160977" w:rsidRPr="00405AAD">
        <w:t xml:space="preserve">also </w:t>
      </w:r>
      <w:r w:rsidR="00556673" w:rsidRPr="00405AAD">
        <w:t xml:space="preserve">met with the </w:t>
      </w:r>
      <w:r w:rsidR="00901263" w:rsidRPr="00405AAD">
        <w:t>Chairperson of the Committee on Women of the Basra Provincial Council</w:t>
      </w:r>
      <w:r w:rsidR="00556673" w:rsidRPr="00405AAD">
        <w:t xml:space="preserve"> </w:t>
      </w:r>
      <w:r w:rsidR="00590143" w:rsidRPr="00405AAD">
        <w:t xml:space="preserve">to discuss </w:t>
      </w:r>
      <w:r w:rsidR="00901263" w:rsidRPr="00405AAD">
        <w:t>t</w:t>
      </w:r>
      <w:r w:rsidR="001C6CA9" w:rsidRPr="00405AAD">
        <w:t xml:space="preserve">he protection </w:t>
      </w:r>
      <w:r w:rsidR="00CD6870" w:rsidRPr="00405AAD">
        <w:t>of civilians</w:t>
      </w:r>
      <w:r w:rsidR="001C6CA9" w:rsidRPr="00405AAD">
        <w:t xml:space="preserve"> and the v</w:t>
      </w:r>
      <w:r w:rsidR="00901263" w:rsidRPr="00405AAD">
        <w:t>ulnerability of women and</w:t>
      </w:r>
      <w:r w:rsidR="00283A66" w:rsidRPr="00405AAD">
        <w:t xml:space="preserve"> girls during</w:t>
      </w:r>
      <w:r w:rsidR="001C6CA9" w:rsidRPr="00405AAD">
        <w:t xml:space="preserve"> armed conflict.</w:t>
      </w:r>
      <w:r w:rsidR="00901263" w:rsidRPr="00405AAD">
        <w:t xml:space="preserve"> </w:t>
      </w:r>
      <w:r w:rsidR="00E1789D" w:rsidRPr="00405AAD">
        <w:t>It</w:t>
      </w:r>
      <w:r w:rsidR="001C6CA9" w:rsidRPr="00405AAD">
        <w:t xml:space="preserve"> provided technical advice on the</w:t>
      </w:r>
      <w:r w:rsidR="00160977" w:rsidRPr="00405AAD">
        <w:t xml:space="preserve"> responsibility of </w:t>
      </w:r>
      <w:r w:rsidR="006E29D2" w:rsidRPr="00405AAD">
        <w:t xml:space="preserve">State </w:t>
      </w:r>
      <w:r w:rsidR="00160977" w:rsidRPr="00405AAD">
        <w:t>actors</w:t>
      </w:r>
      <w:r w:rsidR="001C6CA9" w:rsidRPr="00405AAD">
        <w:t xml:space="preserve"> and actions to be taken to ensure the protection of women and girls. </w:t>
      </w:r>
    </w:p>
    <w:p w:rsidR="001C6CA9" w:rsidRPr="00405AAD" w:rsidRDefault="00D76194" w:rsidP="00115BF9">
      <w:pPr>
        <w:pStyle w:val="SingleTxtG"/>
        <w:spacing w:line="240" w:lineRule="exact"/>
      </w:pPr>
      <w:r w:rsidRPr="00405AAD">
        <w:t>35.</w:t>
      </w:r>
      <w:r w:rsidRPr="00405AAD">
        <w:tab/>
      </w:r>
      <w:r w:rsidR="005B59A6" w:rsidRPr="00405AAD">
        <w:t xml:space="preserve">UNAMI/OHCHR </w:t>
      </w:r>
      <w:r w:rsidR="0064515B" w:rsidRPr="00405AAD">
        <w:t>will also seek</w:t>
      </w:r>
      <w:r w:rsidR="00F83E45" w:rsidRPr="00405AAD">
        <w:t xml:space="preserve"> to implement, inter alia</w:t>
      </w:r>
      <w:r w:rsidR="00F83E45" w:rsidRPr="00405AAD">
        <w:rPr>
          <w:i/>
        </w:rPr>
        <w:t xml:space="preserve">, </w:t>
      </w:r>
      <w:r w:rsidR="005B59A6" w:rsidRPr="00D324D7">
        <w:t xml:space="preserve">a number of projects </w:t>
      </w:r>
      <w:r w:rsidR="00F210DB" w:rsidRPr="00405AAD">
        <w:t>to strength</w:t>
      </w:r>
      <w:r w:rsidR="005614DF" w:rsidRPr="00405AAD">
        <w:t>en</w:t>
      </w:r>
      <w:r w:rsidR="00F210DB" w:rsidRPr="00405AAD">
        <w:t xml:space="preserve"> the Iraqi legal system and </w:t>
      </w:r>
      <w:r w:rsidR="00590143" w:rsidRPr="00405AAD">
        <w:t xml:space="preserve">institutions, in particular </w:t>
      </w:r>
      <w:r w:rsidR="00F210DB" w:rsidRPr="00405AAD">
        <w:t xml:space="preserve">to address </w:t>
      </w:r>
      <w:r w:rsidR="003A704E" w:rsidRPr="00405AAD">
        <w:t>sexual and gender</w:t>
      </w:r>
      <w:r w:rsidR="006B0D22" w:rsidRPr="00405AAD">
        <w:t>-</w:t>
      </w:r>
      <w:r w:rsidR="003A704E" w:rsidRPr="00405AAD">
        <w:t xml:space="preserve">based violence </w:t>
      </w:r>
      <w:r w:rsidR="00F210DB" w:rsidRPr="00405AAD">
        <w:t xml:space="preserve">and </w:t>
      </w:r>
      <w:r w:rsidR="00590143" w:rsidRPr="00405AAD">
        <w:t xml:space="preserve">to promote </w:t>
      </w:r>
      <w:r w:rsidR="00F210DB" w:rsidRPr="00405AAD">
        <w:t>gender equality in compliance with</w:t>
      </w:r>
      <w:r w:rsidR="003A704E" w:rsidRPr="00405AAD">
        <w:t xml:space="preserve"> international human rights law</w:t>
      </w:r>
      <w:r w:rsidR="00F210DB" w:rsidRPr="00405AAD">
        <w:t>; to further increase participation of human rights defenders and journalists, including women</w:t>
      </w:r>
      <w:r w:rsidR="00995783" w:rsidRPr="00405AAD">
        <w:t>,</w:t>
      </w:r>
      <w:r w:rsidR="00F210DB" w:rsidRPr="00405AAD">
        <w:t xml:space="preserve"> in public life at the international, national and local level</w:t>
      </w:r>
      <w:r w:rsidR="00995783" w:rsidRPr="00405AAD">
        <w:t>s</w:t>
      </w:r>
      <w:r w:rsidR="003A704E" w:rsidRPr="00405AAD">
        <w:t xml:space="preserve">; and to </w:t>
      </w:r>
      <w:r w:rsidR="00EA5488" w:rsidRPr="00405AAD">
        <w:t>increase</w:t>
      </w:r>
      <w:r w:rsidR="00F210DB" w:rsidRPr="00405AAD">
        <w:t xml:space="preserve"> access to psychosocial support for victims of torture and </w:t>
      </w:r>
      <w:r w:rsidR="00995783" w:rsidRPr="00405AAD">
        <w:t>sexual and gender-based violence</w:t>
      </w:r>
      <w:r w:rsidR="00F210DB" w:rsidRPr="00405AAD">
        <w:t>.</w:t>
      </w:r>
    </w:p>
    <w:p w:rsidR="008237CC" w:rsidRPr="00405AAD" w:rsidRDefault="008237CC" w:rsidP="00893F80">
      <w:pPr>
        <w:pStyle w:val="H23G"/>
        <w:spacing w:line="360" w:lineRule="auto"/>
      </w:pPr>
      <w:r w:rsidRPr="00405AAD">
        <w:tab/>
        <w:t>2.</w:t>
      </w:r>
      <w:r w:rsidRPr="00405AAD">
        <w:tab/>
        <w:t>Children</w:t>
      </w:r>
    </w:p>
    <w:p w:rsidR="005E2847" w:rsidRPr="00405AAD" w:rsidRDefault="00D76194" w:rsidP="00115BF9">
      <w:pPr>
        <w:pStyle w:val="SingleTxtG"/>
      </w:pPr>
      <w:r w:rsidRPr="00405AAD">
        <w:t>36.</w:t>
      </w:r>
      <w:r w:rsidRPr="00405AAD">
        <w:tab/>
      </w:r>
      <w:r w:rsidR="00382EFD" w:rsidRPr="00405AAD">
        <w:t>Children have been the victims of violence</w:t>
      </w:r>
      <w:r w:rsidR="0019461C" w:rsidRPr="00405AAD">
        <w:t xml:space="preserve"> associated with the hostilities</w:t>
      </w:r>
      <w:r w:rsidR="00382EFD" w:rsidRPr="00405AAD">
        <w:t xml:space="preserve"> and been severely affected by </w:t>
      </w:r>
      <w:r w:rsidR="00CA1EA1" w:rsidRPr="00405AAD">
        <w:t xml:space="preserve">the </w:t>
      </w:r>
      <w:r w:rsidR="00382EFD" w:rsidRPr="00405AAD">
        <w:t xml:space="preserve">denial of access to humanitarian assistance and the </w:t>
      </w:r>
      <w:r w:rsidR="0059707C" w:rsidRPr="00405AAD">
        <w:t>disruption</w:t>
      </w:r>
      <w:r w:rsidR="00382EFD" w:rsidRPr="00405AAD">
        <w:t xml:space="preserve"> </w:t>
      </w:r>
      <w:r w:rsidR="00283A66" w:rsidRPr="00405AAD">
        <w:t xml:space="preserve">to </w:t>
      </w:r>
      <w:r w:rsidR="00382EFD" w:rsidRPr="00405AAD">
        <w:t>education caused by the ongoing conflict.</w:t>
      </w:r>
      <w:r w:rsidR="004169D4" w:rsidRPr="00405AAD">
        <w:t xml:space="preserve"> UNAMI/OHCHR </w:t>
      </w:r>
      <w:r w:rsidR="00887BBB" w:rsidRPr="00405AAD">
        <w:t xml:space="preserve">also </w:t>
      </w:r>
      <w:r w:rsidR="002A0D82" w:rsidRPr="00405AAD">
        <w:t xml:space="preserve">continued </w:t>
      </w:r>
      <w:r w:rsidR="004169D4" w:rsidRPr="00405AAD">
        <w:t>to receive reports of forced recruitment and use of children in hostilities by ISIL.</w:t>
      </w:r>
    </w:p>
    <w:p w:rsidR="0059707C" w:rsidRPr="00405AAD" w:rsidRDefault="00D76194" w:rsidP="00115BF9">
      <w:pPr>
        <w:pStyle w:val="SingleTxtG"/>
      </w:pPr>
      <w:r w:rsidRPr="00405AAD">
        <w:t>37.</w:t>
      </w:r>
      <w:r w:rsidRPr="00405AAD">
        <w:tab/>
      </w:r>
      <w:r w:rsidR="00CA1EA1" w:rsidRPr="00405AAD">
        <w:t xml:space="preserve">The </w:t>
      </w:r>
      <w:r w:rsidR="00CB6776" w:rsidRPr="00405AAD">
        <w:t xml:space="preserve">ISIL recruiting campaign </w:t>
      </w:r>
      <w:r w:rsidR="002A0D82" w:rsidRPr="00405AAD">
        <w:t>continued</w:t>
      </w:r>
      <w:r w:rsidR="00CB6776" w:rsidRPr="00405AAD">
        <w:t xml:space="preserve">, with reports in mid-May that ISIL fighters were visiting high schools in Mosul and demanding that students </w:t>
      </w:r>
      <w:r w:rsidR="003B335A" w:rsidRPr="00405AAD">
        <w:t xml:space="preserve">as young as 14 </w:t>
      </w:r>
      <w:r w:rsidR="00CB6776" w:rsidRPr="00405AAD">
        <w:t xml:space="preserve">pledge </w:t>
      </w:r>
      <w:r w:rsidR="00631FEB" w:rsidRPr="00405AAD">
        <w:t xml:space="preserve">allegiance to </w:t>
      </w:r>
      <w:r w:rsidR="002A0D82" w:rsidRPr="00405AAD">
        <w:t xml:space="preserve">the group </w:t>
      </w:r>
      <w:r w:rsidR="00631FEB" w:rsidRPr="00405AAD">
        <w:t xml:space="preserve">and </w:t>
      </w:r>
      <w:r w:rsidR="00CA1EA1" w:rsidRPr="00405AAD">
        <w:t xml:space="preserve">to </w:t>
      </w:r>
      <w:r w:rsidR="00631FEB" w:rsidRPr="00405AAD">
        <w:t>fight</w:t>
      </w:r>
      <w:r w:rsidR="002A0D82" w:rsidRPr="00405AAD">
        <w:t xml:space="preserve"> </w:t>
      </w:r>
      <w:r w:rsidR="00CA1EA1" w:rsidRPr="00405AAD">
        <w:t>in</w:t>
      </w:r>
      <w:r w:rsidR="002A0D82" w:rsidRPr="00405AAD">
        <w:t xml:space="preserve"> its forces</w:t>
      </w:r>
      <w:r w:rsidR="00CB6776" w:rsidRPr="00405AAD">
        <w:t>.</w:t>
      </w:r>
      <w:r w:rsidR="00EE5C71" w:rsidRPr="00405AAD">
        <w:t xml:space="preserve"> ISIL </w:t>
      </w:r>
      <w:r w:rsidR="00CA1EA1" w:rsidRPr="00405AAD">
        <w:t xml:space="preserve">subsequently </w:t>
      </w:r>
      <w:r w:rsidR="00EE5C71" w:rsidRPr="00405AAD">
        <w:t xml:space="preserve">announced at schools and universities that all male students must join ISIL after </w:t>
      </w:r>
      <w:r w:rsidR="00887BBB" w:rsidRPr="00405AAD">
        <w:t xml:space="preserve">completing </w:t>
      </w:r>
      <w:r w:rsidR="00EE5C71" w:rsidRPr="00405AAD">
        <w:t>their exams.</w:t>
      </w:r>
      <w:r w:rsidR="00797142" w:rsidRPr="00405AAD">
        <w:t xml:space="preserve"> ISIL posted videos </w:t>
      </w:r>
      <w:r w:rsidR="00CA1EA1" w:rsidRPr="00405AAD">
        <w:t xml:space="preserve">on the Internet </w:t>
      </w:r>
      <w:r w:rsidR="00797142" w:rsidRPr="00405AAD">
        <w:t xml:space="preserve">purporting to show children being </w:t>
      </w:r>
      <w:r w:rsidR="002A0D82" w:rsidRPr="00405AAD">
        <w:t xml:space="preserve">taught </w:t>
      </w:r>
      <w:r w:rsidR="00797142" w:rsidRPr="00405AAD">
        <w:t xml:space="preserve">its ideology and </w:t>
      </w:r>
      <w:r w:rsidR="00905B2F" w:rsidRPr="00405AAD">
        <w:t>trained to become</w:t>
      </w:r>
      <w:r w:rsidR="00797142" w:rsidRPr="00405AAD">
        <w:t xml:space="preserve"> fighters. </w:t>
      </w:r>
      <w:r w:rsidR="00CA1EA1" w:rsidRPr="00405AAD">
        <w:t>The c</w:t>
      </w:r>
      <w:r w:rsidR="00797142" w:rsidRPr="00405AAD">
        <w:t>hildren in the vide</w:t>
      </w:r>
      <w:r w:rsidR="00722D00" w:rsidRPr="00405AAD">
        <w:t>o</w:t>
      </w:r>
      <w:r w:rsidR="00797142" w:rsidRPr="00405AAD">
        <w:t>s appeared to be as young as 12.</w:t>
      </w:r>
      <w:r w:rsidR="00F3468D" w:rsidRPr="00405AAD">
        <w:t xml:space="preserve"> </w:t>
      </w:r>
      <w:r w:rsidR="00722D00" w:rsidRPr="00405AAD">
        <w:t xml:space="preserve">Another video appeared to show captured </w:t>
      </w:r>
      <w:proofErr w:type="spellStart"/>
      <w:r w:rsidR="00722D00" w:rsidRPr="00405AAD">
        <w:t>Yezidi</w:t>
      </w:r>
      <w:proofErr w:type="spellEnd"/>
      <w:r w:rsidR="00722D00" w:rsidRPr="00405AAD">
        <w:t xml:space="preserve"> children as young as seven being indoctrinated. UNAMI/OHCHR received reports that ISIL has used children as fighters in areas of </w:t>
      </w:r>
      <w:proofErr w:type="spellStart"/>
      <w:r w:rsidR="00722D00" w:rsidRPr="00405AAD">
        <w:t>Sinjar</w:t>
      </w:r>
      <w:proofErr w:type="spellEnd"/>
      <w:r w:rsidR="00722D00" w:rsidRPr="00405AAD">
        <w:t xml:space="preserve"> and </w:t>
      </w:r>
      <w:proofErr w:type="spellStart"/>
      <w:r w:rsidR="00722D00" w:rsidRPr="00405AAD">
        <w:t>Zummar</w:t>
      </w:r>
      <w:proofErr w:type="spellEnd"/>
      <w:r w:rsidR="00722D00" w:rsidRPr="00405AAD">
        <w:t xml:space="preserve"> in </w:t>
      </w:r>
      <w:proofErr w:type="spellStart"/>
      <w:r w:rsidR="00722D00" w:rsidRPr="00405AAD">
        <w:t>Ninewa</w:t>
      </w:r>
      <w:proofErr w:type="spellEnd"/>
      <w:r w:rsidR="00722D00" w:rsidRPr="00405AAD">
        <w:t xml:space="preserve"> Governorate</w:t>
      </w:r>
      <w:r w:rsidR="00887BBB" w:rsidRPr="00405AAD">
        <w:t>.</w:t>
      </w:r>
    </w:p>
    <w:p w:rsidR="00444A12" w:rsidRPr="00405AAD" w:rsidRDefault="00D76194" w:rsidP="00115BF9">
      <w:pPr>
        <w:pStyle w:val="SingleTxtG"/>
      </w:pPr>
      <w:r w:rsidRPr="00405AAD">
        <w:t>38.</w:t>
      </w:r>
      <w:r w:rsidRPr="00405AAD">
        <w:tab/>
      </w:r>
      <w:r w:rsidR="00382EFD" w:rsidRPr="00405AAD">
        <w:t>UNAMI/OHCHR works with the United Nations Children’s Fun</w:t>
      </w:r>
      <w:r w:rsidR="005E2847" w:rsidRPr="00405AAD">
        <w:t>d</w:t>
      </w:r>
      <w:r w:rsidR="00382EFD" w:rsidRPr="00405AAD">
        <w:t xml:space="preserve"> to monitor and report on viola</w:t>
      </w:r>
      <w:r w:rsidR="00283A66" w:rsidRPr="00405AAD">
        <w:t>tions of the rights of children,</w:t>
      </w:r>
      <w:r w:rsidR="00382EFD" w:rsidRPr="00405AAD">
        <w:t xml:space="preserve"> </w:t>
      </w:r>
      <w:r w:rsidR="00444A12" w:rsidRPr="00405AAD">
        <w:t>contribut</w:t>
      </w:r>
      <w:r w:rsidR="00FF549F" w:rsidRPr="00405AAD">
        <w:t>ing</w:t>
      </w:r>
      <w:r w:rsidR="00444A12" w:rsidRPr="00405AAD">
        <w:t xml:space="preserve"> to the annual report of the Secretary-General on </w:t>
      </w:r>
      <w:r w:rsidR="00663553" w:rsidRPr="00405AAD">
        <w:t>c</w:t>
      </w:r>
      <w:r w:rsidR="00444A12" w:rsidRPr="00405AAD">
        <w:t xml:space="preserve">hildren and </w:t>
      </w:r>
      <w:r w:rsidR="00663553" w:rsidRPr="00405AAD">
        <w:t>a</w:t>
      </w:r>
      <w:r w:rsidR="00444A12" w:rsidRPr="00405AAD">
        <w:t xml:space="preserve">rmed </w:t>
      </w:r>
      <w:r w:rsidR="00663553" w:rsidRPr="00405AAD">
        <w:t>c</w:t>
      </w:r>
      <w:r w:rsidR="00283A66" w:rsidRPr="00405AAD">
        <w:t>onflict</w:t>
      </w:r>
      <w:r w:rsidR="00CA1EA1" w:rsidRPr="00405AAD">
        <w:t>,</w:t>
      </w:r>
      <w:r w:rsidR="00444A12" w:rsidRPr="00405AAD">
        <w:t xml:space="preserve"> and report</w:t>
      </w:r>
      <w:r w:rsidR="00FF549F" w:rsidRPr="00405AAD">
        <w:t>ing</w:t>
      </w:r>
      <w:r w:rsidR="00444A12" w:rsidRPr="00405AAD">
        <w:t xml:space="preserve"> </w:t>
      </w:r>
      <w:r w:rsidR="002A0D82" w:rsidRPr="00405AAD">
        <w:t xml:space="preserve">on </w:t>
      </w:r>
      <w:r w:rsidR="00444A12" w:rsidRPr="00405AAD">
        <w:t xml:space="preserve">relevant violations to the Security Council by way of </w:t>
      </w:r>
      <w:r w:rsidR="00CA1EA1" w:rsidRPr="00405AAD">
        <w:t>a g</w:t>
      </w:r>
      <w:r w:rsidR="00CB4899" w:rsidRPr="00405AAD">
        <w:t xml:space="preserve">lobal </w:t>
      </w:r>
      <w:r w:rsidR="00CA1EA1" w:rsidRPr="00405AAD">
        <w:t>h</w:t>
      </w:r>
      <w:r w:rsidR="00CB4899" w:rsidRPr="00405AAD">
        <w:t xml:space="preserve">orizontal </w:t>
      </w:r>
      <w:r w:rsidR="00CA1EA1" w:rsidRPr="00405AAD">
        <w:t>n</w:t>
      </w:r>
      <w:r w:rsidR="00CB4899" w:rsidRPr="00405AAD">
        <w:t xml:space="preserve">ote </w:t>
      </w:r>
      <w:r w:rsidR="00444A12" w:rsidRPr="00405AAD">
        <w:t>coordinated by the Special Representative of the Secretary-General for Children and Armed Conflict.</w:t>
      </w:r>
    </w:p>
    <w:p w:rsidR="008237CC" w:rsidRPr="00405AAD" w:rsidRDefault="008237CC" w:rsidP="00893F80">
      <w:pPr>
        <w:pStyle w:val="H23G"/>
        <w:spacing w:line="360" w:lineRule="auto"/>
      </w:pPr>
      <w:r w:rsidRPr="00405AAD">
        <w:tab/>
        <w:t>3.</w:t>
      </w:r>
      <w:r w:rsidRPr="00405AAD">
        <w:tab/>
        <w:t>Internally displaced persons</w:t>
      </w:r>
    </w:p>
    <w:p w:rsidR="00287DE4" w:rsidRPr="00405AAD" w:rsidRDefault="00D76194" w:rsidP="00115BF9">
      <w:pPr>
        <w:pStyle w:val="SingleTxtG"/>
      </w:pPr>
      <w:r w:rsidRPr="00405AAD">
        <w:t>39.</w:t>
      </w:r>
      <w:r w:rsidRPr="00405AAD">
        <w:tab/>
      </w:r>
      <w:r w:rsidR="007334B3" w:rsidRPr="00405AAD">
        <w:t xml:space="preserve">The non-international armed conflict in Iraq resulted in </w:t>
      </w:r>
      <w:r w:rsidR="00657D51" w:rsidRPr="00405AAD">
        <w:t xml:space="preserve">the internal </w:t>
      </w:r>
      <w:r w:rsidR="007334B3" w:rsidRPr="00405AAD">
        <w:t xml:space="preserve">displacement of </w:t>
      </w:r>
      <w:r w:rsidR="00657D51" w:rsidRPr="00405AAD">
        <w:t xml:space="preserve">3,035,592 </w:t>
      </w:r>
      <w:r w:rsidR="007334B3" w:rsidRPr="00405AAD">
        <w:t>civilians</w:t>
      </w:r>
      <w:r w:rsidR="00657D51" w:rsidRPr="00405AAD">
        <w:t xml:space="preserve"> from</w:t>
      </w:r>
      <w:r w:rsidR="007334B3" w:rsidRPr="00405AAD">
        <w:t xml:space="preserve"> January 2014 </w:t>
      </w:r>
      <w:r w:rsidR="00657D51" w:rsidRPr="00405AAD">
        <w:t xml:space="preserve">to </w:t>
      </w:r>
      <w:r w:rsidR="007334B3" w:rsidRPr="00405AAD">
        <w:t>21 May 2015</w:t>
      </w:r>
      <w:r w:rsidR="00657D51" w:rsidRPr="00405AAD">
        <w:t>.</w:t>
      </w:r>
      <w:r w:rsidR="00E67DE0">
        <w:rPr>
          <w:vertAlign w:val="superscript"/>
        </w:rPr>
        <w:t xml:space="preserve"> </w:t>
      </w:r>
      <w:r w:rsidR="00BC6556" w:rsidRPr="00D324D7">
        <w:t xml:space="preserve">Over </w:t>
      </w:r>
      <w:r w:rsidR="007A050D" w:rsidRPr="00405AAD">
        <w:t>70</w:t>
      </w:r>
      <w:r w:rsidR="00BC6556" w:rsidRPr="00405AAD">
        <w:t xml:space="preserve"> per</w:t>
      </w:r>
      <w:r w:rsidR="00805A94" w:rsidRPr="00405AAD">
        <w:t xml:space="preserve"> </w:t>
      </w:r>
      <w:r w:rsidR="00BC6556" w:rsidRPr="00405AAD">
        <w:t>cent are fro</w:t>
      </w:r>
      <w:r w:rsidR="00EC5EEE" w:rsidRPr="00405AAD">
        <w:t xml:space="preserve">m Anbar and </w:t>
      </w:r>
      <w:proofErr w:type="spellStart"/>
      <w:r w:rsidR="00EC5EEE" w:rsidRPr="00405AAD">
        <w:t>Ninewa</w:t>
      </w:r>
      <w:proofErr w:type="spellEnd"/>
      <w:r w:rsidR="00EC5EEE" w:rsidRPr="00405AAD">
        <w:t xml:space="preserve"> </w:t>
      </w:r>
      <w:r w:rsidR="009A059F">
        <w:t>G</w:t>
      </w:r>
      <w:r w:rsidR="00EC5EEE" w:rsidRPr="00405AAD">
        <w:t xml:space="preserve">overnorates. </w:t>
      </w:r>
      <w:r w:rsidR="00F66792" w:rsidRPr="00405AAD">
        <w:t>As at</w:t>
      </w:r>
      <w:r w:rsidR="00E67DE0">
        <w:t xml:space="preserve"> </w:t>
      </w:r>
      <w:r w:rsidR="00F66792" w:rsidRPr="00D324D7">
        <w:t>21 May, i</w:t>
      </w:r>
      <w:r w:rsidR="00DB325C" w:rsidRPr="00405AAD">
        <w:t xml:space="preserve">mprovements in the security situation in some areas </w:t>
      </w:r>
      <w:r w:rsidR="0016089F" w:rsidRPr="00405AAD">
        <w:t xml:space="preserve">led to the return of 171,204 </w:t>
      </w:r>
      <w:r w:rsidR="00CA1EA1" w:rsidRPr="00405AAD">
        <w:t xml:space="preserve">displaced persons </w:t>
      </w:r>
      <w:r w:rsidR="0016089F" w:rsidRPr="00405AAD">
        <w:t>to their place</w:t>
      </w:r>
      <w:r w:rsidR="002A0D82" w:rsidRPr="00405AAD">
        <w:t>s</w:t>
      </w:r>
      <w:r w:rsidR="0016089F" w:rsidRPr="00405AAD">
        <w:t xml:space="preserve"> of origin.</w:t>
      </w:r>
      <w:r w:rsidR="00F66792" w:rsidRPr="00405AAD">
        <w:rPr>
          <w:sz w:val="18"/>
          <w:szCs w:val="18"/>
          <w:vertAlign w:val="superscript"/>
        </w:rPr>
        <w:footnoteReference w:id="10"/>
      </w:r>
    </w:p>
    <w:p w:rsidR="006C03B3" w:rsidRPr="00405AAD" w:rsidRDefault="00D76194" w:rsidP="00115BF9">
      <w:pPr>
        <w:pStyle w:val="SingleTxtG"/>
      </w:pPr>
      <w:r w:rsidRPr="00D324D7">
        <w:t>40.</w:t>
      </w:r>
      <w:r w:rsidRPr="00D324D7">
        <w:tab/>
      </w:r>
      <w:r w:rsidR="003375F2" w:rsidRPr="00405AAD">
        <w:t>UNAMI/OHCHR</w:t>
      </w:r>
      <w:r w:rsidR="0068412D" w:rsidRPr="00405AAD">
        <w:t xml:space="preserve"> monitors th</w:t>
      </w:r>
      <w:r w:rsidR="006C03B3" w:rsidRPr="00405AAD">
        <w:t xml:space="preserve">e situation of </w:t>
      </w:r>
      <w:r w:rsidR="00F66792" w:rsidRPr="00405AAD">
        <w:t xml:space="preserve">internally displaced persons </w:t>
      </w:r>
      <w:r w:rsidR="006C03B3" w:rsidRPr="00405AAD">
        <w:t xml:space="preserve">across Iraq and </w:t>
      </w:r>
      <w:r w:rsidR="00F66792" w:rsidRPr="00405AAD">
        <w:t xml:space="preserve">– security conditions permitting – </w:t>
      </w:r>
      <w:r w:rsidR="006C03B3" w:rsidRPr="00405AAD">
        <w:t>conducts regular visits to camps and other location</w:t>
      </w:r>
      <w:r w:rsidR="00117F8E" w:rsidRPr="00405AAD">
        <w:t>s</w:t>
      </w:r>
      <w:r w:rsidR="006C03B3" w:rsidRPr="00405AAD">
        <w:t xml:space="preserve"> where </w:t>
      </w:r>
      <w:r w:rsidR="00F66792" w:rsidRPr="00405AAD">
        <w:t xml:space="preserve">displaced persons </w:t>
      </w:r>
      <w:r w:rsidR="006C03B3" w:rsidRPr="00405AAD">
        <w:t>have settle</w:t>
      </w:r>
      <w:r w:rsidR="00117F8E" w:rsidRPr="00405AAD">
        <w:t>d. UNAMI liaises with authorities and organiza</w:t>
      </w:r>
      <w:r w:rsidR="003375F2" w:rsidRPr="00405AAD">
        <w:t xml:space="preserve">tions providing support to </w:t>
      </w:r>
      <w:r w:rsidR="00F66792" w:rsidRPr="00405AAD">
        <w:t xml:space="preserve">displaced persons </w:t>
      </w:r>
      <w:r w:rsidR="003375F2" w:rsidRPr="00405AAD">
        <w:t>and raises issues of concern during mon</w:t>
      </w:r>
      <w:r w:rsidR="00A35724" w:rsidRPr="00405AAD">
        <w:t xml:space="preserve">itoring visits. </w:t>
      </w:r>
      <w:r w:rsidR="00E62290" w:rsidRPr="00405AAD">
        <w:t xml:space="preserve">UNAMI/OHCHR </w:t>
      </w:r>
      <w:r w:rsidR="00F66792" w:rsidRPr="00405AAD">
        <w:t>gave</w:t>
      </w:r>
      <w:r w:rsidR="006C03B3" w:rsidRPr="00405AAD">
        <w:t xml:space="preserve"> capacity</w:t>
      </w:r>
      <w:r w:rsidR="006A38AA" w:rsidRPr="00405AAD">
        <w:t>-</w:t>
      </w:r>
      <w:r w:rsidR="006C03B3" w:rsidRPr="00405AAD">
        <w:t xml:space="preserve">building </w:t>
      </w:r>
      <w:r w:rsidR="006A38AA" w:rsidRPr="00405AAD">
        <w:t xml:space="preserve">assistance </w:t>
      </w:r>
      <w:r w:rsidR="006C03B3" w:rsidRPr="00405AAD">
        <w:t>to staff providi</w:t>
      </w:r>
      <w:r w:rsidR="00154CB2" w:rsidRPr="00405AAD">
        <w:t xml:space="preserve">ng front-line support to </w:t>
      </w:r>
      <w:r w:rsidR="00F66792" w:rsidRPr="00405AAD">
        <w:t>displaced persons</w:t>
      </w:r>
      <w:r w:rsidR="00154CB2" w:rsidRPr="00405AAD">
        <w:t xml:space="preserve">. For instance, </w:t>
      </w:r>
      <w:r w:rsidR="00F66792" w:rsidRPr="00405AAD">
        <w:t xml:space="preserve">in early June, </w:t>
      </w:r>
      <w:r w:rsidR="00E62290" w:rsidRPr="00405AAD">
        <w:t xml:space="preserve">UNAMI/OHCHR </w:t>
      </w:r>
      <w:r w:rsidR="00F66792" w:rsidRPr="00405AAD">
        <w:t>gave</w:t>
      </w:r>
      <w:r w:rsidR="00E62290" w:rsidRPr="00405AAD">
        <w:t xml:space="preserve"> </w:t>
      </w:r>
      <w:r w:rsidR="00154CB2" w:rsidRPr="00405AAD">
        <w:t>t</w:t>
      </w:r>
      <w:r w:rsidR="006C03B3" w:rsidRPr="00405AAD">
        <w:t xml:space="preserve">raining </w:t>
      </w:r>
      <w:r w:rsidR="002A0D82" w:rsidRPr="00405AAD">
        <w:t xml:space="preserve">courses </w:t>
      </w:r>
      <w:r w:rsidR="006C03B3" w:rsidRPr="00405AAD">
        <w:t xml:space="preserve">on international human rights standards, with a particular focus on the rights of </w:t>
      </w:r>
      <w:r w:rsidR="00F66792" w:rsidRPr="00405AAD">
        <w:t>internally displaced persons</w:t>
      </w:r>
      <w:r w:rsidR="006C03B3" w:rsidRPr="00405AAD">
        <w:t>, humanitarian principles, and the protection of civilians in conflict</w:t>
      </w:r>
      <w:r w:rsidR="00A35724" w:rsidRPr="00405AAD">
        <w:t>,</w:t>
      </w:r>
      <w:r w:rsidR="006C03B3" w:rsidRPr="00405AAD">
        <w:t xml:space="preserve"> to 45 staff members </w:t>
      </w:r>
      <w:r w:rsidR="00F66792" w:rsidRPr="00405AAD">
        <w:t>from</w:t>
      </w:r>
      <w:r w:rsidR="00A35724" w:rsidRPr="00405AAD">
        <w:t xml:space="preserve"> four</w:t>
      </w:r>
      <w:r w:rsidR="006C03B3" w:rsidRPr="00405AAD">
        <w:t xml:space="preserve"> </w:t>
      </w:r>
      <w:r w:rsidR="00A35724" w:rsidRPr="00405AAD">
        <w:t xml:space="preserve">camps </w:t>
      </w:r>
      <w:r w:rsidR="00F66792" w:rsidRPr="00405AAD">
        <w:t xml:space="preserve">for displaced persons </w:t>
      </w:r>
      <w:r w:rsidR="00A35724" w:rsidRPr="00405AAD">
        <w:t xml:space="preserve">in </w:t>
      </w:r>
      <w:proofErr w:type="spellStart"/>
      <w:r w:rsidR="00A35724" w:rsidRPr="00405AAD">
        <w:t>Dohu</w:t>
      </w:r>
      <w:r w:rsidR="004169D4" w:rsidRPr="00405AAD">
        <w:t>k</w:t>
      </w:r>
      <w:proofErr w:type="spellEnd"/>
      <w:r w:rsidR="004169D4" w:rsidRPr="00405AAD">
        <w:t xml:space="preserve"> </w:t>
      </w:r>
      <w:r w:rsidR="00120910" w:rsidRPr="00405AAD">
        <w:t>Governorate</w:t>
      </w:r>
      <w:r w:rsidR="00A35724" w:rsidRPr="00405AAD">
        <w:t>.</w:t>
      </w:r>
      <w:r w:rsidR="00E62290" w:rsidRPr="00405AAD">
        <w:t xml:space="preserve"> UNAMI/OHCHR</w:t>
      </w:r>
      <w:r w:rsidR="00120910" w:rsidRPr="00405AAD">
        <w:t>,</w:t>
      </w:r>
      <w:r w:rsidR="00E62290" w:rsidRPr="00405AAD">
        <w:t xml:space="preserve"> </w:t>
      </w:r>
      <w:r w:rsidR="00805A94" w:rsidRPr="00405AAD">
        <w:t xml:space="preserve">as </w:t>
      </w:r>
      <w:r w:rsidR="00E62290" w:rsidRPr="00405AAD">
        <w:t xml:space="preserve">a full member of the United Nations </w:t>
      </w:r>
      <w:r w:rsidR="00F66792" w:rsidRPr="00405AAD">
        <w:t>c</w:t>
      </w:r>
      <w:r w:rsidR="00E62290" w:rsidRPr="00405AAD">
        <w:t xml:space="preserve">ountry </w:t>
      </w:r>
      <w:r w:rsidR="00F66792" w:rsidRPr="00405AAD">
        <w:t>t</w:t>
      </w:r>
      <w:r w:rsidR="00E62290" w:rsidRPr="00405AAD">
        <w:t>eam Protection Cluster</w:t>
      </w:r>
      <w:r w:rsidR="00120910" w:rsidRPr="00405AAD">
        <w:t xml:space="preserve">, also supports work to address the needs of </w:t>
      </w:r>
      <w:r w:rsidR="00F66792" w:rsidRPr="00405AAD">
        <w:t>displaced persons</w:t>
      </w:r>
      <w:r w:rsidR="00E62290" w:rsidRPr="00405AAD">
        <w:t>.</w:t>
      </w:r>
    </w:p>
    <w:p w:rsidR="00154CB2" w:rsidRPr="00405AAD" w:rsidRDefault="00D76194" w:rsidP="00115BF9">
      <w:pPr>
        <w:pStyle w:val="SingleTxtG"/>
      </w:pPr>
      <w:r w:rsidRPr="00405AAD">
        <w:t>41.</w:t>
      </w:r>
      <w:r w:rsidRPr="00405AAD">
        <w:tab/>
      </w:r>
      <w:r w:rsidR="00154CB2" w:rsidRPr="00405AAD">
        <w:t xml:space="preserve">In southern Iraq, </w:t>
      </w:r>
      <w:r w:rsidR="00F66792" w:rsidRPr="00405AAD">
        <w:t>where</w:t>
      </w:r>
      <w:r w:rsidR="00154CB2" w:rsidRPr="00405AAD">
        <w:t xml:space="preserve"> thousands of displaced families </w:t>
      </w:r>
      <w:r w:rsidR="00F66792" w:rsidRPr="00405AAD">
        <w:t xml:space="preserve">have been hosted </w:t>
      </w:r>
      <w:r w:rsidR="00154CB2" w:rsidRPr="00405AAD">
        <w:t>in camps and collective centres since June 2014, UNAMI</w:t>
      </w:r>
      <w:r w:rsidR="007212BC" w:rsidRPr="00405AAD">
        <w:t>/OHCHR</w:t>
      </w:r>
      <w:r w:rsidR="00154CB2" w:rsidRPr="00405AAD">
        <w:t xml:space="preserve"> and </w:t>
      </w:r>
      <w:r w:rsidR="00F66792" w:rsidRPr="00405AAD">
        <w:t xml:space="preserve">United Nations country team </w:t>
      </w:r>
      <w:r w:rsidR="00E62290" w:rsidRPr="00405AAD">
        <w:t xml:space="preserve">staff members </w:t>
      </w:r>
      <w:r w:rsidR="00154CB2" w:rsidRPr="00405AAD">
        <w:t xml:space="preserve">met with </w:t>
      </w:r>
      <w:r w:rsidR="00BF5E7E" w:rsidRPr="00405AAD">
        <w:t>officials from</w:t>
      </w:r>
      <w:r w:rsidR="00154CB2" w:rsidRPr="00405AAD">
        <w:t xml:space="preserve"> the Ministry</w:t>
      </w:r>
      <w:r w:rsidR="0059707C" w:rsidRPr="00405AAD">
        <w:t xml:space="preserve"> of Displacement and Migration </w:t>
      </w:r>
      <w:r w:rsidR="00154CB2" w:rsidRPr="00405AAD">
        <w:t xml:space="preserve">in Basra in mid-June. Methods of improving coordination among </w:t>
      </w:r>
      <w:r w:rsidR="00F66792" w:rsidRPr="00405AAD">
        <w:t xml:space="preserve">country team </w:t>
      </w:r>
      <w:r w:rsidR="00154CB2" w:rsidRPr="00405AAD">
        <w:t>agencies and non-governmental organizations</w:t>
      </w:r>
      <w:r w:rsidR="00F01C1A" w:rsidRPr="00405AAD">
        <w:t xml:space="preserve"> </w:t>
      </w:r>
      <w:r w:rsidR="00154CB2" w:rsidRPr="00405AAD">
        <w:t xml:space="preserve">regarding the protection of civilians </w:t>
      </w:r>
      <w:r w:rsidR="004169D4" w:rsidRPr="00405AAD">
        <w:t>were</w:t>
      </w:r>
      <w:r w:rsidR="00154CB2" w:rsidRPr="00405AAD">
        <w:t xml:space="preserve"> discussed, and UNAMI</w:t>
      </w:r>
      <w:r w:rsidR="007212BC" w:rsidRPr="00405AAD">
        <w:t>/OHCHR</w:t>
      </w:r>
      <w:r w:rsidR="00154CB2" w:rsidRPr="00405AAD">
        <w:t xml:space="preserve"> </w:t>
      </w:r>
      <w:r w:rsidR="00F66792" w:rsidRPr="00405AAD">
        <w:t xml:space="preserve">gave </w:t>
      </w:r>
      <w:r w:rsidR="00154CB2" w:rsidRPr="00405AAD">
        <w:t>a briefing on international humanitarian law</w:t>
      </w:r>
      <w:r w:rsidR="00F66792" w:rsidRPr="00405AAD">
        <w:t>,</w:t>
      </w:r>
      <w:r w:rsidR="00BF5E7E" w:rsidRPr="00405AAD">
        <w:t xml:space="preserve"> including </w:t>
      </w:r>
      <w:r w:rsidR="005C292C" w:rsidRPr="00405AAD">
        <w:t xml:space="preserve">on </w:t>
      </w:r>
      <w:r w:rsidR="00BF5E7E" w:rsidRPr="00405AAD">
        <w:t>international crimes</w:t>
      </w:r>
      <w:r w:rsidR="00154CB2" w:rsidRPr="00405AAD">
        <w:t>.</w:t>
      </w:r>
    </w:p>
    <w:p w:rsidR="00154CB2" w:rsidRPr="00405AAD" w:rsidRDefault="00D76194" w:rsidP="00115BF9">
      <w:pPr>
        <w:pStyle w:val="SingleTxtG"/>
      </w:pPr>
      <w:r w:rsidRPr="00405AAD">
        <w:t>42.</w:t>
      </w:r>
      <w:r w:rsidRPr="00405AAD">
        <w:tab/>
      </w:r>
      <w:r w:rsidR="00A35724" w:rsidRPr="00405AAD">
        <w:t>UNAMI</w:t>
      </w:r>
      <w:r w:rsidR="007611FE" w:rsidRPr="00405AAD">
        <w:t>/OHCHR</w:t>
      </w:r>
      <w:r w:rsidR="00A35724" w:rsidRPr="00405AAD">
        <w:t xml:space="preserve"> has </w:t>
      </w:r>
      <w:r w:rsidR="0068412D" w:rsidRPr="00405AAD">
        <w:t xml:space="preserve">consistently </w:t>
      </w:r>
      <w:r w:rsidR="00865F20" w:rsidRPr="00405AAD">
        <w:t xml:space="preserve">advocated for the full respect of </w:t>
      </w:r>
      <w:r w:rsidR="00BF5E7E" w:rsidRPr="00405AAD">
        <w:t xml:space="preserve">the </w:t>
      </w:r>
      <w:r w:rsidR="00865F20" w:rsidRPr="00405AAD">
        <w:t xml:space="preserve">rights of </w:t>
      </w:r>
      <w:r w:rsidR="00FB2129" w:rsidRPr="00405AAD">
        <w:t>internally displaced persons</w:t>
      </w:r>
      <w:r w:rsidR="00865F20" w:rsidRPr="00405AAD">
        <w:t xml:space="preserve">, particularly their </w:t>
      </w:r>
      <w:r w:rsidR="0068412D" w:rsidRPr="00405AAD">
        <w:t xml:space="preserve">freedom of movement and access to safety and humanitarian assistance. </w:t>
      </w:r>
      <w:r w:rsidR="00A1680F" w:rsidRPr="00405AAD">
        <w:t>UNAMI</w:t>
      </w:r>
      <w:r w:rsidR="007611FE" w:rsidRPr="00405AAD">
        <w:t>/OHCHR</w:t>
      </w:r>
      <w:r w:rsidR="00A1680F" w:rsidRPr="00405AAD">
        <w:t xml:space="preserve"> regularly liaises with local government actors, including mayors and </w:t>
      </w:r>
      <w:r w:rsidR="00FB2129" w:rsidRPr="00405AAD">
        <w:t>g</w:t>
      </w:r>
      <w:r w:rsidR="00A1680F" w:rsidRPr="00405AAD">
        <w:t xml:space="preserve">overnors, concerning the rights of </w:t>
      </w:r>
      <w:r w:rsidR="00FB2129" w:rsidRPr="00405AAD">
        <w:t>displaced persons,</w:t>
      </w:r>
      <w:r w:rsidR="00A1680F" w:rsidRPr="00405AAD">
        <w:t xml:space="preserve"> and advocates for appropriate measure</w:t>
      </w:r>
      <w:r w:rsidR="00DE3C60" w:rsidRPr="00405AAD">
        <w:t>s</w:t>
      </w:r>
      <w:r w:rsidR="00A1680F" w:rsidRPr="00405AAD">
        <w:t xml:space="preserve"> to ensure </w:t>
      </w:r>
      <w:r w:rsidR="00120910" w:rsidRPr="00405AAD">
        <w:t xml:space="preserve">their </w:t>
      </w:r>
      <w:r w:rsidR="00A1680F" w:rsidRPr="00405AAD">
        <w:t xml:space="preserve">freedom of movement and access to safety while </w:t>
      </w:r>
      <w:r w:rsidR="00FB2129" w:rsidRPr="00405AAD">
        <w:t>taking</w:t>
      </w:r>
      <w:r w:rsidR="00A1680F" w:rsidRPr="00405AAD">
        <w:t xml:space="preserve"> security concerns</w:t>
      </w:r>
      <w:r w:rsidR="00FB2129" w:rsidRPr="00405AAD">
        <w:t xml:space="preserve"> into account</w:t>
      </w:r>
      <w:r w:rsidR="00A1680F" w:rsidRPr="00405AAD">
        <w:t xml:space="preserve">. </w:t>
      </w:r>
      <w:r w:rsidR="00A35724" w:rsidRPr="00405AAD">
        <w:t xml:space="preserve">For instance, </w:t>
      </w:r>
      <w:r w:rsidR="007611FE" w:rsidRPr="00405AAD">
        <w:t xml:space="preserve">UNAMI/OHCHR </w:t>
      </w:r>
      <w:r w:rsidR="00A35724" w:rsidRPr="00405AAD">
        <w:t>met with</w:t>
      </w:r>
      <w:r w:rsidR="00674EFF" w:rsidRPr="00405AAD">
        <w:t xml:space="preserve"> a member of the Kirkuk Provincial Council</w:t>
      </w:r>
      <w:r w:rsidR="00EE1913" w:rsidRPr="00405AAD">
        <w:t>, city council members</w:t>
      </w:r>
      <w:r w:rsidR="00674EFF" w:rsidRPr="00405AAD">
        <w:t xml:space="preserve"> and </w:t>
      </w:r>
      <w:r w:rsidR="00A35724" w:rsidRPr="00405AAD">
        <w:t xml:space="preserve">several village </w:t>
      </w:r>
      <w:r w:rsidR="00674EFF" w:rsidRPr="00405AAD">
        <w:t xml:space="preserve">and community </w:t>
      </w:r>
      <w:r w:rsidR="00A35724" w:rsidRPr="00405AAD">
        <w:t>representatives</w:t>
      </w:r>
      <w:r w:rsidR="00674EFF" w:rsidRPr="00405AAD">
        <w:t xml:space="preserve"> in Kirkuk</w:t>
      </w:r>
      <w:r w:rsidR="00A35724" w:rsidRPr="00405AAD">
        <w:t xml:space="preserve"> to discuss authorization proce</w:t>
      </w:r>
      <w:r w:rsidR="00674EFF" w:rsidRPr="00405AAD">
        <w:t>dures for</w:t>
      </w:r>
      <w:r w:rsidR="00A35724" w:rsidRPr="00405AAD">
        <w:t xml:space="preserve"> return</w:t>
      </w:r>
      <w:r w:rsidR="00674EFF" w:rsidRPr="00405AAD">
        <w:t xml:space="preserve"> to liberated areas</w:t>
      </w:r>
      <w:r w:rsidR="00A35724" w:rsidRPr="00405AAD">
        <w:t xml:space="preserve">, </w:t>
      </w:r>
      <w:r w:rsidR="00FB2129" w:rsidRPr="00405AAD">
        <w:t xml:space="preserve">the </w:t>
      </w:r>
      <w:r w:rsidR="00674EFF" w:rsidRPr="00405AAD">
        <w:t xml:space="preserve">security concerns of </w:t>
      </w:r>
      <w:r w:rsidR="00FB2129" w:rsidRPr="00405AAD">
        <w:t>displaced persons</w:t>
      </w:r>
      <w:r w:rsidR="00674EFF" w:rsidRPr="00405AAD">
        <w:t xml:space="preserve">, </w:t>
      </w:r>
      <w:r w:rsidR="00FB2129" w:rsidRPr="00405AAD">
        <w:t xml:space="preserve">the </w:t>
      </w:r>
      <w:r w:rsidR="00A35724" w:rsidRPr="00405AAD">
        <w:t xml:space="preserve">destruction of property, </w:t>
      </w:r>
      <w:r w:rsidR="00FB2129" w:rsidRPr="00405AAD">
        <w:t xml:space="preserve">the </w:t>
      </w:r>
      <w:r w:rsidR="00674EFF" w:rsidRPr="00405AAD">
        <w:t>appropriation of land</w:t>
      </w:r>
      <w:r w:rsidR="00A35724" w:rsidRPr="00405AAD">
        <w:t xml:space="preserve"> and access to humanitarian assistance.</w:t>
      </w:r>
    </w:p>
    <w:p w:rsidR="00154CB2" w:rsidRPr="00405AAD" w:rsidRDefault="00D76194" w:rsidP="00115BF9">
      <w:pPr>
        <w:pStyle w:val="SingleTxtG"/>
      </w:pPr>
      <w:r w:rsidRPr="00405AAD">
        <w:t>43.</w:t>
      </w:r>
      <w:r w:rsidRPr="00405AAD">
        <w:tab/>
      </w:r>
      <w:r w:rsidR="00120910" w:rsidRPr="00405AAD">
        <w:t xml:space="preserve">On 26 May, </w:t>
      </w:r>
      <w:r w:rsidR="00780593" w:rsidRPr="00405AAD">
        <w:t xml:space="preserve">UNAMI/OHCHR </w:t>
      </w:r>
      <w:r w:rsidR="007032D8" w:rsidRPr="00405AAD">
        <w:t xml:space="preserve">met with members of the Iraqi </w:t>
      </w:r>
      <w:r w:rsidR="00FB2129" w:rsidRPr="00405AAD">
        <w:t>p</w:t>
      </w:r>
      <w:r w:rsidR="007032D8" w:rsidRPr="00405AAD">
        <w:t xml:space="preserve">olice in Kirkuk to discuss the situation of </w:t>
      </w:r>
      <w:r w:rsidR="00FB2129" w:rsidRPr="00405AAD">
        <w:t xml:space="preserve">internally displaced persons </w:t>
      </w:r>
      <w:r w:rsidR="007032D8" w:rsidRPr="00405AAD">
        <w:t xml:space="preserve">in </w:t>
      </w:r>
      <w:r w:rsidR="00120910" w:rsidRPr="00405AAD">
        <w:t>the city</w:t>
      </w:r>
      <w:r w:rsidR="007032D8" w:rsidRPr="00405AAD">
        <w:t xml:space="preserve">, including access </w:t>
      </w:r>
      <w:r w:rsidR="007C264D" w:rsidRPr="00405AAD">
        <w:t>through checkpoints and</w:t>
      </w:r>
      <w:r w:rsidR="007032D8" w:rsidRPr="00405AAD">
        <w:t xml:space="preserve"> registration procedures, </w:t>
      </w:r>
      <w:r w:rsidR="00673772" w:rsidRPr="00405AAD">
        <w:t>as well as reports of arrest</w:t>
      </w:r>
      <w:r w:rsidR="00120910" w:rsidRPr="00405AAD">
        <w:t>s</w:t>
      </w:r>
      <w:r w:rsidR="00673772" w:rsidRPr="00405AAD">
        <w:t xml:space="preserve"> of </w:t>
      </w:r>
      <w:r w:rsidR="00FB2129" w:rsidRPr="00405AAD">
        <w:t>displaced persons</w:t>
      </w:r>
      <w:r w:rsidR="00673772" w:rsidRPr="00405AAD">
        <w:t xml:space="preserve"> in certain areas of the city. </w:t>
      </w:r>
      <w:r w:rsidR="00780593" w:rsidRPr="00405AAD">
        <w:t xml:space="preserve">UNAMI/OHCHR </w:t>
      </w:r>
      <w:r w:rsidR="00673772" w:rsidRPr="00405AAD">
        <w:t>raised concerns regarding the voluntar</w:t>
      </w:r>
      <w:r w:rsidR="009E02C6" w:rsidRPr="00405AAD">
        <w:t>y nature</w:t>
      </w:r>
      <w:r w:rsidR="00673772" w:rsidRPr="00405AAD">
        <w:t xml:space="preserve"> and safety of </w:t>
      </w:r>
      <w:r w:rsidR="009E02C6" w:rsidRPr="00405AAD">
        <w:t xml:space="preserve">the </w:t>
      </w:r>
      <w:r w:rsidR="00154CB2" w:rsidRPr="00405AAD">
        <w:t>prospective</w:t>
      </w:r>
      <w:r w:rsidR="00673772" w:rsidRPr="00405AAD">
        <w:t xml:space="preserve"> return </w:t>
      </w:r>
      <w:r w:rsidR="009E02C6" w:rsidRPr="00405AAD">
        <w:t>of di</w:t>
      </w:r>
      <w:r w:rsidR="009A059F">
        <w:t>s</w:t>
      </w:r>
      <w:r w:rsidR="009E02C6" w:rsidRPr="00405AAD">
        <w:t xml:space="preserve">placed persons </w:t>
      </w:r>
      <w:r w:rsidR="00673772" w:rsidRPr="00405AAD">
        <w:t>to areas of origin, as well as protection concerns of women and gi</w:t>
      </w:r>
      <w:r w:rsidR="009F70A0" w:rsidRPr="00405AAD">
        <w:t>rls</w:t>
      </w:r>
      <w:r w:rsidR="009E02C6" w:rsidRPr="00405AAD">
        <w:t>,</w:t>
      </w:r>
      <w:r w:rsidR="009F70A0" w:rsidRPr="00405AAD">
        <w:t xml:space="preserve"> including early marriage</w:t>
      </w:r>
      <w:r w:rsidR="00C01B91" w:rsidRPr="00405AAD">
        <w:t>,</w:t>
      </w:r>
      <w:r w:rsidR="00673772" w:rsidRPr="00405AAD">
        <w:t xml:space="preserve"> inc</w:t>
      </w:r>
      <w:r w:rsidR="009F70A0" w:rsidRPr="00405AAD">
        <w:t>reased prostitution</w:t>
      </w:r>
      <w:r w:rsidR="00154CB2" w:rsidRPr="00405AAD">
        <w:t>,</w:t>
      </w:r>
      <w:r w:rsidR="009F70A0" w:rsidRPr="00405AAD">
        <w:t xml:space="preserve"> and the rising number of street children</w:t>
      </w:r>
      <w:r w:rsidR="009E02C6" w:rsidRPr="00405AAD">
        <w:t>,</w:t>
      </w:r>
      <w:r w:rsidR="009F70A0" w:rsidRPr="00405AAD">
        <w:t xml:space="preserve"> who are particularly vulnerable to sexual exploitation. </w:t>
      </w:r>
      <w:r w:rsidR="00780593" w:rsidRPr="00405AAD">
        <w:t xml:space="preserve">UNAMI/OHCHR </w:t>
      </w:r>
      <w:r w:rsidR="00C01B91" w:rsidRPr="00405AAD">
        <w:t xml:space="preserve">also met with the </w:t>
      </w:r>
      <w:r w:rsidR="0011169F" w:rsidRPr="00405AAD">
        <w:t>Intelligence Police (</w:t>
      </w:r>
      <w:proofErr w:type="spellStart"/>
      <w:r w:rsidR="00C01B91" w:rsidRPr="00405AAD">
        <w:rPr>
          <w:i/>
          <w:iCs/>
        </w:rPr>
        <w:t>Asayish</w:t>
      </w:r>
      <w:proofErr w:type="spellEnd"/>
      <w:r w:rsidR="0011169F" w:rsidRPr="00405AAD">
        <w:t>)</w:t>
      </w:r>
      <w:r w:rsidR="00C01B91" w:rsidRPr="00405AAD">
        <w:t xml:space="preserve"> </w:t>
      </w:r>
      <w:r w:rsidR="009E02C6" w:rsidRPr="00405AAD">
        <w:t xml:space="preserve">of the Kurdistan region of Iraq </w:t>
      </w:r>
      <w:r w:rsidR="00C01B91" w:rsidRPr="00405AAD">
        <w:t xml:space="preserve">in Kirkuk to discuss the security of </w:t>
      </w:r>
      <w:r w:rsidR="009E02C6" w:rsidRPr="00405AAD">
        <w:t xml:space="preserve">displaced persons </w:t>
      </w:r>
      <w:r w:rsidR="00C01B91" w:rsidRPr="00405AAD">
        <w:t>in the city and to raise the issue of alleged forced returns.</w:t>
      </w:r>
    </w:p>
    <w:p w:rsidR="00780593" w:rsidRPr="00405AAD" w:rsidRDefault="00D76194" w:rsidP="00115BF9">
      <w:pPr>
        <w:pStyle w:val="SingleTxtG"/>
      </w:pPr>
      <w:r w:rsidRPr="00405AAD">
        <w:t>44.</w:t>
      </w:r>
      <w:r w:rsidRPr="00405AAD">
        <w:tab/>
      </w:r>
      <w:r w:rsidR="00780593" w:rsidRPr="00405AAD">
        <w:t>UNAMI/OHCHR continuously engages with the Ministry of Human Rights and has developed an agreed timetable for</w:t>
      </w:r>
      <w:r w:rsidR="009E02C6" w:rsidRPr="00405AAD">
        <w:t xml:space="preserve"> the</w:t>
      </w:r>
      <w:r w:rsidR="00780593" w:rsidRPr="00405AAD">
        <w:t xml:space="preserve"> delivery of joint technical assistance</w:t>
      </w:r>
      <w:r w:rsidR="00120910" w:rsidRPr="00405AAD">
        <w:t>, including</w:t>
      </w:r>
      <w:r w:rsidR="00780593" w:rsidRPr="00405AAD">
        <w:t xml:space="preserve"> training</w:t>
      </w:r>
      <w:r w:rsidR="00120910" w:rsidRPr="00405AAD">
        <w:t xml:space="preserve"> course</w:t>
      </w:r>
      <w:r w:rsidR="00780593" w:rsidRPr="00405AAD">
        <w:t xml:space="preserve">s on human rights and humanitarian law. </w:t>
      </w:r>
    </w:p>
    <w:p w:rsidR="006C03B3" w:rsidRPr="00405AAD" w:rsidRDefault="00D76194" w:rsidP="00115BF9">
      <w:pPr>
        <w:pStyle w:val="SingleTxtG"/>
      </w:pPr>
      <w:r w:rsidRPr="00405AAD">
        <w:t>45.</w:t>
      </w:r>
      <w:r w:rsidRPr="00405AAD">
        <w:tab/>
      </w:r>
      <w:r w:rsidR="00120910" w:rsidRPr="00405AAD">
        <w:t xml:space="preserve">In early May, </w:t>
      </w:r>
      <w:r w:rsidR="00780593" w:rsidRPr="00405AAD">
        <w:t xml:space="preserve">UNAMI/OHCHR met with the Minister </w:t>
      </w:r>
      <w:r w:rsidR="009E02C6" w:rsidRPr="00405AAD">
        <w:t xml:space="preserve">for </w:t>
      </w:r>
      <w:r w:rsidR="0011169F" w:rsidRPr="00405AAD">
        <w:t xml:space="preserve">Human Rights </w:t>
      </w:r>
      <w:r w:rsidR="009E02C6" w:rsidRPr="00405AAD">
        <w:t>to discuss</w:t>
      </w:r>
      <w:r w:rsidR="006C03B3" w:rsidRPr="00405AAD">
        <w:t xml:space="preserve"> allegations that </w:t>
      </w:r>
      <w:r w:rsidR="009E02C6" w:rsidRPr="00405AAD">
        <w:t>displaced persons</w:t>
      </w:r>
      <w:r w:rsidR="006C03B3" w:rsidRPr="00405AAD">
        <w:t xml:space="preserve"> from Anbar seeking refuge and protection in Baghdad ha</w:t>
      </w:r>
      <w:r w:rsidR="009E02C6" w:rsidRPr="00405AAD">
        <w:t>d</w:t>
      </w:r>
      <w:r w:rsidR="006C03B3" w:rsidRPr="00405AAD">
        <w:t xml:space="preserve"> been subjected to threats, kidnapping and killings by armed groups. Reports were also received that </w:t>
      </w:r>
      <w:r w:rsidR="009E02C6" w:rsidRPr="00405AAD">
        <w:t xml:space="preserve">displaced persons </w:t>
      </w:r>
      <w:r w:rsidR="006C03B3" w:rsidRPr="00405AAD">
        <w:t xml:space="preserve">had been forcibly evicted from Baghdad and sent back to Anbar. The Government was urged to investigate </w:t>
      </w:r>
      <w:r w:rsidR="009E02C6" w:rsidRPr="00405AAD">
        <w:t xml:space="preserve">these </w:t>
      </w:r>
      <w:r w:rsidR="006C03B3" w:rsidRPr="00405AAD">
        <w:t xml:space="preserve">reports and to respect </w:t>
      </w:r>
      <w:r w:rsidR="009E02C6" w:rsidRPr="00405AAD">
        <w:t xml:space="preserve">fully </w:t>
      </w:r>
      <w:r w:rsidR="006C03B3" w:rsidRPr="00405AAD">
        <w:t xml:space="preserve">the rights of </w:t>
      </w:r>
      <w:r w:rsidR="009E02C6" w:rsidRPr="00405AAD">
        <w:t xml:space="preserve">displaced persons </w:t>
      </w:r>
      <w:r w:rsidR="0011169F" w:rsidRPr="00405AAD">
        <w:t xml:space="preserve">to </w:t>
      </w:r>
      <w:r w:rsidR="009E02C6" w:rsidRPr="00405AAD">
        <w:t xml:space="preserve">have </w:t>
      </w:r>
      <w:r w:rsidR="0011169F" w:rsidRPr="00405AAD">
        <w:t xml:space="preserve">access </w:t>
      </w:r>
      <w:r w:rsidR="009E02C6" w:rsidRPr="00405AAD">
        <w:t xml:space="preserve">to </w:t>
      </w:r>
      <w:r w:rsidR="0011169F" w:rsidRPr="00405AAD">
        <w:t>areas of safety</w:t>
      </w:r>
      <w:r w:rsidR="006C03B3" w:rsidRPr="00405AAD">
        <w:t xml:space="preserve">. </w:t>
      </w:r>
    </w:p>
    <w:p w:rsidR="00A1680F" w:rsidRPr="00405AAD" w:rsidRDefault="00D76194" w:rsidP="00115BF9">
      <w:pPr>
        <w:pStyle w:val="SingleTxtG"/>
      </w:pPr>
      <w:r w:rsidRPr="00405AAD">
        <w:t>46.</w:t>
      </w:r>
      <w:r w:rsidRPr="00405AAD">
        <w:tab/>
      </w:r>
      <w:r w:rsidR="00DE3C60" w:rsidRPr="00405AAD">
        <w:t>UNAMI monitor</w:t>
      </w:r>
      <w:r w:rsidR="00710CF8" w:rsidRPr="00405AAD">
        <w:t>ed</w:t>
      </w:r>
      <w:r w:rsidR="00DE3C60" w:rsidRPr="00405AAD">
        <w:t xml:space="preserve"> cases of arrest and detention of </w:t>
      </w:r>
      <w:r w:rsidR="00710CF8" w:rsidRPr="00405AAD">
        <w:t>internally displaced persons attempting</w:t>
      </w:r>
      <w:r w:rsidR="00DE3C60" w:rsidRPr="00405AAD">
        <w:t xml:space="preserve"> to reach areas of safety</w:t>
      </w:r>
      <w:r w:rsidR="00536AF5" w:rsidRPr="00405AAD">
        <w:t xml:space="preserve">. </w:t>
      </w:r>
      <w:r w:rsidR="00F25238" w:rsidRPr="00405AAD">
        <w:t>Reports indicate</w:t>
      </w:r>
      <w:r w:rsidR="00710CF8" w:rsidRPr="00405AAD">
        <w:t>d</w:t>
      </w:r>
      <w:r w:rsidR="00F25238" w:rsidRPr="00405AAD">
        <w:t xml:space="preserve"> that many</w:t>
      </w:r>
      <w:r w:rsidR="00710CF8" w:rsidRPr="00405AAD">
        <w:t>,</w:t>
      </w:r>
      <w:r w:rsidR="00F25238" w:rsidRPr="00405AAD">
        <w:t xml:space="preserve"> if not most</w:t>
      </w:r>
      <w:r w:rsidR="00710CF8" w:rsidRPr="00405AAD">
        <w:t>,</w:t>
      </w:r>
      <w:r w:rsidR="00F25238" w:rsidRPr="00405AAD">
        <w:t xml:space="preserve"> of these detainees ha</w:t>
      </w:r>
      <w:r w:rsidR="00710CF8" w:rsidRPr="00405AAD">
        <w:t>d</w:t>
      </w:r>
      <w:r w:rsidR="00F25238" w:rsidRPr="00405AAD">
        <w:t xml:space="preserve"> been held </w:t>
      </w:r>
      <w:r w:rsidR="00120910" w:rsidRPr="00405AAD">
        <w:t xml:space="preserve">by authorities </w:t>
      </w:r>
      <w:r w:rsidR="00F25238" w:rsidRPr="00405AAD">
        <w:t xml:space="preserve">without charge for long periods </w:t>
      </w:r>
      <w:r w:rsidR="00A36642" w:rsidRPr="00405AAD">
        <w:t>without</w:t>
      </w:r>
      <w:r w:rsidR="00F25238" w:rsidRPr="00405AAD">
        <w:t xml:space="preserve"> access to judicial review or legal representation, and their families ha</w:t>
      </w:r>
      <w:r w:rsidR="00710CF8" w:rsidRPr="00405AAD">
        <w:t>d</w:t>
      </w:r>
      <w:r w:rsidR="00F25238" w:rsidRPr="00405AAD">
        <w:t xml:space="preserve"> not been informed of their whereabouts. </w:t>
      </w:r>
      <w:r w:rsidR="00536AF5" w:rsidRPr="00405AAD">
        <w:t xml:space="preserve">UNAMI regularly monitors detention facilities to follow up on such cases and </w:t>
      </w:r>
      <w:r w:rsidR="00F25238" w:rsidRPr="00405AAD">
        <w:t xml:space="preserve">has advocated with </w:t>
      </w:r>
      <w:r w:rsidR="007C264D" w:rsidRPr="00405AAD">
        <w:t>security forces and G</w:t>
      </w:r>
      <w:r w:rsidR="00DE3C60" w:rsidRPr="00405AAD">
        <w:t>overnment authorities to ensure that international due process standards are respected.</w:t>
      </w:r>
      <w:r w:rsidR="00F3468D" w:rsidRPr="00405AAD">
        <w:t xml:space="preserve"> </w:t>
      </w:r>
    </w:p>
    <w:p w:rsidR="008237CC" w:rsidRPr="00405AAD" w:rsidRDefault="008237CC" w:rsidP="00893F80">
      <w:pPr>
        <w:pStyle w:val="H23G"/>
        <w:spacing w:line="360" w:lineRule="auto"/>
      </w:pPr>
      <w:r w:rsidRPr="00405AAD">
        <w:tab/>
      </w:r>
      <w:r w:rsidR="00463B52" w:rsidRPr="00405AAD">
        <w:t>4</w:t>
      </w:r>
      <w:r w:rsidR="002035FC" w:rsidRPr="00405AAD">
        <w:t>.</w:t>
      </w:r>
      <w:r w:rsidR="002035FC" w:rsidRPr="00405AAD">
        <w:tab/>
      </w:r>
      <w:r w:rsidR="001979F4" w:rsidRPr="00405AAD">
        <w:t>Ethnic and religious groups</w:t>
      </w:r>
      <w:r w:rsidR="00ED1918" w:rsidRPr="00405AAD">
        <w:t xml:space="preserve"> </w:t>
      </w:r>
    </w:p>
    <w:p w:rsidR="00793133" w:rsidRPr="00405AAD" w:rsidRDefault="00D76194" w:rsidP="00115BF9">
      <w:pPr>
        <w:pStyle w:val="SingleTxtG"/>
      </w:pPr>
      <w:r w:rsidRPr="00405AAD">
        <w:t>47.</w:t>
      </w:r>
      <w:r w:rsidRPr="00405AAD">
        <w:tab/>
      </w:r>
      <w:r w:rsidR="00DE30B8" w:rsidRPr="00405AAD">
        <w:t>E</w:t>
      </w:r>
      <w:r w:rsidR="00ED1918" w:rsidRPr="00405AAD">
        <w:t>thnic</w:t>
      </w:r>
      <w:r w:rsidR="00120910" w:rsidRPr="00405AAD">
        <w:t xml:space="preserve"> and</w:t>
      </w:r>
      <w:r w:rsidR="00ED1918" w:rsidRPr="00405AAD">
        <w:t xml:space="preserve"> religious</w:t>
      </w:r>
      <w:r w:rsidR="00120910" w:rsidRPr="00405AAD">
        <w:t xml:space="preserve"> groups </w:t>
      </w:r>
      <w:r w:rsidR="00DE30B8" w:rsidRPr="00405AAD">
        <w:t xml:space="preserve">and </w:t>
      </w:r>
      <w:r w:rsidR="00120910" w:rsidRPr="00405AAD">
        <w:t>minorities</w:t>
      </w:r>
      <w:r w:rsidR="00ED1918" w:rsidRPr="00405AAD">
        <w:t xml:space="preserve"> </w:t>
      </w:r>
      <w:r w:rsidR="00DE30B8" w:rsidRPr="00405AAD">
        <w:t xml:space="preserve">in Iraq </w:t>
      </w:r>
      <w:r w:rsidR="00163E26" w:rsidRPr="00405AAD">
        <w:t xml:space="preserve">have endured a history of </w:t>
      </w:r>
      <w:r w:rsidR="00120910" w:rsidRPr="00405AAD">
        <w:t xml:space="preserve">discrimination and </w:t>
      </w:r>
      <w:r w:rsidR="001979F4" w:rsidRPr="00405AAD">
        <w:t>violence</w:t>
      </w:r>
      <w:r w:rsidR="00120910" w:rsidRPr="00405AAD">
        <w:t>. T</w:t>
      </w:r>
      <w:r w:rsidR="00793133" w:rsidRPr="00405AAD">
        <w:t xml:space="preserve">hese communities have become more vulnerable </w:t>
      </w:r>
      <w:r w:rsidR="00DE30B8" w:rsidRPr="00405AAD">
        <w:t xml:space="preserve">owing </w:t>
      </w:r>
      <w:r w:rsidR="00793133" w:rsidRPr="00405AAD">
        <w:t xml:space="preserve">to the ongoing armed conflict and many have suffered gross violations of their human rights. </w:t>
      </w:r>
    </w:p>
    <w:p w:rsidR="007430A6" w:rsidRPr="00893F80" w:rsidRDefault="00D76194" w:rsidP="00115BF9">
      <w:pPr>
        <w:pStyle w:val="SingleTxtG"/>
        <w:rPr>
          <w:iCs/>
          <w:sz w:val="22"/>
          <w:szCs w:val="22"/>
        </w:rPr>
      </w:pPr>
      <w:r w:rsidRPr="00893F80">
        <w:rPr>
          <w:iCs/>
        </w:rPr>
        <w:t>48.</w:t>
      </w:r>
      <w:r w:rsidRPr="00893F80">
        <w:rPr>
          <w:iCs/>
        </w:rPr>
        <w:tab/>
      </w:r>
      <w:r w:rsidR="00D87D60" w:rsidRPr="00405AAD">
        <w:t xml:space="preserve">ISIL </w:t>
      </w:r>
      <w:r w:rsidR="00120910" w:rsidRPr="00405AAD">
        <w:t xml:space="preserve">has </w:t>
      </w:r>
      <w:r w:rsidR="00D87D60" w:rsidRPr="00405AAD">
        <w:t>continue</w:t>
      </w:r>
      <w:r w:rsidR="00120910" w:rsidRPr="00405AAD">
        <w:t>d</w:t>
      </w:r>
      <w:r w:rsidR="00D87D60" w:rsidRPr="00405AAD">
        <w:t xml:space="preserve"> to target members of different ethnic and religious communities, </w:t>
      </w:r>
      <w:r w:rsidR="00BF0432" w:rsidRPr="00D324D7">
        <w:t xml:space="preserve">including Christians, </w:t>
      </w:r>
      <w:proofErr w:type="spellStart"/>
      <w:r w:rsidR="00BF0432" w:rsidRPr="00D324D7">
        <w:t>Faili</w:t>
      </w:r>
      <w:proofErr w:type="spellEnd"/>
      <w:r w:rsidR="00BF0432" w:rsidRPr="00D324D7">
        <w:t xml:space="preserve"> Kurds, </w:t>
      </w:r>
      <w:proofErr w:type="spellStart"/>
      <w:r w:rsidR="00BF0432" w:rsidRPr="00D324D7">
        <w:t>Kaka’e</w:t>
      </w:r>
      <w:proofErr w:type="spellEnd"/>
      <w:r w:rsidR="00BF0432" w:rsidRPr="00D324D7">
        <w:t xml:space="preserve">, </w:t>
      </w:r>
      <w:proofErr w:type="spellStart"/>
      <w:r w:rsidR="00BF0432" w:rsidRPr="00D324D7">
        <w:t>Sabaeans</w:t>
      </w:r>
      <w:proofErr w:type="spellEnd"/>
      <w:r w:rsidR="00BF0432" w:rsidRPr="00D324D7">
        <w:t xml:space="preserve">, </w:t>
      </w:r>
      <w:proofErr w:type="spellStart"/>
      <w:r w:rsidR="00BF0432" w:rsidRPr="00D324D7">
        <w:t>Shabak</w:t>
      </w:r>
      <w:proofErr w:type="spellEnd"/>
      <w:r w:rsidR="00BF0432" w:rsidRPr="00D324D7">
        <w:t xml:space="preserve">, Shi’a Arabs, Turkmen, </w:t>
      </w:r>
      <w:proofErr w:type="spellStart"/>
      <w:r w:rsidR="00BF0432" w:rsidRPr="00D324D7">
        <w:t>Yezidi</w:t>
      </w:r>
      <w:proofErr w:type="spellEnd"/>
      <w:r w:rsidR="00BF0432" w:rsidRPr="00405AAD">
        <w:t xml:space="preserve"> and others, </w:t>
      </w:r>
      <w:r w:rsidR="00D87D60" w:rsidRPr="00405AAD">
        <w:t xml:space="preserve">intentionally subjecting them to a range of abuses and violations </w:t>
      </w:r>
      <w:r w:rsidR="00DE30B8" w:rsidRPr="00405AAD">
        <w:t xml:space="preserve">of </w:t>
      </w:r>
      <w:r w:rsidR="00D87D60" w:rsidRPr="00405AAD">
        <w:t xml:space="preserve">international human rights and humanitarian law. These acts appear to </w:t>
      </w:r>
      <w:r w:rsidR="00DE30B8" w:rsidRPr="00405AAD">
        <w:t xml:space="preserve">be </w:t>
      </w:r>
      <w:r w:rsidR="00D87D60" w:rsidRPr="00405AAD">
        <w:t xml:space="preserve">part of a systematic </w:t>
      </w:r>
      <w:r w:rsidR="00120910" w:rsidRPr="00405AAD">
        <w:t>or</w:t>
      </w:r>
      <w:r w:rsidR="00D87D60" w:rsidRPr="00405AAD">
        <w:t xml:space="preserve"> widespread policy that aims to suppress, permanently expel or destroy these communities within ISIL areas of control. ISIL continued to publish “justifications”</w:t>
      </w:r>
      <w:r w:rsidR="004845CB" w:rsidRPr="00405AAD">
        <w:t>,</w:t>
      </w:r>
      <w:r w:rsidR="00D87D60" w:rsidRPr="00405AAD">
        <w:t xml:space="preserve"> including </w:t>
      </w:r>
      <w:r w:rsidR="004845CB" w:rsidRPr="00405AAD">
        <w:t>its</w:t>
      </w:r>
      <w:r w:rsidR="00D87D60" w:rsidRPr="00405AAD">
        <w:t xml:space="preserve"> requirement to cleanse lands under the control of its self-declared “Islamic </w:t>
      </w:r>
      <w:r w:rsidR="004845CB" w:rsidRPr="00405AAD">
        <w:t>c</w:t>
      </w:r>
      <w:r w:rsidR="00D87D60" w:rsidRPr="00405AAD">
        <w:t>aliphate” of</w:t>
      </w:r>
      <w:r w:rsidR="004E5BBC" w:rsidRPr="00405AAD">
        <w:t xml:space="preserve"> “</w:t>
      </w:r>
      <w:r w:rsidR="00D87D60" w:rsidRPr="00405AAD">
        <w:t>infidels</w:t>
      </w:r>
      <w:r w:rsidR="004E5BBC" w:rsidRPr="00405AAD">
        <w:t>”</w:t>
      </w:r>
      <w:r w:rsidR="00D87D60" w:rsidRPr="00405AAD">
        <w:t>,</w:t>
      </w:r>
      <w:r w:rsidR="00847B84" w:rsidRPr="00405AAD">
        <w:t xml:space="preserve"> </w:t>
      </w:r>
      <w:r w:rsidR="004845CB" w:rsidRPr="00405AAD">
        <w:t>by</w:t>
      </w:r>
      <w:r w:rsidR="00D87D60" w:rsidRPr="00405AAD">
        <w:t xml:space="preserve"> forcibly converting, suppressing, expelling or killing people of other faiths or those who do not subscribe to its </w:t>
      </w:r>
      <w:proofErr w:type="spellStart"/>
      <w:r w:rsidR="00D87D60" w:rsidRPr="00405AAD">
        <w:rPr>
          <w:i/>
          <w:iCs/>
        </w:rPr>
        <w:t>takfiri</w:t>
      </w:r>
      <w:proofErr w:type="spellEnd"/>
      <w:r w:rsidR="00D87D60" w:rsidRPr="00405AAD">
        <w:t xml:space="preserve"> doctrines. ISIL </w:t>
      </w:r>
      <w:r w:rsidR="00120910" w:rsidRPr="00405AAD">
        <w:t xml:space="preserve">has imposed </w:t>
      </w:r>
      <w:r w:rsidR="00D87D60" w:rsidRPr="00405AAD">
        <w:t xml:space="preserve">on Christians and </w:t>
      </w:r>
      <w:proofErr w:type="spellStart"/>
      <w:r w:rsidR="00D87D60" w:rsidRPr="00405AAD">
        <w:t>Sabaeans</w:t>
      </w:r>
      <w:proofErr w:type="spellEnd"/>
      <w:r w:rsidR="00D87D60" w:rsidRPr="00405AAD">
        <w:t xml:space="preserve"> the requirement to convert to Islam, pay </w:t>
      </w:r>
      <w:proofErr w:type="spellStart"/>
      <w:r w:rsidR="00D87D60" w:rsidRPr="00405AAD">
        <w:rPr>
          <w:i/>
          <w:iCs/>
        </w:rPr>
        <w:t>jezyah</w:t>
      </w:r>
      <w:proofErr w:type="spellEnd"/>
      <w:r w:rsidR="00D87D60" w:rsidRPr="00405AAD">
        <w:t xml:space="preserve"> (</w:t>
      </w:r>
      <w:r w:rsidR="004845CB" w:rsidRPr="00405AAD">
        <w:t xml:space="preserve">a </w:t>
      </w:r>
      <w:r w:rsidR="00D87D60" w:rsidRPr="00405AAD">
        <w:t>protection or toleration tax), be expelled or be killed; for Shia</w:t>
      </w:r>
      <w:r w:rsidR="004845CB" w:rsidRPr="00405AAD">
        <w:t>s</w:t>
      </w:r>
      <w:r w:rsidR="00D87D60" w:rsidRPr="00405AAD">
        <w:t xml:space="preserve"> to repent or face penalties (including death) as apostates; and for </w:t>
      </w:r>
      <w:proofErr w:type="spellStart"/>
      <w:r w:rsidR="00D87D60" w:rsidRPr="00405AAD">
        <w:t>Yezidi</w:t>
      </w:r>
      <w:proofErr w:type="spellEnd"/>
      <w:r w:rsidR="00D87D60" w:rsidRPr="00405AAD">
        <w:t xml:space="preserve">, </w:t>
      </w:r>
      <w:proofErr w:type="spellStart"/>
      <w:r w:rsidR="00D87D60" w:rsidRPr="00405AAD">
        <w:t>Kaka’ee</w:t>
      </w:r>
      <w:proofErr w:type="spellEnd"/>
      <w:r w:rsidR="00D87D60" w:rsidRPr="00405AAD">
        <w:t xml:space="preserve"> and other faith communities (which ISIL regard as infidels) to convert to Islam or be killed. Most recently, ISIL published another </w:t>
      </w:r>
      <w:r w:rsidR="004845CB" w:rsidRPr="00405AAD">
        <w:t>“</w:t>
      </w:r>
      <w:r w:rsidR="00D87D60" w:rsidRPr="00405AAD">
        <w:t>justification</w:t>
      </w:r>
      <w:r w:rsidR="004845CB" w:rsidRPr="00405AAD">
        <w:t>”</w:t>
      </w:r>
      <w:r w:rsidR="00D87D60" w:rsidRPr="00405AAD">
        <w:t xml:space="preserve"> for the sexual enslavement of </w:t>
      </w:r>
      <w:proofErr w:type="spellStart"/>
      <w:r w:rsidR="00D87D60" w:rsidRPr="00405AAD">
        <w:t>Yezidi</w:t>
      </w:r>
      <w:proofErr w:type="spellEnd"/>
      <w:r w:rsidR="00D87D60" w:rsidRPr="00405AAD">
        <w:t xml:space="preserve"> women and other women from communities it regards as </w:t>
      </w:r>
      <w:proofErr w:type="spellStart"/>
      <w:r w:rsidR="00D87D60" w:rsidRPr="00405AAD">
        <w:rPr>
          <w:i/>
          <w:iCs/>
        </w:rPr>
        <w:t>kufaar</w:t>
      </w:r>
      <w:proofErr w:type="spellEnd"/>
      <w:r w:rsidR="00D87D60" w:rsidRPr="00405AAD">
        <w:t xml:space="preserve"> (infidels) in its magazine, </w:t>
      </w:r>
      <w:proofErr w:type="spellStart"/>
      <w:r w:rsidR="00D87D60" w:rsidRPr="00893F80">
        <w:rPr>
          <w:i/>
        </w:rPr>
        <w:t>Dabiq</w:t>
      </w:r>
      <w:proofErr w:type="spellEnd"/>
      <w:r w:rsidR="00847B84" w:rsidRPr="00405AAD">
        <w:t>.</w:t>
      </w:r>
      <w:r w:rsidR="00D87D60" w:rsidRPr="00405AAD">
        <w:t xml:space="preserve"> </w:t>
      </w:r>
    </w:p>
    <w:p w:rsidR="0009507A" w:rsidRPr="00893F80" w:rsidRDefault="00D76194" w:rsidP="00115BF9">
      <w:pPr>
        <w:pStyle w:val="SingleTxtG"/>
        <w:rPr>
          <w:iCs/>
          <w:sz w:val="22"/>
          <w:szCs w:val="22"/>
        </w:rPr>
      </w:pPr>
      <w:r w:rsidRPr="00893F80">
        <w:rPr>
          <w:iCs/>
        </w:rPr>
        <w:t>49.</w:t>
      </w:r>
      <w:r w:rsidRPr="00893F80">
        <w:rPr>
          <w:iCs/>
        </w:rPr>
        <w:tab/>
      </w:r>
      <w:r w:rsidR="004845CB" w:rsidRPr="00893F80">
        <w:rPr>
          <w:iCs/>
        </w:rPr>
        <w:t xml:space="preserve">As many as </w:t>
      </w:r>
      <w:r w:rsidR="0011169F" w:rsidRPr="00405AAD">
        <w:t>2</w:t>
      </w:r>
      <w:r w:rsidR="00B143FC" w:rsidRPr="00405AAD">
        <w:t>,</w:t>
      </w:r>
      <w:r w:rsidR="0011169F" w:rsidRPr="00405AAD">
        <w:t xml:space="preserve">500 </w:t>
      </w:r>
      <w:r w:rsidR="003F2C16" w:rsidRPr="00405AAD">
        <w:t xml:space="preserve">men, women and children </w:t>
      </w:r>
      <w:r w:rsidR="00405AAD">
        <w:t xml:space="preserve">– </w:t>
      </w:r>
      <w:r w:rsidR="00405AAD" w:rsidRPr="00495F60">
        <w:rPr>
          <w:iCs/>
        </w:rPr>
        <w:t xml:space="preserve">predominantly from the </w:t>
      </w:r>
      <w:proofErr w:type="spellStart"/>
      <w:r w:rsidR="00405AAD" w:rsidRPr="00495F60">
        <w:rPr>
          <w:iCs/>
        </w:rPr>
        <w:t>Yezidi</w:t>
      </w:r>
      <w:proofErr w:type="spellEnd"/>
      <w:r w:rsidR="00405AAD" w:rsidRPr="00495F60">
        <w:rPr>
          <w:iCs/>
        </w:rPr>
        <w:t xml:space="preserve"> community but also from other groups</w:t>
      </w:r>
      <w:r w:rsidR="00405AAD" w:rsidRPr="00405AAD">
        <w:t xml:space="preserve"> </w:t>
      </w:r>
      <w:r w:rsidR="00405AAD">
        <w:t xml:space="preserve">– are being held by </w:t>
      </w:r>
      <w:r w:rsidR="003F2C16" w:rsidRPr="00405AAD">
        <w:rPr>
          <w:iCs/>
        </w:rPr>
        <w:t>ISIL</w:t>
      </w:r>
      <w:r w:rsidR="0069032A" w:rsidRPr="00405AAD">
        <w:rPr>
          <w:iCs/>
        </w:rPr>
        <w:t xml:space="preserve">. </w:t>
      </w:r>
      <w:r w:rsidR="0011169F" w:rsidRPr="00405AAD">
        <w:rPr>
          <w:iCs/>
        </w:rPr>
        <w:t xml:space="preserve">UNAMI/OHCHR </w:t>
      </w:r>
      <w:r w:rsidR="003F2C16" w:rsidRPr="00405AAD">
        <w:rPr>
          <w:iCs/>
        </w:rPr>
        <w:t>fears for the</w:t>
      </w:r>
      <w:r w:rsidR="00405AAD">
        <w:rPr>
          <w:iCs/>
        </w:rPr>
        <w:t>ir</w:t>
      </w:r>
      <w:r w:rsidR="003F2C16" w:rsidRPr="00405AAD">
        <w:rPr>
          <w:iCs/>
        </w:rPr>
        <w:t xml:space="preserve"> safety and security. Those who have reach</w:t>
      </w:r>
      <w:r w:rsidR="00B143FC" w:rsidRPr="00405AAD">
        <w:rPr>
          <w:iCs/>
        </w:rPr>
        <w:t>ed</w:t>
      </w:r>
      <w:r w:rsidR="003F2C16" w:rsidRPr="00405AAD">
        <w:rPr>
          <w:iCs/>
        </w:rPr>
        <w:t xml:space="preserve"> </w:t>
      </w:r>
      <w:r w:rsidR="0009507A" w:rsidRPr="00405AAD">
        <w:rPr>
          <w:iCs/>
        </w:rPr>
        <w:t>safety consistently report</w:t>
      </w:r>
      <w:r w:rsidR="003F2C16" w:rsidRPr="00405AAD">
        <w:rPr>
          <w:iCs/>
        </w:rPr>
        <w:t xml:space="preserve"> lack of basic necessities such as food and </w:t>
      </w:r>
      <w:r w:rsidR="0009507A" w:rsidRPr="00405AAD">
        <w:rPr>
          <w:iCs/>
        </w:rPr>
        <w:t>hygienic</w:t>
      </w:r>
      <w:r w:rsidR="003F2C16" w:rsidRPr="00405AAD">
        <w:rPr>
          <w:iCs/>
        </w:rPr>
        <w:t xml:space="preserve"> items, forced labour, forced religious conversion, ill-treatment, murder and </w:t>
      </w:r>
      <w:r w:rsidR="0069032A" w:rsidRPr="00405AAD">
        <w:rPr>
          <w:iCs/>
        </w:rPr>
        <w:t xml:space="preserve">the regular infliction of </w:t>
      </w:r>
      <w:r w:rsidR="003F2C16" w:rsidRPr="00405AAD">
        <w:rPr>
          <w:iCs/>
        </w:rPr>
        <w:t>physical and sexual violence</w:t>
      </w:r>
      <w:r w:rsidR="0069032A" w:rsidRPr="00405AAD">
        <w:rPr>
          <w:iCs/>
        </w:rPr>
        <w:t xml:space="preserve">, </w:t>
      </w:r>
      <w:r w:rsidR="003F2C16" w:rsidRPr="00405AAD">
        <w:rPr>
          <w:iCs/>
        </w:rPr>
        <w:t>including sexual slavery and the traffickin</w:t>
      </w:r>
      <w:r w:rsidR="0009507A" w:rsidRPr="00405AAD">
        <w:rPr>
          <w:iCs/>
        </w:rPr>
        <w:t xml:space="preserve">g of women and children. </w:t>
      </w:r>
    </w:p>
    <w:p w:rsidR="004B36B0" w:rsidRPr="00405AAD" w:rsidRDefault="00D76194" w:rsidP="00115BF9">
      <w:pPr>
        <w:pStyle w:val="SingleTxtG"/>
      </w:pPr>
      <w:r w:rsidRPr="00405AAD">
        <w:t>50.</w:t>
      </w:r>
      <w:r w:rsidRPr="00405AAD">
        <w:tab/>
      </w:r>
      <w:r w:rsidR="004B36B0" w:rsidRPr="00405AAD">
        <w:t>UNAMI/OHCHR</w:t>
      </w:r>
      <w:r w:rsidR="00F63CB4" w:rsidRPr="00405AAD">
        <w:t xml:space="preserve"> has been</w:t>
      </w:r>
      <w:r w:rsidR="004B36B0" w:rsidRPr="00405AAD">
        <w:t xml:space="preserve"> </w:t>
      </w:r>
      <w:r w:rsidR="00F63CB4" w:rsidRPr="00405AAD">
        <w:t xml:space="preserve">monitoring </w:t>
      </w:r>
      <w:r w:rsidR="00AB1DCB" w:rsidRPr="00405AAD">
        <w:t xml:space="preserve">the situation of minority groups </w:t>
      </w:r>
      <w:r w:rsidR="003D0627" w:rsidRPr="00405AAD">
        <w:t>in Iraq, and actively work</w:t>
      </w:r>
      <w:r w:rsidR="00F63CB4" w:rsidRPr="00D324D7">
        <w:t>ing</w:t>
      </w:r>
      <w:r w:rsidR="003D0627" w:rsidRPr="00405AAD">
        <w:t xml:space="preserve"> with local communities </w:t>
      </w:r>
      <w:r w:rsidR="00AB1DCB" w:rsidRPr="00405AAD">
        <w:t xml:space="preserve">to </w:t>
      </w:r>
      <w:r w:rsidR="00B07A5B" w:rsidRPr="00405AAD">
        <w:t xml:space="preserve">promote </w:t>
      </w:r>
      <w:r w:rsidR="007430A6" w:rsidRPr="00405AAD">
        <w:t>respect and protection of their rights</w:t>
      </w:r>
      <w:r w:rsidR="00B07A5B" w:rsidRPr="00405AAD">
        <w:t xml:space="preserve">. UNAMI </w:t>
      </w:r>
      <w:r w:rsidR="004B36B0" w:rsidRPr="00405AAD">
        <w:t xml:space="preserve">met with the elected representative of minority communities in the Basra Provincial Council and legislative staff to </w:t>
      </w:r>
      <w:r w:rsidR="00405AAD">
        <w:t>give</w:t>
      </w:r>
      <w:r w:rsidR="00405AAD" w:rsidRPr="00405AAD">
        <w:t xml:space="preserve"> </w:t>
      </w:r>
      <w:r w:rsidR="004B36B0" w:rsidRPr="00405AAD">
        <w:t xml:space="preserve">advice and </w:t>
      </w:r>
      <w:r w:rsidR="00405AAD">
        <w:t xml:space="preserve">make </w:t>
      </w:r>
      <w:r w:rsidR="004B36B0" w:rsidRPr="00405AAD">
        <w:t xml:space="preserve">recommendations </w:t>
      </w:r>
      <w:r w:rsidR="00405AAD">
        <w:t>on</w:t>
      </w:r>
      <w:r w:rsidR="00405AAD" w:rsidRPr="00405AAD">
        <w:t xml:space="preserve"> </w:t>
      </w:r>
      <w:r w:rsidR="004B36B0" w:rsidRPr="00405AAD">
        <w:t>international standards regard</w:t>
      </w:r>
      <w:r w:rsidR="00B34A22" w:rsidRPr="00405AAD">
        <w:t>ing the protection of civilians, particularly</w:t>
      </w:r>
      <w:r w:rsidR="004B36B0" w:rsidRPr="00405AAD">
        <w:t xml:space="preserve"> vulnerable ethnic and reli</w:t>
      </w:r>
      <w:r w:rsidR="00B07A5B" w:rsidRPr="00405AAD">
        <w:t xml:space="preserve">gious minorities. </w:t>
      </w:r>
    </w:p>
    <w:p w:rsidR="007430A6" w:rsidRPr="00CE3572" w:rsidRDefault="00D76194" w:rsidP="00115BF9">
      <w:pPr>
        <w:pStyle w:val="SingleTxtG"/>
      </w:pPr>
      <w:r w:rsidRPr="00405AAD">
        <w:t>51.</w:t>
      </w:r>
      <w:r w:rsidRPr="00405AAD">
        <w:tab/>
      </w:r>
      <w:r w:rsidR="00405AAD">
        <w:t>I</w:t>
      </w:r>
      <w:r w:rsidR="00405AAD" w:rsidRPr="00DE3E1A">
        <w:t>n June 2015</w:t>
      </w:r>
      <w:r w:rsidR="00405AAD">
        <w:t>,</w:t>
      </w:r>
      <w:r w:rsidR="00405AAD" w:rsidRPr="00DE3E1A">
        <w:t xml:space="preserve"> </w:t>
      </w:r>
      <w:r w:rsidR="007430A6" w:rsidRPr="00405AAD">
        <w:t xml:space="preserve">UNAMI/OHCHR </w:t>
      </w:r>
      <w:r w:rsidR="00DF77F5" w:rsidRPr="00405AAD">
        <w:t xml:space="preserve">re-established </w:t>
      </w:r>
      <w:r w:rsidR="00CE3572">
        <w:t>a</w:t>
      </w:r>
      <w:r w:rsidR="00CE3572" w:rsidRPr="00405AAD">
        <w:t xml:space="preserve"> </w:t>
      </w:r>
      <w:r w:rsidR="007430A6" w:rsidRPr="00405AAD">
        <w:t xml:space="preserve">committee appointed by </w:t>
      </w:r>
      <w:r w:rsidR="007430A6" w:rsidRPr="00CE3572">
        <w:t xml:space="preserve">a conference on the rights of minorities held in Baghdad in March 2014 </w:t>
      </w:r>
      <w:r w:rsidR="001979F4" w:rsidRPr="00CE3572">
        <w:t>and</w:t>
      </w:r>
      <w:r w:rsidR="007430A6" w:rsidRPr="00CE3572">
        <w:t xml:space="preserve"> attended by representatives of all minority ethnic and religious communities in Iraq. The participants </w:t>
      </w:r>
      <w:r w:rsidR="001979F4" w:rsidRPr="00CE3572">
        <w:t xml:space="preserve">had </w:t>
      </w:r>
      <w:r w:rsidR="007430A6" w:rsidRPr="00CE3572">
        <w:t xml:space="preserve">agreed </w:t>
      </w:r>
      <w:r w:rsidR="001979F4" w:rsidRPr="00CE3572">
        <w:t>to</w:t>
      </w:r>
      <w:r w:rsidR="007430A6" w:rsidRPr="00CE3572">
        <w:t xml:space="preserve"> a declaration on the rights of minorities in Iraq</w:t>
      </w:r>
      <w:r w:rsidR="00F454B6" w:rsidRPr="00CE3572">
        <w:t xml:space="preserve"> and </w:t>
      </w:r>
      <w:r w:rsidR="007430A6" w:rsidRPr="00CE3572">
        <w:t xml:space="preserve">a road map of legislative, policy and other reforms that would </w:t>
      </w:r>
      <w:r w:rsidR="00CE3572">
        <w:t>strengthen</w:t>
      </w:r>
      <w:r w:rsidR="00CE3572" w:rsidRPr="00CE3572">
        <w:t xml:space="preserve"> </w:t>
      </w:r>
      <w:r w:rsidR="007430A6" w:rsidRPr="00CE3572">
        <w:t xml:space="preserve">their protection and </w:t>
      </w:r>
      <w:r w:rsidR="00CE3572">
        <w:t xml:space="preserve">facilitate their </w:t>
      </w:r>
      <w:r w:rsidR="007430A6" w:rsidRPr="00CE3572">
        <w:t xml:space="preserve">full and equal participation in political, social and economic life. </w:t>
      </w:r>
      <w:r w:rsidR="001979F4" w:rsidRPr="00CE3572">
        <w:t xml:space="preserve">The security situation </w:t>
      </w:r>
      <w:r w:rsidR="00CE3572">
        <w:t xml:space="preserve">had </w:t>
      </w:r>
      <w:r w:rsidR="001979F4" w:rsidRPr="00CE3572">
        <w:t xml:space="preserve">prevented </w:t>
      </w:r>
      <w:r w:rsidR="00CE3572">
        <w:t xml:space="preserve">the </w:t>
      </w:r>
      <w:r w:rsidR="00CE3572" w:rsidRPr="00CE3572">
        <w:t xml:space="preserve">committee </w:t>
      </w:r>
      <w:r w:rsidR="00CE3572">
        <w:t xml:space="preserve">from convening any </w:t>
      </w:r>
      <w:r w:rsidR="001979F4" w:rsidRPr="00CE3572">
        <w:t>meetings until recently.</w:t>
      </w:r>
      <w:r w:rsidR="00E67DE0">
        <w:t xml:space="preserve"> </w:t>
      </w:r>
    </w:p>
    <w:p w:rsidR="003E6062" w:rsidRPr="00CE3572" w:rsidRDefault="00D76194" w:rsidP="00115BF9">
      <w:pPr>
        <w:pStyle w:val="SingleTxtG"/>
      </w:pPr>
      <w:r w:rsidRPr="00CE3572">
        <w:t>52.</w:t>
      </w:r>
      <w:r w:rsidRPr="00CE3572">
        <w:tab/>
      </w:r>
      <w:r w:rsidR="004B36B0" w:rsidRPr="00CE3572">
        <w:t>In the K</w:t>
      </w:r>
      <w:r w:rsidR="00CE3572">
        <w:t>urdistan region of Iraq</w:t>
      </w:r>
      <w:r w:rsidR="004B36B0" w:rsidRPr="00CE3572">
        <w:t xml:space="preserve">, </w:t>
      </w:r>
      <w:r w:rsidR="00F454B6" w:rsidRPr="00CE3572">
        <w:t xml:space="preserve">UNAMI/OHCHR </w:t>
      </w:r>
      <w:r w:rsidR="003E6062" w:rsidRPr="00CE3572">
        <w:t xml:space="preserve">offered technical assistance to members of Parliament regarding draft legislation to establish a </w:t>
      </w:r>
      <w:proofErr w:type="gramStart"/>
      <w:r w:rsidR="00CE3572">
        <w:t>m</w:t>
      </w:r>
      <w:r w:rsidR="003E6062" w:rsidRPr="00CE3572">
        <w:t>inorities</w:t>
      </w:r>
      <w:proofErr w:type="gramEnd"/>
      <w:r w:rsidR="003E6062" w:rsidRPr="00CE3572">
        <w:t xml:space="preserve"> </w:t>
      </w:r>
      <w:r w:rsidR="00CE3572">
        <w:t>c</w:t>
      </w:r>
      <w:r w:rsidR="003E6062" w:rsidRPr="00CE3572">
        <w:t>ouncil</w:t>
      </w:r>
      <w:r w:rsidR="00CE3572">
        <w:t xml:space="preserve"> with a</w:t>
      </w:r>
      <w:r w:rsidR="003E6062" w:rsidRPr="00CE3572">
        <w:t xml:space="preserve"> mandate to protect and promote the rights of minorities in the </w:t>
      </w:r>
      <w:r w:rsidR="00CE3572">
        <w:t>region</w:t>
      </w:r>
      <w:r w:rsidR="003E6062" w:rsidRPr="00CE3572">
        <w:t xml:space="preserve">. </w:t>
      </w:r>
      <w:r w:rsidR="008E75DA" w:rsidRPr="00CE3572">
        <w:t xml:space="preserve">UNAMI/OHCHR </w:t>
      </w:r>
      <w:r w:rsidR="00CE3572">
        <w:t>made</w:t>
      </w:r>
      <w:r w:rsidR="00CE3572" w:rsidRPr="00CE3572">
        <w:t xml:space="preserve"> </w:t>
      </w:r>
      <w:r w:rsidR="003E6062" w:rsidRPr="00CE3572">
        <w:t xml:space="preserve">comments on the draft law, advising that the role of the </w:t>
      </w:r>
      <w:r w:rsidR="00CE3572">
        <w:t>c</w:t>
      </w:r>
      <w:r w:rsidR="003E6062" w:rsidRPr="00CE3572">
        <w:t xml:space="preserve">ouncil </w:t>
      </w:r>
      <w:r w:rsidR="00CE3572">
        <w:t>be</w:t>
      </w:r>
      <w:r w:rsidR="00CE3572" w:rsidRPr="00CE3572">
        <w:t xml:space="preserve"> </w:t>
      </w:r>
      <w:r w:rsidR="003E6062" w:rsidRPr="00CE3572">
        <w:t>made meaningful through elaboration of its mandate and that</w:t>
      </w:r>
      <w:r w:rsidR="00CE3572">
        <w:t xml:space="preserve"> the</w:t>
      </w:r>
      <w:r w:rsidR="003E6062" w:rsidRPr="00CE3572">
        <w:t xml:space="preserve"> issues of </w:t>
      </w:r>
      <w:r w:rsidR="00CE3572">
        <w:t>its</w:t>
      </w:r>
      <w:r w:rsidR="00CE3572" w:rsidRPr="00CE3572">
        <w:t xml:space="preserve"> </w:t>
      </w:r>
      <w:r w:rsidR="003E6062" w:rsidRPr="00CE3572">
        <w:t xml:space="preserve">independence and authority of </w:t>
      </w:r>
      <w:r w:rsidR="008E75DA" w:rsidRPr="00CE3572">
        <w:t xml:space="preserve">be </w:t>
      </w:r>
      <w:r w:rsidR="003E6062" w:rsidRPr="00CE3572">
        <w:t>clarified.</w:t>
      </w:r>
      <w:r w:rsidR="00F3468D" w:rsidRPr="00CE3572">
        <w:t xml:space="preserve"> </w:t>
      </w:r>
    </w:p>
    <w:p w:rsidR="001979F4" w:rsidRPr="00CE3572" w:rsidRDefault="001979F4" w:rsidP="00893F80">
      <w:pPr>
        <w:pStyle w:val="SingleTxtG"/>
        <w:spacing w:line="360" w:lineRule="auto"/>
        <w:ind w:left="0" w:firstLine="567"/>
        <w:rPr>
          <w:b/>
          <w:bCs/>
        </w:rPr>
      </w:pPr>
      <w:r w:rsidRPr="00CE3572">
        <w:rPr>
          <w:b/>
          <w:bCs/>
        </w:rPr>
        <w:t xml:space="preserve">5. </w:t>
      </w:r>
      <w:r w:rsidR="00CE3572">
        <w:rPr>
          <w:b/>
          <w:bCs/>
        </w:rPr>
        <w:tab/>
      </w:r>
      <w:r w:rsidRPr="00CE3572">
        <w:rPr>
          <w:b/>
          <w:bCs/>
        </w:rPr>
        <w:t>Persons with disabilities</w:t>
      </w:r>
    </w:p>
    <w:p w:rsidR="0090716D" w:rsidRPr="00405AAD" w:rsidRDefault="00D76194" w:rsidP="00115BF9">
      <w:pPr>
        <w:pStyle w:val="SingleTxtG"/>
      </w:pPr>
      <w:r w:rsidRPr="00CE3572">
        <w:t>53.</w:t>
      </w:r>
      <w:r w:rsidRPr="00CE3572">
        <w:tab/>
      </w:r>
      <w:r w:rsidR="003911C3" w:rsidRPr="00CE3572">
        <w:rPr>
          <w:color w:val="000000"/>
        </w:rPr>
        <w:t xml:space="preserve">Across Iraq, </w:t>
      </w:r>
      <w:r w:rsidR="008E75DA" w:rsidRPr="00CE3572">
        <w:t xml:space="preserve">UNAMI/OHCHR observed that </w:t>
      </w:r>
      <w:r w:rsidR="003911C3" w:rsidRPr="00CE3572">
        <w:rPr>
          <w:color w:val="000000"/>
        </w:rPr>
        <w:t xml:space="preserve">persons with disabilities </w:t>
      </w:r>
      <w:r w:rsidR="00CE3572">
        <w:rPr>
          <w:color w:val="000000"/>
        </w:rPr>
        <w:t>were</w:t>
      </w:r>
      <w:r w:rsidR="00CE3572" w:rsidRPr="00CE3572">
        <w:rPr>
          <w:color w:val="000000"/>
        </w:rPr>
        <w:t xml:space="preserve"> </w:t>
      </w:r>
      <w:r w:rsidR="003911C3" w:rsidRPr="00CE3572">
        <w:rPr>
          <w:color w:val="000000"/>
        </w:rPr>
        <w:t xml:space="preserve">often </w:t>
      </w:r>
      <w:r w:rsidR="00CE3572">
        <w:rPr>
          <w:color w:val="000000"/>
        </w:rPr>
        <w:t>neglected</w:t>
      </w:r>
      <w:r w:rsidR="003911C3" w:rsidRPr="00CE3572">
        <w:rPr>
          <w:color w:val="000000"/>
        </w:rPr>
        <w:t xml:space="preserve"> in public </w:t>
      </w:r>
      <w:r w:rsidR="003911C3" w:rsidRPr="00D324D7">
        <w:t>discourse dominated by the ongoing armed conflict</w:t>
      </w:r>
      <w:r w:rsidR="0010136C" w:rsidRPr="00405AAD">
        <w:t xml:space="preserve">. </w:t>
      </w:r>
      <w:r w:rsidR="008E75DA" w:rsidRPr="00405AAD">
        <w:t>They</w:t>
      </w:r>
      <w:r w:rsidR="0090716D" w:rsidRPr="00405AAD">
        <w:t xml:space="preserve"> remain among the most vulnerable communities, </w:t>
      </w:r>
      <w:r w:rsidR="00CE3572">
        <w:t xml:space="preserve">and </w:t>
      </w:r>
      <w:r w:rsidR="0090716D" w:rsidRPr="00D324D7">
        <w:t>fac</w:t>
      </w:r>
      <w:r w:rsidR="00CE3572">
        <w:t>e</w:t>
      </w:r>
      <w:r w:rsidR="0090716D" w:rsidRPr="00405AAD">
        <w:t xml:space="preserve"> numerous barriers to their full and equal participation in political, social, economic and cultural life. </w:t>
      </w:r>
      <w:r w:rsidR="0011169F" w:rsidRPr="00405AAD">
        <w:t xml:space="preserve">The full impact of the </w:t>
      </w:r>
      <w:r w:rsidR="00881FDB" w:rsidRPr="00405AAD">
        <w:t xml:space="preserve">conflict on this group is </w:t>
      </w:r>
      <w:r w:rsidR="0011169F" w:rsidRPr="00405AAD">
        <w:t xml:space="preserve">unknown and the welfare of those living in areas under ISIL control or where conflict is </w:t>
      </w:r>
      <w:r w:rsidR="00CE3572">
        <w:t>ongoing</w:t>
      </w:r>
      <w:r w:rsidR="0011169F" w:rsidRPr="00D324D7">
        <w:t xml:space="preserve"> remains </w:t>
      </w:r>
      <w:r w:rsidR="00CE3572">
        <w:t>a</w:t>
      </w:r>
      <w:r w:rsidR="00CE3572" w:rsidRPr="00D324D7">
        <w:t xml:space="preserve"> </w:t>
      </w:r>
      <w:r w:rsidR="0011169F" w:rsidRPr="00405AAD">
        <w:t>grave concern.</w:t>
      </w:r>
      <w:r w:rsidR="003911C3" w:rsidRPr="00405AAD">
        <w:t xml:space="preserve"> </w:t>
      </w:r>
    </w:p>
    <w:p w:rsidR="003911C3" w:rsidRPr="00405AAD" w:rsidRDefault="00D76194" w:rsidP="00115BF9">
      <w:pPr>
        <w:pStyle w:val="SingleTxtG"/>
        <w:rPr>
          <w:color w:val="000000"/>
        </w:rPr>
      </w:pPr>
      <w:r w:rsidRPr="00405AAD">
        <w:rPr>
          <w:color w:val="000000"/>
        </w:rPr>
        <w:t>54.</w:t>
      </w:r>
      <w:r w:rsidRPr="00405AAD">
        <w:rPr>
          <w:color w:val="000000"/>
        </w:rPr>
        <w:tab/>
      </w:r>
      <w:r w:rsidR="0090716D" w:rsidRPr="00405AAD">
        <w:t xml:space="preserve">UNAMI </w:t>
      </w:r>
      <w:r w:rsidR="00905B2F" w:rsidRPr="00405AAD">
        <w:t>has been</w:t>
      </w:r>
      <w:r w:rsidR="0090716D" w:rsidRPr="00405AAD">
        <w:t xml:space="preserve"> working with</w:t>
      </w:r>
      <w:r w:rsidR="00765CA2">
        <w:t xml:space="preserve"> </w:t>
      </w:r>
      <w:r w:rsidR="00A1695C">
        <w:t xml:space="preserve">members of the </w:t>
      </w:r>
      <w:r w:rsidR="00B34A22" w:rsidRPr="00405AAD">
        <w:t>G</w:t>
      </w:r>
      <w:r w:rsidR="0090716D" w:rsidRPr="00405AAD">
        <w:t xml:space="preserve">overnment </w:t>
      </w:r>
      <w:r w:rsidR="00765CA2">
        <w:t xml:space="preserve">and </w:t>
      </w:r>
      <w:r w:rsidR="00A1695C">
        <w:t xml:space="preserve">with </w:t>
      </w:r>
      <w:r w:rsidR="00765CA2">
        <w:t xml:space="preserve">civil society </w:t>
      </w:r>
      <w:r w:rsidR="0090716D" w:rsidRPr="00405AAD">
        <w:t>to improve the</w:t>
      </w:r>
      <w:r w:rsidR="004169D4" w:rsidRPr="00405AAD">
        <w:t xml:space="preserve"> enjoyment of</w:t>
      </w:r>
      <w:r w:rsidR="0090716D" w:rsidRPr="00405AAD">
        <w:t xml:space="preserve"> rights </w:t>
      </w:r>
      <w:r w:rsidR="004169D4" w:rsidRPr="00405AAD">
        <w:t>by</w:t>
      </w:r>
      <w:r w:rsidR="0090716D" w:rsidRPr="00405AAD">
        <w:t xml:space="preserve"> persons with disabilities. For instance, </w:t>
      </w:r>
      <w:r w:rsidR="00B67160">
        <w:t>it</w:t>
      </w:r>
      <w:r w:rsidR="00B67160" w:rsidRPr="00D324D7">
        <w:t xml:space="preserve"> </w:t>
      </w:r>
      <w:r w:rsidR="00881FDB" w:rsidRPr="00405AAD">
        <w:t xml:space="preserve">delivered </w:t>
      </w:r>
      <w:r w:rsidR="008510F4" w:rsidRPr="00405AAD">
        <w:t xml:space="preserve">a </w:t>
      </w:r>
      <w:r w:rsidR="003911C3" w:rsidRPr="00405AAD">
        <w:t xml:space="preserve">training workshop on 26 May in coordination with a local </w:t>
      </w:r>
      <w:r w:rsidR="00CE3572">
        <w:t>non-governmental organization</w:t>
      </w:r>
      <w:r w:rsidR="00CE3572" w:rsidRPr="00D324D7">
        <w:t xml:space="preserve"> </w:t>
      </w:r>
      <w:r w:rsidR="0011169F" w:rsidRPr="00405AAD">
        <w:t>representing people with disabilities</w:t>
      </w:r>
      <w:r w:rsidR="008510F4" w:rsidRPr="00405AAD">
        <w:t>. Approximately</w:t>
      </w:r>
      <w:r w:rsidR="003911C3" w:rsidRPr="00405AAD">
        <w:rPr>
          <w:color w:val="000000"/>
        </w:rPr>
        <w:t xml:space="preserve"> 20 </w:t>
      </w:r>
      <w:r w:rsidR="0011169F" w:rsidRPr="00405AAD">
        <w:rPr>
          <w:color w:val="000000"/>
        </w:rPr>
        <w:t xml:space="preserve">people </w:t>
      </w:r>
      <w:r w:rsidR="003911C3" w:rsidRPr="00405AAD">
        <w:rPr>
          <w:color w:val="000000"/>
        </w:rPr>
        <w:t>with disabil</w:t>
      </w:r>
      <w:r w:rsidR="00F01C1A" w:rsidRPr="00405AAD">
        <w:rPr>
          <w:color w:val="000000"/>
        </w:rPr>
        <w:t xml:space="preserve">ities </w:t>
      </w:r>
      <w:r w:rsidR="00B67160">
        <w:rPr>
          <w:color w:val="000000"/>
        </w:rPr>
        <w:t>attended the workshop</w:t>
      </w:r>
      <w:r w:rsidR="00F01C1A" w:rsidRPr="00D324D7">
        <w:rPr>
          <w:color w:val="000000"/>
        </w:rPr>
        <w:t xml:space="preserve">, </w:t>
      </w:r>
      <w:r w:rsidR="00B67160">
        <w:rPr>
          <w:color w:val="000000"/>
        </w:rPr>
        <w:t>together</w:t>
      </w:r>
      <w:r w:rsidR="00F01C1A" w:rsidRPr="00405AAD">
        <w:rPr>
          <w:color w:val="000000"/>
        </w:rPr>
        <w:t xml:space="preserve"> with </w:t>
      </w:r>
      <w:r w:rsidR="00B67160">
        <w:rPr>
          <w:color w:val="000000"/>
        </w:rPr>
        <w:t>g</w:t>
      </w:r>
      <w:r w:rsidR="003911C3" w:rsidRPr="00405AAD">
        <w:rPr>
          <w:color w:val="000000"/>
        </w:rPr>
        <w:t>overnment officials work</w:t>
      </w:r>
      <w:r w:rsidR="00B67160">
        <w:rPr>
          <w:color w:val="000000"/>
        </w:rPr>
        <w:t>ing</w:t>
      </w:r>
      <w:r w:rsidR="003911C3" w:rsidRPr="00D324D7">
        <w:rPr>
          <w:color w:val="000000"/>
        </w:rPr>
        <w:t xml:space="preserve"> on disability-related issues. The participants </w:t>
      </w:r>
      <w:r w:rsidR="0011169F" w:rsidRPr="00405AAD">
        <w:rPr>
          <w:color w:val="000000"/>
        </w:rPr>
        <w:t xml:space="preserve">were trained on methodologies for improving advocacy </w:t>
      </w:r>
      <w:r w:rsidR="00B67160">
        <w:rPr>
          <w:color w:val="000000"/>
        </w:rPr>
        <w:t>to</w:t>
      </w:r>
      <w:r w:rsidR="0011169F" w:rsidRPr="00D324D7">
        <w:rPr>
          <w:color w:val="000000"/>
        </w:rPr>
        <w:t xml:space="preserve"> promo</w:t>
      </w:r>
      <w:r w:rsidR="0011169F" w:rsidRPr="00405AAD">
        <w:rPr>
          <w:color w:val="000000"/>
        </w:rPr>
        <w:t>t</w:t>
      </w:r>
      <w:r w:rsidR="00B67160">
        <w:rPr>
          <w:color w:val="000000"/>
        </w:rPr>
        <w:t>e</w:t>
      </w:r>
      <w:r w:rsidR="0011169F" w:rsidRPr="00405AAD">
        <w:rPr>
          <w:color w:val="000000"/>
        </w:rPr>
        <w:t xml:space="preserve"> </w:t>
      </w:r>
      <w:r w:rsidR="003911C3" w:rsidRPr="00405AAD">
        <w:rPr>
          <w:color w:val="000000"/>
        </w:rPr>
        <w:t>greater respect for their rights through an increased understanding of the legal regime of protection of persons with disabilities.</w:t>
      </w:r>
    </w:p>
    <w:p w:rsidR="00463B52" w:rsidRPr="00405AAD" w:rsidRDefault="00463B52" w:rsidP="00893F80">
      <w:pPr>
        <w:pStyle w:val="H1G"/>
        <w:spacing w:line="360" w:lineRule="auto"/>
      </w:pPr>
      <w:r w:rsidRPr="00405AAD">
        <w:tab/>
      </w:r>
      <w:r w:rsidR="000220BB" w:rsidRPr="00405AAD">
        <w:t>C</w:t>
      </w:r>
      <w:r w:rsidRPr="00405AAD">
        <w:t>.</w:t>
      </w:r>
      <w:r w:rsidRPr="00405AAD">
        <w:tab/>
        <w:t>Administration of justice</w:t>
      </w:r>
    </w:p>
    <w:p w:rsidR="008C0350" w:rsidRPr="00D324D7" w:rsidRDefault="00D76194" w:rsidP="00893F80">
      <w:pPr>
        <w:pStyle w:val="H23G"/>
        <w:spacing w:line="360" w:lineRule="auto"/>
        <w:ind w:left="1140" w:hanging="435"/>
      </w:pPr>
      <w:r w:rsidRPr="00405AAD">
        <w:t>1.</w:t>
      </w:r>
      <w:r w:rsidRPr="00405AAD">
        <w:tab/>
      </w:r>
      <w:r w:rsidR="00CE3572">
        <w:t>J</w:t>
      </w:r>
      <w:r w:rsidR="008C0350" w:rsidRPr="00D324D7">
        <w:t>udicial system and respect for due process</w:t>
      </w:r>
    </w:p>
    <w:p w:rsidR="00217FA2" w:rsidRPr="00405AAD" w:rsidRDefault="00D76194" w:rsidP="00115BF9">
      <w:pPr>
        <w:pStyle w:val="SingleTxtG"/>
      </w:pPr>
      <w:r w:rsidRPr="00405AAD">
        <w:t>55.</w:t>
      </w:r>
      <w:r w:rsidRPr="00405AAD">
        <w:tab/>
      </w:r>
      <w:r w:rsidR="00217FA2" w:rsidRPr="00405AAD">
        <w:t>UNAMI</w:t>
      </w:r>
      <w:r w:rsidR="002E1763" w:rsidRPr="00405AAD">
        <w:t>/OHCHR</w:t>
      </w:r>
      <w:r w:rsidR="00217FA2" w:rsidRPr="00405AAD">
        <w:t xml:space="preserve"> </w:t>
      </w:r>
      <w:r w:rsidR="00404F11">
        <w:t xml:space="preserve">continued to work with relevant government and judicial departments to address </w:t>
      </w:r>
      <w:r w:rsidR="00765EDB">
        <w:t>shortcomings</w:t>
      </w:r>
      <w:r w:rsidR="00765EDB" w:rsidRPr="00405AAD">
        <w:t xml:space="preserve"> </w:t>
      </w:r>
      <w:r w:rsidR="00765EDB">
        <w:t xml:space="preserve">in the application of </w:t>
      </w:r>
      <w:r w:rsidR="00C1133E" w:rsidRPr="00405AAD">
        <w:t xml:space="preserve">due process and fair trial </w:t>
      </w:r>
      <w:r w:rsidR="00765EDB">
        <w:t>standards</w:t>
      </w:r>
      <w:r w:rsidR="00404F11">
        <w:t>.</w:t>
      </w:r>
      <w:r w:rsidR="00217FA2" w:rsidRPr="00405AAD">
        <w:t xml:space="preserve"> </w:t>
      </w:r>
      <w:r w:rsidR="00404F11">
        <w:t>Particular attention is given to respect for procedural guarantee</w:t>
      </w:r>
      <w:r w:rsidR="002E3A24">
        <w:t>s</w:t>
      </w:r>
      <w:r w:rsidR="0052248E">
        <w:t>,</w:t>
      </w:r>
      <w:r w:rsidR="00404F11">
        <w:t xml:space="preserve"> including </w:t>
      </w:r>
      <w:r w:rsidR="0052248E">
        <w:t xml:space="preserve">the </w:t>
      </w:r>
      <w:r w:rsidR="00404F11">
        <w:t xml:space="preserve">presumption of innocence, access to legal counsel, and consideration of </w:t>
      </w:r>
      <w:r w:rsidR="00844540">
        <w:t xml:space="preserve">the testimony of </w:t>
      </w:r>
      <w:r w:rsidR="00404F11">
        <w:t xml:space="preserve">witnesses and other evidence </w:t>
      </w:r>
      <w:r w:rsidR="00794066">
        <w:t xml:space="preserve">provided </w:t>
      </w:r>
      <w:r w:rsidR="00404F11">
        <w:t xml:space="preserve">as opposed to confessions that might have been extracted under duress.   </w:t>
      </w:r>
    </w:p>
    <w:p w:rsidR="00217FA2" w:rsidRPr="00405AAD" w:rsidRDefault="00D76194" w:rsidP="00115BF9">
      <w:pPr>
        <w:pStyle w:val="SingleTxtG"/>
      </w:pPr>
      <w:r w:rsidRPr="00405AAD">
        <w:t>56.</w:t>
      </w:r>
      <w:r w:rsidRPr="00405AAD">
        <w:tab/>
      </w:r>
      <w:r w:rsidR="000C5E6B" w:rsidRPr="00405AAD">
        <w:t>UNAMI/OHCHR assist</w:t>
      </w:r>
      <w:r w:rsidR="00DF21F3" w:rsidRPr="00405AAD">
        <w:t>s</w:t>
      </w:r>
      <w:r w:rsidR="000C5E6B" w:rsidRPr="00405AAD">
        <w:t xml:space="preserve"> the Government </w:t>
      </w:r>
      <w:r w:rsidR="00B67160">
        <w:t>in</w:t>
      </w:r>
      <w:r w:rsidR="00B67160" w:rsidRPr="00D324D7">
        <w:t xml:space="preserve"> </w:t>
      </w:r>
      <w:r w:rsidR="000C5E6B" w:rsidRPr="00405AAD">
        <w:t>implement</w:t>
      </w:r>
      <w:r w:rsidR="00B67160">
        <w:t>ing</w:t>
      </w:r>
      <w:r w:rsidR="000C5E6B" w:rsidRPr="00D324D7">
        <w:t xml:space="preserve"> law, policy and in</w:t>
      </w:r>
      <w:r w:rsidR="000C5E6B" w:rsidRPr="00405AAD">
        <w:t>stitutional reform</w:t>
      </w:r>
      <w:r w:rsidR="0026436A" w:rsidRPr="00405AAD">
        <w:t>s</w:t>
      </w:r>
      <w:r w:rsidR="000C5E6B" w:rsidRPr="00405AAD">
        <w:t xml:space="preserve"> </w:t>
      </w:r>
      <w:r w:rsidR="0026436A" w:rsidRPr="00405AAD">
        <w:t xml:space="preserve">aimed </w:t>
      </w:r>
      <w:r w:rsidR="000C5E6B" w:rsidRPr="00405AAD">
        <w:t xml:space="preserve">to bring about greater respect for the rule of law, </w:t>
      </w:r>
      <w:r w:rsidR="007C23A3" w:rsidRPr="00405AAD">
        <w:t xml:space="preserve">including </w:t>
      </w:r>
      <w:r w:rsidR="000C5E6B" w:rsidRPr="00405AAD">
        <w:t>due process and fair trial standards.</w:t>
      </w:r>
    </w:p>
    <w:p w:rsidR="008773FD" w:rsidRPr="00405AAD" w:rsidRDefault="00D76194" w:rsidP="00115BF9">
      <w:pPr>
        <w:pStyle w:val="SingleTxtG"/>
      </w:pPr>
      <w:r w:rsidRPr="00405AAD">
        <w:t>57.</w:t>
      </w:r>
      <w:r w:rsidRPr="00405AAD">
        <w:tab/>
      </w:r>
      <w:r w:rsidR="007C23A3" w:rsidRPr="00405AAD">
        <w:t xml:space="preserve">In May, </w:t>
      </w:r>
      <w:r w:rsidR="0026436A" w:rsidRPr="00405AAD">
        <w:t xml:space="preserve">UNAMI/OHCHR </w:t>
      </w:r>
      <w:r w:rsidR="00B67160">
        <w:t>gave</w:t>
      </w:r>
      <w:r w:rsidR="00B67160" w:rsidRPr="00D324D7">
        <w:t xml:space="preserve"> </w:t>
      </w:r>
      <w:r w:rsidR="000C5E6B" w:rsidRPr="00405AAD">
        <w:t xml:space="preserve">technical assistance to 30 lawyers from </w:t>
      </w:r>
      <w:r w:rsidR="007C23A3" w:rsidRPr="00405AAD">
        <w:t xml:space="preserve">Anbar, </w:t>
      </w:r>
      <w:r w:rsidR="000C5E6B" w:rsidRPr="00405AAD">
        <w:t xml:space="preserve">Baghdad, </w:t>
      </w:r>
      <w:proofErr w:type="spellStart"/>
      <w:r w:rsidR="000C5E6B" w:rsidRPr="00405AAD">
        <w:t>Diyala</w:t>
      </w:r>
      <w:proofErr w:type="spellEnd"/>
      <w:r w:rsidR="000C5E6B" w:rsidRPr="00405AAD">
        <w:t xml:space="preserve"> and </w:t>
      </w:r>
      <w:r w:rsidR="00B67160">
        <w:t>the Kurdistan region of Iraq</w:t>
      </w:r>
      <w:r w:rsidR="000C5E6B" w:rsidRPr="00405AAD">
        <w:t xml:space="preserve"> on the Basic Principles on the Role of Lawyers</w:t>
      </w:r>
      <w:proofErr w:type="gramStart"/>
      <w:r w:rsidR="00B67160">
        <w:t>,</w:t>
      </w:r>
      <w:proofErr w:type="gramEnd"/>
      <w:r w:rsidR="00B67160" w:rsidRPr="00405AAD" w:rsidDel="00B67160">
        <w:rPr>
          <w:rStyle w:val="FootnoteReference"/>
        </w:rPr>
        <w:t xml:space="preserve"> </w:t>
      </w:r>
      <w:r w:rsidR="000C5E6B" w:rsidRPr="00405AAD">
        <w:t xml:space="preserve">human rights standards in the administration of justice, and the legal framework for the </w:t>
      </w:r>
      <w:r w:rsidR="008D5FE8" w:rsidRPr="00D324D7">
        <w:t xml:space="preserve">protection of </w:t>
      </w:r>
      <w:r w:rsidR="00B67160">
        <w:t>internally displaced persons</w:t>
      </w:r>
      <w:r w:rsidR="000C5E6B" w:rsidRPr="00405AAD">
        <w:t xml:space="preserve">. </w:t>
      </w:r>
      <w:r w:rsidR="0026436A" w:rsidRPr="00405AAD">
        <w:t xml:space="preserve">UNAMI/OHCHR </w:t>
      </w:r>
      <w:r w:rsidR="000C5E6B" w:rsidRPr="00405AAD">
        <w:t>continues to provide capacity</w:t>
      </w:r>
      <w:r w:rsidR="00B67160">
        <w:t>-</w:t>
      </w:r>
      <w:r w:rsidR="000C5E6B" w:rsidRPr="00405AAD">
        <w:t>building assistance to justice actors to strengthen the rule of law and respect for due process</w:t>
      </w:r>
      <w:r w:rsidR="008773FD" w:rsidRPr="00405AAD">
        <w:t xml:space="preserve">, and in this regard will implement a project </w:t>
      </w:r>
      <w:r w:rsidR="004E2F68" w:rsidRPr="00405AAD">
        <w:t>to</w:t>
      </w:r>
      <w:r w:rsidR="008773FD" w:rsidRPr="00405AAD">
        <w:t xml:space="preserve"> facilitat</w:t>
      </w:r>
      <w:r w:rsidR="004E2F68" w:rsidRPr="00405AAD">
        <w:t>e</w:t>
      </w:r>
      <w:r w:rsidR="008773FD" w:rsidRPr="00405AAD">
        <w:t xml:space="preserve"> consultations with stakeholders </w:t>
      </w:r>
      <w:r w:rsidR="004E2F68" w:rsidRPr="00405AAD">
        <w:t xml:space="preserve">and </w:t>
      </w:r>
      <w:r w:rsidR="008773FD" w:rsidRPr="00405AAD">
        <w:t>develop human rights and rule of law training curricula for civilian law enforcement and corrective services officials.</w:t>
      </w:r>
    </w:p>
    <w:p w:rsidR="008C0350" w:rsidRPr="00D324D7" w:rsidRDefault="00D76194" w:rsidP="00115BF9">
      <w:pPr>
        <w:pStyle w:val="SingleTxtG"/>
      </w:pPr>
      <w:r w:rsidRPr="00405AAD">
        <w:t>58.</w:t>
      </w:r>
      <w:r w:rsidRPr="00405AAD">
        <w:tab/>
      </w:r>
      <w:r w:rsidR="0026436A" w:rsidRPr="00405AAD">
        <w:t xml:space="preserve">UNAMI/OHCHR </w:t>
      </w:r>
      <w:r w:rsidR="008C0350" w:rsidRPr="00405AAD">
        <w:t xml:space="preserve">also brought allegations of enforced disappearance to the attention of the Government. Multiple reports </w:t>
      </w:r>
      <w:r w:rsidR="00B67160">
        <w:t>were</w:t>
      </w:r>
      <w:r w:rsidR="008C0350" w:rsidRPr="00D324D7">
        <w:t xml:space="preserve"> received that individuals ha</w:t>
      </w:r>
      <w:r w:rsidR="00B67160">
        <w:t>d</w:t>
      </w:r>
      <w:r w:rsidR="008C0350" w:rsidRPr="00405AAD">
        <w:t xml:space="preserve"> been detained by Iraqi </w:t>
      </w:r>
      <w:r w:rsidR="008D5FE8" w:rsidRPr="00405AAD">
        <w:t xml:space="preserve">and Kurdish </w:t>
      </w:r>
      <w:r w:rsidR="008C0350" w:rsidRPr="00405AAD">
        <w:t>authorities</w:t>
      </w:r>
      <w:r w:rsidR="00B67160">
        <w:t>,</w:t>
      </w:r>
      <w:r w:rsidR="008C0350" w:rsidRPr="00D324D7">
        <w:t xml:space="preserve"> but their whereabouts ha</w:t>
      </w:r>
      <w:r w:rsidR="00B67160">
        <w:t>d</w:t>
      </w:r>
      <w:r w:rsidR="008C0350" w:rsidRPr="00405AAD">
        <w:t xml:space="preserve"> not been communicated to their families, detainees ha</w:t>
      </w:r>
      <w:r w:rsidR="00B67160">
        <w:t>d</w:t>
      </w:r>
      <w:r w:rsidR="008C0350" w:rsidRPr="00405AAD">
        <w:t xml:space="preserve"> not be</w:t>
      </w:r>
      <w:r w:rsidR="007C23A3" w:rsidRPr="00405AAD">
        <w:t>en</w:t>
      </w:r>
      <w:r w:rsidR="008C0350" w:rsidRPr="00405AAD">
        <w:t xml:space="preserve"> informed of the charges against them, they ha</w:t>
      </w:r>
      <w:r w:rsidR="00B67160">
        <w:t>d</w:t>
      </w:r>
      <w:r w:rsidR="008C0350" w:rsidRPr="00405AAD">
        <w:t xml:space="preserve"> been denied access to legal representatives or were being held incommunicado. </w:t>
      </w:r>
      <w:r w:rsidR="0026436A" w:rsidRPr="00405AAD">
        <w:t>UNAMI/OHCHR</w:t>
      </w:r>
      <w:r w:rsidR="008C0350" w:rsidRPr="00405AAD">
        <w:t xml:space="preserve"> engaged with the Minister of </w:t>
      </w:r>
      <w:r w:rsidR="00B67160">
        <w:t xml:space="preserve">the </w:t>
      </w:r>
      <w:r w:rsidR="008C0350" w:rsidRPr="00D324D7">
        <w:t xml:space="preserve">Interior, the Minister </w:t>
      </w:r>
      <w:r w:rsidR="00B67160">
        <w:t>for</w:t>
      </w:r>
      <w:r w:rsidR="00B67160" w:rsidRPr="00D324D7">
        <w:t xml:space="preserve"> </w:t>
      </w:r>
      <w:r w:rsidR="008C0350" w:rsidRPr="00405AAD">
        <w:t xml:space="preserve">Defence, the Minister for Human Rights and the Minister </w:t>
      </w:r>
      <w:r w:rsidR="00B67160">
        <w:t>for</w:t>
      </w:r>
      <w:r w:rsidR="008C0350" w:rsidRPr="00405AAD">
        <w:t xml:space="preserve"> Justice to ascertain whether disappeared individuals ha</w:t>
      </w:r>
      <w:r w:rsidR="00B67160">
        <w:t>d</w:t>
      </w:r>
      <w:r w:rsidR="008C0350" w:rsidRPr="00405AAD">
        <w:t xml:space="preserve"> been detained by any </w:t>
      </w:r>
      <w:r w:rsidR="007C23A3" w:rsidRPr="00405AAD">
        <w:t xml:space="preserve">Iraqi </w:t>
      </w:r>
      <w:r w:rsidR="008C0350" w:rsidRPr="00405AAD">
        <w:t xml:space="preserve">authorities and, if so, </w:t>
      </w:r>
      <w:r w:rsidR="00B67160">
        <w:t>requested that they</w:t>
      </w:r>
      <w:r w:rsidR="008C0350" w:rsidRPr="00405AAD">
        <w:t xml:space="preserve"> provide information on the whereabouts and condition of specified individuals, as well as </w:t>
      </w:r>
      <w:r w:rsidR="00B67160">
        <w:t xml:space="preserve">on </w:t>
      </w:r>
      <w:r w:rsidR="008C0350" w:rsidRPr="00D324D7">
        <w:t xml:space="preserve">the status of any legal proceedings against them. </w:t>
      </w:r>
      <w:r w:rsidR="005E1F16">
        <w:t>In June 2015 t</w:t>
      </w:r>
      <w:r w:rsidR="00404F11">
        <w:t xml:space="preserve">he Government </w:t>
      </w:r>
      <w:r w:rsidR="00844540">
        <w:t xml:space="preserve">of Iraq </w:t>
      </w:r>
      <w:r w:rsidR="00765CA2">
        <w:t xml:space="preserve">responded to </w:t>
      </w:r>
      <w:r w:rsidR="00844540">
        <w:t xml:space="preserve">the </w:t>
      </w:r>
      <w:r w:rsidR="00765CA2">
        <w:t xml:space="preserve">queries of the Committee on </w:t>
      </w:r>
      <w:r w:rsidR="00844540">
        <w:t>E</w:t>
      </w:r>
      <w:r w:rsidR="00765CA2">
        <w:t xml:space="preserve">nforced </w:t>
      </w:r>
      <w:r w:rsidR="00844540">
        <w:t>D</w:t>
      </w:r>
      <w:r w:rsidR="00765CA2">
        <w:t>isappearance</w:t>
      </w:r>
      <w:r w:rsidR="002E3A24">
        <w:t>s</w:t>
      </w:r>
      <w:r w:rsidR="00765CA2">
        <w:t xml:space="preserve"> in relation to </w:t>
      </w:r>
      <w:r w:rsidR="00404F11">
        <w:t>three cases</w:t>
      </w:r>
      <w:r w:rsidR="00765CA2">
        <w:t xml:space="preserve">. </w:t>
      </w:r>
    </w:p>
    <w:p w:rsidR="00463B52" w:rsidRPr="00405AAD" w:rsidRDefault="00D76194" w:rsidP="00893F80">
      <w:pPr>
        <w:pStyle w:val="H23G"/>
        <w:spacing w:line="360" w:lineRule="auto"/>
        <w:ind w:left="1140" w:hanging="435"/>
      </w:pPr>
      <w:r w:rsidRPr="00405AAD">
        <w:t>2.</w:t>
      </w:r>
      <w:r w:rsidRPr="00405AAD">
        <w:tab/>
      </w:r>
      <w:r w:rsidR="00F618F9" w:rsidRPr="00405AAD">
        <w:t>Detention standards</w:t>
      </w:r>
    </w:p>
    <w:p w:rsidR="00576E7A" w:rsidRPr="00D324D7" w:rsidRDefault="00D76194" w:rsidP="00115BF9">
      <w:pPr>
        <w:pStyle w:val="SingleTxtG"/>
        <w:spacing w:line="240" w:lineRule="exact"/>
      </w:pPr>
      <w:r w:rsidRPr="00405AAD">
        <w:t>59.</w:t>
      </w:r>
      <w:r w:rsidRPr="00405AAD">
        <w:tab/>
      </w:r>
      <w:r w:rsidR="0042767E" w:rsidRPr="00405AAD">
        <w:t xml:space="preserve">According to the Government, as </w:t>
      </w:r>
      <w:r w:rsidR="00B67160">
        <w:t>at</w:t>
      </w:r>
      <w:r w:rsidR="00B67160" w:rsidRPr="00D324D7">
        <w:t xml:space="preserve"> </w:t>
      </w:r>
      <w:r w:rsidR="0042767E" w:rsidRPr="00405AAD">
        <w:t xml:space="preserve">14 April 2014, 27,843 persons </w:t>
      </w:r>
      <w:r w:rsidR="007C23A3" w:rsidRPr="00405AAD">
        <w:t xml:space="preserve">were </w:t>
      </w:r>
      <w:r w:rsidR="0042767E" w:rsidRPr="00405AAD">
        <w:t>being held in detention centres and prisons administered by the Ministry of Justice</w:t>
      </w:r>
      <w:r w:rsidR="00A815A5" w:rsidRPr="00405AAD">
        <w:t>. This</w:t>
      </w:r>
      <w:r w:rsidR="0042767E" w:rsidRPr="00405AAD">
        <w:t xml:space="preserve"> </w:t>
      </w:r>
      <w:r w:rsidR="00B83097">
        <w:t xml:space="preserve">number </w:t>
      </w:r>
      <w:r w:rsidR="0042767E" w:rsidRPr="00D324D7">
        <w:t>include</w:t>
      </w:r>
      <w:r w:rsidR="00B83097">
        <w:t>d</w:t>
      </w:r>
      <w:r w:rsidR="0042767E" w:rsidRPr="00405AAD">
        <w:t xml:space="preserve"> 11,779 detained under the Anti-terrorism Law (both </w:t>
      </w:r>
      <w:r w:rsidR="00A815A5" w:rsidRPr="00405AAD">
        <w:t>those awaiting trial and those convicted), 926 women and 181 juveniles.</w:t>
      </w:r>
      <w:r w:rsidR="00A815A5" w:rsidRPr="00893F80">
        <w:rPr>
          <w:sz w:val="18"/>
          <w:szCs w:val="18"/>
          <w:vertAlign w:val="superscript"/>
        </w:rPr>
        <w:footnoteReference w:id="11"/>
      </w:r>
      <w:r w:rsidR="00A815A5" w:rsidRPr="00405AAD">
        <w:t xml:space="preserve"> </w:t>
      </w:r>
    </w:p>
    <w:p w:rsidR="0026436A" w:rsidRPr="00405AAD" w:rsidRDefault="00D76194" w:rsidP="00115BF9">
      <w:pPr>
        <w:pStyle w:val="SingleTxtG"/>
        <w:spacing w:line="240" w:lineRule="exact"/>
      </w:pPr>
      <w:r w:rsidRPr="00405AAD">
        <w:t>6</w:t>
      </w:r>
      <w:r w:rsidR="00310D93">
        <w:t>0</w:t>
      </w:r>
      <w:r w:rsidRPr="00405AAD">
        <w:t>.</w:t>
      </w:r>
      <w:r w:rsidRPr="00405AAD">
        <w:tab/>
      </w:r>
      <w:r w:rsidR="0086272B">
        <w:t>W</w:t>
      </w:r>
      <w:r w:rsidR="0086272B" w:rsidRPr="005C73F8">
        <w:t>here security conditions allow</w:t>
      </w:r>
      <w:r w:rsidR="0086272B">
        <w:t>,</w:t>
      </w:r>
      <w:r w:rsidR="0086272B" w:rsidRPr="00D324D7">
        <w:t xml:space="preserve"> </w:t>
      </w:r>
      <w:r w:rsidR="00217FA2" w:rsidRPr="00405AAD">
        <w:t xml:space="preserve">UNAMI/OHCHR regularly </w:t>
      </w:r>
      <w:r w:rsidR="009567D1" w:rsidRPr="00405AAD">
        <w:t xml:space="preserve">visits </w:t>
      </w:r>
      <w:r w:rsidR="00217FA2" w:rsidRPr="00405AAD">
        <w:t>detention centres</w:t>
      </w:r>
      <w:r w:rsidR="00C1133E" w:rsidRPr="00405AAD">
        <w:t xml:space="preserve"> and prisons under the authority of the Ministry of </w:t>
      </w:r>
      <w:r w:rsidR="009567D1" w:rsidRPr="00405AAD">
        <w:t>Justice</w:t>
      </w:r>
      <w:r w:rsidR="004169D4" w:rsidRPr="00405AAD">
        <w:t xml:space="preserve">. </w:t>
      </w:r>
      <w:r w:rsidR="00C24387" w:rsidRPr="00405AAD">
        <w:t xml:space="preserve">Although </w:t>
      </w:r>
      <w:r w:rsidR="0086272B" w:rsidRPr="00D73A88">
        <w:t>conditions of detention</w:t>
      </w:r>
      <w:r w:rsidR="0086272B">
        <w:t xml:space="preserve"> have</w:t>
      </w:r>
      <w:r w:rsidR="0086272B" w:rsidRPr="00D324D7">
        <w:t xml:space="preserve"> </w:t>
      </w:r>
      <w:r w:rsidR="00C24387" w:rsidRPr="00405AAD">
        <w:t>improve</w:t>
      </w:r>
      <w:r w:rsidR="0086272B">
        <w:t>d</w:t>
      </w:r>
      <w:r w:rsidR="00C24387" w:rsidRPr="00405AAD">
        <w:t>, problems persist</w:t>
      </w:r>
      <w:r w:rsidR="007C23A3" w:rsidRPr="00405AAD">
        <w:t>,</w:t>
      </w:r>
      <w:r w:rsidR="00C24387" w:rsidRPr="00405AAD">
        <w:t xml:space="preserve"> including overcrowding, poor hygienic conditions and limited medical services in some facilities. UNAMI/OHCHR also noted a lack of specialized facilities to a</w:t>
      </w:r>
      <w:r w:rsidR="008E2FFA" w:rsidRPr="00405AAD">
        <w:t>ccommodate women and children</w:t>
      </w:r>
      <w:r w:rsidR="0086272B">
        <w:t>,</w:t>
      </w:r>
      <w:r w:rsidR="00860D0A" w:rsidRPr="00D324D7">
        <w:t xml:space="preserve"> who</w:t>
      </w:r>
      <w:r w:rsidR="0026436A" w:rsidRPr="00405AAD">
        <w:t xml:space="preserve"> are often held in cells in police stations</w:t>
      </w:r>
      <w:r w:rsidR="00860D0A" w:rsidRPr="00405AAD">
        <w:t>. C</w:t>
      </w:r>
      <w:r w:rsidR="0026436A" w:rsidRPr="00405AAD">
        <w:t xml:space="preserve">hildren are often interned in adult facilities. </w:t>
      </w:r>
    </w:p>
    <w:p w:rsidR="00217FA2" w:rsidRPr="00405AAD" w:rsidRDefault="00D76194" w:rsidP="00115BF9">
      <w:pPr>
        <w:pStyle w:val="SingleTxtG"/>
        <w:spacing w:line="240" w:lineRule="exact"/>
      </w:pPr>
      <w:r w:rsidRPr="00405AAD">
        <w:t>6</w:t>
      </w:r>
      <w:r w:rsidR="00310D93">
        <w:t>1</w:t>
      </w:r>
      <w:r w:rsidRPr="00405AAD">
        <w:t>.</w:t>
      </w:r>
      <w:r w:rsidRPr="00405AAD">
        <w:tab/>
      </w:r>
      <w:r w:rsidR="00217FA2" w:rsidRPr="00405AAD">
        <w:t>Thr</w:t>
      </w:r>
      <w:r w:rsidR="00C24387" w:rsidRPr="00405AAD">
        <w:t>ough its</w:t>
      </w:r>
      <w:r w:rsidR="00217FA2" w:rsidRPr="00405AAD">
        <w:t xml:space="preserve"> monitoring, </w:t>
      </w:r>
      <w:r w:rsidR="00860D0A" w:rsidRPr="00405AAD">
        <w:t xml:space="preserve">UNAMI/OHCHR </w:t>
      </w:r>
      <w:r w:rsidR="00217FA2" w:rsidRPr="00405AAD">
        <w:t xml:space="preserve">notified </w:t>
      </w:r>
      <w:r w:rsidR="0086272B">
        <w:t xml:space="preserve">the </w:t>
      </w:r>
      <w:r w:rsidR="00217FA2" w:rsidRPr="00D324D7">
        <w:t xml:space="preserve">authorities </w:t>
      </w:r>
      <w:r w:rsidR="0086272B">
        <w:t xml:space="preserve">responsible for detention </w:t>
      </w:r>
      <w:r w:rsidR="00217FA2" w:rsidRPr="00D324D7">
        <w:t xml:space="preserve">facilities and </w:t>
      </w:r>
      <w:r w:rsidR="00C1133E" w:rsidRPr="00405AAD">
        <w:t xml:space="preserve">the Ministry of Justice </w:t>
      </w:r>
      <w:r w:rsidR="00217FA2" w:rsidRPr="00405AAD">
        <w:t xml:space="preserve">of issues </w:t>
      </w:r>
      <w:r w:rsidR="007C23A3" w:rsidRPr="00405AAD">
        <w:t xml:space="preserve">of concern </w:t>
      </w:r>
      <w:r w:rsidR="00217FA2" w:rsidRPr="00405AAD">
        <w:t xml:space="preserve">and cases requiring attention. </w:t>
      </w:r>
      <w:r w:rsidR="0086272B">
        <w:t>It</w:t>
      </w:r>
      <w:r w:rsidR="00217FA2" w:rsidRPr="00405AAD">
        <w:t xml:space="preserve"> also made recommendations </w:t>
      </w:r>
      <w:r w:rsidR="0086272B">
        <w:t>on</w:t>
      </w:r>
      <w:r w:rsidR="00217FA2" w:rsidRPr="00405AAD">
        <w:t xml:space="preserve"> improv</w:t>
      </w:r>
      <w:r w:rsidR="0086272B">
        <w:t>ing</w:t>
      </w:r>
      <w:r w:rsidR="00217FA2" w:rsidRPr="00405AAD">
        <w:t xml:space="preserve"> conditions of detention to bring them in</w:t>
      </w:r>
      <w:r w:rsidR="0086272B">
        <w:t>to</w:t>
      </w:r>
      <w:r w:rsidR="00217FA2" w:rsidRPr="00D324D7">
        <w:t xml:space="preserve"> line with international standards.</w:t>
      </w:r>
      <w:r w:rsidR="0026436A" w:rsidRPr="00405AAD">
        <w:t xml:space="preserve"> Owing to the security situation in the country and the transfer of prisoners and detainees </w:t>
      </w:r>
      <w:r w:rsidR="007C23A3" w:rsidRPr="00405AAD">
        <w:t>to safe areas</w:t>
      </w:r>
      <w:r w:rsidR="00EE2C29" w:rsidRPr="00405AAD">
        <w:t>,</w:t>
      </w:r>
      <w:r w:rsidR="007C23A3" w:rsidRPr="00405AAD">
        <w:t xml:space="preserve"> </w:t>
      </w:r>
      <w:r w:rsidR="0026436A" w:rsidRPr="00405AAD">
        <w:t xml:space="preserve">detention centres and prisons </w:t>
      </w:r>
      <w:r w:rsidR="00EE2C29" w:rsidRPr="00405AAD">
        <w:t xml:space="preserve">have suffered </w:t>
      </w:r>
      <w:r w:rsidR="0026436A" w:rsidRPr="00405AAD">
        <w:t xml:space="preserve">serious overcrowding </w:t>
      </w:r>
      <w:r w:rsidR="00EE2C29" w:rsidRPr="00405AAD">
        <w:t>in already</w:t>
      </w:r>
      <w:r w:rsidR="0026436A" w:rsidRPr="00405AAD">
        <w:t xml:space="preserve"> </w:t>
      </w:r>
      <w:r w:rsidR="0086272B">
        <w:t>inadequate</w:t>
      </w:r>
      <w:r w:rsidR="0086272B" w:rsidRPr="00D324D7">
        <w:t xml:space="preserve"> </w:t>
      </w:r>
      <w:r w:rsidR="00EE2C29" w:rsidRPr="00405AAD">
        <w:t xml:space="preserve">penitentiary </w:t>
      </w:r>
      <w:r w:rsidR="0026436A" w:rsidRPr="00405AAD">
        <w:t>infrastructure.</w:t>
      </w:r>
    </w:p>
    <w:p w:rsidR="00EE2C29" w:rsidRPr="00405AAD" w:rsidRDefault="00D76194" w:rsidP="00115BF9">
      <w:pPr>
        <w:pStyle w:val="SingleTxtG"/>
        <w:spacing w:line="240" w:lineRule="exact"/>
      </w:pPr>
      <w:r w:rsidRPr="00405AAD">
        <w:t>6</w:t>
      </w:r>
      <w:r w:rsidR="00310D93">
        <w:t>2</w:t>
      </w:r>
      <w:r w:rsidRPr="00405AAD">
        <w:t>.</w:t>
      </w:r>
      <w:r w:rsidRPr="00405AAD">
        <w:tab/>
      </w:r>
      <w:r w:rsidR="00217FA2" w:rsidRPr="00405AAD">
        <w:t xml:space="preserve">For instance, in early April, </w:t>
      </w:r>
      <w:r w:rsidR="00860D0A" w:rsidRPr="00405AAD">
        <w:t xml:space="preserve">UNAMI/OHCHR </w:t>
      </w:r>
      <w:r w:rsidR="00217FA2" w:rsidRPr="00405AAD">
        <w:t xml:space="preserve">visited the Basra Central Prison, where many individuals held for terrorism-related offences are detained. UNAMI met with the </w:t>
      </w:r>
      <w:r w:rsidR="00D56DD5" w:rsidRPr="00405AAD">
        <w:t xml:space="preserve">director </w:t>
      </w:r>
      <w:r w:rsidR="00217FA2" w:rsidRPr="00405AAD">
        <w:t xml:space="preserve">to discuss compliance with due process standards, particularly the right of detainees to have access to a lawyer while in detention </w:t>
      </w:r>
      <w:r w:rsidR="00C1133E" w:rsidRPr="00405AAD">
        <w:t xml:space="preserve">and facilitation of the right of the </w:t>
      </w:r>
      <w:r w:rsidR="00217FA2" w:rsidRPr="00405AAD">
        <w:t xml:space="preserve">accused to prepare an adequate defence. The duties of prison officials </w:t>
      </w:r>
      <w:r w:rsidR="00C1133E" w:rsidRPr="00405AAD">
        <w:t xml:space="preserve">and procedures that should be in place </w:t>
      </w:r>
      <w:r w:rsidR="00217FA2" w:rsidRPr="00405AAD">
        <w:t xml:space="preserve">when faced with credible allegations of torture were also discussed. </w:t>
      </w:r>
      <w:r w:rsidR="0026436A" w:rsidRPr="00405AAD">
        <w:t xml:space="preserve">The director </w:t>
      </w:r>
      <w:r w:rsidR="0086272B">
        <w:t>pointed out</w:t>
      </w:r>
      <w:r w:rsidR="0086272B" w:rsidRPr="00D324D7">
        <w:t xml:space="preserve"> </w:t>
      </w:r>
      <w:r w:rsidR="0026436A" w:rsidRPr="00405AAD">
        <w:t>that</w:t>
      </w:r>
      <w:r w:rsidR="0086272B">
        <w:t>,</w:t>
      </w:r>
      <w:r w:rsidR="0026436A" w:rsidRPr="00D324D7">
        <w:t xml:space="preserve"> owing to transfers of detainees from other parts of Iraq, the facility </w:t>
      </w:r>
      <w:r w:rsidR="0026436A" w:rsidRPr="00405AAD">
        <w:t>host</w:t>
      </w:r>
      <w:r w:rsidR="0086272B">
        <w:t>ed</w:t>
      </w:r>
      <w:r w:rsidR="0026436A" w:rsidRPr="00405AAD">
        <w:t xml:space="preserve"> twice as many </w:t>
      </w:r>
      <w:r w:rsidR="00755974" w:rsidRPr="00405AAD">
        <w:t xml:space="preserve">detainees </w:t>
      </w:r>
      <w:r w:rsidR="0026436A" w:rsidRPr="00405AAD">
        <w:t xml:space="preserve">than its maximum capacity. </w:t>
      </w:r>
      <w:r w:rsidR="00EE2C29" w:rsidRPr="00405AAD">
        <w:t xml:space="preserve">Similarly, the </w:t>
      </w:r>
      <w:r w:rsidR="0086272B">
        <w:t>d</w:t>
      </w:r>
      <w:r w:rsidR="00EE2C29" w:rsidRPr="00405AAD">
        <w:t xml:space="preserve">irector of </w:t>
      </w:r>
      <w:r w:rsidR="0086272B">
        <w:t>a</w:t>
      </w:r>
      <w:r w:rsidR="00EE2C29" w:rsidRPr="00405AAD">
        <w:t>l</w:t>
      </w:r>
      <w:r w:rsidR="0086272B">
        <w:t>-</w:t>
      </w:r>
      <w:r w:rsidR="00EE2C29" w:rsidRPr="00405AAD">
        <w:t xml:space="preserve">Hoot prison in </w:t>
      </w:r>
      <w:proofErr w:type="spellStart"/>
      <w:r w:rsidR="00EE2C29" w:rsidRPr="00405AAD">
        <w:t>Nassiyira</w:t>
      </w:r>
      <w:proofErr w:type="spellEnd"/>
      <w:r w:rsidR="00EE2C29" w:rsidRPr="00405AAD">
        <w:t xml:space="preserve"> </w:t>
      </w:r>
      <w:r w:rsidR="0086272B">
        <w:t xml:space="preserve">pointed out the same problem in </w:t>
      </w:r>
      <w:r w:rsidR="00EE2C29" w:rsidRPr="00405AAD">
        <w:t>his facility.</w:t>
      </w:r>
    </w:p>
    <w:p w:rsidR="00217FA2" w:rsidRPr="00405AAD" w:rsidRDefault="00D76194" w:rsidP="00115BF9">
      <w:pPr>
        <w:pStyle w:val="SingleTxtG"/>
        <w:spacing w:line="240" w:lineRule="exact"/>
      </w:pPr>
      <w:r w:rsidRPr="00405AAD">
        <w:t>6</w:t>
      </w:r>
      <w:r w:rsidR="005E1F16">
        <w:t>3</w:t>
      </w:r>
      <w:r w:rsidRPr="00405AAD">
        <w:t>.</w:t>
      </w:r>
      <w:r w:rsidRPr="00405AAD">
        <w:tab/>
      </w:r>
      <w:r w:rsidR="0026436A" w:rsidRPr="00405AAD">
        <w:t xml:space="preserve">Overcrowding was exacerbated by </w:t>
      </w:r>
      <w:r w:rsidR="0086272B">
        <w:t xml:space="preserve">the </w:t>
      </w:r>
      <w:r w:rsidR="0026436A" w:rsidRPr="00D324D7">
        <w:t xml:space="preserve">lack of adequate resources </w:t>
      </w:r>
      <w:r w:rsidR="0086272B">
        <w:t>for</w:t>
      </w:r>
      <w:r w:rsidR="0086272B" w:rsidRPr="00D324D7">
        <w:t xml:space="preserve"> </w:t>
      </w:r>
      <w:r w:rsidR="0026436A" w:rsidRPr="00405AAD">
        <w:t xml:space="preserve">the judiciary to process cases in a timely and efficient manner. </w:t>
      </w:r>
    </w:p>
    <w:p w:rsidR="00217FA2" w:rsidRPr="00405AAD" w:rsidRDefault="00D76194" w:rsidP="00115BF9">
      <w:pPr>
        <w:pStyle w:val="SingleTxtG"/>
        <w:spacing w:line="240" w:lineRule="exact"/>
      </w:pPr>
      <w:r w:rsidRPr="00405AAD">
        <w:t>6</w:t>
      </w:r>
      <w:r w:rsidR="00310D93">
        <w:t>4</w:t>
      </w:r>
      <w:r w:rsidRPr="00405AAD">
        <w:t>.</w:t>
      </w:r>
      <w:r w:rsidRPr="00405AAD">
        <w:tab/>
      </w:r>
      <w:r w:rsidR="00EE2C29" w:rsidRPr="00405AAD">
        <w:t xml:space="preserve">On 14 April, </w:t>
      </w:r>
      <w:r w:rsidR="00860D0A" w:rsidRPr="00405AAD">
        <w:t xml:space="preserve">UNAMI/OHCHR </w:t>
      </w:r>
      <w:r w:rsidR="00217FA2" w:rsidRPr="00405AAD">
        <w:t>visited al-</w:t>
      </w:r>
      <w:proofErr w:type="spellStart"/>
      <w:r w:rsidR="00217FA2" w:rsidRPr="00405AAD">
        <w:t>Rusafa</w:t>
      </w:r>
      <w:proofErr w:type="spellEnd"/>
      <w:r w:rsidR="00217FA2" w:rsidRPr="00405AAD">
        <w:t xml:space="preserve"> detention faci</w:t>
      </w:r>
      <w:r w:rsidR="008E2FFA" w:rsidRPr="00405AAD">
        <w:t>lity in Baghdad</w:t>
      </w:r>
      <w:r w:rsidR="00217FA2" w:rsidRPr="00405AAD">
        <w:t xml:space="preserve"> and subsequently sent recommendations </w:t>
      </w:r>
      <w:r w:rsidR="00EE2C29" w:rsidRPr="00405AAD">
        <w:t xml:space="preserve">to the Ministry of Justice </w:t>
      </w:r>
      <w:r w:rsidR="0086272B">
        <w:t>on</w:t>
      </w:r>
      <w:r w:rsidR="0086272B" w:rsidRPr="00D324D7">
        <w:t xml:space="preserve"> </w:t>
      </w:r>
      <w:r w:rsidR="00217FA2" w:rsidRPr="00405AAD">
        <w:t>improv</w:t>
      </w:r>
      <w:r w:rsidR="0086272B">
        <w:t>ing</w:t>
      </w:r>
      <w:r w:rsidR="00217FA2" w:rsidRPr="00405AAD">
        <w:t xml:space="preserve"> </w:t>
      </w:r>
      <w:r w:rsidR="0086272B">
        <w:t xml:space="preserve">the </w:t>
      </w:r>
      <w:r w:rsidR="00217FA2" w:rsidRPr="00D324D7">
        <w:t>conditions of dete</w:t>
      </w:r>
      <w:r w:rsidR="00217FA2" w:rsidRPr="00405AAD">
        <w:t xml:space="preserve">ntion. In June, </w:t>
      </w:r>
      <w:r w:rsidR="00860D0A" w:rsidRPr="00405AAD">
        <w:t xml:space="preserve">UNAMI/OHCHR </w:t>
      </w:r>
      <w:r w:rsidR="00217FA2" w:rsidRPr="00405AAD">
        <w:t xml:space="preserve">visited several detention facilities in </w:t>
      </w:r>
      <w:proofErr w:type="spellStart"/>
      <w:r w:rsidR="00217FA2" w:rsidRPr="00405AAD">
        <w:t>Zakho</w:t>
      </w:r>
      <w:proofErr w:type="spellEnd"/>
      <w:r w:rsidR="00217FA2" w:rsidRPr="00405AAD">
        <w:t xml:space="preserve">, </w:t>
      </w:r>
      <w:proofErr w:type="spellStart"/>
      <w:r w:rsidR="00217FA2" w:rsidRPr="00405AAD">
        <w:t>Dohuk</w:t>
      </w:r>
      <w:proofErr w:type="spellEnd"/>
      <w:r w:rsidR="00217FA2" w:rsidRPr="00405AAD">
        <w:t xml:space="preserve"> </w:t>
      </w:r>
      <w:r w:rsidR="00EE2C29" w:rsidRPr="00405AAD">
        <w:t>Governorate</w:t>
      </w:r>
      <w:r w:rsidR="00217FA2" w:rsidRPr="00405AAD">
        <w:t xml:space="preserve">, and raised concerns </w:t>
      </w:r>
      <w:r w:rsidR="00EE2C29" w:rsidRPr="00405AAD">
        <w:t xml:space="preserve">with relevant authorities </w:t>
      </w:r>
      <w:r w:rsidR="00217FA2" w:rsidRPr="00405AAD">
        <w:t xml:space="preserve">regarding the conditions of detention at an </w:t>
      </w:r>
      <w:proofErr w:type="spellStart"/>
      <w:r w:rsidR="00217FA2" w:rsidRPr="00405AAD">
        <w:rPr>
          <w:i/>
          <w:iCs/>
        </w:rPr>
        <w:t>Asayish</w:t>
      </w:r>
      <w:proofErr w:type="spellEnd"/>
      <w:r w:rsidR="00217FA2" w:rsidRPr="00405AAD">
        <w:t xml:space="preserve"> facility. </w:t>
      </w:r>
    </w:p>
    <w:p w:rsidR="00F618F9" w:rsidRPr="00405AAD" w:rsidRDefault="00D76194" w:rsidP="00115BF9">
      <w:pPr>
        <w:pStyle w:val="SingleTxtG"/>
        <w:spacing w:line="240" w:lineRule="exact"/>
      </w:pPr>
      <w:r w:rsidRPr="00405AAD">
        <w:t>6</w:t>
      </w:r>
      <w:r w:rsidR="00310D93">
        <w:t>5</w:t>
      </w:r>
      <w:r w:rsidRPr="00405AAD">
        <w:t>.</w:t>
      </w:r>
      <w:r w:rsidRPr="00405AAD">
        <w:tab/>
      </w:r>
      <w:r w:rsidR="00217FA2" w:rsidRPr="00405AAD">
        <w:t xml:space="preserve">In late April, in coordination with the management of </w:t>
      </w:r>
      <w:r w:rsidR="0086272B">
        <w:t>a</w:t>
      </w:r>
      <w:r w:rsidR="00217FA2" w:rsidRPr="00405AAD">
        <w:t>l</w:t>
      </w:r>
      <w:r w:rsidR="0086272B">
        <w:t>-</w:t>
      </w:r>
      <w:proofErr w:type="spellStart"/>
      <w:r w:rsidR="00217FA2" w:rsidRPr="00405AAD">
        <w:t>Ma’aqal</w:t>
      </w:r>
      <w:proofErr w:type="spellEnd"/>
      <w:r w:rsidR="00217FA2" w:rsidRPr="00405AAD">
        <w:t xml:space="preserve"> Prison in Basra, UNAMI</w:t>
      </w:r>
      <w:r w:rsidR="005308A1" w:rsidRPr="00405AAD">
        <w:t>/OHCHR</w:t>
      </w:r>
      <w:r w:rsidR="00217FA2" w:rsidRPr="00405AAD">
        <w:t xml:space="preserve"> held a seminar where exper</w:t>
      </w:r>
      <w:r w:rsidR="00C1133E" w:rsidRPr="00405AAD">
        <w:t>ts from the University of Basra</w:t>
      </w:r>
      <w:r w:rsidR="00217FA2" w:rsidRPr="00405AAD">
        <w:t xml:space="preserve"> </w:t>
      </w:r>
      <w:r w:rsidR="002C346E" w:rsidRPr="00405AAD">
        <w:t xml:space="preserve">delivered </w:t>
      </w:r>
      <w:r w:rsidR="00217FA2" w:rsidRPr="00405AAD">
        <w:t xml:space="preserve">presentations on prison management, treatment of detainees, and </w:t>
      </w:r>
      <w:r w:rsidR="00876F1D">
        <w:t xml:space="preserve">their </w:t>
      </w:r>
      <w:r w:rsidR="006610DC" w:rsidRPr="00D324D7">
        <w:rPr>
          <w:color w:val="000000"/>
        </w:rPr>
        <w:t xml:space="preserve">reintegration </w:t>
      </w:r>
      <w:r w:rsidR="00217FA2" w:rsidRPr="00405AAD">
        <w:rPr>
          <w:color w:val="000000"/>
        </w:rPr>
        <w:t xml:space="preserve">into society. The experts discussed, </w:t>
      </w:r>
      <w:r w:rsidR="00217FA2" w:rsidRPr="00893F80">
        <w:rPr>
          <w:color w:val="000000"/>
        </w:rPr>
        <w:t>inter alia</w:t>
      </w:r>
      <w:r w:rsidR="00217FA2" w:rsidRPr="00D324D7">
        <w:rPr>
          <w:color w:val="000000"/>
        </w:rPr>
        <w:t>, internat</w:t>
      </w:r>
      <w:r w:rsidR="00217FA2" w:rsidRPr="00405AAD">
        <w:rPr>
          <w:color w:val="000000"/>
        </w:rPr>
        <w:t xml:space="preserve">ional legal standards applicable to persons deprived of their liberty and </w:t>
      </w:r>
      <w:r w:rsidR="006610DC" w:rsidRPr="00405AAD">
        <w:rPr>
          <w:color w:val="000000"/>
        </w:rPr>
        <w:t xml:space="preserve">comparative </w:t>
      </w:r>
      <w:r w:rsidR="00217FA2" w:rsidRPr="00405AAD">
        <w:rPr>
          <w:color w:val="000000"/>
        </w:rPr>
        <w:t xml:space="preserve">best practices </w:t>
      </w:r>
      <w:r w:rsidR="00876F1D">
        <w:rPr>
          <w:color w:val="000000"/>
        </w:rPr>
        <w:t>in</w:t>
      </w:r>
      <w:r w:rsidR="00876F1D" w:rsidRPr="00D324D7">
        <w:rPr>
          <w:color w:val="000000"/>
        </w:rPr>
        <w:t xml:space="preserve"> </w:t>
      </w:r>
      <w:r w:rsidR="00217FA2" w:rsidRPr="00405AAD">
        <w:rPr>
          <w:color w:val="000000"/>
        </w:rPr>
        <w:t xml:space="preserve">prison management that </w:t>
      </w:r>
      <w:r w:rsidR="006610DC" w:rsidRPr="00405AAD">
        <w:rPr>
          <w:color w:val="000000"/>
        </w:rPr>
        <w:t xml:space="preserve">could </w:t>
      </w:r>
      <w:r w:rsidR="00217FA2" w:rsidRPr="00405AAD">
        <w:rPr>
          <w:color w:val="000000"/>
        </w:rPr>
        <w:t xml:space="preserve">be adopted in Iraq. The participants included judges, prosecutors, prison officials, lawyers, journalists and </w:t>
      </w:r>
      <w:r w:rsidR="00876F1D">
        <w:rPr>
          <w:color w:val="000000"/>
        </w:rPr>
        <w:t>representatives of non-governmental organizations</w:t>
      </w:r>
      <w:r w:rsidR="00217FA2" w:rsidRPr="00405AAD">
        <w:rPr>
          <w:color w:val="000000"/>
        </w:rPr>
        <w:t>.</w:t>
      </w:r>
    </w:p>
    <w:p w:rsidR="00F618F9" w:rsidRPr="00405AAD" w:rsidRDefault="007D25EB" w:rsidP="00893F80">
      <w:pPr>
        <w:pStyle w:val="H23G"/>
        <w:spacing w:line="360" w:lineRule="auto"/>
      </w:pPr>
      <w:r w:rsidRPr="00405AAD">
        <w:tab/>
      </w:r>
      <w:r w:rsidR="00D76194" w:rsidRPr="00405AAD">
        <w:t>3.</w:t>
      </w:r>
      <w:r w:rsidR="00D76194" w:rsidRPr="00405AAD">
        <w:tab/>
      </w:r>
      <w:r w:rsidR="00F618F9" w:rsidRPr="00405AAD">
        <w:t>Torture and other ill-treatment</w:t>
      </w:r>
    </w:p>
    <w:p w:rsidR="004423E8" w:rsidRPr="00405AAD" w:rsidRDefault="00D76194" w:rsidP="00115BF9">
      <w:pPr>
        <w:pStyle w:val="SingleTxtG"/>
      </w:pPr>
      <w:r w:rsidRPr="00405AAD">
        <w:t>6</w:t>
      </w:r>
      <w:r w:rsidR="00310D93">
        <w:t>6</w:t>
      </w:r>
      <w:r w:rsidRPr="00405AAD">
        <w:t>.</w:t>
      </w:r>
      <w:r w:rsidRPr="00405AAD">
        <w:tab/>
      </w:r>
      <w:r w:rsidR="00217FA2" w:rsidRPr="00405AAD">
        <w:t>UNAMI/OHCHR</w:t>
      </w:r>
      <w:r w:rsidR="004423E8" w:rsidRPr="00405AAD">
        <w:t xml:space="preserve"> receive</w:t>
      </w:r>
      <w:r w:rsidR="00404F11">
        <w:t>d</w:t>
      </w:r>
      <w:r w:rsidR="00217FA2" w:rsidRPr="00405AAD">
        <w:t xml:space="preserve"> </w:t>
      </w:r>
      <w:r w:rsidR="002362BA">
        <w:t>allegations</w:t>
      </w:r>
      <w:r w:rsidR="002362BA" w:rsidRPr="00D324D7">
        <w:t xml:space="preserve"> </w:t>
      </w:r>
      <w:r w:rsidR="004423E8" w:rsidRPr="00405AAD">
        <w:t>from detainees and prisoners that they ha</w:t>
      </w:r>
      <w:r w:rsidR="0014429B">
        <w:t>d</w:t>
      </w:r>
      <w:r w:rsidR="004423E8" w:rsidRPr="00405AAD">
        <w:t xml:space="preserve"> been subjected to torture and</w:t>
      </w:r>
      <w:r w:rsidR="002C346E" w:rsidRPr="00405AAD">
        <w:t xml:space="preserve"> other</w:t>
      </w:r>
      <w:r w:rsidR="004423E8" w:rsidRPr="00405AAD">
        <w:t xml:space="preserve"> ill-treatment. </w:t>
      </w:r>
      <w:r w:rsidR="00C1133E" w:rsidRPr="00405AAD">
        <w:t>Through direct trial monitoring, UNAMI/OHCHR note</w:t>
      </w:r>
      <w:r w:rsidR="002362BA">
        <w:t>d</w:t>
      </w:r>
      <w:r w:rsidR="00C1133E" w:rsidRPr="00405AAD">
        <w:t xml:space="preserve"> that </w:t>
      </w:r>
      <w:r w:rsidR="002362BA" w:rsidRPr="00175FAB">
        <w:t xml:space="preserve">courts </w:t>
      </w:r>
      <w:r w:rsidR="002362BA" w:rsidRPr="00733D66">
        <w:t xml:space="preserve">often relied </w:t>
      </w:r>
      <w:r w:rsidR="002362BA">
        <w:t xml:space="preserve">on </w:t>
      </w:r>
      <w:r w:rsidR="00C1133E" w:rsidRPr="00D324D7">
        <w:t>c</w:t>
      </w:r>
      <w:r w:rsidR="004423E8" w:rsidRPr="00405AAD">
        <w:t>onfessions as the sole</w:t>
      </w:r>
      <w:r w:rsidR="00C1133E" w:rsidRPr="00405AAD">
        <w:t xml:space="preserve"> or </w:t>
      </w:r>
      <w:r w:rsidR="002362BA">
        <w:t xml:space="preserve">most </w:t>
      </w:r>
      <w:r w:rsidR="00C1133E" w:rsidRPr="00D324D7">
        <w:t>significant</w:t>
      </w:r>
      <w:r w:rsidR="004423E8" w:rsidRPr="00405AAD">
        <w:t xml:space="preserve"> evidence upon which convictions are based</w:t>
      </w:r>
      <w:r w:rsidR="00C1133E" w:rsidRPr="00405AAD">
        <w:t xml:space="preserve">, even where the accused </w:t>
      </w:r>
      <w:r w:rsidR="002362BA">
        <w:t xml:space="preserve">person </w:t>
      </w:r>
      <w:r w:rsidR="00C1133E" w:rsidRPr="00D324D7">
        <w:t>has claim</w:t>
      </w:r>
      <w:r w:rsidR="002C346E" w:rsidRPr="00405AAD">
        <w:t>ed</w:t>
      </w:r>
      <w:r w:rsidR="00C1133E" w:rsidRPr="00405AAD">
        <w:t xml:space="preserve"> that </w:t>
      </w:r>
      <w:r w:rsidR="00AD37F4" w:rsidRPr="00405AAD">
        <w:t xml:space="preserve">the </w:t>
      </w:r>
      <w:r w:rsidR="00C1133E" w:rsidRPr="00405AAD">
        <w:t>confession was induced through torture</w:t>
      </w:r>
      <w:r w:rsidR="004423E8" w:rsidRPr="00405AAD">
        <w:t xml:space="preserve">. </w:t>
      </w:r>
    </w:p>
    <w:p w:rsidR="000A0CD0" w:rsidRPr="00405AAD" w:rsidRDefault="00D76194" w:rsidP="00115BF9">
      <w:pPr>
        <w:pStyle w:val="SingleTxtG"/>
      </w:pPr>
      <w:r w:rsidRPr="00405AAD">
        <w:t>6</w:t>
      </w:r>
      <w:r w:rsidR="00310D93">
        <w:t>7</w:t>
      </w:r>
      <w:r w:rsidRPr="00405AAD">
        <w:t>.</w:t>
      </w:r>
      <w:r w:rsidRPr="00405AAD">
        <w:tab/>
      </w:r>
      <w:r w:rsidR="000A0CD0" w:rsidRPr="00405AAD">
        <w:t>UNAMI</w:t>
      </w:r>
      <w:r w:rsidR="00710E73" w:rsidRPr="00405AAD">
        <w:t>/OHCHR</w:t>
      </w:r>
      <w:r w:rsidR="000A0CD0" w:rsidRPr="00405AAD">
        <w:t xml:space="preserve"> has </w:t>
      </w:r>
      <w:r w:rsidR="00AD37F4" w:rsidRPr="00405AAD">
        <w:t xml:space="preserve">advocated to </w:t>
      </w:r>
      <w:r w:rsidR="00C036D7" w:rsidRPr="00405AAD">
        <w:t xml:space="preserve">the Government to </w:t>
      </w:r>
      <w:r w:rsidR="00C036D7" w:rsidRPr="00D324D7">
        <w:t xml:space="preserve">ensure that any allegations of torture </w:t>
      </w:r>
      <w:r w:rsidR="00AD37F4" w:rsidRPr="00405AAD">
        <w:t xml:space="preserve">or other ill-treatment </w:t>
      </w:r>
      <w:r w:rsidR="00C036D7" w:rsidRPr="00405AAD">
        <w:t>are promptly and properly investigated.</w:t>
      </w:r>
      <w:r w:rsidR="008E2FFA" w:rsidRPr="00405AAD">
        <w:t xml:space="preserve"> </w:t>
      </w:r>
    </w:p>
    <w:p w:rsidR="00EE531B" w:rsidRPr="00405AAD" w:rsidRDefault="00EE531B" w:rsidP="00893F80">
      <w:pPr>
        <w:pStyle w:val="H1G"/>
        <w:spacing w:line="360" w:lineRule="auto"/>
      </w:pPr>
      <w:r w:rsidRPr="00405AAD">
        <w:tab/>
        <w:t>D.</w:t>
      </w:r>
      <w:r w:rsidRPr="00405AAD">
        <w:tab/>
      </w:r>
      <w:r w:rsidR="002035FC" w:rsidRPr="00405AAD">
        <w:t xml:space="preserve">National </w:t>
      </w:r>
      <w:r w:rsidR="0076514E">
        <w:t>i</w:t>
      </w:r>
      <w:r w:rsidR="002035FC" w:rsidRPr="00405AAD">
        <w:t>nstitutions</w:t>
      </w:r>
    </w:p>
    <w:p w:rsidR="00EE531B" w:rsidRPr="00405AAD" w:rsidRDefault="00D76194" w:rsidP="00893F80">
      <w:pPr>
        <w:pStyle w:val="H23G"/>
        <w:spacing w:line="360" w:lineRule="auto"/>
        <w:ind w:left="1140" w:hanging="435"/>
      </w:pPr>
      <w:r w:rsidRPr="00405AAD">
        <w:t>1.</w:t>
      </w:r>
      <w:r w:rsidRPr="00405AAD">
        <w:tab/>
      </w:r>
      <w:r w:rsidR="00112448" w:rsidRPr="00405AAD">
        <w:t xml:space="preserve">National </w:t>
      </w:r>
      <w:r w:rsidR="002035FC" w:rsidRPr="00405AAD">
        <w:t>Human Rights Commission</w:t>
      </w:r>
      <w:r w:rsidR="00112448" w:rsidRPr="00405AAD">
        <w:t>s</w:t>
      </w:r>
    </w:p>
    <w:p w:rsidR="00112448" w:rsidRPr="00D324D7" w:rsidRDefault="005E1F16" w:rsidP="00115BF9">
      <w:pPr>
        <w:pStyle w:val="SingleTxtG"/>
      </w:pPr>
      <w:r>
        <w:t>68</w:t>
      </w:r>
      <w:r w:rsidR="00D76194" w:rsidRPr="00405AAD">
        <w:t>.</w:t>
      </w:r>
      <w:r w:rsidR="00D76194" w:rsidRPr="00405AAD">
        <w:tab/>
      </w:r>
      <w:r w:rsidR="00905B2F" w:rsidRPr="00405AAD">
        <w:t xml:space="preserve">UNAMI/OHCHR </w:t>
      </w:r>
      <w:r w:rsidR="004679D7">
        <w:t xml:space="preserve">began to </w:t>
      </w:r>
      <w:r w:rsidR="00E143E3" w:rsidRPr="00D324D7">
        <w:t>advocate</w:t>
      </w:r>
      <w:r w:rsidR="00E143E3" w:rsidRPr="00405AAD">
        <w:t xml:space="preserve"> for the </w:t>
      </w:r>
      <w:r w:rsidR="001E30A5" w:rsidRPr="00405AAD">
        <w:t xml:space="preserve">establishment of </w:t>
      </w:r>
      <w:r w:rsidR="004679D7">
        <w:t>an</w:t>
      </w:r>
      <w:r w:rsidR="004679D7" w:rsidRPr="00D324D7">
        <w:t xml:space="preserve"> </w:t>
      </w:r>
      <w:r w:rsidR="004D3717" w:rsidRPr="00405AAD">
        <w:t xml:space="preserve">Iraqi High Commission for Human Rights </w:t>
      </w:r>
      <w:r w:rsidR="00E143E3" w:rsidRPr="00405AAD">
        <w:t xml:space="preserve">in compliance with </w:t>
      </w:r>
      <w:r w:rsidR="001E30A5" w:rsidRPr="00405AAD">
        <w:t>the Paris Principles</w:t>
      </w:r>
      <w:r w:rsidR="004679D7" w:rsidRPr="004679D7">
        <w:t xml:space="preserve"> </w:t>
      </w:r>
      <w:r w:rsidR="004679D7">
        <w:t>in</w:t>
      </w:r>
      <w:r w:rsidR="004679D7" w:rsidRPr="008300D6">
        <w:t xml:space="preserve"> 2004</w:t>
      </w:r>
      <w:r w:rsidR="001E30A5" w:rsidRPr="00D324D7">
        <w:t xml:space="preserve">. </w:t>
      </w:r>
      <w:r w:rsidR="004679D7">
        <w:t>The Commission was established by law No. 53 of 2008.</w:t>
      </w:r>
    </w:p>
    <w:p w:rsidR="008B4519" w:rsidRPr="00405AAD" w:rsidRDefault="005E1F16" w:rsidP="00115BF9">
      <w:pPr>
        <w:pStyle w:val="SingleTxtG"/>
      </w:pPr>
      <w:r>
        <w:t>69</w:t>
      </w:r>
      <w:r w:rsidR="00D76194" w:rsidRPr="00405AAD">
        <w:t>.</w:t>
      </w:r>
      <w:r w:rsidR="00D76194" w:rsidRPr="00405AAD">
        <w:tab/>
      </w:r>
      <w:r w:rsidR="005C077B" w:rsidRPr="00405AAD">
        <w:t>UNAMI</w:t>
      </w:r>
      <w:r w:rsidR="00C1133E" w:rsidRPr="00405AAD">
        <w:t xml:space="preserve">/OHCHR, in partnership with </w:t>
      </w:r>
      <w:r w:rsidR="001E30A5" w:rsidRPr="00405AAD">
        <w:t xml:space="preserve">the United </w:t>
      </w:r>
      <w:r w:rsidR="001E30A5" w:rsidRPr="004B36FA">
        <w:t xml:space="preserve">Nations </w:t>
      </w:r>
      <w:r w:rsidR="001E30A5" w:rsidRPr="00D324D7">
        <w:t xml:space="preserve">Office for Project Services </w:t>
      </w:r>
      <w:r w:rsidR="00C1133E" w:rsidRPr="00405AAD">
        <w:t xml:space="preserve">and </w:t>
      </w:r>
      <w:r w:rsidR="001E30A5" w:rsidRPr="00405AAD">
        <w:t>the United Nations Development Programme (</w:t>
      </w:r>
      <w:r w:rsidR="00C1133E" w:rsidRPr="00405AAD">
        <w:t>UNDP</w:t>
      </w:r>
      <w:r w:rsidR="001E30A5" w:rsidRPr="00405AAD">
        <w:t>)</w:t>
      </w:r>
      <w:r w:rsidR="00C1133E" w:rsidRPr="00405AAD">
        <w:t>, in a project funded by the European Union,</w:t>
      </w:r>
      <w:r w:rsidR="005C077B" w:rsidRPr="00405AAD">
        <w:t xml:space="preserve"> provided </w:t>
      </w:r>
      <w:r w:rsidR="004B36FA">
        <w:t>the</w:t>
      </w:r>
      <w:r w:rsidR="004B36FA" w:rsidRPr="004B36FA">
        <w:t xml:space="preserve"> </w:t>
      </w:r>
      <w:r w:rsidR="004B36FA" w:rsidRPr="00A15A59">
        <w:t>Iraqi High Commission for Human Rights</w:t>
      </w:r>
      <w:r w:rsidR="004B36FA" w:rsidRPr="00D324D7">
        <w:t xml:space="preserve"> </w:t>
      </w:r>
      <w:r w:rsidR="004B36FA">
        <w:t xml:space="preserve">with </w:t>
      </w:r>
      <w:r w:rsidR="005C077B" w:rsidRPr="00D324D7">
        <w:t>support and technical advice</w:t>
      </w:r>
      <w:r w:rsidR="005C077B" w:rsidRPr="00405AAD">
        <w:t xml:space="preserve">. </w:t>
      </w:r>
      <w:r w:rsidR="00FE7635" w:rsidRPr="00405AAD">
        <w:t>I</w:t>
      </w:r>
      <w:r w:rsidR="005C077B" w:rsidRPr="00405AAD">
        <w:t>n May, UNAMI</w:t>
      </w:r>
      <w:r w:rsidR="00710E73" w:rsidRPr="00405AAD">
        <w:t>/OHCHR</w:t>
      </w:r>
      <w:r w:rsidR="005C077B" w:rsidRPr="00405AAD">
        <w:t xml:space="preserve"> </w:t>
      </w:r>
      <w:r w:rsidR="004B36FA">
        <w:t>gave</w:t>
      </w:r>
      <w:r w:rsidR="004B36FA" w:rsidRPr="00D324D7">
        <w:t xml:space="preserve"> </w:t>
      </w:r>
      <w:r w:rsidR="005C077B" w:rsidRPr="00405AAD">
        <w:t xml:space="preserve">training </w:t>
      </w:r>
      <w:r w:rsidR="001E30A5" w:rsidRPr="00405AAD">
        <w:t xml:space="preserve">courses </w:t>
      </w:r>
      <w:r w:rsidR="00FE7635" w:rsidRPr="00405AAD">
        <w:t xml:space="preserve">to </w:t>
      </w:r>
      <w:r w:rsidR="004B36FA">
        <w:t>members of the Commission s</w:t>
      </w:r>
      <w:r w:rsidR="001E30A5" w:rsidRPr="00405AAD">
        <w:t xml:space="preserve">ecretariat </w:t>
      </w:r>
      <w:r w:rsidR="004F46A2" w:rsidRPr="00405AAD">
        <w:t xml:space="preserve">on </w:t>
      </w:r>
      <w:r w:rsidR="00C1133E" w:rsidRPr="00405AAD">
        <w:t xml:space="preserve">the </w:t>
      </w:r>
      <w:r w:rsidR="008E2FFA" w:rsidRPr="00405AAD">
        <w:t>protection of civilian</w:t>
      </w:r>
      <w:r w:rsidR="005C077B" w:rsidRPr="00405AAD">
        <w:t xml:space="preserve">s, State responsibility, accountability mechanisms and the role of </w:t>
      </w:r>
      <w:r w:rsidR="004F46A2" w:rsidRPr="00405AAD">
        <w:t xml:space="preserve">the </w:t>
      </w:r>
      <w:r w:rsidR="005C077B" w:rsidRPr="00405AAD">
        <w:t xml:space="preserve">national human rights institution. </w:t>
      </w:r>
      <w:r w:rsidR="008E2FFA" w:rsidRPr="00405AAD">
        <w:t>In June</w:t>
      </w:r>
      <w:r w:rsidR="005C077B" w:rsidRPr="00405AAD">
        <w:t xml:space="preserve">, </w:t>
      </w:r>
      <w:r w:rsidR="001E30A5" w:rsidRPr="00405AAD">
        <w:t xml:space="preserve">a </w:t>
      </w:r>
      <w:r w:rsidR="005C077B" w:rsidRPr="00405AAD">
        <w:t xml:space="preserve">training </w:t>
      </w:r>
      <w:r w:rsidR="001E30A5" w:rsidRPr="00405AAD">
        <w:t xml:space="preserve">course </w:t>
      </w:r>
      <w:r w:rsidR="005C077B" w:rsidRPr="00405AAD">
        <w:t xml:space="preserve">was </w:t>
      </w:r>
      <w:r w:rsidR="004B36FA">
        <w:t>conducted</w:t>
      </w:r>
      <w:r w:rsidR="004B36FA" w:rsidRPr="00D324D7">
        <w:t xml:space="preserve"> </w:t>
      </w:r>
      <w:r w:rsidR="005C077B" w:rsidRPr="00405AAD">
        <w:t>on monitoring, investigating and reporting on human rights violations and abuses to more than 40</w:t>
      </w:r>
      <w:r w:rsidR="004F46A2" w:rsidRPr="00405AAD">
        <w:t xml:space="preserve"> staff </w:t>
      </w:r>
      <w:r w:rsidR="001E30A5" w:rsidRPr="00405AAD">
        <w:t xml:space="preserve">members of </w:t>
      </w:r>
      <w:r w:rsidR="005C077B" w:rsidRPr="00405AAD">
        <w:t xml:space="preserve">the </w:t>
      </w:r>
      <w:r w:rsidR="004B36FA">
        <w:t>Commission</w:t>
      </w:r>
      <w:r w:rsidR="004B36FA" w:rsidRPr="00D324D7">
        <w:t xml:space="preserve"> </w:t>
      </w:r>
      <w:r w:rsidR="004B36FA">
        <w:t>s</w:t>
      </w:r>
      <w:r w:rsidR="001E30A5" w:rsidRPr="00405AAD">
        <w:t>ecretariat</w:t>
      </w:r>
      <w:r w:rsidR="005C077B" w:rsidRPr="00405AAD">
        <w:t>.</w:t>
      </w:r>
    </w:p>
    <w:p w:rsidR="00E505D4" w:rsidRPr="00405AAD" w:rsidRDefault="00D76194" w:rsidP="00115BF9">
      <w:pPr>
        <w:pStyle w:val="SingleTxtG"/>
      </w:pPr>
      <w:r w:rsidRPr="00405AAD">
        <w:t>7</w:t>
      </w:r>
      <w:r w:rsidR="00346CB0">
        <w:t>0</w:t>
      </w:r>
      <w:r w:rsidRPr="00405AAD">
        <w:t>.</w:t>
      </w:r>
      <w:r w:rsidRPr="00405AAD">
        <w:tab/>
      </w:r>
      <w:r w:rsidR="005C077B" w:rsidRPr="00405AAD">
        <w:t>UNAMI/OHCHR</w:t>
      </w:r>
      <w:r w:rsidR="004B36FA">
        <w:t>,</w:t>
      </w:r>
      <w:r w:rsidR="005C077B" w:rsidRPr="00D324D7">
        <w:t xml:space="preserve"> </w:t>
      </w:r>
      <w:r w:rsidR="00C1133E" w:rsidRPr="00405AAD">
        <w:t>in partnership with UNDP</w:t>
      </w:r>
      <w:r w:rsidR="004B36FA">
        <w:t>,</w:t>
      </w:r>
      <w:r w:rsidR="00C1133E" w:rsidRPr="00D324D7">
        <w:t xml:space="preserve"> </w:t>
      </w:r>
      <w:r w:rsidR="005C077B" w:rsidRPr="00405AAD">
        <w:t>also support</w:t>
      </w:r>
      <w:r w:rsidR="004F46A2" w:rsidRPr="00405AAD">
        <w:t>ed</w:t>
      </w:r>
      <w:r w:rsidR="005C077B" w:rsidRPr="00405AAD">
        <w:t xml:space="preserve"> the establishment and </w:t>
      </w:r>
      <w:r w:rsidR="004F46A2" w:rsidRPr="00405AAD">
        <w:t>capacity-</w:t>
      </w:r>
      <w:r w:rsidR="005C077B" w:rsidRPr="00405AAD">
        <w:t xml:space="preserve">building of the Independent Board of Human Rights </w:t>
      </w:r>
      <w:r w:rsidR="004B36FA">
        <w:t>in the Kurdistan region of Iraq</w:t>
      </w:r>
      <w:r w:rsidR="005C077B" w:rsidRPr="00405AAD">
        <w:t>. UNAMI</w:t>
      </w:r>
      <w:r w:rsidR="00C1133E" w:rsidRPr="00405AAD">
        <w:t>/OHCHR</w:t>
      </w:r>
      <w:r w:rsidR="005C077B" w:rsidRPr="00405AAD">
        <w:t xml:space="preserve"> support</w:t>
      </w:r>
      <w:r w:rsidR="00271B38" w:rsidRPr="00405AAD">
        <w:t>ed</w:t>
      </w:r>
      <w:r w:rsidR="005C077B" w:rsidRPr="00405AAD">
        <w:t xml:space="preserve"> </w:t>
      </w:r>
      <w:r w:rsidR="00416AA3" w:rsidRPr="00405AAD">
        <w:t xml:space="preserve">the creation of a database </w:t>
      </w:r>
      <w:r w:rsidR="005C077B" w:rsidRPr="00405AAD">
        <w:t>to facilitate information-gathering and analysis</w:t>
      </w:r>
      <w:r w:rsidR="00271B38" w:rsidRPr="00405AAD">
        <w:t xml:space="preserve">, and </w:t>
      </w:r>
      <w:r w:rsidR="004B36FA">
        <w:t>organized</w:t>
      </w:r>
      <w:r w:rsidR="004B36FA" w:rsidRPr="00D324D7">
        <w:t xml:space="preserve"> </w:t>
      </w:r>
      <w:r w:rsidR="005C077B" w:rsidRPr="00405AAD">
        <w:t xml:space="preserve">training </w:t>
      </w:r>
      <w:r w:rsidR="001E30A5" w:rsidRPr="00405AAD">
        <w:t xml:space="preserve">courses </w:t>
      </w:r>
      <w:r w:rsidR="005C077B" w:rsidRPr="00405AAD">
        <w:t xml:space="preserve">on detention monitoring and </w:t>
      </w:r>
      <w:r w:rsidR="00BB7BC1" w:rsidRPr="00405AAD">
        <w:t xml:space="preserve">the </w:t>
      </w:r>
      <w:r w:rsidR="005C077B" w:rsidRPr="00405AAD">
        <w:t>investigation and documentation of human rights violations.</w:t>
      </w:r>
    </w:p>
    <w:p w:rsidR="00710E73" w:rsidRPr="00405AAD" w:rsidRDefault="00D76194" w:rsidP="00115BF9">
      <w:pPr>
        <w:pStyle w:val="SingleTxtG"/>
      </w:pPr>
      <w:r w:rsidRPr="00405AAD">
        <w:t>7</w:t>
      </w:r>
      <w:r w:rsidR="00AC6C92">
        <w:t>1</w:t>
      </w:r>
      <w:r w:rsidRPr="00405AAD">
        <w:t>.</w:t>
      </w:r>
      <w:r w:rsidRPr="00405AAD">
        <w:tab/>
      </w:r>
      <w:r w:rsidR="00E505D4" w:rsidRPr="00405AAD">
        <w:t>On 3 November 2014</w:t>
      </w:r>
      <w:r w:rsidR="001E30A5" w:rsidRPr="00405AAD">
        <w:t>,</w:t>
      </w:r>
      <w:r w:rsidR="00E505D4" w:rsidRPr="00405AAD">
        <w:t xml:space="preserve"> Iraq was reviewed</w:t>
      </w:r>
      <w:r w:rsidR="00BB7BC1" w:rsidRPr="00405AAD">
        <w:t xml:space="preserve"> for the</w:t>
      </w:r>
      <w:r w:rsidR="00E505D4" w:rsidRPr="00405AAD">
        <w:t xml:space="preserve"> second time </w:t>
      </w:r>
      <w:r w:rsidR="00BB7BC1" w:rsidRPr="00405AAD">
        <w:t xml:space="preserve">by the </w:t>
      </w:r>
      <w:r w:rsidR="004B36FA" w:rsidRPr="0093637A">
        <w:t xml:space="preserve">Working Group </w:t>
      </w:r>
      <w:r w:rsidR="004B36FA">
        <w:t xml:space="preserve">on the </w:t>
      </w:r>
      <w:r w:rsidR="00E505D4" w:rsidRPr="00D324D7">
        <w:t>Universal Periodic Review</w:t>
      </w:r>
      <w:r w:rsidR="00E505D4" w:rsidRPr="00405AAD">
        <w:t xml:space="preserve">. </w:t>
      </w:r>
      <w:r w:rsidR="004B36FA">
        <w:t>A total of 91</w:t>
      </w:r>
      <w:r w:rsidR="00AB59DB" w:rsidRPr="00405AAD">
        <w:t xml:space="preserve"> </w:t>
      </w:r>
      <w:r w:rsidR="00E505D4" w:rsidRPr="00405AAD">
        <w:t>States made 229 recommendations on improving the human rights situation</w:t>
      </w:r>
      <w:r w:rsidR="004B36FA">
        <w:t>, of which</w:t>
      </w:r>
      <w:r w:rsidR="00962BBE" w:rsidRPr="00405AAD">
        <w:t xml:space="preserve"> </w:t>
      </w:r>
      <w:r w:rsidR="004B36FA">
        <w:t>t</w:t>
      </w:r>
      <w:r w:rsidR="00962BBE" w:rsidRPr="00405AAD">
        <w:t xml:space="preserve">he Government accepted 175. </w:t>
      </w:r>
      <w:r w:rsidR="00E505D4" w:rsidRPr="00405AAD">
        <w:t xml:space="preserve">UNAMI/OHCHR provided </w:t>
      </w:r>
      <w:r w:rsidR="004B36FA" w:rsidRPr="00ED30B3">
        <w:t>the Government</w:t>
      </w:r>
      <w:r w:rsidR="004B36FA">
        <w:t xml:space="preserve"> with</w:t>
      </w:r>
      <w:r w:rsidR="004B36FA" w:rsidRPr="00ED30B3">
        <w:t xml:space="preserve"> </w:t>
      </w:r>
      <w:r w:rsidR="00E505D4" w:rsidRPr="00D324D7">
        <w:t xml:space="preserve">technical assistance </w:t>
      </w:r>
      <w:r w:rsidR="00E505D4" w:rsidRPr="00405AAD">
        <w:t xml:space="preserve">in the preparation of its </w:t>
      </w:r>
      <w:r w:rsidR="004B36FA">
        <w:t>State</w:t>
      </w:r>
      <w:r w:rsidR="004B36FA" w:rsidRPr="00D324D7">
        <w:t xml:space="preserve"> </w:t>
      </w:r>
      <w:r w:rsidR="00E505D4" w:rsidRPr="00405AAD">
        <w:t>report</w:t>
      </w:r>
      <w:r w:rsidR="004B36FA">
        <w:t>,</w:t>
      </w:r>
      <w:r w:rsidR="00E505D4" w:rsidRPr="00405AAD">
        <w:t xml:space="preserve"> and also train</w:t>
      </w:r>
      <w:r w:rsidR="004B36FA">
        <w:t xml:space="preserve">ed members of non-governmental organizations </w:t>
      </w:r>
      <w:r w:rsidR="00E505D4" w:rsidRPr="00405AAD">
        <w:t xml:space="preserve">to assist </w:t>
      </w:r>
      <w:r w:rsidR="004B36FA">
        <w:t>in</w:t>
      </w:r>
      <w:r w:rsidR="00E505D4" w:rsidRPr="00405AAD">
        <w:t xml:space="preserve"> with the preparation of their </w:t>
      </w:r>
      <w:r w:rsidR="00BB7BC1" w:rsidRPr="00405AAD">
        <w:t>stakeholder submissions</w:t>
      </w:r>
      <w:r w:rsidR="00E505D4" w:rsidRPr="00405AAD">
        <w:t xml:space="preserve">. UNAMI/OHCHR </w:t>
      </w:r>
      <w:r w:rsidR="004B36FA">
        <w:t>furthermore</w:t>
      </w:r>
      <w:r w:rsidR="004B36FA" w:rsidRPr="00D324D7">
        <w:t xml:space="preserve"> </w:t>
      </w:r>
      <w:r w:rsidR="00E505D4" w:rsidRPr="00405AAD">
        <w:t xml:space="preserve">provided technical support to a coalition of 29 representatives </w:t>
      </w:r>
      <w:r w:rsidR="004B36FA">
        <w:t xml:space="preserve">of non-governmental organizations </w:t>
      </w:r>
      <w:r w:rsidR="00E505D4" w:rsidRPr="00D324D7">
        <w:t xml:space="preserve">from all governorates of Iraq in preparation </w:t>
      </w:r>
      <w:r w:rsidR="00ED75CB" w:rsidRPr="00405AAD">
        <w:t xml:space="preserve">of </w:t>
      </w:r>
      <w:r w:rsidR="00E505D4" w:rsidRPr="00405AAD">
        <w:t xml:space="preserve">their </w:t>
      </w:r>
      <w:r w:rsidR="00ED75CB" w:rsidRPr="00405AAD">
        <w:t xml:space="preserve">submission to </w:t>
      </w:r>
      <w:r w:rsidR="00E505D4" w:rsidRPr="00405AAD">
        <w:t xml:space="preserve">the </w:t>
      </w:r>
      <w:r w:rsidR="004B36FA">
        <w:t>review</w:t>
      </w:r>
      <w:r w:rsidR="00E505D4" w:rsidRPr="00405AAD">
        <w:t xml:space="preserve">. </w:t>
      </w:r>
      <w:r w:rsidR="004B36FA">
        <w:t>It also</w:t>
      </w:r>
      <w:r w:rsidR="00962BBE" w:rsidRPr="00D324D7">
        <w:t xml:space="preserve"> </w:t>
      </w:r>
      <w:r w:rsidR="004B36FA">
        <w:t>gave</w:t>
      </w:r>
      <w:r w:rsidR="004B36FA" w:rsidRPr="00D324D7">
        <w:t xml:space="preserve"> </w:t>
      </w:r>
      <w:r w:rsidR="00905B2F" w:rsidRPr="00405AAD">
        <w:t>technical advice to</w:t>
      </w:r>
      <w:r w:rsidR="001E30A5" w:rsidRPr="00405AAD">
        <w:t xml:space="preserve"> </w:t>
      </w:r>
      <w:r w:rsidR="004B36FA" w:rsidRPr="00A15A59">
        <w:t xml:space="preserve">Iraqi High Commission for Human Rights </w:t>
      </w:r>
      <w:r w:rsidR="00E505D4" w:rsidRPr="00405AAD">
        <w:t xml:space="preserve">and </w:t>
      </w:r>
      <w:r w:rsidR="004B36FA">
        <w:t>the</w:t>
      </w:r>
      <w:r w:rsidR="004B36FA" w:rsidRPr="00D324D7">
        <w:t xml:space="preserve"> </w:t>
      </w:r>
      <w:r w:rsidR="004B36FA" w:rsidRPr="00A15A59">
        <w:t xml:space="preserve">Independent Board of Human Rights </w:t>
      </w:r>
      <w:r w:rsidR="00ED75CB" w:rsidRPr="00D324D7">
        <w:t>on their joint submission</w:t>
      </w:r>
      <w:r w:rsidR="004B36FA">
        <w:t>, and assisted the United Nations country team in preparing its</w:t>
      </w:r>
      <w:r w:rsidR="00ED75CB" w:rsidRPr="00405AAD">
        <w:t xml:space="preserve"> </w:t>
      </w:r>
      <w:r w:rsidR="00E505D4" w:rsidRPr="00405AAD">
        <w:t>submission. UNAMI/OHCHR is working with the Gove</w:t>
      </w:r>
      <w:r w:rsidR="00CB44AF" w:rsidRPr="00405AAD">
        <w:t>rnm</w:t>
      </w:r>
      <w:r w:rsidR="00E505D4" w:rsidRPr="00405AAD">
        <w:t xml:space="preserve">ent on the development of a second </w:t>
      </w:r>
      <w:r w:rsidR="004B36FA">
        <w:t>n</w:t>
      </w:r>
      <w:r w:rsidR="00E505D4" w:rsidRPr="00405AAD">
        <w:t xml:space="preserve">ational </w:t>
      </w:r>
      <w:r w:rsidR="004B36FA">
        <w:t>plan of a</w:t>
      </w:r>
      <w:r w:rsidR="00E505D4" w:rsidRPr="00405AAD">
        <w:t xml:space="preserve">ction on </w:t>
      </w:r>
      <w:r w:rsidR="004B36FA">
        <w:t>h</w:t>
      </w:r>
      <w:r w:rsidR="00E505D4" w:rsidRPr="00405AAD">
        <w:t xml:space="preserve">uman </w:t>
      </w:r>
      <w:r w:rsidR="004B36FA">
        <w:t>r</w:t>
      </w:r>
      <w:r w:rsidR="00E505D4" w:rsidRPr="00405AAD">
        <w:t>ights to implement the</w:t>
      </w:r>
      <w:r w:rsidR="004D6F88" w:rsidRPr="00405AAD">
        <w:t xml:space="preserve"> </w:t>
      </w:r>
      <w:r w:rsidR="00E505D4" w:rsidRPr="00405AAD">
        <w:t>recommendations</w:t>
      </w:r>
      <w:r w:rsidR="004B36FA" w:rsidRPr="004B36FA">
        <w:t xml:space="preserve"> </w:t>
      </w:r>
      <w:r w:rsidR="004B36FA" w:rsidRPr="003A1D23">
        <w:t>accepted</w:t>
      </w:r>
      <w:r w:rsidR="004B36FA">
        <w:t xml:space="preserve"> during the review</w:t>
      </w:r>
      <w:r w:rsidR="00E505D4" w:rsidRPr="00D324D7">
        <w:t>.</w:t>
      </w:r>
    </w:p>
    <w:p w:rsidR="00EE531B" w:rsidRPr="00405AAD" w:rsidRDefault="00D76194" w:rsidP="00893F80">
      <w:pPr>
        <w:pStyle w:val="H23G"/>
        <w:spacing w:line="360" w:lineRule="auto"/>
        <w:ind w:left="1140" w:hanging="435"/>
      </w:pPr>
      <w:r w:rsidRPr="00405AAD">
        <w:t>2.</w:t>
      </w:r>
      <w:r w:rsidRPr="00405AAD">
        <w:tab/>
      </w:r>
      <w:r w:rsidR="002035FC" w:rsidRPr="00405AAD">
        <w:t xml:space="preserve">Civil </w:t>
      </w:r>
      <w:r w:rsidR="004B36FA">
        <w:t>s</w:t>
      </w:r>
      <w:r w:rsidR="002035FC" w:rsidRPr="00405AAD">
        <w:t xml:space="preserve">ociety </w:t>
      </w:r>
      <w:r w:rsidR="00AE4B08" w:rsidRPr="00405AAD">
        <w:t>a</w:t>
      </w:r>
      <w:r w:rsidR="00157375" w:rsidRPr="00405AAD">
        <w:t>ctors</w:t>
      </w:r>
    </w:p>
    <w:p w:rsidR="00C01B91" w:rsidRPr="00D324D7" w:rsidRDefault="00D76194" w:rsidP="00115BF9">
      <w:pPr>
        <w:pStyle w:val="SingleTxtG"/>
      </w:pPr>
      <w:r w:rsidRPr="00405AAD">
        <w:t>7</w:t>
      </w:r>
      <w:r w:rsidR="00346CB0">
        <w:t>2</w:t>
      </w:r>
      <w:r w:rsidRPr="00405AAD">
        <w:t>.</w:t>
      </w:r>
      <w:r w:rsidRPr="00405AAD">
        <w:tab/>
      </w:r>
      <w:r w:rsidR="00A1680F" w:rsidRPr="00405AAD">
        <w:t xml:space="preserve">UNAMI/OHCHR regularly liaises with civil society partners, human rights defenders and journalists. </w:t>
      </w:r>
      <w:r w:rsidR="006C29E2" w:rsidRPr="00405AAD">
        <w:t>In mid-June, UNAMI</w:t>
      </w:r>
      <w:r w:rsidR="00C1133E" w:rsidRPr="00405AAD">
        <w:t>/OHCHR</w:t>
      </w:r>
      <w:r w:rsidR="006C29E2" w:rsidRPr="00405AAD">
        <w:t xml:space="preserve"> </w:t>
      </w:r>
      <w:r w:rsidR="00506875">
        <w:t>organized</w:t>
      </w:r>
      <w:r w:rsidR="00506875" w:rsidRPr="00D324D7">
        <w:t xml:space="preserve"> </w:t>
      </w:r>
      <w:r w:rsidR="006C29E2" w:rsidRPr="00405AAD">
        <w:t>capacity</w:t>
      </w:r>
      <w:r w:rsidR="00506875">
        <w:t>-</w:t>
      </w:r>
      <w:r w:rsidR="006C29E2" w:rsidRPr="00405AAD">
        <w:t xml:space="preserve">building </w:t>
      </w:r>
      <w:r w:rsidR="00157375" w:rsidRPr="00405AAD">
        <w:t>activit</w:t>
      </w:r>
      <w:r w:rsidR="00506875">
        <w:t>ies</w:t>
      </w:r>
      <w:r w:rsidR="00157375" w:rsidRPr="00405AAD">
        <w:t xml:space="preserve"> </w:t>
      </w:r>
      <w:r w:rsidR="00506875" w:rsidRPr="001002B6">
        <w:t>on human rights-based approaches to journalism</w:t>
      </w:r>
      <w:r w:rsidR="00506875" w:rsidRPr="00D324D7">
        <w:t xml:space="preserve"> </w:t>
      </w:r>
      <w:r w:rsidR="00506875">
        <w:t>for</w:t>
      </w:r>
      <w:r w:rsidR="00506875" w:rsidRPr="00C77595">
        <w:t xml:space="preserve"> </w:t>
      </w:r>
      <w:r w:rsidR="006C29E2" w:rsidRPr="00D324D7">
        <w:t>18 journalists in Kirkuk</w:t>
      </w:r>
      <w:r w:rsidR="006C29E2" w:rsidRPr="00405AAD">
        <w:t xml:space="preserve">. The </w:t>
      </w:r>
      <w:r w:rsidR="00157375" w:rsidRPr="00405AAD">
        <w:t xml:space="preserve">activity </w:t>
      </w:r>
      <w:r w:rsidR="006C29E2" w:rsidRPr="00405AAD">
        <w:rPr>
          <w:rStyle w:val="Emphasis"/>
          <w:i w:val="0"/>
        </w:rPr>
        <w:t>sensitized</w:t>
      </w:r>
      <w:r w:rsidR="006C29E2" w:rsidRPr="00405AAD">
        <w:t xml:space="preserve"> participants on special considerations to take into account when reporting on human rights issues.</w:t>
      </w:r>
      <w:r w:rsidR="00E67DE0">
        <w:t xml:space="preserve"> </w:t>
      </w:r>
    </w:p>
    <w:p w:rsidR="007411A0" w:rsidRPr="00405AAD" w:rsidRDefault="00D76194" w:rsidP="00115BF9">
      <w:pPr>
        <w:pStyle w:val="SingleTxtG"/>
      </w:pPr>
      <w:r w:rsidRPr="00405AAD">
        <w:t>7</w:t>
      </w:r>
      <w:r w:rsidR="00346CB0">
        <w:t>3</w:t>
      </w:r>
      <w:r w:rsidRPr="00405AAD">
        <w:t>.</w:t>
      </w:r>
      <w:r w:rsidRPr="00405AAD">
        <w:tab/>
      </w:r>
      <w:r w:rsidR="007411A0" w:rsidRPr="00405AAD">
        <w:t>On 24 May, UNAMI</w:t>
      </w:r>
      <w:r w:rsidR="00C1133E" w:rsidRPr="00405AAD">
        <w:t>/OHCHR</w:t>
      </w:r>
      <w:r w:rsidR="007411A0" w:rsidRPr="00405AAD">
        <w:t xml:space="preserve"> met with the Chairperson of the </w:t>
      </w:r>
      <w:r w:rsidR="00506875">
        <w:t>non-governmental organization</w:t>
      </w:r>
      <w:r w:rsidR="00506875" w:rsidRPr="00D324D7" w:rsidDel="00506875">
        <w:t xml:space="preserve"> </w:t>
      </w:r>
      <w:r w:rsidR="00506875">
        <w:t>c</w:t>
      </w:r>
      <w:r w:rsidR="007411A0" w:rsidRPr="00405AAD">
        <w:t xml:space="preserve">ommittee </w:t>
      </w:r>
      <w:r w:rsidR="00506875">
        <w:t>of</w:t>
      </w:r>
      <w:r w:rsidR="007411A0" w:rsidRPr="00405AAD">
        <w:t xml:space="preserve"> the Basra Provincial Council and discussed how the ongoing armed conflict </w:t>
      </w:r>
      <w:r w:rsidR="00157375" w:rsidRPr="00405AAD">
        <w:t xml:space="preserve">has been </w:t>
      </w:r>
      <w:r w:rsidR="00506875">
        <w:t>affecting</w:t>
      </w:r>
      <w:r w:rsidR="007411A0" w:rsidRPr="00405AAD">
        <w:t xml:space="preserve"> the work of </w:t>
      </w:r>
      <w:r w:rsidR="00681489">
        <w:t>non-governmental organizations</w:t>
      </w:r>
      <w:r w:rsidR="00681489" w:rsidRPr="00D324D7" w:rsidDel="00681489">
        <w:t xml:space="preserve"> </w:t>
      </w:r>
      <w:r w:rsidR="00001737" w:rsidRPr="00405AAD">
        <w:t xml:space="preserve">in the </w:t>
      </w:r>
      <w:r w:rsidR="007962A0" w:rsidRPr="00405AAD">
        <w:t>governorate</w:t>
      </w:r>
      <w:r w:rsidR="007411A0" w:rsidRPr="00405AAD">
        <w:t xml:space="preserve">. UNAMI provided advice on best practices </w:t>
      </w:r>
      <w:r w:rsidR="00157375" w:rsidRPr="00405AAD">
        <w:t xml:space="preserve">for </w:t>
      </w:r>
      <w:r w:rsidR="00506875">
        <w:t>civil society organizations</w:t>
      </w:r>
      <w:r w:rsidR="00506875" w:rsidRPr="00D324D7">
        <w:t xml:space="preserve"> </w:t>
      </w:r>
      <w:r w:rsidR="00157375" w:rsidRPr="00405AAD">
        <w:t xml:space="preserve">to work on </w:t>
      </w:r>
      <w:r w:rsidR="007411A0" w:rsidRPr="00405AAD">
        <w:t xml:space="preserve">protection of civilians and explored means of enhancing cooperation among the Council, </w:t>
      </w:r>
      <w:r w:rsidR="00681489">
        <w:t>non-governmental organizations</w:t>
      </w:r>
      <w:r w:rsidR="007411A0" w:rsidRPr="00405AAD">
        <w:t xml:space="preserve"> and UNAMI/OHCHR. </w:t>
      </w:r>
    </w:p>
    <w:p w:rsidR="00307B68" w:rsidRPr="00405AAD" w:rsidRDefault="00D76194" w:rsidP="00115BF9">
      <w:pPr>
        <w:pStyle w:val="SingleTxtG"/>
      </w:pPr>
      <w:r w:rsidRPr="00405AAD">
        <w:t>7</w:t>
      </w:r>
      <w:r w:rsidR="00346CB0">
        <w:t>4</w:t>
      </w:r>
      <w:r w:rsidRPr="00405AAD">
        <w:t>.</w:t>
      </w:r>
      <w:r w:rsidRPr="00405AAD">
        <w:tab/>
      </w:r>
      <w:r w:rsidR="008E2FFA" w:rsidRPr="00405AAD">
        <w:t xml:space="preserve">Nineteen </w:t>
      </w:r>
      <w:r w:rsidR="00307B68" w:rsidRPr="00405AAD">
        <w:t xml:space="preserve">staff members of a </w:t>
      </w:r>
      <w:proofErr w:type="spellStart"/>
      <w:r w:rsidR="00307B68" w:rsidRPr="00405AAD">
        <w:t>Yezidi</w:t>
      </w:r>
      <w:proofErr w:type="spellEnd"/>
      <w:r w:rsidR="00307B68" w:rsidRPr="00405AAD">
        <w:t xml:space="preserve"> </w:t>
      </w:r>
      <w:r w:rsidR="00681489">
        <w:t>non-governmental organization</w:t>
      </w:r>
      <w:r w:rsidR="00681489" w:rsidRPr="00D324D7" w:rsidDel="00681489">
        <w:t xml:space="preserve"> </w:t>
      </w:r>
      <w:r w:rsidR="00307B68" w:rsidRPr="00405AAD">
        <w:t>were trained in June</w:t>
      </w:r>
      <w:r w:rsidR="00B92E02" w:rsidRPr="00405AAD">
        <w:t xml:space="preserve"> in </w:t>
      </w:r>
      <w:proofErr w:type="spellStart"/>
      <w:r w:rsidR="00B92E02" w:rsidRPr="00405AAD">
        <w:t>Dohuk</w:t>
      </w:r>
      <w:proofErr w:type="spellEnd"/>
      <w:r w:rsidR="00B92E02" w:rsidRPr="00405AAD">
        <w:t xml:space="preserve"> </w:t>
      </w:r>
      <w:r w:rsidR="00157375" w:rsidRPr="00405AAD">
        <w:t xml:space="preserve">Governorate </w:t>
      </w:r>
      <w:r w:rsidR="00307B68" w:rsidRPr="00405AAD">
        <w:t>on human rights</w:t>
      </w:r>
      <w:r w:rsidR="007E23E8" w:rsidRPr="00405AAD">
        <w:t xml:space="preserve">, </w:t>
      </w:r>
      <w:r w:rsidR="00307B68" w:rsidRPr="00405AAD">
        <w:t>humanitarian</w:t>
      </w:r>
      <w:r w:rsidR="007E23E8" w:rsidRPr="00405AAD">
        <w:t xml:space="preserve"> and protection</w:t>
      </w:r>
      <w:r w:rsidR="00307B68" w:rsidRPr="00405AAD">
        <w:t xml:space="preserve"> principles, </w:t>
      </w:r>
      <w:r w:rsidR="007E23E8" w:rsidRPr="00405AAD">
        <w:t xml:space="preserve">and </w:t>
      </w:r>
      <w:r w:rsidR="00307B68" w:rsidRPr="00405AAD">
        <w:t>monitoring and documenting violations</w:t>
      </w:r>
      <w:r w:rsidR="00BF600F" w:rsidRPr="00405AAD">
        <w:t>.</w:t>
      </w:r>
      <w:r w:rsidR="007411A0" w:rsidRPr="00405AAD">
        <w:t xml:space="preserve"> </w:t>
      </w:r>
      <w:r w:rsidR="00506875">
        <w:t>In a</w:t>
      </w:r>
      <w:r w:rsidR="007E23E8" w:rsidRPr="00405AAD">
        <w:t>ddition</w:t>
      </w:r>
      <w:r w:rsidR="007411A0" w:rsidRPr="00405AAD">
        <w:t>, UNAMI</w:t>
      </w:r>
      <w:r w:rsidR="0015683B" w:rsidRPr="00405AAD">
        <w:t>/OHCHR</w:t>
      </w:r>
      <w:r w:rsidR="007411A0" w:rsidRPr="00405AAD">
        <w:t xml:space="preserve"> provided technical assistance to </w:t>
      </w:r>
      <w:r w:rsidR="00506875">
        <w:t>non-governmental organizations</w:t>
      </w:r>
      <w:r w:rsidR="00506875" w:rsidRPr="00D324D7">
        <w:t xml:space="preserve"> </w:t>
      </w:r>
      <w:r w:rsidR="007411A0" w:rsidRPr="00405AAD">
        <w:t xml:space="preserve">in Basra </w:t>
      </w:r>
      <w:r w:rsidR="007E23E8" w:rsidRPr="00405AAD">
        <w:t xml:space="preserve">on </w:t>
      </w:r>
      <w:r w:rsidR="009075AC" w:rsidRPr="00405AAD">
        <w:t>human rights</w:t>
      </w:r>
      <w:r w:rsidR="007411A0" w:rsidRPr="00405AAD">
        <w:t xml:space="preserve"> standards, including the responsibility of </w:t>
      </w:r>
      <w:r w:rsidR="007E23E8" w:rsidRPr="00405AAD">
        <w:t xml:space="preserve">State </w:t>
      </w:r>
      <w:r w:rsidR="007411A0" w:rsidRPr="00405AAD">
        <w:t xml:space="preserve">actors in relation to the protection </w:t>
      </w:r>
      <w:r w:rsidR="007E23E8" w:rsidRPr="00405AAD">
        <w:t xml:space="preserve">and human rights </w:t>
      </w:r>
      <w:r w:rsidR="007411A0" w:rsidRPr="00405AAD">
        <w:t>of civilians.</w:t>
      </w:r>
    </w:p>
    <w:p w:rsidR="007E3734" w:rsidRPr="00405AAD" w:rsidRDefault="00EF3E06" w:rsidP="00893F80">
      <w:pPr>
        <w:pStyle w:val="H1G"/>
        <w:spacing w:line="360" w:lineRule="auto"/>
      </w:pPr>
      <w:r w:rsidRPr="00405AAD">
        <w:tab/>
      </w:r>
      <w:r w:rsidR="00EE531B" w:rsidRPr="00405AAD">
        <w:t>E</w:t>
      </w:r>
      <w:r w:rsidR="007E3734" w:rsidRPr="00405AAD">
        <w:t>.</w:t>
      </w:r>
      <w:r w:rsidR="007E3734" w:rsidRPr="00405AAD">
        <w:tab/>
      </w:r>
      <w:r w:rsidR="002035FC" w:rsidRPr="00405AAD">
        <w:t xml:space="preserve">Legal </w:t>
      </w:r>
      <w:r w:rsidR="004679D7">
        <w:t>r</w:t>
      </w:r>
      <w:r w:rsidR="002035FC" w:rsidRPr="00405AAD">
        <w:t>eform</w:t>
      </w:r>
    </w:p>
    <w:p w:rsidR="00EA2085" w:rsidRPr="00405AAD" w:rsidRDefault="00D76194" w:rsidP="00893F80">
      <w:pPr>
        <w:pStyle w:val="H23G"/>
        <w:spacing w:line="360" w:lineRule="auto"/>
        <w:ind w:left="1140" w:hanging="435"/>
      </w:pPr>
      <w:r w:rsidRPr="00405AAD">
        <w:t>1.</w:t>
      </w:r>
      <w:r w:rsidRPr="00405AAD">
        <w:tab/>
      </w:r>
      <w:r w:rsidR="00EA2085" w:rsidRPr="00405AAD">
        <w:t xml:space="preserve">Transitional </w:t>
      </w:r>
      <w:r w:rsidR="004679D7">
        <w:t>j</w:t>
      </w:r>
      <w:r w:rsidR="00EA2085" w:rsidRPr="00405AAD">
        <w:t>ustice</w:t>
      </w:r>
    </w:p>
    <w:p w:rsidR="006759F8" w:rsidRPr="00405AAD" w:rsidRDefault="00D76194" w:rsidP="00115BF9">
      <w:pPr>
        <w:pStyle w:val="SingleTxtG"/>
      </w:pPr>
      <w:r w:rsidRPr="00405AAD">
        <w:t>7</w:t>
      </w:r>
      <w:r w:rsidR="00346CB0">
        <w:t>5</w:t>
      </w:r>
      <w:r w:rsidRPr="00405AAD">
        <w:t>.</w:t>
      </w:r>
      <w:r w:rsidRPr="00405AAD">
        <w:tab/>
      </w:r>
      <w:r w:rsidR="00EA2085" w:rsidRPr="00405AAD">
        <w:t xml:space="preserve">UNAMI/OHCHR </w:t>
      </w:r>
      <w:r w:rsidR="00157375" w:rsidRPr="00405AAD">
        <w:t>has been</w:t>
      </w:r>
      <w:r w:rsidR="00EA2085" w:rsidRPr="00405AAD">
        <w:t xml:space="preserve"> </w:t>
      </w:r>
      <w:r w:rsidR="001414A4" w:rsidRPr="00405AAD">
        <w:t xml:space="preserve">pursuing initiatives </w:t>
      </w:r>
      <w:r w:rsidR="00B31DA4" w:rsidRPr="00405AAD">
        <w:t xml:space="preserve">to promote </w:t>
      </w:r>
      <w:r w:rsidR="001414A4" w:rsidRPr="00405AAD">
        <w:t xml:space="preserve">community reconciliation. For instance, </w:t>
      </w:r>
      <w:r w:rsidR="00D770C8" w:rsidRPr="00405AAD">
        <w:t>UNAMI</w:t>
      </w:r>
      <w:r w:rsidR="00CE0889" w:rsidRPr="00405AAD">
        <w:t>/OHCHR</w:t>
      </w:r>
      <w:r w:rsidR="00D770C8" w:rsidRPr="00405AAD">
        <w:t xml:space="preserve"> engaged with Government actors </w:t>
      </w:r>
      <w:r w:rsidR="005150CF">
        <w:t>in</w:t>
      </w:r>
      <w:r w:rsidR="005150CF" w:rsidRPr="00D324D7">
        <w:t xml:space="preserve"> </w:t>
      </w:r>
      <w:r w:rsidR="00D770C8" w:rsidRPr="00405AAD">
        <w:t>the de-</w:t>
      </w:r>
      <w:proofErr w:type="spellStart"/>
      <w:r w:rsidR="00D770C8" w:rsidRPr="00405AAD">
        <w:t>Baathification</w:t>
      </w:r>
      <w:proofErr w:type="spellEnd"/>
      <w:r w:rsidR="00D770C8" w:rsidRPr="00405AAD">
        <w:t xml:space="preserve"> process. </w:t>
      </w:r>
      <w:r w:rsidR="005150CF">
        <w:t>It</w:t>
      </w:r>
      <w:r w:rsidR="007E5E0D" w:rsidRPr="00D324D7">
        <w:t xml:space="preserve"> </w:t>
      </w:r>
      <w:r w:rsidR="00B31DA4" w:rsidRPr="00405AAD">
        <w:t xml:space="preserve">also </w:t>
      </w:r>
      <w:r w:rsidR="007E5E0D" w:rsidRPr="00405AAD">
        <w:t xml:space="preserve">offered technical advice </w:t>
      </w:r>
      <w:r w:rsidR="00B31DA4" w:rsidRPr="00405AAD">
        <w:t xml:space="preserve">on </w:t>
      </w:r>
      <w:r w:rsidR="007E5E0D" w:rsidRPr="00405AAD">
        <w:t xml:space="preserve">legislation to amend the </w:t>
      </w:r>
      <w:r w:rsidR="00EA2085" w:rsidRPr="00405AAD">
        <w:t xml:space="preserve">current </w:t>
      </w:r>
      <w:r w:rsidR="005150CF">
        <w:t>j</w:t>
      </w:r>
      <w:r w:rsidR="00EA2085" w:rsidRPr="00405AAD">
        <w:t xml:space="preserve">ustice and </w:t>
      </w:r>
      <w:r w:rsidR="005150CF">
        <w:t>a</w:t>
      </w:r>
      <w:r w:rsidR="00EA2085" w:rsidRPr="00405AAD">
        <w:t xml:space="preserve">ccountability </w:t>
      </w:r>
      <w:r w:rsidR="005150CF">
        <w:t>l</w:t>
      </w:r>
      <w:r w:rsidR="00EA2085" w:rsidRPr="00405AAD">
        <w:t>aw</w:t>
      </w:r>
      <w:r w:rsidR="007E5E0D" w:rsidRPr="00405AAD">
        <w:t xml:space="preserve">, which mandates the investigation </w:t>
      </w:r>
      <w:r w:rsidR="00D770C8" w:rsidRPr="00405AAD">
        <w:t xml:space="preserve">of individuals referred to it and different actions </w:t>
      </w:r>
      <w:r w:rsidR="000B7A1E" w:rsidRPr="00405AAD">
        <w:t xml:space="preserve">addressing </w:t>
      </w:r>
      <w:r w:rsidR="00D770C8" w:rsidRPr="00405AAD">
        <w:t xml:space="preserve">individuals found to </w:t>
      </w:r>
      <w:r w:rsidR="00157375" w:rsidRPr="00405AAD">
        <w:t>have been</w:t>
      </w:r>
      <w:r w:rsidR="00D770C8" w:rsidRPr="00405AAD">
        <w:t xml:space="preserve"> members of the Baath </w:t>
      </w:r>
      <w:r w:rsidR="005150CF">
        <w:t>p</w:t>
      </w:r>
      <w:r w:rsidR="00D770C8" w:rsidRPr="00405AAD">
        <w:t>arty</w:t>
      </w:r>
      <w:r w:rsidR="00157375" w:rsidRPr="00405AAD">
        <w:t>.</w:t>
      </w:r>
      <w:r w:rsidR="00D770C8" w:rsidRPr="00405AAD">
        <w:t xml:space="preserve"> </w:t>
      </w:r>
    </w:p>
    <w:p w:rsidR="00905B2F" w:rsidRPr="00405AAD" w:rsidRDefault="00D76194" w:rsidP="00115BF9">
      <w:pPr>
        <w:pStyle w:val="SingleTxtG"/>
        <w:rPr>
          <w:b/>
          <w:bCs/>
        </w:rPr>
      </w:pPr>
      <w:r w:rsidRPr="00405AAD">
        <w:rPr>
          <w:bCs/>
        </w:rPr>
        <w:t>7</w:t>
      </w:r>
      <w:r w:rsidR="00346CB0">
        <w:rPr>
          <w:bCs/>
        </w:rPr>
        <w:t>6</w:t>
      </w:r>
      <w:r w:rsidRPr="00405AAD">
        <w:rPr>
          <w:bCs/>
        </w:rPr>
        <w:t>.</w:t>
      </w:r>
      <w:r w:rsidRPr="00405AAD">
        <w:rPr>
          <w:bCs/>
        </w:rPr>
        <w:tab/>
      </w:r>
      <w:r w:rsidR="00CE0889" w:rsidRPr="00405AAD">
        <w:t xml:space="preserve">UNAMI/OHCHR also embarked on a community reconciliation programme, which involves working in partnership with Iraqi </w:t>
      </w:r>
      <w:r w:rsidR="00566BCE">
        <w:t>non-governmental organizations</w:t>
      </w:r>
      <w:r w:rsidR="00566BCE" w:rsidRPr="00A15A59">
        <w:t xml:space="preserve"> </w:t>
      </w:r>
      <w:r w:rsidR="00CE0889" w:rsidRPr="007F7837">
        <w:t>to identify past human rights violations,</w:t>
      </w:r>
      <w:r w:rsidR="00566BCE">
        <w:t xml:space="preserve"> and</w:t>
      </w:r>
      <w:r w:rsidR="00CE0889" w:rsidRPr="00D324D7">
        <w:t xml:space="preserve"> individuals and communities that have been affected by the</w:t>
      </w:r>
      <w:r w:rsidR="00566BCE">
        <w:t>m</w:t>
      </w:r>
      <w:r w:rsidR="00CE0889" w:rsidRPr="00D324D7">
        <w:t xml:space="preserve">, and to engage </w:t>
      </w:r>
      <w:r w:rsidR="00566BCE">
        <w:t>i</w:t>
      </w:r>
      <w:r w:rsidR="00CE0889" w:rsidRPr="00D324D7">
        <w:t xml:space="preserve">n </w:t>
      </w:r>
      <w:r w:rsidR="00157375" w:rsidRPr="007F7837">
        <w:t xml:space="preserve">a </w:t>
      </w:r>
      <w:r w:rsidR="00CE0889" w:rsidRPr="007F7837">
        <w:t>dialogue on processes and policies that would provide</w:t>
      </w:r>
      <w:r w:rsidR="00566BCE">
        <w:t xml:space="preserve"> victims with</w:t>
      </w:r>
      <w:r w:rsidR="00CE0889" w:rsidRPr="00D324D7">
        <w:t xml:space="preserve"> justice, accountability</w:t>
      </w:r>
      <w:r w:rsidR="00CE0889" w:rsidRPr="007F7837">
        <w:t xml:space="preserve"> and compensation or support</w:t>
      </w:r>
      <w:r w:rsidR="00157375" w:rsidRPr="007F7837">
        <w:t>.</w:t>
      </w:r>
      <w:r w:rsidR="00157375" w:rsidRPr="00405AAD" w:rsidDel="00157375">
        <w:t xml:space="preserve"> </w:t>
      </w:r>
    </w:p>
    <w:p w:rsidR="007E3734" w:rsidRPr="00405AAD" w:rsidRDefault="007D25EB" w:rsidP="00893F80">
      <w:pPr>
        <w:pStyle w:val="H23G"/>
        <w:spacing w:line="360" w:lineRule="auto"/>
      </w:pPr>
      <w:r w:rsidRPr="00405AAD">
        <w:tab/>
        <w:t>2.</w:t>
      </w:r>
      <w:r w:rsidRPr="00405AAD">
        <w:tab/>
      </w:r>
      <w:r w:rsidR="002035FC" w:rsidRPr="00405AAD">
        <w:t xml:space="preserve">Criminal </w:t>
      </w:r>
      <w:r w:rsidR="00A943F4" w:rsidRPr="00405AAD">
        <w:t>l</w:t>
      </w:r>
      <w:r w:rsidR="002035FC" w:rsidRPr="00405AAD">
        <w:t>aws</w:t>
      </w:r>
    </w:p>
    <w:p w:rsidR="004E2F68" w:rsidRPr="00405AAD" w:rsidRDefault="005E1F16" w:rsidP="00115BF9">
      <w:pPr>
        <w:pStyle w:val="SingleTxtG"/>
      </w:pPr>
      <w:r>
        <w:t>77</w:t>
      </w:r>
      <w:r w:rsidR="00D76194" w:rsidRPr="00405AAD">
        <w:t>.</w:t>
      </w:r>
      <w:r w:rsidR="00D76194" w:rsidRPr="00405AAD">
        <w:tab/>
      </w:r>
      <w:r w:rsidR="00923F47" w:rsidRPr="00405AAD">
        <w:t xml:space="preserve">In the context of the </w:t>
      </w:r>
      <w:r w:rsidR="000B7A1E" w:rsidRPr="00405AAD">
        <w:t xml:space="preserve">ongoing </w:t>
      </w:r>
      <w:r w:rsidR="00923F47" w:rsidRPr="00405AAD">
        <w:t xml:space="preserve">gross violations of human rights and serious violations </w:t>
      </w:r>
      <w:r w:rsidR="00AD6EEB" w:rsidRPr="00405AAD">
        <w:t>of humanitarian</w:t>
      </w:r>
      <w:r w:rsidR="00923F47" w:rsidRPr="00405AAD">
        <w:t xml:space="preserve"> law in Iraq</w:t>
      </w:r>
      <w:r w:rsidR="00324B14">
        <w:t>, such as those committed by ISIL and associated armed groups</w:t>
      </w:r>
      <w:r w:rsidR="00923F47" w:rsidRPr="00405AAD">
        <w:t xml:space="preserve">, UNAMI/OHCHR has </w:t>
      </w:r>
      <w:r w:rsidR="001163C1" w:rsidRPr="00405AAD">
        <w:t xml:space="preserve">encouraged the authorities to </w:t>
      </w:r>
      <w:r w:rsidR="00AD6EEB" w:rsidRPr="00405AAD">
        <w:t>pursue</w:t>
      </w:r>
      <w:r w:rsidR="00347ED5" w:rsidRPr="00405AAD">
        <w:t xml:space="preserve"> meaningful</w:t>
      </w:r>
      <w:r w:rsidR="00AD6EEB" w:rsidRPr="00405AAD">
        <w:t xml:space="preserve"> accountability, particular</w:t>
      </w:r>
      <w:r w:rsidR="00347ED5" w:rsidRPr="00405AAD">
        <w:t>ly</w:t>
      </w:r>
      <w:r w:rsidR="00AD6EEB" w:rsidRPr="00405AAD">
        <w:t xml:space="preserve"> for international crimes. At present, war crimes, crimes against humanity and genocide are not </w:t>
      </w:r>
      <w:r w:rsidR="00CE0889" w:rsidRPr="00405AAD">
        <w:t>within the jurisdiction of the domestic courts</w:t>
      </w:r>
      <w:r w:rsidR="00AD6EEB" w:rsidRPr="00405AAD">
        <w:t xml:space="preserve">. </w:t>
      </w:r>
      <w:r w:rsidR="00566BCE">
        <w:t xml:space="preserve">In the Kurdistan region of Iraq, </w:t>
      </w:r>
      <w:r w:rsidR="006C70FC" w:rsidRPr="00D324D7">
        <w:t xml:space="preserve">UNAMI/OHCHR </w:t>
      </w:r>
      <w:r w:rsidR="00AD6EEB" w:rsidRPr="00D324D7">
        <w:t xml:space="preserve">met with the Deputy Speaker </w:t>
      </w:r>
      <w:r w:rsidR="00B92E02" w:rsidRPr="007F7837">
        <w:t xml:space="preserve">and the Human Rights Committee </w:t>
      </w:r>
      <w:r w:rsidR="00AD6EEB" w:rsidRPr="00405AAD">
        <w:t>of the Parliament</w:t>
      </w:r>
      <w:r w:rsidR="00B92E02" w:rsidRPr="00405AAD">
        <w:t xml:space="preserve"> </w:t>
      </w:r>
      <w:r w:rsidR="00AD6EEB" w:rsidRPr="00405AAD">
        <w:t xml:space="preserve">to advocate for the inclusion of these crimes in regional legislation so that perpetrators </w:t>
      </w:r>
      <w:r w:rsidR="00566BCE">
        <w:t>could</w:t>
      </w:r>
      <w:r w:rsidR="00566BCE" w:rsidRPr="00D324D7">
        <w:t xml:space="preserve"> </w:t>
      </w:r>
      <w:r w:rsidR="00AD6EEB" w:rsidRPr="00D324D7">
        <w:t>be brought to justice in a manner that reco</w:t>
      </w:r>
      <w:r w:rsidR="00AD6EEB" w:rsidRPr="00405AAD">
        <w:t xml:space="preserve">gnizes the true nature of such crimes. </w:t>
      </w:r>
      <w:r w:rsidR="006C70FC" w:rsidRPr="00405AAD">
        <w:t xml:space="preserve">UNAMI/OHCHR </w:t>
      </w:r>
      <w:r w:rsidR="00AD6EEB" w:rsidRPr="00405AAD">
        <w:t>also encourage</w:t>
      </w:r>
      <w:r w:rsidR="00031055" w:rsidRPr="00405AAD">
        <w:t>d</w:t>
      </w:r>
      <w:r w:rsidR="00AD6EEB" w:rsidRPr="00405AAD">
        <w:t xml:space="preserve"> the Government of Iraq to accede to the Rome Statute of t</w:t>
      </w:r>
      <w:r w:rsidR="00347ED5" w:rsidRPr="00405AAD">
        <w:t xml:space="preserve">he International Criminal Court and to ratify </w:t>
      </w:r>
      <w:r w:rsidR="00AB6A3C" w:rsidRPr="00405AAD">
        <w:t xml:space="preserve">Protocol </w:t>
      </w:r>
      <w:r w:rsidR="00347ED5" w:rsidRPr="00405AAD">
        <w:t>to the Ge</w:t>
      </w:r>
      <w:r w:rsidR="00AB6A3C" w:rsidRPr="00405AAD">
        <w:t xml:space="preserve">neva Conventions relating to the Protection of Victims of Non-International Armed Conflicts. </w:t>
      </w:r>
      <w:r w:rsidR="00CE0889" w:rsidRPr="00405AAD">
        <w:t xml:space="preserve">UNAMI/OHCHR conducted training with the Parliamentary Human Rights Committee on the protection of civilians and on international legal obligations </w:t>
      </w:r>
      <w:r w:rsidR="00FF63A3">
        <w:t>with regard</w:t>
      </w:r>
      <w:r w:rsidR="00CE0889" w:rsidRPr="00D324D7">
        <w:t xml:space="preserve"> to accountability for the commission of international</w:t>
      </w:r>
      <w:r w:rsidR="00CE0889" w:rsidRPr="007F7837">
        <w:t xml:space="preserve"> crimes.</w:t>
      </w:r>
      <w:r w:rsidR="004E2F68" w:rsidRPr="00405AAD">
        <w:t xml:space="preserve"> </w:t>
      </w:r>
    </w:p>
    <w:p w:rsidR="007E3734" w:rsidRPr="00405AAD" w:rsidRDefault="007D25EB" w:rsidP="00893F80">
      <w:pPr>
        <w:pStyle w:val="H23G"/>
        <w:spacing w:line="360" w:lineRule="auto"/>
      </w:pPr>
      <w:r w:rsidRPr="00405AAD">
        <w:tab/>
        <w:t>3.</w:t>
      </w:r>
      <w:r w:rsidRPr="00405AAD">
        <w:tab/>
      </w:r>
      <w:r w:rsidR="00416AA3" w:rsidRPr="00405AAD">
        <w:t>Anti</w:t>
      </w:r>
      <w:r w:rsidR="002035FC" w:rsidRPr="00405AAD">
        <w:t>-terrorism law</w:t>
      </w:r>
      <w:r w:rsidR="00416AA3" w:rsidRPr="00405AAD">
        <w:t>s</w:t>
      </w:r>
    </w:p>
    <w:p w:rsidR="005913A8" w:rsidRPr="007F7837" w:rsidRDefault="005E1F16" w:rsidP="00115BF9">
      <w:pPr>
        <w:pStyle w:val="SingleTxtG"/>
      </w:pPr>
      <w:r>
        <w:t>78</w:t>
      </w:r>
      <w:r w:rsidR="00D76194" w:rsidRPr="00405AAD">
        <w:t>.</w:t>
      </w:r>
      <w:r w:rsidR="00D76194" w:rsidRPr="00405AAD">
        <w:tab/>
      </w:r>
      <w:r w:rsidR="00E15A26" w:rsidRPr="00405AAD">
        <w:t xml:space="preserve">UNAMI/OHCHR has serious concerns </w:t>
      </w:r>
      <w:r w:rsidR="003F1C6F" w:rsidRPr="00405AAD">
        <w:t xml:space="preserve">concerning Anti-terrorism Law </w:t>
      </w:r>
      <w:r w:rsidR="006C70FC" w:rsidRPr="00405AAD">
        <w:t xml:space="preserve">No. 13 </w:t>
      </w:r>
      <w:r w:rsidR="003F1C6F" w:rsidRPr="00405AAD">
        <w:t>of 20</w:t>
      </w:r>
      <w:r w:rsidR="005913A8" w:rsidRPr="00405AAD">
        <w:t>0</w:t>
      </w:r>
      <w:r w:rsidR="003F1C6F" w:rsidRPr="00405AAD">
        <w:t xml:space="preserve">5 and its conformity with international human rights standards. </w:t>
      </w:r>
      <w:r w:rsidR="00CE0889" w:rsidRPr="00405AAD">
        <w:t>UNAMI/OHCHR conducted advocacy with the Government of Iraq,</w:t>
      </w:r>
      <w:r w:rsidR="00AE6B99" w:rsidRPr="00405AAD">
        <w:t xml:space="preserve"> </w:t>
      </w:r>
      <w:r w:rsidR="00CE0889" w:rsidRPr="00405AAD">
        <w:t xml:space="preserve">the Parliamentary Human Rights Committee, law enforcement officials, the judiciary and </w:t>
      </w:r>
      <w:r w:rsidR="00FF63A3">
        <w:t>non-governmental organizations</w:t>
      </w:r>
      <w:r w:rsidR="00FF63A3" w:rsidRPr="00D324D7">
        <w:t xml:space="preserve"> </w:t>
      </w:r>
      <w:r w:rsidR="00CE0889" w:rsidRPr="00D324D7">
        <w:t xml:space="preserve">on the need to amend the </w:t>
      </w:r>
      <w:r w:rsidR="00FF63A3">
        <w:t>l</w:t>
      </w:r>
      <w:r w:rsidR="00CE0889" w:rsidRPr="00D324D7">
        <w:t>aw to ensure it complies with international human rights standards.</w:t>
      </w:r>
      <w:r w:rsidR="00324B14">
        <w:t xml:space="preserve"> UNAMI/OHCHR has embarked on a technical cooperation project to study thoroughly the law and </w:t>
      </w:r>
      <w:r w:rsidR="0014429B">
        <w:t xml:space="preserve">to </w:t>
      </w:r>
      <w:r w:rsidR="00324B14">
        <w:t xml:space="preserve">propose amendments. </w:t>
      </w:r>
    </w:p>
    <w:p w:rsidR="00B36A04" w:rsidRPr="00405AAD" w:rsidRDefault="005E1F16" w:rsidP="00115BF9">
      <w:pPr>
        <w:pStyle w:val="SingleTxtG"/>
      </w:pPr>
      <w:r>
        <w:t>79</w:t>
      </w:r>
      <w:r w:rsidR="00D76194" w:rsidRPr="007F7837">
        <w:t>.</w:t>
      </w:r>
      <w:r w:rsidR="00D76194" w:rsidRPr="007F7837">
        <w:tab/>
      </w:r>
      <w:r w:rsidR="00B36A04" w:rsidRPr="007F7837">
        <w:t xml:space="preserve">UNAMI/OHCHR will </w:t>
      </w:r>
      <w:r w:rsidR="00B36A04" w:rsidRPr="00D324D7">
        <w:t xml:space="preserve">implement a number of projects </w:t>
      </w:r>
      <w:r w:rsidR="007F7837">
        <w:t xml:space="preserve">involving </w:t>
      </w:r>
      <w:r w:rsidR="00B36A04" w:rsidRPr="00D324D7">
        <w:t>consult</w:t>
      </w:r>
      <w:r w:rsidR="007F7837">
        <w:t>ations</w:t>
      </w:r>
      <w:r w:rsidR="00B36A04" w:rsidRPr="00D324D7">
        <w:t xml:space="preserve"> with stakeholders </w:t>
      </w:r>
      <w:r w:rsidR="007F7837">
        <w:t xml:space="preserve">with a view </w:t>
      </w:r>
      <w:r w:rsidR="00B36A04" w:rsidRPr="00D324D7">
        <w:t>to identify</w:t>
      </w:r>
      <w:r w:rsidR="007F7837">
        <w:t>ing</w:t>
      </w:r>
      <w:r w:rsidR="00B36A04" w:rsidRPr="00D324D7">
        <w:t xml:space="preserve"> gaps in </w:t>
      </w:r>
      <w:r w:rsidR="007F7837">
        <w:t xml:space="preserve">the </w:t>
      </w:r>
      <w:r w:rsidR="00B36A04" w:rsidRPr="00D324D7">
        <w:t xml:space="preserve">criminal </w:t>
      </w:r>
      <w:r w:rsidR="007F7837">
        <w:t>system</w:t>
      </w:r>
      <w:r w:rsidR="00B36A04" w:rsidRPr="00D324D7">
        <w:t xml:space="preserve"> and draft</w:t>
      </w:r>
      <w:r w:rsidR="007F7837">
        <w:t>ing</w:t>
      </w:r>
      <w:r w:rsidR="00B36A04" w:rsidRPr="00D324D7">
        <w:t xml:space="preserve"> a comprehensive package of proposed law reforms</w:t>
      </w:r>
      <w:r w:rsidR="0064515B" w:rsidRPr="00405AAD">
        <w:t xml:space="preserve">, and to </w:t>
      </w:r>
      <w:r w:rsidR="00B36A04" w:rsidRPr="00405AAD">
        <w:t>develop</w:t>
      </w:r>
      <w:r w:rsidR="007F7837">
        <w:t>ing</w:t>
      </w:r>
      <w:r w:rsidR="00B36A04" w:rsidRPr="00405AAD">
        <w:t xml:space="preserve"> and </w:t>
      </w:r>
      <w:r w:rsidR="0064515B" w:rsidRPr="00405AAD">
        <w:t>advocat</w:t>
      </w:r>
      <w:r w:rsidR="007F7837">
        <w:t>ing</w:t>
      </w:r>
      <w:r w:rsidR="0064515B" w:rsidRPr="00405AAD">
        <w:t xml:space="preserve"> </w:t>
      </w:r>
      <w:r w:rsidR="00B36A04" w:rsidRPr="00405AAD">
        <w:t xml:space="preserve">for a package of policies and approaches that will ensure respect and protection of human rights while </w:t>
      </w:r>
      <w:r w:rsidR="007F7837">
        <w:t>countering</w:t>
      </w:r>
      <w:r w:rsidR="00B36A04" w:rsidRPr="00405AAD">
        <w:t xml:space="preserve"> terrorism. </w:t>
      </w:r>
    </w:p>
    <w:p w:rsidR="00DD33F3" w:rsidRPr="007F7837" w:rsidRDefault="00D76194" w:rsidP="00115BF9">
      <w:pPr>
        <w:pStyle w:val="SingleTxtG"/>
      </w:pPr>
      <w:r w:rsidRPr="00405AAD">
        <w:t>8</w:t>
      </w:r>
      <w:r w:rsidR="00346CB0">
        <w:t>0</w:t>
      </w:r>
      <w:r w:rsidRPr="00405AAD">
        <w:t>.</w:t>
      </w:r>
      <w:r w:rsidRPr="00405AAD">
        <w:tab/>
      </w:r>
      <w:r w:rsidR="00324B14">
        <w:t xml:space="preserve">UNAMI/OHCHR also has concerns regarding </w:t>
      </w:r>
      <w:r w:rsidR="00FF63A3">
        <w:t xml:space="preserve">the </w:t>
      </w:r>
      <w:r w:rsidR="00E26A8A">
        <w:t>a</w:t>
      </w:r>
      <w:r w:rsidR="00324B14">
        <w:t xml:space="preserve">nti-terrorism law of the </w:t>
      </w:r>
      <w:r w:rsidR="00FF63A3">
        <w:t>Kurdistan region of Iraq</w:t>
      </w:r>
      <w:r w:rsidR="00324B14">
        <w:t xml:space="preserve"> and its </w:t>
      </w:r>
      <w:r w:rsidR="000A1B7D">
        <w:t xml:space="preserve">lack of </w:t>
      </w:r>
      <w:r w:rsidR="00324B14">
        <w:t xml:space="preserve">conformity with </w:t>
      </w:r>
      <w:r w:rsidR="00DD33F3" w:rsidRPr="00405AAD">
        <w:t>international human rights standards</w:t>
      </w:r>
      <w:r w:rsidR="00E26A8A">
        <w:t>.</w:t>
      </w:r>
      <w:r w:rsidR="00F621F0" w:rsidRPr="00C27DE4">
        <w:rPr>
          <w:sz w:val="18"/>
          <w:szCs w:val="18"/>
          <w:vertAlign w:val="superscript"/>
        </w:rPr>
        <w:footnoteReference w:id="12"/>
      </w:r>
      <w:r w:rsidR="00B8762C" w:rsidRPr="00405AAD">
        <w:t xml:space="preserve"> </w:t>
      </w:r>
      <w:r w:rsidR="00B8762C" w:rsidRPr="00893F80">
        <w:rPr>
          <w:sz w:val="18"/>
          <w:szCs w:val="18"/>
          <w:vertAlign w:val="superscript"/>
        </w:rPr>
        <w:t xml:space="preserve"> </w:t>
      </w:r>
    </w:p>
    <w:p w:rsidR="00A449D1" w:rsidRPr="00405AAD" w:rsidRDefault="00D76194" w:rsidP="00115BF9">
      <w:pPr>
        <w:pStyle w:val="SingleTxtG"/>
      </w:pPr>
      <w:r w:rsidRPr="007F7837">
        <w:t>8</w:t>
      </w:r>
      <w:r w:rsidR="00346CB0">
        <w:t>1</w:t>
      </w:r>
      <w:r w:rsidRPr="007F7837">
        <w:t>.</w:t>
      </w:r>
      <w:r w:rsidRPr="007F7837">
        <w:tab/>
      </w:r>
      <w:r w:rsidR="00645EE2" w:rsidRPr="00405AAD">
        <w:t xml:space="preserve">UNAMI/OHCHR extensively engaged with </w:t>
      </w:r>
      <w:r w:rsidR="00765309">
        <w:t>the</w:t>
      </w:r>
      <w:r w:rsidR="00645EE2" w:rsidRPr="00D324D7">
        <w:t xml:space="preserve"> aut</w:t>
      </w:r>
      <w:r w:rsidR="00A449D1" w:rsidRPr="00D324D7">
        <w:t xml:space="preserve">horities </w:t>
      </w:r>
      <w:r w:rsidR="00765309">
        <w:t xml:space="preserve">in the Kurdistan region of Iraq </w:t>
      </w:r>
      <w:r w:rsidR="00A449D1" w:rsidRPr="00D324D7">
        <w:t xml:space="preserve">on the </w:t>
      </w:r>
      <w:r w:rsidR="00765309">
        <w:t>l</w:t>
      </w:r>
      <w:r w:rsidR="00645EE2" w:rsidRPr="00D324D7">
        <w:t>aw</w:t>
      </w:r>
      <w:r w:rsidR="00765309">
        <w:t>,</w:t>
      </w:r>
      <w:r w:rsidR="00645EE2" w:rsidRPr="00D324D7">
        <w:t xml:space="preserve"> and urged </w:t>
      </w:r>
      <w:r w:rsidR="00765309">
        <w:t xml:space="preserve">that </w:t>
      </w:r>
      <w:r w:rsidR="00031055" w:rsidRPr="00D324D7">
        <w:t>it be brought into</w:t>
      </w:r>
      <w:r w:rsidR="00645EE2" w:rsidRPr="007F7837">
        <w:t xml:space="preserve"> conformity with </w:t>
      </w:r>
      <w:r w:rsidR="00EF62C2" w:rsidRPr="007F7837">
        <w:t xml:space="preserve">international </w:t>
      </w:r>
      <w:r w:rsidR="00645EE2" w:rsidRPr="00405AAD">
        <w:t xml:space="preserve">human rights standards. </w:t>
      </w:r>
      <w:r w:rsidR="00A449D1" w:rsidRPr="00405AAD">
        <w:t xml:space="preserve">UNAMI </w:t>
      </w:r>
      <w:r w:rsidR="00EF62C2" w:rsidRPr="00405AAD">
        <w:t xml:space="preserve">also </w:t>
      </w:r>
      <w:r w:rsidR="00A449D1" w:rsidRPr="00405AAD">
        <w:t>met with al-</w:t>
      </w:r>
      <w:proofErr w:type="spellStart"/>
      <w:r w:rsidR="00A449D1" w:rsidRPr="00405AAD">
        <w:t>Shura</w:t>
      </w:r>
      <w:proofErr w:type="spellEnd"/>
      <w:r w:rsidR="00A449D1" w:rsidRPr="00405AAD">
        <w:t xml:space="preserve"> Council and the Human Rights Committee of the Kurdistan Parliament to </w:t>
      </w:r>
      <w:r w:rsidR="00EF62C2" w:rsidRPr="00405AAD">
        <w:t>reiterate this position</w:t>
      </w:r>
      <w:r w:rsidR="00A449D1" w:rsidRPr="00405AAD">
        <w:t xml:space="preserve">. </w:t>
      </w:r>
    </w:p>
    <w:p w:rsidR="00B1462F" w:rsidRPr="00405AAD" w:rsidRDefault="007D25EB" w:rsidP="00893F80">
      <w:pPr>
        <w:pStyle w:val="H23G"/>
        <w:spacing w:line="360" w:lineRule="auto"/>
      </w:pPr>
      <w:r w:rsidRPr="00405AAD">
        <w:tab/>
        <w:t>4.</w:t>
      </w:r>
      <w:r w:rsidRPr="00405AAD">
        <w:tab/>
      </w:r>
      <w:r w:rsidR="00B1462F" w:rsidRPr="00405AAD">
        <w:t>Death penalty</w:t>
      </w:r>
    </w:p>
    <w:p w:rsidR="00C24387" w:rsidRPr="00405AAD" w:rsidRDefault="00D76194" w:rsidP="00115BF9">
      <w:pPr>
        <w:pStyle w:val="SingleTxtG"/>
      </w:pPr>
      <w:r w:rsidRPr="00405AAD">
        <w:t>8</w:t>
      </w:r>
      <w:r w:rsidR="00346CB0">
        <w:t>2</w:t>
      </w:r>
      <w:r w:rsidRPr="00405AAD">
        <w:t>.</w:t>
      </w:r>
      <w:r w:rsidRPr="00405AAD">
        <w:tab/>
      </w:r>
      <w:r w:rsidR="00B1462F" w:rsidRPr="00405AAD">
        <w:t>The Government of Iraq continues to implement the death penalty</w:t>
      </w:r>
      <w:r w:rsidR="00C24387" w:rsidRPr="00405AAD">
        <w:t xml:space="preserve"> despite repeated calls</w:t>
      </w:r>
      <w:r w:rsidR="00157375" w:rsidRPr="00405AAD">
        <w:t xml:space="preserve">, including </w:t>
      </w:r>
      <w:r w:rsidR="00765309">
        <w:t xml:space="preserve">those of </w:t>
      </w:r>
      <w:r w:rsidR="00157375" w:rsidRPr="00D324D7">
        <w:t xml:space="preserve">the Secretary-General </w:t>
      </w:r>
      <w:r w:rsidR="00157375" w:rsidRPr="007F7837">
        <w:t xml:space="preserve">and the </w:t>
      </w:r>
      <w:r w:rsidR="00765309">
        <w:t xml:space="preserve">United Nations </w:t>
      </w:r>
      <w:r w:rsidR="00157375" w:rsidRPr="00D324D7">
        <w:t>High Commissioner for Human Rights</w:t>
      </w:r>
      <w:r w:rsidR="00765309">
        <w:t>,</w:t>
      </w:r>
      <w:r w:rsidR="00C24387" w:rsidRPr="00D324D7">
        <w:t xml:space="preserve"> to implement a moratorium on the death penalty with a view to its abolition, in accordance with relevant resolutions of the </w:t>
      </w:r>
      <w:r w:rsidR="00C24387" w:rsidRPr="00405AAD">
        <w:t>General Assembly.</w:t>
      </w:r>
    </w:p>
    <w:p w:rsidR="00B1462F" w:rsidRPr="00D324D7" w:rsidRDefault="00D76194" w:rsidP="00115BF9">
      <w:pPr>
        <w:pStyle w:val="SingleTxtG"/>
      </w:pPr>
      <w:r w:rsidRPr="00405AAD">
        <w:t>8</w:t>
      </w:r>
      <w:r w:rsidR="00346CB0">
        <w:t>3</w:t>
      </w:r>
      <w:r w:rsidRPr="00405AAD">
        <w:t>.</w:t>
      </w:r>
      <w:r w:rsidRPr="00405AAD">
        <w:tab/>
      </w:r>
      <w:r w:rsidR="00C24387" w:rsidRPr="00405AAD">
        <w:t xml:space="preserve">While officially no executions have been carried out in Iraq in 2015, </w:t>
      </w:r>
      <w:r w:rsidR="00B1462F" w:rsidRPr="00405AAD">
        <w:t>UNAMI</w:t>
      </w:r>
      <w:r w:rsidR="00B966D3" w:rsidRPr="00405AAD">
        <w:t>/OHCHR</w:t>
      </w:r>
      <w:r w:rsidR="00B1462F" w:rsidRPr="00405AAD">
        <w:t xml:space="preserve"> received </w:t>
      </w:r>
      <w:r w:rsidR="00CE0889" w:rsidRPr="00405AAD">
        <w:t>report</w:t>
      </w:r>
      <w:r w:rsidR="00B966D3" w:rsidRPr="00405AAD">
        <w:t>s</w:t>
      </w:r>
      <w:r w:rsidR="00CE0889" w:rsidRPr="00405AAD">
        <w:t xml:space="preserve"> </w:t>
      </w:r>
      <w:r w:rsidR="00B1462F" w:rsidRPr="00405AAD">
        <w:t xml:space="preserve">that </w:t>
      </w:r>
      <w:r w:rsidR="00CE0889" w:rsidRPr="00405AAD">
        <w:t xml:space="preserve">four </w:t>
      </w:r>
      <w:r w:rsidR="00B1462F" w:rsidRPr="00405AAD">
        <w:t xml:space="preserve">individuals were executed in March </w:t>
      </w:r>
      <w:r w:rsidR="00B966D3" w:rsidRPr="00405AAD">
        <w:t xml:space="preserve">in </w:t>
      </w:r>
      <w:r w:rsidR="00765309">
        <w:t>a</w:t>
      </w:r>
      <w:r w:rsidR="00B966D3" w:rsidRPr="00D324D7">
        <w:t>l</w:t>
      </w:r>
      <w:r w:rsidR="00765309">
        <w:t>-</w:t>
      </w:r>
      <w:r w:rsidR="00B966D3" w:rsidRPr="00D324D7">
        <w:t xml:space="preserve">Hoot prison in </w:t>
      </w:r>
      <w:proofErr w:type="spellStart"/>
      <w:r w:rsidR="00B966D3" w:rsidRPr="00D324D7">
        <w:t>Nassiriyah</w:t>
      </w:r>
      <w:proofErr w:type="spellEnd"/>
      <w:r w:rsidR="00B1462F" w:rsidRPr="007F7837">
        <w:t>. UNAMI</w:t>
      </w:r>
      <w:r w:rsidR="00B966D3" w:rsidRPr="007F7837">
        <w:t>/OHCHR</w:t>
      </w:r>
      <w:r w:rsidR="00B1462F" w:rsidRPr="00405AAD">
        <w:t xml:space="preserve"> </w:t>
      </w:r>
      <w:r w:rsidR="00765309">
        <w:t>informed</w:t>
      </w:r>
      <w:r w:rsidR="00765309" w:rsidRPr="00D324D7">
        <w:t xml:space="preserve"> </w:t>
      </w:r>
      <w:r w:rsidR="00B1462F" w:rsidRPr="00D324D7">
        <w:t>the</w:t>
      </w:r>
      <w:r w:rsidR="00B1462F" w:rsidRPr="007F7837">
        <w:t xml:space="preserve"> Government that lack of transparency in the application of the death penalty constitutes a violation of </w:t>
      </w:r>
      <w:r w:rsidR="00765309">
        <w:t>the State</w:t>
      </w:r>
      <w:r w:rsidR="00B1462F" w:rsidRPr="00D324D7">
        <w:t xml:space="preserve">’s international legal obligations </w:t>
      </w:r>
      <w:r w:rsidR="00765309">
        <w:t>with regard</w:t>
      </w:r>
      <w:r w:rsidR="00B1462F" w:rsidRPr="00D324D7">
        <w:t xml:space="preserve"> to due process and transparency. </w:t>
      </w:r>
    </w:p>
    <w:p w:rsidR="00444233" w:rsidRDefault="00D76194" w:rsidP="00115BF9">
      <w:pPr>
        <w:pStyle w:val="SingleTxtG"/>
      </w:pPr>
      <w:r w:rsidRPr="007F7837">
        <w:t>8</w:t>
      </w:r>
      <w:r w:rsidR="00346CB0">
        <w:t>4</w:t>
      </w:r>
      <w:r w:rsidRPr="007F7837">
        <w:t>.</w:t>
      </w:r>
      <w:r w:rsidRPr="007F7837">
        <w:tab/>
      </w:r>
      <w:r w:rsidR="00B1462F" w:rsidRPr="007F7837">
        <w:t>UNAMI</w:t>
      </w:r>
      <w:r w:rsidR="005E19BE" w:rsidRPr="007F7837">
        <w:t>/OHCHR</w:t>
      </w:r>
      <w:r w:rsidR="00B1462F" w:rsidRPr="007F7837">
        <w:t xml:space="preserve"> also intervened with several </w:t>
      </w:r>
      <w:r w:rsidR="00765309">
        <w:t>g</w:t>
      </w:r>
      <w:r w:rsidR="00B1462F" w:rsidRPr="00D324D7">
        <w:t xml:space="preserve">overnment officials </w:t>
      </w:r>
      <w:r w:rsidR="00B1462F" w:rsidRPr="007F7837">
        <w:t xml:space="preserve">with </w:t>
      </w:r>
      <w:r w:rsidR="00765309">
        <w:t>regard</w:t>
      </w:r>
      <w:r w:rsidR="00765309" w:rsidRPr="00D324D7">
        <w:t xml:space="preserve"> </w:t>
      </w:r>
      <w:r w:rsidR="00B1462F" w:rsidRPr="00D324D7">
        <w:t xml:space="preserve">to </w:t>
      </w:r>
      <w:r w:rsidR="00CE0889" w:rsidRPr="007F7837">
        <w:t xml:space="preserve">a number </w:t>
      </w:r>
      <w:r w:rsidR="00B1462F" w:rsidRPr="007F7837">
        <w:t xml:space="preserve">of </w:t>
      </w:r>
      <w:r w:rsidR="00CE0889" w:rsidRPr="007F7837">
        <w:t xml:space="preserve">cases where individuals (including two </w:t>
      </w:r>
      <w:r w:rsidR="00B1462F" w:rsidRPr="007F7837">
        <w:t>foreign national</w:t>
      </w:r>
      <w:r w:rsidR="00CE0889" w:rsidRPr="00405AAD">
        <w:t>s) were</w:t>
      </w:r>
      <w:r w:rsidR="00B1462F" w:rsidRPr="00405AAD">
        <w:t xml:space="preserve"> sentenced to death for crime</w:t>
      </w:r>
      <w:r w:rsidR="00CE0889" w:rsidRPr="00405AAD">
        <w:t>s</w:t>
      </w:r>
      <w:r w:rsidR="00B1462F" w:rsidRPr="00405AAD">
        <w:t xml:space="preserve"> allegedly committed </w:t>
      </w:r>
      <w:r w:rsidR="00CE0889" w:rsidRPr="00405AAD">
        <w:t xml:space="preserve">while </w:t>
      </w:r>
      <w:r w:rsidR="00B1462F" w:rsidRPr="00405AAD">
        <w:t>juvenile</w:t>
      </w:r>
      <w:r w:rsidR="00CE0889" w:rsidRPr="00405AAD">
        <w:t>s</w:t>
      </w:r>
      <w:r w:rsidR="00B1462F" w:rsidRPr="00405AAD">
        <w:t xml:space="preserve">, urging </w:t>
      </w:r>
      <w:r w:rsidR="00CE0889" w:rsidRPr="00405AAD">
        <w:t xml:space="preserve">their </w:t>
      </w:r>
      <w:r w:rsidR="00765309">
        <w:t>execution</w:t>
      </w:r>
      <w:r w:rsidR="00765309" w:rsidRPr="00D324D7">
        <w:t xml:space="preserve"> </w:t>
      </w:r>
      <w:r w:rsidR="00841B7D" w:rsidRPr="00D324D7">
        <w:t>be immediately stayed</w:t>
      </w:r>
      <w:r w:rsidR="00DC6EDC" w:rsidRPr="007F7837">
        <w:t xml:space="preserve"> and</w:t>
      </w:r>
      <w:r w:rsidR="00B1462F" w:rsidRPr="007F7837">
        <w:t xml:space="preserve"> </w:t>
      </w:r>
      <w:r w:rsidR="00CE0889" w:rsidRPr="007F7837">
        <w:t xml:space="preserve">their ages </w:t>
      </w:r>
      <w:r w:rsidR="00DC6EDC" w:rsidRPr="007F7837">
        <w:t xml:space="preserve">be </w:t>
      </w:r>
      <w:r w:rsidR="00B1462F" w:rsidRPr="00405AAD">
        <w:t xml:space="preserve">properly determined, </w:t>
      </w:r>
      <w:r w:rsidR="00CE0889" w:rsidRPr="00405AAD">
        <w:t xml:space="preserve">whereupon the verdicts should be set aside and the </w:t>
      </w:r>
      <w:r w:rsidR="00765309">
        <w:t xml:space="preserve">individuals in question </w:t>
      </w:r>
      <w:r w:rsidR="00CE0889" w:rsidRPr="00D324D7">
        <w:t xml:space="preserve">be retried </w:t>
      </w:r>
      <w:r w:rsidR="00765309">
        <w:t xml:space="preserve">in </w:t>
      </w:r>
      <w:r w:rsidR="00CE0889" w:rsidRPr="00D324D7">
        <w:t>accord</w:t>
      </w:r>
      <w:r w:rsidR="00765309">
        <w:t>ance</w:t>
      </w:r>
      <w:r w:rsidR="00CE0889" w:rsidRPr="00D324D7">
        <w:t xml:space="preserve"> </w:t>
      </w:r>
      <w:r w:rsidR="00765309">
        <w:t>with</w:t>
      </w:r>
      <w:r w:rsidR="00765309" w:rsidRPr="00D324D7">
        <w:t xml:space="preserve"> </w:t>
      </w:r>
      <w:r w:rsidR="00CE0889" w:rsidRPr="00D324D7">
        <w:t xml:space="preserve">standards applicable to </w:t>
      </w:r>
      <w:r w:rsidR="00B1462F" w:rsidRPr="00405AAD">
        <w:t>juvenile</w:t>
      </w:r>
      <w:r w:rsidR="00CE0889" w:rsidRPr="00405AAD">
        <w:t>s</w:t>
      </w:r>
      <w:r w:rsidR="00B1462F" w:rsidRPr="00405AAD">
        <w:t>.</w:t>
      </w:r>
    </w:p>
    <w:p w:rsidR="00444233" w:rsidRDefault="00444233" w:rsidP="00115BF9">
      <w:pPr>
        <w:pStyle w:val="SingleTxtG"/>
      </w:pPr>
      <w:r>
        <w:t>8</w:t>
      </w:r>
      <w:r w:rsidR="00346CB0">
        <w:t>5</w:t>
      </w:r>
      <w:r>
        <w:t>.</w:t>
      </w:r>
      <w:r>
        <w:tab/>
      </w:r>
      <w:r w:rsidR="005F4A8A" w:rsidRPr="00405AAD">
        <w:t xml:space="preserve">The Kurdistan Regional Government continues to </w:t>
      </w:r>
      <w:r w:rsidR="00765309">
        <w:t>apply</w:t>
      </w:r>
      <w:r w:rsidR="00765309" w:rsidRPr="00D324D7">
        <w:t xml:space="preserve"> </w:t>
      </w:r>
      <w:r w:rsidR="005F4A8A" w:rsidRPr="00D324D7">
        <w:t xml:space="preserve">an unofficial moratorium </w:t>
      </w:r>
      <w:r w:rsidR="00765309">
        <w:t>to</w:t>
      </w:r>
      <w:r w:rsidR="00765309" w:rsidRPr="00D324D7">
        <w:t xml:space="preserve"> </w:t>
      </w:r>
      <w:r w:rsidR="005F4A8A" w:rsidRPr="00D324D7">
        <w:t>the death penalty</w:t>
      </w:r>
      <w:r w:rsidR="00DC6EDC" w:rsidRPr="00405AAD">
        <w:t>. N</w:t>
      </w:r>
      <w:r w:rsidR="005F4A8A" w:rsidRPr="00405AAD">
        <w:t>o executions have taken place in 2015.</w:t>
      </w:r>
      <w:r w:rsidR="00B1462F" w:rsidRPr="00405AAD">
        <w:t xml:space="preserve"> </w:t>
      </w:r>
      <w:r w:rsidR="005F4A8A" w:rsidRPr="00405AAD">
        <w:t>UNAMI continues to encourage Kurdish authorities to formali</w:t>
      </w:r>
      <w:r w:rsidR="00765309">
        <w:t>z</w:t>
      </w:r>
      <w:r w:rsidR="005F4A8A" w:rsidRPr="00D324D7">
        <w:t>e the moratorium by abolishing the death penalty in law.</w:t>
      </w:r>
    </w:p>
    <w:p w:rsidR="00444233" w:rsidRDefault="00444233" w:rsidP="00444233">
      <w:pPr>
        <w:pStyle w:val="HChG"/>
        <w:spacing w:line="360" w:lineRule="auto"/>
      </w:pPr>
      <w:r w:rsidRPr="00405AAD">
        <w:tab/>
        <w:t>IV.</w:t>
      </w:r>
      <w:r w:rsidRPr="00405AAD">
        <w:tab/>
      </w:r>
      <w:r>
        <w:t xml:space="preserve"> Conclusion</w:t>
      </w:r>
      <w:r w:rsidR="0052248E">
        <w:t>s</w:t>
      </w:r>
      <w:r>
        <w:t xml:space="preserve"> </w:t>
      </w:r>
    </w:p>
    <w:p w:rsidR="009927E7" w:rsidRPr="00115BF9" w:rsidRDefault="009927E7" w:rsidP="00115BF9">
      <w:pPr>
        <w:pStyle w:val="SingleTxtG"/>
        <w:rPr>
          <w:b/>
        </w:rPr>
      </w:pPr>
      <w:r>
        <w:t>86.</w:t>
      </w:r>
      <w:r>
        <w:tab/>
      </w:r>
      <w:r w:rsidRPr="00115BF9">
        <w:rPr>
          <w:b/>
        </w:rPr>
        <w:t xml:space="preserve">The human rights situation in Iraq remains alarming in the light of violations and abuses committed by ISIL and associated groups. The non-international armed conflict and acts of terrorism continue to inflict tremendous suffering on civilians. ISIL continued to target members of different ethnic and religious communities, intentionally subjecting them to a range of abuses and violations of international human rights and humanitarian law. </w:t>
      </w:r>
    </w:p>
    <w:p w:rsidR="009927E7" w:rsidRPr="00115BF9" w:rsidRDefault="009927E7" w:rsidP="00115BF9">
      <w:pPr>
        <w:pStyle w:val="SingleTxtG"/>
        <w:rPr>
          <w:b/>
        </w:rPr>
      </w:pPr>
      <w:r w:rsidRPr="00115BF9">
        <w:t>87.</w:t>
      </w:r>
      <w:r w:rsidRPr="00115BF9">
        <w:rPr>
          <w:b/>
        </w:rPr>
        <w:tab/>
        <w:t xml:space="preserve">The ability of women to enjoy </w:t>
      </w:r>
      <w:r w:rsidR="00213CE6" w:rsidRPr="00115BF9">
        <w:rPr>
          <w:b/>
        </w:rPr>
        <w:t>the</w:t>
      </w:r>
      <w:r w:rsidRPr="00115BF9">
        <w:rPr>
          <w:b/>
        </w:rPr>
        <w:t xml:space="preserve"> full range of human rights has deteriorated considerably with the ongoing armed conflict. Children suffer </w:t>
      </w:r>
      <w:r w:rsidR="00213CE6" w:rsidRPr="00115BF9">
        <w:rPr>
          <w:b/>
        </w:rPr>
        <w:t xml:space="preserve">from </w:t>
      </w:r>
      <w:r w:rsidRPr="00115BF9">
        <w:rPr>
          <w:b/>
        </w:rPr>
        <w:t>violence and trauma, and bear the brunt of displacement. From 1 January 2014 to 31 May 2015, UNAMI/OHCHR recorded at least 15,612 civilians killed, 30,502 others wounded and at least 3 million persons displaced as a result of the non-international armed conflict in Iraq.</w:t>
      </w:r>
    </w:p>
    <w:p w:rsidR="009927E7" w:rsidRPr="00115BF9" w:rsidRDefault="009927E7" w:rsidP="00115BF9">
      <w:pPr>
        <w:pStyle w:val="SingleTxtG"/>
        <w:rPr>
          <w:b/>
        </w:rPr>
      </w:pPr>
      <w:r w:rsidRPr="00115BF9">
        <w:t>88.</w:t>
      </w:r>
      <w:r w:rsidRPr="00115BF9">
        <w:rPr>
          <w:b/>
        </w:rPr>
        <w:tab/>
        <w:t xml:space="preserve">UNAMI/ OHCHR continued to monitor and report on the human rights situation and repeatedly called upon all armed groups to comply strictly with applicable international humanitarian and human rights law, and to take all feasible precautions to spare civilians </w:t>
      </w:r>
      <w:r w:rsidR="00213CE6" w:rsidRPr="00115BF9">
        <w:rPr>
          <w:b/>
        </w:rPr>
        <w:t xml:space="preserve">from </w:t>
      </w:r>
      <w:r w:rsidRPr="00115BF9">
        <w:rPr>
          <w:b/>
        </w:rPr>
        <w:t xml:space="preserve">the effects of hostilities. UNAMI/OHCHR issued joint reports on the human rights situation in Iraq and provided technical support to duty bearers and stakeholders in addressing protection </w:t>
      </w:r>
      <w:r w:rsidR="000A1B7D" w:rsidRPr="00115BF9">
        <w:rPr>
          <w:b/>
        </w:rPr>
        <w:t>concerns</w:t>
      </w:r>
      <w:r w:rsidRPr="00115BF9">
        <w:rPr>
          <w:b/>
        </w:rPr>
        <w:t xml:space="preserve">.  </w:t>
      </w:r>
    </w:p>
    <w:p w:rsidR="009927E7" w:rsidRPr="00115BF9" w:rsidRDefault="009927E7" w:rsidP="00115BF9">
      <w:pPr>
        <w:pStyle w:val="SingleTxtG"/>
        <w:rPr>
          <w:b/>
        </w:rPr>
      </w:pPr>
      <w:r w:rsidRPr="00115BF9">
        <w:t>89.</w:t>
      </w:r>
      <w:r w:rsidR="00115BF9">
        <w:rPr>
          <w:b/>
        </w:rPr>
        <w:tab/>
      </w:r>
      <w:r w:rsidRPr="00115BF9">
        <w:rPr>
          <w:b/>
        </w:rPr>
        <w:t xml:space="preserve">UNAMI/OHCHR continued to provide training and capacity development to relevant ministries and </w:t>
      </w:r>
      <w:r w:rsidR="00896CB7" w:rsidRPr="00115BF9">
        <w:rPr>
          <w:b/>
        </w:rPr>
        <w:t>parliamentary</w:t>
      </w:r>
      <w:r w:rsidRPr="00115BF9">
        <w:rPr>
          <w:b/>
        </w:rPr>
        <w:t xml:space="preserve"> committees, the Iraqi High Commission for Human Rights and various civil society actors. </w:t>
      </w:r>
    </w:p>
    <w:p w:rsidR="009927E7" w:rsidRPr="00115BF9" w:rsidRDefault="009927E7" w:rsidP="00115BF9">
      <w:pPr>
        <w:pStyle w:val="SingleTxtG"/>
        <w:rPr>
          <w:b/>
        </w:rPr>
      </w:pPr>
      <w:r w:rsidRPr="00115BF9">
        <w:t>90.</w:t>
      </w:r>
      <w:r w:rsidRPr="00115BF9">
        <w:rPr>
          <w:b/>
        </w:rPr>
        <w:tab/>
        <w:t>In response to the current crisis and its effects, UNAMI/OHCHR dedicated considerable efforts to promot</w:t>
      </w:r>
      <w:r w:rsidR="00F03C58" w:rsidRPr="00115BF9">
        <w:rPr>
          <w:b/>
        </w:rPr>
        <w:t>ing</w:t>
      </w:r>
      <w:r w:rsidRPr="00115BF9">
        <w:rPr>
          <w:b/>
        </w:rPr>
        <w:t xml:space="preserve"> and protect</w:t>
      </w:r>
      <w:r w:rsidR="00F03C58" w:rsidRPr="00115BF9">
        <w:rPr>
          <w:b/>
        </w:rPr>
        <w:t>ing</w:t>
      </w:r>
      <w:r w:rsidRPr="00115BF9">
        <w:rPr>
          <w:b/>
        </w:rPr>
        <w:t xml:space="preserve"> human rights and </w:t>
      </w:r>
      <w:r w:rsidR="00F03C58" w:rsidRPr="00115BF9">
        <w:rPr>
          <w:b/>
        </w:rPr>
        <w:t xml:space="preserve">the </w:t>
      </w:r>
      <w:r w:rsidRPr="00115BF9">
        <w:rPr>
          <w:b/>
        </w:rPr>
        <w:t xml:space="preserve">rule of law through a three-fold project. UNAMI/OHCHR will develop studies of legislation and policies with a view to submitting proposals on judicial, legal and institutional reforms to </w:t>
      </w:r>
      <w:r w:rsidR="00F03C58" w:rsidRPr="00115BF9">
        <w:rPr>
          <w:b/>
        </w:rPr>
        <w:t>the relevant</w:t>
      </w:r>
      <w:r w:rsidRPr="00115BF9">
        <w:rPr>
          <w:b/>
        </w:rPr>
        <w:t xml:space="preserve"> authorities. </w:t>
      </w:r>
    </w:p>
    <w:p w:rsidR="009927E7" w:rsidRPr="00115BF9" w:rsidRDefault="009927E7" w:rsidP="00115BF9">
      <w:pPr>
        <w:pStyle w:val="SingleTxtG"/>
        <w:rPr>
          <w:b/>
        </w:rPr>
      </w:pPr>
      <w:r w:rsidRPr="00115BF9">
        <w:t>91.</w:t>
      </w:r>
      <w:r w:rsidRPr="00115BF9">
        <w:rPr>
          <w:b/>
        </w:rPr>
        <w:tab/>
        <w:t>UNAMI/OHCHR will assist</w:t>
      </w:r>
      <w:r w:rsidR="005948DB" w:rsidRPr="00115BF9">
        <w:rPr>
          <w:b/>
        </w:rPr>
        <w:t xml:space="preserve"> </w:t>
      </w:r>
      <w:r w:rsidRPr="00115BF9">
        <w:rPr>
          <w:b/>
        </w:rPr>
        <w:t>the Government of Iraq in comprehensively reviewing criminal justice laws and policies, including Anti-</w:t>
      </w:r>
      <w:r w:rsidR="00F03C58" w:rsidRPr="00115BF9">
        <w:rPr>
          <w:b/>
        </w:rPr>
        <w:t>t</w:t>
      </w:r>
      <w:r w:rsidRPr="00115BF9">
        <w:rPr>
          <w:b/>
        </w:rPr>
        <w:t xml:space="preserve">errorism Law </w:t>
      </w:r>
      <w:r w:rsidR="00F03C58" w:rsidRPr="00115BF9">
        <w:rPr>
          <w:b/>
        </w:rPr>
        <w:t>N</w:t>
      </w:r>
      <w:r w:rsidRPr="00115BF9">
        <w:rPr>
          <w:b/>
        </w:rPr>
        <w:t>o. 13 of 2005</w:t>
      </w:r>
      <w:r w:rsidR="00F03C58" w:rsidRPr="00115BF9">
        <w:rPr>
          <w:b/>
          <w:bCs/>
        </w:rPr>
        <w:t>,</w:t>
      </w:r>
      <w:r w:rsidRPr="00115BF9">
        <w:rPr>
          <w:b/>
        </w:rPr>
        <w:t xml:space="preserve"> to ensure compliance with international human rights standards, including with regard to the rights of due process and fair trial standards, and </w:t>
      </w:r>
      <w:r w:rsidR="00F03C58" w:rsidRPr="00115BF9">
        <w:rPr>
          <w:b/>
        </w:rPr>
        <w:t xml:space="preserve">to </w:t>
      </w:r>
      <w:r w:rsidRPr="00115BF9">
        <w:rPr>
          <w:b/>
        </w:rPr>
        <w:t xml:space="preserve">introduce amendments to the Criminal Code and other relevant laws to grant domestic </w:t>
      </w:r>
      <w:proofErr w:type="spellStart"/>
      <w:r w:rsidRPr="00115BF9">
        <w:rPr>
          <w:b/>
        </w:rPr>
        <w:t>courts</w:t>
      </w:r>
      <w:proofErr w:type="spellEnd"/>
      <w:r w:rsidRPr="00115BF9">
        <w:rPr>
          <w:b/>
        </w:rPr>
        <w:t xml:space="preserve"> jurisdiction over international crimes committed in Iraq. </w:t>
      </w:r>
    </w:p>
    <w:p w:rsidR="009927E7" w:rsidRPr="00115BF9" w:rsidRDefault="009927E7" w:rsidP="00115BF9">
      <w:pPr>
        <w:pStyle w:val="SingleTxtG"/>
        <w:rPr>
          <w:b/>
        </w:rPr>
      </w:pPr>
      <w:r w:rsidRPr="00115BF9">
        <w:t>92.</w:t>
      </w:r>
      <w:r w:rsidRPr="00115BF9">
        <w:rPr>
          <w:b/>
        </w:rPr>
        <w:tab/>
        <w:t xml:space="preserve">UNAMI/OHCHR will advise the Government in undertaking administrative and institutional reforms to ensure that </w:t>
      </w:r>
      <w:r w:rsidR="00F03C58" w:rsidRPr="00115BF9">
        <w:rPr>
          <w:b/>
        </w:rPr>
        <w:t xml:space="preserve">the </w:t>
      </w:r>
      <w:r w:rsidRPr="00115BF9">
        <w:rPr>
          <w:b/>
        </w:rPr>
        <w:t xml:space="preserve">police forces and all officials engaged in law enforcement and the administration of justice comply with the obligations of Iraq under its Constitution and </w:t>
      </w:r>
      <w:r w:rsidR="009A29EE" w:rsidRPr="00115BF9">
        <w:rPr>
          <w:b/>
        </w:rPr>
        <w:t xml:space="preserve">under </w:t>
      </w:r>
      <w:r w:rsidRPr="00115BF9">
        <w:rPr>
          <w:b/>
        </w:rPr>
        <w:t xml:space="preserve">international </w:t>
      </w:r>
      <w:r w:rsidR="008177DD" w:rsidRPr="00115BF9">
        <w:rPr>
          <w:b/>
        </w:rPr>
        <w:t xml:space="preserve">human rights </w:t>
      </w:r>
      <w:r w:rsidR="009A29EE" w:rsidRPr="00115BF9">
        <w:rPr>
          <w:b/>
        </w:rPr>
        <w:t>law</w:t>
      </w:r>
      <w:r w:rsidRPr="00115BF9">
        <w:rPr>
          <w:b/>
        </w:rPr>
        <w:t xml:space="preserve">, including with regard to persons detained in relation to terrorism. </w:t>
      </w:r>
    </w:p>
    <w:p w:rsidR="009927E7" w:rsidRPr="00115BF9" w:rsidRDefault="009927E7" w:rsidP="00115BF9">
      <w:pPr>
        <w:pStyle w:val="SingleTxtG"/>
        <w:rPr>
          <w:b/>
        </w:rPr>
      </w:pPr>
      <w:r w:rsidRPr="00115BF9">
        <w:t>93.</w:t>
      </w:r>
      <w:r w:rsidRPr="00115BF9">
        <w:tab/>
      </w:r>
      <w:r w:rsidRPr="00115BF9">
        <w:rPr>
          <w:b/>
        </w:rPr>
        <w:t xml:space="preserve">In addition, strengthening the legal framework </w:t>
      </w:r>
      <w:r w:rsidR="00AC3EB0" w:rsidRPr="00115BF9">
        <w:rPr>
          <w:b/>
        </w:rPr>
        <w:t xml:space="preserve">for the protection </w:t>
      </w:r>
      <w:r w:rsidRPr="00115BF9">
        <w:rPr>
          <w:b/>
        </w:rPr>
        <w:t xml:space="preserve">against gender-based violence continues to be a priority. UNAMI/OHCHR will assist the Government in addressing legal gaps in </w:t>
      </w:r>
      <w:r w:rsidR="00AC3EB0" w:rsidRPr="00115BF9">
        <w:rPr>
          <w:b/>
        </w:rPr>
        <w:t xml:space="preserve">the </w:t>
      </w:r>
      <w:r w:rsidRPr="00115BF9">
        <w:rPr>
          <w:b/>
        </w:rPr>
        <w:t>protecti</w:t>
      </w:r>
      <w:r w:rsidR="00AC3EB0" w:rsidRPr="00115BF9">
        <w:rPr>
          <w:b/>
        </w:rPr>
        <w:t>o</w:t>
      </w:r>
      <w:r w:rsidRPr="00115BF9">
        <w:rPr>
          <w:b/>
        </w:rPr>
        <w:t xml:space="preserve">n </w:t>
      </w:r>
      <w:r w:rsidR="00AC3EB0" w:rsidRPr="00115BF9">
        <w:rPr>
          <w:b/>
        </w:rPr>
        <w:t xml:space="preserve">of </w:t>
      </w:r>
      <w:r w:rsidRPr="00115BF9">
        <w:rPr>
          <w:b/>
        </w:rPr>
        <w:t>women</w:t>
      </w:r>
      <w:r w:rsidR="00F03C58" w:rsidRPr="00115BF9">
        <w:rPr>
          <w:b/>
        </w:rPr>
        <w:t>,</w:t>
      </w:r>
      <w:r w:rsidRPr="00115BF9">
        <w:rPr>
          <w:b/>
        </w:rPr>
        <w:t xml:space="preserve"> in compliance with international human rights law, </w:t>
      </w:r>
      <w:r w:rsidR="00F03C58" w:rsidRPr="00115BF9">
        <w:rPr>
          <w:b/>
        </w:rPr>
        <w:t xml:space="preserve">and, </w:t>
      </w:r>
      <w:r w:rsidRPr="00115BF9">
        <w:rPr>
          <w:b/>
        </w:rPr>
        <w:t>in particular, in ensuring that the national strategy on combating violence against women is fully implemented.</w:t>
      </w:r>
    </w:p>
    <w:p w:rsidR="009927E7" w:rsidRPr="00115BF9" w:rsidRDefault="009927E7" w:rsidP="00115BF9">
      <w:pPr>
        <w:pStyle w:val="SingleTxtG"/>
        <w:rPr>
          <w:b/>
        </w:rPr>
      </w:pPr>
      <w:r w:rsidRPr="00115BF9">
        <w:t>94.</w:t>
      </w:r>
      <w:r w:rsidRPr="00115BF9">
        <w:rPr>
          <w:b/>
        </w:rPr>
        <w:tab/>
        <w:t xml:space="preserve">UNAMI/OHCHR will design human rights training manuals tailored </w:t>
      </w:r>
      <w:r w:rsidR="00F03C58" w:rsidRPr="00115BF9">
        <w:rPr>
          <w:b/>
        </w:rPr>
        <w:t>to</w:t>
      </w:r>
      <w:r w:rsidRPr="00115BF9">
        <w:rPr>
          <w:b/>
        </w:rPr>
        <w:t xml:space="preserve"> government officials and civil society actors, and conduct a series of human rights training courses for </w:t>
      </w:r>
      <w:r w:rsidR="00AC3EB0" w:rsidRPr="00115BF9">
        <w:rPr>
          <w:b/>
        </w:rPr>
        <w:t>them</w:t>
      </w:r>
      <w:r w:rsidRPr="00115BF9">
        <w:rPr>
          <w:b/>
        </w:rPr>
        <w:t xml:space="preserve">. </w:t>
      </w:r>
    </w:p>
    <w:p w:rsidR="00573C46" w:rsidRDefault="00115BF9" w:rsidP="00115BF9">
      <w:pPr>
        <w:pStyle w:val="SingleTxtG"/>
        <w:rPr>
          <w:b/>
        </w:rPr>
      </w:pPr>
      <w:r w:rsidRPr="00115BF9">
        <w:t>95.</w:t>
      </w:r>
      <w:r w:rsidR="009927E7" w:rsidRPr="00115BF9">
        <w:rPr>
          <w:b/>
        </w:rPr>
        <w:tab/>
        <w:t>UNAMI/OHCHR will also organi</w:t>
      </w:r>
      <w:r w:rsidR="00F03C58" w:rsidRPr="00115BF9">
        <w:rPr>
          <w:b/>
        </w:rPr>
        <w:t>z</w:t>
      </w:r>
      <w:r w:rsidR="009927E7" w:rsidRPr="00115BF9">
        <w:rPr>
          <w:b/>
        </w:rPr>
        <w:t xml:space="preserve">e a forum to discuss best practices regarding legal and institutional reforms, in particular on the use of </w:t>
      </w:r>
      <w:r w:rsidR="00F03C58" w:rsidRPr="00115BF9">
        <w:rPr>
          <w:b/>
        </w:rPr>
        <w:t xml:space="preserve">the </w:t>
      </w:r>
      <w:r>
        <w:rPr>
          <w:b/>
        </w:rPr>
        <w:t>death penalty in Iraq.</w:t>
      </w:r>
    </w:p>
    <w:p w:rsidR="00115BF9" w:rsidRPr="00115BF9" w:rsidRDefault="00115BF9" w:rsidP="00115BF9">
      <w:pPr>
        <w:pStyle w:val="SingleTxtG"/>
        <w:spacing w:before="240" w:after="0"/>
        <w:jc w:val="center"/>
        <w:rPr>
          <w:b/>
          <w:u w:val="single"/>
        </w:rPr>
      </w:pPr>
      <w:r>
        <w:rPr>
          <w:b/>
          <w:u w:val="single"/>
        </w:rPr>
        <w:tab/>
      </w:r>
      <w:r>
        <w:rPr>
          <w:b/>
          <w:u w:val="single"/>
        </w:rPr>
        <w:tab/>
      </w:r>
      <w:r>
        <w:rPr>
          <w:b/>
          <w:u w:val="single"/>
        </w:rPr>
        <w:tab/>
      </w:r>
    </w:p>
    <w:sectPr w:rsidR="00115BF9" w:rsidRPr="00115BF9" w:rsidSect="00457259">
      <w:headerReference w:type="even" r:id="rId15"/>
      <w:headerReference w:type="default" r:id="rId16"/>
      <w:footerReference w:type="even" r:id="rId17"/>
      <w:footerReference w:type="default" r:id="rId18"/>
      <w:footerReference w:type="first" r:id="rId19"/>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58" w:rsidRDefault="00F03C58"/>
  </w:endnote>
  <w:endnote w:type="continuationSeparator" w:id="0">
    <w:p w:rsidR="00F03C58" w:rsidRDefault="00F03C58"/>
  </w:endnote>
  <w:endnote w:type="continuationNotice" w:id="1">
    <w:p w:rsidR="00F03C58" w:rsidRDefault="00F0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Black">
    <w:altName w:val="Lato Black"/>
    <w:panose1 w:val="00000000000000000000"/>
    <w:charset w:val="00"/>
    <w:family w:val="swiss"/>
    <w:notTrueType/>
    <w:pitch w:val="default"/>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58" w:rsidRPr="00875339" w:rsidRDefault="00F03C58" w:rsidP="00875339">
    <w:pPr>
      <w:pStyle w:val="Footer"/>
      <w:tabs>
        <w:tab w:val="right" w:pos="9638"/>
      </w:tabs>
    </w:pPr>
    <w:r w:rsidRPr="00875339">
      <w:rPr>
        <w:b/>
        <w:sz w:val="18"/>
      </w:rPr>
      <w:fldChar w:fldCharType="begin"/>
    </w:r>
    <w:r w:rsidRPr="00875339">
      <w:rPr>
        <w:b/>
        <w:sz w:val="18"/>
      </w:rPr>
      <w:instrText xml:space="preserve"> PAGE  \* MERGEFORMAT </w:instrText>
    </w:r>
    <w:r w:rsidRPr="00875339">
      <w:rPr>
        <w:b/>
        <w:sz w:val="18"/>
      </w:rPr>
      <w:fldChar w:fldCharType="separate"/>
    </w:r>
    <w:r w:rsidR="00562299">
      <w:rPr>
        <w:b/>
        <w:noProof/>
        <w:sz w:val="18"/>
      </w:rPr>
      <w:t>16</w:t>
    </w:r>
    <w:r w:rsidRPr="0087533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58" w:rsidRPr="00875339" w:rsidRDefault="00F03C58" w:rsidP="00875339">
    <w:pPr>
      <w:pStyle w:val="Footer"/>
      <w:tabs>
        <w:tab w:val="right" w:pos="9638"/>
      </w:tabs>
      <w:rPr>
        <w:b/>
        <w:sz w:val="18"/>
      </w:rPr>
    </w:pPr>
    <w:r>
      <w:tab/>
    </w:r>
    <w:r w:rsidRPr="00875339">
      <w:rPr>
        <w:b/>
        <w:sz w:val="18"/>
      </w:rPr>
      <w:fldChar w:fldCharType="begin"/>
    </w:r>
    <w:r w:rsidRPr="00875339">
      <w:rPr>
        <w:b/>
        <w:sz w:val="18"/>
      </w:rPr>
      <w:instrText xml:space="preserve"> PAGE  \* MERGEFORMAT </w:instrText>
    </w:r>
    <w:r w:rsidRPr="00875339">
      <w:rPr>
        <w:b/>
        <w:sz w:val="18"/>
      </w:rPr>
      <w:fldChar w:fldCharType="separate"/>
    </w:r>
    <w:r w:rsidR="00562299">
      <w:rPr>
        <w:b/>
        <w:noProof/>
        <w:sz w:val="18"/>
      </w:rPr>
      <w:t>17</w:t>
    </w:r>
    <w:r w:rsidRPr="0087533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457259" w:rsidTr="00457259">
      <w:tc>
        <w:tcPr>
          <w:tcW w:w="3614" w:type="dxa"/>
          <w:shd w:val="clear" w:color="auto" w:fill="auto"/>
        </w:tcPr>
        <w:p w:rsidR="00457259" w:rsidRDefault="00457259" w:rsidP="00457259">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6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GE.15-12657(E)</w:t>
          </w:r>
        </w:p>
        <w:p w:rsidR="00457259" w:rsidRPr="00457259" w:rsidRDefault="00457259" w:rsidP="00457259">
          <w:pPr>
            <w:pStyle w:val="Footer"/>
            <w:rPr>
              <w:rFonts w:ascii="Barcode 3 of 9 by request" w:hAnsi="Barcode 3 of 9 by request"/>
              <w:sz w:val="24"/>
            </w:rPr>
          </w:pPr>
          <w:r>
            <w:rPr>
              <w:rFonts w:ascii="Barcode 3 of 9 by request" w:hAnsi="Barcode 3 of 9 by request"/>
              <w:sz w:val="24"/>
            </w:rPr>
            <w:t>*1512657*</w:t>
          </w:r>
        </w:p>
      </w:tc>
      <w:tc>
        <w:tcPr>
          <w:tcW w:w="4752" w:type="dxa"/>
          <w:shd w:val="clear" w:color="auto" w:fill="auto"/>
        </w:tcPr>
        <w:p w:rsidR="00457259" w:rsidRDefault="00457259" w:rsidP="00457259">
          <w:pPr>
            <w:pStyle w:val="Footer"/>
            <w:spacing w:line="240" w:lineRule="atLeast"/>
            <w:jc w:val="right"/>
            <w:rPr>
              <w:sz w:val="20"/>
            </w:rPr>
          </w:pPr>
          <w:r>
            <w:rPr>
              <w:noProof/>
              <w:sz w:val="20"/>
              <w:lang w:eastAsia="en-GB"/>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57259" w:rsidRPr="00457259" w:rsidRDefault="00457259" w:rsidP="0045725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58" w:rsidRPr="000B175B" w:rsidRDefault="00F03C58" w:rsidP="000B175B">
      <w:pPr>
        <w:tabs>
          <w:tab w:val="right" w:pos="2155"/>
        </w:tabs>
        <w:spacing w:after="80"/>
        <w:ind w:left="680"/>
        <w:rPr>
          <w:u w:val="single"/>
        </w:rPr>
      </w:pPr>
      <w:r>
        <w:rPr>
          <w:u w:val="single"/>
        </w:rPr>
        <w:tab/>
      </w:r>
    </w:p>
  </w:footnote>
  <w:footnote w:type="continuationSeparator" w:id="0">
    <w:p w:rsidR="00F03C58" w:rsidRPr="00FC68B7" w:rsidRDefault="00F03C58" w:rsidP="00FC68B7">
      <w:pPr>
        <w:tabs>
          <w:tab w:val="left" w:pos="2155"/>
        </w:tabs>
        <w:spacing w:after="80"/>
        <w:ind w:left="680"/>
        <w:rPr>
          <w:u w:val="single"/>
        </w:rPr>
      </w:pPr>
      <w:r>
        <w:rPr>
          <w:u w:val="single"/>
        </w:rPr>
        <w:tab/>
      </w:r>
    </w:p>
  </w:footnote>
  <w:footnote w:type="continuationNotice" w:id="1">
    <w:p w:rsidR="00F03C58" w:rsidRDefault="00F03C58"/>
  </w:footnote>
  <w:footnote w:id="2">
    <w:p w:rsidR="00F03C58" w:rsidRPr="00C31BE6" w:rsidRDefault="00F03C58" w:rsidP="003805F5">
      <w:pPr>
        <w:pStyle w:val="FootnoteText"/>
      </w:pPr>
      <w:r w:rsidRPr="00C31BE6">
        <w:tab/>
      </w:r>
      <w:r w:rsidRPr="00C31BE6">
        <w:rPr>
          <w:rStyle w:val="FootnoteReference"/>
        </w:rPr>
        <w:footnoteRef/>
      </w:r>
      <w:r w:rsidRPr="00C31BE6">
        <w:tab/>
      </w:r>
      <w:proofErr w:type="gramStart"/>
      <w:r w:rsidRPr="00C31BE6">
        <w:t>A/HRC/28/18.</w:t>
      </w:r>
      <w:proofErr w:type="gramEnd"/>
    </w:p>
  </w:footnote>
  <w:footnote w:id="3">
    <w:p w:rsidR="00F03C58" w:rsidRPr="00C31BE6" w:rsidRDefault="00F03C58" w:rsidP="00945C1C">
      <w:pPr>
        <w:pStyle w:val="FootnoteText"/>
        <w:jc w:val="both"/>
      </w:pPr>
      <w:r w:rsidRPr="00C31BE6">
        <w:tab/>
      </w:r>
      <w:r w:rsidRPr="00C31BE6">
        <w:rPr>
          <w:rStyle w:val="FootnoteReference"/>
        </w:rPr>
        <w:footnoteRef/>
      </w:r>
      <w:r w:rsidRPr="00C31BE6">
        <w:tab/>
      </w:r>
      <w:r w:rsidRPr="00C31BE6">
        <w:rPr>
          <w:szCs w:val="18"/>
        </w:rPr>
        <w:t>International Organization for Migration (IOM) Displacement Tracking Matrix, Round XXI – May 2015.</w:t>
      </w:r>
    </w:p>
  </w:footnote>
  <w:footnote w:id="4">
    <w:p w:rsidR="00F03C58" w:rsidRPr="00C31BE6" w:rsidRDefault="00F03C58" w:rsidP="007D25EB">
      <w:pPr>
        <w:pStyle w:val="FootnoteText"/>
      </w:pPr>
      <w:r w:rsidRPr="00C31BE6">
        <w:tab/>
      </w:r>
      <w:r w:rsidRPr="00C31BE6">
        <w:rPr>
          <w:vertAlign w:val="superscript"/>
        </w:rPr>
        <w:footnoteRef/>
      </w:r>
      <w:r w:rsidRPr="00C31BE6">
        <w:rPr>
          <w:vertAlign w:val="superscript"/>
        </w:rPr>
        <w:tab/>
      </w:r>
      <w:r w:rsidRPr="00C31BE6">
        <w:t xml:space="preserve">OHCHR/UNAMI, Report on the Protection of Civilians in the Non International Armed Conflict in Iraq: 5 June – 5 July 2014. </w:t>
      </w:r>
    </w:p>
  </w:footnote>
  <w:footnote w:id="5">
    <w:p w:rsidR="00F03C58" w:rsidRPr="00C31BE6" w:rsidRDefault="00F03C58" w:rsidP="007D25EB">
      <w:pPr>
        <w:pStyle w:val="FootnoteText"/>
        <w:ind w:left="1138" w:right="1138" w:hanging="1138"/>
      </w:pPr>
      <w:r w:rsidRPr="00C31BE6">
        <w:tab/>
      </w:r>
      <w:r w:rsidRPr="00C31BE6">
        <w:rPr>
          <w:vertAlign w:val="superscript"/>
        </w:rPr>
        <w:footnoteRef/>
      </w:r>
      <w:r w:rsidRPr="00C31BE6">
        <w:tab/>
        <w:t>OHCHR/UNAMI,</w:t>
      </w:r>
      <w:r w:rsidRPr="00C31BE6" w:rsidDel="00C25442">
        <w:t xml:space="preserve"> </w:t>
      </w:r>
      <w:r w:rsidRPr="00C31BE6">
        <w:t xml:space="preserve">Report on the Protection of Civilians in Armed Conflict in Iraq: 6 July – 10 September 2014. </w:t>
      </w:r>
    </w:p>
  </w:footnote>
  <w:footnote w:id="6">
    <w:p w:rsidR="00F03C58" w:rsidRPr="00C31BE6" w:rsidRDefault="00F03C58" w:rsidP="007D25EB">
      <w:pPr>
        <w:pStyle w:val="FootnoteText"/>
      </w:pPr>
      <w:r w:rsidRPr="00C31BE6">
        <w:tab/>
      </w:r>
      <w:r w:rsidRPr="00C31BE6">
        <w:rPr>
          <w:vertAlign w:val="superscript"/>
        </w:rPr>
        <w:footnoteRef/>
      </w:r>
      <w:r w:rsidRPr="00C31BE6">
        <w:tab/>
        <w:t>OHCHR/UNAMI, Report on the Protection of Civilians in Armed Conflict in Iraq: 11 September – 10 December 2014.</w:t>
      </w:r>
    </w:p>
  </w:footnote>
  <w:footnote w:id="7">
    <w:p w:rsidR="00F03C58" w:rsidRPr="00C31BE6" w:rsidRDefault="00F03C58" w:rsidP="00E56E7E">
      <w:pPr>
        <w:pStyle w:val="FootnoteText"/>
      </w:pPr>
      <w:r w:rsidRPr="00C31BE6">
        <w:tab/>
      </w:r>
      <w:r w:rsidRPr="00C31BE6">
        <w:rPr>
          <w:rStyle w:val="FootnoteReference"/>
        </w:rPr>
        <w:footnoteRef/>
      </w:r>
      <w:r w:rsidRPr="00C31BE6">
        <w:tab/>
        <w:t>OHCHR/UNAMI, Report on the Death Penalty in Iraq, Baghdad, October 2014.</w:t>
      </w:r>
    </w:p>
  </w:footnote>
  <w:footnote w:id="8">
    <w:p w:rsidR="00F03C58" w:rsidRPr="00C31BE6" w:rsidRDefault="00F03C58">
      <w:pPr>
        <w:pStyle w:val="FootnoteText"/>
      </w:pPr>
      <w:r w:rsidRPr="00C31BE6">
        <w:tab/>
      </w:r>
      <w:r w:rsidRPr="00C31BE6">
        <w:rPr>
          <w:rStyle w:val="FootnoteReference"/>
        </w:rPr>
        <w:footnoteRef/>
      </w:r>
      <w:r w:rsidRPr="00C31BE6">
        <w:tab/>
        <w:t>OHCHR/UNAMI, Report on the judicial response to allegations of torture in Iraq, Baghdad. February 2015.</w:t>
      </w:r>
    </w:p>
  </w:footnote>
  <w:footnote w:id="9">
    <w:p w:rsidR="00F03C58" w:rsidRPr="00C31BE6" w:rsidRDefault="00F03C58" w:rsidP="00CA23BA">
      <w:pPr>
        <w:pStyle w:val="FootnoteText"/>
        <w:jc w:val="both"/>
        <w:rPr>
          <w:szCs w:val="18"/>
        </w:rPr>
      </w:pPr>
      <w:r w:rsidRPr="00C31BE6">
        <w:rPr>
          <w:szCs w:val="18"/>
        </w:rPr>
        <w:tab/>
      </w:r>
      <w:r w:rsidRPr="00C31BE6">
        <w:rPr>
          <w:rStyle w:val="FootnoteReference"/>
          <w:szCs w:val="18"/>
        </w:rPr>
        <w:footnoteRef/>
      </w:r>
      <w:r w:rsidRPr="00C31BE6">
        <w:rPr>
          <w:szCs w:val="18"/>
        </w:rPr>
        <w:tab/>
        <w:t>The c</w:t>
      </w:r>
      <w:r w:rsidRPr="00C31BE6">
        <w:rPr>
          <w:rStyle w:val="Hyperlink"/>
        </w:rPr>
        <w:t xml:space="preserve">ivilian casualty figures given in the present report include civilians and civilian police officers, including civilian casualties from Anbar Governorate. UNAMI was prevented from effectively verifying casualties in conflict areas owing to the prevailing insecurity. The figures for casualties from Anbar </w:t>
      </w:r>
      <w:r w:rsidRPr="00C31BE6">
        <w:rPr>
          <w:szCs w:val="18"/>
        </w:rPr>
        <w:t>Governorate,</w:t>
      </w:r>
      <w:r w:rsidRPr="00C31BE6">
        <w:rPr>
          <w:rStyle w:val="Hyperlink"/>
        </w:rPr>
        <w:t xml:space="preserve"> provided by the Anbar Health Directorate, might be underestimated owing to the heightened volatility of the situation and disruptions to services. In some cases, UNAMI was able to verify only partially certain incidents in the governorate.</w:t>
      </w:r>
    </w:p>
  </w:footnote>
  <w:footnote w:id="10">
    <w:p w:rsidR="00F03C58" w:rsidRPr="00C31BE6" w:rsidRDefault="00F03C58" w:rsidP="00F66792">
      <w:pPr>
        <w:pStyle w:val="FootnoteText"/>
        <w:jc w:val="both"/>
        <w:rPr>
          <w:szCs w:val="18"/>
        </w:rPr>
      </w:pPr>
      <w:r w:rsidRPr="00C31BE6">
        <w:rPr>
          <w:szCs w:val="18"/>
        </w:rPr>
        <w:tab/>
      </w:r>
      <w:r w:rsidRPr="00C31BE6">
        <w:rPr>
          <w:rStyle w:val="FootnoteReference"/>
          <w:szCs w:val="18"/>
        </w:rPr>
        <w:footnoteRef/>
      </w:r>
      <w:r w:rsidRPr="00C31BE6">
        <w:rPr>
          <w:szCs w:val="18"/>
        </w:rPr>
        <w:tab/>
        <w:t xml:space="preserve">IOM, Displacement Tracking </w:t>
      </w:r>
      <w:r>
        <w:rPr>
          <w:szCs w:val="18"/>
        </w:rPr>
        <w:t>Matrix</w:t>
      </w:r>
      <w:r w:rsidRPr="00C31BE6">
        <w:rPr>
          <w:szCs w:val="18"/>
        </w:rPr>
        <w:t xml:space="preserve"> (see footnote</w:t>
      </w:r>
      <w:r>
        <w:rPr>
          <w:szCs w:val="18"/>
        </w:rPr>
        <w:t xml:space="preserve"> 2</w:t>
      </w:r>
      <w:r w:rsidRPr="00C31BE6">
        <w:rPr>
          <w:szCs w:val="18"/>
        </w:rPr>
        <w:t>).</w:t>
      </w:r>
    </w:p>
  </w:footnote>
  <w:footnote w:id="11">
    <w:p w:rsidR="00F03C58" w:rsidRPr="00C31BE6" w:rsidRDefault="00F03C58" w:rsidP="00EE2C29">
      <w:pPr>
        <w:pStyle w:val="FootnoteText"/>
        <w:jc w:val="both"/>
      </w:pPr>
      <w:r w:rsidRPr="00C31BE6">
        <w:tab/>
      </w:r>
      <w:r w:rsidRPr="00C31BE6">
        <w:rPr>
          <w:rStyle w:val="FootnoteReference"/>
        </w:rPr>
        <w:footnoteRef/>
      </w:r>
      <w:r w:rsidRPr="00C31BE6">
        <w:tab/>
        <w:t xml:space="preserve">The figures include detainees held in two federal prisons in the Kurdistan region of Iraq. The number of detainees held under the authority of the ministries of the Interior, </w:t>
      </w:r>
      <w:proofErr w:type="spellStart"/>
      <w:r w:rsidRPr="00C31BE6">
        <w:t>Defence</w:t>
      </w:r>
      <w:proofErr w:type="spellEnd"/>
      <w:r w:rsidRPr="00C31BE6">
        <w:t xml:space="preserve"> and </w:t>
      </w:r>
      <w:proofErr w:type="spellStart"/>
      <w:r w:rsidRPr="00C31BE6">
        <w:t>Labour</w:t>
      </w:r>
      <w:proofErr w:type="spellEnd"/>
      <w:r w:rsidRPr="00C31BE6">
        <w:t xml:space="preserve"> and Social Affairs is not known.</w:t>
      </w:r>
    </w:p>
  </w:footnote>
  <w:footnote w:id="12">
    <w:p w:rsidR="00F03C58" w:rsidRPr="007F7837" w:rsidRDefault="00F03C58" w:rsidP="00F621F0">
      <w:pPr>
        <w:pStyle w:val="FootnoteText"/>
        <w:jc w:val="both"/>
      </w:pPr>
      <w:r w:rsidRPr="00C31BE6">
        <w:tab/>
      </w:r>
      <w:r w:rsidRPr="00C31BE6">
        <w:rPr>
          <w:rStyle w:val="FootnoteReference"/>
        </w:rPr>
        <w:footnoteRef/>
      </w:r>
      <w:r w:rsidRPr="00C31BE6">
        <w:tab/>
        <w:t xml:space="preserve">For instance, see </w:t>
      </w:r>
      <w:r w:rsidRPr="00C31BE6">
        <w:rPr>
          <w:lang w:val="en-GB"/>
        </w:rPr>
        <w:t xml:space="preserve">Human Rights Committee, communication No. </w:t>
      </w:r>
      <w:r w:rsidRPr="00C31BE6">
        <w:rPr>
          <w:bCs/>
        </w:rPr>
        <w:t>1110/2002</w:t>
      </w:r>
      <w:r>
        <w:rPr>
          <w:bCs/>
        </w:rPr>
        <w:t xml:space="preserve"> </w:t>
      </w:r>
      <w:r w:rsidRPr="00D324D7">
        <w:rPr>
          <w:iCs/>
        </w:rPr>
        <w:t>(</w:t>
      </w:r>
      <w:r w:rsidRPr="00C27DE4">
        <w:rPr>
          <w:shd w:val="clear" w:color="auto" w:fill="FFFFFF"/>
        </w:rPr>
        <w:t>CCPR/C/82/D/</w:t>
      </w:r>
      <w:r w:rsidRPr="00AE1FBE">
        <w:rPr>
          <w:rStyle w:val="Emphasis"/>
          <w:bCs/>
          <w:i w:val="0"/>
          <w:shd w:val="clear" w:color="auto" w:fill="FFFFFF"/>
        </w:rPr>
        <w:t>1110/2002</w:t>
      </w:r>
      <w:r w:rsidRPr="00366B05">
        <w:rPr>
          <w:rStyle w:val="Emphasis"/>
          <w:bCs/>
          <w:i w:val="0"/>
          <w:shd w:val="clear" w:color="auto" w:fill="FFFFFF"/>
        </w:rPr>
        <w:t>)</w:t>
      </w:r>
      <w:r w:rsidRPr="00C27DE4">
        <w:rPr>
          <w:rStyle w:val="Emphasis"/>
          <w:bCs/>
          <w:shd w:val="clear" w:color="auto" w:fill="FFFFFF"/>
        </w:rPr>
        <w:t>,</w:t>
      </w:r>
      <w:r w:rsidRPr="007F7837">
        <w:t xml:space="preserve"> para.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58" w:rsidRPr="00875339" w:rsidRDefault="00F03C58">
    <w:pPr>
      <w:pStyle w:val="Header"/>
    </w:pPr>
    <w:r>
      <w:t>A/HRC/30/66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58" w:rsidRPr="00875339" w:rsidRDefault="00F03C58" w:rsidP="00875339">
    <w:pPr>
      <w:pStyle w:val="Header"/>
      <w:jc w:val="right"/>
    </w:pPr>
    <w:r>
      <w:t>A/HRC/30/66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FBD"/>
    <w:multiLevelType w:val="hybridMultilevel"/>
    <w:tmpl w:val="E0969648"/>
    <w:lvl w:ilvl="0" w:tplc="B010FE72">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8744E5D"/>
    <w:multiLevelType w:val="hybridMultilevel"/>
    <w:tmpl w:val="D1C27F14"/>
    <w:lvl w:ilvl="0" w:tplc="85940CD6">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7B5C59"/>
    <w:multiLevelType w:val="hybridMultilevel"/>
    <w:tmpl w:val="40F0AED6"/>
    <w:lvl w:ilvl="0" w:tplc="08090019">
      <w:start w:val="1"/>
      <w:numFmt w:val="lowerLetter"/>
      <w:lvlText w:val="%1."/>
      <w:lvlJc w:val="left"/>
      <w:pPr>
        <w:ind w:left="22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83739"/>
    <w:multiLevelType w:val="hybridMultilevel"/>
    <w:tmpl w:val="78FE25E8"/>
    <w:lvl w:ilvl="0" w:tplc="EFB8F17E">
      <w:start w:val="1"/>
      <w:numFmt w:val="decimal"/>
      <w:lvlText w:val="%1."/>
      <w:lvlJc w:val="left"/>
      <w:pPr>
        <w:ind w:left="1494" w:hanging="360"/>
      </w:pPr>
      <w:rPr>
        <w:b w:val="0"/>
      </w:rPr>
    </w:lvl>
    <w:lvl w:ilvl="1" w:tplc="08090017">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22401D48"/>
    <w:multiLevelType w:val="hybridMultilevel"/>
    <w:tmpl w:val="635EA430"/>
    <w:lvl w:ilvl="0" w:tplc="16EE0B4A">
      <w:start w:val="88"/>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2257265C"/>
    <w:multiLevelType w:val="hybridMultilevel"/>
    <w:tmpl w:val="86D878F2"/>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2BA34DA1"/>
    <w:multiLevelType w:val="hybridMultilevel"/>
    <w:tmpl w:val="B9DCD00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2C644449"/>
    <w:multiLevelType w:val="hybridMultilevel"/>
    <w:tmpl w:val="AFBE7E1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34A44120"/>
    <w:multiLevelType w:val="hybridMultilevel"/>
    <w:tmpl w:val="473A0AAC"/>
    <w:lvl w:ilvl="0" w:tplc="08090017">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0">
    <w:nsid w:val="38A25128"/>
    <w:multiLevelType w:val="hybridMultilevel"/>
    <w:tmpl w:val="473A0AAC"/>
    <w:lvl w:ilvl="0" w:tplc="08090017">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1">
    <w:nsid w:val="3B377509"/>
    <w:multiLevelType w:val="hybridMultilevel"/>
    <w:tmpl w:val="40F0AED6"/>
    <w:lvl w:ilvl="0" w:tplc="08090019">
      <w:start w:val="1"/>
      <w:numFmt w:val="lowerLetter"/>
      <w:lvlText w:val="%1."/>
      <w:lvlJc w:val="left"/>
      <w:pPr>
        <w:ind w:left="22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33ADC"/>
    <w:multiLevelType w:val="hybridMultilevel"/>
    <w:tmpl w:val="E0C808D0"/>
    <w:lvl w:ilvl="0" w:tplc="6C7AEF5A">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nsid w:val="4A9D2485"/>
    <w:multiLevelType w:val="hybridMultilevel"/>
    <w:tmpl w:val="6B6A19F2"/>
    <w:lvl w:ilvl="0" w:tplc="6C7AEF5A">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nsid w:val="4FFA7900"/>
    <w:multiLevelType w:val="hybridMultilevel"/>
    <w:tmpl w:val="6DDACA36"/>
    <w:lvl w:ilvl="0" w:tplc="E23A8C36">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62E360FE"/>
    <w:multiLevelType w:val="hybridMultilevel"/>
    <w:tmpl w:val="E0C808D0"/>
    <w:lvl w:ilvl="0" w:tplc="6C7AEF5A">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nsid w:val="630E66AC"/>
    <w:multiLevelType w:val="hybridMultilevel"/>
    <w:tmpl w:val="5B7E6D66"/>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8D87A88"/>
    <w:multiLevelType w:val="hybridMultilevel"/>
    <w:tmpl w:val="5E9ACBCA"/>
    <w:lvl w:ilvl="0" w:tplc="E6B66474">
      <w:start w:val="1"/>
      <w:numFmt w:val="decimal"/>
      <w:lvlText w:val="%1."/>
      <w:lvlJc w:val="left"/>
      <w:pPr>
        <w:ind w:left="2204" w:hanging="360"/>
      </w:pPr>
      <w:rPr>
        <w:b w:val="0"/>
        <w:sz w:val="20"/>
        <w:szCs w:val="2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6A55171A"/>
    <w:multiLevelType w:val="hybridMultilevel"/>
    <w:tmpl w:val="4106FD74"/>
    <w:lvl w:ilvl="0" w:tplc="1A405D06">
      <w:start w:val="88"/>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77152B85"/>
    <w:multiLevelType w:val="multilevel"/>
    <w:tmpl w:val="612A105E"/>
    <w:styleLink w:val="List0"/>
    <w:lvl w:ilvl="0">
      <w:start w:val="1"/>
      <w:numFmt w:val="decimal"/>
      <w:lvlText w:val="%1."/>
      <w:lvlJc w:val="left"/>
      <w:pPr>
        <w:tabs>
          <w:tab w:val="num" w:pos="360"/>
        </w:tabs>
        <w:ind w:left="360" w:hanging="360"/>
      </w:pPr>
      <w:rPr>
        <w:rFonts w:ascii="Calibri" w:eastAsia="Calibri" w:hAnsi="Calibri" w:cs="Calibri"/>
        <w:position w:val="0"/>
        <w:sz w:val="22"/>
        <w:szCs w:val="22"/>
        <w:rtl w:val="0"/>
      </w:rPr>
    </w:lvl>
    <w:lvl w:ilvl="1">
      <w:start w:val="1"/>
      <w:numFmt w:val="lowerLetter"/>
      <w:lvlText w:val="%2."/>
      <w:lvlJc w:val="left"/>
      <w:pPr>
        <w:tabs>
          <w:tab w:val="num" w:pos="1050"/>
        </w:tabs>
        <w:ind w:left="1050" w:hanging="330"/>
      </w:pPr>
      <w:rPr>
        <w:rFonts w:ascii="Calibri" w:eastAsia="Calibri" w:hAnsi="Calibri" w:cs="Calibri"/>
        <w:position w:val="0"/>
        <w:sz w:val="22"/>
        <w:szCs w:val="22"/>
        <w:rtl w:val="0"/>
      </w:rPr>
    </w:lvl>
    <w:lvl w:ilvl="2">
      <w:start w:val="1"/>
      <w:numFmt w:val="lowerRoman"/>
      <w:lvlText w:val="%3."/>
      <w:lvlJc w:val="left"/>
      <w:pPr>
        <w:tabs>
          <w:tab w:val="num" w:pos="1775"/>
        </w:tabs>
        <w:ind w:left="1775" w:hanging="271"/>
      </w:pPr>
      <w:rPr>
        <w:rFonts w:ascii="Calibri" w:eastAsia="Calibri" w:hAnsi="Calibri" w:cs="Calibri"/>
        <w:position w:val="0"/>
        <w:sz w:val="22"/>
        <w:szCs w:val="22"/>
        <w:rtl w:val="0"/>
      </w:rPr>
    </w:lvl>
    <w:lvl w:ilvl="3">
      <w:start w:val="1"/>
      <w:numFmt w:val="decimal"/>
      <w:lvlText w:val="%4."/>
      <w:lvlJc w:val="left"/>
      <w:pPr>
        <w:tabs>
          <w:tab w:val="num" w:pos="2490"/>
        </w:tabs>
        <w:ind w:left="2490" w:hanging="330"/>
      </w:pPr>
      <w:rPr>
        <w:rFonts w:ascii="Calibri" w:eastAsia="Calibri" w:hAnsi="Calibri" w:cs="Calibri"/>
        <w:position w:val="0"/>
        <w:sz w:val="22"/>
        <w:szCs w:val="22"/>
        <w:rtl w:val="0"/>
      </w:rPr>
    </w:lvl>
    <w:lvl w:ilvl="4">
      <w:start w:val="1"/>
      <w:numFmt w:val="lowerLetter"/>
      <w:lvlText w:val="%5."/>
      <w:lvlJc w:val="left"/>
      <w:pPr>
        <w:tabs>
          <w:tab w:val="num" w:pos="3210"/>
        </w:tabs>
        <w:ind w:left="3210" w:hanging="330"/>
      </w:pPr>
      <w:rPr>
        <w:rFonts w:ascii="Calibri" w:eastAsia="Calibri" w:hAnsi="Calibri" w:cs="Calibri"/>
        <w:position w:val="0"/>
        <w:sz w:val="22"/>
        <w:szCs w:val="22"/>
        <w:rtl w:val="0"/>
      </w:rPr>
    </w:lvl>
    <w:lvl w:ilvl="5">
      <w:start w:val="1"/>
      <w:numFmt w:val="lowerRoman"/>
      <w:lvlText w:val="%6."/>
      <w:lvlJc w:val="left"/>
      <w:pPr>
        <w:tabs>
          <w:tab w:val="num" w:pos="3935"/>
        </w:tabs>
        <w:ind w:left="3935" w:hanging="271"/>
      </w:pPr>
      <w:rPr>
        <w:rFonts w:ascii="Calibri" w:eastAsia="Calibri" w:hAnsi="Calibri" w:cs="Calibri"/>
        <w:position w:val="0"/>
        <w:sz w:val="22"/>
        <w:szCs w:val="22"/>
        <w:rtl w:val="0"/>
      </w:rPr>
    </w:lvl>
    <w:lvl w:ilvl="6">
      <w:start w:val="1"/>
      <w:numFmt w:val="decimal"/>
      <w:lvlText w:val="%7."/>
      <w:lvlJc w:val="left"/>
      <w:pPr>
        <w:tabs>
          <w:tab w:val="num" w:pos="4650"/>
        </w:tabs>
        <w:ind w:left="4650" w:hanging="330"/>
      </w:pPr>
      <w:rPr>
        <w:rFonts w:ascii="Calibri" w:eastAsia="Calibri" w:hAnsi="Calibri" w:cs="Calibri"/>
        <w:position w:val="0"/>
        <w:sz w:val="22"/>
        <w:szCs w:val="22"/>
        <w:rtl w:val="0"/>
      </w:rPr>
    </w:lvl>
    <w:lvl w:ilvl="7">
      <w:start w:val="1"/>
      <w:numFmt w:val="lowerLetter"/>
      <w:lvlText w:val="%8."/>
      <w:lvlJc w:val="left"/>
      <w:pPr>
        <w:tabs>
          <w:tab w:val="num" w:pos="5370"/>
        </w:tabs>
        <w:ind w:left="5370" w:hanging="330"/>
      </w:pPr>
      <w:rPr>
        <w:rFonts w:ascii="Calibri" w:eastAsia="Calibri" w:hAnsi="Calibri" w:cs="Calibri"/>
        <w:position w:val="0"/>
        <w:sz w:val="22"/>
        <w:szCs w:val="22"/>
        <w:rtl w:val="0"/>
      </w:rPr>
    </w:lvl>
    <w:lvl w:ilvl="8">
      <w:start w:val="1"/>
      <w:numFmt w:val="lowerRoman"/>
      <w:lvlText w:val="%9."/>
      <w:lvlJc w:val="left"/>
      <w:pPr>
        <w:tabs>
          <w:tab w:val="num" w:pos="6095"/>
        </w:tabs>
        <w:ind w:left="6095" w:hanging="271"/>
      </w:pPr>
      <w:rPr>
        <w:rFonts w:ascii="Calibri" w:eastAsia="Calibri" w:hAnsi="Calibri" w:cs="Calibri"/>
        <w:position w:val="0"/>
        <w:sz w:val="22"/>
        <w:szCs w:val="22"/>
        <w:rtl w:val="0"/>
      </w:rPr>
    </w:lvl>
  </w:abstractNum>
  <w:abstractNum w:abstractNumId="21">
    <w:nsid w:val="7D772125"/>
    <w:multiLevelType w:val="multilevel"/>
    <w:tmpl w:val="6750F406"/>
    <w:lvl w:ilvl="0">
      <w:start w:val="1"/>
      <w:numFmt w:val="decimal"/>
      <w:lvlText w:val="%1."/>
      <w:lvlJc w:val="left"/>
      <w:pPr>
        <w:ind w:left="2204" w:hanging="360"/>
      </w:pPr>
      <w:rPr>
        <w:b w:val="0"/>
        <w:sz w:val="20"/>
        <w:szCs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17"/>
  </w:num>
  <w:num w:numId="3">
    <w:abstractNumId w:val="18"/>
  </w:num>
  <w:num w:numId="4">
    <w:abstractNumId w:val="13"/>
  </w:num>
  <w:num w:numId="5">
    <w:abstractNumId w:val="12"/>
  </w:num>
  <w:num w:numId="6">
    <w:abstractNumId w:val="20"/>
  </w:num>
  <w:num w:numId="7">
    <w:abstractNumId w:val="4"/>
  </w:num>
  <w:num w:numId="8">
    <w:abstractNumId w:val="15"/>
  </w:num>
  <w:num w:numId="9">
    <w:abstractNumId w:val="11"/>
  </w:num>
  <w:num w:numId="10">
    <w:abstractNumId w:val="3"/>
  </w:num>
  <w:num w:numId="11">
    <w:abstractNumId w:val="16"/>
  </w:num>
  <w:num w:numId="12">
    <w:abstractNumId w:val="9"/>
  </w:num>
  <w:num w:numId="13">
    <w:abstractNumId w:val="10"/>
  </w:num>
  <w:num w:numId="14">
    <w:abstractNumId w:val="6"/>
  </w:num>
  <w:num w:numId="15">
    <w:abstractNumId w:val="2"/>
  </w:num>
  <w:num w:numId="16">
    <w:abstractNumId w:val="21"/>
  </w:num>
  <w:num w:numId="17">
    <w:abstractNumId w:val="0"/>
  </w:num>
  <w:num w:numId="18">
    <w:abstractNumId w:val="14"/>
  </w:num>
  <w:num w:numId="19">
    <w:abstractNumId w:val="7"/>
  </w:num>
  <w:num w:numId="20">
    <w:abstractNumId w:val="19"/>
  </w:num>
  <w:num w:numId="21">
    <w:abstractNumId w:val="8"/>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mailMerge>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39"/>
    <w:rsid w:val="000013E8"/>
    <w:rsid w:val="00001737"/>
    <w:rsid w:val="00001804"/>
    <w:rsid w:val="00002283"/>
    <w:rsid w:val="00002773"/>
    <w:rsid w:val="00003AC2"/>
    <w:rsid w:val="00006DCF"/>
    <w:rsid w:val="00007F7F"/>
    <w:rsid w:val="000102B1"/>
    <w:rsid w:val="00011F6B"/>
    <w:rsid w:val="000124C5"/>
    <w:rsid w:val="00012EB8"/>
    <w:rsid w:val="00013EAB"/>
    <w:rsid w:val="00014266"/>
    <w:rsid w:val="00014499"/>
    <w:rsid w:val="000147BF"/>
    <w:rsid w:val="00015C92"/>
    <w:rsid w:val="00016D61"/>
    <w:rsid w:val="000173B3"/>
    <w:rsid w:val="000220BB"/>
    <w:rsid w:val="000228C5"/>
    <w:rsid w:val="00022DB5"/>
    <w:rsid w:val="00025330"/>
    <w:rsid w:val="00030423"/>
    <w:rsid w:val="00031055"/>
    <w:rsid w:val="00031339"/>
    <w:rsid w:val="000403D1"/>
    <w:rsid w:val="0004313F"/>
    <w:rsid w:val="000449AA"/>
    <w:rsid w:val="00050DAD"/>
    <w:rsid w:val="00050F6B"/>
    <w:rsid w:val="000519B4"/>
    <w:rsid w:val="00056E63"/>
    <w:rsid w:val="00057355"/>
    <w:rsid w:val="0006425B"/>
    <w:rsid w:val="0006475D"/>
    <w:rsid w:val="000655C2"/>
    <w:rsid w:val="00067283"/>
    <w:rsid w:val="00067C50"/>
    <w:rsid w:val="000704BA"/>
    <w:rsid w:val="00072481"/>
    <w:rsid w:val="000725F2"/>
    <w:rsid w:val="00072AAB"/>
    <w:rsid w:val="00072C8C"/>
    <w:rsid w:val="00073163"/>
    <w:rsid w:val="00073E70"/>
    <w:rsid w:val="00075671"/>
    <w:rsid w:val="00075EF7"/>
    <w:rsid w:val="00076670"/>
    <w:rsid w:val="000779EC"/>
    <w:rsid w:val="00082F0C"/>
    <w:rsid w:val="0008426A"/>
    <w:rsid w:val="00085333"/>
    <w:rsid w:val="000876EB"/>
    <w:rsid w:val="0009083E"/>
    <w:rsid w:val="000912AD"/>
    <w:rsid w:val="00091419"/>
    <w:rsid w:val="00091B4F"/>
    <w:rsid w:val="00092346"/>
    <w:rsid w:val="00092BC1"/>
    <w:rsid w:val="000931C0"/>
    <w:rsid w:val="000934C0"/>
    <w:rsid w:val="00094166"/>
    <w:rsid w:val="0009507A"/>
    <w:rsid w:val="0009763B"/>
    <w:rsid w:val="0009774A"/>
    <w:rsid w:val="000A0CD0"/>
    <w:rsid w:val="000A1B7D"/>
    <w:rsid w:val="000A2B5C"/>
    <w:rsid w:val="000A3FC3"/>
    <w:rsid w:val="000A7C36"/>
    <w:rsid w:val="000B09E6"/>
    <w:rsid w:val="000B175B"/>
    <w:rsid w:val="000B2092"/>
    <w:rsid w:val="000B2C8E"/>
    <w:rsid w:val="000B3A0F"/>
    <w:rsid w:val="000B481B"/>
    <w:rsid w:val="000B4A3B"/>
    <w:rsid w:val="000B517D"/>
    <w:rsid w:val="000B7A1E"/>
    <w:rsid w:val="000C0B1A"/>
    <w:rsid w:val="000C1E92"/>
    <w:rsid w:val="000C1F90"/>
    <w:rsid w:val="000C5E6B"/>
    <w:rsid w:val="000D04C7"/>
    <w:rsid w:val="000D1851"/>
    <w:rsid w:val="000D28A9"/>
    <w:rsid w:val="000D39C6"/>
    <w:rsid w:val="000D43C0"/>
    <w:rsid w:val="000D47F5"/>
    <w:rsid w:val="000D6EF9"/>
    <w:rsid w:val="000D6F14"/>
    <w:rsid w:val="000D7514"/>
    <w:rsid w:val="000E0415"/>
    <w:rsid w:val="000E0502"/>
    <w:rsid w:val="000E393B"/>
    <w:rsid w:val="000E566F"/>
    <w:rsid w:val="000E6259"/>
    <w:rsid w:val="000E6419"/>
    <w:rsid w:val="000E7D07"/>
    <w:rsid w:val="000F1980"/>
    <w:rsid w:val="000F1A1B"/>
    <w:rsid w:val="000F1DA6"/>
    <w:rsid w:val="000F60B9"/>
    <w:rsid w:val="0010136C"/>
    <w:rsid w:val="00103A68"/>
    <w:rsid w:val="00103C82"/>
    <w:rsid w:val="00104EC9"/>
    <w:rsid w:val="00110951"/>
    <w:rsid w:val="00111258"/>
    <w:rsid w:val="0011169F"/>
    <w:rsid w:val="00112448"/>
    <w:rsid w:val="00114A32"/>
    <w:rsid w:val="00115BF9"/>
    <w:rsid w:val="001163C1"/>
    <w:rsid w:val="00117F8E"/>
    <w:rsid w:val="00120910"/>
    <w:rsid w:val="00122E5A"/>
    <w:rsid w:val="00123C05"/>
    <w:rsid w:val="001249D9"/>
    <w:rsid w:val="00127C9B"/>
    <w:rsid w:val="00127DE0"/>
    <w:rsid w:val="00130815"/>
    <w:rsid w:val="00130E38"/>
    <w:rsid w:val="0013510B"/>
    <w:rsid w:val="00136A14"/>
    <w:rsid w:val="001414A4"/>
    <w:rsid w:val="00142681"/>
    <w:rsid w:val="0014330D"/>
    <w:rsid w:val="0014429B"/>
    <w:rsid w:val="001442C4"/>
    <w:rsid w:val="00145088"/>
    <w:rsid w:val="00145142"/>
    <w:rsid w:val="00145552"/>
    <w:rsid w:val="00145838"/>
    <w:rsid w:val="00146114"/>
    <w:rsid w:val="00146D32"/>
    <w:rsid w:val="001509BA"/>
    <w:rsid w:val="00150C4C"/>
    <w:rsid w:val="00153835"/>
    <w:rsid w:val="00154CB2"/>
    <w:rsid w:val="001553D2"/>
    <w:rsid w:val="00155D64"/>
    <w:rsid w:val="0015683B"/>
    <w:rsid w:val="00157375"/>
    <w:rsid w:val="001579B7"/>
    <w:rsid w:val="0016089F"/>
    <w:rsid w:val="00160977"/>
    <w:rsid w:val="001627F5"/>
    <w:rsid w:val="001631E2"/>
    <w:rsid w:val="00163E26"/>
    <w:rsid w:val="00164CE3"/>
    <w:rsid w:val="00164D0F"/>
    <w:rsid w:val="00165560"/>
    <w:rsid w:val="00170B04"/>
    <w:rsid w:val="00173880"/>
    <w:rsid w:val="00173D4A"/>
    <w:rsid w:val="00176355"/>
    <w:rsid w:val="00176ECA"/>
    <w:rsid w:val="001851BC"/>
    <w:rsid w:val="00187293"/>
    <w:rsid w:val="001876D7"/>
    <w:rsid w:val="00192B59"/>
    <w:rsid w:val="00192D5D"/>
    <w:rsid w:val="00193861"/>
    <w:rsid w:val="00193E66"/>
    <w:rsid w:val="00194036"/>
    <w:rsid w:val="0019461C"/>
    <w:rsid w:val="00194F23"/>
    <w:rsid w:val="001976EA"/>
    <w:rsid w:val="00197942"/>
    <w:rsid w:val="001979F4"/>
    <w:rsid w:val="001A0708"/>
    <w:rsid w:val="001A0BFC"/>
    <w:rsid w:val="001A18DA"/>
    <w:rsid w:val="001A3E35"/>
    <w:rsid w:val="001A465F"/>
    <w:rsid w:val="001A4999"/>
    <w:rsid w:val="001A60B6"/>
    <w:rsid w:val="001A6E6E"/>
    <w:rsid w:val="001A7B1B"/>
    <w:rsid w:val="001B0D73"/>
    <w:rsid w:val="001B11FA"/>
    <w:rsid w:val="001B1641"/>
    <w:rsid w:val="001B49BE"/>
    <w:rsid w:val="001B4B04"/>
    <w:rsid w:val="001B52B8"/>
    <w:rsid w:val="001B72DE"/>
    <w:rsid w:val="001C0AA8"/>
    <w:rsid w:val="001C24FF"/>
    <w:rsid w:val="001C2F52"/>
    <w:rsid w:val="001C5ECD"/>
    <w:rsid w:val="001C6017"/>
    <w:rsid w:val="001C6663"/>
    <w:rsid w:val="001C6CA9"/>
    <w:rsid w:val="001C7895"/>
    <w:rsid w:val="001D0E47"/>
    <w:rsid w:val="001D26DF"/>
    <w:rsid w:val="001D2F11"/>
    <w:rsid w:val="001D4B05"/>
    <w:rsid w:val="001D5556"/>
    <w:rsid w:val="001D788B"/>
    <w:rsid w:val="001D78F0"/>
    <w:rsid w:val="001E0D93"/>
    <w:rsid w:val="001E1197"/>
    <w:rsid w:val="001E1D86"/>
    <w:rsid w:val="001E238F"/>
    <w:rsid w:val="001E2790"/>
    <w:rsid w:val="001E30A5"/>
    <w:rsid w:val="001E36A0"/>
    <w:rsid w:val="001F0616"/>
    <w:rsid w:val="001F07EE"/>
    <w:rsid w:val="001F1524"/>
    <w:rsid w:val="001F274B"/>
    <w:rsid w:val="001F2B6B"/>
    <w:rsid w:val="001F3BA8"/>
    <w:rsid w:val="001F4E92"/>
    <w:rsid w:val="001F5028"/>
    <w:rsid w:val="00200B7B"/>
    <w:rsid w:val="0020166D"/>
    <w:rsid w:val="00202919"/>
    <w:rsid w:val="002035FC"/>
    <w:rsid w:val="00206E21"/>
    <w:rsid w:val="00207606"/>
    <w:rsid w:val="00211265"/>
    <w:rsid w:val="0021183F"/>
    <w:rsid w:val="00211E0B"/>
    <w:rsid w:val="00211E72"/>
    <w:rsid w:val="002121E0"/>
    <w:rsid w:val="0021252C"/>
    <w:rsid w:val="00213CE6"/>
    <w:rsid w:val="00214047"/>
    <w:rsid w:val="0021626A"/>
    <w:rsid w:val="00217FA2"/>
    <w:rsid w:val="00220314"/>
    <w:rsid w:val="002204F4"/>
    <w:rsid w:val="0022130F"/>
    <w:rsid w:val="00222BDD"/>
    <w:rsid w:val="00222E22"/>
    <w:rsid w:val="00223202"/>
    <w:rsid w:val="00224CAF"/>
    <w:rsid w:val="002300CA"/>
    <w:rsid w:val="00231F59"/>
    <w:rsid w:val="00233801"/>
    <w:rsid w:val="00233FD9"/>
    <w:rsid w:val="002362BA"/>
    <w:rsid w:val="00237785"/>
    <w:rsid w:val="00240D3C"/>
    <w:rsid w:val="002410DD"/>
    <w:rsid w:val="00241466"/>
    <w:rsid w:val="00241F20"/>
    <w:rsid w:val="002458C4"/>
    <w:rsid w:val="00245A3A"/>
    <w:rsid w:val="00245D4F"/>
    <w:rsid w:val="0024785F"/>
    <w:rsid w:val="00251395"/>
    <w:rsid w:val="00252A11"/>
    <w:rsid w:val="00253D58"/>
    <w:rsid w:val="00256F98"/>
    <w:rsid w:val="002613AA"/>
    <w:rsid w:val="00262129"/>
    <w:rsid w:val="00263108"/>
    <w:rsid w:val="0026436A"/>
    <w:rsid w:val="002644A3"/>
    <w:rsid w:val="0026595A"/>
    <w:rsid w:val="002662B7"/>
    <w:rsid w:val="00270FCE"/>
    <w:rsid w:val="00271B38"/>
    <w:rsid w:val="00276D58"/>
    <w:rsid w:val="0027725F"/>
    <w:rsid w:val="00277989"/>
    <w:rsid w:val="00281D53"/>
    <w:rsid w:val="00283A66"/>
    <w:rsid w:val="002856CF"/>
    <w:rsid w:val="00287640"/>
    <w:rsid w:val="00287DE4"/>
    <w:rsid w:val="00290533"/>
    <w:rsid w:val="00290A6B"/>
    <w:rsid w:val="00291F38"/>
    <w:rsid w:val="00294A8D"/>
    <w:rsid w:val="00296F89"/>
    <w:rsid w:val="002974A8"/>
    <w:rsid w:val="002A019C"/>
    <w:rsid w:val="002A05A6"/>
    <w:rsid w:val="002A0D82"/>
    <w:rsid w:val="002A266B"/>
    <w:rsid w:val="002A397E"/>
    <w:rsid w:val="002A417B"/>
    <w:rsid w:val="002A4EF4"/>
    <w:rsid w:val="002A5C62"/>
    <w:rsid w:val="002A7B2B"/>
    <w:rsid w:val="002B5B78"/>
    <w:rsid w:val="002B6CEA"/>
    <w:rsid w:val="002B77B1"/>
    <w:rsid w:val="002B7A50"/>
    <w:rsid w:val="002C21F0"/>
    <w:rsid w:val="002C2AEE"/>
    <w:rsid w:val="002C3173"/>
    <w:rsid w:val="002C346E"/>
    <w:rsid w:val="002C414A"/>
    <w:rsid w:val="002C440B"/>
    <w:rsid w:val="002C5B10"/>
    <w:rsid w:val="002C5C0A"/>
    <w:rsid w:val="002C7157"/>
    <w:rsid w:val="002D2E57"/>
    <w:rsid w:val="002D3A99"/>
    <w:rsid w:val="002D575C"/>
    <w:rsid w:val="002D739E"/>
    <w:rsid w:val="002E1763"/>
    <w:rsid w:val="002E3578"/>
    <w:rsid w:val="002E3A24"/>
    <w:rsid w:val="002E4134"/>
    <w:rsid w:val="002F0760"/>
    <w:rsid w:val="002F40F2"/>
    <w:rsid w:val="002F4318"/>
    <w:rsid w:val="002F4E13"/>
    <w:rsid w:val="002F62CB"/>
    <w:rsid w:val="002F7596"/>
    <w:rsid w:val="00300217"/>
    <w:rsid w:val="00300CBA"/>
    <w:rsid w:val="00304B56"/>
    <w:rsid w:val="00305D98"/>
    <w:rsid w:val="00306736"/>
    <w:rsid w:val="00307B68"/>
    <w:rsid w:val="003107FA"/>
    <w:rsid w:val="00310D93"/>
    <w:rsid w:val="0031373B"/>
    <w:rsid w:val="00314716"/>
    <w:rsid w:val="00316680"/>
    <w:rsid w:val="00317314"/>
    <w:rsid w:val="003177DF"/>
    <w:rsid w:val="00317977"/>
    <w:rsid w:val="003229D8"/>
    <w:rsid w:val="00323806"/>
    <w:rsid w:val="003248D5"/>
    <w:rsid w:val="00324B14"/>
    <w:rsid w:val="00324D12"/>
    <w:rsid w:val="00330319"/>
    <w:rsid w:val="003314D1"/>
    <w:rsid w:val="00331627"/>
    <w:rsid w:val="00332C07"/>
    <w:rsid w:val="0033349A"/>
    <w:rsid w:val="00335A2F"/>
    <w:rsid w:val="0033658B"/>
    <w:rsid w:val="003375F2"/>
    <w:rsid w:val="00340239"/>
    <w:rsid w:val="00341937"/>
    <w:rsid w:val="003424C5"/>
    <w:rsid w:val="0034330D"/>
    <w:rsid w:val="003451EE"/>
    <w:rsid w:val="00345376"/>
    <w:rsid w:val="00346CB0"/>
    <w:rsid w:val="00347070"/>
    <w:rsid w:val="00347ED5"/>
    <w:rsid w:val="00350EF9"/>
    <w:rsid w:val="00351FF4"/>
    <w:rsid w:val="00352517"/>
    <w:rsid w:val="00353052"/>
    <w:rsid w:val="00354514"/>
    <w:rsid w:val="0035636A"/>
    <w:rsid w:val="00357359"/>
    <w:rsid w:val="003601F9"/>
    <w:rsid w:val="00360AEA"/>
    <w:rsid w:val="00360CE9"/>
    <w:rsid w:val="003626A5"/>
    <w:rsid w:val="0036319D"/>
    <w:rsid w:val="00363588"/>
    <w:rsid w:val="003637DB"/>
    <w:rsid w:val="003639DB"/>
    <w:rsid w:val="00364434"/>
    <w:rsid w:val="00364909"/>
    <w:rsid w:val="00364AAC"/>
    <w:rsid w:val="00364EA2"/>
    <w:rsid w:val="0036627E"/>
    <w:rsid w:val="00366934"/>
    <w:rsid w:val="00366B05"/>
    <w:rsid w:val="00372000"/>
    <w:rsid w:val="00372385"/>
    <w:rsid w:val="00372613"/>
    <w:rsid w:val="0037505C"/>
    <w:rsid w:val="00377980"/>
    <w:rsid w:val="003805F5"/>
    <w:rsid w:val="00381F5C"/>
    <w:rsid w:val="00382EFD"/>
    <w:rsid w:val="003855C1"/>
    <w:rsid w:val="0038660C"/>
    <w:rsid w:val="00387E54"/>
    <w:rsid w:val="003911C3"/>
    <w:rsid w:val="0039133C"/>
    <w:rsid w:val="0039277A"/>
    <w:rsid w:val="003934DF"/>
    <w:rsid w:val="00394001"/>
    <w:rsid w:val="00395A55"/>
    <w:rsid w:val="003972E0"/>
    <w:rsid w:val="003975ED"/>
    <w:rsid w:val="003A06C9"/>
    <w:rsid w:val="003A079B"/>
    <w:rsid w:val="003A08BB"/>
    <w:rsid w:val="003A11A8"/>
    <w:rsid w:val="003A704E"/>
    <w:rsid w:val="003A7149"/>
    <w:rsid w:val="003B17A7"/>
    <w:rsid w:val="003B30FB"/>
    <w:rsid w:val="003B335A"/>
    <w:rsid w:val="003B4BEE"/>
    <w:rsid w:val="003B5373"/>
    <w:rsid w:val="003B617E"/>
    <w:rsid w:val="003C1772"/>
    <w:rsid w:val="003C1A29"/>
    <w:rsid w:val="003C1FA4"/>
    <w:rsid w:val="003C2CC4"/>
    <w:rsid w:val="003C2D59"/>
    <w:rsid w:val="003C7984"/>
    <w:rsid w:val="003D0627"/>
    <w:rsid w:val="003D2963"/>
    <w:rsid w:val="003D408C"/>
    <w:rsid w:val="003D4B23"/>
    <w:rsid w:val="003D4DD8"/>
    <w:rsid w:val="003E1D97"/>
    <w:rsid w:val="003E2953"/>
    <w:rsid w:val="003E5DD0"/>
    <w:rsid w:val="003E6062"/>
    <w:rsid w:val="003E69F4"/>
    <w:rsid w:val="003E709B"/>
    <w:rsid w:val="003F1A92"/>
    <w:rsid w:val="003F1C6F"/>
    <w:rsid w:val="003F2C16"/>
    <w:rsid w:val="003F2D63"/>
    <w:rsid w:val="003F42EA"/>
    <w:rsid w:val="003F4300"/>
    <w:rsid w:val="003F536B"/>
    <w:rsid w:val="003F6914"/>
    <w:rsid w:val="00402646"/>
    <w:rsid w:val="00404771"/>
    <w:rsid w:val="00404F11"/>
    <w:rsid w:val="00405AAD"/>
    <w:rsid w:val="00407004"/>
    <w:rsid w:val="00413D68"/>
    <w:rsid w:val="00414875"/>
    <w:rsid w:val="00414BF0"/>
    <w:rsid w:val="004160DD"/>
    <w:rsid w:val="004169D4"/>
    <w:rsid w:val="00416AA3"/>
    <w:rsid w:val="00420C91"/>
    <w:rsid w:val="0042247B"/>
    <w:rsid w:val="004245CE"/>
    <w:rsid w:val="00424C80"/>
    <w:rsid w:val="00425857"/>
    <w:rsid w:val="00425965"/>
    <w:rsid w:val="00425B4B"/>
    <w:rsid w:val="00426DA6"/>
    <w:rsid w:val="0042767E"/>
    <w:rsid w:val="00431291"/>
    <w:rsid w:val="004314AF"/>
    <w:rsid w:val="00431DE4"/>
    <w:rsid w:val="00431FB1"/>
    <w:rsid w:val="004325CB"/>
    <w:rsid w:val="00432E9C"/>
    <w:rsid w:val="00434418"/>
    <w:rsid w:val="004346BA"/>
    <w:rsid w:val="004355B5"/>
    <w:rsid w:val="004356B3"/>
    <w:rsid w:val="00440D4A"/>
    <w:rsid w:val="0044151B"/>
    <w:rsid w:val="004423E8"/>
    <w:rsid w:val="00444233"/>
    <w:rsid w:val="0044441A"/>
    <w:rsid w:val="004444DE"/>
    <w:rsid w:val="00444A12"/>
    <w:rsid w:val="0044503A"/>
    <w:rsid w:val="00445179"/>
    <w:rsid w:val="004459B5"/>
    <w:rsid w:val="00446DE4"/>
    <w:rsid w:val="00447761"/>
    <w:rsid w:val="00450EBD"/>
    <w:rsid w:val="00451168"/>
    <w:rsid w:val="00451EC3"/>
    <w:rsid w:val="00453510"/>
    <w:rsid w:val="004552DA"/>
    <w:rsid w:val="004559BF"/>
    <w:rsid w:val="00457259"/>
    <w:rsid w:val="004621B1"/>
    <w:rsid w:val="00463B52"/>
    <w:rsid w:val="00464BF2"/>
    <w:rsid w:val="004653E5"/>
    <w:rsid w:val="0046720B"/>
    <w:rsid w:val="004675AF"/>
    <w:rsid w:val="004678BA"/>
    <w:rsid w:val="004679D7"/>
    <w:rsid w:val="004705FB"/>
    <w:rsid w:val="00471C03"/>
    <w:rsid w:val="004721B1"/>
    <w:rsid w:val="00476F17"/>
    <w:rsid w:val="004845CB"/>
    <w:rsid w:val="004851AC"/>
    <w:rsid w:val="004859EC"/>
    <w:rsid w:val="00486278"/>
    <w:rsid w:val="004902E3"/>
    <w:rsid w:val="00490E75"/>
    <w:rsid w:val="004923F7"/>
    <w:rsid w:val="004924FB"/>
    <w:rsid w:val="00493455"/>
    <w:rsid w:val="00494A3A"/>
    <w:rsid w:val="00496A15"/>
    <w:rsid w:val="004974CB"/>
    <w:rsid w:val="004A0B2E"/>
    <w:rsid w:val="004A0E62"/>
    <w:rsid w:val="004A1007"/>
    <w:rsid w:val="004A320F"/>
    <w:rsid w:val="004A59D4"/>
    <w:rsid w:val="004A6F3D"/>
    <w:rsid w:val="004B0471"/>
    <w:rsid w:val="004B27A6"/>
    <w:rsid w:val="004B36B0"/>
    <w:rsid w:val="004B36FA"/>
    <w:rsid w:val="004B38E1"/>
    <w:rsid w:val="004B39E9"/>
    <w:rsid w:val="004B57CE"/>
    <w:rsid w:val="004B5DB0"/>
    <w:rsid w:val="004B75D2"/>
    <w:rsid w:val="004C3B44"/>
    <w:rsid w:val="004C45EC"/>
    <w:rsid w:val="004C7320"/>
    <w:rsid w:val="004C7374"/>
    <w:rsid w:val="004C7C0C"/>
    <w:rsid w:val="004D1140"/>
    <w:rsid w:val="004D15C0"/>
    <w:rsid w:val="004D3717"/>
    <w:rsid w:val="004D6F88"/>
    <w:rsid w:val="004E0791"/>
    <w:rsid w:val="004E1B6F"/>
    <w:rsid w:val="004E2F68"/>
    <w:rsid w:val="004E3847"/>
    <w:rsid w:val="004E387F"/>
    <w:rsid w:val="004E3ED8"/>
    <w:rsid w:val="004E594E"/>
    <w:rsid w:val="004E5BBC"/>
    <w:rsid w:val="004E5CAE"/>
    <w:rsid w:val="004E6348"/>
    <w:rsid w:val="004E75FE"/>
    <w:rsid w:val="004E7B3C"/>
    <w:rsid w:val="004F0644"/>
    <w:rsid w:val="004F1766"/>
    <w:rsid w:val="004F2E57"/>
    <w:rsid w:val="004F3205"/>
    <w:rsid w:val="004F34E0"/>
    <w:rsid w:val="004F3674"/>
    <w:rsid w:val="004F46A2"/>
    <w:rsid w:val="004F4908"/>
    <w:rsid w:val="004F55ED"/>
    <w:rsid w:val="004F6791"/>
    <w:rsid w:val="00500AA5"/>
    <w:rsid w:val="0050361F"/>
    <w:rsid w:val="005053E4"/>
    <w:rsid w:val="00506875"/>
    <w:rsid w:val="0051073E"/>
    <w:rsid w:val="00510E6E"/>
    <w:rsid w:val="00513F6A"/>
    <w:rsid w:val="005150CF"/>
    <w:rsid w:val="00515345"/>
    <w:rsid w:val="00520A66"/>
    <w:rsid w:val="0052176C"/>
    <w:rsid w:val="0052248E"/>
    <w:rsid w:val="00523F5B"/>
    <w:rsid w:val="00525D01"/>
    <w:rsid w:val="005261E5"/>
    <w:rsid w:val="00527A52"/>
    <w:rsid w:val="005308A1"/>
    <w:rsid w:val="00531B99"/>
    <w:rsid w:val="00533391"/>
    <w:rsid w:val="00536AF5"/>
    <w:rsid w:val="0053775A"/>
    <w:rsid w:val="00540E6E"/>
    <w:rsid w:val="00541E30"/>
    <w:rsid w:val="005420F2"/>
    <w:rsid w:val="00542574"/>
    <w:rsid w:val="005436AB"/>
    <w:rsid w:val="00543C72"/>
    <w:rsid w:val="00546DBF"/>
    <w:rsid w:val="00547BD5"/>
    <w:rsid w:val="00547DF7"/>
    <w:rsid w:val="00550528"/>
    <w:rsid w:val="005507F9"/>
    <w:rsid w:val="00551F99"/>
    <w:rsid w:val="00552107"/>
    <w:rsid w:val="00553D76"/>
    <w:rsid w:val="005552B5"/>
    <w:rsid w:val="00556301"/>
    <w:rsid w:val="00556673"/>
    <w:rsid w:val="00556686"/>
    <w:rsid w:val="005572CA"/>
    <w:rsid w:val="00557657"/>
    <w:rsid w:val="0056117B"/>
    <w:rsid w:val="005614DF"/>
    <w:rsid w:val="00562299"/>
    <w:rsid w:val="005642C1"/>
    <w:rsid w:val="00566BC7"/>
    <w:rsid w:val="00566BCE"/>
    <w:rsid w:val="00570F71"/>
    <w:rsid w:val="00571365"/>
    <w:rsid w:val="00571625"/>
    <w:rsid w:val="00573197"/>
    <w:rsid w:val="0057330D"/>
    <w:rsid w:val="00573C46"/>
    <w:rsid w:val="00576E7A"/>
    <w:rsid w:val="00577F4B"/>
    <w:rsid w:val="00580E92"/>
    <w:rsid w:val="00582058"/>
    <w:rsid w:val="00582A6C"/>
    <w:rsid w:val="00585BD2"/>
    <w:rsid w:val="00585FDD"/>
    <w:rsid w:val="00587DBB"/>
    <w:rsid w:val="00590143"/>
    <w:rsid w:val="005913A8"/>
    <w:rsid w:val="0059317F"/>
    <w:rsid w:val="00594259"/>
    <w:rsid w:val="005948DB"/>
    <w:rsid w:val="00594B4F"/>
    <w:rsid w:val="0059707C"/>
    <w:rsid w:val="005A0829"/>
    <w:rsid w:val="005A4DC7"/>
    <w:rsid w:val="005A4DC9"/>
    <w:rsid w:val="005A6C9A"/>
    <w:rsid w:val="005B2FB7"/>
    <w:rsid w:val="005B3DB3"/>
    <w:rsid w:val="005B41DB"/>
    <w:rsid w:val="005B4CC3"/>
    <w:rsid w:val="005B4D94"/>
    <w:rsid w:val="005B59A6"/>
    <w:rsid w:val="005B6E48"/>
    <w:rsid w:val="005C077B"/>
    <w:rsid w:val="005C15B3"/>
    <w:rsid w:val="005C292C"/>
    <w:rsid w:val="005C2F88"/>
    <w:rsid w:val="005C309C"/>
    <w:rsid w:val="005C48D4"/>
    <w:rsid w:val="005C6448"/>
    <w:rsid w:val="005C6713"/>
    <w:rsid w:val="005C7FAC"/>
    <w:rsid w:val="005D09D7"/>
    <w:rsid w:val="005D587A"/>
    <w:rsid w:val="005D65C8"/>
    <w:rsid w:val="005D6E88"/>
    <w:rsid w:val="005D7AF9"/>
    <w:rsid w:val="005E0D11"/>
    <w:rsid w:val="005E1712"/>
    <w:rsid w:val="005E19BE"/>
    <w:rsid w:val="005E1F16"/>
    <w:rsid w:val="005E2847"/>
    <w:rsid w:val="005E289A"/>
    <w:rsid w:val="005E33DC"/>
    <w:rsid w:val="005E33DF"/>
    <w:rsid w:val="005E46CA"/>
    <w:rsid w:val="005E46F5"/>
    <w:rsid w:val="005E6AF2"/>
    <w:rsid w:val="005F058E"/>
    <w:rsid w:val="005F15D2"/>
    <w:rsid w:val="005F2446"/>
    <w:rsid w:val="005F31BF"/>
    <w:rsid w:val="005F4A8A"/>
    <w:rsid w:val="00600195"/>
    <w:rsid w:val="0060082C"/>
    <w:rsid w:val="00600C48"/>
    <w:rsid w:val="00605013"/>
    <w:rsid w:val="006065B0"/>
    <w:rsid w:val="00611FC4"/>
    <w:rsid w:val="00613F61"/>
    <w:rsid w:val="0061417D"/>
    <w:rsid w:val="00616E18"/>
    <w:rsid w:val="006176FB"/>
    <w:rsid w:val="00617CA2"/>
    <w:rsid w:val="0062108F"/>
    <w:rsid w:val="00621BC3"/>
    <w:rsid w:val="0062635D"/>
    <w:rsid w:val="00631FEB"/>
    <w:rsid w:val="00633663"/>
    <w:rsid w:val="006348F2"/>
    <w:rsid w:val="006355C1"/>
    <w:rsid w:val="00635A0C"/>
    <w:rsid w:val="006364F5"/>
    <w:rsid w:val="0063686D"/>
    <w:rsid w:val="00640B26"/>
    <w:rsid w:val="006415D7"/>
    <w:rsid w:val="006426FA"/>
    <w:rsid w:val="0064515B"/>
    <w:rsid w:val="00645EE2"/>
    <w:rsid w:val="0065366F"/>
    <w:rsid w:val="0065417D"/>
    <w:rsid w:val="00657D51"/>
    <w:rsid w:val="00660479"/>
    <w:rsid w:val="00660AC3"/>
    <w:rsid w:val="006610DC"/>
    <w:rsid w:val="00663553"/>
    <w:rsid w:val="00664AC0"/>
    <w:rsid w:val="006655F8"/>
    <w:rsid w:val="00665C36"/>
    <w:rsid w:val="00670432"/>
    <w:rsid w:val="00670741"/>
    <w:rsid w:val="00671BEF"/>
    <w:rsid w:val="00672C96"/>
    <w:rsid w:val="00672D1B"/>
    <w:rsid w:val="00673772"/>
    <w:rsid w:val="0067393C"/>
    <w:rsid w:val="00673C7B"/>
    <w:rsid w:val="00674C48"/>
    <w:rsid w:val="00674EFF"/>
    <w:rsid w:val="006759F8"/>
    <w:rsid w:val="0067619B"/>
    <w:rsid w:val="00676913"/>
    <w:rsid w:val="00680638"/>
    <w:rsid w:val="00680DEF"/>
    <w:rsid w:val="00680E08"/>
    <w:rsid w:val="00681489"/>
    <w:rsid w:val="00681ED5"/>
    <w:rsid w:val="006833C7"/>
    <w:rsid w:val="00683F3E"/>
    <w:rsid w:val="0068412D"/>
    <w:rsid w:val="0069032A"/>
    <w:rsid w:val="006911F0"/>
    <w:rsid w:val="006953C9"/>
    <w:rsid w:val="00696A45"/>
    <w:rsid w:val="00696BD6"/>
    <w:rsid w:val="006A38AA"/>
    <w:rsid w:val="006A4FB3"/>
    <w:rsid w:val="006A6B9D"/>
    <w:rsid w:val="006A70C9"/>
    <w:rsid w:val="006A7218"/>
    <w:rsid w:val="006A7392"/>
    <w:rsid w:val="006A7885"/>
    <w:rsid w:val="006A7E09"/>
    <w:rsid w:val="006B026E"/>
    <w:rsid w:val="006B0BA9"/>
    <w:rsid w:val="006B0D22"/>
    <w:rsid w:val="006B137C"/>
    <w:rsid w:val="006B2EC2"/>
    <w:rsid w:val="006B3189"/>
    <w:rsid w:val="006B4104"/>
    <w:rsid w:val="006B4D5C"/>
    <w:rsid w:val="006B5E1B"/>
    <w:rsid w:val="006B64DF"/>
    <w:rsid w:val="006B6511"/>
    <w:rsid w:val="006B7D65"/>
    <w:rsid w:val="006C03B3"/>
    <w:rsid w:val="006C0554"/>
    <w:rsid w:val="006C29E2"/>
    <w:rsid w:val="006C47C3"/>
    <w:rsid w:val="006C70FC"/>
    <w:rsid w:val="006C7EA6"/>
    <w:rsid w:val="006D0EEB"/>
    <w:rsid w:val="006D1199"/>
    <w:rsid w:val="006D2945"/>
    <w:rsid w:val="006D455B"/>
    <w:rsid w:val="006D45A1"/>
    <w:rsid w:val="006D6DA6"/>
    <w:rsid w:val="006D7BBA"/>
    <w:rsid w:val="006E1B2F"/>
    <w:rsid w:val="006E29D2"/>
    <w:rsid w:val="006E564B"/>
    <w:rsid w:val="006E5AA7"/>
    <w:rsid w:val="006E68FF"/>
    <w:rsid w:val="006F13F0"/>
    <w:rsid w:val="006F5035"/>
    <w:rsid w:val="006F723B"/>
    <w:rsid w:val="00702924"/>
    <w:rsid w:val="007032D8"/>
    <w:rsid w:val="00703875"/>
    <w:rsid w:val="007040A6"/>
    <w:rsid w:val="007065EB"/>
    <w:rsid w:val="00710220"/>
    <w:rsid w:val="00710CF8"/>
    <w:rsid w:val="00710E73"/>
    <w:rsid w:val="0071306E"/>
    <w:rsid w:val="0071335C"/>
    <w:rsid w:val="00713BA2"/>
    <w:rsid w:val="00714952"/>
    <w:rsid w:val="007155D9"/>
    <w:rsid w:val="00716067"/>
    <w:rsid w:val="00716208"/>
    <w:rsid w:val="00720183"/>
    <w:rsid w:val="00720902"/>
    <w:rsid w:val="00720B14"/>
    <w:rsid w:val="007212BC"/>
    <w:rsid w:val="00722CB7"/>
    <w:rsid w:val="00722D00"/>
    <w:rsid w:val="00723C5D"/>
    <w:rsid w:val="0072632A"/>
    <w:rsid w:val="0072746F"/>
    <w:rsid w:val="00732864"/>
    <w:rsid w:val="007334B3"/>
    <w:rsid w:val="00740C70"/>
    <w:rsid w:val="00740FA0"/>
    <w:rsid w:val="007411A0"/>
    <w:rsid w:val="00741903"/>
    <w:rsid w:val="00741A1A"/>
    <w:rsid w:val="00741AFA"/>
    <w:rsid w:val="0074200B"/>
    <w:rsid w:val="007427F3"/>
    <w:rsid w:val="007430A6"/>
    <w:rsid w:val="00743FC9"/>
    <w:rsid w:val="00747B9B"/>
    <w:rsid w:val="00747C33"/>
    <w:rsid w:val="00751780"/>
    <w:rsid w:val="00751B82"/>
    <w:rsid w:val="007526A8"/>
    <w:rsid w:val="00755974"/>
    <w:rsid w:val="0075745F"/>
    <w:rsid w:val="007611FE"/>
    <w:rsid w:val="0076142A"/>
    <w:rsid w:val="00761FE1"/>
    <w:rsid w:val="0076389B"/>
    <w:rsid w:val="00763FEB"/>
    <w:rsid w:val="0076413F"/>
    <w:rsid w:val="0076514E"/>
    <w:rsid w:val="00765309"/>
    <w:rsid w:val="00765462"/>
    <w:rsid w:val="00765CA2"/>
    <w:rsid w:val="00765EDB"/>
    <w:rsid w:val="00772AF6"/>
    <w:rsid w:val="007741E4"/>
    <w:rsid w:val="00774E0A"/>
    <w:rsid w:val="00780593"/>
    <w:rsid w:val="00784D82"/>
    <w:rsid w:val="00786100"/>
    <w:rsid w:val="00787DC7"/>
    <w:rsid w:val="00790298"/>
    <w:rsid w:val="0079048C"/>
    <w:rsid w:val="00793133"/>
    <w:rsid w:val="007933F8"/>
    <w:rsid w:val="00793726"/>
    <w:rsid w:val="00793F04"/>
    <w:rsid w:val="00794066"/>
    <w:rsid w:val="0079619A"/>
    <w:rsid w:val="007962A0"/>
    <w:rsid w:val="00797142"/>
    <w:rsid w:val="007971DA"/>
    <w:rsid w:val="007A0109"/>
    <w:rsid w:val="007A050D"/>
    <w:rsid w:val="007A227E"/>
    <w:rsid w:val="007A2D37"/>
    <w:rsid w:val="007A3EDC"/>
    <w:rsid w:val="007A455E"/>
    <w:rsid w:val="007A56CB"/>
    <w:rsid w:val="007A6059"/>
    <w:rsid w:val="007A6296"/>
    <w:rsid w:val="007A6626"/>
    <w:rsid w:val="007B012F"/>
    <w:rsid w:val="007B4684"/>
    <w:rsid w:val="007B540D"/>
    <w:rsid w:val="007B57DB"/>
    <w:rsid w:val="007B6BA5"/>
    <w:rsid w:val="007C1B62"/>
    <w:rsid w:val="007C23A3"/>
    <w:rsid w:val="007C264D"/>
    <w:rsid w:val="007C32A8"/>
    <w:rsid w:val="007C3390"/>
    <w:rsid w:val="007C37CA"/>
    <w:rsid w:val="007C4F4B"/>
    <w:rsid w:val="007D1A9C"/>
    <w:rsid w:val="007D25EB"/>
    <w:rsid w:val="007D2CDC"/>
    <w:rsid w:val="007D2EB8"/>
    <w:rsid w:val="007D4AD5"/>
    <w:rsid w:val="007D4C03"/>
    <w:rsid w:val="007D4E6A"/>
    <w:rsid w:val="007D5327"/>
    <w:rsid w:val="007D5A9B"/>
    <w:rsid w:val="007E23E8"/>
    <w:rsid w:val="007E2E4D"/>
    <w:rsid w:val="007E3734"/>
    <w:rsid w:val="007E5546"/>
    <w:rsid w:val="007E5E0D"/>
    <w:rsid w:val="007F10A7"/>
    <w:rsid w:val="007F2AD9"/>
    <w:rsid w:val="007F5268"/>
    <w:rsid w:val="007F53B6"/>
    <w:rsid w:val="007F5EDF"/>
    <w:rsid w:val="007F65BA"/>
    <w:rsid w:val="007F6611"/>
    <w:rsid w:val="007F7837"/>
    <w:rsid w:val="007F7AFE"/>
    <w:rsid w:val="008005C5"/>
    <w:rsid w:val="00800AC3"/>
    <w:rsid w:val="008029FE"/>
    <w:rsid w:val="00802DD1"/>
    <w:rsid w:val="00805A94"/>
    <w:rsid w:val="008062E4"/>
    <w:rsid w:val="008155C3"/>
    <w:rsid w:val="00816B4C"/>
    <w:rsid w:val="008175E9"/>
    <w:rsid w:val="008176E6"/>
    <w:rsid w:val="008177DD"/>
    <w:rsid w:val="0082243E"/>
    <w:rsid w:val="00822885"/>
    <w:rsid w:val="008237CC"/>
    <w:rsid w:val="008242D7"/>
    <w:rsid w:val="00824BC8"/>
    <w:rsid w:val="00825A53"/>
    <w:rsid w:val="00826FC3"/>
    <w:rsid w:val="0082754D"/>
    <w:rsid w:val="00830141"/>
    <w:rsid w:val="00831748"/>
    <w:rsid w:val="00831B0C"/>
    <w:rsid w:val="00841B7D"/>
    <w:rsid w:val="00843411"/>
    <w:rsid w:val="00843B95"/>
    <w:rsid w:val="00844540"/>
    <w:rsid w:val="008476B5"/>
    <w:rsid w:val="00847B84"/>
    <w:rsid w:val="008510F4"/>
    <w:rsid w:val="00851C73"/>
    <w:rsid w:val="00854C3A"/>
    <w:rsid w:val="00856CD2"/>
    <w:rsid w:val="00856D2F"/>
    <w:rsid w:val="00857829"/>
    <w:rsid w:val="00860D0A"/>
    <w:rsid w:val="0086178F"/>
    <w:rsid w:val="0086183D"/>
    <w:rsid w:val="00861BC6"/>
    <w:rsid w:val="0086272B"/>
    <w:rsid w:val="00863517"/>
    <w:rsid w:val="00863EF8"/>
    <w:rsid w:val="00865F20"/>
    <w:rsid w:val="0086721B"/>
    <w:rsid w:val="008672FE"/>
    <w:rsid w:val="00871FD5"/>
    <w:rsid w:val="00872D31"/>
    <w:rsid w:val="008730CE"/>
    <w:rsid w:val="00874F40"/>
    <w:rsid w:val="00875339"/>
    <w:rsid w:val="0087591D"/>
    <w:rsid w:val="008759B6"/>
    <w:rsid w:val="00875B41"/>
    <w:rsid w:val="00876F1D"/>
    <w:rsid w:val="008773FD"/>
    <w:rsid w:val="00881FDB"/>
    <w:rsid w:val="00884B91"/>
    <w:rsid w:val="00887B6F"/>
    <w:rsid w:val="00887BBB"/>
    <w:rsid w:val="00892489"/>
    <w:rsid w:val="00893F80"/>
    <w:rsid w:val="00896CB7"/>
    <w:rsid w:val="008979B1"/>
    <w:rsid w:val="00897AB0"/>
    <w:rsid w:val="00897F90"/>
    <w:rsid w:val="008A25E8"/>
    <w:rsid w:val="008A4F44"/>
    <w:rsid w:val="008A6185"/>
    <w:rsid w:val="008A6B25"/>
    <w:rsid w:val="008A6C4F"/>
    <w:rsid w:val="008B1388"/>
    <w:rsid w:val="008B20B0"/>
    <w:rsid w:val="008B2170"/>
    <w:rsid w:val="008B42C7"/>
    <w:rsid w:val="008B4519"/>
    <w:rsid w:val="008B62E7"/>
    <w:rsid w:val="008B6E83"/>
    <w:rsid w:val="008B722D"/>
    <w:rsid w:val="008C0350"/>
    <w:rsid w:val="008C09DD"/>
    <w:rsid w:val="008C182A"/>
    <w:rsid w:val="008C1E4D"/>
    <w:rsid w:val="008C2388"/>
    <w:rsid w:val="008C2DEC"/>
    <w:rsid w:val="008C3A89"/>
    <w:rsid w:val="008C6DDE"/>
    <w:rsid w:val="008D0765"/>
    <w:rsid w:val="008D08E4"/>
    <w:rsid w:val="008D1EE8"/>
    <w:rsid w:val="008D38B7"/>
    <w:rsid w:val="008D3EA0"/>
    <w:rsid w:val="008D5157"/>
    <w:rsid w:val="008D5FE8"/>
    <w:rsid w:val="008D669C"/>
    <w:rsid w:val="008D6BCE"/>
    <w:rsid w:val="008E0D85"/>
    <w:rsid w:val="008E0E46"/>
    <w:rsid w:val="008E221A"/>
    <w:rsid w:val="008E2A22"/>
    <w:rsid w:val="008E2EB8"/>
    <w:rsid w:val="008E2FFA"/>
    <w:rsid w:val="008E39C6"/>
    <w:rsid w:val="008E75DA"/>
    <w:rsid w:val="008F0551"/>
    <w:rsid w:val="008F1F1F"/>
    <w:rsid w:val="008F2B45"/>
    <w:rsid w:val="008F4CC7"/>
    <w:rsid w:val="008F4E6B"/>
    <w:rsid w:val="008F5D46"/>
    <w:rsid w:val="009005BF"/>
    <w:rsid w:val="0090093A"/>
    <w:rsid w:val="00901263"/>
    <w:rsid w:val="00903F00"/>
    <w:rsid w:val="0090452C"/>
    <w:rsid w:val="00905910"/>
    <w:rsid w:val="00905B2F"/>
    <w:rsid w:val="0090631B"/>
    <w:rsid w:val="0090716D"/>
    <w:rsid w:val="009075AC"/>
    <w:rsid w:val="00907C3F"/>
    <w:rsid w:val="009104E6"/>
    <w:rsid w:val="00910995"/>
    <w:rsid w:val="00913E1A"/>
    <w:rsid w:val="00914583"/>
    <w:rsid w:val="00916EC2"/>
    <w:rsid w:val="0092237C"/>
    <w:rsid w:val="009230C1"/>
    <w:rsid w:val="00923F47"/>
    <w:rsid w:val="00924845"/>
    <w:rsid w:val="0092485C"/>
    <w:rsid w:val="0092530C"/>
    <w:rsid w:val="009313FF"/>
    <w:rsid w:val="00934FE5"/>
    <w:rsid w:val="00935F44"/>
    <w:rsid w:val="00936135"/>
    <w:rsid w:val="0093707B"/>
    <w:rsid w:val="009400EB"/>
    <w:rsid w:val="009427E3"/>
    <w:rsid w:val="00944B5D"/>
    <w:rsid w:val="009458A9"/>
    <w:rsid w:val="00945C1C"/>
    <w:rsid w:val="0095051A"/>
    <w:rsid w:val="0095067A"/>
    <w:rsid w:val="00951358"/>
    <w:rsid w:val="00952033"/>
    <w:rsid w:val="0095555A"/>
    <w:rsid w:val="009567D1"/>
    <w:rsid w:val="00956D9B"/>
    <w:rsid w:val="009571A4"/>
    <w:rsid w:val="00960957"/>
    <w:rsid w:val="009612C2"/>
    <w:rsid w:val="00962BBE"/>
    <w:rsid w:val="00963CBA"/>
    <w:rsid w:val="009654B7"/>
    <w:rsid w:val="00965A7C"/>
    <w:rsid w:val="0096629F"/>
    <w:rsid w:val="009716E8"/>
    <w:rsid w:val="00972E17"/>
    <w:rsid w:val="0097643D"/>
    <w:rsid w:val="00980829"/>
    <w:rsid w:val="00981446"/>
    <w:rsid w:val="009815BC"/>
    <w:rsid w:val="009821CC"/>
    <w:rsid w:val="009877DC"/>
    <w:rsid w:val="00991261"/>
    <w:rsid w:val="009927E7"/>
    <w:rsid w:val="00992B8C"/>
    <w:rsid w:val="00993D9E"/>
    <w:rsid w:val="0099417B"/>
    <w:rsid w:val="00994D37"/>
    <w:rsid w:val="00995783"/>
    <w:rsid w:val="0099608E"/>
    <w:rsid w:val="009967E2"/>
    <w:rsid w:val="009A059F"/>
    <w:rsid w:val="009A0994"/>
    <w:rsid w:val="009A0B83"/>
    <w:rsid w:val="009A29EE"/>
    <w:rsid w:val="009A4C6D"/>
    <w:rsid w:val="009A54B5"/>
    <w:rsid w:val="009A5C36"/>
    <w:rsid w:val="009A698E"/>
    <w:rsid w:val="009B03BB"/>
    <w:rsid w:val="009B0D56"/>
    <w:rsid w:val="009B0D5C"/>
    <w:rsid w:val="009B1ADE"/>
    <w:rsid w:val="009B1EB9"/>
    <w:rsid w:val="009B3800"/>
    <w:rsid w:val="009B5E71"/>
    <w:rsid w:val="009C0570"/>
    <w:rsid w:val="009C1701"/>
    <w:rsid w:val="009C4836"/>
    <w:rsid w:val="009C6F08"/>
    <w:rsid w:val="009D04C3"/>
    <w:rsid w:val="009D16EC"/>
    <w:rsid w:val="009D22AC"/>
    <w:rsid w:val="009D2C81"/>
    <w:rsid w:val="009D2EA8"/>
    <w:rsid w:val="009D3256"/>
    <w:rsid w:val="009D4565"/>
    <w:rsid w:val="009D47F9"/>
    <w:rsid w:val="009D50DB"/>
    <w:rsid w:val="009D6523"/>
    <w:rsid w:val="009D6DDC"/>
    <w:rsid w:val="009D7757"/>
    <w:rsid w:val="009E02C6"/>
    <w:rsid w:val="009E0498"/>
    <w:rsid w:val="009E13D5"/>
    <w:rsid w:val="009E1C4E"/>
    <w:rsid w:val="009E5847"/>
    <w:rsid w:val="009E7EC5"/>
    <w:rsid w:val="009F1424"/>
    <w:rsid w:val="009F1956"/>
    <w:rsid w:val="009F3A38"/>
    <w:rsid w:val="009F70A0"/>
    <w:rsid w:val="00A03923"/>
    <w:rsid w:val="00A048E3"/>
    <w:rsid w:val="00A05E0B"/>
    <w:rsid w:val="00A06720"/>
    <w:rsid w:val="00A06B7E"/>
    <w:rsid w:val="00A11132"/>
    <w:rsid w:val="00A12E95"/>
    <w:rsid w:val="00A1427D"/>
    <w:rsid w:val="00A16648"/>
    <w:rsid w:val="00A1680F"/>
    <w:rsid w:val="00A1695C"/>
    <w:rsid w:val="00A17EAC"/>
    <w:rsid w:val="00A20952"/>
    <w:rsid w:val="00A222DF"/>
    <w:rsid w:val="00A24376"/>
    <w:rsid w:val="00A25375"/>
    <w:rsid w:val="00A25A2F"/>
    <w:rsid w:val="00A25EB4"/>
    <w:rsid w:val="00A25F33"/>
    <w:rsid w:val="00A30427"/>
    <w:rsid w:val="00A30C1D"/>
    <w:rsid w:val="00A35724"/>
    <w:rsid w:val="00A35C03"/>
    <w:rsid w:val="00A36642"/>
    <w:rsid w:val="00A40580"/>
    <w:rsid w:val="00A418B2"/>
    <w:rsid w:val="00A449D1"/>
    <w:rsid w:val="00A450CC"/>
    <w:rsid w:val="00A4634F"/>
    <w:rsid w:val="00A50809"/>
    <w:rsid w:val="00A5112A"/>
    <w:rsid w:val="00A51CF3"/>
    <w:rsid w:val="00A5253D"/>
    <w:rsid w:val="00A52783"/>
    <w:rsid w:val="00A52A8E"/>
    <w:rsid w:val="00A53A46"/>
    <w:rsid w:val="00A55AE4"/>
    <w:rsid w:val="00A575B3"/>
    <w:rsid w:val="00A63E31"/>
    <w:rsid w:val="00A675A3"/>
    <w:rsid w:val="00A70989"/>
    <w:rsid w:val="00A71BDC"/>
    <w:rsid w:val="00A72411"/>
    <w:rsid w:val="00A72A3F"/>
    <w:rsid w:val="00A72F22"/>
    <w:rsid w:val="00A748A6"/>
    <w:rsid w:val="00A75B33"/>
    <w:rsid w:val="00A75E7E"/>
    <w:rsid w:val="00A76BCD"/>
    <w:rsid w:val="00A815A5"/>
    <w:rsid w:val="00A818D7"/>
    <w:rsid w:val="00A84CB1"/>
    <w:rsid w:val="00A870D7"/>
    <w:rsid w:val="00A879A4"/>
    <w:rsid w:val="00A87C57"/>
    <w:rsid w:val="00A87E95"/>
    <w:rsid w:val="00A90295"/>
    <w:rsid w:val="00A927D4"/>
    <w:rsid w:val="00A92E29"/>
    <w:rsid w:val="00A93FDF"/>
    <w:rsid w:val="00A943F4"/>
    <w:rsid w:val="00A95732"/>
    <w:rsid w:val="00A9664C"/>
    <w:rsid w:val="00AA010D"/>
    <w:rsid w:val="00AA261B"/>
    <w:rsid w:val="00AA3280"/>
    <w:rsid w:val="00AA51A9"/>
    <w:rsid w:val="00AA77C3"/>
    <w:rsid w:val="00AB0637"/>
    <w:rsid w:val="00AB0D8D"/>
    <w:rsid w:val="00AB1DCB"/>
    <w:rsid w:val="00AB337E"/>
    <w:rsid w:val="00AB59DB"/>
    <w:rsid w:val="00AB5EDA"/>
    <w:rsid w:val="00AB6A3C"/>
    <w:rsid w:val="00AB7889"/>
    <w:rsid w:val="00AC10FE"/>
    <w:rsid w:val="00AC1769"/>
    <w:rsid w:val="00AC18A4"/>
    <w:rsid w:val="00AC20AB"/>
    <w:rsid w:val="00AC33C1"/>
    <w:rsid w:val="00AC3EB0"/>
    <w:rsid w:val="00AC4028"/>
    <w:rsid w:val="00AC47ED"/>
    <w:rsid w:val="00AC5B28"/>
    <w:rsid w:val="00AC6460"/>
    <w:rsid w:val="00AC6C92"/>
    <w:rsid w:val="00AC7BB8"/>
    <w:rsid w:val="00AD09E9"/>
    <w:rsid w:val="00AD0B9B"/>
    <w:rsid w:val="00AD100E"/>
    <w:rsid w:val="00AD37F4"/>
    <w:rsid w:val="00AD52BA"/>
    <w:rsid w:val="00AD543B"/>
    <w:rsid w:val="00AD6EEB"/>
    <w:rsid w:val="00AE0668"/>
    <w:rsid w:val="00AE09AE"/>
    <w:rsid w:val="00AE30ED"/>
    <w:rsid w:val="00AE4B08"/>
    <w:rsid w:val="00AE63A9"/>
    <w:rsid w:val="00AE6B99"/>
    <w:rsid w:val="00AF0576"/>
    <w:rsid w:val="00AF2D1B"/>
    <w:rsid w:val="00AF3829"/>
    <w:rsid w:val="00B0331A"/>
    <w:rsid w:val="00B0335F"/>
    <w:rsid w:val="00B037F0"/>
    <w:rsid w:val="00B04229"/>
    <w:rsid w:val="00B047CF"/>
    <w:rsid w:val="00B05B1A"/>
    <w:rsid w:val="00B06F5B"/>
    <w:rsid w:val="00B0766A"/>
    <w:rsid w:val="00B07A5B"/>
    <w:rsid w:val="00B1020D"/>
    <w:rsid w:val="00B11F6C"/>
    <w:rsid w:val="00B143FC"/>
    <w:rsid w:val="00B1462F"/>
    <w:rsid w:val="00B216DB"/>
    <w:rsid w:val="00B2327D"/>
    <w:rsid w:val="00B2718F"/>
    <w:rsid w:val="00B30179"/>
    <w:rsid w:val="00B31DA4"/>
    <w:rsid w:val="00B3317B"/>
    <w:rsid w:val="00B334DC"/>
    <w:rsid w:val="00B33B53"/>
    <w:rsid w:val="00B34A22"/>
    <w:rsid w:val="00B35FDD"/>
    <w:rsid w:val="00B3631A"/>
    <w:rsid w:val="00B36A04"/>
    <w:rsid w:val="00B41A6A"/>
    <w:rsid w:val="00B429DF"/>
    <w:rsid w:val="00B43991"/>
    <w:rsid w:val="00B44ACA"/>
    <w:rsid w:val="00B45F09"/>
    <w:rsid w:val="00B53013"/>
    <w:rsid w:val="00B5317C"/>
    <w:rsid w:val="00B5563B"/>
    <w:rsid w:val="00B56415"/>
    <w:rsid w:val="00B564DF"/>
    <w:rsid w:val="00B5652A"/>
    <w:rsid w:val="00B606FF"/>
    <w:rsid w:val="00B60844"/>
    <w:rsid w:val="00B64575"/>
    <w:rsid w:val="00B654B7"/>
    <w:rsid w:val="00B6563C"/>
    <w:rsid w:val="00B67160"/>
    <w:rsid w:val="00B67288"/>
    <w:rsid w:val="00B67F5E"/>
    <w:rsid w:val="00B7232F"/>
    <w:rsid w:val="00B72772"/>
    <w:rsid w:val="00B73E65"/>
    <w:rsid w:val="00B802D5"/>
    <w:rsid w:val="00B80A99"/>
    <w:rsid w:val="00B80E5D"/>
    <w:rsid w:val="00B8144D"/>
    <w:rsid w:val="00B8198C"/>
    <w:rsid w:val="00B81CD6"/>
    <w:rsid w:val="00B81D2E"/>
    <w:rsid w:val="00B81E12"/>
    <w:rsid w:val="00B827FC"/>
    <w:rsid w:val="00B828FE"/>
    <w:rsid w:val="00B83097"/>
    <w:rsid w:val="00B8331D"/>
    <w:rsid w:val="00B867C8"/>
    <w:rsid w:val="00B86DCE"/>
    <w:rsid w:val="00B87110"/>
    <w:rsid w:val="00B8762C"/>
    <w:rsid w:val="00B876E4"/>
    <w:rsid w:val="00B87D97"/>
    <w:rsid w:val="00B87F70"/>
    <w:rsid w:val="00B9006D"/>
    <w:rsid w:val="00B91545"/>
    <w:rsid w:val="00B92E02"/>
    <w:rsid w:val="00B966D3"/>
    <w:rsid w:val="00B97FA8"/>
    <w:rsid w:val="00BA291A"/>
    <w:rsid w:val="00BA2B19"/>
    <w:rsid w:val="00BA364C"/>
    <w:rsid w:val="00BA6110"/>
    <w:rsid w:val="00BB0B42"/>
    <w:rsid w:val="00BB3AA5"/>
    <w:rsid w:val="00BB7BC1"/>
    <w:rsid w:val="00BC1385"/>
    <w:rsid w:val="00BC303E"/>
    <w:rsid w:val="00BC4C9A"/>
    <w:rsid w:val="00BC5C19"/>
    <w:rsid w:val="00BC6556"/>
    <w:rsid w:val="00BC6A77"/>
    <w:rsid w:val="00BC74E9"/>
    <w:rsid w:val="00BC7DCF"/>
    <w:rsid w:val="00BD0A3D"/>
    <w:rsid w:val="00BD742F"/>
    <w:rsid w:val="00BE0C2D"/>
    <w:rsid w:val="00BE20D6"/>
    <w:rsid w:val="00BE41F1"/>
    <w:rsid w:val="00BE5019"/>
    <w:rsid w:val="00BE54A7"/>
    <w:rsid w:val="00BE618E"/>
    <w:rsid w:val="00BF0432"/>
    <w:rsid w:val="00BF35D2"/>
    <w:rsid w:val="00BF4E10"/>
    <w:rsid w:val="00BF5E7E"/>
    <w:rsid w:val="00BF600F"/>
    <w:rsid w:val="00BF70B1"/>
    <w:rsid w:val="00BF7CCD"/>
    <w:rsid w:val="00C00067"/>
    <w:rsid w:val="00C0127E"/>
    <w:rsid w:val="00C01B91"/>
    <w:rsid w:val="00C031E3"/>
    <w:rsid w:val="00C036D7"/>
    <w:rsid w:val="00C049F9"/>
    <w:rsid w:val="00C05514"/>
    <w:rsid w:val="00C06AF4"/>
    <w:rsid w:val="00C06E8A"/>
    <w:rsid w:val="00C1020F"/>
    <w:rsid w:val="00C109CE"/>
    <w:rsid w:val="00C1133E"/>
    <w:rsid w:val="00C12158"/>
    <w:rsid w:val="00C12445"/>
    <w:rsid w:val="00C12644"/>
    <w:rsid w:val="00C13FE6"/>
    <w:rsid w:val="00C140BF"/>
    <w:rsid w:val="00C15AA7"/>
    <w:rsid w:val="00C168C2"/>
    <w:rsid w:val="00C21D80"/>
    <w:rsid w:val="00C24387"/>
    <w:rsid w:val="00C24693"/>
    <w:rsid w:val="00C25442"/>
    <w:rsid w:val="00C26008"/>
    <w:rsid w:val="00C27DE4"/>
    <w:rsid w:val="00C30AAD"/>
    <w:rsid w:val="00C31BE6"/>
    <w:rsid w:val="00C35444"/>
    <w:rsid w:val="00C35F0B"/>
    <w:rsid w:val="00C368B6"/>
    <w:rsid w:val="00C40002"/>
    <w:rsid w:val="00C42397"/>
    <w:rsid w:val="00C432EB"/>
    <w:rsid w:val="00C4450C"/>
    <w:rsid w:val="00C463DD"/>
    <w:rsid w:val="00C4727A"/>
    <w:rsid w:val="00C474B2"/>
    <w:rsid w:val="00C47719"/>
    <w:rsid w:val="00C477BF"/>
    <w:rsid w:val="00C50762"/>
    <w:rsid w:val="00C51FFF"/>
    <w:rsid w:val="00C5249F"/>
    <w:rsid w:val="00C5381C"/>
    <w:rsid w:val="00C55821"/>
    <w:rsid w:val="00C602E6"/>
    <w:rsid w:val="00C63220"/>
    <w:rsid w:val="00C64458"/>
    <w:rsid w:val="00C64D9F"/>
    <w:rsid w:val="00C66E8F"/>
    <w:rsid w:val="00C70337"/>
    <w:rsid w:val="00C7063A"/>
    <w:rsid w:val="00C72F08"/>
    <w:rsid w:val="00C745C3"/>
    <w:rsid w:val="00C75978"/>
    <w:rsid w:val="00C81EEA"/>
    <w:rsid w:val="00C84C58"/>
    <w:rsid w:val="00C8705D"/>
    <w:rsid w:val="00C87D17"/>
    <w:rsid w:val="00C93B0C"/>
    <w:rsid w:val="00C93DEC"/>
    <w:rsid w:val="00C93E05"/>
    <w:rsid w:val="00C95BF9"/>
    <w:rsid w:val="00C95FC7"/>
    <w:rsid w:val="00C9653F"/>
    <w:rsid w:val="00C96D0B"/>
    <w:rsid w:val="00C97AD4"/>
    <w:rsid w:val="00C97C61"/>
    <w:rsid w:val="00CA17FF"/>
    <w:rsid w:val="00CA18CB"/>
    <w:rsid w:val="00CA1EA1"/>
    <w:rsid w:val="00CA23BA"/>
    <w:rsid w:val="00CA2A58"/>
    <w:rsid w:val="00CA3B66"/>
    <w:rsid w:val="00CA4835"/>
    <w:rsid w:val="00CB108D"/>
    <w:rsid w:val="00CB1301"/>
    <w:rsid w:val="00CB30A9"/>
    <w:rsid w:val="00CB44AF"/>
    <w:rsid w:val="00CB4899"/>
    <w:rsid w:val="00CB6776"/>
    <w:rsid w:val="00CB717B"/>
    <w:rsid w:val="00CC0B55"/>
    <w:rsid w:val="00CC0EA7"/>
    <w:rsid w:val="00CC1699"/>
    <w:rsid w:val="00CC16D2"/>
    <w:rsid w:val="00CC3BB3"/>
    <w:rsid w:val="00CC4256"/>
    <w:rsid w:val="00CC63C5"/>
    <w:rsid w:val="00CC74E4"/>
    <w:rsid w:val="00CD1222"/>
    <w:rsid w:val="00CD1A3E"/>
    <w:rsid w:val="00CD4794"/>
    <w:rsid w:val="00CD6870"/>
    <w:rsid w:val="00CD6995"/>
    <w:rsid w:val="00CE0889"/>
    <w:rsid w:val="00CE339E"/>
    <w:rsid w:val="00CE3572"/>
    <w:rsid w:val="00CE3D86"/>
    <w:rsid w:val="00CE4A8F"/>
    <w:rsid w:val="00CE56FA"/>
    <w:rsid w:val="00CE5B6D"/>
    <w:rsid w:val="00CE612A"/>
    <w:rsid w:val="00CF0214"/>
    <w:rsid w:val="00CF0230"/>
    <w:rsid w:val="00CF023F"/>
    <w:rsid w:val="00CF04AC"/>
    <w:rsid w:val="00CF1C8D"/>
    <w:rsid w:val="00CF29AD"/>
    <w:rsid w:val="00CF586F"/>
    <w:rsid w:val="00CF7090"/>
    <w:rsid w:val="00CF7D43"/>
    <w:rsid w:val="00D013C4"/>
    <w:rsid w:val="00D10CF0"/>
    <w:rsid w:val="00D10F72"/>
    <w:rsid w:val="00D11129"/>
    <w:rsid w:val="00D11C59"/>
    <w:rsid w:val="00D121A0"/>
    <w:rsid w:val="00D125B9"/>
    <w:rsid w:val="00D12EB0"/>
    <w:rsid w:val="00D170C9"/>
    <w:rsid w:val="00D2031B"/>
    <w:rsid w:val="00D204F0"/>
    <w:rsid w:val="00D20528"/>
    <w:rsid w:val="00D213E4"/>
    <w:rsid w:val="00D217C1"/>
    <w:rsid w:val="00D21D58"/>
    <w:rsid w:val="00D22133"/>
    <w:rsid w:val="00D22332"/>
    <w:rsid w:val="00D226FD"/>
    <w:rsid w:val="00D22750"/>
    <w:rsid w:val="00D2480C"/>
    <w:rsid w:val="00D25FE2"/>
    <w:rsid w:val="00D260A1"/>
    <w:rsid w:val="00D262BB"/>
    <w:rsid w:val="00D27173"/>
    <w:rsid w:val="00D2784D"/>
    <w:rsid w:val="00D30A6F"/>
    <w:rsid w:val="00D30CBA"/>
    <w:rsid w:val="00D324D7"/>
    <w:rsid w:val="00D40DD7"/>
    <w:rsid w:val="00D42BD7"/>
    <w:rsid w:val="00D43252"/>
    <w:rsid w:val="00D44A78"/>
    <w:rsid w:val="00D44F7A"/>
    <w:rsid w:val="00D4698F"/>
    <w:rsid w:val="00D46E3B"/>
    <w:rsid w:val="00D521AD"/>
    <w:rsid w:val="00D53916"/>
    <w:rsid w:val="00D550F9"/>
    <w:rsid w:val="00D5642F"/>
    <w:rsid w:val="00D56DD5"/>
    <w:rsid w:val="00D572B0"/>
    <w:rsid w:val="00D60FB3"/>
    <w:rsid w:val="00D62E90"/>
    <w:rsid w:val="00D63645"/>
    <w:rsid w:val="00D639C0"/>
    <w:rsid w:val="00D653EC"/>
    <w:rsid w:val="00D66094"/>
    <w:rsid w:val="00D731EE"/>
    <w:rsid w:val="00D75E2B"/>
    <w:rsid w:val="00D760FD"/>
    <w:rsid w:val="00D76194"/>
    <w:rsid w:val="00D76BE5"/>
    <w:rsid w:val="00D76FA7"/>
    <w:rsid w:val="00D770C8"/>
    <w:rsid w:val="00D80F76"/>
    <w:rsid w:val="00D83E25"/>
    <w:rsid w:val="00D85DEA"/>
    <w:rsid w:val="00D87D60"/>
    <w:rsid w:val="00D904F8"/>
    <w:rsid w:val="00D908A7"/>
    <w:rsid w:val="00D92ACA"/>
    <w:rsid w:val="00D96867"/>
    <w:rsid w:val="00D978C6"/>
    <w:rsid w:val="00DA0446"/>
    <w:rsid w:val="00DA1BB5"/>
    <w:rsid w:val="00DA4286"/>
    <w:rsid w:val="00DA42EA"/>
    <w:rsid w:val="00DA5A39"/>
    <w:rsid w:val="00DA67AD"/>
    <w:rsid w:val="00DA7A2F"/>
    <w:rsid w:val="00DB0109"/>
    <w:rsid w:val="00DB1569"/>
    <w:rsid w:val="00DB18CE"/>
    <w:rsid w:val="00DB325C"/>
    <w:rsid w:val="00DB36F8"/>
    <w:rsid w:val="00DB3B09"/>
    <w:rsid w:val="00DB4FCF"/>
    <w:rsid w:val="00DB556B"/>
    <w:rsid w:val="00DC1CC3"/>
    <w:rsid w:val="00DC21CE"/>
    <w:rsid w:val="00DC4D99"/>
    <w:rsid w:val="00DC6ED3"/>
    <w:rsid w:val="00DC6EDC"/>
    <w:rsid w:val="00DC7371"/>
    <w:rsid w:val="00DD1536"/>
    <w:rsid w:val="00DD29F4"/>
    <w:rsid w:val="00DD33F3"/>
    <w:rsid w:val="00DD4421"/>
    <w:rsid w:val="00DD5DE9"/>
    <w:rsid w:val="00DD6A17"/>
    <w:rsid w:val="00DE0BAB"/>
    <w:rsid w:val="00DE2A0F"/>
    <w:rsid w:val="00DE30B8"/>
    <w:rsid w:val="00DE3348"/>
    <w:rsid w:val="00DE3824"/>
    <w:rsid w:val="00DE3C60"/>
    <w:rsid w:val="00DE3EC0"/>
    <w:rsid w:val="00DE4742"/>
    <w:rsid w:val="00DE5419"/>
    <w:rsid w:val="00DE6F6D"/>
    <w:rsid w:val="00DF07C5"/>
    <w:rsid w:val="00DF21F3"/>
    <w:rsid w:val="00DF3104"/>
    <w:rsid w:val="00DF56FE"/>
    <w:rsid w:val="00DF77F5"/>
    <w:rsid w:val="00DF7FCC"/>
    <w:rsid w:val="00E02296"/>
    <w:rsid w:val="00E03815"/>
    <w:rsid w:val="00E05BD1"/>
    <w:rsid w:val="00E06177"/>
    <w:rsid w:val="00E065F2"/>
    <w:rsid w:val="00E0677A"/>
    <w:rsid w:val="00E07C8D"/>
    <w:rsid w:val="00E07D23"/>
    <w:rsid w:val="00E07E6F"/>
    <w:rsid w:val="00E11593"/>
    <w:rsid w:val="00E12B6B"/>
    <w:rsid w:val="00E130AB"/>
    <w:rsid w:val="00E137D1"/>
    <w:rsid w:val="00E143E3"/>
    <w:rsid w:val="00E15A26"/>
    <w:rsid w:val="00E1789D"/>
    <w:rsid w:val="00E201B4"/>
    <w:rsid w:val="00E2038D"/>
    <w:rsid w:val="00E204B2"/>
    <w:rsid w:val="00E2176C"/>
    <w:rsid w:val="00E22043"/>
    <w:rsid w:val="00E2511F"/>
    <w:rsid w:val="00E26A8A"/>
    <w:rsid w:val="00E30414"/>
    <w:rsid w:val="00E32525"/>
    <w:rsid w:val="00E352B0"/>
    <w:rsid w:val="00E37C89"/>
    <w:rsid w:val="00E438D9"/>
    <w:rsid w:val="00E43F92"/>
    <w:rsid w:val="00E45574"/>
    <w:rsid w:val="00E505D4"/>
    <w:rsid w:val="00E50700"/>
    <w:rsid w:val="00E5174F"/>
    <w:rsid w:val="00E52FA4"/>
    <w:rsid w:val="00E54111"/>
    <w:rsid w:val="00E54DC9"/>
    <w:rsid w:val="00E54E30"/>
    <w:rsid w:val="00E5644E"/>
    <w:rsid w:val="00E56E7E"/>
    <w:rsid w:val="00E5769C"/>
    <w:rsid w:val="00E60C7D"/>
    <w:rsid w:val="00E62290"/>
    <w:rsid w:val="00E65167"/>
    <w:rsid w:val="00E667F4"/>
    <w:rsid w:val="00E676D9"/>
    <w:rsid w:val="00E67BAD"/>
    <w:rsid w:val="00E67DE0"/>
    <w:rsid w:val="00E7260F"/>
    <w:rsid w:val="00E734C0"/>
    <w:rsid w:val="00E739A1"/>
    <w:rsid w:val="00E73C32"/>
    <w:rsid w:val="00E806EE"/>
    <w:rsid w:val="00E809ED"/>
    <w:rsid w:val="00E84655"/>
    <w:rsid w:val="00E85CCE"/>
    <w:rsid w:val="00E85FE8"/>
    <w:rsid w:val="00E86A7D"/>
    <w:rsid w:val="00E9135E"/>
    <w:rsid w:val="00E96630"/>
    <w:rsid w:val="00E9704D"/>
    <w:rsid w:val="00E9706E"/>
    <w:rsid w:val="00EA145B"/>
    <w:rsid w:val="00EA2085"/>
    <w:rsid w:val="00EA484E"/>
    <w:rsid w:val="00EA5488"/>
    <w:rsid w:val="00EA6056"/>
    <w:rsid w:val="00EA76FA"/>
    <w:rsid w:val="00EB01FB"/>
    <w:rsid w:val="00EB0FB9"/>
    <w:rsid w:val="00EB2D09"/>
    <w:rsid w:val="00EB3278"/>
    <w:rsid w:val="00EB5E46"/>
    <w:rsid w:val="00EB67FD"/>
    <w:rsid w:val="00EB6B27"/>
    <w:rsid w:val="00EB71C1"/>
    <w:rsid w:val="00EC209B"/>
    <w:rsid w:val="00EC243B"/>
    <w:rsid w:val="00EC27B8"/>
    <w:rsid w:val="00EC37D8"/>
    <w:rsid w:val="00EC3954"/>
    <w:rsid w:val="00EC400C"/>
    <w:rsid w:val="00EC5EEE"/>
    <w:rsid w:val="00EC6486"/>
    <w:rsid w:val="00EC70B9"/>
    <w:rsid w:val="00EC7EAD"/>
    <w:rsid w:val="00EC7ECF"/>
    <w:rsid w:val="00ED0CA9"/>
    <w:rsid w:val="00ED1918"/>
    <w:rsid w:val="00ED199B"/>
    <w:rsid w:val="00ED2985"/>
    <w:rsid w:val="00ED3296"/>
    <w:rsid w:val="00ED448C"/>
    <w:rsid w:val="00ED5289"/>
    <w:rsid w:val="00ED5928"/>
    <w:rsid w:val="00ED612F"/>
    <w:rsid w:val="00ED6208"/>
    <w:rsid w:val="00ED75CB"/>
    <w:rsid w:val="00ED7A2A"/>
    <w:rsid w:val="00EE1913"/>
    <w:rsid w:val="00EE2C29"/>
    <w:rsid w:val="00EE2D11"/>
    <w:rsid w:val="00EE47CC"/>
    <w:rsid w:val="00EE531B"/>
    <w:rsid w:val="00EE5C71"/>
    <w:rsid w:val="00EF0D0A"/>
    <w:rsid w:val="00EF1D7F"/>
    <w:rsid w:val="00EF2309"/>
    <w:rsid w:val="00EF3E06"/>
    <w:rsid w:val="00EF5859"/>
    <w:rsid w:val="00EF5BDB"/>
    <w:rsid w:val="00EF5ED7"/>
    <w:rsid w:val="00EF62C2"/>
    <w:rsid w:val="00F01C1A"/>
    <w:rsid w:val="00F02B43"/>
    <w:rsid w:val="00F03C58"/>
    <w:rsid w:val="00F04859"/>
    <w:rsid w:val="00F0641F"/>
    <w:rsid w:val="00F079DC"/>
    <w:rsid w:val="00F07FD9"/>
    <w:rsid w:val="00F11722"/>
    <w:rsid w:val="00F12D76"/>
    <w:rsid w:val="00F14539"/>
    <w:rsid w:val="00F174B0"/>
    <w:rsid w:val="00F210DB"/>
    <w:rsid w:val="00F21DFB"/>
    <w:rsid w:val="00F22FA9"/>
    <w:rsid w:val="00F23933"/>
    <w:rsid w:val="00F23B7A"/>
    <w:rsid w:val="00F24119"/>
    <w:rsid w:val="00F25238"/>
    <w:rsid w:val="00F256E4"/>
    <w:rsid w:val="00F25EB6"/>
    <w:rsid w:val="00F30BBB"/>
    <w:rsid w:val="00F318D9"/>
    <w:rsid w:val="00F32266"/>
    <w:rsid w:val="00F32D5B"/>
    <w:rsid w:val="00F3468D"/>
    <w:rsid w:val="00F35154"/>
    <w:rsid w:val="00F352A6"/>
    <w:rsid w:val="00F352E8"/>
    <w:rsid w:val="00F361E5"/>
    <w:rsid w:val="00F37298"/>
    <w:rsid w:val="00F377EF"/>
    <w:rsid w:val="00F40891"/>
    <w:rsid w:val="00F40E75"/>
    <w:rsid w:val="00F411FC"/>
    <w:rsid w:val="00F41D02"/>
    <w:rsid w:val="00F42CD9"/>
    <w:rsid w:val="00F42D32"/>
    <w:rsid w:val="00F44190"/>
    <w:rsid w:val="00F454B6"/>
    <w:rsid w:val="00F45C79"/>
    <w:rsid w:val="00F467E0"/>
    <w:rsid w:val="00F47C1D"/>
    <w:rsid w:val="00F52936"/>
    <w:rsid w:val="00F5360F"/>
    <w:rsid w:val="00F54BB4"/>
    <w:rsid w:val="00F5562B"/>
    <w:rsid w:val="00F5639F"/>
    <w:rsid w:val="00F618F9"/>
    <w:rsid w:val="00F621F0"/>
    <w:rsid w:val="00F63CB4"/>
    <w:rsid w:val="00F66792"/>
    <w:rsid w:val="00F677CB"/>
    <w:rsid w:val="00F721A8"/>
    <w:rsid w:val="00F72E86"/>
    <w:rsid w:val="00F73FA8"/>
    <w:rsid w:val="00F740C4"/>
    <w:rsid w:val="00F74C66"/>
    <w:rsid w:val="00F7614B"/>
    <w:rsid w:val="00F80CE4"/>
    <w:rsid w:val="00F823CC"/>
    <w:rsid w:val="00F8272C"/>
    <w:rsid w:val="00F83460"/>
    <w:rsid w:val="00F83E45"/>
    <w:rsid w:val="00F850ED"/>
    <w:rsid w:val="00F86942"/>
    <w:rsid w:val="00F87889"/>
    <w:rsid w:val="00F8794D"/>
    <w:rsid w:val="00F90AD1"/>
    <w:rsid w:val="00F93032"/>
    <w:rsid w:val="00F947A3"/>
    <w:rsid w:val="00F97178"/>
    <w:rsid w:val="00F975A6"/>
    <w:rsid w:val="00FA1B4B"/>
    <w:rsid w:val="00FA2F98"/>
    <w:rsid w:val="00FA4315"/>
    <w:rsid w:val="00FA4469"/>
    <w:rsid w:val="00FA5007"/>
    <w:rsid w:val="00FA67BD"/>
    <w:rsid w:val="00FA72FA"/>
    <w:rsid w:val="00FA7DF3"/>
    <w:rsid w:val="00FB2129"/>
    <w:rsid w:val="00FB253D"/>
    <w:rsid w:val="00FB4C78"/>
    <w:rsid w:val="00FB5DB1"/>
    <w:rsid w:val="00FB736C"/>
    <w:rsid w:val="00FB73CB"/>
    <w:rsid w:val="00FC274B"/>
    <w:rsid w:val="00FC27FB"/>
    <w:rsid w:val="00FC49BE"/>
    <w:rsid w:val="00FC4CB1"/>
    <w:rsid w:val="00FC6560"/>
    <w:rsid w:val="00FC68B7"/>
    <w:rsid w:val="00FD1DBF"/>
    <w:rsid w:val="00FD2FFA"/>
    <w:rsid w:val="00FD51AB"/>
    <w:rsid w:val="00FD62B5"/>
    <w:rsid w:val="00FD645E"/>
    <w:rsid w:val="00FD7C12"/>
    <w:rsid w:val="00FE36C1"/>
    <w:rsid w:val="00FE4B7A"/>
    <w:rsid w:val="00FE502A"/>
    <w:rsid w:val="00FE624F"/>
    <w:rsid w:val="00FE7635"/>
    <w:rsid w:val="00FF04A0"/>
    <w:rsid w:val="00FF1268"/>
    <w:rsid w:val="00FF19EB"/>
    <w:rsid w:val="00FF354B"/>
    <w:rsid w:val="00FF549F"/>
    <w:rsid w:val="00FF63A3"/>
    <w:rsid w:val="00FF750A"/>
    <w:rsid w:val="00FF7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66"/>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s refss,Footnote Ref,16 Point,Superscript 6 Point,Appel note de bas de p.,[0]"/>
    <w:uiPriority w:val="99"/>
    <w:qFormat/>
    <w:rsid w:val="00723C5D"/>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fn,single space,Footnote Text Char1 Char,Footnote Text Char Char Char,Footnote Text Char Char,Footnote Text Char1 Char Char Char Char,Footnote Text Char Char Char Char,Footnote Text Char Char1,Char Char,ft,FA Fu,f"/>
    <w:basedOn w:val="Normal"/>
    <w:link w:val="FootnoteTextChar"/>
    <w:qFormat/>
    <w:rsid w:val="00723C5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E36C1"/>
    <w:rPr>
      <w:lang w:eastAsia="en-US"/>
    </w:rPr>
  </w:style>
  <w:style w:type="character" w:customStyle="1" w:styleId="H1GChar">
    <w:name w:val="_ H_1_G Char"/>
    <w:link w:val="H1G"/>
    <w:rsid w:val="00075EF7"/>
    <w:rPr>
      <w:b/>
      <w:sz w:val="24"/>
      <w:lang w:eastAsia="en-US"/>
    </w:rPr>
  </w:style>
  <w:style w:type="character" w:customStyle="1" w:styleId="FootnoteTextChar">
    <w:name w:val="Footnote Text Char"/>
    <w:aliases w:val="5_G Char,FOOTNOTES Char,fn Char,single space Char,Footnote Text Char1 Char Char,Footnote Text Char Char Char Char1,Footnote Text Char Char Char1,Footnote Text Char1 Char Char Char Char Char,Footnote Text Char Char Char Char Char"/>
    <w:link w:val="FootnoteText"/>
    <w:uiPriority w:val="99"/>
    <w:rsid w:val="00C00067"/>
    <w:rPr>
      <w:rFonts w:eastAsia="SimSun"/>
      <w:sz w:val="18"/>
    </w:rPr>
  </w:style>
  <w:style w:type="paragraph" w:styleId="BalloonText">
    <w:name w:val="Balloon Text"/>
    <w:basedOn w:val="Normal"/>
    <w:link w:val="BalloonTextChar"/>
    <w:rsid w:val="00E86A7D"/>
    <w:pPr>
      <w:spacing w:line="240" w:lineRule="auto"/>
    </w:pPr>
    <w:rPr>
      <w:rFonts w:ascii="Tahoma" w:hAnsi="Tahoma" w:cs="Tahoma"/>
      <w:sz w:val="16"/>
      <w:szCs w:val="16"/>
    </w:rPr>
  </w:style>
  <w:style w:type="character" w:customStyle="1" w:styleId="BalloonTextChar">
    <w:name w:val="Balloon Text Char"/>
    <w:link w:val="BalloonText"/>
    <w:uiPriority w:val="99"/>
    <w:rsid w:val="00E86A7D"/>
    <w:rPr>
      <w:rFonts w:ascii="Tahoma" w:hAnsi="Tahoma" w:cs="Tahoma"/>
      <w:sz w:val="16"/>
      <w:szCs w:val="16"/>
      <w:lang w:eastAsia="en-US"/>
    </w:rPr>
  </w:style>
  <w:style w:type="character" w:styleId="CommentReference">
    <w:name w:val="annotation reference"/>
    <w:uiPriority w:val="99"/>
    <w:unhideWhenUsed/>
    <w:rsid w:val="003C7984"/>
    <w:rPr>
      <w:sz w:val="18"/>
      <w:szCs w:val="18"/>
    </w:rPr>
  </w:style>
  <w:style w:type="paragraph" w:styleId="CommentText">
    <w:name w:val="annotation text"/>
    <w:basedOn w:val="Normal"/>
    <w:link w:val="CommentTextChar"/>
    <w:uiPriority w:val="99"/>
    <w:unhideWhenUsed/>
    <w:rsid w:val="003C7984"/>
    <w:pPr>
      <w:suppressAutoHyphens w:val="0"/>
      <w:spacing w:after="160" w:line="240" w:lineRule="auto"/>
    </w:pPr>
    <w:rPr>
      <w:rFonts w:ascii="Calibri" w:eastAsia="Calibri" w:hAnsi="Calibri" w:cs="Arial"/>
      <w:sz w:val="24"/>
      <w:szCs w:val="24"/>
      <w:lang w:val="en-US"/>
    </w:rPr>
  </w:style>
  <w:style w:type="character" w:customStyle="1" w:styleId="CommentTextChar">
    <w:name w:val="Comment Text Char"/>
    <w:link w:val="CommentText"/>
    <w:uiPriority w:val="99"/>
    <w:rsid w:val="003C7984"/>
    <w:rPr>
      <w:rFonts w:ascii="Calibri" w:eastAsia="Calibri" w:hAnsi="Calibri" w:cs="Arial"/>
      <w:sz w:val="24"/>
      <w:szCs w:val="24"/>
      <w:lang w:val="en-US" w:eastAsia="en-US"/>
    </w:rPr>
  </w:style>
  <w:style w:type="character" w:customStyle="1" w:styleId="apple-converted-space">
    <w:name w:val="apple-converted-space"/>
    <w:rsid w:val="00444A12"/>
  </w:style>
  <w:style w:type="paragraph" w:customStyle="1" w:styleId="LightGrid-Accent31">
    <w:name w:val="Light Grid - Accent 31"/>
    <w:basedOn w:val="Normal"/>
    <w:uiPriority w:val="34"/>
    <w:qFormat/>
    <w:rsid w:val="00B35FDD"/>
    <w:pPr>
      <w:ind w:left="567"/>
    </w:pPr>
  </w:style>
  <w:style w:type="paragraph" w:styleId="CommentSubject">
    <w:name w:val="annotation subject"/>
    <w:basedOn w:val="CommentText"/>
    <w:next w:val="CommentText"/>
    <w:link w:val="CommentSubjectChar"/>
    <w:rsid w:val="008C2DEC"/>
    <w:pPr>
      <w:suppressAutoHyphens/>
      <w:spacing w:after="0" w:line="240" w:lineRule="atLeast"/>
    </w:pPr>
    <w:rPr>
      <w:rFonts w:ascii="Times New Roman" w:eastAsia="Times New Roman" w:hAnsi="Times New Roman" w:cs="Times New Roman"/>
      <w:b/>
      <w:bCs/>
      <w:sz w:val="20"/>
      <w:szCs w:val="20"/>
      <w:lang w:val="en-GB"/>
    </w:rPr>
  </w:style>
  <w:style w:type="character" w:customStyle="1" w:styleId="CommentSubjectChar">
    <w:name w:val="Comment Subject Char"/>
    <w:link w:val="CommentSubject"/>
    <w:rsid w:val="008C2DEC"/>
    <w:rPr>
      <w:rFonts w:ascii="Calibri" w:eastAsia="Calibri" w:hAnsi="Calibri" w:cs="Arial"/>
      <w:b/>
      <w:bCs/>
      <w:sz w:val="24"/>
      <w:szCs w:val="24"/>
      <w:lang w:val="en-US" w:eastAsia="en-US"/>
    </w:rPr>
  </w:style>
  <w:style w:type="paragraph" w:customStyle="1" w:styleId="LightList-Accent31">
    <w:name w:val="Light List - Accent 31"/>
    <w:hidden/>
    <w:uiPriority w:val="99"/>
    <w:semiHidden/>
    <w:rsid w:val="008C2DEC"/>
    <w:rPr>
      <w:lang w:eastAsia="en-US"/>
    </w:rPr>
  </w:style>
  <w:style w:type="character" w:customStyle="1" w:styleId="st">
    <w:name w:val="st"/>
    <w:rsid w:val="00450EBD"/>
  </w:style>
  <w:style w:type="paragraph" w:customStyle="1" w:styleId="Default">
    <w:name w:val="Default"/>
    <w:rsid w:val="00145838"/>
    <w:pPr>
      <w:autoSpaceDE w:val="0"/>
      <w:autoSpaceDN w:val="0"/>
      <w:adjustRightInd w:val="0"/>
    </w:pPr>
    <w:rPr>
      <w:rFonts w:eastAsia="Calibri"/>
      <w:color w:val="000000"/>
      <w:sz w:val="24"/>
      <w:szCs w:val="24"/>
      <w:lang w:val="en-US" w:eastAsia="en-US"/>
    </w:rPr>
  </w:style>
  <w:style w:type="character" w:customStyle="1" w:styleId="HChGChar">
    <w:name w:val="_ H _Ch_G Char"/>
    <w:link w:val="HChG"/>
    <w:rsid w:val="00425857"/>
    <w:rPr>
      <w:b/>
      <w:sz w:val="28"/>
      <w:lang w:eastAsia="en-US"/>
    </w:rPr>
  </w:style>
  <w:style w:type="numbering" w:customStyle="1" w:styleId="List0">
    <w:name w:val="List 0"/>
    <w:basedOn w:val="NoList"/>
    <w:rsid w:val="00B7232F"/>
    <w:pPr>
      <w:numPr>
        <w:numId w:val="6"/>
      </w:numPr>
    </w:pPr>
  </w:style>
  <w:style w:type="paragraph" w:customStyle="1" w:styleId="Reportnormal">
    <w:name w:val="Report normal"/>
    <w:rsid w:val="00B7232F"/>
    <w:pPr>
      <w:pBdr>
        <w:top w:val="nil"/>
        <w:left w:val="nil"/>
        <w:bottom w:val="nil"/>
        <w:right w:val="nil"/>
        <w:between w:val="nil"/>
        <w:bar w:val="nil"/>
      </w:pBdr>
      <w:tabs>
        <w:tab w:val="left" w:pos="567"/>
      </w:tabs>
      <w:spacing w:after="120"/>
      <w:jc w:val="both"/>
    </w:pPr>
    <w:rPr>
      <w:rFonts w:eastAsia="Arial Unicode MS" w:hAnsi="Arial Unicode MS" w:cs="Arial Unicode MS"/>
      <w:color w:val="000000"/>
      <w:sz w:val="22"/>
      <w:szCs w:val="22"/>
      <w:u w:color="000000"/>
      <w:bdr w:val="nil"/>
      <w:lang w:val="en-US"/>
    </w:rPr>
  </w:style>
  <w:style w:type="character" w:customStyle="1" w:styleId="A6">
    <w:name w:val="A6"/>
    <w:uiPriority w:val="99"/>
    <w:rsid w:val="007334B3"/>
    <w:rPr>
      <w:rFonts w:cs="Lato Black"/>
      <w:b/>
      <w:bCs/>
      <w:color w:val="00B0B4"/>
      <w:sz w:val="28"/>
      <w:szCs w:val="28"/>
    </w:rPr>
  </w:style>
  <w:style w:type="paragraph" w:styleId="ListParagraph">
    <w:name w:val="List Paragraph"/>
    <w:basedOn w:val="Normal"/>
    <w:uiPriority w:val="34"/>
    <w:qFormat/>
    <w:rsid w:val="007334B3"/>
    <w:pPr>
      <w:ind w:left="720"/>
    </w:pPr>
  </w:style>
  <w:style w:type="paragraph" w:customStyle="1" w:styleId="Pa6">
    <w:name w:val="Pa6"/>
    <w:basedOn w:val="Default"/>
    <w:next w:val="Default"/>
    <w:uiPriority w:val="99"/>
    <w:rsid w:val="00BC6556"/>
    <w:pPr>
      <w:spacing w:line="201" w:lineRule="atLeast"/>
    </w:pPr>
    <w:rPr>
      <w:rFonts w:ascii="Lato" w:eastAsia="Times New Roman" w:hAnsi="Lato"/>
      <w:color w:val="auto"/>
    </w:rPr>
  </w:style>
  <w:style w:type="character" w:customStyle="1" w:styleId="A15">
    <w:name w:val="A15"/>
    <w:uiPriority w:val="99"/>
    <w:rsid w:val="00BC6556"/>
    <w:rPr>
      <w:rFonts w:cs="Lato"/>
      <w:color w:val="2A353E"/>
      <w:sz w:val="11"/>
      <w:szCs w:val="11"/>
    </w:rPr>
  </w:style>
  <w:style w:type="paragraph" w:customStyle="1" w:styleId="Pa1">
    <w:name w:val="Pa1"/>
    <w:basedOn w:val="Default"/>
    <w:next w:val="Default"/>
    <w:uiPriority w:val="99"/>
    <w:rsid w:val="00BC6556"/>
    <w:pPr>
      <w:spacing w:line="241" w:lineRule="atLeast"/>
    </w:pPr>
    <w:rPr>
      <w:rFonts w:ascii="Lato" w:eastAsia="Times New Roman" w:hAnsi="Lato"/>
      <w:color w:val="auto"/>
    </w:rPr>
  </w:style>
  <w:style w:type="character" w:customStyle="1" w:styleId="A13">
    <w:name w:val="A13"/>
    <w:uiPriority w:val="99"/>
    <w:rsid w:val="00BC6556"/>
    <w:rPr>
      <w:rFonts w:cs="Lato"/>
      <w:b/>
      <w:bCs/>
      <w:color w:val="2A353E"/>
      <w:sz w:val="20"/>
      <w:szCs w:val="20"/>
    </w:rPr>
  </w:style>
  <w:style w:type="character" w:customStyle="1" w:styleId="A0">
    <w:name w:val="A0"/>
    <w:uiPriority w:val="99"/>
    <w:rsid w:val="00BC6556"/>
    <w:rPr>
      <w:rFonts w:cs="Lato"/>
      <w:b/>
      <w:bCs/>
      <w:color w:val="7D8189"/>
      <w:sz w:val="18"/>
      <w:szCs w:val="18"/>
    </w:rPr>
  </w:style>
  <w:style w:type="paragraph" w:customStyle="1" w:styleId="Body">
    <w:name w:val="Body"/>
    <w:rsid w:val="00660AC3"/>
    <w:pPr>
      <w:pBdr>
        <w:top w:val="nil"/>
        <w:left w:val="nil"/>
        <w:bottom w:val="nil"/>
        <w:right w:val="nil"/>
        <w:between w:val="nil"/>
        <w:bar w:val="nil"/>
      </w:pBdr>
      <w:spacing w:after="200" w:line="276" w:lineRule="auto"/>
    </w:pPr>
    <w:rPr>
      <w:rFonts w:ascii="Cambria" w:eastAsia="Cambria" w:hAnsi="Cambria" w:cs="Cambria"/>
      <w:color w:val="000000"/>
      <w:sz w:val="22"/>
      <w:szCs w:val="22"/>
      <w:u w:color="000000"/>
      <w:bdr w:val="nil"/>
    </w:rPr>
  </w:style>
  <w:style w:type="character" w:styleId="Emphasis">
    <w:name w:val="Emphasis"/>
    <w:uiPriority w:val="20"/>
    <w:qFormat/>
    <w:rsid w:val="00001737"/>
    <w:rPr>
      <w:i/>
      <w:iCs/>
    </w:rPr>
  </w:style>
  <w:style w:type="character" w:customStyle="1" w:styleId="BalloonTextChar1">
    <w:name w:val="Balloon Text Char1"/>
    <w:rsid w:val="00B9154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66"/>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s refss,Footnote Ref,16 Point,Superscript 6 Point,Appel note de bas de p.,[0]"/>
    <w:uiPriority w:val="99"/>
    <w:qFormat/>
    <w:rsid w:val="00723C5D"/>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fn,single space,Footnote Text Char1 Char,Footnote Text Char Char Char,Footnote Text Char Char,Footnote Text Char1 Char Char Char Char,Footnote Text Char Char Char Char,Footnote Text Char Char1,Char Char,ft,FA Fu,f"/>
    <w:basedOn w:val="Normal"/>
    <w:link w:val="FootnoteTextChar"/>
    <w:qFormat/>
    <w:rsid w:val="00723C5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E36C1"/>
    <w:rPr>
      <w:lang w:eastAsia="en-US"/>
    </w:rPr>
  </w:style>
  <w:style w:type="character" w:customStyle="1" w:styleId="H1GChar">
    <w:name w:val="_ H_1_G Char"/>
    <w:link w:val="H1G"/>
    <w:rsid w:val="00075EF7"/>
    <w:rPr>
      <w:b/>
      <w:sz w:val="24"/>
      <w:lang w:eastAsia="en-US"/>
    </w:rPr>
  </w:style>
  <w:style w:type="character" w:customStyle="1" w:styleId="FootnoteTextChar">
    <w:name w:val="Footnote Text Char"/>
    <w:aliases w:val="5_G Char,FOOTNOTES Char,fn Char,single space Char,Footnote Text Char1 Char Char,Footnote Text Char Char Char Char1,Footnote Text Char Char Char1,Footnote Text Char1 Char Char Char Char Char,Footnote Text Char Char Char Char Char"/>
    <w:link w:val="FootnoteText"/>
    <w:uiPriority w:val="99"/>
    <w:rsid w:val="00C00067"/>
    <w:rPr>
      <w:rFonts w:eastAsia="SimSun"/>
      <w:sz w:val="18"/>
    </w:rPr>
  </w:style>
  <w:style w:type="paragraph" w:styleId="BalloonText">
    <w:name w:val="Balloon Text"/>
    <w:basedOn w:val="Normal"/>
    <w:link w:val="BalloonTextChar"/>
    <w:rsid w:val="00E86A7D"/>
    <w:pPr>
      <w:spacing w:line="240" w:lineRule="auto"/>
    </w:pPr>
    <w:rPr>
      <w:rFonts w:ascii="Tahoma" w:hAnsi="Tahoma" w:cs="Tahoma"/>
      <w:sz w:val="16"/>
      <w:szCs w:val="16"/>
    </w:rPr>
  </w:style>
  <w:style w:type="character" w:customStyle="1" w:styleId="BalloonTextChar">
    <w:name w:val="Balloon Text Char"/>
    <w:link w:val="BalloonText"/>
    <w:uiPriority w:val="99"/>
    <w:rsid w:val="00E86A7D"/>
    <w:rPr>
      <w:rFonts w:ascii="Tahoma" w:hAnsi="Tahoma" w:cs="Tahoma"/>
      <w:sz w:val="16"/>
      <w:szCs w:val="16"/>
      <w:lang w:eastAsia="en-US"/>
    </w:rPr>
  </w:style>
  <w:style w:type="character" w:styleId="CommentReference">
    <w:name w:val="annotation reference"/>
    <w:uiPriority w:val="99"/>
    <w:unhideWhenUsed/>
    <w:rsid w:val="003C7984"/>
    <w:rPr>
      <w:sz w:val="18"/>
      <w:szCs w:val="18"/>
    </w:rPr>
  </w:style>
  <w:style w:type="paragraph" w:styleId="CommentText">
    <w:name w:val="annotation text"/>
    <w:basedOn w:val="Normal"/>
    <w:link w:val="CommentTextChar"/>
    <w:uiPriority w:val="99"/>
    <w:unhideWhenUsed/>
    <w:rsid w:val="003C7984"/>
    <w:pPr>
      <w:suppressAutoHyphens w:val="0"/>
      <w:spacing w:after="160" w:line="240" w:lineRule="auto"/>
    </w:pPr>
    <w:rPr>
      <w:rFonts w:ascii="Calibri" w:eastAsia="Calibri" w:hAnsi="Calibri" w:cs="Arial"/>
      <w:sz w:val="24"/>
      <w:szCs w:val="24"/>
      <w:lang w:val="en-US"/>
    </w:rPr>
  </w:style>
  <w:style w:type="character" w:customStyle="1" w:styleId="CommentTextChar">
    <w:name w:val="Comment Text Char"/>
    <w:link w:val="CommentText"/>
    <w:uiPriority w:val="99"/>
    <w:rsid w:val="003C7984"/>
    <w:rPr>
      <w:rFonts w:ascii="Calibri" w:eastAsia="Calibri" w:hAnsi="Calibri" w:cs="Arial"/>
      <w:sz w:val="24"/>
      <w:szCs w:val="24"/>
      <w:lang w:val="en-US" w:eastAsia="en-US"/>
    </w:rPr>
  </w:style>
  <w:style w:type="character" w:customStyle="1" w:styleId="apple-converted-space">
    <w:name w:val="apple-converted-space"/>
    <w:rsid w:val="00444A12"/>
  </w:style>
  <w:style w:type="paragraph" w:customStyle="1" w:styleId="LightGrid-Accent31">
    <w:name w:val="Light Grid - Accent 31"/>
    <w:basedOn w:val="Normal"/>
    <w:uiPriority w:val="34"/>
    <w:qFormat/>
    <w:rsid w:val="00B35FDD"/>
    <w:pPr>
      <w:ind w:left="567"/>
    </w:pPr>
  </w:style>
  <w:style w:type="paragraph" w:styleId="CommentSubject">
    <w:name w:val="annotation subject"/>
    <w:basedOn w:val="CommentText"/>
    <w:next w:val="CommentText"/>
    <w:link w:val="CommentSubjectChar"/>
    <w:rsid w:val="008C2DEC"/>
    <w:pPr>
      <w:suppressAutoHyphens/>
      <w:spacing w:after="0" w:line="240" w:lineRule="atLeast"/>
    </w:pPr>
    <w:rPr>
      <w:rFonts w:ascii="Times New Roman" w:eastAsia="Times New Roman" w:hAnsi="Times New Roman" w:cs="Times New Roman"/>
      <w:b/>
      <w:bCs/>
      <w:sz w:val="20"/>
      <w:szCs w:val="20"/>
      <w:lang w:val="en-GB"/>
    </w:rPr>
  </w:style>
  <w:style w:type="character" w:customStyle="1" w:styleId="CommentSubjectChar">
    <w:name w:val="Comment Subject Char"/>
    <w:link w:val="CommentSubject"/>
    <w:rsid w:val="008C2DEC"/>
    <w:rPr>
      <w:rFonts w:ascii="Calibri" w:eastAsia="Calibri" w:hAnsi="Calibri" w:cs="Arial"/>
      <w:b/>
      <w:bCs/>
      <w:sz w:val="24"/>
      <w:szCs w:val="24"/>
      <w:lang w:val="en-US" w:eastAsia="en-US"/>
    </w:rPr>
  </w:style>
  <w:style w:type="paragraph" w:customStyle="1" w:styleId="LightList-Accent31">
    <w:name w:val="Light List - Accent 31"/>
    <w:hidden/>
    <w:uiPriority w:val="99"/>
    <w:semiHidden/>
    <w:rsid w:val="008C2DEC"/>
    <w:rPr>
      <w:lang w:eastAsia="en-US"/>
    </w:rPr>
  </w:style>
  <w:style w:type="character" w:customStyle="1" w:styleId="st">
    <w:name w:val="st"/>
    <w:rsid w:val="00450EBD"/>
  </w:style>
  <w:style w:type="paragraph" w:customStyle="1" w:styleId="Default">
    <w:name w:val="Default"/>
    <w:rsid w:val="00145838"/>
    <w:pPr>
      <w:autoSpaceDE w:val="0"/>
      <w:autoSpaceDN w:val="0"/>
      <w:adjustRightInd w:val="0"/>
    </w:pPr>
    <w:rPr>
      <w:rFonts w:eastAsia="Calibri"/>
      <w:color w:val="000000"/>
      <w:sz w:val="24"/>
      <w:szCs w:val="24"/>
      <w:lang w:val="en-US" w:eastAsia="en-US"/>
    </w:rPr>
  </w:style>
  <w:style w:type="character" w:customStyle="1" w:styleId="HChGChar">
    <w:name w:val="_ H _Ch_G Char"/>
    <w:link w:val="HChG"/>
    <w:rsid w:val="00425857"/>
    <w:rPr>
      <w:b/>
      <w:sz w:val="28"/>
      <w:lang w:eastAsia="en-US"/>
    </w:rPr>
  </w:style>
  <w:style w:type="numbering" w:customStyle="1" w:styleId="List0">
    <w:name w:val="List 0"/>
    <w:basedOn w:val="NoList"/>
    <w:rsid w:val="00B7232F"/>
    <w:pPr>
      <w:numPr>
        <w:numId w:val="6"/>
      </w:numPr>
    </w:pPr>
  </w:style>
  <w:style w:type="paragraph" w:customStyle="1" w:styleId="Reportnormal">
    <w:name w:val="Report normal"/>
    <w:rsid w:val="00B7232F"/>
    <w:pPr>
      <w:pBdr>
        <w:top w:val="nil"/>
        <w:left w:val="nil"/>
        <w:bottom w:val="nil"/>
        <w:right w:val="nil"/>
        <w:between w:val="nil"/>
        <w:bar w:val="nil"/>
      </w:pBdr>
      <w:tabs>
        <w:tab w:val="left" w:pos="567"/>
      </w:tabs>
      <w:spacing w:after="120"/>
      <w:jc w:val="both"/>
    </w:pPr>
    <w:rPr>
      <w:rFonts w:eastAsia="Arial Unicode MS" w:hAnsi="Arial Unicode MS" w:cs="Arial Unicode MS"/>
      <w:color w:val="000000"/>
      <w:sz w:val="22"/>
      <w:szCs w:val="22"/>
      <w:u w:color="000000"/>
      <w:bdr w:val="nil"/>
      <w:lang w:val="en-US"/>
    </w:rPr>
  </w:style>
  <w:style w:type="character" w:customStyle="1" w:styleId="A6">
    <w:name w:val="A6"/>
    <w:uiPriority w:val="99"/>
    <w:rsid w:val="007334B3"/>
    <w:rPr>
      <w:rFonts w:cs="Lato Black"/>
      <w:b/>
      <w:bCs/>
      <w:color w:val="00B0B4"/>
      <w:sz w:val="28"/>
      <w:szCs w:val="28"/>
    </w:rPr>
  </w:style>
  <w:style w:type="paragraph" w:styleId="ListParagraph">
    <w:name w:val="List Paragraph"/>
    <w:basedOn w:val="Normal"/>
    <w:uiPriority w:val="34"/>
    <w:qFormat/>
    <w:rsid w:val="007334B3"/>
    <w:pPr>
      <w:ind w:left="720"/>
    </w:pPr>
  </w:style>
  <w:style w:type="paragraph" w:customStyle="1" w:styleId="Pa6">
    <w:name w:val="Pa6"/>
    <w:basedOn w:val="Default"/>
    <w:next w:val="Default"/>
    <w:uiPriority w:val="99"/>
    <w:rsid w:val="00BC6556"/>
    <w:pPr>
      <w:spacing w:line="201" w:lineRule="atLeast"/>
    </w:pPr>
    <w:rPr>
      <w:rFonts w:ascii="Lato" w:eastAsia="Times New Roman" w:hAnsi="Lato"/>
      <w:color w:val="auto"/>
    </w:rPr>
  </w:style>
  <w:style w:type="character" w:customStyle="1" w:styleId="A15">
    <w:name w:val="A15"/>
    <w:uiPriority w:val="99"/>
    <w:rsid w:val="00BC6556"/>
    <w:rPr>
      <w:rFonts w:cs="Lato"/>
      <w:color w:val="2A353E"/>
      <w:sz w:val="11"/>
      <w:szCs w:val="11"/>
    </w:rPr>
  </w:style>
  <w:style w:type="paragraph" w:customStyle="1" w:styleId="Pa1">
    <w:name w:val="Pa1"/>
    <w:basedOn w:val="Default"/>
    <w:next w:val="Default"/>
    <w:uiPriority w:val="99"/>
    <w:rsid w:val="00BC6556"/>
    <w:pPr>
      <w:spacing w:line="241" w:lineRule="atLeast"/>
    </w:pPr>
    <w:rPr>
      <w:rFonts w:ascii="Lato" w:eastAsia="Times New Roman" w:hAnsi="Lato"/>
      <w:color w:val="auto"/>
    </w:rPr>
  </w:style>
  <w:style w:type="character" w:customStyle="1" w:styleId="A13">
    <w:name w:val="A13"/>
    <w:uiPriority w:val="99"/>
    <w:rsid w:val="00BC6556"/>
    <w:rPr>
      <w:rFonts w:cs="Lato"/>
      <w:b/>
      <w:bCs/>
      <w:color w:val="2A353E"/>
      <w:sz w:val="20"/>
      <w:szCs w:val="20"/>
    </w:rPr>
  </w:style>
  <w:style w:type="character" w:customStyle="1" w:styleId="A0">
    <w:name w:val="A0"/>
    <w:uiPriority w:val="99"/>
    <w:rsid w:val="00BC6556"/>
    <w:rPr>
      <w:rFonts w:cs="Lato"/>
      <w:b/>
      <w:bCs/>
      <w:color w:val="7D8189"/>
      <w:sz w:val="18"/>
      <w:szCs w:val="18"/>
    </w:rPr>
  </w:style>
  <w:style w:type="paragraph" w:customStyle="1" w:styleId="Body">
    <w:name w:val="Body"/>
    <w:rsid w:val="00660AC3"/>
    <w:pPr>
      <w:pBdr>
        <w:top w:val="nil"/>
        <w:left w:val="nil"/>
        <w:bottom w:val="nil"/>
        <w:right w:val="nil"/>
        <w:between w:val="nil"/>
        <w:bar w:val="nil"/>
      </w:pBdr>
      <w:spacing w:after="200" w:line="276" w:lineRule="auto"/>
    </w:pPr>
    <w:rPr>
      <w:rFonts w:ascii="Cambria" w:eastAsia="Cambria" w:hAnsi="Cambria" w:cs="Cambria"/>
      <w:color w:val="000000"/>
      <w:sz w:val="22"/>
      <w:szCs w:val="22"/>
      <w:u w:color="000000"/>
      <w:bdr w:val="nil"/>
    </w:rPr>
  </w:style>
  <w:style w:type="character" w:styleId="Emphasis">
    <w:name w:val="Emphasis"/>
    <w:uiPriority w:val="20"/>
    <w:qFormat/>
    <w:rsid w:val="00001737"/>
    <w:rPr>
      <w:i/>
      <w:iCs/>
    </w:rPr>
  </w:style>
  <w:style w:type="character" w:customStyle="1" w:styleId="BalloonTextChar1">
    <w:name w:val="Balloon Text Char1"/>
    <w:rsid w:val="00B9154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7564">
      <w:bodyDiv w:val="1"/>
      <w:marLeft w:val="0"/>
      <w:marRight w:val="0"/>
      <w:marTop w:val="0"/>
      <w:marBottom w:val="0"/>
      <w:divBdr>
        <w:top w:val="none" w:sz="0" w:space="0" w:color="auto"/>
        <w:left w:val="none" w:sz="0" w:space="0" w:color="auto"/>
        <w:bottom w:val="none" w:sz="0" w:space="0" w:color="auto"/>
        <w:right w:val="none" w:sz="0" w:space="0" w:color="auto"/>
      </w:divBdr>
    </w:div>
    <w:div w:id="272060300">
      <w:bodyDiv w:val="1"/>
      <w:marLeft w:val="0"/>
      <w:marRight w:val="0"/>
      <w:marTop w:val="0"/>
      <w:marBottom w:val="0"/>
      <w:divBdr>
        <w:top w:val="none" w:sz="0" w:space="0" w:color="auto"/>
        <w:left w:val="none" w:sz="0" w:space="0" w:color="auto"/>
        <w:bottom w:val="none" w:sz="0" w:space="0" w:color="auto"/>
        <w:right w:val="none" w:sz="0" w:space="0" w:color="auto"/>
      </w:divBdr>
    </w:div>
    <w:div w:id="350179881">
      <w:bodyDiv w:val="1"/>
      <w:marLeft w:val="0"/>
      <w:marRight w:val="0"/>
      <w:marTop w:val="0"/>
      <w:marBottom w:val="0"/>
      <w:divBdr>
        <w:top w:val="none" w:sz="0" w:space="0" w:color="auto"/>
        <w:left w:val="none" w:sz="0" w:space="0" w:color="auto"/>
        <w:bottom w:val="none" w:sz="0" w:space="0" w:color="auto"/>
        <w:right w:val="none" w:sz="0" w:space="0" w:color="auto"/>
      </w:divBdr>
    </w:div>
    <w:div w:id="403839492">
      <w:bodyDiv w:val="1"/>
      <w:marLeft w:val="0"/>
      <w:marRight w:val="0"/>
      <w:marTop w:val="0"/>
      <w:marBottom w:val="0"/>
      <w:divBdr>
        <w:top w:val="none" w:sz="0" w:space="0" w:color="auto"/>
        <w:left w:val="none" w:sz="0" w:space="0" w:color="auto"/>
        <w:bottom w:val="none" w:sz="0" w:space="0" w:color="auto"/>
        <w:right w:val="none" w:sz="0" w:space="0" w:color="auto"/>
      </w:divBdr>
    </w:div>
    <w:div w:id="7625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2924-7A78-4E72-8FBD-C018E38B1F8F}"/>
</file>

<file path=customXml/itemProps2.xml><?xml version="1.0" encoding="utf-8"?>
<ds:datastoreItem xmlns:ds="http://schemas.openxmlformats.org/officeDocument/2006/customXml" ds:itemID="{30D19CA0-CC29-4817-BCD9-0FD0D59913D0}"/>
</file>

<file path=customXml/itemProps3.xml><?xml version="1.0" encoding="utf-8"?>
<ds:datastoreItem xmlns:ds="http://schemas.openxmlformats.org/officeDocument/2006/customXml" ds:itemID="{8EE99A53-08D0-4D8B-98ED-40FF97694FEE}"/>
</file>

<file path=customXml/itemProps4.xml><?xml version="1.0" encoding="utf-8"?>
<ds:datastoreItem xmlns:ds="http://schemas.openxmlformats.org/officeDocument/2006/customXml" ds:itemID="{BD1AFBAD-E879-492B-BA03-FB6D1F0E277D}"/>
</file>

<file path=customXml/itemProps5.xml><?xml version="1.0" encoding="utf-8"?>
<ds:datastoreItem xmlns:ds="http://schemas.openxmlformats.org/officeDocument/2006/customXml" ds:itemID="{20ECC51A-235F-4199-A119-7FAC09B17809}"/>
</file>

<file path=customXml/itemProps6.xml><?xml version="1.0" encoding="utf-8"?>
<ds:datastoreItem xmlns:ds="http://schemas.openxmlformats.org/officeDocument/2006/customXml" ds:itemID="{D6CD59B6-A99E-420F-8F7D-90C0196BD264}"/>
</file>

<file path=docProps/app.xml><?xml version="1.0" encoding="utf-8"?>
<Properties xmlns="http://schemas.openxmlformats.org/officeDocument/2006/extended-properties" xmlns:vt="http://schemas.openxmlformats.org/officeDocument/2006/docPropsVTypes">
  <Template>A_E</Template>
  <TotalTime>0</TotalTime>
  <Pages>17</Pages>
  <Words>7489</Words>
  <Characters>42689</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Report of the United Nations High Commissioner for Human Rights on the situation of human rights in Libya and on related technical support and capacity-building needs in English</vt:lpstr>
    </vt:vector>
  </TitlesOfParts>
  <Company>CSD</Company>
  <LinksUpToDate>false</LinksUpToDate>
  <CharactersWithSpaces>50078</CharactersWithSpaces>
  <SharedDoc>false</SharedDoc>
  <HLinks>
    <vt:vector size="12" baseType="variant">
      <vt:variant>
        <vt:i4>7471106</vt:i4>
      </vt:variant>
      <vt:variant>
        <vt:i4>3</vt:i4>
      </vt:variant>
      <vt:variant>
        <vt:i4>0</vt:i4>
      </vt:variant>
      <vt:variant>
        <vt:i4>5</vt:i4>
      </vt:variant>
      <vt:variant>
        <vt:lpwstr>http://www.ohchr.org/Documents/Countries/IQ/UNAMI_OHCHR_POC_Report_11Sep-10Dec2014_AR.pdf</vt:lpwstr>
      </vt:variant>
      <vt:variant>
        <vt:lpwstr/>
      </vt:variant>
      <vt:variant>
        <vt:i4>7733278</vt:i4>
      </vt:variant>
      <vt:variant>
        <vt:i4>0</vt:i4>
      </vt:variant>
      <vt:variant>
        <vt:i4>0</vt:i4>
      </vt:variant>
      <vt:variant>
        <vt:i4>5</vt:i4>
      </vt:variant>
      <vt:variant>
        <vt:lpwstr>http://www.ohchr.org/Documents/Countries/IQ/UNAMI_OHCHR_POC_Report_11Sep-10Dec2014_EN.pdf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situation of human rights in Libya and on related technical support and capacity-building needs in English</dc:title>
  <dc:creator>KH</dc:creator>
  <cp:lastModifiedBy>Somova Iuliia</cp:lastModifiedBy>
  <cp:revision>2</cp:revision>
  <cp:lastPrinted>2015-08-10T06:34:00Z</cp:lastPrinted>
  <dcterms:created xsi:type="dcterms:W3CDTF">2015-09-07T09:58:00Z</dcterms:created>
  <dcterms:modified xsi:type="dcterms:W3CDTF">2015-09-07T09:58:00Z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0x010100EF670F518423CB4F888C4265EEC2C475</vt:lpwstr>
  </property>
  <property fmtid="{D5CDD505-2E9C-101B-9397-08002B2CF9AE}" pid="11" name="Order">
    <vt:r8>29900</vt:r8>
  </property>
</Properties>
</file>