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683635">
        <w:trPr>
          <w:trHeight w:val="851"/>
        </w:trPr>
        <w:tc>
          <w:tcPr>
            <w:tcW w:w="1259" w:type="dxa"/>
            <w:tcBorders>
              <w:top w:val="nil"/>
              <w:left w:val="nil"/>
              <w:bottom w:val="single" w:sz="4" w:space="0" w:color="auto"/>
              <w:right w:val="nil"/>
            </w:tcBorders>
          </w:tcPr>
          <w:p w:rsidR="00683635" w:rsidRPr="00E806EE" w:rsidRDefault="00683635" w:rsidP="00683635">
            <w:pPr>
              <w:tabs>
                <w:tab w:val="right" w:pos="850"/>
                <w:tab w:val="left" w:pos="1134"/>
                <w:tab w:val="right" w:leader="dot" w:pos="8504"/>
              </w:tabs>
              <w:spacing w:before="360" w:after="240"/>
              <w:jc w:val="center"/>
            </w:pPr>
            <w:bookmarkStart w:id="0" w:name="_GoBack"/>
            <w:bookmarkEnd w:id="0"/>
          </w:p>
        </w:tc>
        <w:tc>
          <w:tcPr>
            <w:tcW w:w="2236" w:type="dxa"/>
            <w:tcBorders>
              <w:top w:val="nil"/>
              <w:left w:val="nil"/>
              <w:bottom w:val="single" w:sz="4" w:space="0" w:color="auto"/>
              <w:right w:val="nil"/>
            </w:tcBorders>
            <w:vAlign w:val="bottom"/>
          </w:tcPr>
          <w:p w:rsidR="00683635" w:rsidRPr="00963CBA" w:rsidRDefault="00683635" w:rsidP="00683635">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683635" w:rsidRPr="00DE3EC0" w:rsidRDefault="00683635" w:rsidP="00232E2A">
            <w:pPr>
              <w:jc w:val="right"/>
            </w:pPr>
            <w:r w:rsidRPr="00EF1893">
              <w:rPr>
                <w:sz w:val="40"/>
              </w:rPr>
              <w:t>A</w:t>
            </w:r>
            <w:r>
              <w:t>/HRC/</w:t>
            </w:r>
            <w:r w:rsidR="00F06A45">
              <w:t>32</w:t>
            </w:r>
            <w:r>
              <w:t>/</w:t>
            </w:r>
            <w:r w:rsidR="00F06A45">
              <w:t>39</w:t>
            </w:r>
            <w:r>
              <w:t>/Add.</w:t>
            </w:r>
            <w:r w:rsidR="007E0819">
              <w:t>5</w:t>
            </w:r>
          </w:p>
        </w:tc>
      </w:tr>
      <w:tr w:rsidR="00683635">
        <w:trPr>
          <w:trHeight w:val="2835"/>
        </w:trPr>
        <w:tc>
          <w:tcPr>
            <w:tcW w:w="1259" w:type="dxa"/>
            <w:tcBorders>
              <w:top w:val="single" w:sz="4" w:space="0" w:color="auto"/>
              <w:left w:val="nil"/>
              <w:bottom w:val="single" w:sz="12" w:space="0" w:color="auto"/>
              <w:right w:val="nil"/>
            </w:tcBorders>
          </w:tcPr>
          <w:p w:rsidR="00683635" w:rsidRDefault="008408FD" w:rsidP="00683635">
            <w:pPr>
              <w:spacing w:before="120"/>
              <w:jc w:val="center"/>
            </w:pPr>
            <w:r>
              <w:rPr>
                <w:noProof/>
                <w:lang w:eastAsia="en-GB"/>
              </w:rPr>
              <w:drawing>
                <wp:inline distT="0" distB="0" distL="0" distR="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683635" w:rsidRPr="00B3317B" w:rsidRDefault="00683635" w:rsidP="00683635">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rsidR="00683635" w:rsidRPr="006A632E" w:rsidRDefault="00683635" w:rsidP="00683635">
            <w:pPr>
              <w:spacing w:before="240" w:line="240" w:lineRule="exact"/>
            </w:pPr>
            <w:r w:rsidRPr="006A632E">
              <w:t>Distr.: General</w:t>
            </w:r>
          </w:p>
          <w:p w:rsidR="00683635" w:rsidRPr="006A632E" w:rsidRDefault="007E0819" w:rsidP="00683635">
            <w:pPr>
              <w:spacing w:line="240" w:lineRule="exact"/>
            </w:pPr>
            <w:r>
              <w:t xml:space="preserve">13 </w:t>
            </w:r>
            <w:r w:rsidR="00F06A45">
              <w:t>June</w:t>
            </w:r>
            <w:r w:rsidR="001E3C14" w:rsidRPr="006D1DC3">
              <w:t xml:space="preserve"> 201</w:t>
            </w:r>
            <w:r w:rsidR="00F06A45">
              <w:t>6</w:t>
            </w:r>
          </w:p>
          <w:p w:rsidR="00683635" w:rsidRPr="006A632E" w:rsidRDefault="00683635" w:rsidP="00683635">
            <w:pPr>
              <w:spacing w:line="240" w:lineRule="exact"/>
            </w:pPr>
          </w:p>
          <w:p w:rsidR="00683635" w:rsidRDefault="007E0819" w:rsidP="00F06A45">
            <w:pPr>
              <w:spacing w:line="240" w:lineRule="exact"/>
            </w:pPr>
            <w:r>
              <w:t>English/</w:t>
            </w:r>
            <w:r w:rsidR="00F06A45">
              <w:t xml:space="preserve">Russian </w:t>
            </w:r>
            <w:r w:rsidR="00683635" w:rsidRPr="006D1DC3">
              <w:t>only</w:t>
            </w:r>
          </w:p>
        </w:tc>
      </w:tr>
    </w:tbl>
    <w:p w:rsidR="00683635" w:rsidRPr="001C04EB" w:rsidRDefault="00683635" w:rsidP="00683635">
      <w:pPr>
        <w:spacing w:before="120"/>
        <w:rPr>
          <w:b/>
          <w:bCs/>
          <w:sz w:val="24"/>
          <w:szCs w:val="24"/>
          <w:lang w:val="en-CA"/>
        </w:rPr>
      </w:pPr>
      <w:r w:rsidRPr="001C04EB">
        <w:rPr>
          <w:b/>
          <w:bCs/>
          <w:sz w:val="24"/>
          <w:szCs w:val="24"/>
          <w:lang w:val="en-CA"/>
        </w:rPr>
        <w:t>Human Rights Council</w:t>
      </w:r>
    </w:p>
    <w:p w:rsidR="008855FD" w:rsidRPr="008E6262" w:rsidRDefault="00F06A45" w:rsidP="008855FD">
      <w:pPr>
        <w:rPr>
          <w:b/>
          <w:bCs/>
        </w:rPr>
      </w:pPr>
      <w:bookmarkStart w:id="1" w:name="OLE_LINK3"/>
      <w:bookmarkStart w:id="2" w:name="OLE_LINK4"/>
      <w:r>
        <w:rPr>
          <w:b/>
          <w:bCs/>
        </w:rPr>
        <w:t xml:space="preserve">Thirty-second </w:t>
      </w:r>
      <w:proofErr w:type="gramStart"/>
      <w:r>
        <w:rPr>
          <w:b/>
          <w:bCs/>
        </w:rPr>
        <w:t>session</w:t>
      </w:r>
      <w:proofErr w:type="gramEnd"/>
    </w:p>
    <w:p w:rsidR="008855FD" w:rsidRPr="008E6262" w:rsidRDefault="008855FD" w:rsidP="008855FD">
      <w:r w:rsidRPr="008E6262">
        <w:t>Agenda item 3</w:t>
      </w:r>
    </w:p>
    <w:p w:rsidR="008855FD" w:rsidRPr="008E6262" w:rsidRDefault="008855FD" w:rsidP="008855FD">
      <w:pPr>
        <w:rPr>
          <w:b/>
        </w:rPr>
      </w:pPr>
      <w:r w:rsidRPr="008E6262">
        <w:rPr>
          <w:b/>
        </w:rPr>
        <w:t xml:space="preserve">Promotion and protection of all human rights, civil, </w:t>
      </w:r>
      <w:r w:rsidRPr="008E6262">
        <w:rPr>
          <w:b/>
        </w:rPr>
        <w:br/>
        <w:t xml:space="preserve">political, economic, social and cultural rights, </w:t>
      </w:r>
      <w:r w:rsidRPr="008E6262">
        <w:rPr>
          <w:b/>
        </w:rPr>
        <w:br/>
        <w:t>including the right to development</w:t>
      </w:r>
    </w:p>
    <w:p w:rsidR="008855FD" w:rsidRDefault="008855FD" w:rsidP="008855FD">
      <w:pPr>
        <w:pStyle w:val="HChG"/>
        <w:rPr>
          <w:rFonts w:eastAsia="SimSun"/>
          <w:lang w:eastAsia="en-GB"/>
        </w:rPr>
      </w:pPr>
      <w:r>
        <w:rPr>
          <w:rFonts w:eastAsia="SimSun"/>
          <w:lang w:eastAsia="en-GB"/>
        </w:rPr>
        <w:tab/>
      </w:r>
      <w:r>
        <w:rPr>
          <w:rFonts w:eastAsia="SimSun"/>
          <w:lang w:eastAsia="en-GB"/>
        </w:rPr>
        <w:tab/>
      </w:r>
      <w:r w:rsidRPr="00B6436E">
        <w:rPr>
          <w:rFonts w:eastAsia="SimSun"/>
          <w:lang w:eastAsia="en-GB"/>
        </w:rPr>
        <w:t xml:space="preserve">Report </w:t>
      </w:r>
      <w:r>
        <w:rPr>
          <w:rFonts w:eastAsia="SimSun"/>
          <w:lang w:eastAsia="en-GB"/>
        </w:rPr>
        <w:t xml:space="preserve">of </w:t>
      </w:r>
      <w:r w:rsidRPr="00B6436E">
        <w:rPr>
          <w:rFonts w:eastAsia="SimSun"/>
          <w:lang w:eastAsia="en-GB"/>
        </w:rPr>
        <w:t xml:space="preserve">the Special Rapporteur on </w:t>
      </w:r>
      <w:r>
        <w:rPr>
          <w:rFonts w:eastAsia="SimSun"/>
          <w:lang w:eastAsia="en-GB"/>
        </w:rPr>
        <w:t>extrajudicial, s</w:t>
      </w:r>
      <w:r w:rsidR="007E0819">
        <w:rPr>
          <w:rFonts w:eastAsia="SimSun"/>
          <w:lang w:eastAsia="en-GB"/>
        </w:rPr>
        <w:t>ummary or arbitrary executions</w:t>
      </w:r>
    </w:p>
    <w:bookmarkEnd w:id="1"/>
    <w:bookmarkEnd w:id="2"/>
    <w:p w:rsidR="00683635" w:rsidRDefault="00683635" w:rsidP="00683635">
      <w:pPr>
        <w:pStyle w:val="H23G"/>
        <w:rPr>
          <w:lang w:val="en-CA"/>
        </w:rPr>
      </w:pPr>
      <w:r>
        <w:rPr>
          <w:lang w:val="en-CA"/>
        </w:rPr>
        <w:tab/>
      </w:r>
      <w:r>
        <w:rPr>
          <w:lang w:val="en-CA"/>
        </w:rPr>
        <w:tab/>
        <w:t>Addendum</w:t>
      </w:r>
    </w:p>
    <w:p w:rsidR="00683635" w:rsidRDefault="00683635" w:rsidP="00683635">
      <w:pPr>
        <w:pStyle w:val="H1G"/>
        <w:rPr>
          <w:b w:val="0"/>
          <w:bCs/>
          <w:sz w:val="20"/>
        </w:rPr>
      </w:pPr>
      <w:r>
        <w:tab/>
      </w:r>
      <w:r>
        <w:tab/>
        <w:t>Mission to</w:t>
      </w:r>
      <w:r w:rsidR="007A51E7">
        <w:t xml:space="preserve"> </w:t>
      </w:r>
      <w:r w:rsidR="00F06A45">
        <w:t>Ukraine</w:t>
      </w:r>
      <w:r>
        <w:t xml:space="preserve">: comments by the State on the report of the </w:t>
      </w:r>
      <w:r w:rsidR="008855FD">
        <w:t>Special Rapporteur</w:t>
      </w:r>
      <w:r w:rsidR="00C02B32">
        <w:t xml:space="preserve"> </w:t>
      </w:r>
      <w:r w:rsidR="00C02B32" w:rsidRPr="00B6436E">
        <w:rPr>
          <w:rFonts w:eastAsia="SimSun"/>
          <w:lang w:eastAsia="en-GB"/>
        </w:rPr>
        <w:t xml:space="preserve">on </w:t>
      </w:r>
      <w:r w:rsidR="00C02B32">
        <w:rPr>
          <w:rFonts w:eastAsia="SimSun"/>
          <w:lang w:eastAsia="en-GB"/>
        </w:rPr>
        <w:t>extrajudicial, summary or arbitrary executions</w:t>
      </w:r>
    </w:p>
    <w:p w:rsidR="00E95B1E" w:rsidRPr="007E0819" w:rsidRDefault="00683635" w:rsidP="007E0819">
      <w:pPr>
        <w:pStyle w:val="HChG"/>
        <w:rPr>
          <w:rFonts w:eastAsia="SimSun"/>
        </w:rPr>
      </w:pPr>
      <w:r>
        <w:br w:type="page"/>
      </w:r>
      <w:r w:rsidR="00E95B1E" w:rsidRPr="007E0819">
        <w:lastRenderedPageBreak/>
        <w:tab/>
      </w:r>
      <w:r w:rsidR="00E95B1E" w:rsidRPr="007E0819">
        <w:tab/>
      </w:r>
      <w:r w:rsidR="00C02B32" w:rsidRPr="007E0819">
        <w:t xml:space="preserve">Mission to </w:t>
      </w:r>
      <w:r w:rsidR="00F06A45" w:rsidRPr="007E0819">
        <w:t>Ukraine</w:t>
      </w:r>
      <w:r w:rsidR="00C02B32" w:rsidRPr="007E0819">
        <w:t>: c</w:t>
      </w:r>
      <w:r w:rsidR="00E95B1E" w:rsidRPr="007E0819">
        <w:t xml:space="preserve">omments of the Government of </w:t>
      </w:r>
      <w:r w:rsidR="00F06A45" w:rsidRPr="007E0819">
        <w:t>Ukraine</w:t>
      </w:r>
      <w:r w:rsidR="00E95B1E" w:rsidRPr="007E0819">
        <w:t xml:space="preserve"> </w:t>
      </w:r>
      <w:r w:rsidR="00BB1E87" w:rsidRPr="007E0819">
        <w:t>on</w:t>
      </w:r>
      <w:r w:rsidR="00E95B1E" w:rsidRPr="007E0819">
        <w:t xml:space="preserve"> the report of the </w:t>
      </w:r>
      <w:r w:rsidR="008855FD" w:rsidRPr="007E0819">
        <w:t xml:space="preserve">Special Rapporteur </w:t>
      </w:r>
      <w:r w:rsidR="008855FD" w:rsidRPr="007E0819">
        <w:rPr>
          <w:rFonts w:eastAsia="SimSun"/>
        </w:rPr>
        <w:t>on extrajudicial, summary or arbitrary executions</w:t>
      </w:r>
      <w:r w:rsidR="007E0819">
        <w:rPr>
          <w:rStyle w:val="FootnoteReference"/>
          <w:rFonts w:eastAsia="SimSun"/>
        </w:rPr>
        <w:footnoteReference w:customMarkFollows="1" w:id="2"/>
        <w:t>*</w:t>
      </w:r>
    </w:p>
    <w:p w:rsidR="0067706A" w:rsidRPr="007E0819" w:rsidRDefault="007E0819" w:rsidP="007E0819">
      <w:pPr>
        <w:pStyle w:val="H1G"/>
        <w:rPr>
          <w:lang w:val="ru-RU"/>
        </w:rPr>
      </w:pPr>
      <w:r>
        <w:rPr>
          <w:lang w:val="en-US"/>
        </w:rPr>
        <w:tab/>
      </w:r>
      <w:r>
        <w:rPr>
          <w:lang w:val="en-US"/>
        </w:rPr>
        <w:tab/>
      </w:r>
      <w:r w:rsidR="0067706A" w:rsidRPr="0067706A">
        <w:rPr>
          <w:lang w:val="ru-RU"/>
        </w:rPr>
        <w:t xml:space="preserve">Информация относительно фактов, изложенных в проекте доклада Специального докладчика Совета ООН по правам человека </w:t>
      </w:r>
      <w:r w:rsidR="0067706A" w:rsidRPr="0067706A">
        <w:rPr>
          <w:szCs w:val="24"/>
          <w:lang w:val="ru-RU"/>
        </w:rPr>
        <w:t>по вопросам внесудебных казней, казней без надлежащего судебного разбирательства и судебных казней К.Хейнса по результатам его визита в Украину 9-18 сентября 2015 года</w:t>
      </w:r>
    </w:p>
    <w:p w:rsidR="0067706A" w:rsidRPr="0067706A" w:rsidRDefault="0067706A" w:rsidP="007E0819">
      <w:pPr>
        <w:pStyle w:val="SingleTxtG"/>
      </w:pPr>
      <w:r w:rsidRPr="0067706A">
        <w:t>По итогам изучения соответствующими ведомствами Украины проекта доклада Специального докладчика Совета ООН по правам человека по вопросам внесудебных казней, казней без надлежащего судебного разбирательства и судебных казней К.Хейнса, по результатам его визита в Украину 9-18 сентября 2015 года, сообщаем следующее.</w:t>
      </w:r>
    </w:p>
    <w:p w:rsidR="0067706A" w:rsidRPr="0067706A" w:rsidRDefault="007E0819" w:rsidP="007E0819">
      <w:pPr>
        <w:pStyle w:val="H23G"/>
      </w:pPr>
      <w:r w:rsidRPr="00271922">
        <w:rPr>
          <w:lang w:val="ru-RU"/>
        </w:rPr>
        <w:tab/>
      </w:r>
      <w:r w:rsidRPr="00271922">
        <w:rPr>
          <w:lang w:val="ru-RU"/>
        </w:rPr>
        <w:tab/>
      </w:r>
      <w:r w:rsidR="0067706A" w:rsidRPr="0067706A">
        <w:t>По пунктам 22, 23, 63-66</w:t>
      </w:r>
    </w:p>
    <w:p w:rsidR="0067706A" w:rsidRPr="0067706A" w:rsidRDefault="0067706A" w:rsidP="007E0819">
      <w:pPr>
        <w:pStyle w:val="SingleTxtG"/>
      </w:pPr>
      <w:r w:rsidRPr="0067706A">
        <w:t>При финансовой и методической поддержке миссии Комитета Красного Креста в Украине организовано обучение личного состава Вооруженных Сил Украины нормам международного гуманитарного права. В 2016 году будет проведено около 25 обучающих семинаров с участием иностранных специалистов для различных категорий военнослужащих. Согласно внутриведомственным нормативно-правовым актам, военнослужащие ВСУ, которые участвуют в антитеррористической операции на территории Донецкой и Луганской областей, неуклонно придерживаются определенных принципов и норм международного гуманитарного права.</w:t>
      </w:r>
    </w:p>
    <w:p w:rsidR="0067706A" w:rsidRPr="0067706A" w:rsidRDefault="0067706A" w:rsidP="007E0819">
      <w:pPr>
        <w:pStyle w:val="SingleTxtG"/>
      </w:pPr>
      <w:r w:rsidRPr="0067706A">
        <w:t>Совместно с Миссией Красного Креста в Украине ведется работа в  направлении создания эффективного Координационного механизма по поиску лиц, пропавших без вести в связи с конфликтом на Донбассе. Ведется разработка новой редакции Руководства по применению международного гуманитарного права, а также проекта постановления Кабинета Министров Украины относительно обращения с военнопленными во время особого периода. При Министерстве обороны Украины и Генеральном штабе организована работа иностранных советников.</w:t>
      </w:r>
    </w:p>
    <w:p w:rsidR="0067706A" w:rsidRPr="0067706A" w:rsidRDefault="007E0819" w:rsidP="007E0819">
      <w:pPr>
        <w:pStyle w:val="H23G"/>
      </w:pPr>
      <w:r w:rsidRPr="00271922">
        <w:rPr>
          <w:lang w:val="ru-RU"/>
        </w:rPr>
        <w:tab/>
      </w:r>
      <w:r w:rsidRPr="00271922">
        <w:rPr>
          <w:lang w:val="ru-RU"/>
        </w:rPr>
        <w:tab/>
      </w:r>
      <w:r w:rsidR="0067706A" w:rsidRPr="0067706A">
        <w:t>По пунктам 33-38</w:t>
      </w:r>
    </w:p>
    <w:p w:rsidR="0067706A" w:rsidRPr="0067706A" w:rsidRDefault="0067706A" w:rsidP="007E0819">
      <w:pPr>
        <w:pStyle w:val="SingleTxtG"/>
      </w:pPr>
      <w:r w:rsidRPr="0067706A">
        <w:t>Состояние расследования и судебного разбирательства по уголовным производствам в отношении правонарушений, связанных с препятствием проведению мирных акций протеста во время Революции Достоинства, которые расследуются следственными органами Национальной полиции, находится на особом контроле.</w:t>
      </w:r>
    </w:p>
    <w:p w:rsidR="0067706A" w:rsidRPr="0067706A" w:rsidRDefault="0067706A" w:rsidP="007E0819">
      <w:pPr>
        <w:pStyle w:val="SingleTxtG"/>
      </w:pPr>
      <w:r w:rsidRPr="0067706A">
        <w:t xml:space="preserve">Установлено, что в производстве органов внутренних дел (Национальной полиции) находилось 65 уголовных производств указанной категории. По результатам расследования в суд направлено 18 обвинительных актов в отношении 23 подозреваемых и 1 ходатайство о применении принудительных мер воспитательного характера. Судом по существу рассмотрено 10 обвинительных актов и 1 ходатайство в отношении 16 лиц. Закрыто 30 производств, 1 - объединено с другим, 1 - передано по подследственности в Генеральную прокуратуру Украины. В 3 производствах </w:t>
      </w:r>
      <w:r w:rsidRPr="0067706A">
        <w:lastRenderedPageBreak/>
        <w:t>расследование остановлено из-за розыска 15 подозреваемых. В настоящее время расследование продолжается по 12 производствам.</w:t>
      </w:r>
    </w:p>
    <w:p w:rsidR="0067706A" w:rsidRPr="0067706A" w:rsidRDefault="007E0819" w:rsidP="007E0819">
      <w:pPr>
        <w:pStyle w:val="H23G"/>
      </w:pPr>
      <w:r w:rsidRPr="00271922">
        <w:rPr>
          <w:lang w:val="ru-RU"/>
        </w:rPr>
        <w:tab/>
      </w:r>
      <w:r w:rsidRPr="00271922">
        <w:rPr>
          <w:lang w:val="ru-RU"/>
        </w:rPr>
        <w:tab/>
      </w:r>
      <w:r w:rsidR="0067706A" w:rsidRPr="0067706A">
        <w:t>По пунктам 40-45, 101</w:t>
      </w:r>
    </w:p>
    <w:p w:rsidR="0067706A" w:rsidRPr="0067706A" w:rsidRDefault="0067706A" w:rsidP="007E0819">
      <w:pPr>
        <w:pStyle w:val="SingleTxtG"/>
      </w:pPr>
      <w:r w:rsidRPr="0067706A">
        <w:t>Генеральной прокуратурой Украины осуществляется процессуальное руководство в уголовном производстве по факту служебной халатности должностных лиц Главного управления ГСЧС Украины в Одесской области во время спасения людей и тушения пожара в ходе событий 02.05.2014 года в городе Одесса и оставления без помощи лиц, находившихся в опасном для жизни состоянии по ч. 3 ст. 135, ч. 2 ст. 367 УК Украины, досудебное расследование в котором проводится ГСУ Национальной полиции Украины.</w:t>
      </w:r>
    </w:p>
    <w:p w:rsidR="0067706A" w:rsidRPr="0067706A" w:rsidRDefault="0067706A" w:rsidP="007E0819">
      <w:pPr>
        <w:pStyle w:val="SingleTxtG"/>
      </w:pPr>
      <w:r w:rsidRPr="0067706A">
        <w:t>Установлено, что должностные лица Главного управления ГСЧС Украины в Одесской области 2 мая 2014 года оставили без помощи лиц, находившихся в опасном для жизни состоянии, и, небрежно отнесшись к своим служебным обязанностям из-за недобросовестного отношения к ним, не приняли меры по ликвидации пожара и спасению людей в «Доме Профсоюзов», что повлекло тяжкие последствия для охраняемых законом прав, свобод и интересов отдельных граждан и привело к гибели 42 человек.</w:t>
      </w:r>
    </w:p>
    <w:p w:rsidR="0067706A" w:rsidRPr="0067706A" w:rsidRDefault="0067706A" w:rsidP="007E0819">
      <w:pPr>
        <w:pStyle w:val="SingleTxtG"/>
      </w:pPr>
      <w:r w:rsidRPr="0067706A">
        <w:t>Проведенной судебной межведомственной комплексной комиссионной пожарно-технической экспертизой, исследованием нефтепродуктов и горюче-смазочных материалов, экспертизой безопасности жизнедеятельности и охраны труда, которая выполнялась экспертами ГНИЭКЦ МВД Украины и КНИИСЭ Министерства юстиции Украины, установлено допущение нарушений норм действующего законодательства должностными лицами ГУ ГСЧС Украины в Одесской области и возложенных на них служебных обязанностей при проведении пожарно-спасательных мероприятий 02.04.2015 года, находящихся в причинной связи с наступлением негативных последствий от событий, произошедших 02.05.2014 года на площади Куликово поле в здании «Дома Профсоюзов» в г. Одессе.</w:t>
      </w:r>
    </w:p>
    <w:p w:rsidR="0067706A" w:rsidRPr="0067706A" w:rsidRDefault="0067706A" w:rsidP="007E0819">
      <w:pPr>
        <w:pStyle w:val="SingleTxtG"/>
      </w:pPr>
      <w:r w:rsidRPr="0067706A">
        <w:t>По результатам предварительного расследования 29.02.2016 года пяти должностным лицам Главного управления ГСЧС Украины в Одесской области, которые в то время занимали должности в соответствующем подразделении Государственной службы по чрезвычайным ситуациям, сообщено о подозрении в совершении уголовного преступления, предусмотренного ч. 3 ст. 135 УК Украины.</w:t>
      </w:r>
    </w:p>
    <w:p w:rsidR="0067706A" w:rsidRPr="0067706A" w:rsidRDefault="0067706A" w:rsidP="007E0819">
      <w:pPr>
        <w:pStyle w:val="SingleTxtG"/>
      </w:pPr>
      <w:r w:rsidRPr="0067706A">
        <w:t>Досудебное расследование продолжается.</w:t>
      </w:r>
    </w:p>
    <w:p w:rsidR="0067706A" w:rsidRPr="0067706A" w:rsidRDefault="0067706A" w:rsidP="007E0819">
      <w:pPr>
        <w:pStyle w:val="SingleTxtG"/>
      </w:pPr>
      <w:r w:rsidRPr="0067706A">
        <w:t>Кроме того, по фактам трагических событий в г. Одессе 2 мая 2014 года в суд направлено 7 обвинительных актов в отношении 27 лиц по ч. 2 ст. 294, ч. 1 ст. 263, 115 ч. 2 п. 1, 6, 9 УК Украины.</w:t>
      </w:r>
    </w:p>
    <w:p w:rsidR="0067706A" w:rsidRPr="0067706A" w:rsidRDefault="0067706A" w:rsidP="007E0819">
      <w:pPr>
        <w:pStyle w:val="SingleTxtG"/>
      </w:pPr>
      <w:r w:rsidRPr="0067706A">
        <w:t>По производствам продолжаются исследования доказательств.</w:t>
      </w:r>
    </w:p>
    <w:p w:rsidR="0067706A" w:rsidRPr="0067706A" w:rsidRDefault="0067706A" w:rsidP="007E0819">
      <w:pPr>
        <w:pStyle w:val="SingleTxtG"/>
      </w:pPr>
      <w:r w:rsidRPr="0067706A">
        <w:t>В настоящее время 5 лиц из указанного перечня находятся под стражей, в отношении 1 лица судом остановлено производство и оно объявлен в розыск.</w:t>
      </w:r>
    </w:p>
    <w:p w:rsidR="0067706A" w:rsidRPr="0067706A" w:rsidRDefault="007E0819" w:rsidP="007E0819">
      <w:pPr>
        <w:pStyle w:val="H23G"/>
      </w:pPr>
      <w:r w:rsidRPr="00271922">
        <w:rPr>
          <w:lang w:val="ru-RU"/>
        </w:rPr>
        <w:tab/>
      </w:r>
      <w:r w:rsidRPr="00271922">
        <w:rPr>
          <w:lang w:val="ru-RU"/>
        </w:rPr>
        <w:tab/>
      </w:r>
      <w:r w:rsidR="0067706A" w:rsidRPr="0067706A">
        <w:t>По пунктам 48, 49</w:t>
      </w:r>
    </w:p>
    <w:p w:rsidR="0067706A" w:rsidRPr="0067706A" w:rsidRDefault="0067706A" w:rsidP="007E0819">
      <w:pPr>
        <w:pStyle w:val="SingleTxtG"/>
      </w:pPr>
      <w:r w:rsidRPr="0067706A">
        <w:t>Рассмотрев указанные пункты, в которых отмечается возможное жестокое обращение в отношении лиц, находящихся под стражей, совершенное сотрудниками украинских правоохранительных органов, в том числе сотрудниками подразделений Службы безопасности Украины, сообщаем, что все заявления и сообщения о совершении уголовных преступлений по этим вопросам направляются в органы военной прокуратуры для принятия решений в соответствии с требованиями действующего законодательства.</w:t>
      </w:r>
    </w:p>
    <w:p w:rsidR="0067706A" w:rsidRPr="0067706A" w:rsidRDefault="007E0819" w:rsidP="007E0819">
      <w:pPr>
        <w:pStyle w:val="H23G"/>
      </w:pPr>
      <w:r w:rsidRPr="00271922">
        <w:rPr>
          <w:lang w:val="ru-RU"/>
        </w:rPr>
        <w:lastRenderedPageBreak/>
        <w:tab/>
      </w:r>
      <w:r w:rsidRPr="00271922">
        <w:rPr>
          <w:lang w:val="ru-RU"/>
        </w:rPr>
        <w:tab/>
      </w:r>
      <w:r w:rsidR="0067706A" w:rsidRPr="0067706A">
        <w:t>По пункту 50</w:t>
      </w:r>
    </w:p>
    <w:p w:rsidR="0067706A" w:rsidRPr="0067706A" w:rsidRDefault="0067706A" w:rsidP="007E0819">
      <w:pPr>
        <w:pStyle w:val="SingleTxtG"/>
      </w:pPr>
      <w:r w:rsidRPr="0067706A">
        <w:t>Установлено, что по имеющимся данным в производстве органов внутренних дел (Национальной полиции) находилось 14 уголовных производств по фактам совершения уголовных преступлений представителями «Правого сектора». По результатам их расследования 7 - направлены в суд с обвинительными актами, 5 - остановлены в связи с розыском подозреваемых, досудебное расследование по 2 производствам продолжается. С вынесением обвинительных приговоров в судах рассмотрено 2 производства.</w:t>
      </w:r>
    </w:p>
    <w:p w:rsidR="0067706A" w:rsidRPr="0067706A" w:rsidRDefault="007E0819" w:rsidP="007E0819">
      <w:pPr>
        <w:pStyle w:val="H23G"/>
      </w:pPr>
      <w:r w:rsidRPr="00271922">
        <w:rPr>
          <w:lang w:val="ru-RU"/>
        </w:rPr>
        <w:tab/>
      </w:r>
      <w:r w:rsidRPr="00271922">
        <w:rPr>
          <w:lang w:val="ru-RU"/>
        </w:rPr>
        <w:tab/>
      </w:r>
      <w:r w:rsidR="0067706A" w:rsidRPr="0067706A">
        <w:t>По пункту 51</w:t>
      </w:r>
    </w:p>
    <w:p w:rsidR="0067706A" w:rsidRPr="0067706A" w:rsidRDefault="0067706A" w:rsidP="007E0819">
      <w:pPr>
        <w:pStyle w:val="SingleTxtG"/>
      </w:pPr>
      <w:r w:rsidRPr="0067706A">
        <w:t>Установлено, что с 14.03.2016 года прокуратурой г. Киева расследуется уголовное производство по факту умышленного убийства Бузины О.А., в котором 2 лицам сообщено о подозрении по п. 12 ч. 2 ст. 115 УК Украины.</w:t>
      </w:r>
    </w:p>
    <w:p w:rsidR="0067706A" w:rsidRPr="0067706A" w:rsidRDefault="0067706A" w:rsidP="007E0819">
      <w:pPr>
        <w:pStyle w:val="SingleTxtG"/>
      </w:pPr>
      <w:r w:rsidRPr="0067706A">
        <w:t>В производстве СО Жовтневого РО Мариупольского ГУ ГУМВД Украины в Донецкой области находится уголовное производство по факту незаконного лишения свободы и убийства Долгова С.В. по ч. 1 ст. 115, ч. 2 ст. 146 УК Украины. В ходе расследования установлено, что 18.06.2014 года неустановленные вооруженные лица в здании редакции газеты «Вестник Приазовья» задержали и вывезли в неизвестном направлении Долгова С.В., место нахождения которого до настоящего времени не установлено. Лица, совершившие уголовное преступление, не установлены, досудебное расследование в производстве продолжается.</w:t>
      </w:r>
    </w:p>
    <w:p w:rsidR="0067706A" w:rsidRPr="0067706A" w:rsidRDefault="007E0819" w:rsidP="007E0819">
      <w:pPr>
        <w:pStyle w:val="H23G"/>
      </w:pPr>
      <w:r w:rsidRPr="00271922">
        <w:rPr>
          <w:lang w:val="ru-RU"/>
        </w:rPr>
        <w:tab/>
      </w:r>
      <w:r w:rsidRPr="00271922">
        <w:rPr>
          <w:lang w:val="ru-RU"/>
        </w:rPr>
        <w:tab/>
      </w:r>
      <w:r w:rsidR="0067706A" w:rsidRPr="0067706A">
        <w:t>По пункту 61</w:t>
      </w:r>
    </w:p>
    <w:p w:rsidR="0067706A" w:rsidRPr="0067706A" w:rsidRDefault="0067706A" w:rsidP="007E0819">
      <w:pPr>
        <w:pStyle w:val="SingleTxtG"/>
      </w:pPr>
      <w:r w:rsidRPr="0067706A">
        <w:t>В настоящее время прокурорами отдела процессуального руководства досудебным расследованием и поддержания государственного обвинения управления надзора за соблюдением законов органами, которые ведут борьбу с организованной преступностью, обеспечивается процессуальное руководство в 59 объединенных уголовных производствах в отношении участников так называемых «Донецкой народной республики» (42) и «Луганской народной республики» (17). В этих производствах к уголовной ответственности привлекаются 78 человек.</w:t>
      </w:r>
    </w:p>
    <w:p w:rsidR="0067706A" w:rsidRPr="0067706A" w:rsidRDefault="0067706A" w:rsidP="007E0819">
      <w:pPr>
        <w:pStyle w:val="SingleTxtG"/>
      </w:pPr>
      <w:r w:rsidRPr="0067706A">
        <w:t>Еще 9 уголовных производств в отношении 9 лиц направлено для рассмотрения в суд. В трех производствах вынесены судебные решения.</w:t>
      </w:r>
    </w:p>
    <w:p w:rsidR="0067706A" w:rsidRPr="0067706A" w:rsidRDefault="0067706A" w:rsidP="007E0819">
      <w:pPr>
        <w:pStyle w:val="SingleTxtG"/>
      </w:pPr>
      <w:r w:rsidRPr="0067706A">
        <w:t>Из числа производств, которые расследуются, в 43 следствие остановлено в связи с розыском 76 подозреваемых. В отношении указанных лиц получены решения суда о задержании с целью их доставки для  участия в рассмотрении ходатайства о применении меры пресечения в виде содержания под стражей.</w:t>
      </w:r>
    </w:p>
    <w:p w:rsidR="0067706A" w:rsidRPr="0067706A" w:rsidRDefault="0067706A" w:rsidP="007E0819">
      <w:pPr>
        <w:pStyle w:val="SingleTxtG"/>
      </w:pPr>
      <w:r w:rsidRPr="0067706A">
        <w:t>Доказаны факты прямого руководства граждан Российской Федерации террористическими организациями «ДНР» и «ЛНР», а также созданными ими псевдореспубликами.</w:t>
      </w:r>
    </w:p>
    <w:p w:rsidR="0067706A" w:rsidRPr="0067706A" w:rsidRDefault="0067706A" w:rsidP="007E0819">
      <w:pPr>
        <w:pStyle w:val="SingleTxtG"/>
      </w:pPr>
      <w:r w:rsidRPr="0067706A">
        <w:t>В частности, установлено, что террористическую организацию «ДНР» в марте</w:t>
      </w:r>
      <w:r w:rsidRPr="0067706A">
        <w:noBreakHyphen/>
        <w:t>апреле 2014 года сформировал и возглавил гражданин Российской Федерации Гиркин И.В. по прозвищу «Стрелок», имеющий отношение к Главному разведывательному управлению Вооруженных Сил Российской Федерации. Отдельные вооруженные формирования этой террористической организации возглавили граждане указанного государства Здрилюк С.А., Безлер И.М., Можаев О.И.</w:t>
      </w:r>
    </w:p>
    <w:p w:rsidR="0067706A" w:rsidRPr="0067706A" w:rsidRDefault="0067706A" w:rsidP="007E0819">
      <w:pPr>
        <w:pStyle w:val="SingleTxtG"/>
      </w:pPr>
      <w:r w:rsidRPr="0067706A">
        <w:t>Первыми руководящие должности в органах власти указанных псевдореспублик заняли в основном также граждане Российской Федерации.</w:t>
      </w:r>
    </w:p>
    <w:p w:rsidR="0067706A" w:rsidRPr="0067706A" w:rsidRDefault="0067706A" w:rsidP="007E0819">
      <w:pPr>
        <w:pStyle w:val="SingleTxtG"/>
      </w:pPr>
      <w:r w:rsidRPr="0067706A">
        <w:lastRenderedPageBreak/>
        <w:t>К уголовной ответственности привлечены практически все руководители террористических организаций, в том числе лица, незаконно провозгласившие себя и принявшие полномочия министров и других должностных лиц так называемых народных республик «ДНР» и «ЛНР», в том числе 17 граждан Российской Федерации.</w:t>
      </w:r>
    </w:p>
    <w:p w:rsidR="0067706A" w:rsidRPr="0067706A" w:rsidRDefault="0067706A" w:rsidP="007E0819">
      <w:pPr>
        <w:pStyle w:val="SingleTxtG"/>
      </w:pPr>
      <w:r w:rsidRPr="0067706A">
        <w:t>Среди прочих расследуются факты жестокого обращения боевиками террористических организаций с пленными украинскими военнослужащими и правоохранителями, в частности во время проведения 24.08.2015 года так называемого парада «военнопленных». Осуществляется досудебное расследование факта умышленного убийства главарем боевиков гражданином Российской Федерации Павловым А.С. по прозвищу «Моторола» военнослужащего сил АТО Брановицкого И.Е.</w:t>
      </w:r>
    </w:p>
    <w:p w:rsidR="0067706A" w:rsidRPr="0067706A" w:rsidRDefault="0067706A" w:rsidP="007E0819">
      <w:pPr>
        <w:pStyle w:val="SingleTxtG"/>
      </w:pPr>
      <w:r w:rsidRPr="0067706A">
        <w:t>Установлено, что в июне 2014 года на территории города Славянска Донецкой области члены террористической организации «Донецкая народная республика» с целью запугивания населения создали незаконный военно-полевой трибунал, от имени которого вынесли противоправные решения о применении смертной казни к Соловьеву В.В., Климчуку О.О., Назаренко В.В. и Дворниченко О.О.</w:t>
      </w:r>
    </w:p>
    <w:p w:rsidR="0067706A" w:rsidRPr="0067706A" w:rsidRDefault="0067706A" w:rsidP="007E0819">
      <w:pPr>
        <w:pStyle w:val="SingleTxtG"/>
      </w:pPr>
      <w:r w:rsidRPr="0067706A">
        <w:t>Следователями допрошено более 450 свидетелей и потерпевших, в том числе освобожденных из плена террористов военнослужащих Вооруженных Сил Украины, бойцов добровольческих батальонов, гражданских лиц, а также расследуются факты жестокого обращения с ними.</w:t>
      </w:r>
    </w:p>
    <w:p w:rsidR="0067706A" w:rsidRPr="0067706A" w:rsidRDefault="0067706A" w:rsidP="007E0819">
      <w:pPr>
        <w:pStyle w:val="SingleTxtG"/>
      </w:pPr>
      <w:r w:rsidRPr="0067706A">
        <w:t>Факты незаконного лишения свободы, в том числе сотрудниками правоохранительных органов, не установлены. Также, в производствах этой категории не выявлено фактов жестокого обращения с задержанными или взятыми под стражу лицами.</w:t>
      </w:r>
    </w:p>
    <w:p w:rsidR="0067706A" w:rsidRPr="0067706A" w:rsidRDefault="007E0819" w:rsidP="007E0819">
      <w:pPr>
        <w:pStyle w:val="H23G"/>
      </w:pPr>
      <w:r w:rsidRPr="00271922">
        <w:rPr>
          <w:lang w:val="ru-RU"/>
        </w:rPr>
        <w:tab/>
      </w:r>
      <w:r w:rsidRPr="00271922">
        <w:rPr>
          <w:lang w:val="ru-RU"/>
        </w:rPr>
        <w:tab/>
      </w:r>
      <w:r w:rsidR="0067706A" w:rsidRPr="0067706A">
        <w:t>По пунктам 67 - 69, 100</w:t>
      </w:r>
    </w:p>
    <w:p w:rsidR="0067706A" w:rsidRPr="0067706A" w:rsidRDefault="0067706A" w:rsidP="007E0819">
      <w:pPr>
        <w:pStyle w:val="SingleTxtG"/>
      </w:pPr>
      <w:r w:rsidRPr="0067706A">
        <w:t>Фактов незаконного содержания сотрудниками УСБУ в регионах, в том числе в г. Харьков, лиц в неофициальных учреждениях для тайного содержания под стражей, не установлено.</w:t>
      </w:r>
    </w:p>
    <w:p w:rsidR="0067706A" w:rsidRPr="0067706A" w:rsidRDefault="0067706A" w:rsidP="007E0819">
      <w:pPr>
        <w:pStyle w:val="SingleTxtG"/>
      </w:pPr>
      <w:r w:rsidRPr="0067706A">
        <w:t>В частности, согласно приказу Председателя СБ Украины «Об изменениях в штатах СБ Украины и организационных мероприятиях» с 12.04.2013 года отменено место временного содержания (изолятор временного содержания) в секторе обеспечения досудебного следствия УСБУ в Харьковской области.</w:t>
      </w:r>
    </w:p>
    <w:p w:rsidR="0067706A" w:rsidRPr="0067706A" w:rsidRDefault="007E0819" w:rsidP="007E0819">
      <w:pPr>
        <w:pStyle w:val="H23G"/>
      </w:pPr>
      <w:r w:rsidRPr="00271922">
        <w:rPr>
          <w:lang w:val="ru-RU"/>
        </w:rPr>
        <w:tab/>
      </w:r>
      <w:r w:rsidRPr="00271922">
        <w:rPr>
          <w:lang w:val="ru-RU"/>
        </w:rPr>
        <w:tab/>
      </w:r>
      <w:r w:rsidR="0067706A" w:rsidRPr="0067706A">
        <w:t>По пункту 71</w:t>
      </w:r>
    </w:p>
    <w:p w:rsidR="0067706A" w:rsidRPr="0067706A" w:rsidRDefault="0067706A" w:rsidP="007E0819">
      <w:pPr>
        <w:pStyle w:val="SingleTxtG"/>
      </w:pPr>
      <w:r w:rsidRPr="0067706A">
        <w:t>Добровольческие батальоны, которые были привлечены к проведению антитеррористической операции на территории Донецкой и Луганской областей, согласно решению Президента Украины - Верховного Главнокомандующего Вооруженных Сил Украины введены в состав военных частей ВС Украины и Министерства внутренних дел Украины.</w:t>
      </w:r>
    </w:p>
    <w:p w:rsidR="0067706A" w:rsidRPr="0067706A" w:rsidRDefault="007E0819" w:rsidP="007E0819">
      <w:pPr>
        <w:pStyle w:val="H23G"/>
      </w:pPr>
      <w:r w:rsidRPr="00271922">
        <w:rPr>
          <w:lang w:val="ru-RU"/>
        </w:rPr>
        <w:tab/>
      </w:r>
      <w:r w:rsidRPr="00271922">
        <w:rPr>
          <w:lang w:val="ru-RU"/>
        </w:rPr>
        <w:tab/>
      </w:r>
      <w:r w:rsidR="0067706A" w:rsidRPr="0067706A">
        <w:t>По пунктам 87-88</w:t>
      </w:r>
    </w:p>
    <w:p w:rsidR="0067706A" w:rsidRPr="0067706A" w:rsidRDefault="0067706A" w:rsidP="007E0819">
      <w:pPr>
        <w:pStyle w:val="SingleTxtG"/>
      </w:pPr>
      <w:r w:rsidRPr="0067706A">
        <w:t xml:space="preserve">Главным следственным управлением Службы безопасности Украины 17.07.2014 года начато уголовное производство по факту сбития 17.07.2014 года  неустановленными лицами с применением оружия над территорией Донецкой области, контролируемой террористическими организациями «Донецкая народная республика» и «Луганская народная республика», пассажирского самолета «Боинг 777» малазийских авиалиний, следовавшего рейсом «Амстердам - ​​Куала-Лумпур» транзитом через территорию </w:t>
      </w:r>
      <w:r w:rsidRPr="0067706A">
        <w:lastRenderedPageBreak/>
        <w:t>Украины, в результате чего погибло 298 человек, по ч. 3 ст. 258 УК Украины (террористический акт, повлекший гибель людей).</w:t>
      </w:r>
    </w:p>
    <w:p w:rsidR="0067706A" w:rsidRPr="0067706A" w:rsidRDefault="0067706A" w:rsidP="007E0819">
      <w:pPr>
        <w:pStyle w:val="SingleTxtG"/>
      </w:pPr>
      <w:r w:rsidRPr="0067706A">
        <w:t>Аналогичные уголовные расследования начаты также правоохранительными органами Королевства Нидерландов, Бельгии, Малайзии и Австралии, поскольку граждане этих стран погибли в результате сбития самолета.</w:t>
      </w:r>
    </w:p>
    <w:p w:rsidR="0067706A" w:rsidRPr="0067706A" w:rsidRDefault="0067706A" w:rsidP="007E0819">
      <w:pPr>
        <w:pStyle w:val="SingleTxtG"/>
      </w:pPr>
      <w:r w:rsidRPr="0067706A">
        <w:t>Генеральным прокурором Украины 07.08.2014 года подписано соглашение о создании международной совместной следственной группы с участием Украины, Королевства Нидерландов, Бельгии и Австралии, задачей которой является сбор доказательств на территории Сторон Соглашения, имеющих отношение к ходу событий, связанных с совершением террористического акта, в результате которого был сбит самолет рейса МН17.</w:t>
      </w:r>
    </w:p>
    <w:p w:rsidR="0067706A" w:rsidRPr="0067706A" w:rsidRDefault="0067706A" w:rsidP="007E0819">
      <w:pPr>
        <w:pStyle w:val="SingleTxtG"/>
      </w:pPr>
      <w:r w:rsidRPr="0067706A">
        <w:t>В дальнейшем к вышеуказанному Соглашению присоединилась Малайзия.</w:t>
      </w:r>
    </w:p>
    <w:p w:rsidR="0067706A" w:rsidRPr="0067706A" w:rsidRDefault="0067706A" w:rsidP="007E0819">
      <w:pPr>
        <w:pStyle w:val="SingleTxtG"/>
      </w:pPr>
      <w:r w:rsidRPr="0067706A">
        <w:t>Срок действия Соглашения продлен до 07.10.2016 года.</w:t>
      </w:r>
    </w:p>
    <w:p w:rsidR="0067706A" w:rsidRPr="0067706A" w:rsidRDefault="0067706A" w:rsidP="007E0819">
      <w:pPr>
        <w:pStyle w:val="SingleTxtG"/>
      </w:pPr>
      <w:r w:rsidRPr="0067706A">
        <w:t>В настоящее время членами международной совместной следственной группы проведен беспрецедентно большой объем работы, по результатам которой можно говорить о наиболее вероятной версии событий 17 июля 2014 года, следствием которых стало сбитие самолета Малазийских авиалиний.</w:t>
      </w:r>
    </w:p>
    <w:p w:rsidR="0067706A" w:rsidRPr="0067706A" w:rsidRDefault="0067706A" w:rsidP="007E0819">
      <w:pPr>
        <w:pStyle w:val="SingleTxtG"/>
      </w:pPr>
      <w:r w:rsidRPr="0067706A">
        <w:t>В то же время следствие продолжается и продолжается сбор доказательств.</w:t>
      </w:r>
    </w:p>
    <w:p w:rsidR="0067706A" w:rsidRPr="0067706A" w:rsidRDefault="0067706A" w:rsidP="007E0819">
      <w:pPr>
        <w:pStyle w:val="SingleTxtG"/>
      </w:pPr>
      <w:r w:rsidRPr="0067706A">
        <w:t>Однако, согласно п. 9 вышеуказанного Соглашения Стороны должны раскрывать информацию и доказательства (независимо от того, существует ли правовое обязательство это делать) только после процедуры консультаций. Раскрытие информации также будет возможным, если на это дано разрешение руководителями международной совместной следственной группы всех вышеуказанных стран - подписантов соглашения.</w:t>
      </w:r>
    </w:p>
    <w:p w:rsidR="0067706A" w:rsidRPr="0067706A" w:rsidRDefault="0067706A" w:rsidP="007E0819">
      <w:pPr>
        <w:pStyle w:val="SingleTxtG"/>
      </w:pPr>
      <w:r w:rsidRPr="0067706A">
        <w:t>В соответствии с требованиями п. 10.3 никакая информация не будет предоставляться прессе или любым другим образом публично распространяться Сторонами, кроме как с разрешения других Сторон.</w:t>
      </w:r>
    </w:p>
    <w:p w:rsidR="0067706A" w:rsidRPr="0067706A" w:rsidRDefault="0067706A" w:rsidP="007E0819">
      <w:pPr>
        <w:pStyle w:val="SingleTxtG"/>
      </w:pPr>
      <w:r w:rsidRPr="0067706A">
        <w:t>Учитывая изложенное, предоставить какую-либо информацию о состоянии досудебного расследования в уголовном производстве без предварительного согласования другими странами - членами международной совместной следственной группы невозможно.</w:t>
      </w:r>
    </w:p>
    <w:p w:rsidR="0067706A" w:rsidRPr="0067706A" w:rsidRDefault="007E0819" w:rsidP="007E0819">
      <w:pPr>
        <w:pStyle w:val="H23G"/>
      </w:pPr>
      <w:r w:rsidRPr="00271922">
        <w:rPr>
          <w:lang w:val="ru-RU"/>
        </w:rPr>
        <w:tab/>
      </w:r>
      <w:r w:rsidRPr="00271922">
        <w:rPr>
          <w:lang w:val="ru-RU"/>
        </w:rPr>
        <w:tab/>
      </w:r>
      <w:r w:rsidR="0067706A" w:rsidRPr="0067706A">
        <w:t>Работа по розыску без вести пропавших и идентификации тел погибших в районе проведения АТО остается одним из ключевых направлений служебной деятельности следственных подразделений Национальной полиции Украины.</w:t>
      </w:r>
    </w:p>
    <w:p w:rsidR="0067706A" w:rsidRPr="0067706A" w:rsidRDefault="0067706A" w:rsidP="007E0819">
      <w:pPr>
        <w:pStyle w:val="SingleTxtG"/>
      </w:pPr>
      <w:r w:rsidRPr="0067706A">
        <w:t>По состоянию на 01.04.2016 года следователями органов Нацполиции открыто 3687 уголовных производств по фактам пропажи без вести граждан с начала антитеррористической операции, из которых на территории Донецкой области - 2673, Луганской области - 1014, и 2755 уголовных производств по фактам похищения или захвата граждан, из которых 1885 - на территории Донецкой области, 870 - Луганской области.</w:t>
      </w:r>
    </w:p>
    <w:p w:rsidR="0067706A" w:rsidRPr="0067706A" w:rsidRDefault="0067706A" w:rsidP="007E0819">
      <w:pPr>
        <w:pStyle w:val="SingleTxtG"/>
      </w:pPr>
      <w:r w:rsidRPr="0067706A">
        <w:t>На сегодня в других уголовных производствах по фактам пропажи без вести и захвата граждан с учетом ситуации, которая сложилась на территории Донецкой и Луганской областей, проводятся возможные следственные (розыскные) действия, направленные на установление всех обстоятельств совершения указанных уголовных правонарушений.</w:t>
      </w:r>
    </w:p>
    <w:p w:rsidR="0067706A" w:rsidRPr="0067706A" w:rsidRDefault="0067706A" w:rsidP="007E0819">
      <w:pPr>
        <w:pStyle w:val="SingleTxtG"/>
      </w:pPr>
      <w:r w:rsidRPr="0067706A">
        <w:lastRenderedPageBreak/>
        <w:t>За указанный период открыто 679 уголовных производств по фактам обнаружения неопознанных трупов граждан, из которых: 223 - по фактам обнаружения трупов военнослужащих; 122 - гражданских; 334 - останков неопознанных лиц.</w:t>
      </w:r>
    </w:p>
    <w:p w:rsidR="0067706A" w:rsidRPr="0067706A" w:rsidRDefault="0067706A" w:rsidP="007E0819">
      <w:pPr>
        <w:pStyle w:val="SingleTxtG"/>
      </w:pPr>
      <w:r w:rsidRPr="0067706A">
        <w:t>Всего выявлено 1318 неопознанных трупов граждан, из которых: 599 одеты в камуфлированную одежду, 79 - в гражданскую; 640 - не определено. Идентифицировано 307 неопознанных трупов. Опознано без проведения экспертиз - 216. В настоящее время остаток неопознанных трупов граждан составляет 828.</w:t>
      </w:r>
    </w:p>
    <w:p w:rsidR="0067706A" w:rsidRPr="0067706A" w:rsidRDefault="0067706A" w:rsidP="007E0819">
      <w:pPr>
        <w:pStyle w:val="SingleTxtG"/>
      </w:pPr>
      <w:r w:rsidRPr="0067706A">
        <w:t>Всего сообщено о подозрении в рамках указанных уголовных производств 2486 лицам, из которых 1391 человек объявлен в розыск.</w:t>
      </w:r>
    </w:p>
    <w:p w:rsidR="0067706A" w:rsidRPr="0067706A" w:rsidRDefault="0067706A" w:rsidP="007E0819">
      <w:pPr>
        <w:pStyle w:val="SingleTxtG"/>
      </w:pPr>
      <w:r w:rsidRPr="0067706A">
        <w:t>Задержаны 712 человек, из которых 628 избрана мера пресечения в виде содержания под стражей.</w:t>
      </w:r>
    </w:p>
    <w:p w:rsidR="0067706A" w:rsidRPr="0067706A" w:rsidRDefault="0067706A" w:rsidP="007E0819">
      <w:pPr>
        <w:pStyle w:val="SingleTxtG"/>
      </w:pPr>
      <w:r w:rsidRPr="0067706A">
        <w:t>Окончено 675 уголовных производств, в том числе 620 с обвинительным актом или соглашением о признании виновности.</w:t>
      </w:r>
    </w:p>
    <w:p w:rsidR="0067706A" w:rsidRPr="0067706A" w:rsidRDefault="0067706A" w:rsidP="007E0819">
      <w:pPr>
        <w:pStyle w:val="SingleTxtG"/>
      </w:pPr>
      <w:r w:rsidRPr="0067706A">
        <w:t>По ряду уголовных преступлений, совершенных на территории Донецкой и Луганской областей, в том числе на временно оккупированной территории Украины, информируем о том, что следственным отделом Краматорского ОП ГУНП в Донецкой области осуществляется досудебное расследование в уголовном производстве, начатом 03.11.2014 года по факту обнаружения трупов 9 неустановленных лиц, по п.1 ч.2 ст. 115 УК Украины.</w:t>
      </w:r>
    </w:p>
    <w:p w:rsidR="0067706A" w:rsidRPr="0067706A" w:rsidRDefault="0067706A" w:rsidP="007E0819">
      <w:pPr>
        <w:pStyle w:val="SingleTxtG"/>
      </w:pPr>
      <w:r w:rsidRPr="0067706A">
        <w:t>Указанное уголовное производство начато по материалам неправительственной организации «</w:t>
      </w:r>
      <w:r w:rsidRPr="0067706A">
        <w:rPr>
          <w:lang w:val="en-US"/>
        </w:rPr>
        <w:t>Amnesty</w:t>
      </w:r>
      <w:r w:rsidRPr="0067706A">
        <w:t xml:space="preserve"> International» «Внесудебные казни во время конфликта в восточной Украине», в которых указан факт внесудебных казней, совершенных во время вооруженного противостояния в Донецкой области, а именно: выявление в конце сентября 2014 года массовых захоронений неустановленных лиц в Советском районе г. Макеевки (2 захоронения, в общем содержат 9 трупов неустановленных лиц), а именно: 1 захоронение, содержащее 5 трупов - в пгт. Нижняя Крынка, рядом с заброшенным КПП, на захоронении находится табличка с надписью «За путинскую ложь», другое захоронение, содержащее 4 трупа - вблизи шахты 22, расположенной недалеко от с. Коммунар. Как свидетельствуют указанные материалы, все обнаруженные трупы мужского пола.</w:t>
      </w:r>
    </w:p>
    <w:p w:rsidR="0067706A" w:rsidRPr="0067706A" w:rsidRDefault="0067706A" w:rsidP="007E0819">
      <w:pPr>
        <w:pStyle w:val="SingleTxtG"/>
      </w:pPr>
      <w:r w:rsidRPr="0067706A">
        <w:t>В настоящее время досудебное расследование в указанном уголовном производстве продолжается, однако проведение следственных действий затруднено тем, что упомянутая территория, где обнаружены указанные захоронения, контролируется незаконными военными формированиями «ДНР». Следователями ГУНП в Донецкой области указанные трупы осмотрены не были, что не дает возможности назначать и проводить любые судебные экспертизы и делать какие-либо выводы о причинах смерти указанных лиц и предполагаемых преступниках.</w:t>
      </w:r>
    </w:p>
    <w:p w:rsidR="0067706A" w:rsidRPr="0067706A" w:rsidRDefault="0067706A" w:rsidP="007E0819">
      <w:pPr>
        <w:pStyle w:val="SingleTxtG"/>
        <w:rPr>
          <w:color w:val="000000"/>
        </w:rPr>
      </w:pPr>
      <w:r w:rsidRPr="0067706A">
        <w:rPr>
          <w:color w:val="000000"/>
        </w:rPr>
        <w:t>22 июля 2014 года в изоляторе временного содержания Северодонецкого ГО ГУМВД Украины в Луганской области имело место убийство. 23.07.2014 года по данному факту бывшим СО Северодонецкого ГО ГУМВД Украины в Луганской области было открыто уголовное производство по ч. 1 ст. 115 УК Украины.</w:t>
      </w:r>
    </w:p>
    <w:p w:rsidR="0067706A" w:rsidRPr="0067706A" w:rsidRDefault="0067706A" w:rsidP="007E0819">
      <w:pPr>
        <w:pStyle w:val="SingleTxtG"/>
        <w:rPr>
          <w:color w:val="000000"/>
        </w:rPr>
      </w:pPr>
      <w:r w:rsidRPr="0067706A">
        <w:rPr>
          <w:color w:val="000000"/>
        </w:rPr>
        <w:t>В ходе досудебного расследования установлено, что указанное уголовное преступление совершили Олешкевич Валерий Сергеевич (прозвище «Барс»), 11.08.1965 г.р. (по имеющимся данным, погиб 20.09.2014 года), Асеев Александр Викторович, 05.07.1983 г.р., житель г. Стаханов Луганской области, Пикалов Дмитрий Владимирович, 26.01.1989 г.р., житель г. Северодонецк Луганской области.</w:t>
      </w:r>
    </w:p>
    <w:p w:rsidR="0067706A" w:rsidRPr="0067706A" w:rsidRDefault="0067706A" w:rsidP="007E0819">
      <w:pPr>
        <w:pStyle w:val="SingleTxtG"/>
        <w:rPr>
          <w:color w:val="000000"/>
        </w:rPr>
      </w:pPr>
      <w:r w:rsidRPr="0067706A">
        <w:rPr>
          <w:color w:val="000000"/>
        </w:rPr>
        <w:lastRenderedPageBreak/>
        <w:t>13 июня 2014 г., на мелководье г. Северодонецка Луганской области, было найдено три тела мужчин - торговцев наркотиками из г. Приволье и г. Лисичанска, с огнестрельными ранениями в голову.</w:t>
      </w:r>
    </w:p>
    <w:p w:rsidR="0067706A" w:rsidRPr="0067706A" w:rsidRDefault="0067706A" w:rsidP="007E0819">
      <w:pPr>
        <w:pStyle w:val="SingleTxtG"/>
        <w:rPr>
          <w:color w:val="000000"/>
        </w:rPr>
      </w:pPr>
      <w:r w:rsidRPr="0067706A">
        <w:rPr>
          <w:color w:val="000000"/>
        </w:rPr>
        <w:t> 13.06.2014 года по данному факту бывшим СО Северодонецкого ГО ГУМВД Украины в Луганской области начато уголовное производство по признакам состава уголовного преступления, предусмотренного ч. 2 ст. 115 УК Украины.</w:t>
      </w:r>
    </w:p>
    <w:p w:rsidR="0067706A" w:rsidRPr="0067706A" w:rsidRDefault="0067706A" w:rsidP="007E0819">
      <w:pPr>
        <w:pStyle w:val="SingleTxtG"/>
        <w:rPr>
          <w:color w:val="000000"/>
        </w:rPr>
      </w:pPr>
      <w:r w:rsidRPr="0067706A">
        <w:rPr>
          <w:color w:val="000000"/>
        </w:rPr>
        <w:t>Во время досудебного расследования было установлено, что погибшими являются Лукин Денис Викторович, 03.04.1984 г.р., Челяда Виктор Владимирович, 27.10.1972 г.р., Евдокимов Станислав Сергеевич, 12.12.1991 г.р., ранее судимый по ст. 307 УК Украины. Также были установлены лица, причастные к совершению указанного преступления: Виноградов Николай Алексеевич, 1979 г.р., житель г. Лисичанск, Резниченко Сергей Юрьевич, 1981 г.р., житель г. Лисичанск, Лушпай Сергей Петрович, 1975 г.р., житель г. Приволье.</w:t>
      </w:r>
    </w:p>
    <w:p w:rsidR="0067706A" w:rsidRPr="0067706A" w:rsidRDefault="0067706A" w:rsidP="007E0819">
      <w:pPr>
        <w:pStyle w:val="SingleTxtG"/>
        <w:rPr>
          <w:color w:val="000000"/>
        </w:rPr>
      </w:pPr>
      <w:r w:rsidRPr="0067706A">
        <w:rPr>
          <w:color w:val="000000"/>
        </w:rPr>
        <w:t>В настоящее время по упомянутым уголовным производствам продолжается досудебное расследование, принять окончательные решения по ним не представляется возможным, в связи с тем, что лица, причастные к совершению указанного преступления, пребывают в составе незаконных вооруженных формирований на территории, которая временно не контролируется органами государственной власти Украины.</w:t>
      </w:r>
    </w:p>
    <w:p w:rsidR="0067706A" w:rsidRPr="0067706A" w:rsidRDefault="0067706A" w:rsidP="007E0819">
      <w:pPr>
        <w:pStyle w:val="SingleTxtG"/>
        <w:rPr>
          <w:color w:val="000000"/>
        </w:rPr>
      </w:pPr>
      <w:r w:rsidRPr="0067706A">
        <w:rPr>
          <w:color w:val="000000"/>
        </w:rPr>
        <w:t xml:space="preserve">Бывшим следственным управлением ГУМВД Украины в Донецкой области по материалам неправительственной организации </w:t>
      </w:r>
      <w:r w:rsidRPr="0067706A">
        <w:t>«</w:t>
      </w:r>
      <w:r w:rsidRPr="0067706A">
        <w:rPr>
          <w:lang w:val="en-US"/>
        </w:rPr>
        <w:t>Amnesty</w:t>
      </w:r>
      <w:r w:rsidRPr="0067706A">
        <w:t xml:space="preserve"> International» «Внесудебные казни во время конфликта в восточной Украине»</w:t>
      </w:r>
      <w:r w:rsidRPr="0067706A">
        <w:rPr>
          <w:color w:val="000000"/>
        </w:rPr>
        <w:t xml:space="preserve"> проводилась проверка по фактам убийств плененных в г. Донецк представителями незаконных вооруженных формирований военнослужащих ВСУ Брановицкого Игоря и Гаврилюка Андрея.</w:t>
      </w:r>
    </w:p>
    <w:p w:rsidR="0067706A" w:rsidRPr="0067706A" w:rsidRDefault="0067706A" w:rsidP="007E0819">
      <w:pPr>
        <w:pStyle w:val="SingleTxtG"/>
        <w:rPr>
          <w:color w:val="000000"/>
        </w:rPr>
      </w:pPr>
      <w:r w:rsidRPr="0067706A">
        <w:rPr>
          <w:color w:val="000000"/>
        </w:rPr>
        <w:t>Проверкой установлено, что на территории Донецкой области указанные факты не регистрировались, поскольку трупы последних в судебно-медицинские учреждения Донецкой области, расположенные на подконтрольной украинской власти территории, не доставлялись и не осматривались. По результатам проведенной проверки установлено, что оснований для внесения сведений в ЕРДР нет.</w:t>
      </w:r>
    </w:p>
    <w:p w:rsidR="0067706A" w:rsidRPr="0067706A" w:rsidRDefault="0067706A" w:rsidP="007E0819">
      <w:pPr>
        <w:pStyle w:val="SingleTxtG"/>
      </w:pPr>
      <w:r w:rsidRPr="0067706A">
        <w:rPr>
          <w:b/>
          <w:bCs/>
        </w:rPr>
        <w:t>Военными прокуратурами</w:t>
      </w:r>
      <w:r w:rsidRPr="0067706A">
        <w:t xml:space="preserve"> в течение 2015 года расследовалось 23485 уголовных производств. Из указанных производств в суд направлен 3631 обвинительный акт. Закрыто 1949 производств. Также досудебное расследование остановлено в 12571 производстве в связи с розыском подозреваемых.</w:t>
      </w:r>
    </w:p>
    <w:p w:rsidR="0067706A" w:rsidRPr="0067706A" w:rsidRDefault="0067706A" w:rsidP="007E0819">
      <w:pPr>
        <w:pStyle w:val="SingleTxtG"/>
      </w:pPr>
      <w:r w:rsidRPr="0067706A">
        <w:t>В течение первого квартала 2016 года органами военных прокуратур начато 4351 уголовное производство. Расследование закончено по 1445 уголовным производствам, из них: в суд направлено 1062 обвинительных акта, 20 ходатайств об освобождении от уголовной ответственности, закрыто 363 производства. По подследственности направлено 703 производства, 329 присоединены к другим производствам, остановлено 1584. Остается 2154 производства.</w:t>
      </w:r>
    </w:p>
    <w:p w:rsidR="0067706A" w:rsidRPr="0067706A" w:rsidRDefault="0067706A" w:rsidP="007E0819">
      <w:pPr>
        <w:pStyle w:val="SingleTxtG"/>
      </w:pPr>
      <w:r w:rsidRPr="0067706A">
        <w:t>При этом на территории Украины бойцами территориальных «Батальонов» с начала проведения АТО (с 15.03.2014 года по февраль 2016 года) совершено 726 преступлений, которые расследовались (расследуются) следователями военных прокуратур либо военными прокуратурами проводится по ним процессуальное руководство. Среди них: убийства – 11; пытки – 12; незаконные лишения свободы – 27; разбои – 17; создание преступной организации – 29; бандитизм – 6; незаконное завладение транспортным средством – 18; неповиновение – 39; самовольное оставление воинской части или места службы – 244; дезертирство – 176; уклонение от воинской службы путем самокалечения или другим способом – 55; потеря военного имущества – 6, и др.</w:t>
      </w:r>
    </w:p>
    <w:p w:rsidR="0067706A" w:rsidRPr="0067706A" w:rsidRDefault="0067706A" w:rsidP="007E0819">
      <w:pPr>
        <w:pStyle w:val="SingleTxtG"/>
      </w:pPr>
      <w:r w:rsidRPr="0067706A">
        <w:lastRenderedPageBreak/>
        <w:t>В ходе расследования указанных преступлений сообщалось о подозрении 622 лицам, в суд направлены обвинительные акты относительно 381 лица; судами приняты решения по 272 лицам.</w:t>
      </w:r>
    </w:p>
    <w:p w:rsidR="0067706A" w:rsidRPr="0067706A" w:rsidRDefault="0067706A" w:rsidP="007E0819">
      <w:pPr>
        <w:pStyle w:val="SingleTxtG"/>
        <w:rPr>
          <w:b/>
        </w:rPr>
      </w:pPr>
      <w:r w:rsidRPr="0067706A">
        <w:rPr>
          <w:b/>
        </w:rPr>
        <w:t>Досудебное расследование в уголовном производстве по фактам умышленных убийств и покушений на умышленные убийства участников массовых акций протеста в центральной части г. Киева, совершенных в период с 20.01.2014 года по 21.02.2014 года, продолжается.</w:t>
      </w:r>
    </w:p>
    <w:p w:rsidR="0067706A" w:rsidRPr="0067706A" w:rsidRDefault="0067706A" w:rsidP="007E0819">
      <w:pPr>
        <w:pStyle w:val="SingleTxtG"/>
      </w:pPr>
      <w:r w:rsidRPr="0067706A">
        <w:t xml:space="preserve">Генеральной прокуратурой Украины осуществляется досудебное расследование в уголовном производстве </w:t>
      </w:r>
      <w:r w:rsidRPr="0067706A">
        <w:rPr>
          <w:b/>
        </w:rPr>
        <w:t>по факту ненадлежащего исполнения должностными лицами ГУ МВД Украины в Одесской области служебных обязанностей по обеспечению охраны общественного порядка, жизни и здоровья граждан во время массовых беспорядков 02.05.2014 в г. Одесса</w:t>
      </w:r>
      <w:r w:rsidRPr="0067706A">
        <w:t>, что повлекло тяжелые последствия, по признакам преступления, предусмотренного ч. 2 ст. 367, ч. 3 ст. 27, ч. 2. ст. 294, ч. 2 ст. 27, ч. 2 ст. 364, ч. 3 ст. 135 УК Украины.</w:t>
      </w:r>
    </w:p>
    <w:p w:rsidR="0067706A" w:rsidRPr="0067706A" w:rsidRDefault="0067706A" w:rsidP="007E0819">
      <w:pPr>
        <w:pStyle w:val="SingleTxtG"/>
      </w:pPr>
      <w:r w:rsidRPr="0067706A">
        <w:t>Информация о бездеятельности сотрудников милиции во время массовых беспорядков 02.05.2014 года в г. Одессе, в том числе непринятие мер по задержанию вооруженного «сторонника федерации», применявшего огнестрельное оружие, проверяется во время досудебного расследования.</w:t>
      </w:r>
    </w:p>
    <w:p w:rsidR="0067706A" w:rsidRPr="0067706A" w:rsidRDefault="007E0819" w:rsidP="007E0819">
      <w:pPr>
        <w:pStyle w:val="H23G"/>
      </w:pPr>
      <w:r w:rsidRPr="00271922">
        <w:rPr>
          <w:lang w:val="ru-RU"/>
        </w:rPr>
        <w:tab/>
      </w:r>
      <w:r w:rsidRPr="00271922">
        <w:rPr>
          <w:lang w:val="ru-RU"/>
        </w:rPr>
        <w:tab/>
      </w:r>
      <w:r w:rsidR="0067706A" w:rsidRPr="0067706A">
        <w:t>Информация по вопросам, изложенным в части доклада о жестоком обращении со стороны правоохранителей.</w:t>
      </w:r>
    </w:p>
    <w:p w:rsidR="0067706A" w:rsidRPr="0067706A" w:rsidRDefault="0067706A" w:rsidP="007E0819">
      <w:pPr>
        <w:pStyle w:val="SingleTxtG"/>
      </w:pPr>
      <w:r w:rsidRPr="0067706A">
        <w:t>Следователями региональных органов прокуратуры в течение прошлого года проводилось досудебное расследование в 1925 уголовных производствах по заявлениям и сообщениям о фактах возможных пыток и другого жестокого обращения со стороны сотрудников правоохранительных органов. В текущем году следователями региональных прокуратур проводилось досудебное расследование по 552 уголовным производствам относительно таких преступлений.</w:t>
      </w:r>
    </w:p>
    <w:p w:rsidR="0067706A" w:rsidRPr="0067706A" w:rsidRDefault="0067706A" w:rsidP="007E0819">
      <w:pPr>
        <w:pStyle w:val="SingleTxtG"/>
      </w:pPr>
      <w:r w:rsidRPr="0067706A">
        <w:t>По результатам досудебного расследования в 2015 году направлены в суд обвинительные акты по 27 уголовным производствам в отношении 41 лица, в 2016 – 6 в отношении 11 лиц.</w:t>
      </w:r>
    </w:p>
    <w:p w:rsidR="00F06A45" w:rsidRPr="007E0819" w:rsidRDefault="0067706A" w:rsidP="007E0819">
      <w:pPr>
        <w:pStyle w:val="SingleTxtG"/>
        <w:rPr>
          <w:lang w:val="ru-RU"/>
        </w:rPr>
      </w:pPr>
      <w:r w:rsidRPr="0067706A">
        <w:t xml:space="preserve">По результатам судебного рассмотрения вынесено 14 обвинительных приговоров в отношении 30 лиц, из которых 4 лицам назначено наказание в </w:t>
      </w:r>
      <w:r w:rsidR="007E0819">
        <w:t>виде реального лишения свободы.</w:t>
      </w:r>
    </w:p>
    <w:p w:rsidR="007E0819" w:rsidRPr="007E0819" w:rsidRDefault="007E0819" w:rsidP="007E0819">
      <w:pPr>
        <w:pStyle w:val="SingleTxtG"/>
        <w:spacing w:before="240" w:after="0"/>
        <w:jc w:val="center"/>
        <w:rPr>
          <w:u w:val="single"/>
          <w:lang w:val="ru-RU"/>
        </w:rPr>
      </w:pPr>
      <w:r>
        <w:rPr>
          <w:u w:val="single"/>
          <w:lang w:val="ru-RU"/>
        </w:rPr>
        <w:tab/>
      </w:r>
      <w:r>
        <w:rPr>
          <w:u w:val="single"/>
          <w:lang w:val="ru-RU"/>
        </w:rPr>
        <w:tab/>
      </w:r>
      <w:r>
        <w:rPr>
          <w:u w:val="single"/>
          <w:lang w:val="ru-RU"/>
        </w:rPr>
        <w:tab/>
      </w:r>
    </w:p>
    <w:sectPr w:rsidR="007E0819" w:rsidRPr="007E0819" w:rsidSect="00683635">
      <w:headerReference w:type="even" r:id="rId14"/>
      <w:headerReference w:type="default" r:id="rId15"/>
      <w:footerReference w:type="even" r:id="rId16"/>
      <w:footerReference w:type="default" r:id="rId17"/>
      <w:footerReference w:type="first" r:id="rId18"/>
      <w:endnotePr>
        <w:numFmt w:val="decimal"/>
      </w:endnotePr>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783" w:rsidRDefault="009A2783"/>
  </w:endnote>
  <w:endnote w:type="continuationSeparator" w:id="0">
    <w:p w:rsidR="009A2783" w:rsidRDefault="009A2783"/>
  </w:endnote>
  <w:endnote w:type="continuationNotice" w:id="1">
    <w:p w:rsidR="009A2783" w:rsidRDefault="009A27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dobe Caslon Pro">
    <w:altName w:val="Georgia"/>
    <w:panose1 w:val="00000000000000000000"/>
    <w:charset w:val="00"/>
    <w:family w:val="roman"/>
    <w:notTrueType/>
    <w:pitch w:val="variable"/>
    <w:sig w:usb0="00000001"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39T30Lfz">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AD5" w:rsidRDefault="00040AD5">
    <w:pPr>
      <w:pStyle w:val="Footer"/>
    </w:pPr>
    <w:r w:rsidRPr="00AA0053">
      <w:rPr>
        <w:b/>
        <w:sz w:val="18"/>
      </w:rPr>
      <w:fldChar w:fldCharType="begin"/>
    </w:r>
    <w:r w:rsidRPr="00AA0053">
      <w:rPr>
        <w:b/>
        <w:sz w:val="18"/>
      </w:rPr>
      <w:instrText xml:space="preserve"> </w:instrText>
    </w:r>
    <w:r>
      <w:rPr>
        <w:b/>
        <w:sz w:val="18"/>
      </w:rPr>
      <w:instrText>PAGE</w:instrText>
    </w:r>
    <w:r w:rsidRPr="00AA0053">
      <w:rPr>
        <w:b/>
        <w:sz w:val="18"/>
      </w:rPr>
      <w:instrText xml:space="preserve">  \* MERGEFORMAT </w:instrText>
    </w:r>
    <w:r w:rsidRPr="00AA0053">
      <w:rPr>
        <w:b/>
        <w:sz w:val="18"/>
      </w:rPr>
      <w:fldChar w:fldCharType="separate"/>
    </w:r>
    <w:r w:rsidR="000A2063">
      <w:rPr>
        <w:b/>
        <w:noProof/>
        <w:sz w:val="18"/>
      </w:rPr>
      <w:t>2</w:t>
    </w:r>
    <w:r w:rsidRPr="00AA0053">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AD5" w:rsidRDefault="00040AD5" w:rsidP="00683635">
    <w:pPr>
      <w:jc w:val="right"/>
    </w:pPr>
    <w:r w:rsidRPr="00AA0053">
      <w:rPr>
        <w:b/>
        <w:sz w:val="18"/>
      </w:rPr>
      <w:fldChar w:fldCharType="begin"/>
    </w:r>
    <w:r w:rsidRPr="00AA0053">
      <w:rPr>
        <w:b/>
        <w:sz w:val="18"/>
      </w:rPr>
      <w:instrText xml:space="preserve"> </w:instrText>
    </w:r>
    <w:r>
      <w:rPr>
        <w:b/>
        <w:sz w:val="18"/>
      </w:rPr>
      <w:instrText>PAGE</w:instrText>
    </w:r>
    <w:r w:rsidRPr="00AA0053">
      <w:rPr>
        <w:b/>
        <w:sz w:val="18"/>
      </w:rPr>
      <w:instrText xml:space="preserve">  \* MERGEFORMAT </w:instrText>
    </w:r>
    <w:r w:rsidRPr="00AA0053">
      <w:rPr>
        <w:b/>
        <w:sz w:val="18"/>
      </w:rPr>
      <w:fldChar w:fldCharType="separate"/>
    </w:r>
    <w:r w:rsidR="000A2063">
      <w:rPr>
        <w:b/>
        <w:noProof/>
        <w:sz w:val="18"/>
      </w:rPr>
      <w:t>9</w:t>
    </w:r>
    <w:r w:rsidRPr="00AA0053">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AFB" w:rsidRDefault="00554AFB" w:rsidP="00554AFB">
    <w:pPr>
      <w:pStyle w:val="Footer"/>
    </w:pPr>
    <w:r w:rsidRPr="00DA43F5">
      <w:rPr>
        <w:rFonts w:ascii="C39T30Lfz" w:hAnsi="C39T30Lfz"/>
        <w:noProof/>
        <w:sz w:val="56"/>
        <w:u w:val="single"/>
        <w:lang w:eastAsia="en-GB"/>
      </w:rPr>
      <w:drawing>
        <wp:anchor distT="0" distB="0" distL="114300" distR="114300" simplePos="0" relativeHeight="251659264" behindDoc="0" locked="0" layoutInCell="1" allowOverlap="1" wp14:anchorId="493D1C4A" wp14:editId="487330F4">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rsidR="00554AFB" w:rsidRDefault="00554AFB" w:rsidP="00554AFB">
    <w:pPr>
      <w:pStyle w:val="Footer"/>
      <w:ind w:right="1134"/>
      <w:rPr>
        <w:sz w:val="20"/>
      </w:rPr>
    </w:pPr>
    <w:r>
      <w:rPr>
        <w:sz w:val="20"/>
      </w:rPr>
      <w:t>GE.16-09632(E)</w:t>
    </w:r>
  </w:p>
  <w:p w:rsidR="00554AFB" w:rsidRPr="00554AFB" w:rsidRDefault="00554AFB" w:rsidP="00554AFB">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eastAsia="en-GB"/>
      </w:rPr>
      <w:drawing>
        <wp:anchor distT="0" distB="0" distL="114300" distR="114300" simplePos="0" relativeHeight="251660288" behindDoc="0" locked="0" layoutInCell="1" allowOverlap="1">
          <wp:simplePos x="0" y="0"/>
          <wp:positionH relativeFrom="margin">
            <wp:posOffset>5489575</wp:posOffset>
          </wp:positionH>
          <wp:positionV relativeFrom="margin">
            <wp:posOffset>7919720</wp:posOffset>
          </wp:positionV>
          <wp:extent cx="638175" cy="638175"/>
          <wp:effectExtent l="0" t="0" r="9525" b="9525"/>
          <wp:wrapNone/>
          <wp:docPr id="2" name="Picture 1" descr="http://undocs.org/m2/QRCode.ashx?DS=A/HRC/32/39/Add.5&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32/39/Add.5&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783" w:rsidRPr="000B175B" w:rsidRDefault="009A2783" w:rsidP="00683635">
      <w:pPr>
        <w:tabs>
          <w:tab w:val="right" w:pos="2155"/>
        </w:tabs>
        <w:spacing w:after="80"/>
        <w:ind w:left="680"/>
        <w:rPr>
          <w:u w:val="single"/>
        </w:rPr>
      </w:pPr>
      <w:r>
        <w:rPr>
          <w:u w:val="single"/>
        </w:rPr>
        <w:tab/>
      </w:r>
    </w:p>
  </w:footnote>
  <w:footnote w:type="continuationSeparator" w:id="0">
    <w:p w:rsidR="009A2783" w:rsidRPr="00FC68B7" w:rsidRDefault="009A2783" w:rsidP="00683635">
      <w:pPr>
        <w:tabs>
          <w:tab w:val="left" w:pos="2155"/>
        </w:tabs>
        <w:spacing w:after="80"/>
        <w:ind w:left="680"/>
        <w:rPr>
          <w:u w:val="single"/>
        </w:rPr>
      </w:pPr>
      <w:r>
        <w:rPr>
          <w:u w:val="single"/>
        </w:rPr>
        <w:tab/>
      </w:r>
    </w:p>
  </w:footnote>
  <w:footnote w:type="continuationNotice" w:id="1">
    <w:p w:rsidR="009A2783" w:rsidRDefault="009A2783"/>
  </w:footnote>
  <w:footnote w:id="2">
    <w:p w:rsidR="007E0819" w:rsidRPr="007E0819" w:rsidRDefault="007E0819">
      <w:pPr>
        <w:pStyle w:val="FootnoteText"/>
        <w:rPr>
          <w:lang w:val="en-US"/>
        </w:rPr>
      </w:pPr>
      <w:r>
        <w:tab/>
      </w:r>
      <w:r>
        <w:rPr>
          <w:rStyle w:val="FootnoteReference"/>
        </w:rPr>
        <w:t>*</w:t>
      </w:r>
      <w:r>
        <w:tab/>
      </w:r>
      <w:proofErr w:type="gramStart"/>
      <w:r>
        <w:rPr>
          <w:lang w:val="en-US"/>
        </w:rPr>
        <w:t>Reproduced as received.</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AD5" w:rsidRDefault="007E0819" w:rsidP="00683635">
    <w:pPr>
      <w:pStyle w:val="Header"/>
    </w:pPr>
    <w:r>
      <w:t>A/HRC/32/39/Add.5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AD5" w:rsidRDefault="007E0819" w:rsidP="00683635">
    <w:pPr>
      <w:pStyle w:val="Header"/>
      <w:jc w:val="right"/>
    </w:pPr>
    <w:r>
      <w:t>A/HRC/32/39/Add.5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B6680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SimSu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imSun"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imSun"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9A22B48"/>
    <w:multiLevelType w:val="hybridMultilevel"/>
    <w:tmpl w:val="F1A86072"/>
    <w:lvl w:ilvl="0" w:tplc="3574E9E8">
      <w:start w:val="3"/>
      <w:numFmt w:val="upperRoman"/>
      <w:lvlText w:val="%1."/>
      <w:lvlJc w:val="left"/>
      <w:pPr>
        <w:tabs>
          <w:tab w:val="num" w:pos="2039"/>
        </w:tabs>
        <w:ind w:left="2039" w:hanging="720"/>
      </w:pPr>
      <w:rPr>
        <w:rFonts w:hint="default"/>
      </w:rPr>
    </w:lvl>
    <w:lvl w:ilvl="1" w:tplc="04090019" w:tentative="1">
      <w:start w:val="1"/>
      <w:numFmt w:val="lowerLetter"/>
      <w:lvlText w:val="%2."/>
      <w:lvlJc w:val="left"/>
      <w:pPr>
        <w:tabs>
          <w:tab w:val="num" w:pos="2399"/>
        </w:tabs>
        <w:ind w:left="2399" w:hanging="360"/>
      </w:pPr>
    </w:lvl>
    <w:lvl w:ilvl="2" w:tplc="0409001B" w:tentative="1">
      <w:start w:val="1"/>
      <w:numFmt w:val="lowerRoman"/>
      <w:lvlText w:val="%3."/>
      <w:lvlJc w:val="right"/>
      <w:pPr>
        <w:tabs>
          <w:tab w:val="num" w:pos="3119"/>
        </w:tabs>
        <w:ind w:left="3119" w:hanging="180"/>
      </w:pPr>
    </w:lvl>
    <w:lvl w:ilvl="3" w:tplc="0409000F" w:tentative="1">
      <w:start w:val="1"/>
      <w:numFmt w:val="decimal"/>
      <w:lvlText w:val="%4."/>
      <w:lvlJc w:val="left"/>
      <w:pPr>
        <w:tabs>
          <w:tab w:val="num" w:pos="3839"/>
        </w:tabs>
        <w:ind w:left="3839" w:hanging="360"/>
      </w:pPr>
    </w:lvl>
    <w:lvl w:ilvl="4" w:tplc="04090019" w:tentative="1">
      <w:start w:val="1"/>
      <w:numFmt w:val="lowerLetter"/>
      <w:lvlText w:val="%5."/>
      <w:lvlJc w:val="left"/>
      <w:pPr>
        <w:tabs>
          <w:tab w:val="num" w:pos="4559"/>
        </w:tabs>
        <w:ind w:left="4559" w:hanging="360"/>
      </w:pPr>
    </w:lvl>
    <w:lvl w:ilvl="5" w:tplc="0409001B" w:tentative="1">
      <w:start w:val="1"/>
      <w:numFmt w:val="lowerRoman"/>
      <w:lvlText w:val="%6."/>
      <w:lvlJc w:val="right"/>
      <w:pPr>
        <w:tabs>
          <w:tab w:val="num" w:pos="5279"/>
        </w:tabs>
        <w:ind w:left="5279" w:hanging="180"/>
      </w:pPr>
    </w:lvl>
    <w:lvl w:ilvl="6" w:tplc="0409000F" w:tentative="1">
      <w:start w:val="1"/>
      <w:numFmt w:val="decimal"/>
      <w:lvlText w:val="%7."/>
      <w:lvlJc w:val="left"/>
      <w:pPr>
        <w:tabs>
          <w:tab w:val="num" w:pos="5999"/>
        </w:tabs>
        <w:ind w:left="5999" w:hanging="360"/>
      </w:pPr>
    </w:lvl>
    <w:lvl w:ilvl="7" w:tplc="04090019" w:tentative="1">
      <w:start w:val="1"/>
      <w:numFmt w:val="lowerLetter"/>
      <w:lvlText w:val="%8."/>
      <w:lvlJc w:val="left"/>
      <w:pPr>
        <w:tabs>
          <w:tab w:val="num" w:pos="6719"/>
        </w:tabs>
        <w:ind w:left="6719" w:hanging="360"/>
      </w:pPr>
    </w:lvl>
    <w:lvl w:ilvl="8" w:tplc="0409001B" w:tentative="1">
      <w:start w:val="1"/>
      <w:numFmt w:val="lowerRoman"/>
      <w:lvlText w:val="%9."/>
      <w:lvlJc w:val="right"/>
      <w:pPr>
        <w:tabs>
          <w:tab w:val="num" w:pos="7439"/>
        </w:tabs>
        <w:ind w:left="7439" w:hanging="180"/>
      </w:pPr>
    </w:lvl>
  </w:abstractNum>
  <w:abstractNum w:abstractNumId="4">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38630F6"/>
    <w:multiLevelType w:val="hybridMultilevel"/>
    <w:tmpl w:val="F20097A2"/>
    <w:lvl w:ilvl="0" w:tplc="C9369A3C">
      <w:start w:val="1"/>
      <w:numFmt w:val="upperLetter"/>
      <w:lvlText w:val="%1."/>
      <w:lvlJc w:val="left"/>
      <w:pPr>
        <w:tabs>
          <w:tab w:val="num" w:pos="1560"/>
        </w:tabs>
        <w:ind w:left="1560" w:hanging="4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14372C40"/>
    <w:multiLevelType w:val="hybridMultilevel"/>
    <w:tmpl w:val="F1029EBC"/>
    <w:lvl w:ilvl="0" w:tplc="FAE0F544">
      <w:start w:val="1"/>
      <w:numFmt w:val="decimal"/>
      <w:lvlText w:val="%1."/>
      <w:lvlJc w:val="left"/>
      <w:pPr>
        <w:tabs>
          <w:tab w:val="num" w:pos="1636"/>
        </w:tabs>
        <w:ind w:left="1636" w:hanging="360"/>
      </w:pPr>
      <w:rPr>
        <w:b w:val="0"/>
        <w:sz w:val="20"/>
        <w:szCs w:val="20"/>
        <w:lang w:val="x-none"/>
      </w:rPr>
    </w:lvl>
    <w:lvl w:ilvl="1" w:tplc="04090019">
      <w:start w:val="1"/>
      <w:numFmt w:val="lowerLetter"/>
      <w:lvlText w:val="%2."/>
      <w:lvlJc w:val="left"/>
      <w:pPr>
        <w:tabs>
          <w:tab w:val="num" w:pos="1908"/>
        </w:tabs>
        <w:ind w:left="1908" w:hanging="360"/>
      </w:pPr>
    </w:lvl>
    <w:lvl w:ilvl="2" w:tplc="0409001B" w:tentative="1">
      <w:start w:val="1"/>
      <w:numFmt w:val="lowerRoman"/>
      <w:lvlText w:val="%3."/>
      <w:lvlJc w:val="right"/>
      <w:pPr>
        <w:tabs>
          <w:tab w:val="num" w:pos="2628"/>
        </w:tabs>
        <w:ind w:left="2628" w:hanging="180"/>
      </w:pPr>
    </w:lvl>
    <w:lvl w:ilvl="3" w:tplc="0409000F" w:tentative="1">
      <w:start w:val="1"/>
      <w:numFmt w:val="decimal"/>
      <w:lvlText w:val="%4."/>
      <w:lvlJc w:val="left"/>
      <w:pPr>
        <w:tabs>
          <w:tab w:val="num" w:pos="3348"/>
        </w:tabs>
        <w:ind w:left="3348" w:hanging="360"/>
      </w:pPr>
    </w:lvl>
    <w:lvl w:ilvl="4" w:tplc="04090019" w:tentative="1">
      <w:start w:val="1"/>
      <w:numFmt w:val="lowerLetter"/>
      <w:lvlText w:val="%5."/>
      <w:lvlJc w:val="left"/>
      <w:pPr>
        <w:tabs>
          <w:tab w:val="num" w:pos="4068"/>
        </w:tabs>
        <w:ind w:left="4068" w:hanging="360"/>
      </w:pPr>
    </w:lvl>
    <w:lvl w:ilvl="5" w:tplc="0409001B" w:tentative="1">
      <w:start w:val="1"/>
      <w:numFmt w:val="lowerRoman"/>
      <w:lvlText w:val="%6."/>
      <w:lvlJc w:val="right"/>
      <w:pPr>
        <w:tabs>
          <w:tab w:val="num" w:pos="4788"/>
        </w:tabs>
        <w:ind w:left="4788" w:hanging="180"/>
      </w:pPr>
    </w:lvl>
    <w:lvl w:ilvl="6" w:tplc="0409000F" w:tentative="1">
      <w:start w:val="1"/>
      <w:numFmt w:val="decimal"/>
      <w:lvlText w:val="%7."/>
      <w:lvlJc w:val="left"/>
      <w:pPr>
        <w:tabs>
          <w:tab w:val="num" w:pos="5508"/>
        </w:tabs>
        <w:ind w:left="5508" w:hanging="360"/>
      </w:pPr>
    </w:lvl>
    <w:lvl w:ilvl="7" w:tplc="04090019" w:tentative="1">
      <w:start w:val="1"/>
      <w:numFmt w:val="lowerLetter"/>
      <w:lvlText w:val="%8."/>
      <w:lvlJc w:val="left"/>
      <w:pPr>
        <w:tabs>
          <w:tab w:val="num" w:pos="6228"/>
        </w:tabs>
        <w:ind w:left="6228" w:hanging="360"/>
      </w:pPr>
    </w:lvl>
    <w:lvl w:ilvl="8" w:tplc="0409001B" w:tentative="1">
      <w:start w:val="1"/>
      <w:numFmt w:val="lowerRoman"/>
      <w:lvlText w:val="%9."/>
      <w:lvlJc w:val="right"/>
      <w:pPr>
        <w:tabs>
          <w:tab w:val="num" w:pos="6948"/>
        </w:tabs>
        <w:ind w:left="6948" w:hanging="180"/>
      </w:pPr>
    </w:lvl>
  </w:abstractNum>
  <w:abstractNum w:abstractNumId="7">
    <w:nsid w:val="178B6F93"/>
    <w:multiLevelType w:val="hybridMultilevel"/>
    <w:tmpl w:val="76C28704"/>
    <w:lvl w:ilvl="0" w:tplc="735ACC2C">
      <w:start w:val="1"/>
      <w:numFmt w:val="bullet"/>
      <w:lvlText w:val=""/>
      <w:lvlJc w:val="left"/>
      <w:pPr>
        <w:tabs>
          <w:tab w:val="num" w:pos="1480"/>
        </w:tabs>
        <w:ind w:left="1480" w:hanging="360"/>
      </w:pPr>
      <w:rPr>
        <w:rFonts w:ascii="Symbol" w:hAnsi="Symbol" w:hint="default"/>
        <w:sz w:val="20"/>
        <w:szCs w:val="2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3B0B4C"/>
    <w:multiLevelType w:val="multilevel"/>
    <w:tmpl w:val="A2563F78"/>
    <w:lvl w:ilvl="0">
      <w:start w:val="1"/>
      <w:numFmt w:val="decimal"/>
      <w:lvlText w:val="%1"/>
      <w:lvlJc w:val="left"/>
      <w:pPr>
        <w:ind w:left="360" w:hanging="360"/>
      </w:pPr>
      <w:rPr>
        <w:rFonts w:hint="default"/>
        <w:b w:val="0"/>
      </w:rPr>
    </w:lvl>
    <w:lvl w:ilvl="1">
      <w:start w:val="4"/>
      <w:numFmt w:val="decimal"/>
      <w:lvlText w:val="%1.%2"/>
      <w:lvlJc w:val="left"/>
      <w:pPr>
        <w:ind w:left="1571" w:hanging="720"/>
      </w:pPr>
      <w:rPr>
        <w:rFonts w:hint="default"/>
        <w:b/>
      </w:rPr>
    </w:lvl>
    <w:lvl w:ilvl="2">
      <w:start w:val="1"/>
      <w:numFmt w:val="decimal"/>
      <w:lvlText w:val="%1.%2.%3"/>
      <w:lvlJc w:val="left"/>
      <w:pPr>
        <w:ind w:left="2422" w:hanging="720"/>
      </w:pPr>
      <w:rPr>
        <w:rFonts w:hint="default"/>
        <w:b w:val="0"/>
      </w:rPr>
    </w:lvl>
    <w:lvl w:ilvl="3">
      <w:start w:val="1"/>
      <w:numFmt w:val="decimal"/>
      <w:lvlText w:val="%1.%2.%3.%4"/>
      <w:lvlJc w:val="left"/>
      <w:pPr>
        <w:ind w:left="3633" w:hanging="108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695" w:hanging="1440"/>
      </w:pPr>
      <w:rPr>
        <w:rFonts w:hint="default"/>
        <w:b w:val="0"/>
      </w:rPr>
    </w:lvl>
    <w:lvl w:ilvl="6">
      <w:start w:val="1"/>
      <w:numFmt w:val="decimal"/>
      <w:lvlText w:val="%1.%2.%3.%4.%5.%6.%7"/>
      <w:lvlJc w:val="left"/>
      <w:pPr>
        <w:ind w:left="6906" w:hanging="1800"/>
      </w:pPr>
      <w:rPr>
        <w:rFonts w:hint="default"/>
        <w:b w:val="0"/>
      </w:rPr>
    </w:lvl>
    <w:lvl w:ilvl="7">
      <w:start w:val="1"/>
      <w:numFmt w:val="decimal"/>
      <w:lvlText w:val="%1.%2.%3.%4.%5.%6.%7.%8"/>
      <w:lvlJc w:val="left"/>
      <w:pPr>
        <w:ind w:left="7757" w:hanging="1800"/>
      </w:pPr>
      <w:rPr>
        <w:rFonts w:hint="default"/>
        <w:b w:val="0"/>
      </w:rPr>
    </w:lvl>
    <w:lvl w:ilvl="8">
      <w:start w:val="1"/>
      <w:numFmt w:val="decimal"/>
      <w:lvlText w:val="%1.%2.%3.%4.%5.%6.%7.%8.%9"/>
      <w:lvlJc w:val="left"/>
      <w:pPr>
        <w:ind w:left="8968" w:hanging="2160"/>
      </w:pPr>
      <w:rPr>
        <w:rFonts w:hint="default"/>
        <w:b w:val="0"/>
      </w:rPr>
    </w:lvl>
  </w:abstractNum>
  <w:abstractNum w:abstractNumId="9">
    <w:nsid w:val="1B5553F4"/>
    <w:multiLevelType w:val="hybridMultilevel"/>
    <w:tmpl w:val="D250FAE4"/>
    <w:lvl w:ilvl="0" w:tplc="35BE3B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FC90B31"/>
    <w:multiLevelType w:val="hybridMultilevel"/>
    <w:tmpl w:val="F4E20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C149AE"/>
    <w:multiLevelType w:val="hybridMultilevel"/>
    <w:tmpl w:val="E1D8B036"/>
    <w:lvl w:ilvl="0" w:tplc="F1025BFA">
      <w:start w:val="3"/>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53C202A"/>
    <w:multiLevelType w:val="hybridMultilevel"/>
    <w:tmpl w:val="3ECCA456"/>
    <w:lvl w:ilvl="0" w:tplc="1D128BAC">
      <w:start w:val="1"/>
      <w:numFmt w:val="lowerLetter"/>
      <w:lvlText w:val="(%1)"/>
      <w:lvlJc w:val="left"/>
      <w:pPr>
        <w:ind w:left="1854" w:hanging="360"/>
      </w:pPr>
      <w:rPr>
        <w:rFonts w:cs="Times New Roman"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0134D0D"/>
    <w:multiLevelType w:val="hybridMultilevel"/>
    <w:tmpl w:val="A254ED1E"/>
    <w:lvl w:ilvl="0" w:tplc="372E5134">
      <w:start w:val="637"/>
      <w:numFmt w:val="bullet"/>
      <w:lvlText w:val="-"/>
      <w:lvlJc w:val="left"/>
      <w:pPr>
        <w:ind w:left="786" w:hanging="360"/>
      </w:pPr>
      <w:rPr>
        <w:rFonts w:ascii="Adobe Caslon Pro" w:eastAsia="Calibri" w:hAnsi="Adobe Caslon Pro" w:cs="Arial" w:hint="default"/>
        <w:color w:val="auto"/>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6">
    <w:nsid w:val="455A61E8"/>
    <w:multiLevelType w:val="multilevel"/>
    <w:tmpl w:val="E188A254"/>
    <w:lvl w:ilvl="0">
      <w:start w:val="1"/>
      <w:numFmt w:val="upperRoman"/>
      <w:lvlText w:val="%1."/>
      <w:lvlJc w:val="right"/>
      <w:pPr>
        <w:ind w:left="720" w:hanging="360"/>
      </w:pPr>
    </w:lvl>
    <w:lvl w:ilvl="1">
      <w:start w:val="1"/>
      <w:numFmt w:val="decimal"/>
      <w:isLgl/>
      <w:lvlText w:val="%1.%2."/>
      <w:lvlJc w:val="left"/>
      <w:pPr>
        <w:ind w:left="1571"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7">
    <w:nsid w:val="47234B63"/>
    <w:multiLevelType w:val="hybridMultilevel"/>
    <w:tmpl w:val="6B947F06"/>
    <w:lvl w:ilvl="0" w:tplc="C9369A3C">
      <w:start w:val="1"/>
      <w:numFmt w:val="upperLetter"/>
      <w:lvlText w:val="%1."/>
      <w:lvlJc w:val="left"/>
      <w:pPr>
        <w:tabs>
          <w:tab w:val="num" w:pos="1560"/>
        </w:tabs>
        <w:ind w:left="1560" w:hanging="42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8">
    <w:nsid w:val="477461D6"/>
    <w:multiLevelType w:val="hybridMultilevel"/>
    <w:tmpl w:val="AC5A6D18"/>
    <w:lvl w:ilvl="0" w:tplc="080A0001">
      <w:start w:val="1"/>
      <w:numFmt w:val="bullet"/>
      <w:lvlText w:val=""/>
      <w:lvlJc w:val="left"/>
      <w:pPr>
        <w:ind w:left="360" w:hanging="360"/>
      </w:pPr>
      <w:rPr>
        <w:rFonts w:ascii="Symbol" w:hAnsi="Symbo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4D0461A9"/>
    <w:multiLevelType w:val="hybridMultilevel"/>
    <w:tmpl w:val="A962992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E641040"/>
    <w:multiLevelType w:val="hybridMultilevel"/>
    <w:tmpl w:val="0FB8812E"/>
    <w:lvl w:ilvl="0" w:tplc="D9B2FEF0">
      <w:numFmt w:val="bullet"/>
      <w:lvlText w:val="•"/>
      <w:lvlJc w:val="left"/>
      <w:pPr>
        <w:ind w:left="720" w:hanging="360"/>
      </w:pPr>
      <w:rPr>
        <w:rFonts w:ascii="Arial" w:eastAsia="Times New Roman" w:hAnsi="Aria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86B55F4"/>
    <w:multiLevelType w:val="hybridMultilevel"/>
    <w:tmpl w:val="A65825CC"/>
    <w:lvl w:ilvl="0" w:tplc="080A0001">
      <w:start w:val="1"/>
      <w:numFmt w:val="bullet"/>
      <w:lvlText w:val=""/>
      <w:lvlJc w:val="left"/>
      <w:pPr>
        <w:ind w:left="717" w:hanging="360"/>
      </w:pPr>
      <w:rPr>
        <w:rFonts w:ascii="Symbol" w:hAnsi="Symbol" w:hint="default"/>
      </w:rPr>
    </w:lvl>
    <w:lvl w:ilvl="1" w:tplc="080A0003">
      <w:start w:val="1"/>
      <w:numFmt w:val="bullet"/>
      <w:lvlText w:val="o"/>
      <w:lvlJc w:val="left"/>
      <w:pPr>
        <w:ind w:left="1437" w:hanging="360"/>
      </w:pPr>
      <w:rPr>
        <w:rFonts w:ascii="Courier New" w:hAnsi="Courier New" w:cs="Courier New" w:hint="default"/>
      </w:rPr>
    </w:lvl>
    <w:lvl w:ilvl="2" w:tplc="080A0005" w:tentative="1">
      <w:start w:val="1"/>
      <w:numFmt w:val="bullet"/>
      <w:lvlText w:val=""/>
      <w:lvlJc w:val="left"/>
      <w:pPr>
        <w:ind w:left="2157" w:hanging="360"/>
      </w:pPr>
      <w:rPr>
        <w:rFonts w:ascii="Wingdings" w:hAnsi="Wingdings" w:hint="default"/>
      </w:rPr>
    </w:lvl>
    <w:lvl w:ilvl="3" w:tplc="080A0001" w:tentative="1">
      <w:start w:val="1"/>
      <w:numFmt w:val="bullet"/>
      <w:lvlText w:val=""/>
      <w:lvlJc w:val="left"/>
      <w:pPr>
        <w:ind w:left="2877" w:hanging="360"/>
      </w:pPr>
      <w:rPr>
        <w:rFonts w:ascii="Symbol" w:hAnsi="Symbol" w:hint="default"/>
      </w:rPr>
    </w:lvl>
    <w:lvl w:ilvl="4" w:tplc="080A0003" w:tentative="1">
      <w:start w:val="1"/>
      <w:numFmt w:val="bullet"/>
      <w:lvlText w:val="o"/>
      <w:lvlJc w:val="left"/>
      <w:pPr>
        <w:ind w:left="3597" w:hanging="360"/>
      </w:pPr>
      <w:rPr>
        <w:rFonts w:ascii="Courier New" w:hAnsi="Courier New" w:cs="Courier New" w:hint="default"/>
      </w:rPr>
    </w:lvl>
    <w:lvl w:ilvl="5" w:tplc="080A0005" w:tentative="1">
      <w:start w:val="1"/>
      <w:numFmt w:val="bullet"/>
      <w:lvlText w:val=""/>
      <w:lvlJc w:val="left"/>
      <w:pPr>
        <w:ind w:left="4317" w:hanging="360"/>
      </w:pPr>
      <w:rPr>
        <w:rFonts w:ascii="Wingdings" w:hAnsi="Wingdings" w:hint="default"/>
      </w:rPr>
    </w:lvl>
    <w:lvl w:ilvl="6" w:tplc="080A0001" w:tentative="1">
      <w:start w:val="1"/>
      <w:numFmt w:val="bullet"/>
      <w:lvlText w:val=""/>
      <w:lvlJc w:val="left"/>
      <w:pPr>
        <w:ind w:left="5037" w:hanging="360"/>
      </w:pPr>
      <w:rPr>
        <w:rFonts w:ascii="Symbol" w:hAnsi="Symbol" w:hint="default"/>
      </w:rPr>
    </w:lvl>
    <w:lvl w:ilvl="7" w:tplc="080A0003" w:tentative="1">
      <w:start w:val="1"/>
      <w:numFmt w:val="bullet"/>
      <w:lvlText w:val="o"/>
      <w:lvlJc w:val="left"/>
      <w:pPr>
        <w:ind w:left="5757" w:hanging="360"/>
      </w:pPr>
      <w:rPr>
        <w:rFonts w:ascii="Courier New" w:hAnsi="Courier New" w:cs="Courier New" w:hint="default"/>
      </w:rPr>
    </w:lvl>
    <w:lvl w:ilvl="8" w:tplc="080A0005" w:tentative="1">
      <w:start w:val="1"/>
      <w:numFmt w:val="bullet"/>
      <w:lvlText w:val=""/>
      <w:lvlJc w:val="left"/>
      <w:pPr>
        <w:ind w:left="6477" w:hanging="360"/>
      </w:pPr>
      <w:rPr>
        <w:rFonts w:ascii="Wingdings" w:hAnsi="Wingdings" w:hint="default"/>
      </w:rPr>
    </w:lvl>
  </w:abstractNum>
  <w:abstractNum w:abstractNumId="22">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SimSu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imSun"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imSun"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6C07189A"/>
    <w:multiLevelType w:val="hybridMultilevel"/>
    <w:tmpl w:val="B326434A"/>
    <w:lvl w:ilvl="0" w:tplc="0F160338">
      <w:start w:val="31"/>
      <w:numFmt w:val="decimal"/>
      <w:lvlText w:val="%1."/>
      <w:lvlJc w:val="left"/>
      <w:pPr>
        <w:tabs>
          <w:tab w:val="num" w:pos="1689"/>
        </w:tabs>
        <w:ind w:left="1689" w:hanging="555"/>
      </w:pPr>
      <w:rPr>
        <w:rFonts w:hint="default"/>
      </w:rPr>
    </w:lvl>
    <w:lvl w:ilvl="1" w:tplc="040C0019" w:tentative="1">
      <w:start w:val="1"/>
      <w:numFmt w:val="lowerLetter"/>
      <w:lvlText w:val="%2."/>
      <w:lvlJc w:val="left"/>
      <w:pPr>
        <w:tabs>
          <w:tab w:val="num" w:pos="2214"/>
        </w:tabs>
        <w:ind w:left="2214" w:hanging="360"/>
      </w:pPr>
    </w:lvl>
    <w:lvl w:ilvl="2" w:tplc="040C001B" w:tentative="1">
      <w:start w:val="1"/>
      <w:numFmt w:val="lowerRoman"/>
      <w:lvlText w:val="%3."/>
      <w:lvlJc w:val="right"/>
      <w:pPr>
        <w:tabs>
          <w:tab w:val="num" w:pos="2934"/>
        </w:tabs>
        <w:ind w:left="2934" w:hanging="180"/>
      </w:pPr>
    </w:lvl>
    <w:lvl w:ilvl="3" w:tplc="040C000F" w:tentative="1">
      <w:start w:val="1"/>
      <w:numFmt w:val="decimal"/>
      <w:lvlText w:val="%4."/>
      <w:lvlJc w:val="left"/>
      <w:pPr>
        <w:tabs>
          <w:tab w:val="num" w:pos="3654"/>
        </w:tabs>
        <w:ind w:left="3654" w:hanging="360"/>
      </w:pPr>
    </w:lvl>
    <w:lvl w:ilvl="4" w:tplc="040C0019" w:tentative="1">
      <w:start w:val="1"/>
      <w:numFmt w:val="lowerLetter"/>
      <w:lvlText w:val="%5."/>
      <w:lvlJc w:val="left"/>
      <w:pPr>
        <w:tabs>
          <w:tab w:val="num" w:pos="4374"/>
        </w:tabs>
        <w:ind w:left="4374" w:hanging="360"/>
      </w:pPr>
    </w:lvl>
    <w:lvl w:ilvl="5" w:tplc="040C001B" w:tentative="1">
      <w:start w:val="1"/>
      <w:numFmt w:val="lowerRoman"/>
      <w:lvlText w:val="%6."/>
      <w:lvlJc w:val="right"/>
      <w:pPr>
        <w:tabs>
          <w:tab w:val="num" w:pos="5094"/>
        </w:tabs>
        <w:ind w:left="5094" w:hanging="180"/>
      </w:pPr>
    </w:lvl>
    <w:lvl w:ilvl="6" w:tplc="040C000F" w:tentative="1">
      <w:start w:val="1"/>
      <w:numFmt w:val="decimal"/>
      <w:lvlText w:val="%7."/>
      <w:lvlJc w:val="left"/>
      <w:pPr>
        <w:tabs>
          <w:tab w:val="num" w:pos="5814"/>
        </w:tabs>
        <w:ind w:left="5814" w:hanging="360"/>
      </w:pPr>
    </w:lvl>
    <w:lvl w:ilvl="7" w:tplc="040C0019" w:tentative="1">
      <w:start w:val="1"/>
      <w:numFmt w:val="lowerLetter"/>
      <w:lvlText w:val="%8."/>
      <w:lvlJc w:val="left"/>
      <w:pPr>
        <w:tabs>
          <w:tab w:val="num" w:pos="6534"/>
        </w:tabs>
        <w:ind w:left="6534" w:hanging="360"/>
      </w:pPr>
    </w:lvl>
    <w:lvl w:ilvl="8" w:tplc="040C001B" w:tentative="1">
      <w:start w:val="1"/>
      <w:numFmt w:val="lowerRoman"/>
      <w:lvlText w:val="%9."/>
      <w:lvlJc w:val="right"/>
      <w:pPr>
        <w:tabs>
          <w:tab w:val="num" w:pos="7254"/>
        </w:tabs>
        <w:ind w:left="7254" w:hanging="180"/>
      </w:pPr>
    </w:lvl>
  </w:abstractNum>
  <w:abstractNum w:abstractNumId="24">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nsid w:val="7A02668B"/>
    <w:multiLevelType w:val="hybridMultilevel"/>
    <w:tmpl w:val="AAFE4DCC"/>
    <w:lvl w:ilvl="0" w:tplc="1D128BAC">
      <w:start w:val="1"/>
      <w:numFmt w:val="lowerLetter"/>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6">
    <w:nsid w:val="7C726D3E"/>
    <w:multiLevelType w:val="hybridMultilevel"/>
    <w:tmpl w:val="53789F1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4"/>
  </w:num>
  <w:num w:numId="2">
    <w:abstractNumId w:val="10"/>
  </w:num>
  <w:num w:numId="3">
    <w:abstractNumId w:val="24"/>
  </w:num>
  <w:num w:numId="4">
    <w:abstractNumId w:val="4"/>
  </w:num>
  <w:num w:numId="5">
    <w:abstractNumId w:val="1"/>
  </w:num>
  <w:num w:numId="6">
    <w:abstractNumId w:val="2"/>
  </w:num>
  <w:num w:numId="7">
    <w:abstractNumId w:val="22"/>
  </w:num>
  <w:num w:numId="8">
    <w:abstractNumId w:val="17"/>
  </w:num>
  <w:num w:numId="9">
    <w:abstractNumId w:val="3"/>
  </w:num>
  <w:num w:numId="10">
    <w:abstractNumId w:val="5"/>
  </w:num>
  <w:num w:numId="11">
    <w:abstractNumId w:val="11"/>
  </w:num>
  <w:num w:numId="12">
    <w:abstractNumId w:val="23"/>
  </w:num>
  <w:num w:numId="13">
    <w:abstractNumId w:val="25"/>
  </w:num>
  <w:num w:numId="14">
    <w:abstractNumId w:val="0"/>
  </w:num>
  <w:num w:numId="15">
    <w:abstractNumId w:val="9"/>
  </w:num>
  <w:num w:numId="16">
    <w:abstractNumId w:val="13"/>
  </w:num>
  <w:num w:numId="17">
    <w:abstractNumId w:val="7"/>
  </w:num>
  <w:num w:numId="18">
    <w:abstractNumId w:val="6"/>
  </w:num>
  <w:num w:numId="19">
    <w:abstractNumId w:val="12"/>
  </w:num>
  <w:num w:numId="20">
    <w:abstractNumId w:val="21"/>
  </w:num>
  <w:num w:numId="21">
    <w:abstractNumId w:val="15"/>
  </w:num>
  <w:num w:numId="22">
    <w:abstractNumId w:val="20"/>
  </w:num>
  <w:num w:numId="23">
    <w:abstractNumId w:val="19"/>
  </w:num>
  <w:num w:numId="24">
    <w:abstractNumId w:val="16"/>
  </w:num>
  <w:num w:numId="25">
    <w:abstractNumId w:val="26"/>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3A9"/>
    <w:rsid w:val="00021D68"/>
    <w:rsid w:val="00040AD5"/>
    <w:rsid w:val="00052F99"/>
    <w:rsid w:val="000715DC"/>
    <w:rsid w:val="000731C3"/>
    <w:rsid w:val="00087D28"/>
    <w:rsid w:val="000A2063"/>
    <w:rsid w:val="000C7066"/>
    <w:rsid w:val="000D41BA"/>
    <w:rsid w:val="000D73D1"/>
    <w:rsid w:val="000E16E7"/>
    <w:rsid w:val="000E2B8B"/>
    <w:rsid w:val="000E5255"/>
    <w:rsid w:val="00123865"/>
    <w:rsid w:val="001538F0"/>
    <w:rsid w:val="00154811"/>
    <w:rsid w:val="001B02B3"/>
    <w:rsid w:val="001E3C14"/>
    <w:rsid w:val="001E4BF7"/>
    <w:rsid w:val="00232E2A"/>
    <w:rsid w:val="00252CCA"/>
    <w:rsid w:val="00271922"/>
    <w:rsid w:val="00272594"/>
    <w:rsid w:val="002863DC"/>
    <w:rsid w:val="00294995"/>
    <w:rsid w:val="002B6A57"/>
    <w:rsid w:val="002D300B"/>
    <w:rsid w:val="002F3081"/>
    <w:rsid w:val="00336D38"/>
    <w:rsid w:val="00363D60"/>
    <w:rsid w:val="00375FB9"/>
    <w:rsid w:val="003E525B"/>
    <w:rsid w:val="004364E9"/>
    <w:rsid w:val="0045060B"/>
    <w:rsid w:val="00453929"/>
    <w:rsid w:val="004C4031"/>
    <w:rsid w:val="004D4512"/>
    <w:rsid w:val="004E48A9"/>
    <w:rsid w:val="00510A4D"/>
    <w:rsid w:val="00513A1C"/>
    <w:rsid w:val="00517622"/>
    <w:rsid w:val="005279DA"/>
    <w:rsid w:val="0054238D"/>
    <w:rsid w:val="005464DD"/>
    <w:rsid w:val="00554AFB"/>
    <w:rsid w:val="005858C1"/>
    <w:rsid w:val="00587BA4"/>
    <w:rsid w:val="005B10E0"/>
    <w:rsid w:val="005C0373"/>
    <w:rsid w:val="005C31C4"/>
    <w:rsid w:val="005C7DBB"/>
    <w:rsid w:val="006528B0"/>
    <w:rsid w:val="006564D4"/>
    <w:rsid w:val="00670732"/>
    <w:rsid w:val="0067706A"/>
    <w:rsid w:val="00683635"/>
    <w:rsid w:val="00691F09"/>
    <w:rsid w:val="006C74C7"/>
    <w:rsid w:val="006D1DC3"/>
    <w:rsid w:val="006D3B06"/>
    <w:rsid w:val="006E53CA"/>
    <w:rsid w:val="00704F0C"/>
    <w:rsid w:val="00734071"/>
    <w:rsid w:val="00743BEB"/>
    <w:rsid w:val="007649B3"/>
    <w:rsid w:val="007952E9"/>
    <w:rsid w:val="007A51E7"/>
    <w:rsid w:val="007E0819"/>
    <w:rsid w:val="00822FB6"/>
    <w:rsid w:val="008408FD"/>
    <w:rsid w:val="008855FD"/>
    <w:rsid w:val="008C30DC"/>
    <w:rsid w:val="009038F5"/>
    <w:rsid w:val="00920EEA"/>
    <w:rsid w:val="00944249"/>
    <w:rsid w:val="009710A6"/>
    <w:rsid w:val="00997EBF"/>
    <w:rsid w:val="009A2783"/>
    <w:rsid w:val="009C49F9"/>
    <w:rsid w:val="00A028AF"/>
    <w:rsid w:val="00A102AB"/>
    <w:rsid w:val="00A174BB"/>
    <w:rsid w:val="00A20B07"/>
    <w:rsid w:val="00A5407A"/>
    <w:rsid w:val="00A544A3"/>
    <w:rsid w:val="00AB3089"/>
    <w:rsid w:val="00AF13A9"/>
    <w:rsid w:val="00B03956"/>
    <w:rsid w:val="00B4083C"/>
    <w:rsid w:val="00B43E68"/>
    <w:rsid w:val="00B935EE"/>
    <w:rsid w:val="00BB1E87"/>
    <w:rsid w:val="00BD227F"/>
    <w:rsid w:val="00BF1D8D"/>
    <w:rsid w:val="00C02B32"/>
    <w:rsid w:val="00C07332"/>
    <w:rsid w:val="00C12474"/>
    <w:rsid w:val="00C24BE9"/>
    <w:rsid w:val="00C257A1"/>
    <w:rsid w:val="00C26BDE"/>
    <w:rsid w:val="00C45664"/>
    <w:rsid w:val="00C47A84"/>
    <w:rsid w:val="00C8110E"/>
    <w:rsid w:val="00D0436F"/>
    <w:rsid w:val="00D43249"/>
    <w:rsid w:val="00D732B9"/>
    <w:rsid w:val="00DB31E6"/>
    <w:rsid w:val="00E34C92"/>
    <w:rsid w:val="00E4366D"/>
    <w:rsid w:val="00E836B2"/>
    <w:rsid w:val="00E95B1E"/>
    <w:rsid w:val="00EB3E22"/>
    <w:rsid w:val="00EC79AE"/>
    <w:rsid w:val="00ED301C"/>
    <w:rsid w:val="00F06A45"/>
    <w:rsid w:val="00F4556F"/>
    <w:rsid w:val="00F5370F"/>
    <w:rsid w:val="00F91CCB"/>
    <w:rsid w:val="00F94234"/>
    <w:rsid w:val="00FA14A9"/>
    <w:rsid w:val="00FB0599"/>
    <w:rsid w:val="00FC41E2"/>
    <w:rsid w:val="00FC7007"/>
    <w:rsid w:val="00FD3821"/>
    <w:rsid w:val="00FE45AE"/>
    <w:rsid w:val="00FF76D3"/>
    <w:rsid w:val="00FF7FD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0640"/>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rPr>
      <w:lang w:val="x-none"/>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16 Point,Superscript 6 Point,callout,Ref,de nota al pie,Appel note de bas de p."/>
    <w:uiPriority w:val="99"/>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s,Note de bas de page2,fn,Fußnotentext RAXEN,Footnote Text Char,Footnote Text Char2 Char,Footnote Text Char Char1 Char,Footnote Text Char2 Char Char Char,Footnote Text Char1 Char Char Char Char,footnotes,footnote text,Tex"/>
    <w:basedOn w:val="Normal"/>
    <w:link w:val="FootnoteTextChar1"/>
    <w:uiPriority w:val="99"/>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CF0214"/>
    <w:pPr>
      <w:keepNext/>
      <w:keepLines/>
      <w:tabs>
        <w:tab w:val="right" w:pos="851"/>
      </w:tabs>
      <w:spacing w:before="240" w:after="120" w:line="240" w:lineRule="exact"/>
      <w:ind w:left="1134" w:right="1134" w:hanging="1134"/>
    </w:pPr>
    <w:rPr>
      <w:b/>
      <w:lang w:val="x-none"/>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1">
    <w:name w:val="Footnote Text Char1"/>
    <w:aliases w:val="5_G Char,Footnotes Char,Note de bas de page2 Char,fn Char,Fußnotentext RAXEN Char,Footnote Text Char Char,Footnote Text Char2 Char Char,Footnote Text Char Char1 Char Char,Footnote Text Char2 Char Char Char Char,footnotes Char"/>
    <w:link w:val="FootnoteText"/>
    <w:uiPriority w:val="99"/>
    <w:rsid w:val="001F20CA"/>
    <w:rPr>
      <w:sz w:val="18"/>
      <w:lang w:val="en-GB" w:eastAsia="en-US" w:bidi="ar-SA"/>
    </w:rPr>
  </w:style>
  <w:style w:type="paragraph" w:styleId="BalloonText">
    <w:name w:val="Balloon Text"/>
    <w:basedOn w:val="Normal"/>
    <w:semiHidden/>
    <w:rsid w:val="00AC1E38"/>
    <w:rPr>
      <w:rFonts w:ascii="Tahoma" w:hAnsi="Tahoma" w:cs="Tahoma"/>
      <w:sz w:val="16"/>
      <w:szCs w:val="16"/>
    </w:rPr>
  </w:style>
  <w:style w:type="character" w:customStyle="1" w:styleId="HeaderChar">
    <w:name w:val="Header Char"/>
    <w:aliases w:val="6_G Char"/>
    <w:link w:val="Header"/>
    <w:uiPriority w:val="99"/>
    <w:rsid w:val="00760BF3"/>
    <w:rPr>
      <w:b/>
      <w:sz w:val="18"/>
      <w:lang w:val="en-GB" w:eastAsia="en-US" w:bidi="ar-SA"/>
    </w:rPr>
  </w:style>
  <w:style w:type="character" w:customStyle="1" w:styleId="H1GChar">
    <w:name w:val="_ H_1_G Char"/>
    <w:link w:val="H1G"/>
    <w:rsid w:val="00E9729A"/>
    <w:rPr>
      <w:b/>
      <w:sz w:val="24"/>
      <w:lang w:val="en-GB" w:eastAsia="en-US" w:bidi="ar-SA"/>
    </w:rPr>
  </w:style>
  <w:style w:type="character" w:customStyle="1" w:styleId="HChGChar">
    <w:name w:val="_ H _Ch_G Char"/>
    <w:link w:val="HChG"/>
    <w:rsid w:val="006652BD"/>
    <w:rPr>
      <w:b/>
      <w:sz w:val="28"/>
      <w:lang w:val="en-GB" w:eastAsia="en-US" w:bidi="ar-SA"/>
    </w:rPr>
  </w:style>
  <w:style w:type="character" w:styleId="CommentReference">
    <w:name w:val="annotation reference"/>
    <w:semiHidden/>
    <w:rsid w:val="008F63F6"/>
    <w:rPr>
      <w:sz w:val="16"/>
      <w:szCs w:val="16"/>
    </w:rPr>
  </w:style>
  <w:style w:type="paragraph" w:styleId="CommentText">
    <w:name w:val="annotation text"/>
    <w:basedOn w:val="Normal"/>
    <w:link w:val="CommentTextChar"/>
    <w:uiPriority w:val="99"/>
    <w:semiHidden/>
    <w:rsid w:val="008F63F6"/>
    <w:rPr>
      <w:lang w:val="x-none"/>
    </w:rPr>
  </w:style>
  <w:style w:type="paragraph" w:styleId="CommentSubject">
    <w:name w:val="annotation subject"/>
    <w:basedOn w:val="CommentText"/>
    <w:next w:val="CommentText"/>
    <w:semiHidden/>
    <w:rsid w:val="008F63F6"/>
    <w:rPr>
      <w:b/>
      <w:bCs/>
    </w:rPr>
  </w:style>
  <w:style w:type="paragraph" w:customStyle="1" w:styleId="ListParagraph1">
    <w:name w:val="List Paragraph1"/>
    <w:basedOn w:val="Normal"/>
    <w:qFormat/>
    <w:rsid w:val="00772381"/>
    <w:pPr>
      <w:suppressAutoHyphens w:val="0"/>
      <w:spacing w:line="240" w:lineRule="auto"/>
      <w:ind w:left="720"/>
      <w:contextualSpacing/>
    </w:pPr>
    <w:rPr>
      <w:rFonts w:ascii="Cambria" w:eastAsia="MS Mincho" w:hAnsi="Cambria"/>
      <w:sz w:val="24"/>
      <w:szCs w:val="24"/>
      <w:lang w:val="en-US"/>
    </w:rPr>
  </w:style>
  <w:style w:type="paragraph" w:customStyle="1" w:styleId="ColorfulShading-Accent11">
    <w:name w:val="Colorful Shading - Accent 11"/>
    <w:hidden/>
    <w:uiPriority w:val="99"/>
    <w:semiHidden/>
    <w:rsid w:val="00A35539"/>
    <w:rPr>
      <w:lang w:eastAsia="en-US"/>
    </w:rPr>
  </w:style>
  <w:style w:type="character" w:customStyle="1" w:styleId="SingleTxtGChar">
    <w:name w:val="_ Single Txt_G Char"/>
    <w:link w:val="SingleTxtG"/>
    <w:rsid w:val="009E6CD9"/>
    <w:rPr>
      <w:lang w:eastAsia="en-US"/>
    </w:rPr>
  </w:style>
  <w:style w:type="character" w:customStyle="1" w:styleId="CommentTextChar">
    <w:name w:val="Comment Text Char"/>
    <w:link w:val="CommentText"/>
    <w:uiPriority w:val="99"/>
    <w:semiHidden/>
    <w:rsid w:val="0015058E"/>
    <w:rPr>
      <w:lang w:eastAsia="en-US"/>
    </w:rPr>
  </w:style>
  <w:style w:type="character" w:customStyle="1" w:styleId="5GCharChar">
    <w:name w:val="5_G Char Char"/>
    <w:rsid w:val="00627A9C"/>
    <w:rPr>
      <w:sz w:val="18"/>
      <w:lang w:val="en-GB" w:eastAsia="en-US" w:bidi="ar-SA"/>
    </w:rPr>
  </w:style>
  <w:style w:type="character" w:customStyle="1" w:styleId="H23GChar">
    <w:name w:val="_ H_2/3_G Char"/>
    <w:link w:val="H23G"/>
    <w:rsid w:val="00BA226D"/>
    <w:rPr>
      <w:b/>
      <w:lang w:eastAsia="en-US"/>
    </w:rPr>
  </w:style>
  <w:style w:type="character" w:styleId="Emphasis">
    <w:name w:val="Emphasis"/>
    <w:qFormat/>
    <w:rsid w:val="007F6D76"/>
    <w:rPr>
      <w:i/>
    </w:rPr>
  </w:style>
  <w:style w:type="paragraph" w:customStyle="1" w:styleId="ColorfulShading-Accent12">
    <w:name w:val="Colorful Shading - Accent 12"/>
    <w:hidden/>
    <w:uiPriority w:val="99"/>
    <w:semiHidden/>
    <w:rsid w:val="0050583B"/>
    <w:rPr>
      <w:lang w:eastAsia="en-US"/>
    </w:rPr>
  </w:style>
  <w:style w:type="paragraph" w:styleId="ListParagraph">
    <w:name w:val="List Paragraph"/>
    <w:basedOn w:val="Normal"/>
    <w:uiPriority w:val="34"/>
    <w:qFormat/>
    <w:rsid w:val="001B02B3"/>
    <w:pPr>
      <w:suppressAutoHyphens w:val="0"/>
      <w:spacing w:after="200" w:line="276" w:lineRule="auto"/>
      <w:ind w:left="720"/>
      <w:contextualSpacing/>
    </w:pPr>
    <w:rPr>
      <w:rFonts w:ascii="Calibri" w:hAnsi="Calibri"/>
      <w:sz w:val="22"/>
      <w:szCs w:val="22"/>
      <w:lang w:val="tr-TR" w:eastAsia="tr-TR"/>
    </w:rPr>
  </w:style>
  <w:style w:type="character" w:customStyle="1" w:styleId="FontStyle100">
    <w:name w:val="Font Style100"/>
    <w:uiPriority w:val="99"/>
    <w:rsid w:val="00C12474"/>
    <w:rPr>
      <w:rFonts w:ascii="Times New Roman" w:hAnsi="Times New Roman" w:cs="Times New Roman"/>
      <w:sz w:val="18"/>
      <w:szCs w:val="18"/>
    </w:rPr>
  </w:style>
  <w:style w:type="character" w:customStyle="1" w:styleId="Heading1Char">
    <w:name w:val="Heading 1 Char"/>
    <w:aliases w:val="Table_G Char"/>
    <w:link w:val="Heading1"/>
    <w:uiPriority w:val="9"/>
    <w:rsid w:val="004E48A9"/>
    <w:rPr>
      <w:lang w:val="x-none" w:eastAsia="en-US"/>
    </w:rPr>
  </w:style>
  <w:style w:type="character" w:customStyle="1" w:styleId="FooterChar">
    <w:name w:val="Footer Char"/>
    <w:aliases w:val="3_G Char"/>
    <w:link w:val="Footer"/>
    <w:uiPriority w:val="99"/>
    <w:rsid w:val="00F06A45"/>
    <w:rPr>
      <w:sz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0640"/>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rPr>
      <w:lang w:val="x-none"/>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16 Point,Superscript 6 Point,callout,Ref,de nota al pie,Appel note de bas de p."/>
    <w:uiPriority w:val="99"/>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s,Note de bas de page2,fn,Fußnotentext RAXEN,Footnote Text Char,Footnote Text Char2 Char,Footnote Text Char Char1 Char,Footnote Text Char2 Char Char Char,Footnote Text Char1 Char Char Char Char,footnotes,footnote text,Tex"/>
    <w:basedOn w:val="Normal"/>
    <w:link w:val="FootnoteTextChar1"/>
    <w:uiPriority w:val="99"/>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CF0214"/>
    <w:pPr>
      <w:keepNext/>
      <w:keepLines/>
      <w:tabs>
        <w:tab w:val="right" w:pos="851"/>
      </w:tabs>
      <w:spacing w:before="240" w:after="120" w:line="240" w:lineRule="exact"/>
      <w:ind w:left="1134" w:right="1134" w:hanging="1134"/>
    </w:pPr>
    <w:rPr>
      <w:b/>
      <w:lang w:val="x-none"/>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1">
    <w:name w:val="Footnote Text Char1"/>
    <w:aliases w:val="5_G Char,Footnotes Char,Note de bas de page2 Char,fn Char,Fußnotentext RAXEN Char,Footnote Text Char Char,Footnote Text Char2 Char Char,Footnote Text Char Char1 Char Char,Footnote Text Char2 Char Char Char Char,footnotes Char"/>
    <w:link w:val="FootnoteText"/>
    <w:uiPriority w:val="99"/>
    <w:rsid w:val="001F20CA"/>
    <w:rPr>
      <w:sz w:val="18"/>
      <w:lang w:val="en-GB" w:eastAsia="en-US" w:bidi="ar-SA"/>
    </w:rPr>
  </w:style>
  <w:style w:type="paragraph" w:styleId="BalloonText">
    <w:name w:val="Balloon Text"/>
    <w:basedOn w:val="Normal"/>
    <w:semiHidden/>
    <w:rsid w:val="00AC1E38"/>
    <w:rPr>
      <w:rFonts w:ascii="Tahoma" w:hAnsi="Tahoma" w:cs="Tahoma"/>
      <w:sz w:val="16"/>
      <w:szCs w:val="16"/>
    </w:rPr>
  </w:style>
  <w:style w:type="character" w:customStyle="1" w:styleId="HeaderChar">
    <w:name w:val="Header Char"/>
    <w:aliases w:val="6_G Char"/>
    <w:link w:val="Header"/>
    <w:uiPriority w:val="99"/>
    <w:rsid w:val="00760BF3"/>
    <w:rPr>
      <w:b/>
      <w:sz w:val="18"/>
      <w:lang w:val="en-GB" w:eastAsia="en-US" w:bidi="ar-SA"/>
    </w:rPr>
  </w:style>
  <w:style w:type="character" w:customStyle="1" w:styleId="H1GChar">
    <w:name w:val="_ H_1_G Char"/>
    <w:link w:val="H1G"/>
    <w:rsid w:val="00E9729A"/>
    <w:rPr>
      <w:b/>
      <w:sz w:val="24"/>
      <w:lang w:val="en-GB" w:eastAsia="en-US" w:bidi="ar-SA"/>
    </w:rPr>
  </w:style>
  <w:style w:type="character" w:customStyle="1" w:styleId="HChGChar">
    <w:name w:val="_ H _Ch_G Char"/>
    <w:link w:val="HChG"/>
    <w:rsid w:val="006652BD"/>
    <w:rPr>
      <w:b/>
      <w:sz w:val="28"/>
      <w:lang w:val="en-GB" w:eastAsia="en-US" w:bidi="ar-SA"/>
    </w:rPr>
  </w:style>
  <w:style w:type="character" w:styleId="CommentReference">
    <w:name w:val="annotation reference"/>
    <w:semiHidden/>
    <w:rsid w:val="008F63F6"/>
    <w:rPr>
      <w:sz w:val="16"/>
      <w:szCs w:val="16"/>
    </w:rPr>
  </w:style>
  <w:style w:type="paragraph" w:styleId="CommentText">
    <w:name w:val="annotation text"/>
    <w:basedOn w:val="Normal"/>
    <w:link w:val="CommentTextChar"/>
    <w:uiPriority w:val="99"/>
    <w:semiHidden/>
    <w:rsid w:val="008F63F6"/>
    <w:rPr>
      <w:lang w:val="x-none"/>
    </w:rPr>
  </w:style>
  <w:style w:type="paragraph" w:styleId="CommentSubject">
    <w:name w:val="annotation subject"/>
    <w:basedOn w:val="CommentText"/>
    <w:next w:val="CommentText"/>
    <w:semiHidden/>
    <w:rsid w:val="008F63F6"/>
    <w:rPr>
      <w:b/>
      <w:bCs/>
    </w:rPr>
  </w:style>
  <w:style w:type="paragraph" w:customStyle="1" w:styleId="ListParagraph1">
    <w:name w:val="List Paragraph1"/>
    <w:basedOn w:val="Normal"/>
    <w:qFormat/>
    <w:rsid w:val="00772381"/>
    <w:pPr>
      <w:suppressAutoHyphens w:val="0"/>
      <w:spacing w:line="240" w:lineRule="auto"/>
      <w:ind w:left="720"/>
      <w:contextualSpacing/>
    </w:pPr>
    <w:rPr>
      <w:rFonts w:ascii="Cambria" w:eastAsia="MS Mincho" w:hAnsi="Cambria"/>
      <w:sz w:val="24"/>
      <w:szCs w:val="24"/>
      <w:lang w:val="en-US"/>
    </w:rPr>
  </w:style>
  <w:style w:type="paragraph" w:customStyle="1" w:styleId="ColorfulShading-Accent11">
    <w:name w:val="Colorful Shading - Accent 11"/>
    <w:hidden/>
    <w:uiPriority w:val="99"/>
    <w:semiHidden/>
    <w:rsid w:val="00A35539"/>
    <w:rPr>
      <w:lang w:eastAsia="en-US"/>
    </w:rPr>
  </w:style>
  <w:style w:type="character" w:customStyle="1" w:styleId="SingleTxtGChar">
    <w:name w:val="_ Single Txt_G Char"/>
    <w:link w:val="SingleTxtG"/>
    <w:rsid w:val="009E6CD9"/>
    <w:rPr>
      <w:lang w:eastAsia="en-US"/>
    </w:rPr>
  </w:style>
  <w:style w:type="character" w:customStyle="1" w:styleId="CommentTextChar">
    <w:name w:val="Comment Text Char"/>
    <w:link w:val="CommentText"/>
    <w:uiPriority w:val="99"/>
    <w:semiHidden/>
    <w:rsid w:val="0015058E"/>
    <w:rPr>
      <w:lang w:eastAsia="en-US"/>
    </w:rPr>
  </w:style>
  <w:style w:type="character" w:customStyle="1" w:styleId="5GCharChar">
    <w:name w:val="5_G Char Char"/>
    <w:rsid w:val="00627A9C"/>
    <w:rPr>
      <w:sz w:val="18"/>
      <w:lang w:val="en-GB" w:eastAsia="en-US" w:bidi="ar-SA"/>
    </w:rPr>
  </w:style>
  <w:style w:type="character" w:customStyle="1" w:styleId="H23GChar">
    <w:name w:val="_ H_2/3_G Char"/>
    <w:link w:val="H23G"/>
    <w:rsid w:val="00BA226D"/>
    <w:rPr>
      <w:b/>
      <w:lang w:eastAsia="en-US"/>
    </w:rPr>
  </w:style>
  <w:style w:type="character" w:styleId="Emphasis">
    <w:name w:val="Emphasis"/>
    <w:qFormat/>
    <w:rsid w:val="007F6D76"/>
    <w:rPr>
      <w:i/>
    </w:rPr>
  </w:style>
  <w:style w:type="paragraph" w:customStyle="1" w:styleId="ColorfulShading-Accent12">
    <w:name w:val="Colorful Shading - Accent 12"/>
    <w:hidden/>
    <w:uiPriority w:val="99"/>
    <w:semiHidden/>
    <w:rsid w:val="0050583B"/>
    <w:rPr>
      <w:lang w:eastAsia="en-US"/>
    </w:rPr>
  </w:style>
  <w:style w:type="paragraph" w:styleId="ListParagraph">
    <w:name w:val="List Paragraph"/>
    <w:basedOn w:val="Normal"/>
    <w:uiPriority w:val="34"/>
    <w:qFormat/>
    <w:rsid w:val="001B02B3"/>
    <w:pPr>
      <w:suppressAutoHyphens w:val="0"/>
      <w:spacing w:after="200" w:line="276" w:lineRule="auto"/>
      <w:ind w:left="720"/>
      <w:contextualSpacing/>
    </w:pPr>
    <w:rPr>
      <w:rFonts w:ascii="Calibri" w:hAnsi="Calibri"/>
      <w:sz w:val="22"/>
      <w:szCs w:val="22"/>
      <w:lang w:val="tr-TR" w:eastAsia="tr-TR"/>
    </w:rPr>
  </w:style>
  <w:style w:type="character" w:customStyle="1" w:styleId="FontStyle100">
    <w:name w:val="Font Style100"/>
    <w:uiPriority w:val="99"/>
    <w:rsid w:val="00C12474"/>
    <w:rPr>
      <w:rFonts w:ascii="Times New Roman" w:hAnsi="Times New Roman" w:cs="Times New Roman"/>
      <w:sz w:val="18"/>
      <w:szCs w:val="18"/>
    </w:rPr>
  </w:style>
  <w:style w:type="character" w:customStyle="1" w:styleId="Heading1Char">
    <w:name w:val="Heading 1 Char"/>
    <w:aliases w:val="Table_G Char"/>
    <w:link w:val="Heading1"/>
    <w:uiPriority w:val="9"/>
    <w:rsid w:val="004E48A9"/>
    <w:rPr>
      <w:lang w:val="x-none" w:eastAsia="en-US"/>
    </w:rPr>
  </w:style>
  <w:style w:type="character" w:customStyle="1" w:styleId="FooterChar">
    <w:name w:val="Footer Char"/>
    <w:aliases w:val="3_G Char"/>
    <w:link w:val="Footer"/>
    <w:uiPriority w:val="99"/>
    <w:rsid w:val="00F06A45"/>
    <w:rPr>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522735">
      <w:bodyDiv w:val="1"/>
      <w:marLeft w:val="0"/>
      <w:marRight w:val="0"/>
      <w:marTop w:val="0"/>
      <w:marBottom w:val="0"/>
      <w:divBdr>
        <w:top w:val="none" w:sz="0" w:space="0" w:color="auto"/>
        <w:left w:val="none" w:sz="0" w:space="0" w:color="auto"/>
        <w:bottom w:val="none" w:sz="0" w:space="0" w:color="auto"/>
        <w:right w:val="none" w:sz="0" w:space="0" w:color="auto"/>
      </w:divBdr>
    </w:div>
    <w:div w:id="401298151">
      <w:bodyDiv w:val="1"/>
      <w:marLeft w:val="0"/>
      <w:marRight w:val="0"/>
      <w:marTop w:val="0"/>
      <w:marBottom w:val="0"/>
      <w:divBdr>
        <w:top w:val="none" w:sz="0" w:space="0" w:color="auto"/>
        <w:left w:val="none" w:sz="0" w:space="0" w:color="auto"/>
        <w:bottom w:val="none" w:sz="0" w:space="0" w:color="auto"/>
        <w:right w:val="none" w:sz="0" w:space="0" w:color="auto"/>
      </w:divBdr>
    </w:div>
    <w:div w:id="482085212">
      <w:bodyDiv w:val="1"/>
      <w:marLeft w:val="0"/>
      <w:marRight w:val="0"/>
      <w:marTop w:val="0"/>
      <w:marBottom w:val="0"/>
      <w:divBdr>
        <w:top w:val="none" w:sz="0" w:space="0" w:color="auto"/>
        <w:left w:val="none" w:sz="0" w:space="0" w:color="auto"/>
        <w:bottom w:val="none" w:sz="0" w:space="0" w:color="auto"/>
        <w:right w:val="none" w:sz="0" w:space="0" w:color="auto"/>
      </w:divBdr>
    </w:div>
    <w:div w:id="714356916">
      <w:bodyDiv w:val="1"/>
      <w:marLeft w:val="0"/>
      <w:marRight w:val="0"/>
      <w:marTop w:val="0"/>
      <w:marBottom w:val="0"/>
      <w:divBdr>
        <w:top w:val="none" w:sz="0" w:space="0" w:color="auto"/>
        <w:left w:val="none" w:sz="0" w:space="0" w:color="auto"/>
        <w:bottom w:val="none" w:sz="0" w:space="0" w:color="auto"/>
        <w:right w:val="none" w:sz="0" w:space="0" w:color="auto"/>
      </w:divBdr>
    </w:div>
    <w:div w:id="735395430">
      <w:bodyDiv w:val="1"/>
      <w:marLeft w:val="0"/>
      <w:marRight w:val="0"/>
      <w:marTop w:val="0"/>
      <w:marBottom w:val="0"/>
      <w:divBdr>
        <w:top w:val="none" w:sz="0" w:space="0" w:color="auto"/>
        <w:left w:val="none" w:sz="0" w:space="0" w:color="auto"/>
        <w:bottom w:val="none" w:sz="0" w:space="0" w:color="auto"/>
        <w:right w:val="none" w:sz="0" w:space="0" w:color="auto"/>
      </w:divBdr>
    </w:div>
    <w:div w:id="760222486">
      <w:bodyDiv w:val="1"/>
      <w:marLeft w:val="0"/>
      <w:marRight w:val="0"/>
      <w:marTop w:val="0"/>
      <w:marBottom w:val="0"/>
      <w:divBdr>
        <w:top w:val="none" w:sz="0" w:space="0" w:color="auto"/>
        <w:left w:val="none" w:sz="0" w:space="0" w:color="auto"/>
        <w:bottom w:val="none" w:sz="0" w:space="0" w:color="auto"/>
        <w:right w:val="none" w:sz="0" w:space="0" w:color="auto"/>
      </w:divBdr>
      <w:divsChild>
        <w:div w:id="434247599">
          <w:marLeft w:val="0"/>
          <w:marRight w:val="0"/>
          <w:marTop w:val="0"/>
          <w:marBottom w:val="0"/>
          <w:divBdr>
            <w:top w:val="none" w:sz="0" w:space="0" w:color="auto"/>
            <w:left w:val="none" w:sz="0" w:space="0" w:color="auto"/>
            <w:bottom w:val="none" w:sz="0" w:space="0" w:color="auto"/>
            <w:right w:val="none" w:sz="0" w:space="0" w:color="auto"/>
          </w:divBdr>
        </w:div>
        <w:div w:id="759565054">
          <w:marLeft w:val="0"/>
          <w:marRight w:val="0"/>
          <w:marTop w:val="0"/>
          <w:marBottom w:val="0"/>
          <w:divBdr>
            <w:top w:val="none" w:sz="0" w:space="0" w:color="auto"/>
            <w:left w:val="none" w:sz="0" w:space="0" w:color="auto"/>
            <w:bottom w:val="none" w:sz="0" w:space="0" w:color="auto"/>
            <w:right w:val="none" w:sz="0" w:space="0" w:color="auto"/>
          </w:divBdr>
        </w:div>
        <w:div w:id="1306396720">
          <w:marLeft w:val="0"/>
          <w:marRight w:val="0"/>
          <w:marTop w:val="0"/>
          <w:marBottom w:val="0"/>
          <w:divBdr>
            <w:top w:val="none" w:sz="0" w:space="0" w:color="auto"/>
            <w:left w:val="none" w:sz="0" w:space="0" w:color="auto"/>
            <w:bottom w:val="none" w:sz="0" w:space="0" w:color="auto"/>
            <w:right w:val="none" w:sz="0" w:space="0" w:color="auto"/>
          </w:divBdr>
        </w:div>
      </w:divsChild>
    </w:div>
    <w:div w:id="772630813">
      <w:bodyDiv w:val="1"/>
      <w:marLeft w:val="0"/>
      <w:marRight w:val="0"/>
      <w:marTop w:val="0"/>
      <w:marBottom w:val="0"/>
      <w:divBdr>
        <w:top w:val="none" w:sz="0" w:space="0" w:color="auto"/>
        <w:left w:val="none" w:sz="0" w:space="0" w:color="auto"/>
        <w:bottom w:val="none" w:sz="0" w:space="0" w:color="auto"/>
        <w:right w:val="none" w:sz="0" w:space="0" w:color="auto"/>
      </w:divBdr>
    </w:div>
    <w:div w:id="826096011">
      <w:bodyDiv w:val="1"/>
      <w:marLeft w:val="0"/>
      <w:marRight w:val="0"/>
      <w:marTop w:val="0"/>
      <w:marBottom w:val="0"/>
      <w:divBdr>
        <w:top w:val="none" w:sz="0" w:space="0" w:color="auto"/>
        <w:left w:val="none" w:sz="0" w:space="0" w:color="auto"/>
        <w:bottom w:val="none" w:sz="0" w:space="0" w:color="auto"/>
        <w:right w:val="none" w:sz="0" w:space="0" w:color="auto"/>
      </w:divBdr>
    </w:div>
    <w:div w:id="910584995">
      <w:bodyDiv w:val="1"/>
      <w:marLeft w:val="0"/>
      <w:marRight w:val="0"/>
      <w:marTop w:val="0"/>
      <w:marBottom w:val="0"/>
      <w:divBdr>
        <w:top w:val="none" w:sz="0" w:space="0" w:color="auto"/>
        <w:left w:val="none" w:sz="0" w:space="0" w:color="auto"/>
        <w:bottom w:val="none" w:sz="0" w:space="0" w:color="auto"/>
        <w:right w:val="none" w:sz="0" w:space="0" w:color="auto"/>
      </w:divBdr>
    </w:div>
    <w:div w:id="1225607318">
      <w:bodyDiv w:val="1"/>
      <w:marLeft w:val="0"/>
      <w:marRight w:val="0"/>
      <w:marTop w:val="0"/>
      <w:marBottom w:val="0"/>
      <w:divBdr>
        <w:top w:val="none" w:sz="0" w:space="0" w:color="auto"/>
        <w:left w:val="none" w:sz="0" w:space="0" w:color="auto"/>
        <w:bottom w:val="none" w:sz="0" w:space="0" w:color="auto"/>
        <w:right w:val="none" w:sz="0" w:space="0" w:color="auto"/>
      </w:divBdr>
    </w:div>
    <w:div w:id="1297762032">
      <w:bodyDiv w:val="1"/>
      <w:marLeft w:val="0"/>
      <w:marRight w:val="0"/>
      <w:marTop w:val="0"/>
      <w:marBottom w:val="0"/>
      <w:divBdr>
        <w:top w:val="none" w:sz="0" w:space="0" w:color="auto"/>
        <w:left w:val="none" w:sz="0" w:space="0" w:color="auto"/>
        <w:bottom w:val="none" w:sz="0" w:space="0" w:color="auto"/>
        <w:right w:val="none" w:sz="0" w:space="0" w:color="auto"/>
      </w:divBdr>
    </w:div>
    <w:div w:id="1420908119">
      <w:bodyDiv w:val="1"/>
      <w:marLeft w:val="0"/>
      <w:marRight w:val="0"/>
      <w:marTop w:val="0"/>
      <w:marBottom w:val="0"/>
      <w:divBdr>
        <w:top w:val="none" w:sz="0" w:space="0" w:color="auto"/>
        <w:left w:val="none" w:sz="0" w:space="0" w:color="auto"/>
        <w:bottom w:val="none" w:sz="0" w:space="0" w:color="auto"/>
        <w:right w:val="none" w:sz="0" w:space="0" w:color="auto"/>
      </w:divBdr>
    </w:div>
    <w:div w:id="1442527907">
      <w:bodyDiv w:val="1"/>
      <w:marLeft w:val="0"/>
      <w:marRight w:val="0"/>
      <w:marTop w:val="0"/>
      <w:marBottom w:val="0"/>
      <w:divBdr>
        <w:top w:val="none" w:sz="0" w:space="0" w:color="auto"/>
        <w:left w:val="none" w:sz="0" w:space="0" w:color="auto"/>
        <w:bottom w:val="none" w:sz="0" w:space="0" w:color="auto"/>
        <w:right w:val="none" w:sz="0" w:space="0" w:color="auto"/>
      </w:divBdr>
      <w:divsChild>
        <w:div w:id="177012846">
          <w:marLeft w:val="0"/>
          <w:marRight w:val="0"/>
          <w:marTop w:val="0"/>
          <w:marBottom w:val="0"/>
          <w:divBdr>
            <w:top w:val="none" w:sz="0" w:space="0" w:color="auto"/>
            <w:left w:val="none" w:sz="0" w:space="0" w:color="auto"/>
            <w:bottom w:val="none" w:sz="0" w:space="0" w:color="auto"/>
            <w:right w:val="none" w:sz="0" w:space="0" w:color="auto"/>
          </w:divBdr>
        </w:div>
        <w:div w:id="310208677">
          <w:marLeft w:val="0"/>
          <w:marRight w:val="0"/>
          <w:marTop w:val="0"/>
          <w:marBottom w:val="0"/>
          <w:divBdr>
            <w:top w:val="none" w:sz="0" w:space="0" w:color="auto"/>
            <w:left w:val="none" w:sz="0" w:space="0" w:color="auto"/>
            <w:bottom w:val="none" w:sz="0" w:space="0" w:color="auto"/>
            <w:right w:val="none" w:sz="0" w:space="0" w:color="auto"/>
          </w:divBdr>
        </w:div>
        <w:div w:id="532887158">
          <w:marLeft w:val="0"/>
          <w:marRight w:val="0"/>
          <w:marTop w:val="0"/>
          <w:marBottom w:val="0"/>
          <w:divBdr>
            <w:top w:val="none" w:sz="0" w:space="0" w:color="auto"/>
            <w:left w:val="none" w:sz="0" w:space="0" w:color="auto"/>
            <w:bottom w:val="none" w:sz="0" w:space="0" w:color="auto"/>
            <w:right w:val="none" w:sz="0" w:space="0" w:color="auto"/>
          </w:divBdr>
        </w:div>
        <w:div w:id="1517619536">
          <w:marLeft w:val="0"/>
          <w:marRight w:val="0"/>
          <w:marTop w:val="0"/>
          <w:marBottom w:val="0"/>
          <w:divBdr>
            <w:top w:val="none" w:sz="0" w:space="0" w:color="auto"/>
            <w:left w:val="none" w:sz="0" w:space="0" w:color="auto"/>
            <w:bottom w:val="none" w:sz="0" w:space="0" w:color="auto"/>
            <w:right w:val="none" w:sz="0" w:space="0" w:color="auto"/>
          </w:divBdr>
        </w:div>
      </w:divsChild>
    </w:div>
    <w:div w:id="1469013572">
      <w:bodyDiv w:val="1"/>
      <w:marLeft w:val="0"/>
      <w:marRight w:val="0"/>
      <w:marTop w:val="0"/>
      <w:marBottom w:val="0"/>
      <w:divBdr>
        <w:top w:val="none" w:sz="0" w:space="0" w:color="auto"/>
        <w:left w:val="none" w:sz="0" w:space="0" w:color="auto"/>
        <w:bottom w:val="none" w:sz="0" w:space="0" w:color="auto"/>
        <w:right w:val="none" w:sz="0" w:space="0" w:color="auto"/>
      </w:divBdr>
    </w:div>
    <w:div w:id="1493370966">
      <w:bodyDiv w:val="1"/>
      <w:marLeft w:val="0"/>
      <w:marRight w:val="0"/>
      <w:marTop w:val="0"/>
      <w:marBottom w:val="0"/>
      <w:divBdr>
        <w:top w:val="none" w:sz="0" w:space="0" w:color="auto"/>
        <w:left w:val="none" w:sz="0" w:space="0" w:color="auto"/>
        <w:bottom w:val="none" w:sz="0" w:space="0" w:color="auto"/>
        <w:right w:val="none" w:sz="0" w:space="0" w:color="auto"/>
      </w:divBdr>
    </w:div>
    <w:div w:id="1738015037">
      <w:bodyDiv w:val="1"/>
      <w:marLeft w:val="0"/>
      <w:marRight w:val="0"/>
      <w:marTop w:val="0"/>
      <w:marBottom w:val="0"/>
      <w:divBdr>
        <w:top w:val="none" w:sz="0" w:space="0" w:color="auto"/>
        <w:left w:val="none" w:sz="0" w:space="0" w:color="auto"/>
        <w:bottom w:val="none" w:sz="0" w:space="0" w:color="auto"/>
        <w:right w:val="none" w:sz="0" w:space="0" w:color="auto"/>
      </w:divBdr>
    </w:div>
    <w:div w:id="1744831858">
      <w:bodyDiv w:val="1"/>
      <w:marLeft w:val="0"/>
      <w:marRight w:val="0"/>
      <w:marTop w:val="0"/>
      <w:marBottom w:val="0"/>
      <w:divBdr>
        <w:top w:val="none" w:sz="0" w:space="0" w:color="auto"/>
        <w:left w:val="none" w:sz="0" w:space="0" w:color="auto"/>
        <w:bottom w:val="none" w:sz="0" w:space="0" w:color="auto"/>
        <w:right w:val="none" w:sz="0" w:space="0" w:color="auto"/>
      </w:divBdr>
    </w:div>
    <w:div w:id="1817260285">
      <w:bodyDiv w:val="1"/>
      <w:marLeft w:val="0"/>
      <w:marRight w:val="0"/>
      <w:marTop w:val="0"/>
      <w:marBottom w:val="0"/>
      <w:divBdr>
        <w:top w:val="none" w:sz="0" w:space="0" w:color="auto"/>
        <w:left w:val="none" w:sz="0" w:space="0" w:color="auto"/>
        <w:bottom w:val="none" w:sz="0" w:space="0" w:color="auto"/>
        <w:right w:val="none" w:sz="0" w:space="0" w:color="auto"/>
      </w:divBdr>
    </w:div>
    <w:div w:id="1872499522">
      <w:bodyDiv w:val="1"/>
      <w:marLeft w:val="0"/>
      <w:marRight w:val="0"/>
      <w:marTop w:val="0"/>
      <w:marBottom w:val="0"/>
      <w:divBdr>
        <w:top w:val="none" w:sz="0" w:space="0" w:color="auto"/>
        <w:left w:val="none" w:sz="0" w:space="0" w:color="auto"/>
        <w:bottom w:val="none" w:sz="0" w:space="0" w:color="auto"/>
        <w:right w:val="none" w:sz="0" w:space="0" w:color="auto"/>
      </w:divBdr>
    </w:div>
    <w:div w:id="2030597690">
      <w:bodyDiv w:val="1"/>
      <w:marLeft w:val="0"/>
      <w:marRight w:val="0"/>
      <w:marTop w:val="0"/>
      <w:marBottom w:val="0"/>
      <w:divBdr>
        <w:top w:val="none" w:sz="0" w:space="0" w:color="auto"/>
        <w:left w:val="none" w:sz="0" w:space="0" w:color="auto"/>
        <w:bottom w:val="none" w:sz="0" w:space="0" w:color="auto"/>
        <w:right w:val="none" w:sz="0" w:space="0" w:color="auto"/>
      </w:divBdr>
    </w:div>
    <w:div w:id="2088574504">
      <w:bodyDiv w:val="1"/>
      <w:marLeft w:val="0"/>
      <w:marRight w:val="0"/>
      <w:marTop w:val="0"/>
      <w:marBottom w:val="0"/>
      <w:divBdr>
        <w:top w:val="none" w:sz="0" w:space="0" w:color="auto"/>
        <w:left w:val="none" w:sz="0" w:space="0" w:color="auto"/>
        <w:bottom w:val="none" w:sz="0" w:space="0" w:color="auto"/>
        <w:right w:val="none" w:sz="0" w:space="0" w:color="auto"/>
      </w:divBdr>
    </w:div>
    <w:div w:id="2106610460">
      <w:bodyDiv w:val="1"/>
      <w:marLeft w:val="0"/>
      <w:marRight w:val="0"/>
      <w:marTop w:val="0"/>
      <w:marBottom w:val="0"/>
      <w:divBdr>
        <w:top w:val="none" w:sz="0" w:space="0" w:color="auto"/>
        <w:left w:val="none" w:sz="0" w:space="0" w:color="auto"/>
        <w:bottom w:val="none" w:sz="0" w:space="0" w:color="auto"/>
        <w:right w:val="none" w:sz="0" w:space="0" w:color="auto"/>
      </w:divBdr>
    </w:div>
    <w:div w:id="214638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wmf"/><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4E9C6E568633448D1B78C8F03F24BD" ma:contentTypeVersion="2" ma:contentTypeDescription="Create a new document." ma:contentTypeScope="" ma:versionID="3465e2a3d8e381f710bdebfc44a6c24b">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35C9F9-EE33-4E49-B9CD-16A84D68D775}"/>
</file>

<file path=customXml/itemProps2.xml><?xml version="1.0" encoding="utf-8"?>
<ds:datastoreItem xmlns:ds="http://schemas.openxmlformats.org/officeDocument/2006/customXml" ds:itemID="{D032A2A1-BB27-4C0E-8639-E5F3669F9ACB}"/>
</file>

<file path=customXml/itemProps3.xml><?xml version="1.0" encoding="utf-8"?>
<ds:datastoreItem xmlns:ds="http://schemas.openxmlformats.org/officeDocument/2006/customXml" ds:itemID="{B1F317C1-35C2-4D22-B256-E5FF5BB381CC}"/>
</file>

<file path=customXml/itemProps4.xml><?xml version="1.0" encoding="utf-8"?>
<ds:datastoreItem xmlns:ds="http://schemas.openxmlformats.org/officeDocument/2006/customXml" ds:itemID="{129A35DC-AEBD-4CA4-B67C-6E219A827E78}"/>
</file>

<file path=customXml/itemProps5.xml><?xml version="1.0" encoding="utf-8"?>
<ds:datastoreItem xmlns:ds="http://schemas.openxmlformats.org/officeDocument/2006/customXml" ds:itemID="{D316FB24-D122-4C0C-8426-95FC3DDF4FB5}"/>
</file>

<file path=docProps/app.xml><?xml version="1.0" encoding="utf-8"?>
<Properties xmlns="http://schemas.openxmlformats.org/officeDocument/2006/extended-properties" xmlns:vt="http://schemas.openxmlformats.org/officeDocument/2006/docPropsVTypes">
  <Template>854DF6CA.dotm</Template>
  <TotalTime>0</TotalTime>
  <Pages>9</Pages>
  <Words>3503</Words>
  <Characters>20319</Characters>
  <Application>Microsoft Office Word</Application>
  <DocSecurity>4</DocSecurity>
  <Lines>344</Lines>
  <Paragraphs>119</Paragraphs>
  <ScaleCrop>false</ScaleCrop>
  <HeadingPairs>
    <vt:vector size="2" baseType="variant">
      <vt:variant>
        <vt:lpstr>Title</vt:lpstr>
      </vt:variant>
      <vt:variant>
        <vt:i4>1</vt:i4>
      </vt:variant>
    </vt:vector>
  </HeadingPairs>
  <TitlesOfParts>
    <vt:vector size="1" baseType="lpstr">
      <vt:lpstr>1609632</vt:lpstr>
    </vt:vector>
  </TitlesOfParts>
  <Company>CSD</Company>
  <LinksUpToDate>false</LinksUpToDate>
  <CharactersWithSpaces>23703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extrajudicial, summary or arbitrary executions on his mission to Ukraine: comments by the State in English</dc:title>
  <dc:subject>A/HRC/32/39/Add.5</dc:subject>
  <dc:creator>negreche</dc:creator>
  <cp:lastModifiedBy>Iuliia Somova</cp:lastModifiedBy>
  <cp:revision>2</cp:revision>
  <cp:lastPrinted>2014-04-23T07:36:00Z</cp:lastPrinted>
  <dcterms:created xsi:type="dcterms:W3CDTF">2016-06-17T09:35:00Z</dcterms:created>
  <dcterms:modified xsi:type="dcterms:W3CDTF">2016-06-17T09:35:00Z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ARTitle">
    <vt:lpwstr>تقرير المقرر الخاص المعني بحالات الإعدام خارج نطاق القضاء أو بإجراءات موجزة أو الإعدام التعسفي، البعثة إلى المكسيك</vt:lpwstr>
  </property>
  <property fmtid="{D5CDD505-2E9C-101B-9397-08002B2CF9AE}" pid="11" name="ContentTypeId">
    <vt:lpwstr>0x0101005A4E9C6E568633448D1B78C8F03F24BD</vt:lpwstr>
  </property>
  <property fmtid="{D5CDD505-2E9C-101B-9397-08002B2CF9AE}" pid="12" name="Order">
    <vt:r8>6100</vt:r8>
  </property>
</Properties>
</file>