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CC46D5" w:rsidP="00CC46D5">
            <w:pPr>
              <w:jc w:val="right"/>
            </w:pPr>
            <w:r w:rsidRPr="00CC46D5">
              <w:rPr>
                <w:sz w:val="40"/>
              </w:rPr>
              <w:t>A</w:t>
            </w:r>
            <w:r>
              <w:t>/HRC/32/4/Add.1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FA13DD" w:rsidP="00EF5BDB">
            <w:pPr>
              <w:spacing w:before="120" w:line="420" w:lineRule="exact"/>
              <w:rPr>
                <w:b/>
                <w:sz w:val="40"/>
                <w:szCs w:val="40"/>
              </w:rPr>
            </w:pPr>
            <w:r>
              <w:rPr>
                <w:b/>
                <w:sz w:val="40"/>
                <w:szCs w:val="40"/>
              </w:rPr>
              <w:t>Advance Versio</w:t>
            </w:r>
            <w:bookmarkStart w:id="0" w:name="_GoBack"/>
            <w:bookmarkEnd w:id="0"/>
            <w:r>
              <w:rPr>
                <w:b/>
                <w:sz w:val="40"/>
                <w:szCs w:val="40"/>
              </w:rPr>
              <w:t>n</w:t>
            </w:r>
          </w:p>
        </w:tc>
        <w:tc>
          <w:tcPr>
            <w:tcW w:w="2930" w:type="dxa"/>
            <w:tcBorders>
              <w:top w:val="single" w:sz="4" w:space="0" w:color="auto"/>
              <w:left w:val="nil"/>
              <w:bottom w:val="single" w:sz="12" w:space="0" w:color="auto"/>
              <w:right w:val="nil"/>
            </w:tcBorders>
          </w:tcPr>
          <w:p w:rsidR="003107FA" w:rsidRDefault="00CC46D5" w:rsidP="00CC46D5">
            <w:pPr>
              <w:spacing w:before="240" w:line="240" w:lineRule="exact"/>
            </w:pPr>
            <w:r>
              <w:t>Distr.: General</w:t>
            </w:r>
          </w:p>
          <w:p w:rsidR="00CC46D5" w:rsidRDefault="00CC46D5" w:rsidP="00CC46D5">
            <w:pPr>
              <w:spacing w:line="240" w:lineRule="exact"/>
            </w:pPr>
            <w:r>
              <w:t>1</w:t>
            </w:r>
            <w:r w:rsidR="00E96971">
              <w:t>4</w:t>
            </w:r>
            <w:r>
              <w:t xml:space="preserve"> June 2016</w:t>
            </w:r>
          </w:p>
          <w:p w:rsidR="00CC46D5" w:rsidRDefault="00CC46D5" w:rsidP="00CC46D5">
            <w:pPr>
              <w:spacing w:line="240" w:lineRule="exact"/>
            </w:pPr>
          </w:p>
          <w:p w:rsidR="00CC46D5" w:rsidRDefault="00CC46D5" w:rsidP="00CC46D5">
            <w:pPr>
              <w:spacing w:line="240" w:lineRule="exact"/>
            </w:pPr>
            <w:r>
              <w:t>Original: English</w:t>
            </w:r>
          </w:p>
        </w:tc>
      </w:tr>
    </w:tbl>
    <w:p w:rsidR="00CC46D5" w:rsidRPr="00C267F4" w:rsidRDefault="00CC46D5" w:rsidP="00CC46D5">
      <w:pPr>
        <w:rPr>
          <w:b/>
          <w:bCs/>
          <w:sz w:val="24"/>
          <w:szCs w:val="24"/>
        </w:rPr>
      </w:pPr>
      <w:r w:rsidRPr="00C267F4">
        <w:rPr>
          <w:b/>
          <w:bCs/>
          <w:sz w:val="24"/>
          <w:szCs w:val="24"/>
        </w:rPr>
        <w:t>Human Rights Council</w:t>
      </w:r>
      <w:r w:rsidR="00FA13DD">
        <w:rPr>
          <w:noProof/>
        </w:rPr>
        <w:pict>
          <v:rect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w:r>
    </w:p>
    <w:p w:rsidR="00CC46D5" w:rsidRPr="00C267F4" w:rsidRDefault="00CC46D5" w:rsidP="00CC46D5">
      <w:pPr>
        <w:rPr>
          <w:b/>
          <w:bCs/>
        </w:rPr>
      </w:pPr>
      <w:r w:rsidRPr="00C267F4">
        <w:rPr>
          <w:b/>
          <w:bCs/>
        </w:rPr>
        <w:t>Thirty-</w:t>
      </w:r>
      <w:r>
        <w:rPr>
          <w:b/>
          <w:bCs/>
        </w:rPr>
        <w:t>second</w:t>
      </w:r>
      <w:r w:rsidRPr="00C267F4">
        <w:rPr>
          <w:b/>
          <w:bCs/>
        </w:rPr>
        <w:t xml:space="preserve"> </w:t>
      </w:r>
      <w:proofErr w:type="gramStart"/>
      <w:r w:rsidRPr="00C267F4">
        <w:rPr>
          <w:b/>
          <w:bCs/>
        </w:rPr>
        <w:t>session</w:t>
      </w:r>
      <w:proofErr w:type="gramEnd"/>
    </w:p>
    <w:p w:rsidR="00CC46D5" w:rsidRPr="00C267F4" w:rsidRDefault="00CC46D5" w:rsidP="00CC46D5">
      <w:r w:rsidRPr="00C267F4">
        <w:t>Agenda item 6</w:t>
      </w:r>
    </w:p>
    <w:p w:rsidR="00CC46D5" w:rsidRPr="00C267F4" w:rsidRDefault="00CC46D5" w:rsidP="00CC46D5">
      <w:pPr>
        <w:rPr>
          <w:b/>
        </w:rPr>
      </w:pPr>
      <w:r w:rsidRPr="00C267F4">
        <w:rPr>
          <w:b/>
        </w:rPr>
        <w:t>Universal Periodic Review</w:t>
      </w:r>
    </w:p>
    <w:p w:rsidR="00CC46D5" w:rsidRPr="00C267F4" w:rsidRDefault="00CC46D5" w:rsidP="00CC46D5">
      <w:pPr>
        <w:keepNext/>
        <w:keepLines/>
        <w:tabs>
          <w:tab w:val="right" w:pos="851"/>
        </w:tabs>
        <w:spacing w:before="360" w:after="240" w:line="300" w:lineRule="exact"/>
        <w:ind w:left="1134" w:right="1134" w:hanging="1134"/>
        <w:rPr>
          <w:b/>
          <w:sz w:val="28"/>
        </w:rPr>
      </w:pPr>
      <w:r w:rsidRPr="00C267F4">
        <w:rPr>
          <w:b/>
          <w:sz w:val="28"/>
        </w:rPr>
        <w:tab/>
      </w:r>
      <w:r w:rsidRPr="00C267F4">
        <w:rPr>
          <w:b/>
          <w:sz w:val="28"/>
        </w:rPr>
        <w:tab/>
        <w:t>Report of the Working Group on the Universal Periodic Review</w:t>
      </w:r>
      <w:r w:rsidRPr="00C267F4">
        <w:rPr>
          <w:vertAlign w:val="superscript"/>
        </w:rPr>
        <w:footnoteReference w:customMarkFollows="1" w:id="2"/>
        <w:t>*</w:t>
      </w:r>
    </w:p>
    <w:p w:rsidR="00CC46D5" w:rsidRPr="00C267F4" w:rsidRDefault="00872018" w:rsidP="00CC46D5">
      <w:pPr>
        <w:keepNext/>
        <w:keepLines/>
        <w:tabs>
          <w:tab w:val="right" w:pos="851"/>
        </w:tabs>
        <w:spacing w:before="360" w:after="240" w:line="300" w:lineRule="exact"/>
        <w:ind w:left="1134" w:right="1134" w:hanging="1134"/>
        <w:rPr>
          <w:b/>
          <w:sz w:val="28"/>
        </w:rPr>
      </w:pPr>
      <w:r>
        <w:rPr>
          <w:b/>
          <w:sz w:val="28"/>
        </w:rPr>
        <w:tab/>
      </w:r>
      <w:r>
        <w:rPr>
          <w:b/>
          <w:sz w:val="28"/>
        </w:rPr>
        <w:tab/>
        <w:t>Namibia</w:t>
      </w:r>
    </w:p>
    <w:p w:rsidR="00CC46D5" w:rsidRPr="00C267F4" w:rsidRDefault="00CC46D5" w:rsidP="00CC46D5">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Addendum</w:t>
      </w:r>
    </w:p>
    <w:p w:rsidR="00CC46D5" w:rsidRPr="00C267F4" w:rsidRDefault="00CC46D5" w:rsidP="00CC46D5">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Views on conclusions and/or recommendations, voluntary commitments and replies presented by the State under review</w:t>
      </w:r>
    </w:p>
    <w:p w:rsidR="00CC46D5" w:rsidRPr="00CC46D5" w:rsidRDefault="00CC46D5" w:rsidP="00CC46D5">
      <w:pPr>
        <w:pStyle w:val="SingleTxtG"/>
        <w:rPr>
          <w:lang w:val="en-US"/>
        </w:rPr>
      </w:pPr>
      <w:r w:rsidRPr="00C267F4">
        <w:br w:type="page"/>
      </w:r>
      <w:r>
        <w:lastRenderedPageBreak/>
        <w:t>1.</w:t>
      </w:r>
      <w:r>
        <w:tab/>
      </w:r>
      <w:r w:rsidRPr="00CC46D5">
        <w:rPr>
          <w:lang w:val="en-US"/>
        </w:rPr>
        <w:t xml:space="preserve">The Government of the Republic of Namibia welcomes the </w:t>
      </w:r>
      <w:r w:rsidR="00E96971">
        <w:rPr>
          <w:lang w:val="en-US"/>
        </w:rPr>
        <w:t>recommendations made by member S</w:t>
      </w:r>
      <w:r w:rsidRPr="00CC46D5">
        <w:rPr>
          <w:lang w:val="en-US"/>
        </w:rPr>
        <w:t>tates during the universal periodic review of the Republic of Namibia at the 24</w:t>
      </w:r>
      <w:r w:rsidRPr="00CC46D5">
        <w:rPr>
          <w:vertAlign w:val="superscript"/>
          <w:lang w:val="en-US"/>
        </w:rPr>
        <w:t>th</w:t>
      </w:r>
      <w:r w:rsidRPr="00CC46D5">
        <w:rPr>
          <w:lang w:val="en-US"/>
        </w:rPr>
        <w:t xml:space="preserve"> session of the Working Group of the Human Rights Council.</w:t>
      </w:r>
    </w:p>
    <w:p w:rsidR="00CC46D5" w:rsidRPr="00CC46D5" w:rsidRDefault="00CC46D5" w:rsidP="00CC46D5">
      <w:pPr>
        <w:pStyle w:val="SingleTxtG"/>
        <w:rPr>
          <w:lang w:val="en-US"/>
        </w:rPr>
      </w:pPr>
      <w:r>
        <w:rPr>
          <w:lang w:val="en-US"/>
        </w:rPr>
        <w:t>2.</w:t>
      </w:r>
      <w:r>
        <w:rPr>
          <w:lang w:val="en-US"/>
        </w:rPr>
        <w:tab/>
      </w:r>
      <w:r w:rsidRPr="00CC46D5">
        <w:rPr>
          <w:lang w:val="en-US"/>
        </w:rPr>
        <w:t>The Government of the Republic of Namibia is pleased to report that, out of 219 recommendations, 191 enjoy the support of the State and 28 are noted by the State</w:t>
      </w:r>
      <w:r>
        <w:rPr>
          <w:lang w:val="en-US"/>
        </w:rPr>
        <w:t>.</w:t>
      </w:r>
    </w:p>
    <w:p w:rsidR="00CC46D5" w:rsidRPr="00CC46D5" w:rsidRDefault="00CC46D5" w:rsidP="00CC46D5">
      <w:pPr>
        <w:pStyle w:val="HChG"/>
        <w:rPr>
          <w:lang w:val="en-US"/>
        </w:rPr>
      </w:pPr>
      <w:r>
        <w:rPr>
          <w:lang w:val="en-US"/>
        </w:rPr>
        <w:tab/>
        <w:t>I.</w:t>
      </w:r>
      <w:r>
        <w:rPr>
          <w:lang w:val="en-US"/>
        </w:rPr>
        <w:tab/>
      </w:r>
      <w:r w:rsidRPr="00CC46D5">
        <w:rPr>
          <w:lang w:val="en-US"/>
        </w:rPr>
        <w:t>C</w:t>
      </w:r>
      <w:r>
        <w:rPr>
          <w:lang w:val="en-US"/>
        </w:rPr>
        <w:t>aprivi Trial</w:t>
      </w:r>
      <w:r w:rsidR="0049198D">
        <w:rPr>
          <w:rStyle w:val="EndnoteReference"/>
          <w:lang w:val="en-US"/>
        </w:rPr>
        <w:endnoteReference w:id="2"/>
      </w:r>
    </w:p>
    <w:p w:rsidR="00CC46D5" w:rsidRPr="00CC46D5" w:rsidRDefault="00CC46D5" w:rsidP="00CC46D5">
      <w:pPr>
        <w:pStyle w:val="SingleTxtG"/>
        <w:rPr>
          <w:lang w:val="en-US"/>
        </w:rPr>
      </w:pPr>
      <w:r>
        <w:rPr>
          <w:lang w:val="en-US"/>
        </w:rPr>
        <w:t>3.</w:t>
      </w:r>
      <w:r>
        <w:rPr>
          <w:lang w:val="en-US"/>
        </w:rPr>
        <w:tab/>
      </w:r>
      <w:r w:rsidRPr="00CC46D5">
        <w:rPr>
          <w:lang w:val="en-US"/>
        </w:rPr>
        <w:t>Noted. Does not enjoy the support of the State for the following reasons:</w:t>
      </w:r>
    </w:p>
    <w:p w:rsidR="00CC46D5" w:rsidRPr="00CC46D5" w:rsidRDefault="00CC46D5" w:rsidP="00CC46D5">
      <w:pPr>
        <w:pStyle w:val="SingleTxtG"/>
        <w:rPr>
          <w:lang w:val="en-US"/>
        </w:rPr>
      </w:pPr>
      <w:r>
        <w:rPr>
          <w:lang w:val="en-US"/>
        </w:rPr>
        <w:tab/>
        <w:t>(a)</w:t>
      </w:r>
      <w:r>
        <w:rPr>
          <w:lang w:val="en-US"/>
        </w:rPr>
        <w:tab/>
      </w:r>
      <w:r w:rsidRPr="00CC46D5">
        <w:rPr>
          <w:lang w:val="en-US"/>
        </w:rPr>
        <w:t>The Constitution of the Republic of Namibia under article 25 (2) provides for compensation for aggrieved persons whose fundamental rights and freedoms have been infringed. Article 25(2) of the Namibian Constitution provides  that: “Aggrieved persons who claim that a fundamental right or freedom guaranteed by this Constitution has been infringed or threatened shall be entitled to approach a competent Court to enforce or protect such a right or freedom, and may approach the Ombudsman to provide them with such legal assistance or advice as they require, and the Ombudsman shall have the discretion in response thereto to provide such legal or other assistance as he or she may consider expedient”</w:t>
      </w:r>
      <w:r>
        <w:rPr>
          <w:lang w:val="en-US"/>
        </w:rPr>
        <w:t>;</w:t>
      </w:r>
    </w:p>
    <w:p w:rsidR="00CC46D5" w:rsidRPr="00CC46D5" w:rsidRDefault="00CC46D5" w:rsidP="00CC46D5">
      <w:pPr>
        <w:pStyle w:val="SingleTxtG"/>
        <w:rPr>
          <w:lang w:val="en-US"/>
        </w:rPr>
      </w:pPr>
      <w:r>
        <w:rPr>
          <w:lang w:val="en-US"/>
        </w:rPr>
        <w:tab/>
        <w:t>(b)</w:t>
      </w:r>
      <w:r>
        <w:rPr>
          <w:lang w:val="en-US"/>
        </w:rPr>
        <w:tab/>
      </w:r>
      <w:r w:rsidRPr="00CC46D5">
        <w:rPr>
          <w:lang w:val="en-US"/>
        </w:rPr>
        <w:t>In addition to constitutional provisions to this effect, section 300 of the Criminal Procedure Act, Act 51 of 1977 provides for compensation in criminal litigation. Furthermore, legal aid may also be granted to applicants where the State agents violate that individual’s right and it is not limited to criminal matters. Aggrieved persons may also instit</w:t>
      </w:r>
      <w:r w:rsidR="00E96971">
        <w:rPr>
          <w:lang w:val="en-US"/>
        </w:rPr>
        <w:t>ute civil lawsuits against the S</w:t>
      </w:r>
      <w:r w:rsidRPr="00CC46D5">
        <w:rPr>
          <w:lang w:val="en-US"/>
        </w:rPr>
        <w:t>t</w:t>
      </w:r>
      <w:r>
        <w:rPr>
          <w:lang w:val="en-US"/>
        </w:rPr>
        <w:t>ate for human rights violations;</w:t>
      </w:r>
    </w:p>
    <w:p w:rsidR="00CC46D5" w:rsidRPr="00CC46D5" w:rsidRDefault="00CC46D5" w:rsidP="00CC46D5">
      <w:pPr>
        <w:pStyle w:val="SingleTxtG"/>
        <w:rPr>
          <w:lang w:val="en-US"/>
        </w:rPr>
      </w:pPr>
      <w:r>
        <w:rPr>
          <w:lang w:val="en-US"/>
        </w:rPr>
        <w:tab/>
      </w:r>
      <w:r w:rsidRPr="00CC46D5">
        <w:rPr>
          <w:lang w:val="en-US"/>
        </w:rPr>
        <w:t>c)</w:t>
      </w:r>
      <w:r w:rsidRPr="00CC46D5">
        <w:rPr>
          <w:lang w:val="en-US"/>
        </w:rPr>
        <w:tab/>
        <w:t xml:space="preserve">It is worth to report that a number of civil claims against the Government emanating from the Caprivi Treason trial have been settled out of court. Others have been dismissed by the </w:t>
      </w:r>
      <w:proofErr w:type="gramStart"/>
      <w:r w:rsidRPr="00CC46D5">
        <w:rPr>
          <w:lang w:val="en-US"/>
        </w:rPr>
        <w:t>courts,</w:t>
      </w:r>
      <w:proofErr w:type="gramEnd"/>
      <w:r w:rsidRPr="00CC46D5">
        <w:rPr>
          <w:lang w:val="en-US"/>
        </w:rPr>
        <w:t xml:space="preserve"> other claims have been successful, while others</w:t>
      </w:r>
      <w:r>
        <w:rPr>
          <w:lang w:val="en-US"/>
        </w:rPr>
        <w:t xml:space="preserve"> are pending before the courts.</w:t>
      </w:r>
    </w:p>
    <w:p w:rsidR="00CC46D5" w:rsidRPr="00CC46D5" w:rsidRDefault="00CC46D5" w:rsidP="00CC46D5">
      <w:pPr>
        <w:pStyle w:val="HChG"/>
        <w:rPr>
          <w:lang w:val="en-US"/>
        </w:rPr>
      </w:pPr>
      <w:r>
        <w:rPr>
          <w:lang w:val="en-US"/>
        </w:rPr>
        <w:tab/>
        <w:t>II.</w:t>
      </w:r>
      <w:r>
        <w:rPr>
          <w:lang w:val="en-US"/>
        </w:rPr>
        <w:tab/>
      </w:r>
      <w:r w:rsidRPr="00CC46D5">
        <w:rPr>
          <w:lang w:val="en-US"/>
        </w:rPr>
        <w:t>C</w:t>
      </w:r>
      <w:r>
        <w:rPr>
          <w:lang w:val="en-US"/>
        </w:rPr>
        <w:t>hildren</w:t>
      </w:r>
    </w:p>
    <w:p w:rsidR="00CC46D5" w:rsidRPr="00CC46D5" w:rsidRDefault="00CC46D5" w:rsidP="00CC46D5">
      <w:pPr>
        <w:pStyle w:val="H1G"/>
        <w:rPr>
          <w:lang w:val="en-US"/>
        </w:rPr>
      </w:pPr>
      <w:r>
        <w:rPr>
          <w:lang w:val="en-US"/>
        </w:rPr>
        <w:tab/>
        <w:t>A.</w:t>
      </w:r>
      <w:r>
        <w:rPr>
          <w:lang w:val="en-US"/>
        </w:rPr>
        <w:tab/>
      </w:r>
      <w:r w:rsidRPr="00CC46D5">
        <w:rPr>
          <w:lang w:val="en-US"/>
        </w:rPr>
        <w:t>A</w:t>
      </w:r>
      <w:r>
        <w:rPr>
          <w:lang w:val="en-US"/>
        </w:rPr>
        <w:t>ge of criminal responsibility</w:t>
      </w:r>
      <w:r w:rsidR="0049198D">
        <w:rPr>
          <w:rStyle w:val="EndnoteReference"/>
          <w:lang w:val="en-US"/>
        </w:rPr>
        <w:endnoteReference w:id="3"/>
      </w:r>
    </w:p>
    <w:p w:rsidR="00CC46D5" w:rsidRPr="00CC46D5" w:rsidRDefault="00CC46D5" w:rsidP="00CC46D5">
      <w:pPr>
        <w:pStyle w:val="SingleTxtG"/>
        <w:rPr>
          <w:lang w:val="en-US"/>
        </w:rPr>
      </w:pPr>
      <w:r>
        <w:rPr>
          <w:lang w:val="en-US"/>
        </w:rPr>
        <w:t>4.</w:t>
      </w:r>
      <w:r>
        <w:rPr>
          <w:lang w:val="en-US"/>
        </w:rPr>
        <w:tab/>
      </w:r>
      <w:r w:rsidRPr="00CC46D5">
        <w:rPr>
          <w:lang w:val="en-US"/>
        </w:rPr>
        <w:t>Enjoy support of the State.</w:t>
      </w:r>
    </w:p>
    <w:p w:rsidR="00CC46D5" w:rsidRPr="00CC46D5" w:rsidRDefault="00CC46D5" w:rsidP="00CC46D5">
      <w:pPr>
        <w:pStyle w:val="H1G"/>
        <w:rPr>
          <w:lang w:val="en-US"/>
        </w:rPr>
      </w:pPr>
      <w:r>
        <w:rPr>
          <w:lang w:val="en-US"/>
        </w:rPr>
        <w:tab/>
        <w:t>B.</w:t>
      </w:r>
      <w:r>
        <w:rPr>
          <w:lang w:val="en-US"/>
        </w:rPr>
        <w:tab/>
      </w:r>
      <w:r w:rsidRPr="00CC46D5">
        <w:rPr>
          <w:lang w:val="en-US"/>
        </w:rPr>
        <w:t>B</w:t>
      </w:r>
      <w:r>
        <w:rPr>
          <w:lang w:val="en-US"/>
        </w:rPr>
        <w:t>irth registration</w:t>
      </w:r>
      <w:r w:rsidR="0049198D">
        <w:rPr>
          <w:rStyle w:val="EndnoteReference"/>
          <w:lang w:val="en-US"/>
        </w:rPr>
        <w:endnoteReference w:id="4"/>
      </w:r>
    </w:p>
    <w:p w:rsidR="00CC46D5" w:rsidRPr="00CC46D5" w:rsidRDefault="00CC46D5" w:rsidP="00CC46D5">
      <w:pPr>
        <w:pStyle w:val="SingleTxtG"/>
        <w:rPr>
          <w:lang w:val="en-US"/>
        </w:rPr>
      </w:pPr>
      <w:r>
        <w:rPr>
          <w:lang w:val="en-US"/>
        </w:rPr>
        <w:t>5.</w:t>
      </w:r>
      <w:r>
        <w:rPr>
          <w:lang w:val="en-US"/>
        </w:rPr>
        <w:tab/>
      </w:r>
      <w:r w:rsidRPr="00CC46D5">
        <w:rPr>
          <w:lang w:val="en-US"/>
        </w:rPr>
        <w:t>Enjoy support of the State.</w:t>
      </w:r>
    </w:p>
    <w:p w:rsidR="00CC46D5" w:rsidRPr="00CC46D5" w:rsidRDefault="00CC46D5" w:rsidP="00CC46D5">
      <w:pPr>
        <w:pStyle w:val="H1G"/>
        <w:rPr>
          <w:lang w:val="en-US"/>
        </w:rPr>
      </w:pPr>
      <w:r>
        <w:rPr>
          <w:lang w:val="en-US"/>
        </w:rPr>
        <w:tab/>
        <w:t>C.</w:t>
      </w:r>
      <w:r>
        <w:rPr>
          <w:lang w:val="en-US"/>
        </w:rPr>
        <w:tab/>
      </w:r>
      <w:r w:rsidRPr="00CC46D5">
        <w:rPr>
          <w:lang w:val="en-US"/>
        </w:rPr>
        <w:t>C</w:t>
      </w:r>
      <w:r>
        <w:rPr>
          <w:lang w:val="en-US"/>
        </w:rPr>
        <w:t xml:space="preserve">hild </w:t>
      </w:r>
      <w:r w:rsidR="007D0654">
        <w:rPr>
          <w:lang w:val="en-US"/>
        </w:rPr>
        <w:t>Care and Protection A</w:t>
      </w:r>
      <w:r>
        <w:rPr>
          <w:lang w:val="en-US"/>
        </w:rPr>
        <w:t>ct</w:t>
      </w:r>
      <w:r w:rsidR="0049198D">
        <w:rPr>
          <w:rStyle w:val="EndnoteReference"/>
          <w:lang w:val="en-US"/>
        </w:rPr>
        <w:endnoteReference w:id="5"/>
      </w:r>
    </w:p>
    <w:p w:rsidR="00CC46D5" w:rsidRPr="00CC46D5" w:rsidRDefault="00CC46D5" w:rsidP="00CC46D5">
      <w:pPr>
        <w:pStyle w:val="SingleTxtG"/>
        <w:rPr>
          <w:lang w:val="en-US"/>
        </w:rPr>
      </w:pPr>
      <w:r>
        <w:rPr>
          <w:lang w:val="en-US"/>
        </w:rPr>
        <w:t>6.</w:t>
      </w:r>
      <w:r>
        <w:rPr>
          <w:lang w:val="en-US"/>
        </w:rPr>
        <w:tab/>
      </w:r>
      <w:r w:rsidRPr="00CC46D5">
        <w:rPr>
          <w:lang w:val="en-US"/>
        </w:rPr>
        <w:t>Enjoy support of the State.</w:t>
      </w:r>
    </w:p>
    <w:p w:rsidR="00CC46D5" w:rsidRPr="00CC46D5" w:rsidRDefault="007D0654" w:rsidP="007D0654">
      <w:pPr>
        <w:pStyle w:val="H1G"/>
        <w:rPr>
          <w:lang w:val="en-US"/>
        </w:rPr>
      </w:pPr>
      <w:r>
        <w:rPr>
          <w:lang w:val="en-US"/>
        </w:rPr>
        <w:tab/>
        <w:t>D.</w:t>
      </w:r>
      <w:r>
        <w:rPr>
          <w:lang w:val="en-US"/>
        </w:rPr>
        <w:tab/>
      </w:r>
      <w:r w:rsidR="00CC46D5" w:rsidRPr="00CC46D5">
        <w:rPr>
          <w:lang w:val="en-US"/>
        </w:rPr>
        <w:t>C</w:t>
      </w:r>
      <w:r>
        <w:rPr>
          <w:lang w:val="en-US"/>
        </w:rPr>
        <w:t>hild labour</w:t>
      </w:r>
      <w:r w:rsidR="0049198D">
        <w:rPr>
          <w:rStyle w:val="EndnoteReference"/>
          <w:lang w:val="en-US"/>
        </w:rPr>
        <w:endnoteReference w:id="6"/>
      </w:r>
    </w:p>
    <w:p w:rsidR="00CC46D5" w:rsidRPr="00CC46D5" w:rsidRDefault="007D0654" w:rsidP="007D0654">
      <w:pPr>
        <w:pStyle w:val="SingleTxtG"/>
        <w:rPr>
          <w:lang w:val="en-US"/>
        </w:rPr>
      </w:pPr>
      <w:r>
        <w:rPr>
          <w:lang w:val="en-US"/>
        </w:rPr>
        <w:t>7.</w:t>
      </w:r>
      <w:r>
        <w:rPr>
          <w:lang w:val="en-US"/>
        </w:rPr>
        <w:tab/>
      </w:r>
      <w:r w:rsidR="00CC46D5" w:rsidRPr="00CC46D5">
        <w:rPr>
          <w:lang w:val="en-US"/>
        </w:rPr>
        <w:t>Enjoy support of the State.</w:t>
      </w:r>
    </w:p>
    <w:p w:rsidR="00CC46D5" w:rsidRPr="00CC46D5" w:rsidRDefault="007D0654" w:rsidP="007D0654">
      <w:pPr>
        <w:pStyle w:val="H1G"/>
        <w:rPr>
          <w:lang w:val="en-US"/>
        </w:rPr>
      </w:pPr>
      <w:r>
        <w:rPr>
          <w:lang w:val="en-US"/>
        </w:rPr>
        <w:lastRenderedPageBreak/>
        <w:tab/>
        <w:t>E.</w:t>
      </w:r>
      <w:r>
        <w:rPr>
          <w:lang w:val="en-US"/>
        </w:rPr>
        <w:tab/>
      </w:r>
      <w:r w:rsidR="00CC46D5" w:rsidRPr="00CC46D5">
        <w:rPr>
          <w:lang w:val="en-US"/>
        </w:rPr>
        <w:t>D</w:t>
      </w:r>
      <w:r>
        <w:rPr>
          <w:lang w:val="en-US"/>
        </w:rPr>
        <w:t>efinition of child</w:t>
      </w:r>
      <w:r w:rsidR="0049198D">
        <w:rPr>
          <w:rStyle w:val="EndnoteReference"/>
          <w:lang w:val="en-US"/>
        </w:rPr>
        <w:endnoteReference w:id="7"/>
      </w:r>
    </w:p>
    <w:p w:rsidR="00CC46D5" w:rsidRPr="00CC46D5" w:rsidRDefault="007D0654" w:rsidP="007D0654">
      <w:pPr>
        <w:pStyle w:val="SingleTxtG"/>
        <w:rPr>
          <w:lang w:val="en-US"/>
        </w:rPr>
      </w:pPr>
      <w:r>
        <w:rPr>
          <w:lang w:val="en-US"/>
        </w:rPr>
        <w:t>8.</w:t>
      </w:r>
      <w:r>
        <w:rPr>
          <w:lang w:val="en-US"/>
        </w:rPr>
        <w:tab/>
      </w:r>
      <w:r w:rsidR="00CC46D5" w:rsidRPr="00CC46D5">
        <w:rPr>
          <w:lang w:val="en-US"/>
        </w:rPr>
        <w:t>Noted.</w:t>
      </w:r>
    </w:p>
    <w:p w:rsidR="00CC46D5" w:rsidRPr="00CC46D5" w:rsidRDefault="00896F80" w:rsidP="007D0654">
      <w:pPr>
        <w:pStyle w:val="SingleTxtG"/>
        <w:rPr>
          <w:lang w:val="en-US"/>
        </w:rPr>
      </w:pPr>
      <w:r>
        <w:rPr>
          <w:lang w:val="en-US"/>
        </w:rPr>
        <w:t>9.</w:t>
      </w:r>
      <w:r>
        <w:rPr>
          <w:lang w:val="en-US"/>
        </w:rPr>
        <w:tab/>
      </w:r>
      <w:r w:rsidR="00CC46D5" w:rsidRPr="00CC46D5">
        <w:rPr>
          <w:lang w:val="en-US"/>
        </w:rPr>
        <w:t>The Namibian Constitution provides that a child shall be persons under the age of sixteen (16</w:t>
      </w:r>
      <w:r w:rsidR="00E96971">
        <w:rPr>
          <w:lang w:val="en-US"/>
        </w:rPr>
        <w:t>) years. Although Namibia is a S</w:t>
      </w:r>
      <w:r w:rsidR="00CC46D5" w:rsidRPr="00CC46D5">
        <w:rPr>
          <w:lang w:val="en-US"/>
        </w:rPr>
        <w:t>tate party to the CRC, an amendment to the Namibian Constitution must be made to change the definition of a child to that of the CRC (Every human being below the age of 18 years unless under the law applicable to the child, majority is attained earlier). The State under review will conduct national consultations in this regard.</w:t>
      </w:r>
    </w:p>
    <w:p w:rsidR="00CC46D5" w:rsidRPr="00CC46D5" w:rsidRDefault="00896F80" w:rsidP="00896F80">
      <w:pPr>
        <w:pStyle w:val="H1G"/>
        <w:rPr>
          <w:lang w:val="en-US"/>
        </w:rPr>
      </w:pPr>
      <w:r>
        <w:rPr>
          <w:lang w:val="en-US"/>
        </w:rPr>
        <w:tab/>
        <w:t>F.</w:t>
      </w:r>
      <w:r>
        <w:rPr>
          <w:lang w:val="en-US"/>
        </w:rPr>
        <w:tab/>
      </w:r>
      <w:r w:rsidR="00CC46D5" w:rsidRPr="00CC46D5">
        <w:rPr>
          <w:lang w:val="en-US"/>
        </w:rPr>
        <w:t>D</w:t>
      </w:r>
      <w:r>
        <w:rPr>
          <w:lang w:val="en-US"/>
        </w:rPr>
        <w:t>isability</w:t>
      </w:r>
      <w:r w:rsidR="0049198D">
        <w:rPr>
          <w:rStyle w:val="EndnoteReference"/>
          <w:lang w:val="en-US"/>
        </w:rPr>
        <w:endnoteReference w:id="8"/>
      </w:r>
    </w:p>
    <w:p w:rsidR="00CC46D5" w:rsidRPr="00CC46D5" w:rsidRDefault="00896F80" w:rsidP="00896F80">
      <w:pPr>
        <w:pStyle w:val="SingleTxtG"/>
        <w:rPr>
          <w:lang w:val="en-US"/>
        </w:rPr>
      </w:pPr>
      <w:r>
        <w:rPr>
          <w:lang w:val="en-US"/>
        </w:rPr>
        <w:t>10.</w:t>
      </w:r>
      <w:r>
        <w:rPr>
          <w:lang w:val="en-US"/>
        </w:rPr>
        <w:tab/>
      </w:r>
      <w:r w:rsidR="00CC46D5" w:rsidRPr="00CC46D5">
        <w:rPr>
          <w:lang w:val="en-US"/>
        </w:rPr>
        <w:t>Enjoy support of the State.</w:t>
      </w:r>
    </w:p>
    <w:p w:rsidR="00CC46D5" w:rsidRPr="00CC46D5" w:rsidRDefault="00896F80" w:rsidP="00896F80">
      <w:pPr>
        <w:pStyle w:val="H1G"/>
        <w:rPr>
          <w:lang w:val="en-US"/>
        </w:rPr>
      </w:pPr>
      <w:r>
        <w:rPr>
          <w:lang w:val="en-US"/>
        </w:rPr>
        <w:tab/>
        <w:t>G.</w:t>
      </w:r>
      <w:r>
        <w:rPr>
          <w:lang w:val="en-US"/>
        </w:rPr>
        <w:tab/>
      </w:r>
      <w:r w:rsidR="00CC46D5" w:rsidRPr="00CC46D5">
        <w:rPr>
          <w:lang w:val="en-US"/>
        </w:rPr>
        <w:t>V</w:t>
      </w:r>
      <w:r>
        <w:rPr>
          <w:lang w:val="en-US"/>
        </w:rPr>
        <w:t>iolence against children and corporal punishment</w:t>
      </w:r>
      <w:r w:rsidR="0049198D">
        <w:rPr>
          <w:rStyle w:val="EndnoteReference"/>
          <w:lang w:val="en-US"/>
        </w:rPr>
        <w:endnoteReference w:id="9"/>
      </w:r>
    </w:p>
    <w:p w:rsidR="00CC46D5" w:rsidRPr="00CC46D5" w:rsidRDefault="00896F80" w:rsidP="00896F80">
      <w:pPr>
        <w:pStyle w:val="SingleTxtG"/>
        <w:rPr>
          <w:lang w:val="en-US"/>
        </w:rPr>
      </w:pPr>
      <w:r>
        <w:rPr>
          <w:lang w:val="en-US"/>
        </w:rPr>
        <w:t>11.</w:t>
      </w:r>
      <w:r>
        <w:rPr>
          <w:lang w:val="en-US"/>
        </w:rPr>
        <w:tab/>
      </w:r>
      <w:r w:rsidR="00CC46D5" w:rsidRPr="00CC46D5">
        <w:rPr>
          <w:lang w:val="en-US"/>
        </w:rPr>
        <w:t>Enjoy support of the State.</w:t>
      </w:r>
    </w:p>
    <w:p w:rsidR="00CC46D5" w:rsidRPr="00CC46D5" w:rsidRDefault="00896F80" w:rsidP="00896F80">
      <w:pPr>
        <w:pStyle w:val="HChG"/>
        <w:rPr>
          <w:lang w:val="en-US"/>
        </w:rPr>
      </w:pPr>
      <w:r>
        <w:rPr>
          <w:lang w:val="en-US"/>
        </w:rPr>
        <w:tab/>
        <w:t>III.</w:t>
      </w:r>
      <w:r>
        <w:rPr>
          <w:lang w:val="en-US"/>
        </w:rPr>
        <w:tab/>
      </w:r>
      <w:r w:rsidR="00CC46D5" w:rsidRPr="00CC46D5">
        <w:rPr>
          <w:lang w:val="en-US"/>
        </w:rPr>
        <w:t>C</w:t>
      </w:r>
      <w:r>
        <w:rPr>
          <w:lang w:val="en-US"/>
        </w:rPr>
        <w:t>ivil registration</w:t>
      </w:r>
      <w:r w:rsidR="0049198D">
        <w:rPr>
          <w:rStyle w:val="EndnoteReference"/>
          <w:lang w:val="en-US"/>
        </w:rPr>
        <w:endnoteReference w:id="10"/>
      </w:r>
    </w:p>
    <w:p w:rsidR="00CC46D5" w:rsidRPr="00CC46D5" w:rsidRDefault="00896F80" w:rsidP="00896F80">
      <w:pPr>
        <w:pStyle w:val="SingleTxtG"/>
        <w:rPr>
          <w:lang w:val="en-US"/>
        </w:rPr>
      </w:pPr>
      <w:r>
        <w:rPr>
          <w:lang w:val="en-US"/>
        </w:rPr>
        <w:t>12.</w:t>
      </w:r>
      <w:r>
        <w:rPr>
          <w:lang w:val="en-US"/>
        </w:rPr>
        <w:tab/>
      </w:r>
      <w:r w:rsidR="00CC46D5" w:rsidRPr="00CC46D5">
        <w:rPr>
          <w:lang w:val="en-US"/>
        </w:rPr>
        <w:t>Enjoy support of the State.</w:t>
      </w:r>
    </w:p>
    <w:p w:rsidR="00CC46D5" w:rsidRPr="00CC46D5" w:rsidRDefault="00896F80" w:rsidP="00896F80">
      <w:pPr>
        <w:pStyle w:val="HChG"/>
        <w:rPr>
          <w:lang w:val="en-US"/>
        </w:rPr>
      </w:pPr>
      <w:r>
        <w:rPr>
          <w:lang w:val="en-US"/>
        </w:rPr>
        <w:tab/>
        <w:t>IV.</w:t>
      </w:r>
      <w:r>
        <w:rPr>
          <w:lang w:val="en-US"/>
        </w:rPr>
        <w:tab/>
      </w:r>
      <w:r w:rsidR="00CC46D5" w:rsidRPr="00CC46D5">
        <w:rPr>
          <w:lang w:val="en-US"/>
        </w:rPr>
        <w:t>E</w:t>
      </w:r>
      <w:r>
        <w:rPr>
          <w:lang w:val="en-US"/>
        </w:rPr>
        <w:t>ducation</w:t>
      </w:r>
      <w:r w:rsidR="0049198D">
        <w:rPr>
          <w:rStyle w:val="EndnoteReference"/>
          <w:lang w:val="en-US"/>
        </w:rPr>
        <w:endnoteReference w:id="11"/>
      </w:r>
    </w:p>
    <w:p w:rsidR="00CC46D5" w:rsidRPr="00CC46D5" w:rsidRDefault="00896F80" w:rsidP="00896F80">
      <w:pPr>
        <w:pStyle w:val="SingleTxtG"/>
        <w:rPr>
          <w:lang w:val="en-US"/>
        </w:rPr>
      </w:pPr>
      <w:r>
        <w:rPr>
          <w:lang w:val="en-US"/>
        </w:rPr>
        <w:t>13.</w:t>
      </w:r>
      <w:r>
        <w:rPr>
          <w:lang w:val="en-US"/>
        </w:rPr>
        <w:tab/>
      </w:r>
      <w:r w:rsidR="00CC46D5" w:rsidRPr="00CC46D5">
        <w:rPr>
          <w:lang w:val="en-US"/>
        </w:rPr>
        <w:t>Enjoy support of the State.</w:t>
      </w:r>
    </w:p>
    <w:p w:rsidR="00CC46D5" w:rsidRPr="00CC46D5" w:rsidRDefault="0061385E" w:rsidP="0061385E">
      <w:pPr>
        <w:pStyle w:val="HChG"/>
        <w:rPr>
          <w:lang w:val="en-US"/>
        </w:rPr>
      </w:pPr>
      <w:r>
        <w:rPr>
          <w:lang w:val="en-US"/>
        </w:rPr>
        <w:tab/>
        <w:t>V.</w:t>
      </w:r>
      <w:r>
        <w:rPr>
          <w:lang w:val="en-US"/>
        </w:rPr>
        <w:tab/>
      </w:r>
      <w:r w:rsidR="00CC46D5" w:rsidRPr="00CC46D5">
        <w:rPr>
          <w:lang w:val="en-US"/>
        </w:rPr>
        <w:t>F</w:t>
      </w:r>
      <w:r>
        <w:rPr>
          <w:lang w:val="en-US"/>
        </w:rPr>
        <w:t>amily</w:t>
      </w:r>
      <w:r w:rsidR="0049198D">
        <w:rPr>
          <w:rStyle w:val="EndnoteReference"/>
          <w:lang w:val="en-US"/>
        </w:rPr>
        <w:endnoteReference w:id="12"/>
      </w:r>
    </w:p>
    <w:p w:rsidR="00CC46D5" w:rsidRPr="00CC46D5" w:rsidRDefault="0061385E" w:rsidP="0061385E">
      <w:pPr>
        <w:pStyle w:val="SingleTxtG"/>
        <w:rPr>
          <w:lang w:val="en-US"/>
        </w:rPr>
      </w:pPr>
      <w:r>
        <w:rPr>
          <w:lang w:val="en-US"/>
        </w:rPr>
        <w:t>14.</w:t>
      </w:r>
      <w:r>
        <w:rPr>
          <w:lang w:val="en-US"/>
        </w:rPr>
        <w:tab/>
      </w:r>
      <w:r w:rsidR="00CC46D5" w:rsidRPr="00CC46D5">
        <w:rPr>
          <w:lang w:val="en-US"/>
        </w:rPr>
        <w:t>Enjoy support of the State.</w:t>
      </w:r>
    </w:p>
    <w:p w:rsidR="00CC46D5" w:rsidRPr="00CC46D5" w:rsidRDefault="0061385E" w:rsidP="0061385E">
      <w:pPr>
        <w:pStyle w:val="SingleTxtG"/>
        <w:rPr>
          <w:lang w:val="en-US"/>
        </w:rPr>
      </w:pPr>
      <w:r>
        <w:rPr>
          <w:lang w:val="en-US"/>
        </w:rPr>
        <w:t>15.</w:t>
      </w:r>
      <w:r>
        <w:rPr>
          <w:lang w:val="en-US"/>
        </w:rPr>
        <w:tab/>
      </w:r>
      <w:r w:rsidR="00CC46D5" w:rsidRPr="00CC46D5">
        <w:rPr>
          <w:lang w:val="en-US"/>
        </w:rPr>
        <w:t>Article 14(3) of the Namibian Constitution provides that “The family is the natural and fundamental group unit of society and is entitled to</w:t>
      </w:r>
      <w:r w:rsidR="00E96971">
        <w:rPr>
          <w:lang w:val="en-US"/>
        </w:rPr>
        <w:t xml:space="preserve"> protection by society and the S</w:t>
      </w:r>
      <w:r w:rsidR="00CC46D5" w:rsidRPr="00CC46D5">
        <w:rPr>
          <w:lang w:val="en-US"/>
        </w:rPr>
        <w:t>tate”. The State under reviews hereby states that these provisions are being implemented.</w:t>
      </w:r>
    </w:p>
    <w:p w:rsidR="00CC46D5" w:rsidRPr="00CC46D5" w:rsidRDefault="0061385E" w:rsidP="0061385E">
      <w:pPr>
        <w:pStyle w:val="HChG"/>
        <w:rPr>
          <w:lang w:val="en-US"/>
        </w:rPr>
      </w:pPr>
      <w:r>
        <w:rPr>
          <w:lang w:val="en-US"/>
        </w:rPr>
        <w:tab/>
        <w:t>VI.</w:t>
      </w:r>
      <w:r>
        <w:rPr>
          <w:lang w:val="en-US"/>
        </w:rPr>
        <w:tab/>
      </w:r>
      <w:r w:rsidR="00CC46D5" w:rsidRPr="00CC46D5">
        <w:rPr>
          <w:lang w:val="en-US"/>
        </w:rPr>
        <w:t>F</w:t>
      </w:r>
      <w:r>
        <w:rPr>
          <w:lang w:val="en-US"/>
        </w:rPr>
        <w:t>reedom of expression and freedom of the media</w:t>
      </w:r>
      <w:r w:rsidR="0049198D">
        <w:rPr>
          <w:rStyle w:val="EndnoteReference"/>
          <w:lang w:val="en-US"/>
        </w:rPr>
        <w:endnoteReference w:id="13"/>
      </w:r>
    </w:p>
    <w:p w:rsidR="00CC46D5" w:rsidRPr="00CC46D5" w:rsidRDefault="0061385E" w:rsidP="0061385E">
      <w:pPr>
        <w:pStyle w:val="SingleTxtG"/>
        <w:rPr>
          <w:lang w:val="en-US"/>
        </w:rPr>
      </w:pPr>
      <w:r>
        <w:rPr>
          <w:lang w:val="en-US"/>
        </w:rPr>
        <w:t>16.</w:t>
      </w:r>
      <w:r>
        <w:rPr>
          <w:lang w:val="en-US"/>
        </w:rPr>
        <w:tab/>
      </w:r>
      <w:r w:rsidR="00CC46D5" w:rsidRPr="00CC46D5">
        <w:rPr>
          <w:lang w:val="en-US"/>
        </w:rPr>
        <w:t>Enjoy support of the State.</w:t>
      </w:r>
    </w:p>
    <w:p w:rsidR="00CC46D5" w:rsidRPr="00CC46D5" w:rsidRDefault="0061385E" w:rsidP="0061385E">
      <w:pPr>
        <w:pStyle w:val="SingleTxtG"/>
        <w:rPr>
          <w:lang w:val="en-US"/>
        </w:rPr>
      </w:pPr>
      <w:r>
        <w:rPr>
          <w:lang w:val="en-US"/>
        </w:rPr>
        <w:t>17.</w:t>
      </w:r>
      <w:r>
        <w:rPr>
          <w:lang w:val="en-US"/>
        </w:rPr>
        <w:tab/>
      </w:r>
      <w:r w:rsidR="00CC46D5" w:rsidRPr="00CC46D5">
        <w:rPr>
          <w:lang w:val="en-US"/>
        </w:rPr>
        <w:t>Namibia ranks high in global standing on freedom of the media. According to the 2016 rankings on World Press Freedom Index, Namibia ranks no. 17 out of 180 countries in the world, and no.1 in Africa. Freedom of Expression is protected by the Namibian Constitution. Article 21 of the Namibian Constitution guarantees the right to freedom of speech and expression, which includes freedom of the press and other media. The Namibian media is self-regulating through the office of the media ombudsman. The media ombudsman can only be appointed and removed from his or her position by the Editor’s Forum of Namibia.</w:t>
      </w:r>
    </w:p>
    <w:p w:rsidR="00CC46D5" w:rsidRPr="00CC46D5" w:rsidRDefault="0061385E" w:rsidP="0061385E">
      <w:pPr>
        <w:pStyle w:val="HChG"/>
        <w:rPr>
          <w:lang w:val="en-US"/>
        </w:rPr>
      </w:pPr>
      <w:r>
        <w:rPr>
          <w:lang w:val="en-US"/>
        </w:rPr>
        <w:tab/>
        <w:t>VII.</w:t>
      </w:r>
      <w:r>
        <w:rPr>
          <w:lang w:val="en-US"/>
        </w:rPr>
        <w:tab/>
      </w:r>
      <w:r w:rsidR="00CC46D5" w:rsidRPr="00CC46D5">
        <w:rPr>
          <w:lang w:val="en-US"/>
        </w:rPr>
        <w:t>H</w:t>
      </w:r>
      <w:r>
        <w:rPr>
          <w:lang w:val="en-US"/>
        </w:rPr>
        <w:t>ealth care</w:t>
      </w:r>
      <w:r w:rsidR="0049198D">
        <w:rPr>
          <w:rStyle w:val="EndnoteReference"/>
          <w:lang w:val="en-US"/>
        </w:rPr>
        <w:endnoteReference w:id="14"/>
      </w:r>
    </w:p>
    <w:p w:rsidR="00CC46D5" w:rsidRPr="00CC46D5" w:rsidRDefault="0061385E" w:rsidP="0061385E">
      <w:pPr>
        <w:pStyle w:val="SingleTxtG"/>
        <w:rPr>
          <w:lang w:val="en-US"/>
        </w:rPr>
      </w:pPr>
      <w:r>
        <w:rPr>
          <w:lang w:val="en-US"/>
        </w:rPr>
        <w:t>18.</w:t>
      </w:r>
      <w:r>
        <w:rPr>
          <w:lang w:val="en-US"/>
        </w:rPr>
        <w:tab/>
      </w:r>
      <w:r w:rsidR="00CC46D5" w:rsidRPr="00CC46D5">
        <w:rPr>
          <w:lang w:val="en-US"/>
        </w:rPr>
        <w:t>Enjoy support of the State.</w:t>
      </w:r>
    </w:p>
    <w:p w:rsidR="00CC46D5" w:rsidRPr="00CC46D5" w:rsidRDefault="0061385E" w:rsidP="0061385E">
      <w:pPr>
        <w:pStyle w:val="SingleTxtG"/>
        <w:rPr>
          <w:lang w:val="en-US"/>
        </w:rPr>
      </w:pPr>
      <w:r>
        <w:rPr>
          <w:lang w:val="en-US"/>
        </w:rPr>
        <w:tab/>
        <w:t>(a)</w:t>
      </w:r>
      <w:r>
        <w:rPr>
          <w:lang w:val="en-US"/>
        </w:rPr>
        <w:tab/>
      </w:r>
      <w:r w:rsidR="00CC46D5" w:rsidRPr="00CC46D5">
        <w:rPr>
          <w:lang w:val="en-US"/>
        </w:rPr>
        <w:t xml:space="preserve">The Ministry of Health and Social Services (MoHSS) launched and started with the implementation of the MoHSS Roadmap in 2014. The Roadmap (2014) provides a strategic long-term framework for governance, human resource development, </w:t>
      </w:r>
      <w:r w:rsidR="00CC46D5" w:rsidRPr="00CC46D5">
        <w:rPr>
          <w:i/>
          <w:lang w:val="en-US"/>
        </w:rPr>
        <w:t>health facility upgrading and the establishment of specialised services and institutions</w:t>
      </w:r>
      <w:r w:rsidR="00CC46D5" w:rsidRPr="00CC46D5">
        <w:rPr>
          <w:lang w:val="en-US"/>
        </w:rPr>
        <w:t>. It will be operationalised through annual action plans, national development plans, the medium-term expenditure framework, development assistance a</w:t>
      </w:r>
      <w:r>
        <w:rPr>
          <w:lang w:val="en-US"/>
        </w:rPr>
        <w:t>nd public private partnerships.</w:t>
      </w:r>
    </w:p>
    <w:p w:rsidR="00CC46D5" w:rsidRPr="00CC46D5" w:rsidRDefault="0061385E" w:rsidP="0061385E">
      <w:pPr>
        <w:pStyle w:val="SingleTxtG"/>
        <w:rPr>
          <w:lang w:val="en-US"/>
        </w:rPr>
      </w:pPr>
      <w:r>
        <w:rPr>
          <w:lang w:val="en-US"/>
        </w:rPr>
        <w:tab/>
        <w:t>(b)</w:t>
      </w:r>
      <w:r>
        <w:rPr>
          <w:lang w:val="en-US"/>
        </w:rPr>
        <w:tab/>
      </w:r>
      <w:r w:rsidR="00CC46D5" w:rsidRPr="00CC46D5">
        <w:rPr>
          <w:lang w:val="en-US"/>
        </w:rPr>
        <w:t xml:space="preserve">The upgrading and establishment of infrastructure is one of the priorities emphasized in the Roadmap. The Roadmap envisages that by 2030, there will be three (3) Class A hospitals. The additional two (2) Class A hospitals will be in Oshakati and Rundu respectively. The Ministry of Health and Social Services (MoHSS) further envisaged </w:t>
      </w:r>
      <w:proofErr w:type="gramStart"/>
      <w:r w:rsidR="00CC46D5" w:rsidRPr="00CC46D5">
        <w:rPr>
          <w:lang w:val="en-US"/>
        </w:rPr>
        <w:t>to have</w:t>
      </w:r>
      <w:proofErr w:type="gramEnd"/>
      <w:r w:rsidR="00CC46D5" w:rsidRPr="00CC46D5">
        <w:rPr>
          <w:lang w:val="en-US"/>
        </w:rPr>
        <w:t xml:space="preserve"> four (4) Class B Level I hospitals (Katutura, Onandjokwe, Rundu and Swakopmund) and six (6) Class B Level 2 hospitals (Otjiwarongo, Katima Mulilo, Engela, Keetmanshoop, Outapi and Opuwo). The MoHSS targets to build five (5) new district hospitals by 2023, sixty (60) new health centres and three hundred and fifty (350) clinics and to have five thousand (5 000) community health posts by 2023.</w:t>
      </w:r>
    </w:p>
    <w:p w:rsidR="00CC46D5" w:rsidRPr="00CC46D5" w:rsidRDefault="0061385E" w:rsidP="0061385E">
      <w:pPr>
        <w:pStyle w:val="HChG"/>
        <w:rPr>
          <w:lang w:val="en-US"/>
        </w:rPr>
      </w:pPr>
      <w:r>
        <w:rPr>
          <w:lang w:val="en-US"/>
        </w:rPr>
        <w:tab/>
        <w:t>VIII.</w:t>
      </w:r>
      <w:r>
        <w:rPr>
          <w:lang w:val="en-US"/>
        </w:rPr>
        <w:tab/>
      </w:r>
      <w:r w:rsidR="00CC46D5" w:rsidRPr="00CC46D5">
        <w:rPr>
          <w:lang w:val="en-US"/>
        </w:rPr>
        <w:t>HIV/AIDS</w:t>
      </w:r>
      <w:r w:rsidR="0049198D">
        <w:rPr>
          <w:rStyle w:val="EndnoteReference"/>
          <w:lang w:val="en-US"/>
        </w:rPr>
        <w:endnoteReference w:id="15"/>
      </w:r>
    </w:p>
    <w:p w:rsidR="00CC46D5" w:rsidRPr="00CC46D5" w:rsidRDefault="0061385E" w:rsidP="0061385E">
      <w:pPr>
        <w:pStyle w:val="SingleTxtG"/>
        <w:rPr>
          <w:lang w:val="en-US"/>
        </w:rPr>
      </w:pPr>
      <w:r>
        <w:rPr>
          <w:lang w:val="en-US"/>
        </w:rPr>
        <w:t>19.</w:t>
      </w:r>
      <w:r>
        <w:rPr>
          <w:lang w:val="en-US"/>
        </w:rPr>
        <w:tab/>
      </w:r>
      <w:r w:rsidR="00CC46D5" w:rsidRPr="00CC46D5">
        <w:rPr>
          <w:lang w:val="en-US"/>
        </w:rPr>
        <w:t>Enjoy support of the State.</w:t>
      </w:r>
    </w:p>
    <w:p w:rsidR="00CC46D5" w:rsidRPr="00CC46D5" w:rsidRDefault="0061385E" w:rsidP="0061385E">
      <w:pPr>
        <w:pStyle w:val="HChG"/>
        <w:rPr>
          <w:lang w:val="en-US"/>
        </w:rPr>
      </w:pPr>
      <w:r>
        <w:rPr>
          <w:lang w:val="en-US"/>
        </w:rPr>
        <w:tab/>
        <w:t>IX.</w:t>
      </w:r>
      <w:r>
        <w:rPr>
          <w:lang w:val="en-US"/>
        </w:rPr>
        <w:tab/>
      </w:r>
      <w:r w:rsidR="00CC46D5" w:rsidRPr="00CC46D5">
        <w:rPr>
          <w:lang w:val="en-US"/>
        </w:rPr>
        <w:t>H</w:t>
      </w:r>
      <w:r>
        <w:rPr>
          <w:lang w:val="en-US"/>
        </w:rPr>
        <w:t>uman rights education and promotion</w:t>
      </w:r>
      <w:r w:rsidR="0049198D">
        <w:rPr>
          <w:rStyle w:val="EndnoteReference"/>
          <w:lang w:val="en-US"/>
        </w:rPr>
        <w:endnoteReference w:id="16"/>
      </w:r>
    </w:p>
    <w:p w:rsidR="00CC46D5" w:rsidRPr="00CC46D5" w:rsidRDefault="0061385E" w:rsidP="0061385E">
      <w:pPr>
        <w:pStyle w:val="SingleTxtG"/>
        <w:rPr>
          <w:lang w:val="en-US"/>
        </w:rPr>
      </w:pPr>
      <w:r>
        <w:rPr>
          <w:lang w:val="en-US"/>
        </w:rPr>
        <w:t>20.</w:t>
      </w:r>
      <w:r>
        <w:rPr>
          <w:lang w:val="en-US"/>
        </w:rPr>
        <w:tab/>
      </w:r>
      <w:r w:rsidR="00CC46D5" w:rsidRPr="00CC46D5">
        <w:rPr>
          <w:lang w:val="en-US"/>
        </w:rPr>
        <w:t>Enjoy support of the State.</w:t>
      </w:r>
    </w:p>
    <w:p w:rsidR="00CC46D5" w:rsidRPr="00CC46D5" w:rsidRDefault="0061385E" w:rsidP="0061385E">
      <w:pPr>
        <w:pStyle w:val="HChG"/>
        <w:rPr>
          <w:lang w:val="en-US"/>
        </w:rPr>
      </w:pPr>
      <w:r>
        <w:rPr>
          <w:lang w:val="en-US"/>
        </w:rPr>
        <w:tab/>
        <w:t>X.</w:t>
      </w:r>
      <w:r>
        <w:rPr>
          <w:lang w:val="en-US"/>
        </w:rPr>
        <w:tab/>
      </w:r>
      <w:r w:rsidR="00CC46D5" w:rsidRPr="00CC46D5">
        <w:rPr>
          <w:lang w:val="en-US"/>
        </w:rPr>
        <w:t>H</w:t>
      </w:r>
      <w:r>
        <w:rPr>
          <w:lang w:val="en-US"/>
        </w:rPr>
        <w:t>uman rights institutions</w:t>
      </w:r>
      <w:r w:rsidR="0049198D">
        <w:rPr>
          <w:rStyle w:val="EndnoteReference"/>
          <w:lang w:val="en-US"/>
        </w:rPr>
        <w:endnoteReference w:id="17"/>
      </w:r>
    </w:p>
    <w:p w:rsidR="00CC46D5" w:rsidRPr="00CC46D5" w:rsidRDefault="0061385E" w:rsidP="0061385E">
      <w:pPr>
        <w:pStyle w:val="SingleTxtG"/>
        <w:rPr>
          <w:lang w:val="en-US"/>
        </w:rPr>
      </w:pPr>
      <w:r>
        <w:rPr>
          <w:lang w:val="en-US"/>
        </w:rPr>
        <w:t>21.</w:t>
      </w:r>
      <w:r>
        <w:rPr>
          <w:lang w:val="en-US"/>
        </w:rPr>
        <w:tab/>
      </w:r>
      <w:r w:rsidR="00CC46D5" w:rsidRPr="00CC46D5">
        <w:rPr>
          <w:lang w:val="en-US"/>
        </w:rPr>
        <w:t>Enjoy support of the State.</w:t>
      </w:r>
    </w:p>
    <w:p w:rsidR="00CC46D5" w:rsidRPr="00CC46D5" w:rsidRDefault="0061385E" w:rsidP="0061385E">
      <w:pPr>
        <w:pStyle w:val="HChG"/>
        <w:rPr>
          <w:lang w:val="en-US"/>
        </w:rPr>
      </w:pPr>
      <w:r>
        <w:rPr>
          <w:lang w:val="en-US"/>
        </w:rPr>
        <w:tab/>
        <w:t>XI.</w:t>
      </w:r>
      <w:r>
        <w:rPr>
          <w:lang w:val="en-US"/>
        </w:rPr>
        <w:tab/>
      </w:r>
      <w:r w:rsidR="00CC46D5" w:rsidRPr="00CC46D5">
        <w:rPr>
          <w:lang w:val="en-US"/>
        </w:rPr>
        <w:t>H</w:t>
      </w:r>
      <w:r>
        <w:rPr>
          <w:lang w:val="en-US"/>
        </w:rPr>
        <w:t>uman trafficking</w:t>
      </w:r>
      <w:r w:rsidR="0049198D">
        <w:rPr>
          <w:rStyle w:val="EndnoteReference"/>
          <w:lang w:val="en-US"/>
        </w:rPr>
        <w:endnoteReference w:id="18"/>
      </w:r>
    </w:p>
    <w:p w:rsidR="00CC46D5" w:rsidRPr="00CC46D5" w:rsidRDefault="0061385E" w:rsidP="0061385E">
      <w:pPr>
        <w:pStyle w:val="SingleTxtG"/>
        <w:rPr>
          <w:lang w:val="en-US"/>
        </w:rPr>
      </w:pPr>
      <w:r>
        <w:rPr>
          <w:lang w:val="en-US"/>
        </w:rPr>
        <w:t>22.</w:t>
      </w:r>
      <w:r w:rsidR="00CC46D5" w:rsidRPr="00CC46D5">
        <w:rPr>
          <w:lang w:val="en-US"/>
        </w:rPr>
        <w:tab/>
        <w:t>Enjoy support of the State.</w:t>
      </w:r>
    </w:p>
    <w:p w:rsidR="00CC46D5" w:rsidRPr="00CC46D5" w:rsidRDefault="0061385E" w:rsidP="0061385E">
      <w:pPr>
        <w:pStyle w:val="HChG"/>
        <w:rPr>
          <w:lang w:val="en-US"/>
        </w:rPr>
      </w:pPr>
      <w:r>
        <w:rPr>
          <w:lang w:val="en-US"/>
        </w:rPr>
        <w:tab/>
        <w:t>XII.</w:t>
      </w:r>
      <w:r>
        <w:rPr>
          <w:lang w:val="en-US"/>
        </w:rPr>
        <w:tab/>
      </w:r>
      <w:r w:rsidR="00CC46D5" w:rsidRPr="00CC46D5">
        <w:rPr>
          <w:lang w:val="en-US"/>
        </w:rPr>
        <w:t>I</w:t>
      </w:r>
      <w:r>
        <w:rPr>
          <w:lang w:val="en-US"/>
        </w:rPr>
        <w:t>nternational Criminal Court</w:t>
      </w:r>
    </w:p>
    <w:p w:rsidR="00CC46D5" w:rsidRPr="00CC46D5" w:rsidRDefault="00CC46D5" w:rsidP="00775522">
      <w:pPr>
        <w:pStyle w:val="SingleTxtG"/>
        <w:tabs>
          <w:tab w:val="left" w:pos="1985"/>
        </w:tabs>
        <w:rPr>
          <w:lang w:val="en-US"/>
        </w:rPr>
      </w:pPr>
      <w:r w:rsidRPr="00CC46D5">
        <w:rPr>
          <w:lang w:val="en-US"/>
        </w:rPr>
        <w:t>137.47.</w:t>
      </w:r>
      <w:r w:rsidR="00775522">
        <w:rPr>
          <w:lang w:val="en-US"/>
        </w:rPr>
        <w:tab/>
      </w:r>
      <w:r w:rsidRPr="00CC46D5">
        <w:rPr>
          <w:lang w:val="en-US"/>
        </w:rPr>
        <w:t>Enjoy support of the State.</w:t>
      </w:r>
    </w:p>
    <w:p w:rsidR="00CC46D5" w:rsidRPr="00CC46D5" w:rsidRDefault="00CC46D5" w:rsidP="00775522">
      <w:pPr>
        <w:pStyle w:val="SingleTxtG"/>
        <w:rPr>
          <w:lang w:val="en-US"/>
        </w:rPr>
      </w:pPr>
      <w:r w:rsidRPr="00CC46D5">
        <w:rPr>
          <w:lang w:val="en-US"/>
        </w:rPr>
        <w:t>Namibia has already ratified the said statute.</w:t>
      </w:r>
    </w:p>
    <w:p w:rsidR="00CC46D5" w:rsidRPr="00CC46D5" w:rsidRDefault="00CC46D5" w:rsidP="00775522">
      <w:pPr>
        <w:pStyle w:val="SingleTxtG"/>
        <w:tabs>
          <w:tab w:val="left" w:pos="1985"/>
        </w:tabs>
        <w:rPr>
          <w:lang w:val="en-US"/>
        </w:rPr>
      </w:pPr>
      <w:r w:rsidRPr="00CC46D5">
        <w:rPr>
          <w:lang w:val="en-US"/>
        </w:rPr>
        <w:t>137.48.</w:t>
      </w:r>
      <w:r w:rsidR="00775522">
        <w:rPr>
          <w:lang w:val="en-US"/>
        </w:rPr>
        <w:tab/>
      </w:r>
      <w:r w:rsidRPr="00CC46D5">
        <w:rPr>
          <w:lang w:val="en-US"/>
        </w:rPr>
        <w:t>Noted.</w:t>
      </w:r>
    </w:p>
    <w:p w:rsidR="00CC46D5" w:rsidRPr="00CC46D5" w:rsidRDefault="00CC46D5" w:rsidP="00775522">
      <w:pPr>
        <w:pStyle w:val="SingleTxtG"/>
        <w:rPr>
          <w:lang w:val="en-US"/>
        </w:rPr>
      </w:pPr>
      <w:r w:rsidRPr="00CC46D5">
        <w:rPr>
          <w:lang w:val="en-US"/>
        </w:rPr>
        <w:t>This recommendation does not enjoy the support of the State.</w:t>
      </w:r>
    </w:p>
    <w:p w:rsidR="00CC46D5" w:rsidRPr="00CC46D5" w:rsidRDefault="00CC46D5" w:rsidP="00775522">
      <w:pPr>
        <w:pStyle w:val="SingleTxtG"/>
        <w:tabs>
          <w:tab w:val="left" w:pos="1985"/>
        </w:tabs>
        <w:rPr>
          <w:lang w:val="en-US"/>
        </w:rPr>
      </w:pPr>
      <w:r w:rsidRPr="00CC46D5">
        <w:rPr>
          <w:lang w:val="en-US"/>
        </w:rPr>
        <w:t>137.49.</w:t>
      </w:r>
      <w:r w:rsidR="00775522">
        <w:rPr>
          <w:lang w:val="en-US"/>
        </w:rPr>
        <w:tab/>
        <w:t>Noted.</w:t>
      </w:r>
    </w:p>
    <w:p w:rsidR="00CC46D5" w:rsidRPr="00CC46D5" w:rsidRDefault="00CC46D5" w:rsidP="00775522">
      <w:pPr>
        <w:pStyle w:val="SingleTxtG"/>
        <w:rPr>
          <w:lang w:val="en-US"/>
        </w:rPr>
      </w:pPr>
      <w:r w:rsidRPr="00CC46D5">
        <w:rPr>
          <w:lang w:val="en-US"/>
        </w:rPr>
        <w:t>This recommendation does not enjoy the support of the State.</w:t>
      </w:r>
    </w:p>
    <w:p w:rsidR="00CC46D5" w:rsidRPr="00CC46D5" w:rsidRDefault="00775522" w:rsidP="00775522">
      <w:pPr>
        <w:pStyle w:val="SingleTxtG"/>
        <w:tabs>
          <w:tab w:val="left" w:pos="1985"/>
        </w:tabs>
        <w:rPr>
          <w:lang w:val="en-US"/>
        </w:rPr>
      </w:pPr>
      <w:r>
        <w:rPr>
          <w:lang w:val="en-US"/>
        </w:rPr>
        <w:t>137.50.</w:t>
      </w:r>
      <w:r>
        <w:rPr>
          <w:lang w:val="en-US"/>
        </w:rPr>
        <w:tab/>
      </w:r>
      <w:r w:rsidR="00CC46D5" w:rsidRPr="00CC46D5">
        <w:rPr>
          <w:lang w:val="en-US"/>
        </w:rPr>
        <w:t>Noted.</w:t>
      </w:r>
    </w:p>
    <w:p w:rsidR="00CC46D5" w:rsidRPr="00CC46D5" w:rsidRDefault="00CC46D5" w:rsidP="00775522">
      <w:pPr>
        <w:pStyle w:val="SingleTxtG"/>
        <w:rPr>
          <w:lang w:val="en-US"/>
        </w:rPr>
      </w:pPr>
      <w:r w:rsidRPr="00CC46D5">
        <w:rPr>
          <w:lang w:val="en-US"/>
        </w:rPr>
        <w:t>This recommendation does not enjoy the support of the State.</w:t>
      </w:r>
    </w:p>
    <w:p w:rsidR="00CC46D5" w:rsidRPr="00CC46D5" w:rsidRDefault="00CC46D5" w:rsidP="00775522">
      <w:pPr>
        <w:pStyle w:val="SingleTxtG"/>
        <w:tabs>
          <w:tab w:val="left" w:pos="1985"/>
        </w:tabs>
        <w:rPr>
          <w:lang w:val="en-US"/>
        </w:rPr>
      </w:pPr>
      <w:r w:rsidRPr="00CC46D5">
        <w:rPr>
          <w:lang w:val="en-US"/>
        </w:rPr>
        <w:t>137.75.</w:t>
      </w:r>
      <w:r w:rsidR="00775522">
        <w:rPr>
          <w:lang w:val="en-US"/>
        </w:rPr>
        <w:tab/>
        <w:t>Noted.</w:t>
      </w:r>
    </w:p>
    <w:p w:rsidR="00CC46D5" w:rsidRPr="00CC46D5" w:rsidRDefault="00CC46D5" w:rsidP="00775522">
      <w:pPr>
        <w:pStyle w:val="SingleTxtG"/>
        <w:rPr>
          <w:lang w:val="en-US"/>
        </w:rPr>
      </w:pPr>
      <w:r w:rsidRPr="00CC46D5">
        <w:rPr>
          <w:lang w:val="en-US"/>
        </w:rPr>
        <w:t xml:space="preserve">This recommendation does not </w:t>
      </w:r>
      <w:r w:rsidR="00775522">
        <w:rPr>
          <w:lang w:val="en-US"/>
        </w:rPr>
        <w:t>enjoy the support of the State.</w:t>
      </w:r>
    </w:p>
    <w:p w:rsidR="00CC46D5" w:rsidRPr="00CC46D5" w:rsidRDefault="00775522" w:rsidP="00775522">
      <w:pPr>
        <w:pStyle w:val="SingleTxtG"/>
        <w:rPr>
          <w:lang w:val="en-US"/>
        </w:rPr>
      </w:pPr>
      <w:r>
        <w:rPr>
          <w:lang w:val="en-US"/>
        </w:rPr>
        <w:t>23.</w:t>
      </w:r>
      <w:r>
        <w:rPr>
          <w:lang w:val="en-US"/>
        </w:rPr>
        <w:tab/>
      </w:r>
      <w:r w:rsidR="00CC46D5" w:rsidRPr="00CC46D5">
        <w:rPr>
          <w:lang w:val="en-US"/>
        </w:rPr>
        <w:t>Consultations are under way with the African Union on the way forward regarding this matter.</w:t>
      </w:r>
    </w:p>
    <w:p w:rsidR="00CC46D5" w:rsidRPr="00CC46D5" w:rsidRDefault="00775522" w:rsidP="00775522">
      <w:pPr>
        <w:pStyle w:val="HChG"/>
        <w:rPr>
          <w:lang w:val="en-US"/>
        </w:rPr>
      </w:pPr>
      <w:r>
        <w:rPr>
          <w:lang w:val="en-US"/>
        </w:rPr>
        <w:tab/>
        <w:t>XIII.</w:t>
      </w:r>
      <w:r>
        <w:rPr>
          <w:lang w:val="en-US"/>
        </w:rPr>
        <w:tab/>
      </w:r>
      <w:r w:rsidR="00CC46D5" w:rsidRPr="00CC46D5">
        <w:rPr>
          <w:lang w:val="en-US"/>
        </w:rPr>
        <w:t>J</w:t>
      </w:r>
      <w:r>
        <w:rPr>
          <w:lang w:val="en-US"/>
        </w:rPr>
        <w:t>udicial system</w:t>
      </w:r>
      <w:r w:rsidR="0049198D">
        <w:rPr>
          <w:rStyle w:val="EndnoteReference"/>
          <w:lang w:val="en-US"/>
        </w:rPr>
        <w:endnoteReference w:id="19"/>
      </w:r>
    </w:p>
    <w:p w:rsidR="00CC46D5" w:rsidRPr="00CC46D5" w:rsidRDefault="00775522" w:rsidP="00775522">
      <w:pPr>
        <w:pStyle w:val="SingleTxtG"/>
        <w:rPr>
          <w:lang w:val="en-US"/>
        </w:rPr>
      </w:pPr>
      <w:r>
        <w:rPr>
          <w:lang w:val="en-US"/>
        </w:rPr>
        <w:t>24.</w:t>
      </w:r>
      <w:r>
        <w:rPr>
          <w:lang w:val="en-US"/>
        </w:rPr>
        <w:tab/>
      </w:r>
      <w:r w:rsidR="00CC46D5" w:rsidRPr="00CC46D5">
        <w:rPr>
          <w:lang w:val="en-US"/>
        </w:rPr>
        <w:t>Enjoy support of the State.</w:t>
      </w:r>
    </w:p>
    <w:p w:rsidR="00CC46D5" w:rsidRPr="00CC46D5" w:rsidRDefault="00775522" w:rsidP="00775522">
      <w:pPr>
        <w:pStyle w:val="SingleTxtG"/>
        <w:rPr>
          <w:lang w:val="en-US"/>
        </w:rPr>
      </w:pPr>
      <w:r>
        <w:rPr>
          <w:lang w:val="en-US"/>
        </w:rPr>
        <w:t>25.</w:t>
      </w:r>
      <w:r>
        <w:rPr>
          <w:lang w:val="en-US"/>
        </w:rPr>
        <w:tab/>
      </w:r>
      <w:r w:rsidR="00CC46D5" w:rsidRPr="00CC46D5">
        <w:rPr>
          <w:lang w:val="en-US"/>
        </w:rPr>
        <w:t>The Government currently runs thirty four (34) periodic Magistrate Courts in outlying areas of the country. Although Namibia does not use the term mobile court, periodic courts serve a similar purpose to mobile courts.</w:t>
      </w:r>
    </w:p>
    <w:p w:rsidR="00CC46D5" w:rsidRPr="00CC46D5" w:rsidRDefault="00775522" w:rsidP="00775522">
      <w:pPr>
        <w:pStyle w:val="SingleTxtG"/>
        <w:rPr>
          <w:lang w:val="en-US"/>
        </w:rPr>
      </w:pPr>
      <w:r>
        <w:rPr>
          <w:lang w:val="en-US"/>
        </w:rPr>
        <w:t>26.</w:t>
      </w:r>
      <w:r>
        <w:rPr>
          <w:lang w:val="en-US"/>
        </w:rPr>
        <w:tab/>
      </w:r>
      <w:r w:rsidR="00CC46D5" w:rsidRPr="00CC46D5">
        <w:rPr>
          <w:lang w:val="en-US"/>
        </w:rPr>
        <w:t>The Combating of Domestic Violence Act, Act No. 4 of 2003, provides an extensive definition of domestic violence which is defined as physical abuse, sexual abuse, economic abuse, verbal abuse, emotional abuse and psychological abuse, intimidation, harassment, entering the property of the complainant without the complainant’s consent, by persons in a domestic relationship. The Domestic Violence Act provides for the issuing of protection orders and police warnings in domestic violence matters. In addition, it provides penal provisions.</w:t>
      </w:r>
    </w:p>
    <w:p w:rsidR="00CC46D5" w:rsidRPr="00CC46D5" w:rsidRDefault="00775522" w:rsidP="00775522">
      <w:pPr>
        <w:pStyle w:val="HChG"/>
        <w:rPr>
          <w:lang w:val="en-US"/>
        </w:rPr>
      </w:pPr>
      <w:r>
        <w:rPr>
          <w:lang w:val="en-US"/>
        </w:rPr>
        <w:tab/>
        <w:t>XIV.</w:t>
      </w:r>
      <w:r>
        <w:rPr>
          <w:lang w:val="en-US"/>
        </w:rPr>
        <w:tab/>
      </w:r>
      <w:r w:rsidR="00CC46D5" w:rsidRPr="00CC46D5">
        <w:rPr>
          <w:lang w:val="en-US"/>
        </w:rPr>
        <w:t>L</w:t>
      </w:r>
      <w:r>
        <w:rPr>
          <w:lang w:val="en-US"/>
        </w:rPr>
        <w:t>and reform</w:t>
      </w:r>
      <w:r w:rsidR="0049198D">
        <w:rPr>
          <w:rStyle w:val="EndnoteReference"/>
          <w:lang w:val="en-US"/>
        </w:rPr>
        <w:endnoteReference w:id="20"/>
      </w:r>
    </w:p>
    <w:p w:rsidR="00CC46D5" w:rsidRPr="00CC46D5" w:rsidRDefault="00775522" w:rsidP="00775522">
      <w:pPr>
        <w:pStyle w:val="SingleTxtG"/>
        <w:rPr>
          <w:lang w:val="en-US"/>
        </w:rPr>
      </w:pPr>
      <w:r>
        <w:rPr>
          <w:lang w:val="en-US"/>
        </w:rPr>
        <w:t>27.</w:t>
      </w:r>
      <w:r>
        <w:rPr>
          <w:lang w:val="en-US"/>
        </w:rPr>
        <w:tab/>
      </w:r>
      <w:r w:rsidR="00CC46D5" w:rsidRPr="00CC46D5">
        <w:rPr>
          <w:lang w:val="en-US"/>
        </w:rPr>
        <w:t>Enjoy support of the State.</w:t>
      </w:r>
    </w:p>
    <w:p w:rsidR="00CC46D5" w:rsidRPr="00CC46D5" w:rsidRDefault="00775522" w:rsidP="00775522">
      <w:pPr>
        <w:pStyle w:val="HChG"/>
        <w:rPr>
          <w:lang w:val="en-US"/>
        </w:rPr>
      </w:pPr>
      <w:r>
        <w:rPr>
          <w:lang w:val="en-US"/>
        </w:rPr>
        <w:tab/>
        <w:t>XV.</w:t>
      </w:r>
      <w:r>
        <w:rPr>
          <w:lang w:val="en-US"/>
        </w:rPr>
        <w:tab/>
      </w:r>
      <w:r w:rsidR="00CC46D5" w:rsidRPr="00CC46D5">
        <w:rPr>
          <w:lang w:val="en-US"/>
        </w:rPr>
        <w:t>L</w:t>
      </w:r>
      <w:r>
        <w:rPr>
          <w:lang w:val="en-US"/>
        </w:rPr>
        <w:t>egal aid</w:t>
      </w:r>
      <w:r w:rsidR="0049198D">
        <w:rPr>
          <w:rStyle w:val="EndnoteReference"/>
          <w:lang w:val="en-US"/>
        </w:rPr>
        <w:endnoteReference w:id="21"/>
      </w:r>
    </w:p>
    <w:p w:rsidR="00CC46D5" w:rsidRPr="00CC46D5" w:rsidRDefault="00775522" w:rsidP="00775522">
      <w:pPr>
        <w:pStyle w:val="SingleTxtG"/>
        <w:rPr>
          <w:lang w:val="en-US"/>
        </w:rPr>
      </w:pPr>
      <w:r>
        <w:rPr>
          <w:lang w:val="en-US"/>
        </w:rPr>
        <w:t>28.</w:t>
      </w:r>
      <w:r>
        <w:rPr>
          <w:lang w:val="en-US"/>
        </w:rPr>
        <w:tab/>
      </w:r>
      <w:r w:rsidR="00CC46D5" w:rsidRPr="00CC46D5">
        <w:rPr>
          <w:lang w:val="en-US"/>
        </w:rPr>
        <w:t>Enjoy support of the State.</w:t>
      </w:r>
    </w:p>
    <w:p w:rsidR="00CC46D5" w:rsidRPr="00CC46D5" w:rsidRDefault="00775522" w:rsidP="00775522">
      <w:pPr>
        <w:pStyle w:val="SingleTxtG"/>
        <w:rPr>
          <w:lang w:val="en-US"/>
        </w:rPr>
      </w:pPr>
      <w:r>
        <w:rPr>
          <w:lang w:val="en-US"/>
        </w:rPr>
        <w:t>29.</w:t>
      </w:r>
      <w:r>
        <w:rPr>
          <w:lang w:val="en-US"/>
        </w:rPr>
        <w:tab/>
      </w:r>
      <w:r w:rsidR="00CC46D5" w:rsidRPr="00CC46D5">
        <w:rPr>
          <w:lang w:val="en-US"/>
        </w:rPr>
        <w:t>The Government has established a legal aid scheme, which provides legal representation to indigent person who cannot afford the services of a private legal practitioner. The Legal Aid Act, No.29 of 1990 provide for granting of legal aid in civil and criminal matters to persons whose means are inadequate to enable them to engage practitioner</w:t>
      </w:r>
      <w:r>
        <w:rPr>
          <w:lang w:val="en-US"/>
        </w:rPr>
        <w:t>s to assist and represent them.</w:t>
      </w:r>
    </w:p>
    <w:p w:rsidR="00CC46D5" w:rsidRPr="00CC46D5" w:rsidRDefault="00775522" w:rsidP="00775522">
      <w:pPr>
        <w:pStyle w:val="HChG"/>
        <w:rPr>
          <w:lang w:val="en-US"/>
        </w:rPr>
      </w:pPr>
      <w:r>
        <w:rPr>
          <w:lang w:val="en-US"/>
        </w:rPr>
        <w:tab/>
        <w:t>XVI.</w:t>
      </w:r>
      <w:r>
        <w:rPr>
          <w:lang w:val="en-US"/>
        </w:rPr>
        <w:tab/>
      </w:r>
      <w:r w:rsidR="00CC46D5" w:rsidRPr="00CC46D5">
        <w:rPr>
          <w:lang w:val="en-US"/>
        </w:rPr>
        <w:t>L</w:t>
      </w:r>
      <w:r>
        <w:rPr>
          <w:lang w:val="en-US"/>
        </w:rPr>
        <w:t>esbians, gays, bisexuals, transgender and intersexed</w:t>
      </w:r>
      <w:r w:rsidR="0049198D">
        <w:rPr>
          <w:rStyle w:val="EndnoteReference"/>
          <w:lang w:val="en-US"/>
        </w:rPr>
        <w:endnoteReference w:id="22"/>
      </w:r>
    </w:p>
    <w:p w:rsidR="00CC46D5" w:rsidRPr="00CC46D5" w:rsidRDefault="00775522" w:rsidP="00775522">
      <w:pPr>
        <w:pStyle w:val="SingleTxtG"/>
        <w:rPr>
          <w:lang w:val="en-US"/>
        </w:rPr>
      </w:pPr>
      <w:r>
        <w:rPr>
          <w:lang w:val="en-US"/>
        </w:rPr>
        <w:t>30.</w:t>
      </w:r>
      <w:r>
        <w:rPr>
          <w:lang w:val="en-US"/>
        </w:rPr>
        <w:tab/>
      </w:r>
      <w:r w:rsidR="00CC46D5" w:rsidRPr="00CC46D5">
        <w:rPr>
          <w:lang w:val="en-US"/>
        </w:rPr>
        <w:t>Noted. This recommendation does not enjoy the support</w:t>
      </w:r>
      <w:r>
        <w:rPr>
          <w:lang w:val="en-US"/>
        </w:rPr>
        <w:t xml:space="preserve"> of the State.</w:t>
      </w:r>
    </w:p>
    <w:p w:rsidR="00CC46D5" w:rsidRPr="00CC46D5" w:rsidRDefault="00775522" w:rsidP="00775522">
      <w:pPr>
        <w:pStyle w:val="SingleTxtG"/>
        <w:rPr>
          <w:lang w:val="en-US"/>
        </w:rPr>
      </w:pPr>
      <w:r>
        <w:rPr>
          <w:lang w:val="en-US"/>
        </w:rPr>
        <w:tab/>
        <w:t>(a)</w:t>
      </w:r>
      <w:r>
        <w:rPr>
          <w:lang w:val="en-US"/>
        </w:rPr>
        <w:tab/>
      </w:r>
      <w:r w:rsidR="00CC46D5" w:rsidRPr="00CC46D5">
        <w:rPr>
          <w:lang w:val="en-US"/>
        </w:rPr>
        <w:t>Although this recommendation does not enjoy Namibia’s support, the Namibian Government does not persecute members of the Lesbians, Gays, Bisexual, Transgender and Intersexed (LGBTI</w:t>
      </w:r>
      <w:r>
        <w:rPr>
          <w:lang w:val="en-US"/>
        </w:rPr>
        <w:t>) community in Namibia.</w:t>
      </w:r>
    </w:p>
    <w:p w:rsidR="00CC46D5" w:rsidRPr="00CC46D5" w:rsidRDefault="00775522" w:rsidP="00775522">
      <w:pPr>
        <w:pStyle w:val="SingleTxtG"/>
        <w:rPr>
          <w:bCs/>
          <w:lang w:val="en-US"/>
        </w:rPr>
      </w:pPr>
      <w:r>
        <w:rPr>
          <w:bCs/>
          <w:lang w:val="en-US"/>
        </w:rPr>
        <w:tab/>
        <w:t>(b)</w:t>
      </w:r>
      <w:r>
        <w:rPr>
          <w:bCs/>
          <w:lang w:val="en-US"/>
        </w:rPr>
        <w:tab/>
      </w:r>
      <w:r w:rsidR="00CC46D5" w:rsidRPr="00CC46D5">
        <w:rPr>
          <w:bCs/>
          <w:lang w:val="en-US"/>
        </w:rPr>
        <w:t>Article 10 of the Namibian Constitution provides for equality and freedom from discrimination. It states that:</w:t>
      </w:r>
    </w:p>
    <w:p w:rsidR="00CC46D5" w:rsidRPr="00CC46D5" w:rsidRDefault="00775522" w:rsidP="00775522">
      <w:pPr>
        <w:pStyle w:val="SingleTxtG"/>
        <w:rPr>
          <w:lang w:val="en-US"/>
        </w:rPr>
      </w:pPr>
      <w:r>
        <w:rPr>
          <w:lang w:val="en-US"/>
        </w:rPr>
        <w:tab/>
      </w:r>
      <w:r w:rsidR="00CC46D5" w:rsidRPr="00CC46D5">
        <w:rPr>
          <w:lang w:val="en-US"/>
        </w:rPr>
        <w:t>(i)</w:t>
      </w:r>
      <w:r w:rsidR="00CC46D5" w:rsidRPr="00CC46D5">
        <w:rPr>
          <w:lang w:val="en-US"/>
        </w:rPr>
        <w:tab/>
        <w:t>All persons shall be equal</w:t>
      </w:r>
      <w:r>
        <w:rPr>
          <w:lang w:val="en-US"/>
        </w:rPr>
        <w:t xml:space="preserve"> before the law;</w:t>
      </w:r>
    </w:p>
    <w:p w:rsidR="00CC46D5" w:rsidRPr="00CC46D5" w:rsidRDefault="00775522" w:rsidP="00775522">
      <w:pPr>
        <w:pStyle w:val="SingleTxtG"/>
        <w:rPr>
          <w:lang w:val="en-US"/>
        </w:rPr>
      </w:pPr>
      <w:r>
        <w:rPr>
          <w:lang w:val="en-US"/>
        </w:rPr>
        <w:tab/>
      </w:r>
      <w:r w:rsidR="00CC46D5" w:rsidRPr="00CC46D5">
        <w:rPr>
          <w:lang w:val="en-US"/>
        </w:rPr>
        <w:t>(ii)</w:t>
      </w:r>
      <w:r w:rsidR="00CC46D5" w:rsidRPr="00CC46D5">
        <w:rPr>
          <w:lang w:val="en-US"/>
        </w:rPr>
        <w:tab/>
        <w:t>No persons may be discriminated against on the grounds of sex, race, colour, ethnic origin, religion, creed or social or economic status.</w:t>
      </w:r>
    </w:p>
    <w:p w:rsidR="00CC46D5" w:rsidRPr="00CC46D5" w:rsidRDefault="00775522" w:rsidP="00775522">
      <w:pPr>
        <w:pStyle w:val="SingleTxtG"/>
        <w:rPr>
          <w:lang w:val="en-US"/>
        </w:rPr>
      </w:pPr>
      <w:r>
        <w:rPr>
          <w:lang w:val="en-US"/>
        </w:rPr>
        <w:tab/>
        <w:t>(c)</w:t>
      </w:r>
      <w:r>
        <w:rPr>
          <w:lang w:val="en-US"/>
        </w:rPr>
        <w:tab/>
      </w:r>
      <w:r w:rsidR="00CC46D5" w:rsidRPr="00CC46D5">
        <w:rPr>
          <w:lang w:val="en-US"/>
        </w:rPr>
        <w:t>There are no records of cases of harassment or discrimination reported to the Ombudsman or the Namibian police. The reality and the legal history of the Namibian people does not suggest that legalising same sex marriages is important or beneficial to our legal and cultural system.</w:t>
      </w:r>
    </w:p>
    <w:p w:rsidR="00CC46D5" w:rsidRPr="00CC46D5" w:rsidRDefault="00775522" w:rsidP="00775522">
      <w:pPr>
        <w:pStyle w:val="SingleTxtG"/>
        <w:rPr>
          <w:lang w:val="en-US"/>
        </w:rPr>
      </w:pPr>
      <w:r>
        <w:rPr>
          <w:lang w:val="en-US"/>
        </w:rPr>
        <w:tab/>
        <w:t>(d)</w:t>
      </w:r>
      <w:r>
        <w:rPr>
          <w:lang w:val="en-US"/>
        </w:rPr>
        <w:tab/>
      </w:r>
      <w:r w:rsidR="00CC46D5" w:rsidRPr="00CC46D5">
        <w:rPr>
          <w:lang w:val="en-US"/>
        </w:rPr>
        <w:t>The Government considers the issue of same sex marriages in Namibia as a non-issue. Nevertheless, the Government has no intention to repeal any laws including the common law crime of sodomy.</w:t>
      </w:r>
    </w:p>
    <w:p w:rsidR="00CC46D5" w:rsidRPr="00CC46D5" w:rsidRDefault="00C32D76" w:rsidP="00C32D76">
      <w:pPr>
        <w:pStyle w:val="HChG"/>
        <w:rPr>
          <w:lang w:val="en-US"/>
        </w:rPr>
      </w:pPr>
      <w:r>
        <w:rPr>
          <w:lang w:val="en-US"/>
        </w:rPr>
        <w:tab/>
        <w:t>XVII.</w:t>
      </w:r>
      <w:r>
        <w:rPr>
          <w:lang w:val="en-US"/>
        </w:rPr>
        <w:tab/>
      </w:r>
      <w:r w:rsidR="00CC46D5" w:rsidRPr="00CC46D5">
        <w:rPr>
          <w:lang w:val="en-US"/>
        </w:rPr>
        <w:t>M</w:t>
      </w:r>
      <w:r>
        <w:rPr>
          <w:lang w:val="en-US"/>
        </w:rPr>
        <w:t>arginalised communities</w:t>
      </w:r>
      <w:r w:rsidR="00B06211">
        <w:rPr>
          <w:rStyle w:val="EndnoteReference"/>
          <w:lang w:val="en-US"/>
        </w:rPr>
        <w:endnoteReference w:id="23"/>
      </w:r>
    </w:p>
    <w:p w:rsidR="00CC46D5" w:rsidRPr="00CC46D5" w:rsidRDefault="00C32D76" w:rsidP="00C32D76">
      <w:pPr>
        <w:pStyle w:val="SingleTxtG"/>
        <w:rPr>
          <w:lang w:val="en-US"/>
        </w:rPr>
      </w:pPr>
      <w:r>
        <w:rPr>
          <w:lang w:val="en-US"/>
        </w:rPr>
        <w:t>31.</w:t>
      </w:r>
      <w:r>
        <w:rPr>
          <w:lang w:val="en-US"/>
        </w:rPr>
        <w:tab/>
      </w:r>
      <w:r w:rsidR="00CC46D5" w:rsidRPr="00CC46D5">
        <w:rPr>
          <w:lang w:val="en-US"/>
        </w:rPr>
        <w:t>Enjoy the support of the State.</w:t>
      </w:r>
    </w:p>
    <w:p w:rsidR="00CC46D5" w:rsidRPr="00CC46D5" w:rsidRDefault="00C32D76" w:rsidP="00C32D76">
      <w:pPr>
        <w:pStyle w:val="HChG"/>
        <w:rPr>
          <w:lang w:val="en-US"/>
        </w:rPr>
      </w:pPr>
      <w:r>
        <w:rPr>
          <w:lang w:val="en-US"/>
        </w:rPr>
        <w:tab/>
        <w:t>XVIII.</w:t>
      </w:r>
      <w:r>
        <w:rPr>
          <w:lang w:val="en-US"/>
        </w:rPr>
        <w:tab/>
      </w:r>
      <w:r w:rsidR="00CC46D5" w:rsidRPr="00CC46D5">
        <w:rPr>
          <w:lang w:val="en-US"/>
        </w:rPr>
        <w:t>M</w:t>
      </w:r>
      <w:r>
        <w:rPr>
          <w:lang w:val="en-US"/>
        </w:rPr>
        <w:t>ental health</w:t>
      </w:r>
      <w:r w:rsidR="00B06211">
        <w:rPr>
          <w:rStyle w:val="EndnoteReference"/>
          <w:lang w:val="en-US"/>
        </w:rPr>
        <w:endnoteReference w:id="24"/>
      </w:r>
    </w:p>
    <w:p w:rsidR="00CC46D5" w:rsidRPr="00CC46D5" w:rsidRDefault="00C32D76" w:rsidP="00C32D76">
      <w:pPr>
        <w:pStyle w:val="SingleTxtG"/>
        <w:rPr>
          <w:lang w:val="en-US"/>
        </w:rPr>
      </w:pPr>
      <w:r>
        <w:rPr>
          <w:lang w:val="en-US"/>
        </w:rPr>
        <w:t>32.</w:t>
      </w:r>
      <w:r>
        <w:rPr>
          <w:lang w:val="en-US"/>
        </w:rPr>
        <w:tab/>
      </w:r>
      <w:r w:rsidR="00CC46D5" w:rsidRPr="00CC46D5">
        <w:rPr>
          <w:lang w:val="en-US"/>
        </w:rPr>
        <w:t>Enjoy the support of the State.</w:t>
      </w:r>
    </w:p>
    <w:p w:rsidR="00CC46D5" w:rsidRPr="00CC46D5" w:rsidRDefault="00C32D76" w:rsidP="00C32D76">
      <w:pPr>
        <w:pStyle w:val="SingleTxtG"/>
        <w:rPr>
          <w:lang w:val="en-US"/>
        </w:rPr>
      </w:pPr>
      <w:r>
        <w:rPr>
          <w:lang w:val="en-US"/>
        </w:rPr>
        <w:tab/>
        <w:t>(a)</w:t>
      </w:r>
      <w:r>
        <w:rPr>
          <w:lang w:val="en-US"/>
        </w:rPr>
        <w:tab/>
      </w:r>
      <w:r w:rsidR="00CC46D5" w:rsidRPr="00CC46D5">
        <w:rPr>
          <w:lang w:val="en-US"/>
        </w:rPr>
        <w:t>There is currently only one mental hospital in Namibia. The assessment of the current situation with regard to specialized mental hospitals country wide has already started and the Ministry of Health and Social Services (MoHSS) envisages having fully functional specialized mental hospitals in Windhoek, Oshakati a</w:t>
      </w:r>
      <w:r w:rsidR="00E96971">
        <w:rPr>
          <w:lang w:val="en-US"/>
        </w:rPr>
        <w:t>nd Rundu by the year 2018. The G</w:t>
      </w:r>
      <w:r w:rsidR="00CC46D5" w:rsidRPr="00CC46D5">
        <w:rPr>
          <w:lang w:val="en-US"/>
        </w:rPr>
        <w:t xml:space="preserve">overnment also plans to build another Mental Hospital in </w:t>
      </w:r>
      <w:r>
        <w:rPr>
          <w:lang w:val="en-US"/>
        </w:rPr>
        <w:t>Keetmanshoop by the year 2023.</w:t>
      </w:r>
    </w:p>
    <w:p w:rsidR="00CC46D5" w:rsidRPr="00CC46D5" w:rsidRDefault="00C32D76" w:rsidP="00C32D76">
      <w:pPr>
        <w:pStyle w:val="SingleTxtG"/>
        <w:rPr>
          <w:lang w:val="en-US"/>
        </w:rPr>
      </w:pPr>
      <w:r>
        <w:rPr>
          <w:lang w:val="en-US"/>
        </w:rPr>
        <w:tab/>
        <w:t>(b)</w:t>
      </w:r>
      <w:r>
        <w:rPr>
          <w:lang w:val="en-US"/>
        </w:rPr>
        <w:tab/>
      </w:r>
      <w:r w:rsidR="00CC46D5" w:rsidRPr="00CC46D5">
        <w:rPr>
          <w:lang w:val="en-US"/>
        </w:rPr>
        <w:t>Article 8 (2) (b)</w:t>
      </w:r>
      <w:r w:rsidR="00B06211">
        <w:rPr>
          <w:rStyle w:val="EndnoteReference"/>
          <w:lang w:val="en-US"/>
        </w:rPr>
        <w:endnoteReference w:id="25"/>
      </w:r>
      <w:r w:rsidR="00CC46D5" w:rsidRPr="00CC46D5">
        <w:rPr>
          <w:lang w:val="en-US"/>
        </w:rPr>
        <w:t xml:space="preserve"> of the Namibian Consti</w:t>
      </w:r>
      <w:r w:rsidR="00E96971">
        <w:rPr>
          <w:lang w:val="en-US"/>
        </w:rPr>
        <w:t xml:space="preserve">tution </w:t>
      </w:r>
      <w:r w:rsidR="00CC46D5" w:rsidRPr="00CC46D5">
        <w:rPr>
          <w:lang w:val="en-US"/>
        </w:rPr>
        <w:t>which protects the right to human dignity may be read in conjunction with the right to equality and non-discrimination enshrined in Article 10 of the Namibian Constitution since discrimination also violates human dignity.</w:t>
      </w:r>
      <w:r w:rsidR="00B06211">
        <w:rPr>
          <w:rStyle w:val="EndnoteReference"/>
          <w:lang w:val="en-US"/>
        </w:rPr>
        <w:endnoteReference w:id="26"/>
      </w:r>
      <w:r w:rsidR="00CC46D5" w:rsidRPr="00CC46D5">
        <w:rPr>
          <w:lang w:val="en-US"/>
        </w:rPr>
        <w:t xml:space="preserve"> All legal safeguards which protect the rights of persons in psychiatric institutions are contained in the Mental Health Act (Act.No.18) of 1973, as amended, as well as in the Criminal Pro</w:t>
      </w:r>
      <w:r>
        <w:rPr>
          <w:lang w:val="en-US"/>
        </w:rPr>
        <w:t>cedure Act (Act.No.51) of 1977.</w:t>
      </w:r>
    </w:p>
    <w:p w:rsidR="00CC46D5" w:rsidRPr="00CC46D5" w:rsidRDefault="00C32D76" w:rsidP="00C32D76">
      <w:pPr>
        <w:pStyle w:val="HChG"/>
        <w:rPr>
          <w:lang w:val="en-US"/>
        </w:rPr>
      </w:pPr>
      <w:r>
        <w:rPr>
          <w:lang w:val="en-US"/>
        </w:rPr>
        <w:tab/>
        <w:t>XIX.</w:t>
      </w:r>
      <w:r>
        <w:rPr>
          <w:lang w:val="en-US"/>
        </w:rPr>
        <w:tab/>
      </w:r>
      <w:r w:rsidR="00CC46D5" w:rsidRPr="00CC46D5">
        <w:rPr>
          <w:lang w:val="en-US"/>
        </w:rPr>
        <w:t>N</w:t>
      </w:r>
      <w:r>
        <w:rPr>
          <w:lang w:val="en-US"/>
        </w:rPr>
        <w:t xml:space="preserve">ational </w:t>
      </w:r>
      <w:r w:rsidR="00CC46D5" w:rsidRPr="00CC46D5">
        <w:rPr>
          <w:lang w:val="en-US"/>
        </w:rPr>
        <w:t>L</w:t>
      </w:r>
      <w:r>
        <w:rPr>
          <w:lang w:val="en-US"/>
        </w:rPr>
        <w:t>aws</w:t>
      </w:r>
      <w:r w:rsidR="00B06211">
        <w:rPr>
          <w:rStyle w:val="EndnoteReference"/>
          <w:lang w:val="en-US"/>
        </w:rPr>
        <w:endnoteReference w:id="27"/>
      </w:r>
    </w:p>
    <w:p w:rsidR="00CC46D5" w:rsidRPr="00CC46D5" w:rsidRDefault="00C32D76" w:rsidP="00C32D76">
      <w:pPr>
        <w:pStyle w:val="SingleTxtG"/>
        <w:rPr>
          <w:lang w:val="en-US"/>
        </w:rPr>
      </w:pPr>
      <w:r>
        <w:rPr>
          <w:lang w:val="en-US"/>
        </w:rPr>
        <w:t>33.</w:t>
      </w:r>
      <w:r>
        <w:rPr>
          <w:lang w:val="en-US"/>
        </w:rPr>
        <w:tab/>
      </w:r>
      <w:r w:rsidR="00CC46D5" w:rsidRPr="00CC46D5">
        <w:rPr>
          <w:lang w:val="en-US"/>
        </w:rPr>
        <w:t>Enjoy the support of the State.</w:t>
      </w:r>
    </w:p>
    <w:p w:rsidR="00CC46D5" w:rsidRPr="00CC46D5" w:rsidRDefault="00C32D76" w:rsidP="00C32D76">
      <w:pPr>
        <w:pStyle w:val="SingleTxtG"/>
        <w:rPr>
          <w:lang w:val="en-US"/>
        </w:rPr>
      </w:pPr>
      <w:r>
        <w:rPr>
          <w:lang w:val="en-US"/>
        </w:rPr>
        <w:t>34.</w:t>
      </w:r>
      <w:r>
        <w:rPr>
          <w:lang w:val="en-US"/>
        </w:rPr>
        <w:tab/>
      </w:r>
      <w:r w:rsidR="00CC46D5" w:rsidRPr="00CC46D5">
        <w:rPr>
          <w:lang w:val="en-US"/>
        </w:rPr>
        <w:t>Article 15 of the Namibian Constitution provides that “Children shall have the right from birth to a name, the right to acquire a nationality and subject to legislation enacted in the best interest of children, as far as possible the right to know and be cared for by their parents”. The State under review hereby confirms that children born in the territory of Namibia whose parents are unknown m</w:t>
      </w:r>
      <w:r>
        <w:rPr>
          <w:lang w:val="en-US"/>
        </w:rPr>
        <w:t>ay obtain Namibian Nationality.</w:t>
      </w:r>
    </w:p>
    <w:p w:rsidR="00CC46D5" w:rsidRPr="00CC46D5" w:rsidRDefault="00C32D76" w:rsidP="00C32D76">
      <w:pPr>
        <w:pStyle w:val="HChG"/>
        <w:rPr>
          <w:lang w:val="en-US"/>
        </w:rPr>
      </w:pPr>
      <w:r>
        <w:rPr>
          <w:lang w:val="en-US"/>
        </w:rPr>
        <w:tab/>
        <w:t>XX.</w:t>
      </w:r>
      <w:r>
        <w:rPr>
          <w:lang w:val="en-US"/>
        </w:rPr>
        <w:tab/>
      </w:r>
      <w:r w:rsidR="00CC46D5" w:rsidRPr="00CC46D5">
        <w:rPr>
          <w:lang w:val="en-US"/>
        </w:rPr>
        <w:t>N</w:t>
      </w:r>
      <w:r>
        <w:rPr>
          <w:lang w:val="en-US"/>
        </w:rPr>
        <w:t>ational Human Rights Action Plan</w:t>
      </w:r>
      <w:r w:rsidR="00B06211">
        <w:rPr>
          <w:rStyle w:val="EndnoteReference"/>
          <w:lang w:val="en-US"/>
        </w:rPr>
        <w:endnoteReference w:id="28"/>
      </w:r>
    </w:p>
    <w:p w:rsidR="00CC46D5" w:rsidRPr="00CC46D5" w:rsidRDefault="00C32D76" w:rsidP="00C32D76">
      <w:pPr>
        <w:pStyle w:val="SingleTxtG"/>
        <w:rPr>
          <w:lang w:val="en-US"/>
        </w:rPr>
      </w:pPr>
      <w:r>
        <w:rPr>
          <w:lang w:val="en-US"/>
        </w:rPr>
        <w:t>35.</w:t>
      </w:r>
      <w:r>
        <w:rPr>
          <w:lang w:val="en-US"/>
        </w:rPr>
        <w:tab/>
      </w:r>
      <w:r w:rsidR="00CC46D5" w:rsidRPr="00CC46D5">
        <w:rPr>
          <w:lang w:val="en-US"/>
        </w:rPr>
        <w:t>Enjoy the support of the State</w:t>
      </w:r>
      <w:r>
        <w:rPr>
          <w:lang w:val="en-US"/>
        </w:rPr>
        <w:t>.</w:t>
      </w:r>
    </w:p>
    <w:p w:rsidR="00CC46D5" w:rsidRPr="00CC46D5" w:rsidRDefault="00C32D76" w:rsidP="00C32D76">
      <w:pPr>
        <w:pStyle w:val="HChG"/>
        <w:rPr>
          <w:lang w:val="en-US"/>
        </w:rPr>
      </w:pPr>
      <w:r>
        <w:rPr>
          <w:lang w:val="en-US"/>
        </w:rPr>
        <w:tab/>
        <w:t>XXI.</w:t>
      </w:r>
      <w:r>
        <w:rPr>
          <w:lang w:val="en-US"/>
        </w:rPr>
        <w:tab/>
      </w:r>
      <w:r w:rsidR="00CC46D5" w:rsidRPr="00CC46D5">
        <w:rPr>
          <w:lang w:val="en-US"/>
        </w:rPr>
        <w:t>N</w:t>
      </w:r>
      <w:r>
        <w:rPr>
          <w:lang w:val="en-US"/>
        </w:rPr>
        <w:t>ational Action Plan on gender based violence</w:t>
      </w:r>
      <w:r w:rsidR="00B06211">
        <w:rPr>
          <w:rStyle w:val="EndnoteReference"/>
          <w:lang w:val="en-US"/>
        </w:rPr>
        <w:endnoteReference w:id="29"/>
      </w:r>
    </w:p>
    <w:p w:rsidR="00CC46D5" w:rsidRPr="00CC46D5" w:rsidRDefault="00C32D76" w:rsidP="00C32D76">
      <w:pPr>
        <w:pStyle w:val="SingleTxtG"/>
        <w:rPr>
          <w:lang w:val="en-US"/>
        </w:rPr>
      </w:pPr>
      <w:r>
        <w:rPr>
          <w:lang w:val="en-US"/>
        </w:rPr>
        <w:t>36.</w:t>
      </w:r>
      <w:r>
        <w:rPr>
          <w:lang w:val="en-US"/>
        </w:rPr>
        <w:tab/>
      </w:r>
      <w:r w:rsidR="00CC46D5" w:rsidRPr="00CC46D5">
        <w:rPr>
          <w:lang w:val="en-US"/>
        </w:rPr>
        <w:t>Enjoy the support of the State.</w:t>
      </w:r>
    </w:p>
    <w:p w:rsidR="00CC46D5" w:rsidRPr="00CC46D5" w:rsidRDefault="00C32D76" w:rsidP="00C32D76">
      <w:pPr>
        <w:pStyle w:val="HChG"/>
        <w:rPr>
          <w:lang w:val="en-US"/>
        </w:rPr>
      </w:pPr>
      <w:r>
        <w:rPr>
          <w:lang w:val="en-US"/>
        </w:rPr>
        <w:tab/>
        <w:t>XXII.</w:t>
      </w:r>
      <w:r>
        <w:rPr>
          <w:lang w:val="en-US"/>
        </w:rPr>
        <w:tab/>
      </w:r>
      <w:r w:rsidR="00CC46D5" w:rsidRPr="00CC46D5">
        <w:rPr>
          <w:lang w:val="en-US"/>
        </w:rPr>
        <w:t>P</w:t>
      </w:r>
      <w:r>
        <w:rPr>
          <w:lang w:val="en-US"/>
        </w:rPr>
        <w:t>articipation in decision making</w:t>
      </w:r>
      <w:r w:rsidR="00B06211">
        <w:rPr>
          <w:rStyle w:val="EndnoteReference"/>
          <w:lang w:val="en-US"/>
        </w:rPr>
        <w:endnoteReference w:id="30"/>
      </w:r>
    </w:p>
    <w:p w:rsidR="00CC46D5" w:rsidRPr="00CC46D5" w:rsidRDefault="00C32D76" w:rsidP="00C32D76">
      <w:pPr>
        <w:pStyle w:val="SingleTxtG"/>
        <w:rPr>
          <w:lang w:val="en-US"/>
        </w:rPr>
      </w:pPr>
      <w:r>
        <w:rPr>
          <w:lang w:val="en-US"/>
        </w:rPr>
        <w:t>37.</w:t>
      </w:r>
      <w:r>
        <w:rPr>
          <w:lang w:val="en-US"/>
        </w:rPr>
        <w:tab/>
      </w:r>
      <w:r w:rsidR="00CC46D5" w:rsidRPr="00CC46D5">
        <w:rPr>
          <w:lang w:val="en-US"/>
        </w:rPr>
        <w:t>Enjoy the support of the State.</w:t>
      </w:r>
    </w:p>
    <w:p w:rsidR="00CC46D5" w:rsidRPr="00CC46D5" w:rsidRDefault="00C32D76" w:rsidP="00C32D76">
      <w:pPr>
        <w:pStyle w:val="HChG"/>
        <w:rPr>
          <w:lang w:val="en-US"/>
        </w:rPr>
      </w:pPr>
      <w:r>
        <w:rPr>
          <w:lang w:val="en-US"/>
        </w:rPr>
        <w:tab/>
        <w:t>XXIII.</w:t>
      </w:r>
      <w:r>
        <w:rPr>
          <w:lang w:val="en-US"/>
        </w:rPr>
        <w:tab/>
      </w:r>
      <w:r w:rsidR="00CC46D5" w:rsidRPr="00CC46D5">
        <w:rPr>
          <w:lang w:val="en-US"/>
        </w:rPr>
        <w:t>P</w:t>
      </w:r>
      <w:r>
        <w:rPr>
          <w:lang w:val="en-US"/>
        </w:rPr>
        <w:t>overty</w:t>
      </w:r>
      <w:r w:rsidR="00B06211">
        <w:rPr>
          <w:rStyle w:val="EndnoteReference"/>
          <w:lang w:val="en-US"/>
        </w:rPr>
        <w:endnoteReference w:id="31"/>
      </w:r>
    </w:p>
    <w:p w:rsidR="00CC46D5" w:rsidRPr="00CC46D5" w:rsidRDefault="00C32D76" w:rsidP="00C32D76">
      <w:pPr>
        <w:pStyle w:val="SingleTxtG"/>
        <w:rPr>
          <w:lang w:val="en-US"/>
        </w:rPr>
      </w:pPr>
      <w:r>
        <w:rPr>
          <w:lang w:val="en-US"/>
        </w:rPr>
        <w:t>38.</w:t>
      </w:r>
      <w:r>
        <w:rPr>
          <w:lang w:val="en-US"/>
        </w:rPr>
        <w:tab/>
      </w:r>
      <w:r w:rsidR="00CC46D5" w:rsidRPr="00CC46D5">
        <w:rPr>
          <w:lang w:val="en-US"/>
        </w:rPr>
        <w:t>Enjoy the support of the State.</w:t>
      </w:r>
    </w:p>
    <w:p w:rsidR="00CC46D5" w:rsidRPr="00CC46D5" w:rsidRDefault="00C32D76" w:rsidP="00C32D76">
      <w:pPr>
        <w:pStyle w:val="HChG"/>
        <w:rPr>
          <w:lang w:val="en-US"/>
        </w:rPr>
      </w:pPr>
      <w:r>
        <w:rPr>
          <w:lang w:val="en-US"/>
        </w:rPr>
        <w:tab/>
        <w:t>XXIV.</w:t>
      </w:r>
      <w:r>
        <w:rPr>
          <w:lang w:val="en-US"/>
        </w:rPr>
        <w:tab/>
      </w:r>
      <w:r w:rsidR="00CC46D5" w:rsidRPr="00CC46D5">
        <w:rPr>
          <w:lang w:val="en-US"/>
        </w:rPr>
        <w:t>P</w:t>
      </w:r>
      <w:r>
        <w:rPr>
          <w:lang w:val="en-US"/>
        </w:rPr>
        <w:t>rison conditions</w:t>
      </w:r>
      <w:r w:rsidR="00B06211">
        <w:rPr>
          <w:rStyle w:val="EndnoteReference"/>
          <w:lang w:val="en-US"/>
        </w:rPr>
        <w:endnoteReference w:id="32"/>
      </w:r>
    </w:p>
    <w:p w:rsidR="00CC46D5" w:rsidRPr="00CC46D5" w:rsidRDefault="00C32D76" w:rsidP="00C32D76">
      <w:pPr>
        <w:pStyle w:val="SingleTxtG"/>
        <w:rPr>
          <w:lang w:val="en-US"/>
        </w:rPr>
      </w:pPr>
      <w:r>
        <w:rPr>
          <w:lang w:val="en-US"/>
        </w:rPr>
        <w:t>39.</w:t>
      </w:r>
      <w:r>
        <w:rPr>
          <w:lang w:val="en-US"/>
        </w:rPr>
        <w:tab/>
      </w:r>
      <w:r w:rsidR="00CC46D5" w:rsidRPr="00CC46D5">
        <w:rPr>
          <w:lang w:val="en-US"/>
        </w:rPr>
        <w:t>Enjoy the support of the State.</w:t>
      </w:r>
    </w:p>
    <w:p w:rsidR="00CC46D5" w:rsidRPr="00CC46D5" w:rsidRDefault="00C32D76" w:rsidP="00C32D76">
      <w:pPr>
        <w:pStyle w:val="HChG"/>
        <w:rPr>
          <w:lang w:val="en-US"/>
        </w:rPr>
      </w:pPr>
      <w:r>
        <w:rPr>
          <w:lang w:val="en-US"/>
        </w:rPr>
        <w:tab/>
        <w:t>XXV.</w:t>
      </w:r>
      <w:r>
        <w:rPr>
          <w:lang w:val="en-US"/>
        </w:rPr>
        <w:tab/>
      </w:r>
      <w:r w:rsidR="00CC46D5" w:rsidRPr="00CC46D5">
        <w:rPr>
          <w:lang w:val="en-US"/>
        </w:rPr>
        <w:t>S</w:t>
      </w:r>
      <w:r>
        <w:rPr>
          <w:lang w:val="en-US"/>
        </w:rPr>
        <w:t>ign, ratify or accede to international instruments</w:t>
      </w:r>
    </w:p>
    <w:p w:rsidR="00CC46D5" w:rsidRPr="00CC46D5" w:rsidRDefault="00C32D76" w:rsidP="00C32D76">
      <w:pPr>
        <w:pStyle w:val="H1G"/>
        <w:rPr>
          <w:lang w:val="en-US"/>
        </w:rPr>
      </w:pPr>
      <w:r>
        <w:rPr>
          <w:lang w:val="en-US"/>
        </w:rPr>
        <w:tab/>
        <w:t>A.</w:t>
      </w:r>
      <w:r>
        <w:rPr>
          <w:lang w:val="en-US"/>
        </w:rPr>
        <w:tab/>
      </w:r>
      <w:r w:rsidR="00CC46D5" w:rsidRPr="00CC46D5">
        <w:rPr>
          <w:lang w:val="en-US"/>
        </w:rPr>
        <w:t>International Convention on the Protection of the Rights of All Migrant Workers and Members of their Families</w:t>
      </w:r>
      <w:r w:rsidR="00B06211">
        <w:rPr>
          <w:rStyle w:val="EndnoteReference"/>
          <w:lang w:val="en-US"/>
        </w:rPr>
        <w:endnoteReference w:id="33"/>
      </w:r>
    </w:p>
    <w:p w:rsidR="00CC46D5" w:rsidRPr="00CC46D5" w:rsidRDefault="00C32D76" w:rsidP="00C32D76">
      <w:pPr>
        <w:pStyle w:val="SingleTxtG"/>
        <w:rPr>
          <w:lang w:val="en-US"/>
        </w:rPr>
      </w:pPr>
      <w:r>
        <w:rPr>
          <w:lang w:val="en-US"/>
        </w:rPr>
        <w:t>40.</w:t>
      </w:r>
      <w:r>
        <w:rPr>
          <w:lang w:val="en-US"/>
        </w:rPr>
        <w:tab/>
      </w:r>
      <w:r w:rsidR="00CC46D5" w:rsidRPr="00CC46D5">
        <w:rPr>
          <w:lang w:val="en-US"/>
        </w:rPr>
        <w:t>Noted. These recommendations do not enjoy the support of the State.</w:t>
      </w:r>
    </w:p>
    <w:p w:rsidR="00CC46D5" w:rsidRPr="00CC46D5" w:rsidRDefault="00B12B80" w:rsidP="00B12B80">
      <w:pPr>
        <w:pStyle w:val="H1G"/>
        <w:rPr>
          <w:lang w:val="en-US"/>
        </w:rPr>
      </w:pPr>
      <w:r>
        <w:rPr>
          <w:lang w:val="en-US"/>
        </w:rPr>
        <w:tab/>
        <w:t>B.</w:t>
      </w:r>
      <w:r>
        <w:rPr>
          <w:lang w:val="en-US"/>
        </w:rPr>
        <w:tab/>
      </w:r>
      <w:r w:rsidR="00CC46D5" w:rsidRPr="00CC46D5">
        <w:rPr>
          <w:lang w:val="en-US"/>
        </w:rPr>
        <w:t xml:space="preserve">Optional Protocol to the Convention </w:t>
      </w:r>
      <w:proofErr w:type="gramStart"/>
      <w:r w:rsidR="00CC46D5" w:rsidRPr="00CC46D5">
        <w:rPr>
          <w:lang w:val="en-US"/>
        </w:rPr>
        <w:t>Against</w:t>
      </w:r>
      <w:proofErr w:type="gramEnd"/>
      <w:r w:rsidR="00CC46D5" w:rsidRPr="00CC46D5">
        <w:rPr>
          <w:lang w:val="en-US"/>
        </w:rPr>
        <w:t xml:space="preserve"> Torture</w:t>
      </w:r>
      <w:r w:rsidR="00B06211">
        <w:rPr>
          <w:rStyle w:val="EndnoteReference"/>
          <w:lang w:val="en-US"/>
        </w:rPr>
        <w:endnoteReference w:id="34"/>
      </w:r>
    </w:p>
    <w:p w:rsidR="00CC46D5" w:rsidRPr="00CC46D5" w:rsidRDefault="00B12B80" w:rsidP="00B12B80">
      <w:pPr>
        <w:pStyle w:val="SingleTxtG"/>
        <w:rPr>
          <w:lang w:val="en-US"/>
        </w:rPr>
      </w:pPr>
      <w:r>
        <w:rPr>
          <w:lang w:val="en-US"/>
        </w:rPr>
        <w:t>41.</w:t>
      </w:r>
      <w:r>
        <w:rPr>
          <w:lang w:val="en-US"/>
        </w:rPr>
        <w:tab/>
      </w:r>
      <w:r w:rsidR="00CC46D5" w:rsidRPr="00CC46D5">
        <w:rPr>
          <w:lang w:val="en-US"/>
        </w:rPr>
        <w:t>Enjoy the support of the State.</w:t>
      </w:r>
    </w:p>
    <w:p w:rsidR="00CC46D5" w:rsidRPr="00CC46D5" w:rsidRDefault="00B12B80" w:rsidP="00B12B80">
      <w:pPr>
        <w:pStyle w:val="H1G"/>
        <w:rPr>
          <w:lang w:val="en-US"/>
        </w:rPr>
      </w:pPr>
      <w:r>
        <w:rPr>
          <w:lang w:val="en-US"/>
        </w:rPr>
        <w:tab/>
        <w:t>C.</w:t>
      </w:r>
      <w:r>
        <w:rPr>
          <w:lang w:val="en-US"/>
        </w:rPr>
        <w:tab/>
      </w:r>
      <w:r w:rsidR="00CC46D5" w:rsidRPr="00CC46D5">
        <w:rPr>
          <w:lang w:val="en-US"/>
        </w:rPr>
        <w:t>Optional Protocol to the International Convenant on Economic, Social and Cultural Rights</w:t>
      </w:r>
      <w:r w:rsidR="00B06211">
        <w:rPr>
          <w:rStyle w:val="EndnoteReference"/>
          <w:lang w:val="en-US"/>
        </w:rPr>
        <w:endnoteReference w:id="35"/>
      </w:r>
    </w:p>
    <w:p w:rsidR="00CC46D5" w:rsidRPr="00CC46D5" w:rsidRDefault="00B12B80" w:rsidP="00B12B80">
      <w:pPr>
        <w:pStyle w:val="SingleTxtG"/>
        <w:rPr>
          <w:lang w:val="en-US"/>
        </w:rPr>
      </w:pPr>
      <w:r>
        <w:rPr>
          <w:lang w:val="en-US"/>
        </w:rPr>
        <w:t>42.</w:t>
      </w:r>
      <w:r>
        <w:rPr>
          <w:lang w:val="en-US"/>
        </w:rPr>
        <w:tab/>
      </w:r>
      <w:r w:rsidR="00CC46D5" w:rsidRPr="00CC46D5">
        <w:rPr>
          <w:lang w:val="en-US"/>
        </w:rPr>
        <w:t>Enjoy the support of the State.</w:t>
      </w:r>
    </w:p>
    <w:p w:rsidR="00CC46D5" w:rsidRPr="00CC46D5" w:rsidRDefault="00B12B80" w:rsidP="00B12B80">
      <w:pPr>
        <w:pStyle w:val="H1G"/>
        <w:rPr>
          <w:lang w:val="en-US"/>
        </w:rPr>
      </w:pPr>
      <w:r>
        <w:rPr>
          <w:lang w:val="en-US"/>
        </w:rPr>
        <w:tab/>
        <w:t>D.</w:t>
      </w:r>
      <w:r>
        <w:rPr>
          <w:lang w:val="en-US"/>
        </w:rPr>
        <w:tab/>
      </w:r>
      <w:r w:rsidR="00CC46D5" w:rsidRPr="00CC46D5">
        <w:rPr>
          <w:lang w:val="en-US"/>
        </w:rPr>
        <w:t>Optional Protocol to the Convention on the Rights of the Child</w:t>
      </w:r>
      <w:r w:rsidR="00B06211">
        <w:rPr>
          <w:rStyle w:val="EndnoteReference"/>
          <w:lang w:val="en-US"/>
        </w:rPr>
        <w:endnoteReference w:id="36"/>
      </w:r>
    </w:p>
    <w:p w:rsidR="00CC46D5" w:rsidRPr="00CC46D5" w:rsidRDefault="00B12B80" w:rsidP="00B12B80">
      <w:pPr>
        <w:pStyle w:val="SingleTxtG"/>
        <w:rPr>
          <w:lang w:val="en-US"/>
        </w:rPr>
      </w:pPr>
      <w:r>
        <w:rPr>
          <w:lang w:val="en-US"/>
        </w:rPr>
        <w:t>43.</w:t>
      </w:r>
      <w:r>
        <w:rPr>
          <w:lang w:val="en-US"/>
        </w:rPr>
        <w:tab/>
      </w:r>
      <w:r w:rsidR="00CC46D5" w:rsidRPr="00CC46D5">
        <w:rPr>
          <w:lang w:val="en-US"/>
        </w:rPr>
        <w:t>Enjoy the support of the State.</w:t>
      </w:r>
    </w:p>
    <w:p w:rsidR="00CC46D5" w:rsidRPr="00CC46D5" w:rsidRDefault="00B12B80" w:rsidP="00B12B80">
      <w:pPr>
        <w:pStyle w:val="H1G"/>
        <w:rPr>
          <w:lang w:val="en-US"/>
        </w:rPr>
      </w:pPr>
      <w:r>
        <w:rPr>
          <w:lang w:val="en-US"/>
        </w:rPr>
        <w:tab/>
        <w:t>E.</w:t>
      </w:r>
      <w:r>
        <w:rPr>
          <w:lang w:val="en-US"/>
        </w:rPr>
        <w:tab/>
      </w:r>
      <w:r w:rsidR="00CC46D5" w:rsidRPr="00CC46D5">
        <w:rPr>
          <w:lang w:val="en-US"/>
        </w:rPr>
        <w:t>UNESCO Convention on Discrimination in Education</w:t>
      </w:r>
      <w:r w:rsidR="00B06211">
        <w:rPr>
          <w:rStyle w:val="EndnoteReference"/>
          <w:lang w:val="en-US"/>
        </w:rPr>
        <w:endnoteReference w:id="37"/>
      </w:r>
    </w:p>
    <w:p w:rsidR="00CC46D5" w:rsidRPr="00CC46D5" w:rsidRDefault="00B12B80" w:rsidP="00B12B80">
      <w:pPr>
        <w:pStyle w:val="SingleTxtG"/>
        <w:rPr>
          <w:lang w:val="en-US"/>
        </w:rPr>
      </w:pPr>
      <w:r>
        <w:rPr>
          <w:lang w:val="en-US"/>
        </w:rPr>
        <w:t>44.</w:t>
      </w:r>
      <w:r w:rsidR="00CC46D5" w:rsidRPr="00CC46D5">
        <w:rPr>
          <w:lang w:val="en-US"/>
        </w:rPr>
        <w:tab/>
        <w:t>Enjoy the support of the State.</w:t>
      </w:r>
    </w:p>
    <w:p w:rsidR="00CC46D5" w:rsidRPr="00CC46D5" w:rsidRDefault="00B12B80" w:rsidP="00B12B80">
      <w:pPr>
        <w:pStyle w:val="H1G"/>
        <w:rPr>
          <w:lang w:val="en-US"/>
        </w:rPr>
      </w:pPr>
      <w:r>
        <w:rPr>
          <w:lang w:val="en-US"/>
        </w:rPr>
        <w:tab/>
        <w:t>F.</w:t>
      </w:r>
      <w:r>
        <w:rPr>
          <w:lang w:val="en-US"/>
        </w:rPr>
        <w:tab/>
      </w:r>
      <w:r w:rsidR="00CC46D5" w:rsidRPr="00CC46D5">
        <w:rPr>
          <w:lang w:val="en-US"/>
        </w:rPr>
        <w:t>International Convention for the Protection of All Persons from Enforced Disappearance</w:t>
      </w:r>
      <w:r w:rsidR="00B06211">
        <w:rPr>
          <w:rStyle w:val="EndnoteReference"/>
          <w:lang w:val="en-US"/>
        </w:rPr>
        <w:endnoteReference w:id="38"/>
      </w:r>
    </w:p>
    <w:p w:rsidR="00CC46D5" w:rsidRPr="00CC46D5" w:rsidRDefault="00B12B80" w:rsidP="00B12B80">
      <w:pPr>
        <w:pStyle w:val="SingleTxtG"/>
        <w:rPr>
          <w:lang w:val="en-US"/>
        </w:rPr>
      </w:pPr>
      <w:r>
        <w:rPr>
          <w:lang w:val="en-US"/>
        </w:rPr>
        <w:t>45.</w:t>
      </w:r>
      <w:r w:rsidR="00CC46D5" w:rsidRPr="00CC46D5">
        <w:rPr>
          <w:lang w:val="en-US"/>
        </w:rPr>
        <w:tab/>
        <w:t>Enjoy the support of the State.</w:t>
      </w:r>
    </w:p>
    <w:p w:rsidR="00CC46D5" w:rsidRPr="00CC46D5" w:rsidRDefault="00B12B80" w:rsidP="00B12B80">
      <w:pPr>
        <w:pStyle w:val="H1G"/>
        <w:rPr>
          <w:lang w:val="en-US"/>
        </w:rPr>
      </w:pPr>
      <w:r>
        <w:rPr>
          <w:lang w:val="en-US"/>
        </w:rPr>
        <w:tab/>
        <w:t>G.</w:t>
      </w:r>
      <w:r>
        <w:rPr>
          <w:lang w:val="en-US"/>
        </w:rPr>
        <w:tab/>
      </w:r>
      <w:r w:rsidR="00CC46D5" w:rsidRPr="00CC46D5">
        <w:rPr>
          <w:lang w:val="en-US"/>
        </w:rPr>
        <w:t>Domestic Workers Convention</w:t>
      </w:r>
      <w:r w:rsidR="00B06211">
        <w:rPr>
          <w:rStyle w:val="EndnoteReference"/>
          <w:lang w:val="en-US"/>
        </w:rPr>
        <w:endnoteReference w:id="39"/>
      </w:r>
    </w:p>
    <w:p w:rsidR="00CC46D5" w:rsidRPr="00CC46D5" w:rsidRDefault="00B12B80" w:rsidP="00B12B80">
      <w:pPr>
        <w:pStyle w:val="SingleTxtG"/>
        <w:rPr>
          <w:lang w:val="en-US"/>
        </w:rPr>
      </w:pPr>
      <w:r>
        <w:rPr>
          <w:lang w:val="en-US"/>
        </w:rPr>
        <w:t>46.</w:t>
      </w:r>
      <w:r>
        <w:rPr>
          <w:lang w:val="en-US"/>
        </w:rPr>
        <w:tab/>
      </w:r>
      <w:r w:rsidR="00CC46D5" w:rsidRPr="00CC46D5">
        <w:rPr>
          <w:lang w:val="en-US"/>
        </w:rPr>
        <w:t>Enjoy the support of the State.</w:t>
      </w:r>
    </w:p>
    <w:p w:rsidR="00CC46D5" w:rsidRPr="00CC46D5" w:rsidRDefault="00B12B80" w:rsidP="00B12B80">
      <w:pPr>
        <w:pStyle w:val="H1G"/>
        <w:rPr>
          <w:lang w:val="en-US"/>
        </w:rPr>
      </w:pPr>
      <w:r>
        <w:rPr>
          <w:lang w:val="en-US"/>
        </w:rPr>
        <w:tab/>
        <w:t>H.</w:t>
      </w:r>
      <w:r>
        <w:rPr>
          <w:lang w:val="en-US"/>
        </w:rPr>
        <w:tab/>
      </w:r>
      <w:r w:rsidR="00CC46D5" w:rsidRPr="00CC46D5">
        <w:rPr>
          <w:lang w:val="en-US"/>
        </w:rPr>
        <w:t>C</w:t>
      </w:r>
      <w:r>
        <w:rPr>
          <w:lang w:val="en-US"/>
        </w:rPr>
        <w:t>onvention on Statelessness</w:t>
      </w:r>
      <w:r w:rsidR="00B06211">
        <w:rPr>
          <w:rStyle w:val="EndnoteReference"/>
          <w:lang w:val="en-US"/>
        </w:rPr>
        <w:endnoteReference w:id="40"/>
      </w:r>
    </w:p>
    <w:p w:rsidR="00CC46D5" w:rsidRPr="00CC46D5" w:rsidRDefault="00B12B80" w:rsidP="00B12B80">
      <w:pPr>
        <w:pStyle w:val="SingleTxtG"/>
        <w:rPr>
          <w:lang w:val="en-US"/>
        </w:rPr>
      </w:pPr>
      <w:r>
        <w:rPr>
          <w:lang w:val="en-US"/>
        </w:rPr>
        <w:t>47.</w:t>
      </w:r>
      <w:r>
        <w:rPr>
          <w:lang w:val="en-US"/>
        </w:rPr>
        <w:tab/>
      </w:r>
      <w:r w:rsidR="00CC46D5" w:rsidRPr="00CC46D5">
        <w:rPr>
          <w:lang w:val="en-US"/>
        </w:rPr>
        <w:t>Enjoy the support of the State</w:t>
      </w:r>
      <w:r>
        <w:rPr>
          <w:lang w:val="en-US"/>
        </w:rPr>
        <w:t>.</w:t>
      </w:r>
    </w:p>
    <w:p w:rsidR="00CC46D5" w:rsidRPr="00CC46D5" w:rsidRDefault="00B12B80" w:rsidP="00B12B80">
      <w:pPr>
        <w:pStyle w:val="H1G"/>
        <w:rPr>
          <w:lang w:val="en-US"/>
        </w:rPr>
      </w:pPr>
      <w:r>
        <w:rPr>
          <w:lang w:val="en-US"/>
        </w:rPr>
        <w:tab/>
        <w:t>I.</w:t>
      </w:r>
      <w:r>
        <w:rPr>
          <w:lang w:val="en-US"/>
        </w:rPr>
        <w:tab/>
      </w:r>
      <w:r w:rsidR="00CC46D5" w:rsidRPr="00CC46D5">
        <w:rPr>
          <w:lang w:val="en-US"/>
        </w:rPr>
        <w:t xml:space="preserve">Outstanding </w:t>
      </w:r>
      <w:r>
        <w:rPr>
          <w:lang w:val="en-US"/>
        </w:rPr>
        <w:t>international h</w:t>
      </w:r>
      <w:r w:rsidR="00CC46D5" w:rsidRPr="00CC46D5">
        <w:rPr>
          <w:lang w:val="en-US"/>
        </w:rPr>
        <w:t xml:space="preserve">uman </w:t>
      </w:r>
      <w:r>
        <w:rPr>
          <w:lang w:val="en-US"/>
        </w:rPr>
        <w:t>rights i</w:t>
      </w:r>
      <w:r w:rsidR="00CC46D5" w:rsidRPr="00CC46D5">
        <w:rPr>
          <w:lang w:val="en-US"/>
        </w:rPr>
        <w:t>nstruments</w:t>
      </w:r>
      <w:r w:rsidR="00B06211">
        <w:rPr>
          <w:rStyle w:val="EndnoteReference"/>
          <w:lang w:val="en-US"/>
        </w:rPr>
        <w:endnoteReference w:id="41"/>
      </w:r>
    </w:p>
    <w:p w:rsidR="00CC46D5" w:rsidRPr="00CC46D5" w:rsidRDefault="00B12B80" w:rsidP="00B12B80">
      <w:pPr>
        <w:pStyle w:val="SingleTxtG"/>
        <w:rPr>
          <w:lang w:val="en-US"/>
        </w:rPr>
      </w:pPr>
      <w:r>
        <w:rPr>
          <w:lang w:val="en-US"/>
        </w:rPr>
        <w:t>48.</w:t>
      </w:r>
      <w:r>
        <w:rPr>
          <w:lang w:val="en-US"/>
        </w:rPr>
        <w:tab/>
      </w:r>
      <w:r w:rsidR="00CC46D5" w:rsidRPr="00CC46D5">
        <w:rPr>
          <w:lang w:val="en-US"/>
        </w:rPr>
        <w:t>Enjoy the support of the State.</w:t>
      </w:r>
    </w:p>
    <w:p w:rsidR="00CC46D5" w:rsidRPr="00CC46D5" w:rsidRDefault="00B12B80" w:rsidP="00B12B80">
      <w:pPr>
        <w:pStyle w:val="HChG"/>
        <w:rPr>
          <w:lang w:val="en-US"/>
        </w:rPr>
      </w:pPr>
      <w:r>
        <w:rPr>
          <w:lang w:val="en-US"/>
        </w:rPr>
        <w:tab/>
        <w:t>XXVI.</w:t>
      </w:r>
      <w:r>
        <w:rPr>
          <w:lang w:val="en-US"/>
        </w:rPr>
        <w:tab/>
      </w:r>
      <w:r w:rsidR="00CC46D5" w:rsidRPr="00CC46D5">
        <w:rPr>
          <w:lang w:val="en-US"/>
        </w:rPr>
        <w:t>S</w:t>
      </w:r>
      <w:r>
        <w:rPr>
          <w:lang w:val="en-US"/>
        </w:rPr>
        <w:t>pecial procedures</w:t>
      </w:r>
      <w:r w:rsidR="00B06211">
        <w:rPr>
          <w:rStyle w:val="EndnoteReference"/>
          <w:lang w:val="en-US"/>
        </w:rPr>
        <w:endnoteReference w:id="42"/>
      </w:r>
    </w:p>
    <w:p w:rsidR="00CC46D5" w:rsidRPr="00CC46D5" w:rsidRDefault="00B12B80" w:rsidP="00B12B80">
      <w:pPr>
        <w:pStyle w:val="SingleTxtG"/>
        <w:rPr>
          <w:lang w:val="en-US"/>
        </w:rPr>
      </w:pPr>
      <w:r>
        <w:rPr>
          <w:lang w:val="en-US"/>
        </w:rPr>
        <w:t>49.</w:t>
      </w:r>
      <w:r w:rsidR="00CC46D5" w:rsidRPr="00CC46D5">
        <w:rPr>
          <w:lang w:val="en-US"/>
        </w:rPr>
        <w:tab/>
        <w:t>Noted. These recommendations do not enjoy the support of the State.</w:t>
      </w:r>
    </w:p>
    <w:p w:rsidR="00CC46D5" w:rsidRPr="00CC46D5" w:rsidRDefault="00B12B80" w:rsidP="00B12B80">
      <w:pPr>
        <w:pStyle w:val="HChG"/>
        <w:rPr>
          <w:lang w:val="en-US"/>
        </w:rPr>
      </w:pPr>
      <w:r>
        <w:rPr>
          <w:lang w:val="en-US"/>
        </w:rPr>
        <w:tab/>
        <w:t>XXVII.</w:t>
      </w:r>
      <w:r>
        <w:rPr>
          <w:lang w:val="en-US"/>
        </w:rPr>
        <w:tab/>
      </w:r>
      <w:r w:rsidR="00CC46D5" w:rsidRPr="00CC46D5">
        <w:rPr>
          <w:lang w:val="en-US"/>
        </w:rPr>
        <w:t>T</w:t>
      </w:r>
      <w:r>
        <w:rPr>
          <w:lang w:val="en-US"/>
        </w:rPr>
        <w:t>reaty bodies</w:t>
      </w:r>
      <w:r w:rsidR="00B06211">
        <w:rPr>
          <w:rStyle w:val="EndnoteReference"/>
          <w:lang w:val="en-US"/>
        </w:rPr>
        <w:endnoteReference w:id="43"/>
      </w:r>
    </w:p>
    <w:p w:rsidR="00CC46D5" w:rsidRPr="00CC46D5" w:rsidRDefault="00B12B80" w:rsidP="00B12B80">
      <w:pPr>
        <w:pStyle w:val="SingleTxtG"/>
        <w:rPr>
          <w:lang w:val="en-US"/>
        </w:rPr>
      </w:pPr>
      <w:r>
        <w:rPr>
          <w:lang w:val="en-US"/>
        </w:rPr>
        <w:t>50.</w:t>
      </w:r>
      <w:r w:rsidR="00CC46D5" w:rsidRPr="00CC46D5">
        <w:rPr>
          <w:lang w:val="en-US"/>
        </w:rPr>
        <w:tab/>
        <w:t>Enjoy the support of the State.</w:t>
      </w:r>
    </w:p>
    <w:p w:rsidR="00CC46D5" w:rsidRPr="00CC46D5" w:rsidRDefault="00B12B80" w:rsidP="00B12B80">
      <w:pPr>
        <w:pStyle w:val="HChG"/>
        <w:rPr>
          <w:lang w:val="en-US"/>
        </w:rPr>
      </w:pPr>
      <w:r>
        <w:rPr>
          <w:lang w:val="en-US"/>
        </w:rPr>
        <w:tab/>
        <w:t>XXVIII.</w:t>
      </w:r>
      <w:r>
        <w:rPr>
          <w:lang w:val="en-US"/>
        </w:rPr>
        <w:tab/>
      </w:r>
      <w:r w:rsidR="00CC46D5" w:rsidRPr="00CC46D5">
        <w:rPr>
          <w:lang w:val="en-US"/>
        </w:rPr>
        <w:t>W</w:t>
      </w:r>
      <w:r>
        <w:rPr>
          <w:lang w:val="en-US"/>
        </w:rPr>
        <w:t>ater and sanitation</w:t>
      </w:r>
      <w:r w:rsidR="00B06211">
        <w:rPr>
          <w:rStyle w:val="EndnoteReference"/>
          <w:lang w:val="en-US"/>
        </w:rPr>
        <w:endnoteReference w:id="44"/>
      </w:r>
    </w:p>
    <w:p w:rsidR="00CC46D5" w:rsidRPr="00CC46D5" w:rsidRDefault="00B12B80" w:rsidP="00B12B80">
      <w:pPr>
        <w:pStyle w:val="SingleTxtG"/>
        <w:rPr>
          <w:lang w:val="en-US"/>
        </w:rPr>
      </w:pPr>
      <w:r>
        <w:rPr>
          <w:lang w:val="en-US"/>
        </w:rPr>
        <w:t>51.</w:t>
      </w:r>
      <w:r w:rsidR="00CC46D5" w:rsidRPr="00CC46D5">
        <w:rPr>
          <w:lang w:val="en-US"/>
        </w:rPr>
        <w:tab/>
        <w:t>Enjoy the support of the State.</w:t>
      </w:r>
    </w:p>
    <w:p w:rsidR="00CC46D5" w:rsidRPr="00CC46D5" w:rsidRDefault="00B12B80" w:rsidP="00B12B80">
      <w:pPr>
        <w:pStyle w:val="HChG"/>
        <w:rPr>
          <w:lang w:val="en-US"/>
        </w:rPr>
      </w:pPr>
      <w:r>
        <w:rPr>
          <w:lang w:val="en-US"/>
        </w:rPr>
        <w:tab/>
        <w:t>XXIX.</w:t>
      </w:r>
      <w:r>
        <w:rPr>
          <w:lang w:val="en-US"/>
        </w:rPr>
        <w:tab/>
      </w:r>
      <w:r w:rsidR="00CC46D5" w:rsidRPr="00CC46D5">
        <w:rPr>
          <w:lang w:val="en-US"/>
        </w:rPr>
        <w:t>W</w:t>
      </w:r>
      <w:r>
        <w:rPr>
          <w:lang w:val="en-US"/>
        </w:rPr>
        <w:t>omen and girl rights</w:t>
      </w:r>
    </w:p>
    <w:p w:rsidR="00CC46D5" w:rsidRPr="00CC46D5" w:rsidRDefault="00B12B80" w:rsidP="00B12B80">
      <w:pPr>
        <w:pStyle w:val="H1G"/>
        <w:rPr>
          <w:lang w:val="en-US"/>
        </w:rPr>
      </w:pPr>
      <w:r>
        <w:rPr>
          <w:lang w:val="en-US"/>
        </w:rPr>
        <w:tab/>
        <w:t>A.</w:t>
      </w:r>
      <w:r>
        <w:rPr>
          <w:lang w:val="en-US"/>
        </w:rPr>
        <w:tab/>
      </w:r>
      <w:r w:rsidR="00CC46D5" w:rsidRPr="00CC46D5">
        <w:rPr>
          <w:lang w:val="en-US"/>
        </w:rPr>
        <w:t>G</w:t>
      </w:r>
      <w:r>
        <w:rPr>
          <w:lang w:val="en-US"/>
        </w:rPr>
        <w:t>ender equality</w:t>
      </w:r>
      <w:r w:rsidR="009A7E24">
        <w:rPr>
          <w:rStyle w:val="EndnoteReference"/>
          <w:lang w:val="en-US"/>
        </w:rPr>
        <w:endnoteReference w:id="45"/>
      </w:r>
    </w:p>
    <w:p w:rsidR="00CC46D5" w:rsidRPr="00CC46D5" w:rsidRDefault="00B12B80" w:rsidP="00B12B80">
      <w:pPr>
        <w:pStyle w:val="SingleTxtG"/>
        <w:rPr>
          <w:lang w:val="en-US"/>
        </w:rPr>
      </w:pPr>
      <w:r>
        <w:rPr>
          <w:lang w:val="en-US"/>
        </w:rPr>
        <w:t>52.</w:t>
      </w:r>
      <w:r>
        <w:rPr>
          <w:lang w:val="en-US"/>
        </w:rPr>
        <w:tab/>
      </w:r>
      <w:r w:rsidR="00CC46D5" w:rsidRPr="00CC46D5">
        <w:rPr>
          <w:lang w:val="en-US"/>
        </w:rPr>
        <w:t>Enjoy the support of the State.</w:t>
      </w:r>
    </w:p>
    <w:p w:rsidR="00CC46D5" w:rsidRPr="00CC46D5" w:rsidRDefault="00B12B80" w:rsidP="00B12B80">
      <w:pPr>
        <w:pStyle w:val="H1G"/>
        <w:rPr>
          <w:lang w:val="en-US"/>
        </w:rPr>
      </w:pPr>
      <w:r>
        <w:rPr>
          <w:lang w:val="en-US"/>
        </w:rPr>
        <w:tab/>
        <w:t>B.</w:t>
      </w:r>
      <w:r>
        <w:rPr>
          <w:lang w:val="en-US"/>
        </w:rPr>
        <w:tab/>
      </w:r>
      <w:r w:rsidR="00CC46D5" w:rsidRPr="00CC46D5">
        <w:rPr>
          <w:lang w:val="en-US"/>
        </w:rPr>
        <w:t>G</w:t>
      </w:r>
      <w:r>
        <w:rPr>
          <w:lang w:val="en-US"/>
        </w:rPr>
        <w:t>ender based violence</w:t>
      </w:r>
      <w:r w:rsidR="009A7E24">
        <w:rPr>
          <w:rStyle w:val="EndnoteReference"/>
          <w:lang w:val="en-US"/>
        </w:rPr>
        <w:endnoteReference w:id="46"/>
      </w:r>
    </w:p>
    <w:p w:rsidR="00CC46D5" w:rsidRPr="00CC46D5" w:rsidRDefault="00B12B80" w:rsidP="00B12B80">
      <w:pPr>
        <w:pStyle w:val="SingleTxtG"/>
        <w:rPr>
          <w:lang w:val="en-US"/>
        </w:rPr>
      </w:pPr>
      <w:r>
        <w:rPr>
          <w:lang w:val="en-US"/>
        </w:rPr>
        <w:t>53.</w:t>
      </w:r>
      <w:r w:rsidR="00CC46D5" w:rsidRPr="00CC46D5">
        <w:rPr>
          <w:lang w:val="en-US"/>
        </w:rPr>
        <w:tab/>
        <w:t>Enjoy the support of the State.</w:t>
      </w:r>
    </w:p>
    <w:p w:rsidR="00CC46D5" w:rsidRPr="00CC46D5" w:rsidRDefault="00B12B80" w:rsidP="00B12B80">
      <w:pPr>
        <w:pStyle w:val="HChG"/>
        <w:rPr>
          <w:lang w:val="en-US"/>
        </w:rPr>
      </w:pPr>
      <w:r>
        <w:rPr>
          <w:lang w:val="en-US"/>
        </w:rPr>
        <w:tab/>
        <w:t>XXX.</w:t>
      </w:r>
      <w:r>
        <w:rPr>
          <w:lang w:val="en-US"/>
        </w:rPr>
        <w:tab/>
      </w:r>
      <w:r w:rsidR="00CC46D5" w:rsidRPr="00CC46D5">
        <w:rPr>
          <w:lang w:val="en-US"/>
        </w:rPr>
        <w:t>Y</w:t>
      </w:r>
      <w:r>
        <w:rPr>
          <w:lang w:val="en-US"/>
        </w:rPr>
        <w:t>outh</w:t>
      </w:r>
      <w:r w:rsidR="009A7E24">
        <w:rPr>
          <w:rStyle w:val="EndnoteReference"/>
          <w:lang w:val="en-US"/>
        </w:rPr>
        <w:endnoteReference w:id="47"/>
      </w:r>
    </w:p>
    <w:p w:rsidR="00CC46D5" w:rsidRPr="00CC46D5" w:rsidRDefault="00B12B80" w:rsidP="00B12B80">
      <w:pPr>
        <w:pStyle w:val="SingleTxtG"/>
        <w:rPr>
          <w:lang w:val="en-US"/>
        </w:rPr>
      </w:pPr>
      <w:r>
        <w:rPr>
          <w:lang w:val="en-US"/>
        </w:rPr>
        <w:t>54.</w:t>
      </w:r>
      <w:r>
        <w:rPr>
          <w:lang w:val="en-US"/>
        </w:rPr>
        <w:tab/>
      </w:r>
      <w:r w:rsidR="00CC46D5" w:rsidRPr="00CC46D5">
        <w:rPr>
          <w:lang w:val="en-US"/>
        </w:rPr>
        <w:t>Enjoy the support of the State.</w:t>
      </w:r>
    </w:p>
    <w:p w:rsidR="00CC46D5" w:rsidRPr="00CC46D5" w:rsidRDefault="00B12B80" w:rsidP="00B12B80">
      <w:pPr>
        <w:pStyle w:val="HChG"/>
        <w:rPr>
          <w:lang w:val="en-US"/>
        </w:rPr>
      </w:pPr>
      <w:r>
        <w:rPr>
          <w:lang w:val="en-US"/>
        </w:rPr>
        <w:tab/>
        <w:t>XXXI.</w:t>
      </w:r>
      <w:r>
        <w:rPr>
          <w:lang w:val="en-US"/>
        </w:rPr>
        <w:tab/>
      </w:r>
      <w:r w:rsidR="00CC46D5" w:rsidRPr="00CC46D5">
        <w:rPr>
          <w:lang w:val="en-US"/>
        </w:rPr>
        <w:t>P</w:t>
      </w:r>
      <w:r>
        <w:rPr>
          <w:lang w:val="en-US"/>
        </w:rPr>
        <w:t>risons</w:t>
      </w:r>
      <w:r w:rsidR="009A7E24">
        <w:rPr>
          <w:rStyle w:val="EndnoteReference"/>
          <w:lang w:val="en-US"/>
        </w:rPr>
        <w:endnoteReference w:id="48"/>
      </w:r>
    </w:p>
    <w:p w:rsidR="00CC46D5" w:rsidRPr="00CC46D5" w:rsidRDefault="00B12B80" w:rsidP="00B12B80">
      <w:pPr>
        <w:pStyle w:val="SingleTxtG"/>
        <w:rPr>
          <w:lang w:val="en-US"/>
        </w:rPr>
      </w:pPr>
      <w:r>
        <w:rPr>
          <w:lang w:val="en-US"/>
        </w:rPr>
        <w:t>55.</w:t>
      </w:r>
      <w:r>
        <w:rPr>
          <w:lang w:val="en-US"/>
        </w:rPr>
        <w:tab/>
      </w:r>
      <w:r w:rsidR="00CC46D5" w:rsidRPr="00CC46D5">
        <w:rPr>
          <w:lang w:val="en-US"/>
        </w:rPr>
        <w:t>Enjoy the support of the State</w:t>
      </w:r>
      <w:r>
        <w:rPr>
          <w:lang w:val="en-US"/>
        </w:rPr>
        <w:t>.</w:t>
      </w:r>
    </w:p>
    <w:p w:rsidR="00CC46D5" w:rsidRPr="00CC46D5" w:rsidRDefault="00B12B80" w:rsidP="00B12B80">
      <w:pPr>
        <w:pStyle w:val="HChG"/>
        <w:rPr>
          <w:lang w:val="en-US"/>
        </w:rPr>
      </w:pPr>
      <w:r>
        <w:rPr>
          <w:lang w:val="en-US"/>
        </w:rPr>
        <w:tab/>
        <w:t>XXXII.</w:t>
      </w:r>
      <w:r>
        <w:rPr>
          <w:lang w:val="en-US"/>
        </w:rPr>
        <w:tab/>
      </w:r>
      <w:r w:rsidR="00CC46D5" w:rsidRPr="00CC46D5">
        <w:rPr>
          <w:lang w:val="en-US"/>
        </w:rPr>
        <w:t>P</w:t>
      </w:r>
      <w:r>
        <w:rPr>
          <w:lang w:val="en-US"/>
        </w:rPr>
        <w:t>eople living with disabilites</w:t>
      </w:r>
      <w:r w:rsidR="009A7E24">
        <w:rPr>
          <w:rStyle w:val="EndnoteReference"/>
          <w:lang w:val="en-US"/>
        </w:rPr>
        <w:endnoteReference w:id="49"/>
      </w:r>
    </w:p>
    <w:p w:rsidR="00CC46D5" w:rsidRPr="00CC46D5" w:rsidRDefault="00B12B80" w:rsidP="00B12B80">
      <w:pPr>
        <w:pStyle w:val="SingleTxtG"/>
        <w:rPr>
          <w:lang w:val="en-US"/>
        </w:rPr>
      </w:pPr>
      <w:r>
        <w:rPr>
          <w:lang w:val="en-US"/>
        </w:rPr>
        <w:t>56.</w:t>
      </w:r>
      <w:r>
        <w:rPr>
          <w:lang w:val="en-US"/>
        </w:rPr>
        <w:tab/>
      </w:r>
      <w:r w:rsidR="00CC46D5" w:rsidRPr="00CC46D5">
        <w:rPr>
          <w:lang w:val="en-US"/>
        </w:rPr>
        <w:t>Enjoy the support of the State</w:t>
      </w:r>
      <w:r>
        <w:rPr>
          <w:lang w:val="en-US"/>
        </w:rPr>
        <w:t>.</w:t>
      </w:r>
    </w:p>
    <w:p w:rsidR="00CC46D5" w:rsidRPr="00CC46D5" w:rsidRDefault="00B12B80" w:rsidP="00B12B80">
      <w:pPr>
        <w:pStyle w:val="HChG"/>
        <w:rPr>
          <w:lang w:val="en-US"/>
        </w:rPr>
      </w:pPr>
      <w:r>
        <w:rPr>
          <w:lang w:val="en-US"/>
        </w:rPr>
        <w:tab/>
        <w:t>XXXIII.</w:t>
      </w:r>
      <w:r>
        <w:rPr>
          <w:lang w:val="en-US"/>
        </w:rPr>
        <w:tab/>
      </w:r>
      <w:r w:rsidR="00CC46D5" w:rsidRPr="00CC46D5">
        <w:rPr>
          <w:lang w:val="en-US"/>
        </w:rPr>
        <w:t>N</w:t>
      </w:r>
      <w:r>
        <w:rPr>
          <w:lang w:val="en-US"/>
        </w:rPr>
        <w:t>ational Action Plan to implement UN guiding principles on business and human rights</w:t>
      </w:r>
      <w:r w:rsidR="009A7E24">
        <w:rPr>
          <w:rStyle w:val="EndnoteReference"/>
          <w:lang w:val="en-US"/>
        </w:rPr>
        <w:endnoteReference w:id="50"/>
      </w:r>
    </w:p>
    <w:p w:rsidR="00CC46D5" w:rsidRPr="00CC46D5" w:rsidRDefault="00B12B80" w:rsidP="00B12B80">
      <w:pPr>
        <w:pStyle w:val="SingleTxtG"/>
        <w:rPr>
          <w:lang w:val="en-US"/>
        </w:rPr>
      </w:pPr>
      <w:r>
        <w:rPr>
          <w:lang w:val="en-US"/>
        </w:rPr>
        <w:t>57.</w:t>
      </w:r>
      <w:r>
        <w:rPr>
          <w:lang w:val="en-US"/>
        </w:rPr>
        <w:tab/>
      </w:r>
      <w:r w:rsidR="00CC46D5" w:rsidRPr="00CC46D5">
        <w:rPr>
          <w:lang w:val="en-US"/>
        </w:rPr>
        <w:t>Enjoy the support of the State</w:t>
      </w:r>
      <w:r>
        <w:rPr>
          <w:lang w:val="en-US"/>
        </w:rPr>
        <w:t>.</w:t>
      </w:r>
    </w:p>
    <w:p w:rsidR="00CC46D5" w:rsidRPr="00CC46D5" w:rsidRDefault="00B12B80" w:rsidP="0049198D">
      <w:pPr>
        <w:pStyle w:val="HChG"/>
        <w:rPr>
          <w:lang w:val="en-US"/>
        </w:rPr>
      </w:pPr>
      <w:r>
        <w:rPr>
          <w:lang w:val="en-US"/>
        </w:rPr>
        <w:t>XXXIV.</w:t>
      </w:r>
      <w:r>
        <w:rPr>
          <w:lang w:val="en-US"/>
        </w:rPr>
        <w:tab/>
      </w:r>
      <w:r w:rsidR="00CC46D5" w:rsidRPr="00CC46D5">
        <w:rPr>
          <w:lang w:val="en-US"/>
        </w:rPr>
        <w:t>I</w:t>
      </w:r>
      <w:r>
        <w:rPr>
          <w:lang w:val="en-US"/>
        </w:rPr>
        <w:t xml:space="preserve">mplement policies dealing with the stigma and </w:t>
      </w:r>
      <w:r w:rsidR="0049198D">
        <w:rPr>
          <w:lang w:val="en-US"/>
        </w:rPr>
        <w:t>discrimination against people living with HIV/AIDS</w:t>
      </w:r>
      <w:r w:rsidR="009A7E24">
        <w:rPr>
          <w:rStyle w:val="EndnoteReference"/>
          <w:lang w:val="en-US"/>
        </w:rPr>
        <w:endnoteReference w:id="51"/>
      </w:r>
    </w:p>
    <w:p w:rsidR="00CC46D5" w:rsidRPr="00CC46D5" w:rsidRDefault="0049198D" w:rsidP="0049198D">
      <w:pPr>
        <w:pStyle w:val="SingleTxtG"/>
        <w:rPr>
          <w:lang w:val="en-US"/>
        </w:rPr>
      </w:pPr>
      <w:r>
        <w:rPr>
          <w:lang w:val="en-US"/>
        </w:rPr>
        <w:t>58.</w:t>
      </w:r>
      <w:r>
        <w:rPr>
          <w:lang w:val="en-US"/>
        </w:rPr>
        <w:tab/>
      </w:r>
      <w:r w:rsidR="00CC46D5" w:rsidRPr="00CC46D5">
        <w:rPr>
          <w:lang w:val="en-US"/>
        </w:rPr>
        <w:t>Enjoy the support of the State</w:t>
      </w:r>
      <w:r>
        <w:rPr>
          <w:lang w:val="en-US"/>
        </w:rPr>
        <w:t>.</w:t>
      </w:r>
    </w:p>
    <w:p w:rsidR="00CF586F" w:rsidRPr="00CC46D5" w:rsidRDefault="0049198D" w:rsidP="0049198D">
      <w:pPr>
        <w:pStyle w:val="H4G"/>
      </w:pPr>
      <w:r>
        <w:t>Notes</w:t>
      </w:r>
    </w:p>
    <w:sectPr w:rsidR="00CF586F" w:rsidRPr="00CC46D5" w:rsidSect="00CC46D5">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98D" w:rsidRDefault="0049198D"/>
  </w:endnote>
  <w:endnote w:type="continuationSeparator" w:id="0">
    <w:p w:rsidR="0049198D" w:rsidRDefault="0049198D"/>
  </w:endnote>
  <w:endnote w:type="continuationNotice" w:id="1">
    <w:p w:rsidR="0049198D" w:rsidRDefault="0049198D"/>
  </w:endnote>
  <w:endnote w:id="2">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 137.176.</w:t>
      </w:r>
      <w:proofErr w:type="gramEnd"/>
    </w:p>
  </w:endnote>
  <w:endnote w:id="3">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137.124 and 137.167.</w:t>
      </w:r>
      <w:proofErr w:type="gramEnd"/>
    </w:p>
  </w:endnote>
  <w:endnote w:id="4">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137.120</w:t>
      </w:r>
      <w:r>
        <w:t>,</w:t>
      </w:r>
      <w:r w:rsidRPr="0049198D">
        <w:t xml:space="preserve"> 137.121</w:t>
      </w:r>
      <w:r>
        <w:t>,</w:t>
      </w:r>
      <w:r w:rsidRPr="0049198D">
        <w:t xml:space="preserve"> 137.122 and 137.123.</w:t>
      </w:r>
      <w:proofErr w:type="gramEnd"/>
    </w:p>
  </w:endnote>
  <w:endnote w:id="5">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00E96971">
        <w:t xml:space="preserve">Recommendations 137.53, 137.54 </w:t>
      </w:r>
      <w:r w:rsidRPr="0049198D">
        <w:t>and 137.55.</w:t>
      </w:r>
      <w:proofErr w:type="gramEnd"/>
    </w:p>
  </w:endnote>
  <w:endnote w:id="6">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137.160 and 137.161.</w:t>
      </w:r>
      <w:proofErr w:type="gramEnd"/>
    </w:p>
  </w:endnote>
  <w:endnote w:id="7">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 137.52.</w:t>
      </w:r>
      <w:proofErr w:type="gramEnd"/>
    </w:p>
  </w:endnote>
  <w:endnote w:id="8">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 137.209.</w:t>
      </w:r>
      <w:proofErr w:type="gramEnd"/>
    </w:p>
  </w:endnote>
  <w:endnote w:id="9">
    <w:p w:rsidR="0049198D" w:rsidRDefault="0049198D" w:rsidP="0049198D">
      <w:pPr>
        <w:pStyle w:val="EndnoteText"/>
        <w:widowControl w:val="0"/>
        <w:tabs>
          <w:tab w:val="clear" w:pos="1021"/>
          <w:tab w:val="right" w:pos="1020"/>
        </w:tabs>
      </w:pPr>
      <w:r>
        <w:tab/>
      </w:r>
      <w:r>
        <w:rPr>
          <w:rStyle w:val="EndnoteReference"/>
        </w:rPr>
        <w:endnoteRef/>
      </w:r>
      <w:r>
        <w:tab/>
      </w:r>
      <w:proofErr w:type="gramStart"/>
      <w:r>
        <w:t>Recommendations 137.125, 137.126, 137.127,</w:t>
      </w:r>
      <w:r w:rsidRPr="0049198D">
        <w:t xml:space="preserve"> 137.128</w:t>
      </w:r>
      <w:r>
        <w:t>,</w:t>
      </w:r>
      <w:r w:rsidRPr="0049198D">
        <w:t xml:space="preserve"> 137.129</w:t>
      </w:r>
      <w:r>
        <w:t>,</w:t>
      </w:r>
      <w:r w:rsidRPr="0049198D">
        <w:t xml:space="preserve"> 137.130</w:t>
      </w:r>
      <w:r>
        <w:t>,</w:t>
      </w:r>
      <w:r w:rsidRPr="0049198D">
        <w:t xml:space="preserve"> 137.131 and 137.132.</w:t>
      </w:r>
      <w:proofErr w:type="gramEnd"/>
    </w:p>
  </w:endnote>
  <w:endnote w:id="10">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 137.87.</w:t>
      </w:r>
      <w:proofErr w:type="gramEnd"/>
    </w:p>
  </w:endnote>
  <w:endnote w:id="11">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137.198</w:t>
      </w:r>
      <w:r>
        <w:t>,</w:t>
      </w:r>
      <w:r w:rsidRPr="0049198D">
        <w:t xml:space="preserve"> 137.199</w:t>
      </w:r>
      <w:r>
        <w:t>, 137.200,</w:t>
      </w:r>
      <w:r w:rsidRPr="0049198D">
        <w:t xml:space="preserve"> 137.201</w:t>
      </w:r>
      <w:r>
        <w:t>,</w:t>
      </w:r>
      <w:r w:rsidRPr="0049198D">
        <w:t xml:space="preserve"> 137.202</w:t>
      </w:r>
      <w:r>
        <w:t>,</w:t>
      </w:r>
      <w:r w:rsidRPr="0049198D">
        <w:t xml:space="preserve"> 137.203</w:t>
      </w:r>
      <w:r>
        <w:t>,</w:t>
      </w:r>
      <w:r w:rsidRPr="0049198D">
        <w:t xml:space="preserve"> 137.204</w:t>
      </w:r>
      <w:r>
        <w:t>,</w:t>
      </w:r>
      <w:r w:rsidRPr="0049198D">
        <w:t xml:space="preserve"> 137.205</w:t>
      </w:r>
      <w:r>
        <w:t>,</w:t>
      </w:r>
      <w:r w:rsidRPr="0049198D">
        <w:t xml:space="preserve"> 137.206</w:t>
      </w:r>
      <w:r>
        <w:t>,</w:t>
      </w:r>
      <w:r w:rsidRPr="0049198D">
        <w:t xml:space="preserve"> 137.207 and 137.208.</w:t>
      </w:r>
      <w:proofErr w:type="gramEnd"/>
    </w:p>
  </w:endnote>
  <w:endnote w:id="12">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137.177 and 137.178.</w:t>
      </w:r>
      <w:proofErr w:type="gramEnd"/>
    </w:p>
  </w:endnote>
  <w:endnote w:id="13">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 137.179.</w:t>
      </w:r>
      <w:proofErr w:type="gramEnd"/>
    </w:p>
  </w:endnote>
  <w:endnote w:id="14">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137.190</w:t>
      </w:r>
      <w:r>
        <w:t>,</w:t>
      </w:r>
      <w:r w:rsidRPr="0049198D">
        <w:t xml:space="preserve"> 137.194</w:t>
      </w:r>
      <w:r>
        <w:t>,</w:t>
      </w:r>
      <w:r w:rsidRPr="0049198D">
        <w:t xml:space="preserve"> 137.195</w:t>
      </w:r>
      <w:r>
        <w:t>,</w:t>
      </w:r>
      <w:r w:rsidRPr="0049198D">
        <w:t xml:space="preserve"> 137.196 and 137.197.</w:t>
      </w:r>
      <w:proofErr w:type="gramEnd"/>
    </w:p>
  </w:endnote>
  <w:endnote w:id="15">
    <w:p w:rsidR="0049198D" w:rsidRDefault="0049198D" w:rsidP="0049198D">
      <w:pPr>
        <w:pStyle w:val="EndnoteText"/>
        <w:widowControl w:val="0"/>
        <w:tabs>
          <w:tab w:val="clear" w:pos="1021"/>
          <w:tab w:val="right" w:pos="1020"/>
        </w:tabs>
      </w:pPr>
      <w:r>
        <w:tab/>
      </w:r>
      <w:r>
        <w:rPr>
          <w:rStyle w:val="EndnoteReference"/>
        </w:rPr>
        <w:endnoteRef/>
      </w:r>
      <w:r>
        <w:tab/>
      </w:r>
      <w:proofErr w:type="gramStart"/>
      <w:r>
        <w:t>Recommendations 137.191,</w:t>
      </w:r>
      <w:r w:rsidRPr="0049198D">
        <w:t xml:space="preserve"> 137.192 and 137.193.</w:t>
      </w:r>
      <w:proofErr w:type="gramEnd"/>
    </w:p>
  </w:endnote>
  <w:endnote w:id="16">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137.93</w:t>
      </w:r>
      <w:r>
        <w:t>,</w:t>
      </w:r>
      <w:r w:rsidRPr="0049198D">
        <w:t xml:space="preserve"> 137.94</w:t>
      </w:r>
      <w:r>
        <w:t>,</w:t>
      </w:r>
      <w:r w:rsidRPr="0049198D">
        <w:t xml:space="preserve"> 137.95 and 137.96.</w:t>
      </w:r>
      <w:proofErr w:type="gramEnd"/>
    </w:p>
  </w:endnote>
  <w:endnote w:id="17">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137.78</w:t>
      </w:r>
      <w:r>
        <w:t>,</w:t>
      </w:r>
      <w:r w:rsidRPr="0049198D">
        <w:t xml:space="preserve"> 137.79 and 137.80.</w:t>
      </w:r>
      <w:proofErr w:type="gramEnd"/>
    </w:p>
  </w:endnote>
  <w:endnote w:id="18">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137.64</w:t>
      </w:r>
      <w:r>
        <w:t>,</w:t>
      </w:r>
      <w:r w:rsidRPr="0049198D">
        <w:t xml:space="preserve"> 137.76</w:t>
      </w:r>
      <w:r>
        <w:t>,</w:t>
      </w:r>
      <w:r w:rsidRPr="0049198D">
        <w:t xml:space="preserve"> 137.77</w:t>
      </w:r>
      <w:r>
        <w:t>,</w:t>
      </w:r>
      <w:r w:rsidRPr="0049198D">
        <w:t xml:space="preserve"> 137.162 and 137.163.</w:t>
      </w:r>
      <w:proofErr w:type="gramEnd"/>
    </w:p>
  </w:endnote>
  <w:endnote w:id="19">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137.164</w:t>
      </w:r>
      <w:r>
        <w:t>,</w:t>
      </w:r>
      <w:r w:rsidRPr="0049198D">
        <w:t xml:space="preserve"> 137.165</w:t>
      </w:r>
      <w:r>
        <w:t>,</w:t>
      </w:r>
      <w:r w:rsidR="00E96971">
        <w:t xml:space="preserve"> 137.</w:t>
      </w:r>
      <w:r w:rsidRPr="0049198D">
        <w:t>173</w:t>
      </w:r>
      <w:r>
        <w:t>,</w:t>
      </w:r>
      <w:r w:rsidRPr="0049198D">
        <w:t xml:space="preserve"> 137.174</w:t>
      </w:r>
      <w:r>
        <w:t xml:space="preserve"> and</w:t>
      </w:r>
      <w:r w:rsidRPr="0049198D">
        <w:t xml:space="preserve"> 137.175.</w:t>
      </w:r>
      <w:proofErr w:type="gramEnd"/>
    </w:p>
  </w:endnote>
  <w:endnote w:id="20">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137.88</w:t>
      </w:r>
      <w:r>
        <w:t>,</w:t>
      </w:r>
      <w:r w:rsidRPr="0049198D">
        <w:t xml:space="preserve"> 137.89</w:t>
      </w:r>
      <w:r>
        <w:t>,</w:t>
      </w:r>
      <w:r w:rsidRPr="0049198D">
        <w:t xml:space="preserve"> 137.90</w:t>
      </w:r>
      <w:r>
        <w:t xml:space="preserve"> </w:t>
      </w:r>
      <w:r w:rsidRPr="0049198D">
        <w:t>and 137.91.</w:t>
      </w:r>
      <w:proofErr w:type="gramEnd"/>
    </w:p>
  </w:endnote>
  <w:endnote w:id="21">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 137.169.</w:t>
      </w:r>
      <w:proofErr w:type="gramEnd"/>
    </w:p>
  </w:endnote>
  <w:endnote w:id="22">
    <w:p w:rsidR="0049198D" w:rsidRDefault="0049198D" w:rsidP="0049198D">
      <w:pPr>
        <w:pStyle w:val="EndnoteText"/>
        <w:widowControl w:val="0"/>
        <w:tabs>
          <w:tab w:val="clear" w:pos="1021"/>
          <w:tab w:val="right" w:pos="1020"/>
        </w:tabs>
      </w:pPr>
      <w:r>
        <w:tab/>
      </w:r>
      <w:r>
        <w:rPr>
          <w:rStyle w:val="EndnoteReference"/>
        </w:rPr>
        <w:endnoteRef/>
      </w:r>
      <w:r>
        <w:tab/>
      </w:r>
      <w:proofErr w:type="gramStart"/>
      <w:r w:rsidRPr="0049198D">
        <w:t>Recommendations 137.6</w:t>
      </w:r>
      <w:r>
        <w:t xml:space="preserve">9, 137.70, 137.71, 137.72 and </w:t>
      </w:r>
      <w:r w:rsidRPr="0049198D">
        <w:t>137.73.</w:t>
      </w:r>
      <w:proofErr w:type="gramEnd"/>
    </w:p>
  </w:endnote>
  <w:endnote w:id="23">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Recommendations 137.212</w:t>
      </w:r>
      <w:r>
        <w:t>,</w:t>
      </w:r>
      <w:r w:rsidRPr="00B06211">
        <w:t xml:space="preserve"> 137.213</w:t>
      </w:r>
      <w:r>
        <w:t>,</w:t>
      </w:r>
      <w:r w:rsidRPr="00B06211">
        <w:t xml:space="preserve"> 137.214</w:t>
      </w:r>
      <w:r>
        <w:t>,</w:t>
      </w:r>
      <w:r w:rsidRPr="00B06211">
        <w:t xml:space="preserve"> 137.215</w:t>
      </w:r>
      <w:r>
        <w:t>,</w:t>
      </w:r>
      <w:r w:rsidRPr="00B06211">
        <w:t xml:space="preserve"> 137.216</w:t>
      </w:r>
      <w:r>
        <w:t>,</w:t>
      </w:r>
      <w:r w:rsidRPr="00B06211">
        <w:t xml:space="preserve"> 137.217</w:t>
      </w:r>
      <w:r>
        <w:t>,</w:t>
      </w:r>
      <w:r w:rsidRPr="00B06211">
        <w:t xml:space="preserve"> 137.218 and 137.219.</w:t>
      </w:r>
      <w:proofErr w:type="gramEnd"/>
    </w:p>
  </w:endnote>
  <w:endnote w:id="24">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 137.51.</w:t>
      </w:r>
      <w:proofErr w:type="gramEnd"/>
    </w:p>
  </w:endnote>
  <w:endnote w:id="25">
    <w:p w:rsidR="00B06211" w:rsidRDefault="00B06211" w:rsidP="00B06211">
      <w:pPr>
        <w:pStyle w:val="EndnoteText"/>
        <w:widowControl w:val="0"/>
        <w:tabs>
          <w:tab w:val="clear" w:pos="1021"/>
          <w:tab w:val="right" w:pos="1020"/>
        </w:tabs>
      </w:pPr>
      <w:r>
        <w:tab/>
      </w:r>
      <w:r>
        <w:rPr>
          <w:rStyle w:val="EndnoteReference"/>
        </w:rPr>
        <w:endnoteRef/>
      </w:r>
      <w:r>
        <w:tab/>
      </w:r>
      <w:r w:rsidRPr="00B06211">
        <w:t xml:space="preserve">Article 8 of the Constitution of Namibia states that: (1) </w:t>
      </w:r>
      <w:proofErr w:type="gramStart"/>
      <w:r w:rsidRPr="00B06211">
        <w:t>The</w:t>
      </w:r>
      <w:proofErr w:type="gramEnd"/>
      <w:r w:rsidRPr="00B06211">
        <w:t xml:space="preserve"> dignity of all persons shall be inviolable. (2) (</w:t>
      </w:r>
      <w:proofErr w:type="gramStart"/>
      <w:r w:rsidRPr="00B06211">
        <w:t>a</w:t>
      </w:r>
      <w:proofErr w:type="gramEnd"/>
      <w:r w:rsidRPr="00B06211">
        <w:t>) In any judicial proceedings or in other proceedings before any organ of the State, and during the enforcement of a penalty, respect for human dignity shall be guaranteed. (b) No persons shall be subject to torture or to cruel, inhuman or degrading treatment.</w:t>
      </w:r>
    </w:p>
  </w:endnote>
  <w:endnote w:id="26">
    <w:p w:rsidR="00B06211" w:rsidRDefault="00B06211" w:rsidP="00B06211">
      <w:pPr>
        <w:pStyle w:val="EndnoteText"/>
        <w:widowControl w:val="0"/>
        <w:tabs>
          <w:tab w:val="clear" w:pos="1021"/>
          <w:tab w:val="right" w:pos="1020"/>
        </w:tabs>
      </w:pPr>
      <w:r>
        <w:tab/>
      </w:r>
      <w:r>
        <w:rPr>
          <w:rStyle w:val="EndnoteReference"/>
        </w:rPr>
        <w:endnoteRef/>
      </w:r>
      <w:r>
        <w:tab/>
      </w:r>
      <w:proofErr w:type="spellStart"/>
      <w:proofErr w:type="gramStart"/>
      <w:r w:rsidRPr="00B06211">
        <w:t>Naldi</w:t>
      </w:r>
      <w:proofErr w:type="spellEnd"/>
      <w:r w:rsidRPr="00B06211">
        <w:t>, ibid at p.</w:t>
      </w:r>
      <w:r>
        <w:t xml:space="preserve"> </w:t>
      </w:r>
      <w:r w:rsidRPr="00B06211">
        <w:t>44</w:t>
      </w:r>
      <w:r>
        <w:t>.</w:t>
      </w:r>
      <w:proofErr w:type="gramEnd"/>
    </w:p>
  </w:endnote>
  <w:endnote w:id="27">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w:t>
      </w:r>
      <w:r>
        <w:t>s</w:t>
      </w:r>
      <w:r w:rsidRPr="00B06211">
        <w:t xml:space="preserve"> 137.56 and 137.74.</w:t>
      </w:r>
      <w:proofErr w:type="gramEnd"/>
    </w:p>
  </w:endnote>
  <w:endnote w:id="28">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 137.82.</w:t>
      </w:r>
      <w:proofErr w:type="gramEnd"/>
    </w:p>
  </w:endnote>
  <w:endnote w:id="29">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w:t>
      </w:r>
      <w:r>
        <w:t>s</w:t>
      </w:r>
      <w:r w:rsidRPr="00B06211">
        <w:t xml:space="preserve"> 137.83 and 137.84.</w:t>
      </w:r>
      <w:proofErr w:type="gramEnd"/>
    </w:p>
  </w:endnote>
  <w:endnote w:id="30">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Recommendations 137.180 and 137.181.</w:t>
      </w:r>
      <w:proofErr w:type="gramEnd"/>
    </w:p>
  </w:endnote>
  <w:endnote w:id="31">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Recommendations 137.182</w:t>
      </w:r>
      <w:r>
        <w:t>,</w:t>
      </w:r>
      <w:r w:rsidRPr="00B06211">
        <w:t xml:space="preserve"> 137.185</w:t>
      </w:r>
      <w:r>
        <w:t>, 137.186,</w:t>
      </w:r>
      <w:r w:rsidRPr="00B06211">
        <w:t xml:space="preserve"> 137.187</w:t>
      </w:r>
      <w:r>
        <w:t>,</w:t>
      </w:r>
      <w:r w:rsidRPr="00B06211">
        <w:t xml:space="preserve"> 137.188 and 137.189.</w:t>
      </w:r>
      <w:proofErr w:type="gramEnd"/>
    </w:p>
  </w:endnote>
  <w:endnote w:id="32">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Recommendations 137.153</w:t>
      </w:r>
      <w:r>
        <w:t>, 137.154,</w:t>
      </w:r>
      <w:r w:rsidRPr="00B06211">
        <w:t xml:space="preserve"> 137.155</w:t>
      </w:r>
      <w:r>
        <w:t>, 137.</w:t>
      </w:r>
      <w:r w:rsidRPr="00B06211">
        <w:t>156</w:t>
      </w:r>
      <w:r>
        <w:t>, 137.166</w:t>
      </w:r>
      <w:r w:rsidRPr="00B06211">
        <w:t xml:space="preserve"> and 137.168.</w:t>
      </w:r>
      <w:proofErr w:type="gramEnd"/>
    </w:p>
  </w:endnote>
  <w:endnote w:id="33">
    <w:p w:rsidR="00B06211" w:rsidRDefault="00B06211" w:rsidP="00B06211">
      <w:pPr>
        <w:pStyle w:val="EndnoteText"/>
        <w:widowControl w:val="0"/>
        <w:tabs>
          <w:tab w:val="clear" w:pos="1021"/>
          <w:tab w:val="right" w:pos="1020"/>
        </w:tabs>
      </w:pPr>
      <w:r>
        <w:tab/>
      </w:r>
      <w:r>
        <w:rPr>
          <w:rStyle w:val="EndnoteReference"/>
        </w:rPr>
        <w:endnoteRef/>
      </w:r>
      <w:r>
        <w:tab/>
      </w:r>
      <w:proofErr w:type="gramStart"/>
      <w:r>
        <w:t>Recommendations 137.3–137.12</w:t>
      </w:r>
      <w:r w:rsidRPr="00B06211">
        <w:t xml:space="preserve"> and 137.40.</w:t>
      </w:r>
      <w:proofErr w:type="gramEnd"/>
    </w:p>
  </w:endnote>
  <w:endnote w:id="34">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Recommendations</w:t>
      </w:r>
      <w:r>
        <w:t xml:space="preserve"> 137.16–</w:t>
      </w:r>
      <w:r w:rsidRPr="00B06211">
        <w:t>137.30, 137.65 and 137.86.</w:t>
      </w:r>
      <w:proofErr w:type="gramEnd"/>
    </w:p>
  </w:endnote>
  <w:endnote w:id="35">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Recommendations 137.14, 137.41, 137.42 and 137.43.</w:t>
      </w:r>
      <w:proofErr w:type="gramEnd"/>
    </w:p>
  </w:endnote>
  <w:endnote w:id="36">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Recommendations 137.15 and 137.44.</w:t>
      </w:r>
      <w:proofErr w:type="gramEnd"/>
    </w:p>
  </w:endnote>
  <w:endnote w:id="37">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 137.31.</w:t>
      </w:r>
      <w:proofErr w:type="gramEnd"/>
    </w:p>
  </w:endnote>
  <w:endnote w:id="38">
    <w:p w:rsidR="00B06211" w:rsidRDefault="00B06211" w:rsidP="00B06211">
      <w:pPr>
        <w:pStyle w:val="EndnoteText"/>
        <w:widowControl w:val="0"/>
        <w:tabs>
          <w:tab w:val="clear" w:pos="1021"/>
          <w:tab w:val="right" w:pos="1020"/>
        </w:tabs>
      </w:pPr>
      <w:r>
        <w:tab/>
      </w:r>
      <w:r>
        <w:rPr>
          <w:rStyle w:val="EndnoteReference"/>
        </w:rPr>
        <w:endnoteRef/>
      </w:r>
      <w:r>
        <w:tab/>
      </w:r>
      <w:proofErr w:type="gramStart"/>
      <w:r>
        <w:t>Recommendations 137.32–</w:t>
      </w:r>
      <w:r w:rsidRPr="00B06211">
        <w:t>137.39.</w:t>
      </w:r>
      <w:proofErr w:type="gramEnd"/>
    </w:p>
  </w:endnote>
  <w:endnote w:id="39">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 137.46.</w:t>
      </w:r>
      <w:proofErr w:type="gramEnd"/>
    </w:p>
  </w:endnote>
  <w:endnote w:id="40">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 137.45</w:t>
      </w:r>
      <w:r>
        <w:t>.</w:t>
      </w:r>
      <w:proofErr w:type="gramEnd"/>
    </w:p>
  </w:endnote>
  <w:endnote w:id="41">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Recommendations 137.1, 137.2</w:t>
      </w:r>
      <w:r>
        <w:t xml:space="preserve"> </w:t>
      </w:r>
      <w:r w:rsidRPr="00B06211">
        <w:t>and 137.13.</w:t>
      </w:r>
      <w:proofErr w:type="gramEnd"/>
    </w:p>
  </w:endnote>
  <w:endnote w:id="42">
    <w:p w:rsidR="00B06211" w:rsidRDefault="00B06211" w:rsidP="00B06211">
      <w:pPr>
        <w:pStyle w:val="EndnoteText"/>
        <w:widowControl w:val="0"/>
        <w:tabs>
          <w:tab w:val="clear" w:pos="1021"/>
          <w:tab w:val="right" w:pos="1020"/>
        </w:tabs>
      </w:pPr>
      <w:r>
        <w:tab/>
      </w:r>
      <w:r>
        <w:rPr>
          <w:rStyle w:val="EndnoteReference"/>
        </w:rPr>
        <w:endnoteRef/>
      </w:r>
      <w:r>
        <w:tab/>
      </w:r>
      <w:proofErr w:type="gramStart"/>
      <w:r>
        <w:t>Recommendations 137.101, 137.102,</w:t>
      </w:r>
      <w:r w:rsidRPr="00B06211">
        <w:t xml:space="preserve"> 137.</w:t>
      </w:r>
      <w:r>
        <w:t>103,</w:t>
      </w:r>
      <w:r w:rsidRPr="00B06211">
        <w:t xml:space="preserve"> 137.104</w:t>
      </w:r>
      <w:r>
        <w:t>, 137.105,</w:t>
      </w:r>
      <w:r w:rsidRPr="00B06211">
        <w:t xml:space="preserve"> 137.106 and 137.107.</w:t>
      </w:r>
      <w:proofErr w:type="gramEnd"/>
    </w:p>
  </w:endnote>
  <w:endnote w:id="43">
    <w:p w:rsidR="00B06211" w:rsidRDefault="00B06211" w:rsidP="00B06211">
      <w:pPr>
        <w:pStyle w:val="EndnoteText"/>
        <w:widowControl w:val="0"/>
        <w:tabs>
          <w:tab w:val="clear" w:pos="1021"/>
          <w:tab w:val="right" w:pos="1020"/>
        </w:tabs>
      </w:pPr>
      <w:r>
        <w:tab/>
      </w:r>
      <w:r>
        <w:rPr>
          <w:rStyle w:val="EndnoteReference"/>
        </w:rPr>
        <w:endnoteRef/>
      </w:r>
      <w:r>
        <w:tab/>
      </w:r>
      <w:proofErr w:type="gramStart"/>
      <w:r w:rsidRPr="00B06211">
        <w:t>Recommendations 137.98</w:t>
      </w:r>
      <w:r>
        <w:t>, 137.99,</w:t>
      </w:r>
      <w:r w:rsidRPr="00B06211">
        <w:t xml:space="preserve"> and 137.100.</w:t>
      </w:r>
      <w:proofErr w:type="gramEnd"/>
    </w:p>
  </w:endnote>
  <w:endnote w:id="44">
    <w:p w:rsidR="00B06211" w:rsidRDefault="00B06211" w:rsidP="00B06211">
      <w:pPr>
        <w:pStyle w:val="EndnoteText"/>
        <w:widowControl w:val="0"/>
        <w:tabs>
          <w:tab w:val="clear" w:pos="1021"/>
          <w:tab w:val="right" w:pos="1020"/>
        </w:tabs>
      </w:pPr>
      <w:r>
        <w:tab/>
      </w:r>
      <w:r>
        <w:rPr>
          <w:rStyle w:val="EndnoteReference"/>
        </w:rPr>
        <w:endnoteRef/>
      </w:r>
      <w:r>
        <w:tab/>
      </w:r>
      <w:proofErr w:type="gramStart"/>
      <w:r>
        <w:t>Recommendations 137.92,</w:t>
      </w:r>
      <w:r w:rsidR="0042160B">
        <w:t xml:space="preserve"> </w:t>
      </w:r>
      <w:r w:rsidRPr="00B06211">
        <w:t>137.183 and 137.184</w:t>
      </w:r>
      <w:r>
        <w:t>.</w:t>
      </w:r>
      <w:proofErr w:type="gramEnd"/>
    </w:p>
  </w:endnote>
  <w:endnote w:id="45">
    <w:p w:rsidR="009A7E24" w:rsidRDefault="009A7E24" w:rsidP="009A7E24">
      <w:pPr>
        <w:pStyle w:val="EndnoteText"/>
        <w:widowControl w:val="0"/>
        <w:tabs>
          <w:tab w:val="clear" w:pos="1021"/>
          <w:tab w:val="right" w:pos="1020"/>
        </w:tabs>
      </w:pPr>
      <w:r>
        <w:tab/>
      </w:r>
      <w:r>
        <w:rPr>
          <w:rStyle w:val="EndnoteReference"/>
        </w:rPr>
        <w:endnoteRef/>
      </w:r>
      <w:r>
        <w:tab/>
      </w:r>
      <w:proofErr w:type="gramStart"/>
      <w:r w:rsidRPr="009A7E24">
        <w:t>Recommendations 137.57</w:t>
      </w:r>
      <w:r>
        <w:t>,</w:t>
      </w:r>
      <w:r w:rsidR="00B306A1">
        <w:t xml:space="preserve"> </w:t>
      </w:r>
      <w:r w:rsidRPr="009A7E24">
        <w:t>137.58</w:t>
      </w:r>
      <w:r>
        <w:t>,</w:t>
      </w:r>
      <w:r w:rsidRPr="009A7E24">
        <w:t xml:space="preserve"> 137.59</w:t>
      </w:r>
      <w:r>
        <w:t>, 137.60, 137.61,</w:t>
      </w:r>
      <w:r w:rsidRPr="009A7E24">
        <w:t xml:space="preserve"> 137.62</w:t>
      </w:r>
      <w:r>
        <w:t>,</w:t>
      </w:r>
      <w:r w:rsidRPr="009A7E24">
        <w:t xml:space="preserve"> 137.63</w:t>
      </w:r>
      <w:r>
        <w:t>,</w:t>
      </w:r>
      <w:r w:rsidRPr="009A7E24">
        <w:t xml:space="preserve"> 137.66</w:t>
      </w:r>
      <w:r>
        <w:t>,</w:t>
      </w:r>
      <w:r w:rsidRPr="009A7E24">
        <w:t xml:space="preserve"> 137.67</w:t>
      </w:r>
      <w:r>
        <w:t>,</w:t>
      </w:r>
      <w:r w:rsidRPr="009A7E24">
        <w:t xml:space="preserve"> 137.68</w:t>
      </w:r>
      <w:r>
        <w:t>,</w:t>
      </w:r>
      <w:r w:rsidRPr="009A7E24">
        <w:t xml:space="preserve"> 137.81 and 137.108</w:t>
      </w:r>
      <w:r>
        <w:t>–</w:t>
      </w:r>
      <w:r w:rsidRPr="009A7E24">
        <w:t>137.118.</w:t>
      </w:r>
      <w:proofErr w:type="gramEnd"/>
    </w:p>
  </w:endnote>
  <w:endnote w:id="46">
    <w:p w:rsidR="009A7E24" w:rsidRDefault="009A7E24" w:rsidP="009A7E24">
      <w:pPr>
        <w:pStyle w:val="EndnoteText"/>
        <w:widowControl w:val="0"/>
        <w:tabs>
          <w:tab w:val="clear" w:pos="1021"/>
          <w:tab w:val="right" w:pos="1020"/>
        </w:tabs>
      </w:pPr>
      <w:r>
        <w:tab/>
      </w:r>
      <w:r>
        <w:rPr>
          <w:rStyle w:val="EndnoteReference"/>
        </w:rPr>
        <w:endnoteRef/>
      </w:r>
      <w:r>
        <w:tab/>
      </w:r>
      <w:proofErr w:type="gramStart"/>
      <w:r w:rsidRPr="009A7E24">
        <w:t>Recommendations 137.133</w:t>
      </w:r>
      <w:r>
        <w:t>–</w:t>
      </w:r>
      <w:r w:rsidRPr="009A7E24">
        <w:t>137.152 and 137.170</w:t>
      </w:r>
      <w:r>
        <w:t>–</w:t>
      </w:r>
      <w:r w:rsidRPr="009A7E24">
        <w:t>137.172.</w:t>
      </w:r>
      <w:proofErr w:type="gramEnd"/>
    </w:p>
  </w:endnote>
  <w:endnote w:id="47">
    <w:p w:rsidR="009A7E24" w:rsidRDefault="009A7E24" w:rsidP="009A7E24">
      <w:pPr>
        <w:pStyle w:val="EndnoteText"/>
        <w:widowControl w:val="0"/>
        <w:tabs>
          <w:tab w:val="clear" w:pos="1021"/>
          <w:tab w:val="right" w:pos="1020"/>
        </w:tabs>
      </w:pPr>
      <w:r>
        <w:tab/>
      </w:r>
      <w:r>
        <w:rPr>
          <w:rStyle w:val="EndnoteReference"/>
        </w:rPr>
        <w:endnoteRef/>
      </w:r>
      <w:r>
        <w:tab/>
      </w:r>
      <w:proofErr w:type="gramStart"/>
      <w:r w:rsidRPr="009A7E24">
        <w:t>Recommendation 137.97.</w:t>
      </w:r>
      <w:proofErr w:type="gramEnd"/>
    </w:p>
  </w:endnote>
  <w:endnote w:id="48">
    <w:p w:rsidR="009A7E24" w:rsidRDefault="009A7E24" w:rsidP="009A7E24">
      <w:pPr>
        <w:pStyle w:val="EndnoteText"/>
        <w:widowControl w:val="0"/>
        <w:tabs>
          <w:tab w:val="clear" w:pos="1021"/>
          <w:tab w:val="right" w:pos="1020"/>
        </w:tabs>
      </w:pPr>
      <w:r>
        <w:tab/>
      </w:r>
      <w:r>
        <w:rPr>
          <w:rStyle w:val="EndnoteReference"/>
        </w:rPr>
        <w:endnoteRef/>
      </w:r>
      <w:r>
        <w:tab/>
      </w:r>
      <w:proofErr w:type="gramStart"/>
      <w:r w:rsidRPr="009A7E24">
        <w:t>Recommend</w:t>
      </w:r>
      <w:r w:rsidR="0042160B">
        <w:t>ation</w:t>
      </w:r>
      <w:r>
        <w:t>s137.157</w:t>
      </w:r>
      <w:r w:rsidR="00B306A1">
        <w:t>,</w:t>
      </w:r>
      <w:r>
        <w:t xml:space="preserve"> 137.158</w:t>
      </w:r>
      <w:r w:rsidR="00B306A1">
        <w:t xml:space="preserve"> and</w:t>
      </w:r>
      <w:r>
        <w:t xml:space="preserve"> 137.159.</w:t>
      </w:r>
      <w:proofErr w:type="gramEnd"/>
    </w:p>
  </w:endnote>
  <w:endnote w:id="49">
    <w:p w:rsidR="009A7E24" w:rsidRDefault="009A7E24" w:rsidP="009A7E24">
      <w:pPr>
        <w:pStyle w:val="EndnoteText"/>
        <w:widowControl w:val="0"/>
        <w:tabs>
          <w:tab w:val="clear" w:pos="1021"/>
          <w:tab w:val="right" w:pos="1020"/>
        </w:tabs>
      </w:pPr>
      <w:r>
        <w:tab/>
      </w:r>
      <w:r>
        <w:rPr>
          <w:rStyle w:val="EndnoteReference"/>
        </w:rPr>
        <w:endnoteRef/>
      </w:r>
      <w:r>
        <w:tab/>
      </w:r>
      <w:proofErr w:type="gramStart"/>
      <w:r w:rsidRPr="009A7E24">
        <w:t>Recommendation</w:t>
      </w:r>
      <w:r>
        <w:t>s</w:t>
      </w:r>
      <w:r w:rsidR="00B306A1">
        <w:t xml:space="preserve"> 137.</w:t>
      </w:r>
      <w:r w:rsidRPr="009A7E24">
        <w:t>210</w:t>
      </w:r>
      <w:r>
        <w:t xml:space="preserve"> and</w:t>
      </w:r>
      <w:r w:rsidRPr="009A7E24">
        <w:t xml:space="preserve"> 137.211</w:t>
      </w:r>
      <w:r>
        <w:t>.</w:t>
      </w:r>
      <w:proofErr w:type="gramEnd"/>
    </w:p>
  </w:endnote>
  <w:endnote w:id="50">
    <w:p w:rsidR="009A7E24" w:rsidRDefault="009A7E24" w:rsidP="009A7E24">
      <w:pPr>
        <w:pStyle w:val="EndnoteText"/>
        <w:widowControl w:val="0"/>
        <w:tabs>
          <w:tab w:val="clear" w:pos="1021"/>
          <w:tab w:val="right" w:pos="1020"/>
        </w:tabs>
      </w:pPr>
      <w:r>
        <w:tab/>
      </w:r>
      <w:r>
        <w:rPr>
          <w:rStyle w:val="EndnoteReference"/>
        </w:rPr>
        <w:endnoteRef/>
      </w:r>
      <w:r>
        <w:tab/>
      </w:r>
      <w:proofErr w:type="gramStart"/>
      <w:r w:rsidR="00B306A1">
        <w:t>Recommendation 137.</w:t>
      </w:r>
      <w:r w:rsidRPr="009A7E24">
        <w:t>85</w:t>
      </w:r>
      <w:r>
        <w:t>.</w:t>
      </w:r>
      <w:proofErr w:type="gramEnd"/>
    </w:p>
  </w:endnote>
  <w:endnote w:id="51">
    <w:p w:rsidR="009A7E24" w:rsidRDefault="009A7E24" w:rsidP="009A7E24">
      <w:pPr>
        <w:pStyle w:val="EndnoteText"/>
        <w:widowControl w:val="0"/>
        <w:tabs>
          <w:tab w:val="clear" w:pos="1021"/>
          <w:tab w:val="right" w:pos="1020"/>
        </w:tabs>
      </w:pPr>
      <w:r>
        <w:tab/>
      </w:r>
      <w:r>
        <w:rPr>
          <w:rStyle w:val="EndnoteReference"/>
        </w:rPr>
        <w:endnoteRef/>
      </w:r>
      <w:r>
        <w:tab/>
      </w:r>
      <w:proofErr w:type="gramStart"/>
      <w:r w:rsidRPr="009A7E24">
        <w:t>Recommendation 137.119</w:t>
      </w:r>
      <w:r>
        <w:t>.</w:t>
      </w:r>
      <w:proofErr w:type="gramEnd"/>
    </w:p>
    <w:p w:rsidR="009A7E24" w:rsidRPr="009A7E24" w:rsidRDefault="009A7E24" w:rsidP="009A7E24">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8D" w:rsidRPr="00CC46D5" w:rsidRDefault="0049198D" w:rsidP="00CC46D5">
    <w:pPr>
      <w:pStyle w:val="Footer"/>
      <w:tabs>
        <w:tab w:val="right" w:pos="9638"/>
      </w:tabs>
    </w:pPr>
    <w:r w:rsidRPr="00CC46D5">
      <w:rPr>
        <w:b/>
        <w:sz w:val="18"/>
      </w:rPr>
      <w:fldChar w:fldCharType="begin"/>
    </w:r>
    <w:r w:rsidRPr="00CC46D5">
      <w:rPr>
        <w:b/>
        <w:sz w:val="18"/>
      </w:rPr>
      <w:instrText xml:space="preserve"> PAGE  \* MERGEFORMAT </w:instrText>
    </w:r>
    <w:r w:rsidRPr="00CC46D5">
      <w:rPr>
        <w:b/>
        <w:sz w:val="18"/>
      </w:rPr>
      <w:fldChar w:fldCharType="separate"/>
    </w:r>
    <w:r w:rsidR="00FA13DD">
      <w:rPr>
        <w:b/>
        <w:noProof/>
        <w:sz w:val="18"/>
      </w:rPr>
      <w:t>10</w:t>
    </w:r>
    <w:r w:rsidRPr="00CC46D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8D" w:rsidRPr="00CC46D5" w:rsidRDefault="0049198D" w:rsidP="00CC46D5">
    <w:pPr>
      <w:pStyle w:val="Footer"/>
      <w:tabs>
        <w:tab w:val="right" w:pos="9638"/>
      </w:tabs>
      <w:rPr>
        <w:b/>
        <w:sz w:val="18"/>
      </w:rPr>
    </w:pPr>
    <w:r>
      <w:tab/>
    </w:r>
    <w:r w:rsidRPr="00CC46D5">
      <w:rPr>
        <w:b/>
        <w:sz w:val="18"/>
      </w:rPr>
      <w:fldChar w:fldCharType="begin"/>
    </w:r>
    <w:r w:rsidRPr="00CC46D5">
      <w:rPr>
        <w:b/>
        <w:sz w:val="18"/>
      </w:rPr>
      <w:instrText xml:space="preserve"> PAGE  \* MERGEFORMAT </w:instrText>
    </w:r>
    <w:r w:rsidRPr="00CC46D5">
      <w:rPr>
        <w:b/>
        <w:sz w:val="18"/>
      </w:rPr>
      <w:fldChar w:fldCharType="separate"/>
    </w:r>
    <w:r w:rsidR="00FA13DD">
      <w:rPr>
        <w:b/>
        <w:noProof/>
        <w:sz w:val="18"/>
      </w:rPr>
      <w:t>9</w:t>
    </w:r>
    <w:r w:rsidRPr="00CC46D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8D" w:rsidRPr="00CC46D5" w:rsidRDefault="00FA13DD" w:rsidP="0054257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5.4pt;margin-top:-6.25pt;width:73.25pt;height:18.15pt;z-index:251657728">
          <v:imagedata r:id="rId1" o:title="recycle_English"/>
          <w10:anchorlock/>
        </v:shape>
      </w:pict>
    </w:r>
    <w:r w:rsidR="0049198D">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98D" w:rsidRPr="000B175B" w:rsidRDefault="0049198D" w:rsidP="000B175B">
      <w:pPr>
        <w:tabs>
          <w:tab w:val="right" w:pos="2155"/>
        </w:tabs>
        <w:spacing w:after="80"/>
        <w:ind w:left="680"/>
        <w:rPr>
          <w:u w:val="single"/>
        </w:rPr>
      </w:pPr>
      <w:r>
        <w:rPr>
          <w:u w:val="single"/>
        </w:rPr>
        <w:tab/>
      </w:r>
    </w:p>
  </w:footnote>
  <w:footnote w:type="continuationSeparator" w:id="0">
    <w:p w:rsidR="0049198D" w:rsidRPr="00FC68B7" w:rsidRDefault="0049198D" w:rsidP="00FC68B7">
      <w:pPr>
        <w:tabs>
          <w:tab w:val="left" w:pos="2155"/>
        </w:tabs>
        <w:spacing w:after="80"/>
        <w:ind w:left="680"/>
        <w:rPr>
          <w:u w:val="single"/>
        </w:rPr>
      </w:pPr>
      <w:r>
        <w:rPr>
          <w:u w:val="single"/>
        </w:rPr>
        <w:tab/>
      </w:r>
    </w:p>
  </w:footnote>
  <w:footnote w:type="continuationNotice" w:id="1">
    <w:p w:rsidR="0049198D" w:rsidRDefault="0049198D"/>
  </w:footnote>
  <w:footnote w:id="2">
    <w:p w:rsidR="0049198D" w:rsidRDefault="0049198D" w:rsidP="00CC46D5">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8D" w:rsidRPr="00CC46D5" w:rsidRDefault="0049198D">
    <w:pPr>
      <w:pStyle w:val="Header"/>
    </w:pPr>
    <w:r>
      <w:t>A/HRC/32/4/Add.1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8D" w:rsidRPr="00CC46D5" w:rsidRDefault="0049198D" w:rsidP="00CC46D5">
    <w:pPr>
      <w:pStyle w:val="Header"/>
      <w:jc w:val="right"/>
    </w:pPr>
    <w:r>
      <w:t>A/HRC/32/4/Add.1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CA04CF"/>
    <w:multiLevelType w:val="hybridMultilevel"/>
    <w:tmpl w:val="7B644188"/>
    <w:lvl w:ilvl="0" w:tplc="978A05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867C68"/>
    <w:multiLevelType w:val="hybridMultilevel"/>
    <w:tmpl w:val="F428486A"/>
    <w:lvl w:ilvl="0" w:tplc="39700D1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nsid w:val="53454513"/>
    <w:multiLevelType w:val="hybridMultilevel"/>
    <w:tmpl w:val="623860A4"/>
    <w:lvl w:ilvl="0" w:tplc="0E0C5FA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nsid w:val="575A54B0"/>
    <w:multiLevelType w:val="multilevel"/>
    <w:tmpl w:val="7A6613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7E247DF2"/>
    <w:multiLevelType w:val="hybridMultilevel"/>
    <w:tmpl w:val="DCB4A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2"/>
  </w:num>
  <w:num w:numId="5">
    <w:abstractNumId w:val="0"/>
  </w:num>
  <w:num w:numId="6">
    <w:abstractNumId w:val="1"/>
  </w:num>
  <w:num w:numId="7">
    <w:abstractNumId w:val="9"/>
  </w:num>
  <w:num w:numId="8">
    <w:abstractNumId w:val="8"/>
  </w:num>
  <w:num w:numId="9">
    <w:abstractNumId w:val="6"/>
  </w:num>
  <w:num w:numId="10">
    <w:abstractNumId w:val="4"/>
  </w:num>
  <w:num w:numId="11">
    <w:abstractNumId w:val="7"/>
  </w:num>
  <w:num w:numId="1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6D5"/>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C21F0"/>
    <w:rsid w:val="003107FA"/>
    <w:rsid w:val="00317977"/>
    <w:rsid w:val="003229D8"/>
    <w:rsid w:val="003314D1"/>
    <w:rsid w:val="00335A2F"/>
    <w:rsid w:val="00341937"/>
    <w:rsid w:val="0039277A"/>
    <w:rsid w:val="003972E0"/>
    <w:rsid w:val="003975ED"/>
    <w:rsid w:val="003C2CC4"/>
    <w:rsid w:val="003D4B23"/>
    <w:rsid w:val="0042160B"/>
    <w:rsid w:val="00424C80"/>
    <w:rsid w:val="004325CB"/>
    <w:rsid w:val="0044503A"/>
    <w:rsid w:val="00446DE4"/>
    <w:rsid w:val="00447761"/>
    <w:rsid w:val="00451EC3"/>
    <w:rsid w:val="004721B1"/>
    <w:rsid w:val="004859EC"/>
    <w:rsid w:val="0049198D"/>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385E"/>
    <w:rsid w:val="006176FB"/>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75522"/>
    <w:rsid w:val="007A6296"/>
    <w:rsid w:val="007B6BA5"/>
    <w:rsid w:val="007C1B62"/>
    <w:rsid w:val="007C3390"/>
    <w:rsid w:val="007C4F4B"/>
    <w:rsid w:val="007D0654"/>
    <w:rsid w:val="007D2CDC"/>
    <w:rsid w:val="007D5327"/>
    <w:rsid w:val="007F6611"/>
    <w:rsid w:val="008155C3"/>
    <w:rsid w:val="008175E9"/>
    <w:rsid w:val="0082243E"/>
    <w:rsid w:val="008242D7"/>
    <w:rsid w:val="00856CD2"/>
    <w:rsid w:val="00861BC6"/>
    <w:rsid w:val="00871FD5"/>
    <w:rsid w:val="00872018"/>
    <w:rsid w:val="00896F80"/>
    <w:rsid w:val="008979B1"/>
    <w:rsid w:val="008A6B25"/>
    <w:rsid w:val="008A6C4F"/>
    <w:rsid w:val="008B6608"/>
    <w:rsid w:val="008C1E4D"/>
    <w:rsid w:val="008E0E46"/>
    <w:rsid w:val="0090452C"/>
    <w:rsid w:val="00907C3F"/>
    <w:rsid w:val="0092237C"/>
    <w:rsid w:val="0093707B"/>
    <w:rsid w:val="009400EB"/>
    <w:rsid w:val="009427E3"/>
    <w:rsid w:val="00956D9B"/>
    <w:rsid w:val="00963CBA"/>
    <w:rsid w:val="009654B7"/>
    <w:rsid w:val="00991261"/>
    <w:rsid w:val="009A0B83"/>
    <w:rsid w:val="009A7E24"/>
    <w:rsid w:val="009B3800"/>
    <w:rsid w:val="009D22AC"/>
    <w:rsid w:val="009D50DB"/>
    <w:rsid w:val="009E1C4E"/>
    <w:rsid w:val="00A05E0B"/>
    <w:rsid w:val="00A1427D"/>
    <w:rsid w:val="00A4634F"/>
    <w:rsid w:val="00A51CF3"/>
    <w:rsid w:val="00A72F22"/>
    <w:rsid w:val="00A748A6"/>
    <w:rsid w:val="00A879A4"/>
    <w:rsid w:val="00A87E95"/>
    <w:rsid w:val="00A92E29"/>
    <w:rsid w:val="00AD09E9"/>
    <w:rsid w:val="00AF0576"/>
    <w:rsid w:val="00AF3829"/>
    <w:rsid w:val="00B037F0"/>
    <w:rsid w:val="00B06211"/>
    <w:rsid w:val="00B12B80"/>
    <w:rsid w:val="00B2327D"/>
    <w:rsid w:val="00B2718F"/>
    <w:rsid w:val="00B30179"/>
    <w:rsid w:val="00B306A1"/>
    <w:rsid w:val="00B3317B"/>
    <w:rsid w:val="00B334DC"/>
    <w:rsid w:val="00B3631A"/>
    <w:rsid w:val="00B53013"/>
    <w:rsid w:val="00B67F5E"/>
    <w:rsid w:val="00B73E65"/>
    <w:rsid w:val="00B81E12"/>
    <w:rsid w:val="00B87110"/>
    <w:rsid w:val="00B97FA8"/>
    <w:rsid w:val="00BC1385"/>
    <w:rsid w:val="00BC74E9"/>
    <w:rsid w:val="00BE618E"/>
    <w:rsid w:val="00C24693"/>
    <w:rsid w:val="00C32D76"/>
    <w:rsid w:val="00C35F0B"/>
    <w:rsid w:val="00C463DD"/>
    <w:rsid w:val="00C64458"/>
    <w:rsid w:val="00C745C3"/>
    <w:rsid w:val="00CA2A58"/>
    <w:rsid w:val="00CC0B55"/>
    <w:rsid w:val="00CC46D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3EC0"/>
    <w:rsid w:val="00E11593"/>
    <w:rsid w:val="00E12B6B"/>
    <w:rsid w:val="00E130AB"/>
    <w:rsid w:val="00E438D9"/>
    <w:rsid w:val="00E5644E"/>
    <w:rsid w:val="00E7260F"/>
    <w:rsid w:val="00E806EE"/>
    <w:rsid w:val="00E96630"/>
    <w:rsid w:val="00E96971"/>
    <w:rsid w:val="00EB0FB9"/>
    <w:rsid w:val="00ED0CA9"/>
    <w:rsid w:val="00ED7A2A"/>
    <w:rsid w:val="00EF1D7F"/>
    <w:rsid w:val="00EF5BDB"/>
    <w:rsid w:val="00F07FD9"/>
    <w:rsid w:val="00F23933"/>
    <w:rsid w:val="00F24119"/>
    <w:rsid w:val="00F40E75"/>
    <w:rsid w:val="00F42CD9"/>
    <w:rsid w:val="00F52936"/>
    <w:rsid w:val="00F677CB"/>
    <w:rsid w:val="00FA13DD"/>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CC46D5"/>
    <w:rPr>
      <w:sz w:val="18"/>
      <w:lang w:eastAsia="en-US"/>
    </w:rPr>
  </w:style>
  <w:style w:type="paragraph" w:styleId="BalloonText">
    <w:name w:val="Balloon Text"/>
    <w:basedOn w:val="Normal"/>
    <w:link w:val="BalloonTextChar"/>
    <w:rsid w:val="0087201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7201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AA94CE-BED0-4461-B473-230F3D2C632B}"/>
</file>

<file path=customXml/itemProps2.xml><?xml version="1.0" encoding="utf-8"?>
<ds:datastoreItem xmlns:ds="http://schemas.openxmlformats.org/officeDocument/2006/customXml" ds:itemID="{6D9BF5AF-5FF2-4EBC-B1C5-6360541CDC12}"/>
</file>

<file path=customXml/itemProps3.xml><?xml version="1.0" encoding="utf-8"?>
<ds:datastoreItem xmlns:ds="http://schemas.openxmlformats.org/officeDocument/2006/customXml" ds:itemID="{8156492C-4D22-48E0-946B-D4FDF5D27AA2}"/>
</file>

<file path=docProps/app.xml><?xml version="1.0" encoding="utf-8"?>
<Properties xmlns="http://schemas.openxmlformats.org/officeDocument/2006/extended-properties" xmlns:vt="http://schemas.openxmlformats.org/officeDocument/2006/docPropsVTypes">
  <Template>A_E.dotm</Template>
  <TotalTime>1</TotalTime>
  <Pages>10</Pages>
  <Words>1867</Words>
  <Characters>10646</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on conclusions and/or recommendations, voluntary commitments and replies presented by Namibia in English</dc:title>
  <dc:creator>Sumiko IHARA</dc:creator>
  <cp:lastModifiedBy>Sumiko IHARA</cp:lastModifiedBy>
  <cp:revision>3</cp:revision>
  <cp:lastPrinted>2016-06-13T08:55:00Z</cp:lastPrinted>
  <dcterms:created xsi:type="dcterms:W3CDTF">2016-06-16T10:09:00Z</dcterms:created>
  <dcterms:modified xsi:type="dcterms:W3CDTF">2016-06-16T10:10:00Z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