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63142" w:rsidRPr="0042483C" w14:paraId="404AC404" w14:textId="77777777" w:rsidTr="00AA5D99">
        <w:trPr>
          <w:trHeight w:val="851"/>
        </w:trPr>
        <w:tc>
          <w:tcPr>
            <w:tcW w:w="1259" w:type="dxa"/>
            <w:tcBorders>
              <w:top w:val="nil"/>
              <w:left w:val="nil"/>
              <w:bottom w:val="single" w:sz="4" w:space="0" w:color="auto"/>
              <w:right w:val="nil"/>
            </w:tcBorders>
          </w:tcPr>
          <w:p w14:paraId="68DBBEC3" w14:textId="77777777" w:rsidR="00F63142" w:rsidRPr="002E12D4" w:rsidRDefault="00F63142" w:rsidP="00777346">
            <w:pPr>
              <w:pStyle w:val="SingleTxtG"/>
            </w:pPr>
          </w:p>
        </w:tc>
        <w:tc>
          <w:tcPr>
            <w:tcW w:w="2236" w:type="dxa"/>
            <w:tcBorders>
              <w:top w:val="nil"/>
              <w:left w:val="nil"/>
              <w:bottom w:val="single" w:sz="4" w:space="0" w:color="auto"/>
              <w:right w:val="nil"/>
            </w:tcBorders>
            <w:vAlign w:val="bottom"/>
          </w:tcPr>
          <w:p w14:paraId="51322A23" w14:textId="6B3151F6" w:rsidR="00F63142" w:rsidRPr="0042483C" w:rsidRDefault="00F63142" w:rsidP="00AA5D99">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C875EC1" w14:textId="77777777" w:rsidR="00F63142" w:rsidRPr="0042483C" w:rsidRDefault="00F63142" w:rsidP="00AA5D99">
            <w:pPr>
              <w:jc w:val="right"/>
            </w:pPr>
            <w:r w:rsidRPr="0042483C">
              <w:rPr>
                <w:sz w:val="40"/>
              </w:rPr>
              <w:t>A</w:t>
            </w:r>
            <w:r w:rsidRPr="0042483C">
              <w:t>/HRC/33/41/Add.2</w:t>
            </w:r>
          </w:p>
        </w:tc>
      </w:tr>
      <w:tr w:rsidR="00F63142" w:rsidRPr="000249AD" w14:paraId="301D59A4" w14:textId="77777777" w:rsidTr="00AA5D99">
        <w:trPr>
          <w:trHeight w:val="2835"/>
        </w:trPr>
        <w:tc>
          <w:tcPr>
            <w:tcW w:w="1259" w:type="dxa"/>
            <w:tcBorders>
              <w:top w:val="single" w:sz="4" w:space="0" w:color="auto"/>
              <w:left w:val="nil"/>
              <w:bottom w:val="single" w:sz="12" w:space="0" w:color="auto"/>
              <w:right w:val="nil"/>
            </w:tcBorders>
          </w:tcPr>
          <w:p w14:paraId="0F4EA63F" w14:textId="2300A7C7" w:rsidR="00F63142" w:rsidRPr="0042483C" w:rsidRDefault="00F63142" w:rsidP="00AA5D99">
            <w:pPr>
              <w:spacing w:before="120"/>
              <w:jc w:val="center"/>
            </w:pPr>
          </w:p>
        </w:tc>
        <w:tc>
          <w:tcPr>
            <w:tcW w:w="5450" w:type="dxa"/>
            <w:gridSpan w:val="2"/>
            <w:tcBorders>
              <w:top w:val="single" w:sz="4" w:space="0" w:color="auto"/>
              <w:left w:val="nil"/>
              <w:bottom w:val="single" w:sz="12" w:space="0" w:color="auto"/>
              <w:right w:val="nil"/>
            </w:tcBorders>
          </w:tcPr>
          <w:p w14:paraId="4E0DB53A" w14:textId="5E222DF2" w:rsidR="00F63142" w:rsidRPr="0042483C" w:rsidRDefault="00B478D9" w:rsidP="00AA5D99">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14:paraId="7EEE48C2" w14:textId="77777777" w:rsidR="00F63142" w:rsidRPr="0042483C" w:rsidRDefault="00F63142" w:rsidP="00AA5D99">
            <w:pPr>
              <w:spacing w:before="240" w:line="240" w:lineRule="exact"/>
            </w:pPr>
            <w:r w:rsidRPr="0042483C">
              <w:t>Distr.: General</w:t>
            </w:r>
          </w:p>
          <w:p w14:paraId="166A40C0" w14:textId="06E0A60C" w:rsidR="00F63142" w:rsidRPr="000249AD" w:rsidRDefault="00545E98" w:rsidP="00AA5D99">
            <w:pPr>
              <w:spacing w:line="240" w:lineRule="exact"/>
            </w:pPr>
            <w:r>
              <w:t>14</w:t>
            </w:r>
            <w:r w:rsidR="00CC15A1" w:rsidRPr="00AE7004">
              <w:t xml:space="preserve"> </w:t>
            </w:r>
            <w:r w:rsidR="00777346" w:rsidRPr="00AE7004">
              <w:t xml:space="preserve">September </w:t>
            </w:r>
            <w:r w:rsidR="00F63142" w:rsidRPr="00AE7004">
              <w:t>2016</w:t>
            </w:r>
          </w:p>
          <w:p w14:paraId="0542CC69" w14:textId="77777777" w:rsidR="00F63142" w:rsidRPr="000249AD" w:rsidRDefault="00F63142" w:rsidP="00AA5D99">
            <w:pPr>
              <w:spacing w:line="240" w:lineRule="exact"/>
            </w:pPr>
          </w:p>
          <w:p w14:paraId="6EA896A2" w14:textId="77777777" w:rsidR="00F63142" w:rsidRPr="000249AD" w:rsidRDefault="00F63142" w:rsidP="00AA5D99">
            <w:pPr>
              <w:spacing w:line="240" w:lineRule="exact"/>
            </w:pPr>
            <w:r w:rsidRPr="000249AD">
              <w:t>Original: English</w:t>
            </w:r>
          </w:p>
          <w:p w14:paraId="196E1B63" w14:textId="77777777" w:rsidR="00F63142" w:rsidRPr="000249AD" w:rsidRDefault="00F63142" w:rsidP="007F04B5">
            <w:pPr>
              <w:spacing w:line="240" w:lineRule="exact"/>
            </w:pPr>
          </w:p>
        </w:tc>
      </w:tr>
    </w:tbl>
    <w:p w14:paraId="7104B6A7" w14:textId="77777777" w:rsidR="00F63142" w:rsidRPr="000249AD" w:rsidRDefault="00F63142" w:rsidP="00F63142">
      <w:pPr>
        <w:spacing w:before="120"/>
        <w:rPr>
          <w:b/>
          <w:bCs/>
          <w:sz w:val="24"/>
          <w:szCs w:val="24"/>
        </w:rPr>
      </w:pPr>
      <w:r w:rsidRPr="000249AD">
        <w:rPr>
          <w:b/>
          <w:bCs/>
          <w:sz w:val="24"/>
          <w:szCs w:val="24"/>
        </w:rPr>
        <w:t>Human Rights Council</w:t>
      </w:r>
    </w:p>
    <w:p w14:paraId="5CE008D8" w14:textId="77777777" w:rsidR="00F63142" w:rsidRPr="000249AD" w:rsidRDefault="00F63142" w:rsidP="00F63142">
      <w:pPr>
        <w:spacing w:line="0" w:lineRule="atLeast"/>
        <w:outlineLvl w:val="0"/>
        <w:rPr>
          <w:b/>
          <w:bCs/>
        </w:rPr>
      </w:pPr>
      <w:r w:rsidRPr="000249AD">
        <w:rPr>
          <w:b/>
          <w:bCs/>
        </w:rPr>
        <w:t xml:space="preserve">Thirty-third </w:t>
      </w:r>
      <w:proofErr w:type="gramStart"/>
      <w:r w:rsidRPr="000249AD">
        <w:rPr>
          <w:b/>
          <w:bCs/>
        </w:rPr>
        <w:t>session</w:t>
      </w:r>
      <w:proofErr w:type="gramEnd"/>
    </w:p>
    <w:p w14:paraId="19C04121" w14:textId="77777777" w:rsidR="00F63142" w:rsidRPr="000249AD" w:rsidRDefault="00F63142" w:rsidP="00F63142">
      <w:pPr>
        <w:spacing w:line="0" w:lineRule="atLeast"/>
        <w:outlineLvl w:val="0"/>
      </w:pPr>
      <w:r w:rsidRPr="000249AD">
        <w:t>Agenda item 3</w:t>
      </w:r>
    </w:p>
    <w:p w14:paraId="7F8F4FB9" w14:textId="77777777" w:rsidR="00F63142" w:rsidRPr="000249AD" w:rsidRDefault="00F63142" w:rsidP="00F63142">
      <w:pPr>
        <w:rPr>
          <w:b/>
          <w:bCs/>
          <w:lang w:val="en-US"/>
        </w:rPr>
      </w:pPr>
      <w:r w:rsidRPr="000249AD">
        <w:rPr>
          <w:b/>
          <w:bCs/>
          <w:lang w:val="en-US"/>
        </w:rPr>
        <w:t xml:space="preserve">Promotion and protection of all human rights, civil, </w:t>
      </w:r>
      <w:r w:rsidRPr="000249AD">
        <w:rPr>
          <w:b/>
          <w:bCs/>
          <w:lang w:val="en-US"/>
        </w:rPr>
        <w:br/>
        <w:t xml:space="preserve">political, economic, social and cultural rights, </w:t>
      </w:r>
      <w:r w:rsidRPr="000249AD">
        <w:rPr>
          <w:b/>
          <w:bCs/>
          <w:lang w:val="en-US"/>
        </w:rPr>
        <w:br/>
        <w:t>including the right to development</w:t>
      </w:r>
    </w:p>
    <w:p w14:paraId="37F26A03" w14:textId="15E39C34" w:rsidR="00F63142" w:rsidRPr="00545E98" w:rsidRDefault="00F63142" w:rsidP="00545E98">
      <w:pPr>
        <w:pStyle w:val="HChG"/>
      </w:pPr>
      <w:r w:rsidRPr="00545E98">
        <w:tab/>
      </w:r>
      <w:r w:rsidRPr="00545E98">
        <w:tab/>
        <w:t xml:space="preserve">Report of the Special Rapporteur on the implications for human rights of the environmentally sound management and disposal of hazardous substances and wastes on </w:t>
      </w:r>
      <w:r w:rsidR="00797C99" w:rsidRPr="00545E98">
        <w:t xml:space="preserve">his </w:t>
      </w:r>
      <w:r w:rsidRPr="00545E98">
        <w:t>mission to Germany</w:t>
      </w:r>
      <w:r w:rsidR="00545E98" w:rsidRPr="00545E98">
        <w:rPr>
          <w:rStyle w:val="FootnoteReference"/>
          <w:sz w:val="28"/>
        </w:rPr>
        <w:footnoteReference w:customMarkFollows="1" w:id="2"/>
        <w:t>*</w:t>
      </w:r>
    </w:p>
    <w:p w14:paraId="69D9CE07" w14:textId="77777777" w:rsidR="00F63142" w:rsidRPr="000249AD" w:rsidRDefault="00F63142" w:rsidP="00F63142">
      <w:pPr>
        <w:pStyle w:val="H1G"/>
      </w:pPr>
      <w:r w:rsidRPr="000249AD">
        <w:tab/>
      </w:r>
      <w:r w:rsidRPr="000249AD">
        <w:tab/>
        <w:t>Note by the Secretariat</w:t>
      </w:r>
    </w:p>
    <w:p w14:paraId="63C1D3AF" w14:textId="5945D0E4" w:rsidR="00F63142" w:rsidRPr="000249AD" w:rsidRDefault="00F63142" w:rsidP="00F63142">
      <w:pPr>
        <w:pStyle w:val="SingleTxtG"/>
        <w:ind w:firstLine="567"/>
        <w:rPr>
          <w:lang w:eastAsia="nl-NL"/>
        </w:rPr>
      </w:pPr>
      <w:r w:rsidRPr="000249AD">
        <w:rPr>
          <w:lang w:eastAsia="nl-NL"/>
        </w:rPr>
        <w:t xml:space="preserve">In the present report, submitted pursuant to Human Rights Council resolution 27/23, the Special Rapporteur shares his findings and recommendations </w:t>
      </w:r>
      <w:r w:rsidR="002F0504" w:rsidRPr="000249AD">
        <w:rPr>
          <w:lang w:eastAsia="nl-NL"/>
        </w:rPr>
        <w:t>from</w:t>
      </w:r>
      <w:r w:rsidRPr="000249AD">
        <w:rPr>
          <w:lang w:eastAsia="nl-NL"/>
        </w:rPr>
        <w:t xml:space="preserve"> his visit to Germany.</w:t>
      </w:r>
    </w:p>
    <w:p w14:paraId="1DE2C50E" w14:textId="77777777" w:rsidR="00F63142" w:rsidRPr="000249AD" w:rsidRDefault="00F63142" w:rsidP="00F63142">
      <w:pPr>
        <w:pStyle w:val="SingleTxtG"/>
        <w:ind w:firstLine="567"/>
        <w:rPr>
          <w:lang w:eastAsia="nl-NL"/>
        </w:rPr>
      </w:pPr>
      <w:r w:rsidRPr="000249AD">
        <w:rPr>
          <w:lang w:eastAsia="nl-NL"/>
        </w:rPr>
        <w:br w:type="page"/>
      </w:r>
    </w:p>
    <w:p w14:paraId="1FAE73D1" w14:textId="0C0C9A1F" w:rsidR="00F63142" w:rsidRPr="00545E98" w:rsidRDefault="00F63142" w:rsidP="00545E98">
      <w:pPr>
        <w:pStyle w:val="HChG"/>
      </w:pPr>
      <w:r w:rsidRPr="00545E98">
        <w:lastRenderedPageBreak/>
        <w:tab/>
      </w:r>
      <w:r w:rsidRPr="00545E98">
        <w:tab/>
        <w:t xml:space="preserve">Report of the Special Rapporteur on the implications for human rights of the environmentally sound management and disposal of hazardous substances and wastes on </w:t>
      </w:r>
      <w:r w:rsidR="00797C99" w:rsidRPr="00545E98">
        <w:t xml:space="preserve">his </w:t>
      </w:r>
      <w:r w:rsidRPr="00545E98">
        <w:t>mission to Germany</w:t>
      </w:r>
      <w:r w:rsidR="00545E98" w:rsidRPr="00545E98">
        <w:rPr>
          <w:rStyle w:val="FootnoteReference"/>
          <w:sz w:val="28"/>
        </w:rPr>
        <w:footnoteReference w:customMarkFollows="1" w:id="3"/>
        <w:t>**</w:t>
      </w:r>
    </w:p>
    <w:p w14:paraId="029DE894" w14:textId="77777777" w:rsidR="00F63142" w:rsidRPr="000249AD" w:rsidRDefault="00F63142" w:rsidP="00F63142">
      <w:pPr>
        <w:spacing w:after="120"/>
        <w:outlineLvl w:val="0"/>
        <w:rPr>
          <w:i/>
          <w:sz w:val="18"/>
        </w:rPr>
      </w:pPr>
      <w:r w:rsidRPr="000249AD">
        <w:rPr>
          <w:sz w:val="28"/>
        </w:rPr>
        <w:t>Contents</w:t>
      </w:r>
    </w:p>
    <w:p w14:paraId="7EF02C76" w14:textId="77777777" w:rsidR="00F63142" w:rsidRPr="000249AD" w:rsidRDefault="00F63142" w:rsidP="00F63142">
      <w:pPr>
        <w:tabs>
          <w:tab w:val="right" w:pos="8929"/>
          <w:tab w:val="right" w:pos="9638"/>
        </w:tabs>
        <w:spacing w:after="120"/>
        <w:ind w:left="283"/>
      </w:pPr>
      <w:r w:rsidRPr="000249AD">
        <w:rPr>
          <w:i/>
          <w:sz w:val="18"/>
        </w:rPr>
        <w:tab/>
      </w:r>
      <w:r w:rsidRPr="000249AD">
        <w:rPr>
          <w:i/>
          <w:sz w:val="18"/>
        </w:rPr>
        <w:tab/>
        <w:t>Page</w:t>
      </w:r>
    </w:p>
    <w:p w14:paraId="5EE69BA3" w14:textId="135292E1"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t>I.</w:t>
      </w:r>
      <w:r w:rsidRPr="000249AD">
        <w:tab/>
        <w:t>Introduction</w:t>
      </w:r>
      <w:r w:rsidRPr="000249AD">
        <w:tab/>
      </w:r>
      <w:r w:rsidRPr="000249AD">
        <w:tab/>
      </w:r>
      <w:r w:rsidR="00F9262C" w:rsidRPr="000249AD">
        <w:t>3</w:t>
      </w:r>
    </w:p>
    <w:p w14:paraId="4FED94DB" w14:textId="5F48FA4F"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t>II.</w:t>
      </w:r>
      <w:r w:rsidRPr="000249AD">
        <w:tab/>
        <w:t>Comments on the legal framework and its implementation</w:t>
      </w:r>
      <w:r w:rsidRPr="000249AD">
        <w:tab/>
      </w:r>
      <w:r w:rsidRPr="000249AD">
        <w:tab/>
      </w:r>
      <w:r w:rsidR="00F9262C" w:rsidRPr="000249AD">
        <w:t>3</w:t>
      </w:r>
    </w:p>
    <w:p w14:paraId="68746AD3" w14:textId="090770A1"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A.</w:t>
      </w:r>
      <w:r w:rsidRPr="000249AD">
        <w:tab/>
        <w:t>Industrial chemicals</w:t>
      </w:r>
      <w:r w:rsidRPr="000249AD">
        <w:tab/>
      </w:r>
      <w:r w:rsidRPr="000249AD">
        <w:tab/>
      </w:r>
      <w:r w:rsidR="00F9262C" w:rsidRPr="000249AD">
        <w:t>4</w:t>
      </w:r>
    </w:p>
    <w:p w14:paraId="5533159D" w14:textId="43DA7401"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B.</w:t>
      </w:r>
      <w:r w:rsidRPr="000249AD">
        <w:tab/>
        <w:t>Pesticides</w:t>
      </w:r>
      <w:r w:rsidRPr="000249AD">
        <w:tab/>
      </w:r>
      <w:r w:rsidRPr="000249AD">
        <w:tab/>
      </w:r>
      <w:r w:rsidR="00354E43" w:rsidRPr="000249AD">
        <w:t>7</w:t>
      </w:r>
    </w:p>
    <w:p w14:paraId="23D116A2" w14:textId="2EA13344"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C.</w:t>
      </w:r>
      <w:r w:rsidRPr="000249AD">
        <w:tab/>
        <w:t>Energy production</w:t>
      </w:r>
      <w:r w:rsidRPr="000249AD">
        <w:tab/>
      </w:r>
      <w:r w:rsidRPr="000249AD">
        <w:tab/>
      </w:r>
      <w:r w:rsidR="00354E43" w:rsidRPr="000249AD">
        <w:t>8</w:t>
      </w:r>
    </w:p>
    <w:p w14:paraId="275DFC3A" w14:textId="09B75CA7"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D.</w:t>
      </w:r>
      <w:r w:rsidRPr="000249AD">
        <w:tab/>
        <w:t>Waste management</w:t>
      </w:r>
      <w:r w:rsidRPr="000249AD">
        <w:tab/>
      </w:r>
      <w:r w:rsidRPr="000249AD">
        <w:tab/>
      </w:r>
      <w:r w:rsidR="00354E43" w:rsidRPr="000249AD">
        <w:t>9</w:t>
      </w:r>
    </w:p>
    <w:p w14:paraId="5BA1F976" w14:textId="5A6A19DB"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E.</w:t>
      </w:r>
      <w:r w:rsidRPr="000249AD">
        <w:tab/>
        <w:t>Electrical and electronic equipment</w:t>
      </w:r>
      <w:r w:rsidRPr="000249AD">
        <w:tab/>
      </w:r>
      <w:r w:rsidRPr="000249AD">
        <w:tab/>
      </w:r>
      <w:r w:rsidR="00354E43" w:rsidRPr="000249AD">
        <w:t>9</w:t>
      </w:r>
    </w:p>
    <w:p w14:paraId="6FEC0D24" w14:textId="68F16B64"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F.</w:t>
      </w:r>
      <w:r w:rsidRPr="000249AD">
        <w:tab/>
        <w:t>Ship</w:t>
      </w:r>
      <w:r w:rsidR="00797C99" w:rsidRPr="000249AD">
        <w:t>-</w:t>
      </w:r>
      <w:r w:rsidRPr="000249AD">
        <w:t>breaking</w:t>
      </w:r>
      <w:r w:rsidRPr="000249AD">
        <w:tab/>
      </w:r>
      <w:r w:rsidRPr="000249AD">
        <w:tab/>
      </w:r>
      <w:r w:rsidR="00354E43" w:rsidRPr="000249AD">
        <w:t>10</w:t>
      </w:r>
    </w:p>
    <w:p w14:paraId="4DC0FFC9" w14:textId="19E6426A" w:rsidR="00F63142" w:rsidRPr="000249AD" w:rsidRDefault="00F63142">
      <w:pPr>
        <w:tabs>
          <w:tab w:val="right" w:pos="850"/>
          <w:tab w:val="left" w:pos="1134"/>
          <w:tab w:val="left" w:pos="1559"/>
          <w:tab w:val="left" w:pos="1984"/>
          <w:tab w:val="left" w:leader="dot" w:pos="8931"/>
          <w:tab w:val="right" w:pos="9638"/>
        </w:tabs>
        <w:spacing w:after="120"/>
      </w:pPr>
      <w:r w:rsidRPr="000249AD">
        <w:tab/>
      </w:r>
      <w:r w:rsidRPr="000249AD">
        <w:tab/>
        <w:t>G.</w:t>
      </w:r>
      <w:r w:rsidRPr="000249AD">
        <w:tab/>
        <w:t>International trade</w:t>
      </w:r>
      <w:r w:rsidR="00D73030" w:rsidRPr="000249AD">
        <w:t xml:space="preserve"> and deregulatory pressures</w:t>
      </w:r>
      <w:r w:rsidRPr="000249AD">
        <w:tab/>
      </w:r>
      <w:r w:rsidRPr="000249AD">
        <w:tab/>
      </w:r>
      <w:r w:rsidR="00354E43" w:rsidRPr="000249AD">
        <w:t>1</w:t>
      </w:r>
      <w:r w:rsidR="00600827">
        <w:t>1</w:t>
      </w:r>
    </w:p>
    <w:p w14:paraId="00219678" w14:textId="35C05812" w:rsidR="00F63142" w:rsidRPr="000249AD" w:rsidRDefault="00F63142" w:rsidP="00354E43">
      <w:pPr>
        <w:tabs>
          <w:tab w:val="right" w:pos="850"/>
          <w:tab w:val="left" w:pos="1134"/>
          <w:tab w:val="left" w:pos="1559"/>
          <w:tab w:val="left" w:pos="1984"/>
          <w:tab w:val="left" w:leader="dot" w:pos="8931"/>
          <w:tab w:val="right" w:pos="9638"/>
        </w:tabs>
        <w:spacing w:after="120"/>
      </w:pPr>
      <w:r w:rsidRPr="000249AD">
        <w:tab/>
        <w:t>III.</w:t>
      </w:r>
      <w:r w:rsidRPr="000249AD">
        <w:tab/>
        <w:t>Initiatives for stro</w:t>
      </w:r>
      <w:r w:rsidR="00354E43" w:rsidRPr="000249AD">
        <w:t>nge</w:t>
      </w:r>
      <w:r w:rsidR="00354F95" w:rsidRPr="000249AD">
        <w:t>r protection of human rights</w:t>
      </w:r>
      <w:r w:rsidR="00354F95" w:rsidRPr="000249AD">
        <w:tab/>
      </w:r>
      <w:r w:rsidR="00354F95" w:rsidRPr="000249AD">
        <w:tab/>
        <w:t>12</w:t>
      </w:r>
    </w:p>
    <w:p w14:paraId="239621E8" w14:textId="19E65F25"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A.</w:t>
      </w:r>
      <w:r w:rsidRPr="000249AD">
        <w:tab/>
        <w:t>Workers</w:t>
      </w:r>
      <w:r w:rsidRPr="000249AD">
        <w:tab/>
      </w:r>
      <w:r w:rsidRPr="000249AD">
        <w:tab/>
      </w:r>
      <w:r w:rsidR="00354F95" w:rsidRPr="000249AD">
        <w:t>12</w:t>
      </w:r>
    </w:p>
    <w:p w14:paraId="519F907B" w14:textId="5CB9A55F"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B.</w:t>
      </w:r>
      <w:r w:rsidRPr="000249AD">
        <w:tab/>
        <w:t>Public participation in decision-making</w:t>
      </w:r>
      <w:r w:rsidR="00600827">
        <w:t xml:space="preserve"> </w:t>
      </w:r>
      <w:r w:rsidR="00600827" w:rsidRPr="008C015C">
        <w:t>in environmental matters</w:t>
      </w:r>
      <w:r w:rsidRPr="000249AD">
        <w:tab/>
      </w:r>
      <w:r w:rsidRPr="000249AD">
        <w:tab/>
      </w:r>
      <w:r w:rsidR="00354E43" w:rsidRPr="000249AD">
        <w:t>13</w:t>
      </w:r>
    </w:p>
    <w:p w14:paraId="7176A6AE" w14:textId="4719727E" w:rsidR="00F63142" w:rsidRPr="000249AD" w:rsidRDefault="00F63142">
      <w:pPr>
        <w:tabs>
          <w:tab w:val="right" w:pos="850"/>
          <w:tab w:val="left" w:pos="1134"/>
          <w:tab w:val="left" w:pos="1559"/>
          <w:tab w:val="left" w:pos="1984"/>
          <w:tab w:val="left" w:leader="dot" w:pos="8931"/>
          <w:tab w:val="right" w:pos="9638"/>
        </w:tabs>
        <w:spacing w:after="120"/>
      </w:pPr>
      <w:r w:rsidRPr="000249AD">
        <w:tab/>
      </w:r>
      <w:r w:rsidRPr="000249AD">
        <w:tab/>
        <w:t>C.</w:t>
      </w:r>
      <w:r w:rsidRPr="000249AD">
        <w:tab/>
      </w:r>
      <w:r w:rsidR="004C15BF" w:rsidRPr="000249AD">
        <w:t>R</w:t>
      </w:r>
      <w:r w:rsidRPr="000249AD">
        <w:t>ight to an effective remedy</w:t>
      </w:r>
      <w:r w:rsidRPr="000249AD">
        <w:tab/>
      </w:r>
      <w:r w:rsidRPr="000249AD">
        <w:tab/>
      </w:r>
      <w:r w:rsidR="00354E43" w:rsidRPr="000249AD">
        <w:t>1</w:t>
      </w:r>
      <w:r w:rsidR="00600827">
        <w:t>4</w:t>
      </w:r>
    </w:p>
    <w:p w14:paraId="6FE565E8" w14:textId="553B8D96" w:rsidR="00F63142" w:rsidRPr="000249AD" w:rsidRDefault="00F63142" w:rsidP="00AE7004">
      <w:pPr>
        <w:tabs>
          <w:tab w:val="right" w:pos="850"/>
          <w:tab w:val="left" w:pos="1134"/>
          <w:tab w:val="left" w:pos="1559"/>
          <w:tab w:val="left" w:pos="1984"/>
          <w:tab w:val="left" w:leader="dot" w:pos="8931"/>
          <w:tab w:val="right" w:pos="9638"/>
        </w:tabs>
        <w:spacing w:after="120"/>
      </w:pPr>
      <w:r w:rsidRPr="000249AD">
        <w:tab/>
      </w:r>
      <w:r w:rsidRPr="000249AD">
        <w:tab/>
        <w:t>D.</w:t>
      </w:r>
      <w:r w:rsidRPr="000249AD">
        <w:tab/>
        <w:t>Business responsibilit</w:t>
      </w:r>
      <w:r w:rsidR="001E3182">
        <w:t>ies</w:t>
      </w:r>
      <w:r w:rsidRPr="000249AD">
        <w:t xml:space="preserve"> to respect human rights</w:t>
      </w:r>
      <w:r w:rsidRPr="000249AD">
        <w:tab/>
      </w:r>
      <w:r w:rsidRPr="000249AD">
        <w:tab/>
      </w:r>
      <w:r w:rsidR="00DA1065" w:rsidRPr="000249AD">
        <w:t>1</w:t>
      </w:r>
      <w:r w:rsidR="00600827">
        <w:t>5</w:t>
      </w:r>
    </w:p>
    <w:p w14:paraId="4E83697F" w14:textId="68B3956C" w:rsidR="00F63142" w:rsidRPr="000249AD" w:rsidRDefault="00F63142">
      <w:pPr>
        <w:tabs>
          <w:tab w:val="right" w:pos="850"/>
          <w:tab w:val="left" w:pos="1134"/>
          <w:tab w:val="left" w:pos="1559"/>
          <w:tab w:val="left" w:pos="1984"/>
          <w:tab w:val="left" w:leader="dot" w:pos="8931"/>
          <w:tab w:val="right" w:pos="9638"/>
        </w:tabs>
        <w:spacing w:after="120"/>
      </w:pPr>
      <w:r w:rsidRPr="000249AD">
        <w:tab/>
        <w:t>IV.</w:t>
      </w:r>
      <w:r w:rsidRPr="000249AD">
        <w:tab/>
        <w:t>Issues in focus – domestic concerns</w:t>
      </w:r>
      <w:r w:rsidRPr="000249AD">
        <w:tab/>
      </w:r>
      <w:r w:rsidRPr="000249AD">
        <w:tab/>
      </w:r>
      <w:r w:rsidR="00DA1065" w:rsidRPr="000249AD">
        <w:t>1</w:t>
      </w:r>
      <w:r w:rsidR="00600827">
        <w:t>6</w:t>
      </w:r>
    </w:p>
    <w:p w14:paraId="2272FC7D" w14:textId="4C783995" w:rsidR="00F63142" w:rsidRPr="000249AD" w:rsidRDefault="00F63142">
      <w:pPr>
        <w:tabs>
          <w:tab w:val="right" w:pos="850"/>
          <w:tab w:val="left" w:pos="1134"/>
          <w:tab w:val="left" w:pos="1559"/>
          <w:tab w:val="left" w:pos="1984"/>
          <w:tab w:val="left" w:leader="dot" w:pos="8931"/>
          <w:tab w:val="right" w:pos="9638"/>
        </w:tabs>
        <w:spacing w:after="120"/>
      </w:pPr>
      <w:r w:rsidRPr="000249AD">
        <w:tab/>
      </w:r>
      <w:r w:rsidRPr="000249AD">
        <w:tab/>
        <w:t>A.</w:t>
      </w:r>
      <w:r w:rsidRPr="000249AD">
        <w:tab/>
        <w:t>Child and adult exposure to toxics</w:t>
      </w:r>
      <w:r w:rsidRPr="000249AD">
        <w:tab/>
      </w:r>
      <w:r w:rsidRPr="000249AD">
        <w:tab/>
      </w:r>
      <w:r w:rsidR="00DA1065" w:rsidRPr="000249AD">
        <w:t>1</w:t>
      </w:r>
      <w:r w:rsidR="00600827">
        <w:t>6</w:t>
      </w:r>
    </w:p>
    <w:p w14:paraId="304D0899" w14:textId="215D8535"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B.</w:t>
      </w:r>
      <w:r w:rsidRPr="000249AD">
        <w:tab/>
        <w:t>Risk assessment processes</w:t>
      </w:r>
      <w:r w:rsidRPr="000249AD">
        <w:tab/>
      </w:r>
      <w:r w:rsidRPr="000249AD">
        <w:tab/>
      </w:r>
      <w:r w:rsidR="00354F95" w:rsidRPr="000249AD">
        <w:t>17</w:t>
      </w:r>
    </w:p>
    <w:p w14:paraId="164FB079" w14:textId="040F2583" w:rsidR="00F63142" w:rsidRPr="000249AD" w:rsidRDefault="00F63142" w:rsidP="00F63142">
      <w:pPr>
        <w:tabs>
          <w:tab w:val="right" w:pos="850"/>
          <w:tab w:val="left" w:pos="1134"/>
          <w:tab w:val="left" w:pos="1559"/>
          <w:tab w:val="left" w:pos="1984"/>
          <w:tab w:val="left" w:leader="dot" w:pos="8931"/>
          <w:tab w:val="right" w:pos="9638"/>
        </w:tabs>
        <w:spacing w:after="120"/>
      </w:pPr>
      <w:r w:rsidRPr="000249AD">
        <w:tab/>
      </w:r>
      <w:r w:rsidRPr="000249AD">
        <w:tab/>
        <w:t>C.</w:t>
      </w:r>
      <w:r w:rsidRPr="000249AD">
        <w:tab/>
        <w:t>Imported products</w:t>
      </w:r>
      <w:r w:rsidRPr="000249AD">
        <w:tab/>
      </w:r>
      <w:r w:rsidRPr="000249AD">
        <w:tab/>
      </w:r>
      <w:r w:rsidR="00DA1065" w:rsidRPr="000249AD">
        <w:t>19</w:t>
      </w:r>
    </w:p>
    <w:p w14:paraId="0A31D219" w14:textId="3B45F1CE" w:rsidR="00F63142" w:rsidRPr="000249AD" w:rsidRDefault="00F63142">
      <w:pPr>
        <w:tabs>
          <w:tab w:val="right" w:pos="850"/>
          <w:tab w:val="left" w:pos="1134"/>
          <w:tab w:val="left" w:pos="1559"/>
          <w:tab w:val="left" w:pos="1984"/>
          <w:tab w:val="left" w:leader="dot" w:pos="8931"/>
          <w:tab w:val="right" w:pos="9638"/>
        </w:tabs>
        <w:spacing w:after="120"/>
      </w:pPr>
      <w:r w:rsidRPr="000249AD">
        <w:tab/>
        <w:t>V.</w:t>
      </w:r>
      <w:r w:rsidRPr="000249AD">
        <w:tab/>
        <w:t>International cooperation and impacts abroad</w:t>
      </w:r>
      <w:r w:rsidRPr="000249AD">
        <w:tab/>
      </w:r>
      <w:r w:rsidRPr="000249AD">
        <w:tab/>
      </w:r>
      <w:r w:rsidR="00600827">
        <w:t>20</w:t>
      </w:r>
    </w:p>
    <w:p w14:paraId="700968BB" w14:textId="055A3C2A" w:rsidR="00DA1065" w:rsidRPr="000249AD" w:rsidRDefault="00F63142">
      <w:pPr>
        <w:tabs>
          <w:tab w:val="right" w:pos="850"/>
          <w:tab w:val="left" w:pos="1134"/>
          <w:tab w:val="left" w:pos="1559"/>
          <w:tab w:val="left" w:pos="1984"/>
          <w:tab w:val="left" w:leader="dot" w:pos="8931"/>
          <w:tab w:val="right" w:pos="9638"/>
        </w:tabs>
        <w:spacing w:after="120"/>
      </w:pPr>
      <w:r w:rsidRPr="000249AD">
        <w:tab/>
      </w:r>
      <w:r w:rsidRPr="000249AD">
        <w:tab/>
        <w:t>A.</w:t>
      </w:r>
      <w:r w:rsidRPr="000249AD">
        <w:tab/>
      </w:r>
      <w:r w:rsidR="00DA1065" w:rsidRPr="000249AD">
        <w:t>Global treaties for chemicals and wastes</w:t>
      </w:r>
      <w:r w:rsidR="00DA1065" w:rsidRPr="000249AD">
        <w:tab/>
      </w:r>
      <w:r w:rsidR="00DA1065" w:rsidRPr="000249AD">
        <w:tab/>
      </w:r>
      <w:r w:rsidR="00600827">
        <w:t>20</w:t>
      </w:r>
    </w:p>
    <w:p w14:paraId="3455CF24" w14:textId="71C2BFF1" w:rsidR="00F63142" w:rsidRPr="000249AD" w:rsidRDefault="00DA1065" w:rsidP="00CD1DD3">
      <w:pPr>
        <w:tabs>
          <w:tab w:val="right" w:pos="850"/>
          <w:tab w:val="left" w:pos="1134"/>
          <w:tab w:val="left" w:pos="1559"/>
          <w:tab w:val="left" w:pos="1984"/>
          <w:tab w:val="left" w:leader="dot" w:pos="8931"/>
          <w:tab w:val="right" w:pos="9638"/>
        </w:tabs>
        <w:spacing w:after="120"/>
      </w:pPr>
      <w:r w:rsidRPr="000249AD">
        <w:tab/>
      </w:r>
      <w:r w:rsidRPr="000249AD">
        <w:tab/>
        <w:t>B.</w:t>
      </w:r>
      <w:r w:rsidRPr="000249AD">
        <w:tab/>
      </w:r>
      <w:r w:rsidR="00F63142" w:rsidRPr="000249AD">
        <w:t>Exportation of highly hazardous pesticides</w:t>
      </w:r>
      <w:r w:rsidR="00F63142" w:rsidRPr="000249AD">
        <w:tab/>
      </w:r>
      <w:r w:rsidR="00F63142" w:rsidRPr="000249AD">
        <w:tab/>
      </w:r>
      <w:r w:rsidR="00354F95" w:rsidRPr="000249AD">
        <w:t>20</w:t>
      </w:r>
    </w:p>
    <w:p w14:paraId="5AF86B8C" w14:textId="574A7297" w:rsidR="00F63142" w:rsidRPr="000249AD" w:rsidRDefault="00F63142">
      <w:pPr>
        <w:tabs>
          <w:tab w:val="right" w:pos="850"/>
          <w:tab w:val="left" w:pos="1134"/>
          <w:tab w:val="left" w:pos="1559"/>
          <w:tab w:val="left" w:pos="1984"/>
          <w:tab w:val="left" w:leader="dot" w:pos="8931"/>
          <w:tab w:val="right" w:pos="9638"/>
        </w:tabs>
        <w:spacing w:after="120"/>
      </w:pPr>
      <w:r w:rsidRPr="000249AD">
        <w:tab/>
      </w:r>
      <w:r w:rsidRPr="000249AD">
        <w:tab/>
      </w:r>
      <w:r w:rsidR="00DA1065" w:rsidRPr="000249AD">
        <w:t>C</w:t>
      </w:r>
      <w:r w:rsidRPr="000249AD">
        <w:t>.</w:t>
      </w:r>
      <w:r w:rsidRPr="000249AD">
        <w:tab/>
        <w:t>Worker standards</w:t>
      </w:r>
      <w:r w:rsidRPr="000249AD">
        <w:tab/>
      </w:r>
      <w:r w:rsidRPr="000249AD">
        <w:tab/>
      </w:r>
      <w:r w:rsidR="00DA1065" w:rsidRPr="000249AD">
        <w:t>2</w:t>
      </w:r>
      <w:r w:rsidR="00600827">
        <w:t>2</w:t>
      </w:r>
    </w:p>
    <w:p w14:paraId="0742C10A" w14:textId="5E1AF63A" w:rsidR="00F63142" w:rsidRPr="000249AD" w:rsidRDefault="00F63142">
      <w:pPr>
        <w:tabs>
          <w:tab w:val="right" w:pos="850"/>
          <w:tab w:val="left" w:pos="1134"/>
          <w:tab w:val="left" w:pos="1559"/>
          <w:tab w:val="left" w:pos="1984"/>
          <w:tab w:val="left" w:leader="dot" w:pos="8931"/>
          <w:tab w:val="right" w:pos="9638"/>
        </w:tabs>
        <w:spacing w:after="120"/>
      </w:pPr>
      <w:r w:rsidRPr="000249AD">
        <w:tab/>
        <w:t>VI.</w:t>
      </w:r>
      <w:r w:rsidRPr="000249AD">
        <w:tab/>
        <w:t>Conclusions and recommendations</w:t>
      </w:r>
      <w:r w:rsidRPr="000249AD">
        <w:tab/>
      </w:r>
      <w:r w:rsidRPr="000249AD">
        <w:tab/>
      </w:r>
      <w:r w:rsidR="00EE11CF" w:rsidRPr="000249AD">
        <w:t>2</w:t>
      </w:r>
      <w:r w:rsidR="00600827">
        <w:t>2</w:t>
      </w:r>
    </w:p>
    <w:p w14:paraId="26F454AE" w14:textId="77777777" w:rsidR="00F63142" w:rsidRPr="000249AD" w:rsidRDefault="00F63142" w:rsidP="00F9262C">
      <w:pPr>
        <w:pStyle w:val="HChG"/>
      </w:pPr>
      <w:r w:rsidRPr="000249AD">
        <w:br w:type="page"/>
      </w:r>
      <w:r w:rsidRPr="000249AD">
        <w:lastRenderedPageBreak/>
        <w:tab/>
        <w:t>I.</w:t>
      </w:r>
      <w:r w:rsidRPr="000249AD">
        <w:tab/>
        <w:t>Introduction</w:t>
      </w:r>
    </w:p>
    <w:p w14:paraId="06616BF5" w14:textId="1B7D31DC" w:rsidR="00F63142" w:rsidRPr="000249AD" w:rsidRDefault="00F9262C" w:rsidP="00F9262C">
      <w:pPr>
        <w:pStyle w:val="SingleTxtG"/>
        <w:tabs>
          <w:tab w:val="left" w:pos="1701"/>
        </w:tabs>
      </w:pPr>
      <w:r w:rsidRPr="000249AD">
        <w:t>1.</w:t>
      </w:r>
      <w:r w:rsidRPr="000249AD">
        <w:tab/>
      </w:r>
      <w:r w:rsidR="00F63142" w:rsidRPr="000249AD">
        <w:t xml:space="preserve">In the present report, submitted pursuant to Human Rights Council resolution 27/23, the Special Rapporteur on the implications for human rights of the environmentally sound disposal of hazardous substances and wastes, shares his findings and recommendations from his mission to Germany from 30 November to 7 December 2015. </w:t>
      </w:r>
    </w:p>
    <w:p w14:paraId="3C0CC71A" w14:textId="4B64F413" w:rsidR="00F9262C" w:rsidRPr="000249AD" w:rsidRDefault="00F63142" w:rsidP="00474CF4">
      <w:pPr>
        <w:pStyle w:val="SingleTxtG"/>
        <w:tabs>
          <w:tab w:val="left" w:pos="1701"/>
        </w:tabs>
      </w:pPr>
      <w:r w:rsidRPr="000249AD">
        <w:t>2.</w:t>
      </w:r>
      <w:r w:rsidRPr="000249AD">
        <w:tab/>
        <w:t xml:space="preserve">The Special Rapporteur identifies several good practices undertaken by the European Union, the Government and industry to prevent harm from hazardous substances and wastes and draws attention to the </w:t>
      </w:r>
      <w:proofErr w:type="spellStart"/>
      <w:r w:rsidRPr="000249AD">
        <w:t>ongoing</w:t>
      </w:r>
      <w:proofErr w:type="spellEnd"/>
      <w:r w:rsidRPr="000249AD">
        <w:t xml:space="preserve"> challenges he observed.</w:t>
      </w:r>
    </w:p>
    <w:p w14:paraId="08B7866C" w14:textId="5FB5A1C5" w:rsidR="00F9262C" w:rsidRPr="000249AD" w:rsidRDefault="00F63142" w:rsidP="00F9359C">
      <w:pPr>
        <w:pStyle w:val="SingleTxtG"/>
        <w:tabs>
          <w:tab w:val="left" w:pos="1701"/>
        </w:tabs>
      </w:pPr>
      <w:r w:rsidRPr="000249AD">
        <w:t>3.</w:t>
      </w:r>
      <w:r w:rsidRPr="000249AD">
        <w:tab/>
        <w:t xml:space="preserve">The visit included meetings with </w:t>
      </w:r>
      <w:r w:rsidR="00A95E70" w:rsidRPr="000249AD">
        <w:t>e</w:t>
      </w:r>
      <w:r w:rsidRPr="000249AD">
        <w:t xml:space="preserve">xecutive and </w:t>
      </w:r>
      <w:r w:rsidR="00A95E70" w:rsidRPr="000249AD">
        <w:t>s</w:t>
      </w:r>
      <w:r w:rsidRPr="000249AD">
        <w:t>enior representatives from the Federal Foreign Office; the</w:t>
      </w:r>
      <w:r w:rsidRPr="000249AD">
        <w:rPr>
          <w:b/>
        </w:rPr>
        <w:t xml:space="preserve"> </w:t>
      </w:r>
      <w:r w:rsidRPr="000249AD">
        <w:t xml:space="preserve">Ministry </w:t>
      </w:r>
      <w:r w:rsidR="00F9359C" w:rsidRPr="000249AD">
        <w:t xml:space="preserve">of </w:t>
      </w:r>
      <w:r w:rsidRPr="000249AD">
        <w:t>the Environment, Nature, Conservation, Building and Nuclear; the Ministry of Economic Affairs and Energy; the Federal Institute for Risk Assessment; the Ministry of Health; and the Ministry of Justice and Consumer Protection.</w:t>
      </w:r>
    </w:p>
    <w:p w14:paraId="544B82CD" w14:textId="59F5EE56" w:rsidR="00F9262C" w:rsidRPr="000249AD" w:rsidRDefault="00F63142" w:rsidP="00474CF4">
      <w:pPr>
        <w:pStyle w:val="SingleTxtG"/>
        <w:tabs>
          <w:tab w:val="left" w:pos="1701"/>
        </w:tabs>
      </w:pPr>
      <w:r w:rsidRPr="000249AD">
        <w:t>4.</w:t>
      </w:r>
      <w:r w:rsidRPr="000249AD">
        <w:tab/>
        <w:t xml:space="preserve">In addition, the Special Rapporteur met with representatives of the German Institute for Human Rights, a distinguished </w:t>
      </w:r>
      <w:proofErr w:type="gramStart"/>
      <w:r w:rsidRPr="000249AD">
        <w:t>member</w:t>
      </w:r>
      <w:proofErr w:type="gramEnd"/>
      <w:r w:rsidRPr="000249AD">
        <w:t xml:space="preserve"> of Parliament </w:t>
      </w:r>
      <w:r w:rsidR="00F03C4D" w:rsidRPr="000249AD">
        <w:t xml:space="preserve">and </w:t>
      </w:r>
      <w:r w:rsidRPr="000249AD">
        <w:t xml:space="preserve">a representative </w:t>
      </w:r>
      <w:r w:rsidR="00D309C6" w:rsidRPr="000249AD">
        <w:t xml:space="preserve">of </w:t>
      </w:r>
      <w:r w:rsidRPr="000249AD">
        <w:t xml:space="preserve">the </w:t>
      </w:r>
      <w:r w:rsidR="00A95E70" w:rsidRPr="000249AD">
        <w:t>i</w:t>
      </w:r>
      <w:r w:rsidRPr="000249AD">
        <w:t xml:space="preserve">ndustrial </w:t>
      </w:r>
      <w:r w:rsidR="00A95E70" w:rsidRPr="000249AD">
        <w:t>t</w:t>
      </w:r>
      <w:r w:rsidRPr="000249AD">
        <w:t xml:space="preserve">rade </w:t>
      </w:r>
      <w:r w:rsidR="00A95E70" w:rsidRPr="000249AD">
        <w:t>u</w:t>
      </w:r>
      <w:r w:rsidRPr="000249AD">
        <w:t xml:space="preserve">nion for construction, agriculture and environment </w:t>
      </w:r>
      <w:r w:rsidR="00D309C6" w:rsidRPr="00AE7004">
        <w:t xml:space="preserve">IG </w:t>
      </w:r>
      <w:proofErr w:type="spellStart"/>
      <w:r w:rsidR="00D309C6" w:rsidRPr="00AE7004">
        <w:t>Bauen-Agrar-Umwelt</w:t>
      </w:r>
      <w:proofErr w:type="spellEnd"/>
      <w:r w:rsidR="00F03C4D" w:rsidRPr="000249AD">
        <w:t>,</w:t>
      </w:r>
      <w:r w:rsidRPr="000249AD">
        <w:t xml:space="preserve"> and held an open meeting with civil society representatives. The Special Rapporteur also travelled to meet with representatives of </w:t>
      </w:r>
      <w:r w:rsidR="00F03C4D" w:rsidRPr="000249AD">
        <w:t xml:space="preserve">the companies </w:t>
      </w:r>
      <w:r w:rsidRPr="000249AD">
        <w:t xml:space="preserve">BASF in Ludwigshafen </w:t>
      </w:r>
      <w:r w:rsidR="00F03C4D" w:rsidRPr="000249AD">
        <w:t xml:space="preserve">and </w:t>
      </w:r>
      <w:r w:rsidRPr="000249AD">
        <w:t>Bayer Crop</w:t>
      </w:r>
      <w:r w:rsidR="00F03C4D" w:rsidRPr="000249AD">
        <w:t xml:space="preserve"> </w:t>
      </w:r>
      <w:r w:rsidRPr="000249AD">
        <w:t>Science in Leverkusen</w:t>
      </w:r>
      <w:r w:rsidR="00F03C4D" w:rsidRPr="000249AD">
        <w:t>,</w:t>
      </w:r>
      <w:r w:rsidRPr="000249AD">
        <w:t xml:space="preserve"> and the German Chemical Industry Association in Frankfurt.</w:t>
      </w:r>
    </w:p>
    <w:p w14:paraId="27C4A039" w14:textId="0DEE9425" w:rsidR="00F63142" w:rsidRPr="000249AD" w:rsidRDefault="00F63142" w:rsidP="00474CF4">
      <w:pPr>
        <w:pStyle w:val="SingleTxtG"/>
        <w:tabs>
          <w:tab w:val="left" w:pos="1701"/>
        </w:tabs>
        <w:rPr>
          <w:b/>
        </w:rPr>
      </w:pPr>
      <w:r w:rsidRPr="000249AD">
        <w:t>5.</w:t>
      </w:r>
      <w:r w:rsidRPr="000249AD">
        <w:tab/>
        <w:t>The Special Rapporteur enjoyed the fullest cooperation from all government authorities with whom he dealt. He</w:t>
      </w:r>
      <w:r w:rsidRPr="000249AD">
        <w:rPr>
          <w:rFonts w:eastAsia="Calibri"/>
        </w:rPr>
        <w:t xml:space="preserve"> thanks the German Institute for Human Rights and civil society representatives for their support, and expresses his appreciation for the spirit of cooperation and openness that characterized his meetings with BASF, Bayer and </w:t>
      </w:r>
      <w:r w:rsidR="00F03C4D" w:rsidRPr="000249AD">
        <w:rPr>
          <w:rFonts w:eastAsia="Calibri"/>
        </w:rPr>
        <w:t xml:space="preserve">the </w:t>
      </w:r>
      <w:r w:rsidR="00F03C4D" w:rsidRPr="000249AD">
        <w:t>German Chemical Industry Association</w:t>
      </w:r>
      <w:r w:rsidRPr="000249AD">
        <w:rPr>
          <w:rFonts w:eastAsia="Calibri"/>
        </w:rPr>
        <w:t>.</w:t>
      </w:r>
      <w:r w:rsidRPr="000249AD">
        <w:rPr>
          <w:b/>
        </w:rPr>
        <w:t xml:space="preserve"> </w:t>
      </w:r>
    </w:p>
    <w:p w14:paraId="3D43647A" w14:textId="77777777" w:rsidR="00F63142" w:rsidRPr="000249AD" w:rsidRDefault="00F63142" w:rsidP="00F63142">
      <w:pPr>
        <w:pStyle w:val="HChG"/>
      </w:pPr>
      <w:r w:rsidRPr="000249AD">
        <w:rPr>
          <w:rFonts w:eastAsia="MS PGothic"/>
          <w:szCs w:val="24"/>
          <w:lang w:eastAsia="ja-JP"/>
        </w:rPr>
        <w:tab/>
        <w:t>II.</w:t>
      </w:r>
      <w:r w:rsidRPr="000249AD">
        <w:rPr>
          <w:rFonts w:eastAsia="MS PGothic"/>
          <w:szCs w:val="24"/>
          <w:lang w:eastAsia="ja-JP"/>
        </w:rPr>
        <w:tab/>
      </w:r>
      <w:r w:rsidRPr="000249AD">
        <w:t>Comments on the legal framework and its implementation</w:t>
      </w:r>
    </w:p>
    <w:p w14:paraId="538C5C63" w14:textId="79DD8573" w:rsidR="00F9262C" w:rsidRPr="000249AD" w:rsidRDefault="00F63142" w:rsidP="00474CF4">
      <w:pPr>
        <w:pStyle w:val="SingleTxtG"/>
        <w:tabs>
          <w:tab w:val="left" w:pos="1701"/>
        </w:tabs>
      </w:pPr>
      <w:r w:rsidRPr="000249AD">
        <w:t>6.</w:t>
      </w:r>
      <w:r w:rsidRPr="000249AD">
        <w:tab/>
        <w:t xml:space="preserve">Germany is the largest chemical producing country in Europe, the world’s fourth largest chemical market (after China, </w:t>
      </w:r>
      <w:r w:rsidR="00F03C4D" w:rsidRPr="000249AD">
        <w:t xml:space="preserve">the United States of America </w:t>
      </w:r>
      <w:r w:rsidRPr="000249AD">
        <w:t xml:space="preserve">and Japan) and </w:t>
      </w:r>
      <w:r w:rsidR="00F03C4D" w:rsidRPr="000249AD">
        <w:t xml:space="preserve">is home to BASF, </w:t>
      </w:r>
      <w:r w:rsidRPr="000249AD">
        <w:t xml:space="preserve">the biggest chemical company in the world, </w:t>
      </w:r>
      <w:r w:rsidR="00F03C4D" w:rsidRPr="000249AD">
        <w:t xml:space="preserve">and </w:t>
      </w:r>
      <w:r w:rsidRPr="000249AD">
        <w:t xml:space="preserve">Bayer, which at time of writing </w:t>
      </w:r>
      <w:r w:rsidR="00F03C4D" w:rsidRPr="000249AD">
        <w:t xml:space="preserve">was </w:t>
      </w:r>
      <w:r w:rsidRPr="000249AD">
        <w:t xml:space="preserve">bidding to purchase Monsanto, the </w:t>
      </w:r>
      <w:hyperlink r:id="rId9" w:tooltip="Multinational corporation" w:history="1">
        <w:r w:rsidRPr="000249AD">
          <w:rPr>
            <w:rStyle w:val="Hyperlink"/>
          </w:rPr>
          <w:t>multinational</w:t>
        </w:r>
      </w:hyperlink>
      <w:r w:rsidRPr="000249AD">
        <w:t xml:space="preserve"> </w:t>
      </w:r>
      <w:hyperlink r:id="rId10" w:tooltip="Agrochemical" w:history="1">
        <w:r w:rsidRPr="000249AD">
          <w:rPr>
            <w:rStyle w:val="Hyperlink"/>
          </w:rPr>
          <w:t>agrochemical</w:t>
        </w:r>
      </w:hyperlink>
      <w:r w:rsidRPr="000249AD">
        <w:t xml:space="preserve">. Not surprisingly, Germany plays a key role in the implementation of </w:t>
      </w:r>
      <w:r w:rsidR="00596BBC" w:rsidRPr="000249AD">
        <w:t>European Union</w:t>
      </w:r>
      <w:r w:rsidRPr="000249AD">
        <w:t xml:space="preserve"> chemicals legislation </w:t>
      </w:r>
      <w:r w:rsidR="00F03C4D" w:rsidRPr="000249AD">
        <w:t xml:space="preserve">and </w:t>
      </w:r>
      <w:r w:rsidRPr="000249AD">
        <w:t>in discussions on future policy directions.</w:t>
      </w:r>
    </w:p>
    <w:p w14:paraId="7AEE8336" w14:textId="3522DDA8" w:rsidR="00F9262C" w:rsidRPr="000249AD" w:rsidRDefault="00F63142" w:rsidP="00474CF4">
      <w:pPr>
        <w:pStyle w:val="SingleTxtG"/>
        <w:tabs>
          <w:tab w:val="left" w:pos="1701"/>
        </w:tabs>
        <w:rPr>
          <w:spacing w:val="-4"/>
        </w:rPr>
      </w:pPr>
      <w:r w:rsidRPr="000249AD">
        <w:t>7.</w:t>
      </w:r>
      <w:r w:rsidRPr="000249AD">
        <w:tab/>
        <w:t xml:space="preserve">Germany has ratified every international human rights treaty except </w:t>
      </w:r>
      <w:r w:rsidR="00F03C4D" w:rsidRPr="000249AD">
        <w:t xml:space="preserve">the Optional Protocol to the International Covenant on Economic, Social and Cultural Rights and the </w:t>
      </w:r>
      <w:r w:rsidR="00F03C4D" w:rsidRPr="00AE7004">
        <w:t>International Convention on the Protection of the Rights of All Migrant Workers and Members of their Families</w:t>
      </w:r>
      <w:r w:rsidRPr="000249AD">
        <w:t xml:space="preserve">. Germany is also </w:t>
      </w:r>
      <w:proofErr w:type="gramStart"/>
      <w:r w:rsidRPr="000249AD">
        <w:t>party</w:t>
      </w:r>
      <w:proofErr w:type="gramEnd"/>
      <w:r w:rsidRPr="000249AD">
        <w:t xml:space="preserve"> to all global treaties for chemicals and waste management and expects to become </w:t>
      </w:r>
      <w:r w:rsidR="00F03C4D" w:rsidRPr="000249AD">
        <w:t>p</w:t>
      </w:r>
      <w:r w:rsidRPr="000249AD">
        <w:t xml:space="preserve">arty </w:t>
      </w:r>
      <w:r w:rsidR="00F03C4D" w:rsidRPr="000249AD">
        <w:t xml:space="preserve">in the near future </w:t>
      </w:r>
      <w:r w:rsidRPr="000249AD">
        <w:t xml:space="preserve">to the </w:t>
      </w:r>
      <w:proofErr w:type="spellStart"/>
      <w:r w:rsidRPr="000249AD">
        <w:t>Minamata</w:t>
      </w:r>
      <w:proofErr w:type="spellEnd"/>
      <w:r w:rsidRPr="000249AD">
        <w:t xml:space="preserve"> </w:t>
      </w:r>
      <w:r w:rsidR="00F03C4D" w:rsidRPr="000249AD">
        <w:t>Convention on Mercury</w:t>
      </w:r>
      <w:r w:rsidRPr="000249AD">
        <w:t xml:space="preserve">, which is not yet in force. It is also </w:t>
      </w:r>
      <w:proofErr w:type="gramStart"/>
      <w:r w:rsidR="00F03C4D" w:rsidRPr="000249AD">
        <w:t>p</w:t>
      </w:r>
      <w:r w:rsidRPr="000249AD">
        <w:t>arty</w:t>
      </w:r>
      <w:proofErr w:type="gramEnd"/>
      <w:r w:rsidRPr="000249AD">
        <w:t xml:space="preserve"> to the Convention on Access to Information, Public Participation in Decision-Making and Access to Justice in Environmental Matters (Aarhus Convention) </w:t>
      </w:r>
      <w:r w:rsidR="00F03C4D" w:rsidRPr="000249AD">
        <w:t xml:space="preserve">of the Economic Commission for Europe, </w:t>
      </w:r>
      <w:r w:rsidRPr="000249AD">
        <w:rPr>
          <w:spacing w:val="-4"/>
        </w:rPr>
        <w:t>and its Protocol on Pollutant Release and Transfer Registers.</w:t>
      </w:r>
    </w:p>
    <w:p w14:paraId="13DA1B8E" w14:textId="159E4DC6" w:rsidR="00F63142" w:rsidRPr="000249AD" w:rsidRDefault="00F63142" w:rsidP="00596BBC">
      <w:pPr>
        <w:pStyle w:val="SingleTxtG"/>
        <w:tabs>
          <w:tab w:val="left" w:pos="1701"/>
        </w:tabs>
        <w:rPr>
          <w:b/>
        </w:rPr>
      </w:pPr>
      <w:r w:rsidRPr="000249AD">
        <w:rPr>
          <w:spacing w:val="-4"/>
        </w:rPr>
        <w:t>8.</w:t>
      </w:r>
      <w:r w:rsidRPr="000249AD">
        <w:rPr>
          <w:spacing w:val="-4"/>
        </w:rPr>
        <w:tab/>
      </w:r>
      <w:r w:rsidRPr="000249AD">
        <w:t>In the following section</w:t>
      </w:r>
      <w:r w:rsidR="00F03C4D" w:rsidRPr="000249AD">
        <w:t>,</w:t>
      </w:r>
      <w:r w:rsidRPr="000249AD">
        <w:t xml:space="preserve"> the Special Rapporteur looks at recent changes in the legal framework for hazardous substances and waste in the </w:t>
      </w:r>
      <w:r w:rsidR="00596BBC" w:rsidRPr="000249AD">
        <w:t>European Union</w:t>
      </w:r>
      <w:r w:rsidRPr="000249AD">
        <w:t xml:space="preserve"> and Germany and identifies some good practices from a human rights perspective.</w:t>
      </w:r>
    </w:p>
    <w:p w14:paraId="315FC711" w14:textId="77777777" w:rsidR="00F63142" w:rsidRPr="000249AD" w:rsidRDefault="00F63142" w:rsidP="00F63142">
      <w:pPr>
        <w:pStyle w:val="H1G"/>
      </w:pPr>
      <w:r w:rsidRPr="000249AD">
        <w:lastRenderedPageBreak/>
        <w:tab/>
        <w:t>A.</w:t>
      </w:r>
      <w:r w:rsidRPr="000249AD">
        <w:tab/>
        <w:t>Industrial chemicals</w:t>
      </w:r>
    </w:p>
    <w:p w14:paraId="1309B0CD" w14:textId="59269C6E" w:rsidR="00F9262C" w:rsidRPr="000249AD" w:rsidRDefault="00F63142" w:rsidP="00012C9E">
      <w:pPr>
        <w:pStyle w:val="SingleTxtG"/>
        <w:tabs>
          <w:tab w:val="left" w:pos="1701"/>
        </w:tabs>
      </w:pPr>
      <w:r w:rsidRPr="000249AD">
        <w:t>9.</w:t>
      </w:r>
      <w:r w:rsidRPr="000249AD">
        <w:tab/>
        <w:t xml:space="preserve">In 2006, the </w:t>
      </w:r>
      <w:r w:rsidR="00596BBC" w:rsidRPr="000249AD">
        <w:t>European Union</w:t>
      </w:r>
      <w:r w:rsidRPr="000249AD">
        <w:t xml:space="preserve"> adopted </w:t>
      </w:r>
      <w:r w:rsidR="001C64C9" w:rsidRPr="00AE7004">
        <w:t xml:space="preserve">Regulation (EC) No 1907/2006 of the European Parliament and of the Council of 18 December 2006 concerning the Registration, Evaluation, Authorization and Restriction of Chemicals </w:t>
      </w:r>
      <w:r w:rsidRPr="000249AD">
        <w:t>(REACH)</w:t>
      </w:r>
      <w:r w:rsidR="001C64C9" w:rsidRPr="000249AD">
        <w:t>, establishing a European Chemicals Agency</w:t>
      </w:r>
      <w:r w:rsidRPr="000249AD">
        <w:t xml:space="preserve">, which aims to generate, collect and assess information on the hazardous properties and uses of the approximately 30,000 </w:t>
      </w:r>
      <w:r w:rsidR="005C3105" w:rsidRPr="000249AD">
        <w:t xml:space="preserve">most widely used </w:t>
      </w:r>
      <w:r w:rsidRPr="000249AD">
        <w:t xml:space="preserve">industrial chemicals. Industrial chemicals are also subject to </w:t>
      </w:r>
      <w:r w:rsidR="00474CF4" w:rsidRPr="000249AD">
        <w:t>R</w:t>
      </w:r>
      <w:r w:rsidRPr="000249AD">
        <w:t xml:space="preserve">egulation </w:t>
      </w:r>
      <w:r w:rsidR="00474CF4" w:rsidRPr="00AE7004">
        <w:t xml:space="preserve">(EC) No. 1272/2008 </w:t>
      </w:r>
      <w:r w:rsidR="00474CF4" w:rsidRPr="000249AD">
        <w:t>on the classification, labelling and packaging of substances and mixtures</w:t>
      </w:r>
      <w:r w:rsidRPr="000249AD">
        <w:t>, which implements the Globally Harmonized System o</w:t>
      </w:r>
      <w:r w:rsidR="001A46BD" w:rsidRPr="000249AD">
        <w:t>f</w:t>
      </w:r>
      <w:r w:rsidRPr="000249AD">
        <w:t xml:space="preserve"> Classification and Labelling</w:t>
      </w:r>
      <w:r w:rsidR="001A46BD" w:rsidRPr="000249AD">
        <w:t xml:space="preserve"> of Chemicals</w:t>
      </w:r>
      <w:r w:rsidRPr="000249AD">
        <w:t xml:space="preserve"> </w:t>
      </w:r>
      <w:r w:rsidR="00474CF4" w:rsidRPr="000249AD">
        <w:t xml:space="preserve">and </w:t>
      </w:r>
      <w:proofErr w:type="gramStart"/>
      <w:r w:rsidRPr="000249AD">
        <w:t>various legislation for specific types of products</w:t>
      </w:r>
      <w:proofErr w:type="gramEnd"/>
      <w:r w:rsidRPr="000249AD">
        <w:t>.</w:t>
      </w:r>
    </w:p>
    <w:p w14:paraId="66BB80F2" w14:textId="296EB670" w:rsidR="00354E43" w:rsidRPr="000249AD" w:rsidRDefault="00F63142" w:rsidP="00474CF4">
      <w:pPr>
        <w:pStyle w:val="SingleTxtG"/>
        <w:tabs>
          <w:tab w:val="left" w:pos="1701"/>
        </w:tabs>
      </w:pPr>
      <w:r w:rsidRPr="000249AD">
        <w:t>10.</w:t>
      </w:r>
      <w:r w:rsidRPr="000249AD">
        <w:tab/>
        <w:t>REACH is regarded as the strongest law for industrial chemicals in the world. It includes revolutionary protective measures for chemicals of known risks for human health and the environment, such as an authorization process for “</w:t>
      </w:r>
      <w:r w:rsidR="00474CF4" w:rsidRPr="000249AD">
        <w:t>s</w:t>
      </w:r>
      <w:r w:rsidR="0081408B" w:rsidRPr="000249AD">
        <w:t xml:space="preserve">ubstances of </w:t>
      </w:r>
      <w:r w:rsidR="00474CF4" w:rsidRPr="000249AD">
        <w:t>v</w:t>
      </w:r>
      <w:r w:rsidR="0081408B" w:rsidRPr="000249AD">
        <w:t xml:space="preserve">ery </w:t>
      </w:r>
      <w:r w:rsidR="00474CF4" w:rsidRPr="000249AD">
        <w:t>h</w:t>
      </w:r>
      <w:r w:rsidR="0081408B" w:rsidRPr="000249AD">
        <w:t xml:space="preserve">igh </w:t>
      </w:r>
      <w:r w:rsidR="00474CF4" w:rsidRPr="000249AD">
        <w:t>c</w:t>
      </w:r>
      <w:r w:rsidR="0081408B" w:rsidRPr="000249AD">
        <w:t>oncern</w:t>
      </w:r>
      <w:r w:rsidRPr="000249AD">
        <w:t xml:space="preserve">” </w:t>
      </w:r>
      <w:r w:rsidR="00474CF4" w:rsidRPr="000249AD">
        <w:t xml:space="preserve">and </w:t>
      </w:r>
      <w:r w:rsidRPr="000249AD">
        <w:t>a more traditional restriction process. It also contains numerous precautionary aspects, recognizing the vast uncertainties arising from the failure to require companies to generate and make available health and safety information for tens of thousands of industrial chemicals on the market today. A specialized agency, the European Chemicals Agency, was created to help manage the implementation of REACH.</w:t>
      </w:r>
    </w:p>
    <w:p w14:paraId="71D852D4" w14:textId="1759BD9B" w:rsidR="00354E43" w:rsidRPr="000249AD" w:rsidRDefault="00F63142" w:rsidP="00474CF4">
      <w:pPr>
        <w:pStyle w:val="SingleTxtG"/>
        <w:tabs>
          <w:tab w:val="left" w:pos="1701"/>
        </w:tabs>
      </w:pPr>
      <w:r w:rsidRPr="000249AD">
        <w:t>11.</w:t>
      </w:r>
      <w:r w:rsidRPr="000249AD">
        <w:tab/>
        <w:t>REACH represents a paradigm shift for the protection and realization of human rights implicated by industrial chemicals, such as the right to information, the right to an effective remedy, the right to a healthy environment and many others.</w:t>
      </w:r>
    </w:p>
    <w:p w14:paraId="72FA4FB3" w14:textId="7F35109E" w:rsidR="00354E43" w:rsidRPr="000249AD" w:rsidRDefault="00F63142" w:rsidP="00474CF4">
      <w:pPr>
        <w:pStyle w:val="SingleTxtG"/>
        <w:tabs>
          <w:tab w:val="left" w:pos="1701"/>
        </w:tabs>
        <w:rPr>
          <w:rStyle w:val="Hyperlink"/>
        </w:rPr>
      </w:pPr>
      <w:r w:rsidRPr="000249AD">
        <w:t>12.</w:t>
      </w:r>
      <w:r w:rsidRPr="000249AD">
        <w:tab/>
        <w:t xml:space="preserve">Information on hazardous substances should be available, accessible and functional for everyone, consistent with the principle of non-discrimination. In realizing the right to information, the </w:t>
      </w:r>
      <w:r w:rsidR="00474CF4" w:rsidRPr="000249AD">
        <w:t xml:space="preserve">REACH </w:t>
      </w:r>
      <w:r w:rsidRPr="000249AD">
        <w:t xml:space="preserve">has a number of features. First, </w:t>
      </w:r>
      <w:r w:rsidR="00474CF4" w:rsidRPr="000249AD">
        <w:t xml:space="preserve">it </w:t>
      </w:r>
      <w:r w:rsidRPr="000249AD">
        <w:t>contains tiered health and safety requirements for all industrial substances produced or imported at or above one ton per year</w:t>
      </w:r>
      <w:r w:rsidRPr="000249AD">
        <w:rPr>
          <w:rStyle w:val="Hyperlink"/>
        </w:rPr>
        <w:t xml:space="preserve">. </w:t>
      </w:r>
      <w:proofErr w:type="gramStart"/>
      <w:r w:rsidRPr="000249AD">
        <w:rPr>
          <w:rStyle w:val="Hyperlink"/>
        </w:rPr>
        <w:t>This pragmatic requirement, known as “no-data, no-market”</w:t>
      </w:r>
      <w:r w:rsidR="00474CF4" w:rsidRPr="000249AD">
        <w:rPr>
          <w:rStyle w:val="Hyperlink"/>
        </w:rPr>
        <w:t>,</w:t>
      </w:r>
      <w:r w:rsidRPr="000249AD">
        <w:rPr>
          <w:rStyle w:val="Hyperlink"/>
        </w:rPr>
        <w:t xml:space="preserve"> shifts the burden of proof away from public authorities and onto relevant businesses.</w:t>
      </w:r>
      <w:proofErr w:type="gramEnd"/>
      <w:r w:rsidRPr="000249AD">
        <w:rPr>
          <w:rStyle w:val="Hyperlink"/>
        </w:rPr>
        <w:t xml:space="preserve"> Second, </w:t>
      </w:r>
      <w:r w:rsidR="00474CF4" w:rsidRPr="000249AD">
        <w:t xml:space="preserve">it </w:t>
      </w:r>
      <w:r w:rsidRPr="000249AD">
        <w:t>requires industry to share information on the use of hazardous industrial chemicals up and down the supply chain to help ensure that substances are being used safely and information is current.</w:t>
      </w:r>
      <w:r w:rsidRPr="00176051">
        <w:rPr>
          <w:rStyle w:val="FootnoteReference"/>
        </w:rPr>
        <w:footnoteReference w:id="4"/>
      </w:r>
      <w:r w:rsidRPr="000249AD">
        <w:t xml:space="preserve"> In this way, the right to information also contributes to workers</w:t>
      </w:r>
      <w:r w:rsidR="006A18E7">
        <w:t>’</w:t>
      </w:r>
      <w:r w:rsidRPr="000249AD">
        <w:t xml:space="preserve"> and consumer</w:t>
      </w:r>
      <w:r w:rsidR="00474CF4" w:rsidRPr="000249AD">
        <w:t>s</w:t>
      </w:r>
      <w:r w:rsidR="006A18E7">
        <w:t>’</w:t>
      </w:r>
      <w:r w:rsidRPr="000249AD">
        <w:t xml:space="preserve"> rights</w:t>
      </w:r>
      <w:r w:rsidRPr="000249AD">
        <w:rPr>
          <w:rStyle w:val="Hyperlink"/>
        </w:rPr>
        <w:t xml:space="preserve">. Third, health and safety summaries are made available to </w:t>
      </w:r>
      <w:r w:rsidR="00474CF4" w:rsidRPr="000249AD">
        <w:rPr>
          <w:rStyle w:val="Hyperlink"/>
        </w:rPr>
        <w:t>G</w:t>
      </w:r>
      <w:r w:rsidRPr="000249AD">
        <w:rPr>
          <w:rStyle w:val="Hyperlink"/>
        </w:rPr>
        <w:t xml:space="preserve">overnments around the world, enabling those with fewer resources to avoid duplication of efforts and enhance cooperation. Fourth, consumers have the </w:t>
      </w:r>
      <w:r w:rsidR="0081408B" w:rsidRPr="000249AD">
        <w:rPr>
          <w:rStyle w:val="Hyperlink"/>
        </w:rPr>
        <w:t>right</w:t>
      </w:r>
      <w:r w:rsidRPr="000249AD">
        <w:rPr>
          <w:rStyle w:val="Hyperlink"/>
        </w:rPr>
        <w:t xml:space="preserve"> to contact businesses to inquire whether a chemical linked to cancer, hormone disruption or other health </w:t>
      </w:r>
      <w:r w:rsidR="00702138" w:rsidRPr="000249AD">
        <w:rPr>
          <w:rStyle w:val="Hyperlink"/>
        </w:rPr>
        <w:t>and environmental</w:t>
      </w:r>
      <w:r w:rsidR="00D65162" w:rsidRPr="000249AD">
        <w:rPr>
          <w:rStyle w:val="Hyperlink"/>
        </w:rPr>
        <w:t xml:space="preserve"> </w:t>
      </w:r>
      <w:r w:rsidRPr="000249AD">
        <w:rPr>
          <w:rStyle w:val="Hyperlink"/>
        </w:rPr>
        <w:t xml:space="preserve">hazards are found in certain products if they are on the </w:t>
      </w:r>
      <w:r w:rsidR="009E3F51" w:rsidRPr="000249AD">
        <w:rPr>
          <w:rStyle w:val="Hyperlink"/>
        </w:rPr>
        <w:t>“</w:t>
      </w:r>
      <w:r w:rsidR="00474CF4" w:rsidRPr="000249AD">
        <w:rPr>
          <w:rStyle w:val="Hyperlink"/>
        </w:rPr>
        <w:t>c</w:t>
      </w:r>
      <w:r w:rsidR="006854D4" w:rsidRPr="000249AD">
        <w:rPr>
          <w:rStyle w:val="Hyperlink"/>
        </w:rPr>
        <w:t xml:space="preserve">andidate </w:t>
      </w:r>
      <w:r w:rsidR="00474CF4" w:rsidRPr="000249AD">
        <w:rPr>
          <w:rStyle w:val="Hyperlink"/>
        </w:rPr>
        <w:t>l</w:t>
      </w:r>
      <w:r w:rsidR="006854D4" w:rsidRPr="000249AD">
        <w:rPr>
          <w:rStyle w:val="Hyperlink"/>
        </w:rPr>
        <w:t>ist</w:t>
      </w:r>
      <w:r w:rsidR="009E3F51" w:rsidRPr="000249AD">
        <w:rPr>
          <w:rStyle w:val="Hyperlink"/>
        </w:rPr>
        <w:t>”</w:t>
      </w:r>
      <w:r w:rsidR="006854D4" w:rsidRPr="000249AD">
        <w:rPr>
          <w:rStyle w:val="Hyperlink"/>
        </w:rPr>
        <w:t>.</w:t>
      </w:r>
      <w:r w:rsidRPr="000249AD">
        <w:rPr>
          <w:rStyle w:val="Hyperlink"/>
        </w:rPr>
        <w:t xml:space="preserve"> </w:t>
      </w:r>
      <w:r w:rsidR="00474CF4" w:rsidRPr="000249AD">
        <w:rPr>
          <w:rStyle w:val="Hyperlink"/>
        </w:rPr>
        <w:t>F</w:t>
      </w:r>
      <w:r w:rsidRPr="000249AD">
        <w:rPr>
          <w:rStyle w:val="Hyperlink"/>
        </w:rPr>
        <w:t xml:space="preserve">inally, the information generated is enabling businesses to transition to safer chemicals and safer products. </w:t>
      </w:r>
      <w:r w:rsidRPr="000249AD">
        <w:t>These are</w:t>
      </w:r>
      <w:r w:rsidRPr="000249AD">
        <w:rPr>
          <w:rStyle w:val="Hyperlink"/>
        </w:rPr>
        <w:t xml:space="preserve"> good practices for the realization of the right to information about industrial chemicals, and implementation of the Guiding Principles on Business and Human Rights.</w:t>
      </w:r>
    </w:p>
    <w:p w14:paraId="56AC1A4F" w14:textId="31CB7968" w:rsidR="00354E43" w:rsidRPr="000249AD" w:rsidRDefault="00F63142" w:rsidP="00E030D8">
      <w:pPr>
        <w:pStyle w:val="SingleTxtG"/>
        <w:tabs>
          <w:tab w:val="left" w:pos="1701"/>
        </w:tabs>
        <w:rPr>
          <w:rStyle w:val="Hyperlink"/>
        </w:rPr>
      </w:pPr>
      <w:r w:rsidRPr="000249AD">
        <w:rPr>
          <w:rStyle w:val="Hyperlink"/>
        </w:rPr>
        <w:t>13.</w:t>
      </w:r>
      <w:r w:rsidRPr="000249AD">
        <w:rPr>
          <w:rStyle w:val="Hyperlink"/>
        </w:rPr>
        <w:tab/>
        <w:t xml:space="preserve">As a consequence of realizing the right to information on industrial substances, REACH is enabling </w:t>
      </w:r>
      <w:r w:rsidR="00474CF4" w:rsidRPr="000249AD">
        <w:rPr>
          <w:rStyle w:val="Hyperlink"/>
        </w:rPr>
        <w:t>G</w:t>
      </w:r>
      <w:r w:rsidRPr="000249AD">
        <w:rPr>
          <w:rStyle w:val="Hyperlink"/>
        </w:rPr>
        <w:t>overnments to better protect the right</w:t>
      </w:r>
      <w:r w:rsidR="00E030D8" w:rsidRPr="000249AD">
        <w:rPr>
          <w:rStyle w:val="Hyperlink"/>
        </w:rPr>
        <w:t>s</w:t>
      </w:r>
      <w:r w:rsidRPr="000249AD">
        <w:rPr>
          <w:rStyle w:val="Hyperlink"/>
        </w:rPr>
        <w:t xml:space="preserve"> to the highest attainable standard of health, to safe drinking water, </w:t>
      </w:r>
      <w:r w:rsidR="00E030D8" w:rsidRPr="000249AD">
        <w:rPr>
          <w:rStyle w:val="Hyperlink"/>
        </w:rPr>
        <w:t xml:space="preserve">to </w:t>
      </w:r>
      <w:r w:rsidRPr="000249AD">
        <w:rPr>
          <w:rStyle w:val="Hyperlink"/>
        </w:rPr>
        <w:t xml:space="preserve">adequate housing and </w:t>
      </w:r>
      <w:r w:rsidR="00E030D8" w:rsidRPr="000249AD">
        <w:rPr>
          <w:rStyle w:val="Hyperlink"/>
        </w:rPr>
        <w:t xml:space="preserve">to </w:t>
      </w:r>
      <w:r w:rsidRPr="000249AD">
        <w:rPr>
          <w:rStyle w:val="Hyperlink"/>
        </w:rPr>
        <w:t xml:space="preserve">a healthy environment. As information is necessary for judicial and non-judicial remedies, it is reasonable to foresee that the right </w:t>
      </w:r>
      <w:r w:rsidR="00792C7A" w:rsidRPr="000249AD">
        <w:rPr>
          <w:rStyle w:val="Hyperlink"/>
        </w:rPr>
        <w:t xml:space="preserve">to </w:t>
      </w:r>
      <w:r w:rsidRPr="000249AD">
        <w:rPr>
          <w:rStyle w:val="Hyperlink"/>
        </w:rPr>
        <w:t>an effective remedy is better enabled by REACH.</w:t>
      </w:r>
    </w:p>
    <w:p w14:paraId="6DC31C48" w14:textId="0FEA8930" w:rsidR="00354E43" w:rsidRPr="000249AD" w:rsidRDefault="00F63142" w:rsidP="006F5227">
      <w:pPr>
        <w:pStyle w:val="SingleTxtG"/>
        <w:tabs>
          <w:tab w:val="left" w:pos="1701"/>
        </w:tabs>
        <w:rPr>
          <w:rStyle w:val="Hyperlink"/>
        </w:rPr>
      </w:pPr>
      <w:r w:rsidRPr="000249AD">
        <w:rPr>
          <w:rStyle w:val="Hyperlink"/>
        </w:rPr>
        <w:t>14.</w:t>
      </w:r>
      <w:r w:rsidRPr="000249AD">
        <w:rPr>
          <w:rStyle w:val="Hyperlink"/>
        </w:rPr>
        <w:tab/>
        <w:t xml:space="preserve">However, during the process of developing REACH and its current implementation, it has been subject to criticism, particularly from industry, </w:t>
      </w:r>
      <w:r w:rsidR="00E030D8" w:rsidRPr="000249AD">
        <w:rPr>
          <w:rStyle w:val="Hyperlink"/>
        </w:rPr>
        <w:t>G</w:t>
      </w:r>
      <w:r w:rsidRPr="000249AD">
        <w:rPr>
          <w:rStyle w:val="Hyperlink"/>
        </w:rPr>
        <w:t xml:space="preserve">overnments </w:t>
      </w:r>
      <w:r w:rsidR="006F5227" w:rsidRPr="000249AD">
        <w:rPr>
          <w:rStyle w:val="Hyperlink"/>
        </w:rPr>
        <w:t xml:space="preserve">outside the European Union </w:t>
      </w:r>
      <w:r w:rsidRPr="000249AD">
        <w:rPr>
          <w:rStyle w:val="Hyperlink"/>
        </w:rPr>
        <w:t xml:space="preserve">and non-governmental organizations. For example, </w:t>
      </w:r>
      <w:r w:rsidR="00E030D8" w:rsidRPr="000249AD">
        <w:rPr>
          <w:rStyle w:val="Hyperlink"/>
        </w:rPr>
        <w:t>G</w:t>
      </w:r>
      <w:r w:rsidRPr="000249AD">
        <w:rPr>
          <w:rStyle w:val="Hyperlink"/>
        </w:rPr>
        <w:t xml:space="preserve">overnments have accused REACH and other </w:t>
      </w:r>
      <w:r w:rsidR="00596BBC" w:rsidRPr="000249AD">
        <w:t>European Union</w:t>
      </w:r>
      <w:r w:rsidRPr="000249AD">
        <w:rPr>
          <w:rStyle w:val="Hyperlink"/>
        </w:rPr>
        <w:t xml:space="preserve"> chemical laws as “discriminatory, lack a </w:t>
      </w:r>
      <w:r w:rsidRPr="000249AD">
        <w:rPr>
          <w:rStyle w:val="Hyperlink"/>
        </w:rPr>
        <w:lastRenderedPageBreak/>
        <w:t>legitimate rationale, and pose unnecessary obstacles to trade”</w:t>
      </w:r>
      <w:r w:rsidR="00E030D8" w:rsidRPr="000249AD">
        <w:rPr>
          <w:rStyle w:val="Hyperlink"/>
        </w:rPr>
        <w:t>.</w:t>
      </w:r>
      <w:r w:rsidRPr="00176051">
        <w:rPr>
          <w:rStyle w:val="FootnoteReference"/>
        </w:rPr>
        <w:footnoteReference w:id="5"/>
      </w:r>
      <w:r w:rsidRPr="000249AD">
        <w:rPr>
          <w:rStyle w:val="Hyperlink"/>
        </w:rPr>
        <w:t xml:space="preserve"> The Special Rapporteur disagrees, as the realization of human rights requires not only the full implementation of REACH, but </w:t>
      </w:r>
      <w:r w:rsidR="00E030D8" w:rsidRPr="000249AD">
        <w:rPr>
          <w:rStyle w:val="Hyperlink"/>
        </w:rPr>
        <w:t xml:space="preserve">also </w:t>
      </w:r>
      <w:r w:rsidRPr="000249AD">
        <w:rPr>
          <w:rStyle w:val="Hyperlink"/>
        </w:rPr>
        <w:t>additional measures to better protect children and other at-risk populations and subpopulations.</w:t>
      </w:r>
    </w:p>
    <w:p w14:paraId="56C7626E" w14:textId="620238FF" w:rsidR="00354E43" w:rsidRPr="000249AD" w:rsidRDefault="00F63142" w:rsidP="00012C9E">
      <w:pPr>
        <w:pStyle w:val="SingleTxtG"/>
        <w:tabs>
          <w:tab w:val="left" w:pos="1701"/>
        </w:tabs>
        <w:rPr>
          <w:rFonts w:eastAsia="Times New Roman"/>
          <w:color w:val="000000"/>
          <w:lang w:eastAsia="en-GB"/>
        </w:rPr>
      </w:pPr>
      <w:r w:rsidRPr="000249AD">
        <w:rPr>
          <w:rStyle w:val="Hyperlink"/>
        </w:rPr>
        <w:t>15.</w:t>
      </w:r>
      <w:r w:rsidRPr="000249AD">
        <w:rPr>
          <w:rStyle w:val="Hyperlink"/>
        </w:rPr>
        <w:tab/>
      </w:r>
      <w:r w:rsidRPr="000249AD">
        <w:t xml:space="preserve">REACH intends for hazardous chemicals to be replaced by safer alternatives when they can be identified. “Substances of </w:t>
      </w:r>
      <w:r w:rsidR="00E030D8" w:rsidRPr="000249AD">
        <w:t>v</w:t>
      </w:r>
      <w:r w:rsidR="0081408B" w:rsidRPr="000249AD">
        <w:t xml:space="preserve">ery </w:t>
      </w:r>
      <w:r w:rsidR="00E030D8" w:rsidRPr="000249AD">
        <w:t>h</w:t>
      </w:r>
      <w:r w:rsidR="0081408B" w:rsidRPr="000249AD">
        <w:t xml:space="preserve">igh </w:t>
      </w:r>
      <w:r w:rsidR="00E030D8" w:rsidRPr="000249AD">
        <w:t>c</w:t>
      </w:r>
      <w:r w:rsidR="0081408B" w:rsidRPr="000249AD">
        <w:t>oncern</w:t>
      </w:r>
      <w:r w:rsidRPr="000249AD">
        <w:t xml:space="preserve">” are identified in </w:t>
      </w:r>
      <w:r w:rsidR="001C64C9" w:rsidRPr="000249AD">
        <w:t xml:space="preserve">the European Chemicals Agency </w:t>
      </w:r>
      <w:r w:rsidRPr="000249AD">
        <w:t>“</w:t>
      </w:r>
      <w:r w:rsidR="00E030D8" w:rsidRPr="000249AD">
        <w:t>c</w:t>
      </w:r>
      <w:r w:rsidRPr="000249AD">
        <w:t xml:space="preserve">andidate </w:t>
      </w:r>
      <w:r w:rsidR="00E030D8" w:rsidRPr="000249AD">
        <w:t>l</w:t>
      </w:r>
      <w:r w:rsidRPr="000249AD">
        <w:t>ist”.</w:t>
      </w:r>
      <w:r w:rsidRPr="00176051">
        <w:rPr>
          <w:rStyle w:val="FootnoteReference"/>
        </w:rPr>
        <w:footnoteReference w:id="6"/>
      </w:r>
      <w:r w:rsidRPr="000249AD">
        <w:t xml:space="preserve"> Currently there are 16</w:t>
      </w:r>
      <w:r w:rsidR="009E3F51" w:rsidRPr="000249AD">
        <w:t>9</w:t>
      </w:r>
      <w:r w:rsidRPr="000249AD">
        <w:t xml:space="preserve"> substances waiting</w:t>
      </w:r>
      <w:r w:rsidR="00F51A0F" w:rsidRPr="000249AD">
        <w:t xml:space="preserve"> on th</w:t>
      </w:r>
      <w:r w:rsidR="00E030D8" w:rsidRPr="000249AD">
        <w:t>e</w:t>
      </w:r>
      <w:r w:rsidR="00F51A0F" w:rsidRPr="000249AD">
        <w:t xml:space="preserve"> list that </w:t>
      </w:r>
      <w:r w:rsidR="00F54C8B" w:rsidRPr="000249AD">
        <w:t xml:space="preserve">are </w:t>
      </w:r>
      <w:r w:rsidR="00F51A0F" w:rsidRPr="000249AD">
        <w:t xml:space="preserve">candidates to be </w:t>
      </w:r>
      <w:r w:rsidR="00916339" w:rsidRPr="000249AD">
        <w:t>subject to</w:t>
      </w:r>
      <w:r w:rsidR="00AA5D99" w:rsidRPr="000249AD">
        <w:t xml:space="preserve"> </w:t>
      </w:r>
      <w:r w:rsidR="00797C99" w:rsidRPr="000249AD">
        <w:t xml:space="preserve">the </w:t>
      </w:r>
      <w:r w:rsidR="00AA5D99" w:rsidRPr="000249AD">
        <w:t>REACH authori</w:t>
      </w:r>
      <w:r w:rsidR="00797C99" w:rsidRPr="000249AD">
        <w:t>z</w:t>
      </w:r>
      <w:r w:rsidR="00AA5D99" w:rsidRPr="000249AD">
        <w:t>ation requirements</w:t>
      </w:r>
      <w:r w:rsidR="00916339" w:rsidRPr="000249AD">
        <w:t xml:space="preserve">. While </w:t>
      </w:r>
      <w:r w:rsidRPr="000249AD">
        <w:t>substitution</w:t>
      </w:r>
      <w:r w:rsidR="00916339" w:rsidRPr="000249AD">
        <w:t xml:space="preserve"> of </w:t>
      </w:r>
      <w:r w:rsidR="00E030D8" w:rsidRPr="000249AD">
        <w:t xml:space="preserve">those substances </w:t>
      </w:r>
      <w:r w:rsidRPr="000249AD">
        <w:t>is not mandatory</w:t>
      </w:r>
      <w:r w:rsidR="00D65162" w:rsidRPr="000249AD">
        <w:t xml:space="preserve"> </w:t>
      </w:r>
      <w:r w:rsidR="00AA5D99" w:rsidRPr="000249AD">
        <w:t>at this stage</w:t>
      </w:r>
      <w:r w:rsidR="00916339" w:rsidRPr="000249AD">
        <w:t>, it is a long-term objective</w:t>
      </w:r>
      <w:r w:rsidR="00AA5D99" w:rsidRPr="000249AD">
        <w:t>. If a substance subsequently is put under the authori</w:t>
      </w:r>
      <w:r w:rsidR="00797C99" w:rsidRPr="000249AD">
        <w:t>z</w:t>
      </w:r>
      <w:r w:rsidR="00AA5D99" w:rsidRPr="000249AD">
        <w:t>ation scheme (currently 31 substances), its future use requires an authori</w:t>
      </w:r>
      <w:r w:rsidR="00797C99" w:rsidRPr="000249AD">
        <w:t>z</w:t>
      </w:r>
      <w:r w:rsidR="00AA5D99" w:rsidRPr="000249AD">
        <w:t>ation by the European</w:t>
      </w:r>
      <w:r w:rsidR="00916339" w:rsidRPr="000249AD">
        <w:t xml:space="preserve"> authorities</w:t>
      </w:r>
      <w:r w:rsidR="00AA5D99" w:rsidRPr="000249AD">
        <w:t>, which can only be granted if the risk to human health or the environment is adequately controlled or if socioeconomic benefits outweigh the risk and no suitable alternative substances or technologies exist.</w:t>
      </w:r>
      <w:r w:rsidR="00916339" w:rsidRPr="000249AD">
        <w:rPr>
          <w:rFonts w:eastAsia="Times New Roman"/>
          <w:color w:val="000000"/>
          <w:lang w:eastAsia="en-GB"/>
        </w:rPr>
        <w:t xml:space="preserve"> </w:t>
      </w:r>
      <w:r w:rsidR="00012C9E" w:rsidRPr="000249AD">
        <w:rPr>
          <w:rFonts w:eastAsia="Times New Roman"/>
          <w:color w:val="000000"/>
          <w:lang w:eastAsia="en-GB"/>
        </w:rPr>
        <w:t xml:space="preserve">When a substance is </w:t>
      </w:r>
      <w:r w:rsidR="00916339" w:rsidRPr="000249AD">
        <w:rPr>
          <w:rFonts w:eastAsia="Times New Roman"/>
          <w:color w:val="000000"/>
          <w:lang w:eastAsia="en-GB"/>
        </w:rPr>
        <w:t xml:space="preserve">placed on the </w:t>
      </w:r>
      <w:r w:rsidR="00916339" w:rsidRPr="000249AD">
        <w:rPr>
          <w:rFonts w:eastAsia="Times New Roman"/>
          <w:bCs/>
          <w:color w:val="000000"/>
          <w:lang w:eastAsia="en-GB"/>
        </w:rPr>
        <w:t>“</w:t>
      </w:r>
      <w:r w:rsidR="00012C9E" w:rsidRPr="000249AD">
        <w:rPr>
          <w:rFonts w:eastAsia="Times New Roman"/>
          <w:bCs/>
          <w:color w:val="000000"/>
          <w:lang w:eastAsia="en-GB"/>
        </w:rPr>
        <w:t>c</w:t>
      </w:r>
      <w:r w:rsidR="00916339" w:rsidRPr="000249AD">
        <w:rPr>
          <w:rFonts w:eastAsia="Times New Roman"/>
          <w:bCs/>
          <w:color w:val="000000"/>
          <w:lang w:eastAsia="en-GB"/>
        </w:rPr>
        <w:t xml:space="preserve">andidate </w:t>
      </w:r>
      <w:r w:rsidR="00012C9E" w:rsidRPr="000249AD">
        <w:rPr>
          <w:rFonts w:eastAsia="Times New Roman"/>
          <w:bCs/>
          <w:color w:val="000000"/>
          <w:lang w:eastAsia="en-GB"/>
        </w:rPr>
        <w:t>l</w:t>
      </w:r>
      <w:r w:rsidR="00916339" w:rsidRPr="000249AD">
        <w:rPr>
          <w:rFonts w:eastAsia="Times New Roman"/>
          <w:bCs/>
          <w:color w:val="000000"/>
          <w:lang w:eastAsia="en-GB"/>
        </w:rPr>
        <w:t>ist”</w:t>
      </w:r>
      <w:r w:rsidR="00012C9E" w:rsidRPr="000249AD">
        <w:rPr>
          <w:rFonts w:eastAsia="Times New Roman"/>
          <w:bCs/>
          <w:color w:val="000000"/>
          <w:lang w:eastAsia="en-GB"/>
        </w:rPr>
        <w:t>,</w:t>
      </w:r>
      <w:r w:rsidR="00916339" w:rsidRPr="000249AD">
        <w:rPr>
          <w:rFonts w:eastAsia="Times New Roman"/>
          <w:color w:val="000000"/>
          <w:lang w:eastAsia="en-GB"/>
        </w:rPr>
        <w:t xml:space="preserve"> </w:t>
      </w:r>
      <w:r w:rsidR="00012C9E" w:rsidRPr="000249AD">
        <w:rPr>
          <w:rFonts w:eastAsia="Times New Roman"/>
          <w:color w:val="000000"/>
          <w:lang w:eastAsia="en-GB"/>
        </w:rPr>
        <w:t xml:space="preserve">a </w:t>
      </w:r>
      <w:r w:rsidR="00916339" w:rsidRPr="000249AD">
        <w:rPr>
          <w:rFonts w:eastAsia="Times New Roman"/>
          <w:color w:val="000000"/>
          <w:lang w:eastAsia="en-GB"/>
        </w:rPr>
        <w:t xml:space="preserve">notification </w:t>
      </w:r>
      <w:r w:rsidR="00012C9E" w:rsidRPr="000249AD">
        <w:rPr>
          <w:rFonts w:eastAsia="Times New Roman"/>
          <w:color w:val="000000"/>
          <w:lang w:eastAsia="en-GB"/>
        </w:rPr>
        <w:t xml:space="preserve">of </w:t>
      </w:r>
      <w:r w:rsidR="00916339" w:rsidRPr="000249AD">
        <w:rPr>
          <w:rFonts w:eastAsia="Times New Roman"/>
          <w:color w:val="000000"/>
          <w:lang w:eastAsia="en-GB"/>
        </w:rPr>
        <w:t xml:space="preserve">obligations </w:t>
      </w:r>
      <w:r w:rsidR="00012C9E" w:rsidRPr="000249AD">
        <w:rPr>
          <w:rFonts w:eastAsia="Times New Roman"/>
          <w:color w:val="000000"/>
          <w:lang w:eastAsia="en-GB"/>
        </w:rPr>
        <w:t xml:space="preserve">is sent </w:t>
      </w:r>
      <w:r w:rsidR="00916339" w:rsidRPr="000249AD">
        <w:rPr>
          <w:rFonts w:eastAsia="Times New Roman"/>
          <w:color w:val="000000"/>
          <w:lang w:eastAsia="en-GB"/>
        </w:rPr>
        <w:t>to the whole supply chain</w:t>
      </w:r>
      <w:r w:rsidR="00012C9E" w:rsidRPr="000249AD">
        <w:rPr>
          <w:rFonts w:eastAsia="Times New Roman"/>
          <w:color w:val="000000"/>
          <w:lang w:eastAsia="en-GB"/>
        </w:rPr>
        <w:t>,</w:t>
      </w:r>
      <w:r w:rsidR="00916339" w:rsidRPr="000249AD">
        <w:rPr>
          <w:rFonts w:eastAsia="Times New Roman"/>
          <w:color w:val="000000"/>
          <w:lang w:eastAsia="en-GB"/>
        </w:rPr>
        <w:t xml:space="preserve"> which </w:t>
      </w:r>
      <w:r w:rsidR="00012C9E" w:rsidRPr="000249AD">
        <w:rPr>
          <w:rFonts w:eastAsia="Times New Roman"/>
          <w:color w:val="000000"/>
          <w:lang w:eastAsia="en-GB"/>
        </w:rPr>
        <w:t xml:space="preserve">can benefit </w:t>
      </w:r>
      <w:r w:rsidR="00916339" w:rsidRPr="000249AD">
        <w:rPr>
          <w:rFonts w:eastAsia="Times New Roman"/>
          <w:color w:val="000000"/>
          <w:lang w:eastAsia="en-GB"/>
        </w:rPr>
        <w:t>consumers’ right to information</w:t>
      </w:r>
      <w:r w:rsidR="00012C9E" w:rsidRPr="000249AD">
        <w:rPr>
          <w:rFonts w:eastAsia="Times New Roman"/>
          <w:color w:val="000000"/>
          <w:lang w:eastAsia="en-GB"/>
        </w:rPr>
        <w:t>.</w:t>
      </w:r>
      <w:r w:rsidR="00916339" w:rsidRPr="000249AD">
        <w:rPr>
          <w:rFonts w:eastAsia="Times New Roman"/>
          <w:color w:val="000000"/>
          <w:lang w:eastAsia="en-GB"/>
        </w:rPr>
        <w:t xml:space="preserve"> </w:t>
      </w:r>
    </w:p>
    <w:p w14:paraId="7A090EAE" w14:textId="6F5C06AE" w:rsidR="00354E43" w:rsidRPr="000249AD" w:rsidRDefault="00F63142" w:rsidP="00012C9E">
      <w:pPr>
        <w:pStyle w:val="SingleTxtG"/>
        <w:tabs>
          <w:tab w:val="left" w:pos="1701"/>
        </w:tabs>
      </w:pPr>
      <w:r w:rsidRPr="000249AD">
        <w:t>16.</w:t>
      </w:r>
      <w:r w:rsidRPr="000249AD">
        <w:tab/>
        <w:t xml:space="preserve">Germany plays a prominent role in the implementation of REACH and other </w:t>
      </w:r>
      <w:r w:rsidR="00596BBC" w:rsidRPr="000249AD">
        <w:t>European Union</w:t>
      </w:r>
      <w:r w:rsidRPr="000249AD">
        <w:t xml:space="preserve"> chemicals legislation </w:t>
      </w:r>
      <w:r w:rsidR="00012C9E" w:rsidRPr="000249AD">
        <w:t xml:space="preserve">and </w:t>
      </w:r>
      <w:r w:rsidRPr="000249AD">
        <w:t xml:space="preserve">in discussions on future policy directions. </w:t>
      </w:r>
      <w:r w:rsidR="00012C9E" w:rsidRPr="000249AD">
        <w:t xml:space="preserve">It </w:t>
      </w:r>
      <w:r w:rsidRPr="000249AD">
        <w:t xml:space="preserve">makes frequent proposals to </w:t>
      </w:r>
      <w:r w:rsidR="001C64C9" w:rsidRPr="000249AD">
        <w:t>the European Chemicals Agency</w:t>
      </w:r>
      <w:r w:rsidR="00012C9E" w:rsidRPr="000249AD">
        <w:t>,</w:t>
      </w:r>
      <w:r w:rsidRPr="000249AD">
        <w:t xml:space="preserve"> is a major contributor </w:t>
      </w:r>
      <w:r w:rsidR="009E3F51" w:rsidRPr="000249AD">
        <w:t>of substance evaluations</w:t>
      </w:r>
      <w:r w:rsidRPr="000249AD">
        <w:t xml:space="preserve"> and contribute</w:t>
      </w:r>
      <w:r w:rsidR="00354E43" w:rsidRPr="000249AD">
        <w:t>s to risk management processes.</w:t>
      </w:r>
    </w:p>
    <w:p w14:paraId="6A9B06C0" w14:textId="3CD0ED6B" w:rsidR="00354E43" w:rsidRPr="000249AD" w:rsidRDefault="00F63142" w:rsidP="006F5227">
      <w:pPr>
        <w:pStyle w:val="SingleTxtG"/>
        <w:tabs>
          <w:tab w:val="left" w:pos="1701"/>
        </w:tabs>
      </w:pPr>
      <w:r w:rsidRPr="000249AD">
        <w:t>17.</w:t>
      </w:r>
      <w:r w:rsidRPr="000249AD">
        <w:tab/>
        <w:t xml:space="preserve">The Ministry of Environment noted that in many respects the public is </w:t>
      </w:r>
      <w:r w:rsidR="00012C9E" w:rsidRPr="000249AD">
        <w:t xml:space="preserve">given </w:t>
      </w:r>
      <w:r w:rsidRPr="000249AD">
        <w:t xml:space="preserve">a “right </w:t>
      </w:r>
      <w:r w:rsidR="00702138" w:rsidRPr="000249AD">
        <w:t>on information</w:t>
      </w:r>
      <w:r w:rsidRPr="000249AD">
        <w:t xml:space="preserve">” under REACH and </w:t>
      </w:r>
      <w:r w:rsidR="00012C9E" w:rsidRPr="000249AD">
        <w:t>the Regulation on classification, labelling and packaging</w:t>
      </w:r>
      <w:r w:rsidRPr="000249AD">
        <w:t xml:space="preserve">. It was noted that, for example, the public has the right to know whether a product contains </w:t>
      </w:r>
      <w:r w:rsidR="00E030D8" w:rsidRPr="000249AD">
        <w:t>a substance of very high concern</w:t>
      </w:r>
      <w:r w:rsidRPr="000249AD">
        <w:t xml:space="preserve">, and to </w:t>
      </w:r>
      <w:r w:rsidR="00FC455B" w:rsidRPr="000249AD">
        <w:t xml:space="preserve">comment on publicly available proposals on </w:t>
      </w:r>
      <w:r w:rsidRPr="000249AD">
        <w:t>restrictions</w:t>
      </w:r>
      <w:r w:rsidR="00FC455B" w:rsidRPr="000249AD">
        <w:t xml:space="preserve"> and</w:t>
      </w:r>
      <w:r w:rsidRPr="000249AD">
        <w:t xml:space="preserve"> harmonized classifications of substances.</w:t>
      </w:r>
    </w:p>
    <w:p w14:paraId="72868151" w14:textId="0EDF362F" w:rsidR="00354E43" w:rsidRPr="000249AD" w:rsidRDefault="00F63142" w:rsidP="00534EB6">
      <w:pPr>
        <w:pStyle w:val="SingleTxtG"/>
        <w:tabs>
          <w:tab w:val="left" w:pos="1701"/>
        </w:tabs>
      </w:pPr>
      <w:r w:rsidRPr="000249AD">
        <w:t>18.</w:t>
      </w:r>
      <w:r w:rsidRPr="000249AD">
        <w:tab/>
        <w:t xml:space="preserve">It also noted several challenges in the implementation of REACH. Fundamentally, the information provided by industry </w:t>
      </w:r>
      <w:r w:rsidR="008666D2" w:rsidRPr="000249AD">
        <w:t>is</w:t>
      </w:r>
      <w:r w:rsidRPr="000249AD">
        <w:t xml:space="preserve"> not </w:t>
      </w:r>
      <w:r w:rsidR="004A0680" w:rsidRPr="000249AD">
        <w:t xml:space="preserve">always </w:t>
      </w:r>
      <w:r w:rsidRPr="000249AD">
        <w:t>adequate</w:t>
      </w:r>
      <w:r w:rsidR="008666D2" w:rsidRPr="000249AD">
        <w:t>ly</w:t>
      </w:r>
      <w:r w:rsidRPr="000249AD">
        <w:t xml:space="preserve"> scrutinized. Compliance was questioned with information</w:t>
      </w:r>
      <w:r w:rsidR="009E3F51" w:rsidRPr="000249AD">
        <w:t xml:space="preserve"> needed for the assessment of hazardous properties</w:t>
      </w:r>
      <w:r w:rsidRPr="000249AD">
        <w:t xml:space="preserve"> missing or incomplete for numerous substances registered. Questions were raised about the willingness of and incentives for industry to fully implement REACH. </w:t>
      </w:r>
    </w:p>
    <w:p w14:paraId="78DCFC2E" w14:textId="1051CFF2" w:rsidR="00354E43" w:rsidRPr="000249AD" w:rsidRDefault="00F63142" w:rsidP="00D36981">
      <w:pPr>
        <w:pStyle w:val="SingleTxtG"/>
        <w:tabs>
          <w:tab w:val="left" w:pos="1701"/>
        </w:tabs>
      </w:pPr>
      <w:r w:rsidRPr="000249AD">
        <w:t>19.</w:t>
      </w:r>
      <w:r w:rsidRPr="000249AD">
        <w:tab/>
        <w:t>Along these lines, the Ministry of Environment noted a study taken on its own</w:t>
      </w:r>
      <w:r w:rsidR="00A1046B" w:rsidRPr="000249AD">
        <w:t xml:space="preserve"> </w:t>
      </w:r>
      <w:r w:rsidR="00DE1F81" w:rsidRPr="000249AD">
        <w:t>initiative</w:t>
      </w:r>
      <w:r w:rsidR="00B57F39" w:rsidRPr="000249AD">
        <w:t xml:space="preserve"> </w:t>
      </w:r>
      <w:r w:rsidR="00534EB6" w:rsidRPr="000249AD">
        <w:t xml:space="preserve">that </w:t>
      </w:r>
      <w:r w:rsidR="00B57F39" w:rsidRPr="000249AD">
        <w:t xml:space="preserve">documented that </w:t>
      </w:r>
      <w:r w:rsidR="00D65162" w:rsidRPr="000249AD">
        <w:t>only five per</w:t>
      </w:r>
      <w:r w:rsidR="00D36981" w:rsidRPr="000249AD">
        <w:t xml:space="preserve"> </w:t>
      </w:r>
      <w:r w:rsidR="00D65162" w:rsidRPr="000249AD">
        <w:t xml:space="preserve">cent </w:t>
      </w:r>
      <w:r w:rsidR="0082410F" w:rsidRPr="000249AD">
        <w:t>of high</w:t>
      </w:r>
      <w:r w:rsidR="00D36981" w:rsidRPr="000249AD">
        <w:t xml:space="preserve"> </w:t>
      </w:r>
      <w:r w:rsidR="0082410F" w:rsidRPr="000249AD">
        <w:t xml:space="preserve">tonnage substances are clearly in compliance with REACH requirements for information on </w:t>
      </w:r>
      <w:r w:rsidR="0098481D" w:rsidRPr="000249AD">
        <w:t>toxicity for reproduction</w:t>
      </w:r>
      <w:r w:rsidR="0082410F" w:rsidRPr="000249AD">
        <w:t>.</w:t>
      </w:r>
      <w:r w:rsidR="0098481D" w:rsidRPr="000249AD">
        <w:t xml:space="preserve"> For 78</w:t>
      </w:r>
      <w:r w:rsidR="00D36981" w:rsidRPr="000249AD">
        <w:t xml:space="preserve"> per cent </w:t>
      </w:r>
      <w:r w:rsidR="0098481D" w:rsidRPr="000249AD">
        <w:t>of the substances, either no data was available (11 per</w:t>
      </w:r>
      <w:r w:rsidR="00D36981" w:rsidRPr="000249AD">
        <w:t xml:space="preserve"> </w:t>
      </w:r>
      <w:r w:rsidR="0098481D" w:rsidRPr="000249AD">
        <w:t>cent) or data requirements were “adapted”</w:t>
      </w:r>
      <w:r w:rsidR="00D36981" w:rsidRPr="000249AD">
        <w:t>.</w:t>
      </w:r>
      <w:r w:rsidR="00916339" w:rsidRPr="00176051">
        <w:rPr>
          <w:rStyle w:val="FootnoteReference"/>
        </w:rPr>
        <w:footnoteReference w:id="7"/>
      </w:r>
      <w:r w:rsidR="0098481D" w:rsidRPr="000249AD">
        <w:t xml:space="preserve"> </w:t>
      </w:r>
      <w:r w:rsidR="0082410F" w:rsidRPr="000249AD">
        <w:t>I</w:t>
      </w:r>
      <w:r w:rsidR="00B57F39" w:rsidRPr="000249AD">
        <w:t xml:space="preserve">t remains to be clarified for the vast majority of high tonnage substances in the </w:t>
      </w:r>
      <w:r w:rsidR="00596BBC" w:rsidRPr="000249AD">
        <w:t>European Union</w:t>
      </w:r>
      <w:r w:rsidR="0082410F" w:rsidRPr="000249AD">
        <w:t xml:space="preserve"> </w:t>
      </w:r>
      <w:r w:rsidR="00B57F39" w:rsidRPr="000249AD">
        <w:t xml:space="preserve">whether </w:t>
      </w:r>
      <w:r w:rsidR="00AA1A29" w:rsidRPr="000249AD">
        <w:t>sufficient</w:t>
      </w:r>
      <w:r w:rsidR="00B57F39" w:rsidRPr="000249AD">
        <w:t xml:space="preserve"> information on prenatal developmental toxicity and toxicity for reproduction is </w:t>
      </w:r>
      <w:r w:rsidR="00AA1A29" w:rsidRPr="000249AD">
        <w:t>available</w:t>
      </w:r>
      <w:r w:rsidRPr="000249AD">
        <w:t xml:space="preserve">. This information is necessary in assessing the potential health impacts of industrial chemicals in products and the environment on </w:t>
      </w:r>
      <w:r w:rsidR="00FC455B" w:rsidRPr="000249AD">
        <w:t xml:space="preserve">fertility and on (developing) </w:t>
      </w:r>
      <w:r w:rsidRPr="000249AD">
        <w:t>children, and required for implementation of the Convention on the Rights of the Child.</w:t>
      </w:r>
    </w:p>
    <w:p w14:paraId="47503DF5" w14:textId="571995FF" w:rsidR="00354E43" w:rsidRPr="000249AD" w:rsidRDefault="00F63142" w:rsidP="00D36981">
      <w:pPr>
        <w:pStyle w:val="SingleTxtG"/>
        <w:tabs>
          <w:tab w:val="left" w:pos="1701"/>
        </w:tabs>
      </w:pPr>
      <w:r w:rsidRPr="000249AD">
        <w:t>20.</w:t>
      </w:r>
      <w:r w:rsidRPr="000249AD">
        <w:tab/>
        <w:t xml:space="preserve">The Ministry also noted the substantial difficulty in assessing causation for illnesses linked to long-term exposure to even one toxic substance, let alone the mixture of toxic substances people are exposed to throughout life. </w:t>
      </w:r>
      <w:r w:rsidR="00CB6FAC" w:rsidRPr="000249AD">
        <w:t>Comprehensive</w:t>
      </w:r>
      <w:r w:rsidRPr="000249AD">
        <w:t xml:space="preserve"> information is only provided for substances greater than 100 tons, which represent </w:t>
      </w:r>
      <w:r w:rsidR="003A29F0" w:rsidRPr="000249AD">
        <w:t>about 4</w:t>
      </w:r>
      <w:r w:rsidR="008666D2" w:rsidRPr="000249AD">
        <w:t>,</w:t>
      </w:r>
      <w:r w:rsidR="003A29F0" w:rsidRPr="000249AD">
        <w:t>100 substances</w:t>
      </w:r>
      <w:r w:rsidRPr="000249AD">
        <w:t xml:space="preserve"> of </w:t>
      </w:r>
      <w:r w:rsidRPr="000249AD">
        <w:lastRenderedPageBreak/>
        <w:t xml:space="preserve">the 30,000 substances subject to REACH. Various </w:t>
      </w:r>
      <w:r w:rsidR="00D36981" w:rsidRPr="000249AD">
        <w:t>m</w:t>
      </w:r>
      <w:r w:rsidRPr="000249AD">
        <w:t xml:space="preserve">inistries and </w:t>
      </w:r>
      <w:r w:rsidR="00D36981" w:rsidRPr="000249AD">
        <w:t>a</w:t>
      </w:r>
      <w:r w:rsidRPr="000249AD">
        <w:t>gencies confirmed that this is a serious challenge for victims to realize their right to a remedy.</w:t>
      </w:r>
    </w:p>
    <w:p w14:paraId="114AE2B9" w14:textId="39DCBD36" w:rsidR="00354E43" w:rsidRPr="000249AD" w:rsidRDefault="00F63142" w:rsidP="00AE7004">
      <w:pPr>
        <w:pStyle w:val="SingleTxtG"/>
        <w:tabs>
          <w:tab w:val="left" w:pos="1701"/>
        </w:tabs>
      </w:pPr>
      <w:r w:rsidRPr="000249AD">
        <w:t>21.</w:t>
      </w:r>
      <w:r w:rsidRPr="000249AD">
        <w:tab/>
        <w:t xml:space="preserve">BASF is the largest REACH registrant. Compared with other companies, BASF has an ambitious </w:t>
      </w:r>
      <w:r w:rsidR="006A18E7">
        <w:t>“</w:t>
      </w:r>
      <w:r w:rsidRPr="000249AD">
        <w:t>product stewardship</w:t>
      </w:r>
      <w:r w:rsidR="006A18E7">
        <w:t>”</w:t>
      </w:r>
      <w:r w:rsidRPr="000249AD">
        <w:t xml:space="preserve"> goal, to re-evaluate risk assessments for</w:t>
      </w:r>
      <w:r w:rsidR="00D36777" w:rsidRPr="000249AD">
        <w:t xml:space="preserve"> more than 99 per cent of its</w:t>
      </w:r>
      <w:r w:rsidRPr="000249AD">
        <w:t xml:space="preserve"> products sold globally in quantities </w:t>
      </w:r>
      <w:r w:rsidR="006F5227" w:rsidRPr="000249AD">
        <w:t xml:space="preserve">greater </w:t>
      </w:r>
      <w:r w:rsidRPr="000249AD">
        <w:t xml:space="preserve">than </w:t>
      </w:r>
      <w:r w:rsidR="00D36981" w:rsidRPr="000249AD">
        <w:t xml:space="preserve">one </w:t>
      </w:r>
      <w:r w:rsidRPr="000249AD">
        <w:t xml:space="preserve">metric ton, by 2020. BASF told the Special Rapporteur </w:t>
      </w:r>
      <w:r w:rsidR="00D36981" w:rsidRPr="000249AD">
        <w:t>that s</w:t>
      </w:r>
      <w:r w:rsidRPr="000249AD">
        <w:t xml:space="preserve">afety </w:t>
      </w:r>
      <w:r w:rsidR="00D36981" w:rsidRPr="000249AD">
        <w:t>d</w:t>
      </w:r>
      <w:r w:rsidRPr="000249AD">
        <w:t xml:space="preserve">ata </w:t>
      </w:r>
      <w:r w:rsidR="00D36981" w:rsidRPr="000249AD">
        <w:t>s</w:t>
      </w:r>
      <w:r w:rsidRPr="000249AD">
        <w:t xml:space="preserve">heets </w:t>
      </w:r>
      <w:r w:rsidR="00D36981" w:rsidRPr="000249AD">
        <w:t xml:space="preserve">are prepared </w:t>
      </w:r>
      <w:r w:rsidRPr="000249AD">
        <w:t xml:space="preserve">for </w:t>
      </w:r>
      <w:r w:rsidR="00781276" w:rsidRPr="000249AD">
        <w:t xml:space="preserve">all </w:t>
      </w:r>
      <w:r w:rsidR="00D36981" w:rsidRPr="000249AD">
        <w:t>of the company</w:t>
      </w:r>
      <w:r w:rsidR="006A18E7">
        <w:t>’</w:t>
      </w:r>
      <w:r w:rsidR="00D36981" w:rsidRPr="000249AD">
        <w:t xml:space="preserve">s </w:t>
      </w:r>
      <w:r w:rsidR="00781276" w:rsidRPr="000249AD">
        <w:t xml:space="preserve">chemical </w:t>
      </w:r>
      <w:r w:rsidRPr="000249AD">
        <w:t>products</w:t>
      </w:r>
      <w:r w:rsidR="00781276" w:rsidRPr="000249AD">
        <w:t xml:space="preserve">, despite </w:t>
      </w:r>
      <w:r w:rsidR="008666D2" w:rsidRPr="000249AD">
        <w:t xml:space="preserve">being </w:t>
      </w:r>
      <w:r w:rsidR="00781276" w:rsidRPr="000249AD">
        <w:t xml:space="preserve">legally required </w:t>
      </w:r>
      <w:r w:rsidR="00D36981" w:rsidRPr="000249AD">
        <w:t xml:space="preserve">to do so only </w:t>
      </w:r>
      <w:r w:rsidR="00781276" w:rsidRPr="000249AD">
        <w:t>for hazardous substances.</w:t>
      </w:r>
      <w:r w:rsidRPr="000249AD">
        <w:t xml:space="preserve"> </w:t>
      </w:r>
      <w:r w:rsidR="00D36981" w:rsidRPr="000249AD">
        <w:t xml:space="preserve">The company </w:t>
      </w:r>
      <w:r w:rsidRPr="000249AD">
        <w:t>also include</w:t>
      </w:r>
      <w:r w:rsidR="00D36981" w:rsidRPr="000249AD">
        <w:t>s</w:t>
      </w:r>
      <w:r w:rsidRPr="000249AD">
        <w:t xml:space="preserve"> </w:t>
      </w:r>
      <w:r w:rsidR="00D36981" w:rsidRPr="000249AD">
        <w:t xml:space="preserve">a </w:t>
      </w:r>
      <w:r w:rsidRPr="000249AD">
        <w:t xml:space="preserve">risk assessment on the </w:t>
      </w:r>
      <w:r w:rsidR="006A18E7">
        <w:t>“</w:t>
      </w:r>
      <w:r w:rsidRPr="000249AD">
        <w:t>uses</w:t>
      </w:r>
      <w:r w:rsidR="006A18E7">
        <w:t>”</w:t>
      </w:r>
      <w:r w:rsidRPr="000249AD">
        <w:t xml:space="preserve"> of the chemicals, which represents a significant and necessary improvement.</w:t>
      </w:r>
    </w:p>
    <w:p w14:paraId="17ABD1EB" w14:textId="4C473544" w:rsidR="00354E43" w:rsidRPr="000249AD" w:rsidRDefault="00F63142" w:rsidP="00D36981">
      <w:pPr>
        <w:pStyle w:val="SingleTxtG"/>
        <w:tabs>
          <w:tab w:val="left" w:pos="1701"/>
        </w:tabs>
        <w:rPr>
          <w:rFonts w:eastAsia="Calibri"/>
        </w:rPr>
      </w:pPr>
      <w:r w:rsidRPr="000249AD">
        <w:t>22.</w:t>
      </w:r>
      <w:r w:rsidRPr="000249AD">
        <w:tab/>
        <w:t>BASF also has the dubious honour of having the most chemicals in production that are identified thus far as “</w:t>
      </w:r>
      <w:r w:rsidR="00D36981" w:rsidRPr="000249AD">
        <w:t>s</w:t>
      </w:r>
      <w:r w:rsidR="0081408B" w:rsidRPr="000249AD">
        <w:t xml:space="preserve">ubstances of </w:t>
      </w:r>
      <w:r w:rsidR="00D36981" w:rsidRPr="000249AD">
        <w:t>v</w:t>
      </w:r>
      <w:r w:rsidR="0081408B" w:rsidRPr="000249AD">
        <w:t xml:space="preserve">ery </w:t>
      </w:r>
      <w:r w:rsidR="00D36981" w:rsidRPr="000249AD">
        <w:t>h</w:t>
      </w:r>
      <w:r w:rsidR="0081408B" w:rsidRPr="000249AD">
        <w:t xml:space="preserve">igh </w:t>
      </w:r>
      <w:r w:rsidR="00D36981" w:rsidRPr="000249AD">
        <w:t>c</w:t>
      </w:r>
      <w:r w:rsidR="0081408B" w:rsidRPr="000249AD">
        <w:t>oncern</w:t>
      </w:r>
      <w:r w:rsidRPr="000249AD">
        <w:t>”</w:t>
      </w:r>
      <w:r w:rsidR="00D36981" w:rsidRPr="000249AD">
        <w:t>.</w:t>
      </w:r>
      <w:r w:rsidRPr="000249AD">
        <w:t xml:space="preserve"> Regarding </w:t>
      </w:r>
      <w:r w:rsidR="00D36981" w:rsidRPr="000249AD">
        <w:t xml:space="preserve">its </w:t>
      </w:r>
      <w:r w:rsidRPr="000249AD">
        <w:t xml:space="preserve">efforts to phase out harmful chemicals, BASF explained the value of proactively finding internal solutions ahead of </w:t>
      </w:r>
      <w:r w:rsidR="00596BBC" w:rsidRPr="000249AD">
        <w:t>European Union</w:t>
      </w:r>
      <w:r w:rsidRPr="000249AD">
        <w:t xml:space="preserve"> regulators. </w:t>
      </w:r>
      <w:r w:rsidR="00D36981" w:rsidRPr="000249AD">
        <w:t xml:space="preserve">It </w:t>
      </w:r>
      <w:r w:rsidRPr="000249AD">
        <w:rPr>
          <w:rFonts w:eastAsia="Calibri"/>
        </w:rPr>
        <w:t>categorize</w:t>
      </w:r>
      <w:r w:rsidR="00D36981" w:rsidRPr="000249AD">
        <w:rPr>
          <w:rFonts w:eastAsia="Calibri"/>
        </w:rPr>
        <w:t>s</w:t>
      </w:r>
      <w:r w:rsidRPr="000249AD">
        <w:rPr>
          <w:rFonts w:eastAsia="Calibri"/>
        </w:rPr>
        <w:t xml:space="preserve"> </w:t>
      </w:r>
      <w:r w:rsidR="00D36981" w:rsidRPr="000249AD">
        <w:rPr>
          <w:rFonts w:eastAsia="Calibri"/>
        </w:rPr>
        <w:t xml:space="preserve">its </w:t>
      </w:r>
      <w:r w:rsidRPr="000249AD">
        <w:rPr>
          <w:rFonts w:eastAsia="Calibri"/>
        </w:rPr>
        <w:t>products into four groups relative to their sustainability, to allow for internal discussions about substitution or phase out at every level of operation.</w:t>
      </w:r>
    </w:p>
    <w:p w14:paraId="08E1D6B9" w14:textId="61C3459C" w:rsidR="00354E43" w:rsidRPr="000249AD" w:rsidRDefault="00F63142" w:rsidP="00D36981">
      <w:pPr>
        <w:pStyle w:val="SingleTxtG"/>
        <w:tabs>
          <w:tab w:val="left" w:pos="1701"/>
        </w:tabs>
      </w:pPr>
      <w:r w:rsidRPr="000249AD">
        <w:t>23.</w:t>
      </w:r>
      <w:r w:rsidRPr="000249AD">
        <w:tab/>
        <w:t xml:space="preserve">Regarding the fact that chemicals banned in the </w:t>
      </w:r>
      <w:r w:rsidR="00596BBC" w:rsidRPr="000249AD">
        <w:t>European Union</w:t>
      </w:r>
      <w:r w:rsidRPr="000249AD">
        <w:t xml:space="preserve"> are still manufactured by the company in its operations outside the region, BASF also explained that phasing out a substance is not something that can be done quickly</w:t>
      </w:r>
      <w:r w:rsidR="00607064" w:rsidRPr="000249AD">
        <w:t>,</w:t>
      </w:r>
      <w:r w:rsidRPr="000249AD">
        <w:t xml:space="preserve"> so phase</w:t>
      </w:r>
      <w:r w:rsidR="00D36981" w:rsidRPr="000249AD">
        <w:t>-</w:t>
      </w:r>
      <w:r w:rsidRPr="000249AD">
        <w:t>out gaps between production sites will vary.</w:t>
      </w:r>
    </w:p>
    <w:p w14:paraId="24F5FC3D" w14:textId="4BD57BA6" w:rsidR="00354E43" w:rsidRPr="000249AD" w:rsidRDefault="00F63142" w:rsidP="00354E43">
      <w:pPr>
        <w:pStyle w:val="SingleTxtG"/>
        <w:tabs>
          <w:tab w:val="left" w:pos="1701"/>
        </w:tabs>
      </w:pPr>
      <w:r w:rsidRPr="000249AD">
        <w:t>24.</w:t>
      </w:r>
      <w:r w:rsidRPr="000249AD">
        <w:tab/>
        <w:t>Despite the reporting requirements of REACH, companies remain seriously challenged in tracing the use of chemicals throughout the supply chain, which pose</w:t>
      </w:r>
      <w:r w:rsidR="00D36981" w:rsidRPr="000249AD">
        <w:t>s</w:t>
      </w:r>
      <w:r w:rsidRPr="000249AD">
        <w:t xml:space="preserve"> grave threats to human rights.</w:t>
      </w:r>
    </w:p>
    <w:p w14:paraId="4CF2D697" w14:textId="52D47E82" w:rsidR="00354E43" w:rsidRPr="000249AD" w:rsidRDefault="00F63142" w:rsidP="00947E53">
      <w:pPr>
        <w:pStyle w:val="SingleTxtG"/>
        <w:tabs>
          <w:tab w:val="left" w:pos="1701"/>
        </w:tabs>
        <w:rPr>
          <w:rFonts w:eastAsia="Calibri"/>
        </w:rPr>
      </w:pPr>
      <w:r w:rsidRPr="000249AD">
        <w:t>25.</w:t>
      </w:r>
      <w:r w:rsidRPr="000249AD">
        <w:tab/>
        <w:t xml:space="preserve">The </w:t>
      </w:r>
      <w:r w:rsidR="00F03C4D" w:rsidRPr="000249AD">
        <w:t>German Chemical Industry Association</w:t>
      </w:r>
      <w:r w:rsidR="00D36A9B" w:rsidRPr="000249AD">
        <w:t>,</w:t>
      </w:r>
      <w:r w:rsidRPr="000249AD">
        <w:t xml:space="preserve"> represent</w:t>
      </w:r>
      <w:r w:rsidR="00D36A9B" w:rsidRPr="000249AD">
        <w:t>ing</w:t>
      </w:r>
      <w:r w:rsidRPr="000249AD">
        <w:t xml:space="preserve"> 1,600 companies</w:t>
      </w:r>
      <w:r w:rsidR="00D36A9B" w:rsidRPr="000249AD">
        <w:t xml:space="preserve"> and</w:t>
      </w:r>
      <w:r w:rsidRPr="000249AD">
        <w:t xml:space="preserve"> accounting for 95</w:t>
      </w:r>
      <w:r w:rsidR="00D36981" w:rsidRPr="000249AD">
        <w:t xml:space="preserve"> per cent</w:t>
      </w:r>
      <w:r w:rsidRPr="000249AD">
        <w:t xml:space="preserve"> of the chemical industry in Germany,</w:t>
      </w:r>
      <w:r w:rsidRPr="000249AD">
        <w:rPr>
          <w:rFonts w:eastAsia="Calibri"/>
        </w:rPr>
        <w:t xml:space="preserve"> told the Special Rapporteur that </w:t>
      </w:r>
      <w:r w:rsidR="00947E53" w:rsidRPr="000249AD">
        <w:rPr>
          <w:rFonts w:eastAsia="Calibri"/>
        </w:rPr>
        <w:t xml:space="preserve">the </w:t>
      </w:r>
      <w:r w:rsidRPr="000249AD">
        <w:rPr>
          <w:rFonts w:eastAsia="Calibri"/>
        </w:rPr>
        <w:t xml:space="preserve">German chemical industry is dedicated to fulfilling the </w:t>
      </w:r>
      <w:r w:rsidRPr="000249AD">
        <w:t xml:space="preserve">Strategic Approach to International Chemicals Management, through the implementation of its </w:t>
      </w:r>
      <w:r w:rsidRPr="000249AD">
        <w:rPr>
          <w:rFonts w:eastAsia="Calibri"/>
        </w:rPr>
        <w:t>Global Product Strategy 2006.</w:t>
      </w:r>
    </w:p>
    <w:p w14:paraId="0270D431" w14:textId="2191FC8E" w:rsidR="00354E43" w:rsidRPr="000249AD" w:rsidRDefault="00F63142" w:rsidP="00AE7004">
      <w:pPr>
        <w:pStyle w:val="SingleTxtG"/>
        <w:tabs>
          <w:tab w:val="left" w:pos="1701"/>
        </w:tabs>
        <w:rPr>
          <w:rFonts w:eastAsia="Calibri"/>
        </w:rPr>
      </w:pPr>
      <w:r w:rsidRPr="000249AD">
        <w:rPr>
          <w:rFonts w:eastAsia="Calibri"/>
        </w:rPr>
        <w:t>26.</w:t>
      </w:r>
      <w:r w:rsidRPr="000249AD">
        <w:rPr>
          <w:rFonts w:eastAsia="Calibri"/>
        </w:rPr>
        <w:tab/>
      </w:r>
      <w:r w:rsidR="00F03C4D" w:rsidRPr="000249AD">
        <w:rPr>
          <w:rFonts w:eastAsia="Calibri"/>
        </w:rPr>
        <w:t xml:space="preserve">The </w:t>
      </w:r>
      <w:r w:rsidR="00F03C4D" w:rsidRPr="000249AD">
        <w:t>Association</w:t>
      </w:r>
      <w:r w:rsidR="00F03C4D" w:rsidRPr="000249AD">
        <w:rPr>
          <w:rFonts w:eastAsia="Calibri"/>
        </w:rPr>
        <w:t xml:space="preserve"> </w:t>
      </w:r>
      <w:r w:rsidRPr="000249AD">
        <w:rPr>
          <w:rFonts w:eastAsia="Calibri"/>
        </w:rPr>
        <w:t>highlighted two German initiatives of the Global Product Strategy</w:t>
      </w:r>
      <w:r w:rsidR="006864C5" w:rsidRPr="000249AD">
        <w:rPr>
          <w:rFonts w:eastAsia="Calibri"/>
        </w:rPr>
        <w:t>:</w:t>
      </w:r>
      <w:r w:rsidRPr="000249AD">
        <w:rPr>
          <w:rFonts w:eastAsia="Calibri"/>
        </w:rPr>
        <w:t xml:space="preserve"> the</w:t>
      </w:r>
      <w:r w:rsidRPr="000249AD">
        <w:t xml:space="preserve"> </w:t>
      </w:r>
      <w:r w:rsidR="006A18E7">
        <w:t>“</w:t>
      </w:r>
      <w:r w:rsidR="006864C5" w:rsidRPr="000249AD">
        <w:t>r</w:t>
      </w:r>
      <w:r w:rsidRPr="000249AD">
        <w:t xml:space="preserve">esponsible </w:t>
      </w:r>
      <w:r w:rsidR="006864C5" w:rsidRPr="000249AD">
        <w:t>c</w:t>
      </w:r>
      <w:r w:rsidRPr="000249AD">
        <w:t>are</w:t>
      </w:r>
      <w:r w:rsidR="006A18E7">
        <w:t>”</w:t>
      </w:r>
      <w:r w:rsidRPr="000249AD">
        <w:t xml:space="preserve"> programme</w:t>
      </w:r>
      <w:r w:rsidR="006864C5" w:rsidRPr="000249AD">
        <w:t>,</w:t>
      </w:r>
      <w:r w:rsidRPr="000249AD">
        <w:t xml:space="preserve"> which aims to improve safety and the protection of health and the environment; and the sustainability initiative called “Chemie³”</w:t>
      </w:r>
      <w:r w:rsidR="006864C5" w:rsidRPr="000249AD">
        <w:t>,</w:t>
      </w:r>
      <w:r w:rsidRPr="000249AD">
        <w:t xml:space="preserve"> which is a common effort with the employers</w:t>
      </w:r>
      <w:r w:rsidR="006A18E7">
        <w:t>’</w:t>
      </w:r>
      <w:r w:rsidRPr="000249AD">
        <w:t xml:space="preserve"> association and the major union of the chemical industry. </w:t>
      </w:r>
      <w:r w:rsidR="00F03C4D" w:rsidRPr="000249AD">
        <w:t xml:space="preserve">It </w:t>
      </w:r>
      <w:r w:rsidRPr="000249AD">
        <w:t xml:space="preserve">also advised that all </w:t>
      </w:r>
      <w:r w:rsidRPr="000249AD">
        <w:rPr>
          <w:rFonts w:eastAsia="Calibri"/>
        </w:rPr>
        <w:t xml:space="preserve">major German chemical multinationals have signed the </w:t>
      </w:r>
      <w:r w:rsidR="001A46BD" w:rsidRPr="000249AD">
        <w:rPr>
          <w:rFonts w:eastAsia="Calibri"/>
        </w:rPr>
        <w:t xml:space="preserve">United Nations </w:t>
      </w:r>
      <w:r w:rsidRPr="000249AD">
        <w:rPr>
          <w:rFonts w:eastAsia="Calibri"/>
        </w:rPr>
        <w:t>Global Compact on sustainable development.</w:t>
      </w:r>
    </w:p>
    <w:p w14:paraId="0495204E" w14:textId="17DFD747" w:rsidR="00354E43" w:rsidRPr="000249AD" w:rsidRDefault="00F63142" w:rsidP="00CD192C">
      <w:pPr>
        <w:pStyle w:val="SingleTxtG"/>
        <w:tabs>
          <w:tab w:val="left" w:pos="1701"/>
        </w:tabs>
      </w:pPr>
      <w:r w:rsidRPr="000249AD">
        <w:rPr>
          <w:rFonts w:eastAsia="Calibri"/>
        </w:rPr>
        <w:t>27.</w:t>
      </w:r>
      <w:r w:rsidRPr="000249AD">
        <w:rPr>
          <w:rFonts w:eastAsia="Calibri"/>
        </w:rPr>
        <w:tab/>
      </w:r>
      <w:r w:rsidRPr="000249AD">
        <w:t>The Global Product Strategy was held out to be the industry’s contribution to promot</w:t>
      </w:r>
      <w:r w:rsidR="004F416C" w:rsidRPr="000249AD">
        <w:t>ing</w:t>
      </w:r>
      <w:r w:rsidRPr="000249AD">
        <w:t xml:space="preserve"> human rights and safety by raising and harmonizing standards for </w:t>
      </w:r>
      <w:r w:rsidR="004F416C" w:rsidRPr="000249AD">
        <w:t xml:space="preserve">the handling of </w:t>
      </w:r>
      <w:r w:rsidRPr="000249AD">
        <w:t>chemicals throughout the world</w:t>
      </w:r>
      <w:r w:rsidR="004F416C" w:rsidRPr="000249AD">
        <w:t>,</w:t>
      </w:r>
      <w:r w:rsidRPr="000249AD">
        <w:t xml:space="preserve"> in developing, emerging and industrialized nations alike. It applies to all chemical companies and captures the entire product and value chain. </w:t>
      </w:r>
      <w:r w:rsidR="00F03C4D" w:rsidRPr="000249AD">
        <w:t xml:space="preserve">The German Chemical Industry Association </w:t>
      </w:r>
      <w:r w:rsidR="00CD192C" w:rsidRPr="000249AD">
        <w:t xml:space="preserve">stated it has </w:t>
      </w:r>
      <w:r w:rsidR="00607064" w:rsidRPr="000249AD">
        <w:t>Global Product Strategy</w:t>
      </w:r>
      <w:r w:rsidRPr="000249AD">
        <w:t xml:space="preserve"> documents for 5,000 substances and hope</w:t>
      </w:r>
      <w:r w:rsidR="00607064" w:rsidRPr="000249AD">
        <w:t>s</w:t>
      </w:r>
      <w:r w:rsidRPr="000249AD">
        <w:t xml:space="preserve"> to reach the goal of 20,000 substances </w:t>
      </w:r>
      <w:r w:rsidR="00CD192C" w:rsidRPr="000249AD">
        <w:t xml:space="preserve">by </w:t>
      </w:r>
      <w:r w:rsidRPr="000249AD">
        <w:t xml:space="preserve">2020. </w:t>
      </w:r>
    </w:p>
    <w:p w14:paraId="58C5A6D0" w14:textId="0B6CCE83" w:rsidR="00354E43" w:rsidRPr="000249AD" w:rsidRDefault="00F63142" w:rsidP="00CD192C">
      <w:pPr>
        <w:pStyle w:val="SingleTxtG"/>
        <w:tabs>
          <w:tab w:val="left" w:pos="1701"/>
        </w:tabs>
      </w:pPr>
      <w:r w:rsidRPr="000249AD">
        <w:t>28.</w:t>
      </w:r>
      <w:r w:rsidRPr="000249AD">
        <w:tab/>
      </w:r>
      <w:r w:rsidR="00CD192C" w:rsidRPr="000249AD">
        <w:t xml:space="preserve">While </w:t>
      </w:r>
      <w:r w:rsidRPr="000249AD">
        <w:t xml:space="preserve">greater transparency and communication with customers and the public is welcomed </w:t>
      </w:r>
      <w:r w:rsidR="00CD192C" w:rsidRPr="000249AD">
        <w:t xml:space="preserve">from a human rights perspective — </w:t>
      </w:r>
      <w:r w:rsidRPr="000249AD">
        <w:t xml:space="preserve">not least to enhance public confidence in the chemical industry </w:t>
      </w:r>
      <w:r w:rsidR="00CD192C" w:rsidRPr="000249AD">
        <w:t>—</w:t>
      </w:r>
      <w:r w:rsidRPr="000249AD">
        <w:t xml:space="preserve"> the Special Rapporteur is mindful that such commitments are merely voluntary.</w:t>
      </w:r>
    </w:p>
    <w:p w14:paraId="438F9AF0" w14:textId="07021AEC" w:rsidR="00F63142" w:rsidRPr="000249AD" w:rsidRDefault="00F63142" w:rsidP="00745E1C">
      <w:pPr>
        <w:pStyle w:val="SingleTxtG"/>
        <w:tabs>
          <w:tab w:val="left" w:pos="1701"/>
        </w:tabs>
        <w:rPr>
          <w:rFonts w:eastAsia="Calibri"/>
        </w:rPr>
      </w:pPr>
      <w:r w:rsidRPr="000249AD">
        <w:lastRenderedPageBreak/>
        <w:t>29.</w:t>
      </w:r>
      <w:r w:rsidRPr="000249AD">
        <w:tab/>
      </w:r>
      <w:r w:rsidR="00F03C4D" w:rsidRPr="000249AD">
        <w:t xml:space="preserve">The German Chemical Industry Association </w:t>
      </w:r>
      <w:r w:rsidRPr="000249AD">
        <w:t>also offered some examples of capacity</w:t>
      </w:r>
      <w:r w:rsidR="00CD192C" w:rsidRPr="000249AD">
        <w:t>-</w:t>
      </w:r>
      <w:r w:rsidRPr="000249AD">
        <w:t>building initiatives</w:t>
      </w:r>
      <w:r w:rsidRPr="00176051">
        <w:rPr>
          <w:rStyle w:val="FootnoteReference"/>
        </w:rPr>
        <w:footnoteReference w:id="8"/>
      </w:r>
      <w:r w:rsidRPr="000249AD">
        <w:t xml:space="preserve"> by its member companies</w:t>
      </w:r>
      <w:r w:rsidR="00745E1C" w:rsidRPr="000249AD">
        <w:t>,</w:t>
      </w:r>
      <w:r w:rsidRPr="000249AD">
        <w:t xml:space="preserve"> who are implementing the Global Product Strategy and a </w:t>
      </w:r>
      <w:r w:rsidRPr="000249AD">
        <w:rPr>
          <w:rFonts w:eastAsia="Calibri"/>
        </w:rPr>
        <w:t xml:space="preserve">regulatory toolbox developed with </w:t>
      </w:r>
      <w:r w:rsidR="001A46BD" w:rsidRPr="000249AD">
        <w:rPr>
          <w:rFonts w:eastAsia="Calibri"/>
        </w:rPr>
        <w:t>the United Nations Environment Programme (UNEP)</w:t>
      </w:r>
      <w:r w:rsidRPr="000249AD">
        <w:rPr>
          <w:rFonts w:eastAsia="Calibri"/>
        </w:rPr>
        <w:t xml:space="preserve"> so </w:t>
      </w:r>
      <w:r w:rsidR="00745E1C" w:rsidRPr="000249AD">
        <w:rPr>
          <w:rFonts w:eastAsia="Calibri"/>
        </w:rPr>
        <w:t xml:space="preserve">that </w:t>
      </w:r>
      <w:r w:rsidRPr="000249AD">
        <w:rPr>
          <w:rFonts w:eastAsia="Calibri"/>
        </w:rPr>
        <w:t xml:space="preserve">countries can determine which regulatory setting is </w:t>
      </w:r>
      <w:r w:rsidR="00745E1C" w:rsidRPr="000249AD">
        <w:rPr>
          <w:rFonts w:eastAsia="Calibri"/>
        </w:rPr>
        <w:t xml:space="preserve">most </w:t>
      </w:r>
      <w:r w:rsidRPr="000249AD">
        <w:rPr>
          <w:rFonts w:eastAsia="Calibri"/>
        </w:rPr>
        <w:t>fit for purpose to safeguard health and environment.</w:t>
      </w:r>
    </w:p>
    <w:p w14:paraId="7737CEA3" w14:textId="10B7ACD3" w:rsidR="00F63142" w:rsidRPr="00AE7004" w:rsidRDefault="007E6C52" w:rsidP="00AE7004">
      <w:pPr>
        <w:pStyle w:val="H23G"/>
      </w:pPr>
      <w:r>
        <w:tab/>
      </w:r>
      <w:r>
        <w:tab/>
      </w:r>
      <w:r w:rsidR="00F63142" w:rsidRPr="00AE7004">
        <w:t>Sustainable chemistry</w:t>
      </w:r>
    </w:p>
    <w:p w14:paraId="5CD63365" w14:textId="2C19D58E" w:rsidR="00354E43" w:rsidRPr="000249AD" w:rsidRDefault="00F63142" w:rsidP="00F9359C">
      <w:pPr>
        <w:pStyle w:val="SingleTxtG"/>
        <w:tabs>
          <w:tab w:val="left" w:pos="1701"/>
        </w:tabs>
      </w:pPr>
      <w:r w:rsidRPr="000249AD">
        <w:t>30.</w:t>
      </w:r>
      <w:r w:rsidRPr="000249AD">
        <w:tab/>
        <w:t xml:space="preserve">The Ministry </w:t>
      </w:r>
      <w:r w:rsidR="00F9359C" w:rsidRPr="000249AD">
        <w:t xml:space="preserve">of </w:t>
      </w:r>
      <w:r w:rsidRPr="000249AD">
        <w:t xml:space="preserve">the Environment and the </w:t>
      </w:r>
      <w:r w:rsidR="00434AA3" w:rsidRPr="000249AD">
        <w:t xml:space="preserve">German Federal </w:t>
      </w:r>
      <w:r w:rsidRPr="000249AD">
        <w:t>Environment Agency are developing and initiating an international centre for sustainable chemistry called the International Sustainable Chemistry Collaborative Centre</w:t>
      </w:r>
      <w:r w:rsidR="00D36A9B" w:rsidRPr="000249AD">
        <w:t>,</w:t>
      </w:r>
      <w:r w:rsidRPr="000249AD">
        <w:t xml:space="preserve"> which aims to enhance the sound management of chemicals. The German authorities are inviting interested stakeholders at the national and international level</w:t>
      </w:r>
      <w:r w:rsidR="00BC23BE" w:rsidRPr="000249AD">
        <w:t>s</w:t>
      </w:r>
      <w:r w:rsidRPr="000249AD">
        <w:t xml:space="preserve"> to participate in the work of the centre and join the network that aims to create a common platform to drive sustainable development and progress.</w:t>
      </w:r>
    </w:p>
    <w:p w14:paraId="0573F580" w14:textId="7622833F" w:rsidR="00F63142" w:rsidRPr="000249AD" w:rsidRDefault="00F63142" w:rsidP="00474CF4">
      <w:pPr>
        <w:pStyle w:val="SingleTxtG"/>
        <w:tabs>
          <w:tab w:val="left" w:pos="1701"/>
        </w:tabs>
      </w:pPr>
      <w:r w:rsidRPr="000249AD">
        <w:t>31.</w:t>
      </w:r>
      <w:r w:rsidRPr="000249AD">
        <w:tab/>
        <w:t xml:space="preserve">The centre will be based in Germany and </w:t>
      </w:r>
      <w:r w:rsidR="00BC23BE" w:rsidRPr="000249AD">
        <w:t xml:space="preserve">is </w:t>
      </w:r>
      <w:r w:rsidRPr="000249AD">
        <w:t>scheduled to open officially in 2017. By setting up the centre, Germany hopes to consolidate national expertise and international experience to organi</w:t>
      </w:r>
      <w:r w:rsidR="00797C99" w:rsidRPr="000249AD">
        <w:t>z</w:t>
      </w:r>
      <w:r w:rsidRPr="000249AD">
        <w:t>e and intensify an exchange on research and the application of results.</w:t>
      </w:r>
      <w:r w:rsidRPr="00176051">
        <w:rPr>
          <w:rStyle w:val="FootnoteReference"/>
        </w:rPr>
        <w:footnoteReference w:id="9"/>
      </w:r>
      <w:r w:rsidRPr="000249AD">
        <w:t xml:space="preserve"> </w:t>
      </w:r>
    </w:p>
    <w:p w14:paraId="4C9DF209" w14:textId="77777777" w:rsidR="00F63142" w:rsidRPr="000249AD" w:rsidRDefault="00F63142" w:rsidP="00F63142">
      <w:pPr>
        <w:pStyle w:val="H1G"/>
      </w:pPr>
      <w:r w:rsidRPr="000249AD">
        <w:tab/>
        <w:t>B.</w:t>
      </w:r>
      <w:r w:rsidRPr="000249AD">
        <w:tab/>
        <w:t>Pesticides</w:t>
      </w:r>
    </w:p>
    <w:p w14:paraId="0EBB137B" w14:textId="3E90FA54" w:rsidR="00354E43" w:rsidRPr="000249AD" w:rsidRDefault="00F63142" w:rsidP="00F34040">
      <w:pPr>
        <w:pStyle w:val="SingleTxtG"/>
        <w:tabs>
          <w:tab w:val="left" w:pos="1701"/>
        </w:tabs>
      </w:pPr>
      <w:r w:rsidRPr="000249AD">
        <w:t>32.</w:t>
      </w:r>
      <w:r w:rsidRPr="000249AD">
        <w:tab/>
        <w:t>The primary laws governing the approval and use of pesticides</w:t>
      </w:r>
      <w:r w:rsidRPr="00176051">
        <w:rPr>
          <w:rStyle w:val="FootnoteReference"/>
        </w:rPr>
        <w:footnoteReference w:id="10"/>
      </w:r>
      <w:r w:rsidRPr="000249AD">
        <w:t xml:space="preserve"> in Germany are the Plant Protection Products Regulation and the Biocides Regulation. In recent years, Germany, together with other </w:t>
      </w:r>
      <w:r w:rsidR="00F34040" w:rsidRPr="000249AD">
        <w:t>m</w:t>
      </w:r>
      <w:r w:rsidRPr="000249AD">
        <w:t xml:space="preserve">ember States of the </w:t>
      </w:r>
      <w:r w:rsidR="00596BBC" w:rsidRPr="000249AD">
        <w:t>European Union</w:t>
      </w:r>
      <w:r w:rsidRPr="000249AD">
        <w:t>, has strengthened the level of protection to human health and the environment from hazardous pesticides.</w:t>
      </w:r>
    </w:p>
    <w:p w14:paraId="43311EF3" w14:textId="3929FF12" w:rsidR="00354E43" w:rsidRPr="000249AD" w:rsidRDefault="00F63142">
      <w:pPr>
        <w:pStyle w:val="SingleTxtG"/>
        <w:tabs>
          <w:tab w:val="left" w:pos="1701"/>
        </w:tabs>
      </w:pPr>
      <w:r w:rsidRPr="000249AD">
        <w:t>33.</w:t>
      </w:r>
      <w:r w:rsidRPr="000249AD">
        <w:tab/>
        <w:t xml:space="preserve">One of the most innovative features of recent changes to </w:t>
      </w:r>
      <w:r w:rsidR="00596BBC" w:rsidRPr="000249AD">
        <w:t>European Union</w:t>
      </w:r>
      <w:r w:rsidRPr="000249AD">
        <w:t xml:space="preserve"> pesticides laws is the prohibition on </w:t>
      </w:r>
      <w:r w:rsidR="00F34040" w:rsidRPr="000249AD">
        <w:t xml:space="preserve">the </w:t>
      </w:r>
      <w:r w:rsidRPr="000249AD">
        <w:t xml:space="preserve">use of certain pesticides linked with cancer, </w:t>
      </w:r>
      <w:r w:rsidR="00327E25" w:rsidRPr="000249AD">
        <w:t xml:space="preserve">reproductive effects, </w:t>
      </w:r>
      <w:r w:rsidRPr="000249AD">
        <w:t xml:space="preserve">hormone (endocrine) disruption and other adverse health effects, </w:t>
      </w:r>
      <w:r w:rsidR="00F34040" w:rsidRPr="000249AD">
        <w:t xml:space="preserve">and </w:t>
      </w:r>
      <w:r w:rsidRPr="000249AD">
        <w:t xml:space="preserve">certain physical properties. The so-called “hazard-based” approach of </w:t>
      </w:r>
      <w:r w:rsidR="00596BBC" w:rsidRPr="000249AD">
        <w:t>European Union</w:t>
      </w:r>
      <w:r w:rsidRPr="000249AD">
        <w:t xml:space="preserve"> pesticides legislation is based on evidence that protection of human health and the environment cannot be adequately assured for </w:t>
      </w:r>
      <w:r w:rsidR="00FA152D" w:rsidRPr="000249AD">
        <w:t xml:space="preserve">certain </w:t>
      </w:r>
      <w:r w:rsidRPr="000249AD">
        <w:t xml:space="preserve">pesticides with such properties. The </w:t>
      </w:r>
      <w:r w:rsidR="004A0E37" w:rsidRPr="000249AD">
        <w:t>“</w:t>
      </w:r>
      <w:r w:rsidRPr="000249AD">
        <w:t>hazard-based</w:t>
      </w:r>
      <w:r w:rsidR="004A0E37" w:rsidRPr="000249AD">
        <w:t>”</w:t>
      </w:r>
      <w:r w:rsidRPr="000249AD">
        <w:t xml:space="preserve"> approach to pesticides is grounded in the principle of precaution, provided in the </w:t>
      </w:r>
      <w:r w:rsidR="005E5409" w:rsidRPr="00AE7004">
        <w:t>Treaty of Lisbon amending the Treaty on European Union and the Treaty establishing the European Community</w:t>
      </w:r>
      <w:r w:rsidRPr="000249AD">
        <w:t>.</w:t>
      </w:r>
    </w:p>
    <w:p w14:paraId="397E8CFE" w14:textId="3F0A714E" w:rsidR="00354E43" w:rsidRPr="000249AD" w:rsidRDefault="00F63142" w:rsidP="005E5409">
      <w:pPr>
        <w:pStyle w:val="SingleTxtG"/>
        <w:tabs>
          <w:tab w:val="left" w:pos="1701"/>
        </w:tabs>
      </w:pPr>
      <w:r w:rsidRPr="000249AD">
        <w:t>34.</w:t>
      </w:r>
      <w:r w:rsidRPr="000249AD">
        <w:tab/>
        <w:t xml:space="preserve">The </w:t>
      </w:r>
      <w:r w:rsidR="00FA152D" w:rsidRPr="000249AD">
        <w:t>S</w:t>
      </w:r>
      <w:r w:rsidR="00327E25" w:rsidRPr="000249AD">
        <w:t xml:space="preserve">pecial </w:t>
      </w:r>
      <w:r w:rsidR="00FA152D" w:rsidRPr="000249AD">
        <w:t>R</w:t>
      </w:r>
      <w:r w:rsidR="00327E25" w:rsidRPr="000249AD">
        <w:t xml:space="preserve">apporteur </w:t>
      </w:r>
      <w:r w:rsidR="005E5409" w:rsidRPr="000249AD">
        <w:t xml:space="preserve">considers the “hazard-based” approach to be </w:t>
      </w:r>
      <w:r w:rsidRPr="000249AD">
        <w:t xml:space="preserve">in line with the universality of human rights and the uncontrollable risks </w:t>
      </w:r>
      <w:r w:rsidR="005E5409" w:rsidRPr="000249AD">
        <w:t xml:space="preserve">that </w:t>
      </w:r>
      <w:r w:rsidRPr="000249AD">
        <w:t xml:space="preserve">certain pesticides </w:t>
      </w:r>
      <w:r w:rsidR="005E5409" w:rsidRPr="000249AD">
        <w:t xml:space="preserve">pose </w:t>
      </w:r>
      <w:r w:rsidRPr="000249AD">
        <w:t>to th</w:t>
      </w:r>
      <w:r w:rsidR="005E5409" w:rsidRPr="000249AD">
        <w:t>o</w:t>
      </w:r>
      <w:r w:rsidRPr="000249AD">
        <w:t xml:space="preserve">se rights. It is a commendable step by the </w:t>
      </w:r>
      <w:r w:rsidR="00596BBC" w:rsidRPr="000249AD">
        <w:t>European Union</w:t>
      </w:r>
      <w:r w:rsidRPr="000249AD">
        <w:t xml:space="preserve"> to protect the human rights of everyone, including agricultural workers and children</w:t>
      </w:r>
      <w:r w:rsidR="00354E43" w:rsidRPr="000249AD">
        <w:t>.</w:t>
      </w:r>
    </w:p>
    <w:p w14:paraId="226649A8" w14:textId="77777777" w:rsidR="00354E43" w:rsidRPr="000249AD" w:rsidRDefault="00F63142" w:rsidP="00354E43">
      <w:pPr>
        <w:pStyle w:val="SingleTxtG"/>
        <w:tabs>
          <w:tab w:val="left" w:pos="1701"/>
        </w:tabs>
      </w:pPr>
      <w:r w:rsidRPr="000249AD">
        <w:t>35.</w:t>
      </w:r>
      <w:r w:rsidRPr="000249AD">
        <w:tab/>
        <w:t>Relevant regulations are in the beginning stages of implementation. Concerns have been raised regarding the pace of implementation and derogations from the requirements of the Regulations. In particular, concerns were raised regarding the delayed adoption of criteria for endocrine (hormone) disruptors.</w:t>
      </w:r>
    </w:p>
    <w:p w14:paraId="6FB48FFC" w14:textId="0EA99322" w:rsidR="00354E43" w:rsidRPr="000249AD" w:rsidRDefault="00F63142" w:rsidP="00596BBC">
      <w:pPr>
        <w:pStyle w:val="SingleTxtG"/>
        <w:tabs>
          <w:tab w:val="left" w:pos="1701"/>
        </w:tabs>
      </w:pPr>
      <w:r w:rsidRPr="000249AD">
        <w:lastRenderedPageBreak/>
        <w:t>36.</w:t>
      </w:r>
      <w:r w:rsidRPr="000249AD">
        <w:tab/>
        <w:t xml:space="preserve">Concerns were also raised regarding the disparity between the levels of protection afforded those in Germany from hazardous pesticides and those in countries outside the </w:t>
      </w:r>
      <w:r w:rsidR="00596BBC" w:rsidRPr="000249AD">
        <w:t>European Union</w:t>
      </w:r>
      <w:r w:rsidRPr="000249AD">
        <w:t>, discussed below.</w:t>
      </w:r>
    </w:p>
    <w:p w14:paraId="4C6902CC" w14:textId="5537D34C" w:rsidR="00354E43" w:rsidRPr="000249AD" w:rsidRDefault="00F63142" w:rsidP="005E5409">
      <w:pPr>
        <w:pStyle w:val="SingleTxtG"/>
        <w:tabs>
          <w:tab w:val="left" w:pos="1701"/>
        </w:tabs>
      </w:pPr>
      <w:r w:rsidRPr="000249AD">
        <w:t>37.</w:t>
      </w:r>
      <w:r w:rsidRPr="000249AD">
        <w:tab/>
        <w:t>Major German pesticide companies</w:t>
      </w:r>
      <w:r w:rsidR="00A8435F" w:rsidRPr="000249AD">
        <w:t>,</w:t>
      </w:r>
      <w:r w:rsidRPr="000249AD">
        <w:t xml:space="preserve"> as members of </w:t>
      </w:r>
      <w:r w:rsidR="00A8435F" w:rsidRPr="000249AD">
        <w:t xml:space="preserve">the </w:t>
      </w:r>
      <w:r w:rsidRPr="000249AD">
        <w:t xml:space="preserve">trade association </w:t>
      </w:r>
      <w:proofErr w:type="spellStart"/>
      <w:r w:rsidRPr="000249AD">
        <w:t>CropLife</w:t>
      </w:r>
      <w:proofErr w:type="spellEnd"/>
      <w:r w:rsidRPr="000249AD">
        <w:t xml:space="preserve"> International</w:t>
      </w:r>
      <w:r w:rsidR="00A8435F" w:rsidRPr="000249AD">
        <w:t>,</w:t>
      </w:r>
      <w:r w:rsidR="00D36A9B" w:rsidRPr="000249AD">
        <w:t xml:space="preserve"> </w:t>
      </w:r>
      <w:r w:rsidRPr="000249AD">
        <w:t xml:space="preserve">have fully adopted the Food and Agriculture Organization </w:t>
      </w:r>
      <w:r w:rsidR="001A46BD" w:rsidRPr="000249AD">
        <w:t xml:space="preserve">of the United Nations </w:t>
      </w:r>
      <w:r w:rsidRPr="000249AD">
        <w:t xml:space="preserve">(FAO) </w:t>
      </w:r>
      <w:r w:rsidR="00A8435F" w:rsidRPr="000249AD">
        <w:t xml:space="preserve">and World Health Organization (WHO) </w:t>
      </w:r>
      <w:r w:rsidRPr="000249AD">
        <w:t>International Code of Conduct on Pesticide Management and its accompanying guidelines set standards</w:t>
      </w:r>
      <w:r w:rsidR="005E5409" w:rsidRPr="000249AD">
        <w:t>,</w:t>
      </w:r>
      <w:r w:rsidRPr="000249AD">
        <w:t xml:space="preserve"> for pesticide management aimed at reducing health and environmental risks.</w:t>
      </w:r>
    </w:p>
    <w:p w14:paraId="42809011" w14:textId="20336981" w:rsidR="00354E43" w:rsidRPr="000249AD" w:rsidRDefault="00F63142" w:rsidP="005E5409">
      <w:pPr>
        <w:pStyle w:val="SingleTxtG"/>
        <w:tabs>
          <w:tab w:val="left" w:pos="1701"/>
        </w:tabs>
      </w:pPr>
      <w:r w:rsidRPr="000249AD">
        <w:t>38.</w:t>
      </w:r>
      <w:r w:rsidRPr="000249AD">
        <w:tab/>
        <w:t xml:space="preserve">Under the </w:t>
      </w:r>
      <w:r w:rsidR="00D36981" w:rsidRPr="000249AD">
        <w:t xml:space="preserve">Strategic Approach to International Chemicals Management, an </w:t>
      </w:r>
      <w:r w:rsidRPr="000249AD">
        <w:t xml:space="preserve">international policy framework, work is progressing on strengthening global measures on highly hazardous pesticides, many of which are prohibited from use in Germany and the rest of the </w:t>
      </w:r>
      <w:r w:rsidR="00596BBC" w:rsidRPr="000249AD">
        <w:t>European Union</w:t>
      </w:r>
      <w:r w:rsidRPr="000249AD">
        <w:t>. There have been calls for the phase</w:t>
      </w:r>
      <w:r w:rsidR="005E5409" w:rsidRPr="000249AD">
        <w:t>-</w:t>
      </w:r>
      <w:r w:rsidRPr="000249AD">
        <w:t xml:space="preserve">out of highly hazardous pesticides </w:t>
      </w:r>
      <w:r w:rsidR="005E5409" w:rsidRPr="000249AD">
        <w:t>that,</w:t>
      </w:r>
      <w:r w:rsidRPr="000249AD">
        <w:t xml:space="preserve"> according to the FAO can be substituted with safer alternatives and non-chemical alternatives.</w:t>
      </w:r>
      <w:r w:rsidRPr="00176051">
        <w:rPr>
          <w:rStyle w:val="FootnoteReference"/>
        </w:rPr>
        <w:footnoteReference w:id="11"/>
      </w:r>
    </w:p>
    <w:p w14:paraId="311F0852" w14:textId="60CD90D6" w:rsidR="00354E43" w:rsidRPr="000249AD" w:rsidRDefault="00F63142" w:rsidP="005E5409">
      <w:pPr>
        <w:pStyle w:val="SingleTxtG"/>
        <w:tabs>
          <w:tab w:val="left" w:pos="1701"/>
        </w:tabs>
      </w:pPr>
      <w:r w:rsidRPr="000249AD">
        <w:t>39.</w:t>
      </w:r>
      <w:r w:rsidRPr="000249AD">
        <w:tab/>
      </w:r>
      <w:r w:rsidRPr="000249AD">
        <w:rPr>
          <w:rFonts w:eastAsia="Calibri"/>
        </w:rPr>
        <w:t xml:space="preserve">Bayer </w:t>
      </w:r>
      <w:r w:rsidRPr="000249AD">
        <w:t xml:space="preserve">informed the Special Rapporteur that they had a human rights policy in compliance with the FAO </w:t>
      </w:r>
      <w:r w:rsidR="00DB1DBC" w:rsidRPr="000249AD">
        <w:t xml:space="preserve">International </w:t>
      </w:r>
      <w:r w:rsidRPr="000249AD">
        <w:t xml:space="preserve">Code </w:t>
      </w:r>
      <w:r w:rsidR="00DB1DBC" w:rsidRPr="000249AD">
        <w:t xml:space="preserve">of Conduct on </w:t>
      </w:r>
      <w:r w:rsidRPr="000249AD">
        <w:t xml:space="preserve">the </w:t>
      </w:r>
      <w:r w:rsidR="00DB1DBC" w:rsidRPr="000249AD">
        <w:t>Distribution and U</w:t>
      </w:r>
      <w:r w:rsidRPr="000249AD">
        <w:t xml:space="preserve">se of </w:t>
      </w:r>
      <w:r w:rsidR="00DB1DBC" w:rsidRPr="000249AD">
        <w:t>P</w:t>
      </w:r>
      <w:r w:rsidRPr="000249AD">
        <w:t>esticides</w:t>
      </w:r>
      <w:r w:rsidR="005E5409" w:rsidRPr="000249AD">
        <w:t>,</w:t>
      </w:r>
      <w:r w:rsidRPr="000249AD">
        <w:t xml:space="preserve"> and a </w:t>
      </w:r>
      <w:r w:rsidR="005E5409" w:rsidRPr="000249AD">
        <w:t>s</w:t>
      </w:r>
      <w:r w:rsidRPr="000249AD">
        <w:t xml:space="preserve">tewardship policy </w:t>
      </w:r>
      <w:r w:rsidR="005E5409" w:rsidRPr="000249AD">
        <w:t xml:space="preserve">that </w:t>
      </w:r>
      <w:r w:rsidRPr="000249AD">
        <w:t>they say reflects the whole life</w:t>
      </w:r>
      <w:r w:rsidR="005E5409" w:rsidRPr="000249AD">
        <w:t xml:space="preserve"> </w:t>
      </w:r>
      <w:r w:rsidRPr="000249AD">
        <w:t>cycle of a product. For each life</w:t>
      </w:r>
      <w:r w:rsidR="005E5409" w:rsidRPr="000249AD">
        <w:t xml:space="preserve"> </w:t>
      </w:r>
      <w:r w:rsidRPr="000249AD">
        <w:t>cycle step</w:t>
      </w:r>
      <w:r w:rsidR="00084C16" w:rsidRPr="000249AD">
        <w:t>,</w:t>
      </w:r>
      <w:r w:rsidRPr="000249AD">
        <w:t xml:space="preserve"> Bayer says </w:t>
      </w:r>
      <w:r w:rsidR="005E5409" w:rsidRPr="000249AD">
        <w:t xml:space="preserve">it works </w:t>
      </w:r>
      <w:r w:rsidRPr="000249AD">
        <w:t xml:space="preserve">on best management practices with the objective of human safety, worker/operator safety, residues in food, consumer safety and environmental aspects. </w:t>
      </w:r>
      <w:r w:rsidR="005E5409" w:rsidRPr="000249AD">
        <w:t xml:space="preserve">It </w:t>
      </w:r>
      <w:r w:rsidRPr="000249AD">
        <w:t>also claim</w:t>
      </w:r>
      <w:r w:rsidR="005E5409" w:rsidRPr="000249AD">
        <w:t>s</w:t>
      </w:r>
      <w:r w:rsidRPr="000249AD">
        <w:t xml:space="preserve"> to work as an industry on training materials to ensure the safe use of pesticides.</w:t>
      </w:r>
    </w:p>
    <w:p w14:paraId="265115CC" w14:textId="3456BE19" w:rsidR="00354E43" w:rsidRPr="000249AD" w:rsidRDefault="00F63142" w:rsidP="00AE7004">
      <w:pPr>
        <w:pStyle w:val="SingleTxtG"/>
        <w:tabs>
          <w:tab w:val="left" w:pos="1701"/>
        </w:tabs>
      </w:pPr>
      <w:r w:rsidRPr="000249AD">
        <w:t>40.</w:t>
      </w:r>
      <w:r w:rsidRPr="000249AD">
        <w:tab/>
        <w:t>The Special Rapporteur was pleased to learn of</w:t>
      </w:r>
      <w:r w:rsidRPr="000249AD">
        <w:rPr>
          <w:rFonts w:eastAsia="Calibri"/>
        </w:rPr>
        <w:t xml:space="preserve"> Bayer’s </w:t>
      </w:r>
      <w:r w:rsidRPr="000249AD">
        <w:t>phase</w:t>
      </w:r>
      <w:r w:rsidR="005E5409" w:rsidRPr="000249AD">
        <w:t>-</w:t>
      </w:r>
      <w:r w:rsidRPr="000249AD">
        <w:t xml:space="preserve">out policy to remove all highly hazardous pesticides considered to be carcinogenic from their portfolio by 2012, and of </w:t>
      </w:r>
      <w:r w:rsidR="005E5409" w:rsidRPr="000249AD">
        <w:t xml:space="preserve">its </w:t>
      </w:r>
      <w:r w:rsidRPr="000249AD">
        <w:t xml:space="preserve">process of </w:t>
      </w:r>
      <w:r w:rsidR="006A18E7">
        <w:t>“</w:t>
      </w:r>
      <w:r w:rsidRPr="000249AD">
        <w:t>portfolio screening</w:t>
      </w:r>
      <w:r w:rsidR="006A18E7">
        <w:t>”</w:t>
      </w:r>
      <w:r w:rsidRPr="000249AD">
        <w:t xml:space="preserve"> (covering insecticides and fungicides in 2011 and herbicides in 2015). However, highly hazardous pesticides remain in </w:t>
      </w:r>
      <w:r w:rsidR="005E5409" w:rsidRPr="000249AD">
        <w:t>it</w:t>
      </w:r>
      <w:r w:rsidR="0042483C">
        <w:t>s</w:t>
      </w:r>
      <w:r w:rsidR="005E5409" w:rsidRPr="000249AD">
        <w:t xml:space="preserve"> </w:t>
      </w:r>
      <w:r w:rsidRPr="000249AD">
        <w:t>portfolio with no target date for phase</w:t>
      </w:r>
      <w:r w:rsidR="005E5409" w:rsidRPr="000249AD">
        <w:t>-</w:t>
      </w:r>
      <w:r w:rsidRPr="000249AD">
        <w:t>out.</w:t>
      </w:r>
    </w:p>
    <w:p w14:paraId="6999939C" w14:textId="7362B414" w:rsidR="00F63142" w:rsidRPr="000249AD" w:rsidRDefault="00F63142" w:rsidP="005E5409">
      <w:pPr>
        <w:pStyle w:val="SingleTxtG"/>
        <w:tabs>
          <w:tab w:val="left" w:pos="1701"/>
        </w:tabs>
      </w:pPr>
      <w:r w:rsidRPr="000249AD">
        <w:t>41.</w:t>
      </w:r>
      <w:r w:rsidRPr="000249AD">
        <w:tab/>
        <w:t>The Special Rapporteur is concerned that</w:t>
      </w:r>
      <w:r w:rsidR="005E5409" w:rsidRPr="000249AD">
        <w:t>,</w:t>
      </w:r>
      <w:r w:rsidRPr="000249AD">
        <w:t xml:space="preserve"> rather than </w:t>
      </w:r>
      <w:r w:rsidR="003E2F2D" w:rsidRPr="000249AD">
        <w:t>substituting hazardous pesticides with</w:t>
      </w:r>
      <w:r w:rsidRPr="000249AD">
        <w:t xml:space="preserve"> safer alternatives, it would seem that Bayer prefers mitigation strategies</w:t>
      </w:r>
      <w:r w:rsidR="003E2F2D" w:rsidRPr="000249AD">
        <w:t xml:space="preserve"> that carry greater risks for workers and communities</w:t>
      </w:r>
      <w:r w:rsidRPr="000249AD">
        <w:t xml:space="preserve">, such as wearing protective personal clothing and improvements on labelling. The Special Rapporteur considers that </w:t>
      </w:r>
      <w:r w:rsidR="003E2F2D" w:rsidRPr="000249AD">
        <w:t xml:space="preserve">typically </w:t>
      </w:r>
      <w:r w:rsidRPr="000249AD">
        <w:t>the only effective mitigation strategy for hazardous pesticides is a concerted effort to develop and adopt safer alternatives.</w:t>
      </w:r>
    </w:p>
    <w:p w14:paraId="43C0A841" w14:textId="77777777" w:rsidR="00F63142" w:rsidRPr="000249AD" w:rsidRDefault="00F63142" w:rsidP="00F63142">
      <w:pPr>
        <w:pStyle w:val="H1G"/>
      </w:pPr>
      <w:r w:rsidRPr="000249AD">
        <w:tab/>
        <w:t>C.</w:t>
      </w:r>
      <w:r w:rsidRPr="000249AD">
        <w:tab/>
        <w:t>Energy production</w:t>
      </w:r>
    </w:p>
    <w:p w14:paraId="0F9C2B97" w14:textId="1009E1F9" w:rsidR="00E976FA" w:rsidRPr="000249AD" w:rsidRDefault="00F63142" w:rsidP="00BE4EEA">
      <w:pPr>
        <w:pStyle w:val="SingleTxtG"/>
        <w:tabs>
          <w:tab w:val="left" w:pos="1701"/>
        </w:tabs>
      </w:pPr>
      <w:r w:rsidRPr="000249AD">
        <w:t>42.</w:t>
      </w:r>
      <w:r w:rsidRPr="000249AD">
        <w:tab/>
        <w:t xml:space="preserve">The energy policy known as the </w:t>
      </w:r>
      <w:proofErr w:type="spellStart"/>
      <w:r w:rsidRPr="000249AD">
        <w:rPr>
          <w:bCs/>
          <w:i/>
          <w:iCs/>
        </w:rPr>
        <w:t>Energiewende</w:t>
      </w:r>
      <w:proofErr w:type="spellEnd"/>
      <w:r w:rsidRPr="000249AD">
        <w:t xml:space="preserve"> aims at replacing fossil</w:t>
      </w:r>
      <w:r w:rsidR="00E976FA" w:rsidRPr="000249AD">
        <w:t xml:space="preserve"> </w:t>
      </w:r>
      <w:r w:rsidR="00D65162" w:rsidRPr="000249AD">
        <w:t>fuel</w:t>
      </w:r>
      <w:r w:rsidR="00A95353" w:rsidRPr="000249AD">
        <w:t xml:space="preserve">s </w:t>
      </w:r>
      <w:r w:rsidRPr="000249AD">
        <w:t>(coal, oil and natural gas) and nuclear</w:t>
      </w:r>
      <w:r w:rsidR="00BE4EEA" w:rsidRPr="000249AD">
        <w:t>-</w:t>
      </w:r>
      <w:r w:rsidRPr="000249AD">
        <w:t xml:space="preserve">based energy </w:t>
      </w:r>
      <w:r w:rsidR="00094799" w:rsidRPr="000249AD">
        <w:t xml:space="preserve">with </w:t>
      </w:r>
      <w:r w:rsidRPr="000249AD">
        <w:t>clean</w:t>
      </w:r>
      <w:r w:rsidR="00094799" w:rsidRPr="000249AD">
        <w:t>er</w:t>
      </w:r>
      <w:r w:rsidRPr="000249AD">
        <w:t>, renewable energy sources</w:t>
      </w:r>
      <w:r w:rsidR="00BE4EEA" w:rsidRPr="000249AD">
        <w:t>,</w:t>
      </w:r>
      <w:r w:rsidRPr="000249AD">
        <w:t xml:space="preserve"> such as</w:t>
      </w:r>
      <w:r w:rsidR="00BE4EEA" w:rsidRPr="000249AD">
        <w:t xml:space="preserve"> </w:t>
      </w:r>
      <w:r w:rsidRPr="000249AD">
        <w:t>wind (onshore and offshore) and solar power (thermal and photovoltaic)</w:t>
      </w:r>
      <w:r w:rsidR="00BE4EEA" w:rsidRPr="000249AD">
        <w:t>,</w:t>
      </w:r>
      <w:r w:rsidRPr="000249AD">
        <w:t xml:space="preserve"> and to a lesser extent hydropower and biomass</w:t>
      </w:r>
      <w:r w:rsidR="00E976FA" w:rsidRPr="000249AD">
        <w:t>.</w:t>
      </w:r>
    </w:p>
    <w:p w14:paraId="7CA76304" w14:textId="41C0D640" w:rsidR="00354E43" w:rsidRPr="000249AD" w:rsidRDefault="00F63142" w:rsidP="00614878">
      <w:pPr>
        <w:pStyle w:val="SingleTxtG"/>
        <w:tabs>
          <w:tab w:val="left" w:pos="1701"/>
        </w:tabs>
      </w:pPr>
      <w:r w:rsidRPr="000249AD">
        <w:t>43.</w:t>
      </w:r>
      <w:r w:rsidRPr="000249AD">
        <w:tab/>
        <w:t>Germany is working towards halving its primary energy consumption by 2050 and expanding renewable energies to 60 per cent of gross final energy consumption.</w:t>
      </w:r>
      <w:r w:rsidRPr="00176051">
        <w:rPr>
          <w:rStyle w:val="FootnoteReference"/>
        </w:rPr>
        <w:footnoteReference w:id="12"/>
      </w:r>
      <w:r w:rsidRPr="000249AD">
        <w:t xml:space="preserve"> These targets go beyond </w:t>
      </w:r>
      <w:r w:rsidR="00596BBC" w:rsidRPr="000249AD">
        <w:t>European Union</w:t>
      </w:r>
      <w:r w:rsidRPr="000249AD">
        <w:t xml:space="preserve"> legislation and the national policies of other European </w:t>
      </w:r>
      <w:r w:rsidR="00BE4EEA" w:rsidRPr="000249AD">
        <w:t>S</w:t>
      </w:r>
      <w:r w:rsidRPr="000249AD">
        <w:t xml:space="preserve">tates. The policy objectives have resulted in a huge expansion of renewables, particularly </w:t>
      </w:r>
      <w:r w:rsidR="00F6127C" w:rsidRPr="000249AD">
        <w:t xml:space="preserve">onshore </w:t>
      </w:r>
      <w:r w:rsidRPr="000249AD">
        <w:t>wind power</w:t>
      </w:r>
      <w:r w:rsidR="00F6127C" w:rsidRPr="000249AD">
        <w:t xml:space="preserve"> and solar </w:t>
      </w:r>
      <w:r w:rsidR="00614878" w:rsidRPr="000249AD">
        <w:t>photovoltaic</w:t>
      </w:r>
      <w:r w:rsidR="00354E43" w:rsidRPr="000249AD">
        <w:t>.</w:t>
      </w:r>
    </w:p>
    <w:p w14:paraId="062981BB" w14:textId="3F8C38D6" w:rsidR="00354E43" w:rsidRPr="000249AD" w:rsidRDefault="00F63142" w:rsidP="00947E53">
      <w:pPr>
        <w:pStyle w:val="SingleTxtG"/>
        <w:tabs>
          <w:tab w:val="left" w:pos="1701"/>
        </w:tabs>
      </w:pPr>
      <w:r w:rsidRPr="000249AD">
        <w:rPr>
          <w:bCs/>
        </w:rPr>
        <w:lastRenderedPageBreak/>
        <w:t>44.</w:t>
      </w:r>
      <w:r w:rsidRPr="000249AD">
        <w:rPr>
          <w:bCs/>
        </w:rPr>
        <w:tab/>
        <w:t>At the time of the 2011 nuclear accident</w:t>
      </w:r>
      <w:r w:rsidR="00614878" w:rsidRPr="000249AD">
        <w:rPr>
          <w:bCs/>
        </w:rPr>
        <w:t xml:space="preserve"> in Fukushima, Japan</w:t>
      </w:r>
      <w:r w:rsidRPr="000249AD">
        <w:rPr>
          <w:bCs/>
        </w:rPr>
        <w:t xml:space="preserve">, a quarter of electricity </w:t>
      </w:r>
      <w:r w:rsidR="00947E53" w:rsidRPr="000249AD">
        <w:rPr>
          <w:bCs/>
        </w:rPr>
        <w:t xml:space="preserve">in Germany </w:t>
      </w:r>
      <w:r w:rsidRPr="000249AD">
        <w:rPr>
          <w:bCs/>
        </w:rPr>
        <w:t xml:space="preserve">was </w:t>
      </w:r>
      <w:r w:rsidR="00614878" w:rsidRPr="000249AD">
        <w:rPr>
          <w:bCs/>
        </w:rPr>
        <w:t xml:space="preserve">generated by </w:t>
      </w:r>
      <w:r w:rsidRPr="000249AD">
        <w:rPr>
          <w:bCs/>
        </w:rPr>
        <w:t>17 nuclear reactors. After Fukushima, Germany reassessed the role of nuclear power and</w:t>
      </w:r>
      <w:r w:rsidRPr="000249AD">
        <w:t xml:space="preserve"> committed </w:t>
      </w:r>
      <w:proofErr w:type="gramStart"/>
      <w:r w:rsidR="00947E53" w:rsidRPr="000249AD">
        <w:t>itself</w:t>
      </w:r>
      <w:proofErr w:type="gramEnd"/>
      <w:r w:rsidR="00947E53" w:rsidRPr="000249AD">
        <w:t xml:space="preserve"> </w:t>
      </w:r>
      <w:r w:rsidRPr="000249AD">
        <w:t>to phas</w:t>
      </w:r>
      <w:r w:rsidR="00947E53" w:rsidRPr="000249AD">
        <w:t>ing</w:t>
      </w:r>
      <w:r w:rsidRPr="000249AD">
        <w:t xml:space="preserve"> out the use of nuclear power by 2022.</w:t>
      </w:r>
      <w:r w:rsidRPr="000249AD">
        <w:rPr>
          <w:bCs/>
        </w:rPr>
        <w:t xml:space="preserve"> Today, 16 per cent of electricity is </w:t>
      </w:r>
      <w:r w:rsidR="00947E53" w:rsidRPr="000249AD">
        <w:rPr>
          <w:bCs/>
        </w:rPr>
        <w:t xml:space="preserve">generated by </w:t>
      </w:r>
      <w:r w:rsidRPr="000249AD">
        <w:rPr>
          <w:bCs/>
        </w:rPr>
        <w:t xml:space="preserve">eight </w:t>
      </w:r>
      <w:r w:rsidR="00947E53" w:rsidRPr="000249AD">
        <w:rPr>
          <w:bCs/>
        </w:rPr>
        <w:t xml:space="preserve">nuclear </w:t>
      </w:r>
      <w:r w:rsidRPr="000249AD">
        <w:rPr>
          <w:bCs/>
        </w:rPr>
        <w:t>reactors.</w:t>
      </w:r>
      <w:r w:rsidRPr="000249AD">
        <w:t xml:space="preserve"> One challenge will be </w:t>
      </w:r>
      <w:r w:rsidR="00947E53" w:rsidRPr="000249AD">
        <w:t xml:space="preserve">for Germany </w:t>
      </w:r>
      <w:r w:rsidRPr="000249AD">
        <w:t xml:space="preserve">to reach </w:t>
      </w:r>
      <w:r w:rsidR="00947E53" w:rsidRPr="000249AD">
        <w:t xml:space="preserve">its </w:t>
      </w:r>
      <w:r w:rsidRPr="000249AD">
        <w:t xml:space="preserve">goal without resorting to coal-fired power plants. </w:t>
      </w:r>
    </w:p>
    <w:p w14:paraId="7FFF96DA" w14:textId="1109C42B" w:rsidR="00F63142" w:rsidRPr="000249AD" w:rsidRDefault="00F63142" w:rsidP="00947E53">
      <w:pPr>
        <w:pStyle w:val="SingleTxtG"/>
        <w:tabs>
          <w:tab w:val="left" w:pos="1701"/>
        </w:tabs>
      </w:pPr>
      <w:r w:rsidRPr="000249AD">
        <w:t>45.</w:t>
      </w:r>
      <w:r w:rsidRPr="000249AD">
        <w:tab/>
        <w:t xml:space="preserve">One of the most controversial issues for Germany has been determining the site of the final storage of nuclear waste, culminating in a common decision by all members of </w:t>
      </w:r>
      <w:r w:rsidR="00947E53" w:rsidRPr="000249AD">
        <w:t>P</w:t>
      </w:r>
      <w:r w:rsidRPr="000249AD">
        <w:t xml:space="preserve">arliament, including the opposition, to search throughout Germany for potential new sites. A </w:t>
      </w:r>
      <w:r w:rsidR="00947E53" w:rsidRPr="000249AD">
        <w:t>c</w:t>
      </w:r>
      <w:r w:rsidRPr="000249AD">
        <w:t xml:space="preserve">ommission </w:t>
      </w:r>
      <w:r w:rsidR="00094799" w:rsidRPr="000249AD">
        <w:t>published its report in July 2016. T</w:t>
      </w:r>
      <w:r w:rsidRPr="000249AD">
        <w:t>he Special Rapporteur was pleased to hear that</w:t>
      </w:r>
      <w:r w:rsidR="00947E53" w:rsidRPr="000249AD">
        <w:t>,</w:t>
      </w:r>
      <w:r w:rsidRPr="000249AD">
        <w:t xml:space="preserve"> at every stage of the decision-making, there has been strong public participation and that Germany is developing very high standards for </w:t>
      </w:r>
      <w:r w:rsidR="00947E53" w:rsidRPr="000249AD">
        <w:t xml:space="preserve">underground geological </w:t>
      </w:r>
      <w:r w:rsidRPr="000249AD">
        <w:t>nuclear storage in the absence of international standards.</w:t>
      </w:r>
    </w:p>
    <w:p w14:paraId="0B4B34DD" w14:textId="23081FC4" w:rsidR="00F63142" w:rsidRPr="000249AD" w:rsidRDefault="00354E43" w:rsidP="00F63142">
      <w:pPr>
        <w:pStyle w:val="H1G"/>
      </w:pPr>
      <w:r w:rsidRPr="000249AD">
        <w:tab/>
      </w:r>
      <w:r w:rsidR="00F63142" w:rsidRPr="000249AD">
        <w:t>D.</w:t>
      </w:r>
      <w:r w:rsidRPr="000249AD">
        <w:tab/>
      </w:r>
      <w:r w:rsidR="00F63142" w:rsidRPr="000249AD">
        <w:t>Waste management</w:t>
      </w:r>
    </w:p>
    <w:p w14:paraId="3AD4FADB" w14:textId="2682BEB0" w:rsidR="00354E43" w:rsidRPr="000249AD" w:rsidRDefault="00F63142" w:rsidP="00947E53">
      <w:pPr>
        <w:pStyle w:val="SingleTxtG"/>
        <w:tabs>
          <w:tab w:val="left" w:pos="1701"/>
        </w:tabs>
      </w:pPr>
      <w:r w:rsidRPr="000249AD">
        <w:t>46.</w:t>
      </w:r>
      <w:r w:rsidRPr="000249AD">
        <w:tab/>
        <w:t xml:space="preserve">Of the 339 million tons of waste </w:t>
      </w:r>
      <w:r w:rsidR="00094799" w:rsidRPr="000249AD">
        <w:t xml:space="preserve">that </w:t>
      </w:r>
      <w:r w:rsidRPr="000249AD">
        <w:t xml:space="preserve">Germany generated in 2013, 71 per cent was recycled. By 2015, and in line with its Landfill Ban legislation (2005), </w:t>
      </w:r>
      <w:r w:rsidR="00947E53" w:rsidRPr="000249AD">
        <w:t xml:space="preserve">the </w:t>
      </w:r>
      <w:r w:rsidRPr="000249AD">
        <w:t>German waste management sector employs more than</w:t>
      </w:r>
      <w:r w:rsidR="00A95353" w:rsidRPr="000249AD">
        <w:t xml:space="preserve"> 250</w:t>
      </w:r>
      <w:r w:rsidR="00084C16" w:rsidRPr="000249AD">
        <w:t>,</w:t>
      </w:r>
      <w:r w:rsidR="00A95353" w:rsidRPr="000249AD">
        <w:t>000</w:t>
      </w:r>
      <w:r w:rsidR="00084C16" w:rsidRPr="000249AD">
        <w:t xml:space="preserve"> </w:t>
      </w:r>
      <w:r w:rsidRPr="000249AD">
        <w:t xml:space="preserve">people with an annual turnover of 50 billion </w:t>
      </w:r>
      <w:r w:rsidR="00947E53" w:rsidRPr="000249AD">
        <w:t>e</w:t>
      </w:r>
      <w:r w:rsidRPr="000249AD">
        <w:t>uros.</w:t>
      </w:r>
    </w:p>
    <w:p w14:paraId="76479499" w14:textId="346DF8B2" w:rsidR="00354E43" w:rsidRPr="000249AD" w:rsidRDefault="00F63142" w:rsidP="00AE7004">
      <w:pPr>
        <w:pStyle w:val="SingleTxtG"/>
        <w:tabs>
          <w:tab w:val="left" w:pos="1701"/>
        </w:tabs>
      </w:pPr>
      <w:r w:rsidRPr="000249AD">
        <w:t>47.</w:t>
      </w:r>
      <w:r w:rsidRPr="000249AD">
        <w:tab/>
        <w:t xml:space="preserve">Responding to the Special Rapporteur’s question </w:t>
      </w:r>
      <w:r w:rsidR="00947E53" w:rsidRPr="000249AD">
        <w:t xml:space="preserve">concerning </w:t>
      </w:r>
      <w:r w:rsidRPr="000249AD">
        <w:t xml:space="preserve">good waste management practices for other countries, the Ministry </w:t>
      </w:r>
      <w:r w:rsidR="00F9359C" w:rsidRPr="000249AD">
        <w:t xml:space="preserve">of </w:t>
      </w:r>
      <w:r w:rsidRPr="000249AD">
        <w:t xml:space="preserve">the Environment emphasized the importance of having legislation in place with a strong administration </w:t>
      </w:r>
      <w:r w:rsidR="00947E53" w:rsidRPr="000249AD">
        <w:t xml:space="preserve">and the </w:t>
      </w:r>
      <w:r w:rsidRPr="000249AD">
        <w:t>authorit</w:t>
      </w:r>
      <w:r w:rsidR="00947E53" w:rsidRPr="000249AD">
        <w:t>y</w:t>
      </w:r>
      <w:r w:rsidRPr="000249AD">
        <w:t xml:space="preserve"> to implement the law, by monitoring, applying standards and sanctions, and using the best technology available. This can only be achieved by adequate financing on the </w:t>
      </w:r>
      <w:r w:rsidR="00947E53" w:rsidRPr="000249AD">
        <w:t xml:space="preserve">basis of the </w:t>
      </w:r>
      <w:r w:rsidR="006A18E7">
        <w:t>“</w:t>
      </w:r>
      <w:r w:rsidRPr="000249AD">
        <w:t>polluter pays principle</w:t>
      </w:r>
      <w:r w:rsidR="006A18E7">
        <w:t>”</w:t>
      </w:r>
      <w:r w:rsidRPr="000249AD">
        <w:t xml:space="preserve"> to ensure that any waste generated pays for the costs of its proper management.</w:t>
      </w:r>
    </w:p>
    <w:p w14:paraId="26AAA99E" w14:textId="331CB887" w:rsidR="00F63142" w:rsidRPr="000249AD" w:rsidRDefault="00F63142" w:rsidP="00B87C2B">
      <w:pPr>
        <w:pStyle w:val="SingleTxtG"/>
        <w:tabs>
          <w:tab w:val="left" w:pos="1701"/>
        </w:tabs>
      </w:pPr>
      <w:r w:rsidRPr="000249AD">
        <w:t>48.</w:t>
      </w:r>
      <w:r w:rsidRPr="000249AD">
        <w:tab/>
        <w:t xml:space="preserve">The Ministry referred to the fact that 90 per cent of countries in the world do not manage waste from the polluter pays principle but through State subsidies from general taxes, with few politicians prioritizing waste management in their budgets, whereas in Germany the sector is successful because the State budgets for high standard technology for the day-to-day running of waste management (collection and recycling) and polluters are willing to pay for these services. </w:t>
      </w:r>
    </w:p>
    <w:p w14:paraId="7C39DC80" w14:textId="5B042B71" w:rsidR="00F63142" w:rsidRPr="000249AD" w:rsidRDefault="00354F95" w:rsidP="00F63142">
      <w:pPr>
        <w:pStyle w:val="H1G"/>
      </w:pPr>
      <w:r w:rsidRPr="000249AD">
        <w:tab/>
        <w:t>E.</w:t>
      </w:r>
      <w:r w:rsidRPr="000249AD">
        <w:tab/>
        <w:t>Electrical and electronic e</w:t>
      </w:r>
      <w:r w:rsidR="00F63142" w:rsidRPr="000249AD">
        <w:t>quipment</w:t>
      </w:r>
    </w:p>
    <w:p w14:paraId="33C15A49" w14:textId="14772693" w:rsidR="00354E43" w:rsidRPr="000249AD" w:rsidRDefault="00F63142" w:rsidP="00B87C2B">
      <w:pPr>
        <w:pStyle w:val="SingleTxtG"/>
        <w:tabs>
          <w:tab w:val="left" w:pos="1701"/>
        </w:tabs>
      </w:pPr>
      <w:r w:rsidRPr="000249AD">
        <w:t>49.</w:t>
      </w:r>
      <w:r w:rsidRPr="000249AD">
        <w:tab/>
        <w:t xml:space="preserve">Waste streams in the </w:t>
      </w:r>
      <w:r w:rsidR="00596BBC" w:rsidRPr="000249AD">
        <w:t>European Union</w:t>
      </w:r>
      <w:r w:rsidRPr="000249AD">
        <w:t xml:space="preserve"> generated from electrical and electronic equipment</w:t>
      </w:r>
      <w:r w:rsidR="00B87C2B" w:rsidRPr="000249AD">
        <w:t>,</w:t>
      </w:r>
      <w:r w:rsidRPr="000249AD">
        <w:t xml:space="preserve"> such as computers, </w:t>
      </w:r>
      <w:r w:rsidR="00B87C2B" w:rsidRPr="000249AD">
        <w:t xml:space="preserve">television </w:t>
      </w:r>
      <w:r w:rsidRPr="000249AD">
        <w:t xml:space="preserve">sets, </w:t>
      </w:r>
      <w:r w:rsidR="00B87C2B" w:rsidRPr="000249AD">
        <w:t xml:space="preserve">refrigerators </w:t>
      </w:r>
      <w:r w:rsidRPr="000249AD">
        <w:t xml:space="preserve">and </w:t>
      </w:r>
      <w:r w:rsidR="00B87C2B" w:rsidRPr="000249AD">
        <w:t>mobile tele</w:t>
      </w:r>
      <w:r w:rsidRPr="000249AD">
        <w:t>phones, is expected to grow to more than 12 million tons by 2020.</w:t>
      </w:r>
    </w:p>
    <w:p w14:paraId="5D8BA554" w14:textId="30829A0A" w:rsidR="00354E43" w:rsidRPr="000249AD" w:rsidRDefault="00F63142" w:rsidP="00B87C2B">
      <w:pPr>
        <w:pStyle w:val="SingleTxtG"/>
        <w:tabs>
          <w:tab w:val="left" w:pos="1701"/>
        </w:tabs>
      </w:pPr>
      <w:r w:rsidRPr="000249AD">
        <w:t>50.</w:t>
      </w:r>
      <w:r w:rsidRPr="000249AD">
        <w:tab/>
        <w:t xml:space="preserve">A major initiative and good practice is the </w:t>
      </w:r>
      <w:r w:rsidR="00596BBC" w:rsidRPr="000249AD">
        <w:t>European Union</w:t>
      </w:r>
      <w:r w:rsidRPr="000249AD">
        <w:t xml:space="preserve"> end-of-life/</w:t>
      </w:r>
      <w:r w:rsidR="00084C16" w:rsidRPr="000249AD">
        <w:t>“</w:t>
      </w:r>
      <w:r w:rsidRPr="000249AD">
        <w:t>take</w:t>
      </w:r>
      <w:r w:rsidR="00B87C2B" w:rsidRPr="000249AD">
        <w:t>-</w:t>
      </w:r>
      <w:r w:rsidRPr="000249AD">
        <w:t>back</w:t>
      </w:r>
      <w:r w:rsidR="00084C16" w:rsidRPr="000249AD">
        <w:t>”</w:t>
      </w:r>
      <w:r w:rsidRPr="000249AD">
        <w:t xml:space="preserve"> directives for electrical and electronic equipment</w:t>
      </w:r>
      <w:r w:rsidR="00084C16" w:rsidRPr="000249AD">
        <w:t xml:space="preserve">, </w:t>
      </w:r>
      <w:r w:rsidR="009D0876" w:rsidRPr="000249AD">
        <w:t>batteries</w:t>
      </w:r>
      <w:r w:rsidR="00084C16" w:rsidRPr="000249AD">
        <w:t xml:space="preserve">, </w:t>
      </w:r>
      <w:r w:rsidR="009D0876" w:rsidRPr="000249AD">
        <w:t xml:space="preserve">accumulators </w:t>
      </w:r>
      <w:r w:rsidR="00084C16" w:rsidRPr="000249AD">
        <w:t xml:space="preserve">and </w:t>
      </w:r>
      <w:r w:rsidRPr="000249AD">
        <w:t xml:space="preserve">vehicles. These measures can help control potential hazardous releases during disposal. Germany took a very active lead in developing </w:t>
      </w:r>
      <w:r w:rsidR="009D0876" w:rsidRPr="000249AD">
        <w:t xml:space="preserve">the respective </w:t>
      </w:r>
      <w:r w:rsidRPr="000249AD">
        <w:t xml:space="preserve">pieces of </w:t>
      </w:r>
      <w:r w:rsidR="00596BBC" w:rsidRPr="000249AD">
        <w:t>European Union</w:t>
      </w:r>
      <w:r w:rsidRPr="000249AD">
        <w:t xml:space="preserve"> legislation to address this problem.</w:t>
      </w:r>
    </w:p>
    <w:p w14:paraId="0E666B0A" w14:textId="441F5CCB" w:rsidR="00E976FA" w:rsidRPr="000249AD" w:rsidRDefault="00F63142" w:rsidP="00B87C2B">
      <w:pPr>
        <w:pStyle w:val="SingleTxtG"/>
        <w:tabs>
          <w:tab w:val="left" w:pos="1701"/>
        </w:tabs>
      </w:pPr>
      <w:r w:rsidRPr="000249AD">
        <w:t>51.</w:t>
      </w:r>
      <w:r w:rsidRPr="000249AD">
        <w:tab/>
        <w:t xml:space="preserve">Companies selling electrical and electronic goods in the </w:t>
      </w:r>
      <w:r w:rsidR="00596BBC" w:rsidRPr="000249AD">
        <w:t>European Union</w:t>
      </w:r>
      <w:r w:rsidRPr="000249AD">
        <w:t xml:space="preserve"> must conform to the </w:t>
      </w:r>
      <w:r w:rsidR="00596BBC" w:rsidRPr="000249AD">
        <w:t>European Union</w:t>
      </w:r>
      <w:r w:rsidRPr="000249AD">
        <w:t xml:space="preserve"> legislation for electrical and electronic equipment, which includes: (</w:t>
      </w:r>
      <w:r w:rsidR="00B87C2B" w:rsidRPr="000249AD">
        <w:t>a</w:t>
      </w:r>
      <w:r w:rsidRPr="000249AD">
        <w:t xml:space="preserve">) the Waste Electrical and Electronic Equipment </w:t>
      </w:r>
      <w:r w:rsidR="00B87C2B" w:rsidRPr="000249AD">
        <w:t>Directive;</w:t>
      </w:r>
      <w:r w:rsidRPr="00176051">
        <w:rPr>
          <w:rStyle w:val="FootnoteReference"/>
        </w:rPr>
        <w:footnoteReference w:id="13"/>
      </w:r>
      <w:r w:rsidRPr="000249AD">
        <w:t xml:space="preserve"> and (</w:t>
      </w:r>
      <w:r w:rsidR="00B87C2B" w:rsidRPr="000249AD">
        <w:t>b</w:t>
      </w:r>
      <w:r w:rsidRPr="000249AD">
        <w:t xml:space="preserve">) the </w:t>
      </w:r>
      <w:r w:rsidRPr="000249AD">
        <w:lastRenderedPageBreak/>
        <w:t xml:space="preserve">Directive on the </w:t>
      </w:r>
      <w:r w:rsidR="00B87C2B" w:rsidRPr="000249AD">
        <w:t>r</w:t>
      </w:r>
      <w:r w:rsidRPr="000249AD">
        <w:t xml:space="preserve">estriction of the use of certain </w:t>
      </w:r>
      <w:r w:rsidR="00B87C2B" w:rsidRPr="000249AD">
        <w:t>h</w:t>
      </w:r>
      <w:r w:rsidRPr="000249AD">
        <w:t xml:space="preserve">azardous </w:t>
      </w:r>
      <w:r w:rsidR="00B87C2B" w:rsidRPr="000249AD">
        <w:t>s</w:t>
      </w:r>
      <w:r w:rsidRPr="000249AD">
        <w:t>ubstances in electrical and electronic equipment</w:t>
      </w:r>
      <w:r w:rsidR="00B87C2B" w:rsidRPr="000249AD">
        <w:t>.</w:t>
      </w:r>
      <w:r w:rsidRPr="00176051">
        <w:rPr>
          <w:rStyle w:val="FootnoteReference"/>
        </w:rPr>
        <w:footnoteReference w:id="14"/>
      </w:r>
    </w:p>
    <w:p w14:paraId="357FD876" w14:textId="36D91951" w:rsidR="00354E43" w:rsidRPr="000249AD" w:rsidRDefault="00F63142" w:rsidP="00BD7E77">
      <w:pPr>
        <w:pStyle w:val="SingleTxtG"/>
        <w:tabs>
          <w:tab w:val="left" w:pos="1701"/>
        </w:tabs>
      </w:pPr>
      <w:r w:rsidRPr="000249AD">
        <w:t>5</w:t>
      </w:r>
      <w:r w:rsidR="00E976FA" w:rsidRPr="000249AD">
        <w:t>2</w:t>
      </w:r>
      <w:r w:rsidRPr="000249AD">
        <w:t>.</w:t>
      </w:r>
      <w:r w:rsidRPr="000249AD">
        <w:tab/>
        <w:t xml:space="preserve">Both Directives impose obligations and outcomes that </w:t>
      </w:r>
      <w:r w:rsidR="00F34040" w:rsidRPr="000249AD">
        <w:t>m</w:t>
      </w:r>
      <w:r w:rsidRPr="000249AD">
        <w:t xml:space="preserve">ember States must achieve but it is open to each </w:t>
      </w:r>
      <w:proofErr w:type="gramStart"/>
      <w:r w:rsidR="00F34040" w:rsidRPr="000249AD">
        <w:t>m</w:t>
      </w:r>
      <w:r w:rsidRPr="000249AD">
        <w:t>ember</w:t>
      </w:r>
      <w:proofErr w:type="gramEnd"/>
      <w:r w:rsidRPr="000249AD">
        <w:t xml:space="preserve"> State to choose the best framework to fulfil its obligations. Therefore, national rules for implementing each Directive will differ from country to country.</w:t>
      </w:r>
    </w:p>
    <w:p w14:paraId="2FFEA391" w14:textId="7882DD40" w:rsidR="00354E43" w:rsidRPr="000249AD" w:rsidRDefault="00F63142" w:rsidP="00F9359C">
      <w:pPr>
        <w:pStyle w:val="SingleTxtG"/>
        <w:tabs>
          <w:tab w:val="left" w:pos="1701"/>
        </w:tabs>
      </w:pPr>
      <w:r w:rsidRPr="000249AD">
        <w:t>5</w:t>
      </w:r>
      <w:r w:rsidR="00E976FA" w:rsidRPr="000249AD">
        <w:t>3</w:t>
      </w:r>
      <w:r w:rsidRPr="000249AD">
        <w:t>.</w:t>
      </w:r>
      <w:r w:rsidRPr="000249AD">
        <w:tab/>
        <w:t xml:space="preserve">The Ministry of the Environment mentioned the challenges </w:t>
      </w:r>
      <w:r w:rsidR="00F9359C" w:rsidRPr="000249AD">
        <w:t xml:space="preserve">in </w:t>
      </w:r>
      <w:r w:rsidRPr="000249AD">
        <w:t>distinguish</w:t>
      </w:r>
      <w:r w:rsidR="00F9359C" w:rsidRPr="000249AD">
        <w:t>ing</w:t>
      </w:r>
      <w:r w:rsidRPr="000249AD">
        <w:t xml:space="preserve"> between waste and non-waste at the border and </w:t>
      </w:r>
      <w:r w:rsidR="00F9359C" w:rsidRPr="000249AD">
        <w:t xml:space="preserve">in </w:t>
      </w:r>
      <w:r w:rsidRPr="000249AD">
        <w:t>accurately determin</w:t>
      </w:r>
      <w:r w:rsidR="00F9359C" w:rsidRPr="000249AD">
        <w:t>ing</w:t>
      </w:r>
      <w:r w:rsidRPr="000249AD">
        <w:t xml:space="preserve"> the amount of illegal shipments of </w:t>
      </w:r>
      <w:r w:rsidR="002505B1" w:rsidRPr="000249AD">
        <w:t>electronic</w:t>
      </w:r>
      <w:r w:rsidR="00F9359C" w:rsidRPr="000249AD">
        <w:t xml:space="preserve"> </w:t>
      </w:r>
      <w:r w:rsidRPr="000249AD">
        <w:t>waste from Germany to other countries.</w:t>
      </w:r>
    </w:p>
    <w:p w14:paraId="75CC4D3E" w14:textId="3FC053AC" w:rsidR="00F63142" w:rsidRPr="000249AD" w:rsidRDefault="00F63142" w:rsidP="00FF2032">
      <w:pPr>
        <w:pStyle w:val="SingleTxtG"/>
        <w:tabs>
          <w:tab w:val="left" w:pos="1701"/>
        </w:tabs>
      </w:pPr>
      <w:r w:rsidRPr="000249AD">
        <w:t>5</w:t>
      </w:r>
      <w:r w:rsidR="00E976FA" w:rsidRPr="000249AD">
        <w:t>4</w:t>
      </w:r>
      <w:r w:rsidRPr="000249AD">
        <w:t>.</w:t>
      </w:r>
      <w:r w:rsidRPr="000249AD">
        <w:tab/>
        <w:t>Germany commissioned a national study (2009-2010)</w:t>
      </w:r>
      <w:r w:rsidR="00FF2032" w:rsidRPr="000249AD">
        <w:t>,</w:t>
      </w:r>
      <w:r w:rsidRPr="000249AD">
        <w:t xml:space="preserve"> </w:t>
      </w:r>
      <w:r w:rsidR="00FF2032" w:rsidRPr="000249AD">
        <w:t xml:space="preserve">in which it was </w:t>
      </w:r>
      <w:r w:rsidRPr="000249AD">
        <w:t xml:space="preserve">calculated </w:t>
      </w:r>
      <w:r w:rsidR="00FF2032" w:rsidRPr="000249AD">
        <w:t xml:space="preserve">that </w:t>
      </w:r>
      <w:r w:rsidRPr="000249AD">
        <w:t>150,000 tons of e</w:t>
      </w:r>
      <w:r w:rsidR="002505B1" w:rsidRPr="000249AD">
        <w:t>lectronic</w:t>
      </w:r>
      <w:r w:rsidRPr="000249AD">
        <w:t>-waste</w:t>
      </w:r>
      <w:r w:rsidR="009D0876" w:rsidRPr="000249AD">
        <w:t xml:space="preserve"> </w:t>
      </w:r>
      <w:proofErr w:type="gramStart"/>
      <w:r w:rsidR="00FF2032" w:rsidRPr="000249AD">
        <w:t>were</w:t>
      </w:r>
      <w:proofErr w:type="gramEnd"/>
      <w:r w:rsidR="00FF2032" w:rsidRPr="000249AD">
        <w:t xml:space="preserve"> </w:t>
      </w:r>
      <w:r w:rsidR="009D0876" w:rsidRPr="000249AD">
        <w:t>exported illegally from Germany</w:t>
      </w:r>
      <w:r w:rsidR="002505B1" w:rsidRPr="000249AD">
        <w:t xml:space="preserve"> in 2008.</w:t>
      </w:r>
      <w:r w:rsidR="009D0876" w:rsidRPr="00176051">
        <w:rPr>
          <w:rStyle w:val="FootnoteReference"/>
        </w:rPr>
        <w:footnoteReference w:id="15"/>
      </w:r>
      <w:r w:rsidR="002505B1" w:rsidRPr="000249AD">
        <w:t xml:space="preserve"> </w:t>
      </w:r>
      <w:r w:rsidRPr="000249AD">
        <w:t xml:space="preserve">The Ministry </w:t>
      </w:r>
      <w:r w:rsidR="00B7638A" w:rsidRPr="000249AD">
        <w:t>questioned</w:t>
      </w:r>
      <w:r w:rsidR="009D0876" w:rsidRPr="000249AD">
        <w:t xml:space="preserve"> </w:t>
      </w:r>
      <w:r w:rsidRPr="000249AD">
        <w:t>the reliability of the figures</w:t>
      </w:r>
      <w:r w:rsidR="00E976FA" w:rsidRPr="000249AD">
        <w:t xml:space="preserve"> </w:t>
      </w:r>
      <w:r w:rsidRPr="000249AD">
        <w:t xml:space="preserve">on the basis that it is extremely difficult to know accurately the content of containers, and </w:t>
      </w:r>
      <w:r w:rsidR="00FF2032" w:rsidRPr="000249AD">
        <w:t xml:space="preserve">was </w:t>
      </w:r>
      <w:r w:rsidRPr="000249AD">
        <w:t xml:space="preserve">confident that German industry was </w:t>
      </w:r>
      <w:r w:rsidR="009D0876" w:rsidRPr="000249AD">
        <w:t xml:space="preserve">usually </w:t>
      </w:r>
      <w:r w:rsidRPr="000249AD">
        <w:t xml:space="preserve">not involved in illegal shipments. </w:t>
      </w:r>
    </w:p>
    <w:p w14:paraId="39BC2AA0" w14:textId="6C7C5189" w:rsidR="00F63142" w:rsidRPr="000249AD" w:rsidRDefault="00F63142" w:rsidP="00F63142">
      <w:pPr>
        <w:pStyle w:val="H1G"/>
      </w:pPr>
      <w:r w:rsidRPr="000249AD">
        <w:tab/>
        <w:t>F.</w:t>
      </w:r>
      <w:r w:rsidRPr="000249AD">
        <w:tab/>
        <w:t>Ship</w:t>
      </w:r>
      <w:r w:rsidR="00797C99" w:rsidRPr="000249AD">
        <w:t>-</w:t>
      </w:r>
      <w:r w:rsidRPr="000249AD">
        <w:t>breaking</w:t>
      </w:r>
    </w:p>
    <w:p w14:paraId="286768CF" w14:textId="1405C73F" w:rsidR="00354E43" w:rsidRPr="000249AD" w:rsidRDefault="00F63142" w:rsidP="00FF2032">
      <w:pPr>
        <w:pStyle w:val="SingleTxtG"/>
        <w:tabs>
          <w:tab w:val="left" w:pos="1701"/>
        </w:tabs>
      </w:pPr>
      <w:r w:rsidRPr="000249AD">
        <w:t>5</w:t>
      </w:r>
      <w:r w:rsidR="00E976FA" w:rsidRPr="000249AD">
        <w:t>5</w:t>
      </w:r>
      <w:r w:rsidRPr="000249AD">
        <w:t>.</w:t>
      </w:r>
      <w:r w:rsidRPr="000249AD">
        <w:tab/>
        <w:t xml:space="preserve">German ship owners operate the world’s </w:t>
      </w:r>
      <w:r w:rsidR="005E5E05" w:rsidRPr="000249AD">
        <w:t xml:space="preserve">fourth </w:t>
      </w:r>
      <w:r w:rsidRPr="000249AD">
        <w:t xml:space="preserve">largest merchant fleet in terms of vessels and have been linked to </w:t>
      </w:r>
      <w:r w:rsidR="00514912" w:rsidRPr="000249AD">
        <w:t xml:space="preserve">widespread contamination of the food, water and air of local communities, </w:t>
      </w:r>
      <w:r w:rsidR="00FF2032" w:rsidRPr="000249AD">
        <w:t xml:space="preserve">in addition to </w:t>
      </w:r>
      <w:r w:rsidRPr="000249AD">
        <w:t xml:space="preserve">fatalities and toxic chemical exposure </w:t>
      </w:r>
      <w:r w:rsidR="00FF2032" w:rsidRPr="000249AD">
        <w:t xml:space="preserve">among </w:t>
      </w:r>
      <w:r w:rsidRPr="000249AD">
        <w:t>workers</w:t>
      </w:r>
      <w:r w:rsidR="00514912" w:rsidRPr="000249AD">
        <w:t>, including child and migrant workers</w:t>
      </w:r>
      <w:r w:rsidRPr="000249AD">
        <w:t xml:space="preserve">, who dismantle ships in </w:t>
      </w:r>
      <w:r w:rsidR="00514912" w:rsidRPr="000249AD">
        <w:t xml:space="preserve">hazardous and </w:t>
      </w:r>
      <w:r w:rsidRPr="000249AD">
        <w:t xml:space="preserve">deadly conditions. </w:t>
      </w:r>
      <w:r w:rsidR="00514912" w:rsidRPr="000249AD">
        <w:t xml:space="preserve">According to assessments by civil society, </w:t>
      </w:r>
      <w:r w:rsidR="002505B1" w:rsidRPr="000249AD">
        <w:t xml:space="preserve">but </w:t>
      </w:r>
      <w:r w:rsidR="00CE444E" w:rsidRPr="000249AD">
        <w:t xml:space="preserve">disputed by the Government, </w:t>
      </w:r>
      <w:r w:rsidR="00514912" w:rsidRPr="000249AD">
        <w:t xml:space="preserve">in </w:t>
      </w:r>
      <w:r w:rsidRPr="000249AD">
        <w:t>2014, German ship owners sold a record high of 95 per cent of their end-of-life tonnage for substandard breaking on the beaches of South Asia.</w:t>
      </w:r>
      <w:r w:rsidR="00514912" w:rsidRPr="000249AD">
        <w:t xml:space="preserve"> Despite recent progress, the extremely poor working practices and environmental conditions prevailing in many ship</w:t>
      </w:r>
      <w:r w:rsidR="00797C99" w:rsidRPr="000249AD">
        <w:t>-</w:t>
      </w:r>
      <w:r w:rsidR="00514912" w:rsidRPr="000249AD">
        <w:t>breaking yards continue to be the source of widespread concern in the international community.</w:t>
      </w:r>
      <w:r w:rsidR="00514912" w:rsidRPr="00176051">
        <w:rPr>
          <w:rStyle w:val="FootnoteReference"/>
        </w:rPr>
        <w:footnoteReference w:id="16"/>
      </w:r>
    </w:p>
    <w:p w14:paraId="5CFF9936" w14:textId="6E7AADA6" w:rsidR="00354E43" w:rsidRPr="000249AD" w:rsidRDefault="00F63142" w:rsidP="00FF2032">
      <w:pPr>
        <w:pStyle w:val="SingleTxtG"/>
        <w:tabs>
          <w:tab w:val="left" w:pos="1701"/>
        </w:tabs>
      </w:pPr>
      <w:r w:rsidRPr="000249AD">
        <w:t>5</w:t>
      </w:r>
      <w:r w:rsidR="00E976FA" w:rsidRPr="000249AD">
        <w:t>6</w:t>
      </w:r>
      <w:r w:rsidRPr="000249AD">
        <w:t>.</w:t>
      </w:r>
      <w:r w:rsidRPr="000249AD">
        <w:tab/>
      </w:r>
      <w:r w:rsidR="005D0BCD" w:rsidRPr="000249AD">
        <w:t xml:space="preserve">The interplay between </w:t>
      </w:r>
      <w:r w:rsidR="00FE56F9" w:rsidRPr="000249AD">
        <w:t xml:space="preserve">and levels of protection afforded by </w:t>
      </w:r>
      <w:r w:rsidR="005D0BCD" w:rsidRPr="000249AD">
        <w:t xml:space="preserve">the Basel Convention </w:t>
      </w:r>
      <w:r w:rsidR="00FF2032" w:rsidRPr="00AE7004">
        <w:t xml:space="preserve">on the Control of </w:t>
      </w:r>
      <w:proofErr w:type="spellStart"/>
      <w:r w:rsidR="00FF2032" w:rsidRPr="00AE7004">
        <w:t>Transboundary</w:t>
      </w:r>
      <w:proofErr w:type="spellEnd"/>
      <w:r w:rsidR="00FF2032" w:rsidRPr="00AE7004">
        <w:t xml:space="preserve"> Movements of Hazardous Wastes and their Disposal, </w:t>
      </w:r>
      <w:r w:rsidR="005D0BCD" w:rsidRPr="000249AD">
        <w:t>and the I</w:t>
      </w:r>
      <w:r w:rsidR="002505B1" w:rsidRPr="000249AD">
        <w:t>nternational Maritime Organi</w:t>
      </w:r>
      <w:r w:rsidR="00797C99" w:rsidRPr="000249AD">
        <w:t>z</w:t>
      </w:r>
      <w:r w:rsidR="002505B1" w:rsidRPr="000249AD">
        <w:t>ation</w:t>
      </w:r>
      <w:r w:rsidR="005D0BCD" w:rsidRPr="000249AD">
        <w:t xml:space="preserve"> Hong Kong </w:t>
      </w:r>
      <w:r w:rsidR="00FF2032" w:rsidRPr="000249AD">
        <w:t xml:space="preserve">International </w:t>
      </w:r>
      <w:r w:rsidR="005D0BCD" w:rsidRPr="000249AD">
        <w:t>Convention on the Safe and Environmentally Sound Recycling of Ships</w:t>
      </w:r>
      <w:r w:rsidR="00FE56F9" w:rsidRPr="000249AD">
        <w:t xml:space="preserve"> remains an issue.</w:t>
      </w:r>
      <w:r w:rsidR="00FE56F9" w:rsidRPr="00176051">
        <w:rPr>
          <w:rStyle w:val="FootnoteReference"/>
        </w:rPr>
        <w:footnoteReference w:id="17"/>
      </w:r>
      <w:r w:rsidR="005D0BCD" w:rsidRPr="000249AD">
        <w:t xml:space="preserve"> </w:t>
      </w:r>
    </w:p>
    <w:p w14:paraId="1A6FCED4" w14:textId="380995FE" w:rsidR="00F63142" w:rsidRPr="000249AD" w:rsidRDefault="00E976FA" w:rsidP="006F5227">
      <w:pPr>
        <w:pStyle w:val="SingleTxtG"/>
        <w:tabs>
          <w:tab w:val="left" w:pos="1701"/>
        </w:tabs>
      </w:pPr>
      <w:r w:rsidRPr="000249AD">
        <w:rPr>
          <w:rFonts w:eastAsia="Calibri"/>
          <w:lang w:eastAsia="en-GB" w:bidi="he-IL"/>
        </w:rPr>
        <w:t>57</w:t>
      </w:r>
      <w:r w:rsidR="00F63142" w:rsidRPr="000249AD">
        <w:rPr>
          <w:rFonts w:eastAsia="Calibri"/>
          <w:lang w:eastAsia="en-GB" w:bidi="he-IL"/>
        </w:rPr>
        <w:t>.</w:t>
      </w:r>
      <w:r w:rsidR="00F63142" w:rsidRPr="000249AD">
        <w:rPr>
          <w:rFonts w:eastAsia="Calibri"/>
          <w:lang w:eastAsia="en-GB" w:bidi="he-IL"/>
        </w:rPr>
        <w:tab/>
      </w:r>
      <w:r w:rsidR="00F63142" w:rsidRPr="000249AD">
        <w:t xml:space="preserve">In October 2011, the majority of </w:t>
      </w:r>
      <w:r w:rsidR="00D36777" w:rsidRPr="000249AD">
        <w:t xml:space="preserve">parties </w:t>
      </w:r>
      <w:r w:rsidR="006F5227" w:rsidRPr="000249AD">
        <w:t xml:space="preserve">to </w:t>
      </w:r>
      <w:r w:rsidR="00F63142" w:rsidRPr="000249AD">
        <w:t xml:space="preserve">the Basel Convention officially determined </w:t>
      </w:r>
      <w:r w:rsidR="002505B1" w:rsidRPr="000249AD">
        <w:t xml:space="preserve">that </w:t>
      </w:r>
      <w:r w:rsidR="00F63142" w:rsidRPr="000249AD">
        <w:t xml:space="preserve">the Hong Kong Convention </w:t>
      </w:r>
      <w:r w:rsidR="00FF2032" w:rsidRPr="000249AD">
        <w:t xml:space="preserve">did </w:t>
      </w:r>
      <w:r w:rsidR="00F63142" w:rsidRPr="000249AD">
        <w:t>not protect people or communities from the dangers of ship</w:t>
      </w:r>
      <w:r w:rsidR="00797C99" w:rsidRPr="000249AD">
        <w:t>-</w:t>
      </w:r>
      <w:r w:rsidR="00F63142" w:rsidRPr="000249AD">
        <w:t>breaking as adequately as the Basel Convention.</w:t>
      </w:r>
      <w:r w:rsidR="005E5E05" w:rsidRPr="000249AD">
        <w:t xml:space="preserve"> The </w:t>
      </w:r>
      <w:r w:rsidR="00596BBC" w:rsidRPr="000249AD">
        <w:t>European Union</w:t>
      </w:r>
      <w:r w:rsidR="005E5E05" w:rsidRPr="000249AD">
        <w:t xml:space="preserve"> disagreed with th</w:t>
      </w:r>
      <w:r w:rsidR="00FF2032" w:rsidRPr="000249AD">
        <w:t>at</w:t>
      </w:r>
      <w:r w:rsidR="005E5E05" w:rsidRPr="000249AD">
        <w:t xml:space="preserve"> conclusion</w:t>
      </w:r>
      <w:r w:rsidR="00514912" w:rsidRPr="000249AD">
        <w:t>, and Germany is in favour of the Hong Kong Convention, which has yet to enter into force</w:t>
      </w:r>
      <w:r w:rsidR="005E5E05" w:rsidRPr="000249AD">
        <w:t>.</w:t>
      </w:r>
      <w:r w:rsidR="006A18E7">
        <w:t xml:space="preserve"> </w:t>
      </w:r>
      <w:r w:rsidR="00514912" w:rsidRPr="000249AD">
        <w:t>The Special Rapporteur plans</w:t>
      </w:r>
      <w:r w:rsidRPr="000249AD">
        <w:t xml:space="preserve"> to</w:t>
      </w:r>
      <w:r w:rsidR="00514912" w:rsidRPr="000249AD">
        <w:t xml:space="preserve"> further monitor and assess the issue.</w:t>
      </w:r>
    </w:p>
    <w:p w14:paraId="60386662" w14:textId="62CC1334" w:rsidR="00F63142" w:rsidRPr="000249AD" w:rsidRDefault="00F63142" w:rsidP="00FF2032">
      <w:pPr>
        <w:pStyle w:val="H1G"/>
      </w:pPr>
      <w:r w:rsidRPr="000249AD">
        <w:lastRenderedPageBreak/>
        <w:tab/>
        <w:t>G.</w:t>
      </w:r>
      <w:r w:rsidRPr="000249AD">
        <w:tab/>
        <w:t xml:space="preserve">International trade </w:t>
      </w:r>
      <w:r w:rsidR="00FF2032" w:rsidRPr="000249AD">
        <w:t>and</w:t>
      </w:r>
      <w:r w:rsidRPr="000249AD">
        <w:t xml:space="preserve"> deregulatory pressures</w:t>
      </w:r>
    </w:p>
    <w:p w14:paraId="4C916054" w14:textId="15F0F111" w:rsidR="00354E43" w:rsidRPr="000249AD" w:rsidRDefault="00E976FA" w:rsidP="00AB36A2">
      <w:pPr>
        <w:pStyle w:val="SingleTxtG"/>
        <w:tabs>
          <w:tab w:val="left" w:pos="1701"/>
        </w:tabs>
      </w:pPr>
      <w:r w:rsidRPr="000249AD">
        <w:t>58</w:t>
      </w:r>
      <w:r w:rsidR="00F63142" w:rsidRPr="000249AD">
        <w:t>.</w:t>
      </w:r>
      <w:r w:rsidR="00F63142" w:rsidRPr="000249AD">
        <w:tab/>
        <w:t xml:space="preserve">Although Germany has, together with </w:t>
      </w:r>
      <w:r w:rsidR="00596BBC" w:rsidRPr="000249AD">
        <w:t>European Union</w:t>
      </w:r>
      <w:r w:rsidR="00F63142" w:rsidRPr="000249AD">
        <w:t xml:space="preserve"> member </w:t>
      </w:r>
      <w:r w:rsidR="00B21AA8" w:rsidRPr="000249AD">
        <w:t>S</w:t>
      </w:r>
      <w:r w:rsidR="00F63142" w:rsidRPr="000249AD">
        <w:t>tates and institutions, developed many good practices in protecting human rights from hazardous substances and wastes over the past several years, there are apparent threats to the full implementation of laws and standards that have yet to be set in certain areas.</w:t>
      </w:r>
    </w:p>
    <w:p w14:paraId="552DD142" w14:textId="74C98485" w:rsidR="00F63142" w:rsidRPr="000249AD" w:rsidRDefault="00E976FA" w:rsidP="00C6529D">
      <w:pPr>
        <w:pStyle w:val="SingleTxtG"/>
        <w:tabs>
          <w:tab w:val="left" w:pos="1701"/>
        </w:tabs>
      </w:pPr>
      <w:r w:rsidRPr="000249AD">
        <w:t>59</w:t>
      </w:r>
      <w:r w:rsidR="00F63142" w:rsidRPr="000249AD">
        <w:t>.</w:t>
      </w:r>
      <w:r w:rsidR="00F63142" w:rsidRPr="000249AD">
        <w:tab/>
        <w:t xml:space="preserve">For example, the </w:t>
      </w:r>
      <w:r w:rsidR="00F4170E" w:rsidRPr="000249AD">
        <w:t xml:space="preserve">German Federal Environment Agency </w:t>
      </w:r>
      <w:r w:rsidR="00F63142" w:rsidRPr="000249AD">
        <w:t>notes that</w:t>
      </w:r>
      <w:r w:rsidR="00B21AA8" w:rsidRPr="000249AD">
        <w:t>,</w:t>
      </w:r>
      <w:r w:rsidR="00F63142" w:rsidRPr="000249AD">
        <w:t xml:space="preserve"> if improperly designed, the </w:t>
      </w:r>
      <w:r w:rsidR="00B21AA8" w:rsidRPr="000249AD">
        <w:t xml:space="preserve">regulatory objectives of the </w:t>
      </w:r>
      <w:r w:rsidR="00F63142" w:rsidRPr="000249AD">
        <w:t xml:space="preserve">envisaged </w:t>
      </w:r>
      <w:r w:rsidR="00B21AA8" w:rsidRPr="000249AD">
        <w:t xml:space="preserve">Transatlantic </w:t>
      </w:r>
      <w:r w:rsidR="00F63142" w:rsidRPr="000249AD">
        <w:t>Trade and Investment Partnership</w:t>
      </w:r>
      <w:r w:rsidR="00B21AA8" w:rsidRPr="000249AD">
        <w:t xml:space="preserve"> agreement</w:t>
      </w:r>
      <w:r w:rsidR="00F63142" w:rsidRPr="000249AD">
        <w:t xml:space="preserve"> could adversely affect </w:t>
      </w:r>
      <w:r w:rsidR="00596BBC" w:rsidRPr="000249AD">
        <w:t>European Union</w:t>
      </w:r>
      <w:r w:rsidR="00F63142" w:rsidRPr="000249AD">
        <w:t xml:space="preserve"> environmental standards.</w:t>
      </w:r>
      <w:r w:rsidR="00F4170E" w:rsidRPr="00176051">
        <w:rPr>
          <w:rStyle w:val="FootnoteReference"/>
        </w:rPr>
        <w:footnoteReference w:id="18"/>
      </w:r>
      <w:r w:rsidR="00F63142" w:rsidRPr="000249AD">
        <w:t xml:space="preserve"> Of particular concern is the risk to the implementation of existing legislation. Indeed</w:t>
      </w:r>
      <w:r w:rsidR="00C22B59" w:rsidRPr="000249AD">
        <w:t>,</w:t>
      </w:r>
      <w:r w:rsidR="00F63142" w:rsidRPr="000249AD">
        <w:t xml:space="preserve"> there is evidence that </w:t>
      </w:r>
      <w:r w:rsidR="00B21AA8" w:rsidRPr="000249AD">
        <w:t xml:space="preserve">the </w:t>
      </w:r>
      <w:r w:rsidR="00C6529D" w:rsidRPr="000249AD">
        <w:t xml:space="preserve">Transatlantic Trade and Investment </w:t>
      </w:r>
      <w:r w:rsidR="00B21AA8" w:rsidRPr="000249AD">
        <w:t xml:space="preserve">Partnership </w:t>
      </w:r>
      <w:r w:rsidR="00F63142" w:rsidRPr="000249AD">
        <w:t>has been used as an argument against</w:t>
      </w:r>
      <w:r w:rsidR="00B7638A" w:rsidRPr="000249AD">
        <w:t xml:space="preserve"> improved standards for protecting human rights</w:t>
      </w:r>
      <w:r w:rsidR="00F63142" w:rsidRPr="000249AD">
        <w:t xml:space="preserve"> from the risks of toxic chemicals.</w:t>
      </w:r>
      <w:r w:rsidR="00F63142" w:rsidRPr="00176051">
        <w:rPr>
          <w:rStyle w:val="FootnoteReference"/>
        </w:rPr>
        <w:footnoteReference w:id="19"/>
      </w:r>
      <w:r w:rsidR="00F63142" w:rsidRPr="000249AD">
        <w:t xml:space="preserve"> The European Parliament echoed the concerns of </w:t>
      </w:r>
      <w:r w:rsidR="00434AA3" w:rsidRPr="000249AD">
        <w:t xml:space="preserve">the Agency </w:t>
      </w:r>
      <w:r w:rsidR="00592185" w:rsidRPr="000249AD">
        <w:t xml:space="preserve">and </w:t>
      </w:r>
      <w:r w:rsidR="00E434D6" w:rsidRPr="000249AD">
        <w:t>went even further</w:t>
      </w:r>
      <w:r w:rsidR="00F63142" w:rsidRPr="000249AD">
        <w:t xml:space="preserve">, calling for the </w:t>
      </w:r>
      <w:r w:rsidR="00596BBC" w:rsidRPr="000249AD">
        <w:t>European Union</w:t>
      </w:r>
      <w:r w:rsidR="00F63142" w:rsidRPr="000249AD">
        <w:t xml:space="preserve"> to not negotiate on the implementation of REACH and other </w:t>
      </w:r>
      <w:r w:rsidR="00596BBC" w:rsidRPr="000249AD">
        <w:t>European Union</w:t>
      </w:r>
      <w:r w:rsidR="00F63142" w:rsidRPr="000249AD">
        <w:t xml:space="preserve"> chemical and pesticide laws in the context of negotiations</w:t>
      </w:r>
      <w:r w:rsidR="00C6529D" w:rsidRPr="000249AD">
        <w:t xml:space="preserve"> on the Transatlantic Trade and Investment Partnership</w:t>
      </w:r>
      <w:r w:rsidR="00F63142" w:rsidRPr="000249AD">
        <w:t>.</w:t>
      </w:r>
      <w:r w:rsidR="00F63142" w:rsidRPr="00176051">
        <w:rPr>
          <w:rStyle w:val="FootnoteReference"/>
        </w:rPr>
        <w:footnoteReference w:id="20"/>
      </w:r>
      <w:r w:rsidR="00F63142" w:rsidRPr="000249AD">
        <w:t xml:space="preserve"> A</w:t>
      </w:r>
      <w:r w:rsidR="00592185" w:rsidRPr="000249AD">
        <w:t>n</w:t>
      </w:r>
      <w:r w:rsidR="00F63142" w:rsidRPr="000249AD">
        <w:t xml:space="preserve"> opinion </w:t>
      </w:r>
      <w:r w:rsidR="00592185" w:rsidRPr="000249AD">
        <w:t xml:space="preserve">of the German Advisory Council on the Environment </w:t>
      </w:r>
      <w:r w:rsidR="00F63142" w:rsidRPr="000249AD">
        <w:t>recently found that controversial issues, such as the regulation of toxic chemicals</w:t>
      </w:r>
      <w:r w:rsidR="00592185" w:rsidRPr="000249AD">
        <w:t xml:space="preserve"> and the precautionary principle</w:t>
      </w:r>
      <w:r w:rsidR="00F63142" w:rsidRPr="000249AD">
        <w:t>, were not adequately assessed by the European Commission Sustainability</w:t>
      </w:r>
      <w:r w:rsidR="00592185" w:rsidRPr="000249AD">
        <w:t xml:space="preserve"> Impact Assessment</w:t>
      </w:r>
      <w:r w:rsidR="00F63142" w:rsidRPr="000249AD">
        <w:t xml:space="preserve"> </w:t>
      </w:r>
      <w:r w:rsidR="00C22B59" w:rsidRPr="000249AD">
        <w:t xml:space="preserve">of </w:t>
      </w:r>
      <w:r w:rsidR="00B21AA8" w:rsidRPr="000249AD">
        <w:t xml:space="preserve">the </w:t>
      </w:r>
      <w:r w:rsidR="00C6529D" w:rsidRPr="000249AD">
        <w:t xml:space="preserve">Transatlantic Trade and Investment </w:t>
      </w:r>
      <w:r w:rsidR="00B21AA8" w:rsidRPr="000249AD">
        <w:t>Partnership</w:t>
      </w:r>
      <w:r w:rsidR="00F63142" w:rsidRPr="000249AD">
        <w:t>.</w:t>
      </w:r>
      <w:r w:rsidR="00592185" w:rsidRPr="00176051">
        <w:rPr>
          <w:rStyle w:val="FootnoteReference"/>
        </w:rPr>
        <w:footnoteReference w:id="21"/>
      </w:r>
      <w:r w:rsidR="00F63142" w:rsidRPr="000249AD">
        <w:t xml:space="preserve"> </w:t>
      </w:r>
    </w:p>
    <w:p w14:paraId="0F162E45" w14:textId="4FE7A0D1" w:rsidR="00354E43" w:rsidRPr="000249AD" w:rsidRDefault="00C02B3F" w:rsidP="00653AB0">
      <w:pPr>
        <w:pStyle w:val="SingleTxtG"/>
        <w:tabs>
          <w:tab w:val="left" w:pos="1701"/>
        </w:tabs>
      </w:pPr>
      <w:r w:rsidRPr="000249AD">
        <w:t>60</w:t>
      </w:r>
      <w:r w:rsidR="00F63142" w:rsidRPr="000249AD">
        <w:t>.</w:t>
      </w:r>
      <w:r w:rsidR="00F63142" w:rsidRPr="000249AD">
        <w:tab/>
        <w:t xml:space="preserve">The Special Rapporteur is troubled by the recent initiatives within the European Commission that may embrace elements of what the German Environment </w:t>
      </w:r>
      <w:r w:rsidR="00592185" w:rsidRPr="000249AD">
        <w:t xml:space="preserve">Agency </w:t>
      </w:r>
      <w:r w:rsidR="00F63142" w:rsidRPr="000249AD">
        <w:t xml:space="preserve">and European Parliament raised as concerns regarding </w:t>
      </w:r>
      <w:r w:rsidR="00B21AA8" w:rsidRPr="000249AD">
        <w:t xml:space="preserve">the </w:t>
      </w:r>
      <w:r w:rsidR="00F63142" w:rsidRPr="000249AD">
        <w:t xml:space="preserve">impacts </w:t>
      </w:r>
      <w:r w:rsidR="00B21AA8" w:rsidRPr="000249AD">
        <w:t xml:space="preserve">of the Transatlantic Trade and Investment Partnership </w:t>
      </w:r>
      <w:r w:rsidR="00F63142" w:rsidRPr="000249AD">
        <w:t xml:space="preserve">on </w:t>
      </w:r>
      <w:r w:rsidR="00596BBC" w:rsidRPr="000249AD">
        <w:t>European Union</w:t>
      </w:r>
      <w:r w:rsidR="00F63142" w:rsidRPr="000249AD">
        <w:t xml:space="preserve"> laws, namely</w:t>
      </w:r>
      <w:r w:rsidR="00C22B59" w:rsidRPr="000249AD">
        <w:t>,</w:t>
      </w:r>
      <w:r w:rsidR="00F63142" w:rsidRPr="000249AD">
        <w:t xml:space="preserve"> the “Better Regulation Agenda” and the European Commission Regulatory Fitness and Performance programme.</w:t>
      </w:r>
    </w:p>
    <w:p w14:paraId="318042EE" w14:textId="4E46E9F0" w:rsidR="00E976FA" w:rsidRPr="000249AD" w:rsidRDefault="00C02B3F" w:rsidP="00C6529D">
      <w:pPr>
        <w:pStyle w:val="SingleTxtG"/>
        <w:tabs>
          <w:tab w:val="left" w:pos="1701"/>
        </w:tabs>
      </w:pPr>
      <w:r w:rsidRPr="000249AD">
        <w:t>61</w:t>
      </w:r>
      <w:r w:rsidR="00F63142" w:rsidRPr="000249AD">
        <w:t>.</w:t>
      </w:r>
      <w:r w:rsidR="00F63142" w:rsidRPr="000249AD">
        <w:tab/>
        <w:t>Given the dynamic nature of the negotiations</w:t>
      </w:r>
      <w:r w:rsidR="00B21AA8" w:rsidRPr="000249AD">
        <w:t xml:space="preserve"> concerning the Transatlantic Trade and Investment Partnership</w:t>
      </w:r>
      <w:r w:rsidR="00F63142" w:rsidRPr="000249AD">
        <w:t>, the Special Rapporteur highlights one particularly problematic issu</w:t>
      </w:r>
      <w:r w:rsidR="00166C20" w:rsidRPr="000249AD">
        <w:t xml:space="preserve">e in modern trade negotiations </w:t>
      </w:r>
      <w:r w:rsidR="00F63142" w:rsidRPr="000249AD">
        <w:t>that increasingly encroaches upon the policy spac</w:t>
      </w:r>
      <w:r w:rsidR="00E976FA" w:rsidRPr="000249AD">
        <w:t xml:space="preserve">e of national </w:t>
      </w:r>
      <w:r w:rsidR="00EC668A" w:rsidRPr="000249AD">
        <w:t>G</w:t>
      </w:r>
      <w:r w:rsidR="00E976FA" w:rsidRPr="000249AD">
        <w:t xml:space="preserve">overnments: the </w:t>
      </w:r>
      <w:r w:rsidR="002E627F" w:rsidRPr="000249AD">
        <w:t xml:space="preserve">low </w:t>
      </w:r>
      <w:r w:rsidR="00F63142" w:rsidRPr="000249AD">
        <w:t xml:space="preserve">level of transparency and public participation. </w:t>
      </w:r>
      <w:r w:rsidR="002E627F" w:rsidRPr="000249AD">
        <w:t xml:space="preserve">This concern </w:t>
      </w:r>
      <w:r w:rsidR="00EC668A" w:rsidRPr="000249AD">
        <w:t>h</w:t>
      </w:r>
      <w:r w:rsidR="002E627F" w:rsidRPr="000249AD">
        <w:t>as also been raised by the German Environment Agency</w:t>
      </w:r>
      <w:r w:rsidR="00FE1184" w:rsidRPr="000249AD">
        <w:t xml:space="preserve"> and others</w:t>
      </w:r>
      <w:r w:rsidR="002E627F" w:rsidRPr="000249AD">
        <w:t>.</w:t>
      </w:r>
      <w:r w:rsidR="002E627F" w:rsidRPr="00176051">
        <w:rPr>
          <w:rStyle w:val="FootnoteReference"/>
        </w:rPr>
        <w:footnoteReference w:id="22"/>
      </w:r>
      <w:r w:rsidR="002E627F" w:rsidRPr="000249AD">
        <w:t xml:space="preserve"> </w:t>
      </w:r>
      <w:r w:rsidR="002E627F" w:rsidRPr="000249AD">
        <w:rPr>
          <w:lang w:val="en-US"/>
        </w:rPr>
        <w:t>While the</w:t>
      </w:r>
      <w:r w:rsidR="00E434D6" w:rsidRPr="000249AD">
        <w:rPr>
          <w:lang w:val="en-US"/>
        </w:rPr>
        <w:t xml:space="preserve"> European Commission </w:t>
      </w:r>
      <w:r w:rsidR="002E627F" w:rsidRPr="000249AD">
        <w:rPr>
          <w:lang w:val="en-US"/>
        </w:rPr>
        <w:t xml:space="preserve">has sought to increase the </w:t>
      </w:r>
      <w:r w:rsidR="00E434D6" w:rsidRPr="000249AD">
        <w:rPr>
          <w:lang w:val="en-US"/>
        </w:rPr>
        <w:t>level of transparency</w:t>
      </w:r>
      <w:r w:rsidR="002E627F" w:rsidRPr="000249AD">
        <w:rPr>
          <w:lang w:val="en-US"/>
        </w:rPr>
        <w:t>,</w:t>
      </w:r>
      <w:r w:rsidR="00E434D6" w:rsidRPr="000249AD">
        <w:rPr>
          <w:lang w:val="en-US"/>
        </w:rPr>
        <w:t xml:space="preserve"> </w:t>
      </w:r>
      <w:r w:rsidR="00EC668A" w:rsidRPr="000249AD">
        <w:rPr>
          <w:lang w:val="en-US"/>
        </w:rPr>
        <w:t xml:space="preserve">with </w:t>
      </w:r>
      <w:r w:rsidR="00E434D6" w:rsidRPr="000249AD">
        <w:rPr>
          <w:lang w:val="en-US"/>
        </w:rPr>
        <w:t xml:space="preserve">the </w:t>
      </w:r>
      <w:r w:rsidR="00EC668A" w:rsidRPr="000249AD">
        <w:t xml:space="preserve">Government of Germany </w:t>
      </w:r>
      <w:r w:rsidR="00EC668A" w:rsidRPr="000249AD">
        <w:rPr>
          <w:lang w:val="en-US"/>
        </w:rPr>
        <w:t xml:space="preserve">consequently </w:t>
      </w:r>
      <w:r w:rsidR="00EC668A" w:rsidRPr="000249AD">
        <w:t xml:space="preserve">having </w:t>
      </w:r>
      <w:r w:rsidR="00E434D6" w:rsidRPr="000249AD">
        <w:t xml:space="preserve">access to all negotiating proposals of the </w:t>
      </w:r>
      <w:r w:rsidR="00596BBC" w:rsidRPr="000249AD">
        <w:t>European Union</w:t>
      </w:r>
      <w:r w:rsidR="00E434D6" w:rsidRPr="000249AD">
        <w:t xml:space="preserve"> and consolidated texts</w:t>
      </w:r>
      <w:r w:rsidR="002E627F" w:rsidRPr="000249AD">
        <w:t>, the public does not have equal access</w:t>
      </w:r>
      <w:r w:rsidR="00FE1184" w:rsidRPr="000249AD">
        <w:t xml:space="preserve"> or meaningful opportunity for participation</w:t>
      </w:r>
      <w:r w:rsidR="002E627F" w:rsidRPr="000249AD">
        <w:t>.</w:t>
      </w:r>
      <w:r w:rsidR="006A18E7">
        <w:t xml:space="preserve"> </w:t>
      </w:r>
      <w:r w:rsidR="002E627F" w:rsidRPr="000249AD">
        <w:t xml:space="preserve">Furthermore, </w:t>
      </w:r>
      <w:r w:rsidR="00FE1184" w:rsidRPr="000249AD">
        <w:t xml:space="preserve">the failure of all negotiating </w:t>
      </w:r>
      <w:r w:rsidR="00EC668A" w:rsidRPr="000249AD">
        <w:t>p</w:t>
      </w:r>
      <w:r w:rsidR="00FE1184" w:rsidRPr="000249AD">
        <w:t xml:space="preserve">arties to </w:t>
      </w:r>
      <w:r w:rsidR="00B21AA8" w:rsidRPr="000249AD">
        <w:t xml:space="preserve">the </w:t>
      </w:r>
      <w:r w:rsidR="00C6529D" w:rsidRPr="000249AD">
        <w:t xml:space="preserve">Transatlantic Trade and Investment </w:t>
      </w:r>
      <w:r w:rsidR="00B21AA8" w:rsidRPr="000249AD">
        <w:t xml:space="preserve">Partnership </w:t>
      </w:r>
      <w:r w:rsidR="00FE1184" w:rsidRPr="000249AD">
        <w:t>to have the same level of transparency undermines the advancements made by</w:t>
      </w:r>
      <w:r w:rsidR="002E627F" w:rsidRPr="000249AD">
        <w:t xml:space="preserve"> the </w:t>
      </w:r>
      <w:r w:rsidR="00FE1184" w:rsidRPr="000249AD">
        <w:t>Commission</w:t>
      </w:r>
      <w:r w:rsidR="002E627F" w:rsidRPr="000249AD">
        <w:t xml:space="preserve">. </w:t>
      </w:r>
      <w:r w:rsidR="00FE1184" w:rsidRPr="000249AD">
        <w:t xml:space="preserve">The lack of public participation in trade negotiations is of serious concern to the Special Rapporteur, as trade negotiations </w:t>
      </w:r>
      <w:r w:rsidR="00FE1184" w:rsidRPr="000249AD">
        <w:lastRenderedPageBreak/>
        <w:t>increasingly seek to alter the development and implementation of laws and policies, including those for the protection and realization of human rights.</w:t>
      </w:r>
    </w:p>
    <w:p w14:paraId="1B45C138" w14:textId="742D1FD7" w:rsidR="00F63142" w:rsidRPr="000249AD" w:rsidRDefault="00C02B3F" w:rsidP="00AB36A2">
      <w:pPr>
        <w:pStyle w:val="SingleTxtG"/>
        <w:tabs>
          <w:tab w:val="left" w:pos="1701"/>
        </w:tabs>
      </w:pPr>
      <w:r w:rsidRPr="000249AD">
        <w:t>62</w:t>
      </w:r>
      <w:r w:rsidR="00F63142" w:rsidRPr="000249AD">
        <w:t>.</w:t>
      </w:r>
      <w:r w:rsidR="00F63142" w:rsidRPr="000249AD">
        <w:tab/>
        <w:t xml:space="preserve">Given </w:t>
      </w:r>
      <w:r w:rsidR="00AB36A2" w:rsidRPr="000249AD">
        <w:t xml:space="preserve">that </w:t>
      </w:r>
      <w:r w:rsidR="00F63142" w:rsidRPr="000249AD">
        <w:t xml:space="preserve">the primary objective of negotiations </w:t>
      </w:r>
      <w:r w:rsidR="00B21AA8" w:rsidRPr="000249AD">
        <w:t xml:space="preserve">concerning the Transatlantic Trade and Investment Partnership </w:t>
      </w:r>
      <w:r w:rsidR="00AB36A2" w:rsidRPr="000249AD">
        <w:t xml:space="preserve">is </w:t>
      </w:r>
      <w:r w:rsidR="00F63142" w:rsidRPr="000249AD">
        <w:t xml:space="preserve">to reduce regulatory costs by </w:t>
      </w:r>
      <w:r w:rsidR="00895240" w:rsidRPr="000249AD">
        <w:t xml:space="preserve">altering </w:t>
      </w:r>
      <w:r w:rsidR="00F63142" w:rsidRPr="000249AD">
        <w:t>the implementation of</w:t>
      </w:r>
      <w:r w:rsidR="00895240" w:rsidRPr="000249AD">
        <w:t xml:space="preserve"> existing</w:t>
      </w:r>
      <w:r w:rsidR="00F63142" w:rsidRPr="000249AD">
        <w:t xml:space="preserve"> legislation </w:t>
      </w:r>
      <w:r w:rsidR="00895240" w:rsidRPr="000249AD">
        <w:t xml:space="preserve">or developing new legislation </w:t>
      </w:r>
      <w:r w:rsidR="00F63142" w:rsidRPr="000249AD">
        <w:t xml:space="preserve">in the </w:t>
      </w:r>
      <w:r w:rsidR="00596BBC" w:rsidRPr="000249AD">
        <w:t>European Union</w:t>
      </w:r>
      <w:r w:rsidR="00F63142" w:rsidRPr="000249AD">
        <w:t xml:space="preserve">, the Special Rapporteur encourages Germany to ensure that </w:t>
      </w:r>
      <w:proofErr w:type="spellStart"/>
      <w:r w:rsidR="00F63142" w:rsidRPr="000249AD">
        <w:t>ongoing</w:t>
      </w:r>
      <w:proofErr w:type="spellEnd"/>
      <w:r w:rsidR="00F63142" w:rsidRPr="000249AD">
        <w:t xml:space="preserve"> and future trade negotiations fully respect the right to meaningful public participation and are conducted with </w:t>
      </w:r>
      <w:r w:rsidR="00FE1184" w:rsidRPr="000249AD">
        <w:t xml:space="preserve">utmost </w:t>
      </w:r>
      <w:r w:rsidR="00F63142" w:rsidRPr="000249AD">
        <w:t>transparency where they affect laws and regulations.</w:t>
      </w:r>
    </w:p>
    <w:p w14:paraId="5E123F02" w14:textId="77777777" w:rsidR="00F63142" w:rsidRPr="000249AD" w:rsidRDefault="00F63142" w:rsidP="00F63142">
      <w:pPr>
        <w:pStyle w:val="HChG"/>
      </w:pPr>
      <w:r w:rsidRPr="000249AD">
        <w:tab/>
        <w:t>III.</w:t>
      </w:r>
      <w:r w:rsidRPr="000249AD">
        <w:tab/>
        <w:t>Initiatives for stronger protection of human rights</w:t>
      </w:r>
    </w:p>
    <w:p w14:paraId="7D081C5F" w14:textId="77777777" w:rsidR="00F63142" w:rsidRPr="000249AD" w:rsidRDefault="00F63142" w:rsidP="00F63142">
      <w:pPr>
        <w:pStyle w:val="H1G"/>
      </w:pPr>
      <w:r w:rsidRPr="000249AD">
        <w:tab/>
        <w:t>A.</w:t>
      </w:r>
      <w:r w:rsidRPr="000249AD">
        <w:tab/>
        <w:t>Workers</w:t>
      </w:r>
    </w:p>
    <w:p w14:paraId="3B3550E3" w14:textId="022B7E89" w:rsidR="00F63142" w:rsidRPr="000249AD" w:rsidRDefault="00F63142" w:rsidP="00596BBC">
      <w:pPr>
        <w:pStyle w:val="SingleTxtG"/>
        <w:tabs>
          <w:tab w:val="left" w:pos="1701"/>
        </w:tabs>
        <w:rPr>
          <w:iCs/>
        </w:rPr>
      </w:pPr>
      <w:r w:rsidRPr="000249AD">
        <w:rPr>
          <w:iCs/>
        </w:rPr>
        <w:t>6</w:t>
      </w:r>
      <w:r w:rsidR="00C02B3F" w:rsidRPr="000249AD">
        <w:rPr>
          <w:iCs/>
        </w:rPr>
        <w:t>3</w:t>
      </w:r>
      <w:r w:rsidRPr="000249AD">
        <w:rPr>
          <w:iCs/>
        </w:rPr>
        <w:t>.</w:t>
      </w:r>
      <w:r w:rsidRPr="000249AD">
        <w:rPr>
          <w:iCs/>
        </w:rPr>
        <w:tab/>
        <w:t xml:space="preserve">A major source of exposure to hazardous chemicals in Germany is in the workplace, and it is estimated that about 74,000 work-related deaths may be linked to workplace exposure to hazardous substances each year in the </w:t>
      </w:r>
      <w:r w:rsidR="00596BBC" w:rsidRPr="000249AD">
        <w:t>European Union</w:t>
      </w:r>
      <w:r w:rsidRPr="000249AD">
        <w:rPr>
          <w:iCs/>
        </w:rPr>
        <w:t xml:space="preserve"> – about 10 times more than workplace accidents.</w:t>
      </w:r>
      <w:r w:rsidRPr="00176051">
        <w:rPr>
          <w:rStyle w:val="FootnoteReference"/>
        </w:rPr>
        <w:footnoteReference w:id="23"/>
      </w:r>
    </w:p>
    <w:p w14:paraId="72CB0137" w14:textId="5B4DB7DA" w:rsidR="00354E43" w:rsidRPr="000249AD" w:rsidRDefault="00C02B3F" w:rsidP="00C20AA5">
      <w:pPr>
        <w:pStyle w:val="SingleTxtG"/>
        <w:tabs>
          <w:tab w:val="left" w:pos="1701"/>
        </w:tabs>
        <w:rPr>
          <w:iCs/>
        </w:rPr>
      </w:pPr>
      <w:r w:rsidRPr="000249AD">
        <w:rPr>
          <w:iCs/>
        </w:rPr>
        <w:t>64</w:t>
      </w:r>
      <w:r w:rsidR="00F63142" w:rsidRPr="000249AD">
        <w:rPr>
          <w:iCs/>
        </w:rPr>
        <w:t>.</w:t>
      </w:r>
      <w:r w:rsidR="00F63142" w:rsidRPr="000249AD">
        <w:rPr>
          <w:iCs/>
        </w:rPr>
        <w:tab/>
        <w:t>While identification and controls for carcinogens are well developed with a specific Directive for Carcinogens and Mutagens at work,</w:t>
      </w:r>
      <w:r w:rsidR="00F63142" w:rsidRPr="00176051">
        <w:rPr>
          <w:rStyle w:val="FootnoteReference"/>
        </w:rPr>
        <w:footnoteReference w:id="24"/>
      </w:r>
      <w:r w:rsidR="00F63142" w:rsidRPr="000249AD">
        <w:rPr>
          <w:iCs/>
        </w:rPr>
        <w:t xml:space="preserve"> there is a need to extend protection against reproductive hazards. The </w:t>
      </w:r>
      <w:r w:rsidR="00596BBC" w:rsidRPr="000249AD">
        <w:t>European Union</w:t>
      </w:r>
      <w:r w:rsidR="00F63142" w:rsidRPr="000249AD">
        <w:rPr>
          <w:iCs/>
        </w:rPr>
        <w:t xml:space="preserve"> regulation protecting pregnant women in the workplace include</w:t>
      </w:r>
      <w:r w:rsidR="00C20AA5" w:rsidRPr="000249AD">
        <w:rPr>
          <w:iCs/>
        </w:rPr>
        <w:t>s</w:t>
      </w:r>
      <w:r w:rsidR="00F63142" w:rsidRPr="000249AD">
        <w:rPr>
          <w:iCs/>
        </w:rPr>
        <w:t xml:space="preserve"> a list of chemicals </w:t>
      </w:r>
      <w:r w:rsidR="00C20AA5" w:rsidRPr="000249AD">
        <w:rPr>
          <w:iCs/>
        </w:rPr>
        <w:t xml:space="preserve">that </w:t>
      </w:r>
      <w:r w:rsidR="00F63142" w:rsidRPr="000249AD">
        <w:rPr>
          <w:iCs/>
        </w:rPr>
        <w:t xml:space="preserve">is very old and not updated, </w:t>
      </w:r>
      <w:r w:rsidR="00C20AA5" w:rsidRPr="000249AD">
        <w:rPr>
          <w:iCs/>
        </w:rPr>
        <w:t xml:space="preserve">which means that </w:t>
      </w:r>
      <w:r w:rsidR="00F63142" w:rsidRPr="000249AD">
        <w:rPr>
          <w:iCs/>
        </w:rPr>
        <w:t xml:space="preserve">many chemicals of concern, like </w:t>
      </w:r>
      <w:r w:rsidR="004A5049" w:rsidRPr="00AE7004">
        <w:rPr>
          <w:iCs/>
        </w:rPr>
        <w:t>endocrine disrupting chemicals</w:t>
      </w:r>
      <w:r w:rsidR="00F63142" w:rsidRPr="000249AD">
        <w:rPr>
          <w:iCs/>
        </w:rPr>
        <w:t xml:space="preserve"> or </w:t>
      </w:r>
      <w:proofErr w:type="spellStart"/>
      <w:r w:rsidR="00F63142" w:rsidRPr="000249AD">
        <w:rPr>
          <w:iCs/>
        </w:rPr>
        <w:t>nanomaterials</w:t>
      </w:r>
      <w:proofErr w:type="spellEnd"/>
      <w:r w:rsidR="00C20AA5" w:rsidRPr="000249AD">
        <w:rPr>
          <w:iCs/>
        </w:rPr>
        <w:t>,</w:t>
      </w:r>
      <w:r w:rsidR="00F63142" w:rsidRPr="000249AD">
        <w:rPr>
          <w:iCs/>
        </w:rPr>
        <w:t xml:space="preserve"> are missing.</w:t>
      </w:r>
      <w:r w:rsidR="00F63142" w:rsidRPr="00176051">
        <w:rPr>
          <w:rStyle w:val="FootnoteReference"/>
        </w:rPr>
        <w:footnoteReference w:id="25"/>
      </w:r>
      <w:r w:rsidR="00F63142" w:rsidRPr="000249AD">
        <w:rPr>
          <w:iCs/>
        </w:rPr>
        <w:t xml:space="preserve"> </w:t>
      </w:r>
    </w:p>
    <w:p w14:paraId="38BB8367" w14:textId="0D033A1D" w:rsidR="00354E43" w:rsidRPr="000249AD" w:rsidRDefault="00C02B3F" w:rsidP="00C20AA5">
      <w:pPr>
        <w:pStyle w:val="SingleTxtG"/>
        <w:tabs>
          <w:tab w:val="left" w:pos="1701"/>
        </w:tabs>
        <w:rPr>
          <w:bCs/>
          <w:iCs/>
        </w:rPr>
      </w:pPr>
      <w:r w:rsidRPr="000249AD">
        <w:rPr>
          <w:bCs/>
          <w:iCs/>
        </w:rPr>
        <w:t>65</w:t>
      </w:r>
      <w:r w:rsidR="00F63142" w:rsidRPr="000249AD">
        <w:rPr>
          <w:bCs/>
          <w:iCs/>
        </w:rPr>
        <w:t>.</w:t>
      </w:r>
      <w:r w:rsidR="00F63142" w:rsidRPr="000249AD">
        <w:rPr>
          <w:bCs/>
          <w:iCs/>
        </w:rPr>
        <w:tab/>
        <w:t>According to a study by the European Agency for Health and Safety at Work, around 15</w:t>
      </w:r>
      <w:r w:rsidR="00D36981" w:rsidRPr="000249AD">
        <w:t xml:space="preserve"> per cent</w:t>
      </w:r>
      <w:r w:rsidR="00F63142" w:rsidRPr="000249AD">
        <w:rPr>
          <w:bCs/>
          <w:iCs/>
        </w:rPr>
        <w:t xml:space="preserve"> of European workers report handling chemical products for a quarter of their working time and 19</w:t>
      </w:r>
      <w:r w:rsidR="00D36981" w:rsidRPr="000249AD">
        <w:t xml:space="preserve"> per cent</w:t>
      </w:r>
      <w:r w:rsidR="00F63142" w:rsidRPr="000249AD">
        <w:rPr>
          <w:bCs/>
          <w:iCs/>
        </w:rPr>
        <w:t xml:space="preserve"> report breathing in dust, fumes and smoke </w:t>
      </w:r>
      <w:r w:rsidR="00C20AA5" w:rsidRPr="000249AD">
        <w:rPr>
          <w:bCs/>
          <w:iCs/>
        </w:rPr>
        <w:t xml:space="preserve">at </w:t>
      </w:r>
      <w:r w:rsidR="00F63142" w:rsidRPr="000249AD">
        <w:rPr>
          <w:bCs/>
          <w:iCs/>
        </w:rPr>
        <w:t>their workplaces.</w:t>
      </w:r>
      <w:r w:rsidR="00F63142" w:rsidRPr="00176051">
        <w:rPr>
          <w:rStyle w:val="FootnoteReference"/>
        </w:rPr>
        <w:footnoteReference w:id="26"/>
      </w:r>
      <w:r w:rsidR="00F63142" w:rsidRPr="000249AD">
        <w:rPr>
          <w:bCs/>
          <w:iCs/>
        </w:rPr>
        <w:t xml:space="preserve"> This study highlighted nanoparticles, ultrafine particles, man-made fibres, carcinogenic, mutagenic and </w:t>
      </w:r>
      <w:proofErr w:type="spellStart"/>
      <w:r w:rsidR="00F63142" w:rsidRPr="000249AD">
        <w:rPr>
          <w:bCs/>
          <w:iCs/>
        </w:rPr>
        <w:t>reprotoxic</w:t>
      </w:r>
      <w:proofErr w:type="spellEnd"/>
      <w:r w:rsidR="00F63142" w:rsidRPr="000249AD">
        <w:rPr>
          <w:bCs/>
          <w:iCs/>
        </w:rPr>
        <w:t xml:space="preserve"> substances, dermal exposures, exposures in waste management and the increasing use of allergenic and sensitizing substances as emerging risks. </w:t>
      </w:r>
    </w:p>
    <w:p w14:paraId="0A4C3FEF" w14:textId="208894A6" w:rsidR="00354E43" w:rsidRPr="000249AD" w:rsidRDefault="00C02B3F" w:rsidP="00C20AA5">
      <w:pPr>
        <w:pStyle w:val="SingleTxtG"/>
        <w:tabs>
          <w:tab w:val="left" w:pos="1701"/>
        </w:tabs>
        <w:rPr>
          <w:bCs/>
          <w:iCs/>
        </w:rPr>
      </w:pPr>
      <w:r w:rsidRPr="000249AD">
        <w:rPr>
          <w:bCs/>
          <w:iCs/>
        </w:rPr>
        <w:t>66</w:t>
      </w:r>
      <w:r w:rsidR="00F63142" w:rsidRPr="000249AD">
        <w:rPr>
          <w:bCs/>
          <w:iCs/>
        </w:rPr>
        <w:t>.</w:t>
      </w:r>
      <w:r w:rsidR="00F63142" w:rsidRPr="000249AD">
        <w:rPr>
          <w:bCs/>
          <w:iCs/>
        </w:rPr>
        <w:tab/>
        <w:t xml:space="preserve">Specific occupations of emerging concerns include the growing waste management industry, construction and service activities such as cleaning or home nursing. In addition, there </w:t>
      </w:r>
      <w:r w:rsidR="00B7638A" w:rsidRPr="000249AD">
        <w:rPr>
          <w:bCs/>
          <w:iCs/>
        </w:rPr>
        <w:t>a</w:t>
      </w:r>
      <w:r w:rsidR="00B7638A" w:rsidRPr="0042483C">
        <w:rPr>
          <w:bCs/>
          <w:iCs/>
        </w:rPr>
        <w:t>re</w:t>
      </w:r>
      <w:r w:rsidR="00F63142" w:rsidRPr="000249AD">
        <w:rPr>
          <w:bCs/>
          <w:iCs/>
        </w:rPr>
        <w:t xml:space="preserve"> </w:t>
      </w:r>
      <w:r w:rsidR="00F63142" w:rsidRPr="0042483C">
        <w:rPr>
          <w:bCs/>
          <w:iCs/>
        </w:rPr>
        <w:t>a growing number of workers in small and medium-sized enterprises and sub</w:t>
      </w:r>
      <w:r w:rsidR="00F63142" w:rsidRPr="000249AD">
        <w:rPr>
          <w:bCs/>
          <w:iCs/>
        </w:rPr>
        <w:t>contracted jobs, where the management of chemical risks is generally poorer. The report also expresses concern about multiple exposures on emerging biological, physical and psychosocial emerging risks.</w:t>
      </w:r>
      <w:r w:rsidR="00F63142" w:rsidRPr="00176051">
        <w:rPr>
          <w:rStyle w:val="FootnoteReference"/>
        </w:rPr>
        <w:footnoteReference w:id="27"/>
      </w:r>
    </w:p>
    <w:p w14:paraId="37BFDE74" w14:textId="6ECE8E0D" w:rsidR="00354E43" w:rsidRPr="000249AD" w:rsidRDefault="00C02B3F" w:rsidP="00AE7004">
      <w:pPr>
        <w:pStyle w:val="SingleTxtG"/>
        <w:keepLines/>
        <w:tabs>
          <w:tab w:val="left" w:pos="1701"/>
        </w:tabs>
      </w:pPr>
      <w:r w:rsidRPr="000249AD">
        <w:lastRenderedPageBreak/>
        <w:t>67</w:t>
      </w:r>
      <w:r w:rsidR="00F63142" w:rsidRPr="000249AD">
        <w:t>.</w:t>
      </w:r>
      <w:r w:rsidR="00F63142" w:rsidRPr="000249AD">
        <w:tab/>
        <w:t>REACH may not adequately protect workers, because the risks of daily exposure are primarily assessed for industrial chemicals at higher tonnage thresholds, whereas the majority of chemicals to which workers are exposed are at the lower thresholds. Since the level of hazardous substance exposure for workers is at much higher levels than the permissible exposure levels for consumers, information about adverse effects of chronic exposure is critical.</w:t>
      </w:r>
    </w:p>
    <w:p w14:paraId="6377C684" w14:textId="49278748" w:rsidR="00354E43" w:rsidRPr="000249AD" w:rsidRDefault="00C02B3F" w:rsidP="004C15BF">
      <w:pPr>
        <w:pStyle w:val="SingleTxtG"/>
        <w:tabs>
          <w:tab w:val="left" w:pos="1701"/>
        </w:tabs>
      </w:pPr>
      <w:r w:rsidRPr="000249AD">
        <w:t>68</w:t>
      </w:r>
      <w:r w:rsidR="00F63142" w:rsidRPr="000249AD">
        <w:t>.</w:t>
      </w:r>
      <w:r w:rsidR="00F63142" w:rsidRPr="000249AD">
        <w:tab/>
        <w:t>In Germany, 16,165 suspected cases of occupational skin disease were recorded in 2004, representing a quarter of all registered occupational diseases. Other skin diseases include chemical burns ranging from rashes to full thickness skin damage requiring grafts. Chromate is the most dominant allergen, followed by epoxy resins and cobalt in the German construction industry.</w:t>
      </w:r>
      <w:r w:rsidR="00F63142" w:rsidRPr="00176051">
        <w:rPr>
          <w:rStyle w:val="FootnoteReference"/>
        </w:rPr>
        <w:footnoteReference w:id="28"/>
      </w:r>
      <w:r w:rsidR="00F63142" w:rsidRPr="000249AD">
        <w:t xml:space="preserve"> </w:t>
      </w:r>
      <w:r w:rsidR="00D309C6" w:rsidRPr="000249AD">
        <w:t xml:space="preserve">The </w:t>
      </w:r>
      <w:r w:rsidR="00F63142" w:rsidRPr="000249AD">
        <w:t xml:space="preserve">German trade union IG </w:t>
      </w:r>
      <w:proofErr w:type="spellStart"/>
      <w:r w:rsidR="00F63142" w:rsidRPr="000249AD">
        <w:t>Bergbau</w:t>
      </w:r>
      <w:proofErr w:type="spellEnd"/>
      <w:r w:rsidR="00F63142" w:rsidRPr="000249AD">
        <w:t xml:space="preserve">, </w:t>
      </w:r>
      <w:proofErr w:type="spellStart"/>
      <w:r w:rsidR="00F63142" w:rsidRPr="000249AD">
        <w:t>Chemie</w:t>
      </w:r>
      <w:proofErr w:type="spellEnd"/>
      <w:r w:rsidR="00F63142" w:rsidRPr="000249AD">
        <w:t xml:space="preserve">, </w:t>
      </w:r>
      <w:proofErr w:type="spellStart"/>
      <w:r w:rsidR="00F63142" w:rsidRPr="000249AD">
        <w:t>Energie</w:t>
      </w:r>
      <w:proofErr w:type="spellEnd"/>
      <w:r w:rsidR="00F63142" w:rsidRPr="000249AD">
        <w:t xml:space="preserve"> says that information needs to feature more prominently on </w:t>
      </w:r>
      <w:r w:rsidR="001C64C9" w:rsidRPr="000249AD">
        <w:t xml:space="preserve">the European Chemicals Agency </w:t>
      </w:r>
      <w:r w:rsidR="00F63142" w:rsidRPr="000249AD">
        <w:t>database, so workers can better access health and safety information.</w:t>
      </w:r>
    </w:p>
    <w:p w14:paraId="1F0AFC1D" w14:textId="3E5A18EE" w:rsidR="00354E43" w:rsidRPr="000249AD" w:rsidRDefault="00C02B3F" w:rsidP="007E4182">
      <w:pPr>
        <w:pStyle w:val="SingleTxtG"/>
        <w:tabs>
          <w:tab w:val="left" w:pos="1701"/>
        </w:tabs>
      </w:pPr>
      <w:r w:rsidRPr="000249AD">
        <w:t>69</w:t>
      </w:r>
      <w:r w:rsidR="00F63142" w:rsidRPr="000249AD">
        <w:t>.</w:t>
      </w:r>
      <w:r w:rsidR="00F63142" w:rsidRPr="000249AD">
        <w:tab/>
      </w:r>
      <w:r w:rsidR="007E4182" w:rsidRPr="000249AD">
        <w:t>Although</w:t>
      </w:r>
      <w:r w:rsidR="006A5BA9" w:rsidRPr="000249AD">
        <w:t xml:space="preserve"> a</w:t>
      </w:r>
      <w:r w:rsidR="00F63142" w:rsidRPr="000249AD">
        <w:t xml:space="preserve">sbestos is prohibited in Germany, </w:t>
      </w:r>
      <w:r w:rsidR="006A5BA9" w:rsidRPr="000249AD">
        <w:t xml:space="preserve">it </w:t>
      </w:r>
      <w:r w:rsidR="00F63142" w:rsidRPr="000249AD">
        <w:t>is still found in buildings and ships. Speciali</w:t>
      </w:r>
      <w:r w:rsidR="00797C99" w:rsidRPr="000249AD">
        <w:t>z</w:t>
      </w:r>
      <w:r w:rsidR="00F63142" w:rsidRPr="000249AD">
        <w:t xml:space="preserve">ed training and qualifications are required to dispose </w:t>
      </w:r>
      <w:r w:rsidR="007E4182" w:rsidRPr="000249AD">
        <w:t xml:space="preserve">of </w:t>
      </w:r>
      <w:r w:rsidR="00F63142" w:rsidRPr="000249AD">
        <w:t>asbestos safely, for instance</w:t>
      </w:r>
      <w:r w:rsidR="007E4182" w:rsidRPr="000249AD">
        <w:t>,</w:t>
      </w:r>
      <w:r w:rsidR="00F63142" w:rsidRPr="000249AD">
        <w:t xml:space="preserve"> in demolition or renovation, </w:t>
      </w:r>
      <w:r w:rsidR="006A5BA9" w:rsidRPr="000249AD">
        <w:t>particularly</w:t>
      </w:r>
      <w:r w:rsidR="00F63142" w:rsidRPr="000249AD">
        <w:t xml:space="preserve"> for informal workers. </w:t>
      </w:r>
    </w:p>
    <w:p w14:paraId="4C3E8A68" w14:textId="0464B76B" w:rsidR="00354E43" w:rsidRPr="000249AD" w:rsidRDefault="00C02B3F" w:rsidP="007E4182">
      <w:pPr>
        <w:pStyle w:val="SingleTxtG"/>
        <w:tabs>
          <w:tab w:val="left" w:pos="1701"/>
        </w:tabs>
      </w:pPr>
      <w:r w:rsidRPr="000249AD">
        <w:t>70</w:t>
      </w:r>
      <w:r w:rsidR="00F63142" w:rsidRPr="000249AD">
        <w:t>.</w:t>
      </w:r>
      <w:r w:rsidR="00F63142" w:rsidRPr="000249AD">
        <w:tab/>
        <w:t>It was brought to the Special Rapporteur’s attention that Germany has not put in place any specific measures to protect informal workers from the risks of hazardous substances. C</w:t>
      </w:r>
      <w:r w:rsidR="00354E43" w:rsidRPr="000249AD">
        <w:t xml:space="preserve">urrently the trade union </w:t>
      </w:r>
      <w:r w:rsidR="00D309C6" w:rsidRPr="00AE7004">
        <w:t xml:space="preserve">IG </w:t>
      </w:r>
      <w:proofErr w:type="spellStart"/>
      <w:r w:rsidR="00D309C6" w:rsidRPr="00AE7004">
        <w:t>Bauen-Agrar-Umwelt</w:t>
      </w:r>
      <w:proofErr w:type="spellEnd"/>
      <w:r w:rsidR="00F63142" w:rsidRPr="000249AD">
        <w:t xml:space="preserve"> is campaigning </w:t>
      </w:r>
      <w:r w:rsidR="007E4182" w:rsidRPr="000249AD">
        <w:t xml:space="preserve">for </w:t>
      </w:r>
      <w:r w:rsidR="00F63142" w:rsidRPr="000249AD">
        <w:t xml:space="preserve">informal and migrant workers </w:t>
      </w:r>
      <w:r w:rsidR="007E4182" w:rsidRPr="000249AD">
        <w:t xml:space="preserve">to </w:t>
      </w:r>
      <w:r w:rsidR="00F63142" w:rsidRPr="000249AD">
        <w:t>receive basic health and safety instructions prior to working.</w:t>
      </w:r>
    </w:p>
    <w:p w14:paraId="5D32684C" w14:textId="2BCFCF2E" w:rsidR="00F63142" w:rsidRPr="000249AD" w:rsidRDefault="00C02B3F" w:rsidP="007E4182">
      <w:pPr>
        <w:pStyle w:val="SingleTxtG"/>
        <w:tabs>
          <w:tab w:val="left" w:pos="1701"/>
        </w:tabs>
      </w:pPr>
      <w:r w:rsidRPr="000249AD">
        <w:t>71</w:t>
      </w:r>
      <w:r w:rsidR="00F63142" w:rsidRPr="000249AD">
        <w:t>.</w:t>
      </w:r>
      <w:r w:rsidR="00F63142" w:rsidRPr="000249AD">
        <w:tab/>
        <w:t xml:space="preserve">BASF informed the Special Rapporteur of </w:t>
      </w:r>
      <w:r w:rsidR="007E4182" w:rsidRPr="000249AD">
        <w:t xml:space="preserve">its </w:t>
      </w:r>
      <w:r w:rsidR="00F63142" w:rsidRPr="000249AD">
        <w:t xml:space="preserve">global standards for workers’ safety. BASF assured the Special Rapporteur that all plants were built according to the same standards and safety levels for workers. </w:t>
      </w:r>
      <w:r w:rsidR="007E4182" w:rsidRPr="000249AD">
        <w:t>The company</w:t>
      </w:r>
      <w:r w:rsidR="006A18E7">
        <w:t>’</w:t>
      </w:r>
      <w:r w:rsidR="007E4182" w:rsidRPr="000249AD">
        <w:t xml:space="preserve">s </w:t>
      </w:r>
      <w:r w:rsidR="00F63142" w:rsidRPr="000249AD">
        <w:t xml:space="preserve">goal is to reduce work-related accidents by 80 per cent by 2020. </w:t>
      </w:r>
    </w:p>
    <w:p w14:paraId="71D81EEC" w14:textId="77777777" w:rsidR="00F63142" w:rsidRPr="000249AD" w:rsidRDefault="00F63142" w:rsidP="00F63142">
      <w:pPr>
        <w:pStyle w:val="H1G"/>
      </w:pPr>
      <w:r w:rsidRPr="000249AD">
        <w:tab/>
        <w:t>B.</w:t>
      </w:r>
      <w:r w:rsidRPr="000249AD">
        <w:tab/>
        <w:t>Public participation in decision-making in environmental matters</w:t>
      </w:r>
    </w:p>
    <w:p w14:paraId="370C4012" w14:textId="5E4BD2AE" w:rsidR="00354E43" w:rsidRPr="000249AD" w:rsidRDefault="00C02B3F" w:rsidP="00596BBC">
      <w:pPr>
        <w:pStyle w:val="SingleTxtG"/>
        <w:tabs>
          <w:tab w:val="left" w:pos="1701"/>
        </w:tabs>
      </w:pPr>
      <w:r w:rsidRPr="000249AD">
        <w:t>72</w:t>
      </w:r>
      <w:r w:rsidR="00F63142" w:rsidRPr="000249AD">
        <w:t>.</w:t>
      </w:r>
      <w:r w:rsidR="00F63142" w:rsidRPr="000249AD">
        <w:tab/>
        <w:t>Public participation in environmental decision</w:t>
      </w:r>
      <w:r w:rsidR="007E3849" w:rsidRPr="000249AD">
        <w:t>-</w:t>
      </w:r>
      <w:r w:rsidR="00F63142" w:rsidRPr="000249AD">
        <w:t xml:space="preserve">making is implemented by the </w:t>
      </w:r>
      <w:r w:rsidR="00596BBC" w:rsidRPr="000249AD">
        <w:t>European Union</w:t>
      </w:r>
      <w:r w:rsidR="00F63142" w:rsidRPr="000249AD">
        <w:t xml:space="preserve"> Directive on Industrial Emissions</w:t>
      </w:r>
      <w:r w:rsidR="00A710D7" w:rsidRPr="000249AD">
        <w:t>,</w:t>
      </w:r>
      <w:r w:rsidR="00F63142" w:rsidRPr="000249AD">
        <w:t xml:space="preserve"> and German citizens have been accustomed to participating since the 1970s. In urban planning, participatory structures have been in place since the building law of 1976, which legally guarantees that the public must be consulted on development projects.</w:t>
      </w:r>
    </w:p>
    <w:p w14:paraId="3B849549" w14:textId="5A5BEF61" w:rsidR="00354E43" w:rsidRPr="000249AD" w:rsidRDefault="00C02B3F" w:rsidP="004C15BF">
      <w:pPr>
        <w:pStyle w:val="SingleTxtG"/>
        <w:tabs>
          <w:tab w:val="left" w:pos="1701"/>
        </w:tabs>
      </w:pPr>
      <w:r w:rsidRPr="000249AD">
        <w:t>73</w:t>
      </w:r>
      <w:r w:rsidR="00F63142" w:rsidRPr="000249AD">
        <w:t>.</w:t>
      </w:r>
      <w:r w:rsidR="00F63142" w:rsidRPr="000249AD">
        <w:tab/>
        <w:t>The Ministry of Justice raised the “Stuttgart 21” railway station project to the Special Rapporteur to highlight a growing unrest among the German public that their participation was not adequate, effective or meaningful, and that their concerns were not being heard or taken into account by decision</w:t>
      </w:r>
      <w:r w:rsidR="004C15BF" w:rsidRPr="000249AD">
        <w:t>-</w:t>
      </w:r>
      <w:r w:rsidR="00F63142" w:rsidRPr="000249AD">
        <w:t xml:space="preserve">makers. In response, the Government recently established within the Ministry of Environment a </w:t>
      </w:r>
      <w:r w:rsidR="004C15BF" w:rsidRPr="000249AD">
        <w:t xml:space="preserve">dedicated </w:t>
      </w:r>
      <w:r w:rsidR="00F63142" w:rsidRPr="000249AD">
        <w:t xml:space="preserve">unit to ensure </w:t>
      </w:r>
      <w:r w:rsidR="004C15BF" w:rsidRPr="000249AD">
        <w:t>that g</w:t>
      </w:r>
      <w:r w:rsidR="00F63142" w:rsidRPr="000249AD">
        <w:t>overnment obligations with regard to informal public participation processes are upheld.</w:t>
      </w:r>
    </w:p>
    <w:p w14:paraId="77D096BE" w14:textId="7D54C879" w:rsidR="00354E43" w:rsidRPr="000249AD" w:rsidRDefault="00C02B3F" w:rsidP="00354E43">
      <w:pPr>
        <w:pStyle w:val="SingleTxtG"/>
        <w:tabs>
          <w:tab w:val="left" w:pos="1701"/>
        </w:tabs>
      </w:pPr>
      <w:r w:rsidRPr="000249AD">
        <w:t>74</w:t>
      </w:r>
      <w:r w:rsidR="00F63142" w:rsidRPr="000249AD">
        <w:t>.</w:t>
      </w:r>
      <w:r w:rsidR="00F63142" w:rsidRPr="000249AD">
        <w:tab/>
        <w:t>It was refreshing for the Special Rapporteur to hear several government representatives emphasize the importance of full, effective and meaningful public participation, especially when a proposal is expected to be complicated or confrontational.</w:t>
      </w:r>
    </w:p>
    <w:p w14:paraId="55ECE3F9" w14:textId="2F11F382" w:rsidR="00F63142" w:rsidRPr="000249AD" w:rsidRDefault="00C02B3F" w:rsidP="004C15BF">
      <w:pPr>
        <w:pStyle w:val="SingleTxtG"/>
        <w:tabs>
          <w:tab w:val="left" w:pos="1701"/>
        </w:tabs>
      </w:pPr>
      <w:r w:rsidRPr="000249AD">
        <w:t>75</w:t>
      </w:r>
      <w:r w:rsidR="00F63142" w:rsidRPr="000249AD">
        <w:t>.</w:t>
      </w:r>
      <w:r w:rsidR="00F63142" w:rsidRPr="000249AD">
        <w:tab/>
      </w:r>
      <w:r w:rsidR="00D460FD" w:rsidRPr="000249AD">
        <w:t>In Germany</w:t>
      </w:r>
      <w:r w:rsidR="00454778" w:rsidRPr="000249AD">
        <w:t>,</w:t>
      </w:r>
      <w:r w:rsidR="00D460FD" w:rsidRPr="000249AD">
        <w:t xml:space="preserve"> in general</w:t>
      </w:r>
      <w:r w:rsidR="00454778" w:rsidRPr="000249AD">
        <w:t>,</w:t>
      </w:r>
      <w:r w:rsidR="00D460FD" w:rsidRPr="000249AD">
        <w:t xml:space="preserve"> </w:t>
      </w:r>
      <w:r w:rsidR="004C15BF" w:rsidRPr="000249AD">
        <w:t xml:space="preserve">non-governmental organizations </w:t>
      </w:r>
      <w:r w:rsidR="00D460FD" w:rsidRPr="000249AD">
        <w:t xml:space="preserve">have the possibility to be heard in the </w:t>
      </w:r>
      <w:r w:rsidR="00454778" w:rsidRPr="000249AD">
        <w:t>legislative</w:t>
      </w:r>
      <w:r w:rsidR="00D460FD" w:rsidRPr="000249AD">
        <w:t xml:space="preserve"> process. They can be heard during public hearings that are usually transmitted via the </w:t>
      </w:r>
      <w:r w:rsidR="004C15BF" w:rsidRPr="000249AD">
        <w:t>I</w:t>
      </w:r>
      <w:r w:rsidR="00841FD6" w:rsidRPr="000249AD">
        <w:t>nternet</w:t>
      </w:r>
      <w:r w:rsidR="00D460FD" w:rsidRPr="000249AD">
        <w:t xml:space="preserve">. All </w:t>
      </w:r>
      <w:r w:rsidR="004C15BF" w:rsidRPr="000249AD">
        <w:t xml:space="preserve">such organizations </w:t>
      </w:r>
      <w:r w:rsidR="00D460FD" w:rsidRPr="000249AD">
        <w:t xml:space="preserve">have the possibility to send statements </w:t>
      </w:r>
      <w:r w:rsidR="00D460FD" w:rsidRPr="000249AD">
        <w:lastRenderedPageBreak/>
        <w:t xml:space="preserve">to the commissions of </w:t>
      </w:r>
      <w:r w:rsidR="004C15BF" w:rsidRPr="000249AD">
        <w:t>P</w:t>
      </w:r>
      <w:r w:rsidR="00D460FD" w:rsidRPr="000249AD">
        <w:t xml:space="preserve">arliament to give their point of view. Stakeholders may participate in </w:t>
      </w:r>
      <w:r w:rsidR="001C64C9" w:rsidRPr="000249AD">
        <w:t>European Chemicals Agency</w:t>
      </w:r>
      <w:r w:rsidR="00D460FD" w:rsidRPr="000249AD">
        <w:t xml:space="preserve"> committee meetings, and responses to comments received are published. </w:t>
      </w:r>
      <w:r w:rsidR="00F63142" w:rsidRPr="000249AD">
        <w:t>However, the Special Rapporteur also heard that</w:t>
      </w:r>
      <w:r w:rsidR="004C15BF" w:rsidRPr="000249AD">
        <w:t>,</w:t>
      </w:r>
      <w:r w:rsidR="00F63142" w:rsidRPr="000249AD">
        <w:t xml:space="preserve"> compared </w:t>
      </w:r>
      <w:r w:rsidR="004C15BF" w:rsidRPr="000249AD">
        <w:t xml:space="preserve">with </w:t>
      </w:r>
      <w:r w:rsidR="00F63142" w:rsidRPr="000249AD">
        <w:t xml:space="preserve">other </w:t>
      </w:r>
      <w:r w:rsidR="004D2518" w:rsidRPr="000249AD">
        <w:t xml:space="preserve">health and </w:t>
      </w:r>
      <w:r w:rsidR="00F63142" w:rsidRPr="000249AD">
        <w:t xml:space="preserve">environmental policy issues, </w:t>
      </w:r>
      <w:r w:rsidR="004C15BF" w:rsidRPr="000249AD">
        <w:t xml:space="preserve">the issue of </w:t>
      </w:r>
      <w:r w:rsidR="00F63142" w:rsidRPr="000249AD">
        <w:t xml:space="preserve">chemicals is </w:t>
      </w:r>
      <w:r w:rsidR="00D460FD" w:rsidRPr="000249AD">
        <w:t>less transparent</w:t>
      </w:r>
      <w:r w:rsidR="004D2518" w:rsidRPr="000249AD">
        <w:t>, with fewer opportunities for meaningful parti</w:t>
      </w:r>
      <w:r w:rsidR="00454778" w:rsidRPr="000249AD">
        <w:t>cipation (online or in person) and exchanges of views</w:t>
      </w:r>
      <w:r w:rsidR="004D2518" w:rsidRPr="000249AD">
        <w:t>.</w:t>
      </w:r>
      <w:r w:rsidR="006A18E7">
        <w:t xml:space="preserve"> </w:t>
      </w:r>
    </w:p>
    <w:p w14:paraId="7BF2B0CE" w14:textId="5EB798D8" w:rsidR="00F63142" w:rsidRPr="000249AD" w:rsidRDefault="00F63142" w:rsidP="004C15BF">
      <w:pPr>
        <w:pStyle w:val="H1G"/>
      </w:pPr>
      <w:r w:rsidRPr="000249AD">
        <w:tab/>
        <w:t>C.</w:t>
      </w:r>
      <w:r w:rsidRPr="000249AD">
        <w:tab/>
      </w:r>
      <w:r w:rsidR="004C15BF" w:rsidRPr="000249AD">
        <w:t>R</w:t>
      </w:r>
      <w:r w:rsidRPr="000249AD">
        <w:t xml:space="preserve">ight to an effective remedy </w:t>
      </w:r>
    </w:p>
    <w:p w14:paraId="46E5D34E" w14:textId="0211D9ED" w:rsidR="00354E43" w:rsidRPr="000249AD" w:rsidRDefault="00C02B3F" w:rsidP="009E4653">
      <w:pPr>
        <w:pStyle w:val="SingleTxtG"/>
        <w:tabs>
          <w:tab w:val="left" w:pos="1701"/>
        </w:tabs>
      </w:pPr>
      <w:r w:rsidRPr="000249AD">
        <w:t>76</w:t>
      </w:r>
      <w:r w:rsidR="00F63142" w:rsidRPr="000249AD">
        <w:t>.</w:t>
      </w:r>
      <w:r w:rsidR="00F63142" w:rsidRPr="000249AD">
        <w:tab/>
        <w:t xml:space="preserve">The right to an effective remedy is well established under international human rights law and is a core procedural right relating to environmental policymaking. For example, </w:t>
      </w:r>
      <w:r w:rsidR="003F7ECD" w:rsidRPr="000249AD">
        <w:t xml:space="preserve">The International Covenant </w:t>
      </w:r>
      <w:r w:rsidR="009E4653" w:rsidRPr="000249AD">
        <w:t xml:space="preserve">on </w:t>
      </w:r>
      <w:r w:rsidR="003F7ECD" w:rsidRPr="000249AD">
        <w:t xml:space="preserve">Civil and Political Rights </w:t>
      </w:r>
      <w:r w:rsidR="00F63142" w:rsidRPr="000249AD">
        <w:t xml:space="preserve">(art. 2, </w:t>
      </w:r>
      <w:proofErr w:type="spellStart"/>
      <w:r w:rsidR="00F63142" w:rsidRPr="000249AD">
        <w:t>para</w:t>
      </w:r>
      <w:proofErr w:type="spellEnd"/>
      <w:r w:rsidR="00F63142" w:rsidRPr="000249AD">
        <w:t>. 3) guarantees victims of human rights violations an effective remedy. This has been interpreted to include environmental wrongs that adversely affected human rights. The two aspects to the right to a remedy are access to justice and substantive redress.</w:t>
      </w:r>
    </w:p>
    <w:p w14:paraId="715A45B3" w14:textId="59A162B6" w:rsidR="00DA1065" w:rsidRPr="000249AD" w:rsidRDefault="00C02B3F" w:rsidP="00F53589">
      <w:pPr>
        <w:pStyle w:val="SingleTxtG"/>
        <w:tabs>
          <w:tab w:val="left" w:pos="1701"/>
        </w:tabs>
      </w:pPr>
      <w:r w:rsidRPr="000249AD">
        <w:t>77</w:t>
      </w:r>
      <w:r w:rsidR="00F63142" w:rsidRPr="000249AD">
        <w:t>.</w:t>
      </w:r>
      <w:r w:rsidR="00F63142" w:rsidRPr="000249AD">
        <w:tab/>
        <w:t xml:space="preserve">In Germany, the statute of limitations to </w:t>
      </w:r>
      <w:r w:rsidR="00F53589" w:rsidRPr="000249AD">
        <w:t xml:space="preserve">gain </w:t>
      </w:r>
      <w:r w:rsidR="00F63142" w:rsidRPr="000249AD">
        <w:t xml:space="preserve">access </w:t>
      </w:r>
      <w:r w:rsidR="00F53589" w:rsidRPr="000249AD">
        <w:t xml:space="preserve">to </w:t>
      </w:r>
      <w:r w:rsidR="00F63142" w:rsidRPr="000249AD">
        <w:t>a remedy for environmental harm is three years from knowledge of damage, and</w:t>
      </w:r>
      <w:r w:rsidR="007F6DFC" w:rsidRPr="000249AD">
        <w:t xml:space="preserve"> 30</w:t>
      </w:r>
      <w:r w:rsidR="00F63142" w:rsidRPr="000249AD">
        <w:t xml:space="preserve"> years </w:t>
      </w:r>
      <w:r w:rsidR="00F53589" w:rsidRPr="000249AD">
        <w:t>where there is none</w:t>
      </w:r>
      <w:r w:rsidR="00F63142" w:rsidRPr="000249AD">
        <w:t>. In the German legal system, most legislation concerning environmental liability for damages arising from nuclear waste, hazardous substances and wastes is a matter of public law</w:t>
      </w:r>
      <w:r w:rsidR="00F53589" w:rsidRPr="000249AD">
        <w:t>,</w:t>
      </w:r>
      <w:r w:rsidR="00F63142" w:rsidRPr="000249AD">
        <w:t xml:space="preserve"> for which the Ministry of the Environment is responsible</w:t>
      </w:r>
      <w:r w:rsidR="00F53589" w:rsidRPr="000249AD">
        <w:t>,</w:t>
      </w:r>
      <w:r w:rsidR="00F63142" w:rsidRPr="000249AD">
        <w:t xml:space="preserve"> and does not come under the general civil liability rules</w:t>
      </w:r>
      <w:r w:rsidR="00F53589" w:rsidRPr="000249AD">
        <w:t>,</w:t>
      </w:r>
      <w:r w:rsidR="00F63142" w:rsidRPr="000249AD">
        <w:t xml:space="preserve"> for which the Ministry of Justice is responsible.</w:t>
      </w:r>
    </w:p>
    <w:p w14:paraId="41371E78" w14:textId="1C22DF32" w:rsidR="00DA1065" w:rsidRPr="000249AD" w:rsidRDefault="00C02B3F" w:rsidP="00F53589">
      <w:pPr>
        <w:pStyle w:val="SingleTxtG"/>
        <w:tabs>
          <w:tab w:val="left" w:pos="1701"/>
        </w:tabs>
      </w:pPr>
      <w:r w:rsidRPr="000249AD">
        <w:t>78</w:t>
      </w:r>
      <w:r w:rsidR="00F63142" w:rsidRPr="000249AD">
        <w:t>.</w:t>
      </w:r>
      <w:r w:rsidR="00F63142" w:rsidRPr="000249AD">
        <w:tab/>
        <w:t>One of the greatest obstacles for victims who are harmed by hazardous substances to access an effective remedy is the often</w:t>
      </w:r>
      <w:r w:rsidR="00F53589" w:rsidRPr="000249AD">
        <w:t xml:space="preserve"> </w:t>
      </w:r>
      <w:r w:rsidR="00F63142" w:rsidRPr="000249AD">
        <w:t xml:space="preserve">insurmountable burden placed on them to prove causation between their exposure and the adverse effects that are alleged to be a result of that exposure. Thus, the Special Rapporteur welcomed the information on laws </w:t>
      </w:r>
      <w:r w:rsidR="00CE444E" w:rsidRPr="000249AD">
        <w:t xml:space="preserve">that </w:t>
      </w:r>
      <w:r w:rsidR="00F63142" w:rsidRPr="000249AD">
        <w:t>seek to overcome this challenge for claimants and the emphasis of the Government on the prevention of exposure to minimize the risk of harm in the first place.</w:t>
      </w:r>
    </w:p>
    <w:p w14:paraId="3F544EAC" w14:textId="49BEA687" w:rsidR="00DA1065" w:rsidRPr="000249AD" w:rsidRDefault="00C02B3F" w:rsidP="00593D16">
      <w:pPr>
        <w:pStyle w:val="SingleTxtG"/>
        <w:tabs>
          <w:tab w:val="left" w:pos="1701"/>
        </w:tabs>
      </w:pPr>
      <w:r w:rsidRPr="000249AD">
        <w:t>79</w:t>
      </w:r>
      <w:r w:rsidR="00F63142" w:rsidRPr="000249AD">
        <w:t>.</w:t>
      </w:r>
      <w:r w:rsidR="00F63142" w:rsidRPr="000249AD">
        <w:tab/>
        <w:t>The Environmental Liability Act 1990 provides that</w:t>
      </w:r>
      <w:r w:rsidR="00593D16" w:rsidRPr="000249AD">
        <w:t>,</w:t>
      </w:r>
      <w:r w:rsidR="00F63142" w:rsidRPr="000249AD">
        <w:t xml:space="preserve"> under certain conditions</w:t>
      </w:r>
      <w:r w:rsidR="00593D16" w:rsidRPr="000249AD">
        <w:t>,</w:t>
      </w:r>
      <w:r w:rsidR="00F63142" w:rsidRPr="000249AD">
        <w:t xml:space="preserve"> a presumption of cause is applied </w:t>
      </w:r>
      <w:r w:rsidR="00593D16" w:rsidRPr="000249AD">
        <w:t xml:space="preserve">that </w:t>
      </w:r>
      <w:r w:rsidR="00F63142" w:rsidRPr="000249AD">
        <w:t>shifts the burden of proof away from the alleged victim</w:t>
      </w:r>
      <w:r w:rsidR="00593D16" w:rsidRPr="000249AD">
        <w:t>(</w:t>
      </w:r>
      <w:r w:rsidR="00F63142" w:rsidRPr="000249AD">
        <w:t>s</w:t>
      </w:r>
      <w:r w:rsidR="00593D16" w:rsidRPr="000249AD">
        <w:t>).</w:t>
      </w:r>
      <w:r w:rsidR="00F63142" w:rsidRPr="000249AD">
        <w:t xml:space="preserve"> </w:t>
      </w:r>
      <w:r w:rsidR="00593D16" w:rsidRPr="000249AD">
        <w:t xml:space="preserve">Section 6 of the Act reads: </w:t>
      </w:r>
      <w:r w:rsidR="00F63142" w:rsidRPr="000249AD">
        <w:t>“if an installation is likely to cause the damage that occurred on the basis of the given facts of the individual case, it is presumed that the damage was caused by this installation”</w:t>
      </w:r>
      <w:r w:rsidR="00593D16" w:rsidRPr="000249AD">
        <w:t>.</w:t>
      </w:r>
      <w:r w:rsidR="00F63142" w:rsidRPr="000249AD">
        <w:t xml:space="preserve"> The Act also allows the claimant to submit a claim for information from the installation operator (</w:t>
      </w:r>
      <w:r w:rsidR="00593D16" w:rsidRPr="000249AD">
        <w:t>s</w:t>
      </w:r>
      <w:r w:rsidR="00F63142" w:rsidRPr="000249AD">
        <w:t>ection 8) and from the authorities (</w:t>
      </w:r>
      <w:r w:rsidR="00593D16" w:rsidRPr="000249AD">
        <w:t>s</w:t>
      </w:r>
      <w:r w:rsidR="00AE7004">
        <w:t>ection </w:t>
      </w:r>
      <w:r w:rsidR="00F63142" w:rsidRPr="000249AD">
        <w:t xml:space="preserve">9), and provides that the right to information may only be excluded </w:t>
      </w:r>
      <w:r w:rsidR="00593D16" w:rsidRPr="000249AD">
        <w:t xml:space="preserve">owing </w:t>
      </w:r>
      <w:r w:rsidR="00F63142" w:rsidRPr="000249AD">
        <w:t>to reasons of confidentiality (</w:t>
      </w:r>
      <w:r w:rsidR="003F7ECD" w:rsidRPr="000249AD">
        <w:t>s</w:t>
      </w:r>
      <w:r w:rsidR="00F63142" w:rsidRPr="000249AD">
        <w:t>ection 8). However</w:t>
      </w:r>
      <w:r w:rsidR="00593D16" w:rsidRPr="000249AD">
        <w:t>,</w:t>
      </w:r>
      <w:r w:rsidR="00F63142" w:rsidRPr="000249AD">
        <w:t xml:space="preserve"> there have been few compensation cases </w:t>
      </w:r>
      <w:r w:rsidR="00593D16" w:rsidRPr="000249AD">
        <w:t xml:space="preserve">made </w:t>
      </w:r>
      <w:r w:rsidR="00F63142" w:rsidRPr="000249AD">
        <w:t xml:space="preserve">on the </w:t>
      </w:r>
      <w:r w:rsidR="00593D16" w:rsidRPr="000249AD">
        <w:t xml:space="preserve">basis of the </w:t>
      </w:r>
      <w:r w:rsidR="00F63142" w:rsidRPr="000249AD">
        <w:t xml:space="preserve">Environmental Liability Act. This could be </w:t>
      </w:r>
      <w:r w:rsidR="00593D16" w:rsidRPr="000249AD">
        <w:t xml:space="preserve">owing </w:t>
      </w:r>
      <w:r w:rsidR="00F63142" w:rsidRPr="000249AD">
        <w:t>to the high standards by companies or to the fact that cases are being settled out of court.</w:t>
      </w:r>
    </w:p>
    <w:p w14:paraId="48599005" w14:textId="36453F96" w:rsidR="00DA1065" w:rsidRPr="000249AD" w:rsidRDefault="00C02B3F" w:rsidP="00593D16">
      <w:pPr>
        <w:pStyle w:val="SingleTxtG"/>
        <w:tabs>
          <w:tab w:val="left" w:pos="1701"/>
        </w:tabs>
      </w:pPr>
      <w:r w:rsidRPr="000249AD">
        <w:t>80</w:t>
      </w:r>
      <w:r w:rsidR="00F63142" w:rsidRPr="000249AD">
        <w:t>.</w:t>
      </w:r>
      <w:r w:rsidR="00F63142" w:rsidRPr="000249AD">
        <w:tab/>
        <w:t xml:space="preserve">According to the jurisdiction of the Federal Court of Justice, the burden of proof may also </w:t>
      </w:r>
      <w:r w:rsidR="00593D16" w:rsidRPr="000249AD">
        <w:t xml:space="preserve">be shifted </w:t>
      </w:r>
      <w:r w:rsidR="00F63142" w:rsidRPr="000249AD">
        <w:t xml:space="preserve">under the general </w:t>
      </w:r>
      <w:r w:rsidR="00593D16" w:rsidRPr="000249AD">
        <w:t>c</w:t>
      </w:r>
      <w:r w:rsidR="00F63142" w:rsidRPr="000249AD">
        <w:t xml:space="preserve">ivil </w:t>
      </w:r>
      <w:r w:rsidR="00593D16" w:rsidRPr="000249AD">
        <w:t>l</w:t>
      </w:r>
      <w:r w:rsidR="00F63142" w:rsidRPr="000249AD">
        <w:t xml:space="preserve">iability rules (section 823 </w:t>
      </w:r>
      <w:r w:rsidR="00593D16" w:rsidRPr="000249AD">
        <w:t xml:space="preserve">of the </w:t>
      </w:r>
      <w:r w:rsidR="00F63142" w:rsidRPr="000249AD">
        <w:t>German Civil Code) if an installation exceeds certain emission limits.</w:t>
      </w:r>
    </w:p>
    <w:p w14:paraId="5F2725A9" w14:textId="0D88CA73" w:rsidR="00DA1065" w:rsidRPr="000249AD" w:rsidRDefault="00C02B3F" w:rsidP="00593D16">
      <w:pPr>
        <w:pStyle w:val="SingleTxtG"/>
        <w:tabs>
          <w:tab w:val="left" w:pos="1701"/>
        </w:tabs>
      </w:pPr>
      <w:r w:rsidRPr="000249AD">
        <w:t>81</w:t>
      </w:r>
      <w:r w:rsidR="00F63142" w:rsidRPr="000249AD">
        <w:t>.</w:t>
      </w:r>
      <w:r w:rsidR="00F63142" w:rsidRPr="000249AD">
        <w:tab/>
      </w:r>
      <w:proofErr w:type="gramStart"/>
      <w:r w:rsidR="00F63142" w:rsidRPr="000249AD">
        <w:t>In</w:t>
      </w:r>
      <w:proofErr w:type="gramEnd"/>
      <w:r w:rsidR="00F63142" w:rsidRPr="000249AD">
        <w:t xml:space="preserve"> 2002, Germany changed its </w:t>
      </w:r>
      <w:r w:rsidR="008B568D" w:rsidRPr="000249AD">
        <w:rPr>
          <w:rFonts w:eastAsiaTheme="minorHAnsi"/>
          <w:color w:val="000000"/>
          <w:lang w:val="en-US"/>
        </w:rPr>
        <w:t>“</w:t>
      </w:r>
      <w:proofErr w:type="spellStart"/>
      <w:r w:rsidR="008B568D" w:rsidRPr="00AE7004">
        <w:rPr>
          <w:rFonts w:eastAsiaTheme="minorHAnsi"/>
          <w:i/>
          <w:iCs/>
          <w:color w:val="000000"/>
          <w:lang w:val="en-US"/>
        </w:rPr>
        <w:t>Arzneimittelgesetz</w:t>
      </w:r>
      <w:proofErr w:type="spellEnd"/>
      <w:r w:rsidR="008B568D" w:rsidRPr="000249AD">
        <w:rPr>
          <w:rFonts w:eastAsiaTheme="minorHAnsi"/>
          <w:color w:val="000000"/>
          <w:lang w:val="en-US"/>
        </w:rPr>
        <w:t>” (Law on Pharmaceuticals)</w:t>
      </w:r>
      <w:r w:rsidR="00F63142" w:rsidRPr="000249AD">
        <w:t xml:space="preserve"> to shift the burden of proof away from claimants towards strict liability comparable to </w:t>
      </w:r>
      <w:r w:rsidR="00F9359C" w:rsidRPr="000249AD">
        <w:t>a</w:t>
      </w:r>
      <w:r w:rsidR="00F63142" w:rsidRPr="000249AD">
        <w:t>rticle 6 of the Environmental Act.</w:t>
      </w:r>
      <w:r w:rsidR="00033078" w:rsidRPr="000249AD">
        <w:t xml:space="preserve"> Under the Product Liability Act, the burden of proof may only </w:t>
      </w:r>
      <w:r w:rsidR="00593D16" w:rsidRPr="000249AD">
        <w:t xml:space="preserve">be shifted </w:t>
      </w:r>
      <w:r w:rsidR="00033078" w:rsidRPr="000249AD">
        <w:t>according to the jurisdiction of the Federal Court of Justice.</w:t>
      </w:r>
      <w:r w:rsidR="00F63142" w:rsidRPr="000249AD">
        <w:t xml:space="preserve"> </w:t>
      </w:r>
    </w:p>
    <w:p w14:paraId="1EF75C86" w14:textId="403A35FC" w:rsidR="00F63142" w:rsidRPr="000249AD" w:rsidRDefault="00C02B3F" w:rsidP="00474CF4">
      <w:pPr>
        <w:pStyle w:val="SingleTxtG"/>
        <w:tabs>
          <w:tab w:val="left" w:pos="1701"/>
        </w:tabs>
      </w:pPr>
      <w:r w:rsidRPr="000249AD">
        <w:t>82</w:t>
      </w:r>
      <w:r w:rsidR="00F63142" w:rsidRPr="000249AD">
        <w:t>.</w:t>
      </w:r>
      <w:r w:rsidR="00F63142" w:rsidRPr="000249AD">
        <w:tab/>
        <w:t xml:space="preserve">In both areas of private liability </w:t>
      </w:r>
      <w:r w:rsidR="008B568D" w:rsidRPr="000249AD">
        <w:t>—</w:t>
      </w:r>
      <w:r w:rsidR="00F63142" w:rsidRPr="000249AD">
        <w:t xml:space="preserve"> the Environmental Liability Act and </w:t>
      </w:r>
      <w:r w:rsidR="008B568D" w:rsidRPr="000249AD">
        <w:rPr>
          <w:rFonts w:eastAsiaTheme="minorHAnsi"/>
          <w:color w:val="000000"/>
          <w:lang w:val="en-US"/>
        </w:rPr>
        <w:t>Law on Pharmaceuticals</w:t>
      </w:r>
      <w:r w:rsidR="00F63142" w:rsidRPr="000249AD">
        <w:t xml:space="preserve"> </w:t>
      </w:r>
      <w:r w:rsidR="008B568D" w:rsidRPr="000249AD">
        <w:t>—</w:t>
      </w:r>
      <w:r w:rsidR="00F63142" w:rsidRPr="000249AD">
        <w:t xml:space="preserve"> a shift in the burden of proof to reflect a victims-based approach is welcomed. However, in the area of occupational health and safety, the Special Rapporteur heard of the immense challenges still faced by workers who fall ill from toxic chemicals to access any remedy. </w:t>
      </w:r>
    </w:p>
    <w:p w14:paraId="12A535BB" w14:textId="77777777" w:rsidR="00F63142" w:rsidRPr="000249AD" w:rsidRDefault="00F63142" w:rsidP="00F63142">
      <w:pPr>
        <w:pStyle w:val="H1G"/>
      </w:pPr>
      <w:r w:rsidRPr="000249AD">
        <w:lastRenderedPageBreak/>
        <w:tab/>
        <w:t>D.</w:t>
      </w:r>
      <w:r w:rsidRPr="000249AD">
        <w:tab/>
        <w:t>Business responsibilities to respect human rights</w:t>
      </w:r>
    </w:p>
    <w:p w14:paraId="65F2F215" w14:textId="3B97C0D4" w:rsidR="00DA1065" w:rsidRPr="000249AD" w:rsidRDefault="00C02B3F" w:rsidP="00DA1065">
      <w:pPr>
        <w:pStyle w:val="SingleTxtG"/>
        <w:tabs>
          <w:tab w:val="left" w:pos="1701"/>
        </w:tabs>
        <w:rPr>
          <w:rFonts w:eastAsia="Calibri"/>
        </w:rPr>
      </w:pPr>
      <w:r w:rsidRPr="000249AD">
        <w:t>83</w:t>
      </w:r>
      <w:r w:rsidR="00F63142" w:rsidRPr="000249AD">
        <w:t>.</w:t>
      </w:r>
      <w:r w:rsidR="00F63142" w:rsidRPr="000249AD">
        <w:tab/>
        <w:t>Many German businesses play a central role in international supply chains that use, produce or release hazardous substances, including hazardous pesticides</w:t>
      </w:r>
      <w:r w:rsidR="00F63142" w:rsidRPr="000249AD">
        <w:rPr>
          <w:rFonts w:eastAsia="Calibri"/>
        </w:rPr>
        <w:t xml:space="preserve">. Noting the substantial number of German businesses with ties to developing countries, </w:t>
      </w:r>
      <w:r w:rsidR="00D36A9B" w:rsidRPr="000249AD">
        <w:rPr>
          <w:rFonts w:eastAsia="Calibri"/>
        </w:rPr>
        <w:t xml:space="preserve">the Special Rapporteur </w:t>
      </w:r>
      <w:r w:rsidR="00F63142" w:rsidRPr="000249AD">
        <w:rPr>
          <w:rFonts w:eastAsia="Calibri"/>
        </w:rPr>
        <w:t xml:space="preserve">was particularly interested to hear from Bayer and BASF </w:t>
      </w:r>
      <w:r w:rsidR="002D2012" w:rsidRPr="000249AD">
        <w:rPr>
          <w:rFonts w:eastAsia="Calibri"/>
        </w:rPr>
        <w:t xml:space="preserve">about </w:t>
      </w:r>
      <w:r w:rsidR="00F63142" w:rsidRPr="000249AD">
        <w:rPr>
          <w:rFonts w:eastAsia="Calibri"/>
        </w:rPr>
        <w:t>how business enterprises are protecting human rights in developing countries, considering that many countries do not have the same levels of public health, occupational or environmental protection as Germany.</w:t>
      </w:r>
    </w:p>
    <w:p w14:paraId="4F0CC32A" w14:textId="6F736F7A" w:rsidR="00DA1065" w:rsidRPr="000249AD" w:rsidRDefault="00C02B3F" w:rsidP="002D2012">
      <w:pPr>
        <w:pStyle w:val="SingleTxtG"/>
        <w:tabs>
          <w:tab w:val="left" w:pos="1701"/>
        </w:tabs>
        <w:rPr>
          <w:rFonts w:eastAsia="Calibri"/>
        </w:rPr>
      </w:pPr>
      <w:r w:rsidRPr="000249AD">
        <w:t>84</w:t>
      </w:r>
      <w:r w:rsidR="00F63142" w:rsidRPr="000249AD">
        <w:t>.</w:t>
      </w:r>
      <w:r w:rsidR="00F63142" w:rsidRPr="000249AD">
        <w:tab/>
        <w:t xml:space="preserve">Bayer does not have a separate human rights policy in addition to their policy on corporate compliance, but noted that that </w:t>
      </w:r>
      <w:r w:rsidR="002D2012" w:rsidRPr="000249AD">
        <w:t xml:space="preserve">it </w:t>
      </w:r>
      <w:r w:rsidR="00F63142" w:rsidRPr="000249AD">
        <w:t>need</w:t>
      </w:r>
      <w:r w:rsidR="002D2012" w:rsidRPr="000249AD">
        <w:t>s</w:t>
      </w:r>
      <w:r w:rsidR="00F63142" w:rsidRPr="000249AD">
        <w:t xml:space="preserve"> </w:t>
      </w:r>
      <w:r w:rsidR="002D2012" w:rsidRPr="000249AD">
        <w:t xml:space="preserve">to reflect </w:t>
      </w:r>
      <w:r w:rsidR="00F63142" w:rsidRPr="000249AD">
        <w:t>more on human rights and the link between the use of chemicals and health and safety. With regard to Pillar 3 of the Guiding Principles</w:t>
      </w:r>
      <w:r w:rsidR="002D2012" w:rsidRPr="000249AD">
        <w:t xml:space="preserve"> </w:t>
      </w:r>
      <w:r w:rsidR="002D2012" w:rsidRPr="000249AD">
        <w:rPr>
          <w:rStyle w:val="Hyperlink"/>
        </w:rPr>
        <w:t>on Business and Human Rights</w:t>
      </w:r>
      <w:r w:rsidR="00F63142" w:rsidRPr="000249AD">
        <w:t xml:space="preserve">, Bayer explained that </w:t>
      </w:r>
      <w:r w:rsidR="002D2012" w:rsidRPr="000249AD">
        <w:t xml:space="preserve">it had </w:t>
      </w:r>
      <w:r w:rsidR="00F63142" w:rsidRPr="000249AD">
        <w:t xml:space="preserve">made </w:t>
      </w:r>
      <w:r w:rsidR="002D2012" w:rsidRPr="000249AD">
        <w:t xml:space="preserve">its </w:t>
      </w:r>
      <w:r w:rsidR="00F63142" w:rsidRPr="000249AD">
        <w:t xml:space="preserve">recent </w:t>
      </w:r>
      <w:r w:rsidR="00F63142" w:rsidRPr="000249AD">
        <w:rPr>
          <w:rFonts w:eastAsia="Calibri"/>
        </w:rPr>
        <w:t>grievance mechanism more visible</w:t>
      </w:r>
      <w:r w:rsidR="002D2012" w:rsidRPr="000249AD">
        <w:rPr>
          <w:rFonts w:eastAsia="Calibri"/>
        </w:rPr>
        <w:t>,</w:t>
      </w:r>
      <w:r w:rsidR="00F63142" w:rsidRPr="000249AD">
        <w:rPr>
          <w:rFonts w:eastAsia="Calibri"/>
        </w:rPr>
        <w:t xml:space="preserve"> with a compliance hot line, in </w:t>
      </w:r>
      <w:r w:rsidR="002D2012" w:rsidRPr="000249AD">
        <w:rPr>
          <w:rFonts w:eastAsia="Calibri"/>
        </w:rPr>
        <w:t xml:space="preserve">12 </w:t>
      </w:r>
      <w:r w:rsidR="00F63142" w:rsidRPr="000249AD">
        <w:rPr>
          <w:rFonts w:eastAsia="Calibri"/>
        </w:rPr>
        <w:t xml:space="preserve">languages, open to </w:t>
      </w:r>
      <w:r w:rsidR="002D2012" w:rsidRPr="000249AD">
        <w:rPr>
          <w:rFonts w:eastAsia="Calibri"/>
        </w:rPr>
        <w:t xml:space="preserve">its </w:t>
      </w:r>
      <w:r w:rsidR="00F63142" w:rsidRPr="000249AD">
        <w:rPr>
          <w:rFonts w:eastAsia="Calibri"/>
        </w:rPr>
        <w:t xml:space="preserve">employees and the public. Bayer stated </w:t>
      </w:r>
      <w:r w:rsidR="002D2012" w:rsidRPr="000249AD">
        <w:rPr>
          <w:rFonts w:eastAsia="Calibri"/>
        </w:rPr>
        <w:t xml:space="preserve">its </w:t>
      </w:r>
      <w:r w:rsidR="00F63142" w:rsidRPr="000249AD">
        <w:rPr>
          <w:rFonts w:eastAsia="Calibri"/>
        </w:rPr>
        <w:t>commitment to enabling remediation in case of any adverse effects on health and safety.</w:t>
      </w:r>
    </w:p>
    <w:p w14:paraId="54C4CFC4" w14:textId="2099CC1A" w:rsidR="00DA1065" w:rsidRPr="000249AD" w:rsidRDefault="00C02B3F" w:rsidP="002D2012">
      <w:pPr>
        <w:pStyle w:val="SingleTxtG"/>
        <w:tabs>
          <w:tab w:val="left" w:pos="1701"/>
        </w:tabs>
        <w:rPr>
          <w:rFonts w:eastAsia="Calibri"/>
        </w:rPr>
      </w:pPr>
      <w:r w:rsidRPr="000249AD">
        <w:rPr>
          <w:rFonts w:eastAsia="Calibri"/>
        </w:rPr>
        <w:t>85</w:t>
      </w:r>
      <w:r w:rsidR="00F63142" w:rsidRPr="000249AD">
        <w:rPr>
          <w:rFonts w:eastAsia="Calibri"/>
        </w:rPr>
        <w:t>.</w:t>
      </w:r>
      <w:r w:rsidR="00F63142" w:rsidRPr="000249AD">
        <w:rPr>
          <w:rFonts w:eastAsia="Calibri"/>
        </w:rPr>
        <w:tab/>
        <w:t xml:space="preserve">BASF shared </w:t>
      </w:r>
      <w:r w:rsidR="002D2012" w:rsidRPr="000249AD">
        <w:rPr>
          <w:rFonts w:eastAsia="Calibri"/>
        </w:rPr>
        <w:t xml:space="preserve">its </w:t>
      </w:r>
      <w:r w:rsidR="00F63142" w:rsidRPr="000249AD">
        <w:rPr>
          <w:rFonts w:eastAsia="Calibri"/>
        </w:rPr>
        <w:t xml:space="preserve">February 2011 </w:t>
      </w:r>
      <w:r w:rsidR="002D2012" w:rsidRPr="000249AD">
        <w:rPr>
          <w:rFonts w:eastAsia="Calibri"/>
        </w:rPr>
        <w:t>g</w:t>
      </w:r>
      <w:r w:rsidR="00F63142" w:rsidRPr="000249AD">
        <w:rPr>
          <w:rFonts w:eastAsia="Calibri"/>
        </w:rPr>
        <w:t xml:space="preserve">roup </w:t>
      </w:r>
      <w:r w:rsidR="002D2012" w:rsidRPr="000249AD">
        <w:rPr>
          <w:rFonts w:eastAsia="Calibri"/>
        </w:rPr>
        <w:t>p</w:t>
      </w:r>
      <w:r w:rsidR="00F63142" w:rsidRPr="000249AD">
        <w:rPr>
          <w:rFonts w:eastAsia="Calibri"/>
        </w:rPr>
        <w:t xml:space="preserve">osition on </w:t>
      </w:r>
      <w:r w:rsidR="002D2012" w:rsidRPr="000249AD">
        <w:rPr>
          <w:rFonts w:eastAsia="Calibri"/>
        </w:rPr>
        <w:t>h</w:t>
      </w:r>
      <w:r w:rsidR="00F63142" w:rsidRPr="000249AD">
        <w:rPr>
          <w:rFonts w:eastAsia="Calibri"/>
        </w:rPr>
        <w:t xml:space="preserve">uman </w:t>
      </w:r>
      <w:r w:rsidR="002D2012" w:rsidRPr="000249AD">
        <w:rPr>
          <w:rFonts w:eastAsia="Calibri"/>
        </w:rPr>
        <w:t>r</w:t>
      </w:r>
      <w:r w:rsidR="00F63142" w:rsidRPr="000249AD">
        <w:rPr>
          <w:rFonts w:eastAsia="Calibri"/>
        </w:rPr>
        <w:t xml:space="preserve">ights and provided an update of how </w:t>
      </w:r>
      <w:r w:rsidR="002D2012" w:rsidRPr="000249AD">
        <w:rPr>
          <w:rFonts w:eastAsia="Calibri"/>
        </w:rPr>
        <w:t xml:space="preserve">it was </w:t>
      </w:r>
      <w:r w:rsidR="00F63142" w:rsidRPr="000249AD">
        <w:rPr>
          <w:rFonts w:eastAsia="Calibri"/>
        </w:rPr>
        <w:t xml:space="preserve">incorporating human rights and the Guiding Principles into </w:t>
      </w:r>
      <w:r w:rsidR="002D2012" w:rsidRPr="000249AD">
        <w:rPr>
          <w:rFonts w:eastAsia="Calibri"/>
        </w:rPr>
        <w:t xml:space="preserve">its </w:t>
      </w:r>
      <w:r w:rsidR="00F63142" w:rsidRPr="000249AD">
        <w:rPr>
          <w:rFonts w:eastAsia="Calibri"/>
        </w:rPr>
        <w:t>core processes.</w:t>
      </w:r>
    </w:p>
    <w:p w14:paraId="6B6C82CC" w14:textId="2ED5B9BA" w:rsidR="00DA1065" w:rsidRPr="000249AD" w:rsidRDefault="00C02B3F" w:rsidP="002D2012">
      <w:pPr>
        <w:pStyle w:val="SingleTxtG"/>
        <w:tabs>
          <w:tab w:val="left" w:pos="1701"/>
        </w:tabs>
        <w:rPr>
          <w:rFonts w:eastAsia="Calibri"/>
        </w:rPr>
      </w:pPr>
      <w:r w:rsidRPr="000249AD">
        <w:rPr>
          <w:rFonts w:eastAsia="Calibri"/>
        </w:rPr>
        <w:t>86</w:t>
      </w:r>
      <w:r w:rsidR="00F63142" w:rsidRPr="000249AD">
        <w:rPr>
          <w:rFonts w:eastAsia="Calibri"/>
        </w:rPr>
        <w:t>.</w:t>
      </w:r>
      <w:r w:rsidR="00F63142" w:rsidRPr="000249AD">
        <w:rPr>
          <w:rFonts w:eastAsia="Calibri"/>
        </w:rPr>
        <w:tab/>
        <w:t>In 2010</w:t>
      </w:r>
      <w:r w:rsidR="002D2012" w:rsidRPr="000249AD">
        <w:rPr>
          <w:rFonts w:eastAsia="Calibri"/>
        </w:rPr>
        <w:t>,</w:t>
      </w:r>
      <w:r w:rsidR="00F63142" w:rsidRPr="000249AD">
        <w:rPr>
          <w:rFonts w:eastAsia="Calibri"/>
        </w:rPr>
        <w:t xml:space="preserve"> BASF founded a voluntary chemical sector initiative </w:t>
      </w:r>
      <w:r w:rsidR="002D2012" w:rsidRPr="000249AD">
        <w:rPr>
          <w:rFonts w:eastAsia="Calibri"/>
        </w:rPr>
        <w:t xml:space="preserve">entitled </w:t>
      </w:r>
      <w:r w:rsidR="00F63142" w:rsidRPr="000249AD">
        <w:rPr>
          <w:rFonts w:eastAsia="Calibri"/>
        </w:rPr>
        <w:t xml:space="preserve">“Together for Sustainability” </w:t>
      </w:r>
      <w:r w:rsidR="002D2012" w:rsidRPr="000249AD">
        <w:rPr>
          <w:rFonts w:eastAsia="Calibri"/>
        </w:rPr>
        <w:t xml:space="preserve">that </w:t>
      </w:r>
      <w:r w:rsidR="00F63142" w:rsidRPr="000249AD">
        <w:rPr>
          <w:rFonts w:eastAsia="Calibri"/>
        </w:rPr>
        <w:t>consist</w:t>
      </w:r>
      <w:r w:rsidR="002D2012" w:rsidRPr="000249AD">
        <w:rPr>
          <w:rFonts w:eastAsia="Calibri"/>
        </w:rPr>
        <w:t>ed</w:t>
      </w:r>
      <w:r w:rsidR="00F63142" w:rsidRPr="000249AD">
        <w:rPr>
          <w:rFonts w:eastAsia="Calibri"/>
        </w:rPr>
        <w:t xml:space="preserve"> of 12 leading chemical companies </w:t>
      </w:r>
      <w:r w:rsidR="002D2012" w:rsidRPr="000249AD">
        <w:rPr>
          <w:rFonts w:eastAsia="Calibri"/>
        </w:rPr>
        <w:t xml:space="preserve">that </w:t>
      </w:r>
      <w:r w:rsidR="00F63142" w:rsidRPr="000249AD">
        <w:rPr>
          <w:rFonts w:eastAsia="Calibri"/>
        </w:rPr>
        <w:t xml:space="preserve">agree on the concept of </w:t>
      </w:r>
      <w:r w:rsidR="002D2012" w:rsidRPr="000249AD">
        <w:rPr>
          <w:rFonts w:eastAsia="Calibri"/>
        </w:rPr>
        <w:t xml:space="preserve">a single </w:t>
      </w:r>
      <w:r w:rsidR="00F63142" w:rsidRPr="000249AD">
        <w:rPr>
          <w:rFonts w:eastAsia="Calibri"/>
        </w:rPr>
        <w:t>audit for sustainability. BASF sees this initiative as an opportunity to embed human rights into upstream companies by conducting human rights due diligence in the value chain.</w:t>
      </w:r>
    </w:p>
    <w:p w14:paraId="1B2A1E58" w14:textId="61D8812A" w:rsidR="00DA1065" w:rsidRPr="000249AD" w:rsidRDefault="00407250" w:rsidP="002D2012">
      <w:pPr>
        <w:pStyle w:val="SingleTxtG"/>
        <w:tabs>
          <w:tab w:val="left" w:pos="1701"/>
        </w:tabs>
        <w:rPr>
          <w:rFonts w:eastAsia="Calibri"/>
        </w:rPr>
      </w:pPr>
      <w:r w:rsidRPr="000249AD">
        <w:rPr>
          <w:rFonts w:eastAsia="Calibri"/>
        </w:rPr>
        <w:t>87</w:t>
      </w:r>
      <w:r w:rsidR="00F63142" w:rsidRPr="000249AD">
        <w:rPr>
          <w:rFonts w:eastAsia="Calibri"/>
        </w:rPr>
        <w:t>.</w:t>
      </w:r>
      <w:r w:rsidR="00F63142" w:rsidRPr="000249AD">
        <w:rPr>
          <w:rFonts w:eastAsia="Calibri"/>
        </w:rPr>
        <w:tab/>
      </w:r>
      <w:r w:rsidR="00781276" w:rsidRPr="000249AD">
        <w:rPr>
          <w:rFonts w:eastAsia="Calibri"/>
        </w:rPr>
        <w:t xml:space="preserve">BASF indicated </w:t>
      </w:r>
      <w:r w:rsidR="002D2012" w:rsidRPr="000249AD">
        <w:rPr>
          <w:rFonts w:eastAsia="Calibri"/>
        </w:rPr>
        <w:t xml:space="preserve">its </w:t>
      </w:r>
      <w:r w:rsidR="00781276" w:rsidRPr="000249AD">
        <w:rPr>
          <w:rFonts w:eastAsia="Calibri"/>
        </w:rPr>
        <w:t xml:space="preserve">willingness and described </w:t>
      </w:r>
      <w:r w:rsidR="002D2012" w:rsidRPr="000249AD">
        <w:rPr>
          <w:rFonts w:eastAsia="Calibri"/>
        </w:rPr>
        <w:t xml:space="preserve">its </w:t>
      </w:r>
      <w:r w:rsidR="00781276" w:rsidRPr="000249AD">
        <w:rPr>
          <w:rFonts w:eastAsia="Calibri"/>
        </w:rPr>
        <w:t>sector</w:t>
      </w:r>
      <w:r w:rsidR="002D2012" w:rsidRPr="000249AD">
        <w:rPr>
          <w:rFonts w:eastAsia="Calibri"/>
        </w:rPr>
        <w:t>-</w:t>
      </w:r>
      <w:r w:rsidR="00781276" w:rsidRPr="000249AD">
        <w:rPr>
          <w:rFonts w:eastAsia="Calibri"/>
        </w:rPr>
        <w:t>wide activities (e</w:t>
      </w:r>
      <w:r w:rsidR="002D2012" w:rsidRPr="000249AD">
        <w:rPr>
          <w:rFonts w:eastAsia="Calibri"/>
        </w:rPr>
        <w:t>.</w:t>
      </w:r>
      <w:r w:rsidR="00781276" w:rsidRPr="000249AD">
        <w:rPr>
          <w:rFonts w:eastAsia="Calibri"/>
        </w:rPr>
        <w:t>g</w:t>
      </w:r>
      <w:r w:rsidR="002D2012" w:rsidRPr="000249AD">
        <w:rPr>
          <w:rFonts w:eastAsia="Calibri"/>
        </w:rPr>
        <w:t>.</w:t>
      </w:r>
      <w:r w:rsidR="00781276" w:rsidRPr="000249AD">
        <w:rPr>
          <w:rFonts w:eastAsia="Calibri"/>
        </w:rPr>
        <w:t xml:space="preserve">, </w:t>
      </w:r>
      <w:r w:rsidR="002D2012" w:rsidRPr="000249AD">
        <w:rPr>
          <w:rFonts w:eastAsia="Calibri"/>
        </w:rPr>
        <w:t xml:space="preserve">the </w:t>
      </w:r>
      <w:r w:rsidR="00781276" w:rsidRPr="000249AD">
        <w:rPr>
          <w:rFonts w:eastAsia="Calibri"/>
        </w:rPr>
        <w:t>Chemie³</w:t>
      </w:r>
      <w:r w:rsidR="002D2012" w:rsidRPr="000249AD">
        <w:rPr>
          <w:rFonts w:eastAsia="Calibri"/>
        </w:rPr>
        <w:t xml:space="preserve"> and Together for Sustainability initiatives</w:t>
      </w:r>
      <w:r w:rsidR="00781276" w:rsidRPr="000249AD">
        <w:rPr>
          <w:rFonts w:eastAsia="Calibri"/>
        </w:rPr>
        <w:t>) to further promot</w:t>
      </w:r>
      <w:r w:rsidR="002D2012" w:rsidRPr="000249AD">
        <w:rPr>
          <w:rFonts w:eastAsia="Calibri"/>
        </w:rPr>
        <w:t>e</w:t>
      </w:r>
      <w:r w:rsidR="00781276" w:rsidRPr="000249AD">
        <w:rPr>
          <w:rFonts w:eastAsia="Calibri"/>
        </w:rPr>
        <w:t xml:space="preserve"> the implementa</w:t>
      </w:r>
      <w:r w:rsidR="00DA1065" w:rsidRPr="000249AD">
        <w:rPr>
          <w:rFonts w:eastAsia="Calibri"/>
        </w:rPr>
        <w:t>tion of the Guiding Principles.</w:t>
      </w:r>
    </w:p>
    <w:p w14:paraId="60A10310" w14:textId="2BE5EA57" w:rsidR="00DA1065" w:rsidRPr="000249AD" w:rsidRDefault="00407250" w:rsidP="002D2012">
      <w:pPr>
        <w:pStyle w:val="SingleTxtG"/>
        <w:tabs>
          <w:tab w:val="left" w:pos="1701"/>
        </w:tabs>
        <w:rPr>
          <w:rFonts w:eastAsia="Calibri"/>
        </w:rPr>
      </w:pPr>
      <w:r w:rsidRPr="000249AD">
        <w:rPr>
          <w:rFonts w:eastAsia="Calibri"/>
        </w:rPr>
        <w:t>88</w:t>
      </w:r>
      <w:r w:rsidR="00F63142" w:rsidRPr="000249AD">
        <w:rPr>
          <w:rFonts w:eastAsia="Calibri"/>
        </w:rPr>
        <w:t>.</w:t>
      </w:r>
      <w:r w:rsidR="00F63142" w:rsidRPr="000249AD">
        <w:rPr>
          <w:rFonts w:eastAsia="Calibri"/>
        </w:rPr>
        <w:tab/>
        <w:t>BASF participated in hearings of the National Action Plan on Business and Human Rights process</w:t>
      </w:r>
      <w:r w:rsidR="00521078" w:rsidRPr="000249AD">
        <w:rPr>
          <w:rFonts w:eastAsia="Calibri"/>
        </w:rPr>
        <w:t>.</w:t>
      </w:r>
      <w:r w:rsidR="00F63142" w:rsidRPr="000249AD">
        <w:rPr>
          <w:rFonts w:eastAsia="Calibri"/>
        </w:rPr>
        <w:t xml:space="preserve"> </w:t>
      </w:r>
      <w:r w:rsidR="002D2012" w:rsidRPr="000249AD">
        <w:rPr>
          <w:rFonts w:eastAsia="Calibri"/>
        </w:rPr>
        <w:t xml:space="preserve">The company </w:t>
      </w:r>
      <w:r w:rsidR="00521078" w:rsidRPr="000249AD">
        <w:rPr>
          <w:rFonts w:eastAsia="Calibri"/>
        </w:rPr>
        <w:t xml:space="preserve">stressed that </w:t>
      </w:r>
      <w:r w:rsidR="002D2012" w:rsidRPr="000249AD">
        <w:rPr>
          <w:rFonts w:eastAsia="Calibri"/>
        </w:rPr>
        <w:t xml:space="preserve">such </w:t>
      </w:r>
      <w:r w:rsidR="00521078" w:rsidRPr="000249AD">
        <w:rPr>
          <w:rFonts w:eastAsia="Calibri"/>
        </w:rPr>
        <w:t>processes help to better understand the huge challenges companies face with their supply chain</w:t>
      </w:r>
      <w:r w:rsidR="009857C0" w:rsidRPr="000249AD">
        <w:rPr>
          <w:rFonts w:eastAsia="Calibri"/>
        </w:rPr>
        <w:t xml:space="preserve">. </w:t>
      </w:r>
      <w:r w:rsidR="00521078" w:rsidRPr="000249AD">
        <w:rPr>
          <w:rFonts w:eastAsia="Calibri"/>
        </w:rPr>
        <w:t xml:space="preserve">BASF has more than 75,000 </w:t>
      </w:r>
      <w:r w:rsidR="002D2012" w:rsidRPr="000249AD">
        <w:rPr>
          <w:rFonts w:eastAsia="Calibri"/>
        </w:rPr>
        <w:t>t</w:t>
      </w:r>
      <w:r w:rsidR="00521078" w:rsidRPr="000249AD">
        <w:rPr>
          <w:rFonts w:eastAsia="Calibri"/>
        </w:rPr>
        <w:t>ier</w:t>
      </w:r>
      <w:r w:rsidR="002D2012" w:rsidRPr="000249AD">
        <w:rPr>
          <w:rFonts w:eastAsia="Calibri"/>
        </w:rPr>
        <w:t>-</w:t>
      </w:r>
      <w:r w:rsidR="00521078" w:rsidRPr="000249AD">
        <w:rPr>
          <w:rFonts w:eastAsia="Calibri"/>
        </w:rPr>
        <w:t>1</w:t>
      </w:r>
      <w:r w:rsidR="002D2012" w:rsidRPr="000249AD">
        <w:rPr>
          <w:rFonts w:eastAsia="Calibri"/>
        </w:rPr>
        <w:t xml:space="preserve"> suppliers,</w:t>
      </w:r>
      <w:r w:rsidR="00521078" w:rsidRPr="000249AD">
        <w:rPr>
          <w:rFonts w:eastAsia="Calibri"/>
        </w:rPr>
        <w:t xml:space="preserve"> </w:t>
      </w:r>
      <w:r w:rsidR="002D2012" w:rsidRPr="000249AD">
        <w:rPr>
          <w:rFonts w:eastAsia="Calibri"/>
        </w:rPr>
        <w:t xml:space="preserve">an </w:t>
      </w:r>
      <w:r w:rsidR="00B50795" w:rsidRPr="000249AD">
        <w:rPr>
          <w:rFonts w:eastAsia="Calibri"/>
        </w:rPr>
        <w:t xml:space="preserve">estimated 400,000 in </w:t>
      </w:r>
      <w:r w:rsidR="002D2012" w:rsidRPr="000249AD">
        <w:rPr>
          <w:rFonts w:eastAsia="Calibri"/>
        </w:rPr>
        <w:t>t</w:t>
      </w:r>
      <w:r w:rsidR="00B50795" w:rsidRPr="000249AD">
        <w:rPr>
          <w:rFonts w:eastAsia="Calibri"/>
        </w:rPr>
        <w:t xml:space="preserve">ier 3 and perhaps 2 million in </w:t>
      </w:r>
      <w:r w:rsidR="002D2012" w:rsidRPr="000249AD">
        <w:rPr>
          <w:rFonts w:eastAsia="Calibri"/>
        </w:rPr>
        <w:t>t</w:t>
      </w:r>
      <w:r w:rsidR="00B50795" w:rsidRPr="000249AD">
        <w:rPr>
          <w:rFonts w:eastAsia="Calibri"/>
        </w:rPr>
        <w:t>ier 8</w:t>
      </w:r>
      <w:r w:rsidR="00521078" w:rsidRPr="000249AD">
        <w:rPr>
          <w:rFonts w:eastAsia="Calibri"/>
        </w:rPr>
        <w:t xml:space="preserve">, </w:t>
      </w:r>
      <w:r w:rsidR="002D2012" w:rsidRPr="000249AD">
        <w:rPr>
          <w:rFonts w:eastAsia="Calibri"/>
        </w:rPr>
        <w:t xml:space="preserve">thus demonstrating </w:t>
      </w:r>
      <w:r w:rsidR="00521078" w:rsidRPr="000249AD">
        <w:rPr>
          <w:rFonts w:eastAsia="Calibri"/>
        </w:rPr>
        <w:t>the need for effective management systems to create a cascade effect in the supply chain.</w:t>
      </w:r>
    </w:p>
    <w:p w14:paraId="1C15BC63" w14:textId="5D71272F" w:rsidR="00DA1065" w:rsidRPr="000249AD" w:rsidRDefault="00407250" w:rsidP="002D2012">
      <w:pPr>
        <w:pStyle w:val="SingleTxtG"/>
        <w:tabs>
          <w:tab w:val="left" w:pos="1701"/>
        </w:tabs>
      </w:pPr>
      <w:r w:rsidRPr="000249AD">
        <w:t>89</w:t>
      </w:r>
      <w:r w:rsidR="00F63142" w:rsidRPr="000249AD">
        <w:t>.</w:t>
      </w:r>
      <w:r w:rsidR="00F63142" w:rsidRPr="000249AD">
        <w:tab/>
        <w:t xml:space="preserve">Throughout </w:t>
      </w:r>
      <w:r w:rsidR="002D2012" w:rsidRPr="000249AD">
        <w:t>the Special Rapporteur</w:t>
      </w:r>
      <w:r w:rsidR="006A18E7">
        <w:t>’</w:t>
      </w:r>
      <w:r w:rsidR="002D2012" w:rsidRPr="000249AD">
        <w:t xml:space="preserve">s </w:t>
      </w:r>
      <w:r w:rsidR="00F63142" w:rsidRPr="000249AD">
        <w:t>visit, key stakeholders provided information on the National Action Plan on Business and Human Rights being developed under the auspices of the Federal Foreign Office, based on the Guiding Principles on Business and Human Rights. Many ministries ha</w:t>
      </w:r>
      <w:r w:rsidR="002D2012" w:rsidRPr="000249AD">
        <w:t>d</w:t>
      </w:r>
      <w:r w:rsidR="00F63142" w:rsidRPr="000249AD">
        <w:t xml:space="preserve"> been actively involved in the development of the </w:t>
      </w:r>
      <w:r w:rsidR="009857C0" w:rsidRPr="000249AD">
        <w:t>National Action Plan</w:t>
      </w:r>
      <w:r w:rsidR="00F63142" w:rsidRPr="000249AD">
        <w:t xml:space="preserve"> and all relevant sections of society, to </w:t>
      </w:r>
      <w:r w:rsidR="002D2012" w:rsidRPr="000249AD">
        <w:t xml:space="preserve">ensure that </w:t>
      </w:r>
      <w:r w:rsidR="00F63142" w:rsidRPr="000249AD">
        <w:t xml:space="preserve">support </w:t>
      </w:r>
      <w:r w:rsidR="002D2012" w:rsidRPr="000249AD">
        <w:t xml:space="preserve">was </w:t>
      </w:r>
      <w:r w:rsidR="00F63142" w:rsidRPr="000249AD">
        <w:t xml:space="preserve">as </w:t>
      </w:r>
      <w:r w:rsidR="002D2012" w:rsidRPr="000249AD">
        <w:t xml:space="preserve">broad-based as </w:t>
      </w:r>
      <w:r w:rsidR="00F63142" w:rsidRPr="000249AD">
        <w:t>possible.</w:t>
      </w:r>
    </w:p>
    <w:p w14:paraId="710D25F8" w14:textId="5B062CFE" w:rsidR="00F63142" w:rsidRPr="000249AD" w:rsidRDefault="00F63142" w:rsidP="002D2012">
      <w:pPr>
        <w:pStyle w:val="SingleTxtG"/>
        <w:tabs>
          <w:tab w:val="left" w:pos="1701"/>
        </w:tabs>
        <w:rPr>
          <w:rFonts w:eastAsia="Calibri"/>
        </w:rPr>
      </w:pPr>
      <w:r w:rsidRPr="000249AD">
        <w:t>9</w:t>
      </w:r>
      <w:r w:rsidR="00407250" w:rsidRPr="000249AD">
        <w:t>0</w:t>
      </w:r>
      <w:r w:rsidRPr="000249AD">
        <w:t>.</w:t>
      </w:r>
      <w:r w:rsidRPr="000249AD">
        <w:tab/>
        <w:t xml:space="preserve">Progress on the </w:t>
      </w:r>
      <w:r w:rsidR="009857C0" w:rsidRPr="000249AD">
        <w:t xml:space="preserve">National Action Plan </w:t>
      </w:r>
      <w:r w:rsidRPr="000249AD">
        <w:t xml:space="preserve">is regularly updated </w:t>
      </w:r>
      <w:r w:rsidR="009857C0" w:rsidRPr="000249AD">
        <w:t>online</w:t>
      </w:r>
      <w:r w:rsidR="002D2012" w:rsidRPr="000249AD">
        <w:t>;</w:t>
      </w:r>
      <w:r w:rsidRPr="000249AD">
        <w:t xml:space="preserve"> the aim </w:t>
      </w:r>
      <w:r w:rsidR="002D2012" w:rsidRPr="000249AD">
        <w:t xml:space="preserve">is for it </w:t>
      </w:r>
      <w:r w:rsidRPr="000249AD">
        <w:t xml:space="preserve">to be passed by the Federal Cabinet </w:t>
      </w:r>
      <w:r w:rsidR="002D6652" w:rsidRPr="000249AD">
        <w:t xml:space="preserve">in </w:t>
      </w:r>
      <w:r w:rsidRPr="000249AD">
        <w:t xml:space="preserve">2016. The Special Rapporteur contributed to this process in a letter </w:t>
      </w:r>
      <w:r w:rsidR="002D2012" w:rsidRPr="000249AD">
        <w:t xml:space="preserve">dated </w:t>
      </w:r>
      <w:r w:rsidRPr="000249AD">
        <w:t xml:space="preserve">25 February 2016, </w:t>
      </w:r>
      <w:r w:rsidR="002D2012" w:rsidRPr="000249AD">
        <w:t xml:space="preserve">in which he drew </w:t>
      </w:r>
      <w:r w:rsidRPr="000249AD">
        <w:t xml:space="preserve">attention to </w:t>
      </w:r>
      <w:r w:rsidR="002D2012" w:rsidRPr="000249AD">
        <w:t xml:space="preserve">the </w:t>
      </w:r>
      <w:r w:rsidRPr="000249AD">
        <w:t xml:space="preserve">human rights impacts </w:t>
      </w:r>
      <w:r w:rsidR="002D2012" w:rsidRPr="000249AD">
        <w:t xml:space="preserve">of </w:t>
      </w:r>
      <w:r w:rsidRPr="000249AD">
        <w:t>German businesses operating abroad.</w:t>
      </w:r>
      <w:r w:rsidRPr="00176051">
        <w:rPr>
          <w:rStyle w:val="FootnoteReference"/>
        </w:rPr>
        <w:footnoteReference w:id="29"/>
      </w:r>
    </w:p>
    <w:p w14:paraId="2076A047" w14:textId="5394C359" w:rsidR="00F63142" w:rsidRPr="000249AD" w:rsidRDefault="00F63142" w:rsidP="00F63142">
      <w:pPr>
        <w:pStyle w:val="HChG"/>
      </w:pPr>
      <w:r w:rsidRPr="000249AD">
        <w:lastRenderedPageBreak/>
        <w:tab/>
        <w:t>IV.</w:t>
      </w:r>
      <w:r w:rsidRPr="000249AD">
        <w:tab/>
        <w:t>Issues in focus</w:t>
      </w:r>
      <w:r w:rsidR="00AE7004">
        <w:t xml:space="preserve"> </w:t>
      </w:r>
      <w:r w:rsidRPr="000249AD">
        <w:t>– domestic concerns</w:t>
      </w:r>
    </w:p>
    <w:p w14:paraId="01EF7DB7" w14:textId="77777777" w:rsidR="00F63142" w:rsidRPr="000249AD" w:rsidRDefault="00F63142" w:rsidP="00F63142">
      <w:pPr>
        <w:pStyle w:val="H1G"/>
      </w:pPr>
      <w:r w:rsidRPr="000249AD">
        <w:tab/>
        <w:t>A.</w:t>
      </w:r>
      <w:r w:rsidRPr="000249AD">
        <w:tab/>
        <w:t>Child and adult exposure to toxics</w:t>
      </w:r>
    </w:p>
    <w:p w14:paraId="5BB6989D" w14:textId="41B94AC5" w:rsidR="00F63142" w:rsidRPr="000249AD" w:rsidRDefault="00F63142" w:rsidP="002970A7">
      <w:pPr>
        <w:pStyle w:val="SingleTxtG"/>
        <w:tabs>
          <w:tab w:val="left" w:pos="1701"/>
        </w:tabs>
        <w:rPr>
          <w:b/>
        </w:rPr>
      </w:pPr>
      <w:r w:rsidRPr="000249AD">
        <w:t>9</w:t>
      </w:r>
      <w:r w:rsidR="00407250" w:rsidRPr="000249AD">
        <w:t>1</w:t>
      </w:r>
      <w:r w:rsidRPr="000249AD">
        <w:t>.</w:t>
      </w:r>
      <w:r w:rsidRPr="000249AD">
        <w:tab/>
        <w:t>During his visit</w:t>
      </w:r>
      <w:r w:rsidR="009857C0" w:rsidRPr="000249AD">
        <w:t>,</w:t>
      </w:r>
      <w:r w:rsidRPr="000249AD">
        <w:t xml:space="preserve"> the Special Rapporteur repeated his concern about the health consequences of exposure </w:t>
      </w:r>
      <w:r w:rsidR="002970A7" w:rsidRPr="000249AD">
        <w:t xml:space="preserve">during childhood and adulthood </w:t>
      </w:r>
      <w:r w:rsidRPr="000249AD">
        <w:t>to hundreds of toxic chemicals</w:t>
      </w:r>
      <w:r w:rsidR="002970A7" w:rsidRPr="000249AD">
        <w:t>.</w:t>
      </w:r>
      <w:r w:rsidRPr="000249AD">
        <w:t xml:space="preserve"> In terms of risk assessments and the impacts of chemicals when children are exposed, the Special Rapporteur heard from various risk assessors and ministries that one of the major gaps in the REACH dossiers is reproductive toxicity data.</w:t>
      </w:r>
    </w:p>
    <w:p w14:paraId="0709B5A7" w14:textId="77777777" w:rsidR="00F63142" w:rsidRPr="000249AD" w:rsidRDefault="00F63142" w:rsidP="00F63142">
      <w:pPr>
        <w:pStyle w:val="H23G"/>
      </w:pPr>
      <w:r w:rsidRPr="000249AD">
        <w:rPr>
          <w:i/>
        </w:rPr>
        <w:tab/>
      </w:r>
      <w:r w:rsidRPr="000249AD">
        <w:rPr>
          <w:i/>
        </w:rPr>
        <w:tab/>
      </w:r>
      <w:r w:rsidRPr="000249AD">
        <w:t xml:space="preserve">Human </w:t>
      </w:r>
      <w:proofErr w:type="spellStart"/>
      <w:r w:rsidRPr="000249AD">
        <w:t>biomonitoring</w:t>
      </w:r>
      <w:proofErr w:type="spellEnd"/>
    </w:p>
    <w:p w14:paraId="1CF22A1C" w14:textId="7C763A35" w:rsidR="00DA1065" w:rsidRPr="000249AD" w:rsidRDefault="00F63142" w:rsidP="002970A7">
      <w:pPr>
        <w:pStyle w:val="SingleTxtG"/>
        <w:tabs>
          <w:tab w:val="left" w:pos="1701"/>
        </w:tabs>
      </w:pPr>
      <w:r w:rsidRPr="000249AD">
        <w:t>9</w:t>
      </w:r>
      <w:r w:rsidR="00407250" w:rsidRPr="000249AD">
        <w:t>2</w:t>
      </w:r>
      <w:r w:rsidRPr="000249AD">
        <w:t>.</w:t>
      </w:r>
      <w:r w:rsidRPr="000249AD">
        <w:tab/>
        <w:t xml:space="preserve">Human </w:t>
      </w:r>
      <w:proofErr w:type="spellStart"/>
      <w:r w:rsidRPr="000249AD">
        <w:t>biomonitoring</w:t>
      </w:r>
      <w:proofErr w:type="spellEnd"/>
      <w:r w:rsidRPr="000249AD">
        <w:t xml:space="preserve"> studies can provide important information </w:t>
      </w:r>
      <w:r w:rsidR="00AA212A" w:rsidRPr="000249AD">
        <w:t>on current exposure</w:t>
      </w:r>
      <w:r w:rsidRPr="000249AD">
        <w:t>, data points for cause and effect and evidence of the efficiency of measures being taken to reduce exposure to hazardous substances</w:t>
      </w:r>
      <w:r w:rsidR="00E55EA6" w:rsidRPr="000249AD">
        <w:t>, thereby enabling regulators to better prevent exposure and harm</w:t>
      </w:r>
      <w:r w:rsidRPr="000249AD">
        <w:t>. Some studies have shown that over 500 different hazardous substances are found in adults and over 200 in children.</w:t>
      </w:r>
    </w:p>
    <w:p w14:paraId="4F65E694" w14:textId="5EA410DE" w:rsidR="00DA1065" w:rsidRPr="000249AD" w:rsidRDefault="00407250" w:rsidP="00DA1065">
      <w:pPr>
        <w:pStyle w:val="SingleTxtG"/>
        <w:tabs>
          <w:tab w:val="left" w:pos="1701"/>
        </w:tabs>
        <w:rPr>
          <w:rStyle w:val="Strong"/>
          <w:b w:val="0"/>
        </w:rPr>
      </w:pPr>
      <w:r w:rsidRPr="00AE7004">
        <w:t>93</w:t>
      </w:r>
      <w:r w:rsidR="00F63142" w:rsidRPr="000249AD">
        <w:t>.</w:t>
      </w:r>
      <w:r w:rsidR="00F63142" w:rsidRPr="000249AD">
        <w:tab/>
        <w:t>As such, human</w:t>
      </w:r>
      <w:r w:rsidR="00F63142" w:rsidRPr="000249AD">
        <w:rPr>
          <w:bCs/>
        </w:rPr>
        <w:t xml:space="preserve"> </w:t>
      </w:r>
      <w:proofErr w:type="spellStart"/>
      <w:r w:rsidR="00F63142" w:rsidRPr="000249AD">
        <w:rPr>
          <w:bCs/>
        </w:rPr>
        <w:t>biomonitoring</w:t>
      </w:r>
      <w:proofErr w:type="spellEnd"/>
      <w:r w:rsidR="00F63142" w:rsidRPr="000249AD">
        <w:rPr>
          <w:bCs/>
        </w:rPr>
        <w:t xml:space="preserve"> is an important tool in environmental medicine to assess and evaluate the level of internal exposure of the general population, population groups and individuals to environmental toxins.</w:t>
      </w:r>
      <w:r w:rsidR="006A18E7">
        <w:rPr>
          <w:bCs/>
        </w:rPr>
        <w:t xml:space="preserve"> </w:t>
      </w:r>
      <w:r w:rsidR="00F63142" w:rsidRPr="000249AD">
        <w:t>It seems that Germany also recognizes the importance of measuring the amounts of hazardous substances in its people</w:t>
      </w:r>
      <w:r w:rsidR="002970A7" w:rsidRPr="000249AD">
        <w:t>,</w:t>
      </w:r>
      <w:r w:rsidR="00F63142" w:rsidRPr="000249AD">
        <w:t xml:space="preserve"> </w:t>
      </w:r>
      <w:r w:rsidR="00F63142" w:rsidRPr="000249AD">
        <w:rPr>
          <w:bCs/>
        </w:rPr>
        <w:t xml:space="preserve">and the </w:t>
      </w:r>
      <w:r w:rsidR="00F63142" w:rsidRPr="000249AD">
        <w:t xml:space="preserve">Human </w:t>
      </w:r>
      <w:proofErr w:type="spellStart"/>
      <w:r w:rsidR="00F63142" w:rsidRPr="000249AD">
        <w:t>Biomonitoring</w:t>
      </w:r>
      <w:proofErr w:type="spellEnd"/>
      <w:r w:rsidR="00F63142" w:rsidRPr="000249AD">
        <w:t xml:space="preserve"> Commission </w:t>
      </w:r>
      <w:r w:rsidR="00F63142" w:rsidRPr="000249AD">
        <w:rPr>
          <w:rStyle w:val="Strong"/>
          <w:b w:val="0"/>
        </w:rPr>
        <w:t>advises the Federal Environment Agency on such questions.</w:t>
      </w:r>
    </w:p>
    <w:p w14:paraId="2A558246" w14:textId="1BC3DC94" w:rsidR="00F63142" w:rsidRPr="000249AD" w:rsidRDefault="00407250" w:rsidP="002970A7">
      <w:pPr>
        <w:pStyle w:val="SingleTxtG"/>
        <w:tabs>
          <w:tab w:val="left" w:pos="1701"/>
        </w:tabs>
      </w:pPr>
      <w:r w:rsidRPr="000249AD">
        <w:t>94</w:t>
      </w:r>
      <w:r w:rsidR="00F63142" w:rsidRPr="000249AD">
        <w:t>.</w:t>
      </w:r>
      <w:r w:rsidR="00F63142" w:rsidRPr="000249AD">
        <w:tab/>
        <w:t xml:space="preserve">The Ministry of Health and Research also conducts a comprehensive health survey every </w:t>
      </w:r>
      <w:r w:rsidR="002970A7" w:rsidRPr="000249AD">
        <w:t xml:space="preserve">5 </w:t>
      </w:r>
      <w:r w:rsidR="00F63142" w:rsidRPr="000249AD">
        <w:t>to 10 years in Germany</w:t>
      </w:r>
      <w:r w:rsidR="00E55EA6" w:rsidRPr="000249AD">
        <w:t>,</w:t>
      </w:r>
      <w:r w:rsidR="00F63142" w:rsidRPr="000249AD">
        <w:t xml:space="preserve"> incorporat</w:t>
      </w:r>
      <w:r w:rsidR="002970A7" w:rsidRPr="000249AD">
        <w:t>ing</w:t>
      </w:r>
      <w:r w:rsidR="00F63142" w:rsidRPr="000249AD">
        <w:t xml:space="preserve"> an environmental survey. The </w:t>
      </w:r>
      <w:r w:rsidR="002970A7" w:rsidRPr="000249AD">
        <w:t xml:space="preserve">most recent </w:t>
      </w:r>
      <w:r w:rsidR="00F63142" w:rsidRPr="000249AD">
        <w:t>survey</w:t>
      </w:r>
      <w:r w:rsidR="00C4564A" w:rsidRPr="000249AD">
        <w:t>,</w:t>
      </w:r>
      <w:r w:rsidR="00F63142" w:rsidRPr="000249AD">
        <w:t xml:space="preserve"> which is still </w:t>
      </w:r>
      <w:proofErr w:type="spellStart"/>
      <w:r w:rsidR="00F63142" w:rsidRPr="000249AD">
        <w:t>ongoing</w:t>
      </w:r>
      <w:proofErr w:type="spellEnd"/>
      <w:r w:rsidR="00F63142" w:rsidRPr="000249AD">
        <w:t xml:space="preserve">, focused on children’s exposure to pollutants using the same subjects in trial tests (2015-2017). The Special Rapporteur also notes that Germany has not contributed to the </w:t>
      </w:r>
      <w:r w:rsidR="001C64C9" w:rsidRPr="000249AD">
        <w:t>WHO-Coordinated Survey of Human Milk for Persistent Organic Pollutants in Cooperation with UNEP</w:t>
      </w:r>
      <w:r w:rsidR="00F63142" w:rsidRPr="000249AD">
        <w:t xml:space="preserve"> for some time (as required by the Stockholm Convention). All results should be made publicly available.</w:t>
      </w:r>
    </w:p>
    <w:p w14:paraId="2D737985" w14:textId="77777777" w:rsidR="00F63142" w:rsidRPr="000249AD" w:rsidRDefault="00F63142" w:rsidP="00F63142">
      <w:pPr>
        <w:pStyle w:val="H23G"/>
      </w:pPr>
      <w:r w:rsidRPr="000249AD">
        <w:rPr>
          <w:i/>
        </w:rPr>
        <w:tab/>
      </w:r>
      <w:r w:rsidRPr="000249AD">
        <w:rPr>
          <w:i/>
        </w:rPr>
        <w:tab/>
      </w:r>
      <w:r w:rsidRPr="000249AD">
        <w:t>Toxics in toys</w:t>
      </w:r>
    </w:p>
    <w:p w14:paraId="2258114A" w14:textId="2DEB7A3E" w:rsidR="00DA1065" w:rsidRPr="000249AD" w:rsidRDefault="00407250" w:rsidP="002970A7">
      <w:pPr>
        <w:pStyle w:val="SingleTxtG"/>
        <w:tabs>
          <w:tab w:val="left" w:pos="1701"/>
        </w:tabs>
      </w:pPr>
      <w:r w:rsidRPr="000249AD">
        <w:t>95</w:t>
      </w:r>
      <w:r w:rsidR="00F63142" w:rsidRPr="000249AD">
        <w:t>.</w:t>
      </w:r>
      <w:r w:rsidR="00F63142" w:rsidRPr="000249AD">
        <w:tab/>
        <w:t xml:space="preserve">Toys are one of many potential sources of exposure to toxics by children and are regulated by the Toy Safety Directive 2009/48/EC and the chemical safety requirements that have applied since 20 July 2013. The Directive requires </w:t>
      </w:r>
      <w:r w:rsidR="00A175A2" w:rsidRPr="000249AD">
        <w:t xml:space="preserve">that toys are manufactured in accordance with all safety requirements and </w:t>
      </w:r>
      <w:r w:rsidR="00FD24E2" w:rsidRPr="000249AD">
        <w:t xml:space="preserve">that there </w:t>
      </w:r>
      <w:r w:rsidR="00917461" w:rsidRPr="000249AD">
        <w:t>is</w:t>
      </w:r>
      <w:r w:rsidR="00FD24E2" w:rsidRPr="000249AD">
        <w:t xml:space="preserve"> no risk of adverse effects on human health due to exposure to chemical substances which toys contain.</w:t>
      </w:r>
      <w:r w:rsidR="00A175A2" w:rsidRPr="000249AD">
        <w:t xml:space="preserve"> The manufacturer </w:t>
      </w:r>
      <w:r w:rsidR="009857C0" w:rsidRPr="000249AD">
        <w:t xml:space="preserve">has </w:t>
      </w:r>
      <w:r w:rsidR="002F008B" w:rsidRPr="000249AD">
        <w:t xml:space="preserve">to </w:t>
      </w:r>
      <w:r w:rsidR="00F63142" w:rsidRPr="000249AD">
        <w:t xml:space="preserve">declare that each toy is compliant with </w:t>
      </w:r>
      <w:r w:rsidR="00FD24E2" w:rsidRPr="000249AD">
        <w:t>the</w:t>
      </w:r>
      <w:r w:rsidR="00F63142" w:rsidRPr="000249AD">
        <w:t xml:space="preserve"> </w:t>
      </w:r>
      <w:r w:rsidR="00FD24E2" w:rsidRPr="000249AD">
        <w:t xml:space="preserve">Directive by </w:t>
      </w:r>
      <w:r w:rsidR="002970A7" w:rsidRPr="000249AD">
        <w:t xml:space="preserve">way of </w:t>
      </w:r>
      <w:r w:rsidR="00FD24E2" w:rsidRPr="000249AD">
        <w:t xml:space="preserve">a </w:t>
      </w:r>
      <w:r w:rsidR="00E43D0E" w:rsidRPr="000249AD">
        <w:t>“</w:t>
      </w:r>
      <w:r w:rsidR="00F63142" w:rsidRPr="000249AD">
        <w:t>CE</w:t>
      </w:r>
      <w:r w:rsidR="00E43D0E" w:rsidRPr="000249AD">
        <w:t>”</w:t>
      </w:r>
      <w:r w:rsidR="00F63142" w:rsidRPr="000249AD">
        <w:t xml:space="preserve"> mark before it is placed on the market, including a</w:t>
      </w:r>
      <w:r w:rsidR="002F008B" w:rsidRPr="000249AD">
        <w:t xml:space="preserve"> </w:t>
      </w:r>
      <w:r w:rsidR="0000579A" w:rsidRPr="000249AD">
        <w:t>safety</w:t>
      </w:r>
      <w:r w:rsidR="00F63142" w:rsidRPr="000249AD">
        <w:t xml:space="preserve"> assessment of potential exposure to chemical hazards.</w:t>
      </w:r>
    </w:p>
    <w:p w14:paraId="7FE8EEE5" w14:textId="56A2C6FE" w:rsidR="00DA1065" w:rsidRPr="000249AD" w:rsidRDefault="00407250" w:rsidP="00DA1065">
      <w:pPr>
        <w:pStyle w:val="SingleTxtG"/>
        <w:tabs>
          <w:tab w:val="left" w:pos="1701"/>
        </w:tabs>
      </w:pPr>
      <w:r w:rsidRPr="000249AD">
        <w:t>96</w:t>
      </w:r>
      <w:r w:rsidR="00F63142" w:rsidRPr="000249AD">
        <w:t>.</w:t>
      </w:r>
      <w:r w:rsidR="00F63142" w:rsidRPr="000249AD">
        <w:tab/>
      </w:r>
      <w:r w:rsidR="00C30FAF" w:rsidRPr="000249AD">
        <w:t xml:space="preserve">The Directive prohibits the use of certain toxic substances in toys. </w:t>
      </w:r>
      <w:r w:rsidR="00F63142" w:rsidRPr="000249AD">
        <w:t>Safety standards are continually updated as the understanding of risks increases and new products are developed. Germany has played a leading role in strengthening toy regulations.</w:t>
      </w:r>
      <w:r w:rsidR="00F63142" w:rsidRPr="00176051">
        <w:rPr>
          <w:rStyle w:val="FootnoteReference"/>
        </w:rPr>
        <w:footnoteReference w:id="30"/>
      </w:r>
    </w:p>
    <w:p w14:paraId="770BFC8A" w14:textId="28BBAD5D" w:rsidR="00DA1065" w:rsidRPr="000249AD" w:rsidRDefault="00407250" w:rsidP="002970A7">
      <w:pPr>
        <w:pStyle w:val="SingleTxtG"/>
        <w:tabs>
          <w:tab w:val="left" w:pos="1701"/>
        </w:tabs>
      </w:pPr>
      <w:r w:rsidRPr="000249AD">
        <w:t>97</w:t>
      </w:r>
      <w:r w:rsidR="00F63142" w:rsidRPr="000249AD">
        <w:t>.</w:t>
      </w:r>
      <w:r w:rsidR="00F63142" w:rsidRPr="000249AD">
        <w:tab/>
        <w:t xml:space="preserve">Still, the Special Rapporteur is troubled to hear from civil society and authorities like the Federal Institute for Risk </w:t>
      </w:r>
      <w:r w:rsidR="00CD1DD3" w:rsidRPr="000249AD">
        <w:t>Assessment</w:t>
      </w:r>
      <w:r w:rsidR="00F63142" w:rsidRPr="000249AD">
        <w:t xml:space="preserve"> that various toys may still contain </w:t>
      </w:r>
      <w:r w:rsidR="00C30FAF" w:rsidRPr="000249AD">
        <w:t xml:space="preserve">toxic </w:t>
      </w:r>
      <w:r w:rsidR="00F63142" w:rsidRPr="000249AD">
        <w:t>substances that are hazardous to children’s health</w:t>
      </w:r>
      <w:r w:rsidR="002970A7" w:rsidRPr="000249AD">
        <w:t>,</w:t>
      </w:r>
      <w:r w:rsidR="00F63142" w:rsidRPr="000249AD">
        <w:t xml:space="preserve"> such as </w:t>
      </w:r>
      <w:r w:rsidR="00C30FAF" w:rsidRPr="000249AD">
        <w:t>carcinogens</w:t>
      </w:r>
      <w:r w:rsidR="00567DC2" w:rsidRPr="000249AD">
        <w:t xml:space="preserve">, because </w:t>
      </w:r>
      <w:r w:rsidR="002970A7" w:rsidRPr="000249AD">
        <w:t xml:space="preserve">of </w:t>
      </w:r>
      <w:r w:rsidR="00567DC2" w:rsidRPr="000249AD">
        <w:t xml:space="preserve">derogations </w:t>
      </w:r>
      <w:r w:rsidR="002970A7" w:rsidRPr="000249AD">
        <w:t xml:space="preserve">to </w:t>
      </w:r>
      <w:r w:rsidR="00567DC2" w:rsidRPr="000249AD">
        <w:t>the b</w:t>
      </w:r>
      <w:r w:rsidR="0000579A" w:rsidRPr="000249AD">
        <w:t xml:space="preserve">an </w:t>
      </w:r>
      <w:r w:rsidR="002970A7" w:rsidRPr="000249AD">
        <w:t xml:space="preserve">that </w:t>
      </w:r>
      <w:r w:rsidR="00EC24EC" w:rsidRPr="000249AD">
        <w:t xml:space="preserve">could </w:t>
      </w:r>
      <w:r w:rsidR="00AB31CC" w:rsidRPr="000249AD">
        <w:t>result in</w:t>
      </w:r>
      <w:r w:rsidR="00C8558C" w:rsidRPr="000249AD">
        <w:t xml:space="preserve"> exposure </w:t>
      </w:r>
      <w:r w:rsidR="00EC24EC" w:rsidRPr="000249AD">
        <w:t>and risk to children</w:t>
      </w:r>
      <w:r w:rsidR="00DA1065" w:rsidRPr="000249AD">
        <w:t>.</w:t>
      </w:r>
    </w:p>
    <w:p w14:paraId="6B4D448A" w14:textId="6E3AA478" w:rsidR="00F63142" w:rsidRPr="000249AD" w:rsidRDefault="00407250" w:rsidP="002970A7">
      <w:pPr>
        <w:pStyle w:val="SingleTxtG"/>
        <w:tabs>
          <w:tab w:val="left" w:pos="1701"/>
        </w:tabs>
      </w:pPr>
      <w:r w:rsidRPr="000249AD">
        <w:lastRenderedPageBreak/>
        <w:t>98</w:t>
      </w:r>
      <w:r w:rsidR="00F63142" w:rsidRPr="000249AD">
        <w:t>.</w:t>
      </w:r>
      <w:r w:rsidR="00F63142" w:rsidRPr="000249AD">
        <w:tab/>
        <w:t xml:space="preserve">The Special Rapporteur sees </w:t>
      </w:r>
      <w:r w:rsidR="007E3849" w:rsidRPr="000249AD">
        <w:t xml:space="preserve">six </w:t>
      </w:r>
      <w:r w:rsidR="00F63142" w:rsidRPr="000249AD">
        <w:t xml:space="preserve">remaining challenges with </w:t>
      </w:r>
      <w:r w:rsidR="002970A7" w:rsidRPr="000249AD">
        <w:t xml:space="preserve">respect to </w:t>
      </w:r>
      <w:r w:rsidR="00F63142" w:rsidRPr="000249AD">
        <w:t>law</w:t>
      </w:r>
      <w:r w:rsidR="002970A7" w:rsidRPr="000249AD">
        <w:t>s</w:t>
      </w:r>
      <w:r w:rsidR="00F63142" w:rsidRPr="000249AD">
        <w:t xml:space="preserve"> and practice</w:t>
      </w:r>
      <w:r w:rsidR="002970A7" w:rsidRPr="000249AD">
        <w:t>s</w:t>
      </w:r>
      <w:r w:rsidR="00F63142" w:rsidRPr="000249AD">
        <w:t xml:space="preserve"> concerning hazardous substances in toys:</w:t>
      </w:r>
      <w:r w:rsidR="00522794" w:rsidRPr="000249AD">
        <w:t xml:space="preserve"> (</w:t>
      </w:r>
      <w:r w:rsidR="002970A7" w:rsidRPr="000249AD">
        <w:t>a</w:t>
      </w:r>
      <w:r w:rsidR="00522794" w:rsidRPr="000249AD">
        <w:t xml:space="preserve">) </w:t>
      </w:r>
      <w:r w:rsidR="002970A7" w:rsidRPr="000249AD">
        <w:t>t</w:t>
      </w:r>
      <w:r w:rsidR="00522794" w:rsidRPr="000249AD">
        <w:t xml:space="preserve">he new </w:t>
      </w:r>
      <w:r w:rsidR="002970A7" w:rsidRPr="000249AD">
        <w:t>R</w:t>
      </w:r>
      <w:r w:rsidR="00522794" w:rsidRPr="000249AD">
        <w:t xml:space="preserve">egulation allows for higher amounts of carcinogenic, mutagenic and/or </w:t>
      </w:r>
      <w:proofErr w:type="spellStart"/>
      <w:r w:rsidR="00522794" w:rsidRPr="000249AD">
        <w:t>reprotoxic</w:t>
      </w:r>
      <w:proofErr w:type="spellEnd"/>
      <w:r w:rsidR="00522794" w:rsidRPr="000249AD">
        <w:t xml:space="preserve"> substances; (</w:t>
      </w:r>
      <w:r w:rsidR="002970A7" w:rsidRPr="000249AD">
        <w:t>b</w:t>
      </w:r>
      <w:r w:rsidR="00522794" w:rsidRPr="000249AD">
        <w:t xml:space="preserve">) </w:t>
      </w:r>
      <w:r w:rsidR="002970A7" w:rsidRPr="000249AD">
        <w:t>the m</w:t>
      </w:r>
      <w:r w:rsidR="00522794" w:rsidRPr="000249AD">
        <w:t>aximum limits for heavy metals</w:t>
      </w:r>
      <w:r w:rsidR="002970A7" w:rsidRPr="000249AD">
        <w:t>,</w:t>
      </w:r>
      <w:r w:rsidR="00522794" w:rsidRPr="000249AD">
        <w:t xml:space="preserve"> such as antimony, arsenic, barium, lead and mercury are higher than before the </w:t>
      </w:r>
      <w:r w:rsidR="00E43D0E" w:rsidRPr="000249AD">
        <w:t>Directive</w:t>
      </w:r>
      <w:r w:rsidR="00522794" w:rsidRPr="000249AD">
        <w:t>;</w:t>
      </w:r>
      <w:r w:rsidR="00522794" w:rsidRPr="00176051">
        <w:rPr>
          <w:rStyle w:val="FootnoteReference"/>
        </w:rPr>
        <w:footnoteReference w:id="31"/>
      </w:r>
      <w:r w:rsidR="00522794" w:rsidRPr="000249AD">
        <w:t xml:space="preserve"> (</w:t>
      </w:r>
      <w:r w:rsidR="002970A7" w:rsidRPr="000249AD">
        <w:t>c</w:t>
      </w:r>
      <w:r w:rsidR="00522794" w:rsidRPr="000249AD">
        <w:t xml:space="preserve">) </w:t>
      </w:r>
      <w:r w:rsidR="002970A7" w:rsidRPr="000249AD">
        <w:t>n</w:t>
      </w:r>
      <w:r w:rsidR="00522794" w:rsidRPr="000249AD">
        <w:t xml:space="preserve">ickel and fragrances, which are </w:t>
      </w:r>
      <w:r w:rsidR="002970A7" w:rsidRPr="000249AD">
        <w:t xml:space="preserve">the </w:t>
      </w:r>
      <w:r w:rsidR="00522794" w:rsidRPr="000249AD">
        <w:t xml:space="preserve">main causes of allergies, are still </w:t>
      </w:r>
      <w:r w:rsidR="002A3C63" w:rsidRPr="000249AD">
        <w:t>allowed and present</w:t>
      </w:r>
      <w:r w:rsidR="00522794" w:rsidRPr="000249AD">
        <w:t>; (</w:t>
      </w:r>
      <w:r w:rsidR="002970A7" w:rsidRPr="000249AD">
        <w:t>d</w:t>
      </w:r>
      <w:r w:rsidR="00522794" w:rsidRPr="000249AD">
        <w:t xml:space="preserve">) </w:t>
      </w:r>
      <w:r w:rsidR="002970A7" w:rsidRPr="000249AD">
        <w:t>p</w:t>
      </w:r>
      <w:r w:rsidR="00E43D0E" w:rsidRPr="000249AD">
        <w:t>ersistent</w:t>
      </w:r>
      <w:r w:rsidR="00522794" w:rsidRPr="000249AD">
        <w:t xml:space="preserve">, </w:t>
      </w:r>
      <w:proofErr w:type="spellStart"/>
      <w:r w:rsidR="00522794" w:rsidRPr="000249AD">
        <w:t>bioaccumulative</w:t>
      </w:r>
      <w:proofErr w:type="spellEnd"/>
      <w:r w:rsidR="00522794" w:rsidRPr="000249AD">
        <w:t xml:space="preserve"> and toxic substances, as well as very persistent and very </w:t>
      </w:r>
      <w:proofErr w:type="spellStart"/>
      <w:r w:rsidR="00522794" w:rsidRPr="000249AD">
        <w:t>bio</w:t>
      </w:r>
      <w:r w:rsidR="002A3C63" w:rsidRPr="000249AD">
        <w:t>a</w:t>
      </w:r>
      <w:r w:rsidR="00522794" w:rsidRPr="000249AD">
        <w:t>ccumulative</w:t>
      </w:r>
      <w:proofErr w:type="spellEnd"/>
      <w:r w:rsidR="00522794" w:rsidRPr="000249AD">
        <w:t xml:space="preserve"> substances</w:t>
      </w:r>
      <w:r w:rsidR="002970A7" w:rsidRPr="000249AD">
        <w:t>,</w:t>
      </w:r>
      <w:r w:rsidR="00522794" w:rsidRPr="000249AD">
        <w:t xml:space="preserve"> are barely considered in the Directive, and their substitution depends on the </w:t>
      </w:r>
      <w:r w:rsidR="002A3C63" w:rsidRPr="000249AD">
        <w:t xml:space="preserve">relatively slow </w:t>
      </w:r>
      <w:r w:rsidR="00522794" w:rsidRPr="000249AD">
        <w:t xml:space="preserve">implementation </w:t>
      </w:r>
      <w:r w:rsidR="002970A7" w:rsidRPr="000249AD">
        <w:t xml:space="preserve">of </w:t>
      </w:r>
      <w:r w:rsidR="00522794" w:rsidRPr="000249AD">
        <w:t>REACH; (</w:t>
      </w:r>
      <w:r w:rsidR="002970A7" w:rsidRPr="000249AD">
        <w:t>e</w:t>
      </w:r>
      <w:r w:rsidR="00522794" w:rsidRPr="000249AD">
        <w:t>)</w:t>
      </w:r>
      <w:r w:rsidR="002A3C63" w:rsidRPr="000249AD">
        <w:t xml:space="preserve"> </w:t>
      </w:r>
      <w:proofErr w:type="spellStart"/>
      <w:r w:rsidR="002970A7" w:rsidRPr="000249AD">
        <w:t>n</w:t>
      </w:r>
      <w:r w:rsidR="002A3C63" w:rsidRPr="000249AD">
        <w:t>anomaterials</w:t>
      </w:r>
      <w:proofErr w:type="spellEnd"/>
      <w:r w:rsidR="002A3C63" w:rsidRPr="000249AD">
        <w:t>, which have unique properties and many unknown risks for children, are not covered under the Directive; and (</w:t>
      </w:r>
      <w:r w:rsidR="002970A7" w:rsidRPr="000249AD">
        <w:t>f</w:t>
      </w:r>
      <w:r w:rsidR="002A3C63" w:rsidRPr="000249AD">
        <w:t xml:space="preserve">) </w:t>
      </w:r>
      <w:r w:rsidR="002970A7" w:rsidRPr="000249AD">
        <w:t>b</w:t>
      </w:r>
      <w:r w:rsidR="002A3C63" w:rsidRPr="000249AD">
        <w:t>y allowing manufacturers to self-certify the “CE” mark on toy products</w:t>
      </w:r>
      <w:r w:rsidR="00E43D0E" w:rsidRPr="000249AD">
        <w:t>,</w:t>
      </w:r>
      <w:r w:rsidR="002A3C63" w:rsidRPr="000249AD">
        <w:t xml:space="preserve"> consumers may be misled and believe </w:t>
      </w:r>
      <w:r w:rsidR="00E43D0E" w:rsidRPr="000249AD">
        <w:t>“</w:t>
      </w:r>
      <w:r w:rsidR="002A3C63" w:rsidRPr="000249AD">
        <w:t>CE</w:t>
      </w:r>
      <w:r w:rsidR="00E43D0E" w:rsidRPr="000249AD">
        <w:t>”</w:t>
      </w:r>
      <w:r w:rsidR="002A3C63" w:rsidRPr="000249AD">
        <w:t>-labelled toys are controlled by an independent test.</w:t>
      </w:r>
    </w:p>
    <w:p w14:paraId="5D1ECBBA" w14:textId="77777777" w:rsidR="00F63142" w:rsidRPr="000249AD" w:rsidRDefault="00F63142" w:rsidP="00F63142">
      <w:pPr>
        <w:pStyle w:val="H1G"/>
      </w:pPr>
      <w:r w:rsidRPr="000249AD">
        <w:tab/>
        <w:t>B.</w:t>
      </w:r>
      <w:r w:rsidRPr="000249AD">
        <w:tab/>
        <w:t>Risk assessment processes</w:t>
      </w:r>
    </w:p>
    <w:p w14:paraId="017A77D0" w14:textId="5AC490E2" w:rsidR="00F63142" w:rsidRPr="000249AD" w:rsidRDefault="00F63142" w:rsidP="002970A7">
      <w:pPr>
        <w:pStyle w:val="H23G"/>
      </w:pPr>
      <w:r w:rsidRPr="000249AD">
        <w:rPr>
          <w:i/>
        </w:rPr>
        <w:tab/>
      </w:r>
      <w:r w:rsidRPr="000249AD">
        <w:rPr>
          <w:i/>
        </w:rPr>
        <w:tab/>
      </w:r>
      <w:r w:rsidRPr="000249AD">
        <w:t xml:space="preserve">Chemical </w:t>
      </w:r>
      <w:r w:rsidR="002970A7" w:rsidRPr="000249AD">
        <w:t>m</w:t>
      </w:r>
      <w:r w:rsidRPr="000249AD">
        <w:t>ixtures</w:t>
      </w:r>
    </w:p>
    <w:p w14:paraId="525326DA" w14:textId="7FAB8347" w:rsidR="00F63142" w:rsidRPr="000249AD" w:rsidRDefault="005A41D3" w:rsidP="00AE7004">
      <w:pPr>
        <w:pStyle w:val="SingleTxtG"/>
        <w:tabs>
          <w:tab w:val="left" w:pos="1701"/>
        </w:tabs>
      </w:pPr>
      <w:r w:rsidRPr="000249AD">
        <w:t>99</w:t>
      </w:r>
      <w:r w:rsidR="00F63142" w:rsidRPr="000249AD">
        <w:t>.</w:t>
      </w:r>
      <w:r w:rsidR="00F63142" w:rsidRPr="000249AD">
        <w:tab/>
        <w:t xml:space="preserve">It is well known that human exposure to combinations of different chemical substances can result in serious adverse effects not expected from exposure to the substances individually. Children and adults have hundreds of different chemicals in their bodies. </w:t>
      </w:r>
      <w:r w:rsidR="00810A85" w:rsidRPr="000249AD">
        <w:t xml:space="preserve">Yet </w:t>
      </w:r>
      <w:r w:rsidR="00F63142" w:rsidRPr="000249AD">
        <w:t>risk assessments are almost always conducted on a substance-by-substance basis. The assessment of the risk to health from the hundreds of toxic chemicals children and adults are exposed to simultaneously including before birth</w:t>
      </w:r>
      <w:r w:rsidR="00810A85" w:rsidRPr="000249AD">
        <w:t xml:space="preserve"> </w:t>
      </w:r>
      <w:r w:rsidR="00F2055A" w:rsidRPr="000249AD">
        <w:t xml:space="preserve">— </w:t>
      </w:r>
      <w:r w:rsidR="00810A85" w:rsidRPr="000249AD">
        <w:t xml:space="preserve">the </w:t>
      </w:r>
      <w:r w:rsidR="006A18E7">
        <w:t>“</w:t>
      </w:r>
      <w:r w:rsidR="00810A85" w:rsidRPr="000249AD">
        <w:t>combination effects</w:t>
      </w:r>
      <w:r w:rsidR="006A18E7">
        <w:t>”</w:t>
      </w:r>
      <w:r w:rsidR="00810A85" w:rsidRPr="000249AD">
        <w:t xml:space="preserve"> of exposure </w:t>
      </w:r>
      <w:r w:rsidR="00F2055A" w:rsidRPr="000249AD">
        <w:t>—</w:t>
      </w:r>
      <w:r w:rsidR="00810A85" w:rsidRPr="000249AD">
        <w:t xml:space="preserve"> </w:t>
      </w:r>
      <w:r w:rsidR="00F63142" w:rsidRPr="000249AD">
        <w:t>presents challenges as risk assessments</w:t>
      </w:r>
      <w:r w:rsidR="00810A85" w:rsidRPr="000249AD">
        <w:t xml:space="preserve">, </w:t>
      </w:r>
      <w:r w:rsidR="00F63142" w:rsidRPr="000249AD">
        <w:t>which typically test exposure to single chemicals at a time</w:t>
      </w:r>
      <w:r w:rsidR="00F2055A" w:rsidRPr="000249AD">
        <w:t>,</w:t>
      </w:r>
      <w:r w:rsidR="00810A85" w:rsidRPr="000249AD">
        <w:t xml:space="preserve"> </w:t>
      </w:r>
      <w:r w:rsidR="00F63142" w:rsidRPr="000249AD">
        <w:t>are not adequate to monitor such exposure.</w:t>
      </w:r>
    </w:p>
    <w:p w14:paraId="5B064D31" w14:textId="36DC9E81" w:rsidR="00F63142" w:rsidRPr="000249AD" w:rsidRDefault="00F63142" w:rsidP="00AE7004">
      <w:pPr>
        <w:pStyle w:val="SingleTxtG"/>
        <w:tabs>
          <w:tab w:val="left" w:pos="1701"/>
        </w:tabs>
      </w:pPr>
      <w:r w:rsidRPr="000249AD">
        <w:t>10</w:t>
      </w:r>
      <w:r w:rsidR="005A41D3" w:rsidRPr="000249AD">
        <w:t>0</w:t>
      </w:r>
      <w:r w:rsidRPr="000249AD">
        <w:t>.</w:t>
      </w:r>
      <w:r w:rsidRPr="000249AD">
        <w:tab/>
        <w:t xml:space="preserve">Noting that the </w:t>
      </w:r>
      <w:r w:rsidR="00596BBC" w:rsidRPr="000249AD">
        <w:t xml:space="preserve">European </w:t>
      </w:r>
      <w:r w:rsidRPr="000249AD">
        <w:t xml:space="preserve">Commission has </w:t>
      </w:r>
      <w:r w:rsidR="00F2055A" w:rsidRPr="000249AD">
        <w:t xml:space="preserve">indicated </w:t>
      </w:r>
      <w:r w:rsidRPr="000249AD">
        <w:t xml:space="preserve">that </w:t>
      </w:r>
      <w:r w:rsidR="006A18E7">
        <w:t>“</w:t>
      </w:r>
      <w:r w:rsidRPr="000249AD">
        <w:t>combination effects</w:t>
      </w:r>
      <w:r w:rsidR="006A18E7">
        <w:t>”</w:t>
      </w:r>
      <w:r w:rsidRPr="000249AD">
        <w:t xml:space="preserve"> will be one of their key areas of concern over the next five years, the Special Rapporteur raised this issue with the </w:t>
      </w:r>
      <w:r w:rsidR="00CD1DD3" w:rsidRPr="000249AD">
        <w:t xml:space="preserve">Federal Institute for Risk Assessment </w:t>
      </w:r>
      <w:r w:rsidRPr="000249AD">
        <w:t>as to how they might assess combination effects, particularly when it comes to children.</w:t>
      </w:r>
      <w:r w:rsidR="00851595" w:rsidRPr="000249AD">
        <w:t xml:space="preserve"> The</w:t>
      </w:r>
      <w:r w:rsidRPr="000249AD">
        <w:t xml:space="preserve"> </w:t>
      </w:r>
      <w:r w:rsidR="00CD1DD3" w:rsidRPr="000249AD">
        <w:t>Institute</w:t>
      </w:r>
      <w:r w:rsidRPr="000249AD">
        <w:t xml:space="preserve"> agreed that </w:t>
      </w:r>
      <w:r w:rsidR="00F2055A" w:rsidRPr="000249AD">
        <w:t xml:space="preserve">it </w:t>
      </w:r>
      <w:r w:rsidRPr="000249AD">
        <w:t xml:space="preserve">is a pressing issue for human toxicology </w:t>
      </w:r>
      <w:r w:rsidR="00BA74FF" w:rsidRPr="000249AD">
        <w:t xml:space="preserve">and is currently </w:t>
      </w:r>
      <w:r w:rsidR="00C7485B" w:rsidRPr="000249AD">
        <w:t>undertaking</w:t>
      </w:r>
      <w:r w:rsidR="00BA74FF" w:rsidRPr="000249AD">
        <w:t xml:space="preserve"> research activities </w:t>
      </w:r>
      <w:r w:rsidRPr="000249AD">
        <w:t>to test combination effects</w:t>
      </w:r>
      <w:r w:rsidR="00BA74FF" w:rsidRPr="000249AD">
        <w:t xml:space="preserve">, which </w:t>
      </w:r>
      <w:r w:rsidR="00F2055A" w:rsidRPr="000249AD">
        <w:t xml:space="preserve">presents </w:t>
      </w:r>
      <w:r w:rsidRPr="000249AD">
        <w:t>many challenges.</w:t>
      </w:r>
      <w:r w:rsidR="00851595" w:rsidRPr="000249AD">
        <w:t xml:space="preserve"> The</w:t>
      </w:r>
      <w:r w:rsidRPr="000249AD">
        <w:t xml:space="preserve"> </w:t>
      </w:r>
      <w:r w:rsidR="00CD1DD3" w:rsidRPr="000249AD">
        <w:t>Institute</w:t>
      </w:r>
      <w:r w:rsidRPr="000249AD">
        <w:t xml:space="preserve"> indicated </w:t>
      </w:r>
      <w:r w:rsidR="00F2055A" w:rsidRPr="000249AD">
        <w:t xml:space="preserve">that </w:t>
      </w:r>
      <w:r w:rsidRPr="000249AD">
        <w:t xml:space="preserve">efforts are </w:t>
      </w:r>
      <w:proofErr w:type="spellStart"/>
      <w:r w:rsidR="00851595" w:rsidRPr="000249AD">
        <w:t>ongoing</w:t>
      </w:r>
      <w:proofErr w:type="spellEnd"/>
      <w:r w:rsidRPr="000249AD">
        <w:t xml:space="preserve"> </w:t>
      </w:r>
      <w:r w:rsidR="00BA74FF" w:rsidRPr="000249AD">
        <w:t>(e.g.</w:t>
      </w:r>
      <w:r w:rsidR="00F2055A" w:rsidRPr="000249AD">
        <w:t>,</w:t>
      </w:r>
      <w:r w:rsidR="00BA74FF" w:rsidRPr="000249AD">
        <w:t xml:space="preserve"> on multiple residues, mixtures of </w:t>
      </w:r>
      <w:proofErr w:type="spellStart"/>
      <w:r w:rsidR="00BA74FF" w:rsidRPr="000249AD">
        <w:t>pesticidal</w:t>
      </w:r>
      <w:proofErr w:type="spellEnd"/>
      <w:r w:rsidR="00BA74FF" w:rsidRPr="000249AD">
        <w:t xml:space="preserve"> active substances and </w:t>
      </w:r>
      <w:proofErr w:type="spellStart"/>
      <w:r w:rsidR="00BA74FF" w:rsidRPr="000249AD">
        <w:t>coformulants</w:t>
      </w:r>
      <w:proofErr w:type="spellEnd"/>
      <w:r w:rsidR="00BA74FF" w:rsidRPr="000249AD">
        <w:t xml:space="preserve"> or developing new testing strategies for testing mixtures)</w:t>
      </w:r>
      <w:r w:rsidRPr="000249AD">
        <w:t xml:space="preserve">. </w:t>
      </w:r>
    </w:p>
    <w:p w14:paraId="1BCC277F" w14:textId="48B9820C" w:rsidR="00F63142" w:rsidRPr="000249AD" w:rsidRDefault="00F63142" w:rsidP="00474CF4">
      <w:pPr>
        <w:pStyle w:val="H23G"/>
      </w:pPr>
      <w:r w:rsidRPr="000249AD">
        <w:rPr>
          <w:i/>
        </w:rPr>
        <w:tab/>
      </w:r>
      <w:r w:rsidRPr="000249AD">
        <w:rPr>
          <w:i/>
        </w:rPr>
        <w:tab/>
      </w:r>
      <w:r w:rsidRPr="000249AD">
        <w:t>Endocrine disrupting chemicals</w:t>
      </w:r>
    </w:p>
    <w:p w14:paraId="6DDFA4F4" w14:textId="234CFF6C" w:rsidR="00DA1065" w:rsidRPr="000249AD" w:rsidRDefault="00F63142" w:rsidP="00F2055A">
      <w:pPr>
        <w:pStyle w:val="SingleTxtG"/>
        <w:tabs>
          <w:tab w:val="left" w:pos="1701"/>
        </w:tabs>
      </w:pPr>
      <w:r w:rsidRPr="000249AD">
        <w:rPr>
          <w:rFonts w:eastAsia="Times New Roman"/>
          <w:lang w:eastAsia="en-GB"/>
        </w:rPr>
        <w:t>10</w:t>
      </w:r>
      <w:r w:rsidR="005A41D3" w:rsidRPr="000249AD">
        <w:rPr>
          <w:rFonts w:eastAsia="Times New Roman"/>
          <w:lang w:eastAsia="en-GB"/>
        </w:rPr>
        <w:t>1</w:t>
      </w:r>
      <w:r w:rsidRPr="000249AD">
        <w:rPr>
          <w:rFonts w:eastAsia="Times New Roman"/>
          <w:lang w:eastAsia="en-GB"/>
        </w:rPr>
        <w:t>.</w:t>
      </w:r>
      <w:r w:rsidRPr="000249AD">
        <w:rPr>
          <w:rFonts w:eastAsia="Times New Roman"/>
          <w:lang w:eastAsia="en-GB"/>
        </w:rPr>
        <w:tab/>
      </w:r>
      <w:r w:rsidRPr="000249AD" w:rsidDel="00E32EB5">
        <w:rPr>
          <w:rFonts w:eastAsia="Times New Roman"/>
          <w:lang w:eastAsia="en-GB"/>
        </w:rPr>
        <w:t xml:space="preserve">Human health depends on a well-functioning endocrine system to regulate the release of certain hormones that are essential for functions such as metabolism, immunity, growth and development, reproduction, sleep and mood. </w:t>
      </w:r>
      <w:r w:rsidRPr="000249AD" w:rsidDel="00E32EB5">
        <w:t>Endocrine disruptors alter the functions of the hormone system and consequently cause ad</w:t>
      </w:r>
      <w:r w:rsidRPr="000249AD">
        <w:t>verse effects in human health.</w:t>
      </w:r>
    </w:p>
    <w:p w14:paraId="4BF226E2" w14:textId="0FBECF45" w:rsidR="00DA1065" w:rsidRPr="000249AD" w:rsidRDefault="00F63142" w:rsidP="00474CF4">
      <w:pPr>
        <w:pStyle w:val="SingleTxtG"/>
        <w:tabs>
          <w:tab w:val="left" w:pos="1701"/>
        </w:tabs>
      </w:pPr>
      <w:r w:rsidRPr="000249AD">
        <w:t>1</w:t>
      </w:r>
      <w:r w:rsidR="005A41D3" w:rsidRPr="000249AD">
        <w:t>02</w:t>
      </w:r>
      <w:r w:rsidRPr="000249AD">
        <w:t>.</w:t>
      </w:r>
      <w:r w:rsidRPr="000249AD">
        <w:tab/>
        <w:t xml:space="preserve">Over 800 substances are known or suspected to interfere with the normal functioning of hormone systems. However, the vast majority of chemicals in current commercial use have not been tested at all. According </w:t>
      </w:r>
      <w:r w:rsidR="004A5049" w:rsidRPr="000249AD">
        <w:t xml:space="preserve">to </w:t>
      </w:r>
      <w:r w:rsidRPr="000249AD">
        <w:t>UNEP</w:t>
      </w:r>
      <w:r w:rsidR="00CD1DD3" w:rsidRPr="000249AD">
        <w:t xml:space="preserve"> and </w:t>
      </w:r>
      <w:r w:rsidRPr="000249AD">
        <w:t>WHO</w:t>
      </w:r>
      <w:r w:rsidR="004A5049" w:rsidRPr="000249AD">
        <w:t xml:space="preserve"> in their joint 2012 report</w:t>
      </w:r>
      <w:r w:rsidRPr="000249AD">
        <w:t>, “this lack of data introduces significant uncertainties about the true extent of risks from chemicals that potentially could disrupt the endocrine system.”</w:t>
      </w:r>
      <w:r w:rsidRPr="00176051">
        <w:rPr>
          <w:rStyle w:val="FootnoteReference"/>
        </w:rPr>
        <w:footnoteReference w:id="32"/>
      </w:r>
    </w:p>
    <w:p w14:paraId="192C61E4" w14:textId="72EF3B01" w:rsidR="00DA1065" w:rsidRPr="000249AD" w:rsidRDefault="00F63142" w:rsidP="002C6B57">
      <w:pPr>
        <w:pStyle w:val="SingleTxtG"/>
        <w:tabs>
          <w:tab w:val="left" w:pos="1701"/>
        </w:tabs>
      </w:pPr>
      <w:r w:rsidRPr="000249AD">
        <w:t>1</w:t>
      </w:r>
      <w:r w:rsidR="005A41D3" w:rsidRPr="000249AD">
        <w:t>03</w:t>
      </w:r>
      <w:r w:rsidRPr="000249AD">
        <w:t>.</w:t>
      </w:r>
      <w:r w:rsidRPr="000249AD">
        <w:tab/>
        <w:t xml:space="preserve">There is growing concern in the </w:t>
      </w:r>
      <w:r w:rsidR="00596BBC" w:rsidRPr="000249AD">
        <w:t>European Union</w:t>
      </w:r>
      <w:r w:rsidRPr="000249AD">
        <w:t xml:space="preserve"> and worldwide about </w:t>
      </w:r>
      <w:r w:rsidR="002C6B57" w:rsidRPr="000249AD">
        <w:t xml:space="preserve">the </w:t>
      </w:r>
      <w:r w:rsidRPr="000249AD">
        <w:t xml:space="preserve">negative human health and environmental impacts possibly caused by endocrine disrupting chemicals. </w:t>
      </w:r>
      <w:r w:rsidR="002C6B57" w:rsidRPr="000249AD">
        <w:t xml:space="preserve">In 1999, the </w:t>
      </w:r>
      <w:r w:rsidRPr="000249AD" w:rsidDel="00E32EB5">
        <w:t>E</w:t>
      </w:r>
      <w:r w:rsidR="002C6B57" w:rsidRPr="000249AD">
        <w:t xml:space="preserve">uropean </w:t>
      </w:r>
      <w:r w:rsidRPr="000249AD" w:rsidDel="00E32EB5">
        <w:t>C</w:t>
      </w:r>
      <w:r w:rsidR="002C6B57" w:rsidRPr="000249AD">
        <w:t>ommission</w:t>
      </w:r>
      <w:r w:rsidRPr="000249AD" w:rsidDel="00E32EB5">
        <w:t xml:space="preserve"> </w:t>
      </w:r>
      <w:r w:rsidR="0098225C" w:rsidRPr="000249AD">
        <w:t>developed</w:t>
      </w:r>
      <w:r w:rsidRPr="000249AD" w:rsidDel="00E32EB5">
        <w:t xml:space="preserve"> a “Strategy for endocrine </w:t>
      </w:r>
      <w:r w:rsidRPr="000249AD" w:rsidDel="00E32EB5">
        <w:lastRenderedPageBreak/>
        <w:t>disruptors”</w:t>
      </w:r>
      <w:r w:rsidR="002C6B57" w:rsidRPr="000249AD">
        <w:t>.</w:t>
      </w:r>
      <w:r w:rsidRPr="00176051">
        <w:rPr>
          <w:rStyle w:val="FootnoteReference"/>
        </w:rPr>
        <w:footnoteReference w:id="33"/>
      </w:r>
      <w:r w:rsidRPr="000249AD">
        <w:t xml:space="preserve"> The </w:t>
      </w:r>
      <w:r w:rsidR="00596BBC" w:rsidRPr="000249AD">
        <w:t>European Union</w:t>
      </w:r>
      <w:r w:rsidRPr="000249AD">
        <w:t xml:space="preserve"> has introduced specific legislative obligations aimed at phasing out endocrine disruptors in water, industrial chemicals</w:t>
      </w:r>
      <w:r w:rsidR="005A41D3" w:rsidRPr="000249AD">
        <w:t xml:space="preserve"> </w:t>
      </w:r>
      <w:r w:rsidR="004A0E37" w:rsidRPr="000249AD">
        <w:t xml:space="preserve">and </w:t>
      </w:r>
      <w:r w:rsidRPr="000249AD">
        <w:t xml:space="preserve">pesticides. In REACH, endocrine disrupting chemicals </w:t>
      </w:r>
      <w:r w:rsidR="007A3FE7" w:rsidRPr="000249AD">
        <w:t xml:space="preserve">may be </w:t>
      </w:r>
      <w:r w:rsidRPr="000249AD">
        <w:t xml:space="preserve">considered of similar regulatory concern as </w:t>
      </w:r>
      <w:r w:rsidR="002970A7" w:rsidRPr="000249AD">
        <w:t xml:space="preserve">substances that are </w:t>
      </w:r>
      <w:r w:rsidR="002C6B57" w:rsidRPr="000249AD">
        <w:t xml:space="preserve">(a) </w:t>
      </w:r>
      <w:r w:rsidR="002970A7" w:rsidRPr="000249AD">
        <w:t xml:space="preserve">carcinogenic, mutagenic and/or </w:t>
      </w:r>
      <w:proofErr w:type="spellStart"/>
      <w:r w:rsidR="002970A7" w:rsidRPr="000249AD">
        <w:t>reprotoxic</w:t>
      </w:r>
      <w:proofErr w:type="spellEnd"/>
      <w:r w:rsidR="002970A7" w:rsidRPr="000249AD">
        <w:t>,</w:t>
      </w:r>
      <w:r w:rsidR="001D63D7" w:rsidRPr="000249AD">
        <w:t xml:space="preserve"> </w:t>
      </w:r>
      <w:r w:rsidR="002C6B57" w:rsidRPr="000249AD">
        <w:t xml:space="preserve">(b) </w:t>
      </w:r>
      <w:r w:rsidR="002970A7" w:rsidRPr="000249AD">
        <w:t xml:space="preserve">persistent, </w:t>
      </w:r>
      <w:proofErr w:type="spellStart"/>
      <w:r w:rsidR="002970A7" w:rsidRPr="000249AD">
        <w:t>bioaccumulative</w:t>
      </w:r>
      <w:proofErr w:type="spellEnd"/>
      <w:r w:rsidR="002970A7" w:rsidRPr="000249AD">
        <w:t xml:space="preserve"> and toxic,</w:t>
      </w:r>
      <w:r w:rsidR="001D63D7" w:rsidRPr="000249AD">
        <w:t xml:space="preserve"> or </w:t>
      </w:r>
      <w:r w:rsidR="002C6B57" w:rsidRPr="000249AD">
        <w:t xml:space="preserve">(c) </w:t>
      </w:r>
      <w:r w:rsidR="002970A7" w:rsidRPr="000249AD">
        <w:t xml:space="preserve">very persistent and very </w:t>
      </w:r>
      <w:proofErr w:type="spellStart"/>
      <w:r w:rsidR="002970A7" w:rsidRPr="000249AD">
        <w:t>bioaccumulative</w:t>
      </w:r>
      <w:proofErr w:type="spellEnd"/>
      <w:r w:rsidR="002970A7" w:rsidRPr="000249AD">
        <w:t xml:space="preserve">, </w:t>
      </w:r>
      <w:r w:rsidR="001D63D7" w:rsidRPr="000249AD">
        <w:t>and thus are also regarded as</w:t>
      </w:r>
      <w:r w:rsidR="008E4B4B" w:rsidRPr="000249AD">
        <w:t xml:space="preserve"> </w:t>
      </w:r>
      <w:r w:rsidR="001D63D7" w:rsidRPr="000249AD">
        <w:t>“</w:t>
      </w:r>
      <w:r w:rsidR="002970A7" w:rsidRPr="000249AD">
        <w:t>s</w:t>
      </w:r>
      <w:r w:rsidR="0081408B" w:rsidRPr="000249AD">
        <w:t xml:space="preserve">ubstances of </w:t>
      </w:r>
      <w:r w:rsidR="002970A7" w:rsidRPr="000249AD">
        <w:t>v</w:t>
      </w:r>
      <w:r w:rsidR="0081408B" w:rsidRPr="000249AD">
        <w:t xml:space="preserve">ery </w:t>
      </w:r>
      <w:r w:rsidR="002970A7" w:rsidRPr="000249AD">
        <w:t>h</w:t>
      </w:r>
      <w:r w:rsidR="0081408B" w:rsidRPr="000249AD">
        <w:t xml:space="preserve">igh </w:t>
      </w:r>
      <w:r w:rsidR="002970A7" w:rsidRPr="000249AD">
        <w:t>c</w:t>
      </w:r>
      <w:r w:rsidR="0081408B" w:rsidRPr="000249AD">
        <w:t>oncern</w:t>
      </w:r>
      <w:r w:rsidR="001D63D7" w:rsidRPr="000249AD">
        <w:t>”</w:t>
      </w:r>
      <w:r w:rsidRPr="000249AD">
        <w:t xml:space="preserve"> (article 57</w:t>
      </w:r>
      <w:r w:rsidR="002970A7" w:rsidRPr="000249AD">
        <w:t> (</w:t>
      </w:r>
      <w:r w:rsidRPr="000249AD">
        <w:t>f</w:t>
      </w:r>
      <w:r w:rsidR="002970A7" w:rsidRPr="000249AD">
        <w:t>)</w:t>
      </w:r>
      <w:r w:rsidRPr="000249AD">
        <w:t xml:space="preserve">). </w:t>
      </w:r>
      <w:r w:rsidRPr="000249AD">
        <w:rPr>
          <w:rFonts w:eastAsia="Times New Roman"/>
          <w:lang w:eastAsia="en-GB"/>
        </w:rPr>
        <w:t>While some e</w:t>
      </w:r>
      <w:r w:rsidRPr="000249AD">
        <w:t xml:space="preserve">ndocrine disrupting chemicals </w:t>
      </w:r>
      <w:r w:rsidRPr="000249AD">
        <w:rPr>
          <w:rFonts w:eastAsia="Times New Roman"/>
          <w:lang w:eastAsia="en-GB"/>
        </w:rPr>
        <w:t xml:space="preserve">occur naturally, the chemical varieties are ubiquitous and can found in pesticides, electronics, personal care products and cosmetics. They can also be found as additives or contaminants in food. </w:t>
      </w:r>
      <w:r w:rsidR="004A5049" w:rsidRPr="000249AD">
        <w:rPr>
          <w:iCs/>
        </w:rPr>
        <w:t xml:space="preserve">Endocrine disrupting chemicals </w:t>
      </w:r>
      <w:r w:rsidRPr="000249AD">
        <w:t>are being constantly detected in huma</w:t>
      </w:r>
      <w:r w:rsidR="00DA1065" w:rsidRPr="000249AD">
        <w:t xml:space="preserve">ns through human </w:t>
      </w:r>
      <w:proofErr w:type="spellStart"/>
      <w:r w:rsidR="00DA1065" w:rsidRPr="000249AD">
        <w:t>biomonitoring</w:t>
      </w:r>
      <w:proofErr w:type="spellEnd"/>
      <w:r w:rsidR="00DA1065" w:rsidRPr="000249AD">
        <w:t>.</w:t>
      </w:r>
    </w:p>
    <w:p w14:paraId="0B1B9311" w14:textId="2D3EC7B6" w:rsidR="00DA1065" w:rsidRPr="000249AD" w:rsidRDefault="005A41D3" w:rsidP="002C6B57">
      <w:pPr>
        <w:pStyle w:val="SingleTxtG"/>
        <w:tabs>
          <w:tab w:val="left" w:pos="1701"/>
        </w:tabs>
        <w:rPr>
          <w:rFonts w:eastAsia="Times New Roman"/>
          <w:lang w:eastAsia="en-GB"/>
        </w:rPr>
      </w:pPr>
      <w:r w:rsidRPr="000249AD">
        <w:rPr>
          <w:rFonts w:eastAsia="Times New Roman"/>
          <w:lang w:eastAsia="en-GB"/>
        </w:rPr>
        <w:t>104</w:t>
      </w:r>
      <w:r w:rsidR="00F63142" w:rsidRPr="000249AD">
        <w:rPr>
          <w:rFonts w:eastAsia="Times New Roman"/>
          <w:lang w:eastAsia="en-GB"/>
        </w:rPr>
        <w:t>.</w:t>
      </w:r>
      <w:r w:rsidR="00F63142" w:rsidRPr="000249AD">
        <w:rPr>
          <w:rFonts w:eastAsia="Times New Roman"/>
          <w:lang w:eastAsia="en-GB"/>
        </w:rPr>
        <w:tab/>
        <w:t xml:space="preserve">The </w:t>
      </w:r>
      <w:r w:rsidR="00CD1DD3" w:rsidRPr="000249AD">
        <w:rPr>
          <w:rFonts w:eastAsia="Times New Roman"/>
          <w:lang w:eastAsia="en-GB"/>
        </w:rPr>
        <w:t>2012</w:t>
      </w:r>
      <w:r w:rsidR="002C6B57" w:rsidRPr="000249AD">
        <w:rPr>
          <w:rFonts w:eastAsia="Times New Roman"/>
          <w:lang w:eastAsia="en-GB"/>
        </w:rPr>
        <w:t xml:space="preserve"> study by </w:t>
      </w:r>
      <w:r w:rsidR="00F63142" w:rsidRPr="000249AD">
        <w:rPr>
          <w:rFonts w:eastAsia="Times New Roman"/>
          <w:lang w:eastAsia="en-GB"/>
        </w:rPr>
        <w:t>WHO</w:t>
      </w:r>
      <w:r w:rsidR="002C6B57" w:rsidRPr="000249AD">
        <w:rPr>
          <w:rFonts w:eastAsia="Times New Roman"/>
          <w:lang w:eastAsia="en-GB"/>
        </w:rPr>
        <w:t xml:space="preserve"> and </w:t>
      </w:r>
      <w:r w:rsidR="00F63142" w:rsidRPr="000249AD">
        <w:rPr>
          <w:rFonts w:eastAsia="Times New Roman"/>
          <w:lang w:eastAsia="en-GB"/>
        </w:rPr>
        <w:t xml:space="preserve">UNEP drew attention to health problems as a result of exposure to </w:t>
      </w:r>
      <w:r w:rsidR="004A5049" w:rsidRPr="000249AD">
        <w:rPr>
          <w:iCs/>
        </w:rPr>
        <w:t>endocrine disrupting chemicals</w:t>
      </w:r>
      <w:r w:rsidR="002C6B57" w:rsidRPr="000249AD">
        <w:rPr>
          <w:iCs/>
        </w:rPr>
        <w:t>,</w:t>
      </w:r>
      <w:r w:rsidR="00F63142" w:rsidRPr="000249AD">
        <w:rPr>
          <w:rFonts w:eastAsia="Times New Roman"/>
          <w:lang w:eastAsia="en-GB"/>
        </w:rPr>
        <w:t xml:space="preserve"> including the potential for such chemicals to contribute to the development of non-descended testes in young males, breast cancer in women, prostate cancer in men, developmental effects on the nervous system in children, attention deficit /hyperactivity in children and thyroid cancer.</w:t>
      </w:r>
      <w:r w:rsidR="00F63142" w:rsidRPr="00176051">
        <w:rPr>
          <w:rStyle w:val="FootnoteReference"/>
        </w:rPr>
        <w:footnoteReference w:id="34"/>
      </w:r>
    </w:p>
    <w:p w14:paraId="7B0C03A1" w14:textId="797D294B" w:rsidR="00DA1065" w:rsidRPr="000249AD" w:rsidRDefault="005A41D3" w:rsidP="002A5CA6">
      <w:pPr>
        <w:pStyle w:val="SingleTxtG"/>
        <w:tabs>
          <w:tab w:val="left" w:pos="1701"/>
        </w:tabs>
      </w:pPr>
      <w:r w:rsidRPr="000249AD">
        <w:t>105</w:t>
      </w:r>
      <w:r w:rsidR="00F63142" w:rsidRPr="000249AD">
        <w:t>.</w:t>
      </w:r>
      <w:r w:rsidR="00F63142" w:rsidRPr="000249AD">
        <w:tab/>
      </w:r>
      <w:r w:rsidR="002A5CA6" w:rsidRPr="000249AD">
        <w:t xml:space="preserve">A </w:t>
      </w:r>
      <w:r w:rsidR="002C6B57" w:rsidRPr="000249AD">
        <w:t xml:space="preserve">2012 </w:t>
      </w:r>
      <w:r w:rsidR="00F63142" w:rsidRPr="000249AD">
        <w:t>report</w:t>
      </w:r>
      <w:r w:rsidR="00F63142" w:rsidRPr="00176051">
        <w:rPr>
          <w:rStyle w:val="FootnoteReference"/>
        </w:rPr>
        <w:footnoteReference w:id="35"/>
      </w:r>
      <w:r w:rsidR="00F63142" w:rsidRPr="000249AD">
        <w:t xml:space="preserve"> points out that current testing and screening methods for endocrine disrupting chemicals, while useful, are inadequate for capturing the full range of </w:t>
      </w:r>
      <w:r w:rsidR="00AF3CEE" w:rsidRPr="000249AD">
        <w:t>adverse</w:t>
      </w:r>
      <w:r w:rsidR="00F63142" w:rsidRPr="000249AD">
        <w:t xml:space="preserve"> effects</w:t>
      </w:r>
      <w:r w:rsidR="00AF3CEE" w:rsidRPr="000249AD">
        <w:t xml:space="preserve"> linked to </w:t>
      </w:r>
      <w:r w:rsidR="004A5049" w:rsidRPr="000249AD">
        <w:rPr>
          <w:iCs/>
        </w:rPr>
        <w:t>endocrine disrupting chemicals</w:t>
      </w:r>
      <w:r w:rsidR="00F63142" w:rsidRPr="000249AD">
        <w:t>. Furthermore, testing during critical windows of development is currently not being done with the most sensitive methods now available. Consequently, adequate information about which chemicals can act as endocrine disruptors and when, is severely limited.</w:t>
      </w:r>
      <w:r w:rsidR="00F63142" w:rsidRPr="00176051">
        <w:rPr>
          <w:rStyle w:val="FootnoteReference"/>
        </w:rPr>
        <w:footnoteReference w:id="36"/>
      </w:r>
    </w:p>
    <w:p w14:paraId="4C501BDF" w14:textId="41AC2B13" w:rsidR="00DA1065" w:rsidRPr="000249AD" w:rsidRDefault="0055223F" w:rsidP="00583F98">
      <w:pPr>
        <w:pStyle w:val="SingleTxtG"/>
        <w:tabs>
          <w:tab w:val="left" w:pos="1701"/>
        </w:tabs>
      </w:pPr>
      <w:r w:rsidRPr="000249AD">
        <w:t>106</w:t>
      </w:r>
      <w:r w:rsidR="00F63142" w:rsidRPr="000249AD">
        <w:t>.</w:t>
      </w:r>
      <w:r w:rsidR="00F63142" w:rsidRPr="000249AD">
        <w:tab/>
        <w:t xml:space="preserve">The Special Rapporteur raised </w:t>
      </w:r>
      <w:r w:rsidR="00583F98" w:rsidRPr="000249AD">
        <w:t xml:space="preserve">that </w:t>
      </w:r>
      <w:r w:rsidR="00F63142" w:rsidRPr="000249AD">
        <w:t xml:space="preserve">issue with </w:t>
      </w:r>
      <w:r w:rsidR="00851595" w:rsidRPr="000249AD">
        <w:t xml:space="preserve">the </w:t>
      </w:r>
      <w:r w:rsidR="00CD1DD3" w:rsidRPr="000249AD">
        <w:t>Federal Institute for Risk Assessment</w:t>
      </w:r>
      <w:r w:rsidR="00583F98" w:rsidRPr="000249AD">
        <w:t>,</w:t>
      </w:r>
      <w:r w:rsidR="00F63142" w:rsidRPr="000249AD">
        <w:t xml:space="preserve"> </w:t>
      </w:r>
      <w:r w:rsidR="00583F98" w:rsidRPr="000249AD">
        <w:t xml:space="preserve">as well as the </w:t>
      </w:r>
      <w:r w:rsidR="00F63142" w:rsidRPr="000249AD">
        <w:t xml:space="preserve">need for increased attention. Germany and other </w:t>
      </w:r>
      <w:r w:rsidR="00596BBC" w:rsidRPr="000249AD">
        <w:t>m</w:t>
      </w:r>
      <w:r w:rsidR="00F63142" w:rsidRPr="000249AD">
        <w:t xml:space="preserve">ember States of the </w:t>
      </w:r>
      <w:r w:rsidR="00596BBC" w:rsidRPr="000249AD">
        <w:t>European Union</w:t>
      </w:r>
      <w:r w:rsidR="004D52EE" w:rsidRPr="000249AD">
        <w:t xml:space="preserve"> actively supported the development of criteria for </w:t>
      </w:r>
      <w:r w:rsidR="004A5049" w:rsidRPr="000249AD">
        <w:rPr>
          <w:iCs/>
        </w:rPr>
        <w:t>endocrine disrupting chemicals</w:t>
      </w:r>
      <w:r w:rsidR="004D52EE" w:rsidRPr="000249AD">
        <w:t xml:space="preserve">. The development of criteria to reduce exposure to </w:t>
      </w:r>
      <w:r w:rsidR="004A5049" w:rsidRPr="000249AD">
        <w:t xml:space="preserve">such </w:t>
      </w:r>
      <w:r w:rsidR="004A5049" w:rsidRPr="000249AD">
        <w:rPr>
          <w:iCs/>
        </w:rPr>
        <w:t>chemicals</w:t>
      </w:r>
      <w:r w:rsidR="004A5049" w:rsidRPr="000249AD">
        <w:t xml:space="preserve"> </w:t>
      </w:r>
      <w:r w:rsidR="004D52EE" w:rsidRPr="000249AD">
        <w:t>is important</w:t>
      </w:r>
      <w:r w:rsidR="00F63142" w:rsidRPr="000249AD">
        <w:t xml:space="preserve"> to protect the rights of </w:t>
      </w:r>
      <w:r w:rsidR="00583F98" w:rsidRPr="000249AD">
        <w:t xml:space="preserve">children </w:t>
      </w:r>
      <w:r w:rsidR="00F63142" w:rsidRPr="000249AD">
        <w:t>from toxic chemicals, particularly the right of children to the highest attainable standard of health.</w:t>
      </w:r>
      <w:r w:rsidR="004D52EE" w:rsidRPr="000249AD">
        <w:t xml:space="preserve"> The Special Rapporteur emphasizes the State’s duty to prevent childhood exposure to toxics.</w:t>
      </w:r>
      <w:r w:rsidR="004D52EE" w:rsidRPr="00176051">
        <w:rPr>
          <w:rStyle w:val="FootnoteReference"/>
        </w:rPr>
        <w:footnoteReference w:id="37"/>
      </w:r>
    </w:p>
    <w:p w14:paraId="091A68CC" w14:textId="4F2190B9" w:rsidR="00DA1065" w:rsidRPr="000249AD" w:rsidRDefault="0055223F" w:rsidP="00B87594">
      <w:pPr>
        <w:pStyle w:val="SingleTxtG"/>
        <w:tabs>
          <w:tab w:val="left" w:pos="1701"/>
        </w:tabs>
      </w:pPr>
      <w:r w:rsidRPr="000249AD">
        <w:t>107</w:t>
      </w:r>
      <w:r w:rsidR="00F63142" w:rsidRPr="000249AD">
        <w:t>.</w:t>
      </w:r>
      <w:r w:rsidR="00F63142" w:rsidRPr="000249AD">
        <w:tab/>
      </w:r>
      <w:r w:rsidR="00F04256" w:rsidRPr="000249AD">
        <w:t>However, t</w:t>
      </w:r>
      <w:r w:rsidR="00F63142" w:rsidRPr="000249AD">
        <w:t>he European Parliament</w:t>
      </w:r>
      <w:r w:rsidR="00C00503" w:rsidRPr="000249AD">
        <w:t>,</w:t>
      </w:r>
      <w:r w:rsidR="00F63142" w:rsidRPr="000249AD">
        <w:t xml:space="preserve"> in a May 2016 resolution</w:t>
      </w:r>
      <w:r w:rsidR="00C00503" w:rsidRPr="000249AD">
        <w:t>,</w:t>
      </w:r>
      <w:r w:rsidR="00F63142" w:rsidRPr="000249AD">
        <w:t xml:space="preserve"> condemned the European Commission as having breached </w:t>
      </w:r>
      <w:r w:rsidR="00596BBC" w:rsidRPr="000249AD">
        <w:t>European Union</w:t>
      </w:r>
      <w:r w:rsidR="00F63142" w:rsidRPr="000249AD">
        <w:t xml:space="preserve"> law and fail</w:t>
      </w:r>
      <w:r w:rsidR="00C00503" w:rsidRPr="000249AD">
        <w:t>ed</w:t>
      </w:r>
      <w:r w:rsidR="00F63142" w:rsidRPr="000249AD">
        <w:t xml:space="preserve"> to comply with its institutional obligations to deliver the scientific criteria to identify </w:t>
      </w:r>
      <w:r w:rsidR="004A5049" w:rsidRPr="000249AD">
        <w:rPr>
          <w:iCs/>
        </w:rPr>
        <w:t>endocrine disrupting chemicals</w:t>
      </w:r>
      <w:r w:rsidR="00F63142" w:rsidRPr="000249AD">
        <w:t xml:space="preserve"> on time. On 15 June 2016, the Commission published its </w:t>
      </w:r>
      <w:r w:rsidR="00AF3CEE" w:rsidRPr="000249AD">
        <w:t xml:space="preserve">proposal for </w:t>
      </w:r>
      <w:r w:rsidR="00F63142" w:rsidRPr="000249AD">
        <w:t xml:space="preserve">scientific criteria for the identification of </w:t>
      </w:r>
      <w:r w:rsidR="004A5049" w:rsidRPr="000249AD">
        <w:t>those chemicals</w:t>
      </w:r>
      <w:r w:rsidR="00F63142" w:rsidRPr="000249AD">
        <w:t>, taking as a starting point the WHO definition</w:t>
      </w:r>
      <w:r w:rsidR="00CD1DD3" w:rsidRPr="000249AD">
        <w:t xml:space="preserve"> in its 2012 study</w:t>
      </w:r>
      <w:r w:rsidR="00F63142" w:rsidRPr="00176051">
        <w:rPr>
          <w:rStyle w:val="FootnoteReference"/>
        </w:rPr>
        <w:footnoteReference w:id="38"/>
      </w:r>
      <w:r w:rsidR="00F63142" w:rsidRPr="000249AD">
        <w:t xml:space="preserve"> and incorporating key points of a consensus statement that had been agreed by scientific experts at the April 2016 meeting convened by </w:t>
      </w:r>
      <w:r w:rsidR="00C00503" w:rsidRPr="000249AD">
        <w:t xml:space="preserve">the </w:t>
      </w:r>
      <w:r w:rsidR="00CD1DD3" w:rsidRPr="000249AD">
        <w:t>Federal Institute for Risk Assessment</w:t>
      </w:r>
      <w:r w:rsidR="00F63142" w:rsidRPr="000249AD">
        <w:t>.</w:t>
      </w:r>
      <w:r w:rsidR="00F63142" w:rsidRPr="00176051">
        <w:rPr>
          <w:rStyle w:val="FootnoteReference"/>
        </w:rPr>
        <w:footnoteReference w:id="39"/>
      </w:r>
    </w:p>
    <w:p w14:paraId="50148856" w14:textId="381918B8" w:rsidR="00F63142" w:rsidRPr="000249AD" w:rsidRDefault="00F63142" w:rsidP="0076195B">
      <w:pPr>
        <w:pStyle w:val="SingleTxtG"/>
        <w:tabs>
          <w:tab w:val="left" w:pos="1701"/>
        </w:tabs>
      </w:pPr>
      <w:r w:rsidRPr="000249AD">
        <w:t>1</w:t>
      </w:r>
      <w:r w:rsidR="0055223F" w:rsidRPr="000249AD">
        <w:t>08</w:t>
      </w:r>
      <w:r w:rsidRPr="000249AD">
        <w:t>.</w:t>
      </w:r>
      <w:r w:rsidRPr="000249AD">
        <w:tab/>
      </w:r>
      <w:r w:rsidR="0062123E" w:rsidRPr="000249AD">
        <w:t xml:space="preserve">While </w:t>
      </w:r>
      <w:r w:rsidR="00C00503" w:rsidRPr="000249AD">
        <w:t xml:space="preserve">the </w:t>
      </w:r>
      <w:r w:rsidR="00CD1DD3" w:rsidRPr="000249AD">
        <w:t>Federal Institute for Risk Assessment</w:t>
      </w:r>
      <w:r w:rsidR="0062123E" w:rsidRPr="000249AD">
        <w:t xml:space="preserve"> believes the Commission’s proposal sets a high level of protection regarding </w:t>
      </w:r>
      <w:r w:rsidR="00AF3CEE" w:rsidRPr="000249AD">
        <w:t>endocrine disruptors</w:t>
      </w:r>
      <w:r w:rsidR="0062123E" w:rsidRPr="000249AD">
        <w:t xml:space="preserve"> for human health, including </w:t>
      </w:r>
      <w:r w:rsidR="004A0E37" w:rsidRPr="000249AD">
        <w:t>those in vulnerable situations</w:t>
      </w:r>
      <w:r w:rsidR="00C00503" w:rsidRPr="000249AD">
        <w:t>,</w:t>
      </w:r>
      <w:r w:rsidR="0062123E" w:rsidRPr="000249AD">
        <w:t xml:space="preserve"> like children and pregnant women</w:t>
      </w:r>
      <w:r w:rsidR="00C00503" w:rsidRPr="000249AD">
        <w:t>,</w:t>
      </w:r>
      <w:r w:rsidR="004A0E37" w:rsidRPr="000249AD">
        <w:t xml:space="preserve"> </w:t>
      </w:r>
      <w:r w:rsidR="0062123E" w:rsidRPr="000249AD">
        <w:t xml:space="preserve">the proposal has been </w:t>
      </w:r>
      <w:r w:rsidR="0062123E" w:rsidRPr="000249AD">
        <w:lastRenderedPageBreak/>
        <w:t xml:space="preserve">criticized by endocrinologists and other scientists, </w:t>
      </w:r>
      <w:r w:rsidR="00C00503" w:rsidRPr="000249AD">
        <w:t>as well as m</w:t>
      </w:r>
      <w:r w:rsidR="0062123E" w:rsidRPr="000249AD">
        <w:t xml:space="preserve">inistries of </w:t>
      </w:r>
      <w:r w:rsidR="00C00503" w:rsidRPr="000249AD">
        <w:t>the e</w:t>
      </w:r>
      <w:r w:rsidR="0062123E" w:rsidRPr="000249AD">
        <w:t xml:space="preserve">nvironment and </w:t>
      </w:r>
      <w:r w:rsidR="00C00503" w:rsidRPr="000249AD">
        <w:t>m</w:t>
      </w:r>
      <w:r w:rsidR="0062123E" w:rsidRPr="000249AD">
        <w:t xml:space="preserve">embers of </w:t>
      </w:r>
      <w:r w:rsidR="00C00503" w:rsidRPr="000249AD">
        <w:t>p</w:t>
      </w:r>
      <w:r w:rsidR="0062123E" w:rsidRPr="000249AD">
        <w:t>arliament</w:t>
      </w:r>
      <w:r w:rsidR="00C00503" w:rsidRPr="000249AD">
        <w:t>s</w:t>
      </w:r>
      <w:r w:rsidR="0062123E" w:rsidRPr="000249AD">
        <w:t xml:space="preserve"> from various </w:t>
      </w:r>
      <w:r w:rsidR="00596BBC" w:rsidRPr="000249AD">
        <w:t>European Union</w:t>
      </w:r>
      <w:r w:rsidR="0062123E" w:rsidRPr="000249AD">
        <w:t xml:space="preserve"> </w:t>
      </w:r>
      <w:r w:rsidR="00596BBC" w:rsidRPr="000249AD">
        <w:t>m</w:t>
      </w:r>
      <w:r w:rsidR="0062123E" w:rsidRPr="000249AD">
        <w:t xml:space="preserve">ember States, civil society and industry. Among criticism </w:t>
      </w:r>
      <w:r w:rsidR="00C00503" w:rsidRPr="000249AD">
        <w:t xml:space="preserve">levelled </w:t>
      </w:r>
      <w:r w:rsidR="0062123E" w:rsidRPr="000249AD">
        <w:t xml:space="preserve">is that </w:t>
      </w:r>
      <w:r w:rsidR="0076195B" w:rsidRPr="000249AD">
        <w:t xml:space="preserve">there is </w:t>
      </w:r>
      <w:r w:rsidR="0062123E" w:rsidRPr="000249AD">
        <w:t>an unreasonably high</w:t>
      </w:r>
      <w:r w:rsidR="0076195B" w:rsidRPr="000249AD">
        <w:t xml:space="preserve"> </w:t>
      </w:r>
      <w:r w:rsidR="0062123E" w:rsidRPr="000249AD">
        <w:t xml:space="preserve">burden of proof to categorize substances as </w:t>
      </w:r>
      <w:r w:rsidR="004A5049" w:rsidRPr="000249AD">
        <w:rPr>
          <w:iCs/>
        </w:rPr>
        <w:t>endocrine disrupting chemicals</w:t>
      </w:r>
      <w:r w:rsidR="0062123E" w:rsidRPr="000249AD">
        <w:t xml:space="preserve"> and thus trigger regulatory action, and </w:t>
      </w:r>
      <w:r w:rsidR="004D52EE" w:rsidRPr="000249AD">
        <w:t xml:space="preserve">concern that </w:t>
      </w:r>
      <w:r w:rsidR="0076195B" w:rsidRPr="000249AD">
        <w:t xml:space="preserve">there has been </w:t>
      </w:r>
      <w:r w:rsidR="0062123E" w:rsidRPr="000249AD">
        <w:t>a departure from both the precautionary principle and the</w:t>
      </w:r>
      <w:r w:rsidR="004D52EE" w:rsidRPr="000249AD">
        <w:t xml:space="preserve"> </w:t>
      </w:r>
      <w:r w:rsidR="004A0E37" w:rsidRPr="000249AD">
        <w:t>“</w:t>
      </w:r>
      <w:r w:rsidR="004D52EE" w:rsidRPr="000249AD">
        <w:t>hazard-based</w:t>
      </w:r>
      <w:r w:rsidR="004A0E37" w:rsidRPr="000249AD">
        <w:t>”</w:t>
      </w:r>
      <w:r w:rsidR="004D52EE" w:rsidRPr="000249AD">
        <w:t xml:space="preserve"> approach found in applicable </w:t>
      </w:r>
      <w:r w:rsidR="00596BBC" w:rsidRPr="000249AD">
        <w:t>European Union</w:t>
      </w:r>
      <w:r w:rsidR="0062123E" w:rsidRPr="000249AD">
        <w:t xml:space="preserve"> laws</w:t>
      </w:r>
      <w:r w:rsidR="00AF3CEE" w:rsidRPr="000249AD">
        <w:t>, which are considered to be good practices</w:t>
      </w:r>
      <w:r w:rsidR="0062123E" w:rsidRPr="000249AD">
        <w:t>.</w:t>
      </w:r>
    </w:p>
    <w:p w14:paraId="3EBF3710" w14:textId="77777777" w:rsidR="00F63142" w:rsidRPr="000249AD" w:rsidRDefault="00F63142" w:rsidP="00F63142">
      <w:pPr>
        <w:pStyle w:val="H23G"/>
      </w:pPr>
      <w:r w:rsidRPr="000249AD">
        <w:rPr>
          <w:i/>
        </w:rPr>
        <w:tab/>
      </w:r>
      <w:r w:rsidRPr="000249AD">
        <w:rPr>
          <w:i/>
        </w:rPr>
        <w:tab/>
      </w:r>
      <w:r w:rsidRPr="000249AD">
        <w:t>Glyphosate</w:t>
      </w:r>
    </w:p>
    <w:p w14:paraId="4ACFB9E2" w14:textId="63E61F5C" w:rsidR="00DA1065" w:rsidRPr="000249AD" w:rsidRDefault="0055223F" w:rsidP="00AE7004">
      <w:pPr>
        <w:pStyle w:val="SingleTxtG"/>
        <w:tabs>
          <w:tab w:val="left" w:pos="1701"/>
        </w:tabs>
      </w:pPr>
      <w:r w:rsidRPr="000249AD">
        <w:t>109</w:t>
      </w:r>
      <w:r w:rsidR="00F63142" w:rsidRPr="000249AD">
        <w:t>.</w:t>
      </w:r>
      <w:r w:rsidR="00F63142" w:rsidRPr="000249AD">
        <w:tab/>
      </w:r>
      <w:r w:rsidR="005D0BCD" w:rsidRPr="000249AD">
        <w:t xml:space="preserve">During the mission, the Special Rapporteur was made aware of </w:t>
      </w:r>
      <w:r w:rsidR="007C450E" w:rsidRPr="000249AD">
        <w:t xml:space="preserve">a </w:t>
      </w:r>
      <w:r w:rsidR="005D0BCD" w:rsidRPr="000249AD">
        <w:t xml:space="preserve">controversy over the potential carcinogenicity of </w:t>
      </w:r>
      <w:r w:rsidR="004A0E37" w:rsidRPr="000249AD">
        <w:t>glyphosate</w:t>
      </w:r>
      <w:r w:rsidR="005D0BCD" w:rsidRPr="000249AD">
        <w:t>,</w:t>
      </w:r>
      <w:r w:rsidR="00F63142" w:rsidRPr="000249AD">
        <w:t xml:space="preserve"> the most widely used herbicide in the world, more commonly known </w:t>
      </w:r>
      <w:r w:rsidR="007C450E" w:rsidRPr="000249AD">
        <w:t xml:space="preserve">under the original Monsanto trade name </w:t>
      </w:r>
      <w:r w:rsidR="006A18E7">
        <w:t>“</w:t>
      </w:r>
      <w:r w:rsidR="00F63142" w:rsidRPr="000249AD">
        <w:t>Roundup</w:t>
      </w:r>
      <w:r w:rsidR="006A18E7">
        <w:t>”</w:t>
      </w:r>
      <w:r w:rsidR="00F63142" w:rsidRPr="000249AD">
        <w:t>.</w:t>
      </w:r>
    </w:p>
    <w:p w14:paraId="2DF7711F" w14:textId="5A33AD41" w:rsidR="00F63142" w:rsidRPr="000249AD" w:rsidRDefault="0055223F" w:rsidP="00AE7004">
      <w:pPr>
        <w:pStyle w:val="SingleTxtG"/>
        <w:tabs>
          <w:tab w:val="left" w:pos="1701"/>
        </w:tabs>
      </w:pPr>
      <w:r w:rsidRPr="000249AD">
        <w:t>110</w:t>
      </w:r>
      <w:r w:rsidR="00F63142" w:rsidRPr="000249AD">
        <w:t>.</w:t>
      </w:r>
      <w:r w:rsidR="00F63142" w:rsidRPr="000249AD">
        <w:tab/>
      </w:r>
      <w:r w:rsidR="005D0BCD" w:rsidRPr="000249AD">
        <w:t xml:space="preserve">The risk assessment </w:t>
      </w:r>
      <w:r w:rsidR="00CD1DD3" w:rsidRPr="000249AD">
        <w:t xml:space="preserve">carried out by </w:t>
      </w:r>
      <w:r w:rsidR="00F63142" w:rsidRPr="000249AD">
        <w:t xml:space="preserve">the European Food Safety Authority </w:t>
      </w:r>
      <w:r w:rsidR="00CD1DD3" w:rsidRPr="000249AD">
        <w:t>and the Federal Institute for Risk Assessment</w:t>
      </w:r>
      <w:r w:rsidR="00F63142" w:rsidRPr="000249AD">
        <w:t xml:space="preserve"> </w:t>
      </w:r>
      <w:r w:rsidR="00CE10CE" w:rsidRPr="000249AD">
        <w:t xml:space="preserve">(published on </w:t>
      </w:r>
      <w:r w:rsidR="00F63142" w:rsidRPr="000249AD">
        <w:t>12 November 2015</w:t>
      </w:r>
      <w:r w:rsidR="00CE10CE" w:rsidRPr="000249AD">
        <w:t>)</w:t>
      </w:r>
      <w:r w:rsidR="00F63142" w:rsidRPr="000249AD">
        <w:t xml:space="preserve"> </w:t>
      </w:r>
      <w:r w:rsidR="0042483C">
        <w:t>was</w:t>
      </w:r>
      <w:r w:rsidR="0042483C" w:rsidRPr="000249AD">
        <w:t xml:space="preserve"> </w:t>
      </w:r>
      <w:r w:rsidR="00F63142" w:rsidRPr="000249AD">
        <w:t xml:space="preserve">in contradiction to the </w:t>
      </w:r>
      <w:r w:rsidR="00CE10CE" w:rsidRPr="000249AD">
        <w:t>hazard identification</w:t>
      </w:r>
      <w:r w:rsidR="00F63142" w:rsidRPr="000249AD">
        <w:t xml:space="preserve"> by the International Agency for Research against Cancer</w:t>
      </w:r>
      <w:r w:rsidR="007C450E" w:rsidRPr="000249AD">
        <w:t>,</w:t>
      </w:r>
      <w:r w:rsidR="00F63142" w:rsidRPr="000249AD">
        <w:t xml:space="preserve"> </w:t>
      </w:r>
      <w:r w:rsidR="007C450E" w:rsidRPr="000249AD">
        <w:t xml:space="preserve">which had </w:t>
      </w:r>
      <w:r w:rsidR="00F63142" w:rsidRPr="000249AD">
        <w:t>classified glyphosate as “probably carcinogenic to humans</w:t>
      </w:r>
      <w:r w:rsidR="006A18E7">
        <w:t>”</w:t>
      </w:r>
      <w:r w:rsidR="004A0E37" w:rsidRPr="000249AD">
        <w:t xml:space="preserve">. </w:t>
      </w:r>
      <w:r w:rsidR="00E55EA6" w:rsidRPr="000249AD">
        <w:t>A risk assessment by a joint WHO</w:t>
      </w:r>
      <w:r w:rsidR="00CD1DD3" w:rsidRPr="000249AD">
        <w:t>/</w:t>
      </w:r>
      <w:r w:rsidR="00E55EA6" w:rsidRPr="000249AD">
        <w:t xml:space="preserve">FAO panel reached a similar conclusion </w:t>
      </w:r>
      <w:r w:rsidR="004F53F2" w:rsidRPr="000249AD">
        <w:t xml:space="preserve">to </w:t>
      </w:r>
      <w:r w:rsidR="00CD1DD3" w:rsidRPr="000249AD">
        <w:t xml:space="preserve">the </w:t>
      </w:r>
      <w:r w:rsidR="00F90F96" w:rsidRPr="000249AD">
        <w:t>Federal Institute for Risk Assessment</w:t>
      </w:r>
      <w:r w:rsidR="00E55EA6" w:rsidRPr="000249AD">
        <w:t xml:space="preserve"> and </w:t>
      </w:r>
      <w:r w:rsidR="00CD1DD3" w:rsidRPr="000249AD">
        <w:t xml:space="preserve">the </w:t>
      </w:r>
      <w:r w:rsidR="00B87594" w:rsidRPr="000249AD">
        <w:t>European Food Safety Authority</w:t>
      </w:r>
      <w:r w:rsidR="00E55EA6" w:rsidRPr="000249AD">
        <w:t xml:space="preserve">. </w:t>
      </w:r>
      <w:r w:rsidR="00AA0A94" w:rsidRPr="000249AD">
        <w:t xml:space="preserve">There are important differences between </w:t>
      </w:r>
      <w:r w:rsidR="00E55EA6" w:rsidRPr="000249AD">
        <w:t>studies</w:t>
      </w:r>
      <w:r w:rsidR="00AA0A94" w:rsidRPr="000249AD">
        <w:t xml:space="preserve">, including </w:t>
      </w:r>
      <w:r w:rsidR="004D52EE" w:rsidRPr="000249AD">
        <w:t>the type of assessment</w:t>
      </w:r>
      <w:r w:rsidR="00AA0A94" w:rsidRPr="000249AD">
        <w:t xml:space="preserve">, consideration of ingredients other than glyphosate that are sold in the formulation and </w:t>
      </w:r>
      <w:r w:rsidR="004D52EE" w:rsidRPr="000249AD">
        <w:t xml:space="preserve">the consideration of different scientific studies in assessments. </w:t>
      </w:r>
    </w:p>
    <w:p w14:paraId="1E36F067" w14:textId="2ECDA233" w:rsidR="00F63142" w:rsidRPr="000249AD" w:rsidRDefault="00F63142" w:rsidP="00892F70">
      <w:pPr>
        <w:pStyle w:val="SingleTxtG"/>
        <w:tabs>
          <w:tab w:val="left" w:pos="1701"/>
        </w:tabs>
      </w:pPr>
      <w:r w:rsidRPr="000249AD">
        <w:t>1</w:t>
      </w:r>
      <w:r w:rsidR="0055223F" w:rsidRPr="000249AD">
        <w:t>11</w:t>
      </w:r>
      <w:r w:rsidRPr="000249AD">
        <w:t>.</w:t>
      </w:r>
      <w:r w:rsidRPr="000249AD">
        <w:tab/>
        <w:t xml:space="preserve">The </w:t>
      </w:r>
      <w:r w:rsidR="005D0BCD" w:rsidRPr="000249AD">
        <w:t xml:space="preserve">differences of </w:t>
      </w:r>
      <w:r w:rsidRPr="000249AD">
        <w:t>opinion on the dangers of glyphosate raise the issue of access to scientific information regarding health and safety of pesticides</w:t>
      </w:r>
      <w:r w:rsidR="004915CB" w:rsidRPr="000249AD">
        <w:t xml:space="preserve"> and how the principle of precaution is applied in practice</w:t>
      </w:r>
      <w:r w:rsidR="005F478C" w:rsidRPr="000249AD">
        <w:t xml:space="preserve"> in the </w:t>
      </w:r>
      <w:r w:rsidR="00596BBC" w:rsidRPr="000249AD">
        <w:t>European Union</w:t>
      </w:r>
      <w:r w:rsidRPr="000249AD">
        <w:t>. The Special Rapporteur notes that</w:t>
      </w:r>
      <w:r w:rsidR="004F53F2" w:rsidRPr="000249AD">
        <w:t>,</w:t>
      </w:r>
      <w:r w:rsidRPr="000249AD">
        <w:t xml:space="preserve"> under international law, health and safety information about toxic chemicals should never be confidential. Furthermore, in such instances of scientific uncertainty, the </w:t>
      </w:r>
      <w:r w:rsidR="00596BBC" w:rsidRPr="000249AD">
        <w:t>European Union</w:t>
      </w:r>
      <w:r w:rsidRPr="000249AD">
        <w:t xml:space="preserve"> principle of precaution must be applied pursuant to the Treaty</w:t>
      </w:r>
      <w:r w:rsidR="00892F70" w:rsidRPr="000249AD">
        <w:t xml:space="preserve"> of Lisbon</w:t>
      </w:r>
      <w:r w:rsidRPr="000249AD">
        <w:t xml:space="preserve">. </w:t>
      </w:r>
      <w:r w:rsidR="007C6702" w:rsidRPr="000249AD">
        <w:t>The Special Rapporteur will</w:t>
      </w:r>
      <w:r w:rsidR="00DA1065" w:rsidRPr="000249AD">
        <w:t xml:space="preserve"> continue to monitor the issue.</w:t>
      </w:r>
    </w:p>
    <w:p w14:paraId="3CB16EFE" w14:textId="77777777" w:rsidR="00F63142" w:rsidRPr="000249AD" w:rsidRDefault="00F63142" w:rsidP="00F63142">
      <w:pPr>
        <w:pStyle w:val="H1G"/>
      </w:pPr>
      <w:r w:rsidRPr="000249AD">
        <w:tab/>
        <w:t>C.</w:t>
      </w:r>
      <w:r w:rsidRPr="000249AD">
        <w:tab/>
        <w:t>Imported products</w:t>
      </w:r>
    </w:p>
    <w:p w14:paraId="7DFBDC5D" w14:textId="4D9E36BE" w:rsidR="00F63142" w:rsidRPr="000249AD" w:rsidRDefault="00F63142" w:rsidP="00892F70">
      <w:pPr>
        <w:pStyle w:val="SingleTxtG"/>
        <w:tabs>
          <w:tab w:val="left" w:pos="1701"/>
        </w:tabs>
      </w:pPr>
      <w:r w:rsidRPr="000249AD">
        <w:t>1</w:t>
      </w:r>
      <w:r w:rsidR="0055223F" w:rsidRPr="000249AD">
        <w:t>12</w:t>
      </w:r>
      <w:r w:rsidRPr="000249AD">
        <w:t>.</w:t>
      </w:r>
      <w:r w:rsidRPr="000249AD">
        <w:tab/>
        <w:t>In 2006, 48</w:t>
      </w:r>
      <w:r w:rsidR="00D36981" w:rsidRPr="000249AD">
        <w:t xml:space="preserve"> per cent</w:t>
      </w:r>
      <w:r w:rsidRPr="000249AD">
        <w:t xml:space="preserve"> of detected unsafe products </w:t>
      </w:r>
      <w:r w:rsidR="000F5F0F" w:rsidRPr="000249AD">
        <w:t xml:space="preserve">in the European Union </w:t>
      </w:r>
      <w:r w:rsidRPr="000249AD">
        <w:t>originated from China, 21</w:t>
      </w:r>
      <w:r w:rsidR="00D36981" w:rsidRPr="000249AD">
        <w:t xml:space="preserve"> per cent</w:t>
      </w:r>
      <w:r w:rsidRPr="000249AD">
        <w:t xml:space="preserve"> from the </w:t>
      </w:r>
      <w:r w:rsidR="00596BBC" w:rsidRPr="000249AD">
        <w:t>European Union</w:t>
      </w:r>
      <w:r w:rsidRPr="000249AD">
        <w:t xml:space="preserve"> and </w:t>
      </w:r>
      <w:r w:rsidR="00892F70" w:rsidRPr="000249AD">
        <w:t xml:space="preserve">27 </w:t>
      </w:r>
      <w:r w:rsidR="00D36981" w:rsidRPr="000249AD">
        <w:t>per cent</w:t>
      </w:r>
      <w:r w:rsidRPr="000249AD">
        <w:t xml:space="preserve"> were of unidentified origin; whereas </w:t>
      </w:r>
      <w:r w:rsidR="00892F70" w:rsidRPr="000249AD">
        <w:t xml:space="preserve">25 </w:t>
      </w:r>
      <w:r w:rsidR="00D36981" w:rsidRPr="000249AD">
        <w:t>per cent</w:t>
      </w:r>
      <w:r w:rsidRPr="000249AD">
        <w:t xml:space="preserve"> of all detected unsafe products </w:t>
      </w:r>
      <w:r w:rsidR="00892F70" w:rsidRPr="000249AD">
        <w:t xml:space="preserve">were </w:t>
      </w:r>
      <w:r w:rsidRPr="000249AD">
        <w:t>children</w:t>
      </w:r>
      <w:r w:rsidR="006A18E7">
        <w:t>’</w:t>
      </w:r>
      <w:r w:rsidRPr="000249AD">
        <w:t>s toys</w:t>
      </w:r>
      <w:r w:rsidR="00892F70" w:rsidRPr="000249AD">
        <w:t>,</w:t>
      </w:r>
      <w:r w:rsidRPr="000249AD">
        <w:t xml:space="preserve"> </w:t>
      </w:r>
      <w:r w:rsidR="00892F70" w:rsidRPr="000249AD">
        <w:t xml:space="preserve">a </w:t>
      </w:r>
      <w:r w:rsidRPr="000249AD">
        <w:t xml:space="preserve">very high proportion </w:t>
      </w:r>
      <w:r w:rsidR="00892F70" w:rsidRPr="000249AD">
        <w:t xml:space="preserve">of which were </w:t>
      </w:r>
      <w:r w:rsidRPr="000249AD">
        <w:t xml:space="preserve">marketed in the </w:t>
      </w:r>
      <w:r w:rsidR="00596BBC" w:rsidRPr="000249AD">
        <w:t>European Union</w:t>
      </w:r>
      <w:r w:rsidRPr="000249AD">
        <w:t xml:space="preserve"> </w:t>
      </w:r>
      <w:r w:rsidR="00892F70" w:rsidRPr="000249AD">
        <w:t xml:space="preserve">and </w:t>
      </w:r>
      <w:r w:rsidRPr="000249AD">
        <w:t>sourced from China.</w:t>
      </w:r>
      <w:r w:rsidRPr="00176051">
        <w:rPr>
          <w:rStyle w:val="FootnoteReference"/>
        </w:rPr>
        <w:footnoteReference w:id="40"/>
      </w:r>
      <w:r w:rsidRPr="000249AD">
        <w:t xml:space="preserve"> Recalls of unsafe products such as toys do not provide effective consumer protection because they are often declared late and a means of last resort, whereas the average return rate for toy recalls is very low, meaning that the vast majority will remain with consumers. </w:t>
      </w:r>
    </w:p>
    <w:p w14:paraId="4241D0AC" w14:textId="0E3A2CCC" w:rsidR="00F63142" w:rsidRPr="000249AD" w:rsidRDefault="00F63142" w:rsidP="00142102">
      <w:pPr>
        <w:pStyle w:val="SingleTxtG"/>
        <w:tabs>
          <w:tab w:val="left" w:pos="1701"/>
        </w:tabs>
      </w:pPr>
      <w:r w:rsidRPr="000249AD">
        <w:rPr>
          <w:rFonts w:eastAsiaTheme="minorEastAsia"/>
        </w:rPr>
        <w:t>1</w:t>
      </w:r>
      <w:r w:rsidR="0055223F" w:rsidRPr="000249AD">
        <w:rPr>
          <w:rFonts w:eastAsiaTheme="minorEastAsia"/>
        </w:rPr>
        <w:t>13</w:t>
      </w:r>
      <w:r w:rsidRPr="000249AD">
        <w:rPr>
          <w:rFonts w:eastAsiaTheme="minorEastAsia"/>
        </w:rPr>
        <w:t>.</w:t>
      </w:r>
      <w:r w:rsidRPr="000249AD">
        <w:rPr>
          <w:rFonts w:eastAsiaTheme="minorEastAsia"/>
        </w:rPr>
        <w:tab/>
        <w:t>I</w:t>
      </w:r>
      <w:r w:rsidRPr="000249AD">
        <w:t xml:space="preserve">n August and September 2007, a series of large-scale voluntary recalls </w:t>
      </w:r>
      <w:r w:rsidR="00DD4477" w:rsidRPr="000249AD">
        <w:t xml:space="preserve">in the European Union </w:t>
      </w:r>
      <w:r w:rsidRPr="000249AD">
        <w:t xml:space="preserve">relating to unsafe toys that </w:t>
      </w:r>
      <w:r w:rsidR="00DD4477" w:rsidRPr="000249AD">
        <w:t xml:space="preserve">were </w:t>
      </w:r>
      <w:r w:rsidRPr="000249AD">
        <w:t>harmful to health raised the</w:t>
      </w:r>
      <w:r w:rsidR="004A0E37" w:rsidRPr="000249AD">
        <w:t xml:space="preserve"> public</w:t>
      </w:r>
      <w:r w:rsidRPr="000249AD">
        <w:t xml:space="preserve"> alarm that</w:t>
      </w:r>
      <w:r w:rsidR="00DD4477" w:rsidRPr="000249AD">
        <w:t>,</w:t>
      </w:r>
      <w:r w:rsidRPr="000249AD">
        <w:t xml:space="preserve"> in spite of product harmoni</w:t>
      </w:r>
      <w:r w:rsidR="00797C99" w:rsidRPr="000249AD">
        <w:t>z</w:t>
      </w:r>
      <w:r w:rsidRPr="000249AD">
        <w:t xml:space="preserve">ation and a </w:t>
      </w:r>
      <w:r w:rsidR="00596BBC" w:rsidRPr="000249AD">
        <w:t>Union</w:t>
      </w:r>
      <w:r w:rsidRPr="000249AD">
        <w:t xml:space="preserve">-wide market surveillance system, unsafe products </w:t>
      </w:r>
      <w:r w:rsidR="00DD4477" w:rsidRPr="000249AD">
        <w:t xml:space="preserve">were </w:t>
      </w:r>
      <w:r w:rsidRPr="000249AD">
        <w:t xml:space="preserve">still produced, imported and marketed within the </w:t>
      </w:r>
      <w:r w:rsidR="00DD4477" w:rsidRPr="000249AD">
        <w:t>region</w:t>
      </w:r>
      <w:r w:rsidRPr="000249AD">
        <w:t xml:space="preserve">. </w:t>
      </w:r>
      <w:r w:rsidR="00DD4477" w:rsidRPr="000249AD">
        <w:t xml:space="preserve">The discovery of </w:t>
      </w:r>
      <w:r w:rsidRPr="000249AD">
        <w:t xml:space="preserve">lead paint in toys manufactured in China led to </w:t>
      </w:r>
      <w:r w:rsidR="00DD4477" w:rsidRPr="000249AD">
        <w:t xml:space="preserve">the introduction of </w:t>
      </w:r>
      <w:r w:rsidRPr="000249AD">
        <w:t>broad new toxicity regulations for a wide range of children’s products.</w:t>
      </w:r>
    </w:p>
    <w:p w14:paraId="022E9A08" w14:textId="77777777" w:rsidR="00F63142" w:rsidRPr="000249AD" w:rsidRDefault="00F63142" w:rsidP="00F63142">
      <w:pPr>
        <w:pStyle w:val="HChG"/>
      </w:pPr>
      <w:r w:rsidRPr="000249AD">
        <w:lastRenderedPageBreak/>
        <w:tab/>
        <w:t>V.</w:t>
      </w:r>
      <w:r w:rsidRPr="000249AD">
        <w:tab/>
        <w:t>International cooperation and impacts abroad</w:t>
      </w:r>
    </w:p>
    <w:p w14:paraId="50D7E113" w14:textId="7118540C" w:rsidR="00F63142" w:rsidRPr="000249AD" w:rsidRDefault="00F63142" w:rsidP="00142102">
      <w:pPr>
        <w:pStyle w:val="SingleTxtG"/>
        <w:tabs>
          <w:tab w:val="left" w:pos="1701"/>
        </w:tabs>
      </w:pPr>
      <w:r w:rsidRPr="000249AD">
        <w:t>1</w:t>
      </w:r>
      <w:r w:rsidR="0055223F" w:rsidRPr="000249AD">
        <w:t>14</w:t>
      </w:r>
      <w:r w:rsidR="00E976FA" w:rsidRPr="000249AD">
        <w:t>.</w:t>
      </w:r>
      <w:r w:rsidRPr="000249AD">
        <w:tab/>
        <w:t xml:space="preserve">One of Special Rapporteur’s greatest concerns is the indisputably wide gap that remains between </w:t>
      </w:r>
      <w:r w:rsidR="00DD4477" w:rsidRPr="000249AD">
        <w:t xml:space="preserve">the measures introduced in Germany to reduce </w:t>
      </w:r>
      <w:r w:rsidRPr="000249AD">
        <w:t>risk</w:t>
      </w:r>
      <w:r w:rsidR="00DD4477" w:rsidRPr="000249AD">
        <w:t>s</w:t>
      </w:r>
      <w:r w:rsidRPr="000249AD">
        <w:t xml:space="preserve"> </w:t>
      </w:r>
      <w:r w:rsidR="00DD4477" w:rsidRPr="000249AD">
        <w:t xml:space="preserve">and </w:t>
      </w:r>
      <w:r w:rsidRPr="000249AD">
        <w:t xml:space="preserve">protect human rights from hazardous substances, </w:t>
      </w:r>
      <w:r w:rsidR="00DD4477" w:rsidRPr="000249AD">
        <w:t xml:space="preserve">and the </w:t>
      </w:r>
      <w:r w:rsidRPr="000249AD">
        <w:t xml:space="preserve">measures </w:t>
      </w:r>
      <w:r w:rsidR="00DD4477" w:rsidRPr="000249AD">
        <w:t xml:space="preserve">introduced </w:t>
      </w:r>
      <w:r w:rsidR="006730FA" w:rsidRPr="000249AD">
        <w:t>outside Germany</w:t>
      </w:r>
      <w:r w:rsidRPr="000249AD">
        <w:t xml:space="preserve">, particularly in developing countries where </w:t>
      </w:r>
      <w:r w:rsidR="006730FA" w:rsidRPr="000249AD">
        <w:t>German businesses have substantial relationships</w:t>
      </w:r>
      <w:r w:rsidRPr="000249AD">
        <w:t>.</w:t>
      </w:r>
    </w:p>
    <w:p w14:paraId="04E26A47" w14:textId="3A40D6BE" w:rsidR="00F63142" w:rsidRPr="000249AD" w:rsidRDefault="00F63142" w:rsidP="00142102">
      <w:pPr>
        <w:pStyle w:val="SingleTxtG"/>
        <w:tabs>
          <w:tab w:val="left" w:pos="1701"/>
        </w:tabs>
      </w:pPr>
      <w:r w:rsidRPr="000249AD">
        <w:t>1</w:t>
      </w:r>
      <w:r w:rsidR="0055223F" w:rsidRPr="000249AD">
        <w:t>15</w:t>
      </w:r>
      <w:r w:rsidRPr="000249AD">
        <w:t>.</w:t>
      </w:r>
      <w:r w:rsidRPr="000249AD">
        <w:tab/>
      </w:r>
      <w:r w:rsidR="00DD4477" w:rsidRPr="000249AD">
        <w:t xml:space="preserve">In the next several years, the </w:t>
      </w:r>
      <w:r w:rsidRPr="000249AD">
        <w:t xml:space="preserve">production and use </w:t>
      </w:r>
      <w:r w:rsidR="00DD4477" w:rsidRPr="000249AD">
        <w:t xml:space="preserve">of chemicals is expected to accelerate sharply and rapidly </w:t>
      </w:r>
      <w:r w:rsidRPr="000249AD">
        <w:t xml:space="preserve">in developing countries and economies </w:t>
      </w:r>
      <w:r w:rsidR="00DD4477" w:rsidRPr="000249AD">
        <w:t xml:space="preserve">in transition. This </w:t>
      </w:r>
      <w:r w:rsidRPr="000249AD">
        <w:t xml:space="preserve">will present great challenges to </w:t>
      </w:r>
      <w:r w:rsidR="00DD4477" w:rsidRPr="000249AD">
        <w:t>G</w:t>
      </w:r>
      <w:r w:rsidR="004A0E37" w:rsidRPr="000249AD">
        <w:t xml:space="preserve">overnments </w:t>
      </w:r>
      <w:r w:rsidRPr="000249AD">
        <w:t xml:space="preserve">and business enterprises </w:t>
      </w:r>
      <w:r w:rsidR="00DD4477" w:rsidRPr="000249AD">
        <w:t xml:space="preserve">in terms of their </w:t>
      </w:r>
      <w:r w:rsidR="0007563F" w:rsidRPr="000249AD">
        <w:t xml:space="preserve">responsibilities </w:t>
      </w:r>
      <w:r w:rsidRPr="000249AD">
        <w:t xml:space="preserve">to respect human rights through their business relationships. </w:t>
      </w:r>
    </w:p>
    <w:p w14:paraId="7D13DE23" w14:textId="77777777" w:rsidR="00F63142" w:rsidRPr="000249AD" w:rsidRDefault="00F63142" w:rsidP="00F63142">
      <w:pPr>
        <w:pStyle w:val="H1G"/>
      </w:pPr>
      <w:r w:rsidRPr="000249AD">
        <w:tab/>
        <w:t>A.</w:t>
      </w:r>
      <w:r w:rsidRPr="000249AD">
        <w:tab/>
        <w:t>Global treaties for chemicals and wastes</w:t>
      </w:r>
    </w:p>
    <w:p w14:paraId="7E3DD554" w14:textId="47BA7AE6" w:rsidR="00F63142" w:rsidRPr="000249AD" w:rsidRDefault="00F63142" w:rsidP="00142102">
      <w:pPr>
        <w:pStyle w:val="SingleTxtG"/>
        <w:tabs>
          <w:tab w:val="left" w:pos="1701"/>
        </w:tabs>
      </w:pPr>
      <w:r w:rsidRPr="000249AD">
        <w:rPr>
          <w:rFonts w:eastAsia="Calibri"/>
        </w:rPr>
        <w:t>1</w:t>
      </w:r>
      <w:r w:rsidR="0055223F" w:rsidRPr="000249AD">
        <w:rPr>
          <w:rFonts w:eastAsia="Calibri"/>
        </w:rPr>
        <w:t>16</w:t>
      </w:r>
      <w:r w:rsidRPr="000249AD">
        <w:rPr>
          <w:rFonts w:eastAsia="Calibri"/>
        </w:rPr>
        <w:t>.</w:t>
      </w:r>
      <w:r w:rsidRPr="000249AD">
        <w:rPr>
          <w:rFonts w:eastAsia="Calibri"/>
        </w:rPr>
        <w:tab/>
        <w:t>Throughout the mission, the Special Rapporteur raised his particular concern about human rights impacts abroad</w:t>
      </w:r>
      <w:r w:rsidRPr="000249AD">
        <w:t>. For all stages of the life</w:t>
      </w:r>
      <w:r w:rsidR="005E5409" w:rsidRPr="000249AD">
        <w:t xml:space="preserve"> </w:t>
      </w:r>
      <w:r w:rsidRPr="000249AD">
        <w:t xml:space="preserve">cycle </w:t>
      </w:r>
      <w:r w:rsidR="00DD4477" w:rsidRPr="000249AD">
        <w:t>of hazardous substances —</w:t>
      </w:r>
      <w:r w:rsidRPr="000249AD">
        <w:t xml:space="preserve"> extraction, production, use, emission and disposal </w:t>
      </w:r>
      <w:r w:rsidR="00DD4477" w:rsidRPr="000249AD">
        <w:t>—</w:t>
      </w:r>
      <w:r w:rsidRPr="000249AD">
        <w:t xml:space="preserve"> strong global standards are necessary to prevent double standards from emerging outside the </w:t>
      </w:r>
      <w:r w:rsidR="00596BBC" w:rsidRPr="000249AD">
        <w:t>European Union</w:t>
      </w:r>
      <w:r w:rsidRPr="000249AD">
        <w:t xml:space="preserve"> and to ensure </w:t>
      </w:r>
      <w:r w:rsidR="00DD4477" w:rsidRPr="000249AD">
        <w:t xml:space="preserve">that </w:t>
      </w:r>
      <w:r w:rsidRPr="000249AD">
        <w:t xml:space="preserve">German businesses respect human rights at home </w:t>
      </w:r>
      <w:r w:rsidR="0007563F" w:rsidRPr="000249AD">
        <w:t>and</w:t>
      </w:r>
      <w:r w:rsidRPr="000249AD">
        <w:t xml:space="preserve"> abroad. However, much work remains in developing strong global standards.</w:t>
      </w:r>
    </w:p>
    <w:p w14:paraId="252DF805" w14:textId="4EFB01BC" w:rsidR="00F63142" w:rsidRPr="000249AD" w:rsidRDefault="00F63142" w:rsidP="00142102">
      <w:pPr>
        <w:pStyle w:val="SingleTxtG"/>
        <w:tabs>
          <w:tab w:val="left" w:pos="1701"/>
        </w:tabs>
      </w:pPr>
      <w:r w:rsidRPr="000249AD">
        <w:t>1</w:t>
      </w:r>
      <w:r w:rsidR="0055223F" w:rsidRPr="000249AD">
        <w:t>17</w:t>
      </w:r>
      <w:r w:rsidRPr="000249AD">
        <w:t>.</w:t>
      </w:r>
      <w:r w:rsidRPr="000249AD">
        <w:tab/>
        <w:t xml:space="preserve">Today, </w:t>
      </w:r>
      <w:r w:rsidR="00DD4477" w:rsidRPr="000249AD">
        <w:t xml:space="preserve">just over </w:t>
      </w:r>
      <w:r w:rsidRPr="000249AD">
        <w:t>two</w:t>
      </w:r>
      <w:r w:rsidR="00DD4477" w:rsidRPr="000249AD">
        <w:t xml:space="preserve"> </w:t>
      </w:r>
      <w:r w:rsidRPr="000249AD">
        <w:t>dozen hazardous substances are regulated under international treaties for “chemicals and wastes” throughout their life</w:t>
      </w:r>
      <w:r w:rsidR="005E5409" w:rsidRPr="000249AD">
        <w:t xml:space="preserve"> </w:t>
      </w:r>
      <w:r w:rsidRPr="000249AD">
        <w:t xml:space="preserve">cycle. It was estimated by the </w:t>
      </w:r>
      <w:r w:rsidR="00596BBC" w:rsidRPr="000249AD">
        <w:t>European Union</w:t>
      </w:r>
      <w:r w:rsidRPr="000249AD">
        <w:t xml:space="preserve"> that </w:t>
      </w:r>
      <w:r w:rsidR="00DD4477" w:rsidRPr="000249AD">
        <w:t xml:space="preserve">in 2001 </w:t>
      </w:r>
      <w:r w:rsidRPr="000249AD">
        <w:t xml:space="preserve">there </w:t>
      </w:r>
      <w:r w:rsidR="0007563F" w:rsidRPr="000249AD">
        <w:t xml:space="preserve">were </w:t>
      </w:r>
      <w:r w:rsidRPr="000249AD">
        <w:t xml:space="preserve">over </w:t>
      </w:r>
      <w:r w:rsidR="0007563F" w:rsidRPr="000249AD">
        <w:t>1,000</w:t>
      </w:r>
      <w:r w:rsidRPr="000249AD">
        <w:t xml:space="preserve"> </w:t>
      </w:r>
      <w:r w:rsidR="00DD4477" w:rsidRPr="000249AD">
        <w:t>s</w:t>
      </w:r>
      <w:r w:rsidR="0081408B" w:rsidRPr="000249AD">
        <w:t xml:space="preserve">ubstances of </w:t>
      </w:r>
      <w:r w:rsidR="00DD4477" w:rsidRPr="000249AD">
        <w:t>v</w:t>
      </w:r>
      <w:r w:rsidR="0081408B" w:rsidRPr="000249AD">
        <w:t xml:space="preserve">ery </w:t>
      </w:r>
      <w:r w:rsidR="00DD4477" w:rsidRPr="000249AD">
        <w:t>h</w:t>
      </w:r>
      <w:r w:rsidR="0081408B" w:rsidRPr="000249AD">
        <w:t xml:space="preserve">igh </w:t>
      </w:r>
      <w:r w:rsidR="00DD4477" w:rsidRPr="000249AD">
        <w:t>c</w:t>
      </w:r>
      <w:r w:rsidR="0081408B" w:rsidRPr="000249AD">
        <w:t>oncern</w:t>
      </w:r>
      <w:r w:rsidRPr="000249AD">
        <w:t xml:space="preserve">, not including </w:t>
      </w:r>
      <w:r w:rsidR="00BA21A0" w:rsidRPr="000249AD">
        <w:t xml:space="preserve">hundreds of hazardous </w:t>
      </w:r>
      <w:r w:rsidRPr="000249AD">
        <w:t>pesticides and various other potential pollutants.</w:t>
      </w:r>
    </w:p>
    <w:p w14:paraId="6F909F12" w14:textId="6EB6EE66" w:rsidR="00F63142" w:rsidRPr="000249AD" w:rsidRDefault="00F63142" w:rsidP="00142102">
      <w:pPr>
        <w:pStyle w:val="SingleTxtG"/>
        <w:tabs>
          <w:tab w:val="left" w:pos="1701"/>
        </w:tabs>
      </w:pPr>
      <w:r w:rsidRPr="000249AD">
        <w:t>1</w:t>
      </w:r>
      <w:r w:rsidR="0055223F" w:rsidRPr="000249AD">
        <w:t>18</w:t>
      </w:r>
      <w:r w:rsidRPr="000249AD">
        <w:t>.</w:t>
      </w:r>
      <w:r w:rsidRPr="000249AD">
        <w:tab/>
        <w:t>Chemicals linked to cancer, hormone disruption, neurodevelopmental disabilities and other adverse health impacts often do not fall within narrow the scope of existing, legally</w:t>
      </w:r>
      <w:r w:rsidR="00DD4477" w:rsidRPr="000249AD">
        <w:t xml:space="preserve"> </w:t>
      </w:r>
      <w:r w:rsidRPr="000249AD">
        <w:t xml:space="preserve">binding international treaties for chemicals and wastes. Many of the </w:t>
      </w:r>
      <w:r w:rsidR="00C03164" w:rsidRPr="000249AD">
        <w:t xml:space="preserve">substances </w:t>
      </w:r>
      <w:r w:rsidRPr="000249AD">
        <w:t xml:space="preserve">are unquestionably hazardous, such as asbestos, lead, cadmium and certain phthalates and other endocrine disruptors. This can and arguably is leading to wide disparities between the toxic chemicals used in developing countries </w:t>
      </w:r>
      <w:r w:rsidR="00142102" w:rsidRPr="000249AD">
        <w:t xml:space="preserve">and those used in </w:t>
      </w:r>
      <w:r w:rsidRPr="000249AD">
        <w:t xml:space="preserve">the industrialized world, including products </w:t>
      </w:r>
      <w:r w:rsidR="00142102" w:rsidRPr="000249AD">
        <w:t xml:space="preserve">containing </w:t>
      </w:r>
      <w:r w:rsidRPr="000249AD">
        <w:t>dangerous chemicals that are for consumers in Germany. To help fill a massive global regulatory gap for toxic chemicals, a non-binding policy framework</w:t>
      </w:r>
      <w:r w:rsidR="00142102" w:rsidRPr="000249AD">
        <w:t>,</w:t>
      </w:r>
      <w:r w:rsidRPr="000249AD">
        <w:t xml:space="preserve"> </w:t>
      </w:r>
      <w:r w:rsidR="00D36981" w:rsidRPr="000249AD">
        <w:t>the Strategic Approach to International Chemicals Management</w:t>
      </w:r>
      <w:r w:rsidR="00142102" w:rsidRPr="000249AD">
        <w:t>,</w:t>
      </w:r>
      <w:r w:rsidRPr="000249AD">
        <w:t xml:space="preserve"> was adopted in </w:t>
      </w:r>
      <w:r w:rsidR="003F76E1" w:rsidRPr="000249AD">
        <w:t>2006</w:t>
      </w:r>
      <w:r w:rsidRPr="000249AD">
        <w:t xml:space="preserve"> with a mandate to achieve the sound management of chemicals by 2020. The mandate of </w:t>
      </w:r>
      <w:r w:rsidR="00B87594" w:rsidRPr="000249AD">
        <w:t xml:space="preserve">the Strategic Approach to International Chemicals Management </w:t>
      </w:r>
      <w:r w:rsidRPr="000249AD">
        <w:t xml:space="preserve">is the broadest </w:t>
      </w:r>
      <w:r w:rsidR="0007563F" w:rsidRPr="000249AD">
        <w:t xml:space="preserve">and </w:t>
      </w:r>
      <w:r w:rsidRPr="000249AD">
        <w:t xml:space="preserve">yet receives the least funding of the chemicals and wastes cluster. </w:t>
      </w:r>
    </w:p>
    <w:p w14:paraId="1A336BC7" w14:textId="7AE4A195" w:rsidR="00F63142" w:rsidRPr="000249AD" w:rsidRDefault="00F63142" w:rsidP="00474CF4">
      <w:pPr>
        <w:pStyle w:val="H1G"/>
      </w:pPr>
      <w:r w:rsidRPr="000249AD">
        <w:tab/>
        <w:t>B.</w:t>
      </w:r>
      <w:r w:rsidRPr="000249AD">
        <w:tab/>
        <w:t>Exportation of highly hazardous pesticides</w:t>
      </w:r>
    </w:p>
    <w:p w14:paraId="41BA7D0C" w14:textId="01B3C15C" w:rsidR="00F63142" w:rsidRPr="000249AD" w:rsidRDefault="00F63142" w:rsidP="00142102">
      <w:pPr>
        <w:pStyle w:val="SingleTxtG"/>
        <w:tabs>
          <w:tab w:val="left" w:pos="1701"/>
        </w:tabs>
      </w:pPr>
      <w:r w:rsidRPr="000249AD">
        <w:t>1</w:t>
      </w:r>
      <w:r w:rsidR="0055223F" w:rsidRPr="000249AD">
        <w:t>19</w:t>
      </w:r>
      <w:r w:rsidRPr="000249AD">
        <w:t>.</w:t>
      </w:r>
      <w:r w:rsidRPr="000249AD">
        <w:tab/>
        <w:t>The FAO</w:t>
      </w:r>
      <w:r w:rsidR="00142102" w:rsidRPr="000249AD">
        <w:t>/WHO</w:t>
      </w:r>
      <w:r w:rsidRPr="000249AD">
        <w:t xml:space="preserve"> Code</w:t>
      </w:r>
      <w:r w:rsidR="005F478C" w:rsidRPr="000249AD">
        <w:t xml:space="preserve"> of Conduct on Pesticide Management</w:t>
      </w:r>
      <w:r w:rsidRPr="000249AD">
        <w:t xml:space="preserve"> applies to </w:t>
      </w:r>
      <w:r w:rsidR="00142102" w:rsidRPr="000249AD">
        <w:t>G</w:t>
      </w:r>
      <w:r w:rsidRPr="000249AD">
        <w:t xml:space="preserve">overnments and pesticide business enterprises to manage the risks associated with pesticide use wherever they are sold. The industry should rely on the </w:t>
      </w:r>
      <w:r w:rsidR="005F478C" w:rsidRPr="000249AD">
        <w:t>C</w:t>
      </w:r>
      <w:r w:rsidRPr="000249AD">
        <w:t>ode, particularly when operating in countries that have not yet established or are unable to effectively operate regulatory control over commercial pesticide activity</w:t>
      </w:r>
      <w:r w:rsidR="005F478C" w:rsidRPr="000249AD">
        <w:t>,</w:t>
      </w:r>
      <w:r w:rsidRPr="000249AD">
        <w:t xml:space="preserve"> which applies to many developing countries where the most adverse environmental and public health impacts of pesticide use are felt</w:t>
      </w:r>
      <w:r w:rsidR="00142102" w:rsidRPr="000249AD">
        <w:t>.</w:t>
      </w:r>
      <w:r w:rsidRPr="000249AD">
        <w:t xml:space="preserve"> </w:t>
      </w:r>
    </w:p>
    <w:p w14:paraId="2A5C0157" w14:textId="67C749CD" w:rsidR="00F63142" w:rsidRPr="000249AD" w:rsidRDefault="00F63142" w:rsidP="00142102">
      <w:pPr>
        <w:pStyle w:val="SingleTxtG"/>
        <w:tabs>
          <w:tab w:val="left" w:pos="1701"/>
        </w:tabs>
      </w:pPr>
      <w:r w:rsidRPr="000249AD">
        <w:lastRenderedPageBreak/>
        <w:t>1</w:t>
      </w:r>
      <w:r w:rsidR="0055223F" w:rsidRPr="000249AD">
        <w:t>20</w:t>
      </w:r>
      <w:r w:rsidRPr="000249AD">
        <w:t>.</w:t>
      </w:r>
      <w:r w:rsidRPr="000249AD">
        <w:tab/>
        <w:t xml:space="preserve">If relevant standards cannot be met and pesticide use presents an unacceptable risk to the public, the Code requires pesticide companies to halt </w:t>
      </w:r>
      <w:r w:rsidR="00142102" w:rsidRPr="000249AD">
        <w:t xml:space="preserve">the </w:t>
      </w:r>
      <w:r w:rsidRPr="000249AD">
        <w:t>sale of th</w:t>
      </w:r>
      <w:r w:rsidR="00142102" w:rsidRPr="000249AD">
        <w:t>o</w:t>
      </w:r>
      <w:r w:rsidRPr="000249AD">
        <w:t>se products.</w:t>
      </w:r>
      <w:r w:rsidRPr="00176051">
        <w:rPr>
          <w:rStyle w:val="FootnoteReference"/>
        </w:rPr>
        <w:footnoteReference w:id="41"/>
      </w:r>
      <w:r w:rsidRPr="000249AD">
        <w:t xml:space="preserve"> According to the Pesticide Action Network, developing countries use only 25 per</w:t>
      </w:r>
      <w:r w:rsidR="00D36981" w:rsidRPr="000249AD">
        <w:t xml:space="preserve"> </w:t>
      </w:r>
      <w:r w:rsidRPr="000249AD">
        <w:t>cent of global pesticide</w:t>
      </w:r>
      <w:r w:rsidR="00142102" w:rsidRPr="000249AD">
        <w:t>s</w:t>
      </w:r>
      <w:r w:rsidRPr="000249AD">
        <w:t>, yet 99 per</w:t>
      </w:r>
      <w:r w:rsidR="00D36981" w:rsidRPr="000249AD">
        <w:t xml:space="preserve"> </w:t>
      </w:r>
      <w:r w:rsidRPr="000249AD">
        <w:t>cent of acute pesticide-related fatalities occur there.</w:t>
      </w:r>
      <w:r w:rsidRPr="00176051">
        <w:rPr>
          <w:rStyle w:val="FootnoteReference"/>
        </w:rPr>
        <w:footnoteReference w:id="42"/>
      </w:r>
    </w:p>
    <w:p w14:paraId="5A1A4C25" w14:textId="2EDEAD08" w:rsidR="00DA1065" w:rsidRPr="000249AD" w:rsidRDefault="00F63142" w:rsidP="004625E8">
      <w:pPr>
        <w:pStyle w:val="SingleTxtG"/>
        <w:tabs>
          <w:tab w:val="left" w:pos="1701"/>
        </w:tabs>
      </w:pPr>
      <w:r w:rsidRPr="000249AD">
        <w:t>1</w:t>
      </w:r>
      <w:r w:rsidR="0055223F" w:rsidRPr="000249AD">
        <w:t>21</w:t>
      </w:r>
      <w:r w:rsidRPr="000249AD">
        <w:t>.</w:t>
      </w:r>
      <w:r w:rsidRPr="000249AD">
        <w:tab/>
        <w:t xml:space="preserve">The Special Rapporteur remains deeply concerned by the double standards that currently exist. Although many highly hazardous pesticides are banned or restricted in the </w:t>
      </w:r>
      <w:r w:rsidR="00596BBC" w:rsidRPr="000249AD">
        <w:t>European Union</w:t>
      </w:r>
      <w:r w:rsidRPr="000249AD">
        <w:t xml:space="preserve"> because their safe use cannot be guaranteed, European businesses continue to produce them</w:t>
      </w:r>
      <w:r w:rsidR="004625E8" w:rsidRPr="000249AD">
        <w:t>,</w:t>
      </w:r>
      <w:r w:rsidRPr="000249AD">
        <w:t xml:space="preserve"> sometimes specifically for export and use in non-</w:t>
      </w:r>
      <w:r w:rsidR="00596BBC" w:rsidRPr="000249AD">
        <w:t>European Union</w:t>
      </w:r>
      <w:r w:rsidRPr="000249AD">
        <w:t xml:space="preserve"> countries without adequate legislation or enforcement of existing laws, creating unmanageable risks and a high</w:t>
      </w:r>
      <w:r w:rsidR="004625E8" w:rsidRPr="000249AD">
        <w:t xml:space="preserve"> </w:t>
      </w:r>
      <w:r w:rsidRPr="000249AD">
        <w:t>likelihood of grave impacts</w:t>
      </w:r>
      <w:r w:rsidR="00F44090" w:rsidRPr="000249AD">
        <w:t xml:space="preserve"> to human rights</w:t>
      </w:r>
      <w:r w:rsidRPr="000249AD">
        <w:t>.</w:t>
      </w:r>
    </w:p>
    <w:p w14:paraId="6D2286AC" w14:textId="338515CD" w:rsidR="00DA1065" w:rsidRPr="000249AD" w:rsidRDefault="00F63142" w:rsidP="001267B3">
      <w:pPr>
        <w:pStyle w:val="SingleTxtG"/>
        <w:tabs>
          <w:tab w:val="left" w:pos="1701"/>
        </w:tabs>
      </w:pPr>
      <w:r w:rsidRPr="000249AD">
        <w:t>1</w:t>
      </w:r>
      <w:r w:rsidR="0055223F" w:rsidRPr="000249AD">
        <w:t>22</w:t>
      </w:r>
      <w:r w:rsidRPr="000249AD">
        <w:t>.</w:t>
      </w:r>
      <w:r w:rsidRPr="000249AD">
        <w:tab/>
        <w:t xml:space="preserve">There has been repeated evidence of </w:t>
      </w:r>
      <w:r w:rsidR="001267B3" w:rsidRPr="000249AD">
        <w:t xml:space="preserve">chemical manufacturing companies taking </w:t>
      </w:r>
      <w:r w:rsidRPr="000249AD">
        <w:t xml:space="preserve">risk mitigation attempts </w:t>
      </w:r>
      <w:r w:rsidR="001267B3" w:rsidRPr="000249AD">
        <w:t>that have been un</w:t>
      </w:r>
      <w:r w:rsidRPr="000249AD">
        <w:t xml:space="preserve">successful </w:t>
      </w:r>
      <w:r w:rsidR="001267B3" w:rsidRPr="000249AD">
        <w:t xml:space="preserve">in protecting </w:t>
      </w:r>
      <w:r w:rsidRPr="000249AD">
        <w:t>the lives and health of workers and communities who are at particular risk</w:t>
      </w:r>
      <w:r w:rsidR="001267B3" w:rsidRPr="000249AD">
        <w:t xml:space="preserve">. </w:t>
      </w:r>
    </w:p>
    <w:p w14:paraId="60962734" w14:textId="5111589D" w:rsidR="00DA1065" w:rsidRPr="000249AD" w:rsidRDefault="00F63142" w:rsidP="00D46BC7">
      <w:pPr>
        <w:pStyle w:val="SingleTxtG"/>
        <w:tabs>
          <w:tab w:val="left" w:pos="1701"/>
        </w:tabs>
      </w:pPr>
      <w:r w:rsidRPr="000249AD">
        <w:t>1</w:t>
      </w:r>
      <w:r w:rsidR="0055223F" w:rsidRPr="000249AD">
        <w:t>23</w:t>
      </w:r>
      <w:r w:rsidRPr="000249AD">
        <w:t>.</w:t>
      </w:r>
      <w:r w:rsidRPr="000249AD">
        <w:tab/>
        <w:t>When the Special Rapporteur met with Bayer, he also raised the long</w:t>
      </w:r>
      <w:r w:rsidR="001267B3" w:rsidRPr="000249AD">
        <w:t>-</w:t>
      </w:r>
      <w:r w:rsidRPr="000249AD">
        <w:t xml:space="preserve">standing court case of the </w:t>
      </w:r>
      <w:proofErr w:type="spellStart"/>
      <w:r w:rsidR="001267B3" w:rsidRPr="000249AD">
        <w:t>Taucamarca</w:t>
      </w:r>
      <w:proofErr w:type="spellEnd"/>
      <w:r w:rsidR="001267B3" w:rsidRPr="000249AD">
        <w:t xml:space="preserve"> </w:t>
      </w:r>
      <w:r w:rsidRPr="000249AD">
        <w:t>community in Peru</w:t>
      </w:r>
      <w:r w:rsidR="00F44090" w:rsidRPr="000249AD">
        <w:t xml:space="preserve">, in which </w:t>
      </w:r>
      <w:r w:rsidRPr="000249AD">
        <w:t xml:space="preserve">Bayer </w:t>
      </w:r>
      <w:r w:rsidR="001267B3" w:rsidRPr="000249AD">
        <w:t xml:space="preserve">was </w:t>
      </w:r>
      <w:r w:rsidRPr="000249AD">
        <w:t xml:space="preserve">implicated. </w:t>
      </w:r>
      <w:r w:rsidR="001267B3" w:rsidRPr="000249AD">
        <w:t xml:space="preserve">The </w:t>
      </w:r>
      <w:r w:rsidRPr="000249AD">
        <w:t xml:space="preserve">1999 case concerned </w:t>
      </w:r>
      <w:r w:rsidR="00D46BC7" w:rsidRPr="000249AD">
        <w:t xml:space="preserve">an incident whereby </w:t>
      </w:r>
      <w:r w:rsidRPr="000249AD">
        <w:t xml:space="preserve">24 schoolchildren </w:t>
      </w:r>
      <w:r w:rsidR="00D46BC7" w:rsidRPr="000249AD">
        <w:t xml:space="preserve">died </w:t>
      </w:r>
      <w:r w:rsidRPr="000249AD">
        <w:t>and 2</w:t>
      </w:r>
      <w:r w:rsidR="005F478C" w:rsidRPr="000249AD">
        <w:t>6</w:t>
      </w:r>
      <w:r w:rsidRPr="000249AD">
        <w:t xml:space="preserve"> others</w:t>
      </w:r>
      <w:r w:rsidR="00F44090" w:rsidRPr="000249AD">
        <w:t xml:space="preserve"> were severely injured</w:t>
      </w:r>
      <w:r w:rsidRPr="000249AD">
        <w:t xml:space="preserve"> </w:t>
      </w:r>
      <w:r w:rsidR="00D46BC7" w:rsidRPr="000249AD">
        <w:t xml:space="preserve">after mistaking </w:t>
      </w:r>
      <w:r w:rsidRPr="000249AD">
        <w:t>white, odourless powder found in a bag as being powdered milk</w:t>
      </w:r>
      <w:r w:rsidR="00D46BC7" w:rsidRPr="000249AD">
        <w:t>,</w:t>
      </w:r>
      <w:r w:rsidRPr="000249AD">
        <w:t xml:space="preserve"> when in fact it was a deadly pesticide (parathion) </w:t>
      </w:r>
      <w:r w:rsidR="00D46BC7" w:rsidRPr="000249AD">
        <w:t xml:space="preserve">that </w:t>
      </w:r>
      <w:r w:rsidRPr="000249AD">
        <w:t xml:space="preserve">was banned in the </w:t>
      </w:r>
      <w:r w:rsidR="00596BBC" w:rsidRPr="000249AD">
        <w:t>European Union</w:t>
      </w:r>
      <w:r w:rsidRPr="000249AD">
        <w:t xml:space="preserve"> at the time of the incident.</w:t>
      </w:r>
    </w:p>
    <w:p w14:paraId="46FD0E15" w14:textId="5D34E1DB" w:rsidR="00DA1065" w:rsidRPr="000249AD" w:rsidRDefault="00F63142" w:rsidP="005F3EA4">
      <w:pPr>
        <w:pStyle w:val="SingleTxtG"/>
        <w:tabs>
          <w:tab w:val="left" w:pos="1701"/>
        </w:tabs>
      </w:pPr>
      <w:r w:rsidRPr="000249AD">
        <w:t>1</w:t>
      </w:r>
      <w:r w:rsidR="0055223F" w:rsidRPr="000249AD">
        <w:t>24</w:t>
      </w:r>
      <w:r w:rsidRPr="000249AD">
        <w:t>.</w:t>
      </w:r>
      <w:r w:rsidRPr="000249AD">
        <w:tab/>
        <w:t xml:space="preserve">The European </w:t>
      </w:r>
      <w:proofErr w:type="spellStart"/>
      <w:r w:rsidRPr="000249AD">
        <w:t>Center</w:t>
      </w:r>
      <w:proofErr w:type="spellEnd"/>
      <w:r w:rsidRPr="000249AD">
        <w:t xml:space="preserve"> for Constitutional and Human Rights brought to the Special Rapporteur’s attention </w:t>
      </w:r>
      <w:r w:rsidR="005F3EA4" w:rsidRPr="000249AD">
        <w:t>a r</w:t>
      </w:r>
      <w:r w:rsidRPr="000249AD">
        <w:t>eport</w:t>
      </w:r>
      <w:r w:rsidRPr="00176051">
        <w:rPr>
          <w:rStyle w:val="FootnoteReference"/>
        </w:rPr>
        <w:footnoteReference w:id="43"/>
      </w:r>
      <w:r w:rsidRPr="000249AD">
        <w:t xml:space="preserve"> </w:t>
      </w:r>
      <w:r w:rsidR="005F3EA4" w:rsidRPr="000249AD">
        <w:t xml:space="preserve">in </w:t>
      </w:r>
      <w:r w:rsidRPr="000249AD">
        <w:t xml:space="preserve">which </w:t>
      </w:r>
      <w:r w:rsidR="005F3EA4" w:rsidRPr="000249AD">
        <w:t xml:space="preserve">it </w:t>
      </w:r>
      <w:r w:rsidRPr="000249AD">
        <w:t>claim</w:t>
      </w:r>
      <w:r w:rsidR="005F3EA4" w:rsidRPr="000249AD">
        <w:t>ed</w:t>
      </w:r>
      <w:r w:rsidRPr="000249AD">
        <w:t xml:space="preserve"> Bayer </w:t>
      </w:r>
      <w:proofErr w:type="spellStart"/>
      <w:r w:rsidRPr="000249AD">
        <w:t>CropScience</w:t>
      </w:r>
      <w:proofErr w:type="spellEnd"/>
      <w:r w:rsidRPr="000249AD">
        <w:t xml:space="preserve"> AG </w:t>
      </w:r>
      <w:r w:rsidR="005F3EA4" w:rsidRPr="000249AD">
        <w:t xml:space="preserve">and </w:t>
      </w:r>
      <w:r w:rsidRPr="000249AD">
        <w:t xml:space="preserve">Syngenta AG, a Swiss company </w:t>
      </w:r>
      <w:r w:rsidR="005F3EA4" w:rsidRPr="000249AD">
        <w:t xml:space="preserve">were </w:t>
      </w:r>
      <w:r w:rsidRPr="000249AD">
        <w:t>in breach of the FAO</w:t>
      </w:r>
      <w:r w:rsidR="005F3EA4" w:rsidRPr="000249AD">
        <w:t>/WHO</w:t>
      </w:r>
      <w:r w:rsidRPr="000249AD">
        <w:t xml:space="preserve"> Code. </w:t>
      </w:r>
      <w:r w:rsidR="00BA21A0" w:rsidRPr="000249AD">
        <w:t>Bayer has</w:t>
      </w:r>
      <w:r w:rsidRPr="000249AD">
        <w:t xml:space="preserve"> pledged to adhere to the Code through </w:t>
      </w:r>
      <w:r w:rsidR="00BA21A0" w:rsidRPr="000249AD">
        <w:t xml:space="preserve">its </w:t>
      </w:r>
      <w:r w:rsidRPr="000249AD">
        <w:t xml:space="preserve">membership </w:t>
      </w:r>
      <w:r w:rsidR="005F3EA4" w:rsidRPr="000249AD">
        <w:t xml:space="preserve">of </w:t>
      </w:r>
      <w:proofErr w:type="spellStart"/>
      <w:r w:rsidRPr="000249AD">
        <w:t>CropLife</w:t>
      </w:r>
      <w:proofErr w:type="spellEnd"/>
      <w:r w:rsidR="005F3EA4" w:rsidRPr="000249AD">
        <w:t xml:space="preserve"> International</w:t>
      </w:r>
      <w:r w:rsidR="005F478C" w:rsidRPr="000249AD">
        <w:t>.</w:t>
      </w:r>
      <w:r w:rsidRPr="000249AD">
        <w:t xml:space="preserve"> </w:t>
      </w:r>
      <w:r w:rsidR="005F478C" w:rsidRPr="000249AD">
        <w:t>Y</w:t>
      </w:r>
      <w:r w:rsidRPr="000249AD">
        <w:t xml:space="preserve">et surveys carried out </w:t>
      </w:r>
      <w:r w:rsidR="005F3EA4" w:rsidRPr="000249AD">
        <w:t xml:space="preserve">in September 2014 and March 2015 </w:t>
      </w:r>
      <w:r w:rsidRPr="000249AD">
        <w:t>in Punjab, India, suggest that Bayer and Syngenta are manufacturing, distributing and selling pesticide products in violation of the Code. The two companies were selected because of the dominant position they hold in the Indian and world markets.</w:t>
      </w:r>
    </w:p>
    <w:p w14:paraId="522E0CFE" w14:textId="5C8AB217" w:rsidR="00DA1065" w:rsidRPr="000249AD" w:rsidRDefault="001C4B1C" w:rsidP="005F3EA4">
      <w:pPr>
        <w:pStyle w:val="SingleTxtG"/>
        <w:tabs>
          <w:tab w:val="left" w:pos="1701"/>
        </w:tabs>
      </w:pPr>
      <w:r w:rsidRPr="000249AD">
        <w:t>125</w:t>
      </w:r>
      <w:r w:rsidR="00F63142" w:rsidRPr="000249AD">
        <w:t>.</w:t>
      </w:r>
      <w:r w:rsidR="00F63142" w:rsidRPr="000249AD">
        <w:tab/>
        <w:t xml:space="preserve">The report </w:t>
      </w:r>
      <w:r w:rsidR="005F3EA4" w:rsidRPr="000249AD">
        <w:t xml:space="preserve">of the European </w:t>
      </w:r>
      <w:proofErr w:type="spellStart"/>
      <w:r w:rsidR="005F3EA4" w:rsidRPr="000249AD">
        <w:t>Center</w:t>
      </w:r>
      <w:proofErr w:type="spellEnd"/>
      <w:r w:rsidR="005F3EA4" w:rsidRPr="000249AD">
        <w:t xml:space="preserve"> for Constitutional and Human Rights </w:t>
      </w:r>
      <w:r w:rsidR="00F63142" w:rsidRPr="000249AD">
        <w:t xml:space="preserve">focused on four pesticides produced by Bayer and two by Syngenta </w:t>
      </w:r>
      <w:r w:rsidR="005F3EA4" w:rsidRPr="000249AD">
        <w:t xml:space="preserve">that were </w:t>
      </w:r>
      <w:r w:rsidR="00F63142" w:rsidRPr="000249AD">
        <w:t>classified as moderately or highly hazardous. The results of the survey alleged that Bayer and Syngenta breached the FAO</w:t>
      </w:r>
      <w:r w:rsidR="005F3EA4" w:rsidRPr="000249AD">
        <w:t>/WHO</w:t>
      </w:r>
      <w:r w:rsidR="00F63142" w:rsidRPr="000249AD">
        <w:t xml:space="preserve"> Code because the labels lacked essential information</w:t>
      </w:r>
      <w:r w:rsidR="005F3EA4" w:rsidRPr="000249AD">
        <w:t>,</w:t>
      </w:r>
      <w:r w:rsidR="00F63142" w:rsidRPr="000249AD">
        <w:t xml:space="preserve"> </w:t>
      </w:r>
      <w:r w:rsidR="005F3EA4" w:rsidRPr="000249AD">
        <w:t xml:space="preserve">and because </w:t>
      </w:r>
      <w:r w:rsidR="00F63142" w:rsidRPr="000249AD">
        <w:t>company representatives and users</w:t>
      </w:r>
      <w:r w:rsidR="00F44090" w:rsidRPr="000249AD">
        <w:t xml:space="preserve"> </w:t>
      </w:r>
      <w:r w:rsidR="005F3EA4" w:rsidRPr="000249AD">
        <w:t xml:space="preserve">were </w:t>
      </w:r>
      <w:r w:rsidR="00F44090" w:rsidRPr="000249AD">
        <w:t>inadequate</w:t>
      </w:r>
      <w:r w:rsidR="005F3EA4" w:rsidRPr="000249AD">
        <w:t>ly trained</w:t>
      </w:r>
      <w:r w:rsidR="00F44090" w:rsidRPr="000249AD">
        <w:t xml:space="preserve"> </w:t>
      </w:r>
      <w:r w:rsidR="005F3EA4" w:rsidRPr="000249AD">
        <w:t xml:space="preserve">and </w:t>
      </w:r>
      <w:r w:rsidR="00F63142" w:rsidRPr="000249AD">
        <w:t>lack</w:t>
      </w:r>
      <w:r w:rsidR="005F3EA4" w:rsidRPr="000249AD">
        <w:t>ed</w:t>
      </w:r>
      <w:r w:rsidR="00F63142" w:rsidRPr="000249AD">
        <w:t xml:space="preserve"> access to protective personal equipment.</w:t>
      </w:r>
    </w:p>
    <w:p w14:paraId="1A2E6591" w14:textId="7233725B" w:rsidR="00DA1065" w:rsidRPr="000249AD" w:rsidRDefault="001C4B1C" w:rsidP="000B7919">
      <w:pPr>
        <w:pStyle w:val="SingleTxtG"/>
        <w:tabs>
          <w:tab w:val="left" w:pos="1701"/>
        </w:tabs>
      </w:pPr>
      <w:r w:rsidRPr="000249AD">
        <w:t>1</w:t>
      </w:r>
      <w:r w:rsidR="00E976FA" w:rsidRPr="000249AD">
        <w:t>2</w:t>
      </w:r>
      <w:r w:rsidRPr="000249AD">
        <w:t>6</w:t>
      </w:r>
      <w:r w:rsidR="00F63142" w:rsidRPr="000249AD">
        <w:t>.</w:t>
      </w:r>
      <w:r w:rsidR="00F63142" w:rsidRPr="000249AD">
        <w:tab/>
        <w:t>Bayer</w:t>
      </w:r>
      <w:r w:rsidR="00BA21A0" w:rsidRPr="000249AD">
        <w:t xml:space="preserve"> </w:t>
      </w:r>
      <w:r w:rsidR="000B7919" w:rsidRPr="000249AD">
        <w:t xml:space="preserve">stated that it complied </w:t>
      </w:r>
      <w:r w:rsidR="00F63142" w:rsidRPr="000249AD">
        <w:t>with the FAO</w:t>
      </w:r>
      <w:r w:rsidR="000B7919" w:rsidRPr="000249AD">
        <w:t>/WHO</w:t>
      </w:r>
      <w:r w:rsidR="00F63142" w:rsidRPr="000249AD">
        <w:t xml:space="preserve"> Code and provide</w:t>
      </w:r>
      <w:r w:rsidR="000B7919" w:rsidRPr="000249AD">
        <w:t>d</w:t>
      </w:r>
      <w:r w:rsidR="00F63142" w:rsidRPr="000249AD">
        <w:t xml:space="preserve"> training materials </w:t>
      </w:r>
      <w:r w:rsidR="000B7919" w:rsidRPr="000249AD">
        <w:t xml:space="preserve">to </w:t>
      </w:r>
      <w:r w:rsidR="00F63142" w:rsidRPr="000249AD">
        <w:t>all farmers, including in developing countries. With regard to concerns about the continued sale of highly hazardous pesticides in the developing world</w:t>
      </w:r>
      <w:r w:rsidR="000B7919" w:rsidRPr="000249AD">
        <w:t>,</w:t>
      </w:r>
      <w:r w:rsidR="00944DAB" w:rsidRPr="000249AD">
        <w:t xml:space="preserve"> Bayer argued </w:t>
      </w:r>
      <w:r w:rsidR="00A8764E" w:rsidRPr="000249AD">
        <w:t xml:space="preserve">this was due to </w:t>
      </w:r>
      <w:r w:rsidR="005F1540" w:rsidRPr="000249AD">
        <w:t>uncontrollable</w:t>
      </w:r>
      <w:r w:rsidR="00076723" w:rsidRPr="000249AD">
        <w:t xml:space="preserve"> misuse</w:t>
      </w:r>
      <w:r w:rsidR="00F63142" w:rsidRPr="000249AD">
        <w:t xml:space="preserve">. </w:t>
      </w:r>
    </w:p>
    <w:p w14:paraId="425A32D1" w14:textId="0A7B526D" w:rsidR="00F63142" w:rsidRPr="000249AD" w:rsidRDefault="00F63142" w:rsidP="0090619F">
      <w:pPr>
        <w:pStyle w:val="SingleTxtG"/>
        <w:tabs>
          <w:tab w:val="left" w:pos="1701"/>
        </w:tabs>
      </w:pPr>
      <w:r w:rsidRPr="000249AD">
        <w:t>1</w:t>
      </w:r>
      <w:r w:rsidR="001C4B1C" w:rsidRPr="000249AD">
        <w:t>27</w:t>
      </w:r>
      <w:r w:rsidRPr="000249AD">
        <w:t>.</w:t>
      </w:r>
      <w:r w:rsidRPr="000249AD">
        <w:tab/>
        <w:t xml:space="preserve">The Special Rapporteur also heard </w:t>
      </w:r>
      <w:r w:rsidR="0090619F" w:rsidRPr="000249AD">
        <w:t xml:space="preserve">the argument </w:t>
      </w:r>
      <w:r w:rsidRPr="000249AD">
        <w:t>that businesses ha</w:t>
      </w:r>
      <w:r w:rsidR="000B7919" w:rsidRPr="000249AD">
        <w:t>d</w:t>
      </w:r>
      <w:r w:rsidRPr="000249AD">
        <w:t xml:space="preserve"> a responsibility to continue to produce certain pesticides so </w:t>
      </w:r>
      <w:r w:rsidR="0090619F" w:rsidRPr="000249AD">
        <w:t xml:space="preserve">that </w:t>
      </w:r>
      <w:r w:rsidRPr="000249AD">
        <w:t xml:space="preserve">farmers </w:t>
      </w:r>
      <w:r w:rsidR="0090619F" w:rsidRPr="000249AD">
        <w:t xml:space="preserve">could </w:t>
      </w:r>
      <w:r w:rsidRPr="000249AD">
        <w:t xml:space="preserve">feed their families and the world, </w:t>
      </w:r>
      <w:r w:rsidR="0090619F" w:rsidRPr="000249AD">
        <w:t xml:space="preserve">yet found </w:t>
      </w:r>
      <w:r w:rsidRPr="000249AD">
        <w:t>such arguments very difficult to reconcile against the disproportionate number preventable deaths and injuries that continue to occur in developing countries</w:t>
      </w:r>
      <w:r w:rsidR="00944DAB" w:rsidRPr="000249AD">
        <w:t xml:space="preserve"> and the need to address the distribution of food imbalance throughout the world</w:t>
      </w:r>
      <w:r w:rsidRPr="000249AD">
        <w:t>.</w:t>
      </w:r>
    </w:p>
    <w:p w14:paraId="195C4AE7" w14:textId="77777777" w:rsidR="00F63142" w:rsidRPr="000249AD" w:rsidRDefault="00F63142" w:rsidP="00F63142">
      <w:pPr>
        <w:pStyle w:val="H1G"/>
      </w:pPr>
      <w:r w:rsidRPr="000249AD">
        <w:lastRenderedPageBreak/>
        <w:tab/>
        <w:t>C.</w:t>
      </w:r>
      <w:r w:rsidRPr="000249AD">
        <w:tab/>
        <w:t xml:space="preserve">Worker standards </w:t>
      </w:r>
    </w:p>
    <w:p w14:paraId="69DCA5E9" w14:textId="19941113" w:rsidR="00DA1065" w:rsidRPr="000249AD" w:rsidRDefault="00F63142" w:rsidP="0090619F">
      <w:pPr>
        <w:pStyle w:val="SingleTxtG"/>
        <w:tabs>
          <w:tab w:val="left" w:pos="1701"/>
        </w:tabs>
      </w:pPr>
      <w:r w:rsidRPr="000249AD">
        <w:t>1</w:t>
      </w:r>
      <w:r w:rsidR="001C4B1C" w:rsidRPr="000249AD">
        <w:t>28</w:t>
      </w:r>
      <w:r w:rsidRPr="000249AD">
        <w:t>.</w:t>
      </w:r>
      <w:r w:rsidRPr="000249AD">
        <w:tab/>
        <w:t xml:space="preserve">The Special Rapporteur is particularly concerned that </w:t>
      </w:r>
      <w:r w:rsidR="00596BBC" w:rsidRPr="000249AD">
        <w:t>European Union</w:t>
      </w:r>
      <w:r w:rsidRPr="000249AD">
        <w:t xml:space="preserve"> business enterprises, beyond Germany businesses, are exporting their manufacturing activities </w:t>
      </w:r>
      <w:r w:rsidR="0090619F" w:rsidRPr="000249AD">
        <w:t>—</w:t>
      </w:r>
      <w:r w:rsidRPr="000249AD">
        <w:t xml:space="preserve"> and the risks to workers of toxic chemicals </w:t>
      </w:r>
      <w:r w:rsidR="0090619F" w:rsidRPr="000249AD">
        <w:t>—</w:t>
      </w:r>
      <w:r w:rsidRPr="000249AD">
        <w:t xml:space="preserve"> to</w:t>
      </w:r>
      <w:r w:rsidR="007E5AF4" w:rsidRPr="000249AD">
        <w:t xml:space="preserve"> developing countries</w:t>
      </w:r>
      <w:r w:rsidRPr="000249AD">
        <w:t xml:space="preserve">. </w:t>
      </w:r>
      <w:r w:rsidR="00944DAB" w:rsidRPr="000249AD">
        <w:t xml:space="preserve">Post-production, </w:t>
      </w:r>
      <w:r w:rsidR="00596BBC" w:rsidRPr="000249AD">
        <w:t>European Union</w:t>
      </w:r>
      <w:r w:rsidRPr="000249AD">
        <w:t xml:space="preserve"> businesses can import a product that claim</w:t>
      </w:r>
      <w:r w:rsidR="00944DAB" w:rsidRPr="000249AD">
        <w:t>s</w:t>
      </w:r>
      <w:r w:rsidRPr="000249AD">
        <w:t xml:space="preserve"> to be “free of hazardous substances” even though hazardous substances were used in the</w:t>
      </w:r>
      <w:r w:rsidR="00DA1065" w:rsidRPr="000249AD">
        <w:t xml:space="preserve"> supply chain outside the </w:t>
      </w:r>
      <w:r w:rsidR="00596BBC" w:rsidRPr="000249AD">
        <w:t>European Union</w:t>
      </w:r>
      <w:r w:rsidR="00DA1065" w:rsidRPr="000249AD">
        <w:t>.</w:t>
      </w:r>
    </w:p>
    <w:p w14:paraId="316A05D2" w14:textId="44CCF9CB" w:rsidR="00DA1065" w:rsidRPr="000249AD" w:rsidRDefault="00F63142" w:rsidP="009B1851">
      <w:pPr>
        <w:pStyle w:val="SingleTxtG"/>
        <w:tabs>
          <w:tab w:val="left" w:pos="1701"/>
        </w:tabs>
      </w:pPr>
      <w:r w:rsidRPr="000249AD">
        <w:t>1</w:t>
      </w:r>
      <w:r w:rsidR="001C4B1C" w:rsidRPr="000249AD">
        <w:t>29</w:t>
      </w:r>
      <w:r w:rsidRPr="000249AD">
        <w:t>.</w:t>
      </w:r>
      <w:r w:rsidRPr="000249AD">
        <w:tab/>
      </w:r>
      <w:r w:rsidR="0090619F" w:rsidRPr="000249AD">
        <w:t xml:space="preserve">This practice is comparable to </w:t>
      </w:r>
      <w:r w:rsidRPr="000249AD">
        <w:t xml:space="preserve">the supply chain of </w:t>
      </w:r>
      <w:r w:rsidR="0090619F" w:rsidRPr="000249AD">
        <w:t xml:space="preserve">clothing that </w:t>
      </w:r>
      <w:r w:rsidRPr="000249AD">
        <w:t>originate</w:t>
      </w:r>
      <w:r w:rsidR="0090619F" w:rsidRPr="000249AD">
        <w:t>s,</w:t>
      </w:r>
      <w:r w:rsidRPr="000249AD">
        <w:t xml:space="preserve"> </w:t>
      </w:r>
      <w:r w:rsidR="00944DAB" w:rsidRPr="000249AD">
        <w:t>for example</w:t>
      </w:r>
      <w:r w:rsidR="0090619F" w:rsidRPr="000249AD">
        <w:t>,</w:t>
      </w:r>
      <w:r w:rsidR="00944DAB" w:rsidRPr="000249AD">
        <w:t xml:space="preserve"> </w:t>
      </w:r>
      <w:r w:rsidRPr="000249AD">
        <w:t xml:space="preserve">from a garment factory </w:t>
      </w:r>
      <w:r w:rsidR="0090619F" w:rsidRPr="000249AD">
        <w:t xml:space="preserve">in Bangladesh that </w:t>
      </w:r>
      <w:r w:rsidRPr="000249AD">
        <w:t xml:space="preserve">fails to respect workers’ rights, including </w:t>
      </w:r>
      <w:r w:rsidR="00944DAB" w:rsidRPr="000249AD">
        <w:t xml:space="preserve">against </w:t>
      </w:r>
      <w:r w:rsidRPr="000249AD">
        <w:t>sexual violence, and unlawfully targets labour leaders with intimidation, threats and violence</w:t>
      </w:r>
      <w:r w:rsidR="003F22C4" w:rsidRPr="000249AD">
        <w:t>.</w:t>
      </w:r>
      <w:r w:rsidRPr="00176051">
        <w:rPr>
          <w:rStyle w:val="FootnoteReference"/>
        </w:rPr>
        <w:footnoteReference w:id="44"/>
      </w:r>
      <w:r w:rsidR="0090619F" w:rsidRPr="000249AD">
        <w:t xml:space="preserve"> </w:t>
      </w:r>
      <w:r w:rsidR="00944DAB" w:rsidRPr="000249AD">
        <w:t xml:space="preserve">It </w:t>
      </w:r>
      <w:r w:rsidR="0090619F" w:rsidRPr="000249AD">
        <w:t xml:space="preserve">is also similar to </w:t>
      </w:r>
      <w:r w:rsidRPr="000249AD">
        <w:t xml:space="preserve">the global trade and supply chain in cobalt, a key component in </w:t>
      </w:r>
      <w:r w:rsidR="0090619F" w:rsidRPr="000249AD">
        <w:t xml:space="preserve">rechargeable </w:t>
      </w:r>
      <w:r w:rsidRPr="000249AD">
        <w:t>lithium-ion batteries, wh</w:t>
      </w:r>
      <w:r w:rsidRPr="0042483C">
        <w:t>ich may originate from artisanal miners in the Democratic</w:t>
      </w:r>
      <w:r w:rsidRPr="000249AD">
        <w:t xml:space="preserve"> Republic of the Congo, including child labour</w:t>
      </w:r>
      <w:r w:rsidR="009B1851" w:rsidRPr="000249AD">
        <w:t>ers</w:t>
      </w:r>
      <w:r w:rsidRPr="000249AD">
        <w:t xml:space="preserve"> who suffer health consequences from prolonged exposure to cobalt without even the most basic protective equipment.</w:t>
      </w:r>
      <w:r w:rsidRPr="00176051">
        <w:rPr>
          <w:rStyle w:val="FootnoteReference"/>
        </w:rPr>
        <w:footnoteReference w:id="45"/>
      </w:r>
    </w:p>
    <w:p w14:paraId="6586CCCA" w14:textId="0697BCE9" w:rsidR="00DA1065" w:rsidRPr="000249AD" w:rsidRDefault="00F63142" w:rsidP="009B1851">
      <w:pPr>
        <w:pStyle w:val="SingleTxtG"/>
        <w:tabs>
          <w:tab w:val="left" w:pos="1701"/>
        </w:tabs>
      </w:pPr>
      <w:r w:rsidRPr="000249AD">
        <w:t>1</w:t>
      </w:r>
      <w:r w:rsidR="001C4B1C" w:rsidRPr="000249AD">
        <w:t>30</w:t>
      </w:r>
      <w:r w:rsidRPr="000249AD">
        <w:t>.</w:t>
      </w:r>
      <w:r w:rsidRPr="000249AD">
        <w:tab/>
        <w:t xml:space="preserve">These two examples also highlight one of the major problems of REACH where business enterprises are seriously challenged in tracing the use of industrial chemicals throughout the supply chain, despite the reporting requirements of </w:t>
      </w:r>
      <w:r w:rsidR="009B1851" w:rsidRPr="000249AD">
        <w:t>the Regulation</w:t>
      </w:r>
      <w:r w:rsidRPr="000249AD">
        <w:t xml:space="preserve">. </w:t>
      </w:r>
    </w:p>
    <w:p w14:paraId="349E3336" w14:textId="7F6B5E23" w:rsidR="00F63142" w:rsidRPr="000249AD" w:rsidRDefault="00F63142" w:rsidP="00DA1065">
      <w:pPr>
        <w:pStyle w:val="HChG"/>
      </w:pPr>
      <w:r w:rsidRPr="000249AD">
        <w:rPr>
          <w:lang w:eastAsia="ja-JP"/>
        </w:rPr>
        <w:tab/>
      </w:r>
      <w:r w:rsidRPr="000249AD">
        <w:t>VI.</w:t>
      </w:r>
      <w:r w:rsidRPr="000249AD">
        <w:tab/>
        <w:t>Conclusions and recommendations</w:t>
      </w:r>
    </w:p>
    <w:p w14:paraId="77D8E0A4" w14:textId="06279D43" w:rsidR="0091322F" w:rsidRPr="000249AD" w:rsidRDefault="00F63142" w:rsidP="009B1851">
      <w:pPr>
        <w:pStyle w:val="SingleTxtG"/>
        <w:tabs>
          <w:tab w:val="left" w:pos="1701"/>
        </w:tabs>
        <w:rPr>
          <w:b/>
        </w:rPr>
      </w:pPr>
      <w:r w:rsidRPr="000249AD">
        <w:t>1</w:t>
      </w:r>
      <w:r w:rsidR="001C4B1C" w:rsidRPr="000249AD">
        <w:t>31</w:t>
      </w:r>
      <w:r w:rsidRPr="000249AD">
        <w:t>.</w:t>
      </w:r>
      <w:r w:rsidRPr="000249AD">
        <w:rPr>
          <w:b/>
        </w:rPr>
        <w:tab/>
        <w:t xml:space="preserve">The Special Rapporteur acknowledges the prominent role that the Germany and its chemical industry plays in the implementation of REACH and other </w:t>
      </w:r>
      <w:r w:rsidR="00596BBC" w:rsidRPr="00AE7004">
        <w:rPr>
          <w:b/>
          <w:bCs/>
        </w:rPr>
        <w:t>European Union</w:t>
      </w:r>
      <w:r w:rsidRPr="000249AD">
        <w:rPr>
          <w:b/>
        </w:rPr>
        <w:t xml:space="preserve"> chemicals legislation, </w:t>
      </w:r>
      <w:r w:rsidR="009B1851" w:rsidRPr="000249AD">
        <w:rPr>
          <w:b/>
        </w:rPr>
        <w:t xml:space="preserve">and </w:t>
      </w:r>
      <w:r w:rsidRPr="000249AD">
        <w:rPr>
          <w:b/>
        </w:rPr>
        <w:t>in discussions on future policy directions on international cooperation. However, even if German businesses phased out or stopped manufacturing and selling highly hazardous pesticides abroad, another business enterprise from another country could just as likely take over that market, so a global approach is requi</w:t>
      </w:r>
      <w:r w:rsidR="0091322F" w:rsidRPr="000249AD">
        <w:rPr>
          <w:b/>
        </w:rPr>
        <w:t>red to protecting human rights.</w:t>
      </w:r>
    </w:p>
    <w:p w14:paraId="339F91BB" w14:textId="145E5301" w:rsidR="00F63142" w:rsidRPr="000249AD" w:rsidRDefault="00F63142" w:rsidP="0091322F">
      <w:pPr>
        <w:pStyle w:val="SingleTxtG"/>
        <w:tabs>
          <w:tab w:val="left" w:pos="1701"/>
        </w:tabs>
        <w:rPr>
          <w:b/>
        </w:rPr>
      </w:pPr>
      <w:r w:rsidRPr="000249AD">
        <w:t>1</w:t>
      </w:r>
      <w:r w:rsidR="001C4B1C" w:rsidRPr="000249AD">
        <w:t>32</w:t>
      </w:r>
      <w:r w:rsidRPr="000249AD">
        <w:t>.</w:t>
      </w:r>
      <w:r w:rsidRPr="000249AD">
        <w:rPr>
          <w:b/>
        </w:rPr>
        <w:tab/>
        <w:t>The Special Rapporteur makes the following recommendations to the Government with regard to strengthening the international legal framework for hazardous substances and chemicals management:</w:t>
      </w:r>
    </w:p>
    <w:p w14:paraId="0BA6946B" w14:textId="0980119A" w:rsidR="00F63142" w:rsidRPr="000249AD" w:rsidRDefault="00F63142" w:rsidP="00AE7004">
      <w:pPr>
        <w:tabs>
          <w:tab w:val="left" w:pos="567"/>
        </w:tabs>
        <w:spacing w:after="120"/>
        <w:ind w:left="1134" w:right="1134" w:firstLine="567"/>
        <w:jc w:val="both"/>
        <w:rPr>
          <w:b/>
        </w:rPr>
      </w:pPr>
      <w:r w:rsidRPr="00AE7004">
        <w:rPr>
          <w:bCs/>
        </w:rPr>
        <w:t>(a)</w:t>
      </w:r>
      <w:r w:rsidRPr="000249AD">
        <w:rPr>
          <w:b/>
        </w:rPr>
        <w:tab/>
        <w:t xml:space="preserve">Strengthen global standards </w:t>
      </w:r>
      <w:r w:rsidR="009B1851" w:rsidRPr="000249AD">
        <w:rPr>
          <w:b/>
        </w:rPr>
        <w:t xml:space="preserve">for </w:t>
      </w:r>
      <w:r w:rsidRPr="000249AD">
        <w:rPr>
          <w:b/>
        </w:rPr>
        <w:t xml:space="preserve">protection </w:t>
      </w:r>
      <w:r w:rsidR="009B1851" w:rsidRPr="000249AD">
        <w:rPr>
          <w:b/>
        </w:rPr>
        <w:t xml:space="preserve">against the </w:t>
      </w:r>
      <w:r w:rsidR="00CD4AAB" w:rsidRPr="000249AD">
        <w:rPr>
          <w:b/>
        </w:rPr>
        <w:t xml:space="preserve">adverse </w:t>
      </w:r>
      <w:r w:rsidR="009B1851" w:rsidRPr="000249AD">
        <w:rPr>
          <w:b/>
        </w:rPr>
        <w:t xml:space="preserve">effects of </w:t>
      </w:r>
      <w:r w:rsidRPr="000249AD">
        <w:rPr>
          <w:b/>
        </w:rPr>
        <w:t xml:space="preserve">toxic chemicals; </w:t>
      </w:r>
    </w:p>
    <w:p w14:paraId="10988C6A" w14:textId="112FF3FA" w:rsidR="00F63142" w:rsidRPr="000249AD" w:rsidRDefault="00F63142" w:rsidP="00AE7004">
      <w:pPr>
        <w:tabs>
          <w:tab w:val="left" w:pos="567"/>
        </w:tabs>
        <w:spacing w:after="120"/>
        <w:ind w:left="1134" w:right="1134" w:firstLine="567"/>
        <w:jc w:val="both"/>
        <w:rPr>
          <w:b/>
        </w:rPr>
      </w:pPr>
      <w:r w:rsidRPr="00AE7004">
        <w:rPr>
          <w:bCs/>
        </w:rPr>
        <w:t>(b)</w:t>
      </w:r>
      <w:r w:rsidRPr="000249AD">
        <w:rPr>
          <w:b/>
        </w:rPr>
        <w:tab/>
      </w:r>
      <w:r w:rsidR="004911D2" w:rsidRPr="000249AD">
        <w:rPr>
          <w:b/>
        </w:rPr>
        <w:t>P</w:t>
      </w:r>
      <w:r w:rsidRPr="000249AD">
        <w:rPr>
          <w:b/>
        </w:rPr>
        <w:t>rioritize the transition from highly hazardous pesticides to safer alternatives as a matter of urgency;</w:t>
      </w:r>
    </w:p>
    <w:p w14:paraId="474F732F" w14:textId="1EDCB654" w:rsidR="00F63142" w:rsidRPr="000249AD" w:rsidRDefault="00F63142" w:rsidP="00AE7004">
      <w:pPr>
        <w:tabs>
          <w:tab w:val="left" w:pos="567"/>
        </w:tabs>
        <w:spacing w:after="120"/>
        <w:ind w:left="1134" w:right="1134" w:firstLine="567"/>
        <w:jc w:val="both"/>
        <w:rPr>
          <w:b/>
        </w:rPr>
      </w:pPr>
      <w:r w:rsidRPr="00AE7004">
        <w:rPr>
          <w:bCs/>
        </w:rPr>
        <w:t>(c)</w:t>
      </w:r>
      <w:r w:rsidRPr="000249AD">
        <w:rPr>
          <w:b/>
        </w:rPr>
        <w:tab/>
      </w:r>
      <w:r w:rsidR="009B1851" w:rsidRPr="000249AD">
        <w:rPr>
          <w:b/>
        </w:rPr>
        <w:t>S</w:t>
      </w:r>
      <w:r w:rsidRPr="000249AD">
        <w:rPr>
          <w:b/>
        </w:rPr>
        <w:t xml:space="preserve">trengthen the Strategic Approach to International Chemicals Management for the period beyond 2020 to better address gaps in chemicals and waste treaties; </w:t>
      </w:r>
    </w:p>
    <w:p w14:paraId="4E02A026" w14:textId="47896571" w:rsidR="00F63142" w:rsidRPr="000249AD" w:rsidRDefault="00F63142" w:rsidP="00AE7004">
      <w:pPr>
        <w:tabs>
          <w:tab w:val="left" w:pos="567"/>
        </w:tabs>
        <w:spacing w:after="120"/>
        <w:ind w:left="1134" w:right="1134" w:firstLine="567"/>
        <w:jc w:val="both"/>
        <w:rPr>
          <w:b/>
        </w:rPr>
      </w:pPr>
      <w:r w:rsidRPr="00AE7004">
        <w:rPr>
          <w:bCs/>
        </w:rPr>
        <w:t>(d)</w:t>
      </w:r>
      <w:r w:rsidRPr="000249AD">
        <w:rPr>
          <w:b/>
        </w:rPr>
        <w:tab/>
      </w:r>
      <w:r w:rsidR="009B1851" w:rsidRPr="000249AD">
        <w:rPr>
          <w:b/>
        </w:rPr>
        <w:t>I</w:t>
      </w:r>
      <w:r w:rsidRPr="000249AD">
        <w:rPr>
          <w:b/>
        </w:rPr>
        <w:t>dentify priorities for additional legally</w:t>
      </w:r>
      <w:r w:rsidR="004911D2" w:rsidRPr="000249AD">
        <w:rPr>
          <w:b/>
        </w:rPr>
        <w:t xml:space="preserve"> </w:t>
      </w:r>
      <w:r w:rsidRPr="000249AD">
        <w:rPr>
          <w:b/>
        </w:rPr>
        <w:t xml:space="preserve">binding obligations on chemicals and wastes at the global level for chemicals that cannot be managed in an </w:t>
      </w:r>
      <w:r w:rsidRPr="000249AD">
        <w:rPr>
          <w:b/>
        </w:rPr>
        <w:lastRenderedPageBreak/>
        <w:t xml:space="preserve">environmentally sound manner, with a view </w:t>
      </w:r>
      <w:r w:rsidR="004911D2" w:rsidRPr="000249AD">
        <w:rPr>
          <w:b/>
        </w:rPr>
        <w:t xml:space="preserve">to meeting </w:t>
      </w:r>
      <w:r w:rsidRPr="000249AD">
        <w:rPr>
          <w:b/>
        </w:rPr>
        <w:t>various relevant targets under the Sustainable Development Goals.</w:t>
      </w:r>
    </w:p>
    <w:p w14:paraId="55C6B5FC" w14:textId="3C0B3FCF" w:rsidR="00F63142" w:rsidRPr="000249AD" w:rsidRDefault="00F63142" w:rsidP="0091322F">
      <w:pPr>
        <w:pStyle w:val="SingleTxtG"/>
        <w:tabs>
          <w:tab w:val="left" w:pos="1701"/>
        </w:tabs>
      </w:pPr>
      <w:r w:rsidRPr="000249AD">
        <w:t>1</w:t>
      </w:r>
      <w:r w:rsidR="001C4B1C" w:rsidRPr="000249AD">
        <w:t>33</w:t>
      </w:r>
      <w:r w:rsidRPr="000249AD">
        <w:t>.</w:t>
      </w:r>
      <w:r w:rsidRPr="000249AD">
        <w:rPr>
          <w:b/>
        </w:rPr>
        <w:tab/>
      </w:r>
      <w:r w:rsidRPr="000249AD">
        <w:rPr>
          <w:rStyle w:val="SingleTxtGChar"/>
          <w:b/>
        </w:rPr>
        <w:t xml:space="preserve">The Special Rapporteur also makes the following recommendations to the Government: </w:t>
      </w:r>
    </w:p>
    <w:p w14:paraId="434058C4" w14:textId="558F5818" w:rsidR="00F63142" w:rsidRPr="000249AD" w:rsidRDefault="00F63142" w:rsidP="00AE7004">
      <w:pPr>
        <w:tabs>
          <w:tab w:val="left" w:pos="567"/>
        </w:tabs>
        <w:spacing w:after="120"/>
        <w:ind w:left="1134" w:right="1134" w:firstLine="567"/>
        <w:jc w:val="both"/>
        <w:rPr>
          <w:b/>
        </w:rPr>
      </w:pPr>
      <w:r w:rsidRPr="00AE7004">
        <w:rPr>
          <w:bCs/>
        </w:rPr>
        <w:t>(a)</w:t>
      </w:r>
      <w:r w:rsidRPr="000249AD">
        <w:rPr>
          <w:b/>
        </w:rPr>
        <w:tab/>
        <w:t>Strengthen the involvement of civil society organi</w:t>
      </w:r>
      <w:r w:rsidR="00797C99" w:rsidRPr="000249AD">
        <w:rPr>
          <w:b/>
        </w:rPr>
        <w:t>z</w:t>
      </w:r>
      <w:r w:rsidRPr="000249AD">
        <w:rPr>
          <w:b/>
        </w:rPr>
        <w:t>ations and public participation in chemical policymaking;</w:t>
      </w:r>
    </w:p>
    <w:p w14:paraId="169A3757" w14:textId="77337C8A" w:rsidR="00F63142" w:rsidRPr="000249AD" w:rsidRDefault="00F63142" w:rsidP="00AE7004">
      <w:pPr>
        <w:tabs>
          <w:tab w:val="left" w:pos="567"/>
        </w:tabs>
        <w:spacing w:after="120"/>
        <w:ind w:left="1134" w:right="1134" w:firstLine="567"/>
        <w:jc w:val="both"/>
        <w:rPr>
          <w:b/>
        </w:rPr>
      </w:pPr>
      <w:r w:rsidRPr="00AE7004">
        <w:rPr>
          <w:bCs/>
        </w:rPr>
        <w:t>(b)</w:t>
      </w:r>
      <w:r w:rsidRPr="000249AD">
        <w:rPr>
          <w:b/>
        </w:rPr>
        <w:tab/>
      </w:r>
      <w:r w:rsidR="009B1851" w:rsidRPr="000249AD">
        <w:rPr>
          <w:b/>
        </w:rPr>
        <w:t>E</w:t>
      </w:r>
      <w:r w:rsidRPr="000249AD">
        <w:rPr>
          <w:b/>
        </w:rPr>
        <w:t>nhance national surveillance of chemicals in products and strengthen information exchange;</w:t>
      </w:r>
    </w:p>
    <w:p w14:paraId="3549B9CE" w14:textId="0D3DA296" w:rsidR="00F63142" w:rsidRPr="000249AD" w:rsidRDefault="00F63142" w:rsidP="00AE7004">
      <w:pPr>
        <w:tabs>
          <w:tab w:val="left" w:pos="567"/>
        </w:tabs>
        <w:spacing w:after="120"/>
        <w:ind w:left="1134" w:right="1134" w:firstLine="567"/>
        <w:jc w:val="both"/>
        <w:rPr>
          <w:b/>
        </w:rPr>
      </w:pPr>
      <w:r w:rsidRPr="00AE7004">
        <w:rPr>
          <w:bCs/>
        </w:rPr>
        <w:t>(c)</w:t>
      </w:r>
      <w:r w:rsidRPr="000249AD">
        <w:rPr>
          <w:b/>
        </w:rPr>
        <w:tab/>
      </w:r>
      <w:r w:rsidR="009B1851" w:rsidRPr="000249AD">
        <w:rPr>
          <w:b/>
        </w:rPr>
        <w:t>I</w:t>
      </w:r>
      <w:r w:rsidRPr="000249AD">
        <w:rPr>
          <w:b/>
        </w:rPr>
        <w:t>mprove the enforcement of chemical regulations by better control</w:t>
      </w:r>
      <w:r w:rsidR="007C6702" w:rsidRPr="000249AD">
        <w:rPr>
          <w:b/>
        </w:rPr>
        <w:t>;</w:t>
      </w:r>
    </w:p>
    <w:p w14:paraId="6869EC53" w14:textId="10930FEA" w:rsidR="00F63142" w:rsidRPr="000249AD" w:rsidRDefault="00F63142" w:rsidP="00AE7004">
      <w:pPr>
        <w:tabs>
          <w:tab w:val="left" w:pos="567"/>
        </w:tabs>
        <w:spacing w:after="120"/>
        <w:ind w:left="1134" w:right="1134" w:firstLine="567"/>
        <w:jc w:val="both"/>
        <w:rPr>
          <w:b/>
        </w:rPr>
      </w:pPr>
      <w:r w:rsidRPr="00AE7004">
        <w:rPr>
          <w:bCs/>
        </w:rPr>
        <w:t>(d)</w:t>
      </w:r>
      <w:r w:rsidRPr="000249AD">
        <w:rPr>
          <w:b/>
        </w:rPr>
        <w:tab/>
      </w:r>
      <w:r w:rsidR="009B1851" w:rsidRPr="000249AD">
        <w:rPr>
          <w:b/>
        </w:rPr>
        <w:t>C</w:t>
      </w:r>
      <w:r w:rsidRPr="000249AD">
        <w:rPr>
          <w:b/>
        </w:rPr>
        <w:t>ontrol waste streams to be exported;</w:t>
      </w:r>
    </w:p>
    <w:p w14:paraId="429C19D9" w14:textId="74D6390E" w:rsidR="00F63142" w:rsidRPr="000249AD" w:rsidRDefault="00F63142" w:rsidP="00AE7004">
      <w:pPr>
        <w:tabs>
          <w:tab w:val="left" w:pos="567"/>
        </w:tabs>
        <w:spacing w:after="120"/>
        <w:ind w:left="1134" w:right="1134" w:firstLine="567"/>
        <w:jc w:val="both"/>
        <w:rPr>
          <w:b/>
        </w:rPr>
      </w:pPr>
      <w:r w:rsidRPr="00AE7004">
        <w:rPr>
          <w:bCs/>
        </w:rPr>
        <w:t>(e)</w:t>
      </w:r>
      <w:r w:rsidRPr="000249AD">
        <w:rPr>
          <w:b/>
        </w:rPr>
        <w:tab/>
      </w:r>
      <w:r w:rsidR="009B1851" w:rsidRPr="000249AD">
        <w:rPr>
          <w:b/>
        </w:rPr>
        <w:t>S</w:t>
      </w:r>
      <w:r w:rsidRPr="000249AD">
        <w:rPr>
          <w:b/>
        </w:rPr>
        <w:t>upport environmental labelling and information for consumers;</w:t>
      </w:r>
    </w:p>
    <w:p w14:paraId="799870AC" w14:textId="7A829392" w:rsidR="00F63142" w:rsidRPr="000249AD" w:rsidRDefault="00F63142" w:rsidP="00AE7004">
      <w:pPr>
        <w:tabs>
          <w:tab w:val="left" w:pos="567"/>
        </w:tabs>
        <w:spacing w:after="120"/>
        <w:ind w:left="1134" w:right="1134" w:firstLine="567"/>
        <w:jc w:val="both"/>
        <w:rPr>
          <w:b/>
        </w:rPr>
      </w:pPr>
      <w:r w:rsidRPr="00AE7004">
        <w:rPr>
          <w:bCs/>
        </w:rPr>
        <w:t>(f)</w:t>
      </w:r>
      <w:r w:rsidRPr="000249AD">
        <w:rPr>
          <w:b/>
        </w:rPr>
        <w:tab/>
      </w:r>
      <w:r w:rsidR="009B1851" w:rsidRPr="000249AD">
        <w:rPr>
          <w:b/>
        </w:rPr>
        <w:t>I</w:t>
      </w:r>
      <w:r w:rsidRPr="000249AD">
        <w:rPr>
          <w:b/>
        </w:rPr>
        <w:t xml:space="preserve">ncrease information for marginalized </w:t>
      </w:r>
      <w:r w:rsidR="004911D2" w:rsidRPr="000249AD">
        <w:rPr>
          <w:b/>
        </w:rPr>
        <w:t xml:space="preserve">persons </w:t>
      </w:r>
      <w:r w:rsidRPr="000249AD">
        <w:rPr>
          <w:b/>
        </w:rPr>
        <w:t>and those in vulnerable situations, especially pregnant women and those who work</w:t>
      </w:r>
      <w:r w:rsidR="004911D2" w:rsidRPr="000249AD">
        <w:rPr>
          <w:b/>
        </w:rPr>
        <w:t xml:space="preserve"> or </w:t>
      </w:r>
      <w:r w:rsidRPr="000249AD">
        <w:rPr>
          <w:b/>
        </w:rPr>
        <w:t xml:space="preserve">live with children, about protection measures, especially </w:t>
      </w:r>
      <w:r w:rsidR="004A5049" w:rsidRPr="00AE7004">
        <w:rPr>
          <w:b/>
          <w:bCs/>
          <w:iCs/>
        </w:rPr>
        <w:t>endocrine disrupting chemicals</w:t>
      </w:r>
      <w:r w:rsidRPr="000249AD">
        <w:rPr>
          <w:b/>
        </w:rPr>
        <w:t>;</w:t>
      </w:r>
    </w:p>
    <w:p w14:paraId="68276454" w14:textId="7E643009" w:rsidR="00F63142" w:rsidRPr="000249AD" w:rsidRDefault="00F63142" w:rsidP="00AE7004">
      <w:pPr>
        <w:tabs>
          <w:tab w:val="left" w:pos="567"/>
        </w:tabs>
        <w:spacing w:after="120"/>
        <w:ind w:left="1134" w:right="1134" w:firstLine="567"/>
        <w:jc w:val="both"/>
        <w:rPr>
          <w:b/>
        </w:rPr>
      </w:pPr>
      <w:r w:rsidRPr="00AE7004">
        <w:rPr>
          <w:bCs/>
        </w:rPr>
        <w:t>(g)</w:t>
      </w:r>
      <w:r w:rsidRPr="000249AD">
        <w:rPr>
          <w:b/>
        </w:rPr>
        <w:tab/>
      </w:r>
      <w:r w:rsidR="009B1851" w:rsidRPr="000249AD">
        <w:rPr>
          <w:b/>
        </w:rPr>
        <w:t>I</w:t>
      </w:r>
      <w:r w:rsidRPr="000249AD">
        <w:rPr>
          <w:b/>
        </w:rPr>
        <w:t>mplement risk reduction measures, especially for those in vulnerable situations.</w:t>
      </w:r>
    </w:p>
    <w:p w14:paraId="4A40CF72" w14:textId="5A61BD93" w:rsidR="00F63142" w:rsidRPr="000249AD" w:rsidRDefault="001C4B1C" w:rsidP="0091322F">
      <w:pPr>
        <w:pStyle w:val="SingleTxtG"/>
        <w:tabs>
          <w:tab w:val="left" w:pos="1701"/>
        </w:tabs>
        <w:rPr>
          <w:b/>
        </w:rPr>
      </w:pPr>
      <w:r w:rsidRPr="000249AD">
        <w:t>134</w:t>
      </w:r>
      <w:r w:rsidR="00F63142" w:rsidRPr="000249AD">
        <w:t>.</w:t>
      </w:r>
      <w:r w:rsidR="00F63142" w:rsidRPr="000249AD">
        <w:rPr>
          <w:b/>
        </w:rPr>
        <w:tab/>
        <w:t>The Special Rapporteur makes the following recommendations to the German chemical business enterprises with regard to strengthening the international legal framework for chemicals management:</w:t>
      </w:r>
    </w:p>
    <w:p w14:paraId="33631597" w14:textId="6493CDF7" w:rsidR="00F63142" w:rsidRPr="000249AD" w:rsidRDefault="00F63142" w:rsidP="00CD192C">
      <w:pPr>
        <w:spacing w:after="120"/>
        <w:ind w:left="1134" w:right="1134" w:firstLine="567"/>
        <w:jc w:val="both"/>
        <w:rPr>
          <w:b/>
        </w:rPr>
      </w:pPr>
      <w:r w:rsidRPr="00AE7004">
        <w:rPr>
          <w:bCs/>
        </w:rPr>
        <w:t>(a)</w:t>
      </w:r>
      <w:r w:rsidRPr="000249AD">
        <w:rPr>
          <w:b/>
        </w:rPr>
        <w:tab/>
        <w:t>Engage in capacity</w:t>
      </w:r>
      <w:r w:rsidR="00CD192C" w:rsidRPr="000249AD">
        <w:rPr>
          <w:b/>
        </w:rPr>
        <w:t>-</w:t>
      </w:r>
      <w:r w:rsidRPr="000249AD">
        <w:rPr>
          <w:b/>
        </w:rPr>
        <w:t>building with developing countries, with a view to eliminating the manufacture/use/release of hazardous substances, including an orderly phase-out of highly hazardous pesticides globally, and transition</w:t>
      </w:r>
      <w:r w:rsidR="007C6702" w:rsidRPr="000249AD">
        <w:rPr>
          <w:b/>
        </w:rPr>
        <w:t>ing</w:t>
      </w:r>
      <w:r w:rsidRPr="000249AD">
        <w:rPr>
          <w:b/>
        </w:rPr>
        <w:t xml:space="preserve"> to safer alternatives;</w:t>
      </w:r>
    </w:p>
    <w:p w14:paraId="7B401F23" w14:textId="155170F2" w:rsidR="00F63142" w:rsidRPr="000249AD" w:rsidRDefault="00F63142" w:rsidP="009B1851">
      <w:pPr>
        <w:spacing w:after="120"/>
        <w:ind w:left="1134" w:right="1134" w:firstLine="567"/>
        <w:jc w:val="both"/>
        <w:rPr>
          <w:b/>
        </w:rPr>
      </w:pPr>
      <w:r w:rsidRPr="00AE7004">
        <w:rPr>
          <w:bCs/>
        </w:rPr>
        <w:t>(b)</w:t>
      </w:r>
      <w:r w:rsidRPr="000249AD">
        <w:rPr>
          <w:b/>
        </w:rPr>
        <w:tab/>
      </w:r>
      <w:r w:rsidR="009B1851" w:rsidRPr="000249AD">
        <w:rPr>
          <w:b/>
        </w:rPr>
        <w:t>W</w:t>
      </w:r>
      <w:r w:rsidRPr="000249AD">
        <w:rPr>
          <w:b/>
        </w:rPr>
        <w:t>ork with industry partners to develop global mechanisms to finance the cost of chemicals management at the national and/or regional level</w:t>
      </w:r>
      <w:r w:rsidR="004911D2" w:rsidRPr="000249AD">
        <w:rPr>
          <w:b/>
        </w:rPr>
        <w:t>s</w:t>
      </w:r>
      <w:r w:rsidRPr="000249AD">
        <w:rPr>
          <w:b/>
        </w:rPr>
        <w:t xml:space="preserve"> for developing countries. </w:t>
      </w:r>
    </w:p>
    <w:p w14:paraId="65F78763" w14:textId="0F8F908C" w:rsidR="00F63142" w:rsidRPr="000249AD" w:rsidRDefault="001C4B1C" w:rsidP="0091322F">
      <w:pPr>
        <w:pStyle w:val="SingleTxtG"/>
        <w:tabs>
          <w:tab w:val="left" w:pos="1701"/>
        </w:tabs>
        <w:rPr>
          <w:b/>
        </w:rPr>
      </w:pPr>
      <w:r w:rsidRPr="000249AD">
        <w:t>135</w:t>
      </w:r>
      <w:r w:rsidR="00F63142" w:rsidRPr="000249AD">
        <w:t>.</w:t>
      </w:r>
      <w:r w:rsidR="00F63142" w:rsidRPr="000249AD">
        <w:rPr>
          <w:b/>
        </w:rPr>
        <w:tab/>
        <w:t xml:space="preserve">The Special Rapporteur makes the following recommendations to the Government with regard to preventing human rights violations at home and abuse abroad by German business enterprises: </w:t>
      </w:r>
    </w:p>
    <w:p w14:paraId="6411BC9A" w14:textId="68C9A313" w:rsidR="00F63142" w:rsidRPr="000249AD" w:rsidRDefault="00F63142" w:rsidP="00E96330">
      <w:pPr>
        <w:spacing w:after="120"/>
        <w:ind w:left="1134" w:right="1134" w:firstLine="567"/>
        <w:jc w:val="both"/>
        <w:rPr>
          <w:b/>
        </w:rPr>
      </w:pPr>
      <w:r w:rsidRPr="00AE7004">
        <w:rPr>
          <w:bCs/>
        </w:rPr>
        <w:t>(a)</w:t>
      </w:r>
      <w:r w:rsidRPr="000249AD">
        <w:rPr>
          <w:b/>
        </w:rPr>
        <w:tab/>
        <w:t xml:space="preserve">Raise awareness and build capacity on the respective obligations and responsibilities of the Government and all business enterprises to prevent and address adverse business-related human rights impacts in relation to </w:t>
      </w:r>
      <w:r w:rsidR="00CD4AAB" w:rsidRPr="000249AD">
        <w:rPr>
          <w:b/>
          <w:bCs/>
        </w:rPr>
        <w:t xml:space="preserve">hazardous </w:t>
      </w:r>
      <w:r w:rsidR="00E96330" w:rsidRPr="000249AD">
        <w:rPr>
          <w:b/>
          <w:bCs/>
        </w:rPr>
        <w:t>substances</w:t>
      </w:r>
      <w:r w:rsidR="00CD4AAB" w:rsidRPr="000249AD">
        <w:rPr>
          <w:b/>
          <w:bCs/>
        </w:rPr>
        <w:t xml:space="preserve"> and </w:t>
      </w:r>
      <w:r w:rsidR="004911D2" w:rsidRPr="00AE7004">
        <w:rPr>
          <w:b/>
          <w:bCs/>
        </w:rPr>
        <w:t>waste</w:t>
      </w:r>
      <w:r w:rsidRPr="000249AD">
        <w:rPr>
          <w:b/>
        </w:rPr>
        <w:t>, in line with the Guiding Principles on Business and Human Rights;</w:t>
      </w:r>
    </w:p>
    <w:p w14:paraId="177D3F68" w14:textId="1A81F1B0" w:rsidR="00F63142" w:rsidRPr="000249AD" w:rsidRDefault="00F63142" w:rsidP="009B1851">
      <w:pPr>
        <w:spacing w:after="120"/>
        <w:ind w:left="1134" w:right="1134" w:firstLine="567"/>
        <w:jc w:val="both"/>
        <w:rPr>
          <w:b/>
        </w:rPr>
      </w:pPr>
      <w:r w:rsidRPr="00AE7004">
        <w:rPr>
          <w:bCs/>
        </w:rPr>
        <w:t>(b)</w:t>
      </w:r>
      <w:r w:rsidRPr="000249AD">
        <w:rPr>
          <w:b/>
        </w:rPr>
        <w:tab/>
      </w:r>
      <w:r w:rsidR="009B1851" w:rsidRPr="000249AD">
        <w:rPr>
          <w:b/>
        </w:rPr>
        <w:t>S</w:t>
      </w:r>
      <w:r w:rsidRPr="000249AD">
        <w:rPr>
          <w:b/>
        </w:rPr>
        <w:t>et out clear expectations in the National Action Plan on Business and Human Rights and legally require all business enterprises in Germany to respect human rights throughout their operations and conduct human rights due diligence in relation to their domestic and international operations and supply chains</w:t>
      </w:r>
      <w:r w:rsidR="00975E7B" w:rsidRPr="000249AD">
        <w:rPr>
          <w:b/>
        </w:rPr>
        <w:t>, including the elimination of double standards</w:t>
      </w:r>
      <w:r w:rsidRPr="000249AD">
        <w:rPr>
          <w:b/>
        </w:rPr>
        <w:t>;</w:t>
      </w:r>
    </w:p>
    <w:p w14:paraId="3AF63BFE" w14:textId="53503177" w:rsidR="00F63142" w:rsidRPr="000249AD" w:rsidRDefault="00F63142" w:rsidP="004911D2">
      <w:pPr>
        <w:spacing w:after="120"/>
        <w:ind w:left="1134" w:right="1134" w:firstLine="567"/>
        <w:jc w:val="both"/>
        <w:rPr>
          <w:b/>
        </w:rPr>
      </w:pPr>
      <w:r w:rsidRPr="00AE7004">
        <w:rPr>
          <w:bCs/>
        </w:rPr>
        <w:t>(c)</w:t>
      </w:r>
      <w:r w:rsidRPr="000249AD">
        <w:rPr>
          <w:b/>
        </w:rPr>
        <w:tab/>
      </w:r>
      <w:r w:rsidR="009B1851" w:rsidRPr="000249AD">
        <w:rPr>
          <w:b/>
        </w:rPr>
        <w:t>P</w:t>
      </w:r>
      <w:r w:rsidRPr="000249AD">
        <w:rPr>
          <w:b/>
        </w:rPr>
        <w:t xml:space="preserve">rovide international cooperation and financial assistance to developing countries that are host </w:t>
      </w:r>
      <w:r w:rsidR="004911D2" w:rsidRPr="000249AD">
        <w:rPr>
          <w:b/>
        </w:rPr>
        <w:t>S</w:t>
      </w:r>
      <w:r w:rsidRPr="000249AD">
        <w:rPr>
          <w:b/>
        </w:rPr>
        <w:t>tates to German companies to prevent human rights abuses, especially those where such abuses have been documented;</w:t>
      </w:r>
    </w:p>
    <w:p w14:paraId="1368567E" w14:textId="2EC8C1EE" w:rsidR="00F63142" w:rsidRPr="000249AD" w:rsidRDefault="00F63142" w:rsidP="004911D2">
      <w:pPr>
        <w:spacing w:after="120"/>
        <w:ind w:left="1134" w:right="1134" w:firstLine="567"/>
        <w:jc w:val="both"/>
        <w:rPr>
          <w:b/>
        </w:rPr>
      </w:pPr>
      <w:r w:rsidRPr="00AE7004">
        <w:rPr>
          <w:bCs/>
        </w:rPr>
        <w:t>(d)</w:t>
      </w:r>
      <w:r w:rsidRPr="000249AD">
        <w:rPr>
          <w:b/>
        </w:rPr>
        <w:tab/>
      </w:r>
      <w:r w:rsidR="009B1851" w:rsidRPr="000249AD">
        <w:rPr>
          <w:b/>
        </w:rPr>
        <w:t>S</w:t>
      </w:r>
      <w:r w:rsidRPr="000249AD">
        <w:rPr>
          <w:b/>
        </w:rPr>
        <w:t>trengthen mechanisms for public participation and dialogue between Government, business, trade associations and civil society on business and human rights issues</w:t>
      </w:r>
      <w:r w:rsidR="004911D2" w:rsidRPr="000249AD">
        <w:rPr>
          <w:b/>
        </w:rPr>
        <w:t>.</w:t>
      </w:r>
    </w:p>
    <w:p w14:paraId="24CAE3BC" w14:textId="66C495FC" w:rsidR="00F63142" w:rsidRPr="000249AD" w:rsidRDefault="001C4B1C" w:rsidP="00474CF4">
      <w:pPr>
        <w:pStyle w:val="SingleTxtG"/>
        <w:tabs>
          <w:tab w:val="left" w:pos="1701"/>
        </w:tabs>
        <w:rPr>
          <w:b/>
        </w:rPr>
      </w:pPr>
      <w:r w:rsidRPr="000249AD">
        <w:lastRenderedPageBreak/>
        <w:t>136</w:t>
      </w:r>
      <w:r w:rsidR="00F63142" w:rsidRPr="000249AD">
        <w:t>.</w:t>
      </w:r>
      <w:r w:rsidR="00F63142" w:rsidRPr="000249AD">
        <w:rPr>
          <w:b/>
        </w:rPr>
        <w:tab/>
        <w:t>The Special Rapporteur makes the following recommendations to German chemical business enterprises with regard to embedding the Guiding Principles on Business and Human Rights:</w:t>
      </w:r>
    </w:p>
    <w:p w14:paraId="168F7379" w14:textId="127C3B7D" w:rsidR="00F63142" w:rsidRPr="000249AD" w:rsidRDefault="00F63142" w:rsidP="00B36F5C">
      <w:pPr>
        <w:spacing w:after="120"/>
        <w:ind w:left="1134" w:right="1134" w:firstLine="567"/>
        <w:jc w:val="both"/>
        <w:rPr>
          <w:b/>
        </w:rPr>
      </w:pPr>
      <w:r w:rsidRPr="00AE7004">
        <w:rPr>
          <w:bCs/>
        </w:rPr>
        <w:t>(a)</w:t>
      </w:r>
      <w:r w:rsidRPr="000249AD">
        <w:rPr>
          <w:b/>
        </w:rPr>
        <w:tab/>
        <w:t xml:space="preserve">Comply with their responsibility to respect international human rights by adopting a human rights policy and carrying out human rights due diligence to identify, prevent </w:t>
      </w:r>
      <w:r w:rsidR="00B36F5C" w:rsidRPr="000249AD">
        <w:rPr>
          <w:b/>
        </w:rPr>
        <w:t xml:space="preserve">and </w:t>
      </w:r>
      <w:r w:rsidRPr="000249AD">
        <w:rPr>
          <w:b/>
        </w:rPr>
        <w:t>mitigate adverse human rights impacts due to</w:t>
      </w:r>
      <w:r w:rsidR="00B36F5C" w:rsidRPr="000249AD">
        <w:rPr>
          <w:b/>
        </w:rPr>
        <w:t>,</w:t>
      </w:r>
      <w:r w:rsidRPr="000249AD">
        <w:rPr>
          <w:b/>
        </w:rPr>
        <w:t xml:space="preserve"> inter alia</w:t>
      </w:r>
      <w:r w:rsidR="00B36F5C" w:rsidRPr="000249AD">
        <w:rPr>
          <w:b/>
        </w:rPr>
        <w:t>,</w:t>
      </w:r>
      <w:r w:rsidRPr="000249AD">
        <w:rPr>
          <w:b/>
        </w:rPr>
        <w:t xml:space="preserve"> hazardous substances and wastes</w:t>
      </w:r>
      <w:r w:rsidR="00B36F5C" w:rsidRPr="000249AD">
        <w:rPr>
          <w:b/>
        </w:rPr>
        <w:t>, and account for how they address such impacts</w:t>
      </w:r>
      <w:r w:rsidRPr="000249AD">
        <w:rPr>
          <w:b/>
        </w:rPr>
        <w:t>;</w:t>
      </w:r>
    </w:p>
    <w:p w14:paraId="184DAA13" w14:textId="761F6B54" w:rsidR="00F63142" w:rsidRPr="000249AD" w:rsidRDefault="00F63142" w:rsidP="00B36F5C">
      <w:pPr>
        <w:spacing w:after="120"/>
        <w:ind w:left="1134" w:right="1134" w:firstLine="567"/>
        <w:jc w:val="both"/>
        <w:rPr>
          <w:b/>
        </w:rPr>
      </w:pPr>
      <w:r w:rsidRPr="00AE7004">
        <w:rPr>
          <w:bCs/>
        </w:rPr>
        <w:t>(b)</w:t>
      </w:r>
      <w:r w:rsidRPr="000249AD">
        <w:rPr>
          <w:b/>
        </w:rPr>
        <w:tab/>
      </w:r>
      <w:r w:rsidR="009B1851" w:rsidRPr="000249AD">
        <w:rPr>
          <w:b/>
        </w:rPr>
        <w:t>I</w:t>
      </w:r>
      <w:r w:rsidRPr="000249AD">
        <w:rPr>
          <w:b/>
        </w:rPr>
        <w:t xml:space="preserve">n assessing actual or potential adverse human rights impacts </w:t>
      </w:r>
      <w:r w:rsidR="00B36F5C" w:rsidRPr="000249AD">
        <w:rPr>
          <w:b/>
        </w:rPr>
        <w:t xml:space="preserve">due to </w:t>
      </w:r>
      <w:r w:rsidRPr="000249AD">
        <w:rPr>
          <w:b/>
        </w:rPr>
        <w:t xml:space="preserve">hazardous substances and wastes, ensure meaningful consultation with affected individuals and communities, paying attention to marginalized </w:t>
      </w:r>
      <w:r w:rsidR="00B36F5C" w:rsidRPr="000249AD">
        <w:rPr>
          <w:b/>
        </w:rPr>
        <w:t xml:space="preserve">persons </w:t>
      </w:r>
      <w:r w:rsidRPr="000249AD">
        <w:rPr>
          <w:b/>
        </w:rPr>
        <w:t>or those in vulnerable situations and ensuring that they have timely and complete information about proposed projects, products or changes that may affect them and the capacity to put forward their opinions;</w:t>
      </w:r>
    </w:p>
    <w:p w14:paraId="76824875" w14:textId="2E657C8A" w:rsidR="00F63142" w:rsidRPr="000249AD" w:rsidRDefault="00F63142" w:rsidP="009B1851">
      <w:pPr>
        <w:spacing w:after="120"/>
        <w:ind w:left="1134" w:right="1134" w:firstLine="567"/>
        <w:jc w:val="both"/>
        <w:rPr>
          <w:b/>
        </w:rPr>
      </w:pPr>
      <w:r w:rsidRPr="00AE7004">
        <w:rPr>
          <w:bCs/>
        </w:rPr>
        <w:t>(c)</w:t>
      </w:r>
      <w:r w:rsidRPr="000249AD">
        <w:rPr>
          <w:b/>
        </w:rPr>
        <w:tab/>
      </w:r>
      <w:r w:rsidR="009B1851" w:rsidRPr="000249AD">
        <w:rPr>
          <w:b/>
        </w:rPr>
        <w:t>P</w:t>
      </w:r>
      <w:r w:rsidRPr="000249AD">
        <w:rPr>
          <w:b/>
        </w:rPr>
        <w:t xml:space="preserve">ay particular attention to how human rights risks from hazardous substances and wastes affect women, children, the elderly and men differently; </w:t>
      </w:r>
    </w:p>
    <w:p w14:paraId="7F229B20" w14:textId="54E8CAA5" w:rsidR="00F63142" w:rsidRPr="000249AD" w:rsidRDefault="00F63142" w:rsidP="00B36F5C">
      <w:pPr>
        <w:spacing w:after="120"/>
        <w:ind w:left="1134" w:right="1134" w:firstLine="567"/>
        <w:jc w:val="both"/>
        <w:rPr>
          <w:b/>
        </w:rPr>
      </w:pPr>
      <w:r w:rsidRPr="00AE7004">
        <w:rPr>
          <w:bCs/>
        </w:rPr>
        <w:t>(d)</w:t>
      </w:r>
      <w:r w:rsidRPr="000249AD">
        <w:rPr>
          <w:b/>
        </w:rPr>
        <w:tab/>
      </w:r>
      <w:r w:rsidR="009B1851" w:rsidRPr="000249AD">
        <w:rPr>
          <w:b/>
        </w:rPr>
        <w:t>E</w:t>
      </w:r>
      <w:r w:rsidRPr="000249AD">
        <w:rPr>
          <w:b/>
        </w:rPr>
        <w:t>stablish and operationalize grievance mechanisms in line with Principle 31</w:t>
      </w:r>
      <w:r w:rsidR="00B36F5C" w:rsidRPr="000249AD">
        <w:rPr>
          <w:b/>
        </w:rPr>
        <w:t xml:space="preserve"> of the Guiding Principles</w:t>
      </w:r>
      <w:r w:rsidRPr="000249AD">
        <w:rPr>
          <w:b/>
        </w:rPr>
        <w:t>, in order to identify and address adverse impacts;</w:t>
      </w:r>
    </w:p>
    <w:p w14:paraId="6DA606BE" w14:textId="726156FC" w:rsidR="00F63142" w:rsidRPr="000249AD" w:rsidRDefault="00F63142" w:rsidP="00B36F5C">
      <w:pPr>
        <w:spacing w:after="120"/>
        <w:ind w:left="1134" w:right="1134" w:firstLine="567"/>
        <w:jc w:val="both"/>
        <w:rPr>
          <w:b/>
        </w:rPr>
      </w:pPr>
      <w:r w:rsidRPr="00AE7004">
        <w:rPr>
          <w:bCs/>
        </w:rPr>
        <w:t>(e)</w:t>
      </w:r>
      <w:r w:rsidRPr="000249AD">
        <w:rPr>
          <w:b/>
        </w:rPr>
        <w:tab/>
      </w:r>
      <w:r w:rsidR="009B1851" w:rsidRPr="000249AD">
        <w:rPr>
          <w:b/>
        </w:rPr>
        <w:t>E</w:t>
      </w:r>
      <w:r w:rsidRPr="000249AD">
        <w:rPr>
          <w:b/>
        </w:rPr>
        <w:t xml:space="preserve">ngage in the development and implementation of the </w:t>
      </w:r>
      <w:r w:rsidR="00B36F5C" w:rsidRPr="000249AD">
        <w:rPr>
          <w:b/>
        </w:rPr>
        <w:t>N</w:t>
      </w:r>
      <w:r w:rsidRPr="000249AD">
        <w:rPr>
          <w:b/>
        </w:rPr>
        <w:t xml:space="preserve">ational </w:t>
      </w:r>
      <w:r w:rsidR="00B36F5C" w:rsidRPr="000249AD">
        <w:rPr>
          <w:b/>
        </w:rPr>
        <w:t>A</w:t>
      </w:r>
      <w:r w:rsidRPr="000249AD">
        <w:rPr>
          <w:b/>
        </w:rPr>
        <w:t xml:space="preserve">ction </w:t>
      </w:r>
      <w:r w:rsidR="00B36F5C" w:rsidRPr="000249AD">
        <w:rPr>
          <w:b/>
        </w:rPr>
        <w:t>P</w:t>
      </w:r>
      <w:r w:rsidRPr="000249AD">
        <w:rPr>
          <w:b/>
        </w:rPr>
        <w:t xml:space="preserve">lan on </w:t>
      </w:r>
      <w:r w:rsidR="00B36F5C" w:rsidRPr="000249AD">
        <w:rPr>
          <w:b/>
        </w:rPr>
        <w:t>B</w:t>
      </w:r>
      <w:r w:rsidRPr="000249AD">
        <w:rPr>
          <w:b/>
        </w:rPr>
        <w:t xml:space="preserve">usiness and </w:t>
      </w:r>
      <w:r w:rsidR="00B36F5C" w:rsidRPr="000249AD">
        <w:rPr>
          <w:b/>
        </w:rPr>
        <w:t>H</w:t>
      </w:r>
      <w:r w:rsidRPr="000249AD">
        <w:rPr>
          <w:b/>
        </w:rPr>
        <w:t xml:space="preserve">uman </w:t>
      </w:r>
      <w:r w:rsidR="00B36F5C" w:rsidRPr="000249AD">
        <w:rPr>
          <w:b/>
        </w:rPr>
        <w:t>R</w:t>
      </w:r>
      <w:r w:rsidRPr="000249AD">
        <w:rPr>
          <w:b/>
        </w:rPr>
        <w:t>ights</w:t>
      </w:r>
      <w:r w:rsidR="00B36F5C" w:rsidRPr="000249AD">
        <w:rPr>
          <w:b/>
        </w:rPr>
        <w:t>.</w:t>
      </w:r>
    </w:p>
    <w:p w14:paraId="4682B529" w14:textId="057DCA29" w:rsidR="00F63142" w:rsidRPr="000249AD" w:rsidRDefault="001C4B1C" w:rsidP="00B36F5C">
      <w:pPr>
        <w:pStyle w:val="SingleTxtG"/>
        <w:tabs>
          <w:tab w:val="left" w:pos="1701"/>
        </w:tabs>
        <w:rPr>
          <w:b/>
        </w:rPr>
      </w:pPr>
      <w:r w:rsidRPr="000249AD">
        <w:t>1</w:t>
      </w:r>
      <w:r w:rsidR="00E976FA" w:rsidRPr="000249AD">
        <w:t>3</w:t>
      </w:r>
      <w:r w:rsidRPr="000249AD">
        <w:t>7</w:t>
      </w:r>
      <w:r w:rsidR="00F63142" w:rsidRPr="000249AD">
        <w:t>.</w:t>
      </w:r>
      <w:r w:rsidR="00F63142" w:rsidRPr="000249AD">
        <w:rPr>
          <w:b/>
        </w:rPr>
        <w:tab/>
        <w:t xml:space="preserve">The Special Rapporteur makes the following recommendations to </w:t>
      </w:r>
      <w:r w:rsidR="00F03C4D" w:rsidRPr="000249AD">
        <w:rPr>
          <w:b/>
        </w:rPr>
        <w:t xml:space="preserve">the </w:t>
      </w:r>
      <w:r w:rsidR="00F63142" w:rsidRPr="000249AD">
        <w:rPr>
          <w:b/>
        </w:rPr>
        <w:t xml:space="preserve">German </w:t>
      </w:r>
      <w:r w:rsidR="00F03C4D" w:rsidRPr="00AE7004">
        <w:rPr>
          <w:b/>
          <w:bCs/>
        </w:rPr>
        <w:t>Chemical Industry Association</w:t>
      </w:r>
      <w:r w:rsidR="00F63142" w:rsidRPr="000249AD">
        <w:rPr>
          <w:b/>
        </w:rPr>
        <w:t xml:space="preserve"> with regard to </w:t>
      </w:r>
      <w:r w:rsidR="00B36F5C" w:rsidRPr="000249AD">
        <w:rPr>
          <w:b/>
        </w:rPr>
        <w:t>b</w:t>
      </w:r>
      <w:r w:rsidR="00F63142" w:rsidRPr="000249AD">
        <w:rPr>
          <w:b/>
        </w:rPr>
        <w:t xml:space="preserve">usiness and </w:t>
      </w:r>
      <w:r w:rsidR="00B36F5C" w:rsidRPr="000249AD">
        <w:rPr>
          <w:b/>
        </w:rPr>
        <w:t>h</w:t>
      </w:r>
      <w:r w:rsidR="00F63142" w:rsidRPr="000249AD">
        <w:rPr>
          <w:b/>
        </w:rPr>
        <w:t xml:space="preserve">uman </w:t>
      </w:r>
      <w:r w:rsidR="00B36F5C" w:rsidRPr="000249AD">
        <w:rPr>
          <w:b/>
        </w:rPr>
        <w:t>r</w:t>
      </w:r>
      <w:r w:rsidR="00F63142" w:rsidRPr="000249AD">
        <w:rPr>
          <w:b/>
        </w:rPr>
        <w:t>ights:</w:t>
      </w:r>
    </w:p>
    <w:p w14:paraId="1F6CC4FB" w14:textId="45C132E1" w:rsidR="00F63142" w:rsidRPr="000249AD" w:rsidRDefault="00F63142" w:rsidP="00B36F5C">
      <w:pPr>
        <w:spacing w:after="120"/>
        <w:ind w:left="1134" w:right="1134" w:firstLine="567"/>
        <w:jc w:val="both"/>
        <w:rPr>
          <w:b/>
        </w:rPr>
      </w:pPr>
      <w:r w:rsidRPr="00AE7004">
        <w:rPr>
          <w:bCs/>
        </w:rPr>
        <w:t>(a)</w:t>
      </w:r>
      <w:r w:rsidRPr="000249AD">
        <w:rPr>
          <w:b/>
        </w:rPr>
        <w:tab/>
        <w:t>Bring to the</w:t>
      </w:r>
      <w:r w:rsidR="00B36F5C" w:rsidRPr="000249AD">
        <w:rPr>
          <w:b/>
        </w:rPr>
        <w:t xml:space="preserve"> attention</w:t>
      </w:r>
      <w:r w:rsidRPr="000249AD">
        <w:rPr>
          <w:b/>
        </w:rPr>
        <w:t xml:space="preserve"> </w:t>
      </w:r>
      <w:r w:rsidR="00B36F5C" w:rsidRPr="000249AD">
        <w:rPr>
          <w:b/>
        </w:rPr>
        <w:t xml:space="preserve">of the </w:t>
      </w:r>
      <w:r w:rsidRPr="000249AD">
        <w:rPr>
          <w:b/>
        </w:rPr>
        <w:t xml:space="preserve">Board any allegations of any chemical company being involved in human rights abuses and take appropriate measures; </w:t>
      </w:r>
    </w:p>
    <w:p w14:paraId="2ACD97EB" w14:textId="17032766" w:rsidR="00F63142" w:rsidRPr="000249AD" w:rsidRDefault="00F63142" w:rsidP="009B1851">
      <w:pPr>
        <w:spacing w:after="120"/>
        <w:ind w:left="1134" w:right="1134" w:firstLine="567"/>
        <w:jc w:val="both"/>
        <w:rPr>
          <w:b/>
        </w:rPr>
      </w:pPr>
      <w:r w:rsidRPr="00AE7004">
        <w:rPr>
          <w:bCs/>
        </w:rPr>
        <w:t>(b)</w:t>
      </w:r>
      <w:r w:rsidRPr="000249AD">
        <w:rPr>
          <w:b/>
        </w:rPr>
        <w:tab/>
      </w:r>
      <w:r w:rsidR="009B1851" w:rsidRPr="000249AD">
        <w:rPr>
          <w:b/>
        </w:rPr>
        <w:t>E</w:t>
      </w:r>
      <w:r w:rsidRPr="000249AD">
        <w:rPr>
          <w:b/>
        </w:rPr>
        <w:t>nsure all member companies embed and implement the Guiding Principles on Business and Human Rights</w:t>
      </w:r>
      <w:r w:rsidR="001A46BD" w:rsidRPr="000249AD">
        <w:rPr>
          <w:b/>
        </w:rPr>
        <w:t>.</w:t>
      </w:r>
    </w:p>
    <w:p w14:paraId="2C49D7D5" w14:textId="7AB37435" w:rsidR="00F63142" w:rsidRPr="000249AD" w:rsidRDefault="00F63142" w:rsidP="0091322F">
      <w:pPr>
        <w:pStyle w:val="SingleTxtG"/>
        <w:tabs>
          <w:tab w:val="left" w:pos="1701"/>
        </w:tabs>
        <w:rPr>
          <w:b/>
        </w:rPr>
      </w:pPr>
      <w:r w:rsidRPr="000249AD">
        <w:t>1</w:t>
      </w:r>
      <w:r w:rsidR="001C4B1C" w:rsidRPr="000249AD">
        <w:t>38</w:t>
      </w:r>
      <w:r w:rsidRPr="000249AD">
        <w:t>.</w:t>
      </w:r>
      <w:r w:rsidRPr="000249AD">
        <w:rPr>
          <w:b/>
        </w:rPr>
        <w:tab/>
        <w:t xml:space="preserve">The Special Rapporteur recommends that civil society: </w:t>
      </w:r>
    </w:p>
    <w:p w14:paraId="27E9C878" w14:textId="1E1D0E5C" w:rsidR="00F63142" w:rsidRPr="000249AD" w:rsidRDefault="00F63142" w:rsidP="00063822">
      <w:pPr>
        <w:spacing w:after="120"/>
        <w:ind w:left="1134" w:right="1134" w:firstLine="567"/>
        <w:jc w:val="both"/>
        <w:rPr>
          <w:b/>
        </w:rPr>
      </w:pPr>
      <w:r w:rsidRPr="00AE7004">
        <w:rPr>
          <w:bCs/>
        </w:rPr>
        <w:t>(a)</w:t>
      </w:r>
      <w:r w:rsidRPr="000249AD">
        <w:rPr>
          <w:b/>
        </w:rPr>
        <w:tab/>
        <w:t xml:space="preserve">Continue to raise awareness about the respective obligations and responsibilities of </w:t>
      </w:r>
      <w:r w:rsidR="00063822" w:rsidRPr="000249AD">
        <w:rPr>
          <w:b/>
        </w:rPr>
        <w:t xml:space="preserve">the </w:t>
      </w:r>
      <w:r w:rsidRPr="000249AD">
        <w:rPr>
          <w:b/>
        </w:rPr>
        <w:t>Government and business enterprises under international human rights law to prevent and address human rights impacts related to hazardous substances and wastes due to the operations of business enterprises</w:t>
      </w:r>
      <w:r w:rsidR="00063822" w:rsidRPr="000249AD">
        <w:rPr>
          <w:b/>
        </w:rPr>
        <w:t>;</w:t>
      </w:r>
      <w:r w:rsidRPr="000249AD">
        <w:rPr>
          <w:b/>
        </w:rPr>
        <w:t xml:space="preserve"> </w:t>
      </w:r>
    </w:p>
    <w:p w14:paraId="4EBC5F03" w14:textId="5BBCA062" w:rsidR="00F63142" w:rsidRPr="000249AD" w:rsidRDefault="00F63142" w:rsidP="009B1851">
      <w:pPr>
        <w:spacing w:after="120"/>
        <w:ind w:left="1134" w:right="1134" w:firstLine="567"/>
        <w:jc w:val="both"/>
        <w:rPr>
          <w:b/>
        </w:rPr>
      </w:pPr>
      <w:r w:rsidRPr="00AE7004">
        <w:rPr>
          <w:bCs/>
        </w:rPr>
        <w:t>(b)</w:t>
      </w:r>
      <w:r w:rsidRPr="000249AD">
        <w:rPr>
          <w:b/>
        </w:rPr>
        <w:tab/>
      </w:r>
      <w:r w:rsidR="009B1851" w:rsidRPr="000249AD">
        <w:rPr>
          <w:b/>
        </w:rPr>
        <w:t>C</w:t>
      </w:r>
      <w:r w:rsidRPr="000249AD">
        <w:rPr>
          <w:b/>
        </w:rPr>
        <w:t>onsider holding business human rights awareness-raising events for government agencies that focus on hazardous substances and waste issues;</w:t>
      </w:r>
    </w:p>
    <w:p w14:paraId="2B95D181" w14:textId="6E61BBF2" w:rsidR="00F63142" w:rsidRPr="000249AD" w:rsidRDefault="00F63142" w:rsidP="009B1851">
      <w:pPr>
        <w:spacing w:after="120"/>
        <w:ind w:left="1134" w:right="1134" w:firstLine="567"/>
        <w:jc w:val="both"/>
        <w:rPr>
          <w:b/>
        </w:rPr>
      </w:pPr>
      <w:r w:rsidRPr="00AE7004">
        <w:rPr>
          <w:bCs/>
        </w:rPr>
        <w:t>(c)</w:t>
      </w:r>
      <w:r w:rsidRPr="000249AD">
        <w:rPr>
          <w:b/>
        </w:rPr>
        <w:tab/>
      </w:r>
      <w:r w:rsidR="009B1851" w:rsidRPr="000249AD">
        <w:rPr>
          <w:b/>
        </w:rPr>
        <w:t>C</w:t>
      </w:r>
      <w:r w:rsidRPr="000249AD">
        <w:rPr>
          <w:b/>
        </w:rPr>
        <w:t>ontinue to champion the rights of the most vulnerable at home and abroad and human rights defenders;</w:t>
      </w:r>
    </w:p>
    <w:p w14:paraId="2D930C6B" w14:textId="7FF9ACC8" w:rsidR="00F63142" w:rsidRPr="006854D4" w:rsidRDefault="00F63142" w:rsidP="00063822">
      <w:pPr>
        <w:spacing w:after="120"/>
        <w:ind w:left="1134" w:right="1134" w:firstLine="567"/>
        <w:jc w:val="both"/>
        <w:rPr>
          <w:b/>
        </w:rPr>
      </w:pPr>
      <w:r w:rsidRPr="00AE7004">
        <w:rPr>
          <w:bCs/>
        </w:rPr>
        <w:t>(d)</w:t>
      </w:r>
      <w:r w:rsidRPr="000249AD">
        <w:rPr>
          <w:b/>
        </w:rPr>
        <w:tab/>
      </w:r>
      <w:r w:rsidR="009B1851" w:rsidRPr="000249AD">
        <w:rPr>
          <w:b/>
        </w:rPr>
        <w:t>E</w:t>
      </w:r>
      <w:r w:rsidRPr="000249AD">
        <w:rPr>
          <w:b/>
        </w:rPr>
        <w:t xml:space="preserve">ngage in the implementation of the </w:t>
      </w:r>
      <w:r w:rsidR="00694B90" w:rsidRPr="000249AD">
        <w:rPr>
          <w:b/>
        </w:rPr>
        <w:t xml:space="preserve">National Action Plan on </w:t>
      </w:r>
      <w:r w:rsidR="00063822" w:rsidRPr="000249AD">
        <w:rPr>
          <w:b/>
        </w:rPr>
        <w:t>Business and H</w:t>
      </w:r>
      <w:r w:rsidR="00694B90" w:rsidRPr="000249AD">
        <w:rPr>
          <w:b/>
        </w:rPr>
        <w:t xml:space="preserve">uman </w:t>
      </w:r>
      <w:r w:rsidR="00063822" w:rsidRPr="000249AD">
        <w:rPr>
          <w:b/>
        </w:rPr>
        <w:t>R</w:t>
      </w:r>
      <w:r w:rsidR="00694B90" w:rsidRPr="000249AD">
        <w:rPr>
          <w:b/>
        </w:rPr>
        <w:t>ights</w:t>
      </w:r>
      <w:r w:rsidRPr="000249AD">
        <w:rPr>
          <w:b/>
        </w:rPr>
        <w:t>.</w:t>
      </w:r>
    </w:p>
    <w:p w14:paraId="08F8CF83" w14:textId="420BBCAB" w:rsidR="00AA5D99" w:rsidRPr="00414AA2" w:rsidRDefault="00F63142" w:rsidP="00414AA2">
      <w:pPr>
        <w:spacing w:before="240"/>
        <w:ind w:left="1134" w:right="1134"/>
        <w:jc w:val="center"/>
        <w:rPr>
          <w:u w:val="single"/>
        </w:rPr>
      </w:pPr>
      <w:r w:rsidRPr="006854D4">
        <w:rPr>
          <w:bCs/>
          <w:u w:val="single"/>
          <w:lang w:eastAsia="ja-JP"/>
        </w:rPr>
        <w:tab/>
      </w:r>
      <w:r w:rsidRPr="006854D4">
        <w:rPr>
          <w:bCs/>
          <w:u w:val="single"/>
          <w:lang w:eastAsia="ja-JP"/>
        </w:rPr>
        <w:tab/>
      </w:r>
      <w:r w:rsidRPr="006854D4">
        <w:rPr>
          <w:bCs/>
          <w:u w:val="single"/>
          <w:lang w:eastAsia="ja-JP"/>
        </w:rPr>
        <w:tab/>
      </w:r>
    </w:p>
    <w:sectPr w:rsidR="00AA5D99" w:rsidRPr="00414AA2" w:rsidSect="00AE7004">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5B4A6" w14:textId="77777777" w:rsidR="006F5227" w:rsidRDefault="006F5227"/>
  </w:endnote>
  <w:endnote w:type="continuationSeparator" w:id="0">
    <w:p w14:paraId="20EF6227" w14:textId="77777777" w:rsidR="006F5227" w:rsidRDefault="006F5227"/>
  </w:endnote>
  <w:endnote w:type="continuationNotice" w:id="1">
    <w:p w14:paraId="6B3E89A8" w14:textId="77777777" w:rsidR="006F5227" w:rsidRDefault="006F5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mPrasanmit">
    <w:altName w:val="CmPrasanmit"/>
    <w:panose1 w:val="00000000000000000000"/>
    <w:charset w:val="00"/>
    <w:family w:val="swiss"/>
    <w:notTrueType/>
    <w:pitch w:val="default"/>
    <w:sig w:usb0="00000003" w:usb1="00000000" w:usb2="00000000" w:usb3="00000000" w:csb0="00000001" w:csb1="00000000"/>
  </w:font>
  <w:font w:name="TitilliumMaps29L">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AA01" w14:textId="77777777" w:rsidR="006F5227" w:rsidRPr="00EC7052" w:rsidRDefault="006F5227" w:rsidP="00EC7052">
    <w:pPr>
      <w:pStyle w:val="Footer"/>
      <w:tabs>
        <w:tab w:val="right" w:pos="9638"/>
      </w:tabs>
    </w:pPr>
    <w:r w:rsidRPr="00EC7052">
      <w:rPr>
        <w:b/>
        <w:sz w:val="18"/>
      </w:rPr>
      <w:fldChar w:fldCharType="begin"/>
    </w:r>
    <w:r w:rsidRPr="00EC7052">
      <w:rPr>
        <w:b/>
        <w:sz w:val="18"/>
      </w:rPr>
      <w:instrText xml:space="preserve"> PAGE  \* MERGEFORMAT </w:instrText>
    </w:r>
    <w:r w:rsidRPr="00EC7052">
      <w:rPr>
        <w:b/>
        <w:sz w:val="18"/>
      </w:rPr>
      <w:fldChar w:fldCharType="separate"/>
    </w:r>
    <w:r w:rsidR="00B478D9">
      <w:rPr>
        <w:b/>
        <w:noProof/>
        <w:sz w:val="18"/>
      </w:rPr>
      <w:t>2</w:t>
    </w:r>
    <w:r w:rsidRPr="00EC70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DA7B1" w14:textId="77777777" w:rsidR="006F5227" w:rsidRPr="00EC7052" w:rsidRDefault="006F5227" w:rsidP="00EC7052">
    <w:pPr>
      <w:pStyle w:val="Footer"/>
      <w:tabs>
        <w:tab w:val="right" w:pos="9638"/>
      </w:tabs>
      <w:rPr>
        <w:b/>
        <w:sz w:val="18"/>
      </w:rPr>
    </w:pPr>
    <w:r>
      <w:tab/>
    </w:r>
    <w:r w:rsidRPr="00EC7052">
      <w:rPr>
        <w:b/>
        <w:sz w:val="18"/>
      </w:rPr>
      <w:fldChar w:fldCharType="begin"/>
    </w:r>
    <w:r w:rsidRPr="00EC7052">
      <w:rPr>
        <w:b/>
        <w:sz w:val="18"/>
      </w:rPr>
      <w:instrText xml:space="preserve"> PAGE  \* MERGEFORMAT </w:instrText>
    </w:r>
    <w:r w:rsidRPr="00EC7052">
      <w:rPr>
        <w:b/>
        <w:sz w:val="18"/>
      </w:rPr>
      <w:fldChar w:fldCharType="separate"/>
    </w:r>
    <w:r w:rsidR="00B478D9">
      <w:rPr>
        <w:b/>
        <w:noProof/>
        <w:sz w:val="18"/>
      </w:rPr>
      <w:t>23</w:t>
    </w:r>
    <w:r w:rsidRPr="00EC705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5403C" w14:textId="77777777" w:rsidR="006F5227" w:rsidRPr="00414AA2" w:rsidRDefault="006F5227" w:rsidP="00DA1065">
      <w:pPr>
        <w:tabs>
          <w:tab w:val="right" w:pos="2155"/>
        </w:tabs>
        <w:ind w:left="680"/>
        <w:rPr>
          <w:u w:val="single"/>
        </w:rPr>
      </w:pPr>
      <w:r>
        <w:rPr>
          <w:u w:val="single"/>
        </w:rPr>
        <w:tab/>
      </w:r>
    </w:p>
  </w:footnote>
  <w:footnote w:type="continuationSeparator" w:id="0">
    <w:p w14:paraId="2E538B4A" w14:textId="77777777" w:rsidR="006F5227" w:rsidRPr="00FC68B7" w:rsidRDefault="006F5227">
      <w:pPr>
        <w:tabs>
          <w:tab w:val="left" w:pos="2155"/>
        </w:tabs>
        <w:spacing w:after="80"/>
        <w:ind w:left="680"/>
        <w:rPr>
          <w:u w:val="single"/>
        </w:rPr>
      </w:pPr>
      <w:r>
        <w:rPr>
          <w:u w:val="single"/>
        </w:rPr>
        <w:tab/>
      </w:r>
    </w:p>
  </w:footnote>
  <w:footnote w:type="continuationNotice" w:id="1">
    <w:p w14:paraId="42D45C54" w14:textId="77777777" w:rsidR="006F5227" w:rsidRDefault="006F5227"/>
  </w:footnote>
  <w:footnote w:id="2">
    <w:p w14:paraId="57EC312F" w14:textId="43046925" w:rsidR="00545E98" w:rsidRPr="00545E98" w:rsidRDefault="00545E98">
      <w:pPr>
        <w:pStyle w:val="FootnoteText"/>
        <w:rPr>
          <w:lang w:val="en-US"/>
        </w:rPr>
      </w:pPr>
      <w:r>
        <w:tab/>
      </w:r>
      <w:r>
        <w:rPr>
          <w:rStyle w:val="FootnoteReference"/>
        </w:rPr>
        <w:t>*</w:t>
      </w:r>
      <w:r>
        <w:tab/>
      </w:r>
      <w:r w:rsidRPr="00A51DCD">
        <w:t>The present document was submitted late so as to include the most up-to-date information possible.</w:t>
      </w:r>
    </w:p>
  </w:footnote>
  <w:footnote w:id="3">
    <w:p w14:paraId="5A472E35" w14:textId="685F5542" w:rsidR="00545E98" w:rsidRPr="00545E98" w:rsidRDefault="00545E98">
      <w:pPr>
        <w:pStyle w:val="FootnoteText"/>
        <w:rPr>
          <w:lang w:val="en-US"/>
        </w:rPr>
      </w:pPr>
      <w:r>
        <w:tab/>
      </w:r>
      <w:r>
        <w:rPr>
          <w:rStyle w:val="FootnoteReference"/>
        </w:rPr>
        <w:t>**</w:t>
      </w:r>
      <w:r>
        <w:tab/>
      </w:r>
      <w:r w:rsidRPr="0042483C">
        <w:t>Circulated in the language of submission only</w:t>
      </w:r>
    </w:p>
  </w:footnote>
  <w:footnote w:id="4">
    <w:p w14:paraId="7857B5C5" w14:textId="7A2B20C6" w:rsidR="006F5227" w:rsidRPr="000249AD" w:rsidRDefault="006F5227" w:rsidP="00354E43">
      <w:pPr>
        <w:pStyle w:val="FootnoteText"/>
        <w:rPr>
          <w:szCs w:val="18"/>
        </w:rPr>
      </w:pPr>
      <w:r w:rsidRPr="00AE7004">
        <w:rPr>
          <w:szCs w:val="18"/>
        </w:rPr>
        <w:tab/>
      </w:r>
      <w:r w:rsidRPr="00176051">
        <w:rPr>
          <w:rStyle w:val="FootnoteReference"/>
        </w:rPr>
        <w:footnoteRef/>
      </w:r>
      <w:r w:rsidRPr="00AE7004">
        <w:rPr>
          <w:szCs w:val="18"/>
        </w:rPr>
        <w:tab/>
      </w:r>
      <w:proofErr w:type="gramStart"/>
      <w:r w:rsidRPr="00AE7004">
        <w:rPr>
          <w:szCs w:val="18"/>
        </w:rPr>
        <w:t xml:space="preserve">See A/HRC/30/40 </w:t>
      </w:r>
      <w:proofErr w:type="spellStart"/>
      <w:r w:rsidRPr="00AE7004">
        <w:rPr>
          <w:szCs w:val="18"/>
        </w:rPr>
        <w:t>para</w:t>
      </w:r>
      <w:proofErr w:type="spellEnd"/>
      <w:r w:rsidRPr="00AE7004">
        <w:rPr>
          <w:szCs w:val="18"/>
        </w:rPr>
        <w:t>.</w:t>
      </w:r>
      <w:proofErr w:type="gramEnd"/>
      <w:r w:rsidRPr="00AE7004">
        <w:rPr>
          <w:szCs w:val="18"/>
        </w:rPr>
        <w:t xml:space="preserve"> </w:t>
      </w:r>
      <w:r w:rsidRPr="000249AD">
        <w:rPr>
          <w:szCs w:val="18"/>
        </w:rPr>
        <w:t>54.</w:t>
      </w:r>
    </w:p>
  </w:footnote>
  <w:footnote w:id="5">
    <w:p w14:paraId="57E54BA3" w14:textId="57B974E9" w:rsidR="006F5227" w:rsidRPr="000249AD" w:rsidRDefault="006F5227" w:rsidP="00E030D8">
      <w:pPr>
        <w:pStyle w:val="FootnoteText"/>
        <w:rPr>
          <w:rFonts w:eastAsiaTheme="minorEastAsia"/>
          <w:szCs w:val="18"/>
          <w:lang w:eastAsia="en-US"/>
        </w:rPr>
      </w:pPr>
      <w:r w:rsidRPr="000249AD">
        <w:rPr>
          <w:szCs w:val="18"/>
        </w:rPr>
        <w:tab/>
      </w:r>
      <w:r w:rsidRPr="00176051">
        <w:rPr>
          <w:rStyle w:val="FootnoteReference"/>
        </w:rPr>
        <w:footnoteRef/>
      </w:r>
      <w:r w:rsidRPr="000249AD">
        <w:rPr>
          <w:szCs w:val="18"/>
        </w:rPr>
        <w:tab/>
      </w:r>
      <w:proofErr w:type="gramStart"/>
      <w:r w:rsidRPr="000249AD">
        <w:rPr>
          <w:rFonts w:eastAsiaTheme="minorEastAsia"/>
          <w:szCs w:val="18"/>
          <w:lang w:eastAsia="en-US"/>
        </w:rPr>
        <w:t xml:space="preserve">Office of the United States Trade Representative, </w:t>
      </w:r>
      <w:r w:rsidRPr="00AE7004">
        <w:rPr>
          <w:rFonts w:eastAsiaTheme="minorEastAsia"/>
          <w:i/>
          <w:iCs/>
          <w:szCs w:val="18"/>
          <w:lang w:eastAsia="en-US"/>
        </w:rPr>
        <w:t>2014 Report on Technical Barriers to Trade</w:t>
      </w:r>
      <w:r w:rsidRPr="000249AD">
        <w:rPr>
          <w:rFonts w:eastAsiaTheme="minorEastAsia"/>
          <w:szCs w:val="18"/>
          <w:lang w:eastAsia="en-US"/>
        </w:rPr>
        <w:t xml:space="preserve"> (Washington, D.C.), available from https://ustr.gov/sites/default/files/2014%20TBT%20Report.pdf.</w:t>
      </w:r>
      <w:proofErr w:type="gramEnd"/>
      <w:r w:rsidRPr="000249AD">
        <w:rPr>
          <w:rFonts w:eastAsiaTheme="minorEastAsia"/>
          <w:szCs w:val="18"/>
          <w:lang w:eastAsia="en-US"/>
        </w:rPr>
        <w:t xml:space="preserve"> </w:t>
      </w:r>
    </w:p>
  </w:footnote>
  <w:footnote w:id="6">
    <w:p w14:paraId="12939CD6" w14:textId="7DF29816" w:rsidR="006F5227" w:rsidRPr="000249AD" w:rsidRDefault="006F5227" w:rsidP="00F63142">
      <w:pPr>
        <w:pStyle w:val="FootnoteText"/>
        <w:rPr>
          <w:szCs w:val="18"/>
        </w:rPr>
      </w:pPr>
      <w:r w:rsidRPr="000249AD">
        <w:rPr>
          <w:szCs w:val="18"/>
        </w:rPr>
        <w:tab/>
      </w:r>
      <w:r w:rsidRPr="00176051">
        <w:rPr>
          <w:rStyle w:val="FootnoteReference"/>
        </w:rPr>
        <w:footnoteRef/>
      </w:r>
      <w:r w:rsidRPr="000249AD">
        <w:rPr>
          <w:szCs w:val="18"/>
        </w:rPr>
        <w:tab/>
        <w:t xml:space="preserve">See </w:t>
      </w:r>
      <w:hyperlink r:id="rId1" w:history="1">
        <w:r w:rsidRPr="000249AD">
          <w:rPr>
            <w:rStyle w:val="Hyperlink"/>
            <w:szCs w:val="18"/>
          </w:rPr>
          <w:t>http://echa.europa.eu/addressing-chemicals-of-concern/substances-of-potential-concern/svhc-roadmap-to-2020-implementation</w:t>
        </w:r>
      </w:hyperlink>
      <w:r w:rsidRPr="000249AD">
        <w:rPr>
          <w:rStyle w:val="Hyperlink"/>
          <w:szCs w:val="18"/>
        </w:rPr>
        <w:t>.</w:t>
      </w:r>
    </w:p>
  </w:footnote>
  <w:footnote w:id="7">
    <w:p w14:paraId="70DCF72A" w14:textId="2E703965" w:rsidR="006F5227" w:rsidRPr="000249AD" w:rsidRDefault="006F5227">
      <w:pPr>
        <w:pStyle w:val="FootnoteText"/>
      </w:pPr>
      <w:r w:rsidRPr="000249AD">
        <w:tab/>
      </w:r>
      <w:r w:rsidRPr="00176051">
        <w:rPr>
          <w:rStyle w:val="FootnoteReference"/>
        </w:rPr>
        <w:footnoteRef/>
      </w:r>
      <w:r w:rsidRPr="000249AD">
        <w:tab/>
      </w:r>
      <w:hyperlink r:id="rId2" w:history="1">
        <w:r w:rsidRPr="000249AD">
          <w:rPr>
            <w:rStyle w:val="Hyperlink"/>
          </w:rPr>
          <w:t>https://www.umweltbundesamt.de/publikationen/reach-compliance-data-availability-of-reach</w:t>
        </w:r>
      </w:hyperlink>
      <w:r w:rsidRPr="000249AD">
        <w:rPr>
          <w:rStyle w:val="Hyperlink"/>
        </w:rPr>
        <w:t>.</w:t>
      </w:r>
    </w:p>
  </w:footnote>
  <w:footnote w:id="8">
    <w:p w14:paraId="0B54CB87" w14:textId="3BB2AB7C" w:rsidR="006F5227" w:rsidRPr="000249AD" w:rsidRDefault="006F5227" w:rsidP="00AE7004">
      <w:pPr>
        <w:pStyle w:val="FootnoteText"/>
        <w:rPr>
          <w:szCs w:val="18"/>
        </w:rPr>
      </w:pPr>
      <w:r w:rsidRPr="000249AD">
        <w:rPr>
          <w:szCs w:val="18"/>
        </w:rPr>
        <w:tab/>
      </w:r>
      <w:r w:rsidRPr="00176051">
        <w:rPr>
          <w:rStyle w:val="FootnoteReference"/>
        </w:rPr>
        <w:footnoteRef/>
      </w:r>
      <w:r w:rsidRPr="000249AD">
        <w:rPr>
          <w:szCs w:val="18"/>
        </w:rPr>
        <w:tab/>
        <w:t xml:space="preserve">See </w:t>
      </w:r>
      <w:r w:rsidR="0042483C" w:rsidRPr="00AE7004">
        <w:rPr>
          <w:szCs w:val="18"/>
        </w:rPr>
        <w:t>German Chemical Industry Association (</w:t>
      </w:r>
      <w:r w:rsidRPr="000249AD">
        <w:rPr>
          <w:szCs w:val="18"/>
        </w:rPr>
        <w:t>VCI</w:t>
      </w:r>
      <w:r w:rsidR="0042483C">
        <w:rPr>
          <w:szCs w:val="18"/>
        </w:rPr>
        <w:t>)</w:t>
      </w:r>
      <w:r w:rsidRPr="000249AD">
        <w:rPr>
          <w:szCs w:val="18"/>
        </w:rPr>
        <w:t xml:space="preserve">, </w:t>
      </w:r>
      <w:r w:rsidR="006A18E7">
        <w:rPr>
          <w:szCs w:val="18"/>
        </w:rPr>
        <w:t>“</w:t>
      </w:r>
      <w:proofErr w:type="spellStart"/>
      <w:r w:rsidRPr="000249AD">
        <w:rPr>
          <w:szCs w:val="18"/>
        </w:rPr>
        <w:t>Chemie</w:t>
      </w:r>
      <w:proofErr w:type="spellEnd"/>
      <w:r w:rsidRPr="000249AD">
        <w:rPr>
          <w:szCs w:val="18"/>
        </w:rPr>
        <w:t xml:space="preserve"> report: Information for VCI member firms – </w:t>
      </w:r>
      <w:r w:rsidRPr="00AE7004">
        <w:rPr>
          <w:szCs w:val="18"/>
        </w:rPr>
        <w:t>special issue – Product Stewardship: Think global – and act global</w:t>
      </w:r>
      <w:r w:rsidR="006A18E7">
        <w:rPr>
          <w:szCs w:val="18"/>
        </w:rPr>
        <w:t>”</w:t>
      </w:r>
      <w:r w:rsidRPr="000249AD">
        <w:rPr>
          <w:szCs w:val="18"/>
        </w:rPr>
        <w:t>, Frankfurt, Germany</w:t>
      </w:r>
      <w:r w:rsidRPr="000249AD">
        <w:rPr>
          <w:i/>
          <w:szCs w:val="18"/>
        </w:rPr>
        <w:t xml:space="preserve"> </w:t>
      </w:r>
      <w:r w:rsidRPr="000249AD">
        <w:rPr>
          <w:szCs w:val="18"/>
        </w:rPr>
        <w:t>(January 2010).</w:t>
      </w:r>
    </w:p>
  </w:footnote>
  <w:footnote w:id="9">
    <w:p w14:paraId="4F10AE91" w14:textId="509A1016" w:rsidR="006F5227" w:rsidRPr="000249AD" w:rsidRDefault="006F5227" w:rsidP="001C327F">
      <w:pPr>
        <w:pStyle w:val="FootnoteText"/>
        <w:rPr>
          <w:szCs w:val="18"/>
        </w:rPr>
      </w:pPr>
      <w:r w:rsidRPr="000249AD">
        <w:rPr>
          <w:szCs w:val="18"/>
        </w:rPr>
        <w:tab/>
      </w:r>
      <w:r w:rsidRPr="00176051">
        <w:rPr>
          <w:rStyle w:val="FootnoteReference"/>
        </w:rPr>
        <w:footnoteRef/>
      </w:r>
      <w:r w:rsidRPr="000249AD">
        <w:rPr>
          <w:szCs w:val="18"/>
        </w:rPr>
        <w:tab/>
        <w:t xml:space="preserve">See https://chemical. </w:t>
      </w:r>
      <w:proofErr w:type="gramStart"/>
      <w:r w:rsidRPr="000249AD">
        <w:rPr>
          <w:szCs w:val="18"/>
        </w:rPr>
        <w:t>watch/24513/fostering-sustainable-chemistry</w:t>
      </w:r>
      <w:proofErr w:type="gramEnd"/>
      <w:r w:rsidRPr="000249AD">
        <w:rPr>
          <w:szCs w:val="18"/>
        </w:rPr>
        <w:t>.</w:t>
      </w:r>
    </w:p>
  </w:footnote>
  <w:footnote w:id="10">
    <w:p w14:paraId="4E05D72D" w14:textId="4167EFFD" w:rsidR="006F5227" w:rsidRPr="000249AD" w:rsidRDefault="006F5227" w:rsidP="0043548C">
      <w:pPr>
        <w:pStyle w:val="FootnoteText"/>
        <w:rPr>
          <w:szCs w:val="18"/>
        </w:rPr>
      </w:pPr>
      <w:r w:rsidRPr="000249AD">
        <w:rPr>
          <w:szCs w:val="18"/>
        </w:rPr>
        <w:tab/>
      </w:r>
      <w:r w:rsidRPr="00176051">
        <w:rPr>
          <w:rStyle w:val="FootnoteReference"/>
        </w:rPr>
        <w:footnoteRef/>
      </w:r>
      <w:r w:rsidRPr="000249AD">
        <w:rPr>
          <w:szCs w:val="18"/>
        </w:rPr>
        <w:tab/>
        <w:t xml:space="preserve">The term includes, among others: herbicides, fungicides, insecticides, </w:t>
      </w:r>
      <w:proofErr w:type="spellStart"/>
      <w:r w:rsidRPr="000249AD">
        <w:rPr>
          <w:szCs w:val="18"/>
        </w:rPr>
        <w:t>acaricides</w:t>
      </w:r>
      <w:proofErr w:type="spellEnd"/>
      <w:r w:rsidRPr="000249AD">
        <w:rPr>
          <w:szCs w:val="18"/>
        </w:rPr>
        <w:t xml:space="preserve">, </w:t>
      </w:r>
      <w:proofErr w:type="spellStart"/>
      <w:r w:rsidRPr="000249AD">
        <w:rPr>
          <w:szCs w:val="18"/>
        </w:rPr>
        <w:t>nematicides</w:t>
      </w:r>
      <w:proofErr w:type="spellEnd"/>
      <w:r w:rsidRPr="000249AD">
        <w:rPr>
          <w:szCs w:val="18"/>
        </w:rPr>
        <w:t xml:space="preserve">, </w:t>
      </w:r>
      <w:proofErr w:type="spellStart"/>
      <w:r w:rsidRPr="000249AD">
        <w:rPr>
          <w:szCs w:val="18"/>
        </w:rPr>
        <w:t>molluscicides</w:t>
      </w:r>
      <w:proofErr w:type="spellEnd"/>
      <w:r w:rsidRPr="000249AD">
        <w:rPr>
          <w:szCs w:val="18"/>
        </w:rPr>
        <w:t>, rodenticides, growth regulators, repellents, rodenticides and biocides.</w:t>
      </w:r>
    </w:p>
  </w:footnote>
  <w:footnote w:id="11">
    <w:p w14:paraId="511CC5C5" w14:textId="7A106DF1" w:rsidR="006F5227" w:rsidRPr="000249AD" w:rsidRDefault="006F5227" w:rsidP="00947E53">
      <w:pPr>
        <w:pStyle w:val="FootnoteText"/>
        <w:rPr>
          <w:szCs w:val="18"/>
        </w:rPr>
      </w:pPr>
      <w:r w:rsidRPr="000249AD">
        <w:rPr>
          <w:szCs w:val="18"/>
        </w:rPr>
        <w:tab/>
      </w:r>
      <w:r w:rsidRPr="00176051">
        <w:rPr>
          <w:rStyle w:val="FootnoteReference"/>
        </w:rPr>
        <w:footnoteRef/>
      </w:r>
      <w:r w:rsidRPr="000249AD">
        <w:rPr>
          <w:szCs w:val="18"/>
        </w:rPr>
        <w:tab/>
        <w:t xml:space="preserve">See </w:t>
      </w:r>
      <w:r w:rsidRPr="000249AD">
        <w:rPr>
          <w:rStyle w:val="Hyperlink"/>
          <w:szCs w:val="18"/>
        </w:rPr>
        <w:t>www.ohchr.org/en/NewsEvents/Pages/DisplayNews.aspx?NewsID=16510&amp;LangID=E.</w:t>
      </w:r>
    </w:p>
  </w:footnote>
  <w:footnote w:id="12">
    <w:p w14:paraId="57DBEA09" w14:textId="0F29CD3F" w:rsidR="006F5227" w:rsidRPr="000249AD" w:rsidRDefault="006F5227" w:rsidP="00AE7004">
      <w:pPr>
        <w:pStyle w:val="FootnoteText"/>
        <w:rPr>
          <w:szCs w:val="18"/>
        </w:rPr>
      </w:pPr>
      <w:r w:rsidRPr="000249AD">
        <w:rPr>
          <w:szCs w:val="18"/>
        </w:rPr>
        <w:tab/>
      </w:r>
      <w:r w:rsidRPr="00176051">
        <w:rPr>
          <w:rStyle w:val="FootnoteReference"/>
        </w:rPr>
        <w:footnoteRef/>
      </w:r>
      <w:r w:rsidRPr="000249AD">
        <w:rPr>
          <w:szCs w:val="18"/>
        </w:rPr>
        <w:tab/>
      </w:r>
      <w:proofErr w:type="gramStart"/>
      <w:r w:rsidRPr="000249AD">
        <w:rPr>
          <w:szCs w:val="18"/>
        </w:rPr>
        <w:t xml:space="preserve">See Federal Ministry for Economic Affairs and Energy, </w:t>
      </w:r>
      <w:r w:rsidR="006A18E7">
        <w:rPr>
          <w:szCs w:val="18"/>
        </w:rPr>
        <w:t>“</w:t>
      </w:r>
      <w:r w:rsidRPr="000249AD">
        <w:rPr>
          <w:szCs w:val="18"/>
        </w:rPr>
        <w:t>Report of the Federal Government on Energy Research 2014</w:t>
      </w:r>
      <w:r w:rsidR="006A18E7">
        <w:rPr>
          <w:szCs w:val="18"/>
        </w:rPr>
        <w:t>”</w:t>
      </w:r>
      <w:r w:rsidRPr="000249AD">
        <w:rPr>
          <w:szCs w:val="18"/>
        </w:rPr>
        <w:t xml:space="preserve"> (Berlin).</w:t>
      </w:r>
      <w:proofErr w:type="gramEnd"/>
    </w:p>
  </w:footnote>
  <w:footnote w:id="13">
    <w:p w14:paraId="2AAE4273" w14:textId="6F759672" w:rsidR="006F5227" w:rsidRPr="00AE7004" w:rsidRDefault="006F5227" w:rsidP="00B87C2B">
      <w:pPr>
        <w:pStyle w:val="FootnoteText"/>
        <w:rPr>
          <w:szCs w:val="18"/>
        </w:rPr>
      </w:pPr>
      <w:r w:rsidRPr="000249AD">
        <w:rPr>
          <w:szCs w:val="18"/>
        </w:rPr>
        <w:tab/>
      </w:r>
      <w:r w:rsidRPr="00176051">
        <w:rPr>
          <w:rStyle w:val="FootnoteReference"/>
        </w:rPr>
        <w:footnoteRef/>
      </w:r>
      <w:r w:rsidRPr="00AE7004">
        <w:rPr>
          <w:szCs w:val="18"/>
        </w:rPr>
        <w:tab/>
        <w:t xml:space="preserve">See </w:t>
      </w:r>
      <w:hyperlink r:id="rId3" w:history="1">
        <w:r w:rsidRPr="00AE7004">
          <w:rPr>
            <w:rStyle w:val="Hyperlink"/>
            <w:szCs w:val="18"/>
          </w:rPr>
          <w:t>http://eur-lex.europa.eu/legal-content/EN/TXT/?uri=CELEX:32012L0019</w:t>
        </w:r>
      </w:hyperlink>
      <w:r w:rsidRPr="00AE7004">
        <w:rPr>
          <w:rStyle w:val="Hyperlink"/>
          <w:szCs w:val="18"/>
        </w:rPr>
        <w:t>.</w:t>
      </w:r>
    </w:p>
  </w:footnote>
  <w:footnote w:id="14">
    <w:p w14:paraId="7A37EDD2" w14:textId="2A1B5C51" w:rsidR="006F5227" w:rsidRPr="000249AD" w:rsidRDefault="006F5227" w:rsidP="00B87C2B">
      <w:pPr>
        <w:pStyle w:val="FootnoteText"/>
        <w:rPr>
          <w:szCs w:val="18"/>
        </w:rPr>
      </w:pPr>
      <w:r w:rsidRPr="00AE7004">
        <w:rPr>
          <w:szCs w:val="18"/>
        </w:rPr>
        <w:tab/>
      </w:r>
      <w:r w:rsidRPr="00176051">
        <w:rPr>
          <w:rStyle w:val="FootnoteReference"/>
        </w:rPr>
        <w:footnoteRef/>
      </w:r>
      <w:r w:rsidRPr="000249AD">
        <w:rPr>
          <w:szCs w:val="18"/>
        </w:rPr>
        <w:tab/>
        <w:t>See http://eur-lex.europa.eu/legal-content/GA/TXT/?uri=celex:32011L0065</w:t>
      </w:r>
      <w:r w:rsidRPr="000249AD">
        <w:rPr>
          <w:rStyle w:val="Hyperlink"/>
          <w:szCs w:val="18"/>
        </w:rPr>
        <w:t>.</w:t>
      </w:r>
    </w:p>
  </w:footnote>
  <w:footnote w:id="15">
    <w:p w14:paraId="2635E951" w14:textId="6762327A" w:rsidR="006F5227" w:rsidRPr="000249AD" w:rsidRDefault="006F5227">
      <w:pPr>
        <w:pStyle w:val="FootnoteText"/>
      </w:pPr>
      <w:r w:rsidRPr="000249AD">
        <w:tab/>
      </w:r>
      <w:r w:rsidRPr="00176051">
        <w:rPr>
          <w:rStyle w:val="FootnoteReference"/>
        </w:rPr>
        <w:footnoteRef/>
      </w:r>
      <w:r w:rsidRPr="000249AD">
        <w:tab/>
        <w:t xml:space="preserve">See </w:t>
      </w:r>
      <w:hyperlink r:id="rId4" w:history="1">
        <w:r w:rsidRPr="000249AD">
          <w:rPr>
            <w:rStyle w:val="Hyperlink"/>
          </w:rPr>
          <w:t>http://www.umweltbundesamt.de/publikationen/transboundary-shipment-of-waste-electrical</w:t>
        </w:r>
      </w:hyperlink>
      <w:r w:rsidRPr="000249AD">
        <w:rPr>
          <w:rStyle w:val="Hyperlink"/>
        </w:rPr>
        <w:t>.</w:t>
      </w:r>
    </w:p>
  </w:footnote>
  <w:footnote w:id="16">
    <w:p w14:paraId="25B4AE2D" w14:textId="2A66A503" w:rsidR="006F5227" w:rsidRPr="000249AD" w:rsidRDefault="006F5227" w:rsidP="006C2AAD">
      <w:pPr>
        <w:pStyle w:val="FootnoteText"/>
        <w:rPr>
          <w:szCs w:val="18"/>
        </w:rPr>
      </w:pPr>
      <w:r w:rsidRPr="000249AD">
        <w:rPr>
          <w:szCs w:val="18"/>
        </w:rPr>
        <w:tab/>
      </w:r>
      <w:r w:rsidRPr="00176051">
        <w:rPr>
          <w:rStyle w:val="FootnoteReference"/>
        </w:rPr>
        <w:footnoteRef/>
      </w:r>
      <w:r w:rsidRPr="000249AD">
        <w:rPr>
          <w:szCs w:val="18"/>
        </w:rPr>
        <w:tab/>
        <w:t xml:space="preserve">See the Report of the Special Rapporteur on the illicit movement and dumping of toxic waste (E/CN.4/2000/50/Add.1) and the 2009 Report of the Special Rapporteur on the adverse effects of the movement and dumping of toxic and dangerous products and wastes on the enjoyment of human rights, (A/HRC/12/26). </w:t>
      </w:r>
    </w:p>
  </w:footnote>
  <w:footnote w:id="17">
    <w:p w14:paraId="046118F4" w14:textId="1CA9F48C" w:rsidR="006F5227" w:rsidRPr="000249AD" w:rsidRDefault="006F5227" w:rsidP="00AB36A2">
      <w:pPr>
        <w:pStyle w:val="FootnoteText"/>
        <w:rPr>
          <w:szCs w:val="18"/>
        </w:rPr>
      </w:pPr>
      <w:r w:rsidRPr="000249AD">
        <w:rPr>
          <w:szCs w:val="18"/>
        </w:rPr>
        <w:tab/>
      </w:r>
      <w:r w:rsidRPr="00176051">
        <w:rPr>
          <w:rStyle w:val="FootnoteReference"/>
        </w:rPr>
        <w:footnoteRef/>
      </w:r>
      <w:r w:rsidRPr="000249AD">
        <w:rPr>
          <w:szCs w:val="18"/>
        </w:rPr>
        <w:tab/>
        <w:t>See A/HRC/12/26.</w:t>
      </w:r>
      <w:r w:rsidR="006A18E7">
        <w:rPr>
          <w:szCs w:val="18"/>
        </w:rPr>
        <w:t xml:space="preserve"> </w:t>
      </w:r>
      <w:r w:rsidRPr="000249AD">
        <w:rPr>
          <w:szCs w:val="18"/>
        </w:rPr>
        <w:t xml:space="preserve">See also report of the </w:t>
      </w:r>
      <w:proofErr w:type="spellStart"/>
      <w:r w:rsidRPr="000249AD">
        <w:rPr>
          <w:szCs w:val="18"/>
        </w:rPr>
        <w:t>Center</w:t>
      </w:r>
      <w:proofErr w:type="spellEnd"/>
      <w:r w:rsidRPr="000249AD">
        <w:rPr>
          <w:szCs w:val="18"/>
        </w:rPr>
        <w:t xml:space="preserve"> for International Environmental Law, entitled </w:t>
      </w:r>
      <w:hyperlink r:id="rId5" w:history="1">
        <w:r w:rsidRPr="000249AD">
          <w:rPr>
            <w:rStyle w:val="Hyperlink"/>
            <w:szCs w:val="18"/>
          </w:rPr>
          <w:t>“Shipbreaking and the Basel Convention: Analysis of the Level of Control Established under the Hong Kong Convention</w:t>
        </w:r>
      </w:hyperlink>
      <w:r w:rsidRPr="000249AD">
        <w:rPr>
          <w:szCs w:val="18"/>
        </w:rPr>
        <w:t xml:space="preserve">” (April 2011), available from </w:t>
      </w:r>
      <w:hyperlink w:history="1"/>
    </w:p>
  </w:footnote>
  <w:footnote w:id="18">
    <w:p w14:paraId="4EE064BD" w14:textId="6AD4E2D6" w:rsidR="006F5227" w:rsidRPr="000249AD" w:rsidRDefault="006F5227" w:rsidP="00AB36A2">
      <w:pPr>
        <w:pStyle w:val="FootnoteText"/>
        <w:rPr>
          <w:rFonts w:ascii="Times" w:eastAsiaTheme="minorHAnsi" w:hAnsi="Times"/>
          <w:sz w:val="20"/>
          <w:lang w:eastAsia="en-US"/>
        </w:rPr>
      </w:pPr>
      <w:r w:rsidRPr="000249AD">
        <w:tab/>
      </w:r>
      <w:r w:rsidRPr="00176051">
        <w:rPr>
          <w:rStyle w:val="FootnoteReference"/>
        </w:rPr>
        <w:footnoteRef/>
      </w:r>
      <w:r w:rsidRPr="000249AD">
        <w:tab/>
      </w:r>
      <w:r w:rsidRPr="000249AD">
        <w:rPr>
          <w:szCs w:val="18"/>
        </w:rPr>
        <w:t xml:space="preserve">See </w:t>
      </w:r>
      <w:hyperlink r:id="rId6" w:history="1">
        <w:r w:rsidRPr="000249AD">
          <w:rPr>
            <w:rStyle w:val="Hyperlink"/>
            <w:szCs w:val="18"/>
          </w:rPr>
          <w:t>www.umweltbundesamt.de/sites/default/files/medien/376/publikationen/</w:t>
        </w:r>
        <w:r w:rsidRPr="000249AD">
          <w:rPr>
            <w:rStyle w:val="Hyperlink"/>
            <w:szCs w:val="18"/>
          </w:rPr>
          <w:br/>
          <w:t>environmental_protection_under_ttip_0.pdf</w:t>
        </w:r>
      </w:hyperlink>
      <w:r w:rsidRPr="000249AD">
        <w:rPr>
          <w:szCs w:val="18"/>
        </w:rPr>
        <w:t>, p. 4</w:t>
      </w:r>
      <w:r w:rsidRPr="000249AD">
        <w:rPr>
          <w:rStyle w:val="Hyperlink"/>
          <w:szCs w:val="18"/>
        </w:rPr>
        <w:t>.</w:t>
      </w:r>
    </w:p>
  </w:footnote>
  <w:footnote w:id="19">
    <w:p w14:paraId="5A850EB4" w14:textId="3FC34710" w:rsidR="006F5227" w:rsidRPr="000249AD" w:rsidRDefault="006F5227" w:rsidP="00AB36A2">
      <w:pPr>
        <w:pStyle w:val="FootnoteText"/>
        <w:rPr>
          <w:szCs w:val="18"/>
        </w:rPr>
      </w:pPr>
      <w:r w:rsidRPr="000249AD">
        <w:rPr>
          <w:szCs w:val="18"/>
        </w:rPr>
        <w:tab/>
      </w:r>
      <w:r w:rsidRPr="00176051">
        <w:rPr>
          <w:rStyle w:val="FootnoteReference"/>
        </w:rPr>
        <w:footnoteRef/>
      </w:r>
      <w:r w:rsidRPr="000249AD">
        <w:rPr>
          <w:szCs w:val="18"/>
        </w:rPr>
        <w:tab/>
      </w:r>
      <w:proofErr w:type="gramStart"/>
      <w:r w:rsidRPr="000249AD">
        <w:rPr>
          <w:szCs w:val="18"/>
        </w:rPr>
        <w:t xml:space="preserve">See submission of the Government of the United States to European Union consultation on </w:t>
      </w:r>
      <w:r w:rsidRPr="00AE7004">
        <w:rPr>
          <w:szCs w:val="18"/>
          <w:lang w:val="en-US"/>
        </w:rPr>
        <w:t>endocrine disrupting chemicals</w:t>
      </w:r>
      <w:r w:rsidRPr="000249AD">
        <w:rPr>
          <w:rFonts w:eastAsia="MS Mincho"/>
          <w:iCs/>
          <w:sz w:val="20"/>
          <w:lang w:eastAsia="en-US"/>
        </w:rPr>
        <w:t xml:space="preserve"> </w:t>
      </w:r>
      <w:r w:rsidRPr="000249AD">
        <w:rPr>
          <w:szCs w:val="18"/>
        </w:rPr>
        <w:t>(January 2015), available from www.usda-eu.org/wp- content/uploads/2015/01/United-States-Submission-Endocrine-Disrupters-2015-01-20.pdf.</w:t>
      </w:r>
      <w:proofErr w:type="gramEnd"/>
      <w:r w:rsidRPr="000249AD">
        <w:rPr>
          <w:szCs w:val="18"/>
        </w:rPr>
        <w:t xml:space="preserve"> </w:t>
      </w:r>
    </w:p>
  </w:footnote>
  <w:footnote w:id="20">
    <w:p w14:paraId="3D920793" w14:textId="6620ED59" w:rsidR="006F5227" w:rsidRPr="000249AD" w:rsidRDefault="006F5227" w:rsidP="00AB36A2">
      <w:pPr>
        <w:pStyle w:val="FootnoteText"/>
        <w:rPr>
          <w:szCs w:val="18"/>
        </w:rPr>
      </w:pPr>
      <w:r w:rsidRPr="000249AD">
        <w:rPr>
          <w:szCs w:val="18"/>
        </w:rPr>
        <w:tab/>
      </w:r>
      <w:r w:rsidRPr="00176051">
        <w:rPr>
          <w:rStyle w:val="FootnoteReference"/>
        </w:rPr>
        <w:footnoteRef/>
      </w:r>
      <w:r w:rsidRPr="000249AD">
        <w:rPr>
          <w:szCs w:val="18"/>
        </w:rPr>
        <w:tab/>
        <w:t xml:space="preserve">See </w:t>
      </w:r>
      <w:r w:rsidRPr="00AE7004">
        <w:rPr>
          <w:szCs w:val="18"/>
        </w:rPr>
        <w:t>European Parliament resolution of 8 July 2015 containing the European Parliament’s recommendations to the European Commission on the negotiations for the Transatlantic Trade and Investment Partnership, available from http://www.europarl.europa.eu/sides/getDoc.do?pubRef=-//EP//TEXT+TA+P8-TA-2015-0252+0+DOC+XML+V0//EN</w:t>
      </w:r>
      <w:proofErr w:type="gramStart"/>
      <w:r w:rsidRPr="00AE7004">
        <w:rPr>
          <w:szCs w:val="18"/>
        </w:rPr>
        <w:t>.</w:t>
      </w:r>
      <w:r w:rsidRPr="000249AD">
        <w:rPr>
          <w:szCs w:val="18"/>
        </w:rPr>
        <w:t>.</w:t>
      </w:r>
      <w:proofErr w:type="gramEnd"/>
    </w:p>
  </w:footnote>
  <w:footnote w:id="21">
    <w:p w14:paraId="657F36E5" w14:textId="183E6712" w:rsidR="006F5227" w:rsidRPr="000249AD" w:rsidRDefault="006F5227" w:rsidP="00AB36A2">
      <w:pPr>
        <w:pStyle w:val="FootnoteText"/>
        <w:rPr>
          <w:szCs w:val="18"/>
        </w:rPr>
      </w:pPr>
      <w:r w:rsidRPr="000249AD">
        <w:tab/>
      </w:r>
      <w:r w:rsidRPr="00176051">
        <w:rPr>
          <w:rStyle w:val="FootnoteReference"/>
        </w:rPr>
        <w:footnoteRef/>
      </w:r>
      <w:r w:rsidRPr="000249AD">
        <w:tab/>
        <w:t xml:space="preserve">See </w:t>
      </w:r>
      <w:hyperlink r:id="rId7" w:history="1">
        <w:r w:rsidRPr="000249AD">
          <w:rPr>
            <w:rStyle w:val="Hyperlink"/>
          </w:rPr>
          <w:t>www.umweltrat.de/SharedDocs/Downloads/EN/06_Background_Information/2016_2020/20</w:t>
        </w:r>
        <w:r w:rsidRPr="000249AD">
          <w:rPr>
            <w:rStyle w:val="Hyperlink"/>
          </w:rPr>
          <w:br/>
          <w:t>16_07_KzU_17_TTIP_en.pdf?__blob=</w:t>
        </w:r>
        <w:proofErr w:type="spellStart"/>
        <w:r w:rsidRPr="000249AD">
          <w:rPr>
            <w:rStyle w:val="Hyperlink"/>
          </w:rPr>
          <w:t>publicationFile</w:t>
        </w:r>
        <w:proofErr w:type="spellEnd"/>
      </w:hyperlink>
      <w:r w:rsidRPr="000249AD">
        <w:rPr>
          <w:rStyle w:val="Hyperlink"/>
        </w:rPr>
        <w:t>.</w:t>
      </w:r>
    </w:p>
  </w:footnote>
  <w:footnote w:id="22">
    <w:p w14:paraId="0B76A549" w14:textId="2D04DB0F" w:rsidR="006F5227" w:rsidRPr="000249AD" w:rsidRDefault="006F5227" w:rsidP="00AB36A2">
      <w:pPr>
        <w:pStyle w:val="FootnoteText"/>
      </w:pPr>
      <w:r w:rsidRPr="000249AD">
        <w:tab/>
      </w:r>
      <w:r w:rsidRPr="00176051">
        <w:rPr>
          <w:rStyle w:val="FootnoteReference"/>
        </w:rPr>
        <w:footnoteRef/>
      </w:r>
      <w:r w:rsidRPr="000249AD">
        <w:tab/>
        <w:t xml:space="preserve">See </w:t>
      </w:r>
      <w:hyperlink r:id="rId8" w:history="1">
        <w:r w:rsidRPr="000249AD">
          <w:rPr>
            <w:rStyle w:val="Hyperlink"/>
          </w:rPr>
          <w:t>www.umweltbundesamt.de/sites/default/files/medien/376/publikationen/environmental_</w:t>
        </w:r>
        <w:r w:rsidRPr="000249AD">
          <w:rPr>
            <w:rStyle w:val="Hyperlink"/>
          </w:rPr>
          <w:br/>
          <w:t>protection_under_ttip_0.pdf</w:t>
        </w:r>
      </w:hyperlink>
      <w:r w:rsidRPr="000249AD">
        <w:rPr>
          <w:rStyle w:val="Hyperlink"/>
        </w:rPr>
        <w:t>.</w:t>
      </w:r>
    </w:p>
  </w:footnote>
  <w:footnote w:id="23">
    <w:p w14:paraId="05FFC0EC" w14:textId="2ACE6BDA" w:rsidR="006F5227" w:rsidRPr="000249AD" w:rsidRDefault="006F5227" w:rsidP="00AE7004">
      <w:pPr>
        <w:pStyle w:val="FootnoteText"/>
        <w:rPr>
          <w:szCs w:val="18"/>
          <w:lang w:val="it-IT"/>
        </w:rPr>
      </w:pPr>
      <w:r w:rsidRPr="000249AD">
        <w:rPr>
          <w:szCs w:val="18"/>
        </w:rPr>
        <w:tab/>
      </w:r>
      <w:r w:rsidRPr="00176051">
        <w:rPr>
          <w:rStyle w:val="FootnoteReference"/>
        </w:rPr>
        <w:footnoteRef/>
      </w:r>
      <w:r w:rsidRPr="000249AD">
        <w:rPr>
          <w:szCs w:val="18"/>
          <w:lang w:val="it-IT"/>
        </w:rPr>
        <w:tab/>
      </w:r>
      <w:r w:rsidRPr="000249AD">
        <w:rPr>
          <w:szCs w:val="18"/>
          <w:lang w:val="it-IT"/>
        </w:rPr>
        <w:t xml:space="preserve">See International Labour Organization, </w:t>
      </w:r>
      <w:r w:rsidR="006A18E7">
        <w:rPr>
          <w:szCs w:val="18"/>
          <w:lang w:val="it-IT"/>
        </w:rPr>
        <w:t>“</w:t>
      </w:r>
      <w:r w:rsidRPr="000249AD">
        <w:rPr>
          <w:szCs w:val="18"/>
          <w:lang w:val="it-IT"/>
        </w:rPr>
        <w:t>Factsheet 84 - Expert forecast on emerging chemical risks related to occupational safety and health</w:t>
      </w:r>
      <w:r w:rsidR="006A18E7">
        <w:rPr>
          <w:szCs w:val="18"/>
          <w:lang w:val="it-IT"/>
        </w:rPr>
        <w:t>”</w:t>
      </w:r>
      <w:r w:rsidRPr="000249AD">
        <w:rPr>
          <w:szCs w:val="18"/>
          <w:lang w:val="it-IT"/>
        </w:rPr>
        <w:t xml:space="preserve"> </w:t>
      </w:r>
      <w:r w:rsidRPr="000249AD">
        <w:rPr>
          <w:szCs w:val="18"/>
          <w:lang w:val="it-IT"/>
        </w:rPr>
        <w:t xml:space="preserve">(2005), available from </w:t>
      </w:r>
      <w:r w:rsidR="00545E98">
        <w:fldChar w:fldCharType="begin"/>
      </w:r>
      <w:r w:rsidR="00545E98">
        <w:instrText xml:space="preserve"> HYPERLINK "https://osha.europa.eu/en/tools-and-publications/publications/factsheets/84/view/" </w:instrText>
      </w:r>
      <w:r w:rsidR="00545E98">
        <w:fldChar w:fldCharType="separate"/>
      </w:r>
      <w:r w:rsidRPr="000249AD">
        <w:rPr>
          <w:rStyle w:val="Hyperlink"/>
          <w:szCs w:val="18"/>
          <w:lang w:val="it-IT"/>
        </w:rPr>
        <w:t>https://osha.europa.eu/en/tools-and-publications/publications/factsheets/84/view/</w:t>
      </w:r>
      <w:r w:rsidR="00545E98">
        <w:rPr>
          <w:rStyle w:val="Hyperlink"/>
          <w:szCs w:val="18"/>
          <w:lang w:val="it-IT"/>
        </w:rPr>
        <w:fldChar w:fldCharType="end"/>
      </w:r>
      <w:r w:rsidRPr="000249AD">
        <w:rPr>
          <w:rStyle w:val="Hyperlink"/>
          <w:szCs w:val="18"/>
          <w:lang w:val="it-IT"/>
        </w:rPr>
        <w:t>.</w:t>
      </w:r>
    </w:p>
  </w:footnote>
  <w:footnote w:id="24">
    <w:p w14:paraId="3F98C3E0" w14:textId="4C0C4A69" w:rsidR="006F5227" w:rsidRPr="000249AD" w:rsidRDefault="006F5227" w:rsidP="00C20AA5">
      <w:pPr>
        <w:pStyle w:val="FootnoteText"/>
        <w:rPr>
          <w:szCs w:val="18"/>
        </w:rPr>
      </w:pPr>
      <w:r w:rsidRPr="000249AD">
        <w:rPr>
          <w:szCs w:val="18"/>
          <w:lang w:val="it-IT"/>
        </w:rPr>
        <w:tab/>
      </w:r>
      <w:r w:rsidRPr="00176051">
        <w:rPr>
          <w:rStyle w:val="FootnoteReference"/>
        </w:rPr>
        <w:footnoteRef/>
      </w:r>
      <w:r w:rsidRPr="000249AD">
        <w:rPr>
          <w:szCs w:val="18"/>
        </w:rPr>
        <w:tab/>
      </w:r>
      <w:proofErr w:type="gramStart"/>
      <w:r w:rsidRPr="000249AD">
        <w:rPr>
          <w:bCs/>
          <w:iCs/>
          <w:szCs w:val="18"/>
          <w:lang w:val="en"/>
        </w:rPr>
        <w:t xml:space="preserve">Directive 2004/37/EC - carcinogens or mutagens at work </w:t>
      </w:r>
      <w:r w:rsidRPr="000249AD">
        <w:rPr>
          <w:iCs/>
          <w:szCs w:val="18"/>
          <w:lang w:val="en"/>
        </w:rPr>
        <w:t xml:space="preserve">of 29 April 2004, available from </w:t>
      </w:r>
      <w:hyperlink r:id="rId9" w:history="1">
        <w:r w:rsidR="00070447" w:rsidRPr="00AE7004">
          <w:rPr>
            <w:rStyle w:val="Hyperlink"/>
            <w:szCs w:val="18"/>
          </w:rPr>
          <w:t>https://osha.europa.eu/en/legislation/directives/directive-2004-37-ec-carcinogens-or-mutagens-at-work</w:t>
        </w:r>
      </w:hyperlink>
      <w:r w:rsidRPr="000249AD">
        <w:rPr>
          <w:rStyle w:val="Hyperlink"/>
          <w:szCs w:val="18"/>
        </w:rPr>
        <w:t>.</w:t>
      </w:r>
      <w:proofErr w:type="gramEnd"/>
    </w:p>
  </w:footnote>
  <w:footnote w:id="25">
    <w:p w14:paraId="629F2D4F" w14:textId="0E8F6B2D" w:rsidR="006F5227" w:rsidRPr="000249AD" w:rsidRDefault="006F5227" w:rsidP="00C20AA5">
      <w:pPr>
        <w:pStyle w:val="FootnoteText"/>
        <w:rPr>
          <w:szCs w:val="18"/>
        </w:rPr>
      </w:pPr>
      <w:r w:rsidRPr="000249AD">
        <w:rPr>
          <w:szCs w:val="18"/>
        </w:rPr>
        <w:tab/>
      </w:r>
      <w:r w:rsidRPr="00176051">
        <w:rPr>
          <w:rStyle w:val="FootnoteReference"/>
        </w:rPr>
        <w:footnoteRef/>
      </w:r>
      <w:r w:rsidRPr="000249AD">
        <w:rPr>
          <w:szCs w:val="18"/>
        </w:rPr>
        <w:tab/>
        <w:t xml:space="preserve">See Council Directive 92/85/EEC of 19 October 1992, </w:t>
      </w:r>
      <w:r w:rsidR="0042483C" w:rsidRPr="000249AD">
        <w:rPr>
          <w:szCs w:val="18"/>
        </w:rPr>
        <w:t>available</w:t>
      </w:r>
      <w:r w:rsidRPr="000249AD">
        <w:rPr>
          <w:szCs w:val="18"/>
        </w:rPr>
        <w:t xml:space="preserve"> from http://eur-lex.europa.eu/legal-content/en/TXT/?uri=CELEX%3A31992L0085.</w:t>
      </w:r>
    </w:p>
  </w:footnote>
  <w:footnote w:id="26">
    <w:p w14:paraId="0F9A0DBD" w14:textId="6CCBCB68" w:rsidR="006F5227" w:rsidRPr="000249AD" w:rsidRDefault="006F5227">
      <w:pPr>
        <w:pStyle w:val="FootnoteText"/>
        <w:rPr>
          <w:szCs w:val="18"/>
        </w:rPr>
      </w:pPr>
      <w:r w:rsidRPr="000249AD">
        <w:rPr>
          <w:szCs w:val="18"/>
        </w:rPr>
        <w:tab/>
      </w:r>
      <w:r w:rsidRPr="00176051">
        <w:rPr>
          <w:rStyle w:val="FootnoteReference"/>
        </w:rPr>
        <w:footnoteRef/>
      </w:r>
      <w:r w:rsidRPr="000249AD">
        <w:rPr>
          <w:szCs w:val="18"/>
        </w:rPr>
        <w:tab/>
        <w:t xml:space="preserve">See </w:t>
      </w:r>
      <w:r w:rsidRPr="000249AD">
        <w:rPr>
          <w:bCs/>
          <w:iCs/>
          <w:szCs w:val="18"/>
          <w:lang w:val="en"/>
        </w:rPr>
        <w:t xml:space="preserve">Directive 2004/37/EC (note </w:t>
      </w:r>
      <w:r w:rsidR="00497CF6" w:rsidRPr="000249AD">
        <w:rPr>
          <w:bCs/>
          <w:iCs/>
          <w:szCs w:val="18"/>
          <w:lang w:val="en"/>
        </w:rPr>
        <w:t>21</w:t>
      </w:r>
      <w:r w:rsidRPr="000249AD">
        <w:rPr>
          <w:bCs/>
          <w:iCs/>
          <w:szCs w:val="18"/>
          <w:lang w:val="en"/>
        </w:rPr>
        <w:t xml:space="preserve"> above). </w:t>
      </w:r>
    </w:p>
  </w:footnote>
  <w:footnote w:id="27">
    <w:p w14:paraId="0912C6A7" w14:textId="45D5C682" w:rsidR="006F5227" w:rsidRPr="000249AD" w:rsidRDefault="006F5227" w:rsidP="00F63142">
      <w:pPr>
        <w:pStyle w:val="FootnoteText"/>
        <w:rPr>
          <w:szCs w:val="18"/>
        </w:rPr>
      </w:pPr>
      <w:r w:rsidRPr="000249AD">
        <w:rPr>
          <w:szCs w:val="18"/>
        </w:rPr>
        <w:tab/>
      </w:r>
      <w:r w:rsidRPr="00176051">
        <w:rPr>
          <w:rStyle w:val="FootnoteReference"/>
        </w:rPr>
        <w:footnoteRef/>
      </w:r>
      <w:r w:rsidRPr="000249AD">
        <w:rPr>
          <w:szCs w:val="18"/>
        </w:rPr>
        <w:tab/>
      </w:r>
      <w:r w:rsidRPr="000249AD">
        <w:rPr>
          <w:bCs/>
          <w:iCs/>
          <w:szCs w:val="18"/>
        </w:rPr>
        <w:t>Ibid.</w:t>
      </w:r>
    </w:p>
  </w:footnote>
  <w:footnote w:id="28">
    <w:p w14:paraId="4A22C486" w14:textId="0B8F976F" w:rsidR="006F5227" w:rsidRPr="000249AD" w:rsidRDefault="006F5227" w:rsidP="00AE7004">
      <w:pPr>
        <w:pStyle w:val="FootnoteText"/>
        <w:rPr>
          <w:szCs w:val="18"/>
        </w:rPr>
      </w:pPr>
      <w:r w:rsidRPr="000249AD">
        <w:rPr>
          <w:szCs w:val="18"/>
        </w:rPr>
        <w:tab/>
      </w:r>
      <w:r w:rsidRPr="00176051">
        <w:rPr>
          <w:rStyle w:val="FootnoteReference"/>
        </w:rPr>
        <w:footnoteRef/>
      </w:r>
      <w:r w:rsidRPr="000249AD">
        <w:rPr>
          <w:szCs w:val="18"/>
        </w:rPr>
        <w:tab/>
        <w:t xml:space="preserve">See </w:t>
      </w:r>
      <w:r w:rsidRPr="000249AD">
        <w:rPr>
          <w:bCs/>
          <w:iCs/>
          <w:szCs w:val="18"/>
        </w:rPr>
        <w:t xml:space="preserve">European </w:t>
      </w:r>
      <w:r w:rsidRPr="000249AD">
        <w:rPr>
          <w:szCs w:val="18"/>
        </w:rPr>
        <w:t xml:space="preserve">Agency for Health and Safety at Work, </w:t>
      </w:r>
      <w:r w:rsidR="006A18E7">
        <w:rPr>
          <w:szCs w:val="18"/>
        </w:rPr>
        <w:t>“</w:t>
      </w:r>
      <w:r w:rsidRPr="000249AD">
        <w:rPr>
          <w:szCs w:val="18"/>
        </w:rPr>
        <w:t xml:space="preserve">Report - Expert forecast on </w:t>
      </w:r>
      <w:r w:rsidRPr="000249AD">
        <w:rPr>
          <w:bCs/>
          <w:iCs/>
          <w:szCs w:val="18"/>
        </w:rPr>
        <w:t>emerging chemical risks related to occupational safety and health</w:t>
      </w:r>
      <w:r w:rsidR="006A18E7">
        <w:rPr>
          <w:bCs/>
          <w:iCs/>
          <w:szCs w:val="18"/>
        </w:rPr>
        <w:t>”</w:t>
      </w:r>
      <w:r w:rsidRPr="000249AD">
        <w:rPr>
          <w:szCs w:val="18"/>
        </w:rPr>
        <w:t xml:space="preserve"> (2009), p. 63, available from </w:t>
      </w:r>
      <w:hyperlink r:id="rId10" w:history="1">
        <w:r w:rsidR="006A18E7" w:rsidRPr="00AE7004">
          <w:rPr>
            <w:rStyle w:val="Hyperlink"/>
            <w:szCs w:val="18"/>
          </w:rPr>
          <w:t>https://osha.europa.eu/</w:t>
        </w:r>
        <w:r w:rsidR="006A18E7" w:rsidRPr="00AE7004">
          <w:rPr>
            <w:rStyle w:val="Hyperlink"/>
            <w:szCs w:val="18"/>
          </w:rPr>
          <w:br/>
          <w:t>en/tools-and-publications/publications/reports/TE3008390ENC_chemical_risks/view/</w:t>
        </w:r>
      </w:hyperlink>
      <w:r w:rsidRPr="000249AD">
        <w:rPr>
          <w:szCs w:val="18"/>
        </w:rPr>
        <w:t>.</w:t>
      </w:r>
    </w:p>
  </w:footnote>
  <w:footnote w:id="29">
    <w:p w14:paraId="74F25F6B" w14:textId="1EB131DA" w:rsidR="006F5227" w:rsidRPr="000249AD" w:rsidRDefault="006F5227" w:rsidP="002D2012">
      <w:pPr>
        <w:pStyle w:val="FootnoteText"/>
        <w:rPr>
          <w:szCs w:val="18"/>
        </w:rPr>
      </w:pPr>
      <w:r w:rsidRPr="000249AD">
        <w:rPr>
          <w:szCs w:val="18"/>
        </w:rPr>
        <w:tab/>
      </w:r>
      <w:r w:rsidRPr="00176051">
        <w:rPr>
          <w:rStyle w:val="FootnoteReference"/>
        </w:rPr>
        <w:footnoteRef/>
      </w:r>
      <w:r w:rsidRPr="000249AD">
        <w:rPr>
          <w:szCs w:val="18"/>
        </w:rPr>
        <w:tab/>
      </w:r>
      <w:proofErr w:type="gramStart"/>
      <w:r w:rsidRPr="000249AD">
        <w:rPr>
          <w:szCs w:val="18"/>
        </w:rPr>
        <w:t xml:space="preserve">Available from </w:t>
      </w:r>
      <w:hyperlink r:id="rId11" w:history="1">
        <w:r w:rsidRPr="000249AD">
          <w:rPr>
            <w:rStyle w:val="Hyperlink"/>
            <w:szCs w:val="18"/>
          </w:rPr>
          <w:t>https://spdb.ohchr.org/hrdb/32nd/public_-_OL_DEU_25.02.16_(1.2016).pdf</w:t>
        </w:r>
      </w:hyperlink>
      <w:r w:rsidRPr="000249AD">
        <w:rPr>
          <w:rStyle w:val="Hyperlink"/>
          <w:szCs w:val="18"/>
        </w:rPr>
        <w:t>.</w:t>
      </w:r>
      <w:proofErr w:type="gramEnd"/>
    </w:p>
  </w:footnote>
  <w:footnote w:id="30">
    <w:p w14:paraId="114378E5" w14:textId="0ED23856" w:rsidR="006F5227" w:rsidRPr="000249AD" w:rsidRDefault="006F5227" w:rsidP="002C6B57">
      <w:pPr>
        <w:pStyle w:val="FootnoteText"/>
        <w:rPr>
          <w:szCs w:val="18"/>
        </w:rPr>
      </w:pPr>
      <w:r w:rsidRPr="000249AD">
        <w:rPr>
          <w:szCs w:val="18"/>
        </w:rPr>
        <w:tab/>
      </w:r>
      <w:r w:rsidRPr="00176051">
        <w:rPr>
          <w:rStyle w:val="FootnoteReference"/>
        </w:rPr>
        <w:footnoteRef/>
      </w:r>
      <w:r w:rsidRPr="000249AD">
        <w:rPr>
          <w:szCs w:val="18"/>
        </w:rPr>
        <w:tab/>
        <w:t>See the report of the Special Rapporteur, A/HRC/33/41.</w:t>
      </w:r>
    </w:p>
  </w:footnote>
  <w:footnote w:id="31">
    <w:p w14:paraId="013E4A54" w14:textId="31C8014D" w:rsidR="006F5227" w:rsidRPr="000249AD" w:rsidRDefault="006F5227" w:rsidP="002C6B57">
      <w:pPr>
        <w:pStyle w:val="FootnoteText"/>
        <w:rPr>
          <w:iCs/>
          <w:szCs w:val="18"/>
        </w:rPr>
      </w:pPr>
      <w:r w:rsidRPr="000249AD">
        <w:rPr>
          <w:szCs w:val="18"/>
        </w:rPr>
        <w:tab/>
      </w:r>
      <w:r w:rsidRPr="00176051">
        <w:rPr>
          <w:rStyle w:val="FootnoteReference"/>
        </w:rPr>
        <w:footnoteRef/>
      </w:r>
      <w:r w:rsidRPr="000249AD">
        <w:rPr>
          <w:szCs w:val="18"/>
        </w:rPr>
        <w:tab/>
        <w:t xml:space="preserve">See </w:t>
      </w:r>
      <w:hyperlink r:id="rId12" w:history="1">
        <w:r w:rsidRPr="000249AD">
          <w:rPr>
            <w:rStyle w:val="Hyperlink"/>
            <w:iCs/>
            <w:szCs w:val="18"/>
          </w:rPr>
          <w:t>www.reach-clp-helpdesk.de/de/Downloads/PAK-Covernote-100604?__blob=publicationFile</w:t>
        </w:r>
      </w:hyperlink>
      <w:r w:rsidRPr="000249AD">
        <w:rPr>
          <w:rStyle w:val="Hyperlink"/>
          <w:iCs/>
          <w:szCs w:val="18"/>
        </w:rPr>
        <w:t>.</w:t>
      </w:r>
    </w:p>
  </w:footnote>
  <w:footnote w:id="32">
    <w:p w14:paraId="5D0D8AA7" w14:textId="0E8B683B" w:rsidR="006F5227" w:rsidRPr="000249AD" w:rsidRDefault="006F5227" w:rsidP="004A5049">
      <w:pPr>
        <w:pStyle w:val="FootnoteText"/>
        <w:rPr>
          <w:szCs w:val="18"/>
        </w:rPr>
      </w:pPr>
      <w:r w:rsidRPr="000249AD">
        <w:rPr>
          <w:szCs w:val="18"/>
        </w:rPr>
        <w:tab/>
      </w:r>
      <w:r w:rsidRPr="00176051">
        <w:rPr>
          <w:rStyle w:val="FootnoteReference"/>
        </w:rPr>
        <w:footnoteRef/>
      </w:r>
      <w:r w:rsidRPr="000249AD">
        <w:rPr>
          <w:szCs w:val="18"/>
        </w:rPr>
        <w:tab/>
        <w:t xml:space="preserve">See UNEP/WHO, </w:t>
      </w:r>
      <w:r w:rsidRPr="00AE7004">
        <w:rPr>
          <w:i/>
          <w:iCs/>
          <w:szCs w:val="18"/>
        </w:rPr>
        <w:t>State of the science on endocrine disrupting chemicals</w:t>
      </w:r>
      <w:r w:rsidRPr="000249AD">
        <w:rPr>
          <w:szCs w:val="18"/>
        </w:rPr>
        <w:t>, (Geneva, 2012), p. 2.</w:t>
      </w:r>
    </w:p>
  </w:footnote>
  <w:footnote w:id="33">
    <w:p w14:paraId="6B8D05F4" w14:textId="152A577C" w:rsidR="006F5227" w:rsidRPr="000249AD" w:rsidRDefault="006F5227" w:rsidP="002C6B57">
      <w:pPr>
        <w:pStyle w:val="FootnoteText"/>
        <w:rPr>
          <w:szCs w:val="18"/>
        </w:rPr>
      </w:pPr>
      <w:r w:rsidRPr="000249AD">
        <w:rPr>
          <w:szCs w:val="18"/>
        </w:rPr>
        <w:tab/>
      </w:r>
      <w:r w:rsidRPr="00176051">
        <w:rPr>
          <w:rStyle w:val="FootnoteReference"/>
        </w:rPr>
        <w:footnoteRef/>
      </w:r>
      <w:r w:rsidRPr="000249AD">
        <w:rPr>
          <w:szCs w:val="18"/>
        </w:rPr>
        <w:tab/>
        <w:t>See http://ec.europa.eu/environment/chemicals/endocrine/strategy/index_en.htm.</w:t>
      </w:r>
    </w:p>
  </w:footnote>
  <w:footnote w:id="34">
    <w:p w14:paraId="1C2A40F4" w14:textId="146ADE6E" w:rsidR="006F5227" w:rsidRPr="000249AD" w:rsidRDefault="006F5227" w:rsidP="002A5CA6">
      <w:pPr>
        <w:pStyle w:val="FootnoteText"/>
        <w:rPr>
          <w:szCs w:val="18"/>
        </w:rPr>
      </w:pPr>
      <w:r w:rsidRPr="000249AD">
        <w:rPr>
          <w:szCs w:val="18"/>
        </w:rPr>
        <w:tab/>
      </w:r>
      <w:r w:rsidRPr="00176051">
        <w:rPr>
          <w:rStyle w:val="FootnoteReference"/>
        </w:rPr>
        <w:footnoteRef/>
      </w:r>
      <w:r w:rsidRPr="000249AD">
        <w:rPr>
          <w:szCs w:val="18"/>
        </w:rPr>
        <w:tab/>
      </w:r>
      <w:r w:rsidRPr="000249AD">
        <w:rPr>
          <w:rFonts w:eastAsia="Times New Roman"/>
          <w:bCs/>
          <w:kern w:val="36"/>
          <w:szCs w:val="18"/>
          <w:lang w:eastAsia="en-GB"/>
        </w:rPr>
        <w:t xml:space="preserve">WHO and UNEP, </w:t>
      </w:r>
      <w:r w:rsidRPr="00AE7004">
        <w:rPr>
          <w:rFonts w:eastAsia="Times New Roman"/>
          <w:bCs/>
          <w:i/>
          <w:iCs/>
          <w:kern w:val="36"/>
          <w:szCs w:val="18"/>
          <w:lang w:eastAsia="en-GB"/>
        </w:rPr>
        <w:t xml:space="preserve">State of the science of </w:t>
      </w:r>
      <w:r w:rsidRPr="00AE7004">
        <w:rPr>
          <w:i/>
          <w:iCs/>
          <w:szCs w:val="18"/>
        </w:rPr>
        <w:t>endocrine disrupting chemicals – 2012: An assessment of the state of the science of endocrine disruptors prepared by a group of experts for the United Nations Environment Programme</w:t>
      </w:r>
      <w:r w:rsidRPr="000249AD">
        <w:rPr>
          <w:szCs w:val="18"/>
        </w:rPr>
        <w:t xml:space="preserve"> (Geneva, 2012), available from </w:t>
      </w:r>
      <w:hyperlink r:id="rId13" w:history="1">
        <w:r w:rsidRPr="00AE7004">
          <w:rPr>
            <w:rStyle w:val="Hyperlink"/>
          </w:rPr>
          <w:t>www.who.int/ceh/publications/endocrine/en/</w:t>
        </w:r>
      </w:hyperlink>
      <w:r w:rsidRPr="000249AD">
        <w:rPr>
          <w:rStyle w:val="Hyperlink"/>
          <w:rFonts w:eastAsia="Times New Roman"/>
          <w:bCs/>
          <w:kern w:val="36"/>
          <w:szCs w:val="18"/>
          <w:lang w:eastAsia="en-GB"/>
        </w:rPr>
        <w:t>.</w:t>
      </w:r>
    </w:p>
  </w:footnote>
  <w:footnote w:id="35">
    <w:p w14:paraId="1C0A85EB" w14:textId="4E29C401" w:rsidR="006F5227" w:rsidRPr="000249AD" w:rsidRDefault="006F5227" w:rsidP="002A5CA6">
      <w:pPr>
        <w:pStyle w:val="FootnoteText"/>
        <w:rPr>
          <w:szCs w:val="18"/>
          <w:lang w:val="en"/>
        </w:rPr>
      </w:pPr>
      <w:r w:rsidRPr="000249AD">
        <w:rPr>
          <w:szCs w:val="18"/>
        </w:rPr>
        <w:tab/>
      </w:r>
      <w:r w:rsidRPr="00176051">
        <w:rPr>
          <w:rStyle w:val="FootnoteReference"/>
        </w:rPr>
        <w:footnoteRef/>
      </w:r>
      <w:r w:rsidRPr="000249AD">
        <w:rPr>
          <w:szCs w:val="18"/>
        </w:rPr>
        <w:tab/>
      </w:r>
      <w:proofErr w:type="spellStart"/>
      <w:r w:rsidRPr="000249AD">
        <w:rPr>
          <w:szCs w:val="18"/>
        </w:rPr>
        <w:t>Dr.</w:t>
      </w:r>
      <w:proofErr w:type="spellEnd"/>
      <w:r w:rsidRPr="000249AD">
        <w:rPr>
          <w:szCs w:val="18"/>
        </w:rPr>
        <w:t xml:space="preserve"> A. </w:t>
      </w:r>
      <w:proofErr w:type="spellStart"/>
      <w:r w:rsidRPr="000249AD">
        <w:rPr>
          <w:szCs w:val="18"/>
        </w:rPr>
        <w:t>Kortenkamp</w:t>
      </w:r>
      <w:proofErr w:type="spellEnd"/>
      <w:r w:rsidRPr="000249AD">
        <w:rPr>
          <w:szCs w:val="18"/>
        </w:rPr>
        <w:t xml:space="preserve"> et al, </w:t>
      </w:r>
      <w:r w:rsidRPr="000249AD">
        <w:rPr>
          <w:szCs w:val="18"/>
          <w:lang w:val="en"/>
        </w:rPr>
        <w:t>“State of the Art Assessment of Endocrine Disruptors” (2012), available from</w:t>
      </w:r>
      <w:r w:rsidRPr="000249AD">
        <w:rPr>
          <w:szCs w:val="18"/>
        </w:rPr>
        <w:t xml:space="preserve"> </w:t>
      </w:r>
      <w:hyperlink r:id="rId14" w:history="1">
        <w:r w:rsidRPr="000249AD">
          <w:rPr>
            <w:rStyle w:val="Hyperlink"/>
            <w:szCs w:val="18"/>
            <w:lang w:val="en"/>
          </w:rPr>
          <w:t>http://ec.europa.eu/environment/chemicals/endocrine/pdf/sota_edc_final_report.pdf</w:t>
        </w:r>
      </w:hyperlink>
      <w:r w:rsidRPr="000249AD">
        <w:rPr>
          <w:rStyle w:val="Hyperlink"/>
          <w:szCs w:val="18"/>
          <w:lang w:val="en"/>
        </w:rPr>
        <w:t>.</w:t>
      </w:r>
    </w:p>
  </w:footnote>
  <w:footnote w:id="36">
    <w:p w14:paraId="5AC04177" w14:textId="5A37593D" w:rsidR="006F5227" w:rsidRPr="000249AD" w:rsidRDefault="006F5227" w:rsidP="00F63142">
      <w:pPr>
        <w:pStyle w:val="FootnoteText"/>
        <w:rPr>
          <w:szCs w:val="18"/>
        </w:rPr>
      </w:pPr>
      <w:r w:rsidRPr="000249AD">
        <w:rPr>
          <w:szCs w:val="18"/>
          <w:lang w:val="en"/>
        </w:rPr>
        <w:tab/>
      </w:r>
      <w:r w:rsidRPr="00176051">
        <w:rPr>
          <w:rStyle w:val="FootnoteReference"/>
        </w:rPr>
        <w:footnoteRef/>
      </w:r>
      <w:r w:rsidRPr="000249AD">
        <w:rPr>
          <w:szCs w:val="18"/>
          <w:lang w:val="en"/>
        </w:rPr>
        <w:tab/>
        <w:t xml:space="preserve">See </w:t>
      </w:r>
      <w:hyperlink r:id="rId15" w:anchor="more-505" w:history="1">
        <w:r w:rsidRPr="000249AD">
          <w:rPr>
            <w:rStyle w:val="Hyperlink"/>
            <w:szCs w:val="18"/>
          </w:rPr>
          <w:t>https://ourhealthandenvironment.wordpress.com/2012/02/29/a-major-step-forward/#more-505</w:t>
        </w:r>
      </w:hyperlink>
      <w:r w:rsidRPr="000249AD">
        <w:rPr>
          <w:rStyle w:val="Hyperlink"/>
          <w:szCs w:val="18"/>
        </w:rPr>
        <w:t>.</w:t>
      </w:r>
    </w:p>
  </w:footnote>
  <w:footnote w:id="37">
    <w:p w14:paraId="1C9C5BCF" w14:textId="5FCAFE71" w:rsidR="006F5227" w:rsidRPr="000249AD" w:rsidRDefault="006F5227">
      <w:pPr>
        <w:pStyle w:val="FootnoteText"/>
      </w:pPr>
      <w:r w:rsidRPr="000249AD">
        <w:tab/>
      </w:r>
      <w:r w:rsidRPr="00176051">
        <w:rPr>
          <w:rStyle w:val="FootnoteReference"/>
        </w:rPr>
        <w:footnoteRef/>
      </w:r>
      <w:r w:rsidRPr="000249AD">
        <w:tab/>
        <w:t>See A/HRC/33/41.</w:t>
      </w:r>
    </w:p>
  </w:footnote>
  <w:footnote w:id="38">
    <w:p w14:paraId="41E66E0C" w14:textId="4BC142A0" w:rsidR="006F5227" w:rsidRPr="000249AD" w:rsidRDefault="006F5227">
      <w:pPr>
        <w:pStyle w:val="FootnoteText"/>
        <w:rPr>
          <w:rFonts w:eastAsia="Times New Roman"/>
          <w:bCs/>
          <w:szCs w:val="18"/>
          <w:lang w:eastAsia="en-GB"/>
        </w:rPr>
      </w:pPr>
      <w:r w:rsidRPr="000249AD">
        <w:rPr>
          <w:rFonts w:eastAsia="Times New Roman"/>
          <w:bCs/>
          <w:szCs w:val="18"/>
          <w:lang w:eastAsia="en-GB"/>
        </w:rPr>
        <w:tab/>
      </w:r>
      <w:r w:rsidRPr="00176051">
        <w:rPr>
          <w:rStyle w:val="FootnoteReference"/>
        </w:rPr>
        <w:footnoteRef/>
      </w:r>
      <w:r w:rsidRPr="000249AD">
        <w:rPr>
          <w:rFonts w:eastAsia="Times New Roman"/>
          <w:bCs/>
          <w:szCs w:val="18"/>
          <w:lang w:eastAsia="en-GB"/>
        </w:rPr>
        <w:tab/>
      </w:r>
      <w:r w:rsidRPr="00AE7004">
        <w:rPr>
          <w:rFonts w:eastAsia="Times New Roman"/>
          <w:bCs/>
          <w:szCs w:val="18"/>
          <w:lang w:eastAsia="en-GB"/>
        </w:rPr>
        <w:t xml:space="preserve">See </w:t>
      </w:r>
      <w:r w:rsidRPr="000249AD">
        <w:rPr>
          <w:rFonts w:eastAsia="Times New Roman"/>
          <w:bCs/>
          <w:szCs w:val="18"/>
          <w:lang w:eastAsia="en-GB"/>
        </w:rPr>
        <w:t>WHO</w:t>
      </w:r>
      <w:r w:rsidRPr="00AE7004">
        <w:rPr>
          <w:rFonts w:eastAsia="Times New Roman"/>
          <w:bCs/>
          <w:szCs w:val="18"/>
          <w:lang w:eastAsia="en-GB"/>
        </w:rPr>
        <w:t xml:space="preserve"> and UNEP</w:t>
      </w:r>
      <w:r w:rsidRPr="000249AD">
        <w:rPr>
          <w:rFonts w:eastAsia="Times New Roman"/>
          <w:bCs/>
          <w:szCs w:val="18"/>
          <w:lang w:eastAsia="en-GB"/>
        </w:rPr>
        <w:t xml:space="preserve">, State of the science of endocrine disrupting chemicals </w:t>
      </w:r>
      <w:r w:rsidRPr="00AE7004">
        <w:rPr>
          <w:rFonts w:eastAsia="Times New Roman"/>
          <w:bCs/>
          <w:szCs w:val="18"/>
          <w:lang w:eastAsia="en-GB"/>
        </w:rPr>
        <w:t xml:space="preserve">(note </w:t>
      </w:r>
      <w:r w:rsidR="00497CF6" w:rsidRPr="00AE7004">
        <w:rPr>
          <w:rFonts w:eastAsia="Times New Roman"/>
          <w:bCs/>
          <w:szCs w:val="18"/>
          <w:lang w:eastAsia="en-GB"/>
        </w:rPr>
        <w:t>31</w:t>
      </w:r>
      <w:r w:rsidRPr="00AE7004">
        <w:rPr>
          <w:rFonts w:eastAsia="Times New Roman"/>
          <w:bCs/>
          <w:szCs w:val="18"/>
          <w:lang w:eastAsia="en-GB"/>
        </w:rPr>
        <w:t xml:space="preserve"> above). </w:t>
      </w:r>
    </w:p>
  </w:footnote>
  <w:footnote w:id="39">
    <w:p w14:paraId="40189288" w14:textId="2E0142F5" w:rsidR="006F5227" w:rsidRPr="000249AD" w:rsidRDefault="006F5227" w:rsidP="00F63142">
      <w:pPr>
        <w:pStyle w:val="FootnoteText"/>
        <w:rPr>
          <w:szCs w:val="18"/>
        </w:rPr>
      </w:pPr>
      <w:r w:rsidRPr="000249AD">
        <w:rPr>
          <w:szCs w:val="18"/>
        </w:rPr>
        <w:tab/>
      </w:r>
      <w:r w:rsidRPr="00176051">
        <w:rPr>
          <w:rStyle w:val="FootnoteReference"/>
        </w:rPr>
        <w:footnoteRef/>
      </w:r>
      <w:r w:rsidRPr="000249AD">
        <w:rPr>
          <w:szCs w:val="18"/>
        </w:rPr>
        <w:tab/>
        <w:t xml:space="preserve">See </w:t>
      </w:r>
      <w:hyperlink r:id="rId16" w:history="1">
        <w:r w:rsidRPr="000249AD">
          <w:rPr>
            <w:rStyle w:val="Hyperlink"/>
            <w:szCs w:val="18"/>
          </w:rPr>
          <w:t>https://chemicalwatch.com/46782/breakthrough-hailed-in-edcs-logjam?q=consensus+statement</w:t>
        </w:r>
      </w:hyperlink>
      <w:r w:rsidRPr="000249AD">
        <w:rPr>
          <w:rStyle w:val="Hyperlink"/>
          <w:szCs w:val="18"/>
        </w:rPr>
        <w:t>.</w:t>
      </w:r>
    </w:p>
  </w:footnote>
  <w:footnote w:id="40">
    <w:p w14:paraId="09BA52E3" w14:textId="5846ACC7" w:rsidR="006F5227" w:rsidRPr="000249AD" w:rsidRDefault="006F5227" w:rsidP="00892F70">
      <w:pPr>
        <w:pStyle w:val="FootnoteText"/>
        <w:rPr>
          <w:szCs w:val="18"/>
        </w:rPr>
      </w:pPr>
      <w:r w:rsidRPr="000249AD">
        <w:rPr>
          <w:szCs w:val="18"/>
        </w:rPr>
        <w:tab/>
      </w:r>
      <w:r w:rsidRPr="00176051">
        <w:rPr>
          <w:rStyle w:val="FootnoteReference"/>
        </w:rPr>
        <w:footnoteRef/>
      </w:r>
      <w:r w:rsidRPr="000249AD">
        <w:rPr>
          <w:szCs w:val="18"/>
        </w:rPr>
        <w:tab/>
        <w:t xml:space="preserve">See </w:t>
      </w:r>
      <w:r w:rsidRPr="000249AD">
        <w:t xml:space="preserve">European Parliament motion for a </w:t>
      </w:r>
      <w:r w:rsidRPr="000249AD">
        <w:rPr>
          <w:bCs/>
        </w:rPr>
        <w:t xml:space="preserve">resolution on dangerous toys, available from </w:t>
      </w:r>
      <w:r w:rsidRPr="000249AD">
        <w:t>www.europarl.europa.eu/sides/getDoc.do?type=MOTION&amp;reference=B6-2007-0355&amp;language=RO.</w:t>
      </w:r>
    </w:p>
  </w:footnote>
  <w:footnote w:id="41">
    <w:p w14:paraId="4944B670" w14:textId="2A5F2A62" w:rsidR="006F5227" w:rsidRPr="000249AD" w:rsidRDefault="006F5227" w:rsidP="00D46BC7">
      <w:pPr>
        <w:pStyle w:val="FootnoteText"/>
        <w:rPr>
          <w:szCs w:val="18"/>
        </w:rPr>
      </w:pPr>
      <w:r w:rsidRPr="000249AD">
        <w:rPr>
          <w:szCs w:val="18"/>
        </w:rPr>
        <w:tab/>
      </w:r>
      <w:r w:rsidRPr="00176051">
        <w:rPr>
          <w:rStyle w:val="FootnoteReference"/>
        </w:rPr>
        <w:footnoteRef/>
      </w:r>
      <w:r w:rsidRPr="000249AD">
        <w:rPr>
          <w:szCs w:val="18"/>
        </w:rPr>
        <w:tab/>
        <w:t xml:space="preserve">See report of the </w:t>
      </w:r>
      <w:r w:rsidRPr="000249AD">
        <w:t xml:space="preserve">European </w:t>
      </w:r>
      <w:proofErr w:type="spellStart"/>
      <w:r w:rsidRPr="000249AD">
        <w:t>Center</w:t>
      </w:r>
      <w:proofErr w:type="spellEnd"/>
      <w:r w:rsidRPr="000249AD">
        <w:t xml:space="preserve"> for Constitutional and Human Rights, available from </w:t>
      </w:r>
      <w:hyperlink r:id="rId17" w:history="1">
        <w:r w:rsidR="00070447" w:rsidRPr="00AE7004">
          <w:rPr>
            <w:rStyle w:val="Hyperlink"/>
            <w:szCs w:val="18"/>
          </w:rPr>
          <w:t>www.ecchr.eu/en/our_work/business-and-human-rights/pesticides/q-a-pesticides-monitoring-report-to-fao.html</w:t>
        </w:r>
      </w:hyperlink>
      <w:r w:rsidRPr="000249AD">
        <w:rPr>
          <w:rStyle w:val="Hyperlink"/>
          <w:szCs w:val="18"/>
        </w:rPr>
        <w:t>.</w:t>
      </w:r>
    </w:p>
  </w:footnote>
  <w:footnote w:id="42">
    <w:p w14:paraId="6C17D2BB" w14:textId="0D42FD87" w:rsidR="006F5227" w:rsidRPr="000249AD" w:rsidRDefault="006F5227" w:rsidP="00142102">
      <w:pPr>
        <w:pStyle w:val="FootnoteText"/>
        <w:rPr>
          <w:szCs w:val="18"/>
        </w:rPr>
      </w:pPr>
      <w:r w:rsidRPr="000249AD">
        <w:rPr>
          <w:szCs w:val="18"/>
        </w:rPr>
        <w:tab/>
      </w:r>
      <w:r w:rsidRPr="00176051">
        <w:rPr>
          <w:rStyle w:val="FootnoteReference"/>
        </w:rPr>
        <w:footnoteRef/>
      </w:r>
      <w:r w:rsidRPr="000249AD">
        <w:rPr>
          <w:szCs w:val="18"/>
        </w:rPr>
        <w:tab/>
        <w:t xml:space="preserve">See </w:t>
      </w:r>
      <w:hyperlink r:id="rId18" w:history="1">
        <w:r w:rsidRPr="000249AD">
          <w:rPr>
            <w:rStyle w:val="Hyperlink"/>
            <w:szCs w:val="18"/>
          </w:rPr>
          <w:t>www.panna.org/pesticides-big-picture/pesticides-101</w:t>
        </w:r>
      </w:hyperlink>
      <w:r w:rsidRPr="000249AD">
        <w:rPr>
          <w:rStyle w:val="Hyperlink"/>
          <w:szCs w:val="18"/>
        </w:rPr>
        <w:t>.</w:t>
      </w:r>
    </w:p>
  </w:footnote>
  <w:footnote w:id="43">
    <w:p w14:paraId="68FC4D49" w14:textId="78E8DEE9" w:rsidR="006F5227" w:rsidRPr="000249AD" w:rsidRDefault="006F5227">
      <w:pPr>
        <w:pStyle w:val="FootnoteText"/>
        <w:rPr>
          <w:szCs w:val="18"/>
        </w:rPr>
      </w:pPr>
      <w:r w:rsidRPr="000249AD">
        <w:rPr>
          <w:szCs w:val="18"/>
        </w:rPr>
        <w:tab/>
      </w:r>
      <w:r w:rsidRPr="00176051">
        <w:rPr>
          <w:rStyle w:val="FootnoteReference"/>
        </w:rPr>
        <w:footnoteRef/>
      </w:r>
      <w:r w:rsidRPr="000249AD">
        <w:rPr>
          <w:szCs w:val="18"/>
        </w:rPr>
        <w:tab/>
      </w:r>
      <w:r w:rsidRPr="00AE7004">
        <w:t>See</w:t>
      </w:r>
      <w:r w:rsidRPr="000249AD">
        <w:rPr>
          <w:rStyle w:val="Hyperlink"/>
          <w:szCs w:val="18"/>
        </w:rPr>
        <w:t xml:space="preserve"> report </w:t>
      </w:r>
      <w:r w:rsidRPr="000249AD">
        <w:rPr>
          <w:szCs w:val="18"/>
        </w:rPr>
        <w:t xml:space="preserve">of the </w:t>
      </w:r>
      <w:r w:rsidRPr="000249AD">
        <w:t xml:space="preserve">European </w:t>
      </w:r>
      <w:proofErr w:type="spellStart"/>
      <w:r w:rsidRPr="000249AD">
        <w:t>Center</w:t>
      </w:r>
      <w:proofErr w:type="spellEnd"/>
      <w:r w:rsidRPr="000249AD">
        <w:t xml:space="preserve"> for Constitutional and Human Rights (note </w:t>
      </w:r>
      <w:r w:rsidR="00497CF6" w:rsidRPr="00AE7004">
        <w:t>38</w:t>
      </w:r>
      <w:r w:rsidRPr="000249AD">
        <w:t xml:space="preserve"> above)</w:t>
      </w:r>
      <w:r w:rsidRPr="000249AD">
        <w:rPr>
          <w:rStyle w:val="Hyperlink"/>
          <w:szCs w:val="18"/>
        </w:rPr>
        <w:t>.</w:t>
      </w:r>
    </w:p>
  </w:footnote>
  <w:footnote w:id="44">
    <w:p w14:paraId="322DE561" w14:textId="43C9D155" w:rsidR="006F5227" w:rsidRPr="000249AD" w:rsidRDefault="006F5227" w:rsidP="009B1851">
      <w:pPr>
        <w:pStyle w:val="FootnoteText"/>
        <w:rPr>
          <w:szCs w:val="18"/>
        </w:rPr>
      </w:pPr>
      <w:r w:rsidRPr="000249AD">
        <w:rPr>
          <w:szCs w:val="18"/>
        </w:rPr>
        <w:tab/>
      </w:r>
      <w:r w:rsidRPr="00176051">
        <w:rPr>
          <w:rStyle w:val="FootnoteReference"/>
        </w:rPr>
        <w:footnoteRef/>
      </w:r>
      <w:r w:rsidRPr="000249AD">
        <w:rPr>
          <w:szCs w:val="18"/>
        </w:rPr>
        <w:tab/>
        <w:t xml:space="preserve">See Human Rights Watch, report entitled </w:t>
      </w:r>
      <w:r w:rsidRPr="00AE7004">
        <w:rPr>
          <w:i/>
          <w:iCs/>
          <w:szCs w:val="18"/>
        </w:rPr>
        <w:t>“Whoever raises their head suffers the most”: Workers’ Rights in Bangladesh’s Garment Factories</w:t>
      </w:r>
      <w:r w:rsidRPr="000249AD">
        <w:rPr>
          <w:szCs w:val="18"/>
        </w:rPr>
        <w:t xml:space="preserve"> (2015), available from </w:t>
      </w:r>
      <w:hyperlink r:id="rId19" w:history="1">
        <w:r w:rsidR="00070447" w:rsidRPr="00003705">
          <w:rPr>
            <w:rStyle w:val="Hyperlink"/>
            <w:szCs w:val="18"/>
          </w:rPr>
          <w:t>www.hrw.org/report/2015</w:t>
        </w:r>
      </w:hyperlink>
      <w:r w:rsidR="00070447">
        <w:rPr>
          <w:szCs w:val="18"/>
        </w:rPr>
        <w:br/>
      </w:r>
      <w:r w:rsidRPr="000249AD">
        <w:rPr>
          <w:szCs w:val="18"/>
        </w:rPr>
        <w:t xml:space="preserve">/04/22/whoever-raises-their-head-suffers-most/workers-rights-bangladeshs-garment. </w:t>
      </w:r>
    </w:p>
  </w:footnote>
  <w:footnote w:id="45">
    <w:p w14:paraId="25C57762" w14:textId="7C4DF86B" w:rsidR="006F5227" w:rsidRPr="005005FE" w:rsidRDefault="006F5227" w:rsidP="009B1851">
      <w:pPr>
        <w:pStyle w:val="FootnoteText"/>
        <w:rPr>
          <w:szCs w:val="18"/>
        </w:rPr>
      </w:pPr>
      <w:r w:rsidRPr="000249AD">
        <w:rPr>
          <w:szCs w:val="18"/>
        </w:rPr>
        <w:tab/>
      </w:r>
      <w:r w:rsidRPr="00176051">
        <w:rPr>
          <w:rStyle w:val="FootnoteReference"/>
        </w:rPr>
        <w:footnoteRef/>
      </w:r>
      <w:r w:rsidRPr="000249AD">
        <w:rPr>
          <w:szCs w:val="18"/>
        </w:rPr>
        <w:tab/>
        <w:t xml:space="preserve">See Amnesty International, </w:t>
      </w:r>
      <w:r w:rsidRPr="00AE7004">
        <w:rPr>
          <w:i/>
          <w:iCs/>
          <w:szCs w:val="18"/>
        </w:rPr>
        <w:t>“This is what we die for”</w:t>
      </w:r>
      <w:r w:rsidRPr="000249AD">
        <w:rPr>
          <w:i/>
          <w:iCs/>
          <w:szCs w:val="18"/>
        </w:rPr>
        <w:t>:</w:t>
      </w:r>
      <w:r w:rsidRPr="00AE7004">
        <w:rPr>
          <w:i/>
          <w:iCs/>
          <w:szCs w:val="18"/>
        </w:rPr>
        <w:t xml:space="preserve"> Human </w:t>
      </w:r>
      <w:r w:rsidRPr="000249AD">
        <w:rPr>
          <w:i/>
          <w:iCs/>
          <w:szCs w:val="18"/>
        </w:rPr>
        <w:t>r</w:t>
      </w:r>
      <w:r w:rsidRPr="00AE7004">
        <w:rPr>
          <w:i/>
          <w:iCs/>
          <w:szCs w:val="18"/>
        </w:rPr>
        <w:t xml:space="preserve">ights </w:t>
      </w:r>
      <w:r w:rsidRPr="000249AD">
        <w:rPr>
          <w:i/>
          <w:iCs/>
          <w:szCs w:val="18"/>
        </w:rPr>
        <w:t>a</w:t>
      </w:r>
      <w:r w:rsidRPr="00AE7004">
        <w:rPr>
          <w:i/>
          <w:iCs/>
          <w:szCs w:val="18"/>
        </w:rPr>
        <w:t>buses in the Democratic Republic of the Congo power the global trade in cobalt</w:t>
      </w:r>
      <w:r w:rsidRPr="000249AD">
        <w:rPr>
          <w:szCs w:val="18"/>
        </w:rPr>
        <w:t>, (May 2015), available from www.amnesty.org/en/documents/afr62/3183/2016/en/.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D7BB" w14:textId="77777777" w:rsidR="006F5227" w:rsidRPr="00EC7052" w:rsidRDefault="006F5227">
    <w:pPr>
      <w:pStyle w:val="Header"/>
    </w:pPr>
    <w:r>
      <w:t>A/HRC/33/41/Add.2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7816E" w14:textId="77777777" w:rsidR="006F5227" w:rsidRPr="00EC7052" w:rsidRDefault="006F5227" w:rsidP="00EC7052">
    <w:pPr>
      <w:pStyle w:val="Header"/>
      <w:jc w:val="right"/>
    </w:pPr>
    <w:r>
      <w:t>A/HRC/33/41/Add.2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D964BA"/>
    <w:multiLevelType w:val="hybridMultilevel"/>
    <w:tmpl w:val="80FEF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42"/>
    <w:rsid w:val="0000097E"/>
    <w:rsid w:val="00001303"/>
    <w:rsid w:val="00004917"/>
    <w:rsid w:val="0000579A"/>
    <w:rsid w:val="00007F7F"/>
    <w:rsid w:val="00011FC9"/>
    <w:rsid w:val="00012C9E"/>
    <w:rsid w:val="00013735"/>
    <w:rsid w:val="00022DB5"/>
    <w:rsid w:val="00023E40"/>
    <w:rsid w:val="000246CA"/>
    <w:rsid w:val="000249AD"/>
    <w:rsid w:val="00030FBA"/>
    <w:rsid w:val="000327B9"/>
    <w:rsid w:val="00033078"/>
    <w:rsid w:val="00034030"/>
    <w:rsid w:val="000345AE"/>
    <w:rsid w:val="000403D1"/>
    <w:rsid w:val="000412D1"/>
    <w:rsid w:val="00042CFE"/>
    <w:rsid w:val="000449AA"/>
    <w:rsid w:val="0004529B"/>
    <w:rsid w:val="00050F6B"/>
    <w:rsid w:val="00051E28"/>
    <w:rsid w:val="00053839"/>
    <w:rsid w:val="00056D89"/>
    <w:rsid w:val="00060094"/>
    <w:rsid w:val="000604D6"/>
    <w:rsid w:val="00060671"/>
    <w:rsid w:val="00063822"/>
    <w:rsid w:val="00063ACF"/>
    <w:rsid w:val="000667C3"/>
    <w:rsid w:val="00066F9A"/>
    <w:rsid w:val="00070447"/>
    <w:rsid w:val="00072C8C"/>
    <w:rsid w:val="00073E70"/>
    <w:rsid w:val="0007563F"/>
    <w:rsid w:val="00076723"/>
    <w:rsid w:val="0007772B"/>
    <w:rsid w:val="00082314"/>
    <w:rsid w:val="00084C16"/>
    <w:rsid w:val="00086208"/>
    <w:rsid w:val="00086F53"/>
    <w:rsid w:val="000876EB"/>
    <w:rsid w:val="00090467"/>
    <w:rsid w:val="00091419"/>
    <w:rsid w:val="000931C0"/>
    <w:rsid w:val="00094799"/>
    <w:rsid w:val="00095ADC"/>
    <w:rsid w:val="000979AE"/>
    <w:rsid w:val="00097C36"/>
    <w:rsid w:val="000A0D6A"/>
    <w:rsid w:val="000A1899"/>
    <w:rsid w:val="000A76B8"/>
    <w:rsid w:val="000B0BEF"/>
    <w:rsid w:val="000B175B"/>
    <w:rsid w:val="000B1CED"/>
    <w:rsid w:val="000B31EE"/>
    <w:rsid w:val="000B3A0F"/>
    <w:rsid w:val="000B4A3B"/>
    <w:rsid w:val="000B73D8"/>
    <w:rsid w:val="000B7919"/>
    <w:rsid w:val="000B7FA3"/>
    <w:rsid w:val="000C212B"/>
    <w:rsid w:val="000C4BAE"/>
    <w:rsid w:val="000C7783"/>
    <w:rsid w:val="000D1851"/>
    <w:rsid w:val="000D2ABC"/>
    <w:rsid w:val="000D4F77"/>
    <w:rsid w:val="000D71C6"/>
    <w:rsid w:val="000E0415"/>
    <w:rsid w:val="000E3C04"/>
    <w:rsid w:val="000E7478"/>
    <w:rsid w:val="000E74F0"/>
    <w:rsid w:val="000F0CE9"/>
    <w:rsid w:val="000F2A55"/>
    <w:rsid w:val="000F5F0F"/>
    <w:rsid w:val="000F73E3"/>
    <w:rsid w:val="000F7A20"/>
    <w:rsid w:val="001017CA"/>
    <w:rsid w:val="00103F46"/>
    <w:rsid w:val="001069FC"/>
    <w:rsid w:val="0010715E"/>
    <w:rsid w:val="0011105A"/>
    <w:rsid w:val="0011577A"/>
    <w:rsid w:val="00120655"/>
    <w:rsid w:val="001247E6"/>
    <w:rsid w:val="001267B3"/>
    <w:rsid w:val="0012719C"/>
    <w:rsid w:val="001323C1"/>
    <w:rsid w:val="0013260F"/>
    <w:rsid w:val="00135DA9"/>
    <w:rsid w:val="00136E39"/>
    <w:rsid w:val="001376EE"/>
    <w:rsid w:val="00140D87"/>
    <w:rsid w:val="0014152B"/>
    <w:rsid w:val="00142102"/>
    <w:rsid w:val="00146D32"/>
    <w:rsid w:val="001509BA"/>
    <w:rsid w:val="00152FCD"/>
    <w:rsid w:val="00153053"/>
    <w:rsid w:val="00154C6C"/>
    <w:rsid w:val="001635B1"/>
    <w:rsid w:val="00165F54"/>
    <w:rsid w:val="00166C20"/>
    <w:rsid w:val="00172904"/>
    <w:rsid w:val="00176051"/>
    <w:rsid w:val="001807F5"/>
    <w:rsid w:val="001845A3"/>
    <w:rsid w:val="00187144"/>
    <w:rsid w:val="00191353"/>
    <w:rsid w:val="001950A7"/>
    <w:rsid w:val="001956F0"/>
    <w:rsid w:val="00196343"/>
    <w:rsid w:val="001A1CF7"/>
    <w:rsid w:val="001A2B84"/>
    <w:rsid w:val="001A323E"/>
    <w:rsid w:val="001A46BD"/>
    <w:rsid w:val="001A71E6"/>
    <w:rsid w:val="001B154B"/>
    <w:rsid w:val="001B2224"/>
    <w:rsid w:val="001B23D9"/>
    <w:rsid w:val="001B4B04"/>
    <w:rsid w:val="001B53F5"/>
    <w:rsid w:val="001B6C02"/>
    <w:rsid w:val="001B6E47"/>
    <w:rsid w:val="001B78E4"/>
    <w:rsid w:val="001C1343"/>
    <w:rsid w:val="001C327F"/>
    <w:rsid w:val="001C32BC"/>
    <w:rsid w:val="001C4B1C"/>
    <w:rsid w:val="001C5AE3"/>
    <w:rsid w:val="001C64C9"/>
    <w:rsid w:val="001C6663"/>
    <w:rsid w:val="001C74BF"/>
    <w:rsid w:val="001C7895"/>
    <w:rsid w:val="001D1051"/>
    <w:rsid w:val="001D26DF"/>
    <w:rsid w:val="001D35D0"/>
    <w:rsid w:val="001D53CF"/>
    <w:rsid w:val="001D63D7"/>
    <w:rsid w:val="001D6A88"/>
    <w:rsid w:val="001E0471"/>
    <w:rsid w:val="001E0573"/>
    <w:rsid w:val="001E2790"/>
    <w:rsid w:val="001E3182"/>
    <w:rsid w:val="001F38A6"/>
    <w:rsid w:val="001F562C"/>
    <w:rsid w:val="001F5E66"/>
    <w:rsid w:val="00202B86"/>
    <w:rsid w:val="0020363E"/>
    <w:rsid w:val="00206850"/>
    <w:rsid w:val="00210804"/>
    <w:rsid w:val="00210EAA"/>
    <w:rsid w:val="00211CDA"/>
    <w:rsid w:val="00211E0B"/>
    <w:rsid w:val="00211E72"/>
    <w:rsid w:val="00211F13"/>
    <w:rsid w:val="00212390"/>
    <w:rsid w:val="00214047"/>
    <w:rsid w:val="002143F4"/>
    <w:rsid w:val="00214EE1"/>
    <w:rsid w:val="00214FCD"/>
    <w:rsid w:val="002162EF"/>
    <w:rsid w:val="002172D2"/>
    <w:rsid w:val="00217BAA"/>
    <w:rsid w:val="00220568"/>
    <w:rsid w:val="0022130F"/>
    <w:rsid w:val="0022137C"/>
    <w:rsid w:val="002238CF"/>
    <w:rsid w:val="00223AB5"/>
    <w:rsid w:val="00224157"/>
    <w:rsid w:val="00224452"/>
    <w:rsid w:val="0023312A"/>
    <w:rsid w:val="00233E67"/>
    <w:rsid w:val="00234EDE"/>
    <w:rsid w:val="00237785"/>
    <w:rsid w:val="00237E18"/>
    <w:rsid w:val="002410DD"/>
    <w:rsid w:val="00241466"/>
    <w:rsid w:val="00241E13"/>
    <w:rsid w:val="002460A9"/>
    <w:rsid w:val="0024650C"/>
    <w:rsid w:val="00246719"/>
    <w:rsid w:val="002505B1"/>
    <w:rsid w:val="00250B1A"/>
    <w:rsid w:val="00253D58"/>
    <w:rsid w:val="00254129"/>
    <w:rsid w:val="002605CF"/>
    <w:rsid w:val="002632A1"/>
    <w:rsid w:val="00271161"/>
    <w:rsid w:val="002712EE"/>
    <w:rsid w:val="002716B9"/>
    <w:rsid w:val="002742DC"/>
    <w:rsid w:val="00274EBD"/>
    <w:rsid w:val="002760E6"/>
    <w:rsid w:val="0027672A"/>
    <w:rsid w:val="00276FD0"/>
    <w:rsid w:val="0027725F"/>
    <w:rsid w:val="00281927"/>
    <w:rsid w:val="00282314"/>
    <w:rsid w:val="00286648"/>
    <w:rsid w:val="00295D89"/>
    <w:rsid w:val="00296847"/>
    <w:rsid w:val="00296AB3"/>
    <w:rsid w:val="002970A7"/>
    <w:rsid w:val="002A3AD4"/>
    <w:rsid w:val="002A3C63"/>
    <w:rsid w:val="002A5CA6"/>
    <w:rsid w:val="002A66D4"/>
    <w:rsid w:val="002B2D50"/>
    <w:rsid w:val="002B3474"/>
    <w:rsid w:val="002B3B13"/>
    <w:rsid w:val="002B4214"/>
    <w:rsid w:val="002B7808"/>
    <w:rsid w:val="002C1B43"/>
    <w:rsid w:val="002C21F0"/>
    <w:rsid w:val="002C3508"/>
    <w:rsid w:val="002C5B55"/>
    <w:rsid w:val="002C6B57"/>
    <w:rsid w:val="002D2012"/>
    <w:rsid w:val="002D6652"/>
    <w:rsid w:val="002E0E30"/>
    <w:rsid w:val="002E12D4"/>
    <w:rsid w:val="002E4682"/>
    <w:rsid w:val="002E5970"/>
    <w:rsid w:val="002E5EC2"/>
    <w:rsid w:val="002E6051"/>
    <w:rsid w:val="002E627F"/>
    <w:rsid w:val="002E7413"/>
    <w:rsid w:val="002F008B"/>
    <w:rsid w:val="002F0504"/>
    <w:rsid w:val="002F276A"/>
    <w:rsid w:val="002F3E7D"/>
    <w:rsid w:val="002F40D6"/>
    <w:rsid w:val="002F71F0"/>
    <w:rsid w:val="002F7409"/>
    <w:rsid w:val="003033B7"/>
    <w:rsid w:val="00304491"/>
    <w:rsid w:val="00307EC7"/>
    <w:rsid w:val="003107FA"/>
    <w:rsid w:val="00310C5C"/>
    <w:rsid w:val="00311D52"/>
    <w:rsid w:val="0031351C"/>
    <w:rsid w:val="0031386F"/>
    <w:rsid w:val="0031630C"/>
    <w:rsid w:val="00317977"/>
    <w:rsid w:val="0032038D"/>
    <w:rsid w:val="00321586"/>
    <w:rsid w:val="003229D8"/>
    <w:rsid w:val="00323A1A"/>
    <w:rsid w:val="0032712C"/>
    <w:rsid w:val="00327E25"/>
    <w:rsid w:val="003314D1"/>
    <w:rsid w:val="0033265A"/>
    <w:rsid w:val="0033279F"/>
    <w:rsid w:val="00334FE2"/>
    <w:rsid w:val="0033546D"/>
    <w:rsid w:val="00335547"/>
    <w:rsid w:val="00335A2F"/>
    <w:rsid w:val="00341937"/>
    <w:rsid w:val="003424D3"/>
    <w:rsid w:val="00342526"/>
    <w:rsid w:val="00342A75"/>
    <w:rsid w:val="003434CC"/>
    <w:rsid w:val="00343EEA"/>
    <w:rsid w:val="00346823"/>
    <w:rsid w:val="0035332B"/>
    <w:rsid w:val="00354E43"/>
    <w:rsid w:val="00354F95"/>
    <w:rsid w:val="00355633"/>
    <w:rsid w:val="003558F6"/>
    <w:rsid w:val="003569A3"/>
    <w:rsid w:val="00356DDF"/>
    <w:rsid w:val="0036134B"/>
    <w:rsid w:val="00377872"/>
    <w:rsid w:val="00377EF8"/>
    <w:rsid w:val="003814BA"/>
    <w:rsid w:val="00382A76"/>
    <w:rsid w:val="003834AF"/>
    <w:rsid w:val="00386B78"/>
    <w:rsid w:val="00390D49"/>
    <w:rsid w:val="0039277A"/>
    <w:rsid w:val="003943F3"/>
    <w:rsid w:val="003955AC"/>
    <w:rsid w:val="00395FF7"/>
    <w:rsid w:val="0039625E"/>
    <w:rsid w:val="003972E0"/>
    <w:rsid w:val="003975ED"/>
    <w:rsid w:val="003A0E78"/>
    <w:rsid w:val="003A29F0"/>
    <w:rsid w:val="003A4138"/>
    <w:rsid w:val="003A5567"/>
    <w:rsid w:val="003B2362"/>
    <w:rsid w:val="003B4FCA"/>
    <w:rsid w:val="003C1F5A"/>
    <w:rsid w:val="003C2CC4"/>
    <w:rsid w:val="003C5FD9"/>
    <w:rsid w:val="003D39DC"/>
    <w:rsid w:val="003D4B23"/>
    <w:rsid w:val="003E0B45"/>
    <w:rsid w:val="003E13A0"/>
    <w:rsid w:val="003E28A6"/>
    <w:rsid w:val="003E2F2D"/>
    <w:rsid w:val="003E33DF"/>
    <w:rsid w:val="003E374C"/>
    <w:rsid w:val="003E515D"/>
    <w:rsid w:val="003E5621"/>
    <w:rsid w:val="003F004C"/>
    <w:rsid w:val="003F22C4"/>
    <w:rsid w:val="003F2BBE"/>
    <w:rsid w:val="003F3126"/>
    <w:rsid w:val="003F76E1"/>
    <w:rsid w:val="003F7ECD"/>
    <w:rsid w:val="00400F8E"/>
    <w:rsid w:val="00405C97"/>
    <w:rsid w:val="00407250"/>
    <w:rsid w:val="00407BCB"/>
    <w:rsid w:val="00410D51"/>
    <w:rsid w:val="00414AA2"/>
    <w:rsid w:val="0041793E"/>
    <w:rsid w:val="00417D3B"/>
    <w:rsid w:val="0042047D"/>
    <w:rsid w:val="004218BA"/>
    <w:rsid w:val="00421DD2"/>
    <w:rsid w:val="00421DD8"/>
    <w:rsid w:val="0042483C"/>
    <w:rsid w:val="00424C80"/>
    <w:rsid w:val="004260B7"/>
    <w:rsid w:val="004308E0"/>
    <w:rsid w:val="00430FA3"/>
    <w:rsid w:val="004325CB"/>
    <w:rsid w:val="00433806"/>
    <w:rsid w:val="00434AA3"/>
    <w:rsid w:val="00435327"/>
    <w:rsid w:val="0043548C"/>
    <w:rsid w:val="00441929"/>
    <w:rsid w:val="00443DF8"/>
    <w:rsid w:val="00444520"/>
    <w:rsid w:val="00444B31"/>
    <w:rsid w:val="0044503A"/>
    <w:rsid w:val="00446DE4"/>
    <w:rsid w:val="004474A9"/>
    <w:rsid w:val="00447761"/>
    <w:rsid w:val="00447E9F"/>
    <w:rsid w:val="0045006B"/>
    <w:rsid w:val="00451EC3"/>
    <w:rsid w:val="00452C5C"/>
    <w:rsid w:val="00454778"/>
    <w:rsid w:val="004566C3"/>
    <w:rsid w:val="004625E8"/>
    <w:rsid w:val="00464131"/>
    <w:rsid w:val="004721B1"/>
    <w:rsid w:val="00473656"/>
    <w:rsid w:val="00474CF4"/>
    <w:rsid w:val="00475B6A"/>
    <w:rsid w:val="004775ED"/>
    <w:rsid w:val="0048391F"/>
    <w:rsid w:val="004845E7"/>
    <w:rsid w:val="004859EC"/>
    <w:rsid w:val="0049043F"/>
    <w:rsid w:val="00490AA2"/>
    <w:rsid w:val="004911D2"/>
    <w:rsid w:val="004915CB"/>
    <w:rsid w:val="00491D1A"/>
    <w:rsid w:val="00492020"/>
    <w:rsid w:val="00494731"/>
    <w:rsid w:val="00496A15"/>
    <w:rsid w:val="00497979"/>
    <w:rsid w:val="00497CF6"/>
    <w:rsid w:val="004A0680"/>
    <w:rsid w:val="004A0E37"/>
    <w:rsid w:val="004A32D3"/>
    <w:rsid w:val="004A3C00"/>
    <w:rsid w:val="004A429B"/>
    <w:rsid w:val="004A5049"/>
    <w:rsid w:val="004A5065"/>
    <w:rsid w:val="004A69DB"/>
    <w:rsid w:val="004B518C"/>
    <w:rsid w:val="004B75D2"/>
    <w:rsid w:val="004C09A4"/>
    <w:rsid w:val="004C15BF"/>
    <w:rsid w:val="004C2E85"/>
    <w:rsid w:val="004D1140"/>
    <w:rsid w:val="004D19B4"/>
    <w:rsid w:val="004D22BC"/>
    <w:rsid w:val="004D2518"/>
    <w:rsid w:val="004D52EE"/>
    <w:rsid w:val="004D7E26"/>
    <w:rsid w:val="004E003C"/>
    <w:rsid w:val="004E09B1"/>
    <w:rsid w:val="004E0A71"/>
    <w:rsid w:val="004E2E73"/>
    <w:rsid w:val="004E50ED"/>
    <w:rsid w:val="004F416C"/>
    <w:rsid w:val="004F4EC6"/>
    <w:rsid w:val="004F53F2"/>
    <w:rsid w:val="004F55ED"/>
    <w:rsid w:val="00502437"/>
    <w:rsid w:val="00502DDA"/>
    <w:rsid w:val="00504B2A"/>
    <w:rsid w:val="00511205"/>
    <w:rsid w:val="00513367"/>
    <w:rsid w:val="00514912"/>
    <w:rsid w:val="00515F37"/>
    <w:rsid w:val="00516E19"/>
    <w:rsid w:val="005209F6"/>
    <w:rsid w:val="00521078"/>
    <w:rsid w:val="0052176C"/>
    <w:rsid w:val="00522794"/>
    <w:rsid w:val="005261E5"/>
    <w:rsid w:val="00534EB6"/>
    <w:rsid w:val="00535066"/>
    <w:rsid w:val="00535A4B"/>
    <w:rsid w:val="00537EA6"/>
    <w:rsid w:val="00540F85"/>
    <w:rsid w:val="005419E4"/>
    <w:rsid w:val="00541A43"/>
    <w:rsid w:val="005420F2"/>
    <w:rsid w:val="00542574"/>
    <w:rsid w:val="005425FB"/>
    <w:rsid w:val="005436AB"/>
    <w:rsid w:val="005438CA"/>
    <w:rsid w:val="00544E91"/>
    <w:rsid w:val="00545E98"/>
    <w:rsid w:val="00546DBF"/>
    <w:rsid w:val="0054759D"/>
    <w:rsid w:val="005511B6"/>
    <w:rsid w:val="0055223F"/>
    <w:rsid w:val="00552BAC"/>
    <w:rsid w:val="00553D76"/>
    <w:rsid w:val="005552B5"/>
    <w:rsid w:val="0055786D"/>
    <w:rsid w:val="00560D48"/>
    <w:rsid w:val="0056117B"/>
    <w:rsid w:val="0056124D"/>
    <w:rsid w:val="00563D5B"/>
    <w:rsid w:val="00567DC2"/>
    <w:rsid w:val="00571365"/>
    <w:rsid w:val="005749DC"/>
    <w:rsid w:val="0058107B"/>
    <w:rsid w:val="00581213"/>
    <w:rsid w:val="00581AE4"/>
    <w:rsid w:val="005838B6"/>
    <w:rsid w:val="00583F98"/>
    <w:rsid w:val="0058518D"/>
    <w:rsid w:val="00592185"/>
    <w:rsid w:val="0059221A"/>
    <w:rsid w:val="00593D16"/>
    <w:rsid w:val="00594E62"/>
    <w:rsid w:val="00596BBC"/>
    <w:rsid w:val="005A0613"/>
    <w:rsid w:val="005A2705"/>
    <w:rsid w:val="005A2D22"/>
    <w:rsid w:val="005A41D3"/>
    <w:rsid w:val="005A5F4A"/>
    <w:rsid w:val="005A6E73"/>
    <w:rsid w:val="005A7AC5"/>
    <w:rsid w:val="005B081E"/>
    <w:rsid w:val="005B1CB9"/>
    <w:rsid w:val="005B1F92"/>
    <w:rsid w:val="005B3DB3"/>
    <w:rsid w:val="005B5011"/>
    <w:rsid w:val="005B6E48"/>
    <w:rsid w:val="005C1F5F"/>
    <w:rsid w:val="005C3105"/>
    <w:rsid w:val="005C3874"/>
    <w:rsid w:val="005C5186"/>
    <w:rsid w:val="005C5963"/>
    <w:rsid w:val="005D0BCD"/>
    <w:rsid w:val="005D0FD6"/>
    <w:rsid w:val="005E1712"/>
    <w:rsid w:val="005E5409"/>
    <w:rsid w:val="005E5C39"/>
    <w:rsid w:val="005E5E05"/>
    <w:rsid w:val="005F1540"/>
    <w:rsid w:val="005F17D0"/>
    <w:rsid w:val="005F1AA5"/>
    <w:rsid w:val="005F3EA4"/>
    <w:rsid w:val="005F478C"/>
    <w:rsid w:val="005F58CE"/>
    <w:rsid w:val="005F58FF"/>
    <w:rsid w:val="00600827"/>
    <w:rsid w:val="00601AD4"/>
    <w:rsid w:val="00605EC0"/>
    <w:rsid w:val="00607064"/>
    <w:rsid w:val="006107CE"/>
    <w:rsid w:val="00611FC4"/>
    <w:rsid w:val="00612360"/>
    <w:rsid w:val="00612689"/>
    <w:rsid w:val="00614878"/>
    <w:rsid w:val="00616CDC"/>
    <w:rsid w:val="006176FB"/>
    <w:rsid w:val="006208CB"/>
    <w:rsid w:val="00620EB1"/>
    <w:rsid w:val="0062123E"/>
    <w:rsid w:val="006260D7"/>
    <w:rsid w:val="00634B39"/>
    <w:rsid w:val="00637D73"/>
    <w:rsid w:val="00640B26"/>
    <w:rsid w:val="00640FE7"/>
    <w:rsid w:val="00641122"/>
    <w:rsid w:val="006428C0"/>
    <w:rsid w:val="00642AD0"/>
    <w:rsid w:val="00645441"/>
    <w:rsid w:val="00650A11"/>
    <w:rsid w:val="006511CE"/>
    <w:rsid w:val="00653220"/>
    <w:rsid w:val="00653AB0"/>
    <w:rsid w:val="006540BC"/>
    <w:rsid w:val="0065467B"/>
    <w:rsid w:val="006560BB"/>
    <w:rsid w:val="00661235"/>
    <w:rsid w:val="0066128E"/>
    <w:rsid w:val="0066330E"/>
    <w:rsid w:val="00664590"/>
    <w:rsid w:val="00666AD5"/>
    <w:rsid w:val="00670741"/>
    <w:rsid w:val="00670C03"/>
    <w:rsid w:val="0067116E"/>
    <w:rsid w:val="006730FA"/>
    <w:rsid w:val="006755D0"/>
    <w:rsid w:val="006762D3"/>
    <w:rsid w:val="0067701D"/>
    <w:rsid w:val="00677151"/>
    <w:rsid w:val="006824D3"/>
    <w:rsid w:val="00683D28"/>
    <w:rsid w:val="006854D4"/>
    <w:rsid w:val="006861D2"/>
    <w:rsid w:val="006864C5"/>
    <w:rsid w:val="00687816"/>
    <w:rsid w:val="00690FE1"/>
    <w:rsid w:val="0069119F"/>
    <w:rsid w:val="00694B90"/>
    <w:rsid w:val="00696BD6"/>
    <w:rsid w:val="006971E3"/>
    <w:rsid w:val="006A0192"/>
    <w:rsid w:val="006A18E7"/>
    <w:rsid w:val="006A1C87"/>
    <w:rsid w:val="006A3409"/>
    <w:rsid w:val="006A4FE6"/>
    <w:rsid w:val="006A5BA9"/>
    <w:rsid w:val="006A6B9D"/>
    <w:rsid w:val="006A7392"/>
    <w:rsid w:val="006A79DD"/>
    <w:rsid w:val="006A7EA0"/>
    <w:rsid w:val="006B0D5B"/>
    <w:rsid w:val="006B1A0B"/>
    <w:rsid w:val="006B241B"/>
    <w:rsid w:val="006B3189"/>
    <w:rsid w:val="006B4ED3"/>
    <w:rsid w:val="006B6E51"/>
    <w:rsid w:val="006B7472"/>
    <w:rsid w:val="006B7D65"/>
    <w:rsid w:val="006C185A"/>
    <w:rsid w:val="006C2AAD"/>
    <w:rsid w:val="006C2D03"/>
    <w:rsid w:val="006C75BB"/>
    <w:rsid w:val="006C78FD"/>
    <w:rsid w:val="006D3A79"/>
    <w:rsid w:val="006D4D5C"/>
    <w:rsid w:val="006D4F97"/>
    <w:rsid w:val="006D53F5"/>
    <w:rsid w:val="006D6DA6"/>
    <w:rsid w:val="006D7676"/>
    <w:rsid w:val="006E03C4"/>
    <w:rsid w:val="006E1C0E"/>
    <w:rsid w:val="006E42E1"/>
    <w:rsid w:val="006E564B"/>
    <w:rsid w:val="006E7208"/>
    <w:rsid w:val="006F13F0"/>
    <w:rsid w:val="006F1AB8"/>
    <w:rsid w:val="006F24D6"/>
    <w:rsid w:val="006F5035"/>
    <w:rsid w:val="006F5227"/>
    <w:rsid w:val="006F5BCF"/>
    <w:rsid w:val="006F7A40"/>
    <w:rsid w:val="00700000"/>
    <w:rsid w:val="0070006C"/>
    <w:rsid w:val="00700AC7"/>
    <w:rsid w:val="007013FE"/>
    <w:rsid w:val="00702138"/>
    <w:rsid w:val="00704EC9"/>
    <w:rsid w:val="007065EB"/>
    <w:rsid w:val="00707B07"/>
    <w:rsid w:val="00707CCF"/>
    <w:rsid w:val="0071228C"/>
    <w:rsid w:val="00717BAF"/>
    <w:rsid w:val="00720183"/>
    <w:rsid w:val="0072091D"/>
    <w:rsid w:val="00722DB7"/>
    <w:rsid w:val="00724190"/>
    <w:rsid w:val="00724370"/>
    <w:rsid w:val="0072632A"/>
    <w:rsid w:val="00726987"/>
    <w:rsid w:val="0072767B"/>
    <w:rsid w:val="00727C08"/>
    <w:rsid w:val="00731286"/>
    <w:rsid w:val="00737ECA"/>
    <w:rsid w:val="0074018C"/>
    <w:rsid w:val="0074200B"/>
    <w:rsid w:val="0074378D"/>
    <w:rsid w:val="00743C0A"/>
    <w:rsid w:val="00745E1C"/>
    <w:rsid w:val="00751DA8"/>
    <w:rsid w:val="007560F6"/>
    <w:rsid w:val="007604DB"/>
    <w:rsid w:val="0076195B"/>
    <w:rsid w:val="00762093"/>
    <w:rsid w:val="007636AA"/>
    <w:rsid w:val="007646E6"/>
    <w:rsid w:val="007655AC"/>
    <w:rsid w:val="007717F8"/>
    <w:rsid w:val="0077372F"/>
    <w:rsid w:val="00774548"/>
    <w:rsid w:val="007748B3"/>
    <w:rsid w:val="00777346"/>
    <w:rsid w:val="00781276"/>
    <w:rsid w:val="00781B9C"/>
    <w:rsid w:val="00783B54"/>
    <w:rsid w:val="00792C7A"/>
    <w:rsid w:val="00792DED"/>
    <w:rsid w:val="00796B59"/>
    <w:rsid w:val="00797C99"/>
    <w:rsid w:val="007A2F18"/>
    <w:rsid w:val="007A30C7"/>
    <w:rsid w:val="007A339B"/>
    <w:rsid w:val="007A3FE7"/>
    <w:rsid w:val="007A6296"/>
    <w:rsid w:val="007B1620"/>
    <w:rsid w:val="007B6BA5"/>
    <w:rsid w:val="007B775E"/>
    <w:rsid w:val="007B7A68"/>
    <w:rsid w:val="007B7CB0"/>
    <w:rsid w:val="007C1B62"/>
    <w:rsid w:val="007C279F"/>
    <w:rsid w:val="007C3390"/>
    <w:rsid w:val="007C450E"/>
    <w:rsid w:val="007C4F4B"/>
    <w:rsid w:val="007C5B4F"/>
    <w:rsid w:val="007C6702"/>
    <w:rsid w:val="007D1F31"/>
    <w:rsid w:val="007D2CDC"/>
    <w:rsid w:val="007D5327"/>
    <w:rsid w:val="007D780E"/>
    <w:rsid w:val="007E0361"/>
    <w:rsid w:val="007E1714"/>
    <w:rsid w:val="007E1BE4"/>
    <w:rsid w:val="007E24EB"/>
    <w:rsid w:val="007E3849"/>
    <w:rsid w:val="007E4182"/>
    <w:rsid w:val="007E5AF4"/>
    <w:rsid w:val="007E5BF3"/>
    <w:rsid w:val="007E6C52"/>
    <w:rsid w:val="007E7B28"/>
    <w:rsid w:val="007F04B5"/>
    <w:rsid w:val="007F1365"/>
    <w:rsid w:val="007F16F3"/>
    <w:rsid w:val="007F6611"/>
    <w:rsid w:val="007F69BA"/>
    <w:rsid w:val="007F6DFC"/>
    <w:rsid w:val="007F72BE"/>
    <w:rsid w:val="0080083C"/>
    <w:rsid w:val="00802240"/>
    <w:rsid w:val="00805CAE"/>
    <w:rsid w:val="00805F7F"/>
    <w:rsid w:val="00810A85"/>
    <w:rsid w:val="00811761"/>
    <w:rsid w:val="00813490"/>
    <w:rsid w:val="0081408B"/>
    <w:rsid w:val="00814D8E"/>
    <w:rsid w:val="00814F34"/>
    <w:rsid w:val="008155C3"/>
    <w:rsid w:val="008175E9"/>
    <w:rsid w:val="008200F7"/>
    <w:rsid w:val="00820184"/>
    <w:rsid w:val="00820411"/>
    <w:rsid w:val="0082243E"/>
    <w:rsid w:val="0082410F"/>
    <w:rsid w:val="008242D7"/>
    <w:rsid w:val="00826D8A"/>
    <w:rsid w:val="008277A7"/>
    <w:rsid w:val="00827BBC"/>
    <w:rsid w:val="008313F4"/>
    <w:rsid w:val="00831E76"/>
    <w:rsid w:val="008364F2"/>
    <w:rsid w:val="00841FD6"/>
    <w:rsid w:val="00844670"/>
    <w:rsid w:val="008468A0"/>
    <w:rsid w:val="00847FB2"/>
    <w:rsid w:val="00850805"/>
    <w:rsid w:val="008514EC"/>
    <w:rsid w:val="00851595"/>
    <w:rsid w:val="00853A2E"/>
    <w:rsid w:val="00856CD2"/>
    <w:rsid w:val="00861BC6"/>
    <w:rsid w:val="008665D5"/>
    <w:rsid w:val="008666D2"/>
    <w:rsid w:val="00867856"/>
    <w:rsid w:val="0087106C"/>
    <w:rsid w:val="0087136B"/>
    <w:rsid w:val="00871FD5"/>
    <w:rsid w:val="0087476E"/>
    <w:rsid w:val="00880FE3"/>
    <w:rsid w:val="0088449C"/>
    <w:rsid w:val="008861E2"/>
    <w:rsid w:val="00887690"/>
    <w:rsid w:val="00892F70"/>
    <w:rsid w:val="00895240"/>
    <w:rsid w:val="008965C2"/>
    <w:rsid w:val="00896626"/>
    <w:rsid w:val="008968F1"/>
    <w:rsid w:val="00896CF3"/>
    <w:rsid w:val="008979B1"/>
    <w:rsid w:val="008A1585"/>
    <w:rsid w:val="008A17E7"/>
    <w:rsid w:val="008A3053"/>
    <w:rsid w:val="008A340D"/>
    <w:rsid w:val="008A45F7"/>
    <w:rsid w:val="008A5D5B"/>
    <w:rsid w:val="008A6B25"/>
    <w:rsid w:val="008A6C4F"/>
    <w:rsid w:val="008B1661"/>
    <w:rsid w:val="008B4873"/>
    <w:rsid w:val="008B568D"/>
    <w:rsid w:val="008B5BBD"/>
    <w:rsid w:val="008B778B"/>
    <w:rsid w:val="008C02D4"/>
    <w:rsid w:val="008C0C02"/>
    <w:rsid w:val="008C1B88"/>
    <w:rsid w:val="008C1E4D"/>
    <w:rsid w:val="008C2C19"/>
    <w:rsid w:val="008C5B9D"/>
    <w:rsid w:val="008C62EA"/>
    <w:rsid w:val="008C66DF"/>
    <w:rsid w:val="008C74E6"/>
    <w:rsid w:val="008D0963"/>
    <w:rsid w:val="008D0C48"/>
    <w:rsid w:val="008D1770"/>
    <w:rsid w:val="008D3067"/>
    <w:rsid w:val="008D60B6"/>
    <w:rsid w:val="008E048A"/>
    <w:rsid w:val="008E0E46"/>
    <w:rsid w:val="008E1A19"/>
    <w:rsid w:val="008E241C"/>
    <w:rsid w:val="008E3923"/>
    <w:rsid w:val="008E46E5"/>
    <w:rsid w:val="008E4B4B"/>
    <w:rsid w:val="008E5185"/>
    <w:rsid w:val="008E61CB"/>
    <w:rsid w:val="008F16E1"/>
    <w:rsid w:val="008F2663"/>
    <w:rsid w:val="008F55A4"/>
    <w:rsid w:val="008F641F"/>
    <w:rsid w:val="00901095"/>
    <w:rsid w:val="009010D3"/>
    <w:rsid w:val="00901B4A"/>
    <w:rsid w:val="0090452C"/>
    <w:rsid w:val="009059E6"/>
    <w:rsid w:val="0090619F"/>
    <w:rsid w:val="00906CB9"/>
    <w:rsid w:val="00907C3F"/>
    <w:rsid w:val="00907E9B"/>
    <w:rsid w:val="00911217"/>
    <w:rsid w:val="0091322F"/>
    <w:rsid w:val="009147E7"/>
    <w:rsid w:val="00914FC8"/>
    <w:rsid w:val="00915793"/>
    <w:rsid w:val="00916339"/>
    <w:rsid w:val="00916809"/>
    <w:rsid w:val="00916A33"/>
    <w:rsid w:val="00917461"/>
    <w:rsid w:val="00920825"/>
    <w:rsid w:val="0092237C"/>
    <w:rsid w:val="00923B4B"/>
    <w:rsid w:val="00923FB2"/>
    <w:rsid w:val="00933210"/>
    <w:rsid w:val="0093707B"/>
    <w:rsid w:val="00937674"/>
    <w:rsid w:val="00937824"/>
    <w:rsid w:val="009400EB"/>
    <w:rsid w:val="00942216"/>
    <w:rsid w:val="009427E3"/>
    <w:rsid w:val="00943F2F"/>
    <w:rsid w:val="00944DAB"/>
    <w:rsid w:val="00944F41"/>
    <w:rsid w:val="0094771B"/>
    <w:rsid w:val="00947E53"/>
    <w:rsid w:val="00954E4F"/>
    <w:rsid w:val="00956D9B"/>
    <w:rsid w:val="009622EA"/>
    <w:rsid w:val="009627A7"/>
    <w:rsid w:val="00963CBA"/>
    <w:rsid w:val="009654B7"/>
    <w:rsid w:val="00965702"/>
    <w:rsid w:val="0096654E"/>
    <w:rsid w:val="00975076"/>
    <w:rsid w:val="00975E7B"/>
    <w:rsid w:val="00976823"/>
    <w:rsid w:val="009814F5"/>
    <w:rsid w:val="00981746"/>
    <w:rsid w:val="0098225C"/>
    <w:rsid w:val="0098481D"/>
    <w:rsid w:val="009857C0"/>
    <w:rsid w:val="00991261"/>
    <w:rsid w:val="00992A1D"/>
    <w:rsid w:val="00992C13"/>
    <w:rsid w:val="00992D46"/>
    <w:rsid w:val="009A07A0"/>
    <w:rsid w:val="009A0B83"/>
    <w:rsid w:val="009A19BF"/>
    <w:rsid w:val="009A2EE9"/>
    <w:rsid w:val="009B0336"/>
    <w:rsid w:val="009B0FBD"/>
    <w:rsid w:val="009B1851"/>
    <w:rsid w:val="009B20D7"/>
    <w:rsid w:val="009B2D31"/>
    <w:rsid w:val="009B3800"/>
    <w:rsid w:val="009B53FF"/>
    <w:rsid w:val="009B7262"/>
    <w:rsid w:val="009C0978"/>
    <w:rsid w:val="009C12AB"/>
    <w:rsid w:val="009C236C"/>
    <w:rsid w:val="009C57E9"/>
    <w:rsid w:val="009C5C22"/>
    <w:rsid w:val="009C64EC"/>
    <w:rsid w:val="009D019D"/>
    <w:rsid w:val="009D0876"/>
    <w:rsid w:val="009D22AC"/>
    <w:rsid w:val="009D50DB"/>
    <w:rsid w:val="009E0448"/>
    <w:rsid w:val="009E052A"/>
    <w:rsid w:val="009E0684"/>
    <w:rsid w:val="009E102C"/>
    <w:rsid w:val="009E1C4E"/>
    <w:rsid w:val="009E30B0"/>
    <w:rsid w:val="009E3567"/>
    <w:rsid w:val="009E3DF8"/>
    <w:rsid w:val="009E3ED6"/>
    <w:rsid w:val="009E3F51"/>
    <w:rsid w:val="009E4653"/>
    <w:rsid w:val="009E74E4"/>
    <w:rsid w:val="009E796E"/>
    <w:rsid w:val="009F0B86"/>
    <w:rsid w:val="009F132C"/>
    <w:rsid w:val="009F17F3"/>
    <w:rsid w:val="009F1B08"/>
    <w:rsid w:val="009F41D1"/>
    <w:rsid w:val="009F42AB"/>
    <w:rsid w:val="009F6519"/>
    <w:rsid w:val="009F7410"/>
    <w:rsid w:val="009F774E"/>
    <w:rsid w:val="00A05E0B"/>
    <w:rsid w:val="00A06446"/>
    <w:rsid w:val="00A07716"/>
    <w:rsid w:val="00A1046B"/>
    <w:rsid w:val="00A1319E"/>
    <w:rsid w:val="00A1427D"/>
    <w:rsid w:val="00A15225"/>
    <w:rsid w:val="00A175A2"/>
    <w:rsid w:val="00A20343"/>
    <w:rsid w:val="00A20C48"/>
    <w:rsid w:val="00A219A9"/>
    <w:rsid w:val="00A30BCD"/>
    <w:rsid w:val="00A310E8"/>
    <w:rsid w:val="00A32CAA"/>
    <w:rsid w:val="00A40039"/>
    <w:rsid w:val="00A4203B"/>
    <w:rsid w:val="00A434AE"/>
    <w:rsid w:val="00A440BE"/>
    <w:rsid w:val="00A455CC"/>
    <w:rsid w:val="00A4634F"/>
    <w:rsid w:val="00A50AAA"/>
    <w:rsid w:val="00A51CF3"/>
    <w:rsid w:val="00A52589"/>
    <w:rsid w:val="00A53688"/>
    <w:rsid w:val="00A5539B"/>
    <w:rsid w:val="00A56749"/>
    <w:rsid w:val="00A57A60"/>
    <w:rsid w:val="00A60535"/>
    <w:rsid w:val="00A610B3"/>
    <w:rsid w:val="00A62173"/>
    <w:rsid w:val="00A702E2"/>
    <w:rsid w:val="00A70E9A"/>
    <w:rsid w:val="00A710D7"/>
    <w:rsid w:val="00A72F22"/>
    <w:rsid w:val="00A7415F"/>
    <w:rsid w:val="00A748A6"/>
    <w:rsid w:val="00A74AA8"/>
    <w:rsid w:val="00A74EE3"/>
    <w:rsid w:val="00A75D36"/>
    <w:rsid w:val="00A81C2A"/>
    <w:rsid w:val="00A8435F"/>
    <w:rsid w:val="00A856BB"/>
    <w:rsid w:val="00A85EDC"/>
    <w:rsid w:val="00A86994"/>
    <w:rsid w:val="00A87253"/>
    <w:rsid w:val="00A87437"/>
    <w:rsid w:val="00A8764E"/>
    <w:rsid w:val="00A879A4"/>
    <w:rsid w:val="00A87E95"/>
    <w:rsid w:val="00A9034A"/>
    <w:rsid w:val="00A91060"/>
    <w:rsid w:val="00A92E29"/>
    <w:rsid w:val="00A95353"/>
    <w:rsid w:val="00A95E70"/>
    <w:rsid w:val="00A97472"/>
    <w:rsid w:val="00AA066A"/>
    <w:rsid w:val="00AA080D"/>
    <w:rsid w:val="00AA0A94"/>
    <w:rsid w:val="00AA1A29"/>
    <w:rsid w:val="00AA212A"/>
    <w:rsid w:val="00AA253D"/>
    <w:rsid w:val="00AA2C6A"/>
    <w:rsid w:val="00AA5D99"/>
    <w:rsid w:val="00AB1395"/>
    <w:rsid w:val="00AB25C1"/>
    <w:rsid w:val="00AB2975"/>
    <w:rsid w:val="00AB2ACD"/>
    <w:rsid w:val="00AB31CC"/>
    <w:rsid w:val="00AB36A2"/>
    <w:rsid w:val="00AB7AB8"/>
    <w:rsid w:val="00AB7C1D"/>
    <w:rsid w:val="00AC0846"/>
    <w:rsid w:val="00AC50DF"/>
    <w:rsid w:val="00AC5987"/>
    <w:rsid w:val="00AD09E9"/>
    <w:rsid w:val="00AD6D91"/>
    <w:rsid w:val="00AD7DDE"/>
    <w:rsid w:val="00AE1306"/>
    <w:rsid w:val="00AE17AA"/>
    <w:rsid w:val="00AE18A3"/>
    <w:rsid w:val="00AE4969"/>
    <w:rsid w:val="00AE7004"/>
    <w:rsid w:val="00AE7093"/>
    <w:rsid w:val="00AE74E4"/>
    <w:rsid w:val="00AF0576"/>
    <w:rsid w:val="00AF175D"/>
    <w:rsid w:val="00AF2E55"/>
    <w:rsid w:val="00AF3829"/>
    <w:rsid w:val="00AF3CEE"/>
    <w:rsid w:val="00AF67B8"/>
    <w:rsid w:val="00AF6E80"/>
    <w:rsid w:val="00B00CB1"/>
    <w:rsid w:val="00B037F0"/>
    <w:rsid w:val="00B03AF5"/>
    <w:rsid w:val="00B043A0"/>
    <w:rsid w:val="00B12A75"/>
    <w:rsid w:val="00B13DC9"/>
    <w:rsid w:val="00B15CC0"/>
    <w:rsid w:val="00B17A27"/>
    <w:rsid w:val="00B21AA8"/>
    <w:rsid w:val="00B2327D"/>
    <w:rsid w:val="00B23DFF"/>
    <w:rsid w:val="00B2718F"/>
    <w:rsid w:val="00B30179"/>
    <w:rsid w:val="00B3317B"/>
    <w:rsid w:val="00B334DC"/>
    <w:rsid w:val="00B33907"/>
    <w:rsid w:val="00B35E34"/>
    <w:rsid w:val="00B3631A"/>
    <w:rsid w:val="00B369E2"/>
    <w:rsid w:val="00B36F5C"/>
    <w:rsid w:val="00B37C71"/>
    <w:rsid w:val="00B409D6"/>
    <w:rsid w:val="00B42701"/>
    <w:rsid w:val="00B4547D"/>
    <w:rsid w:val="00B478D9"/>
    <w:rsid w:val="00B479CF"/>
    <w:rsid w:val="00B47E27"/>
    <w:rsid w:val="00B50795"/>
    <w:rsid w:val="00B508D7"/>
    <w:rsid w:val="00B53013"/>
    <w:rsid w:val="00B55C52"/>
    <w:rsid w:val="00B56239"/>
    <w:rsid w:val="00B57F39"/>
    <w:rsid w:val="00B60AF4"/>
    <w:rsid w:val="00B63169"/>
    <w:rsid w:val="00B64FDC"/>
    <w:rsid w:val="00B65D99"/>
    <w:rsid w:val="00B6720D"/>
    <w:rsid w:val="00B67F5E"/>
    <w:rsid w:val="00B712BF"/>
    <w:rsid w:val="00B733B6"/>
    <w:rsid w:val="00B73E65"/>
    <w:rsid w:val="00B7638A"/>
    <w:rsid w:val="00B77B41"/>
    <w:rsid w:val="00B81E12"/>
    <w:rsid w:val="00B83C8C"/>
    <w:rsid w:val="00B83D7A"/>
    <w:rsid w:val="00B857CF"/>
    <w:rsid w:val="00B858F0"/>
    <w:rsid w:val="00B85B12"/>
    <w:rsid w:val="00B87110"/>
    <w:rsid w:val="00B87167"/>
    <w:rsid w:val="00B87594"/>
    <w:rsid w:val="00B87C2B"/>
    <w:rsid w:val="00B941CC"/>
    <w:rsid w:val="00B9638D"/>
    <w:rsid w:val="00B97E9A"/>
    <w:rsid w:val="00B97FA8"/>
    <w:rsid w:val="00BA066C"/>
    <w:rsid w:val="00BA1221"/>
    <w:rsid w:val="00BA129E"/>
    <w:rsid w:val="00BA21A0"/>
    <w:rsid w:val="00BA4D77"/>
    <w:rsid w:val="00BA74FF"/>
    <w:rsid w:val="00BB09F4"/>
    <w:rsid w:val="00BB2BA2"/>
    <w:rsid w:val="00BB753F"/>
    <w:rsid w:val="00BC1385"/>
    <w:rsid w:val="00BC1ACC"/>
    <w:rsid w:val="00BC23BE"/>
    <w:rsid w:val="00BC4D8A"/>
    <w:rsid w:val="00BC74E9"/>
    <w:rsid w:val="00BD0C9A"/>
    <w:rsid w:val="00BD2CA6"/>
    <w:rsid w:val="00BD4C2A"/>
    <w:rsid w:val="00BD6788"/>
    <w:rsid w:val="00BD6A29"/>
    <w:rsid w:val="00BD7E77"/>
    <w:rsid w:val="00BE24C3"/>
    <w:rsid w:val="00BE40EB"/>
    <w:rsid w:val="00BE41DC"/>
    <w:rsid w:val="00BE4EEA"/>
    <w:rsid w:val="00BE51EF"/>
    <w:rsid w:val="00BE6053"/>
    <w:rsid w:val="00BE618E"/>
    <w:rsid w:val="00BF7CBB"/>
    <w:rsid w:val="00C00503"/>
    <w:rsid w:val="00C02B3F"/>
    <w:rsid w:val="00C03164"/>
    <w:rsid w:val="00C045FE"/>
    <w:rsid w:val="00C04C7B"/>
    <w:rsid w:val="00C06539"/>
    <w:rsid w:val="00C0796C"/>
    <w:rsid w:val="00C1038C"/>
    <w:rsid w:val="00C11521"/>
    <w:rsid w:val="00C13310"/>
    <w:rsid w:val="00C14B1B"/>
    <w:rsid w:val="00C1714D"/>
    <w:rsid w:val="00C17745"/>
    <w:rsid w:val="00C20AA5"/>
    <w:rsid w:val="00C21312"/>
    <w:rsid w:val="00C21A48"/>
    <w:rsid w:val="00C22B59"/>
    <w:rsid w:val="00C2392F"/>
    <w:rsid w:val="00C243DC"/>
    <w:rsid w:val="00C24693"/>
    <w:rsid w:val="00C30FAF"/>
    <w:rsid w:val="00C315E7"/>
    <w:rsid w:val="00C345A1"/>
    <w:rsid w:val="00C35F0B"/>
    <w:rsid w:val="00C455EC"/>
    <w:rsid w:val="00C4564A"/>
    <w:rsid w:val="00C463DD"/>
    <w:rsid w:val="00C46FBB"/>
    <w:rsid w:val="00C50DB9"/>
    <w:rsid w:val="00C53AC3"/>
    <w:rsid w:val="00C5429E"/>
    <w:rsid w:val="00C569E5"/>
    <w:rsid w:val="00C57018"/>
    <w:rsid w:val="00C5789F"/>
    <w:rsid w:val="00C605AD"/>
    <w:rsid w:val="00C610B7"/>
    <w:rsid w:val="00C61978"/>
    <w:rsid w:val="00C629C3"/>
    <w:rsid w:val="00C62CC5"/>
    <w:rsid w:val="00C642E6"/>
    <w:rsid w:val="00C64322"/>
    <w:rsid w:val="00C64458"/>
    <w:rsid w:val="00C64CD5"/>
    <w:rsid w:val="00C6529D"/>
    <w:rsid w:val="00C71C35"/>
    <w:rsid w:val="00C72B7B"/>
    <w:rsid w:val="00C730E3"/>
    <w:rsid w:val="00C745C3"/>
    <w:rsid w:val="00C7485B"/>
    <w:rsid w:val="00C749E8"/>
    <w:rsid w:val="00C75AD9"/>
    <w:rsid w:val="00C76E07"/>
    <w:rsid w:val="00C76F2D"/>
    <w:rsid w:val="00C80E9F"/>
    <w:rsid w:val="00C83655"/>
    <w:rsid w:val="00C836EF"/>
    <w:rsid w:val="00C8453C"/>
    <w:rsid w:val="00C8558C"/>
    <w:rsid w:val="00C8728D"/>
    <w:rsid w:val="00C90A6C"/>
    <w:rsid w:val="00C97F4D"/>
    <w:rsid w:val="00CA2606"/>
    <w:rsid w:val="00CA2A58"/>
    <w:rsid w:val="00CA302A"/>
    <w:rsid w:val="00CB0E1B"/>
    <w:rsid w:val="00CB1DAF"/>
    <w:rsid w:val="00CB6133"/>
    <w:rsid w:val="00CB6FAC"/>
    <w:rsid w:val="00CC0B55"/>
    <w:rsid w:val="00CC15A1"/>
    <w:rsid w:val="00CC4D04"/>
    <w:rsid w:val="00CC68FC"/>
    <w:rsid w:val="00CD192C"/>
    <w:rsid w:val="00CD1DD3"/>
    <w:rsid w:val="00CD37DC"/>
    <w:rsid w:val="00CD4AAB"/>
    <w:rsid w:val="00CD4F6C"/>
    <w:rsid w:val="00CD6995"/>
    <w:rsid w:val="00CE10CE"/>
    <w:rsid w:val="00CE27D3"/>
    <w:rsid w:val="00CE444E"/>
    <w:rsid w:val="00CE447B"/>
    <w:rsid w:val="00CE4A8F"/>
    <w:rsid w:val="00CF0214"/>
    <w:rsid w:val="00CF204D"/>
    <w:rsid w:val="00CF403B"/>
    <w:rsid w:val="00CF586F"/>
    <w:rsid w:val="00CF6DC2"/>
    <w:rsid w:val="00CF7D43"/>
    <w:rsid w:val="00D015A9"/>
    <w:rsid w:val="00D01BAC"/>
    <w:rsid w:val="00D04FD2"/>
    <w:rsid w:val="00D11129"/>
    <w:rsid w:val="00D11C97"/>
    <w:rsid w:val="00D13C76"/>
    <w:rsid w:val="00D14EE7"/>
    <w:rsid w:val="00D1505E"/>
    <w:rsid w:val="00D150F5"/>
    <w:rsid w:val="00D16969"/>
    <w:rsid w:val="00D2031B"/>
    <w:rsid w:val="00D22332"/>
    <w:rsid w:val="00D226FD"/>
    <w:rsid w:val="00D22FF4"/>
    <w:rsid w:val="00D25A78"/>
    <w:rsid w:val="00D25CBD"/>
    <w:rsid w:val="00D25FE2"/>
    <w:rsid w:val="00D309C6"/>
    <w:rsid w:val="00D32CC0"/>
    <w:rsid w:val="00D36777"/>
    <w:rsid w:val="00D36981"/>
    <w:rsid w:val="00D36A9B"/>
    <w:rsid w:val="00D375B1"/>
    <w:rsid w:val="00D43252"/>
    <w:rsid w:val="00D460FD"/>
    <w:rsid w:val="00D46BC7"/>
    <w:rsid w:val="00D52042"/>
    <w:rsid w:val="00D52BA4"/>
    <w:rsid w:val="00D550F9"/>
    <w:rsid w:val="00D572B0"/>
    <w:rsid w:val="00D57881"/>
    <w:rsid w:val="00D60532"/>
    <w:rsid w:val="00D62E90"/>
    <w:rsid w:val="00D6470D"/>
    <w:rsid w:val="00D65162"/>
    <w:rsid w:val="00D66235"/>
    <w:rsid w:val="00D66D16"/>
    <w:rsid w:val="00D67BD1"/>
    <w:rsid w:val="00D71711"/>
    <w:rsid w:val="00D73030"/>
    <w:rsid w:val="00D7368F"/>
    <w:rsid w:val="00D74622"/>
    <w:rsid w:val="00D757F7"/>
    <w:rsid w:val="00D75A91"/>
    <w:rsid w:val="00D76BE5"/>
    <w:rsid w:val="00D775E9"/>
    <w:rsid w:val="00D77D62"/>
    <w:rsid w:val="00D81C28"/>
    <w:rsid w:val="00D857D8"/>
    <w:rsid w:val="00D86741"/>
    <w:rsid w:val="00D91F1C"/>
    <w:rsid w:val="00D9469C"/>
    <w:rsid w:val="00D962B2"/>
    <w:rsid w:val="00D97297"/>
    <w:rsid w:val="00D978C6"/>
    <w:rsid w:val="00DA1065"/>
    <w:rsid w:val="00DA1E32"/>
    <w:rsid w:val="00DA2DAB"/>
    <w:rsid w:val="00DA55C3"/>
    <w:rsid w:val="00DA678E"/>
    <w:rsid w:val="00DA67AD"/>
    <w:rsid w:val="00DB17FD"/>
    <w:rsid w:val="00DB18CE"/>
    <w:rsid w:val="00DB1DBC"/>
    <w:rsid w:val="00DC1531"/>
    <w:rsid w:val="00DC208B"/>
    <w:rsid w:val="00DC31A0"/>
    <w:rsid w:val="00DC4B64"/>
    <w:rsid w:val="00DC5912"/>
    <w:rsid w:val="00DC5A4E"/>
    <w:rsid w:val="00DD1938"/>
    <w:rsid w:val="00DD3D65"/>
    <w:rsid w:val="00DD4477"/>
    <w:rsid w:val="00DD6670"/>
    <w:rsid w:val="00DD6E9F"/>
    <w:rsid w:val="00DE1F81"/>
    <w:rsid w:val="00DE3EC0"/>
    <w:rsid w:val="00DE57B9"/>
    <w:rsid w:val="00DE651E"/>
    <w:rsid w:val="00DF276A"/>
    <w:rsid w:val="00DF4609"/>
    <w:rsid w:val="00DF7327"/>
    <w:rsid w:val="00E0181A"/>
    <w:rsid w:val="00E030D8"/>
    <w:rsid w:val="00E10E9B"/>
    <w:rsid w:val="00E11593"/>
    <w:rsid w:val="00E12B6B"/>
    <w:rsid w:val="00E130AB"/>
    <w:rsid w:val="00E161E2"/>
    <w:rsid w:val="00E22BF1"/>
    <w:rsid w:val="00E267B7"/>
    <w:rsid w:val="00E301F5"/>
    <w:rsid w:val="00E30CCF"/>
    <w:rsid w:val="00E315F2"/>
    <w:rsid w:val="00E3312C"/>
    <w:rsid w:val="00E33BAD"/>
    <w:rsid w:val="00E41C41"/>
    <w:rsid w:val="00E423C5"/>
    <w:rsid w:val="00E434D6"/>
    <w:rsid w:val="00E438D9"/>
    <w:rsid w:val="00E43D0E"/>
    <w:rsid w:val="00E523A7"/>
    <w:rsid w:val="00E55A96"/>
    <w:rsid w:val="00E55EA6"/>
    <w:rsid w:val="00E5644E"/>
    <w:rsid w:val="00E635BE"/>
    <w:rsid w:val="00E7117B"/>
    <w:rsid w:val="00E7260F"/>
    <w:rsid w:val="00E75ED4"/>
    <w:rsid w:val="00E77C1C"/>
    <w:rsid w:val="00E806EE"/>
    <w:rsid w:val="00E81863"/>
    <w:rsid w:val="00E81A19"/>
    <w:rsid w:val="00E81D54"/>
    <w:rsid w:val="00E83182"/>
    <w:rsid w:val="00E858F4"/>
    <w:rsid w:val="00E90A3F"/>
    <w:rsid w:val="00E93FE1"/>
    <w:rsid w:val="00E95743"/>
    <w:rsid w:val="00E95AAE"/>
    <w:rsid w:val="00E96330"/>
    <w:rsid w:val="00E96630"/>
    <w:rsid w:val="00E976FA"/>
    <w:rsid w:val="00EA192F"/>
    <w:rsid w:val="00EA1D4D"/>
    <w:rsid w:val="00EA32C8"/>
    <w:rsid w:val="00EA680A"/>
    <w:rsid w:val="00EA6E92"/>
    <w:rsid w:val="00EA77E0"/>
    <w:rsid w:val="00EB0FB9"/>
    <w:rsid w:val="00EB2F07"/>
    <w:rsid w:val="00EB3417"/>
    <w:rsid w:val="00EB3624"/>
    <w:rsid w:val="00EC0042"/>
    <w:rsid w:val="00EC0152"/>
    <w:rsid w:val="00EC24EC"/>
    <w:rsid w:val="00EC47CA"/>
    <w:rsid w:val="00EC54A0"/>
    <w:rsid w:val="00EC668A"/>
    <w:rsid w:val="00EC7052"/>
    <w:rsid w:val="00EC73D9"/>
    <w:rsid w:val="00ED0CA9"/>
    <w:rsid w:val="00ED0DE9"/>
    <w:rsid w:val="00ED29FA"/>
    <w:rsid w:val="00ED4D1A"/>
    <w:rsid w:val="00ED6EB6"/>
    <w:rsid w:val="00ED7A2A"/>
    <w:rsid w:val="00EE11CF"/>
    <w:rsid w:val="00EE3318"/>
    <w:rsid w:val="00EE5471"/>
    <w:rsid w:val="00EE6221"/>
    <w:rsid w:val="00EE69A4"/>
    <w:rsid w:val="00EE6F0B"/>
    <w:rsid w:val="00EF053F"/>
    <w:rsid w:val="00EF1D0F"/>
    <w:rsid w:val="00EF1D7F"/>
    <w:rsid w:val="00EF4431"/>
    <w:rsid w:val="00EF46D0"/>
    <w:rsid w:val="00EF5BDB"/>
    <w:rsid w:val="00EF70C7"/>
    <w:rsid w:val="00F03C4D"/>
    <w:rsid w:val="00F04256"/>
    <w:rsid w:val="00F07E5C"/>
    <w:rsid w:val="00F07FD9"/>
    <w:rsid w:val="00F14C6F"/>
    <w:rsid w:val="00F14C98"/>
    <w:rsid w:val="00F161A1"/>
    <w:rsid w:val="00F164DB"/>
    <w:rsid w:val="00F16A14"/>
    <w:rsid w:val="00F174CA"/>
    <w:rsid w:val="00F2055A"/>
    <w:rsid w:val="00F22820"/>
    <w:rsid w:val="00F23933"/>
    <w:rsid w:val="00F23941"/>
    <w:rsid w:val="00F239B2"/>
    <w:rsid w:val="00F24119"/>
    <w:rsid w:val="00F27B53"/>
    <w:rsid w:val="00F27EA0"/>
    <w:rsid w:val="00F34040"/>
    <w:rsid w:val="00F36BA5"/>
    <w:rsid w:val="00F36C9B"/>
    <w:rsid w:val="00F40E75"/>
    <w:rsid w:val="00F4170E"/>
    <w:rsid w:val="00F42CD9"/>
    <w:rsid w:val="00F43A34"/>
    <w:rsid w:val="00F44090"/>
    <w:rsid w:val="00F45758"/>
    <w:rsid w:val="00F466E8"/>
    <w:rsid w:val="00F46A82"/>
    <w:rsid w:val="00F46ED2"/>
    <w:rsid w:val="00F505C7"/>
    <w:rsid w:val="00F50DA8"/>
    <w:rsid w:val="00F50E7E"/>
    <w:rsid w:val="00F50EF5"/>
    <w:rsid w:val="00F51A0F"/>
    <w:rsid w:val="00F52936"/>
    <w:rsid w:val="00F53589"/>
    <w:rsid w:val="00F54C8B"/>
    <w:rsid w:val="00F560F9"/>
    <w:rsid w:val="00F60EC7"/>
    <w:rsid w:val="00F6127C"/>
    <w:rsid w:val="00F62C5C"/>
    <w:rsid w:val="00F63142"/>
    <w:rsid w:val="00F665BE"/>
    <w:rsid w:val="00F677CB"/>
    <w:rsid w:val="00F70073"/>
    <w:rsid w:val="00F73B02"/>
    <w:rsid w:val="00F740FC"/>
    <w:rsid w:val="00F741E5"/>
    <w:rsid w:val="00F74958"/>
    <w:rsid w:val="00F8033C"/>
    <w:rsid w:val="00F810A5"/>
    <w:rsid w:val="00F83063"/>
    <w:rsid w:val="00F86568"/>
    <w:rsid w:val="00F86E06"/>
    <w:rsid w:val="00F87A32"/>
    <w:rsid w:val="00F9009E"/>
    <w:rsid w:val="00F90F96"/>
    <w:rsid w:val="00F911F6"/>
    <w:rsid w:val="00F9262C"/>
    <w:rsid w:val="00F92D0C"/>
    <w:rsid w:val="00F9359C"/>
    <w:rsid w:val="00F944ED"/>
    <w:rsid w:val="00F96A13"/>
    <w:rsid w:val="00F96F17"/>
    <w:rsid w:val="00FA152D"/>
    <w:rsid w:val="00FA65B1"/>
    <w:rsid w:val="00FA7DF3"/>
    <w:rsid w:val="00FA7FD2"/>
    <w:rsid w:val="00FB0D78"/>
    <w:rsid w:val="00FB16A0"/>
    <w:rsid w:val="00FC455B"/>
    <w:rsid w:val="00FC68B7"/>
    <w:rsid w:val="00FD24E2"/>
    <w:rsid w:val="00FD2C1D"/>
    <w:rsid w:val="00FD611E"/>
    <w:rsid w:val="00FD696F"/>
    <w:rsid w:val="00FD7C12"/>
    <w:rsid w:val="00FE0802"/>
    <w:rsid w:val="00FE1184"/>
    <w:rsid w:val="00FE1BAD"/>
    <w:rsid w:val="00FE227D"/>
    <w:rsid w:val="00FE56F9"/>
    <w:rsid w:val="00FF2032"/>
    <w:rsid w:val="00FF264C"/>
    <w:rsid w:val="00FF54A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C08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42"/>
    <w:pPr>
      <w:suppressAutoHyphens/>
      <w:spacing w:after="0" w:line="240" w:lineRule="atLeast"/>
    </w:pPr>
    <w:rPr>
      <w:rFonts w:ascii="Times New Roman" w:eastAsia="MS Mincho" w:hAnsi="Times New Roman" w:cs="Times New Roman"/>
      <w:sz w:val="20"/>
      <w:szCs w:val="20"/>
      <w:lang w:val="en-GB"/>
    </w:rPr>
  </w:style>
  <w:style w:type="paragraph" w:styleId="Heading1">
    <w:name w:val="heading 1"/>
    <w:aliases w:val="Table_G"/>
    <w:basedOn w:val="SingleTxtG"/>
    <w:next w:val="SingleTxtG"/>
    <w:link w:val="Heading1Char"/>
    <w:qFormat/>
    <w:rsid w:val="001F38A6"/>
    <w:pPr>
      <w:spacing w:after="0" w:line="240" w:lineRule="auto"/>
      <w:ind w:right="0"/>
      <w:jc w:val="left"/>
      <w:outlineLvl w:val="0"/>
    </w:pPr>
  </w:style>
  <w:style w:type="paragraph" w:styleId="Heading2">
    <w:name w:val="heading 2"/>
    <w:basedOn w:val="Normal"/>
    <w:next w:val="Normal"/>
    <w:link w:val="Heading2Char"/>
    <w:uiPriority w:val="99"/>
    <w:qFormat/>
    <w:rsid w:val="001F38A6"/>
    <w:pPr>
      <w:spacing w:line="240" w:lineRule="auto"/>
      <w:outlineLvl w:val="1"/>
    </w:pPr>
  </w:style>
  <w:style w:type="paragraph" w:styleId="Heading3">
    <w:name w:val="heading 3"/>
    <w:basedOn w:val="Normal"/>
    <w:next w:val="Normal"/>
    <w:link w:val="Heading3Char"/>
    <w:qFormat/>
    <w:rsid w:val="001F38A6"/>
    <w:pPr>
      <w:spacing w:line="240" w:lineRule="auto"/>
      <w:outlineLvl w:val="2"/>
    </w:pPr>
  </w:style>
  <w:style w:type="paragraph" w:styleId="Heading4">
    <w:name w:val="heading 4"/>
    <w:basedOn w:val="Normal"/>
    <w:next w:val="Normal"/>
    <w:link w:val="Heading4Char"/>
    <w:qFormat/>
    <w:rsid w:val="001F38A6"/>
    <w:pPr>
      <w:spacing w:line="240" w:lineRule="auto"/>
      <w:outlineLvl w:val="3"/>
    </w:pPr>
  </w:style>
  <w:style w:type="paragraph" w:styleId="Heading5">
    <w:name w:val="heading 5"/>
    <w:basedOn w:val="Normal"/>
    <w:next w:val="Normal"/>
    <w:link w:val="Heading5Char"/>
    <w:qFormat/>
    <w:rsid w:val="001F38A6"/>
    <w:pPr>
      <w:spacing w:line="240" w:lineRule="auto"/>
      <w:outlineLvl w:val="4"/>
    </w:pPr>
  </w:style>
  <w:style w:type="paragraph" w:styleId="Heading6">
    <w:name w:val="heading 6"/>
    <w:basedOn w:val="Normal"/>
    <w:next w:val="Normal"/>
    <w:link w:val="Heading6Char"/>
    <w:qFormat/>
    <w:rsid w:val="001F38A6"/>
    <w:pPr>
      <w:spacing w:line="240" w:lineRule="auto"/>
      <w:outlineLvl w:val="5"/>
    </w:pPr>
  </w:style>
  <w:style w:type="paragraph" w:styleId="Heading7">
    <w:name w:val="heading 7"/>
    <w:basedOn w:val="Normal"/>
    <w:next w:val="Normal"/>
    <w:link w:val="Heading7Char"/>
    <w:qFormat/>
    <w:rsid w:val="001F38A6"/>
    <w:pPr>
      <w:spacing w:line="240" w:lineRule="auto"/>
      <w:outlineLvl w:val="6"/>
    </w:pPr>
  </w:style>
  <w:style w:type="paragraph" w:styleId="Heading8">
    <w:name w:val="heading 8"/>
    <w:basedOn w:val="Normal"/>
    <w:next w:val="Normal"/>
    <w:link w:val="Heading8Char"/>
    <w:qFormat/>
    <w:rsid w:val="001F38A6"/>
    <w:pPr>
      <w:spacing w:line="240" w:lineRule="auto"/>
      <w:outlineLvl w:val="7"/>
    </w:pPr>
  </w:style>
  <w:style w:type="paragraph" w:styleId="Heading9">
    <w:name w:val="heading 9"/>
    <w:basedOn w:val="Normal"/>
    <w:next w:val="Normal"/>
    <w:link w:val="Heading9Char"/>
    <w:qFormat/>
    <w:rsid w:val="001F38A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F63142"/>
    <w:pPr>
      <w:spacing w:after="120"/>
      <w:ind w:left="1134" w:right="1134"/>
      <w:jc w:val="both"/>
    </w:pPr>
  </w:style>
  <w:style w:type="paragraph" w:customStyle="1" w:styleId="HChG">
    <w:name w:val="_ H _Ch_G"/>
    <w:basedOn w:val="Normal"/>
    <w:next w:val="Normal"/>
    <w:link w:val="HChGChar"/>
    <w:rsid w:val="00F63142"/>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176051"/>
    <w:rPr>
      <w:rFonts w:ascii="Times New Roman" w:hAnsi="Times New Roman"/>
      <w:sz w:val="18"/>
      <w:vertAlign w:val="superscript"/>
    </w:rPr>
  </w:style>
  <w:style w:type="paragraph" w:styleId="Header">
    <w:name w:val="header"/>
    <w:aliases w:val="6_G"/>
    <w:basedOn w:val="Normal"/>
    <w:link w:val="HeaderChar"/>
    <w:rsid w:val="00F63142"/>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F63142"/>
    <w:rPr>
      <w:rFonts w:ascii="Times New Roman" w:eastAsia="MS Mincho" w:hAnsi="Times New Roman" w:cs="Times New Roman"/>
      <w:b/>
      <w:sz w:val="18"/>
      <w:szCs w:val="20"/>
      <w:lang w:val="en-GB"/>
    </w:rPr>
  </w:style>
  <w:style w:type="character" w:styleId="Hyperlink">
    <w:name w:val="Hyperlink"/>
    <w:uiPriority w:val="99"/>
    <w:rsid w:val="00F63142"/>
    <w:rPr>
      <w:color w:val="auto"/>
      <w:u w:val="none"/>
    </w:rPr>
  </w:style>
  <w:style w:type="paragraph" w:styleId="FootnoteText">
    <w:name w:val="footnote text"/>
    <w:aliases w:val="5_G"/>
    <w:basedOn w:val="Normal"/>
    <w:link w:val="FootnoteTextChar"/>
    <w:qFormat/>
    <w:rsid w:val="0017605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63142"/>
    <w:rPr>
      <w:rFonts w:ascii="Times New Roman" w:eastAsia="SimSun" w:hAnsi="Times New Roman" w:cs="Times New Roman"/>
      <w:sz w:val="18"/>
      <w:szCs w:val="20"/>
      <w:lang w:val="en-GB" w:eastAsia="zh-CN"/>
    </w:rPr>
  </w:style>
  <w:style w:type="paragraph" w:styleId="Footer">
    <w:name w:val="footer"/>
    <w:aliases w:val="3_G"/>
    <w:basedOn w:val="Normal"/>
    <w:link w:val="FooterChar"/>
    <w:uiPriority w:val="99"/>
    <w:rsid w:val="00F63142"/>
    <w:pPr>
      <w:spacing w:line="240" w:lineRule="auto"/>
    </w:pPr>
    <w:rPr>
      <w:sz w:val="16"/>
    </w:rPr>
  </w:style>
  <w:style w:type="character" w:customStyle="1" w:styleId="FooterChar">
    <w:name w:val="Footer Char"/>
    <w:aliases w:val="3_G Char"/>
    <w:basedOn w:val="DefaultParagraphFont"/>
    <w:link w:val="Footer"/>
    <w:uiPriority w:val="99"/>
    <w:rsid w:val="00F63142"/>
    <w:rPr>
      <w:rFonts w:ascii="Times New Roman" w:eastAsia="MS Mincho" w:hAnsi="Times New Roman" w:cs="Times New Roman"/>
      <w:sz w:val="16"/>
      <w:szCs w:val="20"/>
      <w:lang w:val="en-GB"/>
    </w:rPr>
  </w:style>
  <w:style w:type="paragraph" w:customStyle="1" w:styleId="H1G">
    <w:name w:val="_ H_1_G"/>
    <w:basedOn w:val="Normal"/>
    <w:next w:val="Normal"/>
    <w:rsid w:val="00F6314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63142"/>
    <w:pPr>
      <w:keepNext/>
      <w:keepLines/>
      <w:tabs>
        <w:tab w:val="right" w:pos="851"/>
      </w:tabs>
      <w:spacing w:before="240" w:after="120" w:line="240" w:lineRule="exact"/>
      <w:ind w:left="1134" w:right="1134" w:hanging="1134"/>
    </w:pPr>
    <w:rPr>
      <w:b/>
    </w:rPr>
  </w:style>
  <w:style w:type="character" w:customStyle="1" w:styleId="HChGChar">
    <w:name w:val="_ H _Ch_G Char"/>
    <w:link w:val="HChG"/>
    <w:rsid w:val="00F63142"/>
    <w:rPr>
      <w:rFonts w:ascii="Times New Roman" w:eastAsia="MS Mincho" w:hAnsi="Times New Roman" w:cs="Times New Roman"/>
      <w:b/>
      <w:sz w:val="28"/>
      <w:szCs w:val="20"/>
      <w:lang w:val="en-GB"/>
    </w:rPr>
  </w:style>
  <w:style w:type="character" w:styleId="CommentReference">
    <w:name w:val="annotation reference"/>
    <w:unhideWhenUsed/>
    <w:rsid w:val="00F63142"/>
    <w:rPr>
      <w:sz w:val="16"/>
      <w:szCs w:val="16"/>
    </w:rPr>
  </w:style>
  <w:style w:type="character" w:styleId="Strong">
    <w:name w:val="Strong"/>
    <w:uiPriority w:val="22"/>
    <w:qFormat/>
    <w:rsid w:val="00F63142"/>
    <w:rPr>
      <w:b/>
      <w:bCs/>
    </w:rPr>
  </w:style>
  <w:style w:type="character" w:customStyle="1" w:styleId="SingleTxtGChar">
    <w:name w:val="_ Single Txt_G Char"/>
    <w:link w:val="SingleTxtG"/>
    <w:rsid w:val="00F63142"/>
    <w:rPr>
      <w:rFonts w:ascii="Times New Roman" w:eastAsia="MS Mincho" w:hAnsi="Times New Roman" w:cs="Times New Roman"/>
      <w:sz w:val="20"/>
      <w:szCs w:val="20"/>
      <w:lang w:val="en-GB"/>
    </w:rPr>
  </w:style>
  <w:style w:type="paragraph" w:styleId="BalloonText">
    <w:name w:val="Balloon Text"/>
    <w:basedOn w:val="Normal"/>
    <w:link w:val="BalloonTextChar"/>
    <w:rsid w:val="00EC7052"/>
    <w:pPr>
      <w:suppressAutoHyphens w:val="0"/>
      <w:spacing w:line="240" w:lineRule="auto"/>
    </w:pPr>
    <w:rPr>
      <w:rFonts w:ascii="Tahoma" w:hAnsi="Tahoma"/>
      <w:sz w:val="16"/>
      <w:szCs w:val="16"/>
    </w:rPr>
  </w:style>
  <w:style w:type="character" w:customStyle="1" w:styleId="BalloonTextChar">
    <w:name w:val="Balloon Text Char"/>
    <w:basedOn w:val="DefaultParagraphFont"/>
    <w:link w:val="BalloonText"/>
    <w:rsid w:val="00F63142"/>
    <w:rPr>
      <w:rFonts w:ascii="Tahoma" w:eastAsia="MS Mincho" w:hAnsi="Tahoma" w:cs="Times New Roman"/>
      <w:sz w:val="16"/>
      <w:szCs w:val="16"/>
      <w:lang w:val="en-GB"/>
    </w:rPr>
  </w:style>
  <w:style w:type="paragraph" w:styleId="CommentText">
    <w:name w:val="annotation text"/>
    <w:basedOn w:val="Normal"/>
    <w:link w:val="CommentTextChar"/>
    <w:unhideWhenUsed/>
    <w:rsid w:val="00EC7052"/>
    <w:pPr>
      <w:suppressAutoHyphens w:val="0"/>
      <w:spacing w:after="200" w:line="276" w:lineRule="auto"/>
    </w:pPr>
    <w:rPr>
      <w:rFonts w:ascii="Calibri" w:hAnsi="Calibri"/>
    </w:rPr>
  </w:style>
  <w:style w:type="character" w:customStyle="1" w:styleId="CommentTextChar">
    <w:name w:val="Comment Text Char"/>
    <w:basedOn w:val="DefaultParagraphFont"/>
    <w:link w:val="CommentText"/>
    <w:rsid w:val="00F63142"/>
    <w:rPr>
      <w:rFonts w:ascii="Calibri" w:eastAsia="MS Mincho" w:hAnsi="Calibri" w:cs="Times New Roman"/>
      <w:sz w:val="20"/>
      <w:szCs w:val="20"/>
      <w:lang w:val="en-GB"/>
    </w:rPr>
  </w:style>
  <w:style w:type="paragraph" w:styleId="CommentSubject">
    <w:name w:val="annotation subject"/>
    <w:basedOn w:val="CommentText"/>
    <w:next w:val="CommentText"/>
    <w:link w:val="CommentSubjectChar"/>
    <w:rsid w:val="00EC7052"/>
    <w:pPr>
      <w:spacing w:after="0" w:line="240" w:lineRule="auto"/>
    </w:pPr>
    <w:rPr>
      <w:rFonts w:ascii="Helvetica" w:hAnsi="Helvetica"/>
      <w:b/>
      <w:bCs/>
    </w:rPr>
  </w:style>
  <w:style w:type="character" w:customStyle="1" w:styleId="CommentSubjectChar">
    <w:name w:val="Comment Subject Char"/>
    <w:basedOn w:val="CommentTextChar"/>
    <w:link w:val="CommentSubject"/>
    <w:rsid w:val="00F63142"/>
    <w:rPr>
      <w:rFonts w:ascii="Helvetica" w:eastAsia="MS Mincho" w:hAnsi="Helvetica" w:cs="Times New Roman"/>
      <w:b/>
      <w:bCs/>
      <w:sz w:val="20"/>
      <w:szCs w:val="20"/>
      <w:lang w:val="en-GB"/>
    </w:rPr>
  </w:style>
  <w:style w:type="character" w:customStyle="1" w:styleId="Heading1Char">
    <w:name w:val="Heading 1 Char"/>
    <w:aliases w:val="Table_G Char"/>
    <w:basedOn w:val="DefaultParagraphFont"/>
    <w:link w:val="Heading1"/>
    <w:rsid w:val="001F38A6"/>
    <w:rPr>
      <w:rFonts w:ascii="Times New Roman" w:eastAsia="MS Mincho" w:hAnsi="Times New Roman" w:cs="Times New Roman"/>
      <w:sz w:val="20"/>
      <w:szCs w:val="20"/>
      <w:lang w:val="en-GB"/>
    </w:rPr>
  </w:style>
  <w:style w:type="character" w:customStyle="1" w:styleId="Heading2Char">
    <w:name w:val="Heading 2 Char"/>
    <w:basedOn w:val="DefaultParagraphFont"/>
    <w:link w:val="Heading2"/>
    <w:uiPriority w:val="99"/>
    <w:rsid w:val="001F38A6"/>
    <w:rPr>
      <w:rFonts w:ascii="Times New Roman" w:eastAsia="MS Mincho" w:hAnsi="Times New Roman" w:cs="Times New Roman"/>
      <w:sz w:val="20"/>
      <w:szCs w:val="20"/>
      <w:lang w:val="en-GB"/>
    </w:rPr>
  </w:style>
  <w:style w:type="character" w:customStyle="1" w:styleId="Heading3Char">
    <w:name w:val="Heading 3 Char"/>
    <w:basedOn w:val="DefaultParagraphFont"/>
    <w:link w:val="Heading3"/>
    <w:rsid w:val="001F38A6"/>
    <w:rPr>
      <w:rFonts w:ascii="Times New Roman" w:eastAsia="MS Mincho" w:hAnsi="Times New Roman" w:cs="Times New Roman"/>
      <w:sz w:val="20"/>
      <w:szCs w:val="20"/>
      <w:lang w:val="en-GB"/>
    </w:rPr>
  </w:style>
  <w:style w:type="character" w:customStyle="1" w:styleId="Heading4Char">
    <w:name w:val="Heading 4 Char"/>
    <w:basedOn w:val="DefaultParagraphFont"/>
    <w:link w:val="Heading4"/>
    <w:rsid w:val="001F38A6"/>
    <w:rPr>
      <w:rFonts w:ascii="Times New Roman" w:eastAsia="MS Mincho" w:hAnsi="Times New Roman" w:cs="Times New Roman"/>
      <w:sz w:val="20"/>
      <w:szCs w:val="20"/>
      <w:lang w:val="en-GB"/>
    </w:rPr>
  </w:style>
  <w:style w:type="character" w:customStyle="1" w:styleId="Heading5Char">
    <w:name w:val="Heading 5 Char"/>
    <w:basedOn w:val="DefaultParagraphFont"/>
    <w:link w:val="Heading5"/>
    <w:rsid w:val="001F38A6"/>
    <w:rPr>
      <w:rFonts w:ascii="Times New Roman" w:eastAsia="MS Mincho" w:hAnsi="Times New Roman" w:cs="Times New Roman"/>
      <w:sz w:val="20"/>
      <w:szCs w:val="20"/>
      <w:lang w:val="en-GB"/>
    </w:rPr>
  </w:style>
  <w:style w:type="character" w:customStyle="1" w:styleId="Heading6Char">
    <w:name w:val="Heading 6 Char"/>
    <w:basedOn w:val="DefaultParagraphFont"/>
    <w:link w:val="Heading6"/>
    <w:rsid w:val="001F38A6"/>
    <w:rPr>
      <w:rFonts w:ascii="Times New Roman" w:eastAsia="MS Mincho" w:hAnsi="Times New Roman" w:cs="Times New Roman"/>
      <w:sz w:val="20"/>
      <w:szCs w:val="20"/>
      <w:lang w:val="en-GB"/>
    </w:rPr>
  </w:style>
  <w:style w:type="character" w:customStyle="1" w:styleId="Heading7Char">
    <w:name w:val="Heading 7 Char"/>
    <w:basedOn w:val="DefaultParagraphFont"/>
    <w:link w:val="Heading7"/>
    <w:rsid w:val="001F38A6"/>
    <w:rPr>
      <w:rFonts w:ascii="Times New Roman" w:eastAsia="MS Mincho" w:hAnsi="Times New Roman" w:cs="Times New Roman"/>
      <w:sz w:val="20"/>
      <w:szCs w:val="20"/>
      <w:lang w:val="en-GB"/>
    </w:rPr>
  </w:style>
  <w:style w:type="character" w:customStyle="1" w:styleId="Heading8Char">
    <w:name w:val="Heading 8 Char"/>
    <w:basedOn w:val="DefaultParagraphFont"/>
    <w:link w:val="Heading8"/>
    <w:rsid w:val="001F38A6"/>
    <w:rPr>
      <w:rFonts w:ascii="Times New Roman" w:eastAsia="MS Mincho" w:hAnsi="Times New Roman" w:cs="Times New Roman"/>
      <w:sz w:val="20"/>
      <w:szCs w:val="20"/>
      <w:lang w:val="en-GB"/>
    </w:rPr>
  </w:style>
  <w:style w:type="character" w:customStyle="1" w:styleId="Heading9Char">
    <w:name w:val="Heading 9 Char"/>
    <w:basedOn w:val="DefaultParagraphFont"/>
    <w:link w:val="Heading9"/>
    <w:rsid w:val="001F38A6"/>
    <w:rPr>
      <w:rFonts w:ascii="Times New Roman" w:eastAsia="MS Mincho" w:hAnsi="Times New Roman" w:cs="Times New Roman"/>
      <w:sz w:val="20"/>
      <w:szCs w:val="20"/>
      <w:lang w:val="en-GB"/>
    </w:rPr>
  </w:style>
  <w:style w:type="paragraph" w:customStyle="1" w:styleId="HMG">
    <w:name w:val="_ H __M_G"/>
    <w:basedOn w:val="Normal"/>
    <w:next w:val="Normal"/>
    <w:rsid w:val="001F38A6"/>
    <w:pPr>
      <w:keepNext/>
      <w:keepLines/>
      <w:tabs>
        <w:tab w:val="right" w:pos="851"/>
      </w:tabs>
      <w:spacing w:before="240" w:after="240" w:line="360" w:lineRule="exact"/>
      <w:ind w:left="1134" w:right="1134" w:hanging="1134"/>
    </w:pPr>
    <w:rPr>
      <w:b/>
      <w:sz w:val="34"/>
    </w:rPr>
  </w:style>
  <w:style w:type="character" w:styleId="EndnoteReference">
    <w:name w:val="endnote reference"/>
    <w:aliases w:val="1_G"/>
    <w:rsid w:val="001F38A6"/>
    <w:rPr>
      <w:rFonts w:ascii="Times New Roman" w:hAnsi="Times New Roman"/>
      <w:sz w:val="18"/>
      <w:vertAlign w:val="superscript"/>
    </w:rPr>
  </w:style>
  <w:style w:type="table" w:styleId="TableGrid">
    <w:name w:val="Table Grid"/>
    <w:basedOn w:val="TableNormal"/>
    <w:rsid w:val="001F38A6"/>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1F38A6"/>
    <w:rPr>
      <w:color w:val="auto"/>
      <w:u w:val="none"/>
    </w:rPr>
  </w:style>
  <w:style w:type="paragraph" w:customStyle="1" w:styleId="SMG">
    <w:name w:val="__S_M_G"/>
    <w:basedOn w:val="Normal"/>
    <w:next w:val="Normal"/>
    <w:rsid w:val="001F38A6"/>
    <w:pPr>
      <w:keepNext/>
      <w:keepLines/>
      <w:spacing w:before="240" w:after="240" w:line="420" w:lineRule="exact"/>
      <w:ind w:left="1134" w:right="1134"/>
    </w:pPr>
    <w:rPr>
      <w:b/>
      <w:sz w:val="40"/>
    </w:rPr>
  </w:style>
  <w:style w:type="paragraph" w:customStyle="1" w:styleId="SLG">
    <w:name w:val="__S_L_G"/>
    <w:basedOn w:val="Normal"/>
    <w:next w:val="Normal"/>
    <w:rsid w:val="001F38A6"/>
    <w:pPr>
      <w:keepNext/>
      <w:keepLines/>
      <w:spacing w:before="240" w:after="240" w:line="580" w:lineRule="exact"/>
      <w:ind w:left="1134" w:right="1134"/>
    </w:pPr>
    <w:rPr>
      <w:b/>
      <w:sz w:val="56"/>
    </w:rPr>
  </w:style>
  <w:style w:type="paragraph" w:customStyle="1" w:styleId="SSG">
    <w:name w:val="__S_S_G"/>
    <w:basedOn w:val="Normal"/>
    <w:next w:val="Normal"/>
    <w:rsid w:val="001F38A6"/>
    <w:pPr>
      <w:keepNext/>
      <w:keepLines/>
      <w:spacing w:before="240" w:after="240" w:line="300" w:lineRule="exact"/>
      <w:ind w:left="1134" w:right="1134"/>
    </w:pPr>
    <w:rPr>
      <w:b/>
      <w:sz w:val="28"/>
    </w:rPr>
  </w:style>
  <w:style w:type="paragraph" w:styleId="EndnoteText">
    <w:name w:val="endnote text"/>
    <w:aliases w:val="2_G"/>
    <w:basedOn w:val="FootnoteText"/>
    <w:link w:val="EndnoteTextChar"/>
    <w:rsid w:val="001F38A6"/>
  </w:style>
  <w:style w:type="character" w:customStyle="1" w:styleId="EndnoteTextChar">
    <w:name w:val="Endnote Text Char"/>
    <w:aliases w:val="2_G Char"/>
    <w:basedOn w:val="DefaultParagraphFont"/>
    <w:link w:val="EndnoteText"/>
    <w:rsid w:val="001F38A6"/>
    <w:rPr>
      <w:rFonts w:ascii="Times New Roman" w:eastAsia="SimSun" w:hAnsi="Times New Roman" w:cs="Times New Roman"/>
      <w:sz w:val="18"/>
      <w:szCs w:val="20"/>
      <w:lang w:val="en-US" w:eastAsia="zh-CN"/>
    </w:rPr>
  </w:style>
  <w:style w:type="character" w:styleId="PageNumber">
    <w:name w:val="page number"/>
    <w:aliases w:val="7_G"/>
    <w:rsid w:val="001F38A6"/>
    <w:rPr>
      <w:rFonts w:ascii="Times New Roman" w:hAnsi="Times New Roman"/>
      <w:b/>
      <w:sz w:val="18"/>
    </w:rPr>
  </w:style>
  <w:style w:type="paragraph" w:customStyle="1" w:styleId="XLargeG">
    <w:name w:val="__XLarge_G"/>
    <w:basedOn w:val="Normal"/>
    <w:next w:val="Normal"/>
    <w:rsid w:val="001F38A6"/>
    <w:pPr>
      <w:keepNext/>
      <w:keepLines/>
      <w:spacing w:before="240" w:after="240" w:line="420" w:lineRule="exact"/>
      <w:ind w:left="1134" w:right="1134"/>
    </w:pPr>
    <w:rPr>
      <w:b/>
      <w:sz w:val="40"/>
    </w:rPr>
  </w:style>
  <w:style w:type="paragraph" w:customStyle="1" w:styleId="Bullet1G">
    <w:name w:val="_Bullet 1_G"/>
    <w:basedOn w:val="Normal"/>
    <w:rsid w:val="001F38A6"/>
    <w:pPr>
      <w:numPr>
        <w:numId w:val="1"/>
      </w:numPr>
      <w:spacing w:after="120"/>
      <w:ind w:right="1134"/>
      <w:jc w:val="both"/>
    </w:pPr>
  </w:style>
  <w:style w:type="paragraph" w:customStyle="1" w:styleId="Bullet2G">
    <w:name w:val="_Bullet 2_G"/>
    <w:basedOn w:val="Normal"/>
    <w:rsid w:val="001F38A6"/>
    <w:pPr>
      <w:numPr>
        <w:numId w:val="2"/>
      </w:numPr>
      <w:spacing w:after="120"/>
      <w:ind w:right="1134"/>
      <w:jc w:val="both"/>
    </w:pPr>
  </w:style>
  <w:style w:type="paragraph" w:customStyle="1" w:styleId="H4G">
    <w:name w:val="_ H_4_G"/>
    <w:basedOn w:val="Normal"/>
    <w:next w:val="Normal"/>
    <w:rsid w:val="001F38A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1F38A6"/>
    <w:pPr>
      <w:keepNext/>
      <w:keepLines/>
      <w:tabs>
        <w:tab w:val="right" w:pos="851"/>
      </w:tabs>
      <w:spacing w:before="240" w:after="120" w:line="240" w:lineRule="exact"/>
      <w:ind w:left="1134" w:right="1134" w:hanging="1134"/>
    </w:pPr>
  </w:style>
  <w:style w:type="numbering" w:customStyle="1" w:styleId="NoList1">
    <w:name w:val="No List1"/>
    <w:next w:val="NoList"/>
    <w:semiHidden/>
    <w:unhideWhenUsed/>
    <w:rsid w:val="001F38A6"/>
  </w:style>
  <w:style w:type="table" w:customStyle="1" w:styleId="TableGrid1">
    <w:name w:val="Table Grid1"/>
    <w:basedOn w:val="TableNormal"/>
    <w:next w:val="TableGrid"/>
    <w:rsid w:val="001F38A6"/>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Li">
    <w:name w:val="Li"/>
    <w:basedOn w:val="Normal"/>
    <w:rsid w:val="001F38A6"/>
    <w:pPr>
      <w:suppressAutoHyphens w:val="0"/>
      <w:spacing w:line="240" w:lineRule="auto"/>
    </w:pPr>
    <w:rPr>
      <w:rFonts w:ascii="Helvetica" w:hAnsi="Helvetica"/>
      <w:sz w:val="22"/>
      <w:szCs w:val="24"/>
      <w:lang w:eastAsia="en-GB"/>
    </w:rPr>
  </w:style>
  <w:style w:type="character" w:customStyle="1" w:styleId="A51">
    <w:name w:val="A5+1"/>
    <w:uiPriority w:val="99"/>
    <w:rsid w:val="001F38A6"/>
    <w:rPr>
      <w:rFonts w:cs="CmPrasanmit"/>
      <w:color w:val="000000"/>
      <w:sz w:val="32"/>
      <w:szCs w:val="32"/>
    </w:rPr>
  </w:style>
  <w:style w:type="paragraph" w:customStyle="1" w:styleId="Default">
    <w:name w:val="Default"/>
    <w:rsid w:val="001F38A6"/>
    <w:pPr>
      <w:autoSpaceDE w:val="0"/>
      <w:autoSpaceDN w:val="0"/>
      <w:adjustRightInd w:val="0"/>
      <w:spacing w:after="0" w:line="240" w:lineRule="auto"/>
    </w:pPr>
    <w:rPr>
      <w:rFonts w:ascii="TitilliumMaps29L" w:eastAsia="MS Mincho" w:hAnsi="TitilliumMaps29L" w:cs="TitilliumMaps29L"/>
      <w:color w:val="000000"/>
      <w:sz w:val="24"/>
      <w:szCs w:val="24"/>
      <w:lang w:val="en-GB" w:eastAsia="ja-JP"/>
    </w:rPr>
  </w:style>
  <w:style w:type="paragraph" w:customStyle="1" w:styleId="Pa4">
    <w:name w:val="Pa4"/>
    <w:basedOn w:val="Default"/>
    <w:next w:val="Default"/>
    <w:uiPriority w:val="99"/>
    <w:rsid w:val="001F38A6"/>
    <w:pPr>
      <w:spacing w:line="241" w:lineRule="atLeast"/>
    </w:pPr>
    <w:rPr>
      <w:rFonts w:cs="Times New Roman"/>
      <w:color w:val="auto"/>
    </w:rPr>
  </w:style>
  <w:style w:type="character" w:customStyle="1" w:styleId="A3">
    <w:name w:val="A3"/>
    <w:uiPriority w:val="99"/>
    <w:rsid w:val="001F38A6"/>
    <w:rPr>
      <w:rFonts w:cs="TitilliumMaps29L"/>
      <w:color w:val="000000"/>
    </w:rPr>
  </w:style>
  <w:style w:type="paragraph" w:customStyle="1" w:styleId="Pa1">
    <w:name w:val="Pa1"/>
    <w:basedOn w:val="Default"/>
    <w:next w:val="Default"/>
    <w:uiPriority w:val="99"/>
    <w:rsid w:val="001F38A6"/>
    <w:pPr>
      <w:spacing w:line="241" w:lineRule="atLeast"/>
    </w:pPr>
    <w:rPr>
      <w:rFonts w:cs="Times New Roman"/>
      <w:color w:val="auto"/>
    </w:rPr>
  </w:style>
  <w:style w:type="paragraph" w:customStyle="1" w:styleId="Pa3">
    <w:name w:val="Pa3"/>
    <w:basedOn w:val="Default"/>
    <w:next w:val="Default"/>
    <w:uiPriority w:val="99"/>
    <w:rsid w:val="001F38A6"/>
    <w:pPr>
      <w:spacing w:line="241" w:lineRule="atLeast"/>
    </w:pPr>
    <w:rPr>
      <w:rFonts w:cs="Times New Roman"/>
      <w:color w:val="auto"/>
    </w:rPr>
  </w:style>
  <w:style w:type="paragraph" w:styleId="NormalWeb">
    <w:name w:val="Normal (Web)"/>
    <w:basedOn w:val="Normal"/>
    <w:uiPriority w:val="99"/>
    <w:unhideWhenUsed/>
    <w:rsid w:val="001F38A6"/>
    <w:pPr>
      <w:suppressAutoHyphens w:val="0"/>
      <w:spacing w:before="100" w:beforeAutospacing="1" w:after="100" w:afterAutospacing="1" w:line="240" w:lineRule="auto"/>
    </w:pPr>
    <w:rPr>
      <w:sz w:val="24"/>
      <w:szCs w:val="24"/>
      <w:lang w:val="pt-PT" w:eastAsia="pt-PT"/>
    </w:rPr>
  </w:style>
  <w:style w:type="character" w:customStyle="1" w:styleId="apple-converted-space">
    <w:name w:val="apple-converted-space"/>
    <w:rsid w:val="001F38A6"/>
  </w:style>
  <w:style w:type="character" w:customStyle="1" w:styleId="il">
    <w:name w:val="il"/>
    <w:rsid w:val="001F38A6"/>
  </w:style>
  <w:style w:type="paragraph" w:customStyle="1" w:styleId="Style1">
    <w:name w:val="Style1"/>
    <w:basedOn w:val="Normal"/>
    <w:link w:val="Style1Char"/>
    <w:uiPriority w:val="99"/>
    <w:rsid w:val="001F38A6"/>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1F38A6"/>
    <w:rPr>
      <w:rFonts w:ascii="Times New Roman" w:eastAsia="Calibri" w:hAnsi="Times New Roman" w:cs="Times New Roman"/>
      <w:sz w:val="32"/>
      <w:szCs w:val="20"/>
      <w:lang w:val="en-US"/>
    </w:rPr>
  </w:style>
  <w:style w:type="character" w:customStyle="1" w:styleId="caption1">
    <w:name w:val="caption1"/>
    <w:rsid w:val="001F38A6"/>
  </w:style>
  <w:style w:type="paragraph" w:styleId="Revision">
    <w:name w:val="Revision"/>
    <w:hidden/>
    <w:uiPriority w:val="99"/>
    <w:semiHidden/>
    <w:rsid w:val="001F38A6"/>
    <w:pPr>
      <w:spacing w:after="0" w:line="240" w:lineRule="auto"/>
    </w:pPr>
    <w:rPr>
      <w:rFonts w:ascii="Times New Roman" w:eastAsia="MS Mincho" w:hAnsi="Times New Roman" w:cs="Times New Roman"/>
      <w:sz w:val="20"/>
      <w:szCs w:val="20"/>
      <w:lang w:val="en-GB"/>
    </w:rPr>
  </w:style>
  <w:style w:type="paragraph" w:styleId="ListParagraph">
    <w:name w:val="List Paragraph"/>
    <w:basedOn w:val="Normal"/>
    <w:uiPriority w:val="34"/>
    <w:qFormat/>
    <w:rsid w:val="001F38A6"/>
    <w:pPr>
      <w:suppressAutoHyphens w:val="0"/>
      <w:spacing w:line="360" w:lineRule="auto"/>
      <w:ind w:left="720"/>
      <w:contextualSpacing/>
      <w:jc w:val="both"/>
    </w:pPr>
    <w:rPr>
      <w:sz w:val="24"/>
      <w:szCs w:val="22"/>
      <w:lang w:eastAsia="en-GB"/>
    </w:rPr>
  </w:style>
  <w:style w:type="character" w:customStyle="1" w:styleId="SingleTxtGCar">
    <w:name w:val="_ Single Txt_G Car"/>
    <w:rsid w:val="001F38A6"/>
    <w:rPr>
      <w:lang w:val="es-ES" w:eastAsia="es-ES" w:bidi="ar-SA"/>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uiPriority w:val="99"/>
    <w:rsid w:val="001F38A6"/>
    <w:pPr>
      <w:suppressAutoHyphens w:val="0"/>
      <w:spacing w:after="160" w:line="240" w:lineRule="exact"/>
      <w:jc w:val="both"/>
    </w:pPr>
    <w:rPr>
      <w:rFonts w:ascii="Cambria" w:hAnsi="Cambria"/>
      <w:sz w:val="24"/>
      <w:szCs w:val="24"/>
      <w:vertAlign w:val="superscript"/>
      <w:lang w:val="de-DE" w:eastAsia="ja-JP"/>
    </w:rPr>
  </w:style>
  <w:style w:type="paragraph" w:customStyle="1" w:styleId="Normal1">
    <w:name w:val="Normal1"/>
    <w:rsid w:val="001F38A6"/>
    <w:pPr>
      <w:spacing w:after="0" w:line="240" w:lineRule="auto"/>
    </w:pPr>
    <w:rPr>
      <w:rFonts w:ascii="Cambria" w:eastAsia="Cambria" w:hAnsi="Cambria" w:cs="Cambria"/>
      <w:color w:val="000000"/>
      <w:sz w:val="24"/>
      <w:szCs w:val="24"/>
      <w:lang w:val="en-US"/>
    </w:rPr>
  </w:style>
  <w:style w:type="character" w:styleId="Emphasis">
    <w:name w:val="Emphasis"/>
    <w:basedOn w:val="DefaultParagraphFont"/>
    <w:uiPriority w:val="20"/>
    <w:qFormat/>
    <w:rsid w:val="001C6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42"/>
    <w:pPr>
      <w:suppressAutoHyphens/>
      <w:spacing w:after="0" w:line="240" w:lineRule="atLeast"/>
    </w:pPr>
    <w:rPr>
      <w:rFonts w:ascii="Times New Roman" w:eastAsia="MS Mincho" w:hAnsi="Times New Roman" w:cs="Times New Roman"/>
      <w:sz w:val="20"/>
      <w:szCs w:val="20"/>
      <w:lang w:val="en-GB"/>
    </w:rPr>
  </w:style>
  <w:style w:type="paragraph" w:styleId="Heading1">
    <w:name w:val="heading 1"/>
    <w:aliases w:val="Table_G"/>
    <w:basedOn w:val="SingleTxtG"/>
    <w:next w:val="SingleTxtG"/>
    <w:link w:val="Heading1Char"/>
    <w:qFormat/>
    <w:rsid w:val="001F38A6"/>
    <w:pPr>
      <w:spacing w:after="0" w:line="240" w:lineRule="auto"/>
      <w:ind w:right="0"/>
      <w:jc w:val="left"/>
      <w:outlineLvl w:val="0"/>
    </w:pPr>
  </w:style>
  <w:style w:type="paragraph" w:styleId="Heading2">
    <w:name w:val="heading 2"/>
    <w:basedOn w:val="Normal"/>
    <w:next w:val="Normal"/>
    <w:link w:val="Heading2Char"/>
    <w:uiPriority w:val="99"/>
    <w:qFormat/>
    <w:rsid w:val="001F38A6"/>
    <w:pPr>
      <w:spacing w:line="240" w:lineRule="auto"/>
      <w:outlineLvl w:val="1"/>
    </w:pPr>
  </w:style>
  <w:style w:type="paragraph" w:styleId="Heading3">
    <w:name w:val="heading 3"/>
    <w:basedOn w:val="Normal"/>
    <w:next w:val="Normal"/>
    <w:link w:val="Heading3Char"/>
    <w:qFormat/>
    <w:rsid w:val="001F38A6"/>
    <w:pPr>
      <w:spacing w:line="240" w:lineRule="auto"/>
      <w:outlineLvl w:val="2"/>
    </w:pPr>
  </w:style>
  <w:style w:type="paragraph" w:styleId="Heading4">
    <w:name w:val="heading 4"/>
    <w:basedOn w:val="Normal"/>
    <w:next w:val="Normal"/>
    <w:link w:val="Heading4Char"/>
    <w:qFormat/>
    <w:rsid w:val="001F38A6"/>
    <w:pPr>
      <w:spacing w:line="240" w:lineRule="auto"/>
      <w:outlineLvl w:val="3"/>
    </w:pPr>
  </w:style>
  <w:style w:type="paragraph" w:styleId="Heading5">
    <w:name w:val="heading 5"/>
    <w:basedOn w:val="Normal"/>
    <w:next w:val="Normal"/>
    <w:link w:val="Heading5Char"/>
    <w:qFormat/>
    <w:rsid w:val="001F38A6"/>
    <w:pPr>
      <w:spacing w:line="240" w:lineRule="auto"/>
      <w:outlineLvl w:val="4"/>
    </w:pPr>
  </w:style>
  <w:style w:type="paragraph" w:styleId="Heading6">
    <w:name w:val="heading 6"/>
    <w:basedOn w:val="Normal"/>
    <w:next w:val="Normal"/>
    <w:link w:val="Heading6Char"/>
    <w:qFormat/>
    <w:rsid w:val="001F38A6"/>
    <w:pPr>
      <w:spacing w:line="240" w:lineRule="auto"/>
      <w:outlineLvl w:val="5"/>
    </w:pPr>
  </w:style>
  <w:style w:type="paragraph" w:styleId="Heading7">
    <w:name w:val="heading 7"/>
    <w:basedOn w:val="Normal"/>
    <w:next w:val="Normal"/>
    <w:link w:val="Heading7Char"/>
    <w:qFormat/>
    <w:rsid w:val="001F38A6"/>
    <w:pPr>
      <w:spacing w:line="240" w:lineRule="auto"/>
      <w:outlineLvl w:val="6"/>
    </w:pPr>
  </w:style>
  <w:style w:type="paragraph" w:styleId="Heading8">
    <w:name w:val="heading 8"/>
    <w:basedOn w:val="Normal"/>
    <w:next w:val="Normal"/>
    <w:link w:val="Heading8Char"/>
    <w:qFormat/>
    <w:rsid w:val="001F38A6"/>
    <w:pPr>
      <w:spacing w:line="240" w:lineRule="auto"/>
      <w:outlineLvl w:val="7"/>
    </w:pPr>
  </w:style>
  <w:style w:type="paragraph" w:styleId="Heading9">
    <w:name w:val="heading 9"/>
    <w:basedOn w:val="Normal"/>
    <w:next w:val="Normal"/>
    <w:link w:val="Heading9Char"/>
    <w:qFormat/>
    <w:rsid w:val="001F38A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F63142"/>
    <w:pPr>
      <w:spacing w:after="120"/>
      <w:ind w:left="1134" w:right="1134"/>
      <w:jc w:val="both"/>
    </w:pPr>
  </w:style>
  <w:style w:type="paragraph" w:customStyle="1" w:styleId="HChG">
    <w:name w:val="_ H _Ch_G"/>
    <w:basedOn w:val="Normal"/>
    <w:next w:val="Normal"/>
    <w:link w:val="HChGChar"/>
    <w:rsid w:val="00F63142"/>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176051"/>
    <w:rPr>
      <w:rFonts w:ascii="Times New Roman" w:hAnsi="Times New Roman"/>
      <w:sz w:val="18"/>
      <w:vertAlign w:val="superscript"/>
    </w:rPr>
  </w:style>
  <w:style w:type="paragraph" w:styleId="Header">
    <w:name w:val="header"/>
    <w:aliases w:val="6_G"/>
    <w:basedOn w:val="Normal"/>
    <w:link w:val="HeaderChar"/>
    <w:rsid w:val="00F63142"/>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F63142"/>
    <w:rPr>
      <w:rFonts w:ascii="Times New Roman" w:eastAsia="MS Mincho" w:hAnsi="Times New Roman" w:cs="Times New Roman"/>
      <w:b/>
      <w:sz w:val="18"/>
      <w:szCs w:val="20"/>
      <w:lang w:val="en-GB"/>
    </w:rPr>
  </w:style>
  <w:style w:type="character" w:styleId="Hyperlink">
    <w:name w:val="Hyperlink"/>
    <w:uiPriority w:val="99"/>
    <w:rsid w:val="00F63142"/>
    <w:rPr>
      <w:color w:val="auto"/>
      <w:u w:val="none"/>
    </w:rPr>
  </w:style>
  <w:style w:type="paragraph" w:styleId="FootnoteText">
    <w:name w:val="footnote text"/>
    <w:aliases w:val="5_G"/>
    <w:basedOn w:val="Normal"/>
    <w:link w:val="FootnoteTextChar"/>
    <w:qFormat/>
    <w:rsid w:val="0017605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63142"/>
    <w:rPr>
      <w:rFonts w:ascii="Times New Roman" w:eastAsia="SimSun" w:hAnsi="Times New Roman" w:cs="Times New Roman"/>
      <w:sz w:val="18"/>
      <w:szCs w:val="20"/>
      <w:lang w:val="en-GB" w:eastAsia="zh-CN"/>
    </w:rPr>
  </w:style>
  <w:style w:type="paragraph" w:styleId="Footer">
    <w:name w:val="footer"/>
    <w:aliases w:val="3_G"/>
    <w:basedOn w:val="Normal"/>
    <w:link w:val="FooterChar"/>
    <w:uiPriority w:val="99"/>
    <w:rsid w:val="00F63142"/>
    <w:pPr>
      <w:spacing w:line="240" w:lineRule="auto"/>
    </w:pPr>
    <w:rPr>
      <w:sz w:val="16"/>
    </w:rPr>
  </w:style>
  <w:style w:type="character" w:customStyle="1" w:styleId="FooterChar">
    <w:name w:val="Footer Char"/>
    <w:aliases w:val="3_G Char"/>
    <w:basedOn w:val="DefaultParagraphFont"/>
    <w:link w:val="Footer"/>
    <w:uiPriority w:val="99"/>
    <w:rsid w:val="00F63142"/>
    <w:rPr>
      <w:rFonts w:ascii="Times New Roman" w:eastAsia="MS Mincho" w:hAnsi="Times New Roman" w:cs="Times New Roman"/>
      <w:sz w:val="16"/>
      <w:szCs w:val="20"/>
      <w:lang w:val="en-GB"/>
    </w:rPr>
  </w:style>
  <w:style w:type="paragraph" w:customStyle="1" w:styleId="H1G">
    <w:name w:val="_ H_1_G"/>
    <w:basedOn w:val="Normal"/>
    <w:next w:val="Normal"/>
    <w:rsid w:val="00F6314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63142"/>
    <w:pPr>
      <w:keepNext/>
      <w:keepLines/>
      <w:tabs>
        <w:tab w:val="right" w:pos="851"/>
      </w:tabs>
      <w:spacing w:before="240" w:after="120" w:line="240" w:lineRule="exact"/>
      <w:ind w:left="1134" w:right="1134" w:hanging="1134"/>
    </w:pPr>
    <w:rPr>
      <w:b/>
    </w:rPr>
  </w:style>
  <w:style w:type="character" w:customStyle="1" w:styleId="HChGChar">
    <w:name w:val="_ H _Ch_G Char"/>
    <w:link w:val="HChG"/>
    <w:rsid w:val="00F63142"/>
    <w:rPr>
      <w:rFonts w:ascii="Times New Roman" w:eastAsia="MS Mincho" w:hAnsi="Times New Roman" w:cs="Times New Roman"/>
      <w:b/>
      <w:sz w:val="28"/>
      <w:szCs w:val="20"/>
      <w:lang w:val="en-GB"/>
    </w:rPr>
  </w:style>
  <w:style w:type="character" w:styleId="CommentReference">
    <w:name w:val="annotation reference"/>
    <w:unhideWhenUsed/>
    <w:rsid w:val="00F63142"/>
    <w:rPr>
      <w:sz w:val="16"/>
      <w:szCs w:val="16"/>
    </w:rPr>
  </w:style>
  <w:style w:type="character" w:styleId="Strong">
    <w:name w:val="Strong"/>
    <w:uiPriority w:val="22"/>
    <w:qFormat/>
    <w:rsid w:val="00F63142"/>
    <w:rPr>
      <w:b/>
      <w:bCs/>
    </w:rPr>
  </w:style>
  <w:style w:type="character" w:customStyle="1" w:styleId="SingleTxtGChar">
    <w:name w:val="_ Single Txt_G Char"/>
    <w:link w:val="SingleTxtG"/>
    <w:rsid w:val="00F63142"/>
    <w:rPr>
      <w:rFonts w:ascii="Times New Roman" w:eastAsia="MS Mincho" w:hAnsi="Times New Roman" w:cs="Times New Roman"/>
      <w:sz w:val="20"/>
      <w:szCs w:val="20"/>
      <w:lang w:val="en-GB"/>
    </w:rPr>
  </w:style>
  <w:style w:type="paragraph" w:styleId="BalloonText">
    <w:name w:val="Balloon Text"/>
    <w:basedOn w:val="Normal"/>
    <w:link w:val="BalloonTextChar"/>
    <w:rsid w:val="00EC7052"/>
    <w:pPr>
      <w:suppressAutoHyphens w:val="0"/>
      <w:spacing w:line="240" w:lineRule="auto"/>
    </w:pPr>
    <w:rPr>
      <w:rFonts w:ascii="Tahoma" w:hAnsi="Tahoma"/>
      <w:sz w:val="16"/>
      <w:szCs w:val="16"/>
    </w:rPr>
  </w:style>
  <w:style w:type="character" w:customStyle="1" w:styleId="BalloonTextChar">
    <w:name w:val="Balloon Text Char"/>
    <w:basedOn w:val="DefaultParagraphFont"/>
    <w:link w:val="BalloonText"/>
    <w:rsid w:val="00F63142"/>
    <w:rPr>
      <w:rFonts w:ascii="Tahoma" w:eastAsia="MS Mincho" w:hAnsi="Tahoma" w:cs="Times New Roman"/>
      <w:sz w:val="16"/>
      <w:szCs w:val="16"/>
      <w:lang w:val="en-GB"/>
    </w:rPr>
  </w:style>
  <w:style w:type="paragraph" w:styleId="CommentText">
    <w:name w:val="annotation text"/>
    <w:basedOn w:val="Normal"/>
    <w:link w:val="CommentTextChar"/>
    <w:unhideWhenUsed/>
    <w:rsid w:val="00EC7052"/>
    <w:pPr>
      <w:suppressAutoHyphens w:val="0"/>
      <w:spacing w:after="200" w:line="276" w:lineRule="auto"/>
    </w:pPr>
    <w:rPr>
      <w:rFonts w:ascii="Calibri" w:hAnsi="Calibri"/>
    </w:rPr>
  </w:style>
  <w:style w:type="character" w:customStyle="1" w:styleId="CommentTextChar">
    <w:name w:val="Comment Text Char"/>
    <w:basedOn w:val="DefaultParagraphFont"/>
    <w:link w:val="CommentText"/>
    <w:rsid w:val="00F63142"/>
    <w:rPr>
      <w:rFonts w:ascii="Calibri" w:eastAsia="MS Mincho" w:hAnsi="Calibri" w:cs="Times New Roman"/>
      <w:sz w:val="20"/>
      <w:szCs w:val="20"/>
      <w:lang w:val="en-GB"/>
    </w:rPr>
  </w:style>
  <w:style w:type="paragraph" w:styleId="CommentSubject">
    <w:name w:val="annotation subject"/>
    <w:basedOn w:val="CommentText"/>
    <w:next w:val="CommentText"/>
    <w:link w:val="CommentSubjectChar"/>
    <w:rsid w:val="00EC7052"/>
    <w:pPr>
      <w:spacing w:after="0" w:line="240" w:lineRule="auto"/>
    </w:pPr>
    <w:rPr>
      <w:rFonts w:ascii="Helvetica" w:hAnsi="Helvetica"/>
      <w:b/>
      <w:bCs/>
    </w:rPr>
  </w:style>
  <w:style w:type="character" w:customStyle="1" w:styleId="CommentSubjectChar">
    <w:name w:val="Comment Subject Char"/>
    <w:basedOn w:val="CommentTextChar"/>
    <w:link w:val="CommentSubject"/>
    <w:rsid w:val="00F63142"/>
    <w:rPr>
      <w:rFonts w:ascii="Helvetica" w:eastAsia="MS Mincho" w:hAnsi="Helvetica" w:cs="Times New Roman"/>
      <w:b/>
      <w:bCs/>
      <w:sz w:val="20"/>
      <w:szCs w:val="20"/>
      <w:lang w:val="en-GB"/>
    </w:rPr>
  </w:style>
  <w:style w:type="character" w:customStyle="1" w:styleId="Heading1Char">
    <w:name w:val="Heading 1 Char"/>
    <w:aliases w:val="Table_G Char"/>
    <w:basedOn w:val="DefaultParagraphFont"/>
    <w:link w:val="Heading1"/>
    <w:rsid w:val="001F38A6"/>
    <w:rPr>
      <w:rFonts w:ascii="Times New Roman" w:eastAsia="MS Mincho" w:hAnsi="Times New Roman" w:cs="Times New Roman"/>
      <w:sz w:val="20"/>
      <w:szCs w:val="20"/>
      <w:lang w:val="en-GB"/>
    </w:rPr>
  </w:style>
  <w:style w:type="character" w:customStyle="1" w:styleId="Heading2Char">
    <w:name w:val="Heading 2 Char"/>
    <w:basedOn w:val="DefaultParagraphFont"/>
    <w:link w:val="Heading2"/>
    <w:uiPriority w:val="99"/>
    <w:rsid w:val="001F38A6"/>
    <w:rPr>
      <w:rFonts w:ascii="Times New Roman" w:eastAsia="MS Mincho" w:hAnsi="Times New Roman" w:cs="Times New Roman"/>
      <w:sz w:val="20"/>
      <w:szCs w:val="20"/>
      <w:lang w:val="en-GB"/>
    </w:rPr>
  </w:style>
  <w:style w:type="character" w:customStyle="1" w:styleId="Heading3Char">
    <w:name w:val="Heading 3 Char"/>
    <w:basedOn w:val="DefaultParagraphFont"/>
    <w:link w:val="Heading3"/>
    <w:rsid w:val="001F38A6"/>
    <w:rPr>
      <w:rFonts w:ascii="Times New Roman" w:eastAsia="MS Mincho" w:hAnsi="Times New Roman" w:cs="Times New Roman"/>
      <w:sz w:val="20"/>
      <w:szCs w:val="20"/>
      <w:lang w:val="en-GB"/>
    </w:rPr>
  </w:style>
  <w:style w:type="character" w:customStyle="1" w:styleId="Heading4Char">
    <w:name w:val="Heading 4 Char"/>
    <w:basedOn w:val="DefaultParagraphFont"/>
    <w:link w:val="Heading4"/>
    <w:rsid w:val="001F38A6"/>
    <w:rPr>
      <w:rFonts w:ascii="Times New Roman" w:eastAsia="MS Mincho" w:hAnsi="Times New Roman" w:cs="Times New Roman"/>
      <w:sz w:val="20"/>
      <w:szCs w:val="20"/>
      <w:lang w:val="en-GB"/>
    </w:rPr>
  </w:style>
  <w:style w:type="character" w:customStyle="1" w:styleId="Heading5Char">
    <w:name w:val="Heading 5 Char"/>
    <w:basedOn w:val="DefaultParagraphFont"/>
    <w:link w:val="Heading5"/>
    <w:rsid w:val="001F38A6"/>
    <w:rPr>
      <w:rFonts w:ascii="Times New Roman" w:eastAsia="MS Mincho" w:hAnsi="Times New Roman" w:cs="Times New Roman"/>
      <w:sz w:val="20"/>
      <w:szCs w:val="20"/>
      <w:lang w:val="en-GB"/>
    </w:rPr>
  </w:style>
  <w:style w:type="character" w:customStyle="1" w:styleId="Heading6Char">
    <w:name w:val="Heading 6 Char"/>
    <w:basedOn w:val="DefaultParagraphFont"/>
    <w:link w:val="Heading6"/>
    <w:rsid w:val="001F38A6"/>
    <w:rPr>
      <w:rFonts w:ascii="Times New Roman" w:eastAsia="MS Mincho" w:hAnsi="Times New Roman" w:cs="Times New Roman"/>
      <w:sz w:val="20"/>
      <w:szCs w:val="20"/>
      <w:lang w:val="en-GB"/>
    </w:rPr>
  </w:style>
  <w:style w:type="character" w:customStyle="1" w:styleId="Heading7Char">
    <w:name w:val="Heading 7 Char"/>
    <w:basedOn w:val="DefaultParagraphFont"/>
    <w:link w:val="Heading7"/>
    <w:rsid w:val="001F38A6"/>
    <w:rPr>
      <w:rFonts w:ascii="Times New Roman" w:eastAsia="MS Mincho" w:hAnsi="Times New Roman" w:cs="Times New Roman"/>
      <w:sz w:val="20"/>
      <w:szCs w:val="20"/>
      <w:lang w:val="en-GB"/>
    </w:rPr>
  </w:style>
  <w:style w:type="character" w:customStyle="1" w:styleId="Heading8Char">
    <w:name w:val="Heading 8 Char"/>
    <w:basedOn w:val="DefaultParagraphFont"/>
    <w:link w:val="Heading8"/>
    <w:rsid w:val="001F38A6"/>
    <w:rPr>
      <w:rFonts w:ascii="Times New Roman" w:eastAsia="MS Mincho" w:hAnsi="Times New Roman" w:cs="Times New Roman"/>
      <w:sz w:val="20"/>
      <w:szCs w:val="20"/>
      <w:lang w:val="en-GB"/>
    </w:rPr>
  </w:style>
  <w:style w:type="character" w:customStyle="1" w:styleId="Heading9Char">
    <w:name w:val="Heading 9 Char"/>
    <w:basedOn w:val="DefaultParagraphFont"/>
    <w:link w:val="Heading9"/>
    <w:rsid w:val="001F38A6"/>
    <w:rPr>
      <w:rFonts w:ascii="Times New Roman" w:eastAsia="MS Mincho" w:hAnsi="Times New Roman" w:cs="Times New Roman"/>
      <w:sz w:val="20"/>
      <w:szCs w:val="20"/>
      <w:lang w:val="en-GB"/>
    </w:rPr>
  </w:style>
  <w:style w:type="paragraph" w:customStyle="1" w:styleId="HMG">
    <w:name w:val="_ H __M_G"/>
    <w:basedOn w:val="Normal"/>
    <w:next w:val="Normal"/>
    <w:rsid w:val="001F38A6"/>
    <w:pPr>
      <w:keepNext/>
      <w:keepLines/>
      <w:tabs>
        <w:tab w:val="right" w:pos="851"/>
      </w:tabs>
      <w:spacing w:before="240" w:after="240" w:line="360" w:lineRule="exact"/>
      <w:ind w:left="1134" w:right="1134" w:hanging="1134"/>
    </w:pPr>
    <w:rPr>
      <w:b/>
      <w:sz w:val="34"/>
    </w:rPr>
  </w:style>
  <w:style w:type="character" w:styleId="EndnoteReference">
    <w:name w:val="endnote reference"/>
    <w:aliases w:val="1_G"/>
    <w:rsid w:val="001F38A6"/>
    <w:rPr>
      <w:rFonts w:ascii="Times New Roman" w:hAnsi="Times New Roman"/>
      <w:sz w:val="18"/>
      <w:vertAlign w:val="superscript"/>
    </w:rPr>
  </w:style>
  <w:style w:type="table" w:styleId="TableGrid">
    <w:name w:val="Table Grid"/>
    <w:basedOn w:val="TableNormal"/>
    <w:rsid w:val="001F38A6"/>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1F38A6"/>
    <w:rPr>
      <w:color w:val="auto"/>
      <w:u w:val="none"/>
    </w:rPr>
  </w:style>
  <w:style w:type="paragraph" w:customStyle="1" w:styleId="SMG">
    <w:name w:val="__S_M_G"/>
    <w:basedOn w:val="Normal"/>
    <w:next w:val="Normal"/>
    <w:rsid w:val="001F38A6"/>
    <w:pPr>
      <w:keepNext/>
      <w:keepLines/>
      <w:spacing w:before="240" w:after="240" w:line="420" w:lineRule="exact"/>
      <w:ind w:left="1134" w:right="1134"/>
    </w:pPr>
    <w:rPr>
      <w:b/>
      <w:sz w:val="40"/>
    </w:rPr>
  </w:style>
  <w:style w:type="paragraph" w:customStyle="1" w:styleId="SLG">
    <w:name w:val="__S_L_G"/>
    <w:basedOn w:val="Normal"/>
    <w:next w:val="Normal"/>
    <w:rsid w:val="001F38A6"/>
    <w:pPr>
      <w:keepNext/>
      <w:keepLines/>
      <w:spacing w:before="240" w:after="240" w:line="580" w:lineRule="exact"/>
      <w:ind w:left="1134" w:right="1134"/>
    </w:pPr>
    <w:rPr>
      <w:b/>
      <w:sz w:val="56"/>
    </w:rPr>
  </w:style>
  <w:style w:type="paragraph" w:customStyle="1" w:styleId="SSG">
    <w:name w:val="__S_S_G"/>
    <w:basedOn w:val="Normal"/>
    <w:next w:val="Normal"/>
    <w:rsid w:val="001F38A6"/>
    <w:pPr>
      <w:keepNext/>
      <w:keepLines/>
      <w:spacing w:before="240" w:after="240" w:line="300" w:lineRule="exact"/>
      <w:ind w:left="1134" w:right="1134"/>
    </w:pPr>
    <w:rPr>
      <w:b/>
      <w:sz w:val="28"/>
    </w:rPr>
  </w:style>
  <w:style w:type="paragraph" w:styleId="EndnoteText">
    <w:name w:val="endnote text"/>
    <w:aliases w:val="2_G"/>
    <w:basedOn w:val="FootnoteText"/>
    <w:link w:val="EndnoteTextChar"/>
    <w:rsid w:val="001F38A6"/>
  </w:style>
  <w:style w:type="character" w:customStyle="1" w:styleId="EndnoteTextChar">
    <w:name w:val="Endnote Text Char"/>
    <w:aliases w:val="2_G Char"/>
    <w:basedOn w:val="DefaultParagraphFont"/>
    <w:link w:val="EndnoteText"/>
    <w:rsid w:val="001F38A6"/>
    <w:rPr>
      <w:rFonts w:ascii="Times New Roman" w:eastAsia="SimSun" w:hAnsi="Times New Roman" w:cs="Times New Roman"/>
      <w:sz w:val="18"/>
      <w:szCs w:val="20"/>
      <w:lang w:val="en-US" w:eastAsia="zh-CN"/>
    </w:rPr>
  </w:style>
  <w:style w:type="character" w:styleId="PageNumber">
    <w:name w:val="page number"/>
    <w:aliases w:val="7_G"/>
    <w:rsid w:val="001F38A6"/>
    <w:rPr>
      <w:rFonts w:ascii="Times New Roman" w:hAnsi="Times New Roman"/>
      <w:b/>
      <w:sz w:val="18"/>
    </w:rPr>
  </w:style>
  <w:style w:type="paragraph" w:customStyle="1" w:styleId="XLargeG">
    <w:name w:val="__XLarge_G"/>
    <w:basedOn w:val="Normal"/>
    <w:next w:val="Normal"/>
    <w:rsid w:val="001F38A6"/>
    <w:pPr>
      <w:keepNext/>
      <w:keepLines/>
      <w:spacing w:before="240" w:after="240" w:line="420" w:lineRule="exact"/>
      <w:ind w:left="1134" w:right="1134"/>
    </w:pPr>
    <w:rPr>
      <w:b/>
      <w:sz w:val="40"/>
    </w:rPr>
  </w:style>
  <w:style w:type="paragraph" w:customStyle="1" w:styleId="Bullet1G">
    <w:name w:val="_Bullet 1_G"/>
    <w:basedOn w:val="Normal"/>
    <w:rsid w:val="001F38A6"/>
    <w:pPr>
      <w:numPr>
        <w:numId w:val="1"/>
      </w:numPr>
      <w:spacing w:after="120"/>
      <w:ind w:right="1134"/>
      <w:jc w:val="both"/>
    </w:pPr>
  </w:style>
  <w:style w:type="paragraph" w:customStyle="1" w:styleId="Bullet2G">
    <w:name w:val="_Bullet 2_G"/>
    <w:basedOn w:val="Normal"/>
    <w:rsid w:val="001F38A6"/>
    <w:pPr>
      <w:numPr>
        <w:numId w:val="2"/>
      </w:numPr>
      <w:spacing w:after="120"/>
      <w:ind w:right="1134"/>
      <w:jc w:val="both"/>
    </w:pPr>
  </w:style>
  <w:style w:type="paragraph" w:customStyle="1" w:styleId="H4G">
    <w:name w:val="_ H_4_G"/>
    <w:basedOn w:val="Normal"/>
    <w:next w:val="Normal"/>
    <w:rsid w:val="001F38A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1F38A6"/>
    <w:pPr>
      <w:keepNext/>
      <w:keepLines/>
      <w:tabs>
        <w:tab w:val="right" w:pos="851"/>
      </w:tabs>
      <w:spacing w:before="240" w:after="120" w:line="240" w:lineRule="exact"/>
      <w:ind w:left="1134" w:right="1134" w:hanging="1134"/>
    </w:pPr>
  </w:style>
  <w:style w:type="numbering" w:customStyle="1" w:styleId="NoList1">
    <w:name w:val="No List1"/>
    <w:next w:val="NoList"/>
    <w:semiHidden/>
    <w:unhideWhenUsed/>
    <w:rsid w:val="001F38A6"/>
  </w:style>
  <w:style w:type="table" w:customStyle="1" w:styleId="TableGrid1">
    <w:name w:val="Table Grid1"/>
    <w:basedOn w:val="TableNormal"/>
    <w:next w:val="TableGrid"/>
    <w:rsid w:val="001F38A6"/>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Li">
    <w:name w:val="Li"/>
    <w:basedOn w:val="Normal"/>
    <w:rsid w:val="001F38A6"/>
    <w:pPr>
      <w:suppressAutoHyphens w:val="0"/>
      <w:spacing w:line="240" w:lineRule="auto"/>
    </w:pPr>
    <w:rPr>
      <w:rFonts w:ascii="Helvetica" w:hAnsi="Helvetica"/>
      <w:sz w:val="22"/>
      <w:szCs w:val="24"/>
      <w:lang w:eastAsia="en-GB"/>
    </w:rPr>
  </w:style>
  <w:style w:type="character" w:customStyle="1" w:styleId="A51">
    <w:name w:val="A5+1"/>
    <w:uiPriority w:val="99"/>
    <w:rsid w:val="001F38A6"/>
    <w:rPr>
      <w:rFonts w:cs="CmPrasanmit"/>
      <w:color w:val="000000"/>
      <w:sz w:val="32"/>
      <w:szCs w:val="32"/>
    </w:rPr>
  </w:style>
  <w:style w:type="paragraph" w:customStyle="1" w:styleId="Default">
    <w:name w:val="Default"/>
    <w:rsid w:val="001F38A6"/>
    <w:pPr>
      <w:autoSpaceDE w:val="0"/>
      <w:autoSpaceDN w:val="0"/>
      <w:adjustRightInd w:val="0"/>
      <w:spacing w:after="0" w:line="240" w:lineRule="auto"/>
    </w:pPr>
    <w:rPr>
      <w:rFonts w:ascii="TitilliumMaps29L" w:eastAsia="MS Mincho" w:hAnsi="TitilliumMaps29L" w:cs="TitilliumMaps29L"/>
      <w:color w:val="000000"/>
      <w:sz w:val="24"/>
      <w:szCs w:val="24"/>
      <w:lang w:val="en-GB" w:eastAsia="ja-JP"/>
    </w:rPr>
  </w:style>
  <w:style w:type="paragraph" w:customStyle="1" w:styleId="Pa4">
    <w:name w:val="Pa4"/>
    <w:basedOn w:val="Default"/>
    <w:next w:val="Default"/>
    <w:uiPriority w:val="99"/>
    <w:rsid w:val="001F38A6"/>
    <w:pPr>
      <w:spacing w:line="241" w:lineRule="atLeast"/>
    </w:pPr>
    <w:rPr>
      <w:rFonts w:cs="Times New Roman"/>
      <w:color w:val="auto"/>
    </w:rPr>
  </w:style>
  <w:style w:type="character" w:customStyle="1" w:styleId="A3">
    <w:name w:val="A3"/>
    <w:uiPriority w:val="99"/>
    <w:rsid w:val="001F38A6"/>
    <w:rPr>
      <w:rFonts w:cs="TitilliumMaps29L"/>
      <w:color w:val="000000"/>
    </w:rPr>
  </w:style>
  <w:style w:type="paragraph" w:customStyle="1" w:styleId="Pa1">
    <w:name w:val="Pa1"/>
    <w:basedOn w:val="Default"/>
    <w:next w:val="Default"/>
    <w:uiPriority w:val="99"/>
    <w:rsid w:val="001F38A6"/>
    <w:pPr>
      <w:spacing w:line="241" w:lineRule="atLeast"/>
    </w:pPr>
    <w:rPr>
      <w:rFonts w:cs="Times New Roman"/>
      <w:color w:val="auto"/>
    </w:rPr>
  </w:style>
  <w:style w:type="paragraph" w:customStyle="1" w:styleId="Pa3">
    <w:name w:val="Pa3"/>
    <w:basedOn w:val="Default"/>
    <w:next w:val="Default"/>
    <w:uiPriority w:val="99"/>
    <w:rsid w:val="001F38A6"/>
    <w:pPr>
      <w:spacing w:line="241" w:lineRule="atLeast"/>
    </w:pPr>
    <w:rPr>
      <w:rFonts w:cs="Times New Roman"/>
      <w:color w:val="auto"/>
    </w:rPr>
  </w:style>
  <w:style w:type="paragraph" w:styleId="NormalWeb">
    <w:name w:val="Normal (Web)"/>
    <w:basedOn w:val="Normal"/>
    <w:uiPriority w:val="99"/>
    <w:unhideWhenUsed/>
    <w:rsid w:val="001F38A6"/>
    <w:pPr>
      <w:suppressAutoHyphens w:val="0"/>
      <w:spacing w:before="100" w:beforeAutospacing="1" w:after="100" w:afterAutospacing="1" w:line="240" w:lineRule="auto"/>
    </w:pPr>
    <w:rPr>
      <w:sz w:val="24"/>
      <w:szCs w:val="24"/>
      <w:lang w:val="pt-PT" w:eastAsia="pt-PT"/>
    </w:rPr>
  </w:style>
  <w:style w:type="character" w:customStyle="1" w:styleId="apple-converted-space">
    <w:name w:val="apple-converted-space"/>
    <w:rsid w:val="001F38A6"/>
  </w:style>
  <w:style w:type="character" w:customStyle="1" w:styleId="il">
    <w:name w:val="il"/>
    <w:rsid w:val="001F38A6"/>
  </w:style>
  <w:style w:type="paragraph" w:customStyle="1" w:styleId="Style1">
    <w:name w:val="Style1"/>
    <w:basedOn w:val="Normal"/>
    <w:link w:val="Style1Char"/>
    <w:uiPriority w:val="99"/>
    <w:rsid w:val="001F38A6"/>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1F38A6"/>
    <w:rPr>
      <w:rFonts w:ascii="Times New Roman" w:eastAsia="Calibri" w:hAnsi="Times New Roman" w:cs="Times New Roman"/>
      <w:sz w:val="32"/>
      <w:szCs w:val="20"/>
      <w:lang w:val="en-US"/>
    </w:rPr>
  </w:style>
  <w:style w:type="character" w:customStyle="1" w:styleId="caption1">
    <w:name w:val="caption1"/>
    <w:rsid w:val="001F38A6"/>
  </w:style>
  <w:style w:type="paragraph" w:styleId="Revision">
    <w:name w:val="Revision"/>
    <w:hidden/>
    <w:uiPriority w:val="99"/>
    <w:semiHidden/>
    <w:rsid w:val="001F38A6"/>
    <w:pPr>
      <w:spacing w:after="0" w:line="240" w:lineRule="auto"/>
    </w:pPr>
    <w:rPr>
      <w:rFonts w:ascii="Times New Roman" w:eastAsia="MS Mincho" w:hAnsi="Times New Roman" w:cs="Times New Roman"/>
      <w:sz w:val="20"/>
      <w:szCs w:val="20"/>
      <w:lang w:val="en-GB"/>
    </w:rPr>
  </w:style>
  <w:style w:type="paragraph" w:styleId="ListParagraph">
    <w:name w:val="List Paragraph"/>
    <w:basedOn w:val="Normal"/>
    <w:uiPriority w:val="34"/>
    <w:qFormat/>
    <w:rsid w:val="001F38A6"/>
    <w:pPr>
      <w:suppressAutoHyphens w:val="0"/>
      <w:spacing w:line="360" w:lineRule="auto"/>
      <w:ind w:left="720"/>
      <w:contextualSpacing/>
      <w:jc w:val="both"/>
    </w:pPr>
    <w:rPr>
      <w:sz w:val="24"/>
      <w:szCs w:val="22"/>
      <w:lang w:eastAsia="en-GB"/>
    </w:rPr>
  </w:style>
  <w:style w:type="character" w:customStyle="1" w:styleId="SingleTxtGCar">
    <w:name w:val="_ Single Txt_G Car"/>
    <w:rsid w:val="001F38A6"/>
    <w:rPr>
      <w:lang w:val="es-ES" w:eastAsia="es-ES" w:bidi="ar-SA"/>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uiPriority w:val="99"/>
    <w:rsid w:val="001F38A6"/>
    <w:pPr>
      <w:suppressAutoHyphens w:val="0"/>
      <w:spacing w:after="160" w:line="240" w:lineRule="exact"/>
      <w:jc w:val="both"/>
    </w:pPr>
    <w:rPr>
      <w:rFonts w:ascii="Cambria" w:hAnsi="Cambria"/>
      <w:sz w:val="24"/>
      <w:szCs w:val="24"/>
      <w:vertAlign w:val="superscript"/>
      <w:lang w:val="de-DE" w:eastAsia="ja-JP"/>
    </w:rPr>
  </w:style>
  <w:style w:type="paragraph" w:customStyle="1" w:styleId="Normal1">
    <w:name w:val="Normal1"/>
    <w:rsid w:val="001F38A6"/>
    <w:pPr>
      <w:spacing w:after="0" w:line="240" w:lineRule="auto"/>
    </w:pPr>
    <w:rPr>
      <w:rFonts w:ascii="Cambria" w:eastAsia="Cambria" w:hAnsi="Cambria" w:cs="Cambria"/>
      <w:color w:val="000000"/>
      <w:sz w:val="24"/>
      <w:szCs w:val="24"/>
      <w:lang w:val="en-US"/>
    </w:rPr>
  </w:style>
  <w:style w:type="character" w:styleId="Emphasis">
    <w:name w:val="Emphasis"/>
    <w:basedOn w:val="DefaultParagraphFont"/>
    <w:uiPriority w:val="20"/>
    <w:qFormat/>
    <w:rsid w:val="001C6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384">
      <w:bodyDiv w:val="1"/>
      <w:marLeft w:val="0"/>
      <w:marRight w:val="0"/>
      <w:marTop w:val="0"/>
      <w:marBottom w:val="0"/>
      <w:divBdr>
        <w:top w:val="none" w:sz="0" w:space="0" w:color="auto"/>
        <w:left w:val="none" w:sz="0" w:space="0" w:color="auto"/>
        <w:bottom w:val="none" w:sz="0" w:space="0" w:color="auto"/>
        <w:right w:val="none" w:sz="0" w:space="0" w:color="auto"/>
      </w:divBdr>
    </w:div>
    <w:div w:id="54205740">
      <w:bodyDiv w:val="1"/>
      <w:marLeft w:val="0"/>
      <w:marRight w:val="0"/>
      <w:marTop w:val="0"/>
      <w:marBottom w:val="0"/>
      <w:divBdr>
        <w:top w:val="none" w:sz="0" w:space="0" w:color="auto"/>
        <w:left w:val="none" w:sz="0" w:space="0" w:color="auto"/>
        <w:bottom w:val="none" w:sz="0" w:space="0" w:color="auto"/>
        <w:right w:val="none" w:sz="0" w:space="0" w:color="auto"/>
      </w:divBdr>
    </w:div>
    <w:div w:id="203711073">
      <w:bodyDiv w:val="1"/>
      <w:marLeft w:val="0"/>
      <w:marRight w:val="0"/>
      <w:marTop w:val="0"/>
      <w:marBottom w:val="0"/>
      <w:divBdr>
        <w:top w:val="none" w:sz="0" w:space="0" w:color="auto"/>
        <w:left w:val="none" w:sz="0" w:space="0" w:color="auto"/>
        <w:bottom w:val="none" w:sz="0" w:space="0" w:color="auto"/>
        <w:right w:val="none" w:sz="0" w:space="0" w:color="auto"/>
      </w:divBdr>
      <w:divsChild>
        <w:div w:id="123549183">
          <w:marLeft w:val="0"/>
          <w:marRight w:val="0"/>
          <w:marTop w:val="0"/>
          <w:marBottom w:val="0"/>
          <w:divBdr>
            <w:top w:val="none" w:sz="0" w:space="0" w:color="auto"/>
            <w:left w:val="none" w:sz="0" w:space="0" w:color="auto"/>
            <w:bottom w:val="none" w:sz="0" w:space="0" w:color="auto"/>
            <w:right w:val="none" w:sz="0" w:space="0" w:color="auto"/>
          </w:divBdr>
          <w:divsChild>
            <w:div w:id="1533492375">
              <w:marLeft w:val="0"/>
              <w:marRight w:val="0"/>
              <w:marTop w:val="0"/>
              <w:marBottom w:val="0"/>
              <w:divBdr>
                <w:top w:val="none" w:sz="0" w:space="0" w:color="auto"/>
                <w:left w:val="none" w:sz="0" w:space="0" w:color="auto"/>
                <w:bottom w:val="none" w:sz="0" w:space="0" w:color="auto"/>
                <w:right w:val="none" w:sz="0" w:space="0" w:color="auto"/>
              </w:divBdr>
              <w:divsChild>
                <w:div w:id="18783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454">
      <w:bodyDiv w:val="1"/>
      <w:marLeft w:val="0"/>
      <w:marRight w:val="0"/>
      <w:marTop w:val="0"/>
      <w:marBottom w:val="0"/>
      <w:divBdr>
        <w:top w:val="none" w:sz="0" w:space="0" w:color="auto"/>
        <w:left w:val="none" w:sz="0" w:space="0" w:color="auto"/>
        <w:bottom w:val="none" w:sz="0" w:space="0" w:color="auto"/>
        <w:right w:val="none" w:sz="0" w:space="0" w:color="auto"/>
      </w:divBdr>
    </w:div>
    <w:div w:id="350912194">
      <w:bodyDiv w:val="1"/>
      <w:marLeft w:val="0"/>
      <w:marRight w:val="0"/>
      <w:marTop w:val="0"/>
      <w:marBottom w:val="0"/>
      <w:divBdr>
        <w:top w:val="none" w:sz="0" w:space="0" w:color="auto"/>
        <w:left w:val="none" w:sz="0" w:space="0" w:color="auto"/>
        <w:bottom w:val="none" w:sz="0" w:space="0" w:color="auto"/>
        <w:right w:val="none" w:sz="0" w:space="0" w:color="auto"/>
      </w:divBdr>
    </w:div>
    <w:div w:id="369376991">
      <w:bodyDiv w:val="1"/>
      <w:marLeft w:val="0"/>
      <w:marRight w:val="0"/>
      <w:marTop w:val="0"/>
      <w:marBottom w:val="0"/>
      <w:divBdr>
        <w:top w:val="none" w:sz="0" w:space="0" w:color="auto"/>
        <w:left w:val="none" w:sz="0" w:space="0" w:color="auto"/>
        <w:bottom w:val="none" w:sz="0" w:space="0" w:color="auto"/>
        <w:right w:val="none" w:sz="0" w:space="0" w:color="auto"/>
      </w:divBdr>
      <w:divsChild>
        <w:div w:id="1326973189">
          <w:marLeft w:val="0"/>
          <w:marRight w:val="0"/>
          <w:marTop w:val="0"/>
          <w:marBottom w:val="0"/>
          <w:divBdr>
            <w:top w:val="none" w:sz="0" w:space="0" w:color="auto"/>
            <w:left w:val="none" w:sz="0" w:space="0" w:color="auto"/>
            <w:bottom w:val="none" w:sz="0" w:space="0" w:color="auto"/>
            <w:right w:val="none" w:sz="0" w:space="0" w:color="auto"/>
          </w:divBdr>
          <w:divsChild>
            <w:div w:id="527835294">
              <w:marLeft w:val="0"/>
              <w:marRight w:val="0"/>
              <w:marTop w:val="0"/>
              <w:marBottom w:val="0"/>
              <w:divBdr>
                <w:top w:val="none" w:sz="0" w:space="0" w:color="auto"/>
                <w:left w:val="none" w:sz="0" w:space="0" w:color="auto"/>
                <w:bottom w:val="none" w:sz="0" w:space="0" w:color="auto"/>
                <w:right w:val="none" w:sz="0" w:space="0" w:color="auto"/>
              </w:divBdr>
              <w:divsChild>
                <w:div w:id="4664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7631">
      <w:bodyDiv w:val="1"/>
      <w:marLeft w:val="0"/>
      <w:marRight w:val="0"/>
      <w:marTop w:val="0"/>
      <w:marBottom w:val="0"/>
      <w:divBdr>
        <w:top w:val="none" w:sz="0" w:space="0" w:color="auto"/>
        <w:left w:val="none" w:sz="0" w:space="0" w:color="auto"/>
        <w:bottom w:val="none" w:sz="0" w:space="0" w:color="auto"/>
        <w:right w:val="none" w:sz="0" w:space="0" w:color="auto"/>
      </w:divBdr>
    </w:div>
    <w:div w:id="662246077">
      <w:bodyDiv w:val="1"/>
      <w:marLeft w:val="0"/>
      <w:marRight w:val="0"/>
      <w:marTop w:val="0"/>
      <w:marBottom w:val="0"/>
      <w:divBdr>
        <w:top w:val="none" w:sz="0" w:space="0" w:color="auto"/>
        <w:left w:val="none" w:sz="0" w:space="0" w:color="auto"/>
        <w:bottom w:val="none" w:sz="0" w:space="0" w:color="auto"/>
        <w:right w:val="none" w:sz="0" w:space="0" w:color="auto"/>
      </w:divBdr>
    </w:div>
    <w:div w:id="792675094">
      <w:bodyDiv w:val="1"/>
      <w:marLeft w:val="0"/>
      <w:marRight w:val="0"/>
      <w:marTop w:val="0"/>
      <w:marBottom w:val="0"/>
      <w:divBdr>
        <w:top w:val="none" w:sz="0" w:space="0" w:color="auto"/>
        <w:left w:val="none" w:sz="0" w:space="0" w:color="auto"/>
        <w:bottom w:val="none" w:sz="0" w:space="0" w:color="auto"/>
        <w:right w:val="none" w:sz="0" w:space="0" w:color="auto"/>
      </w:divBdr>
    </w:div>
    <w:div w:id="856431976">
      <w:bodyDiv w:val="1"/>
      <w:marLeft w:val="0"/>
      <w:marRight w:val="0"/>
      <w:marTop w:val="0"/>
      <w:marBottom w:val="0"/>
      <w:divBdr>
        <w:top w:val="none" w:sz="0" w:space="0" w:color="auto"/>
        <w:left w:val="none" w:sz="0" w:space="0" w:color="auto"/>
        <w:bottom w:val="none" w:sz="0" w:space="0" w:color="auto"/>
        <w:right w:val="none" w:sz="0" w:space="0" w:color="auto"/>
      </w:divBdr>
    </w:div>
    <w:div w:id="880021136">
      <w:bodyDiv w:val="1"/>
      <w:marLeft w:val="0"/>
      <w:marRight w:val="0"/>
      <w:marTop w:val="0"/>
      <w:marBottom w:val="0"/>
      <w:divBdr>
        <w:top w:val="none" w:sz="0" w:space="0" w:color="auto"/>
        <w:left w:val="none" w:sz="0" w:space="0" w:color="auto"/>
        <w:bottom w:val="none" w:sz="0" w:space="0" w:color="auto"/>
        <w:right w:val="none" w:sz="0" w:space="0" w:color="auto"/>
      </w:divBdr>
      <w:divsChild>
        <w:div w:id="1941253842">
          <w:marLeft w:val="0"/>
          <w:marRight w:val="0"/>
          <w:marTop w:val="0"/>
          <w:marBottom w:val="0"/>
          <w:divBdr>
            <w:top w:val="none" w:sz="0" w:space="0" w:color="auto"/>
            <w:left w:val="none" w:sz="0" w:space="0" w:color="auto"/>
            <w:bottom w:val="none" w:sz="0" w:space="0" w:color="auto"/>
            <w:right w:val="none" w:sz="0" w:space="0" w:color="auto"/>
          </w:divBdr>
          <w:divsChild>
            <w:div w:id="1292785570">
              <w:marLeft w:val="0"/>
              <w:marRight w:val="0"/>
              <w:marTop w:val="0"/>
              <w:marBottom w:val="0"/>
              <w:divBdr>
                <w:top w:val="none" w:sz="0" w:space="0" w:color="auto"/>
                <w:left w:val="none" w:sz="0" w:space="0" w:color="auto"/>
                <w:bottom w:val="none" w:sz="0" w:space="0" w:color="auto"/>
                <w:right w:val="none" w:sz="0" w:space="0" w:color="auto"/>
              </w:divBdr>
              <w:divsChild>
                <w:div w:id="7607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762">
      <w:bodyDiv w:val="1"/>
      <w:marLeft w:val="0"/>
      <w:marRight w:val="0"/>
      <w:marTop w:val="0"/>
      <w:marBottom w:val="0"/>
      <w:divBdr>
        <w:top w:val="none" w:sz="0" w:space="0" w:color="auto"/>
        <w:left w:val="none" w:sz="0" w:space="0" w:color="auto"/>
        <w:bottom w:val="none" w:sz="0" w:space="0" w:color="auto"/>
        <w:right w:val="none" w:sz="0" w:space="0" w:color="auto"/>
      </w:divBdr>
    </w:div>
    <w:div w:id="1105855002">
      <w:bodyDiv w:val="1"/>
      <w:marLeft w:val="0"/>
      <w:marRight w:val="0"/>
      <w:marTop w:val="0"/>
      <w:marBottom w:val="0"/>
      <w:divBdr>
        <w:top w:val="none" w:sz="0" w:space="0" w:color="auto"/>
        <w:left w:val="none" w:sz="0" w:space="0" w:color="auto"/>
        <w:bottom w:val="none" w:sz="0" w:space="0" w:color="auto"/>
        <w:right w:val="none" w:sz="0" w:space="0" w:color="auto"/>
      </w:divBdr>
    </w:div>
    <w:div w:id="1269389445">
      <w:bodyDiv w:val="1"/>
      <w:marLeft w:val="0"/>
      <w:marRight w:val="0"/>
      <w:marTop w:val="0"/>
      <w:marBottom w:val="0"/>
      <w:divBdr>
        <w:top w:val="none" w:sz="0" w:space="0" w:color="auto"/>
        <w:left w:val="none" w:sz="0" w:space="0" w:color="auto"/>
        <w:bottom w:val="none" w:sz="0" w:space="0" w:color="auto"/>
        <w:right w:val="none" w:sz="0" w:space="0" w:color="auto"/>
      </w:divBdr>
      <w:divsChild>
        <w:div w:id="1858613543">
          <w:marLeft w:val="0"/>
          <w:marRight w:val="0"/>
          <w:marTop w:val="0"/>
          <w:marBottom w:val="0"/>
          <w:divBdr>
            <w:top w:val="none" w:sz="0" w:space="0" w:color="auto"/>
            <w:left w:val="none" w:sz="0" w:space="0" w:color="auto"/>
            <w:bottom w:val="none" w:sz="0" w:space="0" w:color="auto"/>
            <w:right w:val="none" w:sz="0" w:space="0" w:color="auto"/>
          </w:divBdr>
          <w:divsChild>
            <w:div w:id="377120831">
              <w:marLeft w:val="0"/>
              <w:marRight w:val="0"/>
              <w:marTop w:val="0"/>
              <w:marBottom w:val="0"/>
              <w:divBdr>
                <w:top w:val="none" w:sz="0" w:space="0" w:color="auto"/>
                <w:left w:val="none" w:sz="0" w:space="0" w:color="auto"/>
                <w:bottom w:val="none" w:sz="0" w:space="0" w:color="auto"/>
                <w:right w:val="none" w:sz="0" w:space="0" w:color="auto"/>
              </w:divBdr>
              <w:divsChild>
                <w:div w:id="7568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4280">
      <w:bodyDiv w:val="1"/>
      <w:marLeft w:val="0"/>
      <w:marRight w:val="0"/>
      <w:marTop w:val="0"/>
      <w:marBottom w:val="0"/>
      <w:divBdr>
        <w:top w:val="none" w:sz="0" w:space="0" w:color="auto"/>
        <w:left w:val="none" w:sz="0" w:space="0" w:color="auto"/>
        <w:bottom w:val="none" w:sz="0" w:space="0" w:color="auto"/>
        <w:right w:val="none" w:sz="0" w:space="0" w:color="auto"/>
      </w:divBdr>
      <w:divsChild>
        <w:div w:id="583874552">
          <w:marLeft w:val="0"/>
          <w:marRight w:val="0"/>
          <w:marTop w:val="0"/>
          <w:marBottom w:val="0"/>
          <w:divBdr>
            <w:top w:val="none" w:sz="0" w:space="0" w:color="auto"/>
            <w:left w:val="none" w:sz="0" w:space="0" w:color="auto"/>
            <w:bottom w:val="none" w:sz="0" w:space="0" w:color="auto"/>
            <w:right w:val="none" w:sz="0" w:space="0" w:color="auto"/>
          </w:divBdr>
          <w:divsChild>
            <w:div w:id="783113480">
              <w:marLeft w:val="0"/>
              <w:marRight w:val="0"/>
              <w:marTop w:val="0"/>
              <w:marBottom w:val="0"/>
              <w:divBdr>
                <w:top w:val="none" w:sz="0" w:space="0" w:color="auto"/>
                <w:left w:val="none" w:sz="0" w:space="0" w:color="auto"/>
                <w:bottom w:val="none" w:sz="0" w:space="0" w:color="auto"/>
                <w:right w:val="none" w:sz="0" w:space="0" w:color="auto"/>
              </w:divBdr>
              <w:divsChild>
                <w:div w:id="8940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7244">
      <w:bodyDiv w:val="1"/>
      <w:marLeft w:val="0"/>
      <w:marRight w:val="0"/>
      <w:marTop w:val="0"/>
      <w:marBottom w:val="0"/>
      <w:divBdr>
        <w:top w:val="none" w:sz="0" w:space="0" w:color="auto"/>
        <w:left w:val="none" w:sz="0" w:space="0" w:color="auto"/>
        <w:bottom w:val="none" w:sz="0" w:space="0" w:color="auto"/>
        <w:right w:val="none" w:sz="0" w:space="0" w:color="auto"/>
      </w:divBdr>
    </w:div>
    <w:div w:id="1487741041">
      <w:bodyDiv w:val="1"/>
      <w:marLeft w:val="0"/>
      <w:marRight w:val="0"/>
      <w:marTop w:val="0"/>
      <w:marBottom w:val="0"/>
      <w:divBdr>
        <w:top w:val="none" w:sz="0" w:space="0" w:color="auto"/>
        <w:left w:val="none" w:sz="0" w:space="0" w:color="auto"/>
        <w:bottom w:val="none" w:sz="0" w:space="0" w:color="auto"/>
        <w:right w:val="none" w:sz="0" w:space="0" w:color="auto"/>
      </w:divBdr>
    </w:div>
    <w:div w:id="1521896929">
      <w:bodyDiv w:val="1"/>
      <w:marLeft w:val="0"/>
      <w:marRight w:val="0"/>
      <w:marTop w:val="0"/>
      <w:marBottom w:val="0"/>
      <w:divBdr>
        <w:top w:val="none" w:sz="0" w:space="0" w:color="auto"/>
        <w:left w:val="none" w:sz="0" w:space="0" w:color="auto"/>
        <w:bottom w:val="none" w:sz="0" w:space="0" w:color="auto"/>
        <w:right w:val="none" w:sz="0" w:space="0" w:color="auto"/>
      </w:divBdr>
      <w:divsChild>
        <w:div w:id="1431197271">
          <w:marLeft w:val="0"/>
          <w:marRight w:val="0"/>
          <w:marTop w:val="0"/>
          <w:marBottom w:val="0"/>
          <w:divBdr>
            <w:top w:val="none" w:sz="0" w:space="0" w:color="auto"/>
            <w:left w:val="none" w:sz="0" w:space="0" w:color="auto"/>
            <w:bottom w:val="none" w:sz="0" w:space="0" w:color="auto"/>
            <w:right w:val="none" w:sz="0" w:space="0" w:color="auto"/>
          </w:divBdr>
          <w:divsChild>
            <w:div w:id="500395858">
              <w:marLeft w:val="0"/>
              <w:marRight w:val="0"/>
              <w:marTop w:val="0"/>
              <w:marBottom w:val="0"/>
              <w:divBdr>
                <w:top w:val="none" w:sz="0" w:space="0" w:color="auto"/>
                <w:left w:val="none" w:sz="0" w:space="0" w:color="auto"/>
                <w:bottom w:val="none" w:sz="0" w:space="0" w:color="auto"/>
                <w:right w:val="none" w:sz="0" w:space="0" w:color="auto"/>
              </w:divBdr>
              <w:divsChild>
                <w:div w:id="19452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8072">
      <w:bodyDiv w:val="1"/>
      <w:marLeft w:val="0"/>
      <w:marRight w:val="0"/>
      <w:marTop w:val="0"/>
      <w:marBottom w:val="0"/>
      <w:divBdr>
        <w:top w:val="none" w:sz="0" w:space="0" w:color="auto"/>
        <w:left w:val="none" w:sz="0" w:space="0" w:color="auto"/>
        <w:bottom w:val="none" w:sz="0" w:space="0" w:color="auto"/>
        <w:right w:val="none" w:sz="0" w:space="0" w:color="auto"/>
      </w:divBdr>
    </w:div>
    <w:div w:id="1739665705">
      <w:bodyDiv w:val="1"/>
      <w:marLeft w:val="0"/>
      <w:marRight w:val="0"/>
      <w:marTop w:val="0"/>
      <w:marBottom w:val="0"/>
      <w:divBdr>
        <w:top w:val="none" w:sz="0" w:space="0" w:color="auto"/>
        <w:left w:val="none" w:sz="0" w:space="0" w:color="auto"/>
        <w:bottom w:val="none" w:sz="0" w:space="0" w:color="auto"/>
        <w:right w:val="none" w:sz="0" w:space="0" w:color="auto"/>
      </w:divBdr>
    </w:div>
    <w:div w:id="1762142163">
      <w:bodyDiv w:val="1"/>
      <w:marLeft w:val="0"/>
      <w:marRight w:val="0"/>
      <w:marTop w:val="0"/>
      <w:marBottom w:val="0"/>
      <w:divBdr>
        <w:top w:val="none" w:sz="0" w:space="0" w:color="auto"/>
        <w:left w:val="none" w:sz="0" w:space="0" w:color="auto"/>
        <w:bottom w:val="none" w:sz="0" w:space="0" w:color="auto"/>
        <w:right w:val="none" w:sz="0" w:space="0" w:color="auto"/>
      </w:divBdr>
    </w:div>
    <w:div w:id="1768311244">
      <w:bodyDiv w:val="1"/>
      <w:marLeft w:val="0"/>
      <w:marRight w:val="0"/>
      <w:marTop w:val="0"/>
      <w:marBottom w:val="0"/>
      <w:divBdr>
        <w:top w:val="none" w:sz="0" w:space="0" w:color="auto"/>
        <w:left w:val="none" w:sz="0" w:space="0" w:color="auto"/>
        <w:bottom w:val="none" w:sz="0" w:space="0" w:color="auto"/>
        <w:right w:val="none" w:sz="0" w:space="0" w:color="auto"/>
      </w:divBdr>
    </w:div>
    <w:div w:id="1785424474">
      <w:bodyDiv w:val="1"/>
      <w:marLeft w:val="0"/>
      <w:marRight w:val="0"/>
      <w:marTop w:val="0"/>
      <w:marBottom w:val="0"/>
      <w:divBdr>
        <w:top w:val="none" w:sz="0" w:space="0" w:color="auto"/>
        <w:left w:val="none" w:sz="0" w:space="0" w:color="auto"/>
        <w:bottom w:val="none" w:sz="0" w:space="0" w:color="auto"/>
        <w:right w:val="none" w:sz="0" w:space="0" w:color="auto"/>
      </w:divBdr>
    </w:div>
    <w:div w:id="1787692940">
      <w:bodyDiv w:val="1"/>
      <w:marLeft w:val="0"/>
      <w:marRight w:val="0"/>
      <w:marTop w:val="0"/>
      <w:marBottom w:val="0"/>
      <w:divBdr>
        <w:top w:val="none" w:sz="0" w:space="0" w:color="auto"/>
        <w:left w:val="none" w:sz="0" w:space="0" w:color="auto"/>
        <w:bottom w:val="none" w:sz="0" w:space="0" w:color="auto"/>
        <w:right w:val="none" w:sz="0" w:space="0" w:color="auto"/>
      </w:divBdr>
      <w:divsChild>
        <w:div w:id="1333991392">
          <w:marLeft w:val="0"/>
          <w:marRight w:val="0"/>
          <w:marTop w:val="0"/>
          <w:marBottom w:val="0"/>
          <w:divBdr>
            <w:top w:val="none" w:sz="0" w:space="0" w:color="auto"/>
            <w:left w:val="none" w:sz="0" w:space="0" w:color="auto"/>
            <w:bottom w:val="none" w:sz="0" w:space="0" w:color="auto"/>
            <w:right w:val="none" w:sz="0" w:space="0" w:color="auto"/>
          </w:divBdr>
          <w:divsChild>
            <w:div w:id="1443452062">
              <w:marLeft w:val="0"/>
              <w:marRight w:val="0"/>
              <w:marTop w:val="0"/>
              <w:marBottom w:val="0"/>
              <w:divBdr>
                <w:top w:val="none" w:sz="0" w:space="0" w:color="auto"/>
                <w:left w:val="none" w:sz="0" w:space="0" w:color="auto"/>
                <w:bottom w:val="none" w:sz="0" w:space="0" w:color="auto"/>
                <w:right w:val="none" w:sz="0" w:space="0" w:color="auto"/>
              </w:divBdr>
              <w:divsChild>
                <w:div w:id="178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7916">
      <w:bodyDiv w:val="1"/>
      <w:marLeft w:val="0"/>
      <w:marRight w:val="0"/>
      <w:marTop w:val="0"/>
      <w:marBottom w:val="0"/>
      <w:divBdr>
        <w:top w:val="none" w:sz="0" w:space="0" w:color="auto"/>
        <w:left w:val="none" w:sz="0" w:space="0" w:color="auto"/>
        <w:bottom w:val="none" w:sz="0" w:space="0" w:color="auto"/>
        <w:right w:val="none" w:sz="0" w:space="0" w:color="auto"/>
      </w:divBdr>
      <w:divsChild>
        <w:div w:id="309018498">
          <w:marLeft w:val="0"/>
          <w:marRight w:val="0"/>
          <w:marTop w:val="0"/>
          <w:marBottom w:val="0"/>
          <w:divBdr>
            <w:top w:val="none" w:sz="0" w:space="0" w:color="auto"/>
            <w:left w:val="none" w:sz="0" w:space="0" w:color="auto"/>
            <w:bottom w:val="none" w:sz="0" w:space="0" w:color="auto"/>
            <w:right w:val="none" w:sz="0" w:space="0" w:color="auto"/>
          </w:divBdr>
          <w:divsChild>
            <w:div w:id="94786446">
              <w:marLeft w:val="0"/>
              <w:marRight w:val="0"/>
              <w:marTop w:val="0"/>
              <w:marBottom w:val="0"/>
              <w:divBdr>
                <w:top w:val="none" w:sz="0" w:space="0" w:color="auto"/>
                <w:left w:val="none" w:sz="0" w:space="0" w:color="auto"/>
                <w:bottom w:val="none" w:sz="0" w:space="0" w:color="auto"/>
                <w:right w:val="none" w:sz="0" w:space="0" w:color="auto"/>
              </w:divBdr>
              <w:divsChild>
                <w:div w:id="20248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399">
      <w:bodyDiv w:val="1"/>
      <w:marLeft w:val="0"/>
      <w:marRight w:val="0"/>
      <w:marTop w:val="0"/>
      <w:marBottom w:val="0"/>
      <w:divBdr>
        <w:top w:val="none" w:sz="0" w:space="0" w:color="auto"/>
        <w:left w:val="none" w:sz="0" w:space="0" w:color="auto"/>
        <w:bottom w:val="none" w:sz="0" w:space="0" w:color="auto"/>
        <w:right w:val="none" w:sz="0" w:space="0" w:color="auto"/>
      </w:divBdr>
    </w:div>
    <w:div w:id="1894929516">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52532566">
      <w:bodyDiv w:val="1"/>
      <w:marLeft w:val="0"/>
      <w:marRight w:val="0"/>
      <w:marTop w:val="0"/>
      <w:marBottom w:val="0"/>
      <w:divBdr>
        <w:top w:val="none" w:sz="0" w:space="0" w:color="auto"/>
        <w:left w:val="none" w:sz="0" w:space="0" w:color="auto"/>
        <w:bottom w:val="none" w:sz="0" w:space="0" w:color="auto"/>
        <w:right w:val="none" w:sz="0" w:space="0" w:color="auto"/>
      </w:divBdr>
    </w:div>
    <w:div w:id="21169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Agrochemical"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en.wikipedia.org/wiki/Multinational_corporatio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mweltbundesamt.de/sites/default/files/medien/376/publikationen/environmental_protection_under_ttip_0.pdf" TargetMode="External"/><Relationship Id="rId13" Type="http://schemas.openxmlformats.org/officeDocument/2006/relationships/hyperlink" Target="http://www.who.int/ceh/publications/endocrine/en/" TargetMode="External"/><Relationship Id="rId18" Type="http://schemas.openxmlformats.org/officeDocument/2006/relationships/hyperlink" Target="file://fshq.ad.ohchr.org/redirected$/Chingsimon/My%20Documents/aaaTOXIC/Missions/Mission%20Germany/Report/dEdited%20Report/www.panna.org/pesticides-big-picture/pesticides-101" TargetMode="External"/><Relationship Id="rId3" Type="http://schemas.openxmlformats.org/officeDocument/2006/relationships/hyperlink" Target="http://eur-lex.europa.eu/legal-content/EN/TXT/?uri=CELEX:32012L0019" TargetMode="External"/><Relationship Id="rId7" Type="http://schemas.openxmlformats.org/officeDocument/2006/relationships/hyperlink" Target="http://www.umweltrat.de/SharedDocs/Downloads/EN/06_Background_Information/2016_2020/2016_07_KzU_17_TTIP_en.pdf?__blob=publicationFile" TargetMode="External"/><Relationship Id="rId12" Type="http://schemas.openxmlformats.org/officeDocument/2006/relationships/hyperlink" Target="http://www.reach-clp-helpdesk.de/de/Downloads/PAK-Covernote-100604?__blob=publicationFile" TargetMode="External"/><Relationship Id="rId17" Type="http://schemas.openxmlformats.org/officeDocument/2006/relationships/hyperlink" Target="http://www.ecchr.eu/en/our_work/business-and-human-rights/pesticides/q-a-pesticides-monitoring-report-to-fao.html" TargetMode="External"/><Relationship Id="rId2" Type="http://schemas.openxmlformats.org/officeDocument/2006/relationships/hyperlink" Target="https://www.umweltbundesamt.de/publikationen/reach-compliance-data-availability-of-reach" TargetMode="External"/><Relationship Id="rId16" Type="http://schemas.openxmlformats.org/officeDocument/2006/relationships/hyperlink" Target="https://chemicalwatch.com/46782/breakthrough-hailed-in-edcs-logjam?q=consensus+statement" TargetMode="External"/><Relationship Id="rId1" Type="http://schemas.openxmlformats.org/officeDocument/2006/relationships/hyperlink" Target="http://echa.europa.eu/addressing-chemicals-of-concern/substances-of-potential-concern/svhc-roadmap-to-2020-implementation" TargetMode="External"/><Relationship Id="rId6" Type="http://schemas.openxmlformats.org/officeDocument/2006/relationships/hyperlink" Target="http://www.umweltbundesamt.de/sites/default/files/medien/376/publikationen/environmental_protection_under_ttip_0.pdf" TargetMode="External"/><Relationship Id="rId11" Type="http://schemas.openxmlformats.org/officeDocument/2006/relationships/hyperlink" Target="https://spdb.ohchr.org/hrdb/32nd/public_-_OL_DEU_25.02.16_(1.2016).pdf" TargetMode="External"/><Relationship Id="rId5" Type="http://schemas.openxmlformats.org/officeDocument/2006/relationships/hyperlink" Target="http://www.ciel.org/Publications/Shipbreaking_22Apr11.pdf" TargetMode="External"/><Relationship Id="rId15" Type="http://schemas.openxmlformats.org/officeDocument/2006/relationships/hyperlink" Target="https://ourhealthandenvironment.wordpress.com/2012/02/29/a-major-step-forward/" TargetMode="External"/><Relationship Id="rId10" Type="http://schemas.openxmlformats.org/officeDocument/2006/relationships/hyperlink" Target="https://osha.europa.eu/en/tools-and-publications/publications/reports/TE3008390ENC_chemical_risks/view/" TargetMode="External"/><Relationship Id="rId19" Type="http://schemas.openxmlformats.org/officeDocument/2006/relationships/hyperlink" Target="http://www.hrw.org/report/2015" TargetMode="External"/><Relationship Id="rId4" Type="http://schemas.openxmlformats.org/officeDocument/2006/relationships/hyperlink" Target="http://www.umweltbundesamt.de/publikationen/transboundary-shipment-of-waste-electrical" TargetMode="External"/><Relationship Id="rId9" Type="http://schemas.openxmlformats.org/officeDocument/2006/relationships/hyperlink" Target="https://osha.europa.eu/en/legislation/directives/directive-2004-37-ec-carcinogens-or-mutagens-at-work" TargetMode="External"/><Relationship Id="rId14" Type="http://schemas.openxmlformats.org/officeDocument/2006/relationships/hyperlink" Target="http://ec.europa.eu/environment/chemicals/endocrine/pdf/sota_edc_final_report.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84821-C804-48FF-A3CC-41AA3411F4B5}"/>
</file>

<file path=customXml/itemProps2.xml><?xml version="1.0" encoding="utf-8"?>
<ds:datastoreItem xmlns:ds="http://schemas.openxmlformats.org/officeDocument/2006/customXml" ds:itemID="{030EE5D5-B4E1-4A44-A6FB-AF89A8AC74B0}"/>
</file>

<file path=customXml/itemProps3.xml><?xml version="1.0" encoding="utf-8"?>
<ds:datastoreItem xmlns:ds="http://schemas.openxmlformats.org/officeDocument/2006/customXml" ds:itemID="{99CCA547-EAAF-4B6A-9C76-AACBD3089CE4}"/>
</file>

<file path=customXml/itemProps4.xml><?xml version="1.0" encoding="utf-8"?>
<ds:datastoreItem xmlns:ds="http://schemas.openxmlformats.org/officeDocument/2006/customXml" ds:itemID="{25A2AEC9-C624-4A87-98A3-41A4C80D1397}"/>
</file>

<file path=docProps/app.xml><?xml version="1.0" encoding="utf-8"?>
<Properties xmlns="http://schemas.openxmlformats.org/officeDocument/2006/extended-properties" xmlns:vt="http://schemas.openxmlformats.org/officeDocument/2006/docPropsVTypes">
  <Template>5BF99F01.dotm</Template>
  <TotalTime>0</TotalTime>
  <Pages>24</Pages>
  <Words>10677</Words>
  <Characters>60861</Characters>
  <Application>Microsoft Office Word</Application>
  <DocSecurity>0</DocSecurity>
  <Lines>507</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71396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 - Mission to Germany in English</dc:title>
  <dc:creator>Kirchner, Lara (AA privat)</dc:creator>
  <cp:lastModifiedBy>Iuliia Somova</cp:lastModifiedBy>
  <cp:revision>2</cp:revision>
  <cp:lastPrinted>2016-08-30T09:48:00Z</cp:lastPrinted>
  <dcterms:created xsi:type="dcterms:W3CDTF">2016-09-14T12:06:00Z</dcterms:created>
  <dcterms:modified xsi:type="dcterms:W3CDTF">2016-09-14T12:06:00Z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