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5B2DD7" w:rsidRPr="00027D4F">
        <w:trPr>
          <w:trHeight w:val="851"/>
        </w:trPr>
        <w:tc>
          <w:tcPr>
            <w:tcW w:w="1259" w:type="dxa"/>
            <w:tcBorders>
              <w:top w:val="nil"/>
              <w:left w:val="nil"/>
              <w:bottom w:val="single" w:sz="4" w:space="0" w:color="auto"/>
              <w:right w:val="nil"/>
            </w:tcBorders>
          </w:tcPr>
          <w:p w:rsidR="005B2DD7" w:rsidRPr="00027D4F" w:rsidRDefault="005B2DD7" w:rsidP="00757DB8">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rsidR="005B2DD7" w:rsidRPr="00027D4F" w:rsidRDefault="005B2DD7" w:rsidP="005B2DD7">
            <w:pPr>
              <w:spacing w:after="80" w:line="300" w:lineRule="exact"/>
              <w:rPr>
                <w:sz w:val="28"/>
                <w:szCs w:val="28"/>
              </w:rPr>
            </w:pPr>
            <w:r w:rsidRPr="00027D4F">
              <w:rPr>
                <w:sz w:val="28"/>
                <w:szCs w:val="28"/>
              </w:rPr>
              <w:t>United Nations</w:t>
            </w:r>
          </w:p>
        </w:tc>
        <w:tc>
          <w:tcPr>
            <w:tcW w:w="6144" w:type="dxa"/>
            <w:gridSpan w:val="2"/>
            <w:tcBorders>
              <w:top w:val="nil"/>
              <w:left w:val="nil"/>
              <w:bottom w:val="single" w:sz="4" w:space="0" w:color="auto"/>
              <w:right w:val="nil"/>
            </w:tcBorders>
            <w:vAlign w:val="bottom"/>
          </w:tcPr>
          <w:p w:rsidR="005B2DD7" w:rsidRPr="00027D4F" w:rsidRDefault="005B2DD7" w:rsidP="003666B4">
            <w:pPr>
              <w:jc w:val="right"/>
            </w:pPr>
            <w:r w:rsidRPr="00027D4F">
              <w:rPr>
                <w:sz w:val="40"/>
              </w:rPr>
              <w:t>A</w:t>
            </w:r>
            <w:r w:rsidRPr="00027D4F">
              <w:t>/HRC/</w:t>
            </w:r>
            <w:r w:rsidR="0062487C" w:rsidRPr="00027D4F">
              <w:t>3</w:t>
            </w:r>
            <w:r w:rsidR="0096598D">
              <w:t>3</w:t>
            </w:r>
            <w:r w:rsidR="0062487C" w:rsidRPr="00027D4F">
              <w:t>/</w:t>
            </w:r>
            <w:r w:rsidR="00FC43BF">
              <w:t>4</w:t>
            </w:r>
            <w:r w:rsidR="00FD1C89">
              <w:t>2</w:t>
            </w:r>
            <w:r w:rsidR="009C48B9">
              <w:t>/Add.5</w:t>
            </w:r>
            <w:r w:rsidRPr="00027D4F">
              <w:t xml:space="preserve"> </w:t>
            </w:r>
          </w:p>
        </w:tc>
      </w:tr>
      <w:tr w:rsidR="007346C3" w:rsidRPr="00027D4F">
        <w:trPr>
          <w:trHeight w:val="2835"/>
        </w:trPr>
        <w:tc>
          <w:tcPr>
            <w:tcW w:w="1259" w:type="dxa"/>
            <w:tcBorders>
              <w:top w:val="single" w:sz="4" w:space="0" w:color="auto"/>
              <w:left w:val="nil"/>
              <w:bottom w:val="single" w:sz="12" w:space="0" w:color="auto"/>
              <w:right w:val="nil"/>
            </w:tcBorders>
          </w:tcPr>
          <w:p w:rsidR="007346C3" w:rsidRDefault="00D6405C" w:rsidP="007346C3">
            <w:pPr>
              <w:spacing w:before="120"/>
              <w:jc w:val="center"/>
            </w:pPr>
            <w:r>
              <w:rPr>
                <w:noProof/>
                <w:lang w:eastAsia="en-GB"/>
              </w:rPr>
              <w:drawing>
                <wp:inline distT="0" distB="0" distL="0" distR="0" wp14:anchorId="0BF51C4F" wp14:editId="554BCA2E">
                  <wp:extent cx="714375" cy="590550"/>
                  <wp:effectExtent l="0" t="0" r="9525" b="0"/>
                  <wp:docPr id="1" name="Picture 5"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_un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rsidR="007346C3" w:rsidRPr="00B3317B" w:rsidRDefault="007346C3" w:rsidP="007346C3">
            <w:pPr>
              <w:spacing w:before="120" w:line="420" w:lineRule="exact"/>
              <w:rPr>
                <w:b/>
                <w:sz w:val="40"/>
                <w:szCs w:val="40"/>
              </w:rPr>
            </w:pPr>
            <w:r>
              <w:rPr>
                <w:b/>
                <w:sz w:val="40"/>
                <w:szCs w:val="40"/>
              </w:rPr>
              <w:t>General Assembly</w:t>
            </w:r>
          </w:p>
        </w:tc>
        <w:tc>
          <w:tcPr>
            <w:tcW w:w="2930" w:type="dxa"/>
            <w:tcBorders>
              <w:top w:val="single" w:sz="4" w:space="0" w:color="auto"/>
              <w:left w:val="nil"/>
              <w:bottom w:val="single" w:sz="12" w:space="0" w:color="auto"/>
              <w:right w:val="nil"/>
            </w:tcBorders>
          </w:tcPr>
          <w:p w:rsidR="007346C3" w:rsidRDefault="007346C3" w:rsidP="007346C3">
            <w:pPr>
              <w:spacing w:before="240" w:line="240" w:lineRule="exact"/>
            </w:pPr>
            <w:r>
              <w:t>Distr.: General</w:t>
            </w:r>
          </w:p>
          <w:p w:rsidR="007346C3" w:rsidRDefault="009C48B9" w:rsidP="007346C3">
            <w:pPr>
              <w:spacing w:line="240" w:lineRule="exact"/>
            </w:pPr>
            <w:r>
              <w:t>19</w:t>
            </w:r>
            <w:r w:rsidR="00142B0F">
              <w:t xml:space="preserve"> September</w:t>
            </w:r>
            <w:r w:rsidR="00011DFF">
              <w:t xml:space="preserve"> </w:t>
            </w:r>
            <w:r w:rsidR="007346C3">
              <w:t>201</w:t>
            </w:r>
            <w:r w:rsidR="0096598D">
              <w:t>6</w:t>
            </w:r>
          </w:p>
          <w:p w:rsidR="007346C3" w:rsidRDefault="007346C3" w:rsidP="007346C3">
            <w:pPr>
              <w:spacing w:line="240" w:lineRule="exact"/>
            </w:pPr>
          </w:p>
          <w:p w:rsidR="007346C3" w:rsidRDefault="007346C3" w:rsidP="007346C3">
            <w:pPr>
              <w:spacing w:line="240" w:lineRule="exact"/>
            </w:pPr>
            <w:r>
              <w:t>English</w:t>
            </w:r>
            <w:r w:rsidR="009C48B9">
              <w:t xml:space="preserve"> only</w:t>
            </w:r>
          </w:p>
        </w:tc>
      </w:tr>
    </w:tbl>
    <w:p w:rsidR="00544D29" w:rsidRPr="000B3768" w:rsidRDefault="00544D29" w:rsidP="000B3768">
      <w:pPr>
        <w:suppressAutoHyphens/>
        <w:spacing w:before="120"/>
        <w:rPr>
          <w:rFonts w:eastAsia="Calibri"/>
          <w:b/>
          <w:bCs/>
          <w:sz w:val="24"/>
          <w:szCs w:val="24"/>
          <w:lang w:eastAsia="en-US"/>
        </w:rPr>
      </w:pPr>
      <w:r w:rsidRPr="000B3768">
        <w:rPr>
          <w:rFonts w:eastAsia="Calibri"/>
          <w:b/>
          <w:bCs/>
          <w:sz w:val="24"/>
          <w:szCs w:val="24"/>
          <w:lang w:eastAsia="en-US"/>
        </w:rPr>
        <w:t>Human Rights Council</w:t>
      </w:r>
    </w:p>
    <w:p w:rsidR="00544D29" w:rsidRPr="000B3768" w:rsidRDefault="0062487C" w:rsidP="000B3768">
      <w:pPr>
        <w:suppressAutoHyphens/>
        <w:rPr>
          <w:rFonts w:eastAsia="Calibri"/>
          <w:b/>
          <w:bCs/>
          <w:lang w:eastAsia="en-US"/>
        </w:rPr>
      </w:pPr>
      <w:r w:rsidRPr="000B3768">
        <w:rPr>
          <w:rFonts w:eastAsia="Calibri"/>
          <w:b/>
          <w:bCs/>
          <w:lang w:eastAsia="en-US"/>
        </w:rPr>
        <w:t>Thirty-</w:t>
      </w:r>
      <w:r w:rsidR="0096598D">
        <w:rPr>
          <w:rFonts w:eastAsia="Calibri"/>
          <w:b/>
          <w:bCs/>
          <w:lang w:eastAsia="en-US"/>
        </w:rPr>
        <w:t xml:space="preserve">third </w:t>
      </w:r>
      <w:proofErr w:type="gramStart"/>
      <w:r w:rsidR="00544D29" w:rsidRPr="000B3768">
        <w:rPr>
          <w:rFonts w:eastAsia="Calibri"/>
          <w:b/>
          <w:bCs/>
          <w:lang w:eastAsia="en-US"/>
        </w:rPr>
        <w:t>session</w:t>
      </w:r>
      <w:proofErr w:type="gramEnd"/>
    </w:p>
    <w:p w:rsidR="00544D29" w:rsidRPr="00027D4F" w:rsidRDefault="00544D29" w:rsidP="000B3768">
      <w:pPr>
        <w:suppressAutoHyphens/>
        <w:rPr>
          <w:lang w:eastAsia="en-US"/>
        </w:rPr>
      </w:pPr>
      <w:r w:rsidRPr="00027D4F">
        <w:rPr>
          <w:lang w:eastAsia="en-US"/>
        </w:rPr>
        <w:t>Agenda item 3</w:t>
      </w:r>
    </w:p>
    <w:p w:rsidR="00142B0F" w:rsidRPr="009C48B9" w:rsidRDefault="00544D29" w:rsidP="009C48B9">
      <w:pPr>
        <w:pStyle w:val="Default"/>
        <w:rPr>
          <w:rFonts w:eastAsia="Calibri"/>
          <w:b/>
          <w:bCs/>
          <w:sz w:val="20"/>
          <w:szCs w:val="20"/>
        </w:rPr>
      </w:pPr>
      <w:r w:rsidRPr="000B3768">
        <w:rPr>
          <w:rFonts w:eastAsia="Calibri"/>
          <w:b/>
          <w:bCs/>
          <w:sz w:val="20"/>
          <w:szCs w:val="20"/>
        </w:rPr>
        <w:t>Promotion and protection of all human rights, civil,</w:t>
      </w:r>
      <w:r w:rsidR="00F41E02" w:rsidRPr="000B3768">
        <w:rPr>
          <w:rFonts w:eastAsia="Calibri"/>
          <w:b/>
          <w:bCs/>
          <w:sz w:val="20"/>
          <w:szCs w:val="20"/>
        </w:rPr>
        <w:br/>
      </w:r>
      <w:r w:rsidRPr="000B3768">
        <w:rPr>
          <w:rFonts w:eastAsia="Calibri"/>
          <w:b/>
          <w:bCs/>
          <w:sz w:val="20"/>
          <w:szCs w:val="20"/>
        </w:rPr>
        <w:t>political, economic, social and cultural rights,</w:t>
      </w:r>
      <w:r w:rsidR="00F41E02" w:rsidRPr="000B3768">
        <w:rPr>
          <w:rFonts w:eastAsia="Calibri"/>
          <w:b/>
          <w:bCs/>
          <w:sz w:val="20"/>
          <w:szCs w:val="20"/>
        </w:rPr>
        <w:br/>
      </w:r>
      <w:r w:rsidRPr="000B3768">
        <w:rPr>
          <w:rFonts w:eastAsia="Calibri"/>
          <w:b/>
          <w:bCs/>
          <w:sz w:val="20"/>
          <w:szCs w:val="20"/>
        </w:rPr>
        <w:t>including the right to development</w:t>
      </w:r>
    </w:p>
    <w:p w:rsidR="003666B4" w:rsidRPr="009C48B9" w:rsidRDefault="00142B0F" w:rsidP="009C48B9">
      <w:pPr>
        <w:pStyle w:val="HChG"/>
      </w:pPr>
      <w:r w:rsidRPr="009C48B9">
        <w:tab/>
      </w:r>
      <w:r w:rsidRPr="009C48B9">
        <w:tab/>
      </w:r>
      <w:r w:rsidR="00E6706A" w:rsidRPr="009C48B9">
        <w:t xml:space="preserve">Report of the Special Rapporteur on the Rights of Indigenous Peoples on </w:t>
      </w:r>
      <w:r w:rsidR="003666B4" w:rsidRPr="009C48B9">
        <w:t>her mission to Brazil</w:t>
      </w:r>
    </w:p>
    <w:p w:rsidR="00142B0F" w:rsidRDefault="003666B4" w:rsidP="009C48B9">
      <w:pPr>
        <w:pStyle w:val="H23G"/>
      </w:pPr>
      <w:r>
        <w:rPr>
          <w:lang w:val="en-US"/>
        </w:rPr>
        <w:tab/>
      </w:r>
      <w:r>
        <w:rPr>
          <w:lang w:val="en-US"/>
        </w:rPr>
        <w:tab/>
      </w:r>
      <w:r w:rsidR="00142B0F">
        <w:rPr>
          <w:lang w:val="en-US"/>
        </w:rPr>
        <w:t>Addendum</w:t>
      </w:r>
    </w:p>
    <w:p w:rsidR="00142B0F" w:rsidRPr="009C48B9" w:rsidRDefault="00142B0F" w:rsidP="009C48B9">
      <w:pPr>
        <w:pStyle w:val="H1G"/>
      </w:pPr>
      <w:r w:rsidRPr="009C48B9">
        <w:tab/>
      </w:r>
      <w:r w:rsidRPr="009C48B9">
        <w:tab/>
        <w:t xml:space="preserve">Comments of the Government of </w:t>
      </w:r>
      <w:r w:rsidR="003666B4" w:rsidRPr="009C48B9">
        <w:t>Brazil</w:t>
      </w:r>
      <w:r w:rsidRPr="009C48B9">
        <w:t xml:space="preserve"> t</w:t>
      </w:r>
      <w:bookmarkStart w:id="0" w:name="_GoBack"/>
      <w:bookmarkEnd w:id="0"/>
      <w:r w:rsidRPr="009C48B9">
        <w:t>o the report of the Special Rapporteur</w:t>
      </w:r>
      <w:r w:rsidRPr="009C48B9">
        <w:footnoteReference w:customMarkFollows="1" w:id="2"/>
        <w:t>*</w:t>
      </w:r>
    </w:p>
    <w:p w:rsidR="00E6706A" w:rsidRDefault="00E6706A" w:rsidP="00142B0F">
      <w:pPr>
        <w:pStyle w:val="H1G"/>
      </w:pPr>
      <w:r>
        <w:br w:type="page"/>
      </w:r>
    </w:p>
    <w:p w:rsidR="00027C2F" w:rsidRPr="009C48B9" w:rsidRDefault="00EB311D" w:rsidP="00027C2F">
      <w:pPr>
        <w:pStyle w:val="SingleTxtG"/>
        <w:rPr>
          <w:lang w:val="en-GB"/>
        </w:rPr>
      </w:pPr>
      <w:r w:rsidRPr="00EB311D">
        <w:rPr>
          <w:lang w:val="en-GB"/>
        </w:rPr>
        <w:lastRenderedPageBreak/>
        <w:t>1.</w:t>
      </w:r>
      <w:r w:rsidRPr="00EB311D">
        <w:rPr>
          <w:lang w:val="en-GB"/>
        </w:rPr>
        <w:tab/>
      </w:r>
      <w:r w:rsidR="00027C2F" w:rsidRPr="009C48B9">
        <w:rPr>
          <w:lang w:val="en-GB"/>
        </w:rPr>
        <w:t xml:space="preserve">The Brazilian government welcomes the report of the Special Rapporteur on the Rights of Indigenous Peoples, Victoria </w:t>
      </w:r>
      <w:proofErr w:type="spellStart"/>
      <w:r w:rsidR="00027C2F" w:rsidRPr="009C48B9">
        <w:rPr>
          <w:lang w:val="en-GB"/>
        </w:rPr>
        <w:t>Tauli-Corpuz</w:t>
      </w:r>
      <w:proofErr w:type="spellEnd"/>
      <w:r w:rsidR="00027C2F" w:rsidRPr="009C48B9">
        <w:rPr>
          <w:lang w:val="en-GB"/>
        </w:rPr>
        <w:t xml:space="preserve">, about her visit to </w:t>
      </w:r>
      <w:proofErr w:type="spellStart"/>
      <w:r w:rsidR="00027C2F" w:rsidRPr="009C48B9">
        <w:rPr>
          <w:lang w:val="en-GB"/>
        </w:rPr>
        <w:t>Brasil</w:t>
      </w:r>
      <w:proofErr w:type="spellEnd"/>
      <w:r w:rsidR="00027C2F" w:rsidRPr="009C48B9">
        <w:rPr>
          <w:lang w:val="en-GB"/>
        </w:rPr>
        <w:t xml:space="preserve"> from 7 to 17 March 2016. We are studying carefully her remarks.</w:t>
      </w:r>
    </w:p>
    <w:p w:rsidR="00027C2F" w:rsidRPr="009C48B9" w:rsidRDefault="00027C2F" w:rsidP="00027C2F">
      <w:pPr>
        <w:pStyle w:val="SingleTxtG"/>
        <w:rPr>
          <w:lang w:val="en-GB"/>
        </w:rPr>
      </w:pPr>
      <w:r w:rsidRPr="00027C2F">
        <w:rPr>
          <w:lang w:val="en-GB"/>
        </w:rPr>
        <w:t>2.</w:t>
      </w:r>
      <w:r w:rsidRPr="00027C2F">
        <w:rPr>
          <w:lang w:val="en-GB"/>
        </w:rPr>
        <w:tab/>
        <w:t xml:space="preserve">Nevertheless, we cannot agree with the Rapporteur's statement in the introductory paragraph of the report according to which, between the visit of former Special Rapporteur James Anaya in 2008 and her own visit, there was "a disturbing absence of progress in the implementation of his recommendations and the resolution of long-standing issues of key concern to indigenous peoples", as well as "a worrying regression in the protection of indigenous peoples` rights". </w:t>
      </w:r>
      <w:r w:rsidRPr="009C48B9">
        <w:rPr>
          <w:lang w:val="en-GB"/>
        </w:rPr>
        <w:t>The Brazilian government doesn't underestimate the challenges faced in the promotion and protection of the rights of indigenous peoples. Nonetheless, as shown in the comments below, significant positive developments have taken place.</w:t>
      </w:r>
    </w:p>
    <w:p w:rsidR="00027C2F" w:rsidRPr="00027C2F" w:rsidRDefault="00027C2F" w:rsidP="00027C2F">
      <w:pPr>
        <w:pStyle w:val="H1G"/>
      </w:pPr>
      <w:r>
        <w:tab/>
        <w:t>1.</w:t>
      </w:r>
      <w:r>
        <w:tab/>
      </w:r>
      <w:r w:rsidRPr="00027C2F">
        <w:t>Overall National Institutional Framework</w:t>
      </w:r>
    </w:p>
    <w:p w:rsidR="00027C2F" w:rsidRPr="009C48B9" w:rsidRDefault="00027C2F" w:rsidP="00027C2F">
      <w:pPr>
        <w:pStyle w:val="SingleTxtG"/>
        <w:rPr>
          <w:lang w:val="en-GB"/>
        </w:rPr>
      </w:pPr>
      <w:r w:rsidRPr="00027C2F">
        <w:rPr>
          <w:lang w:val="en-GB"/>
        </w:rPr>
        <w:t>3.</w:t>
      </w:r>
      <w:r w:rsidRPr="00027C2F">
        <w:rPr>
          <w:lang w:val="en-GB"/>
        </w:rPr>
        <w:tab/>
        <w:t xml:space="preserve">Brazil has a multi-level institutional framework for the promotion and protection of the rights of indigenous peoples and individuals, consistent with the multifaceted nature of the issues at hand. The mainstay of this framework is the Federal Constitution of 1988, which guarantees to indigenous peoples collective rights </w:t>
      </w:r>
      <w:r w:rsidRPr="009C48B9">
        <w:rPr>
          <w:lang w:val="en-GB"/>
        </w:rPr>
        <w:t>to "their social organization, customs, languages, creeds and traditions", as well as to "the lands they traditionally occupy". Naturally, indigenous individuals also enjoy the same rights as all Brazilian citizens, including the rights to health and education.</w:t>
      </w:r>
    </w:p>
    <w:p w:rsidR="00027C2F" w:rsidRPr="009C48B9" w:rsidRDefault="00027C2F" w:rsidP="00027C2F">
      <w:pPr>
        <w:pStyle w:val="SingleTxtG"/>
        <w:rPr>
          <w:lang w:val="en-GB"/>
        </w:rPr>
      </w:pPr>
      <w:r w:rsidRPr="00027C2F">
        <w:rPr>
          <w:lang w:val="en-GB"/>
        </w:rPr>
        <w:t>4.</w:t>
      </w:r>
      <w:r w:rsidRPr="00027C2F">
        <w:rPr>
          <w:lang w:val="en-GB"/>
        </w:rPr>
        <w:tab/>
        <w:t xml:space="preserve">The leading government institution responsible for the promotion and protection of the rights of indigenous peoples is the Ministry of Justice and Citizenship (MJC) and the National Foundation for Indigenous Peoples (FUNAI). </w:t>
      </w:r>
      <w:r w:rsidRPr="009C48B9">
        <w:rPr>
          <w:lang w:val="en-GB"/>
        </w:rPr>
        <w:t>FUNAI works under the Ministry of Justice and Citizenship, according to Law 5,371/1967 and Decree 7,778/2012.</w:t>
      </w:r>
    </w:p>
    <w:p w:rsidR="00027C2F" w:rsidRPr="009C48B9" w:rsidRDefault="00027C2F" w:rsidP="00027C2F">
      <w:pPr>
        <w:pStyle w:val="SingleTxtG"/>
        <w:rPr>
          <w:lang w:val="en-GB"/>
        </w:rPr>
      </w:pPr>
      <w:r w:rsidRPr="00027C2F">
        <w:rPr>
          <w:lang w:val="en-GB"/>
        </w:rPr>
        <w:t>5.</w:t>
      </w:r>
      <w:r w:rsidRPr="00027C2F">
        <w:rPr>
          <w:lang w:val="en-GB"/>
        </w:rPr>
        <w:tab/>
        <w:t xml:space="preserve">Since the visit of Special Rapporteur Victoria </w:t>
      </w:r>
      <w:proofErr w:type="spellStart"/>
      <w:r w:rsidRPr="00027C2F">
        <w:rPr>
          <w:lang w:val="en-GB"/>
        </w:rPr>
        <w:t>Tauli-Corpuz</w:t>
      </w:r>
      <w:proofErr w:type="spellEnd"/>
      <w:r w:rsidRPr="00027C2F">
        <w:rPr>
          <w:lang w:val="en-GB"/>
        </w:rPr>
        <w:t xml:space="preserve"> last March, a noteworthy reform in the government is the incorporation by MJC of the former Ministry for Women, Youth, Racial Equality and Human Rights (MMJIRDH). </w:t>
      </w:r>
      <w:r w:rsidRPr="009C48B9">
        <w:rPr>
          <w:lang w:val="en-GB"/>
        </w:rPr>
        <w:t>This merger is a positive development for indigenous peoples since it congregates under a single institution several key government functions. Important policies and programs previously managed by MMJIRDH in areas such as gender equality, protection of human rights defenders and the fight against racial discrimination are now under the single responsibility of the Ministry of Justice and Citizenship.</w:t>
      </w:r>
    </w:p>
    <w:p w:rsidR="00027C2F" w:rsidRPr="009C48B9" w:rsidRDefault="00027C2F" w:rsidP="00027C2F">
      <w:pPr>
        <w:pStyle w:val="SingleTxtG"/>
        <w:rPr>
          <w:lang w:val="en-GB"/>
        </w:rPr>
      </w:pPr>
      <w:r w:rsidRPr="00027C2F">
        <w:rPr>
          <w:lang w:val="en-GB"/>
        </w:rPr>
        <w:t>6.</w:t>
      </w:r>
      <w:r w:rsidRPr="00027C2F">
        <w:rPr>
          <w:lang w:val="en-GB"/>
        </w:rPr>
        <w:tab/>
        <w:t xml:space="preserve">In a recent official statement (at the National Council for Indigenous Policy - see below), the Minister of Justice and Citizenship, </w:t>
      </w:r>
      <w:proofErr w:type="spellStart"/>
      <w:r w:rsidRPr="00027C2F">
        <w:rPr>
          <w:lang w:val="en-GB"/>
        </w:rPr>
        <w:t>Alexandre</w:t>
      </w:r>
      <w:proofErr w:type="spellEnd"/>
      <w:r w:rsidRPr="00027C2F">
        <w:rPr>
          <w:lang w:val="en-GB"/>
        </w:rPr>
        <w:t xml:space="preserve"> de </w:t>
      </w:r>
      <w:proofErr w:type="spellStart"/>
      <w:r w:rsidRPr="00027C2F">
        <w:rPr>
          <w:lang w:val="en-GB"/>
        </w:rPr>
        <w:t>Moraes</w:t>
      </w:r>
      <w:proofErr w:type="spellEnd"/>
      <w:r w:rsidRPr="00027C2F">
        <w:rPr>
          <w:lang w:val="en-GB"/>
        </w:rPr>
        <w:t xml:space="preserve">, reaffirmed the commitment of the government to the promotion and protection of the rights of indigenous peoples. </w:t>
      </w:r>
      <w:r w:rsidRPr="009C48B9">
        <w:rPr>
          <w:lang w:val="en-GB"/>
        </w:rPr>
        <w:t xml:space="preserve">He manifested the administration's intention to build a new relationship with the indigenous peoples guided by respect and recognition of their rights. He stated that none of the land demarcation measures taken by the previous administration was or will be revoked. According to him, the overriding priority of the current administration is to guarantee the security of indigenous communities, as illustrated by his decision, together with the Governor of </w:t>
      </w:r>
      <w:proofErr w:type="spellStart"/>
      <w:r w:rsidRPr="009C48B9">
        <w:rPr>
          <w:lang w:val="en-GB"/>
        </w:rPr>
        <w:t>Mato</w:t>
      </w:r>
      <w:proofErr w:type="spellEnd"/>
      <w:r w:rsidRPr="009C48B9">
        <w:rPr>
          <w:lang w:val="en-GB"/>
        </w:rPr>
        <w:t xml:space="preserve"> </w:t>
      </w:r>
      <w:proofErr w:type="spellStart"/>
      <w:r w:rsidRPr="009C48B9">
        <w:rPr>
          <w:lang w:val="en-GB"/>
        </w:rPr>
        <w:t>Grosso</w:t>
      </w:r>
      <w:proofErr w:type="spellEnd"/>
      <w:r w:rsidRPr="009C48B9">
        <w:rPr>
          <w:lang w:val="en-GB"/>
        </w:rPr>
        <w:t xml:space="preserve"> do </w:t>
      </w:r>
      <w:proofErr w:type="spellStart"/>
      <w:r w:rsidRPr="009C48B9">
        <w:rPr>
          <w:lang w:val="en-GB"/>
        </w:rPr>
        <w:t>Sul</w:t>
      </w:r>
      <w:proofErr w:type="spellEnd"/>
      <w:r w:rsidRPr="009C48B9">
        <w:rPr>
          <w:lang w:val="en-GB"/>
        </w:rPr>
        <w:t>, to send federal troops to that State immediately after a conflict broke out between local farmers and indigenous peoples last June. The other key priority of the government is to find long-term solutions for land disputes involving indigenous peoples. To that end, the Minister is holding discussions with the Supreme Court in order to address the key legal issues and make sure that the next administrative measures to demarcate indigenous lands will be in accordance with the Supreme Court's jurisprudence.</w:t>
      </w:r>
    </w:p>
    <w:p w:rsidR="00027C2F" w:rsidRPr="009C48B9" w:rsidRDefault="00027C2F" w:rsidP="00027C2F">
      <w:pPr>
        <w:pStyle w:val="SingleTxtG"/>
        <w:rPr>
          <w:lang w:val="en-GB"/>
        </w:rPr>
      </w:pPr>
      <w:r w:rsidRPr="00027C2F">
        <w:rPr>
          <w:lang w:val="en-GB"/>
        </w:rPr>
        <w:t>7.</w:t>
      </w:r>
      <w:r w:rsidRPr="00027C2F">
        <w:rPr>
          <w:lang w:val="en-GB"/>
        </w:rPr>
        <w:tab/>
        <w:t xml:space="preserve">The Minister also stated his commitment to strengthening the National Foundation for Indigenous Peoples. </w:t>
      </w:r>
      <w:r w:rsidRPr="009C48B9">
        <w:rPr>
          <w:lang w:val="en-GB"/>
        </w:rPr>
        <w:t xml:space="preserve">He noted that current resource constraints faced by FUNAI have to </w:t>
      </w:r>
      <w:r w:rsidRPr="009C48B9">
        <w:rPr>
          <w:lang w:val="en-GB"/>
        </w:rPr>
        <w:lastRenderedPageBreak/>
        <w:t xml:space="preserve">do with budget reductions approved last year, and said he will work to improve the funding of FUNAI for 2017. The Minister also noted that a new selection process has taken place recently to hire an additional two hundred permanent staff for the Foundation, and that reductions in discretionary-contract staff ("cargos de </w:t>
      </w:r>
      <w:proofErr w:type="spellStart"/>
      <w:r w:rsidRPr="009C48B9">
        <w:rPr>
          <w:lang w:val="en-GB"/>
        </w:rPr>
        <w:t>confiança</w:t>
      </w:r>
      <w:proofErr w:type="spellEnd"/>
      <w:r w:rsidRPr="009C48B9">
        <w:rPr>
          <w:lang w:val="en-GB"/>
        </w:rPr>
        <w:t>"), ordered throughout the government, will only be implemented in FUNAI when the newly-hired servants will be available to fill the same positions.</w:t>
      </w:r>
    </w:p>
    <w:p w:rsidR="00027C2F" w:rsidRPr="009C48B9" w:rsidRDefault="00027C2F" w:rsidP="00027C2F">
      <w:pPr>
        <w:pStyle w:val="SingleTxtG"/>
        <w:rPr>
          <w:lang w:val="en-GB"/>
        </w:rPr>
      </w:pPr>
      <w:r w:rsidRPr="00027C2F">
        <w:rPr>
          <w:lang w:val="en-GB"/>
        </w:rPr>
        <w:t>8.</w:t>
      </w:r>
      <w:r w:rsidRPr="00027C2F">
        <w:rPr>
          <w:lang w:val="en-GB"/>
        </w:rPr>
        <w:tab/>
        <w:t xml:space="preserve">In order to discuss the overall relationship between the State and indigenous peoples, the National Conference for Indigenous Policy was held in 2015 in Brazil. </w:t>
      </w:r>
      <w:r w:rsidRPr="009C48B9">
        <w:rPr>
          <w:lang w:val="en-GB"/>
        </w:rPr>
        <w:t>The conference mobilized several thousand indigenous representatives in over one hundred local and regional meetings held throughout the country and concluded with a final Plenary in Brasília in December, with the presence of over 1,500 indigenous peoples' delegates, in addition to civil society and government representatives. The Conference adopted an extensive report with recommendations, including for the creation of the National Council for Indigenous Policy (CNPI), intended as the main forum for discussing and defining policies for indigenous peoples in Brazil.</w:t>
      </w:r>
    </w:p>
    <w:p w:rsidR="00027C2F" w:rsidRPr="009C48B9" w:rsidRDefault="00027C2F" w:rsidP="00027C2F">
      <w:pPr>
        <w:pStyle w:val="SingleTxtG"/>
        <w:rPr>
          <w:lang w:val="en-GB"/>
        </w:rPr>
      </w:pPr>
      <w:r w:rsidRPr="00027C2F">
        <w:rPr>
          <w:lang w:val="en-GB"/>
        </w:rPr>
        <w:t>9.</w:t>
      </w:r>
      <w:r w:rsidRPr="00027C2F">
        <w:rPr>
          <w:lang w:val="en-GB"/>
        </w:rPr>
        <w:tab/>
        <w:t xml:space="preserve">The creation of the Nacional Council for Indigenous Policy was announced by the President of the Republic in the closing Plenary of the 2015 National Conference (Decree 8,593/2015). </w:t>
      </w:r>
      <w:r w:rsidRPr="009C48B9">
        <w:rPr>
          <w:lang w:val="en-GB"/>
        </w:rPr>
        <w:t>CNPI congregates representatives of indigenous peoples from all regions of the country, two representatives of human rights NGOs working with indigenous issues, and officials from relevant federal agencies. The Presidency of CNPI rotates between the government and indigenous peoples and Resolutions are adopted either by consensus or by vote. In the latter case, indigenous peoples' representatives and government officials have equal voting rights. CNPI already held two ordinary sessions, in April and August 2016. In both meetings, the Council adopted advisory Resolutions about land demarcation and other rights of indigenous peoples.</w:t>
      </w:r>
    </w:p>
    <w:p w:rsidR="00027C2F" w:rsidRPr="009C48B9" w:rsidRDefault="00027C2F" w:rsidP="00027C2F">
      <w:pPr>
        <w:pStyle w:val="SingleTxtG"/>
        <w:rPr>
          <w:lang w:val="en-GB"/>
        </w:rPr>
      </w:pPr>
      <w:r w:rsidRPr="00027C2F">
        <w:rPr>
          <w:lang w:val="en-GB"/>
        </w:rPr>
        <w:t>10.</w:t>
      </w:r>
      <w:r w:rsidRPr="00027C2F">
        <w:rPr>
          <w:lang w:val="en-GB"/>
        </w:rPr>
        <w:tab/>
        <w:t xml:space="preserve">Another key institution in this domain is the National Council for Human Rights (CNDH), established by Law 12,986/2014 as a successor to the Council for the </w:t>
      </w:r>
      <w:proofErr w:type="spellStart"/>
      <w:r w:rsidRPr="00027C2F">
        <w:rPr>
          <w:lang w:val="en-GB"/>
        </w:rPr>
        <w:t>Defense</w:t>
      </w:r>
      <w:proofErr w:type="spellEnd"/>
      <w:r w:rsidRPr="00027C2F">
        <w:rPr>
          <w:lang w:val="en-GB"/>
        </w:rPr>
        <w:t xml:space="preserve"> of the Rights of the Human Person (CDDPH, Law 4,319/1964). </w:t>
      </w:r>
      <w:r w:rsidRPr="009C48B9">
        <w:rPr>
          <w:lang w:val="en-GB"/>
        </w:rPr>
        <w:t xml:space="preserve">CNDH is comprised of twenty-two members including government officials, parliamentarians, representatives of the Judiciary and the Federal Prosecution Service, and nine representatives of NGOs. CNDH has recently set up a Working Group on the Rights of Indigenous Peoples in the South of Brazil (States of Rio Grande do </w:t>
      </w:r>
      <w:proofErr w:type="spellStart"/>
      <w:r w:rsidRPr="009C48B9">
        <w:rPr>
          <w:lang w:val="en-GB"/>
        </w:rPr>
        <w:t>Sul</w:t>
      </w:r>
      <w:proofErr w:type="spellEnd"/>
      <w:r w:rsidRPr="009C48B9">
        <w:rPr>
          <w:lang w:val="en-GB"/>
        </w:rPr>
        <w:t xml:space="preserve">, Santa </w:t>
      </w:r>
      <w:proofErr w:type="spellStart"/>
      <w:r w:rsidRPr="009C48B9">
        <w:rPr>
          <w:lang w:val="en-GB"/>
        </w:rPr>
        <w:t>Catarina</w:t>
      </w:r>
      <w:proofErr w:type="spellEnd"/>
      <w:r w:rsidRPr="009C48B9">
        <w:rPr>
          <w:lang w:val="en-GB"/>
        </w:rPr>
        <w:t xml:space="preserve"> and Paraná). The Working Group presented its report last August 2016, indicating the problems identified and proposing corrective actions.</w:t>
      </w:r>
    </w:p>
    <w:p w:rsidR="00027C2F" w:rsidRPr="00027C2F" w:rsidRDefault="00027C2F" w:rsidP="00027C2F">
      <w:pPr>
        <w:pStyle w:val="SingleTxtG"/>
        <w:rPr>
          <w:lang w:val="en-GB"/>
        </w:rPr>
      </w:pPr>
      <w:r w:rsidRPr="00027C2F">
        <w:rPr>
          <w:lang w:val="en-GB"/>
        </w:rPr>
        <w:t>11.</w:t>
      </w:r>
      <w:r w:rsidRPr="00027C2F">
        <w:rPr>
          <w:lang w:val="en-GB"/>
        </w:rPr>
        <w:tab/>
        <w:t>As exposed below, in addition to this overall institutional framework, several other government agencies deal with specific sectorial issues, such as education, healthcare, sustainable development etc.</w:t>
      </w:r>
    </w:p>
    <w:p w:rsidR="00027C2F" w:rsidRPr="00027C2F" w:rsidRDefault="00027C2F" w:rsidP="00027C2F">
      <w:pPr>
        <w:pStyle w:val="H1G"/>
      </w:pPr>
      <w:r>
        <w:tab/>
        <w:t>2.</w:t>
      </w:r>
      <w:r>
        <w:tab/>
      </w:r>
      <w:r w:rsidRPr="00027C2F">
        <w:t>International Institutions for the Promotion and Protection of the Rights of Indigenous Peoples</w:t>
      </w:r>
    </w:p>
    <w:p w:rsidR="00027C2F" w:rsidRPr="009C48B9" w:rsidRDefault="00027C2F" w:rsidP="00027C2F">
      <w:pPr>
        <w:pStyle w:val="SingleTxtG"/>
        <w:rPr>
          <w:lang w:val="en-GB"/>
        </w:rPr>
      </w:pPr>
      <w:r w:rsidRPr="00027C2F">
        <w:rPr>
          <w:lang w:val="en-GB"/>
        </w:rPr>
        <w:t>12.</w:t>
      </w:r>
      <w:r w:rsidRPr="00027C2F">
        <w:rPr>
          <w:lang w:val="en-GB"/>
        </w:rPr>
        <w:tab/>
        <w:t xml:space="preserve">Brazil is an active participant in all key forums and institutions devoted to the promotion and the protection of the rights of indigenous peoples. </w:t>
      </w:r>
      <w:r w:rsidRPr="009C48B9">
        <w:rPr>
          <w:lang w:val="en-GB"/>
        </w:rPr>
        <w:t>It is one of the 22 countries that have ratified ILO Convention 169 and supported the adoption of the United Nations Declaration on the Rights of Indigenous Peoples (UNDRIP) and the American Declaration on the Rights of Indigenous Peoples (ADRIP). As a member of the Group of Friends of Indigenous Peoples, Brazil joined forces with other like-minded countries to ensure a balanced and ambitious outcome for the 2014 World Conference on Indigenous Peoples.</w:t>
      </w:r>
    </w:p>
    <w:p w:rsidR="00027C2F" w:rsidRPr="009C48B9" w:rsidRDefault="00027C2F" w:rsidP="00027C2F">
      <w:pPr>
        <w:pStyle w:val="SingleTxtG"/>
        <w:rPr>
          <w:lang w:val="en-GB"/>
        </w:rPr>
      </w:pPr>
      <w:r w:rsidRPr="00027C2F">
        <w:rPr>
          <w:lang w:val="en-GB"/>
        </w:rPr>
        <w:lastRenderedPageBreak/>
        <w:t>13.</w:t>
      </w:r>
      <w:r w:rsidRPr="00027C2F">
        <w:rPr>
          <w:lang w:val="en-GB"/>
        </w:rPr>
        <w:tab/>
        <w:t xml:space="preserve">Brazil believes that ADRIP, UNDRIP and ILO Convention 169 are progressive documents that strike a fair balance between the rights of indigenous peoples and those of the States in which they live. </w:t>
      </w:r>
      <w:proofErr w:type="gramStart"/>
      <w:r w:rsidRPr="009C48B9">
        <w:rPr>
          <w:lang w:val="en-GB"/>
        </w:rPr>
        <w:t>UNDRIP,</w:t>
      </w:r>
      <w:proofErr w:type="gramEnd"/>
      <w:r w:rsidRPr="009C48B9">
        <w:rPr>
          <w:lang w:val="en-GB"/>
        </w:rPr>
        <w:t xml:space="preserve"> for instance, provides that indigenous peoples have "the right to self-determination", to "autonomy or self-government in matters relating to their internal and local affairs". They are also entitled "to maintain and strengthen their distinct political, legal, economic, social and cultural institutions" (Arts. 3-5). At the same time, "every indigenous individual has the right to a nationality" and indigenous peoples "have the right to participate fully, if they so choose, in the political, economic, social and cultural life of the State" (Arts. 5-6). Consistent with the balance previously mentioned, these rights have to be taken together with the provisions of Article 46 of UNDRIP, which states that nothing in the Declaration may be "interpreted as implying for any State, people, group or person any right to engage in any activity or to perform any act contrary to the Charter of the United Nations or construed as authorizing or encouraging any action which would dismember or impair, totally or in part, the territorial integrity or political unity of sovereign and independent States". UNDRIP </w:t>
      </w:r>
      <w:proofErr w:type="spellStart"/>
      <w:r w:rsidRPr="009C48B9">
        <w:rPr>
          <w:lang w:val="en-GB"/>
        </w:rPr>
        <w:t>Preambular</w:t>
      </w:r>
      <w:proofErr w:type="spellEnd"/>
      <w:r w:rsidRPr="009C48B9">
        <w:rPr>
          <w:lang w:val="en-GB"/>
        </w:rPr>
        <w:t xml:space="preserve"> Paragraph 18 also notes that the rights and guarantees incorporated in the Declaration have been agreed upon on the understanding that "the recognition of the rights of indigenous peoples in this Declaration will enhance harmonious and cooperative relations between the State and indigenous peoples, based on principles of justice, democracy, </w:t>
      </w:r>
      <w:proofErr w:type="gramStart"/>
      <w:r w:rsidRPr="009C48B9">
        <w:rPr>
          <w:lang w:val="en-GB"/>
        </w:rPr>
        <w:t>respect</w:t>
      </w:r>
      <w:proofErr w:type="gramEnd"/>
      <w:r w:rsidRPr="009C48B9">
        <w:rPr>
          <w:lang w:val="en-GB"/>
        </w:rPr>
        <w:t xml:space="preserve"> for human rights, non-discrimination and good faith".</w:t>
      </w:r>
    </w:p>
    <w:p w:rsidR="00027C2F" w:rsidRPr="009C48B9" w:rsidRDefault="00027C2F" w:rsidP="00027C2F">
      <w:pPr>
        <w:pStyle w:val="SingleTxtG"/>
        <w:rPr>
          <w:lang w:val="en-GB"/>
        </w:rPr>
      </w:pPr>
      <w:r w:rsidRPr="00027C2F">
        <w:rPr>
          <w:lang w:val="en-GB"/>
        </w:rPr>
        <w:t>14.</w:t>
      </w:r>
      <w:r w:rsidRPr="00027C2F">
        <w:rPr>
          <w:lang w:val="en-GB"/>
        </w:rPr>
        <w:tab/>
        <w:t xml:space="preserve">Another noteworthy issue addressed in all three aforementioned documents concerns consultations to indigenous peoples referring to projects that may affect them. </w:t>
      </w:r>
      <w:r w:rsidRPr="009C48B9">
        <w:rPr>
          <w:lang w:val="en-GB"/>
        </w:rPr>
        <w:t>According to these documents, governments are required to carry out good-faith consultations with indigenous peoples` representatives "with the objective of" (ILO-169), or "in order to obtain" (UNDRIP) their free and informed consent, in order to be able to carry out said projects. In exceptional cases, such as the relocation of indigenous peoples, the disposal of hazardous materials in their lands, or the subtraction of cultural and religious objects from indigenous peoples, free prior and informed consent is an absolute condition. In other cases, the main commitment of States is, as mentioned earlier, to carry out good faith consultations and to seek to obtain indigenous peoples' consent.</w:t>
      </w:r>
    </w:p>
    <w:p w:rsidR="00027C2F" w:rsidRPr="00027C2F" w:rsidRDefault="00027C2F" w:rsidP="00027C2F">
      <w:pPr>
        <w:pStyle w:val="H1G"/>
      </w:pPr>
      <w:r>
        <w:tab/>
        <w:t>3.</w:t>
      </w:r>
      <w:r>
        <w:tab/>
      </w:r>
      <w:r w:rsidRPr="00027C2F">
        <w:t>Access to Justice by Indigenous Peoples and Individuals in Brazil</w:t>
      </w:r>
    </w:p>
    <w:p w:rsidR="00027C2F" w:rsidRPr="009C48B9" w:rsidRDefault="00027C2F" w:rsidP="00027C2F">
      <w:pPr>
        <w:pStyle w:val="SingleTxtG"/>
        <w:rPr>
          <w:lang w:val="en-GB"/>
        </w:rPr>
      </w:pPr>
      <w:r w:rsidRPr="00027C2F">
        <w:rPr>
          <w:lang w:val="en-GB"/>
        </w:rPr>
        <w:t>15.</w:t>
      </w:r>
      <w:r w:rsidRPr="00027C2F">
        <w:rPr>
          <w:lang w:val="en-GB"/>
        </w:rPr>
        <w:tab/>
        <w:t>As all other Brazilian citizens, indigenous individuals have the constitutional right to seek legal redress whenever they believe their rights have been violated. In addition, indigenous peoples and communities also have the collective right to act as plaintiffs in legal cases (Art. 232</w:t>
      </w:r>
      <w:r w:rsidRPr="009C48B9">
        <w:rPr>
          <w:lang w:val="en-GB"/>
        </w:rPr>
        <w:t xml:space="preserve">). In addition, the Federal Prosecution Service (MPF), which is an autonomous body distinct from the Executive and the Judiciary, is mandated by the Constitution (Art. 129-V) to "defend judicially the rights and interests" of indigenous peoples. In the exercise of this responsibility, the Federal Prosecution Service is particularly active on issues relating to land rights and to cases of violence against indigenous peoples, among others.  A recent example of the operation of the Federal Prosecution Service is the establishment earlier this year of the </w:t>
      </w:r>
      <w:proofErr w:type="spellStart"/>
      <w:r w:rsidRPr="009C48B9">
        <w:rPr>
          <w:lang w:val="en-GB"/>
        </w:rPr>
        <w:t>Avá</w:t>
      </w:r>
      <w:proofErr w:type="spellEnd"/>
      <w:r w:rsidRPr="009C48B9">
        <w:rPr>
          <w:lang w:val="en-GB"/>
        </w:rPr>
        <w:t xml:space="preserve"> Guarani Task Force, to investigate instances of violence against that indigenous people. As a result of this work, on 18 August the Federal Police arrested five individuals accused of participating in an attack against a Guarani-</w:t>
      </w:r>
      <w:proofErr w:type="spellStart"/>
      <w:r w:rsidRPr="009C48B9">
        <w:rPr>
          <w:lang w:val="en-GB"/>
        </w:rPr>
        <w:t>Kaiowá</w:t>
      </w:r>
      <w:proofErr w:type="spellEnd"/>
      <w:r w:rsidRPr="009C48B9">
        <w:rPr>
          <w:lang w:val="en-GB"/>
        </w:rPr>
        <w:t xml:space="preserve"> community in the Municipality of </w:t>
      </w:r>
      <w:proofErr w:type="spellStart"/>
      <w:r w:rsidRPr="009C48B9">
        <w:rPr>
          <w:lang w:val="en-GB"/>
        </w:rPr>
        <w:t>Caarapó</w:t>
      </w:r>
      <w:proofErr w:type="spellEnd"/>
      <w:r w:rsidRPr="009C48B9">
        <w:rPr>
          <w:lang w:val="en-GB"/>
        </w:rPr>
        <w:t xml:space="preserve"> (</w:t>
      </w:r>
      <w:proofErr w:type="spellStart"/>
      <w:r w:rsidRPr="009C48B9">
        <w:rPr>
          <w:lang w:val="en-GB"/>
        </w:rPr>
        <w:t>Mato</w:t>
      </w:r>
      <w:proofErr w:type="spellEnd"/>
      <w:r w:rsidRPr="009C48B9">
        <w:rPr>
          <w:lang w:val="en-GB"/>
        </w:rPr>
        <w:t xml:space="preserve"> </w:t>
      </w:r>
      <w:proofErr w:type="spellStart"/>
      <w:r w:rsidRPr="009C48B9">
        <w:rPr>
          <w:lang w:val="en-GB"/>
        </w:rPr>
        <w:t>Grosso</w:t>
      </w:r>
      <w:proofErr w:type="spellEnd"/>
      <w:r w:rsidRPr="009C48B9">
        <w:rPr>
          <w:lang w:val="en-GB"/>
        </w:rPr>
        <w:t xml:space="preserve"> do </w:t>
      </w:r>
      <w:proofErr w:type="spellStart"/>
      <w:r w:rsidRPr="009C48B9">
        <w:rPr>
          <w:lang w:val="en-GB"/>
        </w:rPr>
        <w:t>Sul</w:t>
      </w:r>
      <w:proofErr w:type="spellEnd"/>
      <w:r w:rsidRPr="009C48B9">
        <w:rPr>
          <w:lang w:val="en-GB"/>
        </w:rPr>
        <w:t xml:space="preserve"> State), following arrest warrants requested by MPF and granted by the Judiciary.</w:t>
      </w:r>
    </w:p>
    <w:p w:rsidR="00027C2F" w:rsidRPr="00027C2F" w:rsidRDefault="00027C2F" w:rsidP="00027C2F">
      <w:pPr>
        <w:pStyle w:val="H1G"/>
      </w:pPr>
      <w:r>
        <w:lastRenderedPageBreak/>
        <w:tab/>
        <w:t>4.</w:t>
      </w:r>
      <w:r>
        <w:tab/>
      </w:r>
      <w:r w:rsidRPr="00027C2F">
        <w:t>Demarcation of Indigenous Lands</w:t>
      </w:r>
    </w:p>
    <w:p w:rsidR="00027C2F" w:rsidRPr="009C48B9" w:rsidRDefault="00027C2F" w:rsidP="00027C2F">
      <w:pPr>
        <w:pStyle w:val="SingleTxtG"/>
        <w:rPr>
          <w:lang w:val="en-GB"/>
        </w:rPr>
      </w:pPr>
      <w:r w:rsidRPr="00027C2F">
        <w:rPr>
          <w:lang w:val="en-GB"/>
        </w:rPr>
        <w:t>16.</w:t>
      </w:r>
      <w:r w:rsidRPr="00027C2F">
        <w:rPr>
          <w:lang w:val="en-GB"/>
        </w:rPr>
        <w:tab/>
        <w:t xml:space="preserve">Consistent with the aforementioned constitutional provisions, the Brazilian government has already demarcated 462 indigenous lands, covering an area of 103.9 million hectares, corresponding to 12.2 % of the national territory. Between the visit of Special Rapporteur James Anaya in August 2008, and that of Victoria </w:t>
      </w:r>
      <w:proofErr w:type="spellStart"/>
      <w:r w:rsidRPr="00027C2F">
        <w:rPr>
          <w:lang w:val="en-GB"/>
        </w:rPr>
        <w:t>Tauli-Corpuz</w:t>
      </w:r>
      <w:proofErr w:type="spellEnd"/>
      <w:r w:rsidRPr="00027C2F">
        <w:rPr>
          <w:lang w:val="en-GB"/>
        </w:rPr>
        <w:t xml:space="preserve"> in March 2016, 35 new </w:t>
      </w:r>
      <w:r w:rsidRPr="009C48B9">
        <w:rPr>
          <w:lang w:val="en-GB"/>
        </w:rPr>
        <w:t xml:space="preserve">indigenous lands have been demarcated by Presidential Decree, covering an area of 9.1 million hectares, a combined surface roughly equivalent to that of Portugal. In the same period, Ministerial Ordinances (second before last stage of demarcation) have been issued for an additional 47 indigenous lands with a total area of 2.9 million hectares. Technical Studies (first stage of demarcation) have also been published for 62 additional indigenous lands </w:t>
      </w:r>
      <w:proofErr w:type="spellStart"/>
      <w:r w:rsidRPr="009C48B9">
        <w:rPr>
          <w:lang w:val="en-GB"/>
        </w:rPr>
        <w:t>totaling</w:t>
      </w:r>
      <w:proofErr w:type="spellEnd"/>
      <w:r w:rsidRPr="009C48B9">
        <w:rPr>
          <w:lang w:val="en-GB"/>
        </w:rPr>
        <w:t xml:space="preserve"> 7.4 million hectares.</w:t>
      </w:r>
    </w:p>
    <w:p w:rsidR="00027C2F" w:rsidRPr="00027C2F" w:rsidRDefault="00027C2F" w:rsidP="00027C2F">
      <w:pPr>
        <w:pStyle w:val="H1G"/>
      </w:pPr>
      <w:r>
        <w:tab/>
        <w:t>5.</w:t>
      </w:r>
      <w:r>
        <w:tab/>
      </w:r>
      <w:r w:rsidRPr="00027C2F">
        <w:t>Healthcare</w:t>
      </w:r>
    </w:p>
    <w:p w:rsidR="00027C2F" w:rsidRPr="009C48B9" w:rsidRDefault="00027C2F" w:rsidP="00027C2F">
      <w:pPr>
        <w:pStyle w:val="SingleTxtG"/>
        <w:rPr>
          <w:lang w:val="en-GB"/>
        </w:rPr>
      </w:pPr>
      <w:r w:rsidRPr="00027C2F">
        <w:rPr>
          <w:lang w:val="en-GB"/>
        </w:rPr>
        <w:t>17.</w:t>
      </w:r>
      <w:r w:rsidRPr="00027C2F">
        <w:rPr>
          <w:lang w:val="en-GB"/>
        </w:rPr>
        <w:tab/>
        <w:t xml:space="preserve">In 2010, the Special Secretariat for Indigenous Healthcare (SESAI) was established at the Ministry of Health. SESAI is headed by a Vice-Minister and, since its </w:t>
      </w:r>
      <w:proofErr w:type="gramStart"/>
      <w:r w:rsidRPr="00027C2F">
        <w:rPr>
          <w:lang w:val="en-GB"/>
        </w:rPr>
        <w:t>creation,</w:t>
      </w:r>
      <w:proofErr w:type="gramEnd"/>
      <w:r w:rsidRPr="00027C2F">
        <w:rPr>
          <w:lang w:val="en-GB"/>
        </w:rPr>
        <w:t xml:space="preserve"> the number of professionals dedicated to providing healthcare fo</w:t>
      </w:r>
      <w:r w:rsidRPr="009C48B9">
        <w:rPr>
          <w:lang w:val="en-GB"/>
        </w:rPr>
        <w:t>r indigenous individuals has grown by almost 50%. In 2015, SESAI's staff comprised 13.438 professionals, out of whom 45% were indigenous. Since 2013, the number of doctors has increased by 79% and now these professionals operate in all 34 local districts managed by SESAI, covering the whole Brazilian territory. SESAI also has an integrated policy in the area of mental health. Its multidisciplinary teams in this area employ more than 100 psychologists (a 130% increase compared to 2012) and several other professionals. One of the main priorities in this area is the prevention of suicide among indigenous youth. This challenge is addressed with a comprehensive set of actions, with special attention to family and local community environments. SESAI is also responsible for the provision of sanitation services. Significant developments have also taken place in this domain, most notably with regard to water supply, which now reaches 2.500 of the 5.103 indigenous villages that exist in Brazil. SESAI develops and implements its policies in an open and participatory manner. It has already organized three National Conferences for Indigenous Peoples' Healthcare Policies. The last Conference, held in 2013, convened hundreds of meetings all over Brazil in preparation for the final plenary in Brasilia, presided over by the Minister of Health, and mobilized a total of more than 30.000 persons.</w:t>
      </w:r>
    </w:p>
    <w:p w:rsidR="00027C2F" w:rsidRPr="00027C2F" w:rsidRDefault="00027C2F" w:rsidP="00027C2F">
      <w:pPr>
        <w:pStyle w:val="H1G"/>
      </w:pPr>
      <w:r>
        <w:tab/>
        <w:t>6.</w:t>
      </w:r>
      <w:r>
        <w:tab/>
      </w:r>
      <w:r w:rsidRPr="00027C2F">
        <w:t>Education</w:t>
      </w:r>
    </w:p>
    <w:p w:rsidR="00027C2F" w:rsidRPr="009C48B9" w:rsidRDefault="00027C2F" w:rsidP="00027C2F">
      <w:pPr>
        <w:pStyle w:val="SingleTxtG"/>
        <w:rPr>
          <w:lang w:val="en-GB"/>
        </w:rPr>
      </w:pPr>
      <w:r w:rsidRPr="00027C2F">
        <w:rPr>
          <w:lang w:val="en-GB"/>
        </w:rPr>
        <w:t>18.</w:t>
      </w:r>
      <w:r w:rsidRPr="00027C2F">
        <w:rPr>
          <w:lang w:val="en-GB"/>
        </w:rPr>
        <w:tab/>
        <w:t xml:space="preserve">The national Constitution guarantees the right to bilingual, culturally appropriate basic education to the nearly one million Brazilian indigenous citizens, who speak more than two hundred languages and belong to over three hundred peoples. The two main permanent forums for discussing and designing policies in this domain are the National Education Council (CNE), </w:t>
      </w:r>
      <w:r w:rsidRPr="009C48B9">
        <w:rPr>
          <w:lang w:val="en-GB"/>
        </w:rPr>
        <w:t>which is the appropriate place for discussing indigenous education within wider national education policies; and the National Commission for Indigenous School Education (CNEEI), which conducts more focused analyses and debates. In addition to these permanent frameworks, the National Conference on Indigenous School Education (ICONEEI), held in 2009, provided important guidance for the development of policies in this domain. Preparations for the Second National Conference, to be held in November 2017, are already underway. One of the main goals of the II CONEEI will be to outline the indigenous component of the new National Education System, to be submitted to the National Congress afterwards.</w:t>
      </w:r>
    </w:p>
    <w:p w:rsidR="00027C2F" w:rsidRPr="009C48B9" w:rsidRDefault="00027C2F" w:rsidP="00027C2F">
      <w:pPr>
        <w:pStyle w:val="SingleTxtG"/>
        <w:rPr>
          <w:lang w:val="en-GB"/>
        </w:rPr>
      </w:pPr>
      <w:r w:rsidRPr="00027C2F">
        <w:rPr>
          <w:lang w:val="en-GB"/>
        </w:rPr>
        <w:lastRenderedPageBreak/>
        <w:t>19.</w:t>
      </w:r>
      <w:r w:rsidRPr="00027C2F">
        <w:rPr>
          <w:lang w:val="en-GB"/>
        </w:rPr>
        <w:tab/>
        <w:t xml:space="preserve">Since 2009, the implementation of indigenous education is led by the Secretariat for Continued Education, Literacy, Diversity and Inclusion of the Ministry of Education (SECADI/MEC), which operates in close co-ordination with State and Municipal authorities. </w:t>
      </w:r>
      <w:r w:rsidRPr="009C48B9">
        <w:rPr>
          <w:lang w:val="en-GB"/>
        </w:rPr>
        <w:t xml:space="preserve">To improve dialogue and coordination between indigenous peoples and government authorities at these three levels, and to make the corresponding policies more attuned to the diversity of Brazilian indigenous peoples, a new managing structure has been put in place since late 2008: the </w:t>
      </w:r>
      <w:proofErr w:type="spellStart"/>
      <w:r w:rsidRPr="009C48B9">
        <w:rPr>
          <w:lang w:val="en-GB"/>
        </w:rPr>
        <w:t>Ethnoeducational</w:t>
      </w:r>
      <w:proofErr w:type="spellEnd"/>
      <w:r w:rsidRPr="009C48B9">
        <w:rPr>
          <w:lang w:val="en-GB"/>
        </w:rPr>
        <w:t xml:space="preserve"> Territories (TEEs). Jointly defined by State authorities and indigenous peoples, the TEEs cover portions of the national territory inhabited by peoples with significant commonalities - political or economic relations; shared historical origins or cultural practices; linguistic similarities - irrespective of administrative geographic divisions (State and Municipal boundaries). In March 2016, when Special Rapporteur Victoria </w:t>
      </w:r>
      <w:proofErr w:type="spellStart"/>
      <w:r w:rsidRPr="009C48B9">
        <w:rPr>
          <w:lang w:val="en-GB"/>
        </w:rPr>
        <w:t>Tauli-Corpuz</w:t>
      </w:r>
      <w:proofErr w:type="spellEnd"/>
      <w:r w:rsidRPr="009C48B9">
        <w:rPr>
          <w:lang w:val="en-GB"/>
        </w:rPr>
        <w:t xml:space="preserve"> visited Brazil, 25 TEEs were already implemented, 3 were in the course of implementation, and 13 were at the stage of consultation with the indigenous peoples concerned. In 2014, when the latest survey was carried out, there were 3,141 indigenous schools in Brazil, employing 18,456 teachers, including 10,308 indigenous teachers, who cater for 239,665 students. It should also be noted that a sizeable amount of indigenous children and youth live in cities and attend regular public schools (38.5% of Brazilian indigenous citizens are urban dwellers).</w:t>
      </w:r>
    </w:p>
    <w:p w:rsidR="00027C2F" w:rsidRPr="009C48B9" w:rsidRDefault="00027C2F" w:rsidP="00027C2F">
      <w:pPr>
        <w:pStyle w:val="SingleTxtG"/>
        <w:rPr>
          <w:lang w:val="en-GB"/>
        </w:rPr>
      </w:pPr>
      <w:r w:rsidRPr="00027C2F">
        <w:rPr>
          <w:lang w:val="en-GB"/>
        </w:rPr>
        <w:t>20.</w:t>
      </w:r>
      <w:r w:rsidRPr="00027C2F">
        <w:rPr>
          <w:lang w:val="en-GB"/>
        </w:rPr>
        <w:tab/>
        <w:t xml:space="preserve">In addition to basic education, over 22,000 indigenous people are now attending Brazilian universities and this number is increasing at a rapid pace. </w:t>
      </w:r>
      <w:r w:rsidRPr="009C48B9">
        <w:rPr>
          <w:lang w:val="en-GB"/>
        </w:rPr>
        <w:t>One significant reason for this increase is the establishment, in 2012, of a quota system for indigenous and other racial minorities in federal universities and technical institutes (Law 12.711). Another important factor is the creation, in 2013, of scholarships specifically designed for indigenous citizens, which in the following year supported 3,149 students attending courses in federal higher education institutions. In October 2016, the Ministry of Education will start the operation of a new program offering scholarships for students belonging to indigenous peoples and other minorities to pursue undergraduate and graduate studies in foreign universities ("</w:t>
      </w:r>
      <w:proofErr w:type="spellStart"/>
      <w:r w:rsidRPr="009C48B9">
        <w:rPr>
          <w:lang w:val="en-GB"/>
        </w:rPr>
        <w:t>Programa</w:t>
      </w:r>
      <w:proofErr w:type="spellEnd"/>
      <w:r w:rsidRPr="009C48B9">
        <w:rPr>
          <w:lang w:val="en-GB"/>
        </w:rPr>
        <w:t xml:space="preserve"> de </w:t>
      </w:r>
      <w:proofErr w:type="spellStart"/>
      <w:r w:rsidRPr="009C48B9">
        <w:rPr>
          <w:lang w:val="en-GB"/>
        </w:rPr>
        <w:t>Desenvolvimento</w:t>
      </w:r>
      <w:proofErr w:type="spellEnd"/>
      <w:r w:rsidRPr="009C48B9">
        <w:rPr>
          <w:lang w:val="en-GB"/>
        </w:rPr>
        <w:t xml:space="preserve"> </w:t>
      </w:r>
      <w:proofErr w:type="spellStart"/>
      <w:r w:rsidRPr="009C48B9">
        <w:rPr>
          <w:lang w:val="en-GB"/>
        </w:rPr>
        <w:t>Acadêmico</w:t>
      </w:r>
      <w:proofErr w:type="spellEnd"/>
      <w:r w:rsidRPr="009C48B9">
        <w:rPr>
          <w:lang w:val="en-GB"/>
        </w:rPr>
        <w:t xml:space="preserve"> Abdias </w:t>
      </w:r>
      <w:proofErr w:type="spellStart"/>
      <w:r w:rsidRPr="009C48B9">
        <w:rPr>
          <w:lang w:val="en-GB"/>
        </w:rPr>
        <w:t>Nascimento</w:t>
      </w:r>
      <w:proofErr w:type="spellEnd"/>
      <w:r w:rsidRPr="009C48B9">
        <w:rPr>
          <w:lang w:val="en-GB"/>
        </w:rPr>
        <w:t>").</w:t>
      </w:r>
    </w:p>
    <w:p w:rsidR="00027C2F" w:rsidRPr="00027C2F" w:rsidRDefault="00027C2F" w:rsidP="00027C2F">
      <w:pPr>
        <w:pStyle w:val="H1G"/>
      </w:pPr>
      <w:r>
        <w:tab/>
        <w:t>7.</w:t>
      </w:r>
      <w:r>
        <w:tab/>
      </w:r>
      <w:r w:rsidRPr="00027C2F">
        <w:t>Sustainable Development</w:t>
      </w:r>
    </w:p>
    <w:p w:rsidR="00027C2F" w:rsidRPr="009C48B9" w:rsidRDefault="00027C2F" w:rsidP="00027C2F">
      <w:pPr>
        <w:pStyle w:val="SingleTxtG"/>
        <w:rPr>
          <w:lang w:val="en-GB"/>
        </w:rPr>
      </w:pPr>
      <w:r w:rsidRPr="00027C2F">
        <w:rPr>
          <w:lang w:val="en-GB"/>
        </w:rPr>
        <w:t>21.</w:t>
      </w:r>
      <w:r w:rsidRPr="00027C2F">
        <w:rPr>
          <w:lang w:val="en-GB"/>
        </w:rPr>
        <w:tab/>
        <w:t>Consistent with Article 29 of the United Nations Declaration on the Rights of Indigenous Peoples (UNDRIP) and Article XIX of the American Declaration on the Rights of Indigenous Peoples (ADRIP), the Brazilian government launched in 2012 the National Policy for Environmental and Territorial Management of Indigenous Lands (PNGATI). The process of elaborating this policy was an achievement in itself, due to its participatory nature. The proposal was prepa</w:t>
      </w:r>
      <w:r w:rsidRPr="009C48B9">
        <w:rPr>
          <w:lang w:val="en-GB"/>
        </w:rPr>
        <w:t>red by a 12-member working group, half of whom were indigenous, and went through five consultation sessions. These public hearings had the participation of over 1.200 representatives from 186 Brazilian indigenous peoples. The main objective of this policy is to protect, recover and foster the sustainable use of natural resources in indigenous territories. This goal is pursued through the elaboration and implementation of territorial and environmental plans for each indigenous land (PGTAs). The implementation of these plans is also monitored by indigenous peoples' representatives. This activity will be carried out by more than 40 regional committees, which are currently being set up.</w:t>
      </w:r>
    </w:p>
    <w:p w:rsidR="00027C2F" w:rsidRPr="009C48B9" w:rsidRDefault="00027C2F" w:rsidP="00027C2F">
      <w:pPr>
        <w:pStyle w:val="SingleTxtG"/>
        <w:rPr>
          <w:lang w:val="en-GB"/>
        </w:rPr>
      </w:pPr>
      <w:r w:rsidRPr="00027C2F">
        <w:rPr>
          <w:lang w:val="en-GB"/>
        </w:rPr>
        <w:t>22.</w:t>
      </w:r>
      <w:r w:rsidRPr="00027C2F">
        <w:rPr>
          <w:lang w:val="en-GB"/>
        </w:rPr>
        <w:tab/>
        <w:t xml:space="preserve">In addition to this primary focus on sustainable development at the local level, the policy also provides for the participation of representatives of indigenous peoples in institutions in charge of regional and national environmental policies that affect their territories, such as river-basin committees and the Brazilian Climate Change Forum. </w:t>
      </w:r>
      <w:r w:rsidRPr="009C48B9">
        <w:rPr>
          <w:lang w:val="en-GB"/>
        </w:rPr>
        <w:t xml:space="preserve">The implementation of PNGATI is sponsored by the Amazon Fund ("Fundo Amazônia"). Nine PGTA projects were selected in the first call for proposals launched by the Amazon Fund in 2015, with a total value of more than US$ 24 million. Three of these projects, worth more </w:t>
      </w:r>
      <w:r w:rsidRPr="009C48B9">
        <w:rPr>
          <w:lang w:val="en-GB"/>
        </w:rPr>
        <w:lastRenderedPageBreak/>
        <w:t xml:space="preserve">than US$ 8 million, were already under implementation by the end of 2015. New calls for proposals will be launched in the near future. In addition to PNGATI, the Amazon </w:t>
      </w:r>
      <w:proofErr w:type="gramStart"/>
      <w:r w:rsidRPr="009C48B9">
        <w:rPr>
          <w:lang w:val="en-GB"/>
        </w:rPr>
        <w:t>Fund,</w:t>
      </w:r>
      <w:proofErr w:type="gramEnd"/>
      <w:r w:rsidRPr="009C48B9">
        <w:rPr>
          <w:lang w:val="en-GB"/>
        </w:rPr>
        <w:t xml:space="preserve"> supports many other projects to foster sustainable development in indigenous lands. Between its establishment in 2008 and 2015, the Fund has financed projects to the tune of more than US$ 36 million in indigenous lands.</w:t>
      </w:r>
    </w:p>
    <w:p w:rsidR="00027C2F" w:rsidRPr="00CA530A" w:rsidRDefault="00CA530A" w:rsidP="00CA530A">
      <w:pPr>
        <w:pStyle w:val="H1G"/>
      </w:pPr>
      <w:r>
        <w:tab/>
        <w:t>8.</w:t>
      </w:r>
      <w:r>
        <w:tab/>
      </w:r>
      <w:r w:rsidR="00027C2F" w:rsidRPr="00CA530A">
        <w:t>Government Action in Instances of Violence against Indigenous Individuals and Peoples</w:t>
      </w:r>
    </w:p>
    <w:p w:rsidR="00027C2F" w:rsidRPr="009C48B9" w:rsidRDefault="00CA530A" w:rsidP="00CA530A">
      <w:pPr>
        <w:pStyle w:val="SingleTxtG"/>
        <w:rPr>
          <w:lang w:val="en-GB"/>
        </w:rPr>
      </w:pPr>
      <w:r w:rsidRPr="00CA530A">
        <w:rPr>
          <w:lang w:val="en-GB"/>
        </w:rPr>
        <w:t>23.</w:t>
      </w:r>
      <w:r w:rsidRPr="00CA530A">
        <w:rPr>
          <w:lang w:val="en-GB"/>
        </w:rPr>
        <w:tab/>
      </w:r>
      <w:r w:rsidR="00027C2F" w:rsidRPr="00CA530A">
        <w:rPr>
          <w:lang w:val="en-GB"/>
        </w:rPr>
        <w:t xml:space="preserve">As stated by the Minister of Justice and Citizenship, the Brazilian government works consistently to protect indigenous individuals and peoples from any sort of violence. </w:t>
      </w:r>
      <w:r w:rsidR="00027C2F" w:rsidRPr="009C48B9">
        <w:rPr>
          <w:lang w:val="en-GB"/>
        </w:rPr>
        <w:t>As a rule, maintenance of law and order is the responsibility of State-level police. When necessary, and in coordination with local authorities, Federal government forces may also be mobilized (National Security Force - FNS; Federal Police - PF; Federal Road Police - PRF; and, exceptionally, the Armed Forces).</w:t>
      </w:r>
    </w:p>
    <w:p w:rsidR="00027C2F" w:rsidRPr="009C48B9" w:rsidRDefault="00CA530A" w:rsidP="00CA530A">
      <w:pPr>
        <w:pStyle w:val="SingleTxtG"/>
        <w:rPr>
          <w:lang w:val="en-GB"/>
        </w:rPr>
      </w:pPr>
      <w:r w:rsidRPr="00CA530A">
        <w:rPr>
          <w:lang w:val="en-GB"/>
        </w:rPr>
        <w:t>24.</w:t>
      </w:r>
      <w:r w:rsidRPr="00CA530A">
        <w:rPr>
          <w:lang w:val="en-GB"/>
        </w:rPr>
        <w:tab/>
      </w:r>
      <w:r w:rsidR="00027C2F" w:rsidRPr="00CA530A">
        <w:rPr>
          <w:lang w:val="en-GB"/>
        </w:rPr>
        <w:t xml:space="preserve">Judiciary police functions at the national level are discharged by the Federal Police. </w:t>
      </w:r>
      <w:r w:rsidR="00027C2F" w:rsidRPr="009C48B9">
        <w:rPr>
          <w:lang w:val="en-GB"/>
        </w:rPr>
        <w:t xml:space="preserve">In 2016, the Federal Police has already carried out 12 criminal inquiries in the State of </w:t>
      </w:r>
      <w:proofErr w:type="spellStart"/>
      <w:r w:rsidR="00027C2F" w:rsidRPr="009C48B9">
        <w:rPr>
          <w:lang w:val="en-GB"/>
        </w:rPr>
        <w:t>Mato</w:t>
      </w:r>
      <w:proofErr w:type="spellEnd"/>
      <w:r w:rsidR="00027C2F" w:rsidRPr="009C48B9">
        <w:rPr>
          <w:lang w:val="en-GB"/>
        </w:rPr>
        <w:t xml:space="preserve"> </w:t>
      </w:r>
      <w:proofErr w:type="spellStart"/>
      <w:r w:rsidR="00027C2F" w:rsidRPr="009C48B9">
        <w:rPr>
          <w:lang w:val="en-GB"/>
        </w:rPr>
        <w:t>Grosso</w:t>
      </w:r>
      <w:proofErr w:type="spellEnd"/>
      <w:r w:rsidR="00027C2F" w:rsidRPr="009C48B9">
        <w:rPr>
          <w:lang w:val="en-GB"/>
        </w:rPr>
        <w:t xml:space="preserve"> do </w:t>
      </w:r>
      <w:proofErr w:type="spellStart"/>
      <w:r w:rsidR="00027C2F" w:rsidRPr="009C48B9">
        <w:rPr>
          <w:lang w:val="en-GB"/>
        </w:rPr>
        <w:t>Sul</w:t>
      </w:r>
      <w:proofErr w:type="spellEnd"/>
      <w:r w:rsidR="00027C2F" w:rsidRPr="009C48B9">
        <w:rPr>
          <w:lang w:val="en-GB"/>
        </w:rPr>
        <w:t xml:space="preserve"> alone. Last August, the Federal Police detained five individuals accused of participating in an attack against a Guarani-</w:t>
      </w:r>
      <w:proofErr w:type="spellStart"/>
      <w:r w:rsidR="00027C2F" w:rsidRPr="009C48B9">
        <w:rPr>
          <w:lang w:val="en-GB"/>
        </w:rPr>
        <w:t>Kaiowá</w:t>
      </w:r>
      <w:proofErr w:type="spellEnd"/>
      <w:r w:rsidR="00027C2F" w:rsidRPr="009C48B9">
        <w:rPr>
          <w:lang w:val="en-GB"/>
        </w:rPr>
        <w:t xml:space="preserve"> community in </w:t>
      </w:r>
      <w:proofErr w:type="spellStart"/>
      <w:r w:rsidR="00027C2F" w:rsidRPr="009C48B9">
        <w:rPr>
          <w:lang w:val="en-GB"/>
        </w:rPr>
        <w:t>Caarapó</w:t>
      </w:r>
      <w:proofErr w:type="spellEnd"/>
      <w:r w:rsidR="00027C2F" w:rsidRPr="009C48B9">
        <w:rPr>
          <w:lang w:val="en-GB"/>
        </w:rPr>
        <w:t>, following arrest warrants requested by the Federal Prosecution Service (MPF) and granted by the Judiciary.</w:t>
      </w:r>
    </w:p>
    <w:p w:rsidR="00027C2F" w:rsidRPr="009C48B9" w:rsidRDefault="00CA530A" w:rsidP="00CA530A">
      <w:pPr>
        <w:pStyle w:val="SingleTxtG"/>
        <w:rPr>
          <w:lang w:val="en-GB"/>
        </w:rPr>
      </w:pPr>
      <w:r w:rsidRPr="00CA530A">
        <w:rPr>
          <w:lang w:val="en-GB"/>
        </w:rPr>
        <w:t>25.</w:t>
      </w:r>
      <w:r w:rsidRPr="00CA530A">
        <w:rPr>
          <w:lang w:val="en-GB"/>
        </w:rPr>
        <w:tab/>
      </w:r>
      <w:r w:rsidR="00027C2F" w:rsidRPr="00CA530A">
        <w:rPr>
          <w:lang w:val="en-GB"/>
        </w:rPr>
        <w:t xml:space="preserve">Larger law and order operations by Federal government troops are usually carried out by the National Security Force (FNS). </w:t>
      </w:r>
      <w:r w:rsidR="00027C2F" w:rsidRPr="009C48B9">
        <w:rPr>
          <w:lang w:val="en-GB"/>
        </w:rPr>
        <w:t xml:space="preserve">In the State of </w:t>
      </w:r>
      <w:proofErr w:type="spellStart"/>
      <w:r w:rsidR="00027C2F" w:rsidRPr="009C48B9">
        <w:rPr>
          <w:lang w:val="en-GB"/>
        </w:rPr>
        <w:t>Mato</w:t>
      </w:r>
      <w:proofErr w:type="spellEnd"/>
      <w:r w:rsidR="00027C2F" w:rsidRPr="009C48B9">
        <w:rPr>
          <w:lang w:val="en-GB"/>
        </w:rPr>
        <w:t xml:space="preserve"> </w:t>
      </w:r>
      <w:proofErr w:type="spellStart"/>
      <w:r w:rsidR="00027C2F" w:rsidRPr="009C48B9">
        <w:rPr>
          <w:lang w:val="en-GB"/>
        </w:rPr>
        <w:t>Grosso</w:t>
      </w:r>
      <w:proofErr w:type="spellEnd"/>
      <w:r w:rsidR="00027C2F" w:rsidRPr="009C48B9">
        <w:rPr>
          <w:lang w:val="en-GB"/>
        </w:rPr>
        <w:t xml:space="preserve"> do </w:t>
      </w:r>
      <w:proofErr w:type="spellStart"/>
      <w:r w:rsidR="00027C2F" w:rsidRPr="009C48B9">
        <w:rPr>
          <w:lang w:val="en-GB"/>
        </w:rPr>
        <w:t>Sul</w:t>
      </w:r>
      <w:proofErr w:type="spellEnd"/>
      <w:r w:rsidR="00027C2F" w:rsidRPr="009C48B9">
        <w:rPr>
          <w:lang w:val="en-GB"/>
        </w:rPr>
        <w:t xml:space="preserve">, FNS has carried out 6 operations since 2011, the latest of which last June in the municipality of </w:t>
      </w:r>
      <w:proofErr w:type="spellStart"/>
      <w:r w:rsidR="00027C2F" w:rsidRPr="009C48B9">
        <w:rPr>
          <w:lang w:val="en-GB"/>
        </w:rPr>
        <w:t>Caarapó</w:t>
      </w:r>
      <w:proofErr w:type="spellEnd"/>
      <w:r w:rsidR="00027C2F" w:rsidRPr="009C48B9">
        <w:rPr>
          <w:lang w:val="en-GB"/>
        </w:rPr>
        <w:t>, following confrontations between local farmers and a community of the Guarani-</w:t>
      </w:r>
      <w:proofErr w:type="spellStart"/>
      <w:r w:rsidR="00027C2F" w:rsidRPr="009C48B9">
        <w:rPr>
          <w:lang w:val="en-GB"/>
        </w:rPr>
        <w:t>Kaiowá</w:t>
      </w:r>
      <w:proofErr w:type="spellEnd"/>
      <w:r w:rsidR="00027C2F" w:rsidRPr="009C48B9">
        <w:rPr>
          <w:lang w:val="en-GB"/>
        </w:rPr>
        <w:t xml:space="preserve"> people. In the longest FNS operation in that State, called "</w:t>
      </w:r>
      <w:proofErr w:type="spellStart"/>
      <w:r w:rsidR="00027C2F" w:rsidRPr="009C48B9">
        <w:rPr>
          <w:lang w:val="en-GB"/>
        </w:rPr>
        <w:t>Tekohá</w:t>
      </w:r>
      <w:proofErr w:type="spellEnd"/>
      <w:r w:rsidR="00027C2F" w:rsidRPr="009C48B9">
        <w:rPr>
          <w:lang w:val="en-GB"/>
        </w:rPr>
        <w:t xml:space="preserve">", federal forces carried out protective actions for five years. In exceptional cases, the Armed Forces may be mobilized in operations to </w:t>
      </w:r>
      <w:proofErr w:type="spellStart"/>
      <w:r w:rsidR="00027C2F" w:rsidRPr="009C48B9">
        <w:rPr>
          <w:lang w:val="en-GB"/>
        </w:rPr>
        <w:t>reestablish</w:t>
      </w:r>
      <w:proofErr w:type="spellEnd"/>
      <w:r w:rsidR="00027C2F" w:rsidRPr="009C48B9">
        <w:rPr>
          <w:lang w:val="en-GB"/>
        </w:rPr>
        <w:t xml:space="preserve"> and maintain law and order (GLO). Between September and November 2015, </w:t>
      </w:r>
      <w:proofErr w:type="spellStart"/>
      <w:r w:rsidR="00027C2F" w:rsidRPr="009C48B9">
        <w:rPr>
          <w:lang w:val="en-GB"/>
        </w:rPr>
        <w:t>Dourados</w:t>
      </w:r>
      <w:proofErr w:type="spellEnd"/>
      <w:r w:rsidR="00027C2F" w:rsidRPr="009C48B9">
        <w:rPr>
          <w:lang w:val="en-GB"/>
        </w:rPr>
        <w:t xml:space="preserve"> Operation mobilized Army forces in the south of </w:t>
      </w:r>
      <w:proofErr w:type="spellStart"/>
      <w:r w:rsidR="00027C2F" w:rsidRPr="009C48B9">
        <w:rPr>
          <w:lang w:val="en-GB"/>
        </w:rPr>
        <w:t>Mato</w:t>
      </w:r>
      <w:proofErr w:type="spellEnd"/>
      <w:r w:rsidR="00027C2F" w:rsidRPr="009C48B9">
        <w:rPr>
          <w:lang w:val="en-GB"/>
        </w:rPr>
        <w:t xml:space="preserve"> </w:t>
      </w:r>
      <w:proofErr w:type="spellStart"/>
      <w:r w:rsidR="00027C2F" w:rsidRPr="009C48B9">
        <w:rPr>
          <w:lang w:val="en-GB"/>
        </w:rPr>
        <w:t>Grosso</w:t>
      </w:r>
      <w:proofErr w:type="spellEnd"/>
      <w:r w:rsidR="00027C2F" w:rsidRPr="009C48B9">
        <w:rPr>
          <w:lang w:val="en-GB"/>
        </w:rPr>
        <w:t xml:space="preserve"> do </w:t>
      </w:r>
      <w:proofErr w:type="spellStart"/>
      <w:r w:rsidR="00027C2F" w:rsidRPr="009C48B9">
        <w:rPr>
          <w:lang w:val="en-GB"/>
        </w:rPr>
        <w:t>Sul</w:t>
      </w:r>
      <w:proofErr w:type="spellEnd"/>
      <w:r w:rsidR="00027C2F" w:rsidRPr="009C48B9">
        <w:rPr>
          <w:lang w:val="en-GB"/>
        </w:rPr>
        <w:t xml:space="preserve"> following a violent confrontation between local farmers and a Guarani-</w:t>
      </w:r>
      <w:proofErr w:type="spellStart"/>
      <w:r w:rsidR="00027C2F" w:rsidRPr="009C48B9">
        <w:rPr>
          <w:lang w:val="en-GB"/>
        </w:rPr>
        <w:t>Kaiowá</w:t>
      </w:r>
      <w:proofErr w:type="spellEnd"/>
      <w:r w:rsidR="00027C2F" w:rsidRPr="009C48B9">
        <w:rPr>
          <w:lang w:val="en-GB"/>
        </w:rPr>
        <w:t xml:space="preserve"> community in the municipality of </w:t>
      </w:r>
      <w:proofErr w:type="spellStart"/>
      <w:r w:rsidR="00027C2F" w:rsidRPr="009C48B9">
        <w:rPr>
          <w:lang w:val="en-GB"/>
        </w:rPr>
        <w:t>Antônio</w:t>
      </w:r>
      <w:proofErr w:type="spellEnd"/>
      <w:r w:rsidR="00027C2F" w:rsidRPr="009C48B9">
        <w:rPr>
          <w:lang w:val="en-GB"/>
        </w:rPr>
        <w:t xml:space="preserve"> </w:t>
      </w:r>
      <w:proofErr w:type="spellStart"/>
      <w:r w:rsidR="00027C2F" w:rsidRPr="009C48B9">
        <w:rPr>
          <w:lang w:val="en-GB"/>
        </w:rPr>
        <w:t>João</w:t>
      </w:r>
      <w:proofErr w:type="spellEnd"/>
      <w:r w:rsidR="00027C2F" w:rsidRPr="009C48B9">
        <w:rPr>
          <w:lang w:val="en-GB"/>
        </w:rPr>
        <w:t xml:space="preserve">. Another such mobilization, called </w:t>
      </w:r>
      <w:proofErr w:type="spellStart"/>
      <w:r w:rsidR="00027C2F" w:rsidRPr="009C48B9">
        <w:rPr>
          <w:lang w:val="en-GB"/>
        </w:rPr>
        <w:t>Ilhéus</w:t>
      </w:r>
      <w:proofErr w:type="spellEnd"/>
      <w:r w:rsidR="00027C2F" w:rsidRPr="009C48B9">
        <w:rPr>
          <w:lang w:val="en-GB"/>
        </w:rPr>
        <w:t xml:space="preserve"> Operation, was carried out in the south of the State of Bahia between February and July 2014.</w:t>
      </w:r>
    </w:p>
    <w:p w:rsidR="00027C2F" w:rsidRPr="009C48B9" w:rsidRDefault="00CA530A" w:rsidP="00CA530A">
      <w:pPr>
        <w:pStyle w:val="SingleTxtG"/>
        <w:rPr>
          <w:lang w:val="en-GB"/>
        </w:rPr>
      </w:pPr>
      <w:r w:rsidRPr="00CA530A">
        <w:rPr>
          <w:lang w:val="en-GB"/>
        </w:rPr>
        <w:t>26.</w:t>
      </w:r>
      <w:r w:rsidRPr="00CA530A">
        <w:rPr>
          <w:lang w:val="en-GB"/>
        </w:rPr>
        <w:tab/>
      </w:r>
      <w:r w:rsidR="00027C2F" w:rsidRPr="00CA530A">
        <w:rPr>
          <w:lang w:val="en-GB"/>
        </w:rPr>
        <w:t xml:space="preserve">In addition to such large law and order operations, another important government action is the National Program for the Protection of Human Rights Defenders (PNPDDH). </w:t>
      </w:r>
      <w:r w:rsidR="00027C2F" w:rsidRPr="009C48B9">
        <w:rPr>
          <w:lang w:val="en-GB"/>
        </w:rPr>
        <w:t>Established in 2007 (Decree 6,044), the program has developed significantly since then. PNPDDH currently offers protection for 101 indigenous leaders, corresponding to 28% of all persons protected by the program.</w:t>
      </w:r>
    </w:p>
    <w:p w:rsidR="00027C2F" w:rsidRPr="009C48B9" w:rsidRDefault="00CA530A" w:rsidP="00CA530A">
      <w:pPr>
        <w:pStyle w:val="SingleTxtG"/>
        <w:rPr>
          <w:lang w:val="en-GB"/>
        </w:rPr>
      </w:pPr>
      <w:r w:rsidRPr="00CA530A">
        <w:rPr>
          <w:lang w:val="en-GB"/>
        </w:rPr>
        <w:t>27.</w:t>
      </w:r>
      <w:r w:rsidRPr="00CA530A">
        <w:rPr>
          <w:lang w:val="en-GB"/>
        </w:rPr>
        <w:tab/>
      </w:r>
      <w:r w:rsidR="00027C2F" w:rsidRPr="00CA530A">
        <w:rPr>
          <w:lang w:val="en-GB"/>
        </w:rPr>
        <w:t xml:space="preserve">In her report, Special Rapporteur quotes a study by the Missionary Council for Indigenous Peoples (CIMI) and states that 138 indigenous individuals were murdered in 2014. </w:t>
      </w:r>
      <w:r w:rsidR="00027C2F" w:rsidRPr="009C48B9">
        <w:rPr>
          <w:lang w:val="en-GB"/>
        </w:rPr>
        <w:t xml:space="preserve">The loss of human lives is unacceptable in any circumstances. The data presented need to be critically </w:t>
      </w:r>
      <w:proofErr w:type="spellStart"/>
      <w:r w:rsidR="00027C2F" w:rsidRPr="009C48B9">
        <w:rPr>
          <w:lang w:val="en-GB"/>
        </w:rPr>
        <w:t>analyzed</w:t>
      </w:r>
      <w:proofErr w:type="spellEnd"/>
      <w:r w:rsidR="00027C2F" w:rsidRPr="009C48B9">
        <w:rPr>
          <w:lang w:val="en-GB"/>
        </w:rPr>
        <w:t>. It should be noted that the data in question are provided by the Special Secretariat for Indigenous Healthcare (SESAI) and refer to a population of around half a million Brazilian citizens who live in indigenous villages. These data are aggregated and do not specify the causes of death. In the same report, CIMI presents its own survey with qualitative information referring to 67 cases of violent deaths of indigenous individuals in that same year. An analysis of this latter survey indicates that only 6 of the cases mentioned appear related to land disputes. Of the remaining 60 cases, 13 appear to be instances of domestic violence, 29 were due to fights between indigenous individuals, and the remaining 19 have unclear causes.</w:t>
      </w:r>
    </w:p>
    <w:p w:rsidR="00027C2F" w:rsidRPr="00CA530A" w:rsidRDefault="00CA530A" w:rsidP="00CA530A">
      <w:pPr>
        <w:pStyle w:val="H1G"/>
      </w:pPr>
      <w:r>
        <w:lastRenderedPageBreak/>
        <w:tab/>
        <w:t>9.</w:t>
      </w:r>
      <w:r>
        <w:tab/>
      </w:r>
      <w:r w:rsidR="00027C2F" w:rsidRPr="00CA530A">
        <w:t>Large Infrastructure Projects</w:t>
      </w:r>
    </w:p>
    <w:p w:rsidR="00027C2F" w:rsidRPr="00E061BD" w:rsidRDefault="00CA530A" w:rsidP="009C48B9">
      <w:pPr>
        <w:pStyle w:val="H4G"/>
        <w:rPr>
          <w:lang w:val="en-US"/>
        </w:rPr>
      </w:pPr>
      <w:r w:rsidRPr="00E061BD">
        <w:rPr>
          <w:lang w:val="en-US"/>
        </w:rPr>
        <w:tab/>
      </w:r>
      <w:r w:rsidRPr="00E061BD">
        <w:rPr>
          <w:lang w:val="en-US"/>
        </w:rPr>
        <w:tab/>
      </w:r>
      <w:r w:rsidR="00027C2F" w:rsidRPr="00E061BD">
        <w:rPr>
          <w:lang w:val="en-US"/>
        </w:rPr>
        <w:t xml:space="preserve">- São </w:t>
      </w:r>
      <w:proofErr w:type="spellStart"/>
      <w:r w:rsidR="00027C2F" w:rsidRPr="00E061BD">
        <w:rPr>
          <w:lang w:val="en-US"/>
        </w:rPr>
        <w:t>Luiz</w:t>
      </w:r>
      <w:proofErr w:type="spellEnd"/>
      <w:r w:rsidR="00027C2F" w:rsidRPr="00E061BD">
        <w:rPr>
          <w:lang w:val="en-US"/>
        </w:rPr>
        <w:t xml:space="preserve"> Project, </w:t>
      </w:r>
      <w:proofErr w:type="spellStart"/>
      <w:r w:rsidR="00027C2F" w:rsidRPr="00E061BD">
        <w:rPr>
          <w:lang w:val="en-US"/>
        </w:rPr>
        <w:t>Tapajós</w:t>
      </w:r>
      <w:proofErr w:type="spellEnd"/>
      <w:r w:rsidR="00027C2F" w:rsidRPr="00E061BD">
        <w:rPr>
          <w:lang w:val="en-US"/>
        </w:rPr>
        <w:t xml:space="preserve"> River</w:t>
      </w:r>
    </w:p>
    <w:p w:rsidR="00027C2F" w:rsidRPr="009C48B9" w:rsidRDefault="00CA530A" w:rsidP="00CA530A">
      <w:pPr>
        <w:pStyle w:val="SingleTxtG"/>
        <w:rPr>
          <w:lang w:val="en-GB"/>
        </w:rPr>
      </w:pPr>
      <w:r w:rsidRPr="00CA530A">
        <w:rPr>
          <w:lang w:val="en-GB"/>
        </w:rPr>
        <w:t>28.</w:t>
      </w:r>
      <w:r w:rsidRPr="00CA530A">
        <w:rPr>
          <w:lang w:val="en-GB"/>
        </w:rPr>
        <w:tab/>
      </w:r>
      <w:r w:rsidR="00027C2F" w:rsidRPr="00CA530A">
        <w:rPr>
          <w:lang w:val="en-GB"/>
        </w:rPr>
        <w:t xml:space="preserve">The São Luiz hydroelectric project in the </w:t>
      </w:r>
      <w:proofErr w:type="spellStart"/>
      <w:r w:rsidR="00027C2F" w:rsidRPr="00CA530A">
        <w:rPr>
          <w:lang w:val="en-GB"/>
        </w:rPr>
        <w:t>Tapajós</w:t>
      </w:r>
      <w:proofErr w:type="spellEnd"/>
      <w:r w:rsidR="00027C2F" w:rsidRPr="00CA530A">
        <w:rPr>
          <w:lang w:val="en-GB"/>
        </w:rPr>
        <w:t xml:space="preserve"> River is illustrative of the functioning of Brazilian institutions in charge of the promotion and protection of the rights of indigenous peoples. </w:t>
      </w:r>
      <w:r w:rsidR="00027C2F" w:rsidRPr="009C48B9">
        <w:rPr>
          <w:lang w:val="en-GB"/>
        </w:rPr>
        <w:t xml:space="preserve">The project underwent a thorough licensing process, which included consultations with the </w:t>
      </w:r>
      <w:proofErr w:type="spellStart"/>
      <w:r w:rsidR="00027C2F" w:rsidRPr="009C48B9">
        <w:rPr>
          <w:lang w:val="en-GB"/>
        </w:rPr>
        <w:t>Munduruku</w:t>
      </w:r>
      <w:proofErr w:type="spellEnd"/>
      <w:r w:rsidR="00027C2F" w:rsidRPr="009C48B9">
        <w:rPr>
          <w:lang w:val="en-GB"/>
        </w:rPr>
        <w:t xml:space="preserve"> indigenous people, who live in the area of influence of the project. Taking into account objections by </w:t>
      </w:r>
      <w:proofErr w:type="spellStart"/>
      <w:r w:rsidR="00027C2F" w:rsidRPr="009C48B9">
        <w:rPr>
          <w:lang w:val="en-GB"/>
        </w:rPr>
        <w:t>Munduruku</w:t>
      </w:r>
      <w:proofErr w:type="spellEnd"/>
      <w:r w:rsidR="00027C2F" w:rsidRPr="009C48B9">
        <w:rPr>
          <w:lang w:val="en-GB"/>
        </w:rPr>
        <w:t xml:space="preserve"> leaders, as well as statements by FUNAI and the Federal Prosecution Service, to the effect that the projected lake would require the relocation of three indigenous villages, the Brazilian Institute of Environment and Renewable Natural Resources (IBAMA) concluded that the project violated constitutional provisions (Art. 231) and refused to license it. Following the decision by the licensing authority, the Minister of Mines and Energy stated that the current administration has no intention to resume studies about hydroelectric projects in that region.</w:t>
      </w:r>
    </w:p>
    <w:p w:rsidR="00027C2F" w:rsidRPr="00E061BD" w:rsidRDefault="00CA530A" w:rsidP="009C48B9">
      <w:pPr>
        <w:pStyle w:val="H4G"/>
        <w:rPr>
          <w:lang w:val="en-US"/>
        </w:rPr>
      </w:pPr>
      <w:r w:rsidRPr="00E061BD">
        <w:rPr>
          <w:lang w:val="en-US"/>
        </w:rPr>
        <w:tab/>
      </w:r>
      <w:r w:rsidRPr="00E061BD">
        <w:rPr>
          <w:lang w:val="en-US"/>
        </w:rPr>
        <w:tab/>
      </w:r>
      <w:r w:rsidR="00027C2F" w:rsidRPr="00E061BD">
        <w:rPr>
          <w:lang w:val="en-US"/>
        </w:rPr>
        <w:t>- Belo Monte Project, Xingu River</w:t>
      </w:r>
    </w:p>
    <w:p w:rsidR="00027C2F" w:rsidRPr="009C48B9" w:rsidRDefault="00CA530A" w:rsidP="00CA530A">
      <w:pPr>
        <w:pStyle w:val="SingleTxtG"/>
        <w:rPr>
          <w:lang w:val="en-GB"/>
        </w:rPr>
      </w:pPr>
      <w:r w:rsidRPr="00CA530A">
        <w:rPr>
          <w:lang w:val="en-GB"/>
        </w:rPr>
        <w:t>29.</w:t>
      </w:r>
      <w:r w:rsidRPr="00CA530A">
        <w:rPr>
          <w:lang w:val="en-GB"/>
        </w:rPr>
        <w:tab/>
      </w:r>
      <w:r w:rsidR="00027C2F" w:rsidRPr="00CA530A">
        <w:rPr>
          <w:lang w:val="en-GB"/>
        </w:rPr>
        <w:t>With reference to the Belo Monte case, it must be noted that human rights issues are inserted into the rules and obligations regarding environmental licensing of large projects in Brazil. According to specific rules in the matter, such as Resolution 1/1986 of the National Council on the Environment (CONAMA), in</w:t>
      </w:r>
      <w:r w:rsidR="00027C2F" w:rsidRPr="009C48B9">
        <w:rPr>
          <w:lang w:val="en-GB"/>
        </w:rPr>
        <w:t xml:space="preserve">frastructure projects must take into account impacts of their activities in: </w:t>
      </w:r>
      <w:proofErr w:type="spellStart"/>
      <w:r w:rsidR="00027C2F" w:rsidRPr="009C48B9">
        <w:rPr>
          <w:lang w:val="en-GB"/>
        </w:rPr>
        <w:t>i</w:t>
      </w:r>
      <w:proofErr w:type="spellEnd"/>
      <w:r w:rsidR="00027C2F" w:rsidRPr="009C48B9">
        <w:rPr>
          <w:lang w:val="en-GB"/>
        </w:rPr>
        <w:t>) the health, safety and well-being of the population; ii) the social and economic activities; iii) the biota; iv) the sanitary and aesthetic conditions of the environment; v) the quality of environmental resources.</w:t>
      </w:r>
    </w:p>
    <w:p w:rsidR="00027C2F" w:rsidRPr="009C48B9" w:rsidRDefault="00CA530A" w:rsidP="00CA530A">
      <w:pPr>
        <w:pStyle w:val="SingleTxtG"/>
        <w:rPr>
          <w:lang w:val="en-GB"/>
        </w:rPr>
      </w:pPr>
      <w:r w:rsidRPr="00CA530A">
        <w:rPr>
          <w:lang w:val="en-GB"/>
        </w:rPr>
        <w:t>30.</w:t>
      </w:r>
      <w:r w:rsidRPr="00CA530A">
        <w:rPr>
          <w:lang w:val="en-GB"/>
        </w:rPr>
        <w:tab/>
      </w:r>
      <w:r w:rsidR="00027C2F" w:rsidRPr="00CA530A">
        <w:rPr>
          <w:lang w:val="en-GB"/>
        </w:rPr>
        <w:t xml:space="preserve">Furthermore, it is incorrect to affirm that mitigation measures of projects with environmental impact are inadequate. </w:t>
      </w:r>
      <w:r w:rsidR="00027C2F" w:rsidRPr="009C48B9">
        <w:rPr>
          <w:lang w:val="en-GB"/>
        </w:rPr>
        <w:t>Such projects are implemented in full compliance with social and environmental regulations and with governmental oversight. Besides bodies such as the Judiciary, and the Federal Prosecution Service, it needs to be understood that a great number of governmental bodies take part in the process of licensing the infrastructure project, including those responsible for issues related to indigenous peoples (FUNAI) and peoples of African descent (</w:t>
      </w:r>
      <w:proofErr w:type="spellStart"/>
      <w:r w:rsidR="00027C2F" w:rsidRPr="009C48B9">
        <w:rPr>
          <w:lang w:val="en-GB"/>
        </w:rPr>
        <w:t>Fundação</w:t>
      </w:r>
      <w:proofErr w:type="spellEnd"/>
      <w:r w:rsidR="00027C2F" w:rsidRPr="009C48B9">
        <w:rPr>
          <w:lang w:val="en-GB"/>
        </w:rPr>
        <w:t xml:space="preserve"> Cultural </w:t>
      </w:r>
      <w:proofErr w:type="spellStart"/>
      <w:r w:rsidR="00027C2F" w:rsidRPr="009C48B9">
        <w:rPr>
          <w:lang w:val="en-GB"/>
        </w:rPr>
        <w:t>Palmares</w:t>
      </w:r>
      <w:proofErr w:type="spellEnd"/>
      <w:r w:rsidR="00027C2F" w:rsidRPr="009C48B9">
        <w:rPr>
          <w:lang w:val="en-GB"/>
        </w:rPr>
        <w:t>). The Brazilian government does not agree with assertions of the Report that local communities have not been consulted with or informed about the Belo Monte project. Among other measures, thousands of people took part in public hearings regarding the plant's Basic Project and dozens of meetings about this issue have been organized since June 2011 with a large number of social, political and academic institutions, all in accordance with ILO Convention 169. Moreover, the "</w:t>
      </w:r>
      <w:proofErr w:type="spellStart"/>
      <w:r w:rsidR="00027C2F" w:rsidRPr="009C48B9">
        <w:rPr>
          <w:lang w:val="en-GB"/>
        </w:rPr>
        <w:t>suspensão</w:t>
      </w:r>
      <w:proofErr w:type="spellEnd"/>
      <w:r w:rsidR="00027C2F" w:rsidRPr="009C48B9">
        <w:rPr>
          <w:lang w:val="en-GB"/>
        </w:rPr>
        <w:t xml:space="preserve"> de </w:t>
      </w:r>
      <w:proofErr w:type="spellStart"/>
      <w:r w:rsidR="00027C2F" w:rsidRPr="009C48B9">
        <w:rPr>
          <w:lang w:val="en-GB"/>
        </w:rPr>
        <w:t>segurança</w:t>
      </w:r>
      <w:proofErr w:type="spellEnd"/>
      <w:r w:rsidR="00027C2F" w:rsidRPr="009C48B9">
        <w:rPr>
          <w:lang w:val="en-GB"/>
        </w:rPr>
        <w:t xml:space="preserve">" mechanism is a procedural instrument, established in the Brazilian legal framework, which aims at suspending the effects of a preliminary judicial decision that may seriously harm, among other spheres, public health and the economy. It is an important instrument, often used by the Federal Prosecution Service and FUNAI in </w:t>
      </w:r>
      <w:proofErr w:type="spellStart"/>
      <w:r w:rsidR="00027C2F" w:rsidRPr="009C48B9">
        <w:rPr>
          <w:lang w:val="en-GB"/>
        </w:rPr>
        <w:t>defense</w:t>
      </w:r>
      <w:proofErr w:type="spellEnd"/>
      <w:r w:rsidR="00027C2F" w:rsidRPr="009C48B9">
        <w:rPr>
          <w:lang w:val="en-GB"/>
        </w:rPr>
        <w:t xml:space="preserve"> of specific interests of indigenous peoples. Social benefits of the Belo Monte project must not go unnoticed. Parallel projects in the Belo Monte area have greatly benefited the local population, such as a hospital in Altamira, a successful program for combatting malaria and the building of sewage systems. Also, it is important to highlight that the dam is not located in Indigenous Lands, that not one of those areas has been flooded and that no indigenous village has been removed.</w:t>
      </w:r>
    </w:p>
    <w:p w:rsidR="00027C2F" w:rsidRPr="009C48B9" w:rsidRDefault="00CA530A" w:rsidP="00CA530A">
      <w:pPr>
        <w:pStyle w:val="SingleTxtG"/>
        <w:rPr>
          <w:lang w:val="en-GB"/>
        </w:rPr>
      </w:pPr>
      <w:r w:rsidRPr="00CA530A">
        <w:rPr>
          <w:lang w:val="en-GB"/>
        </w:rPr>
        <w:t>31.</w:t>
      </w:r>
      <w:r w:rsidRPr="00CA530A">
        <w:rPr>
          <w:lang w:val="en-GB"/>
        </w:rPr>
        <w:tab/>
      </w:r>
      <w:r w:rsidR="00027C2F" w:rsidRPr="00CA530A">
        <w:rPr>
          <w:lang w:val="en-GB"/>
        </w:rPr>
        <w:t xml:space="preserve">Finally, regarding paragraph 37 of the Report, it must be underlined that the suspension of the construction of the hydropower dam is not part of the Inter-American Commission on Human Rights precautionary measures since June 2011, when the IAHRC issued new precautionary measures. </w:t>
      </w:r>
      <w:r w:rsidR="00027C2F" w:rsidRPr="009C48B9">
        <w:rPr>
          <w:lang w:val="en-GB"/>
        </w:rPr>
        <w:t>The scope of the precautionary measures was modified. We deem it important to put it on record that Brazil is meeting the requests of the IAHRC.</w:t>
      </w:r>
    </w:p>
    <w:p w:rsidR="00027C2F" w:rsidRPr="00CA530A" w:rsidRDefault="00CA530A" w:rsidP="00CA530A">
      <w:pPr>
        <w:pStyle w:val="H1G"/>
      </w:pPr>
      <w:r>
        <w:lastRenderedPageBreak/>
        <w:tab/>
        <w:t>10.</w:t>
      </w:r>
      <w:r>
        <w:tab/>
      </w:r>
      <w:r w:rsidR="00027C2F" w:rsidRPr="00CA530A">
        <w:t>Food Security</w:t>
      </w:r>
    </w:p>
    <w:p w:rsidR="00027C2F" w:rsidRDefault="00CA530A" w:rsidP="00CA530A">
      <w:pPr>
        <w:pStyle w:val="SingleTxtG"/>
        <w:rPr>
          <w:lang w:val="en-GB"/>
        </w:rPr>
      </w:pPr>
      <w:r w:rsidRPr="00CA530A">
        <w:rPr>
          <w:lang w:val="en-GB"/>
        </w:rPr>
        <w:t>32.</w:t>
      </w:r>
      <w:r w:rsidRPr="00CA530A">
        <w:rPr>
          <w:lang w:val="en-GB"/>
        </w:rPr>
        <w:tab/>
      </w:r>
      <w:r w:rsidR="00027C2F" w:rsidRPr="00CA530A">
        <w:rPr>
          <w:lang w:val="en-GB"/>
        </w:rPr>
        <w:t>More than 105,000 indigenous families, corresponding to about 47% of the Brazilian indigenous population, are enrolled in the minimum income program called "</w:t>
      </w:r>
      <w:proofErr w:type="spellStart"/>
      <w:r w:rsidR="00027C2F" w:rsidRPr="00CA530A">
        <w:rPr>
          <w:lang w:val="en-GB"/>
        </w:rPr>
        <w:t>Bolsa</w:t>
      </w:r>
      <w:proofErr w:type="spellEnd"/>
      <w:r w:rsidR="00027C2F" w:rsidRPr="00CA530A">
        <w:rPr>
          <w:lang w:val="en-GB"/>
        </w:rPr>
        <w:t xml:space="preserve"> </w:t>
      </w:r>
      <w:proofErr w:type="spellStart"/>
      <w:r w:rsidR="00027C2F" w:rsidRPr="00CA530A">
        <w:rPr>
          <w:lang w:val="en-GB"/>
        </w:rPr>
        <w:t>Família</w:t>
      </w:r>
      <w:proofErr w:type="spellEnd"/>
      <w:r w:rsidR="00027C2F" w:rsidRPr="00CA530A">
        <w:rPr>
          <w:lang w:val="en-GB"/>
        </w:rPr>
        <w:t xml:space="preserve">" ("Family Grant") and receive a monthly cash subsidy. The Ministry of Social and Agricultural Development (MDSA), responsible for the program, has made some adaptations to cater </w:t>
      </w:r>
      <w:r w:rsidR="00027C2F" w:rsidRPr="009C48B9">
        <w:rPr>
          <w:lang w:val="en-GB"/>
        </w:rPr>
        <w:t xml:space="preserve">to the particularities of indigenous peoples. MDSA is currently studying a recent assessment of possible positive or negative impacts of </w:t>
      </w:r>
      <w:proofErr w:type="spellStart"/>
      <w:r w:rsidR="00027C2F" w:rsidRPr="009C48B9">
        <w:rPr>
          <w:lang w:val="en-GB"/>
        </w:rPr>
        <w:t>Bolsa</w:t>
      </w:r>
      <w:proofErr w:type="spellEnd"/>
      <w:r w:rsidR="00027C2F" w:rsidRPr="009C48B9">
        <w:rPr>
          <w:lang w:val="en-GB"/>
        </w:rPr>
        <w:t xml:space="preserve"> </w:t>
      </w:r>
      <w:proofErr w:type="spellStart"/>
      <w:r w:rsidR="00027C2F" w:rsidRPr="009C48B9">
        <w:rPr>
          <w:lang w:val="en-GB"/>
        </w:rPr>
        <w:t>Família</w:t>
      </w:r>
      <w:proofErr w:type="spellEnd"/>
      <w:r w:rsidR="00027C2F" w:rsidRPr="009C48B9">
        <w:rPr>
          <w:lang w:val="en-GB"/>
        </w:rPr>
        <w:t xml:space="preserve"> on different indigenous peoples, and is considering new adaptations to the program. In addition to </w:t>
      </w:r>
      <w:proofErr w:type="spellStart"/>
      <w:r w:rsidR="00027C2F" w:rsidRPr="009C48B9">
        <w:rPr>
          <w:lang w:val="en-GB"/>
        </w:rPr>
        <w:t>Bolsa</w:t>
      </w:r>
      <w:proofErr w:type="spellEnd"/>
      <w:r w:rsidR="00027C2F" w:rsidRPr="009C48B9">
        <w:rPr>
          <w:lang w:val="en-GB"/>
        </w:rPr>
        <w:t xml:space="preserve"> </w:t>
      </w:r>
      <w:proofErr w:type="spellStart"/>
      <w:r w:rsidR="00027C2F" w:rsidRPr="009C48B9">
        <w:rPr>
          <w:lang w:val="en-GB"/>
        </w:rPr>
        <w:t>Família</w:t>
      </w:r>
      <w:proofErr w:type="spellEnd"/>
      <w:r w:rsidR="00027C2F" w:rsidRPr="009C48B9">
        <w:rPr>
          <w:lang w:val="en-GB"/>
        </w:rPr>
        <w:t>, MDSA also has programs in the areas of agricultural extension and water supply for indigenous peoples.</w:t>
      </w:r>
    </w:p>
    <w:p w:rsidR="009C48B9" w:rsidRPr="009C48B9" w:rsidRDefault="009C48B9" w:rsidP="009C48B9">
      <w:pPr>
        <w:pStyle w:val="SingleTxtG"/>
        <w:suppressAutoHyphens/>
        <w:spacing w:before="240" w:after="0"/>
        <w:jc w:val="center"/>
        <w:rPr>
          <w:u w:val="single"/>
          <w:lang w:val="en-GB"/>
        </w:rPr>
      </w:pPr>
      <w:r>
        <w:rPr>
          <w:u w:val="single"/>
          <w:lang w:val="en-GB"/>
        </w:rPr>
        <w:tab/>
      </w:r>
      <w:r>
        <w:rPr>
          <w:u w:val="single"/>
          <w:lang w:val="en-GB"/>
        </w:rPr>
        <w:tab/>
      </w:r>
      <w:r>
        <w:rPr>
          <w:u w:val="single"/>
          <w:lang w:val="en-GB"/>
        </w:rPr>
        <w:tab/>
      </w:r>
    </w:p>
    <w:sectPr w:rsidR="009C48B9" w:rsidRPr="009C48B9" w:rsidSect="00A07652">
      <w:headerReference w:type="even" r:id="rId14"/>
      <w:headerReference w:type="default" r:id="rId15"/>
      <w:footerReference w:type="even" r:id="rId16"/>
      <w:footerReference w:type="default" r:id="rId17"/>
      <w:footerReference w:type="first" r:id="rId18"/>
      <w:endnotePr>
        <w:numFmt w:val="decimal"/>
      </w:endnotePr>
      <w:type w:val="continuous"/>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E04" w:rsidRDefault="00546E04"/>
  </w:endnote>
  <w:endnote w:type="continuationSeparator" w:id="0">
    <w:p w:rsidR="00546E04" w:rsidRDefault="00546E04"/>
  </w:endnote>
  <w:endnote w:type="continuationNotice" w:id="1">
    <w:p w:rsidR="00546E04" w:rsidRDefault="00546E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E04" w:rsidRPr="00FD0B04" w:rsidRDefault="00546E04" w:rsidP="00544D29">
    <w:pPr>
      <w:pStyle w:val="Footer"/>
      <w:tabs>
        <w:tab w:val="right" w:pos="9638"/>
      </w:tabs>
    </w:pPr>
    <w:r w:rsidRPr="00FD0B04">
      <w:rPr>
        <w:b/>
        <w:sz w:val="18"/>
      </w:rPr>
      <w:fldChar w:fldCharType="begin"/>
    </w:r>
    <w:r w:rsidRPr="00FD0B04">
      <w:rPr>
        <w:b/>
        <w:sz w:val="18"/>
      </w:rPr>
      <w:instrText xml:space="preserve"> </w:instrText>
    </w:r>
    <w:r>
      <w:rPr>
        <w:b/>
        <w:sz w:val="18"/>
      </w:rPr>
      <w:instrText>PAGE</w:instrText>
    </w:r>
    <w:r w:rsidRPr="00FD0B04">
      <w:rPr>
        <w:b/>
        <w:sz w:val="18"/>
      </w:rPr>
      <w:instrText xml:space="preserve">  \* MERGEFORMAT </w:instrText>
    </w:r>
    <w:r w:rsidRPr="00FD0B04">
      <w:rPr>
        <w:b/>
        <w:sz w:val="18"/>
      </w:rPr>
      <w:fldChar w:fldCharType="separate"/>
    </w:r>
    <w:r w:rsidR="00317622">
      <w:rPr>
        <w:b/>
        <w:noProof/>
        <w:sz w:val="18"/>
      </w:rPr>
      <w:t>2</w:t>
    </w:r>
    <w:r w:rsidRPr="00FD0B04">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E04" w:rsidRPr="00FD0B04" w:rsidRDefault="00546E04" w:rsidP="00544D29">
    <w:pPr>
      <w:pStyle w:val="Footer"/>
      <w:tabs>
        <w:tab w:val="right" w:pos="9638"/>
      </w:tabs>
      <w:rPr>
        <w:b/>
        <w:sz w:val="18"/>
      </w:rPr>
    </w:pPr>
    <w:r>
      <w:tab/>
    </w:r>
    <w:r w:rsidRPr="00FD0B04">
      <w:rPr>
        <w:b/>
        <w:sz w:val="18"/>
      </w:rPr>
      <w:fldChar w:fldCharType="begin"/>
    </w:r>
    <w:r w:rsidRPr="00FD0B04">
      <w:rPr>
        <w:b/>
        <w:sz w:val="18"/>
      </w:rPr>
      <w:instrText xml:space="preserve"> </w:instrText>
    </w:r>
    <w:r>
      <w:rPr>
        <w:b/>
        <w:sz w:val="18"/>
      </w:rPr>
      <w:instrText>PAGE</w:instrText>
    </w:r>
    <w:r w:rsidRPr="00FD0B04">
      <w:rPr>
        <w:b/>
        <w:sz w:val="18"/>
      </w:rPr>
      <w:instrText xml:space="preserve">  \* MERGEFORMAT </w:instrText>
    </w:r>
    <w:r w:rsidRPr="00FD0B04">
      <w:rPr>
        <w:b/>
        <w:sz w:val="18"/>
      </w:rPr>
      <w:fldChar w:fldCharType="separate"/>
    </w:r>
    <w:r w:rsidR="00317622">
      <w:rPr>
        <w:b/>
        <w:noProof/>
        <w:sz w:val="18"/>
      </w:rPr>
      <w:t>9</w:t>
    </w:r>
    <w:r w:rsidRPr="00FD0B04">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9DD" w:rsidRDefault="002729DD" w:rsidP="002729DD">
    <w:pPr>
      <w:pStyle w:val="Footer"/>
    </w:pPr>
    <w:r w:rsidRPr="00DA43F5">
      <w:rPr>
        <w:rFonts w:ascii="C39T30Lfz" w:hAnsi="C39T30Lfz"/>
        <w:noProof/>
        <w:sz w:val="56"/>
        <w:u w:val="single"/>
        <w:lang w:val="en-GB" w:eastAsia="en-GB"/>
      </w:rPr>
      <w:drawing>
        <wp:anchor distT="0" distB="0" distL="114300" distR="114300" simplePos="0" relativeHeight="251659264" behindDoc="0" locked="0" layoutInCell="1" allowOverlap="1" wp14:anchorId="493D1C4A" wp14:editId="487330F4">
          <wp:simplePos x="0" y="0"/>
          <wp:positionH relativeFrom="margin">
            <wp:posOffset>4340860</wp:posOffset>
          </wp:positionH>
          <wp:positionV relativeFrom="margin">
            <wp:posOffset>8240725</wp:posOffset>
          </wp:positionV>
          <wp:extent cx="974725" cy="26733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74725" cy="267335"/>
                  </a:xfrm>
                  <a:prstGeom prst="rect">
                    <a:avLst/>
                  </a:prstGeom>
                </pic:spPr>
              </pic:pic>
            </a:graphicData>
          </a:graphic>
        </wp:anchor>
      </w:drawing>
    </w:r>
  </w:p>
  <w:p w:rsidR="002729DD" w:rsidRDefault="002729DD" w:rsidP="002729DD">
    <w:pPr>
      <w:spacing w:line="240" w:lineRule="auto"/>
      <w:ind w:right="1134"/>
      <w:rPr>
        <w:lang w:val="es-ES"/>
      </w:rPr>
    </w:pPr>
    <w:r>
      <w:rPr>
        <w:lang w:val="es-ES"/>
      </w:rPr>
      <w:t>GE.16-16086(E)</w:t>
    </w:r>
  </w:p>
  <w:p w:rsidR="002729DD" w:rsidRPr="002729DD" w:rsidRDefault="002729DD" w:rsidP="002729DD">
    <w:pPr>
      <w:spacing w:line="240" w:lineRule="auto"/>
      <w:ind w:right="1134"/>
      <w:rPr>
        <w:rFonts w:ascii="C39T30Lfz" w:hAnsi="C39T30Lfz"/>
        <w:sz w:val="56"/>
        <w:lang w:val="es-ES"/>
      </w:rPr>
    </w:pPr>
    <w:r>
      <w:rPr>
        <w:rFonts w:ascii="C39T30Lfz" w:hAnsi="C39T30Lfz"/>
        <w:sz w:val="56"/>
        <w:lang w:val="es-ES"/>
      </w:rPr>
      <w:t></w:t>
    </w:r>
    <w:r>
      <w:rPr>
        <w:rFonts w:ascii="C39T30Lfz" w:hAnsi="C39T30Lfz"/>
        <w:sz w:val="56"/>
        <w:lang w:val="es-ES"/>
      </w:rPr>
      <w:t></w:t>
    </w:r>
    <w:r>
      <w:rPr>
        <w:rFonts w:ascii="C39T30Lfz" w:hAnsi="C39T30Lfz"/>
        <w:sz w:val="56"/>
        <w:lang w:val="es-ES"/>
      </w:rPr>
      <w:t></w:t>
    </w:r>
    <w:r>
      <w:rPr>
        <w:rFonts w:ascii="C39T30Lfz" w:hAnsi="C39T30Lfz"/>
        <w:sz w:val="56"/>
        <w:lang w:val="es-ES"/>
      </w:rPr>
      <w:t></w:t>
    </w:r>
    <w:r>
      <w:rPr>
        <w:rFonts w:ascii="C39T30Lfz" w:hAnsi="C39T30Lfz"/>
        <w:sz w:val="56"/>
        <w:lang w:val="es-ES"/>
      </w:rPr>
      <w:t></w:t>
    </w:r>
    <w:r>
      <w:rPr>
        <w:rFonts w:ascii="C39T30Lfz" w:hAnsi="C39T30Lfz"/>
        <w:sz w:val="56"/>
        <w:lang w:val="es-ES"/>
      </w:rPr>
      <w:t></w:t>
    </w:r>
    <w:r>
      <w:rPr>
        <w:rFonts w:ascii="C39T30Lfz" w:hAnsi="C39T30Lfz"/>
        <w:sz w:val="56"/>
        <w:lang w:val="es-ES"/>
      </w:rPr>
      <w:t></w:t>
    </w:r>
    <w:r>
      <w:rPr>
        <w:rFonts w:ascii="C39T30Lfz" w:hAnsi="C39T30Lfz"/>
        <w:sz w:val="56"/>
        <w:lang w:val="es-ES"/>
      </w:rPr>
      <w:t></w:t>
    </w:r>
    <w:r>
      <w:rPr>
        <w:rFonts w:ascii="C39T30Lfz" w:hAnsi="C39T30Lfz"/>
        <w:sz w:val="56"/>
        <w:lang w:val="es-ES"/>
      </w:rPr>
      <w:t></w:t>
    </w:r>
    <w:r>
      <w:rPr>
        <w:rFonts w:ascii="C39T30Lfz" w:hAnsi="C39T30Lfz"/>
        <w:noProof/>
        <w:sz w:val="56"/>
        <w:lang w:eastAsia="en-GB"/>
      </w:rPr>
      <w:drawing>
        <wp:anchor distT="0" distB="0" distL="114300" distR="114300" simplePos="0" relativeHeight="251660288" behindDoc="0" locked="0" layoutInCell="1" allowOverlap="1">
          <wp:simplePos x="0" y="0"/>
          <wp:positionH relativeFrom="margin">
            <wp:posOffset>5489575</wp:posOffset>
          </wp:positionH>
          <wp:positionV relativeFrom="margin">
            <wp:posOffset>7919720</wp:posOffset>
          </wp:positionV>
          <wp:extent cx="640080" cy="640080"/>
          <wp:effectExtent l="0" t="0" r="7620" b="7620"/>
          <wp:wrapNone/>
          <wp:docPr id="2" name="Picture 1" descr="http://undocs.org/m2/QRCode.ashx?DS=A/HRC/33/42/Add.5&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A/HRC/33/42/Add.5&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E04" w:rsidRPr="000B175B" w:rsidRDefault="00546E04" w:rsidP="00544D29">
      <w:pPr>
        <w:tabs>
          <w:tab w:val="right" w:pos="2155"/>
        </w:tabs>
        <w:spacing w:after="80"/>
        <w:ind w:left="680"/>
        <w:rPr>
          <w:u w:val="single"/>
        </w:rPr>
      </w:pPr>
      <w:r>
        <w:rPr>
          <w:u w:val="single"/>
        </w:rPr>
        <w:tab/>
      </w:r>
    </w:p>
  </w:footnote>
  <w:footnote w:type="continuationSeparator" w:id="0">
    <w:p w:rsidR="00546E04" w:rsidRPr="00FC68B7" w:rsidRDefault="00546E04" w:rsidP="00544D29">
      <w:pPr>
        <w:tabs>
          <w:tab w:val="left" w:pos="2155"/>
        </w:tabs>
        <w:spacing w:after="80"/>
        <w:ind w:left="680"/>
        <w:rPr>
          <w:u w:val="single"/>
        </w:rPr>
      </w:pPr>
      <w:r>
        <w:rPr>
          <w:u w:val="single"/>
        </w:rPr>
        <w:tab/>
      </w:r>
    </w:p>
  </w:footnote>
  <w:footnote w:type="continuationNotice" w:id="1">
    <w:p w:rsidR="00546E04" w:rsidRDefault="00546E04"/>
  </w:footnote>
  <w:footnote w:id="2">
    <w:p w:rsidR="00142B0F" w:rsidRPr="00D27842" w:rsidRDefault="00142B0F" w:rsidP="00142B0F">
      <w:pPr>
        <w:pStyle w:val="FootnoteText"/>
        <w:rPr>
          <w:lang w:val="en-GB"/>
        </w:rPr>
      </w:pPr>
      <w:r w:rsidRPr="009C48B9">
        <w:rPr>
          <w:rStyle w:val="FootnoteReference"/>
          <w:lang w:val="en-GB"/>
        </w:rPr>
        <w:tab/>
      </w:r>
      <w:r w:rsidRPr="009C48B9">
        <w:rPr>
          <w:rStyle w:val="FootnoteReference"/>
          <w:sz w:val="20"/>
          <w:lang w:val="en-GB"/>
        </w:rPr>
        <w:t>*</w:t>
      </w:r>
      <w:r w:rsidRPr="00D27842">
        <w:rPr>
          <w:rStyle w:val="FootnoteReference"/>
          <w:sz w:val="20"/>
          <w:vertAlign w:val="baseline"/>
          <w:lang w:val="en-GB"/>
        </w:rPr>
        <w:tab/>
      </w:r>
      <w:r w:rsidRPr="009C48B9">
        <w:rPr>
          <w:szCs w:val="18"/>
          <w:lang w:val="en-GB"/>
        </w:rPr>
        <w:t>The document is circulated as received</w:t>
      </w:r>
      <w:r w:rsidR="009C48B9">
        <w:rPr>
          <w:szCs w:val="18"/>
          <w:lang w:val="en-GB"/>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E04" w:rsidRPr="00FD0B04" w:rsidRDefault="00546E04">
    <w:pPr>
      <w:pStyle w:val="Header"/>
    </w:pPr>
    <w:r>
      <w:t>A/HRC/33/42/Add.</w:t>
    </w:r>
    <w:r w:rsidR="009C48B9">
      <w:t>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E04" w:rsidRPr="00FD0B04" w:rsidRDefault="00546E04" w:rsidP="00544D29">
    <w:pPr>
      <w:pStyle w:val="Header"/>
      <w:jc w:val="right"/>
    </w:pPr>
    <w:r>
      <w:t>A/HRC/33/42/Add.</w:t>
    </w:r>
    <w:r w:rsidR="009C48B9">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946FE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EF4F980"/>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8B84A9FE"/>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F766AF7A"/>
    <w:lvl w:ilvl="0">
      <w:start w:val="1"/>
      <w:numFmt w:val="decimal"/>
      <w:pStyle w:val="ListNumber3"/>
      <w:lvlText w:val="%1."/>
      <w:lvlJc w:val="left"/>
      <w:pPr>
        <w:tabs>
          <w:tab w:val="num" w:pos="926"/>
        </w:tabs>
        <w:ind w:left="926" w:hanging="360"/>
      </w:pPr>
    </w:lvl>
  </w:abstractNum>
  <w:abstractNum w:abstractNumId="4">
    <w:nsid w:val="FFFFFF7F"/>
    <w:multiLevelType w:val="singleLevel"/>
    <w:tmpl w:val="E9364602"/>
    <w:lvl w:ilvl="0">
      <w:start w:val="1"/>
      <w:numFmt w:val="decimal"/>
      <w:pStyle w:val="ListNumber2"/>
      <w:lvlText w:val="%1."/>
      <w:lvlJc w:val="left"/>
      <w:pPr>
        <w:tabs>
          <w:tab w:val="num" w:pos="643"/>
        </w:tabs>
        <w:ind w:left="643" w:hanging="360"/>
      </w:pPr>
    </w:lvl>
  </w:abstractNum>
  <w:abstractNum w:abstractNumId="5">
    <w:nsid w:val="FFFFFF80"/>
    <w:multiLevelType w:val="singleLevel"/>
    <w:tmpl w:val="64E641A4"/>
    <w:lvl w:ilvl="0">
      <w:start w:val="1"/>
      <w:numFmt w:val="bullet"/>
      <w:pStyle w:val="ListBullet5"/>
      <w:lvlText w:val=""/>
      <w:lvlJc w:val="left"/>
      <w:pPr>
        <w:tabs>
          <w:tab w:val="num" w:pos="1492"/>
        </w:tabs>
        <w:ind w:left="1492" w:hanging="360"/>
      </w:pPr>
      <w:rPr>
        <w:rFonts w:ascii="Symbol" w:hAnsi="Symbol" w:hint="default"/>
      </w:rPr>
    </w:lvl>
  </w:abstractNum>
  <w:abstractNum w:abstractNumId="6">
    <w:nsid w:val="FFFFFF81"/>
    <w:multiLevelType w:val="singleLevel"/>
    <w:tmpl w:val="EE4A488A"/>
    <w:lvl w:ilvl="0">
      <w:start w:val="1"/>
      <w:numFmt w:val="bullet"/>
      <w:pStyle w:val="ListBullet4"/>
      <w:lvlText w:val=""/>
      <w:lvlJc w:val="left"/>
      <w:pPr>
        <w:tabs>
          <w:tab w:val="num" w:pos="1209"/>
        </w:tabs>
        <w:ind w:left="1209" w:hanging="360"/>
      </w:pPr>
      <w:rPr>
        <w:rFonts w:ascii="Symbol" w:hAnsi="Symbol" w:hint="default"/>
      </w:rPr>
    </w:lvl>
  </w:abstractNum>
  <w:abstractNum w:abstractNumId="7">
    <w:nsid w:val="FFFFFF82"/>
    <w:multiLevelType w:val="singleLevel"/>
    <w:tmpl w:val="644C40A6"/>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3"/>
    <w:multiLevelType w:val="singleLevel"/>
    <w:tmpl w:val="1D246380"/>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95E87518"/>
    <w:lvl w:ilvl="0">
      <w:start w:val="1"/>
      <w:numFmt w:val="decimal"/>
      <w:pStyle w:val="ListNumber"/>
      <w:lvlText w:val="%1."/>
      <w:lvlJc w:val="left"/>
      <w:pPr>
        <w:tabs>
          <w:tab w:val="num" w:pos="360"/>
        </w:tabs>
        <w:ind w:left="360" w:hanging="360"/>
      </w:pPr>
    </w:lvl>
  </w:abstractNum>
  <w:abstractNum w:abstractNumId="10">
    <w:nsid w:val="FFFFFF89"/>
    <w:multiLevelType w:val="singleLevel"/>
    <w:tmpl w:val="56708384"/>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B3A629F"/>
    <w:multiLevelType w:val="hybridMultilevel"/>
    <w:tmpl w:val="30A6B298"/>
    <w:lvl w:ilvl="0" w:tplc="0C88220A">
      <w:start w:val="1"/>
      <w:numFmt w:val="decimal"/>
      <w:lvlText w:val="%1."/>
      <w:lvlJc w:val="left"/>
      <w:pPr>
        <w:ind w:left="99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B9E4200"/>
    <w:multiLevelType w:val="hybridMultilevel"/>
    <w:tmpl w:val="57FA865A"/>
    <w:lvl w:ilvl="0" w:tplc="5FBE5FCA">
      <w:start w:val="1"/>
      <w:numFmt w:val="decimal"/>
      <w:lvlText w:val="%1."/>
      <w:lvlJc w:val="left"/>
      <w:pPr>
        <w:ind w:left="2115" w:hanging="555"/>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6A7743B"/>
    <w:multiLevelType w:val="hybridMultilevel"/>
    <w:tmpl w:val="165289D8"/>
    <w:lvl w:ilvl="0" w:tplc="54B29084">
      <w:start w:val="1"/>
      <w:numFmt w:val="bullet"/>
      <w:pStyle w:val="Bullet2G"/>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36DA0D02"/>
    <w:multiLevelType w:val="hybridMultilevel"/>
    <w:tmpl w:val="ED625386"/>
    <w:lvl w:ilvl="0" w:tplc="5FBE5FCA">
      <w:start w:val="1"/>
      <w:numFmt w:val="decimal"/>
      <w:lvlText w:val="%1."/>
      <w:lvlJc w:val="left"/>
      <w:pPr>
        <w:ind w:left="2257" w:hanging="555"/>
      </w:pPr>
      <w:rPr>
        <w:rFonts w:hint="default"/>
        <w:b w:val="0"/>
        <w:bCs/>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5">
    <w:nsid w:val="39BA4BD4"/>
    <w:multiLevelType w:val="hybridMultilevel"/>
    <w:tmpl w:val="75B075C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15A5A8E"/>
    <w:multiLevelType w:val="hybridMultilevel"/>
    <w:tmpl w:val="57FA865A"/>
    <w:lvl w:ilvl="0" w:tplc="5FBE5FCA">
      <w:start w:val="1"/>
      <w:numFmt w:val="decimal"/>
      <w:lvlText w:val="%1."/>
      <w:lvlJc w:val="left"/>
      <w:pPr>
        <w:ind w:left="2115" w:hanging="555"/>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D5A28C8"/>
    <w:multiLevelType w:val="hybridMultilevel"/>
    <w:tmpl w:val="3AAC4A8E"/>
    <w:lvl w:ilvl="0" w:tplc="9D2AC98A">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54E17F9B"/>
    <w:multiLevelType w:val="hybridMultilevel"/>
    <w:tmpl w:val="686C701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nsid w:val="58CF4BEA"/>
    <w:multiLevelType w:val="hybridMultilevel"/>
    <w:tmpl w:val="F4CA9E4E"/>
    <w:lvl w:ilvl="0" w:tplc="FA24C4BC">
      <w:start w:val="1"/>
      <w:numFmt w:val="upperLetter"/>
      <w:lvlText w:val="%1."/>
      <w:lvlJc w:val="left"/>
      <w:pPr>
        <w:ind w:left="1500" w:hanging="360"/>
      </w:pPr>
      <w:rPr>
        <w:rFonts w:hint="default"/>
      </w:rPr>
    </w:lvl>
    <w:lvl w:ilvl="1" w:tplc="5FBE5FCA">
      <w:start w:val="1"/>
      <w:numFmt w:val="decimal"/>
      <w:lvlText w:val="%2."/>
      <w:lvlJc w:val="left"/>
      <w:pPr>
        <w:ind w:left="2115" w:hanging="555"/>
      </w:pPr>
      <w:rPr>
        <w:rFonts w:hint="default"/>
        <w:b w:val="0"/>
        <w:bCs/>
      </w:r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0">
    <w:nsid w:val="5B2561E9"/>
    <w:multiLevelType w:val="hybridMultilevel"/>
    <w:tmpl w:val="ED625386"/>
    <w:lvl w:ilvl="0" w:tplc="5FBE5FCA">
      <w:start w:val="1"/>
      <w:numFmt w:val="decimal"/>
      <w:lvlText w:val="%1."/>
      <w:lvlJc w:val="left"/>
      <w:pPr>
        <w:ind w:left="2115" w:hanging="555"/>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D204BD7"/>
    <w:multiLevelType w:val="hybridMultilevel"/>
    <w:tmpl w:val="05388230"/>
    <w:lvl w:ilvl="0" w:tplc="11427EDE">
      <w:start w:val="1"/>
      <w:numFmt w:val="decimal"/>
      <w:lvlText w:val="%1."/>
      <w:lvlJc w:val="left"/>
      <w:pPr>
        <w:ind w:left="2257" w:hanging="555"/>
      </w:pPr>
      <w:rPr>
        <w:rFonts w:hint="default"/>
        <w:b w:val="0"/>
        <w:bCs/>
        <w:i w:val="0"/>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2">
    <w:nsid w:val="5D542B80"/>
    <w:multiLevelType w:val="multilevel"/>
    <w:tmpl w:val="E7AEBE16"/>
    <w:lvl w:ilvl="0">
      <w:start w:val="1"/>
      <w:numFmt w:val="upperRoman"/>
      <w:pStyle w:val="Appelnotedebasde"/>
      <w:suff w:val="space"/>
      <w:lvlText w:val="%1.  "/>
      <w:lvlJc w:val="left"/>
      <w:pPr>
        <w:ind w:left="0" w:firstLine="0"/>
      </w:pPr>
      <w:rPr>
        <w:u w:val="none"/>
      </w:rPr>
    </w:lvl>
    <w:lvl w:ilvl="1">
      <w:start w:val="1"/>
      <w:numFmt w:val="upperLetter"/>
      <w:suff w:val="space"/>
      <w:lvlText w:val="%2.  "/>
      <w:lvlJc w:val="left"/>
      <w:pPr>
        <w:ind w:left="0" w:firstLine="0"/>
      </w:pPr>
      <w:rPr>
        <w:b/>
        <w:i w:val="0"/>
        <w:u w:val="none"/>
      </w:rPr>
    </w:lvl>
    <w:lvl w:ilvl="2">
      <w:start w:val="1"/>
      <w:numFmt w:val="decimal"/>
      <w:suff w:val="space"/>
      <w:lvlText w:val="%3.  "/>
      <w:lvlJc w:val="left"/>
      <w:pPr>
        <w:ind w:left="0" w:firstLine="0"/>
      </w:pPr>
      <w:rPr>
        <w:u w:val="none"/>
      </w:rPr>
    </w:lvl>
    <w:lvl w:ilvl="3">
      <w:start w:val="1"/>
      <w:numFmt w:val="lowerLetter"/>
      <w:suff w:val="space"/>
      <w:lvlText w:val="(%4)  "/>
      <w:lvlJc w:val="left"/>
      <w:pPr>
        <w:ind w:left="0" w:firstLine="0"/>
      </w:pPr>
      <w:rPr>
        <w:b w:val="0"/>
        <w:i w:val="0"/>
        <w:u w:val="none"/>
      </w:rPr>
    </w:lvl>
    <w:lvl w:ilvl="4">
      <w:start w:val="1"/>
      <w:numFmt w:val="lowerRoman"/>
      <w:suff w:val="space"/>
      <w:lvlText w:val="(%5)  "/>
      <w:lvlJc w:val="left"/>
      <w:pPr>
        <w:ind w:left="0" w:firstLine="851"/>
      </w:pPr>
      <w:rPr>
        <w:caps w:val="0"/>
        <w:strike w:val="0"/>
        <w:dstrike w:val="0"/>
        <w:vanish w:val="0"/>
        <w:u w:val="none"/>
        <w:vertAlign w:val="baseline"/>
      </w:rPr>
    </w:lvl>
    <w:lvl w:ilvl="5">
      <w:start w:val="1"/>
      <w:numFmt w:val="lowerLetter"/>
      <w:suff w:val="space"/>
      <w:lvlText w:val="%6.  "/>
      <w:lvlJc w:val="left"/>
      <w:pPr>
        <w:ind w:left="0" w:firstLine="1701"/>
      </w:pPr>
      <w:rPr>
        <w:u w:val="none"/>
      </w:rPr>
    </w:lvl>
    <w:lvl w:ilvl="6">
      <w:start w:val="1"/>
      <w:numFmt w:val="lowerRoman"/>
      <w:suff w:val="space"/>
      <w:lvlText w:val="%7.  "/>
      <w:lvlJc w:val="left"/>
      <w:pPr>
        <w:ind w:left="0" w:firstLine="2552"/>
      </w:pPr>
      <w:rPr>
        <w:u w:val="no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5E6B006F"/>
    <w:multiLevelType w:val="multilevel"/>
    <w:tmpl w:val="0C0A0023"/>
    <w:styleLink w:val="ArticleSection"/>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nsid w:val="61C80765"/>
    <w:multiLevelType w:val="hybridMultilevel"/>
    <w:tmpl w:val="ED625386"/>
    <w:lvl w:ilvl="0" w:tplc="5FBE5FCA">
      <w:start w:val="1"/>
      <w:numFmt w:val="decimal"/>
      <w:lvlText w:val="%1."/>
      <w:lvlJc w:val="left"/>
      <w:pPr>
        <w:ind w:left="2257" w:hanging="555"/>
      </w:pPr>
      <w:rPr>
        <w:rFonts w:hint="default"/>
        <w:b w:val="0"/>
        <w:bCs/>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5">
    <w:nsid w:val="67E748C0"/>
    <w:multiLevelType w:val="hybridMultilevel"/>
    <w:tmpl w:val="82184A1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nsid w:val="68BB2CBA"/>
    <w:multiLevelType w:val="hybridMultilevel"/>
    <w:tmpl w:val="ED625386"/>
    <w:lvl w:ilvl="0" w:tplc="5FBE5FCA">
      <w:start w:val="1"/>
      <w:numFmt w:val="decimal"/>
      <w:lvlText w:val="%1."/>
      <w:lvlJc w:val="left"/>
      <w:pPr>
        <w:ind w:left="2257" w:hanging="555"/>
      </w:pPr>
      <w:rPr>
        <w:rFonts w:hint="default"/>
        <w:b w:val="0"/>
        <w:bCs/>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7">
    <w:nsid w:val="6AFD3DE4"/>
    <w:multiLevelType w:val="hybridMultilevel"/>
    <w:tmpl w:val="569E52D4"/>
    <w:lvl w:ilvl="0" w:tplc="01823A3A">
      <w:start w:val="1"/>
      <w:numFmt w:val="bullet"/>
      <w:pStyle w:val="Bullet1G"/>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6E39508F"/>
    <w:multiLevelType w:val="hybridMultilevel"/>
    <w:tmpl w:val="A8007BE0"/>
    <w:lvl w:ilvl="0" w:tplc="FFFFFFFF">
      <w:start w:val="1"/>
      <w:numFmt w:val="upperLetter"/>
      <w:pStyle w:val="TOC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70996C25"/>
    <w:multiLevelType w:val="hybridMultilevel"/>
    <w:tmpl w:val="05388230"/>
    <w:lvl w:ilvl="0" w:tplc="11427EDE">
      <w:start w:val="1"/>
      <w:numFmt w:val="decimal"/>
      <w:lvlText w:val="%1."/>
      <w:lvlJc w:val="left"/>
      <w:pPr>
        <w:ind w:left="2257" w:hanging="555"/>
      </w:pPr>
      <w:rPr>
        <w:rFonts w:hint="default"/>
        <w:b w:val="0"/>
        <w:bCs/>
        <w:i w:val="0"/>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0">
    <w:nsid w:val="717F546F"/>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79DC3D89"/>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2">
    <w:nsid w:val="7CF349BD"/>
    <w:multiLevelType w:val="singleLevel"/>
    <w:tmpl w:val="51D4BF5A"/>
    <w:lvl w:ilvl="0">
      <w:start w:val="1"/>
      <w:numFmt w:val="lowerRoman"/>
      <w:pStyle w:val="Rom1"/>
      <w:lvlText w:val="(%1)"/>
      <w:lvlJc w:val="right"/>
      <w:pPr>
        <w:tabs>
          <w:tab w:val="num" w:pos="1440"/>
        </w:tabs>
        <w:ind w:left="1440" w:hanging="589"/>
      </w:pPr>
      <w:rPr>
        <w:rFonts w:hint="default"/>
      </w:rPr>
    </w:lvl>
  </w:abstractNum>
  <w:num w:numId="1">
    <w:abstractNumId w:val="28"/>
  </w:num>
  <w:num w:numId="2">
    <w:abstractNumId w:val="27"/>
  </w:num>
  <w:num w:numId="3">
    <w:abstractNumId w:val="13"/>
  </w:num>
  <w:num w:numId="4">
    <w:abstractNumId w:val="31"/>
  </w:num>
  <w:num w:numId="5">
    <w:abstractNumId w:val="30"/>
  </w:num>
  <w:num w:numId="6">
    <w:abstractNumId w:val="23"/>
  </w:num>
  <w:num w:numId="7">
    <w:abstractNumId w:val="9"/>
  </w:num>
  <w:num w:numId="8">
    <w:abstractNumId w:val="4"/>
  </w:num>
  <w:num w:numId="9">
    <w:abstractNumId w:val="3"/>
  </w:num>
  <w:num w:numId="10">
    <w:abstractNumId w:val="2"/>
  </w:num>
  <w:num w:numId="11">
    <w:abstractNumId w:val="1"/>
  </w:num>
  <w:num w:numId="12">
    <w:abstractNumId w:val="10"/>
  </w:num>
  <w:num w:numId="13">
    <w:abstractNumId w:val="8"/>
  </w:num>
  <w:num w:numId="14">
    <w:abstractNumId w:val="7"/>
  </w:num>
  <w:num w:numId="15">
    <w:abstractNumId w:val="6"/>
  </w:num>
  <w:num w:numId="16">
    <w:abstractNumId w:val="5"/>
  </w:num>
  <w:num w:numId="17">
    <w:abstractNumId w:val="19"/>
  </w:num>
  <w:num w:numId="18">
    <w:abstractNumId w:val="20"/>
  </w:num>
  <w:num w:numId="19">
    <w:abstractNumId w:val="12"/>
  </w:num>
  <w:num w:numId="20">
    <w:abstractNumId w:val="24"/>
  </w:num>
  <w:num w:numId="21">
    <w:abstractNumId w:val="14"/>
  </w:num>
  <w:num w:numId="22">
    <w:abstractNumId w:val="29"/>
  </w:num>
  <w:num w:numId="23">
    <w:abstractNumId w:val="26"/>
  </w:num>
  <w:num w:numId="24">
    <w:abstractNumId w:val="32"/>
  </w:num>
  <w:num w:numId="25">
    <w:abstractNumId w:val="16"/>
  </w:num>
  <w:num w:numId="26">
    <w:abstractNumId w:val="21"/>
  </w:num>
  <w:num w:numId="27">
    <w:abstractNumId w:val="15"/>
  </w:num>
  <w:num w:numId="28">
    <w:abstractNumId w:val="0"/>
  </w:num>
  <w:num w:numId="29">
    <w:abstractNumId w:val="11"/>
  </w:num>
  <w:num w:numId="30">
    <w:abstractNumId w:val="22"/>
  </w:num>
  <w:num w:numId="31">
    <w:abstractNumId w:val="17"/>
  </w:num>
  <w:num w:numId="32">
    <w:abstractNumId w:val="18"/>
  </w:num>
  <w:num w:numId="33">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ZA"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B04"/>
    <w:rsid w:val="00000A16"/>
    <w:rsid w:val="00000FCA"/>
    <w:rsid w:val="0000111A"/>
    <w:rsid w:val="0000266C"/>
    <w:rsid w:val="00003E76"/>
    <w:rsid w:val="00004472"/>
    <w:rsid w:val="0000574E"/>
    <w:rsid w:val="00005C28"/>
    <w:rsid w:val="00010D43"/>
    <w:rsid w:val="00011DFF"/>
    <w:rsid w:val="000134A5"/>
    <w:rsid w:val="0001388C"/>
    <w:rsid w:val="000170FB"/>
    <w:rsid w:val="00021790"/>
    <w:rsid w:val="00021E2C"/>
    <w:rsid w:val="00022110"/>
    <w:rsid w:val="0002241B"/>
    <w:rsid w:val="00023224"/>
    <w:rsid w:val="00023D2D"/>
    <w:rsid w:val="000240C3"/>
    <w:rsid w:val="00024C0B"/>
    <w:rsid w:val="00026255"/>
    <w:rsid w:val="000263E4"/>
    <w:rsid w:val="0002711B"/>
    <w:rsid w:val="00027C2F"/>
    <w:rsid w:val="00027D4F"/>
    <w:rsid w:val="00027EFF"/>
    <w:rsid w:val="00030C5A"/>
    <w:rsid w:val="00031EF7"/>
    <w:rsid w:val="00031F5E"/>
    <w:rsid w:val="0003386F"/>
    <w:rsid w:val="00033B36"/>
    <w:rsid w:val="00035254"/>
    <w:rsid w:val="00037559"/>
    <w:rsid w:val="00037573"/>
    <w:rsid w:val="00037B10"/>
    <w:rsid w:val="000403EA"/>
    <w:rsid w:val="000438D3"/>
    <w:rsid w:val="00044872"/>
    <w:rsid w:val="00044970"/>
    <w:rsid w:val="00044F8B"/>
    <w:rsid w:val="00045337"/>
    <w:rsid w:val="00045689"/>
    <w:rsid w:val="00045F6D"/>
    <w:rsid w:val="00046733"/>
    <w:rsid w:val="00046B25"/>
    <w:rsid w:val="00046C52"/>
    <w:rsid w:val="00046CEE"/>
    <w:rsid w:val="00050249"/>
    <w:rsid w:val="000509A4"/>
    <w:rsid w:val="00050A54"/>
    <w:rsid w:val="00051422"/>
    <w:rsid w:val="00053229"/>
    <w:rsid w:val="00053554"/>
    <w:rsid w:val="00053CDF"/>
    <w:rsid w:val="00053EC4"/>
    <w:rsid w:val="000554FD"/>
    <w:rsid w:val="00055D05"/>
    <w:rsid w:val="00060830"/>
    <w:rsid w:val="000613B8"/>
    <w:rsid w:val="00062662"/>
    <w:rsid w:val="0006494F"/>
    <w:rsid w:val="00064B6B"/>
    <w:rsid w:val="000652D5"/>
    <w:rsid w:val="00075BB6"/>
    <w:rsid w:val="00076BB2"/>
    <w:rsid w:val="00076C18"/>
    <w:rsid w:val="00077636"/>
    <w:rsid w:val="00080640"/>
    <w:rsid w:val="000814BD"/>
    <w:rsid w:val="000817D5"/>
    <w:rsid w:val="000821E0"/>
    <w:rsid w:val="000831AE"/>
    <w:rsid w:val="00084030"/>
    <w:rsid w:val="000844C8"/>
    <w:rsid w:val="00084A48"/>
    <w:rsid w:val="0008704E"/>
    <w:rsid w:val="00087FA7"/>
    <w:rsid w:val="00090C23"/>
    <w:rsid w:val="00091231"/>
    <w:rsid w:val="000916DB"/>
    <w:rsid w:val="00091E50"/>
    <w:rsid w:val="00093755"/>
    <w:rsid w:val="00095D28"/>
    <w:rsid w:val="0009734C"/>
    <w:rsid w:val="0009770B"/>
    <w:rsid w:val="000977A2"/>
    <w:rsid w:val="00097A39"/>
    <w:rsid w:val="00097A90"/>
    <w:rsid w:val="000A2067"/>
    <w:rsid w:val="000A2CE5"/>
    <w:rsid w:val="000A4130"/>
    <w:rsid w:val="000A42A2"/>
    <w:rsid w:val="000A4506"/>
    <w:rsid w:val="000A473D"/>
    <w:rsid w:val="000A5F1C"/>
    <w:rsid w:val="000A789D"/>
    <w:rsid w:val="000B0375"/>
    <w:rsid w:val="000B1D6A"/>
    <w:rsid w:val="000B2145"/>
    <w:rsid w:val="000B3768"/>
    <w:rsid w:val="000B3A14"/>
    <w:rsid w:val="000B3E75"/>
    <w:rsid w:val="000B4552"/>
    <w:rsid w:val="000B4AC4"/>
    <w:rsid w:val="000B5C9A"/>
    <w:rsid w:val="000B66EF"/>
    <w:rsid w:val="000B741B"/>
    <w:rsid w:val="000B7772"/>
    <w:rsid w:val="000B79AA"/>
    <w:rsid w:val="000B7BFD"/>
    <w:rsid w:val="000C1292"/>
    <w:rsid w:val="000C76D3"/>
    <w:rsid w:val="000D09DF"/>
    <w:rsid w:val="000D0BBA"/>
    <w:rsid w:val="000D3533"/>
    <w:rsid w:val="000D3745"/>
    <w:rsid w:val="000D491A"/>
    <w:rsid w:val="000D5211"/>
    <w:rsid w:val="000E0FB9"/>
    <w:rsid w:val="000E111A"/>
    <w:rsid w:val="000E11F8"/>
    <w:rsid w:val="000E3A46"/>
    <w:rsid w:val="000E4063"/>
    <w:rsid w:val="000E52B5"/>
    <w:rsid w:val="000E59DA"/>
    <w:rsid w:val="000E6F40"/>
    <w:rsid w:val="000E7986"/>
    <w:rsid w:val="000F296D"/>
    <w:rsid w:val="000F438B"/>
    <w:rsid w:val="000F4FBD"/>
    <w:rsid w:val="000F646B"/>
    <w:rsid w:val="000F7380"/>
    <w:rsid w:val="000F796B"/>
    <w:rsid w:val="00100F3A"/>
    <w:rsid w:val="001016CF"/>
    <w:rsid w:val="00101862"/>
    <w:rsid w:val="0010250C"/>
    <w:rsid w:val="00103FE1"/>
    <w:rsid w:val="001041A5"/>
    <w:rsid w:val="00106239"/>
    <w:rsid w:val="0010633B"/>
    <w:rsid w:val="00107577"/>
    <w:rsid w:val="001102DE"/>
    <w:rsid w:val="00110D7C"/>
    <w:rsid w:val="00110EAA"/>
    <w:rsid w:val="00112354"/>
    <w:rsid w:val="00112ACC"/>
    <w:rsid w:val="00113073"/>
    <w:rsid w:val="0011441E"/>
    <w:rsid w:val="00116BD3"/>
    <w:rsid w:val="00122CAA"/>
    <w:rsid w:val="00123D63"/>
    <w:rsid w:val="0012532C"/>
    <w:rsid w:val="001261C9"/>
    <w:rsid w:val="00127271"/>
    <w:rsid w:val="001326A3"/>
    <w:rsid w:val="00132DCC"/>
    <w:rsid w:val="001338BA"/>
    <w:rsid w:val="00133E95"/>
    <w:rsid w:val="00133F4D"/>
    <w:rsid w:val="0013463B"/>
    <w:rsid w:val="00134A06"/>
    <w:rsid w:val="00134C1A"/>
    <w:rsid w:val="00135428"/>
    <w:rsid w:val="00135557"/>
    <w:rsid w:val="00136714"/>
    <w:rsid w:val="001370C7"/>
    <w:rsid w:val="00137F8C"/>
    <w:rsid w:val="001409AB"/>
    <w:rsid w:val="00140CE2"/>
    <w:rsid w:val="0014143C"/>
    <w:rsid w:val="00142B0F"/>
    <w:rsid w:val="00142C4F"/>
    <w:rsid w:val="00143F99"/>
    <w:rsid w:val="00144A0F"/>
    <w:rsid w:val="00144D86"/>
    <w:rsid w:val="00146E4C"/>
    <w:rsid w:val="00147465"/>
    <w:rsid w:val="00147B05"/>
    <w:rsid w:val="00147B18"/>
    <w:rsid w:val="00150298"/>
    <w:rsid w:val="001539CA"/>
    <w:rsid w:val="00154557"/>
    <w:rsid w:val="00155760"/>
    <w:rsid w:val="0015592D"/>
    <w:rsid w:val="00156476"/>
    <w:rsid w:val="00157025"/>
    <w:rsid w:val="00157901"/>
    <w:rsid w:val="00160868"/>
    <w:rsid w:val="001608CB"/>
    <w:rsid w:val="001612FF"/>
    <w:rsid w:val="00163D2B"/>
    <w:rsid w:val="00164A3D"/>
    <w:rsid w:val="00164C7C"/>
    <w:rsid w:val="001650D7"/>
    <w:rsid w:val="001653A9"/>
    <w:rsid w:val="001669AB"/>
    <w:rsid w:val="00167059"/>
    <w:rsid w:val="00167117"/>
    <w:rsid w:val="001671A3"/>
    <w:rsid w:val="00167446"/>
    <w:rsid w:val="001676FE"/>
    <w:rsid w:val="00170925"/>
    <w:rsid w:val="00171BD4"/>
    <w:rsid w:val="00174C12"/>
    <w:rsid w:val="00174FFC"/>
    <w:rsid w:val="001751F3"/>
    <w:rsid w:val="00180528"/>
    <w:rsid w:val="00180B33"/>
    <w:rsid w:val="0018116C"/>
    <w:rsid w:val="00181340"/>
    <w:rsid w:val="00182E56"/>
    <w:rsid w:val="0018376B"/>
    <w:rsid w:val="00183DFB"/>
    <w:rsid w:val="00185494"/>
    <w:rsid w:val="00187649"/>
    <w:rsid w:val="00190E77"/>
    <w:rsid w:val="0019144C"/>
    <w:rsid w:val="0019169B"/>
    <w:rsid w:val="0019214B"/>
    <w:rsid w:val="001930CB"/>
    <w:rsid w:val="00194094"/>
    <w:rsid w:val="00194244"/>
    <w:rsid w:val="00195283"/>
    <w:rsid w:val="00195924"/>
    <w:rsid w:val="00195A5C"/>
    <w:rsid w:val="00195C0F"/>
    <w:rsid w:val="0019603D"/>
    <w:rsid w:val="00196582"/>
    <w:rsid w:val="00196C69"/>
    <w:rsid w:val="00196E77"/>
    <w:rsid w:val="0019745A"/>
    <w:rsid w:val="001979CD"/>
    <w:rsid w:val="001A03F1"/>
    <w:rsid w:val="001A0651"/>
    <w:rsid w:val="001A0814"/>
    <w:rsid w:val="001A33E0"/>
    <w:rsid w:val="001A3B1B"/>
    <w:rsid w:val="001A44DD"/>
    <w:rsid w:val="001A5644"/>
    <w:rsid w:val="001A59AC"/>
    <w:rsid w:val="001A689D"/>
    <w:rsid w:val="001A6C94"/>
    <w:rsid w:val="001A6F5E"/>
    <w:rsid w:val="001A71A0"/>
    <w:rsid w:val="001A7DDB"/>
    <w:rsid w:val="001B00A4"/>
    <w:rsid w:val="001B1C5F"/>
    <w:rsid w:val="001B1DBA"/>
    <w:rsid w:val="001B5271"/>
    <w:rsid w:val="001B5334"/>
    <w:rsid w:val="001B64DD"/>
    <w:rsid w:val="001B660E"/>
    <w:rsid w:val="001B6FEB"/>
    <w:rsid w:val="001B704D"/>
    <w:rsid w:val="001B7FE5"/>
    <w:rsid w:val="001C01D1"/>
    <w:rsid w:val="001C1C66"/>
    <w:rsid w:val="001C3642"/>
    <w:rsid w:val="001C4D3E"/>
    <w:rsid w:val="001C5B91"/>
    <w:rsid w:val="001C60E3"/>
    <w:rsid w:val="001C6E62"/>
    <w:rsid w:val="001D1CD8"/>
    <w:rsid w:val="001D221E"/>
    <w:rsid w:val="001D24D8"/>
    <w:rsid w:val="001D2635"/>
    <w:rsid w:val="001D6D3D"/>
    <w:rsid w:val="001D6E83"/>
    <w:rsid w:val="001D754A"/>
    <w:rsid w:val="001E00ED"/>
    <w:rsid w:val="001E065A"/>
    <w:rsid w:val="001E1808"/>
    <w:rsid w:val="001E3613"/>
    <w:rsid w:val="001E48B5"/>
    <w:rsid w:val="001E536B"/>
    <w:rsid w:val="001E5B50"/>
    <w:rsid w:val="001F088B"/>
    <w:rsid w:val="001F0A63"/>
    <w:rsid w:val="001F15D8"/>
    <w:rsid w:val="001F1921"/>
    <w:rsid w:val="001F2676"/>
    <w:rsid w:val="001F2BBB"/>
    <w:rsid w:val="001F2D19"/>
    <w:rsid w:val="001F3EBB"/>
    <w:rsid w:val="001F594B"/>
    <w:rsid w:val="001F5A8B"/>
    <w:rsid w:val="001F6428"/>
    <w:rsid w:val="001F7B7D"/>
    <w:rsid w:val="002007D8"/>
    <w:rsid w:val="0020197D"/>
    <w:rsid w:val="002032BD"/>
    <w:rsid w:val="00204A86"/>
    <w:rsid w:val="00204EF9"/>
    <w:rsid w:val="002073BD"/>
    <w:rsid w:val="002077FD"/>
    <w:rsid w:val="00207A85"/>
    <w:rsid w:val="00207C00"/>
    <w:rsid w:val="00210847"/>
    <w:rsid w:val="00210E30"/>
    <w:rsid w:val="0021128E"/>
    <w:rsid w:val="00211CEB"/>
    <w:rsid w:val="0021459C"/>
    <w:rsid w:val="00214A5C"/>
    <w:rsid w:val="002176D1"/>
    <w:rsid w:val="00217AF5"/>
    <w:rsid w:val="00222A20"/>
    <w:rsid w:val="002236AE"/>
    <w:rsid w:val="00223F72"/>
    <w:rsid w:val="002250E0"/>
    <w:rsid w:val="0022545F"/>
    <w:rsid w:val="0022578A"/>
    <w:rsid w:val="0022591A"/>
    <w:rsid w:val="002274A3"/>
    <w:rsid w:val="0023088C"/>
    <w:rsid w:val="002333A4"/>
    <w:rsid w:val="00234074"/>
    <w:rsid w:val="0023415A"/>
    <w:rsid w:val="002346F5"/>
    <w:rsid w:val="002349FB"/>
    <w:rsid w:val="0023518D"/>
    <w:rsid w:val="00235A93"/>
    <w:rsid w:val="00236181"/>
    <w:rsid w:val="002367AF"/>
    <w:rsid w:val="00236A83"/>
    <w:rsid w:val="00236EA9"/>
    <w:rsid w:val="00237AEC"/>
    <w:rsid w:val="002414FB"/>
    <w:rsid w:val="00241520"/>
    <w:rsid w:val="00241C69"/>
    <w:rsid w:val="00241CB7"/>
    <w:rsid w:val="00243071"/>
    <w:rsid w:val="0024654D"/>
    <w:rsid w:val="00247367"/>
    <w:rsid w:val="00250B13"/>
    <w:rsid w:val="002523E0"/>
    <w:rsid w:val="00252B37"/>
    <w:rsid w:val="00252E22"/>
    <w:rsid w:val="002534A2"/>
    <w:rsid w:val="00253EF5"/>
    <w:rsid w:val="00254C38"/>
    <w:rsid w:val="00256ECC"/>
    <w:rsid w:val="00257404"/>
    <w:rsid w:val="00261B33"/>
    <w:rsid w:val="00262D6E"/>
    <w:rsid w:val="0026358F"/>
    <w:rsid w:val="0026443A"/>
    <w:rsid w:val="0026461D"/>
    <w:rsid w:val="00265202"/>
    <w:rsid w:val="00266EA8"/>
    <w:rsid w:val="0026717E"/>
    <w:rsid w:val="002729DD"/>
    <w:rsid w:val="002732CF"/>
    <w:rsid w:val="002747E0"/>
    <w:rsid w:val="002755BB"/>
    <w:rsid w:val="00275841"/>
    <w:rsid w:val="00275EE3"/>
    <w:rsid w:val="00276B40"/>
    <w:rsid w:val="00281F7F"/>
    <w:rsid w:val="00282C64"/>
    <w:rsid w:val="00283923"/>
    <w:rsid w:val="00283994"/>
    <w:rsid w:val="00284AFC"/>
    <w:rsid w:val="002910DF"/>
    <w:rsid w:val="00293588"/>
    <w:rsid w:val="002945EA"/>
    <w:rsid w:val="00294D57"/>
    <w:rsid w:val="00294FDA"/>
    <w:rsid w:val="00295AC6"/>
    <w:rsid w:val="00295ADB"/>
    <w:rsid w:val="002978B3"/>
    <w:rsid w:val="002A02A4"/>
    <w:rsid w:val="002A0456"/>
    <w:rsid w:val="002A05A2"/>
    <w:rsid w:val="002A0C4F"/>
    <w:rsid w:val="002A0CA1"/>
    <w:rsid w:val="002A144C"/>
    <w:rsid w:val="002A15B7"/>
    <w:rsid w:val="002A2634"/>
    <w:rsid w:val="002A2B18"/>
    <w:rsid w:val="002A2BFA"/>
    <w:rsid w:val="002A2D29"/>
    <w:rsid w:val="002A2F94"/>
    <w:rsid w:val="002A38EA"/>
    <w:rsid w:val="002A499B"/>
    <w:rsid w:val="002A4AE1"/>
    <w:rsid w:val="002A74E8"/>
    <w:rsid w:val="002B0249"/>
    <w:rsid w:val="002B2160"/>
    <w:rsid w:val="002B254E"/>
    <w:rsid w:val="002B34A2"/>
    <w:rsid w:val="002B4136"/>
    <w:rsid w:val="002B42DE"/>
    <w:rsid w:val="002B47B6"/>
    <w:rsid w:val="002B60B5"/>
    <w:rsid w:val="002B6166"/>
    <w:rsid w:val="002B6F67"/>
    <w:rsid w:val="002C0058"/>
    <w:rsid w:val="002C197A"/>
    <w:rsid w:val="002C1C62"/>
    <w:rsid w:val="002C3123"/>
    <w:rsid w:val="002C33B3"/>
    <w:rsid w:val="002C449F"/>
    <w:rsid w:val="002C5373"/>
    <w:rsid w:val="002C5620"/>
    <w:rsid w:val="002C7490"/>
    <w:rsid w:val="002C7536"/>
    <w:rsid w:val="002D1015"/>
    <w:rsid w:val="002D1986"/>
    <w:rsid w:val="002D3D7F"/>
    <w:rsid w:val="002D533F"/>
    <w:rsid w:val="002D658E"/>
    <w:rsid w:val="002D6849"/>
    <w:rsid w:val="002D6DAE"/>
    <w:rsid w:val="002E50B8"/>
    <w:rsid w:val="002E56E8"/>
    <w:rsid w:val="002F0103"/>
    <w:rsid w:val="002F01A4"/>
    <w:rsid w:val="002F0922"/>
    <w:rsid w:val="002F3893"/>
    <w:rsid w:val="002F3E51"/>
    <w:rsid w:val="002F4085"/>
    <w:rsid w:val="002F44C3"/>
    <w:rsid w:val="002F6996"/>
    <w:rsid w:val="002F7257"/>
    <w:rsid w:val="00300509"/>
    <w:rsid w:val="00301CBB"/>
    <w:rsid w:val="00303F1A"/>
    <w:rsid w:val="003052F6"/>
    <w:rsid w:val="00305B0F"/>
    <w:rsid w:val="00305BC1"/>
    <w:rsid w:val="00306608"/>
    <w:rsid w:val="00306AE1"/>
    <w:rsid w:val="00310486"/>
    <w:rsid w:val="003110B9"/>
    <w:rsid w:val="003117AD"/>
    <w:rsid w:val="00312586"/>
    <w:rsid w:val="003140B6"/>
    <w:rsid w:val="0031454E"/>
    <w:rsid w:val="00314825"/>
    <w:rsid w:val="0031509B"/>
    <w:rsid w:val="00315129"/>
    <w:rsid w:val="00317545"/>
    <w:rsid w:val="00317622"/>
    <w:rsid w:val="00317935"/>
    <w:rsid w:val="00321C0D"/>
    <w:rsid w:val="003230F5"/>
    <w:rsid w:val="00323888"/>
    <w:rsid w:val="00324605"/>
    <w:rsid w:val="003247F2"/>
    <w:rsid w:val="0032565A"/>
    <w:rsid w:val="00327550"/>
    <w:rsid w:val="00330927"/>
    <w:rsid w:val="00330D46"/>
    <w:rsid w:val="00332503"/>
    <w:rsid w:val="0033296D"/>
    <w:rsid w:val="0033309F"/>
    <w:rsid w:val="00333486"/>
    <w:rsid w:val="00333588"/>
    <w:rsid w:val="003335EE"/>
    <w:rsid w:val="00334223"/>
    <w:rsid w:val="0033758A"/>
    <w:rsid w:val="003404F7"/>
    <w:rsid w:val="00340505"/>
    <w:rsid w:val="00340AEC"/>
    <w:rsid w:val="003418D6"/>
    <w:rsid w:val="00342D6F"/>
    <w:rsid w:val="00342DCB"/>
    <w:rsid w:val="00342F10"/>
    <w:rsid w:val="003451CE"/>
    <w:rsid w:val="003472A8"/>
    <w:rsid w:val="00347525"/>
    <w:rsid w:val="00347EE0"/>
    <w:rsid w:val="0035065F"/>
    <w:rsid w:val="00350E57"/>
    <w:rsid w:val="00352030"/>
    <w:rsid w:val="00353589"/>
    <w:rsid w:val="00353BC3"/>
    <w:rsid w:val="00354B06"/>
    <w:rsid w:val="0035527F"/>
    <w:rsid w:val="00355405"/>
    <w:rsid w:val="003565B6"/>
    <w:rsid w:val="00356CDB"/>
    <w:rsid w:val="00356D3D"/>
    <w:rsid w:val="003577DF"/>
    <w:rsid w:val="00360624"/>
    <w:rsid w:val="00361BA7"/>
    <w:rsid w:val="00361ED9"/>
    <w:rsid w:val="00362305"/>
    <w:rsid w:val="00363D2E"/>
    <w:rsid w:val="003640F5"/>
    <w:rsid w:val="00364EB5"/>
    <w:rsid w:val="0036556E"/>
    <w:rsid w:val="00365C90"/>
    <w:rsid w:val="003666B4"/>
    <w:rsid w:val="00366A0A"/>
    <w:rsid w:val="00366F80"/>
    <w:rsid w:val="00367069"/>
    <w:rsid w:val="00371CF5"/>
    <w:rsid w:val="0037212D"/>
    <w:rsid w:val="0037654A"/>
    <w:rsid w:val="00376D7B"/>
    <w:rsid w:val="00376EAE"/>
    <w:rsid w:val="003774D9"/>
    <w:rsid w:val="003814B9"/>
    <w:rsid w:val="00381604"/>
    <w:rsid w:val="00382903"/>
    <w:rsid w:val="00383897"/>
    <w:rsid w:val="00384963"/>
    <w:rsid w:val="003859DC"/>
    <w:rsid w:val="003863FF"/>
    <w:rsid w:val="003868AD"/>
    <w:rsid w:val="00387FD2"/>
    <w:rsid w:val="00390439"/>
    <w:rsid w:val="00391203"/>
    <w:rsid w:val="00391A0B"/>
    <w:rsid w:val="00394F6C"/>
    <w:rsid w:val="0039604A"/>
    <w:rsid w:val="00396598"/>
    <w:rsid w:val="0039687F"/>
    <w:rsid w:val="003A072F"/>
    <w:rsid w:val="003A0BCD"/>
    <w:rsid w:val="003A1402"/>
    <w:rsid w:val="003A17F3"/>
    <w:rsid w:val="003A222B"/>
    <w:rsid w:val="003A23AD"/>
    <w:rsid w:val="003A2DEE"/>
    <w:rsid w:val="003A3062"/>
    <w:rsid w:val="003A462D"/>
    <w:rsid w:val="003A5008"/>
    <w:rsid w:val="003A5E13"/>
    <w:rsid w:val="003A6186"/>
    <w:rsid w:val="003A6ED6"/>
    <w:rsid w:val="003A74B0"/>
    <w:rsid w:val="003A7922"/>
    <w:rsid w:val="003A7FD1"/>
    <w:rsid w:val="003B020E"/>
    <w:rsid w:val="003B1DD2"/>
    <w:rsid w:val="003B1FDC"/>
    <w:rsid w:val="003B24B0"/>
    <w:rsid w:val="003B2CEE"/>
    <w:rsid w:val="003B3506"/>
    <w:rsid w:val="003B4AD0"/>
    <w:rsid w:val="003B5FF6"/>
    <w:rsid w:val="003B62CC"/>
    <w:rsid w:val="003B6C34"/>
    <w:rsid w:val="003B759C"/>
    <w:rsid w:val="003B77D9"/>
    <w:rsid w:val="003C0154"/>
    <w:rsid w:val="003C2261"/>
    <w:rsid w:val="003C3319"/>
    <w:rsid w:val="003C34CB"/>
    <w:rsid w:val="003C3917"/>
    <w:rsid w:val="003C5A43"/>
    <w:rsid w:val="003C5B70"/>
    <w:rsid w:val="003C663C"/>
    <w:rsid w:val="003D00F3"/>
    <w:rsid w:val="003D0719"/>
    <w:rsid w:val="003D0821"/>
    <w:rsid w:val="003D0A13"/>
    <w:rsid w:val="003D0E7F"/>
    <w:rsid w:val="003D11B1"/>
    <w:rsid w:val="003D1DED"/>
    <w:rsid w:val="003D241A"/>
    <w:rsid w:val="003D33F9"/>
    <w:rsid w:val="003D3993"/>
    <w:rsid w:val="003D4647"/>
    <w:rsid w:val="003D7E27"/>
    <w:rsid w:val="003E0433"/>
    <w:rsid w:val="003E11B2"/>
    <w:rsid w:val="003E19A3"/>
    <w:rsid w:val="003E211D"/>
    <w:rsid w:val="003E2133"/>
    <w:rsid w:val="003E2992"/>
    <w:rsid w:val="003E4059"/>
    <w:rsid w:val="003E4AFC"/>
    <w:rsid w:val="003E4F45"/>
    <w:rsid w:val="003E5788"/>
    <w:rsid w:val="003F0119"/>
    <w:rsid w:val="003F04A3"/>
    <w:rsid w:val="003F105C"/>
    <w:rsid w:val="003F355C"/>
    <w:rsid w:val="003F3711"/>
    <w:rsid w:val="003F38A7"/>
    <w:rsid w:val="003F4B17"/>
    <w:rsid w:val="003F4C78"/>
    <w:rsid w:val="003F58A5"/>
    <w:rsid w:val="003F63CA"/>
    <w:rsid w:val="003F65E4"/>
    <w:rsid w:val="003F6BCD"/>
    <w:rsid w:val="003F72C3"/>
    <w:rsid w:val="003F7ED2"/>
    <w:rsid w:val="00400852"/>
    <w:rsid w:val="00401312"/>
    <w:rsid w:val="00402E91"/>
    <w:rsid w:val="00402F68"/>
    <w:rsid w:val="00403869"/>
    <w:rsid w:val="00404277"/>
    <w:rsid w:val="00407CF1"/>
    <w:rsid w:val="00410725"/>
    <w:rsid w:val="00411D6B"/>
    <w:rsid w:val="004131F4"/>
    <w:rsid w:val="00414816"/>
    <w:rsid w:val="00415C91"/>
    <w:rsid w:val="00417AD6"/>
    <w:rsid w:val="00420813"/>
    <w:rsid w:val="00423FEE"/>
    <w:rsid w:val="00424883"/>
    <w:rsid w:val="0042492F"/>
    <w:rsid w:val="004254AA"/>
    <w:rsid w:val="0042594F"/>
    <w:rsid w:val="004259CD"/>
    <w:rsid w:val="00425D71"/>
    <w:rsid w:val="00426C26"/>
    <w:rsid w:val="004274DA"/>
    <w:rsid w:val="004277A4"/>
    <w:rsid w:val="0042797A"/>
    <w:rsid w:val="00427F3F"/>
    <w:rsid w:val="00430846"/>
    <w:rsid w:val="0043116C"/>
    <w:rsid w:val="00431C77"/>
    <w:rsid w:val="00432531"/>
    <w:rsid w:val="00433FFD"/>
    <w:rsid w:val="00434081"/>
    <w:rsid w:val="004342DA"/>
    <w:rsid w:val="00434431"/>
    <w:rsid w:val="004362CB"/>
    <w:rsid w:val="004405AE"/>
    <w:rsid w:val="0044301D"/>
    <w:rsid w:val="004456CA"/>
    <w:rsid w:val="00445FF1"/>
    <w:rsid w:val="004460BF"/>
    <w:rsid w:val="00446257"/>
    <w:rsid w:val="00446E00"/>
    <w:rsid w:val="00450616"/>
    <w:rsid w:val="00450F8E"/>
    <w:rsid w:val="00451119"/>
    <w:rsid w:val="00451FA4"/>
    <w:rsid w:val="00453BBE"/>
    <w:rsid w:val="00453D58"/>
    <w:rsid w:val="00454748"/>
    <w:rsid w:val="004554F3"/>
    <w:rsid w:val="00455779"/>
    <w:rsid w:val="00456C2C"/>
    <w:rsid w:val="0045719B"/>
    <w:rsid w:val="00457A42"/>
    <w:rsid w:val="00461BF3"/>
    <w:rsid w:val="00462823"/>
    <w:rsid w:val="00463CBB"/>
    <w:rsid w:val="00463FB8"/>
    <w:rsid w:val="004647D6"/>
    <w:rsid w:val="00465021"/>
    <w:rsid w:val="0046578A"/>
    <w:rsid w:val="00466857"/>
    <w:rsid w:val="004717A5"/>
    <w:rsid w:val="00472352"/>
    <w:rsid w:val="00472F42"/>
    <w:rsid w:val="00472F58"/>
    <w:rsid w:val="00473261"/>
    <w:rsid w:val="00474B7D"/>
    <w:rsid w:val="004755DF"/>
    <w:rsid w:val="004765FA"/>
    <w:rsid w:val="00481266"/>
    <w:rsid w:val="004816B3"/>
    <w:rsid w:val="00482322"/>
    <w:rsid w:val="004824F0"/>
    <w:rsid w:val="004829F1"/>
    <w:rsid w:val="00482A72"/>
    <w:rsid w:val="00482C56"/>
    <w:rsid w:val="00484826"/>
    <w:rsid w:val="00484B5E"/>
    <w:rsid w:val="00484C66"/>
    <w:rsid w:val="004875D2"/>
    <w:rsid w:val="00487C14"/>
    <w:rsid w:val="00487D59"/>
    <w:rsid w:val="00490086"/>
    <w:rsid w:val="00490A09"/>
    <w:rsid w:val="00490E2A"/>
    <w:rsid w:val="0049125B"/>
    <w:rsid w:val="00493089"/>
    <w:rsid w:val="0049545B"/>
    <w:rsid w:val="00495FAB"/>
    <w:rsid w:val="00496B16"/>
    <w:rsid w:val="00496CFB"/>
    <w:rsid w:val="00496D53"/>
    <w:rsid w:val="004A223F"/>
    <w:rsid w:val="004A6CE1"/>
    <w:rsid w:val="004A6FEE"/>
    <w:rsid w:val="004A7CA0"/>
    <w:rsid w:val="004B0987"/>
    <w:rsid w:val="004B18B0"/>
    <w:rsid w:val="004B2CED"/>
    <w:rsid w:val="004B37FE"/>
    <w:rsid w:val="004B4AD7"/>
    <w:rsid w:val="004B5777"/>
    <w:rsid w:val="004B597C"/>
    <w:rsid w:val="004B5D73"/>
    <w:rsid w:val="004B640A"/>
    <w:rsid w:val="004B6C82"/>
    <w:rsid w:val="004C0026"/>
    <w:rsid w:val="004C0EA7"/>
    <w:rsid w:val="004C2522"/>
    <w:rsid w:val="004C2F68"/>
    <w:rsid w:val="004C2FE7"/>
    <w:rsid w:val="004C33C9"/>
    <w:rsid w:val="004C3426"/>
    <w:rsid w:val="004C440E"/>
    <w:rsid w:val="004C4913"/>
    <w:rsid w:val="004C565A"/>
    <w:rsid w:val="004C58E8"/>
    <w:rsid w:val="004C5CAA"/>
    <w:rsid w:val="004C5CE6"/>
    <w:rsid w:val="004C5DA7"/>
    <w:rsid w:val="004C6567"/>
    <w:rsid w:val="004C7F10"/>
    <w:rsid w:val="004D044C"/>
    <w:rsid w:val="004D105D"/>
    <w:rsid w:val="004D1A13"/>
    <w:rsid w:val="004D4B66"/>
    <w:rsid w:val="004D5206"/>
    <w:rsid w:val="004D535A"/>
    <w:rsid w:val="004D665B"/>
    <w:rsid w:val="004D6A45"/>
    <w:rsid w:val="004D78A7"/>
    <w:rsid w:val="004E1441"/>
    <w:rsid w:val="004E1B24"/>
    <w:rsid w:val="004E1FF1"/>
    <w:rsid w:val="004E319A"/>
    <w:rsid w:val="004E3ACB"/>
    <w:rsid w:val="004E3FD8"/>
    <w:rsid w:val="004E55B1"/>
    <w:rsid w:val="004E656E"/>
    <w:rsid w:val="004E66E0"/>
    <w:rsid w:val="004E6D2A"/>
    <w:rsid w:val="004E731C"/>
    <w:rsid w:val="004E7629"/>
    <w:rsid w:val="004F03D0"/>
    <w:rsid w:val="004F0556"/>
    <w:rsid w:val="004F13BB"/>
    <w:rsid w:val="004F1E4C"/>
    <w:rsid w:val="004F2E49"/>
    <w:rsid w:val="004F37D1"/>
    <w:rsid w:val="004F5B19"/>
    <w:rsid w:val="004F6D42"/>
    <w:rsid w:val="004F7F2C"/>
    <w:rsid w:val="005000F9"/>
    <w:rsid w:val="00500A31"/>
    <w:rsid w:val="00501999"/>
    <w:rsid w:val="005031FB"/>
    <w:rsid w:val="005034F8"/>
    <w:rsid w:val="00503A4E"/>
    <w:rsid w:val="005044DF"/>
    <w:rsid w:val="005053B7"/>
    <w:rsid w:val="00505FC7"/>
    <w:rsid w:val="00505FF6"/>
    <w:rsid w:val="00506E8E"/>
    <w:rsid w:val="00507902"/>
    <w:rsid w:val="0051183A"/>
    <w:rsid w:val="00513749"/>
    <w:rsid w:val="005144C6"/>
    <w:rsid w:val="00515EEA"/>
    <w:rsid w:val="00516793"/>
    <w:rsid w:val="005177E3"/>
    <w:rsid w:val="005203FC"/>
    <w:rsid w:val="00520B81"/>
    <w:rsid w:val="0052244E"/>
    <w:rsid w:val="00524E9A"/>
    <w:rsid w:val="0052502D"/>
    <w:rsid w:val="005255C5"/>
    <w:rsid w:val="00525B17"/>
    <w:rsid w:val="00525E00"/>
    <w:rsid w:val="0052733C"/>
    <w:rsid w:val="00530AD0"/>
    <w:rsid w:val="00530BA1"/>
    <w:rsid w:val="00531C14"/>
    <w:rsid w:val="00532BDC"/>
    <w:rsid w:val="005347CA"/>
    <w:rsid w:val="005349F2"/>
    <w:rsid w:val="005405E9"/>
    <w:rsid w:val="0054063E"/>
    <w:rsid w:val="005420C0"/>
    <w:rsid w:val="00543181"/>
    <w:rsid w:val="00544A19"/>
    <w:rsid w:val="00544D29"/>
    <w:rsid w:val="00546ADD"/>
    <w:rsid w:val="00546E04"/>
    <w:rsid w:val="00551E18"/>
    <w:rsid w:val="005538C1"/>
    <w:rsid w:val="0055396C"/>
    <w:rsid w:val="0055460A"/>
    <w:rsid w:val="00554F75"/>
    <w:rsid w:val="00555E8D"/>
    <w:rsid w:val="00560A32"/>
    <w:rsid w:val="00561AAE"/>
    <w:rsid w:val="00561BB8"/>
    <w:rsid w:val="00562535"/>
    <w:rsid w:val="00562BFB"/>
    <w:rsid w:val="005677DC"/>
    <w:rsid w:val="00567903"/>
    <w:rsid w:val="00567B85"/>
    <w:rsid w:val="0057001B"/>
    <w:rsid w:val="0057068E"/>
    <w:rsid w:val="005725EE"/>
    <w:rsid w:val="0057278F"/>
    <w:rsid w:val="00573AAC"/>
    <w:rsid w:val="00573B8D"/>
    <w:rsid w:val="00573D7B"/>
    <w:rsid w:val="00574879"/>
    <w:rsid w:val="00574882"/>
    <w:rsid w:val="00574932"/>
    <w:rsid w:val="00574AD5"/>
    <w:rsid w:val="00574B5A"/>
    <w:rsid w:val="0057650E"/>
    <w:rsid w:val="00576C1E"/>
    <w:rsid w:val="00577CBB"/>
    <w:rsid w:val="00581303"/>
    <w:rsid w:val="005815D4"/>
    <w:rsid w:val="00582225"/>
    <w:rsid w:val="00583F92"/>
    <w:rsid w:val="00585159"/>
    <w:rsid w:val="00586C71"/>
    <w:rsid w:val="00587AEA"/>
    <w:rsid w:val="00590052"/>
    <w:rsid w:val="00591248"/>
    <w:rsid w:val="0059143C"/>
    <w:rsid w:val="00591759"/>
    <w:rsid w:val="005932D8"/>
    <w:rsid w:val="00594A42"/>
    <w:rsid w:val="00594DF6"/>
    <w:rsid w:val="00594E80"/>
    <w:rsid w:val="00594FEF"/>
    <w:rsid w:val="005957FE"/>
    <w:rsid w:val="00597508"/>
    <w:rsid w:val="0059767D"/>
    <w:rsid w:val="005976BD"/>
    <w:rsid w:val="00597F9F"/>
    <w:rsid w:val="005A26A5"/>
    <w:rsid w:val="005A301C"/>
    <w:rsid w:val="005A30DA"/>
    <w:rsid w:val="005A32A4"/>
    <w:rsid w:val="005A5249"/>
    <w:rsid w:val="005A5769"/>
    <w:rsid w:val="005A5EE1"/>
    <w:rsid w:val="005A7894"/>
    <w:rsid w:val="005B236A"/>
    <w:rsid w:val="005B23D3"/>
    <w:rsid w:val="005B2640"/>
    <w:rsid w:val="005B2DD7"/>
    <w:rsid w:val="005B32F6"/>
    <w:rsid w:val="005B3733"/>
    <w:rsid w:val="005B39AF"/>
    <w:rsid w:val="005B4DDF"/>
    <w:rsid w:val="005B516E"/>
    <w:rsid w:val="005B5EFF"/>
    <w:rsid w:val="005B6301"/>
    <w:rsid w:val="005B634B"/>
    <w:rsid w:val="005C05A4"/>
    <w:rsid w:val="005C0846"/>
    <w:rsid w:val="005C175C"/>
    <w:rsid w:val="005C3431"/>
    <w:rsid w:val="005C3D53"/>
    <w:rsid w:val="005C41FA"/>
    <w:rsid w:val="005C5895"/>
    <w:rsid w:val="005C770B"/>
    <w:rsid w:val="005C77D1"/>
    <w:rsid w:val="005D0C26"/>
    <w:rsid w:val="005D169D"/>
    <w:rsid w:val="005D26AD"/>
    <w:rsid w:val="005D2841"/>
    <w:rsid w:val="005D2F36"/>
    <w:rsid w:val="005D6A3A"/>
    <w:rsid w:val="005E0524"/>
    <w:rsid w:val="005E45B1"/>
    <w:rsid w:val="005E4D40"/>
    <w:rsid w:val="005E6C04"/>
    <w:rsid w:val="005F0963"/>
    <w:rsid w:val="005F0C12"/>
    <w:rsid w:val="005F0FA9"/>
    <w:rsid w:val="005F2413"/>
    <w:rsid w:val="005F2C63"/>
    <w:rsid w:val="005F3E40"/>
    <w:rsid w:val="005F3E69"/>
    <w:rsid w:val="005F3EB6"/>
    <w:rsid w:val="005F3EBD"/>
    <w:rsid w:val="005F4A36"/>
    <w:rsid w:val="005F53AE"/>
    <w:rsid w:val="005F7955"/>
    <w:rsid w:val="005F7C19"/>
    <w:rsid w:val="00600027"/>
    <w:rsid w:val="006002C0"/>
    <w:rsid w:val="00600BA2"/>
    <w:rsid w:val="00600D76"/>
    <w:rsid w:val="00600DB8"/>
    <w:rsid w:val="006017FF"/>
    <w:rsid w:val="00604A14"/>
    <w:rsid w:val="00605FC6"/>
    <w:rsid w:val="00606F5B"/>
    <w:rsid w:val="00606F6B"/>
    <w:rsid w:val="00607055"/>
    <w:rsid w:val="00607557"/>
    <w:rsid w:val="00613AEC"/>
    <w:rsid w:val="00613C7D"/>
    <w:rsid w:val="00613E82"/>
    <w:rsid w:val="00614659"/>
    <w:rsid w:val="00614AF4"/>
    <w:rsid w:val="00615C71"/>
    <w:rsid w:val="00617BC0"/>
    <w:rsid w:val="00617E3D"/>
    <w:rsid w:val="00620A05"/>
    <w:rsid w:val="00621555"/>
    <w:rsid w:val="006227BA"/>
    <w:rsid w:val="00624152"/>
    <w:rsid w:val="0062487C"/>
    <w:rsid w:val="00624C03"/>
    <w:rsid w:val="0062647C"/>
    <w:rsid w:val="00626FE3"/>
    <w:rsid w:val="00627579"/>
    <w:rsid w:val="0062774F"/>
    <w:rsid w:val="00627E3A"/>
    <w:rsid w:val="00630388"/>
    <w:rsid w:val="00631DBA"/>
    <w:rsid w:val="00632377"/>
    <w:rsid w:val="00632453"/>
    <w:rsid w:val="0063279F"/>
    <w:rsid w:val="00632883"/>
    <w:rsid w:val="006328E9"/>
    <w:rsid w:val="006329E3"/>
    <w:rsid w:val="0063543F"/>
    <w:rsid w:val="00635DBE"/>
    <w:rsid w:val="00635E7B"/>
    <w:rsid w:val="00635F7D"/>
    <w:rsid w:val="00641D41"/>
    <w:rsid w:val="006441E1"/>
    <w:rsid w:val="006446AF"/>
    <w:rsid w:val="00645030"/>
    <w:rsid w:val="00645758"/>
    <w:rsid w:val="006457E5"/>
    <w:rsid w:val="00646659"/>
    <w:rsid w:val="00646D26"/>
    <w:rsid w:val="00650F12"/>
    <w:rsid w:val="006511C6"/>
    <w:rsid w:val="006526D2"/>
    <w:rsid w:val="00656AEB"/>
    <w:rsid w:val="0065717D"/>
    <w:rsid w:val="00657809"/>
    <w:rsid w:val="00657F05"/>
    <w:rsid w:val="00660A16"/>
    <w:rsid w:val="0066166F"/>
    <w:rsid w:val="00662193"/>
    <w:rsid w:val="00664D02"/>
    <w:rsid w:val="00664EB3"/>
    <w:rsid w:val="00666777"/>
    <w:rsid w:val="006667E0"/>
    <w:rsid w:val="0066779F"/>
    <w:rsid w:val="0067029E"/>
    <w:rsid w:val="006717D0"/>
    <w:rsid w:val="00674367"/>
    <w:rsid w:val="006770DB"/>
    <w:rsid w:val="006802A6"/>
    <w:rsid w:val="006806FD"/>
    <w:rsid w:val="00681ED0"/>
    <w:rsid w:val="00684192"/>
    <w:rsid w:val="00684499"/>
    <w:rsid w:val="00685DFA"/>
    <w:rsid w:val="00686146"/>
    <w:rsid w:val="0068763B"/>
    <w:rsid w:val="00687886"/>
    <w:rsid w:val="00687928"/>
    <w:rsid w:val="00690D0E"/>
    <w:rsid w:val="006924B8"/>
    <w:rsid w:val="0069407D"/>
    <w:rsid w:val="006957FF"/>
    <w:rsid w:val="00695A3E"/>
    <w:rsid w:val="00695C37"/>
    <w:rsid w:val="0069669A"/>
    <w:rsid w:val="00696A7A"/>
    <w:rsid w:val="0069749C"/>
    <w:rsid w:val="006A1CA5"/>
    <w:rsid w:val="006A3260"/>
    <w:rsid w:val="006A5694"/>
    <w:rsid w:val="006A6907"/>
    <w:rsid w:val="006A762F"/>
    <w:rsid w:val="006A7A1F"/>
    <w:rsid w:val="006A7CB7"/>
    <w:rsid w:val="006A7CDF"/>
    <w:rsid w:val="006B00B5"/>
    <w:rsid w:val="006B31A8"/>
    <w:rsid w:val="006B33FF"/>
    <w:rsid w:val="006B3A5A"/>
    <w:rsid w:val="006B3B5E"/>
    <w:rsid w:val="006B40E4"/>
    <w:rsid w:val="006B45C4"/>
    <w:rsid w:val="006B47B5"/>
    <w:rsid w:val="006B6F16"/>
    <w:rsid w:val="006C069E"/>
    <w:rsid w:val="006C0791"/>
    <w:rsid w:val="006C1746"/>
    <w:rsid w:val="006C409D"/>
    <w:rsid w:val="006C4BBA"/>
    <w:rsid w:val="006C5F49"/>
    <w:rsid w:val="006C6B1D"/>
    <w:rsid w:val="006C7AA9"/>
    <w:rsid w:val="006C7FE1"/>
    <w:rsid w:val="006D020E"/>
    <w:rsid w:val="006D0278"/>
    <w:rsid w:val="006D04EB"/>
    <w:rsid w:val="006D0A1D"/>
    <w:rsid w:val="006D45AC"/>
    <w:rsid w:val="006D4C6C"/>
    <w:rsid w:val="006D54E2"/>
    <w:rsid w:val="006D57AA"/>
    <w:rsid w:val="006D5DA2"/>
    <w:rsid w:val="006D6006"/>
    <w:rsid w:val="006D691A"/>
    <w:rsid w:val="006E0FA4"/>
    <w:rsid w:val="006E146D"/>
    <w:rsid w:val="006E14F8"/>
    <w:rsid w:val="006E2EB5"/>
    <w:rsid w:val="006E3017"/>
    <w:rsid w:val="006E4597"/>
    <w:rsid w:val="006E5454"/>
    <w:rsid w:val="006E5C7B"/>
    <w:rsid w:val="006E7698"/>
    <w:rsid w:val="006F0147"/>
    <w:rsid w:val="006F02BF"/>
    <w:rsid w:val="006F0ABD"/>
    <w:rsid w:val="006F384B"/>
    <w:rsid w:val="006F39EE"/>
    <w:rsid w:val="006F3BF8"/>
    <w:rsid w:val="006F5544"/>
    <w:rsid w:val="006F56DA"/>
    <w:rsid w:val="006F64D2"/>
    <w:rsid w:val="006F6E3E"/>
    <w:rsid w:val="006F73FC"/>
    <w:rsid w:val="007027AC"/>
    <w:rsid w:val="00702A22"/>
    <w:rsid w:val="00703AF9"/>
    <w:rsid w:val="007041A6"/>
    <w:rsid w:val="00704C12"/>
    <w:rsid w:val="00704CAC"/>
    <w:rsid w:val="007068D6"/>
    <w:rsid w:val="00713BF5"/>
    <w:rsid w:val="00714A9D"/>
    <w:rsid w:val="00714AE5"/>
    <w:rsid w:val="00715307"/>
    <w:rsid w:val="007168EF"/>
    <w:rsid w:val="00716D33"/>
    <w:rsid w:val="00720C64"/>
    <w:rsid w:val="00721079"/>
    <w:rsid w:val="00721095"/>
    <w:rsid w:val="00722209"/>
    <w:rsid w:val="00722EDE"/>
    <w:rsid w:val="007230AA"/>
    <w:rsid w:val="007250C7"/>
    <w:rsid w:val="0072609B"/>
    <w:rsid w:val="00726283"/>
    <w:rsid w:val="00726976"/>
    <w:rsid w:val="00726D43"/>
    <w:rsid w:val="00727588"/>
    <w:rsid w:val="00730241"/>
    <w:rsid w:val="00730A4D"/>
    <w:rsid w:val="00730A6A"/>
    <w:rsid w:val="007313E1"/>
    <w:rsid w:val="00731416"/>
    <w:rsid w:val="007346C3"/>
    <w:rsid w:val="00734DBA"/>
    <w:rsid w:val="00734F39"/>
    <w:rsid w:val="00736695"/>
    <w:rsid w:val="007371B0"/>
    <w:rsid w:val="00740419"/>
    <w:rsid w:val="007404D3"/>
    <w:rsid w:val="00740642"/>
    <w:rsid w:val="00743385"/>
    <w:rsid w:val="00743C03"/>
    <w:rsid w:val="00744A41"/>
    <w:rsid w:val="007453DB"/>
    <w:rsid w:val="00746908"/>
    <w:rsid w:val="00746B6D"/>
    <w:rsid w:val="007479AC"/>
    <w:rsid w:val="007502B4"/>
    <w:rsid w:val="0075169C"/>
    <w:rsid w:val="0075216E"/>
    <w:rsid w:val="00752360"/>
    <w:rsid w:val="007561E5"/>
    <w:rsid w:val="00756E62"/>
    <w:rsid w:val="00757633"/>
    <w:rsid w:val="00757AD3"/>
    <w:rsid w:val="00757DB8"/>
    <w:rsid w:val="00760AC3"/>
    <w:rsid w:val="00761CBF"/>
    <w:rsid w:val="0076274A"/>
    <w:rsid w:val="007627BE"/>
    <w:rsid w:val="00762B07"/>
    <w:rsid w:val="007641D4"/>
    <w:rsid w:val="00766D1B"/>
    <w:rsid w:val="007703B8"/>
    <w:rsid w:val="00771200"/>
    <w:rsid w:val="00772132"/>
    <w:rsid w:val="0077320A"/>
    <w:rsid w:val="00773608"/>
    <w:rsid w:val="00773B66"/>
    <w:rsid w:val="007759BB"/>
    <w:rsid w:val="00775CBF"/>
    <w:rsid w:val="007760C2"/>
    <w:rsid w:val="00776642"/>
    <w:rsid w:val="00777BFE"/>
    <w:rsid w:val="00780EF2"/>
    <w:rsid w:val="0078120C"/>
    <w:rsid w:val="00781BC9"/>
    <w:rsid w:val="00781DBC"/>
    <w:rsid w:val="00782B59"/>
    <w:rsid w:val="00783A7C"/>
    <w:rsid w:val="00783AB3"/>
    <w:rsid w:val="00784925"/>
    <w:rsid w:val="00784E82"/>
    <w:rsid w:val="0078512B"/>
    <w:rsid w:val="0078546D"/>
    <w:rsid w:val="00785A23"/>
    <w:rsid w:val="0078604B"/>
    <w:rsid w:val="00787C55"/>
    <w:rsid w:val="00787E0B"/>
    <w:rsid w:val="00790153"/>
    <w:rsid w:val="00790F1D"/>
    <w:rsid w:val="00792977"/>
    <w:rsid w:val="007954DF"/>
    <w:rsid w:val="00795C9B"/>
    <w:rsid w:val="00796171"/>
    <w:rsid w:val="00797665"/>
    <w:rsid w:val="007A03B8"/>
    <w:rsid w:val="007A20F5"/>
    <w:rsid w:val="007A3057"/>
    <w:rsid w:val="007A390F"/>
    <w:rsid w:val="007A3AEA"/>
    <w:rsid w:val="007A427D"/>
    <w:rsid w:val="007A44DB"/>
    <w:rsid w:val="007A5B2A"/>
    <w:rsid w:val="007A70EF"/>
    <w:rsid w:val="007A7B0C"/>
    <w:rsid w:val="007B094C"/>
    <w:rsid w:val="007B165D"/>
    <w:rsid w:val="007B1E40"/>
    <w:rsid w:val="007B26E6"/>
    <w:rsid w:val="007B3E17"/>
    <w:rsid w:val="007B4539"/>
    <w:rsid w:val="007B642C"/>
    <w:rsid w:val="007C07EC"/>
    <w:rsid w:val="007C0D54"/>
    <w:rsid w:val="007C17AE"/>
    <w:rsid w:val="007C303B"/>
    <w:rsid w:val="007C3DC6"/>
    <w:rsid w:val="007C50F6"/>
    <w:rsid w:val="007C677D"/>
    <w:rsid w:val="007C7F12"/>
    <w:rsid w:val="007D0273"/>
    <w:rsid w:val="007D03EC"/>
    <w:rsid w:val="007D03F3"/>
    <w:rsid w:val="007D118D"/>
    <w:rsid w:val="007D1A22"/>
    <w:rsid w:val="007D1AC5"/>
    <w:rsid w:val="007D2DBF"/>
    <w:rsid w:val="007D4386"/>
    <w:rsid w:val="007D4AB3"/>
    <w:rsid w:val="007D5B34"/>
    <w:rsid w:val="007D5D0D"/>
    <w:rsid w:val="007D727C"/>
    <w:rsid w:val="007E14E4"/>
    <w:rsid w:val="007E197E"/>
    <w:rsid w:val="007E1CF4"/>
    <w:rsid w:val="007E22C9"/>
    <w:rsid w:val="007E25B7"/>
    <w:rsid w:val="007E354F"/>
    <w:rsid w:val="007E36FC"/>
    <w:rsid w:val="007E4242"/>
    <w:rsid w:val="007E4C66"/>
    <w:rsid w:val="007E4CF1"/>
    <w:rsid w:val="007E5198"/>
    <w:rsid w:val="007E5F8F"/>
    <w:rsid w:val="007E6240"/>
    <w:rsid w:val="007E63F7"/>
    <w:rsid w:val="007E671B"/>
    <w:rsid w:val="007E7D35"/>
    <w:rsid w:val="007F001D"/>
    <w:rsid w:val="007F01B8"/>
    <w:rsid w:val="007F3145"/>
    <w:rsid w:val="007F345C"/>
    <w:rsid w:val="007F35B0"/>
    <w:rsid w:val="007F49E4"/>
    <w:rsid w:val="007F4F81"/>
    <w:rsid w:val="007F53CC"/>
    <w:rsid w:val="007F5EB1"/>
    <w:rsid w:val="007F7AAE"/>
    <w:rsid w:val="008016C8"/>
    <w:rsid w:val="00803783"/>
    <w:rsid w:val="00804406"/>
    <w:rsid w:val="008045ED"/>
    <w:rsid w:val="00804AA2"/>
    <w:rsid w:val="00805CAC"/>
    <w:rsid w:val="008067EE"/>
    <w:rsid w:val="008076BD"/>
    <w:rsid w:val="0081005D"/>
    <w:rsid w:val="00810B51"/>
    <w:rsid w:val="008120D4"/>
    <w:rsid w:val="00812369"/>
    <w:rsid w:val="00815668"/>
    <w:rsid w:val="008158DF"/>
    <w:rsid w:val="0081597D"/>
    <w:rsid w:val="00815FBB"/>
    <w:rsid w:val="0081620D"/>
    <w:rsid w:val="0081636C"/>
    <w:rsid w:val="0081672F"/>
    <w:rsid w:val="00816A62"/>
    <w:rsid w:val="008202E6"/>
    <w:rsid w:val="00820C50"/>
    <w:rsid w:val="00821522"/>
    <w:rsid w:val="0082225F"/>
    <w:rsid w:val="008245B0"/>
    <w:rsid w:val="00824FFD"/>
    <w:rsid w:val="00825487"/>
    <w:rsid w:val="00826604"/>
    <w:rsid w:val="008266A2"/>
    <w:rsid w:val="008310FA"/>
    <w:rsid w:val="00833072"/>
    <w:rsid w:val="00834838"/>
    <w:rsid w:val="00835B8A"/>
    <w:rsid w:val="008364D6"/>
    <w:rsid w:val="00837D8A"/>
    <w:rsid w:val="00840755"/>
    <w:rsid w:val="00840BA6"/>
    <w:rsid w:val="0084177B"/>
    <w:rsid w:val="008421E9"/>
    <w:rsid w:val="00842AC9"/>
    <w:rsid w:val="00843365"/>
    <w:rsid w:val="008443E9"/>
    <w:rsid w:val="0084549B"/>
    <w:rsid w:val="00845DBB"/>
    <w:rsid w:val="008460B2"/>
    <w:rsid w:val="00846CD9"/>
    <w:rsid w:val="00847B5D"/>
    <w:rsid w:val="00850F46"/>
    <w:rsid w:val="0085151C"/>
    <w:rsid w:val="00851E04"/>
    <w:rsid w:val="008542F4"/>
    <w:rsid w:val="00854E2D"/>
    <w:rsid w:val="00855392"/>
    <w:rsid w:val="00855A3F"/>
    <w:rsid w:val="00856A0A"/>
    <w:rsid w:val="00857302"/>
    <w:rsid w:val="008579B7"/>
    <w:rsid w:val="008611E0"/>
    <w:rsid w:val="008613BB"/>
    <w:rsid w:val="00862FAA"/>
    <w:rsid w:val="00862FB0"/>
    <w:rsid w:val="008639C0"/>
    <w:rsid w:val="00864C2A"/>
    <w:rsid w:val="00865295"/>
    <w:rsid w:val="008669B2"/>
    <w:rsid w:val="00867582"/>
    <w:rsid w:val="0087038A"/>
    <w:rsid w:val="00870748"/>
    <w:rsid w:val="008715FC"/>
    <w:rsid w:val="00872F0D"/>
    <w:rsid w:val="008735A3"/>
    <w:rsid w:val="0087361A"/>
    <w:rsid w:val="00873BBF"/>
    <w:rsid w:val="00873DBB"/>
    <w:rsid w:val="008748F8"/>
    <w:rsid w:val="00874CC4"/>
    <w:rsid w:val="00874CE5"/>
    <w:rsid w:val="00875CC4"/>
    <w:rsid w:val="00877BB4"/>
    <w:rsid w:val="00880C1A"/>
    <w:rsid w:val="008814A7"/>
    <w:rsid w:val="00881C28"/>
    <w:rsid w:val="00882E93"/>
    <w:rsid w:val="0088314C"/>
    <w:rsid w:val="00884915"/>
    <w:rsid w:val="008854BA"/>
    <w:rsid w:val="00886218"/>
    <w:rsid w:val="008862C7"/>
    <w:rsid w:val="00891070"/>
    <w:rsid w:val="00891D98"/>
    <w:rsid w:val="008934FC"/>
    <w:rsid w:val="00894448"/>
    <w:rsid w:val="00895016"/>
    <w:rsid w:val="00897393"/>
    <w:rsid w:val="0089795E"/>
    <w:rsid w:val="00897C3D"/>
    <w:rsid w:val="008A2280"/>
    <w:rsid w:val="008A24E7"/>
    <w:rsid w:val="008A3137"/>
    <w:rsid w:val="008A339E"/>
    <w:rsid w:val="008A404B"/>
    <w:rsid w:val="008A44D7"/>
    <w:rsid w:val="008A4C92"/>
    <w:rsid w:val="008A4CF1"/>
    <w:rsid w:val="008A5553"/>
    <w:rsid w:val="008A56C1"/>
    <w:rsid w:val="008A595F"/>
    <w:rsid w:val="008B05E5"/>
    <w:rsid w:val="008B1C65"/>
    <w:rsid w:val="008B26DD"/>
    <w:rsid w:val="008B2BF3"/>
    <w:rsid w:val="008B30B1"/>
    <w:rsid w:val="008B5088"/>
    <w:rsid w:val="008B6636"/>
    <w:rsid w:val="008B761F"/>
    <w:rsid w:val="008C0A2C"/>
    <w:rsid w:val="008C0B71"/>
    <w:rsid w:val="008C11DE"/>
    <w:rsid w:val="008C1940"/>
    <w:rsid w:val="008C1A59"/>
    <w:rsid w:val="008C1E56"/>
    <w:rsid w:val="008C2E75"/>
    <w:rsid w:val="008C5A4C"/>
    <w:rsid w:val="008C5DC5"/>
    <w:rsid w:val="008C6104"/>
    <w:rsid w:val="008C62C9"/>
    <w:rsid w:val="008C6801"/>
    <w:rsid w:val="008C6A06"/>
    <w:rsid w:val="008C7A2F"/>
    <w:rsid w:val="008D015D"/>
    <w:rsid w:val="008D06DE"/>
    <w:rsid w:val="008D0834"/>
    <w:rsid w:val="008D0F01"/>
    <w:rsid w:val="008D10ED"/>
    <w:rsid w:val="008D238B"/>
    <w:rsid w:val="008D254D"/>
    <w:rsid w:val="008D3FC0"/>
    <w:rsid w:val="008D3FF3"/>
    <w:rsid w:val="008D4A47"/>
    <w:rsid w:val="008D4EC2"/>
    <w:rsid w:val="008D5174"/>
    <w:rsid w:val="008D55A9"/>
    <w:rsid w:val="008D59F9"/>
    <w:rsid w:val="008D68E2"/>
    <w:rsid w:val="008D6A90"/>
    <w:rsid w:val="008D6B95"/>
    <w:rsid w:val="008D7242"/>
    <w:rsid w:val="008D725A"/>
    <w:rsid w:val="008D7F72"/>
    <w:rsid w:val="008E122D"/>
    <w:rsid w:val="008E17E0"/>
    <w:rsid w:val="008E197E"/>
    <w:rsid w:val="008E1FD0"/>
    <w:rsid w:val="008E2412"/>
    <w:rsid w:val="008E3D71"/>
    <w:rsid w:val="008E50DD"/>
    <w:rsid w:val="008E51FB"/>
    <w:rsid w:val="008E7208"/>
    <w:rsid w:val="008F0A0C"/>
    <w:rsid w:val="008F29FD"/>
    <w:rsid w:val="008F2A44"/>
    <w:rsid w:val="008F2EDF"/>
    <w:rsid w:val="008F3C0A"/>
    <w:rsid w:val="008F59A0"/>
    <w:rsid w:val="008F5BF5"/>
    <w:rsid w:val="008F660D"/>
    <w:rsid w:val="009000C2"/>
    <w:rsid w:val="00901ABB"/>
    <w:rsid w:val="00903076"/>
    <w:rsid w:val="009044D9"/>
    <w:rsid w:val="00904546"/>
    <w:rsid w:val="00904E6E"/>
    <w:rsid w:val="00905585"/>
    <w:rsid w:val="00905EA6"/>
    <w:rsid w:val="009070E9"/>
    <w:rsid w:val="009104D2"/>
    <w:rsid w:val="009108E9"/>
    <w:rsid w:val="0091167B"/>
    <w:rsid w:val="00911D89"/>
    <w:rsid w:val="0091269B"/>
    <w:rsid w:val="00916753"/>
    <w:rsid w:val="00916FE4"/>
    <w:rsid w:val="009170CE"/>
    <w:rsid w:val="00917397"/>
    <w:rsid w:val="009174CE"/>
    <w:rsid w:val="00920F49"/>
    <w:rsid w:val="00922D45"/>
    <w:rsid w:val="009238CE"/>
    <w:rsid w:val="00924289"/>
    <w:rsid w:val="00924656"/>
    <w:rsid w:val="009260F2"/>
    <w:rsid w:val="00926F95"/>
    <w:rsid w:val="00927AFD"/>
    <w:rsid w:val="00927C72"/>
    <w:rsid w:val="00930E68"/>
    <w:rsid w:val="00931AE8"/>
    <w:rsid w:val="0093242E"/>
    <w:rsid w:val="00932CFE"/>
    <w:rsid w:val="00933FC3"/>
    <w:rsid w:val="0093651A"/>
    <w:rsid w:val="009366C1"/>
    <w:rsid w:val="009370AA"/>
    <w:rsid w:val="00937D19"/>
    <w:rsid w:val="009443B9"/>
    <w:rsid w:val="00947A8D"/>
    <w:rsid w:val="0095030A"/>
    <w:rsid w:val="0095047E"/>
    <w:rsid w:val="00950CF4"/>
    <w:rsid w:val="00950D51"/>
    <w:rsid w:val="00950D71"/>
    <w:rsid w:val="00950EE5"/>
    <w:rsid w:val="00951DB7"/>
    <w:rsid w:val="009521AC"/>
    <w:rsid w:val="00952750"/>
    <w:rsid w:val="00955F1A"/>
    <w:rsid w:val="0095619E"/>
    <w:rsid w:val="00956CD5"/>
    <w:rsid w:val="009579A6"/>
    <w:rsid w:val="00957A0C"/>
    <w:rsid w:val="00962295"/>
    <w:rsid w:val="009628D7"/>
    <w:rsid w:val="0096329C"/>
    <w:rsid w:val="009636CD"/>
    <w:rsid w:val="00963B10"/>
    <w:rsid w:val="00964DCA"/>
    <w:rsid w:val="0096598D"/>
    <w:rsid w:val="00966F2A"/>
    <w:rsid w:val="00967BC8"/>
    <w:rsid w:val="00970044"/>
    <w:rsid w:val="009704D0"/>
    <w:rsid w:val="00971D2E"/>
    <w:rsid w:val="009743BD"/>
    <w:rsid w:val="0097553B"/>
    <w:rsid w:val="009756D4"/>
    <w:rsid w:val="0097757F"/>
    <w:rsid w:val="00977888"/>
    <w:rsid w:val="0098067C"/>
    <w:rsid w:val="00980A45"/>
    <w:rsid w:val="009810F5"/>
    <w:rsid w:val="00984388"/>
    <w:rsid w:val="0098491D"/>
    <w:rsid w:val="00984D9D"/>
    <w:rsid w:val="0098591F"/>
    <w:rsid w:val="00986FF6"/>
    <w:rsid w:val="009871CC"/>
    <w:rsid w:val="00987D09"/>
    <w:rsid w:val="0099169D"/>
    <w:rsid w:val="009916BF"/>
    <w:rsid w:val="00991EB5"/>
    <w:rsid w:val="00992150"/>
    <w:rsid w:val="00992A5C"/>
    <w:rsid w:val="0099300F"/>
    <w:rsid w:val="009930F8"/>
    <w:rsid w:val="0099406A"/>
    <w:rsid w:val="00994983"/>
    <w:rsid w:val="00994AEE"/>
    <w:rsid w:val="0099576A"/>
    <w:rsid w:val="0099590A"/>
    <w:rsid w:val="009979D2"/>
    <w:rsid w:val="009A0479"/>
    <w:rsid w:val="009A1190"/>
    <w:rsid w:val="009A1671"/>
    <w:rsid w:val="009A2960"/>
    <w:rsid w:val="009A413A"/>
    <w:rsid w:val="009A68B7"/>
    <w:rsid w:val="009B09DD"/>
    <w:rsid w:val="009B29ED"/>
    <w:rsid w:val="009B3C4C"/>
    <w:rsid w:val="009B3C62"/>
    <w:rsid w:val="009B5031"/>
    <w:rsid w:val="009B6AC7"/>
    <w:rsid w:val="009B6B25"/>
    <w:rsid w:val="009B736D"/>
    <w:rsid w:val="009B73F0"/>
    <w:rsid w:val="009B7952"/>
    <w:rsid w:val="009C01DA"/>
    <w:rsid w:val="009C0FB2"/>
    <w:rsid w:val="009C101B"/>
    <w:rsid w:val="009C109F"/>
    <w:rsid w:val="009C1DEF"/>
    <w:rsid w:val="009C1F1B"/>
    <w:rsid w:val="009C376A"/>
    <w:rsid w:val="009C4057"/>
    <w:rsid w:val="009C48B9"/>
    <w:rsid w:val="009C4E36"/>
    <w:rsid w:val="009C60D7"/>
    <w:rsid w:val="009C68F8"/>
    <w:rsid w:val="009C6D7E"/>
    <w:rsid w:val="009C7DE7"/>
    <w:rsid w:val="009D07E2"/>
    <w:rsid w:val="009D0FD7"/>
    <w:rsid w:val="009D1004"/>
    <w:rsid w:val="009D14AE"/>
    <w:rsid w:val="009D165F"/>
    <w:rsid w:val="009D20D2"/>
    <w:rsid w:val="009D237E"/>
    <w:rsid w:val="009D2906"/>
    <w:rsid w:val="009D2DE6"/>
    <w:rsid w:val="009D3973"/>
    <w:rsid w:val="009D4DCB"/>
    <w:rsid w:val="009D668C"/>
    <w:rsid w:val="009D7249"/>
    <w:rsid w:val="009D7FE5"/>
    <w:rsid w:val="009E0001"/>
    <w:rsid w:val="009E00E7"/>
    <w:rsid w:val="009E05D8"/>
    <w:rsid w:val="009E0C0F"/>
    <w:rsid w:val="009E0EDF"/>
    <w:rsid w:val="009E358E"/>
    <w:rsid w:val="009E428C"/>
    <w:rsid w:val="009E4E2B"/>
    <w:rsid w:val="009E5196"/>
    <w:rsid w:val="009E62B0"/>
    <w:rsid w:val="009E6DEB"/>
    <w:rsid w:val="009E6E9D"/>
    <w:rsid w:val="009F3CB8"/>
    <w:rsid w:val="009F471B"/>
    <w:rsid w:val="009F4720"/>
    <w:rsid w:val="009F5848"/>
    <w:rsid w:val="009F611F"/>
    <w:rsid w:val="00A02751"/>
    <w:rsid w:val="00A02C7D"/>
    <w:rsid w:val="00A0363A"/>
    <w:rsid w:val="00A03C1C"/>
    <w:rsid w:val="00A04533"/>
    <w:rsid w:val="00A0536F"/>
    <w:rsid w:val="00A0713C"/>
    <w:rsid w:val="00A07652"/>
    <w:rsid w:val="00A11093"/>
    <w:rsid w:val="00A11A2E"/>
    <w:rsid w:val="00A11B6B"/>
    <w:rsid w:val="00A11B8F"/>
    <w:rsid w:val="00A128B2"/>
    <w:rsid w:val="00A128BC"/>
    <w:rsid w:val="00A12C77"/>
    <w:rsid w:val="00A1307C"/>
    <w:rsid w:val="00A134F8"/>
    <w:rsid w:val="00A13826"/>
    <w:rsid w:val="00A14DC6"/>
    <w:rsid w:val="00A15D23"/>
    <w:rsid w:val="00A1712B"/>
    <w:rsid w:val="00A17435"/>
    <w:rsid w:val="00A174AE"/>
    <w:rsid w:val="00A17AC6"/>
    <w:rsid w:val="00A17B0F"/>
    <w:rsid w:val="00A2159E"/>
    <w:rsid w:val="00A21914"/>
    <w:rsid w:val="00A22A9E"/>
    <w:rsid w:val="00A22FE7"/>
    <w:rsid w:val="00A230F3"/>
    <w:rsid w:val="00A234BE"/>
    <w:rsid w:val="00A240E8"/>
    <w:rsid w:val="00A246ED"/>
    <w:rsid w:val="00A2531C"/>
    <w:rsid w:val="00A258E0"/>
    <w:rsid w:val="00A26CDA"/>
    <w:rsid w:val="00A3068E"/>
    <w:rsid w:val="00A30CE6"/>
    <w:rsid w:val="00A31CC5"/>
    <w:rsid w:val="00A31D4B"/>
    <w:rsid w:val="00A32C2D"/>
    <w:rsid w:val="00A339DB"/>
    <w:rsid w:val="00A33B9A"/>
    <w:rsid w:val="00A3744E"/>
    <w:rsid w:val="00A379CC"/>
    <w:rsid w:val="00A41AC1"/>
    <w:rsid w:val="00A41F2B"/>
    <w:rsid w:val="00A42583"/>
    <w:rsid w:val="00A42DF4"/>
    <w:rsid w:val="00A43267"/>
    <w:rsid w:val="00A43850"/>
    <w:rsid w:val="00A43916"/>
    <w:rsid w:val="00A43C64"/>
    <w:rsid w:val="00A4413F"/>
    <w:rsid w:val="00A442DF"/>
    <w:rsid w:val="00A4493F"/>
    <w:rsid w:val="00A46D73"/>
    <w:rsid w:val="00A504A1"/>
    <w:rsid w:val="00A51934"/>
    <w:rsid w:val="00A52B4D"/>
    <w:rsid w:val="00A5326B"/>
    <w:rsid w:val="00A5473E"/>
    <w:rsid w:val="00A55577"/>
    <w:rsid w:val="00A60723"/>
    <w:rsid w:val="00A60FB0"/>
    <w:rsid w:val="00A61BFD"/>
    <w:rsid w:val="00A61C05"/>
    <w:rsid w:val="00A62A8A"/>
    <w:rsid w:val="00A62E6E"/>
    <w:rsid w:val="00A63370"/>
    <w:rsid w:val="00A657D9"/>
    <w:rsid w:val="00A6676F"/>
    <w:rsid w:val="00A66ED9"/>
    <w:rsid w:val="00A679C8"/>
    <w:rsid w:val="00A702A2"/>
    <w:rsid w:val="00A745E1"/>
    <w:rsid w:val="00A76B0E"/>
    <w:rsid w:val="00A77026"/>
    <w:rsid w:val="00A80391"/>
    <w:rsid w:val="00A826FE"/>
    <w:rsid w:val="00A829EA"/>
    <w:rsid w:val="00A84578"/>
    <w:rsid w:val="00A85B06"/>
    <w:rsid w:val="00A8634B"/>
    <w:rsid w:val="00A8640B"/>
    <w:rsid w:val="00A86CAF"/>
    <w:rsid w:val="00A87AF0"/>
    <w:rsid w:val="00A90F23"/>
    <w:rsid w:val="00A91711"/>
    <w:rsid w:val="00A91AD7"/>
    <w:rsid w:val="00A92428"/>
    <w:rsid w:val="00A927B7"/>
    <w:rsid w:val="00A93178"/>
    <w:rsid w:val="00A9446B"/>
    <w:rsid w:val="00A95874"/>
    <w:rsid w:val="00A9753A"/>
    <w:rsid w:val="00A97BEC"/>
    <w:rsid w:val="00A97D07"/>
    <w:rsid w:val="00A97DE7"/>
    <w:rsid w:val="00AA00BB"/>
    <w:rsid w:val="00AA2E8E"/>
    <w:rsid w:val="00AA59A2"/>
    <w:rsid w:val="00AA5E5D"/>
    <w:rsid w:val="00AA6BA0"/>
    <w:rsid w:val="00AB2759"/>
    <w:rsid w:val="00AB4D24"/>
    <w:rsid w:val="00AB51DB"/>
    <w:rsid w:val="00AB705C"/>
    <w:rsid w:val="00AC0963"/>
    <w:rsid w:val="00AC0CF0"/>
    <w:rsid w:val="00AC15CB"/>
    <w:rsid w:val="00AC39A0"/>
    <w:rsid w:val="00AC3B46"/>
    <w:rsid w:val="00AC5088"/>
    <w:rsid w:val="00AC50A8"/>
    <w:rsid w:val="00AC50BF"/>
    <w:rsid w:val="00AD09AD"/>
    <w:rsid w:val="00AD0F51"/>
    <w:rsid w:val="00AD2CE8"/>
    <w:rsid w:val="00AD3308"/>
    <w:rsid w:val="00AD3E4C"/>
    <w:rsid w:val="00AD4A7E"/>
    <w:rsid w:val="00AD58F3"/>
    <w:rsid w:val="00AD5D6D"/>
    <w:rsid w:val="00AD6169"/>
    <w:rsid w:val="00AD6AC2"/>
    <w:rsid w:val="00AD7696"/>
    <w:rsid w:val="00AE026A"/>
    <w:rsid w:val="00AE0E32"/>
    <w:rsid w:val="00AE18BB"/>
    <w:rsid w:val="00AE36AC"/>
    <w:rsid w:val="00AE3E62"/>
    <w:rsid w:val="00AE5AB7"/>
    <w:rsid w:val="00AE666B"/>
    <w:rsid w:val="00AE70D2"/>
    <w:rsid w:val="00AE740D"/>
    <w:rsid w:val="00AF0310"/>
    <w:rsid w:val="00AF11C9"/>
    <w:rsid w:val="00AF153D"/>
    <w:rsid w:val="00AF289B"/>
    <w:rsid w:val="00AF5409"/>
    <w:rsid w:val="00AF5C47"/>
    <w:rsid w:val="00AF7D05"/>
    <w:rsid w:val="00B00237"/>
    <w:rsid w:val="00B01569"/>
    <w:rsid w:val="00B016CB"/>
    <w:rsid w:val="00B01ACB"/>
    <w:rsid w:val="00B02367"/>
    <w:rsid w:val="00B06206"/>
    <w:rsid w:val="00B06F80"/>
    <w:rsid w:val="00B07574"/>
    <w:rsid w:val="00B076A5"/>
    <w:rsid w:val="00B07F07"/>
    <w:rsid w:val="00B1629A"/>
    <w:rsid w:val="00B169E3"/>
    <w:rsid w:val="00B176C1"/>
    <w:rsid w:val="00B17C6E"/>
    <w:rsid w:val="00B20535"/>
    <w:rsid w:val="00B211A7"/>
    <w:rsid w:val="00B212BB"/>
    <w:rsid w:val="00B22DF7"/>
    <w:rsid w:val="00B22F4F"/>
    <w:rsid w:val="00B2310E"/>
    <w:rsid w:val="00B2367E"/>
    <w:rsid w:val="00B2491D"/>
    <w:rsid w:val="00B24F8A"/>
    <w:rsid w:val="00B25287"/>
    <w:rsid w:val="00B26E4B"/>
    <w:rsid w:val="00B270F4"/>
    <w:rsid w:val="00B2788F"/>
    <w:rsid w:val="00B305F3"/>
    <w:rsid w:val="00B34015"/>
    <w:rsid w:val="00B351E9"/>
    <w:rsid w:val="00B401B2"/>
    <w:rsid w:val="00B42179"/>
    <w:rsid w:val="00B428AB"/>
    <w:rsid w:val="00B42FEF"/>
    <w:rsid w:val="00B43768"/>
    <w:rsid w:val="00B4396E"/>
    <w:rsid w:val="00B44308"/>
    <w:rsid w:val="00B44404"/>
    <w:rsid w:val="00B474A2"/>
    <w:rsid w:val="00B5042E"/>
    <w:rsid w:val="00B50612"/>
    <w:rsid w:val="00B50739"/>
    <w:rsid w:val="00B50C45"/>
    <w:rsid w:val="00B50E03"/>
    <w:rsid w:val="00B522CF"/>
    <w:rsid w:val="00B52710"/>
    <w:rsid w:val="00B5273D"/>
    <w:rsid w:val="00B52E2D"/>
    <w:rsid w:val="00B549AC"/>
    <w:rsid w:val="00B55160"/>
    <w:rsid w:val="00B56189"/>
    <w:rsid w:val="00B56252"/>
    <w:rsid w:val="00B57890"/>
    <w:rsid w:val="00B6137B"/>
    <w:rsid w:val="00B61732"/>
    <w:rsid w:val="00B626EE"/>
    <w:rsid w:val="00B62CED"/>
    <w:rsid w:val="00B6311E"/>
    <w:rsid w:val="00B63DB4"/>
    <w:rsid w:val="00B6406F"/>
    <w:rsid w:val="00B658BC"/>
    <w:rsid w:val="00B65D31"/>
    <w:rsid w:val="00B671B5"/>
    <w:rsid w:val="00B672F5"/>
    <w:rsid w:val="00B67309"/>
    <w:rsid w:val="00B673CF"/>
    <w:rsid w:val="00B67808"/>
    <w:rsid w:val="00B70421"/>
    <w:rsid w:val="00B70507"/>
    <w:rsid w:val="00B7163A"/>
    <w:rsid w:val="00B71917"/>
    <w:rsid w:val="00B71A34"/>
    <w:rsid w:val="00B72559"/>
    <w:rsid w:val="00B72C1F"/>
    <w:rsid w:val="00B73D09"/>
    <w:rsid w:val="00B762FE"/>
    <w:rsid w:val="00B7673D"/>
    <w:rsid w:val="00B7674B"/>
    <w:rsid w:val="00B80B6B"/>
    <w:rsid w:val="00B81B32"/>
    <w:rsid w:val="00B8277A"/>
    <w:rsid w:val="00B84273"/>
    <w:rsid w:val="00B85068"/>
    <w:rsid w:val="00B8680F"/>
    <w:rsid w:val="00B87080"/>
    <w:rsid w:val="00B91B6E"/>
    <w:rsid w:val="00B9274A"/>
    <w:rsid w:val="00B93349"/>
    <w:rsid w:val="00B944B6"/>
    <w:rsid w:val="00B94E27"/>
    <w:rsid w:val="00B9533F"/>
    <w:rsid w:val="00B95BE9"/>
    <w:rsid w:val="00B97A3E"/>
    <w:rsid w:val="00BA001D"/>
    <w:rsid w:val="00BA3BE6"/>
    <w:rsid w:val="00BA3EB9"/>
    <w:rsid w:val="00BA6E1B"/>
    <w:rsid w:val="00BA6F5E"/>
    <w:rsid w:val="00BB0399"/>
    <w:rsid w:val="00BB097E"/>
    <w:rsid w:val="00BB0D7B"/>
    <w:rsid w:val="00BB11E0"/>
    <w:rsid w:val="00BB1D28"/>
    <w:rsid w:val="00BB241B"/>
    <w:rsid w:val="00BB3B69"/>
    <w:rsid w:val="00BB5C99"/>
    <w:rsid w:val="00BB65B7"/>
    <w:rsid w:val="00BB7147"/>
    <w:rsid w:val="00BC331A"/>
    <w:rsid w:val="00BC4B75"/>
    <w:rsid w:val="00BC53E3"/>
    <w:rsid w:val="00BC5943"/>
    <w:rsid w:val="00BC5ADF"/>
    <w:rsid w:val="00BC6866"/>
    <w:rsid w:val="00BC6FA6"/>
    <w:rsid w:val="00BD0B86"/>
    <w:rsid w:val="00BD3708"/>
    <w:rsid w:val="00BD3EC1"/>
    <w:rsid w:val="00BD410E"/>
    <w:rsid w:val="00BD5AC4"/>
    <w:rsid w:val="00BD62B0"/>
    <w:rsid w:val="00BD6FC5"/>
    <w:rsid w:val="00BE03B5"/>
    <w:rsid w:val="00BE27CA"/>
    <w:rsid w:val="00BE33F6"/>
    <w:rsid w:val="00BE39E6"/>
    <w:rsid w:val="00BE3B47"/>
    <w:rsid w:val="00BE457F"/>
    <w:rsid w:val="00BE4CBD"/>
    <w:rsid w:val="00BE58F0"/>
    <w:rsid w:val="00BE6712"/>
    <w:rsid w:val="00BE6AA1"/>
    <w:rsid w:val="00BE71E3"/>
    <w:rsid w:val="00BF0D41"/>
    <w:rsid w:val="00BF1329"/>
    <w:rsid w:val="00BF2771"/>
    <w:rsid w:val="00BF3625"/>
    <w:rsid w:val="00BF3B92"/>
    <w:rsid w:val="00BF5561"/>
    <w:rsid w:val="00BF599D"/>
    <w:rsid w:val="00BF627D"/>
    <w:rsid w:val="00BF7588"/>
    <w:rsid w:val="00C00915"/>
    <w:rsid w:val="00C01375"/>
    <w:rsid w:val="00C016C0"/>
    <w:rsid w:val="00C03039"/>
    <w:rsid w:val="00C0313B"/>
    <w:rsid w:val="00C05D58"/>
    <w:rsid w:val="00C06564"/>
    <w:rsid w:val="00C0663D"/>
    <w:rsid w:val="00C067BB"/>
    <w:rsid w:val="00C06AD6"/>
    <w:rsid w:val="00C0756C"/>
    <w:rsid w:val="00C11138"/>
    <w:rsid w:val="00C111B0"/>
    <w:rsid w:val="00C11848"/>
    <w:rsid w:val="00C11C39"/>
    <w:rsid w:val="00C13DFA"/>
    <w:rsid w:val="00C164F8"/>
    <w:rsid w:val="00C165E2"/>
    <w:rsid w:val="00C168F1"/>
    <w:rsid w:val="00C171DB"/>
    <w:rsid w:val="00C20622"/>
    <w:rsid w:val="00C213ED"/>
    <w:rsid w:val="00C21694"/>
    <w:rsid w:val="00C22D34"/>
    <w:rsid w:val="00C23466"/>
    <w:rsid w:val="00C23D1A"/>
    <w:rsid w:val="00C24221"/>
    <w:rsid w:val="00C24707"/>
    <w:rsid w:val="00C25035"/>
    <w:rsid w:val="00C3089D"/>
    <w:rsid w:val="00C30D39"/>
    <w:rsid w:val="00C317FC"/>
    <w:rsid w:val="00C31CEE"/>
    <w:rsid w:val="00C3282F"/>
    <w:rsid w:val="00C32FF3"/>
    <w:rsid w:val="00C348FF"/>
    <w:rsid w:val="00C36DA1"/>
    <w:rsid w:val="00C37710"/>
    <w:rsid w:val="00C37775"/>
    <w:rsid w:val="00C37A2F"/>
    <w:rsid w:val="00C37E50"/>
    <w:rsid w:val="00C37F58"/>
    <w:rsid w:val="00C405F5"/>
    <w:rsid w:val="00C4084E"/>
    <w:rsid w:val="00C41686"/>
    <w:rsid w:val="00C41849"/>
    <w:rsid w:val="00C43024"/>
    <w:rsid w:val="00C4318F"/>
    <w:rsid w:val="00C43EF5"/>
    <w:rsid w:val="00C440DE"/>
    <w:rsid w:val="00C44442"/>
    <w:rsid w:val="00C45B6D"/>
    <w:rsid w:val="00C45E6D"/>
    <w:rsid w:val="00C4729F"/>
    <w:rsid w:val="00C50140"/>
    <w:rsid w:val="00C511BC"/>
    <w:rsid w:val="00C5166D"/>
    <w:rsid w:val="00C52982"/>
    <w:rsid w:val="00C53EE6"/>
    <w:rsid w:val="00C55FF4"/>
    <w:rsid w:val="00C577C5"/>
    <w:rsid w:val="00C601B8"/>
    <w:rsid w:val="00C6171D"/>
    <w:rsid w:val="00C639C1"/>
    <w:rsid w:val="00C64686"/>
    <w:rsid w:val="00C662CF"/>
    <w:rsid w:val="00C66E75"/>
    <w:rsid w:val="00C67169"/>
    <w:rsid w:val="00C676D3"/>
    <w:rsid w:val="00C67940"/>
    <w:rsid w:val="00C71759"/>
    <w:rsid w:val="00C7177E"/>
    <w:rsid w:val="00C72D14"/>
    <w:rsid w:val="00C72F49"/>
    <w:rsid w:val="00C73EB1"/>
    <w:rsid w:val="00C74B8E"/>
    <w:rsid w:val="00C7572C"/>
    <w:rsid w:val="00C75954"/>
    <w:rsid w:val="00C75B94"/>
    <w:rsid w:val="00C75BEC"/>
    <w:rsid w:val="00C76D4F"/>
    <w:rsid w:val="00C779AF"/>
    <w:rsid w:val="00C80021"/>
    <w:rsid w:val="00C82AC2"/>
    <w:rsid w:val="00C84572"/>
    <w:rsid w:val="00C8471C"/>
    <w:rsid w:val="00C84DE3"/>
    <w:rsid w:val="00C859C7"/>
    <w:rsid w:val="00C85B4E"/>
    <w:rsid w:val="00C85D87"/>
    <w:rsid w:val="00C865D1"/>
    <w:rsid w:val="00C866EC"/>
    <w:rsid w:val="00C86D27"/>
    <w:rsid w:val="00C870E1"/>
    <w:rsid w:val="00C87B44"/>
    <w:rsid w:val="00C900CF"/>
    <w:rsid w:val="00C9174E"/>
    <w:rsid w:val="00C91E1A"/>
    <w:rsid w:val="00C92E9B"/>
    <w:rsid w:val="00C964E6"/>
    <w:rsid w:val="00C9681B"/>
    <w:rsid w:val="00C96ABA"/>
    <w:rsid w:val="00C97934"/>
    <w:rsid w:val="00C97B08"/>
    <w:rsid w:val="00C97C0D"/>
    <w:rsid w:val="00C97D33"/>
    <w:rsid w:val="00CA0363"/>
    <w:rsid w:val="00CA0AA7"/>
    <w:rsid w:val="00CA1D24"/>
    <w:rsid w:val="00CA486A"/>
    <w:rsid w:val="00CA515B"/>
    <w:rsid w:val="00CA530A"/>
    <w:rsid w:val="00CA5B1F"/>
    <w:rsid w:val="00CA5D5D"/>
    <w:rsid w:val="00CA73FB"/>
    <w:rsid w:val="00CA76B8"/>
    <w:rsid w:val="00CB0C38"/>
    <w:rsid w:val="00CB0DB3"/>
    <w:rsid w:val="00CB1456"/>
    <w:rsid w:val="00CB257B"/>
    <w:rsid w:val="00CB25D1"/>
    <w:rsid w:val="00CB3149"/>
    <w:rsid w:val="00CB3C62"/>
    <w:rsid w:val="00CB423C"/>
    <w:rsid w:val="00CB4DF2"/>
    <w:rsid w:val="00CB580B"/>
    <w:rsid w:val="00CB6684"/>
    <w:rsid w:val="00CC059D"/>
    <w:rsid w:val="00CC0F02"/>
    <w:rsid w:val="00CC17D3"/>
    <w:rsid w:val="00CC1E71"/>
    <w:rsid w:val="00CC1EC8"/>
    <w:rsid w:val="00CC2426"/>
    <w:rsid w:val="00CC2DC6"/>
    <w:rsid w:val="00CC3085"/>
    <w:rsid w:val="00CC313D"/>
    <w:rsid w:val="00CC4161"/>
    <w:rsid w:val="00CC4EF9"/>
    <w:rsid w:val="00CC5C66"/>
    <w:rsid w:val="00CD00A2"/>
    <w:rsid w:val="00CD0726"/>
    <w:rsid w:val="00CD1174"/>
    <w:rsid w:val="00CD1D55"/>
    <w:rsid w:val="00CD214B"/>
    <w:rsid w:val="00CD50BF"/>
    <w:rsid w:val="00CD555A"/>
    <w:rsid w:val="00CD5AB9"/>
    <w:rsid w:val="00CD5BC8"/>
    <w:rsid w:val="00CD63BC"/>
    <w:rsid w:val="00CD6A79"/>
    <w:rsid w:val="00CD6DDC"/>
    <w:rsid w:val="00CD71CC"/>
    <w:rsid w:val="00CD786B"/>
    <w:rsid w:val="00CD79EB"/>
    <w:rsid w:val="00CE0ED7"/>
    <w:rsid w:val="00CE12DD"/>
    <w:rsid w:val="00CE15D2"/>
    <w:rsid w:val="00CE1B0F"/>
    <w:rsid w:val="00CE20CF"/>
    <w:rsid w:val="00CE2DA1"/>
    <w:rsid w:val="00CE37C4"/>
    <w:rsid w:val="00CE3E9B"/>
    <w:rsid w:val="00CE4088"/>
    <w:rsid w:val="00CE6178"/>
    <w:rsid w:val="00CE64C0"/>
    <w:rsid w:val="00CE6A24"/>
    <w:rsid w:val="00CF174B"/>
    <w:rsid w:val="00CF512A"/>
    <w:rsid w:val="00CF57A9"/>
    <w:rsid w:val="00CF5C92"/>
    <w:rsid w:val="00CF6129"/>
    <w:rsid w:val="00CF72B7"/>
    <w:rsid w:val="00CF7479"/>
    <w:rsid w:val="00CF7A39"/>
    <w:rsid w:val="00D000DD"/>
    <w:rsid w:val="00D00A2E"/>
    <w:rsid w:val="00D011F8"/>
    <w:rsid w:val="00D03539"/>
    <w:rsid w:val="00D03D41"/>
    <w:rsid w:val="00D03EA9"/>
    <w:rsid w:val="00D0467D"/>
    <w:rsid w:val="00D047DC"/>
    <w:rsid w:val="00D05A7B"/>
    <w:rsid w:val="00D064FC"/>
    <w:rsid w:val="00D06942"/>
    <w:rsid w:val="00D06FDD"/>
    <w:rsid w:val="00D10D32"/>
    <w:rsid w:val="00D1141F"/>
    <w:rsid w:val="00D1260F"/>
    <w:rsid w:val="00D1556D"/>
    <w:rsid w:val="00D15600"/>
    <w:rsid w:val="00D16266"/>
    <w:rsid w:val="00D168AB"/>
    <w:rsid w:val="00D17336"/>
    <w:rsid w:val="00D205E7"/>
    <w:rsid w:val="00D20AC7"/>
    <w:rsid w:val="00D2358C"/>
    <w:rsid w:val="00D252F6"/>
    <w:rsid w:val="00D253B5"/>
    <w:rsid w:val="00D26A52"/>
    <w:rsid w:val="00D30114"/>
    <w:rsid w:val="00D309C0"/>
    <w:rsid w:val="00D30F59"/>
    <w:rsid w:val="00D315E7"/>
    <w:rsid w:val="00D32045"/>
    <w:rsid w:val="00D32487"/>
    <w:rsid w:val="00D32B53"/>
    <w:rsid w:val="00D32E32"/>
    <w:rsid w:val="00D336E4"/>
    <w:rsid w:val="00D344F7"/>
    <w:rsid w:val="00D35287"/>
    <w:rsid w:val="00D404E2"/>
    <w:rsid w:val="00D417F0"/>
    <w:rsid w:val="00D42465"/>
    <w:rsid w:val="00D42DBC"/>
    <w:rsid w:val="00D42F8B"/>
    <w:rsid w:val="00D4321A"/>
    <w:rsid w:val="00D434C4"/>
    <w:rsid w:val="00D4353D"/>
    <w:rsid w:val="00D435DC"/>
    <w:rsid w:val="00D4411C"/>
    <w:rsid w:val="00D44608"/>
    <w:rsid w:val="00D44D96"/>
    <w:rsid w:val="00D44FE0"/>
    <w:rsid w:val="00D45B9A"/>
    <w:rsid w:val="00D46736"/>
    <w:rsid w:val="00D467C1"/>
    <w:rsid w:val="00D46B69"/>
    <w:rsid w:val="00D46CCC"/>
    <w:rsid w:val="00D47CCE"/>
    <w:rsid w:val="00D47D35"/>
    <w:rsid w:val="00D47D91"/>
    <w:rsid w:val="00D5085A"/>
    <w:rsid w:val="00D522A5"/>
    <w:rsid w:val="00D52401"/>
    <w:rsid w:val="00D525DD"/>
    <w:rsid w:val="00D52FDE"/>
    <w:rsid w:val="00D53BAF"/>
    <w:rsid w:val="00D54279"/>
    <w:rsid w:val="00D55F72"/>
    <w:rsid w:val="00D5678C"/>
    <w:rsid w:val="00D578BC"/>
    <w:rsid w:val="00D57C21"/>
    <w:rsid w:val="00D57C8E"/>
    <w:rsid w:val="00D607BA"/>
    <w:rsid w:val="00D617A6"/>
    <w:rsid w:val="00D61961"/>
    <w:rsid w:val="00D61FAC"/>
    <w:rsid w:val="00D62841"/>
    <w:rsid w:val="00D62E83"/>
    <w:rsid w:val="00D63067"/>
    <w:rsid w:val="00D6315E"/>
    <w:rsid w:val="00D632C4"/>
    <w:rsid w:val="00D635FA"/>
    <w:rsid w:val="00D6405C"/>
    <w:rsid w:val="00D6446A"/>
    <w:rsid w:val="00D653D8"/>
    <w:rsid w:val="00D65D5F"/>
    <w:rsid w:val="00D66B43"/>
    <w:rsid w:val="00D67355"/>
    <w:rsid w:val="00D67968"/>
    <w:rsid w:val="00D67EB7"/>
    <w:rsid w:val="00D71911"/>
    <w:rsid w:val="00D72041"/>
    <w:rsid w:val="00D74597"/>
    <w:rsid w:val="00D74F2F"/>
    <w:rsid w:val="00D7568C"/>
    <w:rsid w:val="00D75775"/>
    <w:rsid w:val="00D75B23"/>
    <w:rsid w:val="00D75F25"/>
    <w:rsid w:val="00D764B1"/>
    <w:rsid w:val="00D765CC"/>
    <w:rsid w:val="00D76DBE"/>
    <w:rsid w:val="00D7770B"/>
    <w:rsid w:val="00D80579"/>
    <w:rsid w:val="00D80AE5"/>
    <w:rsid w:val="00D810E2"/>
    <w:rsid w:val="00D812C5"/>
    <w:rsid w:val="00D81958"/>
    <w:rsid w:val="00D81E17"/>
    <w:rsid w:val="00D823C4"/>
    <w:rsid w:val="00D833FD"/>
    <w:rsid w:val="00D8476D"/>
    <w:rsid w:val="00D855B3"/>
    <w:rsid w:val="00D86B1A"/>
    <w:rsid w:val="00D86C51"/>
    <w:rsid w:val="00D86EA5"/>
    <w:rsid w:val="00D90B4D"/>
    <w:rsid w:val="00D9156F"/>
    <w:rsid w:val="00D9168E"/>
    <w:rsid w:val="00D935C0"/>
    <w:rsid w:val="00D93864"/>
    <w:rsid w:val="00D940CD"/>
    <w:rsid w:val="00D94A4D"/>
    <w:rsid w:val="00D970CA"/>
    <w:rsid w:val="00D973D0"/>
    <w:rsid w:val="00D974AE"/>
    <w:rsid w:val="00DA0E6D"/>
    <w:rsid w:val="00DA1B3C"/>
    <w:rsid w:val="00DA421E"/>
    <w:rsid w:val="00DA4D61"/>
    <w:rsid w:val="00DA524B"/>
    <w:rsid w:val="00DA593A"/>
    <w:rsid w:val="00DA676F"/>
    <w:rsid w:val="00DB06F5"/>
    <w:rsid w:val="00DB0C15"/>
    <w:rsid w:val="00DB1613"/>
    <w:rsid w:val="00DB2DA1"/>
    <w:rsid w:val="00DB40A0"/>
    <w:rsid w:val="00DB4787"/>
    <w:rsid w:val="00DB750F"/>
    <w:rsid w:val="00DB7F2D"/>
    <w:rsid w:val="00DC0814"/>
    <w:rsid w:val="00DC2270"/>
    <w:rsid w:val="00DC46D7"/>
    <w:rsid w:val="00DC5375"/>
    <w:rsid w:val="00DC70E9"/>
    <w:rsid w:val="00DD0C86"/>
    <w:rsid w:val="00DD1093"/>
    <w:rsid w:val="00DD2627"/>
    <w:rsid w:val="00DD4A54"/>
    <w:rsid w:val="00DD4C1B"/>
    <w:rsid w:val="00DD4DD7"/>
    <w:rsid w:val="00DD5162"/>
    <w:rsid w:val="00DE03FF"/>
    <w:rsid w:val="00DE0DE2"/>
    <w:rsid w:val="00DE1EBC"/>
    <w:rsid w:val="00DE23FA"/>
    <w:rsid w:val="00DE3358"/>
    <w:rsid w:val="00DE3D39"/>
    <w:rsid w:val="00DE431E"/>
    <w:rsid w:val="00DE4543"/>
    <w:rsid w:val="00DE563B"/>
    <w:rsid w:val="00DE5D23"/>
    <w:rsid w:val="00DF0FFC"/>
    <w:rsid w:val="00DF131A"/>
    <w:rsid w:val="00DF196E"/>
    <w:rsid w:val="00DF2EB8"/>
    <w:rsid w:val="00DF3EDC"/>
    <w:rsid w:val="00DF463B"/>
    <w:rsid w:val="00DF49ED"/>
    <w:rsid w:val="00DF699F"/>
    <w:rsid w:val="00DF7E7E"/>
    <w:rsid w:val="00E00918"/>
    <w:rsid w:val="00E00BFF"/>
    <w:rsid w:val="00E012E7"/>
    <w:rsid w:val="00E01539"/>
    <w:rsid w:val="00E01A7A"/>
    <w:rsid w:val="00E0225F"/>
    <w:rsid w:val="00E02E67"/>
    <w:rsid w:val="00E043BF"/>
    <w:rsid w:val="00E050E1"/>
    <w:rsid w:val="00E061BD"/>
    <w:rsid w:val="00E07864"/>
    <w:rsid w:val="00E07898"/>
    <w:rsid w:val="00E07AB9"/>
    <w:rsid w:val="00E10458"/>
    <w:rsid w:val="00E1407C"/>
    <w:rsid w:val="00E16005"/>
    <w:rsid w:val="00E17317"/>
    <w:rsid w:val="00E173B5"/>
    <w:rsid w:val="00E17A8D"/>
    <w:rsid w:val="00E203CC"/>
    <w:rsid w:val="00E220E0"/>
    <w:rsid w:val="00E22288"/>
    <w:rsid w:val="00E22EBE"/>
    <w:rsid w:val="00E235FD"/>
    <w:rsid w:val="00E23D33"/>
    <w:rsid w:val="00E2459D"/>
    <w:rsid w:val="00E24D5C"/>
    <w:rsid w:val="00E25F18"/>
    <w:rsid w:val="00E272E5"/>
    <w:rsid w:val="00E27450"/>
    <w:rsid w:val="00E303B9"/>
    <w:rsid w:val="00E309AA"/>
    <w:rsid w:val="00E31312"/>
    <w:rsid w:val="00E31B56"/>
    <w:rsid w:val="00E32127"/>
    <w:rsid w:val="00E32130"/>
    <w:rsid w:val="00E32993"/>
    <w:rsid w:val="00E33C9B"/>
    <w:rsid w:val="00E343B0"/>
    <w:rsid w:val="00E34AAF"/>
    <w:rsid w:val="00E35540"/>
    <w:rsid w:val="00E3695A"/>
    <w:rsid w:val="00E37CD1"/>
    <w:rsid w:val="00E4006A"/>
    <w:rsid w:val="00E419D2"/>
    <w:rsid w:val="00E431E4"/>
    <w:rsid w:val="00E43622"/>
    <w:rsid w:val="00E43E38"/>
    <w:rsid w:val="00E443D0"/>
    <w:rsid w:val="00E47E38"/>
    <w:rsid w:val="00E500B9"/>
    <w:rsid w:val="00E517C2"/>
    <w:rsid w:val="00E5188E"/>
    <w:rsid w:val="00E51ECF"/>
    <w:rsid w:val="00E53A93"/>
    <w:rsid w:val="00E5494E"/>
    <w:rsid w:val="00E555D7"/>
    <w:rsid w:val="00E557A7"/>
    <w:rsid w:val="00E5607C"/>
    <w:rsid w:val="00E5669F"/>
    <w:rsid w:val="00E57626"/>
    <w:rsid w:val="00E6050E"/>
    <w:rsid w:val="00E60C04"/>
    <w:rsid w:val="00E62F63"/>
    <w:rsid w:val="00E63A43"/>
    <w:rsid w:val="00E6431C"/>
    <w:rsid w:val="00E64B43"/>
    <w:rsid w:val="00E65776"/>
    <w:rsid w:val="00E657B0"/>
    <w:rsid w:val="00E66190"/>
    <w:rsid w:val="00E66356"/>
    <w:rsid w:val="00E66D75"/>
    <w:rsid w:val="00E6706A"/>
    <w:rsid w:val="00E726C7"/>
    <w:rsid w:val="00E7565A"/>
    <w:rsid w:val="00E762E5"/>
    <w:rsid w:val="00E777AB"/>
    <w:rsid w:val="00E8048B"/>
    <w:rsid w:val="00E80668"/>
    <w:rsid w:val="00E8182A"/>
    <w:rsid w:val="00E819A1"/>
    <w:rsid w:val="00E81D16"/>
    <w:rsid w:val="00E81D4E"/>
    <w:rsid w:val="00E82735"/>
    <w:rsid w:val="00E843B4"/>
    <w:rsid w:val="00E8557B"/>
    <w:rsid w:val="00E85CF2"/>
    <w:rsid w:val="00E8645E"/>
    <w:rsid w:val="00E902D3"/>
    <w:rsid w:val="00E90E0A"/>
    <w:rsid w:val="00E92D25"/>
    <w:rsid w:val="00E92DB2"/>
    <w:rsid w:val="00E934C1"/>
    <w:rsid w:val="00E93E4A"/>
    <w:rsid w:val="00E94E73"/>
    <w:rsid w:val="00EA090A"/>
    <w:rsid w:val="00EA295C"/>
    <w:rsid w:val="00EA30AE"/>
    <w:rsid w:val="00EA46B0"/>
    <w:rsid w:val="00EA49E5"/>
    <w:rsid w:val="00EA5157"/>
    <w:rsid w:val="00EA5889"/>
    <w:rsid w:val="00EA7ACF"/>
    <w:rsid w:val="00EB1779"/>
    <w:rsid w:val="00EB2923"/>
    <w:rsid w:val="00EB2EB6"/>
    <w:rsid w:val="00EB311D"/>
    <w:rsid w:val="00EB4561"/>
    <w:rsid w:val="00EB4DCE"/>
    <w:rsid w:val="00EB553D"/>
    <w:rsid w:val="00EB66D3"/>
    <w:rsid w:val="00EB6FD2"/>
    <w:rsid w:val="00EB71E6"/>
    <w:rsid w:val="00EC0BF1"/>
    <w:rsid w:val="00EC2275"/>
    <w:rsid w:val="00EC37B0"/>
    <w:rsid w:val="00EC426D"/>
    <w:rsid w:val="00EC6B9A"/>
    <w:rsid w:val="00EC7461"/>
    <w:rsid w:val="00EC7A06"/>
    <w:rsid w:val="00EC7E3D"/>
    <w:rsid w:val="00ED0251"/>
    <w:rsid w:val="00ED0647"/>
    <w:rsid w:val="00ED0648"/>
    <w:rsid w:val="00ED088C"/>
    <w:rsid w:val="00ED0D50"/>
    <w:rsid w:val="00ED21AE"/>
    <w:rsid w:val="00ED24E7"/>
    <w:rsid w:val="00ED2CE8"/>
    <w:rsid w:val="00ED3280"/>
    <w:rsid w:val="00ED36E1"/>
    <w:rsid w:val="00ED401E"/>
    <w:rsid w:val="00ED4070"/>
    <w:rsid w:val="00ED4AEF"/>
    <w:rsid w:val="00EE1328"/>
    <w:rsid w:val="00EE2ED0"/>
    <w:rsid w:val="00EE4355"/>
    <w:rsid w:val="00EE440C"/>
    <w:rsid w:val="00EE69FA"/>
    <w:rsid w:val="00EE7700"/>
    <w:rsid w:val="00EF0FBD"/>
    <w:rsid w:val="00EF26D1"/>
    <w:rsid w:val="00EF2F55"/>
    <w:rsid w:val="00EF443F"/>
    <w:rsid w:val="00EF5010"/>
    <w:rsid w:val="00EF6351"/>
    <w:rsid w:val="00EF75D7"/>
    <w:rsid w:val="00EF77FD"/>
    <w:rsid w:val="00F00F7F"/>
    <w:rsid w:val="00F01205"/>
    <w:rsid w:val="00F020A0"/>
    <w:rsid w:val="00F02A57"/>
    <w:rsid w:val="00F031FD"/>
    <w:rsid w:val="00F0353F"/>
    <w:rsid w:val="00F03C4D"/>
    <w:rsid w:val="00F03DC0"/>
    <w:rsid w:val="00F04452"/>
    <w:rsid w:val="00F04834"/>
    <w:rsid w:val="00F04FA5"/>
    <w:rsid w:val="00F05E0B"/>
    <w:rsid w:val="00F105D8"/>
    <w:rsid w:val="00F11B30"/>
    <w:rsid w:val="00F1242F"/>
    <w:rsid w:val="00F13525"/>
    <w:rsid w:val="00F13889"/>
    <w:rsid w:val="00F13DE3"/>
    <w:rsid w:val="00F14168"/>
    <w:rsid w:val="00F148C3"/>
    <w:rsid w:val="00F14CB8"/>
    <w:rsid w:val="00F16C8F"/>
    <w:rsid w:val="00F1764A"/>
    <w:rsid w:val="00F17C81"/>
    <w:rsid w:val="00F2229F"/>
    <w:rsid w:val="00F227A4"/>
    <w:rsid w:val="00F24728"/>
    <w:rsid w:val="00F2485B"/>
    <w:rsid w:val="00F24D89"/>
    <w:rsid w:val="00F24ED5"/>
    <w:rsid w:val="00F25816"/>
    <w:rsid w:val="00F267CF"/>
    <w:rsid w:val="00F26E9A"/>
    <w:rsid w:val="00F27502"/>
    <w:rsid w:val="00F304DF"/>
    <w:rsid w:val="00F30A23"/>
    <w:rsid w:val="00F3111D"/>
    <w:rsid w:val="00F31334"/>
    <w:rsid w:val="00F3195E"/>
    <w:rsid w:val="00F31ED6"/>
    <w:rsid w:val="00F320DC"/>
    <w:rsid w:val="00F326D1"/>
    <w:rsid w:val="00F33B7C"/>
    <w:rsid w:val="00F33EA4"/>
    <w:rsid w:val="00F34776"/>
    <w:rsid w:val="00F3554E"/>
    <w:rsid w:val="00F3602F"/>
    <w:rsid w:val="00F3681A"/>
    <w:rsid w:val="00F37721"/>
    <w:rsid w:val="00F37A62"/>
    <w:rsid w:val="00F40437"/>
    <w:rsid w:val="00F40C63"/>
    <w:rsid w:val="00F40F4D"/>
    <w:rsid w:val="00F41E02"/>
    <w:rsid w:val="00F426F8"/>
    <w:rsid w:val="00F436DE"/>
    <w:rsid w:val="00F45948"/>
    <w:rsid w:val="00F45C15"/>
    <w:rsid w:val="00F45CE4"/>
    <w:rsid w:val="00F525F9"/>
    <w:rsid w:val="00F5416B"/>
    <w:rsid w:val="00F55C94"/>
    <w:rsid w:val="00F55FE9"/>
    <w:rsid w:val="00F569FE"/>
    <w:rsid w:val="00F56B96"/>
    <w:rsid w:val="00F572CA"/>
    <w:rsid w:val="00F61035"/>
    <w:rsid w:val="00F617CC"/>
    <w:rsid w:val="00F62320"/>
    <w:rsid w:val="00F63CE3"/>
    <w:rsid w:val="00F644AE"/>
    <w:rsid w:val="00F64DFF"/>
    <w:rsid w:val="00F64E95"/>
    <w:rsid w:val="00F64EF0"/>
    <w:rsid w:val="00F65732"/>
    <w:rsid w:val="00F65DD0"/>
    <w:rsid w:val="00F67271"/>
    <w:rsid w:val="00F67743"/>
    <w:rsid w:val="00F7179D"/>
    <w:rsid w:val="00F72428"/>
    <w:rsid w:val="00F72649"/>
    <w:rsid w:val="00F73C8E"/>
    <w:rsid w:val="00F74106"/>
    <w:rsid w:val="00F74FDE"/>
    <w:rsid w:val="00F75A4F"/>
    <w:rsid w:val="00F75C16"/>
    <w:rsid w:val="00F75CDA"/>
    <w:rsid w:val="00F76892"/>
    <w:rsid w:val="00F801A1"/>
    <w:rsid w:val="00F80722"/>
    <w:rsid w:val="00F808AF"/>
    <w:rsid w:val="00F81211"/>
    <w:rsid w:val="00F81981"/>
    <w:rsid w:val="00F81B18"/>
    <w:rsid w:val="00F81E68"/>
    <w:rsid w:val="00F82AF5"/>
    <w:rsid w:val="00F838E2"/>
    <w:rsid w:val="00F867FB"/>
    <w:rsid w:val="00F907C0"/>
    <w:rsid w:val="00F9121A"/>
    <w:rsid w:val="00F92E35"/>
    <w:rsid w:val="00F930D3"/>
    <w:rsid w:val="00F93BC3"/>
    <w:rsid w:val="00F94045"/>
    <w:rsid w:val="00F944B4"/>
    <w:rsid w:val="00F94582"/>
    <w:rsid w:val="00F947D8"/>
    <w:rsid w:val="00F95295"/>
    <w:rsid w:val="00F95526"/>
    <w:rsid w:val="00F97229"/>
    <w:rsid w:val="00F973FF"/>
    <w:rsid w:val="00FA1638"/>
    <w:rsid w:val="00FA192F"/>
    <w:rsid w:val="00FA195F"/>
    <w:rsid w:val="00FA2614"/>
    <w:rsid w:val="00FA2B99"/>
    <w:rsid w:val="00FA35F2"/>
    <w:rsid w:val="00FA367F"/>
    <w:rsid w:val="00FA46E4"/>
    <w:rsid w:val="00FA6E65"/>
    <w:rsid w:val="00FA7D93"/>
    <w:rsid w:val="00FB024E"/>
    <w:rsid w:val="00FB1F56"/>
    <w:rsid w:val="00FB26AE"/>
    <w:rsid w:val="00FB2798"/>
    <w:rsid w:val="00FB4346"/>
    <w:rsid w:val="00FB4692"/>
    <w:rsid w:val="00FB4802"/>
    <w:rsid w:val="00FB4ACF"/>
    <w:rsid w:val="00FB6877"/>
    <w:rsid w:val="00FB6920"/>
    <w:rsid w:val="00FB7CE8"/>
    <w:rsid w:val="00FC0480"/>
    <w:rsid w:val="00FC0A1A"/>
    <w:rsid w:val="00FC1275"/>
    <w:rsid w:val="00FC3B67"/>
    <w:rsid w:val="00FC43BF"/>
    <w:rsid w:val="00FC48E5"/>
    <w:rsid w:val="00FC4F6D"/>
    <w:rsid w:val="00FC6500"/>
    <w:rsid w:val="00FC776A"/>
    <w:rsid w:val="00FC7CA8"/>
    <w:rsid w:val="00FC7F48"/>
    <w:rsid w:val="00FD0B04"/>
    <w:rsid w:val="00FD1918"/>
    <w:rsid w:val="00FD1C89"/>
    <w:rsid w:val="00FD1CF5"/>
    <w:rsid w:val="00FD1F84"/>
    <w:rsid w:val="00FD2BA5"/>
    <w:rsid w:val="00FD2C13"/>
    <w:rsid w:val="00FD2D2B"/>
    <w:rsid w:val="00FD4220"/>
    <w:rsid w:val="00FD477A"/>
    <w:rsid w:val="00FD4890"/>
    <w:rsid w:val="00FD48C3"/>
    <w:rsid w:val="00FD567F"/>
    <w:rsid w:val="00FD5A91"/>
    <w:rsid w:val="00FE3D61"/>
    <w:rsid w:val="00FE4412"/>
    <w:rsid w:val="00FE4FED"/>
    <w:rsid w:val="00FE697E"/>
    <w:rsid w:val="00FE6C05"/>
    <w:rsid w:val="00FF248A"/>
    <w:rsid w:val="00FF32C7"/>
    <w:rsid w:val="00FF3637"/>
    <w:rsid w:val="00FF38E6"/>
    <w:rsid w:val="00FF43CB"/>
    <w:rsid w:val="00FF65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annotation subject" w:uiPriority="99"/>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44A0"/>
    <w:pPr>
      <w:spacing w:line="240" w:lineRule="atLeast"/>
    </w:pPr>
    <w:rPr>
      <w:lang w:eastAsia="es-ES"/>
    </w:rPr>
  </w:style>
  <w:style w:type="paragraph" w:styleId="Heading1">
    <w:name w:val="heading 1"/>
    <w:aliases w:val="Table_G"/>
    <w:basedOn w:val="SingleTxtG"/>
    <w:next w:val="SingleTxtG"/>
    <w:link w:val="Heading1Char"/>
    <w:qFormat/>
    <w:rsid w:val="004944A0"/>
    <w:pPr>
      <w:keepNext/>
      <w:spacing w:after="0" w:line="240" w:lineRule="auto"/>
      <w:outlineLvl w:val="0"/>
    </w:pPr>
    <w:rPr>
      <w:rFonts w:cs="Arial"/>
      <w:bCs/>
      <w:szCs w:val="32"/>
    </w:rPr>
  </w:style>
  <w:style w:type="paragraph" w:styleId="Heading2">
    <w:name w:val="heading 2"/>
    <w:basedOn w:val="Normal"/>
    <w:next w:val="Normal"/>
    <w:qFormat/>
    <w:rsid w:val="004944A0"/>
    <w:pPr>
      <w:keepNext/>
      <w:outlineLvl w:val="1"/>
    </w:pPr>
    <w:rPr>
      <w:rFonts w:cs="Arial"/>
      <w:bCs/>
      <w:iCs/>
      <w:szCs w:val="28"/>
    </w:rPr>
  </w:style>
  <w:style w:type="paragraph" w:styleId="Heading3">
    <w:name w:val="heading 3"/>
    <w:basedOn w:val="Normal"/>
    <w:next w:val="Normal"/>
    <w:qFormat/>
    <w:rsid w:val="004944A0"/>
    <w:pPr>
      <w:keepNext/>
      <w:spacing w:before="240" w:after="60"/>
      <w:outlineLvl w:val="2"/>
    </w:pPr>
    <w:rPr>
      <w:rFonts w:ascii="Arial" w:hAnsi="Arial" w:cs="Arial"/>
      <w:b/>
      <w:bCs/>
      <w:sz w:val="26"/>
      <w:szCs w:val="26"/>
    </w:rPr>
  </w:style>
  <w:style w:type="paragraph" w:styleId="Heading4">
    <w:name w:val="heading 4"/>
    <w:basedOn w:val="Normal"/>
    <w:next w:val="Normal"/>
    <w:qFormat/>
    <w:rsid w:val="004944A0"/>
    <w:pPr>
      <w:keepNext/>
      <w:spacing w:before="240" w:after="60"/>
      <w:outlineLvl w:val="3"/>
    </w:pPr>
    <w:rPr>
      <w:b/>
      <w:bCs/>
      <w:sz w:val="28"/>
      <w:szCs w:val="28"/>
    </w:rPr>
  </w:style>
  <w:style w:type="paragraph" w:styleId="Heading5">
    <w:name w:val="heading 5"/>
    <w:basedOn w:val="Normal"/>
    <w:next w:val="Normal"/>
    <w:qFormat/>
    <w:rsid w:val="004944A0"/>
    <w:pPr>
      <w:spacing w:before="240" w:after="60"/>
      <w:outlineLvl w:val="4"/>
    </w:pPr>
    <w:rPr>
      <w:b/>
      <w:bCs/>
      <w:i/>
      <w:iCs/>
      <w:sz w:val="26"/>
      <w:szCs w:val="26"/>
    </w:rPr>
  </w:style>
  <w:style w:type="paragraph" w:styleId="Heading6">
    <w:name w:val="heading 6"/>
    <w:basedOn w:val="Normal"/>
    <w:next w:val="Normal"/>
    <w:qFormat/>
    <w:rsid w:val="004944A0"/>
    <w:pPr>
      <w:spacing w:before="240" w:after="60"/>
      <w:outlineLvl w:val="5"/>
    </w:pPr>
    <w:rPr>
      <w:b/>
      <w:bCs/>
      <w:sz w:val="22"/>
      <w:szCs w:val="22"/>
    </w:rPr>
  </w:style>
  <w:style w:type="paragraph" w:styleId="Heading7">
    <w:name w:val="heading 7"/>
    <w:basedOn w:val="Normal"/>
    <w:next w:val="Normal"/>
    <w:qFormat/>
    <w:rsid w:val="004944A0"/>
    <w:pPr>
      <w:spacing w:before="240" w:after="60"/>
      <w:outlineLvl w:val="6"/>
    </w:pPr>
    <w:rPr>
      <w:sz w:val="24"/>
      <w:szCs w:val="24"/>
    </w:rPr>
  </w:style>
  <w:style w:type="paragraph" w:styleId="Heading8">
    <w:name w:val="heading 8"/>
    <w:basedOn w:val="Normal"/>
    <w:next w:val="Normal"/>
    <w:qFormat/>
    <w:rsid w:val="004944A0"/>
    <w:pPr>
      <w:spacing w:before="240" w:after="60"/>
      <w:outlineLvl w:val="7"/>
    </w:pPr>
    <w:rPr>
      <w:i/>
      <w:iCs/>
      <w:sz w:val="24"/>
      <w:szCs w:val="24"/>
    </w:rPr>
  </w:style>
  <w:style w:type="paragraph" w:styleId="Heading9">
    <w:name w:val="heading 9"/>
    <w:basedOn w:val="Normal"/>
    <w:next w:val="Normal"/>
    <w:qFormat/>
    <w:rsid w:val="004944A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ChG">
    <w:name w:val="_ H _Ch_G"/>
    <w:basedOn w:val="Normal"/>
    <w:next w:val="Normal"/>
    <w:link w:val="HChGChar"/>
    <w:rsid w:val="004944A0"/>
    <w:pPr>
      <w:keepNext/>
      <w:keepLines/>
      <w:tabs>
        <w:tab w:val="right" w:pos="851"/>
      </w:tabs>
      <w:suppressAutoHyphens/>
      <w:spacing w:before="360" w:after="240" w:line="300" w:lineRule="exact"/>
      <w:ind w:left="1134" w:right="1134" w:hanging="1134"/>
    </w:pPr>
    <w:rPr>
      <w:b/>
      <w:sz w:val="28"/>
    </w:rPr>
  </w:style>
  <w:style w:type="paragraph" w:customStyle="1" w:styleId="HMG">
    <w:name w:val="_ H __M_G"/>
    <w:basedOn w:val="Normal"/>
    <w:next w:val="Normal"/>
    <w:rsid w:val="004944A0"/>
    <w:pPr>
      <w:keepNext/>
      <w:keepLines/>
      <w:tabs>
        <w:tab w:val="right" w:pos="851"/>
      </w:tabs>
      <w:suppressAutoHyphens/>
      <w:spacing w:before="240" w:after="240" w:line="360" w:lineRule="exact"/>
      <w:ind w:left="1134" w:right="1134" w:hanging="1134"/>
    </w:pPr>
    <w:rPr>
      <w:b/>
      <w:sz w:val="34"/>
    </w:rPr>
  </w:style>
  <w:style w:type="paragraph" w:customStyle="1" w:styleId="SingleTxtG">
    <w:name w:val="_ Single Txt_G"/>
    <w:basedOn w:val="Normal"/>
    <w:link w:val="SingleTxtGCar"/>
    <w:rsid w:val="004944A0"/>
    <w:pPr>
      <w:spacing w:after="120"/>
      <w:ind w:left="1134" w:right="1134"/>
      <w:jc w:val="both"/>
    </w:pPr>
    <w:rPr>
      <w:lang w:val="es-ES"/>
    </w:rPr>
  </w:style>
  <w:style w:type="character" w:styleId="FootnoteReference">
    <w:name w:val="footnote reference"/>
    <w:aliases w:val="4_G,a Footnote Reference,FZ,Appel note de bas de page,Footnotes refss,Footnote Ref,16 Point,Superscript 6 Point,Appel note de bas de p.,Footnote Refernece,Footnote number,Texto de nota al pie,Footnote Reference Char3,ftref,4_,BVI fnr"/>
    <w:link w:val="Appelnotedebasde"/>
    <w:uiPriority w:val="99"/>
    <w:qFormat/>
    <w:rsid w:val="004944A0"/>
    <w:rPr>
      <w:sz w:val="18"/>
      <w:vertAlign w:val="superscript"/>
    </w:rPr>
  </w:style>
  <w:style w:type="character" w:styleId="EndnoteReference">
    <w:name w:val="endnote reference"/>
    <w:aliases w:val="1_G"/>
    <w:rsid w:val="004944A0"/>
    <w:rPr>
      <w:rFonts w:ascii="Times New Roman" w:hAnsi="Times New Roman"/>
      <w:sz w:val="18"/>
      <w:vertAlign w:val="superscript"/>
    </w:rPr>
  </w:style>
  <w:style w:type="paragraph" w:styleId="Header">
    <w:name w:val="header"/>
    <w:aliases w:val="6_G"/>
    <w:basedOn w:val="Normal"/>
    <w:next w:val="Normal"/>
    <w:link w:val="HeaderChar"/>
    <w:rsid w:val="004944A0"/>
    <w:pPr>
      <w:pBdr>
        <w:bottom w:val="single" w:sz="4" w:space="4" w:color="auto"/>
      </w:pBdr>
      <w:spacing w:line="240" w:lineRule="auto"/>
    </w:pPr>
    <w:rPr>
      <w:b/>
      <w:sz w:val="18"/>
      <w:lang w:val="es-ES"/>
    </w:rPr>
  </w:style>
  <w:style w:type="table" w:styleId="TableGrid">
    <w:name w:val="Table Grid"/>
    <w:basedOn w:val="TableNormal"/>
    <w:semiHidden/>
    <w:rsid w:val="004944A0"/>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4944A0"/>
    <w:rPr>
      <w:color w:val="0000FF"/>
      <w:u w:val="single"/>
    </w:rPr>
  </w:style>
  <w:style w:type="character" w:styleId="FollowedHyperlink">
    <w:name w:val="FollowedHyperlink"/>
    <w:semiHidden/>
    <w:rsid w:val="004944A0"/>
    <w:rPr>
      <w:color w:val="800080"/>
      <w:u w:val="single"/>
    </w:rPr>
  </w:style>
  <w:style w:type="paragraph" w:customStyle="1" w:styleId="SMG">
    <w:name w:val="__S_M_G"/>
    <w:basedOn w:val="Normal"/>
    <w:next w:val="Normal"/>
    <w:rsid w:val="004944A0"/>
    <w:pPr>
      <w:keepNext/>
      <w:keepLines/>
      <w:suppressAutoHyphens/>
      <w:spacing w:before="240" w:after="240" w:line="420" w:lineRule="exact"/>
      <w:ind w:left="1134" w:right="1134"/>
    </w:pPr>
    <w:rPr>
      <w:b/>
      <w:sz w:val="40"/>
    </w:rPr>
  </w:style>
  <w:style w:type="paragraph" w:customStyle="1" w:styleId="SLG">
    <w:name w:val="__S_L_G"/>
    <w:basedOn w:val="Normal"/>
    <w:next w:val="Normal"/>
    <w:rsid w:val="004944A0"/>
    <w:pPr>
      <w:keepNext/>
      <w:keepLines/>
      <w:spacing w:before="240" w:after="240" w:line="580" w:lineRule="exact"/>
      <w:ind w:left="1134" w:right="1134"/>
    </w:pPr>
    <w:rPr>
      <w:b/>
      <w:sz w:val="56"/>
    </w:rPr>
  </w:style>
  <w:style w:type="paragraph" w:customStyle="1" w:styleId="SSG">
    <w:name w:val="__S_S_G"/>
    <w:basedOn w:val="Normal"/>
    <w:next w:val="Normal"/>
    <w:rsid w:val="004944A0"/>
    <w:pPr>
      <w:keepNext/>
      <w:keepLines/>
      <w:spacing w:before="240" w:after="240" w:line="300" w:lineRule="exact"/>
      <w:ind w:left="1134" w:right="1134"/>
    </w:pPr>
    <w:rPr>
      <w:b/>
      <w:sz w:val="28"/>
    </w:rPr>
  </w:style>
  <w:style w:type="paragraph" w:styleId="FootnoteText">
    <w:name w:val="footnote text"/>
    <w:aliases w:val="5_G,Footnote Text Char1,Footnote Text Char Char,Footnote Text Char1 Char Char,Footnote Text Char Char Char Char,Footnote Text Char Char1,FA,FA Fußnotentext,Note de bas de page Car Car,Footnote Text Char3,Text pozn. pod čarou Char,FA Fu,f"/>
    <w:basedOn w:val="Normal"/>
    <w:link w:val="FootnoteTextChar"/>
    <w:uiPriority w:val="99"/>
    <w:qFormat/>
    <w:rsid w:val="004944A0"/>
    <w:pPr>
      <w:tabs>
        <w:tab w:val="right" w:pos="1021"/>
      </w:tabs>
      <w:spacing w:line="220" w:lineRule="exact"/>
      <w:ind w:left="1134" w:right="1134" w:hanging="1134"/>
    </w:pPr>
    <w:rPr>
      <w:sz w:val="18"/>
      <w:lang w:val="es-ES"/>
    </w:rPr>
  </w:style>
  <w:style w:type="paragraph" w:styleId="EndnoteText">
    <w:name w:val="endnote text"/>
    <w:aliases w:val="2_G"/>
    <w:basedOn w:val="FootnoteText"/>
    <w:link w:val="EndnoteTextChar"/>
    <w:rsid w:val="004944A0"/>
  </w:style>
  <w:style w:type="character" w:styleId="PageNumber">
    <w:name w:val="page number"/>
    <w:aliases w:val="7_G"/>
    <w:rsid w:val="004944A0"/>
    <w:rPr>
      <w:b/>
      <w:sz w:val="18"/>
    </w:rPr>
  </w:style>
  <w:style w:type="paragraph" w:customStyle="1" w:styleId="XLargeG">
    <w:name w:val="__XLarge_G"/>
    <w:basedOn w:val="Normal"/>
    <w:next w:val="Normal"/>
    <w:rsid w:val="004944A0"/>
    <w:pPr>
      <w:keepNext/>
      <w:keepLines/>
      <w:spacing w:before="240" w:after="240" w:line="420" w:lineRule="exact"/>
      <w:ind w:left="1134" w:right="1134"/>
    </w:pPr>
    <w:rPr>
      <w:b/>
      <w:sz w:val="40"/>
    </w:rPr>
  </w:style>
  <w:style w:type="paragraph" w:customStyle="1" w:styleId="Bullet1G">
    <w:name w:val="_Bullet 1_G"/>
    <w:basedOn w:val="Normal"/>
    <w:rsid w:val="004944A0"/>
    <w:pPr>
      <w:numPr>
        <w:numId w:val="2"/>
      </w:numPr>
      <w:spacing w:after="120"/>
      <w:ind w:right="1134"/>
      <w:jc w:val="both"/>
    </w:pPr>
    <w:rPr>
      <w:lang w:eastAsia="en-US"/>
    </w:rPr>
  </w:style>
  <w:style w:type="paragraph" w:styleId="Footer">
    <w:name w:val="footer"/>
    <w:aliases w:val="3_G"/>
    <w:basedOn w:val="Normal"/>
    <w:next w:val="Normal"/>
    <w:link w:val="FooterChar"/>
    <w:rsid w:val="004944A0"/>
    <w:rPr>
      <w:sz w:val="16"/>
      <w:lang w:val="es-ES"/>
    </w:rPr>
  </w:style>
  <w:style w:type="paragraph" w:customStyle="1" w:styleId="Bullet2G">
    <w:name w:val="_Bullet 2_G"/>
    <w:basedOn w:val="Normal"/>
    <w:rsid w:val="004944A0"/>
    <w:pPr>
      <w:numPr>
        <w:numId w:val="3"/>
      </w:numPr>
      <w:spacing w:after="120"/>
      <w:ind w:right="1134"/>
      <w:jc w:val="both"/>
    </w:pPr>
  </w:style>
  <w:style w:type="paragraph" w:customStyle="1" w:styleId="H1G">
    <w:name w:val="_ H_1_G"/>
    <w:basedOn w:val="Normal"/>
    <w:next w:val="Normal"/>
    <w:rsid w:val="004944A0"/>
    <w:pPr>
      <w:keepNext/>
      <w:keepLines/>
      <w:tabs>
        <w:tab w:val="right" w:pos="851"/>
      </w:tabs>
      <w:suppressAutoHyphens/>
      <w:spacing w:before="360" w:after="240" w:line="270" w:lineRule="exact"/>
      <w:ind w:left="1134" w:right="1134" w:hanging="1134"/>
    </w:pPr>
    <w:rPr>
      <w:b/>
      <w:sz w:val="24"/>
    </w:rPr>
  </w:style>
  <w:style w:type="paragraph" w:customStyle="1" w:styleId="H23G">
    <w:name w:val="_ H_2/3_G"/>
    <w:basedOn w:val="Normal"/>
    <w:next w:val="Normal"/>
    <w:rsid w:val="006242BC"/>
    <w:pPr>
      <w:keepNext/>
      <w:keepLines/>
      <w:tabs>
        <w:tab w:val="right" w:pos="851"/>
      </w:tabs>
      <w:suppressAutoHyphens/>
      <w:spacing w:before="240" w:after="120" w:line="240" w:lineRule="exact"/>
      <w:ind w:left="1134" w:right="1134" w:hanging="1134"/>
    </w:pPr>
    <w:rPr>
      <w:b/>
    </w:rPr>
  </w:style>
  <w:style w:type="paragraph" w:customStyle="1" w:styleId="H4G">
    <w:name w:val="_ H_4_G"/>
    <w:basedOn w:val="Normal"/>
    <w:next w:val="Normal"/>
    <w:rsid w:val="004944A0"/>
    <w:pPr>
      <w:keepNext/>
      <w:keepLines/>
      <w:tabs>
        <w:tab w:val="right" w:pos="851"/>
      </w:tabs>
      <w:suppressAutoHyphens/>
      <w:spacing w:before="240" w:after="120" w:line="240" w:lineRule="exact"/>
      <w:ind w:left="1134" w:right="1134" w:hanging="1134"/>
    </w:pPr>
    <w:rPr>
      <w:i/>
    </w:rPr>
  </w:style>
  <w:style w:type="paragraph" w:customStyle="1" w:styleId="H56G">
    <w:name w:val="_ H_5/6_G"/>
    <w:basedOn w:val="Normal"/>
    <w:next w:val="Normal"/>
    <w:rsid w:val="004944A0"/>
    <w:pPr>
      <w:keepNext/>
      <w:keepLines/>
      <w:tabs>
        <w:tab w:val="right" w:pos="851"/>
      </w:tabs>
      <w:suppressAutoHyphens/>
      <w:spacing w:before="240" w:after="120" w:line="240" w:lineRule="exact"/>
      <w:ind w:left="1134" w:right="1134" w:hanging="1134"/>
    </w:pPr>
  </w:style>
  <w:style w:type="character" w:customStyle="1" w:styleId="Heading1Char">
    <w:name w:val="Heading 1 Char"/>
    <w:aliases w:val="Table_G Char"/>
    <w:link w:val="Heading1"/>
    <w:uiPriority w:val="9"/>
    <w:rsid w:val="00FD0B04"/>
    <w:rPr>
      <w:rFonts w:cs="Arial"/>
      <w:bCs/>
      <w:szCs w:val="32"/>
      <w:lang w:val="es-ES" w:eastAsia="es-ES" w:bidi="ar-SA"/>
    </w:rPr>
  </w:style>
  <w:style w:type="numbering" w:styleId="111111">
    <w:name w:val="Outline List 2"/>
    <w:basedOn w:val="NoList"/>
    <w:semiHidden/>
    <w:rsid w:val="004944A0"/>
    <w:pPr>
      <w:numPr>
        <w:numId w:val="4"/>
      </w:numPr>
    </w:pPr>
  </w:style>
  <w:style w:type="numbering" w:styleId="1ai">
    <w:name w:val="Outline List 1"/>
    <w:basedOn w:val="NoList"/>
    <w:semiHidden/>
    <w:rsid w:val="004944A0"/>
    <w:pPr>
      <w:numPr>
        <w:numId w:val="5"/>
      </w:numPr>
    </w:pPr>
  </w:style>
  <w:style w:type="character" w:styleId="HTMLAcronym">
    <w:name w:val="HTML Acronym"/>
    <w:basedOn w:val="DefaultParagraphFont"/>
    <w:semiHidden/>
    <w:rsid w:val="004944A0"/>
  </w:style>
  <w:style w:type="numbering" w:styleId="ArticleSection">
    <w:name w:val="Outline List 3"/>
    <w:basedOn w:val="NoList"/>
    <w:semiHidden/>
    <w:rsid w:val="004944A0"/>
    <w:pPr>
      <w:numPr>
        <w:numId w:val="6"/>
      </w:numPr>
    </w:pPr>
  </w:style>
  <w:style w:type="paragraph" w:styleId="Closing">
    <w:name w:val="Closing"/>
    <w:basedOn w:val="Normal"/>
    <w:semiHidden/>
    <w:rsid w:val="004944A0"/>
    <w:pPr>
      <w:ind w:left="4252"/>
    </w:pPr>
  </w:style>
  <w:style w:type="character" w:styleId="HTMLCite">
    <w:name w:val="HTML Cite"/>
    <w:semiHidden/>
    <w:rsid w:val="004944A0"/>
    <w:rPr>
      <w:i/>
      <w:iCs/>
    </w:rPr>
  </w:style>
  <w:style w:type="character" w:styleId="HTMLCode">
    <w:name w:val="HTML Code"/>
    <w:semiHidden/>
    <w:rsid w:val="004944A0"/>
    <w:rPr>
      <w:rFonts w:ascii="Courier New" w:hAnsi="Courier New" w:cs="Courier New"/>
      <w:sz w:val="20"/>
      <w:szCs w:val="20"/>
    </w:rPr>
  </w:style>
  <w:style w:type="paragraph" w:styleId="ListContinue">
    <w:name w:val="List Continue"/>
    <w:basedOn w:val="Normal"/>
    <w:semiHidden/>
    <w:rsid w:val="004944A0"/>
    <w:pPr>
      <w:spacing w:after="120"/>
      <w:ind w:left="283"/>
    </w:pPr>
  </w:style>
  <w:style w:type="character" w:customStyle="1" w:styleId="HeaderChar">
    <w:name w:val="Header Char"/>
    <w:aliases w:val="6_G Char"/>
    <w:link w:val="Header"/>
    <w:rsid w:val="00FD0B04"/>
    <w:rPr>
      <w:b/>
      <w:sz w:val="18"/>
      <w:lang w:val="es-ES" w:eastAsia="es-ES" w:bidi="ar-SA"/>
    </w:rPr>
  </w:style>
  <w:style w:type="character" w:customStyle="1" w:styleId="FootnoteTextChar">
    <w:name w:val="Footnote Text Char"/>
    <w:aliases w:val="5_G Char,Footnote Text Char1 Char,Footnote Text Char Char Char,Footnote Text Char1 Char Char Char,Footnote Text Char Char Char Char Char,Footnote Text Char Char1 Char,FA Char,FA Fußnotentext Char,Note de bas de page Car Car Char"/>
    <w:link w:val="FootnoteText"/>
    <w:uiPriority w:val="99"/>
    <w:rsid w:val="00FD0B04"/>
    <w:rPr>
      <w:sz w:val="18"/>
      <w:lang w:val="es-ES" w:eastAsia="es-ES" w:bidi="ar-SA"/>
    </w:rPr>
  </w:style>
  <w:style w:type="character" w:customStyle="1" w:styleId="EndnoteTextChar">
    <w:name w:val="Endnote Text Char"/>
    <w:aliases w:val="2_G Char"/>
    <w:link w:val="EndnoteText"/>
    <w:rsid w:val="00FD0B04"/>
    <w:rPr>
      <w:sz w:val="18"/>
      <w:lang w:val="es-ES" w:eastAsia="es-ES" w:bidi="ar-SA"/>
    </w:rPr>
  </w:style>
  <w:style w:type="character" w:customStyle="1" w:styleId="FooterChar">
    <w:name w:val="Footer Char"/>
    <w:aliases w:val="3_G Char"/>
    <w:link w:val="Footer"/>
    <w:rsid w:val="00FD0B04"/>
    <w:rPr>
      <w:sz w:val="16"/>
      <w:lang w:val="es-ES" w:eastAsia="es-ES" w:bidi="ar-SA"/>
    </w:rPr>
  </w:style>
  <w:style w:type="paragraph" w:styleId="ListContinue2">
    <w:name w:val="List Continue 2"/>
    <w:basedOn w:val="Normal"/>
    <w:semiHidden/>
    <w:rsid w:val="004944A0"/>
    <w:pPr>
      <w:spacing w:after="120"/>
      <w:ind w:left="566"/>
    </w:pPr>
  </w:style>
  <w:style w:type="paragraph" w:styleId="ListContinue3">
    <w:name w:val="List Continue 3"/>
    <w:basedOn w:val="Normal"/>
    <w:semiHidden/>
    <w:rsid w:val="004944A0"/>
    <w:pPr>
      <w:spacing w:after="120"/>
      <w:ind w:left="849"/>
    </w:pPr>
  </w:style>
  <w:style w:type="paragraph" w:styleId="NormalWeb">
    <w:name w:val="Normal (Web)"/>
    <w:basedOn w:val="Normal"/>
    <w:uiPriority w:val="99"/>
    <w:rsid w:val="004944A0"/>
    <w:rPr>
      <w:sz w:val="24"/>
      <w:szCs w:val="24"/>
    </w:rPr>
  </w:style>
  <w:style w:type="paragraph" w:styleId="ListContinue4">
    <w:name w:val="List Continue 4"/>
    <w:basedOn w:val="Normal"/>
    <w:semiHidden/>
    <w:rsid w:val="004944A0"/>
    <w:pPr>
      <w:spacing w:after="120"/>
      <w:ind w:left="1132"/>
    </w:pPr>
  </w:style>
  <w:style w:type="paragraph" w:styleId="ListContinue5">
    <w:name w:val="List Continue 5"/>
    <w:basedOn w:val="Normal"/>
    <w:semiHidden/>
    <w:rsid w:val="004944A0"/>
    <w:pPr>
      <w:spacing w:after="120"/>
      <w:ind w:left="1415"/>
    </w:pPr>
  </w:style>
  <w:style w:type="character" w:styleId="CommentReference">
    <w:name w:val="annotation reference"/>
    <w:uiPriority w:val="99"/>
    <w:rsid w:val="00FD0B04"/>
    <w:rPr>
      <w:sz w:val="16"/>
      <w:szCs w:val="16"/>
    </w:rPr>
  </w:style>
  <w:style w:type="character" w:styleId="HTMLDefinition">
    <w:name w:val="HTML Definition"/>
    <w:semiHidden/>
    <w:rsid w:val="004944A0"/>
    <w:rPr>
      <w:i/>
      <w:iCs/>
    </w:rPr>
  </w:style>
  <w:style w:type="paragraph" w:styleId="HTMLAddress">
    <w:name w:val="HTML Address"/>
    <w:basedOn w:val="Normal"/>
    <w:semiHidden/>
    <w:rsid w:val="004944A0"/>
    <w:rPr>
      <w:i/>
      <w:iCs/>
    </w:rPr>
  </w:style>
  <w:style w:type="paragraph" w:styleId="EnvelopeAddress">
    <w:name w:val="envelope address"/>
    <w:basedOn w:val="Normal"/>
    <w:semiHidden/>
    <w:rsid w:val="004944A0"/>
    <w:pPr>
      <w:framePr w:w="7920" w:h="1980" w:hRule="exact" w:hSpace="141" w:wrap="auto" w:hAnchor="page" w:xAlign="center" w:yAlign="bottom"/>
      <w:ind w:left="2880"/>
    </w:pPr>
    <w:rPr>
      <w:rFonts w:ascii="Arial" w:hAnsi="Arial" w:cs="Arial"/>
      <w:sz w:val="24"/>
      <w:szCs w:val="24"/>
    </w:rPr>
  </w:style>
  <w:style w:type="character" w:styleId="HTMLSample">
    <w:name w:val="HTML Sample"/>
    <w:semiHidden/>
    <w:rsid w:val="004944A0"/>
    <w:rPr>
      <w:rFonts w:ascii="Courier New" w:hAnsi="Courier New" w:cs="Courier New"/>
    </w:rPr>
  </w:style>
  <w:style w:type="character" w:customStyle="1" w:styleId="text">
    <w:name w:val="text"/>
    <w:rsid w:val="00FD0B04"/>
  </w:style>
  <w:style w:type="paragraph" w:styleId="TOC1">
    <w:name w:val="toc 1"/>
    <w:aliases w:val="DS TOC 1"/>
    <w:basedOn w:val="Heading1"/>
    <w:next w:val="Normal"/>
    <w:autoRedefine/>
    <w:rsid w:val="00FD0B04"/>
    <w:pPr>
      <w:numPr>
        <w:numId w:val="1"/>
      </w:numPr>
      <w:tabs>
        <w:tab w:val="clear" w:pos="720"/>
        <w:tab w:val="num" w:pos="792"/>
      </w:tabs>
      <w:spacing w:before="100" w:beforeAutospacing="1" w:after="360"/>
      <w:ind w:left="792" w:hanging="432"/>
      <w:outlineLvl w:val="9"/>
    </w:pPr>
    <w:rPr>
      <w:b/>
      <w:bCs w:val="0"/>
      <w:caps/>
    </w:rPr>
  </w:style>
  <w:style w:type="character" w:customStyle="1" w:styleId="categorydata">
    <w:name w:val="category_data"/>
    <w:rsid w:val="00FD0B04"/>
  </w:style>
  <w:style w:type="character" w:customStyle="1" w:styleId="st">
    <w:name w:val="st"/>
    <w:rsid w:val="00FD0B04"/>
  </w:style>
  <w:style w:type="character" w:customStyle="1" w:styleId="text2">
    <w:name w:val="text2"/>
    <w:rsid w:val="00FD0B04"/>
  </w:style>
  <w:style w:type="paragraph" w:styleId="MessageHeader">
    <w:name w:val="Message Header"/>
    <w:basedOn w:val="Normal"/>
    <w:semiHidden/>
    <w:rsid w:val="004944A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teHeading">
    <w:name w:val="Note Heading"/>
    <w:basedOn w:val="Normal"/>
    <w:next w:val="Normal"/>
    <w:semiHidden/>
    <w:rsid w:val="004944A0"/>
  </w:style>
  <w:style w:type="paragraph" w:styleId="List2">
    <w:name w:val="List 2"/>
    <w:basedOn w:val="Normal"/>
    <w:semiHidden/>
    <w:rsid w:val="004944A0"/>
    <w:pPr>
      <w:ind w:left="566" w:hanging="283"/>
    </w:pPr>
  </w:style>
  <w:style w:type="character" w:styleId="Emphasis">
    <w:name w:val="Emphasis"/>
    <w:uiPriority w:val="20"/>
    <w:qFormat/>
    <w:rsid w:val="004944A0"/>
    <w:rPr>
      <w:i/>
      <w:iCs/>
    </w:rPr>
  </w:style>
  <w:style w:type="character" w:customStyle="1" w:styleId="grey">
    <w:name w:val="grey"/>
    <w:rsid w:val="00FD0B04"/>
  </w:style>
  <w:style w:type="character" w:customStyle="1" w:styleId="articoloinside">
    <w:name w:val="articolo_inside"/>
    <w:rsid w:val="00FD0B04"/>
  </w:style>
  <w:style w:type="character" w:styleId="Strong">
    <w:name w:val="Strong"/>
    <w:uiPriority w:val="22"/>
    <w:qFormat/>
    <w:rsid w:val="004944A0"/>
    <w:rPr>
      <w:b/>
      <w:bCs/>
    </w:rPr>
  </w:style>
  <w:style w:type="character" w:customStyle="1" w:styleId="a">
    <w:name w:val="Символ сноски"/>
    <w:rsid w:val="00FD0B04"/>
    <w:rPr>
      <w:vertAlign w:val="superscript"/>
    </w:rPr>
  </w:style>
  <w:style w:type="character" w:customStyle="1" w:styleId="Caractresdenotedebasdepage">
    <w:name w:val="Caractères de note de bas de page"/>
    <w:rsid w:val="00FD0B04"/>
    <w:rPr>
      <w:vertAlign w:val="superscript"/>
    </w:rPr>
  </w:style>
  <w:style w:type="character" w:customStyle="1" w:styleId="apple-style-span">
    <w:name w:val="apple-style-span"/>
    <w:rsid w:val="00FD0B04"/>
  </w:style>
  <w:style w:type="character" w:customStyle="1" w:styleId="norm1">
    <w:name w:val="norm1"/>
    <w:rsid w:val="00FD0B04"/>
    <w:rPr>
      <w:rFonts w:ascii="Verdana" w:hAnsi="Verdana" w:hint="default"/>
      <w:color w:val="000000"/>
      <w:sz w:val="17"/>
      <w:szCs w:val="17"/>
    </w:rPr>
  </w:style>
  <w:style w:type="paragraph" w:styleId="Date">
    <w:name w:val="Date"/>
    <w:basedOn w:val="Normal"/>
    <w:next w:val="Normal"/>
    <w:semiHidden/>
    <w:rsid w:val="004944A0"/>
  </w:style>
  <w:style w:type="paragraph" w:styleId="Signature">
    <w:name w:val="Signature"/>
    <w:basedOn w:val="Normal"/>
    <w:semiHidden/>
    <w:rsid w:val="004944A0"/>
    <w:pPr>
      <w:ind w:left="4252"/>
    </w:pPr>
  </w:style>
  <w:style w:type="character" w:customStyle="1" w:styleId="StyleAIBodytextAsianSimSunChar">
    <w:name w:val="Style AI Body text + (Asian) SimSun Char"/>
    <w:uiPriority w:val="99"/>
    <w:rsid w:val="00FD0B04"/>
    <w:rPr>
      <w:rFonts w:ascii="Arial" w:eastAsia="SimSun" w:hAnsi="Arial" w:cs="Arial" w:hint="default"/>
      <w:lang w:val="en-GB" w:eastAsia="en-US"/>
    </w:rPr>
  </w:style>
  <w:style w:type="paragraph" w:customStyle="1" w:styleId="Default">
    <w:name w:val="Default"/>
    <w:rsid w:val="00FD0B04"/>
    <w:pPr>
      <w:autoSpaceDE w:val="0"/>
      <w:autoSpaceDN w:val="0"/>
      <w:adjustRightInd w:val="0"/>
    </w:pPr>
    <w:rPr>
      <w:color w:val="000000"/>
      <w:sz w:val="24"/>
      <w:szCs w:val="24"/>
    </w:rPr>
  </w:style>
  <w:style w:type="character" w:customStyle="1" w:styleId="MediumShading1-Accent1Char">
    <w:name w:val="Medium Shading 1 - Accent 1 Char"/>
    <w:link w:val="ColorfulShading-Accent4"/>
    <w:uiPriority w:val="1"/>
    <w:rsid w:val="00FD0B04"/>
    <w:rPr>
      <w:rFonts w:ascii="Calibri" w:eastAsia="MS Mincho" w:hAnsi="Calibri" w:cs="Arial"/>
      <w:sz w:val="22"/>
      <w:szCs w:val="22"/>
      <w:lang w:val="en-US" w:eastAsia="ja-JP"/>
    </w:rPr>
  </w:style>
  <w:style w:type="paragraph" w:styleId="E-mailSignature">
    <w:name w:val="E-mail Signature"/>
    <w:basedOn w:val="Normal"/>
    <w:semiHidden/>
    <w:rsid w:val="004944A0"/>
  </w:style>
  <w:style w:type="paragraph" w:styleId="HTMLPreformatted">
    <w:name w:val="HTML Preformatted"/>
    <w:basedOn w:val="Normal"/>
    <w:semiHidden/>
    <w:rsid w:val="004944A0"/>
    <w:rPr>
      <w:rFonts w:ascii="Courier New" w:hAnsi="Courier New" w:cs="Courier New"/>
    </w:rPr>
  </w:style>
  <w:style w:type="character" w:customStyle="1" w:styleId="illustration1">
    <w:name w:val="illustration1"/>
    <w:rsid w:val="00FD0B04"/>
    <w:rPr>
      <w:i/>
      <w:iCs/>
      <w:color w:val="226699"/>
    </w:rPr>
  </w:style>
  <w:style w:type="paragraph" w:customStyle="1" w:styleId="ColorfulShading-Accent31">
    <w:name w:val="Colorful Shading - Accent 31"/>
    <w:basedOn w:val="Normal"/>
    <w:uiPriority w:val="34"/>
    <w:qFormat/>
    <w:rsid w:val="00FD0B04"/>
    <w:pPr>
      <w:ind w:left="720"/>
    </w:pPr>
  </w:style>
  <w:style w:type="paragraph" w:customStyle="1" w:styleId="DarkList-Accent31">
    <w:name w:val="Dark List - Accent 31"/>
    <w:hidden/>
    <w:uiPriority w:val="99"/>
    <w:semiHidden/>
    <w:rsid w:val="00FD0B04"/>
    <w:rPr>
      <w:lang w:eastAsia="en-US"/>
    </w:rPr>
  </w:style>
  <w:style w:type="table" w:styleId="ColorfulShading-Accent4">
    <w:name w:val="Colorful Shading Accent 4"/>
    <w:basedOn w:val="TableNormal"/>
    <w:link w:val="MediumShading1-Accent1Char"/>
    <w:uiPriority w:val="1"/>
    <w:rsid w:val="00FD0B04"/>
    <w:rPr>
      <w:rFonts w:ascii="Calibri" w:eastAsia="MS Mincho" w:hAnsi="Calibri" w:cs="Arial"/>
      <w:sz w:val="22"/>
      <w:szCs w:val="22"/>
      <w:lang w:eastAsia="ja-JP" w:bidi="x-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List">
    <w:name w:val="List"/>
    <w:basedOn w:val="Normal"/>
    <w:semiHidden/>
    <w:rsid w:val="004944A0"/>
    <w:pPr>
      <w:ind w:left="283" w:hanging="283"/>
    </w:pPr>
  </w:style>
  <w:style w:type="paragraph" w:styleId="List3">
    <w:name w:val="List 3"/>
    <w:basedOn w:val="Normal"/>
    <w:semiHidden/>
    <w:rsid w:val="004944A0"/>
    <w:pPr>
      <w:ind w:left="849" w:hanging="283"/>
    </w:pPr>
  </w:style>
  <w:style w:type="paragraph" w:styleId="List4">
    <w:name w:val="List 4"/>
    <w:basedOn w:val="Normal"/>
    <w:semiHidden/>
    <w:rsid w:val="004944A0"/>
    <w:pPr>
      <w:ind w:left="1132" w:hanging="283"/>
    </w:pPr>
  </w:style>
  <w:style w:type="paragraph" w:styleId="List5">
    <w:name w:val="List 5"/>
    <w:basedOn w:val="Normal"/>
    <w:semiHidden/>
    <w:rsid w:val="004944A0"/>
    <w:pPr>
      <w:ind w:left="1415" w:hanging="283"/>
    </w:pPr>
  </w:style>
  <w:style w:type="paragraph" w:styleId="ListNumber">
    <w:name w:val="List Number"/>
    <w:basedOn w:val="Normal"/>
    <w:semiHidden/>
    <w:rsid w:val="004944A0"/>
    <w:pPr>
      <w:numPr>
        <w:numId w:val="7"/>
      </w:numPr>
    </w:pPr>
  </w:style>
  <w:style w:type="paragraph" w:styleId="ListNumber2">
    <w:name w:val="List Number 2"/>
    <w:basedOn w:val="Normal"/>
    <w:semiHidden/>
    <w:rsid w:val="004944A0"/>
    <w:pPr>
      <w:numPr>
        <w:numId w:val="8"/>
      </w:numPr>
    </w:pPr>
  </w:style>
  <w:style w:type="paragraph" w:styleId="ListNumber3">
    <w:name w:val="List Number 3"/>
    <w:basedOn w:val="Normal"/>
    <w:semiHidden/>
    <w:rsid w:val="004944A0"/>
    <w:pPr>
      <w:numPr>
        <w:numId w:val="9"/>
      </w:numPr>
    </w:pPr>
  </w:style>
  <w:style w:type="paragraph" w:styleId="ListNumber4">
    <w:name w:val="List Number 4"/>
    <w:basedOn w:val="Normal"/>
    <w:semiHidden/>
    <w:rsid w:val="004944A0"/>
    <w:pPr>
      <w:numPr>
        <w:numId w:val="10"/>
      </w:numPr>
    </w:pPr>
  </w:style>
  <w:style w:type="paragraph" w:styleId="ListNumber5">
    <w:name w:val="List Number 5"/>
    <w:basedOn w:val="Normal"/>
    <w:semiHidden/>
    <w:rsid w:val="004944A0"/>
    <w:pPr>
      <w:numPr>
        <w:numId w:val="11"/>
      </w:numPr>
    </w:pPr>
  </w:style>
  <w:style w:type="paragraph" w:styleId="ListBullet">
    <w:name w:val="List Bullet"/>
    <w:basedOn w:val="Normal"/>
    <w:semiHidden/>
    <w:rsid w:val="004944A0"/>
    <w:pPr>
      <w:numPr>
        <w:numId w:val="12"/>
      </w:numPr>
    </w:pPr>
  </w:style>
  <w:style w:type="paragraph" w:styleId="ListBullet2">
    <w:name w:val="List Bullet 2"/>
    <w:basedOn w:val="Normal"/>
    <w:semiHidden/>
    <w:rsid w:val="004944A0"/>
    <w:pPr>
      <w:numPr>
        <w:numId w:val="13"/>
      </w:numPr>
    </w:pPr>
  </w:style>
  <w:style w:type="paragraph" w:styleId="ListBullet3">
    <w:name w:val="List Bullet 3"/>
    <w:basedOn w:val="Normal"/>
    <w:semiHidden/>
    <w:rsid w:val="004944A0"/>
    <w:pPr>
      <w:numPr>
        <w:numId w:val="14"/>
      </w:numPr>
    </w:pPr>
  </w:style>
  <w:style w:type="paragraph" w:styleId="ListBullet4">
    <w:name w:val="List Bullet 4"/>
    <w:basedOn w:val="Normal"/>
    <w:semiHidden/>
    <w:rsid w:val="004944A0"/>
    <w:pPr>
      <w:numPr>
        <w:numId w:val="15"/>
      </w:numPr>
    </w:pPr>
  </w:style>
  <w:style w:type="paragraph" w:styleId="ListBullet5">
    <w:name w:val="List Bullet 5"/>
    <w:basedOn w:val="Normal"/>
    <w:semiHidden/>
    <w:rsid w:val="004944A0"/>
    <w:pPr>
      <w:numPr>
        <w:numId w:val="16"/>
      </w:numPr>
    </w:pPr>
  </w:style>
  <w:style w:type="character" w:styleId="HTMLTypewriter">
    <w:name w:val="HTML Typewriter"/>
    <w:semiHidden/>
    <w:rsid w:val="004944A0"/>
    <w:rPr>
      <w:rFonts w:ascii="Courier New" w:hAnsi="Courier New" w:cs="Courier New"/>
      <w:sz w:val="20"/>
      <w:szCs w:val="20"/>
    </w:rPr>
  </w:style>
  <w:style w:type="character" w:styleId="LineNumber">
    <w:name w:val="line number"/>
    <w:basedOn w:val="DefaultParagraphFont"/>
    <w:semiHidden/>
    <w:rsid w:val="004944A0"/>
  </w:style>
  <w:style w:type="paragraph" w:styleId="EnvelopeReturn">
    <w:name w:val="envelope return"/>
    <w:basedOn w:val="Normal"/>
    <w:semiHidden/>
    <w:rsid w:val="004944A0"/>
    <w:rPr>
      <w:rFonts w:ascii="Arial" w:hAnsi="Arial" w:cs="Arial"/>
    </w:rPr>
  </w:style>
  <w:style w:type="paragraph" w:styleId="Salutation">
    <w:name w:val="Salutation"/>
    <w:basedOn w:val="Normal"/>
    <w:next w:val="Normal"/>
    <w:semiHidden/>
    <w:rsid w:val="004944A0"/>
  </w:style>
  <w:style w:type="paragraph" w:styleId="BodyTextIndent2">
    <w:name w:val="Body Text Indent 2"/>
    <w:basedOn w:val="Normal"/>
    <w:semiHidden/>
    <w:rsid w:val="004944A0"/>
    <w:pPr>
      <w:spacing w:after="120" w:line="480" w:lineRule="auto"/>
      <w:ind w:left="283"/>
    </w:pPr>
  </w:style>
  <w:style w:type="paragraph" w:styleId="BodyTextIndent3">
    <w:name w:val="Body Text Indent 3"/>
    <w:basedOn w:val="Normal"/>
    <w:semiHidden/>
    <w:rsid w:val="004944A0"/>
    <w:pPr>
      <w:spacing w:after="120"/>
      <w:ind w:left="283"/>
    </w:pPr>
    <w:rPr>
      <w:sz w:val="16"/>
      <w:szCs w:val="16"/>
    </w:rPr>
  </w:style>
  <w:style w:type="paragraph" w:styleId="BodyTextIndent">
    <w:name w:val="Body Text Indent"/>
    <w:basedOn w:val="Normal"/>
    <w:semiHidden/>
    <w:rsid w:val="004944A0"/>
    <w:pPr>
      <w:spacing w:after="120"/>
      <w:ind w:left="283"/>
    </w:pPr>
  </w:style>
  <w:style w:type="paragraph" w:styleId="NormalIndent">
    <w:name w:val="Normal Indent"/>
    <w:basedOn w:val="Normal"/>
    <w:semiHidden/>
    <w:rsid w:val="004944A0"/>
    <w:pPr>
      <w:ind w:left="567"/>
    </w:pPr>
  </w:style>
  <w:style w:type="paragraph" w:styleId="Subtitle">
    <w:name w:val="Subtitle"/>
    <w:basedOn w:val="Normal"/>
    <w:qFormat/>
    <w:rsid w:val="004944A0"/>
    <w:pPr>
      <w:spacing w:after="60"/>
      <w:jc w:val="center"/>
      <w:outlineLvl w:val="1"/>
    </w:pPr>
    <w:rPr>
      <w:rFonts w:ascii="Arial" w:hAnsi="Arial" w:cs="Arial"/>
      <w:sz w:val="24"/>
      <w:szCs w:val="24"/>
    </w:rPr>
  </w:style>
  <w:style w:type="table" w:styleId="TableSimple1">
    <w:name w:val="Table Simple 1"/>
    <w:basedOn w:val="TableNormal"/>
    <w:semiHidden/>
    <w:rsid w:val="004944A0"/>
    <w:pPr>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944A0"/>
    <w:pPr>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944A0"/>
    <w:pPr>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4944A0"/>
    <w:pPr>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944A0"/>
    <w:pPr>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944A0"/>
    <w:pPr>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944A0"/>
    <w:pPr>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umns1">
    <w:name w:val="Table Columns 1"/>
    <w:basedOn w:val="TableNormal"/>
    <w:semiHidden/>
    <w:rsid w:val="004944A0"/>
    <w:pPr>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944A0"/>
    <w:pPr>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944A0"/>
    <w:pPr>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944A0"/>
    <w:pPr>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944A0"/>
    <w:pPr>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4944A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944A0"/>
    <w:pPr>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944A0"/>
    <w:pPr>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944A0"/>
    <w:pPr>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944A0"/>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944A0"/>
    <w:pPr>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944A0"/>
    <w:pPr>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944A0"/>
    <w:pPr>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3Deffects1">
    <w:name w:val="Table 3D effects 1"/>
    <w:basedOn w:val="TableNormal"/>
    <w:semiHidden/>
    <w:rsid w:val="004944A0"/>
    <w:pPr>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944A0"/>
    <w:pPr>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944A0"/>
    <w:pPr>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semiHidden/>
    <w:rsid w:val="004944A0"/>
    <w:pPr>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944A0"/>
    <w:pPr>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944A0"/>
    <w:pPr>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944A0"/>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944A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944A0"/>
    <w:pPr>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944A0"/>
    <w:pPr>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944A0"/>
    <w:pPr>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Theme">
    <w:name w:val="Table Theme"/>
    <w:basedOn w:val="TableNormal"/>
    <w:semiHidden/>
    <w:rsid w:val="004944A0"/>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semiHidden/>
    <w:rsid w:val="004944A0"/>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ntemporary">
    <w:name w:val="Table Contemporary"/>
    <w:basedOn w:val="TableNormal"/>
    <w:semiHidden/>
    <w:rsid w:val="004944A0"/>
    <w:pPr>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semiHidden/>
    <w:rsid w:val="004944A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944A0"/>
    <w:pPr>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944A0"/>
    <w:pPr>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1">
    <w:name w:val="Table Colorful 1"/>
    <w:basedOn w:val="TableNormal"/>
    <w:semiHidden/>
    <w:rsid w:val="004944A0"/>
    <w:pPr>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944A0"/>
    <w:pPr>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944A0"/>
    <w:pPr>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Web1">
    <w:name w:val="Table Web 1"/>
    <w:basedOn w:val="TableNormal"/>
    <w:semiHidden/>
    <w:rsid w:val="004944A0"/>
    <w:pPr>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944A0"/>
    <w:pPr>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944A0"/>
    <w:pPr>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Keyboard">
    <w:name w:val="HTML Keyboard"/>
    <w:semiHidden/>
    <w:rsid w:val="004944A0"/>
    <w:rPr>
      <w:rFonts w:ascii="Courier New" w:hAnsi="Courier New" w:cs="Courier New"/>
      <w:sz w:val="20"/>
      <w:szCs w:val="20"/>
    </w:rPr>
  </w:style>
  <w:style w:type="paragraph" w:styleId="BlockText">
    <w:name w:val="Block Text"/>
    <w:basedOn w:val="Normal"/>
    <w:semiHidden/>
    <w:rsid w:val="004944A0"/>
    <w:pPr>
      <w:spacing w:after="120"/>
      <w:ind w:left="1440" w:right="1440"/>
    </w:pPr>
  </w:style>
  <w:style w:type="paragraph" w:styleId="BodyText">
    <w:name w:val="Body Text"/>
    <w:basedOn w:val="Normal"/>
    <w:semiHidden/>
    <w:rsid w:val="004944A0"/>
    <w:pPr>
      <w:spacing w:after="120"/>
    </w:pPr>
  </w:style>
  <w:style w:type="paragraph" w:styleId="BodyText2">
    <w:name w:val="Body Text 2"/>
    <w:basedOn w:val="Normal"/>
    <w:semiHidden/>
    <w:rsid w:val="004944A0"/>
    <w:pPr>
      <w:spacing w:after="120" w:line="480" w:lineRule="auto"/>
    </w:pPr>
  </w:style>
  <w:style w:type="paragraph" w:styleId="BodyText3">
    <w:name w:val="Body Text 3"/>
    <w:basedOn w:val="Normal"/>
    <w:semiHidden/>
    <w:rsid w:val="004944A0"/>
    <w:pPr>
      <w:spacing w:after="120"/>
    </w:pPr>
    <w:rPr>
      <w:sz w:val="16"/>
      <w:szCs w:val="16"/>
    </w:rPr>
  </w:style>
  <w:style w:type="paragraph" w:styleId="BodyTextFirstIndent">
    <w:name w:val="Body Text First Indent"/>
    <w:basedOn w:val="BodyText"/>
    <w:semiHidden/>
    <w:rsid w:val="004944A0"/>
    <w:pPr>
      <w:ind w:firstLine="210"/>
    </w:pPr>
  </w:style>
  <w:style w:type="paragraph" w:styleId="BodyTextFirstIndent2">
    <w:name w:val="Body Text First Indent 2"/>
    <w:basedOn w:val="BodyTextIndent"/>
    <w:semiHidden/>
    <w:rsid w:val="004944A0"/>
    <w:pPr>
      <w:ind w:firstLine="210"/>
    </w:pPr>
  </w:style>
  <w:style w:type="paragraph" w:styleId="PlainText">
    <w:name w:val="Plain Text"/>
    <w:basedOn w:val="Normal"/>
    <w:semiHidden/>
    <w:rsid w:val="004944A0"/>
    <w:rPr>
      <w:rFonts w:ascii="Courier New" w:hAnsi="Courier New" w:cs="Courier New"/>
    </w:rPr>
  </w:style>
  <w:style w:type="paragraph" w:styleId="Title">
    <w:name w:val="Title"/>
    <w:basedOn w:val="Normal"/>
    <w:qFormat/>
    <w:rsid w:val="004944A0"/>
    <w:pPr>
      <w:spacing w:before="240" w:after="60"/>
      <w:jc w:val="center"/>
      <w:outlineLvl w:val="0"/>
    </w:pPr>
    <w:rPr>
      <w:rFonts w:ascii="Arial" w:hAnsi="Arial" w:cs="Arial"/>
      <w:b/>
      <w:bCs/>
      <w:kern w:val="28"/>
      <w:sz w:val="32"/>
      <w:szCs w:val="32"/>
    </w:rPr>
  </w:style>
  <w:style w:type="character" w:styleId="HTMLVariable">
    <w:name w:val="HTML Variable"/>
    <w:semiHidden/>
    <w:rsid w:val="004944A0"/>
    <w:rPr>
      <w:i/>
      <w:iCs/>
    </w:rPr>
  </w:style>
  <w:style w:type="character" w:customStyle="1" w:styleId="SingleTxtGCar">
    <w:name w:val="_ Single Txt_G Car"/>
    <w:link w:val="SingleTxtG"/>
    <w:rsid w:val="004944A0"/>
    <w:rPr>
      <w:lang w:val="es-ES" w:eastAsia="es-ES" w:bidi="ar-SA"/>
    </w:rPr>
  </w:style>
  <w:style w:type="paragraph" w:styleId="BalloonText">
    <w:name w:val="Balloon Text"/>
    <w:basedOn w:val="Normal"/>
    <w:link w:val="BalloonTextChar"/>
    <w:rsid w:val="00CA362A"/>
    <w:pPr>
      <w:spacing w:line="240" w:lineRule="auto"/>
    </w:pPr>
    <w:rPr>
      <w:rFonts w:ascii="Tahoma" w:hAnsi="Tahoma"/>
      <w:sz w:val="16"/>
      <w:szCs w:val="16"/>
      <w:lang w:val="es-ES"/>
    </w:rPr>
  </w:style>
  <w:style w:type="character" w:customStyle="1" w:styleId="BalloonTextChar">
    <w:name w:val="Balloon Text Char"/>
    <w:link w:val="BalloonText"/>
    <w:rsid w:val="00CA362A"/>
    <w:rPr>
      <w:rFonts w:ascii="Tahoma" w:hAnsi="Tahoma" w:cs="Tahoma"/>
      <w:sz w:val="16"/>
      <w:szCs w:val="16"/>
      <w:lang w:val="es-ES" w:eastAsia="es-ES"/>
    </w:rPr>
  </w:style>
  <w:style w:type="paragraph" w:styleId="CommentText">
    <w:name w:val="annotation text"/>
    <w:basedOn w:val="Normal"/>
    <w:link w:val="CommentTextChar"/>
    <w:uiPriority w:val="99"/>
    <w:rsid w:val="00CB147E"/>
    <w:rPr>
      <w:lang w:val="x-none"/>
    </w:rPr>
  </w:style>
  <w:style w:type="character" w:customStyle="1" w:styleId="CommentTextChar">
    <w:name w:val="Comment Text Char"/>
    <w:link w:val="CommentText"/>
    <w:uiPriority w:val="99"/>
    <w:rsid w:val="00CB147E"/>
    <w:rPr>
      <w:lang w:eastAsia="es-ES"/>
    </w:rPr>
  </w:style>
  <w:style w:type="paragraph" w:styleId="CommentSubject">
    <w:name w:val="annotation subject"/>
    <w:basedOn w:val="CommentText"/>
    <w:next w:val="CommentText"/>
    <w:link w:val="CommentSubjectChar"/>
    <w:uiPriority w:val="99"/>
    <w:rsid w:val="00CB147E"/>
    <w:rPr>
      <w:b/>
      <w:bCs/>
    </w:rPr>
  </w:style>
  <w:style w:type="character" w:customStyle="1" w:styleId="CommentSubjectChar">
    <w:name w:val="Comment Subject Char"/>
    <w:link w:val="CommentSubject"/>
    <w:uiPriority w:val="99"/>
    <w:rsid w:val="00CB147E"/>
    <w:rPr>
      <w:b/>
      <w:bCs/>
      <w:lang w:eastAsia="es-ES"/>
    </w:rPr>
  </w:style>
  <w:style w:type="paragraph" w:customStyle="1" w:styleId="LightGrid-Accent31">
    <w:name w:val="Light Grid - Accent 31"/>
    <w:basedOn w:val="Normal"/>
    <w:uiPriority w:val="34"/>
    <w:qFormat/>
    <w:rsid w:val="0026443A"/>
    <w:pPr>
      <w:ind w:left="720"/>
    </w:pPr>
  </w:style>
  <w:style w:type="paragraph" w:customStyle="1" w:styleId="MediumGrid1-Accent21">
    <w:name w:val="Medium Grid 1 - Accent 21"/>
    <w:basedOn w:val="Normal"/>
    <w:uiPriority w:val="34"/>
    <w:qFormat/>
    <w:rsid w:val="00BE39E6"/>
    <w:pPr>
      <w:ind w:left="720"/>
    </w:pPr>
  </w:style>
  <w:style w:type="paragraph" w:customStyle="1" w:styleId="ColorfulList-Accent11">
    <w:name w:val="Colorful List - Accent 11"/>
    <w:basedOn w:val="Normal"/>
    <w:uiPriority w:val="34"/>
    <w:qFormat/>
    <w:rsid w:val="00167446"/>
    <w:pPr>
      <w:ind w:left="720"/>
    </w:pPr>
  </w:style>
  <w:style w:type="paragraph" w:customStyle="1" w:styleId="MediumGrid1-Accent22">
    <w:name w:val="Medium Grid 1 - Accent 22"/>
    <w:basedOn w:val="Normal"/>
    <w:uiPriority w:val="34"/>
    <w:qFormat/>
    <w:rsid w:val="00A258E0"/>
    <w:pPr>
      <w:ind w:left="720"/>
    </w:pPr>
  </w:style>
  <w:style w:type="paragraph" w:customStyle="1" w:styleId="MediumList2-Accent21">
    <w:name w:val="Medium List 2 - Accent 21"/>
    <w:hidden/>
    <w:uiPriority w:val="71"/>
    <w:rsid w:val="00095D28"/>
    <w:rPr>
      <w:lang w:eastAsia="es-ES"/>
    </w:rPr>
  </w:style>
  <w:style w:type="character" w:customStyle="1" w:styleId="HChGChar">
    <w:name w:val="_ H _Ch_G Char"/>
    <w:link w:val="HChG"/>
    <w:rsid w:val="005B2DD7"/>
    <w:rPr>
      <w:b/>
      <w:sz w:val="28"/>
      <w:lang w:eastAsia="es-ES"/>
    </w:rPr>
  </w:style>
  <w:style w:type="character" w:customStyle="1" w:styleId="apple-converted-space">
    <w:name w:val="apple-converted-space"/>
    <w:rsid w:val="00E303B9"/>
  </w:style>
  <w:style w:type="paragraph" w:customStyle="1" w:styleId="Rom1">
    <w:name w:val="Rom1"/>
    <w:basedOn w:val="Normal"/>
    <w:rsid w:val="004E3ACB"/>
    <w:pPr>
      <w:numPr>
        <w:numId w:val="24"/>
      </w:numPr>
      <w:spacing w:after="240" w:line="240" w:lineRule="auto"/>
      <w:ind w:left="1441" w:hanging="590"/>
    </w:pPr>
    <w:rPr>
      <w:sz w:val="24"/>
      <w:lang w:eastAsia="en-US"/>
    </w:rPr>
  </w:style>
  <w:style w:type="paragraph" w:customStyle="1" w:styleId="MediumShading1-Accent11">
    <w:name w:val="Medium Shading 1 - Accent 11"/>
    <w:uiPriority w:val="1"/>
    <w:qFormat/>
    <w:rsid w:val="00574932"/>
    <w:rPr>
      <w:rFonts w:eastAsia="Calibri"/>
      <w:sz w:val="24"/>
      <w:szCs w:val="22"/>
      <w:lang w:val="en-US" w:eastAsia="en-US"/>
    </w:rPr>
  </w:style>
  <w:style w:type="paragraph" w:customStyle="1" w:styleId="Appelnotedebasde">
    <w:name w:val="Appel note de bas de"/>
    <w:aliases w:val="Appel note de bas de page Char Char Char Char Char Char Char Char,Appel note de bas de page Char2 Char Char Char Char Char Char Char Char Char Char,Appel note de bas de page Char1"/>
    <w:basedOn w:val="Normal"/>
    <w:link w:val="FootnoteReference"/>
    <w:uiPriority w:val="99"/>
    <w:rsid w:val="008E50DD"/>
    <w:pPr>
      <w:numPr>
        <w:numId w:val="30"/>
      </w:numPr>
      <w:spacing w:before="120" w:after="120" w:line="240" w:lineRule="auto"/>
      <w:jc w:val="both"/>
    </w:pPr>
    <w:rPr>
      <w:sz w:val="18"/>
      <w:vertAlign w:val="superscript"/>
      <w:lang w:eastAsia="en-GB"/>
    </w:rPr>
  </w:style>
  <w:style w:type="character" w:customStyle="1" w:styleId="SingleTxtGChar">
    <w:name w:val="_ Single Txt_G Char"/>
    <w:rsid w:val="00B6406F"/>
    <w:rPr>
      <w:lang w:eastAsia="en-US"/>
    </w:rPr>
  </w:style>
  <w:style w:type="paragraph" w:styleId="ListParagraph">
    <w:name w:val="List Paragraph"/>
    <w:basedOn w:val="Normal"/>
    <w:uiPriority w:val="34"/>
    <w:qFormat/>
    <w:rsid w:val="00503A4E"/>
    <w:pPr>
      <w:spacing w:after="200" w:line="276" w:lineRule="auto"/>
      <w:ind w:left="720"/>
      <w:contextualSpacing/>
    </w:pPr>
    <w:rPr>
      <w:rFonts w:asciiTheme="minorHAnsi" w:eastAsiaTheme="minorHAnsi" w:hAnsiTheme="minorHAnsi" w:cstheme="minorBidi"/>
      <w:sz w:val="22"/>
      <w:szCs w:val="22"/>
      <w:lang w:val="en-US" w:eastAsia="en-US"/>
    </w:rPr>
  </w:style>
  <w:style w:type="character" w:customStyle="1" w:styleId="sessionsubtitle">
    <w:name w:val="sessionsubtitle"/>
    <w:rsid w:val="00D00A2E"/>
  </w:style>
  <w:style w:type="paragraph" w:styleId="NoSpacing">
    <w:name w:val="No Spacing"/>
    <w:uiPriority w:val="1"/>
    <w:qFormat/>
    <w:rsid w:val="0006494F"/>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annotation subject" w:uiPriority="99"/>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44A0"/>
    <w:pPr>
      <w:spacing w:line="240" w:lineRule="atLeast"/>
    </w:pPr>
    <w:rPr>
      <w:lang w:eastAsia="es-ES"/>
    </w:rPr>
  </w:style>
  <w:style w:type="paragraph" w:styleId="Heading1">
    <w:name w:val="heading 1"/>
    <w:aliases w:val="Table_G"/>
    <w:basedOn w:val="SingleTxtG"/>
    <w:next w:val="SingleTxtG"/>
    <w:link w:val="Heading1Char"/>
    <w:qFormat/>
    <w:rsid w:val="004944A0"/>
    <w:pPr>
      <w:keepNext/>
      <w:spacing w:after="0" w:line="240" w:lineRule="auto"/>
      <w:outlineLvl w:val="0"/>
    </w:pPr>
    <w:rPr>
      <w:rFonts w:cs="Arial"/>
      <w:bCs/>
      <w:szCs w:val="32"/>
    </w:rPr>
  </w:style>
  <w:style w:type="paragraph" w:styleId="Heading2">
    <w:name w:val="heading 2"/>
    <w:basedOn w:val="Normal"/>
    <w:next w:val="Normal"/>
    <w:qFormat/>
    <w:rsid w:val="004944A0"/>
    <w:pPr>
      <w:keepNext/>
      <w:outlineLvl w:val="1"/>
    </w:pPr>
    <w:rPr>
      <w:rFonts w:cs="Arial"/>
      <w:bCs/>
      <w:iCs/>
      <w:szCs w:val="28"/>
    </w:rPr>
  </w:style>
  <w:style w:type="paragraph" w:styleId="Heading3">
    <w:name w:val="heading 3"/>
    <w:basedOn w:val="Normal"/>
    <w:next w:val="Normal"/>
    <w:qFormat/>
    <w:rsid w:val="004944A0"/>
    <w:pPr>
      <w:keepNext/>
      <w:spacing w:before="240" w:after="60"/>
      <w:outlineLvl w:val="2"/>
    </w:pPr>
    <w:rPr>
      <w:rFonts w:ascii="Arial" w:hAnsi="Arial" w:cs="Arial"/>
      <w:b/>
      <w:bCs/>
      <w:sz w:val="26"/>
      <w:szCs w:val="26"/>
    </w:rPr>
  </w:style>
  <w:style w:type="paragraph" w:styleId="Heading4">
    <w:name w:val="heading 4"/>
    <w:basedOn w:val="Normal"/>
    <w:next w:val="Normal"/>
    <w:qFormat/>
    <w:rsid w:val="004944A0"/>
    <w:pPr>
      <w:keepNext/>
      <w:spacing w:before="240" w:after="60"/>
      <w:outlineLvl w:val="3"/>
    </w:pPr>
    <w:rPr>
      <w:b/>
      <w:bCs/>
      <w:sz w:val="28"/>
      <w:szCs w:val="28"/>
    </w:rPr>
  </w:style>
  <w:style w:type="paragraph" w:styleId="Heading5">
    <w:name w:val="heading 5"/>
    <w:basedOn w:val="Normal"/>
    <w:next w:val="Normal"/>
    <w:qFormat/>
    <w:rsid w:val="004944A0"/>
    <w:pPr>
      <w:spacing w:before="240" w:after="60"/>
      <w:outlineLvl w:val="4"/>
    </w:pPr>
    <w:rPr>
      <w:b/>
      <w:bCs/>
      <w:i/>
      <w:iCs/>
      <w:sz w:val="26"/>
      <w:szCs w:val="26"/>
    </w:rPr>
  </w:style>
  <w:style w:type="paragraph" w:styleId="Heading6">
    <w:name w:val="heading 6"/>
    <w:basedOn w:val="Normal"/>
    <w:next w:val="Normal"/>
    <w:qFormat/>
    <w:rsid w:val="004944A0"/>
    <w:pPr>
      <w:spacing w:before="240" w:after="60"/>
      <w:outlineLvl w:val="5"/>
    </w:pPr>
    <w:rPr>
      <w:b/>
      <w:bCs/>
      <w:sz w:val="22"/>
      <w:szCs w:val="22"/>
    </w:rPr>
  </w:style>
  <w:style w:type="paragraph" w:styleId="Heading7">
    <w:name w:val="heading 7"/>
    <w:basedOn w:val="Normal"/>
    <w:next w:val="Normal"/>
    <w:qFormat/>
    <w:rsid w:val="004944A0"/>
    <w:pPr>
      <w:spacing w:before="240" w:after="60"/>
      <w:outlineLvl w:val="6"/>
    </w:pPr>
    <w:rPr>
      <w:sz w:val="24"/>
      <w:szCs w:val="24"/>
    </w:rPr>
  </w:style>
  <w:style w:type="paragraph" w:styleId="Heading8">
    <w:name w:val="heading 8"/>
    <w:basedOn w:val="Normal"/>
    <w:next w:val="Normal"/>
    <w:qFormat/>
    <w:rsid w:val="004944A0"/>
    <w:pPr>
      <w:spacing w:before="240" w:after="60"/>
      <w:outlineLvl w:val="7"/>
    </w:pPr>
    <w:rPr>
      <w:i/>
      <w:iCs/>
      <w:sz w:val="24"/>
      <w:szCs w:val="24"/>
    </w:rPr>
  </w:style>
  <w:style w:type="paragraph" w:styleId="Heading9">
    <w:name w:val="heading 9"/>
    <w:basedOn w:val="Normal"/>
    <w:next w:val="Normal"/>
    <w:qFormat/>
    <w:rsid w:val="004944A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ChG">
    <w:name w:val="_ H _Ch_G"/>
    <w:basedOn w:val="Normal"/>
    <w:next w:val="Normal"/>
    <w:link w:val="HChGChar"/>
    <w:rsid w:val="004944A0"/>
    <w:pPr>
      <w:keepNext/>
      <w:keepLines/>
      <w:tabs>
        <w:tab w:val="right" w:pos="851"/>
      </w:tabs>
      <w:suppressAutoHyphens/>
      <w:spacing w:before="360" w:after="240" w:line="300" w:lineRule="exact"/>
      <w:ind w:left="1134" w:right="1134" w:hanging="1134"/>
    </w:pPr>
    <w:rPr>
      <w:b/>
      <w:sz w:val="28"/>
    </w:rPr>
  </w:style>
  <w:style w:type="paragraph" w:customStyle="1" w:styleId="HMG">
    <w:name w:val="_ H __M_G"/>
    <w:basedOn w:val="Normal"/>
    <w:next w:val="Normal"/>
    <w:rsid w:val="004944A0"/>
    <w:pPr>
      <w:keepNext/>
      <w:keepLines/>
      <w:tabs>
        <w:tab w:val="right" w:pos="851"/>
      </w:tabs>
      <w:suppressAutoHyphens/>
      <w:spacing w:before="240" w:after="240" w:line="360" w:lineRule="exact"/>
      <w:ind w:left="1134" w:right="1134" w:hanging="1134"/>
    </w:pPr>
    <w:rPr>
      <w:b/>
      <w:sz w:val="34"/>
    </w:rPr>
  </w:style>
  <w:style w:type="paragraph" w:customStyle="1" w:styleId="SingleTxtG">
    <w:name w:val="_ Single Txt_G"/>
    <w:basedOn w:val="Normal"/>
    <w:link w:val="SingleTxtGCar"/>
    <w:rsid w:val="004944A0"/>
    <w:pPr>
      <w:spacing w:after="120"/>
      <w:ind w:left="1134" w:right="1134"/>
      <w:jc w:val="both"/>
    </w:pPr>
    <w:rPr>
      <w:lang w:val="es-ES"/>
    </w:rPr>
  </w:style>
  <w:style w:type="character" w:styleId="FootnoteReference">
    <w:name w:val="footnote reference"/>
    <w:aliases w:val="4_G,a Footnote Reference,FZ,Appel note de bas de page,Footnotes refss,Footnote Ref,16 Point,Superscript 6 Point,Appel note de bas de p.,Footnote Refernece,Footnote number,Texto de nota al pie,Footnote Reference Char3,ftref,4_,BVI fnr"/>
    <w:link w:val="Appelnotedebasde"/>
    <w:uiPriority w:val="99"/>
    <w:qFormat/>
    <w:rsid w:val="004944A0"/>
    <w:rPr>
      <w:sz w:val="18"/>
      <w:vertAlign w:val="superscript"/>
    </w:rPr>
  </w:style>
  <w:style w:type="character" w:styleId="EndnoteReference">
    <w:name w:val="endnote reference"/>
    <w:aliases w:val="1_G"/>
    <w:rsid w:val="004944A0"/>
    <w:rPr>
      <w:rFonts w:ascii="Times New Roman" w:hAnsi="Times New Roman"/>
      <w:sz w:val="18"/>
      <w:vertAlign w:val="superscript"/>
    </w:rPr>
  </w:style>
  <w:style w:type="paragraph" w:styleId="Header">
    <w:name w:val="header"/>
    <w:aliases w:val="6_G"/>
    <w:basedOn w:val="Normal"/>
    <w:next w:val="Normal"/>
    <w:link w:val="HeaderChar"/>
    <w:rsid w:val="004944A0"/>
    <w:pPr>
      <w:pBdr>
        <w:bottom w:val="single" w:sz="4" w:space="4" w:color="auto"/>
      </w:pBdr>
      <w:spacing w:line="240" w:lineRule="auto"/>
    </w:pPr>
    <w:rPr>
      <w:b/>
      <w:sz w:val="18"/>
      <w:lang w:val="es-ES"/>
    </w:rPr>
  </w:style>
  <w:style w:type="table" w:styleId="TableGrid">
    <w:name w:val="Table Grid"/>
    <w:basedOn w:val="TableNormal"/>
    <w:semiHidden/>
    <w:rsid w:val="004944A0"/>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4944A0"/>
    <w:rPr>
      <w:color w:val="0000FF"/>
      <w:u w:val="single"/>
    </w:rPr>
  </w:style>
  <w:style w:type="character" w:styleId="FollowedHyperlink">
    <w:name w:val="FollowedHyperlink"/>
    <w:semiHidden/>
    <w:rsid w:val="004944A0"/>
    <w:rPr>
      <w:color w:val="800080"/>
      <w:u w:val="single"/>
    </w:rPr>
  </w:style>
  <w:style w:type="paragraph" w:customStyle="1" w:styleId="SMG">
    <w:name w:val="__S_M_G"/>
    <w:basedOn w:val="Normal"/>
    <w:next w:val="Normal"/>
    <w:rsid w:val="004944A0"/>
    <w:pPr>
      <w:keepNext/>
      <w:keepLines/>
      <w:suppressAutoHyphens/>
      <w:spacing w:before="240" w:after="240" w:line="420" w:lineRule="exact"/>
      <w:ind w:left="1134" w:right="1134"/>
    </w:pPr>
    <w:rPr>
      <w:b/>
      <w:sz w:val="40"/>
    </w:rPr>
  </w:style>
  <w:style w:type="paragraph" w:customStyle="1" w:styleId="SLG">
    <w:name w:val="__S_L_G"/>
    <w:basedOn w:val="Normal"/>
    <w:next w:val="Normal"/>
    <w:rsid w:val="004944A0"/>
    <w:pPr>
      <w:keepNext/>
      <w:keepLines/>
      <w:spacing w:before="240" w:after="240" w:line="580" w:lineRule="exact"/>
      <w:ind w:left="1134" w:right="1134"/>
    </w:pPr>
    <w:rPr>
      <w:b/>
      <w:sz w:val="56"/>
    </w:rPr>
  </w:style>
  <w:style w:type="paragraph" w:customStyle="1" w:styleId="SSG">
    <w:name w:val="__S_S_G"/>
    <w:basedOn w:val="Normal"/>
    <w:next w:val="Normal"/>
    <w:rsid w:val="004944A0"/>
    <w:pPr>
      <w:keepNext/>
      <w:keepLines/>
      <w:spacing w:before="240" w:after="240" w:line="300" w:lineRule="exact"/>
      <w:ind w:left="1134" w:right="1134"/>
    </w:pPr>
    <w:rPr>
      <w:b/>
      <w:sz w:val="28"/>
    </w:rPr>
  </w:style>
  <w:style w:type="paragraph" w:styleId="FootnoteText">
    <w:name w:val="footnote text"/>
    <w:aliases w:val="5_G,Footnote Text Char1,Footnote Text Char Char,Footnote Text Char1 Char Char,Footnote Text Char Char Char Char,Footnote Text Char Char1,FA,FA Fußnotentext,Note de bas de page Car Car,Footnote Text Char3,Text pozn. pod čarou Char,FA Fu,f"/>
    <w:basedOn w:val="Normal"/>
    <w:link w:val="FootnoteTextChar"/>
    <w:uiPriority w:val="99"/>
    <w:qFormat/>
    <w:rsid w:val="004944A0"/>
    <w:pPr>
      <w:tabs>
        <w:tab w:val="right" w:pos="1021"/>
      </w:tabs>
      <w:spacing w:line="220" w:lineRule="exact"/>
      <w:ind w:left="1134" w:right="1134" w:hanging="1134"/>
    </w:pPr>
    <w:rPr>
      <w:sz w:val="18"/>
      <w:lang w:val="es-ES"/>
    </w:rPr>
  </w:style>
  <w:style w:type="paragraph" w:styleId="EndnoteText">
    <w:name w:val="endnote text"/>
    <w:aliases w:val="2_G"/>
    <w:basedOn w:val="FootnoteText"/>
    <w:link w:val="EndnoteTextChar"/>
    <w:rsid w:val="004944A0"/>
  </w:style>
  <w:style w:type="character" w:styleId="PageNumber">
    <w:name w:val="page number"/>
    <w:aliases w:val="7_G"/>
    <w:rsid w:val="004944A0"/>
    <w:rPr>
      <w:b/>
      <w:sz w:val="18"/>
    </w:rPr>
  </w:style>
  <w:style w:type="paragraph" w:customStyle="1" w:styleId="XLargeG">
    <w:name w:val="__XLarge_G"/>
    <w:basedOn w:val="Normal"/>
    <w:next w:val="Normal"/>
    <w:rsid w:val="004944A0"/>
    <w:pPr>
      <w:keepNext/>
      <w:keepLines/>
      <w:spacing w:before="240" w:after="240" w:line="420" w:lineRule="exact"/>
      <w:ind w:left="1134" w:right="1134"/>
    </w:pPr>
    <w:rPr>
      <w:b/>
      <w:sz w:val="40"/>
    </w:rPr>
  </w:style>
  <w:style w:type="paragraph" w:customStyle="1" w:styleId="Bullet1G">
    <w:name w:val="_Bullet 1_G"/>
    <w:basedOn w:val="Normal"/>
    <w:rsid w:val="004944A0"/>
    <w:pPr>
      <w:numPr>
        <w:numId w:val="2"/>
      </w:numPr>
      <w:spacing w:after="120"/>
      <w:ind w:right="1134"/>
      <w:jc w:val="both"/>
    </w:pPr>
    <w:rPr>
      <w:lang w:eastAsia="en-US"/>
    </w:rPr>
  </w:style>
  <w:style w:type="paragraph" w:styleId="Footer">
    <w:name w:val="footer"/>
    <w:aliases w:val="3_G"/>
    <w:basedOn w:val="Normal"/>
    <w:next w:val="Normal"/>
    <w:link w:val="FooterChar"/>
    <w:rsid w:val="004944A0"/>
    <w:rPr>
      <w:sz w:val="16"/>
      <w:lang w:val="es-ES"/>
    </w:rPr>
  </w:style>
  <w:style w:type="paragraph" w:customStyle="1" w:styleId="Bullet2G">
    <w:name w:val="_Bullet 2_G"/>
    <w:basedOn w:val="Normal"/>
    <w:rsid w:val="004944A0"/>
    <w:pPr>
      <w:numPr>
        <w:numId w:val="3"/>
      </w:numPr>
      <w:spacing w:after="120"/>
      <w:ind w:right="1134"/>
      <w:jc w:val="both"/>
    </w:pPr>
  </w:style>
  <w:style w:type="paragraph" w:customStyle="1" w:styleId="H1G">
    <w:name w:val="_ H_1_G"/>
    <w:basedOn w:val="Normal"/>
    <w:next w:val="Normal"/>
    <w:rsid w:val="004944A0"/>
    <w:pPr>
      <w:keepNext/>
      <w:keepLines/>
      <w:tabs>
        <w:tab w:val="right" w:pos="851"/>
      </w:tabs>
      <w:suppressAutoHyphens/>
      <w:spacing w:before="360" w:after="240" w:line="270" w:lineRule="exact"/>
      <w:ind w:left="1134" w:right="1134" w:hanging="1134"/>
    </w:pPr>
    <w:rPr>
      <w:b/>
      <w:sz w:val="24"/>
    </w:rPr>
  </w:style>
  <w:style w:type="paragraph" w:customStyle="1" w:styleId="H23G">
    <w:name w:val="_ H_2/3_G"/>
    <w:basedOn w:val="Normal"/>
    <w:next w:val="Normal"/>
    <w:rsid w:val="006242BC"/>
    <w:pPr>
      <w:keepNext/>
      <w:keepLines/>
      <w:tabs>
        <w:tab w:val="right" w:pos="851"/>
      </w:tabs>
      <w:suppressAutoHyphens/>
      <w:spacing w:before="240" w:after="120" w:line="240" w:lineRule="exact"/>
      <w:ind w:left="1134" w:right="1134" w:hanging="1134"/>
    </w:pPr>
    <w:rPr>
      <w:b/>
    </w:rPr>
  </w:style>
  <w:style w:type="paragraph" w:customStyle="1" w:styleId="H4G">
    <w:name w:val="_ H_4_G"/>
    <w:basedOn w:val="Normal"/>
    <w:next w:val="Normal"/>
    <w:rsid w:val="004944A0"/>
    <w:pPr>
      <w:keepNext/>
      <w:keepLines/>
      <w:tabs>
        <w:tab w:val="right" w:pos="851"/>
      </w:tabs>
      <w:suppressAutoHyphens/>
      <w:spacing w:before="240" w:after="120" w:line="240" w:lineRule="exact"/>
      <w:ind w:left="1134" w:right="1134" w:hanging="1134"/>
    </w:pPr>
    <w:rPr>
      <w:i/>
    </w:rPr>
  </w:style>
  <w:style w:type="paragraph" w:customStyle="1" w:styleId="H56G">
    <w:name w:val="_ H_5/6_G"/>
    <w:basedOn w:val="Normal"/>
    <w:next w:val="Normal"/>
    <w:rsid w:val="004944A0"/>
    <w:pPr>
      <w:keepNext/>
      <w:keepLines/>
      <w:tabs>
        <w:tab w:val="right" w:pos="851"/>
      </w:tabs>
      <w:suppressAutoHyphens/>
      <w:spacing w:before="240" w:after="120" w:line="240" w:lineRule="exact"/>
      <w:ind w:left="1134" w:right="1134" w:hanging="1134"/>
    </w:pPr>
  </w:style>
  <w:style w:type="character" w:customStyle="1" w:styleId="Heading1Char">
    <w:name w:val="Heading 1 Char"/>
    <w:aliases w:val="Table_G Char"/>
    <w:link w:val="Heading1"/>
    <w:uiPriority w:val="9"/>
    <w:rsid w:val="00FD0B04"/>
    <w:rPr>
      <w:rFonts w:cs="Arial"/>
      <w:bCs/>
      <w:szCs w:val="32"/>
      <w:lang w:val="es-ES" w:eastAsia="es-ES" w:bidi="ar-SA"/>
    </w:rPr>
  </w:style>
  <w:style w:type="numbering" w:styleId="111111">
    <w:name w:val="Outline List 2"/>
    <w:basedOn w:val="NoList"/>
    <w:semiHidden/>
    <w:rsid w:val="004944A0"/>
    <w:pPr>
      <w:numPr>
        <w:numId w:val="4"/>
      </w:numPr>
    </w:pPr>
  </w:style>
  <w:style w:type="numbering" w:styleId="1ai">
    <w:name w:val="Outline List 1"/>
    <w:basedOn w:val="NoList"/>
    <w:semiHidden/>
    <w:rsid w:val="004944A0"/>
    <w:pPr>
      <w:numPr>
        <w:numId w:val="5"/>
      </w:numPr>
    </w:pPr>
  </w:style>
  <w:style w:type="character" w:styleId="HTMLAcronym">
    <w:name w:val="HTML Acronym"/>
    <w:basedOn w:val="DefaultParagraphFont"/>
    <w:semiHidden/>
    <w:rsid w:val="004944A0"/>
  </w:style>
  <w:style w:type="numbering" w:styleId="ArticleSection">
    <w:name w:val="Outline List 3"/>
    <w:basedOn w:val="NoList"/>
    <w:semiHidden/>
    <w:rsid w:val="004944A0"/>
    <w:pPr>
      <w:numPr>
        <w:numId w:val="6"/>
      </w:numPr>
    </w:pPr>
  </w:style>
  <w:style w:type="paragraph" w:styleId="Closing">
    <w:name w:val="Closing"/>
    <w:basedOn w:val="Normal"/>
    <w:semiHidden/>
    <w:rsid w:val="004944A0"/>
    <w:pPr>
      <w:ind w:left="4252"/>
    </w:pPr>
  </w:style>
  <w:style w:type="character" w:styleId="HTMLCite">
    <w:name w:val="HTML Cite"/>
    <w:semiHidden/>
    <w:rsid w:val="004944A0"/>
    <w:rPr>
      <w:i/>
      <w:iCs/>
    </w:rPr>
  </w:style>
  <w:style w:type="character" w:styleId="HTMLCode">
    <w:name w:val="HTML Code"/>
    <w:semiHidden/>
    <w:rsid w:val="004944A0"/>
    <w:rPr>
      <w:rFonts w:ascii="Courier New" w:hAnsi="Courier New" w:cs="Courier New"/>
      <w:sz w:val="20"/>
      <w:szCs w:val="20"/>
    </w:rPr>
  </w:style>
  <w:style w:type="paragraph" w:styleId="ListContinue">
    <w:name w:val="List Continue"/>
    <w:basedOn w:val="Normal"/>
    <w:semiHidden/>
    <w:rsid w:val="004944A0"/>
    <w:pPr>
      <w:spacing w:after="120"/>
      <w:ind w:left="283"/>
    </w:pPr>
  </w:style>
  <w:style w:type="character" w:customStyle="1" w:styleId="HeaderChar">
    <w:name w:val="Header Char"/>
    <w:aliases w:val="6_G Char"/>
    <w:link w:val="Header"/>
    <w:rsid w:val="00FD0B04"/>
    <w:rPr>
      <w:b/>
      <w:sz w:val="18"/>
      <w:lang w:val="es-ES" w:eastAsia="es-ES" w:bidi="ar-SA"/>
    </w:rPr>
  </w:style>
  <w:style w:type="character" w:customStyle="1" w:styleId="FootnoteTextChar">
    <w:name w:val="Footnote Text Char"/>
    <w:aliases w:val="5_G Char,Footnote Text Char1 Char,Footnote Text Char Char Char,Footnote Text Char1 Char Char Char,Footnote Text Char Char Char Char Char,Footnote Text Char Char1 Char,FA Char,FA Fußnotentext Char,Note de bas de page Car Car Char"/>
    <w:link w:val="FootnoteText"/>
    <w:uiPriority w:val="99"/>
    <w:rsid w:val="00FD0B04"/>
    <w:rPr>
      <w:sz w:val="18"/>
      <w:lang w:val="es-ES" w:eastAsia="es-ES" w:bidi="ar-SA"/>
    </w:rPr>
  </w:style>
  <w:style w:type="character" w:customStyle="1" w:styleId="EndnoteTextChar">
    <w:name w:val="Endnote Text Char"/>
    <w:aliases w:val="2_G Char"/>
    <w:link w:val="EndnoteText"/>
    <w:rsid w:val="00FD0B04"/>
    <w:rPr>
      <w:sz w:val="18"/>
      <w:lang w:val="es-ES" w:eastAsia="es-ES" w:bidi="ar-SA"/>
    </w:rPr>
  </w:style>
  <w:style w:type="character" w:customStyle="1" w:styleId="FooterChar">
    <w:name w:val="Footer Char"/>
    <w:aliases w:val="3_G Char"/>
    <w:link w:val="Footer"/>
    <w:rsid w:val="00FD0B04"/>
    <w:rPr>
      <w:sz w:val="16"/>
      <w:lang w:val="es-ES" w:eastAsia="es-ES" w:bidi="ar-SA"/>
    </w:rPr>
  </w:style>
  <w:style w:type="paragraph" w:styleId="ListContinue2">
    <w:name w:val="List Continue 2"/>
    <w:basedOn w:val="Normal"/>
    <w:semiHidden/>
    <w:rsid w:val="004944A0"/>
    <w:pPr>
      <w:spacing w:after="120"/>
      <w:ind w:left="566"/>
    </w:pPr>
  </w:style>
  <w:style w:type="paragraph" w:styleId="ListContinue3">
    <w:name w:val="List Continue 3"/>
    <w:basedOn w:val="Normal"/>
    <w:semiHidden/>
    <w:rsid w:val="004944A0"/>
    <w:pPr>
      <w:spacing w:after="120"/>
      <w:ind w:left="849"/>
    </w:pPr>
  </w:style>
  <w:style w:type="paragraph" w:styleId="NormalWeb">
    <w:name w:val="Normal (Web)"/>
    <w:basedOn w:val="Normal"/>
    <w:uiPriority w:val="99"/>
    <w:rsid w:val="004944A0"/>
    <w:rPr>
      <w:sz w:val="24"/>
      <w:szCs w:val="24"/>
    </w:rPr>
  </w:style>
  <w:style w:type="paragraph" w:styleId="ListContinue4">
    <w:name w:val="List Continue 4"/>
    <w:basedOn w:val="Normal"/>
    <w:semiHidden/>
    <w:rsid w:val="004944A0"/>
    <w:pPr>
      <w:spacing w:after="120"/>
      <w:ind w:left="1132"/>
    </w:pPr>
  </w:style>
  <w:style w:type="paragraph" w:styleId="ListContinue5">
    <w:name w:val="List Continue 5"/>
    <w:basedOn w:val="Normal"/>
    <w:semiHidden/>
    <w:rsid w:val="004944A0"/>
    <w:pPr>
      <w:spacing w:after="120"/>
      <w:ind w:left="1415"/>
    </w:pPr>
  </w:style>
  <w:style w:type="character" w:styleId="CommentReference">
    <w:name w:val="annotation reference"/>
    <w:uiPriority w:val="99"/>
    <w:rsid w:val="00FD0B04"/>
    <w:rPr>
      <w:sz w:val="16"/>
      <w:szCs w:val="16"/>
    </w:rPr>
  </w:style>
  <w:style w:type="character" w:styleId="HTMLDefinition">
    <w:name w:val="HTML Definition"/>
    <w:semiHidden/>
    <w:rsid w:val="004944A0"/>
    <w:rPr>
      <w:i/>
      <w:iCs/>
    </w:rPr>
  </w:style>
  <w:style w:type="paragraph" w:styleId="HTMLAddress">
    <w:name w:val="HTML Address"/>
    <w:basedOn w:val="Normal"/>
    <w:semiHidden/>
    <w:rsid w:val="004944A0"/>
    <w:rPr>
      <w:i/>
      <w:iCs/>
    </w:rPr>
  </w:style>
  <w:style w:type="paragraph" w:styleId="EnvelopeAddress">
    <w:name w:val="envelope address"/>
    <w:basedOn w:val="Normal"/>
    <w:semiHidden/>
    <w:rsid w:val="004944A0"/>
    <w:pPr>
      <w:framePr w:w="7920" w:h="1980" w:hRule="exact" w:hSpace="141" w:wrap="auto" w:hAnchor="page" w:xAlign="center" w:yAlign="bottom"/>
      <w:ind w:left="2880"/>
    </w:pPr>
    <w:rPr>
      <w:rFonts w:ascii="Arial" w:hAnsi="Arial" w:cs="Arial"/>
      <w:sz w:val="24"/>
      <w:szCs w:val="24"/>
    </w:rPr>
  </w:style>
  <w:style w:type="character" w:styleId="HTMLSample">
    <w:name w:val="HTML Sample"/>
    <w:semiHidden/>
    <w:rsid w:val="004944A0"/>
    <w:rPr>
      <w:rFonts w:ascii="Courier New" w:hAnsi="Courier New" w:cs="Courier New"/>
    </w:rPr>
  </w:style>
  <w:style w:type="character" w:customStyle="1" w:styleId="text">
    <w:name w:val="text"/>
    <w:rsid w:val="00FD0B04"/>
  </w:style>
  <w:style w:type="paragraph" w:styleId="TOC1">
    <w:name w:val="toc 1"/>
    <w:aliases w:val="DS TOC 1"/>
    <w:basedOn w:val="Heading1"/>
    <w:next w:val="Normal"/>
    <w:autoRedefine/>
    <w:rsid w:val="00FD0B04"/>
    <w:pPr>
      <w:numPr>
        <w:numId w:val="1"/>
      </w:numPr>
      <w:tabs>
        <w:tab w:val="clear" w:pos="720"/>
        <w:tab w:val="num" w:pos="792"/>
      </w:tabs>
      <w:spacing w:before="100" w:beforeAutospacing="1" w:after="360"/>
      <w:ind w:left="792" w:hanging="432"/>
      <w:outlineLvl w:val="9"/>
    </w:pPr>
    <w:rPr>
      <w:b/>
      <w:bCs w:val="0"/>
      <w:caps/>
    </w:rPr>
  </w:style>
  <w:style w:type="character" w:customStyle="1" w:styleId="categorydata">
    <w:name w:val="category_data"/>
    <w:rsid w:val="00FD0B04"/>
  </w:style>
  <w:style w:type="character" w:customStyle="1" w:styleId="st">
    <w:name w:val="st"/>
    <w:rsid w:val="00FD0B04"/>
  </w:style>
  <w:style w:type="character" w:customStyle="1" w:styleId="text2">
    <w:name w:val="text2"/>
    <w:rsid w:val="00FD0B04"/>
  </w:style>
  <w:style w:type="paragraph" w:styleId="MessageHeader">
    <w:name w:val="Message Header"/>
    <w:basedOn w:val="Normal"/>
    <w:semiHidden/>
    <w:rsid w:val="004944A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teHeading">
    <w:name w:val="Note Heading"/>
    <w:basedOn w:val="Normal"/>
    <w:next w:val="Normal"/>
    <w:semiHidden/>
    <w:rsid w:val="004944A0"/>
  </w:style>
  <w:style w:type="paragraph" w:styleId="List2">
    <w:name w:val="List 2"/>
    <w:basedOn w:val="Normal"/>
    <w:semiHidden/>
    <w:rsid w:val="004944A0"/>
    <w:pPr>
      <w:ind w:left="566" w:hanging="283"/>
    </w:pPr>
  </w:style>
  <w:style w:type="character" w:styleId="Emphasis">
    <w:name w:val="Emphasis"/>
    <w:uiPriority w:val="20"/>
    <w:qFormat/>
    <w:rsid w:val="004944A0"/>
    <w:rPr>
      <w:i/>
      <w:iCs/>
    </w:rPr>
  </w:style>
  <w:style w:type="character" w:customStyle="1" w:styleId="grey">
    <w:name w:val="grey"/>
    <w:rsid w:val="00FD0B04"/>
  </w:style>
  <w:style w:type="character" w:customStyle="1" w:styleId="articoloinside">
    <w:name w:val="articolo_inside"/>
    <w:rsid w:val="00FD0B04"/>
  </w:style>
  <w:style w:type="character" w:styleId="Strong">
    <w:name w:val="Strong"/>
    <w:uiPriority w:val="22"/>
    <w:qFormat/>
    <w:rsid w:val="004944A0"/>
    <w:rPr>
      <w:b/>
      <w:bCs/>
    </w:rPr>
  </w:style>
  <w:style w:type="character" w:customStyle="1" w:styleId="a">
    <w:name w:val="Символ сноски"/>
    <w:rsid w:val="00FD0B04"/>
    <w:rPr>
      <w:vertAlign w:val="superscript"/>
    </w:rPr>
  </w:style>
  <w:style w:type="character" w:customStyle="1" w:styleId="Caractresdenotedebasdepage">
    <w:name w:val="Caractères de note de bas de page"/>
    <w:rsid w:val="00FD0B04"/>
    <w:rPr>
      <w:vertAlign w:val="superscript"/>
    </w:rPr>
  </w:style>
  <w:style w:type="character" w:customStyle="1" w:styleId="apple-style-span">
    <w:name w:val="apple-style-span"/>
    <w:rsid w:val="00FD0B04"/>
  </w:style>
  <w:style w:type="character" w:customStyle="1" w:styleId="norm1">
    <w:name w:val="norm1"/>
    <w:rsid w:val="00FD0B04"/>
    <w:rPr>
      <w:rFonts w:ascii="Verdana" w:hAnsi="Verdana" w:hint="default"/>
      <w:color w:val="000000"/>
      <w:sz w:val="17"/>
      <w:szCs w:val="17"/>
    </w:rPr>
  </w:style>
  <w:style w:type="paragraph" w:styleId="Date">
    <w:name w:val="Date"/>
    <w:basedOn w:val="Normal"/>
    <w:next w:val="Normal"/>
    <w:semiHidden/>
    <w:rsid w:val="004944A0"/>
  </w:style>
  <w:style w:type="paragraph" w:styleId="Signature">
    <w:name w:val="Signature"/>
    <w:basedOn w:val="Normal"/>
    <w:semiHidden/>
    <w:rsid w:val="004944A0"/>
    <w:pPr>
      <w:ind w:left="4252"/>
    </w:pPr>
  </w:style>
  <w:style w:type="character" w:customStyle="1" w:styleId="StyleAIBodytextAsianSimSunChar">
    <w:name w:val="Style AI Body text + (Asian) SimSun Char"/>
    <w:uiPriority w:val="99"/>
    <w:rsid w:val="00FD0B04"/>
    <w:rPr>
      <w:rFonts w:ascii="Arial" w:eastAsia="SimSun" w:hAnsi="Arial" w:cs="Arial" w:hint="default"/>
      <w:lang w:val="en-GB" w:eastAsia="en-US"/>
    </w:rPr>
  </w:style>
  <w:style w:type="paragraph" w:customStyle="1" w:styleId="Default">
    <w:name w:val="Default"/>
    <w:rsid w:val="00FD0B04"/>
    <w:pPr>
      <w:autoSpaceDE w:val="0"/>
      <w:autoSpaceDN w:val="0"/>
      <w:adjustRightInd w:val="0"/>
    </w:pPr>
    <w:rPr>
      <w:color w:val="000000"/>
      <w:sz w:val="24"/>
      <w:szCs w:val="24"/>
    </w:rPr>
  </w:style>
  <w:style w:type="character" w:customStyle="1" w:styleId="MediumShading1-Accent1Char">
    <w:name w:val="Medium Shading 1 - Accent 1 Char"/>
    <w:link w:val="ColorfulShading-Accent4"/>
    <w:uiPriority w:val="1"/>
    <w:rsid w:val="00FD0B04"/>
    <w:rPr>
      <w:rFonts w:ascii="Calibri" w:eastAsia="MS Mincho" w:hAnsi="Calibri" w:cs="Arial"/>
      <w:sz w:val="22"/>
      <w:szCs w:val="22"/>
      <w:lang w:val="en-US" w:eastAsia="ja-JP"/>
    </w:rPr>
  </w:style>
  <w:style w:type="paragraph" w:styleId="E-mailSignature">
    <w:name w:val="E-mail Signature"/>
    <w:basedOn w:val="Normal"/>
    <w:semiHidden/>
    <w:rsid w:val="004944A0"/>
  </w:style>
  <w:style w:type="paragraph" w:styleId="HTMLPreformatted">
    <w:name w:val="HTML Preformatted"/>
    <w:basedOn w:val="Normal"/>
    <w:semiHidden/>
    <w:rsid w:val="004944A0"/>
    <w:rPr>
      <w:rFonts w:ascii="Courier New" w:hAnsi="Courier New" w:cs="Courier New"/>
    </w:rPr>
  </w:style>
  <w:style w:type="character" w:customStyle="1" w:styleId="illustration1">
    <w:name w:val="illustration1"/>
    <w:rsid w:val="00FD0B04"/>
    <w:rPr>
      <w:i/>
      <w:iCs/>
      <w:color w:val="226699"/>
    </w:rPr>
  </w:style>
  <w:style w:type="paragraph" w:customStyle="1" w:styleId="ColorfulShading-Accent31">
    <w:name w:val="Colorful Shading - Accent 31"/>
    <w:basedOn w:val="Normal"/>
    <w:uiPriority w:val="34"/>
    <w:qFormat/>
    <w:rsid w:val="00FD0B04"/>
    <w:pPr>
      <w:ind w:left="720"/>
    </w:pPr>
  </w:style>
  <w:style w:type="paragraph" w:customStyle="1" w:styleId="DarkList-Accent31">
    <w:name w:val="Dark List - Accent 31"/>
    <w:hidden/>
    <w:uiPriority w:val="99"/>
    <w:semiHidden/>
    <w:rsid w:val="00FD0B04"/>
    <w:rPr>
      <w:lang w:eastAsia="en-US"/>
    </w:rPr>
  </w:style>
  <w:style w:type="table" w:styleId="ColorfulShading-Accent4">
    <w:name w:val="Colorful Shading Accent 4"/>
    <w:basedOn w:val="TableNormal"/>
    <w:link w:val="MediumShading1-Accent1Char"/>
    <w:uiPriority w:val="1"/>
    <w:rsid w:val="00FD0B04"/>
    <w:rPr>
      <w:rFonts w:ascii="Calibri" w:eastAsia="MS Mincho" w:hAnsi="Calibri" w:cs="Arial"/>
      <w:sz w:val="22"/>
      <w:szCs w:val="22"/>
      <w:lang w:eastAsia="ja-JP" w:bidi="x-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List">
    <w:name w:val="List"/>
    <w:basedOn w:val="Normal"/>
    <w:semiHidden/>
    <w:rsid w:val="004944A0"/>
    <w:pPr>
      <w:ind w:left="283" w:hanging="283"/>
    </w:pPr>
  </w:style>
  <w:style w:type="paragraph" w:styleId="List3">
    <w:name w:val="List 3"/>
    <w:basedOn w:val="Normal"/>
    <w:semiHidden/>
    <w:rsid w:val="004944A0"/>
    <w:pPr>
      <w:ind w:left="849" w:hanging="283"/>
    </w:pPr>
  </w:style>
  <w:style w:type="paragraph" w:styleId="List4">
    <w:name w:val="List 4"/>
    <w:basedOn w:val="Normal"/>
    <w:semiHidden/>
    <w:rsid w:val="004944A0"/>
    <w:pPr>
      <w:ind w:left="1132" w:hanging="283"/>
    </w:pPr>
  </w:style>
  <w:style w:type="paragraph" w:styleId="List5">
    <w:name w:val="List 5"/>
    <w:basedOn w:val="Normal"/>
    <w:semiHidden/>
    <w:rsid w:val="004944A0"/>
    <w:pPr>
      <w:ind w:left="1415" w:hanging="283"/>
    </w:pPr>
  </w:style>
  <w:style w:type="paragraph" w:styleId="ListNumber">
    <w:name w:val="List Number"/>
    <w:basedOn w:val="Normal"/>
    <w:semiHidden/>
    <w:rsid w:val="004944A0"/>
    <w:pPr>
      <w:numPr>
        <w:numId w:val="7"/>
      </w:numPr>
    </w:pPr>
  </w:style>
  <w:style w:type="paragraph" w:styleId="ListNumber2">
    <w:name w:val="List Number 2"/>
    <w:basedOn w:val="Normal"/>
    <w:semiHidden/>
    <w:rsid w:val="004944A0"/>
    <w:pPr>
      <w:numPr>
        <w:numId w:val="8"/>
      </w:numPr>
    </w:pPr>
  </w:style>
  <w:style w:type="paragraph" w:styleId="ListNumber3">
    <w:name w:val="List Number 3"/>
    <w:basedOn w:val="Normal"/>
    <w:semiHidden/>
    <w:rsid w:val="004944A0"/>
    <w:pPr>
      <w:numPr>
        <w:numId w:val="9"/>
      </w:numPr>
    </w:pPr>
  </w:style>
  <w:style w:type="paragraph" w:styleId="ListNumber4">
    <w:name w:val="List Number 4"/>
    <w:basedOn w:val="Normal"/>
    <w:semiHidden/>
    <w:rsid w:val="004944A0"/>
    <w:pPr>
      <w:numPr>
        <w:numId w:val="10"/>
      </w:numPr>
    </w:pPr>
  </w:style>
  <w:style w:type="paragraph" w:styleId="ListNumber5">
    <w:name w:val="List Number 5"/>
    <w:basedOn w:val="Normal"/>
    <w:semiHidden/>
    <w:rsid w:val="004944A0"/>
    <w:pPr>
      <w:numPr>
        <w:numId w:val="11"/>
      </w:numPr>
    </w:pPr>
  </w:style>
  <w:style w:type="paragraph" w:styleId="ListBullet">
    <w:name w:val="List Bullet"/>
    <w:basedOn w:val="Normal"/>
    <w:semiHidden/>
    <w:rsid w:val="004944A0"/>
    <w:pPr>
      <w:numPr>
        <w:numId w:val="12"/>
      </w:numPr>
    </w:pPr>
  </w:style>
  <w:style w:type="paragraph" w:styleId="ListBullet2">
    <w:name w:val="List Bullet 2"/>
    <w:basedOn w:val="Normal"/>
    <w:semiHidden/>
    <w:rsid w:val="004944A0"/>
    <w:pPr>
      <w:numPr>
        <w:numId w:val="13"/>
      </w:numPr>
    </w:pPr>
  </w:style>
  <w:style w:type="paragraph" w:styleId="ListBullet3">
    <w:name w:val="List Bullet 3"/>
    <w:basedOn w:val="Normal"/>
    <w:semiHidden/>
    <w:rsid w:val="004944A0"/>
    <w:pPr>
      <w:numPr>
        <w:numId w:val="14"/>
      </w:numPr>
    </w:pPr>
  </w:style>
  <w:style w:type="paragraph" w:styleId="ListBullet4">
    <w:name w:val="List Bullet 4"/>
    <w:basedOn w:val="Normal"/>
    <w:semiHidden/>
    <w:rsid w:val="004944A0"/>
    <w:pPr>
      <w:numPr>
        <w:numId w:val="15"/>
      </w:numPr>
    </w:pPr>
  </w:style>
  <w:style w:type="paragraph" w:styleId="ListBullet5">
    <w:name w:val="List Bullet 5"/>
    <w:basedOn w:val="Normal"/>
    <w:semiHidden/>
    <w:rsid w:val="004944A0"/>
    <w:pPr>
      <w:numPr>
        <w:numId w:val="16"/>
      </w:numPr>
    </w:pPr>
  </w:style>
  <w:style w:type="character" w:styleId="HTMLTypewriter">
    <w:name w:val="HTML Typewriter"/>
    <w:semiHidden/>
    <w:rsid w:val="004944A0"/>
    <w:rPr>
      <w:rFonts w:ascii="Courier New" w:hAnsi="Courier New" w:cs="Courier New"/>
      <w:sz w:val="20"/>
      <w:szCs w:val="20"/>
    </w:rPr>
  </w:style>
  <w:style w:type="character" w:styleId="LineNumber">
    <w:name w:val="line number"/>
    <w:basedOn w:val="DefaultParagraphFont"/>
    <w:semiHidden/>
    <w:rsid w:val="004944A0"/>
  </w:style>
  <w:style w:type="paragraph" w:styleId="EnvelopeReturn">
    <w:name w:val="envelope return"/>
    <w:basedOn w:val="Normal"/>
    <w:semiHidden/>
    <w:rsid w:val="004944A0"/>
    <w:rPr>
      <w:rFonts w:ascii="Arial" w:hAnsi="Arial" w:cs="Arial"/>
    </w:rPr>
  </w:style>
  <w:style w:type="paragraph" w:styleId="Salutation">
    <w:name w:val="Salutation"/>
    <w:basedOn w:val="Normal"/>
    <w:next w:val="Normal"/>
    <w:semiHidden/>
    <w:rsid w:val="004944A0"/>
  </w:style>
  <w:style w:type="paragraph" w:styleId="BodyTextIndent2">
    <w:name w:val="Body Text Indent 2"/>
    <w:basedOn w:val="Normal"/>
    <w:semiHidden/>
    <w:rsid w:val="004944A0"/>
    <w:pPr>
      <w:spacing w:after="120" w:line="480" w:lineRule="auto"/>
      <w:ind w:left="283"/>
    </w:pPr>
  </w:style>
  <w:style w:type="paragraph" w:styleId="BodyTextIndent3">
    <w:name w:val="Body Text Indent 3"/>
    <w:basedOn w:val="Normal"/>
    <w:semiHidden/>
    <w:rsid w:val="004944A0"/>
    <w:pPr>
      <w:spacing w:after="120"/>
      <w:ind w:left="283"/>
    </w:pPr>
    <w:rPr>
      <w:sz w:val="16"/>
      <w:szCs w:val="16"/>
    </w:rPr>
  </w:style>
  <w:style w:type="paragraph" w:styleId="BodyTextIndent">
    <w:name w:val="Body Text Indent"/>
    <w:basedOn w:val="Normal"/>
    <w:semiHidden/>
    <w:rsid w:val="004944A0"/>
    <w:pPr>
      <w:spacing w:after="120"/>
      <w:ind w:left="283"/>
    </w:pPr>
  </w:style>
  <w:style w:type="paragraph" w:styleId="NormalIndent">
    <w:name w:val="Normal Indent"/>
    <w:basedOn w:val="Normal"/>
    <w:semiHidden/>
    <w:rsid w:val="004944A0"/>
    <w:pPr>
      <w:ind w:left="567"/>
    </w:pPr>
  </w:style>
  <w:style w:type="paragraph" w:styleId="Subtitle">
    <w:name w:val="Subtitle"/>
    <w:basedOn w:val="Normal"/>
    <w:qFormat/>
    <w:rsid w:val="004944A0"/>
    <w:pPr>
      <w:spacing w:after="60"/>
      <w:jc w:val="center"/>
      <w:outlineLvl w:val="1"/>
    </w:pPr>
    <w:rPr>
      <w:rFonts w:ascii="Arial" w:hAnsi="Arial" w:cs="Arial"/>
      <w:sz w:val="24"/>
      <w:szCs w:val="24"/>
    </w:rPr>
  </w:style>
  <w:style w:type="table" w:styleId="TableSimple1">
    <w:name w:val="Table Simple 1"/>
    <w:basedOn w:val="TableNormal"/>
    <w:semiHidden/>
    <w:rsid w:val="004944A0"/>
    <w:pPr>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944A0"/>
    <w:pPr>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944A0"/>
    <w:pPr>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4944A0"/>
    <w:pPr>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944A0"/>
    <w:pPr>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944A0"/>
    <w:pPr>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944A0"/>
    <w:pPr>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umns1">
    <w:name w:val="Table Columns 1"/>
    <w:basedOn w:val="TableNormal"/>
    <w:semiHidden/>
    <w:rsid w:val="004944A0"/>
    <w:pPr>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944A0"/>
    <w:pPr>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944A0"/>
    <w:pPr>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944A0"/>
    <w:pPr>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944A0"/>
    <w:pPr>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4944A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944A0"/>
    <w:pPr>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944A0"/>
    <w:pPr>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944A0"/>
    <w:pPr>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944A0"/>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944A0"/>
    <w:pPr>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944A0"/>
    <w:pPr>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944A0"/>
    <w:pPr>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3Deffects1">
    <w:name w:val="Table 3D effects 1"/>
    <w:basedOn w:val="TableNormal"/>
    <w:semiHidden/>
    <w:rsid w:val="004944A0"/>
    <w:pPr>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944A0"/>
    <w:pPr>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944A0"/>
    <w:pPr>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semiHidden/>
    <w:rsid w:val="004944A0"/>
    <w:pPr>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944A0"/>
    <w:pPr>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944A0"/>
    <w:pPr>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944A0"/>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944A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944A0"/>
    <w:pPr>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944A0"/>
    <w:pPr>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944A0"/>
    <w:pPr>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Theme">
    <w:name w:val="Table Theme"/>
    <w:basedOn w:val="TableNormal"/>
    <w:semiHidden/>
    <w:rsid w:val="004944A0"/>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semiHidden/>
    <w:rsid w:val="004944A0"/>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ntemporary">
    <w:name w:val="Table Contemporary"/>
    <w:basedOn w:val="TableNormal"/>
    <w:semiHidden/>
    <w:rsid w:val="004944A0"/>
    <w:pPr>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semiHidden/>
    <w:rsid w:val="004944A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944A0"/>
    <w:pPr>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944A0"/>
    <w:pPr>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1">
    <w:name w:val="Table Colorful 1"/>
    <w:basedOn w:val="TableNormal"/>
    <w:semiHidden/>
    <w:rsid w:val="004944A0"/>
    <w:pPr>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944A0"/>
    <w:pPr>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944A0"/>
    <w:pPr>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Web1">
    <w:name w:val="Table Web 1"/>
    <w:basedOn w:val="TableNormal"/>
    <w:semiHidden/>
    <w:rsid w:val="004944A0"/>
    <w:pPr>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944A0"/>
    <w:pPr>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944A0"/>
    <w:pPr>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Keyboard">
    <w:name w:val="HTML Keyboard"/>
    <w:semiHidden/>
    <w:rsid w:val="004944A0"/>
    <w:rPr>
      <w:rFonts w:ascii="Courier New" w:hAnsi="Courier New" w:cs="Courier New"/>
      <w:sz w:val="20"/>
      <w:szCs w:val="20"/>
    </w:rPr>
  </w:style>
  <w:style w:type="paragraph" w:styleId="BlockText">
    <w:name w:val="Block Text"/>
    <w:basedOn w:val="Normal"/>
    <w:semiHidden/>
    <w:rsid w:val="004944A0"/>
    <w:pPr>
      <w:spacing w:after="120"/>
      <w:ind w:left="1440" w:right="1440"/>
    </w:pPr>
  </w:style>
  <w:style w:type="paragraph" w:styleId="BodyText">
    <w:name w:val="Body Text"/>
    <w:basedOn w:val="Normal"/>
    <w:semiHidden/>
    <w:rsid w:val="004944A0"/>
    <w:pPr>
      <w:spacing w:after="120"/>
    </w:pPr>
  </w:style>
  <w:style w:type="paragraph" w:styleId="BodyText2">
    <w:name w:val="Body Text 2"/>
    <w:basedOn w:val="Normal"/>
    <w:semiHidden/>
    <w:rsid w:val="004944A0"/>
    <w:pPr>
      <w:spacing w:after="120" w:line="480" w:lineRule="auto"/>
    </w:pPr>
  </w:style>
  <w:style w:type="paragraph" w:styleId="BodyText3">
    <w:name w:val="Body Text 3"/>
    <w:basedOn w:val="Normal"/>
    <w:semiHidden/>
    <w:rsid w:val="004944A0"/>
    <w:pPr>
      <w:spacing w:after="120"/>
    </w:pPr>
    <w:rPr>
      <w:sz w:val="16"/>
      <w:szCs w:val="16"/>
    </w:rPr>
  </w:style>
  <w:style w:type="paragraph" w:styleId="BodyTextFirstIndent">
    <w:name w:val="Body Text First Indent"/>
    <w:basedOn w:val="BodyText"/>
    <w:semiHidden/>
    <w:rsid w:val="004944A0"/>
    <w:pPr>
      <w:ind w:firstLine="210"/>
    </w:pPr>
  </w:style>
  <w:style w:type="paragraph" w:styleId="BodyTextFirstIndent2">
    <w:name w:val="Body Text First Indent 2"/>
    <w:basedOn w:val="BodyTextIndent"/>
    <w:semiHidden/>
    <w:rsid w:val="004944A0"/>
    <w:pPr>
      <w:ind w:firstLine="210"/>
    </w:pPr>
  </w:style>
  <w:style w:type="paragraph" w:styleId="PlainText">
    <w:name w:val="Plain Text"/>
    <w:basedOn w:val="Normal"/>
    <w:semiHidden/>
    <w:rsid w:val="004944A0"/>
    <w:rPr>
      <w:rFonts w:ascii="Courier New" w:hAnsi="Courier New" w:cs="Courier New"/>
    </w:rPr>
  </w:style>
  <w:style w:type="paragraph" w:styleId="Title">
    <w:name w:val="Title"/>
    <w:basedOn w:val="Normal"/>
    <w:qFormat/>
    <w:rsid w:val="004944A0"/>
    <w:pPr>
      <w:spacing w:before="240" w:after="60"/>
      <w:jc w:val="center"/>
      <w:outlineLvl w:val="0"/>
    </w:pPr>
    <w:rPr>
      <w:rFonts w:ascii="Arial" w:hAnsi="Arial" w:cs="Arial"/>
      <w:b/>
      <w:bCs/>
      <w:kern w:val="28"/>
      <w:sz w:val="32"/>
      <w:szCs w:val="32"/>
    </w:rPr>
  </w:style>
  <w:style w:type="character" w:styleId="HTMLVariable">
    <w:name w:val="HTML Variable"/>
    <w:semiHidden/>
    <w:rsid w:val="004944A0"/>
    <w:rPr>
      <w:i/>
      <w:iCs/>
    </w:rPr>
  </w:style>
  <w:style w:type="character" w:customStyle="1" w:styleId="SingleTxtGCar">
    <w:name w:val="_ Single Txt_G Car"/>
    <w:link w:val="SingleTxtG"/>
    <w:rsid w:val="004944A0"/>
    <w:rPr>
      <w:lang w:val="es-ES" w:eastAsia="es-ES" w:bidi="ar-SA"/>
    </w:rPr>
  </w:style>
  <w:style w:type="paragraph" w:styleId="BalloonText">
    <w:name w:val="Balloon Text"/>
    <w:basedOn w:val="Normal"/>
    <w:link w:val="BalloonTextChar"/>
    <w:rsid w:val="00CA362A"/>
    <w:pPr>
      <w:spacing w:line="240" w:lineRule="auto"/>
    </w:pPr>
    <w:rPr>
      <w:rFonts w:ascii="Tahoma" w:hAnsi="Tahoma"/>
      <w:sz w:val="16"/>
      <w:szCs w:val="16"/>
      <w:lang w:val="es-ES"/>
    </w:rPr>
  </w:style>
  <w:style w:type="character" w:customStyle="1" w:styleId="BalloonTextChar">
    <w:name w:val="Balloon Text Char"/>
    <w:link w:val="BalloonText"/>
    <w:rsid w:val="00CA362A"/>
    <w:rPr>
      <w:rFonts w:ascii="Tahoma" w:hAnsi="Tahoma" w:cs="Tahoma"/>
      <w:sz w:val="16"/>
      <w:szCs w:val="16"/>
      <w:lang w:val="es-ES" w:eastAsia="es-ES"/>
    </w:rPr>
  </w:style>
  <w:style w:type="paragraph" w:styleId="CommentText">
    <w:name w:val="annotation text"/>
    <w:basedOn w:val="Normal"/>
    <w:link w:val="CommentTextChar"/>
    <w:uiPriority w:val="99"/>
    <w:rsid w:val="00CB147E"/>
    <w:rPr>
      <w:lang w:val="x-none"/>
    </w:rPr>
  </w:style>
  <w:style w:type="character" w:customStyle="1" w:styleId="CommentTextChar">
    <w:name w:val="Comment Text Char"/>
    <w:link w:val="CommentText"/>
    <w:uiPriority w:val="99"/>
    <w:rsid w:val="00CB147E"/>
    <w:rPr>
      <w:lang w:eastAsia="es-ES"/>
    </w:rPr>
  </w:style>
  <w:style w:type="paragraph" w:styleId="CommentSubject">
    <w:name w:val="annotation subject"/>
    <w:basedOn w:val="CommentText"/>
    <w:next w:val="CommentText"/>
    <w:link w:val="CommentSubjectChar"/>
    <w:uiPriority w:val="99"/>
    <w:rsid w:val="00CB147E"/>
    <w:rPr>
      <w:b/>
      <w:bCs/>
    </w:rPr>
  </w:style>
  <w:style w:type="character" w:customStyle="1" w:styleId="CommentSubjectChar">
    <w:name w:val="Comment Subject Char"/>
    <w:link w:val="CommentSubject"/>
    <w:uiPriority w:val="99"/>
    <w:rsid w:val="00CB147E"/>
    <w:rPr>
      <w:b/>
      <w:bCs/>
      <w:lang w:eastAsia="es-ES"/>
    </w:rPr>
  </w:style>
  <w:style w:type="paragraph" w:customStyle="1" w:styleId="LightGrid-Accent31">
    <w:name w:val="Light Grid - Accent 31"/>
    <w:basedOn w:val="Normal"/>
    <w:uiPriority w:val="34"/>
    <w:qFormat/>
    <w:rsid w:val="0026443A"/>
    <w:pPr>
      <w:ind w:left="720"/>
    </w:pPr>
  </w:style>
  <w:style w:type="paragraph" w:customStyle="1" w:styleId="MediumGrid1-Accent21">
    <w:name w:val="Medium Grid 1 - Accent 21"/>
    <w:basedOn w:val="Normal"/>
    <w:uiPriority w:val="34"/>
    <w:qFormat/>
    <w:rsid w:val="00BE39E6"/>
    <w:pPr>
      <w:ind w:left="720"/>
    </w:pPr>
  </w:style>
  <w:style w:type="paragraph" w:customStyle="1" w:styleId="ColorfulList-Accent11">
    <w:name w:val="Colorful List - Accent 11"/>
    <w:basedOn w:val="Normal"/>
    <w:uiPriority w:val="34"/>
    <w:qFormat/>
    <w:rsid w:val="00167446"/>
    <w:pPr>
      <w:ind w:left="720"/>
    </w:pPr>
  </w:style>
  <w:style w:type="paragraph" w:customStyle="1" w:styleId="MediumGrid1-Accent22">
    <w:name w:val="Medium Grid 1 - Accent 22"/>
    <w:basedOn w:val="Normal"/>
    <w:uiPriority w:val="34"/>
    <w:qFormat/>
    <w:rsid w:val="00A258E0"/>
    <w:pPr>
      <w:ind w:left="720"/>
    </w:pPr>
  </w:style>
  <w:style w:type="paragraph" w:customStyle="1" w:styleId="MediumList2-Accent21">
    <w:name w:val="Medium List 2 - Accent 21"/>
    <w:hidden/>
    <w:uiPriority w:val="71"/>
    <w:rsid w:val="00095D28"/>
    <w:rPr>
      <w:lang w:eastAsia="es-ES"/>
    </w:rPr>
  </w:style>
  <w:style w:type="character" w:customStyle="1" w:styleId="HChGChar">
    <w:name w:val="_ H _Ch_G Char"/>
    <w:link w:val="HChG"/>
    <w:rsid w:val="005B2DD7"/>
    <w:rPr>
      <w:b/>
      <w:sz w:val="28"/>
      <w:lang w:eastAsia="es-ES"/>
    </w:rPr>
  </w:style>
  <w:style w:type="character" w:customStyle="1" w:styleId="apple-converted-space">
    <w:name w:val="apple-converted-space"/>
    <w:rsid w:val="00E303B9"/>
  </w:style>
  <w:style w:type="paragraph" w:customStyle="1" w:styleId="Rom1">
    <w:name w:val="Rom1"/>
    <w:basedOn w:val="Normal"/>
    <w:rsid w:val="004E3ACB"/>
    <w:pPr>
      <w:numPr>
        <w:numId w:val="24"/>
      </w:numPr>
      <w:spacing w:after="240" w:line="240" w:lineRule="auto"/>
      <w:ind w:left="1441" w:hanging="590"/>
    </w:pPr>
    <w:rPr>
      <w:sz w:val="24"/>
      <w:lang w:eastAsia="en-US"/>
    </w:rPr>
  </w:style>
  <w:style w:type="paragraph" w:customStyle="1" w:styleId="MediumShading1-Accent11">
    <w:name w:val="Medium Shading 1 - Accent 11"/>
    <w:uiPriority w:val="1"/>
    <w:qFormat/>
    <w:rsid w:val="00574932"/>
    <w:rPr>
      <w:rFonts w:eastAsia="Calibri"/>
      <w:sz w:val="24"/>
      <w:szCs w:val="22"/>
      <w:lang w:val="en-US" w:eastAsia="en-US"/>
    </w:rPr>
  </w:style>
  <w:style w:type="paragraph" w:customStyle="1" w:styleId="Appelnotedebasde">
    <w:name w:val="Appel note de bas de"/>
    <w:aliases w:val="Appel note de bas de page Char Char Char Char Char Char Char Char,Appel note de bas de page Char2 Char Char Char Char Char Char Char Char Char Char,Appel note de bas de page Char1"/>
    <w:basedOn w:val="Normal"/>
    <w:link w:val="FootnoteReference"/>
    <w:uiPriority w:val="99"/>
    <w:rsid w:val="008E50DD"/>
    <w:pPr>
      <w:numPr>
        <w:numId w:val="30"/>
      </w:numPr>
      <w:spacing w:before="120" w:after="120" w:line="240" w:lineRule="auto"/>
      <w:jc w:val="both"/>
    </w:pPr>
    <w:rPr>
      <w:sz w:val="18"/>
      <w:vertAlign w:val="superscript"/>
      <w:lang w:eastAsia="en-GB"/>
    </w:rPr>
  </w:style>
  <w:style w:type="character" w:customStyle="1" w:styleId="SingleTxtGChar">
    <w:name w:val="_ Single Txt_G Char"/>
    <w:rsid w:val="00B6406F"/>
    <w:rPr>
      <w:lang w:eastAsia="en-US"/>
    </w:rPr>
  </w:style>
  <w:style w:type="paragraph" w:styleId="ListParagraph">
    <w:name w:val="List Paragraph"/>
    <w:basedOn w:val="Normal"/>
    <w:uiPriority w:val="34"/>
    <w:qFormat/>
    <w:rsid w:val="00503A4E"/>
    <w:pPr>
      <w:spacing w:after="200" w:line="276" w:lineRule="auto"/>
      <w:ind w:left="720"/>
      <w:contextualSpacing/>
    </w:pPr>
    <w:rPr>
      <w:rFonts w:asciiTheme="minorHAnsi" w:eastAsiaTheme="minorHAnsi" w:hAnsiTheme="minorHAnsi" w:cstheme="minorBidi"/>
      <w:sz w:val="22"/>
      <w:szCs w:val="22"/>
      <w:lang w:val="en-US" w:eastAsia="en-US"/>
    </w:rPr>
  </w:style>
  <w:style w:type="character" w:customStyle="1" w:styleId="sessionsubtitle">
    <w:name w:val="sessionsubtitle"/>
    <w:rsid w:val="00D00A2E"/>
  </w:style>
  <w:style w:type="paragraph" w:styleId="NoSpacing">
    <w:name w:val="No Spacing"/>
    <w:uiPriority w:val="1"/>
    <w:qFormat/>
    <w:rsid w:val="0006494F"/>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98575">
      <w:bodyDiv w:val="1"/>
      <w:marLeft w:val="0"/>
      <w:marRight w:val="0"/>
      <w:marTop w:val="0"/>
      <w:marBottom w:val="0"/>
      <w:divBdr>
        <w:top w:val="none" w:sz="0" w:space="0" w:color="auto"/>
        <w:left w:val="none" w:sz="0" w:space="0" w:color="auto"/>
        <w:bottom w:val="none" w:sz="0" w:space="0" w:color="auto"/>
        <w:right w:val="none" w:sz="0" w:space="0" w:color="auto"/>
      </w:divBdr>
    </w:div>
    <w:div w:id="159856920">
      <w:bodyDiv w:val="1"/>
      <w:marLeft w:val="0"/>
      <w:marRight w:val="0"/>
      <w:marTop w:val="0"/>
      <w:marBottom w:val="0"/>
      <w:divBdr>
        <w:top w:val="none" w:sz="0" w:space="0" w:color="auto"/>
        <w:left w:val="none" w:sz="0" w:space="0" w:color="auto"/>
        <w:bottom w:val="none" w:sz="0" w:space="0" w:color="auto"/>
        <w:right w:val="none" w:sz="0" w:space="0" w:color="auto"/>
      </w:divBdr>
    </w:div>
    <w:div w:id="320274701">
      <w:bodyDiv w:val="1"/>
      <w:marLeft w:val="0"/>
      <w:marRight w:val="0"/>
      <w:marTop w:val="0"/>
      <w:marBottom w:val="0"/>
      <w:divBdr>
        <w:top w:val="none" w:sz="0" w:space="0" w:color="auto"/>
        <w:left w:val="none" w:sz="0" w:space="0" w:color="auto"/>
        <w:bottom w:val="none" w:sz="0" w:space="0" w:color="auto"/>
        <w:right w:val="none" w:sz="0" w:space="0" w:color="auto"/>
      </w:divBdr>
      <w:divsChild>
        <w:div w:id="1840655857">
          <w:marLeft w:val="0"/>
          <w:marRight w:val="0"/>
          <w:marTop w:val="0"/>
          <w:marBottom w:val="0"/>
          <w:divBdr>
            <w:top w:val="none" w:sz="0" w:space="0" w:color="auto"/>
            <w:left w:val="none" w:sz="0" w:space="0" w:color="auto"/>
            <w:bottom w:val="none" w:sz="0" w:space="0" w:color="auto"/>
            <w:right w:val="none" w:sz="0" w:space="0" w:color="auto"/>
          </w:divBdr>
          <w:divsChild>
            <w:div w:id="52967457">
              <w:marLeft w:val="0"/>
              <w:marRight w:val="0"/>
              <w:marTop w:val="0"/>
              <w:marBottom w:val="0"/>
              <w:divBdr>
                <w:top w:val="none" w:sz="0" w:space="0" w:color="auto"/>
                <w:left w:val="none" w:sz="0" w:space="0" w:color="auto"/>
                <w:bottom w:val="none" w:sz="0" w:space="0" w:color="auto"/>
                <w:right w:val="none" w:sz="0" w:space="0" w:color="auto"/>
              </w:divBdr>
              <w:divsChild>
                <w:div w:id="601181670">
                  <w:marLeft w:val="0"/>
                  <w:marRight w:val="0"/>
                  <w:marTop w:val="0"/>
                  <w:marBottom w:val="0"/>
                  <w:divBdr>
                    <w:top w:val="none" w:sz="0" w:space="0" w:color="auto"/>
                    <w:left w:val="none" w:sz="0" w:space="0" w:color="auto"/>
                    <w:bottom w:val="none" w:sz="0" w:space="0" w:color="auto"/>
                    <w:right w:val="none" w:sz="0" w:space="0" w:color="auto"/>
                  </w:divBdr>
                  <w:divsChild>
                    <w:div w:id="48963457">
                      <w:marLeft w:val="0"/>
                      <w:marRight w:val="0"/>
                      <w:marTop w:val="0"/>
                      <w:marBottom w:val="0"/>
                      <w:divBdr>
                        <w:top w:val="none" w:sz="0" w:space="0" w:color="auto"/>
                        <w:left w:val="none" w:sz="0" w:space="0" w:color="auto"/>
                        <w:bottom w:val="none" w:sz="0" w:space="0" w:color="auto"/>
                        <w:right w:val="none" w:sz="0" w:space="0" w:color="auto"/>
                      </w:divBdr>
                      <w:divsChild>
                        <w:div w:id="956645938">
                          <w:marLeft w:val="0"/>
                          <w:marRight w:val="0"/>
                          <w:marTop w:val="0"/>
                          <w:marBottom w:val="0"/>
                          <w:divBdr>
                            <w:top w:val="none" w:sz="0" w:space="0" w:color="auto"/>
                            <w:left w:val="none" w:sz="0" w:space="0" w:color="auto"/>
                            <w:bottom w:val="none" w:sz="0" w:space="0" w:color="auto"/>
                            <w:right w:val="none" w:sz="0" w:space="0" w:color="auto"/>
                          </w:divBdr>
                          <w:divsChild>
                            <w:div w:id="717826009">
                              <w:marLeft w:val="0"/>
                              <w:marRight w:val="0"/>
                              <w:marTop w:val="0"/>
                              <w:marBottom w:val="0"/>
                              <w:divBdr>
                                <w:top w:val="none" w:sz="0" w:space="0" w:color="auto"/>
                                <w:left w:val="none" w:sz="0" w:space="0" w:color="auto"/>
                                <w:bottom w:val="none" w:sz="0" w:space="0" w:color="auto"/>
                                <w:right w:val="none" w:sz="0" w:space="0" w:color="auto"/>
                              </w:divBdr>
                              <w:divsChild>
                                <w:div w:id="468206074">
                                  <w:marLeft w:val="0"/>
                                  <w:marRight w:val="0"/>
                                  <w:marTop w:val="0"/>
                                  <w:marBottom w:val="0"/>
                                  <w:divBdr>
                                    <w:top w:val="none" w:sz="0" w:space="0" w:color="auto"/>
                                    <w:left w:val="none" w:sz="0" w:space="0" w:color="auto"/>
                                    <w:bottom w:val="none" w:sz="0" w:space="0" w:color="auto"/>
                                    <w:right w:val="none" w:sz="0" w:space="0" w:color="auto"/>
                                  </w:divBdr>
                                  <w:divsChild>
                                    <w:div w:id="225529825">
                                      <w:marLeft w:val="0"/>
                                      <w:marRight w:val="0"/>
                                      <w:marTop w:val="0"/>
                                      <w:marBottom w:val="0"/>
                                      <w:divBdr>
                                        <w:top w:val="none" w:sz="0" w:space="0" w:color="auto"/>
                                        <w:left w:val="none" w:sz="0" w:space="0" w:color="auto"/>
                                        <w:bottom w:val="none" w:sz="0" w:space="0" w:color="auto"/>
                                        <w:right w:val="none" w:sz="0" w:space="0" w:color="auto"/>
                                      </w:divBdr>
                                      <w:divsChild>
                                        <w:div w:id="1552227290">
                                          <w:marLeft w:val="0"/>
                                          <w:marRight w:val="0"/>
                                          <w:marTop w:val="0"/>
                                          <w:marBottom w:val="0"/>
                                          <w:divBdr>
                                            <w:top w:val="none" w:sz="0" w:space="0" w:color="auto"/>
                                            <w:left w:val="none" w:sz="0" w:space="0" w:color="auto"/>
                                            <w:bottom w:val="none" w:sz="0" w:space="0" w:color="auto"/>
                                            <w:right w:val="none" w:sz="0" w:space="0" w:color="auto"/>
                                          </w:divBdr>
                                          <w:divsChild>
                                            <w:div w:id="892619043">
                                              <w:marLeft w:val="0"/>
                                              <w:marRight w:val="0"/>
                                              <w:marTop w:val="0"/>
                                              <w:marBottom w:val="0"/>
                                              <w:divBdr>
                                                <w:top w:val="none" w:sz="0" w:space="0" w:color="auto"/>
                                                <w:left w:val="none" w:sz="0" w:space="0" w:color="auto"/>
                                                <w:bottom w:val="none" w:sz="0" w:space="0" w:color="auto"/>
                                                <w:right w:val="none" w:sz="0" w:space="0" w:color="auto"/>
                                              </w:divBdr>
                                              <w:divsChild>
                                                <w:div w:id="517963706">
                                                  <w:marLeft w:val="0"/>
                                                  <w:marRight w:val="0"/>
                                                  <w:marTop w:val="0"/>
                                                  <w:marBottom w:val="360"/>
                                                  <w:divBdr>
                                                    <w:top w:val="none" w:sz="0" w:space="0" w:color="auto"/>
                                                    <w:left w:val="none" w:sz="0" w:space="0" w:color="auto"/>
                                                    <w:bottom w:val="dotted" w:sz="6" w:space="18" w:color="CCCCCC"/>
                                                    <w:right w:val="none" w:sz="0" w:space="0" w:color="auto"/>
                                                  </w:divBdr>
                                                  <w:divsChild>
                                                    <w:div w:id="163691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0344560">
      <w:bodyDiv w:val="1"/>
      <w:marLeft w:val="0"/>
      <w:marRight w:val="0"/>
      <w:marTop w:val="0"/>
      <w:marBottom w:val="0"/>
      <w:divBdr>
        <w:top w:val="none" w:sz="0" w:space="0" w:color="auto"/>
        <w:left w:val="none" w:sz="0" w:space="0" w:color="auto"/>
        <w:bottom w:val="none" w:sz="0" w:space="0" w:color="auto"/>
        <w:right w:val="none" w:sz="0" w:space="0" w:color="auto"/>
      </w:divBdr>
    </w:div>
    <w:div w:id="586693846">
      <w:bodyDiv w:val="1"/>
      <w:marLeft w:val="0"/>
      <w:marRight w:val="0"/>
      <w:marTop w:val="0"/>
      <w:marBottom w:val="0"/>
      <w:divBdr>
        <w:top w:val="none" w:sz="0" w:space="0" w:color="auto"/>
        <w:left w:val="none" w:sz="0" w:space="0" w:color="auto"/>
        <w:bottom w:val="none" w:sz="0" w:space="0" w:color="auto"/>
        <w:right w:val="none" w:sz="0" w:space="0" w:color="auto"/>
      </w:divBdr>
    </w:div>
    <w:div w:id="652216338">
      <w:bodyDiv w:val="1"/>
      <w:marLeft w:val="0"/>
      <w:marRight w:val="0"/>
      <w:marTop w:val="0"/>
      <w:marBottom w:val="0"/>
      <w:divBdr>
        <w:top w:val="none" w:sz="0" w:space="0" w:color="auto"/>
        <w:left w:val="none" w:sz="0" w:space="0" w:color="auto"/>
        <w:bottom w:val="none" w:sz="0" w:space="0" w:color="auto"/>
        <w:right w:val="none" w:sz="0" w:space="0" w:color="auto"/>
      </w:divBdr>
    </w:div>
    <w:div w:id="928387123">
      <w:bodyDiv w:val="1"/>
      <w:marLeft w:val="0"/>
      <w:marRight w:val="0"/>
      <w:marTop w:val="0"/>
      <w:marBottom w:val="0"/>
      <w:divBdr>
        <w:top w:val="none" w:sz="0" w:space="0" w:color="auto"/>
        <w:left w:val="none" w:sz="0" w:space="0" w:color="auto"/>
        <w:bottom w:val="none" w:sz="0" w:space="0" w:color="auto"/>
        <w:right w:val="none" w:sz="0" w:space="0" w:color="auto"/>
      </w:divBdr>
      <w:divsChild>
        <w:div w:id="277680928">
          <w:marLeft w:val="0"/>
          <w:marRight w:val="0"/>
          <w:marTop w:val="0"/>
          <w:marBottom w:val="0"/>
          <w:divBdr>
            <w:top w:val="none" w:sz="0" w:space="0" w:color="auto"/>
            <w:left w:val="none" w:sz="0" w:space="0" w:color="auto"/>
            <w:bottom w:val="none" w:sz="0" w:space="0" w:color="auto"/>
            <w:right w:val="none" w:sz="0" w:space="0" w:color="auto"/>
          </w:divBdr>
          <w:divsChild>
            <w:div w:id="1973946736">
              <w:marLeft w:val="0"/>
              <w:marRight w:val="0"/>
              <w:marTop w:val="0"/>
              <w:marBottom w:val="0"/>
              <w:divBdr>
                <w:top w:val="none" w:sz="0" w:space="0" w:color="auto"/>
                <w:left w:val="none" w:sz="0" w:space="0" w:color="auto"/>
                <w:bottom w:val="none" w:sz="0" w:space="0" w:color="auto"/>
                <w:right w:val="none" w:sz="0" w:space="0" w:color="auto"/>
              </w:divBdr>
              <w:divsChild>
                <w:div w:id="53049229">
                  <w:marLeft w:val="0"/>
                  <w:marRight w:val="0"/>
                  <w:marTop w:val="0"/>
                  <w:marBottom w:val="0"/>
                  <w:divBdr>
                    <w:top w:val="none" w:sz="0" w:space="0" w:color="auto"/>
                    <w:left w:val="none" w:sz="0" w:space="0" w:color="auto"/>
                    <w:bottom w:val="none" w:sz="0" w:space="0" w:color="auto"/>
                    <w:right w:val="none" w:sz="0" w:space="0" w:color="auto"/>
                  </w:divBdr>
                  <w:divsChild>
                    <w:div w:id="1652908646">
                      <w:marLeft w:val="0"/>
                      <w:marRight w:val="0"/>
                      <w:marTop w:val="0"/>
                      <w:marBottom w:val="0"/>
                      <w:divBdr>
                        <w:top w:val="none" w:sz="0" w:space="0" w:color="auto"/>
                        <w:left w:val="none" w:sz="0" w:space="0" w:color="auto"/>
                        <w:bottom w:val="none" w:sz="0" w:space="0" w:color="auto"/>
                        <w:right w:val="none" w:sz="0" w:space="0" w:color="auto"/>
                      </w:divBdr>
                      <w:divsChild>
                        <w:div w:id="1467430304">
                          <w:marLeft w:val="0"/>
                          <w:marRight w:val="0"/>
                          <w:marTop w:val="0"/>
                          <w:marBottom w:val="0"/>
                          <w:divBdr>
                            <w:top w:val="none" w:sz="0" w:space="0" w:color="auto"/>
                            <w:left w:val="none" w:sz="0" w:space="0" w:color="auto"/>
                            <w:bottom w:val="none" w:sz="0" w:space="0" w:color="auto"/>
                            <w:right w:val="none" w:sz="0" w:space="0" w:color="auto"/>
                          </w:divBdr>
                          <w:divsChild>
                            <w:div w:id="1310406866">
                              <w:marLeft w:val="-75"/>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45"/>
                                  <w:marBottom w:val="0"/>
                                  <w:divBdr>
                                    <w:top w:val="none" w:sz="0" w:space="0" w:color="auto"/>
                                    <w:left w:val="none" w:sz="0" w:space="0" w:color="auto"/>
                                    <w:bottom w:val="none" w:sz="0" w:space="0" w:color="auto"/>
                                    <w:right w:val="none" w:sz="0" w:space="0" w:color="auto"/>
                                  </w:divBdr>
                                  <w:divsChild>
                                    <w:div w:id="1282608125">
                                      <w:marLeft w:val="0"/>
                                      <w:marRight w:val="0"/>
                                      <w:marTop w:val="0"/>
                                      <w:marBottom w:val="0"/>
                                      <w:divBdr>
                                        <w:top w:val="none" w:sz="0" w:space="0" w:color="auto"/>
                                        <w:left w:val="none" w:sz="0" w:space="0" w:color="auto"/>
                                        <w:bottom w:val="none" w:sz="0" w:space="0" w:color="auto"/>
                                        <w:right w:val="none" w:sz="0" w:space="0" w:color="auto"/>
                                      </w:divBdr>
                                      <w:divsChild>
                                        <w:div w:id="506601386">
                                          <w:marLeft w:val="0"/>
                                          <w:marRight w:val="0"/>
                                          <w:marTop w:val="0"/>
                                          <w:marBottom w:val="0"/>
                                          <w:divBdr>
                                            <w:top w:val="none" w:sz="0" w:space="0" w:color="auto"/>
                                            <w:left w:val="none" w:sz="0" w:space="0" w:color="auto"/>
                                            <w:bottom w:val="none" w:sz="0" w:space="0" w:color="auto"/>
                                            <w:right w:val="none" w:sz="0" w:space="0" w:color="auto"/>
                                          </w:divBdr>
                                          <w:divsChild>
                                            <w:div w:id="159535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3843526">
      <w:bodyDiv w:val="1"/>
      <w:marLeft w:val="0"/>
      <w:marRight w:val="0"/>
      <w:marTop w:val="0"/>
      <w:marBottom w:val="0"/>
      <w:divBdr>
        <w:top w:val="none" w:sz="0" w:space="0" w:color="auto"/>
        <w:left w:val="none" w:sz="0" w:space="0" w:color="auto"/>
        <w:bottom w:val="none" w:sz="0" w:space="0" w:color="auto"/>
        <w:right w:val="none" w:sz="0" w:space="0" w:color="auto"/>
      </w:divBdr>
    </w:div>
    <w:div w:id="1115252397">
      <w:bodyDiv w:val="1"/>
      <w:marLeft w:val="0"/>
      <w:marRight w:val="0"/>
      <w:marTop w:val="0"/>
      <w:marBottom w:val="0"/>
      <w:divBdr>
        <w:top w:val="none" w:sz="0" w:space="0" w:color="auto"/>
        <w:left w:val="none" w:sz="0" w:space="0" w:color="auto"/>
        <w:bottom w:val="none" w:sz="0" w:space="0" w:color="auto"/>
        <w:right w:val="none" w:sz="0" w:space="0" w:color="auto"/>
      </w:divBdr>
    </w:div>
    <w:div w:id="1266692037">
      <w:bodyDiv w:val="1"/>
      <w:marLeft w:val="0"/>
      <w:marRight w:val="0"/>
      <w:marTop w:val="0"/>
      <w:marBottom w:val="0"/>
      <w:divBdr>
        <w:top w:val="none" w:sz="0" w:space="0" w:color="auto"/>
        <w:left w:val="none" w:sz="0" w:space="0" w:color="auto"/>
        <w:bottom w:val="none" w:sz="0" w:space="0" w:color="auto"/>
        <w:right w:val="none" w:sz="0" w:space="0" w:color="auto"/>
      </w:divBdr>
      <w:divsChild>
        <w:div w:id="69889792">
          <w:marLeft w:val="0"/>
          <w:marRight w:val="0"/>
          <w:marTop w:val="0"/>
          <w:marBottom w:val="0"/>
          <w:divBdr>
            <w:top w:val="none" w:sz="0" w:space="0" w:color="auto"/>
            <w:left w:val="none" w:sz="0" w:space="0" w:color="auto"/>
            <w:bottom w:val="none" w:sz="0" w:space="0" w:color="auto"/>
            <w:right w:val="none" w:sz="0" w:space="0" w:color="auto"/>
          </w:divBdr>
          <w:divsChild>
            <w:div w:id="149587702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18285623">
      <w:bodyDiv w:val="1"/>
      <w:marLeft w:val="0"/>
      <w:marRight w:val="0"/>
      <w:marTop w:val="0"/>
      <w:marBottom w:val="0"/>
      <w:divBdr>
        <w:top w:val="none" w:sz="0" w:space="0" w:color="auto"/>
        <w:left w:val="none" w:sz="0" w:space="0" w:color="auto"/>
        <w:bottom w:val="none" w:sz="0" w:space="0" w:color="auto"/>
        <w:right w:val="none" w:sz="0" w:space="0" w:color="auto"/>
      </w:divBdr>
    </w:div>
    <w:div w:id="1599018468">
      <w:bodyDiv w:val="1"/>
      <w:marLeft w:val="0"/>
      <w:marRight w:val="0"/>
      <w:marTop w:val="0"/>
      <w:marBottom w:val="0"/>
      <w:divBdr>
        <w:top w:val="none" w:sz="0" w:space="0" w:color="auto"/>
        <w:left w:val="none" w:sz="0" w:space="0" w:color="auto"/>
        <w:bottom w:val="none" w:sz="0" w:space="0" w:color="auto"/>
        <w:right w:val="none" w:sz="0" w:space="0" w:color="auto"/>
      </w:divBdr>
    </w:div>
    <w:div w:id="1646809871">
      <w:bodyDiv w:val="1"/>
      <w:marLeft w:val="0"/>
      <w:marRight w:val="0"/>
      <w:marTop w:val="0"/>
      <w:marBottom w:val="0"/>
      <w:divBdr>
        <w:top w:val="none" w:sz="0" w:space="0" w:color="auto"/>
        <w:left w:val="none" w:sz="0" w:space="0" w:color="auto"/>
        <w:bottom w:val="none" w:sz="0" w:space="0" w:color="auto"/>
        <w:right w:val="none" w:sz="0" w:space="0" w:color="auto"/>
      </w:divBdr>
    </w:div>
    <w:div w:id="1863666937">
      <w:bodyDiv w:val="1"/>
      <w:marLeft w:val="0"/>
      <w:marRight w:val="0"/>
      <w:marTop w:val="0"/>
      <w:marBottom w:val="0"/>
      <w:divBdr>
        <w:top w:val="none" w:sz="0" w:space="0" w:color="auto"/>
        <w:left w:val="none" w:sz="0" w:space="0" w:color="auto"/>
        <w:bottom w:val="none" w:sz="0" w:space="0" w:color="auto"/>
        <w:right w:val="none" w:sz="0" w:space="0" w:color="auto"/>
      </w:divBdr>
      <w:divsChild>
        <w:div w:id="1340235075">
          <w:marLeft w:val="0"/>
          <w:marRight w:val="0"/>
          <w:marTop w:val="0"/>
          <w:marBottom w:val="0"/>
          <w:divBdr>
            <w:top w:val="none" w:sz="0" w:space="0" w:color="auto"/>
            <w:left w:val="none" w:sz="0" w:space="0" w:color="auto"/>
            <w:bottom w:val="none" w:sz="0" w:space="0" w:color="auto"/>
            <w:right w:val="none" w:sz="0" w:space="0" w:color="auto"/>
          </w:divBdr>
          <w:divsChild>
            <w:div w:id="17774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15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wmf"/><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1516A4EED0F7449235F56463318FBF" ma:contentTypeVersion="2" ma:contentTypeDescription="Create a new document." ma:contentTypeScope="" ma:versionID="f59e815dde979776f4b2f4cd557ad86b">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B6A920C-CCAE-40FE-82B3-C4F6A8C0DF3F}"/>
</file>

<file path=customXml/itemProps2.xml><?xml version="1.0" encoding="utf-8"?>
<ds:datastoreItem xmlns:ds="http://schemas.openxmlformats.org/officeDocument/2006/customXml" ds:itemID="{21FC90BE-3EDA-4090-81DA-E2718E4DB74B}"/>
</file>

<file path=customXml/itemProps3.xml><?xml version="1.0" encoding="utf-8"?>
<ds:datastoreItem xmlns:ds="http://schemas.openxmlformats.org/officeDocument/2006/customXml" ds:itemID="{9F0CF44B-DEC0-4E33-B250-C615BC9EFDF5}"/>
</file>

<file path=customXml/itemProps4.xml><?xml version="1.0" encoding="utf-8"?>
<ds:datastoreItem xmlns:ds="http://schemas.openxmlformats.org/officeDocument/2006/customXml" ds:itemID="{9CF07C1C-AB35-46A8-B08A-FFB7AC85CC7D}"/>
</file>

<file path=customXml/itemProps5.xml><?xml version="1.0" encoding="utf-8"?>
<ds:datastoreItem xmlns:ds="http://schemas.openxmlformats.org/officeDocument/2006/customXml" ds:itemID="{613C9FAB-9B8A-42E6-9123-B0C467566751}"/>
</file>

<file path=docProps/app.xml><?xml version="1.0" encoding="utf-8"?>
<Properties xmlns="http://schemas.openxmlformats.org/officeDocument/2006/extended-properties" xmlns:vt="http://schemas.openxmlformats.org/officeDocument/2006/docPropsVTypes">
  <Template>8A4C24E5.dotm</Template>
  <TotalTime>1</TotalTime>
  <Pages>9</Pages>
  <Words>4243</Words>
  <Characters>24189</Characters>
  <Application>Microsoft Office Word</Application>
  <DocSecurity>4</DocSecurity>
  <Lines>201</Lines>
  <Paragraphs>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1616086</vt:lpstr>
      <vt:lpstr>Report of the Special Rapporteur in the field of cultural rights, Farida Shaheed - Copyright policy and the right to science and culture - Addendum - Mission to Viet Nam in English</vt:lpstr>
    </vt:vector>
  </TitlesOfParts>
  <Company>CSD</Company>
  <LinksUpToDate>false</LinksUpToDate>
  <CharactersWithSpaces>28376</CharactersWithSpaces>
  <SharedDoc>false</SharedDoc>
  <HLinks>
    <vt:vector size="24" baseType="variant">
      <vt:variant>
        <vt:i4>2097205</vt:i4>
      </vt:variant>
      <vt:variant>
        <vt:i4>9</vt:i4>
      </vt:variant>
      <vt:variant>
        <vt:i4>0</vt:i4>
      </vt:variant>
      <vt:variant>
        <vt:i4>5</vt:i4>
      </vt:variant>
      <vt:variant>
        <vt:lpwstr>http://www.osisa.org/indigenous-peoples/botswana/botswana-accepts-san-indigenous-okavango-delta</vt:lpwstr>
      </vt:variant>
      <vt:variant>
        <vt:lpwstr/>
      </vt:variant>
      <vt:variant>
        <vt:i4>5767249</vt:i4>
      </vt:variant>
      <vt:variant>
        <vt:i4>6</vt:i4>
      </vt:variant>
      <vt:variant>
        <vt:i4>0</vt:i4>
      </vt:variant>
      <vt:variant>
        <vt:i4>5</vt:i4>
      </vt:variant>
      <vt:variant>
        <vt:lpwstr>https://www.iucn.org/?16018/Iconic-Okavango-Delta-becomes-1000th-World-Heritage-site</vt:lpwstr>
      </vt:variant>
      <vt:variant>
        <vt:lpwstr/>
      </vt:variant>
      <vt:variant>
        <vt:i4>5111828</vt:i4>
      </vt:variant>
      <vt:variant>
        <vt:i4>3</vt:i4>
      </vt:variant>
      <vt:variant>
        <vt:i4>0</vt:i4>
      </vt:variant>
      <vt:variant>
        <vt:i4>5</vt:i4>
      </vt:variant>
      <vt:variant>
        <vt:lpwstr>http://www.vision2016.co.ba/</vt:lpwstr>
      </vt:variant>
      <vt:variant>
        <vt:lpwstr/>
      </vt:variant>
      <vt:variant>
        <vt:i4>7471214</vt:i4>
      </vt:variant>
      <vt:variant>
        <vt:i4>0</vt:i4>
      </vt:variant>
      <vt:variant>
        <vt:i4>0</vt:i4>
      </vt:variant>
      <vt:variant>
        <vt:i4>5</vt:i4>
      </vt:variant>
      <vt:variant>
        <vt:lpwstr>http://www.refworld.org/pdfid/496dc0c82.pdf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the rights of indigenous peoples - Addendum commenty by Brazil in English</dc:title>
  <dc:subject>A/HRC/33/42/Add.5</dc:subject>
  <dc:creator>Paloma Diego-Fernandez</dc:creator>
  <cp:lastModifiedBy>Iuliia Somova</cp:lastModifiedBy>
  <cp:revision>2</cp:revision>
  <cp:lastPrinted>2016-07-25T12:48:00Z</cp:lastPrinted>
  <dcterms:created xsi:type="dcterms:W3CDTF">2016-09-19T12:58:00Z</dcterms:created>
  <dcterms:modified xsi:type="dcterms:W3CDTF">2016-09-19T12:58:00Z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display_urn:schemas-microsoft-com:office:office#Author">
    <vt:lpwstr>System Account</vt:lpwstr>
  </property>
  <property fmtid="{D5CDD505-2E9C-101B-9397-08002B2CF9AE}" pid="6" name="TemplateUrl">
    <vt:lpwstr/>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ntentTypeId">
    <vt:lpwstr>0x010100881516A4EED0F7449235F56463318FBF</vt:lpwstr>
  </property>
  <property fmtid="{D5CDD505-2E9C-101B-9397-08002B2CF9AE}" pid="11" name="Order">
    <vt:r8>5500</vt:r8>
  </property>
</Properties>
</file>