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0F2AE2" w:rsidP="000F2AE2">
            <w:pPr>
              <w:jc w:val="right"/>
            </w:pPr>
            <w:r w:rsidRPr="000F2AE2">
              <w:rPr>
                <w:sz w:val="40"/>
              </w:rPr>
              <w:t>A</w:t>
            </w:r>
            <w:r>
              <w:t>/HRC/33/9/Add.1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196AF6" w:rsidP="00EF5BDB">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rsidR="003107FA" w:rsidRDefault="000F2AE2" w:rsidP="000F2AE2">
            <w:pPr>
              <w:spacing w:before="240" w:line="240" w:lineRule="exact"/>
            </w:pPr>
            <w:r>
              <w:t>Distr.: General</w:t>
            </w:r>
          </w:p>
          <w:p w:rsidR="000F2AE2" w:rsidRDefault="001035C1" w:rsidP="000F2AE2">
            <w:pPr>
              <w:spacing w:line="240" w:lineRule="exact"/>
            </w:pPr>
            <w:r>
              <w:t>1</w:t>
            </w:r>
            <w:r w:rsidR="00DA0BCF">
              <w:t>6</w:t>
            </w:r>
            <w:r w:rsidR="000F2AE2">
              <w:t xml:space="preserve"> September2016</w:t>
            </w:r>
          </w:p>
          <w:p w:rsidR="000F2AE2" w:rsidRDefault="000F2AE2" w:rsidP="000F2AE2">
            <w:pPr>
              <w:spacing w:line="240" w:lineRule="exact"/>
            </w:pPr>
          </w:p>
          <w:p w:rsidR="000F2AE2" w:rsidRDefault="000F2AE2" w:rsidP="000F2AE2">
            <w:pPr>
              <w:spacing w:line="240" w:lineRule="exact"/>
            </w:pPr>
            <w:r>
              <w:t>Original: English</w:t>
            </w:r>
          </w:p>
        </w:tc>
      </w:tr>
    </w:tbl>
    <w:p w:rsidR="000F2AE2" w:rsidRPr="00C267F4" w:rsidRDefault="000F2AE2" w:rsidP="000F2AE2">
      <w:pPr>
        <w:rPr>
          <w:b/>
          <w:bCs/>
          <w:sz w:val="24"/>
          <w:szCs w:val="24"/>
        </w:rPr>
      </w:pPr>
      <w:r w:rsidRPr="00C267F4">
        <w:rPr>
          <w:b/>
          <w:bCs/>
          <w:sz w:val="24"/>
          <w:szCs w:val="24"/>
        </w:rPr>
        <w:t>Human Rights Council</w:t>
      </w:r>
      <w:r w:rsidR="005A1970">
        <w:rPr>
          <w:noProof/>
          <w:lang w:eastAsia="ja-JP"/>
        </w:rPr>
        <mc:AlternateContent>
          <mc:Choice Requires="wps">
            <w:drawing>
              <wp:anchor distT="0" distB="0" distL="114300" distR="114300" simplePos="0" relativeHeight="251659264" behindDoc="0" locked="0" layoutInCell="1" allowOverlap="0">
                <wp:simplePos x="0" y="0"/>
                <wp:positionH relativeFrom="margin">
                  <wp:posOffset>5489575</wp:posOffset>
                </wp:positionH>
                <wp:positionV relativeFrom="margin">
                  <wp:posOffset>8027670</wp:posOffset>
                </wp:positionV>
                <wp:extent cx="638175" cy="638175"/>
                <wp:effectExtent l="0" t="0" r="0" b="9525"/>
                <wp:wrapNone/>
                <wp:docPr id="2" name="Picture 1"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icture 1"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" o:allowoverlap="f" filled="f" stroked="f">
                <o:lock v:ext="edit" aspectratio="t"/>
                <w10:wrap anchorx="margin" anchory="margin"/>
              </v:rect>
            </w:pict>
          </mc:Fallback>
        </mc:AlternateContent>
      </w:r>
    </w:p>
    <w:p w:rsidR="000F2AE2" w:rsidRPr="00C267F4" w:rsidRDefault="000F2AE2" w:rsidP="000F2AE2">
      <w:pPr>
        <w:rPr>
          <w:b/>
          <w:bCs/>
        </w:rPr>
      </w:pPr>
      <w:r w:rsidRPr="00C267F4">
        <w:rPr>
          <w:b/>
          <w:bCs/>
        </w:rPr>
        <w:t>Thirty-</w:t>
      </w:r>
      <w:r>
        <w:rPr>
          <w:b/>
          <w:bCs/>
        </w:rPr>
        <w:t>third</w:t>
      </w:r>
      <w:r w:rsidRPr="00C267F4">
        <w:rPr>
          <w:b/>
          <w:bCs/>
        </w:rPr>
        <w:t xml:space="preserve"> </w:t>
      </w:r>
      <w:proofErr w:type="gramStart"/>
      <w:r w:rsidRPr="00C267F4">
        <w:rPr>
          <w:b/>
          <w:bCs/>
        </w:rPr>
        <w:t>session</w:t>
      </w:r>
      <w:proofErr w:type="gramEnd"/>
    </w:p>
    <w:p w:rsidR="000F2AE2" w:rsidRPr="00C267F4" w:rsidRDefault="000F2AE2" w:rsidP="000F2AE2">
      <w:r w:rsidRPr="00C267F4">
        <w:t>Agenda item 6</w:t>
      </w:r>
    </w:p>
    <w:p w:rsidR="000F2AE2" w:rsidRPr="00C267F4" w:rsidRDefault="000F2AE2" w:rsidP="000F2AE2">
      <w:pPr>
        <w:rPr>
          <w:b/>
        </w:rPr>
      </w:pPr>
      <w:r w:rsidRPr="00C267F4">
        <w:rPr>
          <w:b/>
        </w:rPr>
        <w:t>Universal Periodic Review</w:t>
      </w:r>
    </w:p>
    <w:p w:rsidR="000F2AE2" w:rsidRPr="00C267F4" w:rsidRDefault="000F2AE2" w:rsidP="00DA0BCF">
      <w:pPr>
        <w:pStyle w:val="HChG"/>
      </w:pPr>
      <w:r w:rsidRPr="00C267F4">
        <w:tab/>
      </w:r>
      <w:r w:rsidRPr="00C267F4">
        <w:tab/>
        <w:t>Report of the Working Group on the Universal Periodic Review</w:t>
      </w:r>
      <w:r w:rsidRPr="00C267F4">
        <w:rPr>
          <w:vertAlign w:val="superscript"/>
        </w:rPr>
        <w:footnoteReference w:customMarkFollows="1" w:id="2"/>
        <w:t>*</w:t>
      </w:r>
    </w:p>
    <w:p w:rsidR="000F2AE2" w:rsidRPr="00C267F4" w:rsidRDefault="000F2AE2" w:rsidP="000F2AE2">
      <w:pPr>
        <w:keepNext/>
        <w:keepLines/>
        <w:tabs>
          <w:tab w:val="right" w:pos="851"/>
        </w:tabs>
        <w:spacing w:before="360" w:after="240" w:line="300" w:lineRule="exact"/>
        <w:ind w:left="1134" w:right="1134" w:hanging="1134"/>
        <w:rPr>
          <w:b/>
          <w:sz w:val="28"/>
        </w:rPr>
      </w:pPr>
      <w:r>
        <w:rPr>
          <w:b/>
          <w:sz w:val="28"/>
        </w:rPr>
        <w:tab/>
      </w:r>
      <w:r>
        <w:rPr>
          <w:b/>
          <w:sz w:val="28"/>
        </w:rPr>
        <w:tab/>
        <w:t>Hungary</w:t>
      </w:r>
    </w:p>
    <w:p w:rsidR="000F2AE2" w:rsidRPr="00C267F4" w:rsidRDefault="000F2AE2" w:rsidP="00DA0BCF">
      <w:pPr>
        <w:pStyle w:val="H23G"/>
      </w:pPr>
      <w:r w:rsidRPr="00C267F4">
        <w:tab/>
      </w:r>
      <w:r w:rsidRPr="00C267F4">
        <w:tab/>
        <w:t>Addendum</w:t>
      </w:r>
    </w:p>
    <w:p w:rsidR="000F2AE2" w:rsidRPr="00C267F4" w:rsidRDefault="000F2AE2" w:rsidP="00DA0BCF">
      <w:pPr>
        <w:pStyle w:val="H1G"/>
      </w:pPr>
      <w:r w:rsidRPr="00C267F4">
        <w:tab/>
      </w:r>
      <w:r w:rsidRPr="00C267F4">
        <w:tab/>
        <w:t>Views on conclusions and/or recommendations, voluntary commitments and replies presented by the State under review</w:t>
      </w:r>
    </w:p>
    <w:p w:rsidR="00974459" w:rsidRPr="00974459" w:rsidRDefault="000F2AE2" w:rsidP="00974459">
      <w:pPr>
        <w:pStyle w:val="SingleTxtG"/>
      </w:pPr>
      <w:r w:rsidRPr="00C267F4">
        <w:br w:type="page"/>
      </w:r>
      <w:r w:rsidR="00974459">
        <w:lastRenderedPageBreak/>
        <w:t>1.</w:t>
      </w:r>
      <w:r w:rsidR="00974459">
        <w:tab/>
      </w:r>
      <w:r w:rsidR="00974459" w:rsidRPr="00974459">
        <w:t xml:space="preserve">The Government of Hungary would like to thank the States for the constructive contributions and the 221 recommendations put forward during the second UPR of Hungary on 4 May 2016 which </w:t>
      </w:r>
      <w:proofErr w:type="gramStart"/>
      <w:r w:rsidR="00974459" w:rsidRPr="00974459">
        <w:t>have</w:t>
      </w:r>
      <w:proofErr w:type="gramEnd"/>
      <w:r w:rsidR="00974459" w:rsidRPr="00974459">
        <w:t xml:space="preserve"> been examined by the Government; the result of this process is presented thematically clustered in this Addendum as follows, tog</w:t>
      </w:r>
      <w:r w:rsidR="00730EE4">
        <w:t>ether with a short explanation:</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974459" w:rsidRPr="00974459" w:rsidTr="002E4DE7">
        <w:tc>
          <w:tcPr>
            <w:tcW w:w="2835" w:type="dxa"/>
            <w:tcBorders>
              <w:top w:val="single" w:sz="4" w:space="0" w:color="auto"/>
              <w:bottom w:val="single" w:sz="12" w:space="0" w:color="auto"/>
            </w:tcBorders>
            <w:shd w:val="clear" w:color="auto" w:fill="auto"/>
            <w:vAlign w:val="bottom"/>
          </w:tcPr>
          <w:p w:rsidR="00974459" w:rsidRPr="00974459" w:rsidRDefault="00974459" w:rsidP="00974459">
            <w:pPr>
              <w:spacing w:before="80" w:after="80" w:line="200" w:lineRule="exact"/>
              <w:ind w:right="113"/>
              <w:rPr>
                <w:i/>
                <w:sz w:val="16"/>
              </w:rPr>
            </w:pPr>
            <w:r>
              <w:rPr>
                <w:i/>
                <w:sz w:val="16"/>
              </w:rPr>
              <w:t>I.</w:t>
            </w:r>
          </w:p>
        </w:tc>
        <w:tc>
          <w:tcPr>
            <w:tcW w:w="2835" w:type="dxa"/>
            <w:tcBorders>
              <w:top w:val="single" w:sz="4" w:space="0" w:color="auto"/>
              <w:bottom w:val="single" w:sz="12" w:space="0" w:color="auto"/>
            </w:tcBorders>
            <w:shd w:val="clear" w:color="auto" w:fill="auto"/>
            <w:vAlign w:val="bottom"/>
          </w:tcPr>
          <w:p w:rsidR="00974459" w:rsidRPr="00974459" w:rsidRDefault="00974459" w:rsidP="00974459">
            <w:pPr>
              <w:spacing w:before="80" w:after="80" w:line="200" w:lineRule="exact"/>
              <w:ind w:right="113"/>
              <w:rPr>
                <w:i/>
                <w:sz w:val="16"/>
              </w:rPr>
            </w:pPr>
            <w:r>
              <w:rPr>
                <w:i/>
                <w:sz w:val="16"/>
              </w:rPr>
              <w:t>II.</w:t>
            </w:r>
          </w:p>
        </w:tc>
        <w:tc>
          <w:tcPr>
            <w:tcW w:w="2835" w:type="dxa"/>
            <w:tcBorders>
              <w:top w:val="single" w:sz="4" w:space="0" w:color="auto"/>
              <w:bottom w:val="single" w:sz="12" w:space="0" w:color="auto"/>
            </w:tcBorders>
            <w:shd w:val="clear" w:color="auto" w:fill="auto"/>
            <w:vAlign w:val="bottom"/>
          </w:tcPr>
          <w:p w:rsidR="00974459" w:rsidRPr="00974459" w:rsidRDefault="00974459" w:rsidP="00974459">
            <w:pPr>
              <w:spacing w:before="80" w:after="80" w:line="200" w:lineRule="exact"/>
              <w:ind w:right="113"/>
              <w:rPr>
                <w:i/>
                <w:sz w:val="16"/>
              </w:rPr>
            </w:pPr>
            <w:r>
              <w:rPr>
                <w:i/>
                <w:sz w:val="16"/>
              </w:rPr>
              <w:t>III.</w:t>
            </w:r>
          </w:p>
        </w:tc>
      </w:tr>
      <w:tr w:rsidR="00974459" w:rsidRPr="00974459" w:rsidTr="002E4DE7">
        <w:tc>
          <w:tcPr>
            <w:tcW w:w="2835" w:type="dxa"/>
            <w:tcBorders>
              <w:top w:val="single" w:sz="12" w:space="0" w:color="auto"/>
              <w:bottom w:val="single" w:sz="12" w:space="0" w:color="auto"/>
            </w:tcBorders>
            <w:shd w:val="clear" w:color="auto" w:fill="auto"/>
          </w:tcPr>
          <w:p w:rsidR="00974459" w:rsidRPr="00974459" w:rsidRDefault="00974459" w:rsidP="00974459">
            <w:pPr>
              <w:spacing w:before="40" w:after="120"/>
              <w:ind w:right="113"/>
            </w:pPr>
            <w:r w:rsidRPr="00974459">
              <w:t>98 recommendations supported</w:t>
            </w:r>
            <w:r>
              <w:t>.</w:t>
            </w:r>
          </w:p>
        </w:tc>
        <w:tc>
          <w:tcPr>
            <w:tcW w:w="2835" w:type="dxa"/>
            <w:tcBorders>
              <w:top w:val="single" w:sz="12" w:space="0" w:color="auto"/>
              <w:bottom w:val="single" w:sz="12" w:space="0" w:color="auto"/>
            </w:tcBorders>
            <w:shd w:val="clear" w:color="auto" w:fill="auto"/>
          </w:tcPr>
          <w:p w:rsidR="00974459" w:rsidRPr="00974459" w:rsidRDefault="00974459" w:rsidP="0062597F">
            <w:pPr>
              <w:spacing w:before="40" w:after="120"/>
              <w:ind w:right="113"/>
            </w:pPr>
            <w:r w:rsidRPr="00974459">
              <w:t>91 recommendations supported as they are already in the process of implementation and part</w:t>
            </w:r>
            <w:r w:rsidR="0062597F">
              <w:rPr>
                <w:rStyle w:val="EndnoteReference"/>
              </w:rPr>
              <w:endnoteReference w:id="2"/>
            </w:r>
            <w:r w:rsidRPr="00974459">
              <w:t xml:space="preserve"> of 12 recommendations are also supported</w:t>
            </w:r>
            <w:r>
              <w:t>.</w:t>
            </w:r>
          </w:p>
        </w:tc>
        <w:tc>
          <w:tcPr>
            <w:tcW w:w="2835" w:type="dxa"/>
            <w:tcBorders>
              <w:top w:val="single" w:sz="12" w:space="0" w:color="auto"/>
              <w:bottom w:val="single" w:sz="12" w:space="0" w:color="auto"/>
            </w:tcBorders>
            <w:shd w:val="clear" w:color="auto" w:fill="auto"/>
          </w:tcPr>
          <w:p w:rsidR="00974459" w:rsidRPr="00974459" w:rsidRDefault="00974459" w:rsidP="00974459">
            <w:pPr>
              <w:spacing w:before="40" w:after="120"/>
              <w:ind w:right="113"/>
            </w:pPr>
            <w:r w:rsidRPr="00974459">
              <w:t>20 recommendations noted</w:t>
            </w:r>
            <w:r>
              <w:t>.</w:t>
            </w:r>
          </w:p>
        </w:tc>
      </w:tr>
    </w:tbl>
    <w:p w:rsidR="002E4DE7" w:rsidRPr="002E4DE7" w:rsidRDefault="002E4DE7" w:rsidP="002E4DE7">
      <w:pPr>
        <w:pStyle w:val="HChG"/>
      </w:pPr>
      <w:r>
        <w:tab/>
      </w:r>
      <w:r>
        <w:tab/>
      </w:r>
      <w:r w:rsidRPr="002E4DE7">
        <w:t>International obligations</w:t>
      </w:r>
    </w:p>
    <w:p w:rsidR="002E4DE7" w:rsidRPr="002E4DE7" w:rsidRDefault="002E4DE7" w:rsidP="002E4DE7">
      <w:pPr>
        <w:pStyle w:val="SingleTxtG"/>
      </w:pPr>
      <w:r>
        <w:t>2.</w:t>
      </w:r>
      <w:r>
        <w:tab/>
      </w:r>
      <w:r w:rsidRPr="002E4DE7">
        <w:t>Hungary constantly assesses the compatibility of its laws with its international obligations. Hungary is already party to the Rome Statute, the consistency has been ensured by the Criminal Code. The draft bill on the promulgation of the Rome Statute has been introduced to the Parliament.</w:t>
      </w:r>
    </w:p>
    <w:p w:rsidR="002E4DE7" w:rsidRPr="002E4DE7" w:rsidRDefault="002E4DE7" w:rsidP="002E4DE7">
      <w:pPr>
        <w:pStyle w:val="SingleTxtG"/>
      </w:pPr>
      <w:r>
        <w:t>3.</w:t>
      </w:r>
      <w:r>
        <w:tab/>
      </w:r>
      <w:r w:rsidRPr="002E4DE7">
        <w:t xml:space="preserve">Hungary </w:t>
      </w:r>
      <w:r w:rsidRPr="002E4DE7">
        <w:rPr>
          <w:u w:val="single"/>
        </w:rPr>
        <w:t>ratified</w:t>
      </w:r>
      <w:r w:rsidRPr="002E4DE7">
        <w:t xml:space="preserve"> the Refugee Convention and its Protocol, the Stateless Persons Convention, the Reduction of Statelessness Convention, the Nationality of Married Women Convention and the UNESCO Convention to fight discrimination in Education. </w:t>
      </w:r>
    </w:p>
    <w:p w:rsidR="002E4DE7" w:rsidRPr="002E4DE7" w:rsidRDefault="002E4DE7" w:rsidP="002E4DE7">
      <w:pPr>
        <w:pStyle w:val="SingleTxtG"/>
      </w:pPr>
      <w:r>
        <w:t>4.</w:t>
      </w:r>
      <w:r>
        <w:tab/>
      </w:r>
      <w:r w:rsidRPr="002E4DE7">
        <w:t>Unlike ILO convention 169</w:t>
      </w:r>
      <w:r w:rsidR="0062597F">
        <w:rPr>
          <w:rStyle w:val="EndnoteReference"/>
        </w:rPr>
        <w:endnoteReference w:id="3"/>
      </w:r>
      <w:r w:rsidRPr="002E4DE7">
        <w:t>, the ratification of ILO convention 189</w:t>
      </w:r>
      <w:r w:rsidR="0062597F">
        <w:rPr>
          <w:rStyle w:val="EndnoteReference"/>
        </w:rPr>
        <w:endnoteReference w:id="4"/>
      </w:r>
      <w:r w:rsidRPr="002E4DE7">
        <w:t xml:space="preserve"> is now subject of national tripartite discussions.</w:t>
      </w:r>
    </w:p>
    <w:p w:rsidR="002E4DE7" w:rsidRPr="002E4DE7" w:rsidRDefault="002E4DE7" w:rsidP="002E4DE7">
      <w:pPr>
        <w:pStyle w:val="SingleTxtG"/>
      </w:pPr>
      <w:r>
        <w:t>5.</w:t>
      </w:r>
      <w:r>
        <w:tab/>
      </w:r>
      <w:r w:rsidRPr="002E4DE7">
        <w:t>Hungary intends to ratify the Istanbul Convention</w:t>
      </w:r>
      <w:r w:rsidR="0062597F">
        <w:rPr>
          <w:rStyle w:val="EndnoteReference"/>
        </w:rPr>
        <w:endnoteReference w:id="5"/>
      </w:r>
      <w:r w:rsidRPr="002E4DE7">
        <w:t xml:space="preserve"> after thorough examination. The ratification of the CED</w:t>
      </w:r>
      <w:r w:rsidR="0062597F">
        <w:rPr>
          <w:rStyle w:val="EndnoteReference"/>
        </w:rPr>
        <w:endnoteReference w:id="6"/>
      </w:r>
      <w:r w:rsidRPr="002E4DE7">
        <w:t xml:space="preserve"> and accepting the competence of its Committee is currently examined. Similarly, before signing the CRC-OPCP</w:t>
      </w:r>
      <w:r w:rsidR="0062597F">
        <w:rPr>
          <w:rStyle w:val="EndnoteReference"/>
        </w:rPr>
        <w:endnoteReference w:id="7"/>
      </w:r>
      <w:r w:rsidRPr="002E4DE7">
        <w:t xml:space="preserve"> it is necessary to review the relevant national law an</w:t>
      </w:r>
      <w:r>
        <w:t>d the institutional background.</w:t>
      </w:r>
    </w:p>
    <w:p w:rsidR="002E4DE7" w:rsidRDefault="002E4DE7" w:rsidP="002E4DE7">
      <w:pPr>
        <w:pStyle w:val="SingleTxtG"/>
      </w:pPr>
      <w:r>
        <w:t>6.</w:t>
      </w:r>
      <w:r>
        <w:tab/>
      </w:r>
      <w:r w:rsidRPr="002E4DE7">
        <w:t>Hungary guarantees the fundamental rights of all persons present in its territory and is of the view that the ICRMW</w:t>
      </w:r>
      <w:r w:rsidR="0062597F">
        <w:rPr>
          <w:rStyle w:val="EndnoteReference"/>
        </w:rPr>
        <w:endnoteReference w:id="8"/>
      </w:r>
      <w:r w:rsidRPr="002E4DE7">
        <w:t xml:space="preserve"> does not bring added value compared to other instruments in this field to which Hungary has acceded. In the same vein by ratifying ICESCR</w:t>
      </w:r>
      <w:r w:rsidR="0062597F">
        <w:rPr>
          <w:rStyle w:val="EndnoteReference"/>
        </w:rPr>
        <w:endnoteReference w:id="9"/>
      </w:r>
      <w:r w:rsidRPr="002E4DE7">
        <w:t xml:space="preserve">, the European Social Charter and several other relevant instruments (ILO, </w:t>
      </w:r>
      <w:proofErr w:type="spellStart"/>
      <w:r w:rsidRPr="002E4DE7">
        <w:t>CoE</w:t>
      </w:r>
      <w:proofErr w:type="spellEnd"/>
      <w:r w:rsidRPr="002E4DE7">
        <w:t>, EU), Hungary has committed itself to a comprehensive protection system in the field of ESC rights including the possibility to submit complaints on national and regional level. The ratification of the OP-ICESCR</w:t>
      </w:r>
      <w:r w:rsidR="0062597F">
        <w:rPr>
          <w:rStyle w:val="EndnoteReference"/>
        </w:rPr>
        <w:endnoteReference w:id="10"/>
      </w:r>
      <w:r w:rsidRPr="002E4DE7">
        <w:t xml:space="preserve"> is still being examined. The Government wishes to maintain the reservations it made to different conventions for the time being.</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2E4DE7" w:rsidRPr="002E4DE7" w:rsidTr="002E4DE7">
        <w:tc>
          <w:tcPr>
            <w:tcW w:w="2835" w:type="dxa"/>
            <w:tcBorders>
              <w:top w:val="single" w:sz="4" w:space="0" w:color="auto"/>
              <w:bottom w:val="single" w:sz="12" w:space="0" w:color="auto"/>
            </w:tcBorders>
            <w:shd w:val="clear" w:color="auto" w:fill="auto"/>
            <w:vAlign w:val="bottom"/>
          </w:tcPr>
          <w:p w:rsidR="002E4DE7" w:rsidRPr="002E4DE7" w:rsidRDefault="002E4DE7" w:rsidP="002E4DE7">
            <w:pPr>
              <w:spacing w:before="80" w:after="80" w:line="200" w:lineRule="exact"/>
              <w:ind w:right="113"/>
              <w:rPr>
                <w:i/>
                <w:sz w:val="16"/>
              </w:rPr>
            </w:pPr>
            <w:r>
              <w:br w:type="page"/>
            </w:r>
            <w:r>
              <w:rPr>
                <w:i/>
                <w:sz w:val="16"/>
              </w:rPr>
              <w:t>I.</w:t>
            </w:r>
          </w:p>
        </w:tc>
        <w:tc>
          <w:tcPr>
            <w:tcW w:w="2835" w:type="dxa"/>
            <w:tcBorders>
              <w:top w:val="single" w:sz="4" w:space="0" w:color="auto"/>
              <w:bottom w:val="single" w:sz="12" w:space="0" w:color="auto"/>
            </w:tcBorders>
            <w:shd w:val="clear" w:color="auto" w:fill="auto"/>
            <w:vAlign w:val="bottom"/>
          </w:tcPr>
          <w:p w:rsidR="002E4DE7" w:rsidRPr="002E4DE7" w:rsidRDefault="002E4DE7" w:rsidP="002E4DE7">
            <w:pPr>
              <w:spacing w:before="80" w:after="80" w:line="200" w:lineRule="exact"/>
              <w:ind w:right="113"/>
              <w:rPr>
                <w:i/>
                <w:sz w:val="16"/>
              </w:rPr>
            </w:pPr>
            <w:r>
              <w:rPr>
                <w:i/>
                <w:sz w:val="16"/>
              </w:rPr>
              <w:t>II.</w:t>
            </w:r>
          </w:p>
        </w:tc>
        <w:tc>
          <w:tcPr>
            <w:tcW w:w="2835" w:type="dxa"/>
            <w:tcBorders>
              <w:top w:val="single" w:sz="4" w:space="0" w:color="auto"/>
              <w:bottom w:val="single" w:sz="12" w:space="0" w:color="auto"/>
            </w:tcBorders>
            <w:shd w:val="clear" w:color="auto" w:fill="auto"/>
            <w:vAlign w:val="bottom"/>
          </w:tcPr>
          <w:p w:rsidR="002E4DE7" w:rsidRPr="002E4DE7" w:rsidRDefault="002E4DE7" w:rsidP="002E4DE7">
            <w:pPr>
              <w:spacing w:before="80" w:after="80" w:line="200" w:lineRule="exact"/>
              <w:ind w:right="113"/>
              <w:rPr>
                <w:i/>
                <w:sz w:val="16"/>
              </w:rPr>
            </w:pPr>
            <w:r>
              <w:rPr>
                <w:i/>
                <w:sz w:val="16"/>
              </w:rPr>
              <w:t>III.</w:t>
            </w:r>
          </w:p>
        </w:tc>
      </w:tr>
      <w:tr w:rsidR="002E4DE7" w:rsidRPr="002E4DE7" w:rsidTr="002E4DE7">
        <w:tc>
          <w:tcPr>
            <w:tcW w:w="2835" w:type="dxa"/>
            <w:tcBorders>
              <w:top w:val="single" w:sz="12" w:space="0" w:color="auto"/>
              <w:bottom w:val="single" w:sz="12" w:space="0" w:color="auto"/>
            </w:tcBorders>
            <w:shd w:val="clear" w:color="auto" w:fill="auto"/>
          </w:tcPr>
          <w:p w:rsidR="002E4DE7" w:rsidRPr="002E4DE7" w:rsidRDefault="002E4DE7" w:rsidP="0062597F">
            <w:pPr>
              <w:spacing w:before="40" w:after="120"/>
              <w:ind w:right="113"/>
            </w:pPr>
            <w:r w:rsidRPr="002E4DE7">
              <w:t>6</w:t>
            </w:r>
            <w:r w:rsidR="0062597F">
              <w:rPr>
                <w:rStyle w:val="EndnoteReference"/>
              </w:rPr>
              <w:endnoteReference w:id="11"/>
            </w:r>
            <w:r w:rsidR="005D643F">
              <w:t>,</w:t>
            </w:r>
            <w:r w:rsidRPr="002E4DE7">
              <w:t xml:space="preserve"> 3</w:t>
            </w:r>
            <w:r w:rsidR="0062597F">
              <w:rPr>
                <w:rStyle w:val="EndnoteReference"/>
              </w:rPr>
              <w:endnoteReference w:id="12"/>
            </w:r>
            <w:r w:rsidR="005D643F">
              <w:t>,</w:t>
            </w:r>
            <w:r w:rsidRPr="002E4DE7">
              <w:t xml:space="preserve"> 13</w:t>
            </w:r>
            <w:r w:rsidR="0062597F">
              <w:rPr>
                <w:rStyle w:val="EndnoteReference"/>
              </w:rPr>
              <w:endnoteReference w:id="13"/>
            </w:r>
            <w:r w:rsidR="00B200F0">
              <w:t>,</w:t>
            </w:r>
            <w:r w:rsidRPr="002E4DE7">
              <w:t xml:space="preserve"> 14</w:t>
            </w:r>
            <w:r w:rsidR="0062597F">
              <w:rPr>
                <w:rStyle w:val="EndnoteReference"/>
              </w:rPr>
              <w:endnoteReference w:id="14"/>
            </w:r>
            <w:r w:rsidR="00B200F0">
              <w:t>,</w:t>
            </w:r>
            <w:r w:rsidRPr="002E4DE7">
              <w:t xml:space="preserve"> 15</w:t>
            </w:r>
            <w:r w:rsidR="0062597F">
              <w:rPr>
                <w:rStyle w:val="EndnoteReference"/>
              </w:rPr>
              <w:endnoteReference w:id="15"/>
            </w:r>
            <w:r w:rsidR="00B200F0">
              <w:t>,</w:t>
            </w:r>
            <w:r w:rsidRPr="002E4DE7">
              <w:t xml:space="preserve"> 16</w:t>
            </w:r>
            <w:r w:rsidR="0062597F">
              <w:rPr>
                <w:rStyle w:val="EndnoteReference"/>
              </w:rPr>
              <w:endnoteReference w:id="16"/>
            </w:r>
            <w:r w:rsidR="00B200F0">
              <w:t>,</w:t>
            </w:r>
            <w:r w:rsidRPr="002E4DE7">
              <w:t xml:space="preserve"> </w:t>
            </w:r>
            <w:r w:rsidR="009302AC">
              <w:br/>
            </w:r>
            <w:r w:rsidRPr="002E4DE7">
              <w:t>20</w:t>
            </w:r>
            <w:r w:rsidR="0062597F">
              <w:rPr>
                <w:rStyle w:val="EndnoteReference"/>
              </w:rPr>
              <w:endnoteReference w:id="17"/>
            </w:r>
            <w:r w:rsidR="00B200F0">
              <w:t>,</w:t>
            </w:r>
            <w:r w:rsidRPr="002E4DE7">
              <w:t xml:space="preserve"> 26</w:t>
            </w:r>
            <w:r w:rsidR="0062597F">
              <w:rPr>
                <w:rStyle w:val="EndnoteReference"/>
              </w:rPr>
              <w:endnoteReference w:id="18"/>
            </w:r>
            <w:r w:rsidR="00B200F0">
              <w:t xml:space="preserve">, </w:t>
            </w:r>
            <w:r w:rsidRPr="002E4DE7">
              <w:t>27</w:t>
            </w:r>
            <w:r w:rsidR="0062597F">
              <w:rPr>
                <w:rStyle w:val="EndnoteReference"/>
              </w:rPr>
              <w:endnoteReference w:id="19"/>
            </w:r>
            <w:r w:rsidR="00B200F0">
              <w:t>,</w:t>
            </w:r>
            <w:r w:rsidRPr="002E4DE7">
              <w:t xml:space="preserve"> 29</w:t>
            </w:r>
            <w:r w:rsidR="0062597F">
              <w:rPr>
                <w:rStyle w:val="EndnoteReference"/>
              </w:rPr>
              <w:endnoteReference w:id="20"/>
            </w:r>
            <w:r w:rsidR="00B200F0">
              <w:t>,</w:t>
            </w:r>
            <w:r w:rsidRPr="002E4DE7">
              <w:t xml:space="preserve"> 134</w:t>
            </w:r>
            <w:r w:rsidR="0062597F">
              <w:rPr>
                <w:rStyle w:val="EndnoteReference"/>
              </w:rPr>
              <w:endnoteReference w:id="21"/>
            </w:r>
            <w:r w:rsidR="00B200F0">
              <w:t>.</w:t>
            </w:r>
          </w:p>
        </w:tc>
        <w:tc>
          <w:tcPr>
            <w:tcW w:w="2835" w:type="dxa"/>
            <w:tcBorders>
              <w:top w:val="single" w:sz="12" w:space="0" w:color="auto"/>
              <w:bottom w:val="single" w:sz="12" w:space="0" w:color="auto"/>
            </w:tcBorders>
            <w:shd w:val="clear" w:color="auto" w:fill="auto"/>
          </w:tcPr>
          <w:p w:rsidR="002E4DE7" w:rsidRPr="002E4DE7" w:rsidRDefault="002E4DE7" w:rsidP="0062597F">
            <w:pPr>
              <w:spacing w:before="40" w:after="120"/>
              <w:ind w:right="113"/>
            </w:pPr>
            <w:r w:rsidRPr="002E4DE7">
              <w:t>1</w:t>
            </w:r>
            <w:r w:rsidR="0062597F">
              <w:rPr>
                <w:rStyle w:val="EndnoteReference"/>
              </w:rPr>
              <w:endnoteReference w:id="22"/>
            </w:r>
            <w:r w:rsidR="00B200F0">
              <w:t>,</w:t>
            </w:r>
            <w:r w:rsidRPr="002E4DE7">
              <w:t xml:space="preserve"> 2</w:t>
            </w:r>
            <w:r w:rsidR="0062597F">
              <w:rPr>
                <w:rStyle w:val="EndnoteReference"/>
              </w:rPr>
              <w:endnoteReference w:id="23"/>
            </w:r>
            <w:r w:rsidR="00B200F0">
              <w:t>,</w:t>
            </w:r>
            <w:r w:rsidRPr="002E4DE7">
              <w:t xml:space="preserve"> 4</w:t>
            </w:r>
            <w:r w:rsidR="0062597F">
              <w:rPr>
                <w:rStyle w:val="EndnoteReference"/>
              </w:rPr>
              <w:endnoteReference w:id="24"/>
            </w:r>
            <w:r w:rsidR="00B200F0">
              <w:t>,</w:t>
            </w:r>
            <w:r w:rsidRPr="002E4DE7">
              <w:t xml:space="preserve"> 5</w:t>
            </w:r>
            <w:r w:rsidR="0062597F">
              <w:rPr>
                <w:rStyle w:val="EndnoteReference"/>
              </w:rPr>
              <w:endnoteReference w:id="25"/>
            </w:r>
            <w:r w:rsidR="00B200F0">
              <w:t>,</w:t>
            </w:r>
            <w:r w:rsidRPr="002E4DE7">
              <w:t xml:space="preserve"> 8</w:t>
            </w:r>
            <w:r w:rsidR="0062597F">
              <w:rPr>
                <w:rStyle w:val="EndnoteReference"/>
              </w:rPr>
              <w:endnoteReference w:id="26"/>
            </w:r>
            <w:r w:rsidR="00B200F0">
              <w:t>.</w:t>
            </w:r>
          </w:p>
        </w:tc>
        <w:tc>
          <w:tcPr>
            <w:tcW w:w="2835" w:type="dxa"/>
            <w:tcBorders>
              <w:top w:val="single" w:sz="12" w:space="0" w:color="auto"/>
              <w:bottom w:val="single" w:sz="12" w:space="0" w:color="auto"/>
            </w:tcBorders>
            <w:shd w:val="clear" w:color="auto" w:fill="auto"/>
          </w:tcPr>
          <w:p w:rsidR="002E4DE7" w:rsidRPr="002E4DE7" w:rsidRDefault="002E4DE7" w:rsidP="00481AC4">
            <w:pPr>
              <w:spacing w:before="40" w:after="120"/>
              <w:ind w:right="113"/>
            </w:pPr>
            <w:r w:rsidRPr="002E4DE7">
              <w:t>7</w:t>
            </w:r>
            <w:r w:rsidR="0062597F">
              <w:rPr>
                <w:rStyle w:val="EndnoteReference"/>
              </w:rPr>
              <w:endnoteReference w:id="27"/>
            </w:r>
            <w:r w:rsidR="00B200F0">
              <w:t>,</w:t>
            </w:r>
            <w:r w:rsidRPr="002E4DE7">
              <w:t xml:space="preserve"> 9</w:t>
            </w:r>
            <w:r w:rsidR="0062597F">
              <w:rPr>
                <w:rStyle w:val="EndnoteReference"/>
              </w:rPr>
              <w:endnoteReference w:id="28"/>
            </w:r>
            <w:r w:rsidR="00B200F0">
              <w:t>,</w:t>
            </w:r>
            <w:r w:rsidRPr="002E4DE7">
              <w:t xml:space="preserve"> 10</w:t>
            </w:r>
            <w:r w:rsidR="0062597F">
              <w:rPr>
                <w:rStyle w:val="EndnoteReference"/>
              </w:rPr>
              <w:endnoteReference w:id="29"/>
            </w:r>
            <w:r w:rsidR="00B200F0">
              <w:t>,</w:t>
            </w:r>
            <w:r w:rsidRPr="002E4DE7">
              <w:t xml:space="preserve"> 11</w:t>
            </w:r>
            <w:r w:rsidR="0062597F">
              <w:rPr>
                <w:rStyle w:val="EndnoteReference"/>
              </w:rPr>
              <w:endnoteReference w:id="30"/>
            </w:r>
            <w:r w:rsidR="00B200F0">
              <w:t>,</w:t>
            </w:r>
            <w:r w:rsidRPr="002E4DE7">
              <w:t xml:space="preserve"> 12</w:t>
            </w:r>
            <w:r w:rsidR="0062597F">
              <w:rPr>
                <w:rStyle w:val="EndnoteReference"/>
              </w:rPr>
              <w:endnoteReference w:id="31"/>
            </w:r>
            <w:r w:rsidR="00B200F0">
              <w:t>,</w:t>
            </w:r>
            <w:r w:rsidRPr="002E4DE7">
              <w:t xml:space="preserve"> 17</w:t>
            </w:r>
            <w:r w:rsidR="0062597F">
              <w:rPr>
                <w:rStyle w:val="EndnoteReference"/>
              </w:rPr>
              <w:endnoteReference w:id="32"/>
            </w:r>
            <w:r w:rsidR="00B200F0">
              <w:t>,</w:t>
            </w:r>
            <w:r w:rsidRPr="002E4DE7">
              <w:t xml:space="preserve"> 18</w:t>
            </w:r>
            <w:r w:rsidR="00481AC4">
              <w:rPr>
                <w:rStyle w:val="EndnoteReference"/>
              </w:rPr>
              <w:endnoteReference w:id="33"/>
            </w:r>
            <w:r w:rsidR="00B200F0">
              <w:t>,</w:t>
            </w:r>
            <w:r w:rsidRPr="002E4DE7">
              <w:t xml:space="preserve"> 19</w:t>
            </w:r>
            <w:r w:rsidR="00481AC4">
              <w:rPr>
                <w:rStyle w:val="EndnoteReference"/>
              </w:rPr>
              <w:endnoteReference w:id="34"/>
            </w:r>
            <w:r w:rsidR="00B200F0">
              <w:t>.</w:t>
            </w:r>
          </w:p>
        </w:tc>
      </w:tr>
    </w:tbl>
    <w:p w:rsidR="0078222C" w:rsidRDefault="0078222C" w:rsidP="0078222C"/>
    <w:p w:rsidR="0078222C" w:rsidRPr="0078222C" w:rsidRDefault="00344671" w:rsidP="0078222C">
      <w:pPr>
        <w:pStyle w:val="SingleTxtG"/>
      </w:pPr>
      <w:r>
        <w:t>7.</w:t>
      </w:r>
      <w:r>
        <w:tab/>
      </w:r>
      <w:r w:rsidR="0078222C" w:rsidRPr="0078222C">
        <w:t>Hungary fully cooperates with the Human Rights Council and its mechanisms, it organised all requested visits by HRC mandate holders, responded to all allegation letters and constantly examines the implementation of their recommendations. Hungary submitted on time its periodical reports to the CRPD</w:t>
      </w:r>
      <w:r w:rsidR="00481AC4">
        <w:rPr>
          <w:rStyle w:val="EndnoteReference"/>
        </w:rPr>
        <w:endnoteReference w:id="35"/>
      </w:r>
      <w:r w:rsidR="0078222C" w:rsidRPr="0078222C">
        <w:t>, CEDAW</w:t>
      </w:r>
      <w:r w:rsidR="00481AC4">
        <w:rPr>
          <w:rStyle w:val="EndnoteReference"/>
        </w:rPr>
        <w:endnoteReference w:id="36"/>
      </w:r>
      <w:r w:rsidR="0078222C" w:rsidRPr="0078222C">
        <w:t xml:space="preserve"> and CRC</w:t>
      </w:r>
      <w:r w:rsidR="00481AC4">
        <w:rPr>
          <w:rStyle w:val="EndnoteReference"/>
        </w:rPr>
        <w:endnoteReference w:id="37"/>
      </w:r>
      <w:r w:rsidR="0078222C" w:rsidRPr="0078222C">
        <w:t>. The Government strives to eradicate its backlog before its next UPR. Development of a national action plan regarding SC resolution 1325</w:t>
      </w:r>
      <w:r w:rsidR="00481AC4">
        <w:rPr>
          <w:rStyle w:val="EndnoteReference"/>
        </w:rPr>
        <w:endnoteReference w:id="38"/>
      </w:r>
      <w:r w:rsidR="0078222C" w:rsidRPr="0078222C">
        <w:t xml:space="preserve"> is under consideration.</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344671" w:rsidRPr="00344671" w:rsidTr="00344671">
        <w:tc>
          <w:tcPr>
            <w:tcW w:w="2835" w:type="dxa"/>
            <w:tcBorders>
              <w:top w:val="single" w:sz="4" w:space="0" w:color="auto"/>
              <w:bottom w:val="single" w:sz="12" w:space="0" w:color="auto"/>
            </w:tcBorders>
            <w:shd w:val="clear" w:color="auto" w:fill="auto"/>
            <w:vAlign w:val="bottom"/>
          </w:tcPr>
          <w:p w:rsidR="00344671" w:rsidRPr="00344671" w:rsidRDefault="00344671" w:rsidP="00344671">
            <w:pPr>
              <w:spacing w:before="80" w:after="80" w:line="200" w:lineRule="exact"/>
              <w:ind w:right="113"/>
              <w:rPr>
                <w:i/>
                <w:sz w:val="16"/>
              </w:rPr>
            </w:pPr>
            <w:r>
              <w:rPr>
                <w:i/>
                <w:sz w:val="16"/>
              </w:rPr>
              <w:lastRenderedPageBreak/>
              <w:t>I.</w:t>
            </w:r>
          </w:p>
        </w:tc>
        <w:tc>
          <w:tcPr>
            <w:tcW w:w="2835" w:type="dxa"/>
            <w:tcBorders>
              <w:top w:val="single" w:sz="4" w:space="0" w:color="auto"/>
              <w:bottom w:val="single" w:sz="12" w:space="0" w:color="auto"/>
            </w:tcBorders>
            <w:shd w:val="clear" w:color="auto" w:fill="auto"/>
            <w:vAlign w:val="bottom"/>
          </w:tcPr>
          <w:p w:rsidR="00344671" w:rsidRPr="00344671" w:rsidRDefault="00344671" w:rsidP="00344671">
            <w:pPr>
              <w:spacing w:before="80" w:after="80" w:line="200" w:lineRule="exact"/>
              <w:ind w:right="113"/>
              <w:rPr>
                <w:i/>
                <w:sz w:val="16"/>
              </w:rPr>
            </w:pPr>
            <w:r>
              <w:rPr>
                <w:i/>
                <w:sz w:val="16"/>
              </w:rPr>
              <w:t>II.</w:t>
            </w:r>
          </w:p>
        </w:tc>
        <w:tc>
          <w:tcPr>
            <w:tcW w:w="2835" w:type="dxa"/>
            <w:tcBorders>
              <w:top w:val="single" w:sz="4" w:space="0" w:color="auto"/>
              <w:bottom w:val="single" w:sz="12" w:space="0" w:color="auto"/>
            </w:tcBorders>
            <w:shd w:val="clear" w:color="auto" w:fill="auto"/>
            <w:vAlign w:val="bottom"/>
          </w:tcPr>
          <w:p w:rsidR="00344671" w:rsidRPr="00344671" w:rsidRDefault="00344671" w:rsidP="00344671">
            <w:pPr>
              <w:spacing w:before="80" w:after="80" w:line="200" w:lineRule="exact"/>
              <w:ind w:right="113"/>
              <w:rPr>
                <w:i/>
                <w:sz w:val="16"/>
              </w:rPr>
            </w:pPr>
            <w:r>
              <w:rPr>
                <w:i/>
                <w:sz w:val="16"/>
              </w:rPr>
              <w:t>III.</w:t>
            </w:r>
          </w:p>
        </w:tc>
      </w:tr>
      <w:tr w:rsidR="00344671" w:rsidRPr="00344671" w:rsidTr="00344671">
        <w:tc>
          <w:tcPr>
            <w:tcW w:w="2835" w:type="dxa"/>
            <w:tcBorders>
              <w:top w:val="single" w:sz="12" w:space="0" w:color="auto"/>
              <w:bottom w:val="single" w:sz="12" w:space="0" w:color="auto"/>
            </w:tcBorders>
            <w:shd w:val="clear" w:color="auto" w:fill="auto"/>
          </w:tcPr>
          <w:p w:rsidR="00344671" w:rsidRPr="00344671" w:rsidRDefault="00344671" w:rsidP="00B200F0">
            <w:pPr>
              <w:spacing w:before="40" w:after="120"/>
              <w:ind w:right="113"/>
            </w:pPr>
            <w:r w:rsidRPr="00344671">
              <w:t>41</w:t>
            </w:r>
            <w:r w:rsidR="00481AC4">
              <w:rPr>
                <w:rStyle w:val="EndnoteReference"/>
              </w:rPr>
              <w:endnoteReference w:id="39"/>
            </w:r>
            <w:r w:rsidR="00B200F0">
              <w:t>,</w:t>
            </w:r>
            <w:r w:rsidRPr="00344671">
              <w:t xml:space="preserve"> 42</w:t>
            </w:r>
            <w:r w:rsidR="00481AC4">
              <w:rPr>
                <w:rStyle w:val="EndnoteReference"/>
              </w:rPr>
              <w:endnoteReference w:id="40"/>
            </w:r>
            <w:r w:rsidR="00B200F0">
              <w:t>,</w:t>
            </w:r>
            <w:r w:rsidRPr="00344671">
              <w:t xml:space="preserve"> 43</w:t>
            </w:r>
            <w:r w:rsidR="00481AC4">
              <w:rPr>
                <w:rStyle w:val="EndnoteReference"/>
              </w:rPr>
              <w:endnoteReference w:id="41"/>
            </w:r>
            <w:r w:rsidR="00B200F0">
              <w:t>,</w:t>
            </w:r>
            <w:r w:rsidRPr="00344671">
              <w:t xml:space="preserve"> 44</w:t>
            </w:r>
            <w:r w:rsidR="00481AC4">
              <w:rPr>
                <w:rStyle w:val="EndnoteReference"/>
              </w:rPr>
              <w:endnoteReference w:id="42"/>
            </w:r>
            <w:r w:rsidR="00B200F0">
              <w:t>,</w:t>
            </w:r>
            <w:r w:rsidRPr="00344671">
              <w:t xml:space="preserve"> 45</w:t>
            </w:r>
            <w:r w:rsidR="00481AC4">
              <w:rPr>
                <w:rStyle w:val="EndnoteReference"/>
              </w:rPr>
              <w:endnoteReference w:id="43"/>
            </w:r>
            <w:r w:rsidR="00B200F0">
              <w:t>,</w:t>
            </w:r>
            <w:r w:rsidRPr="00344671">
              <w:t xml:space="preserve"> </w:t>
            </w:r>
            <w:r w:rsidR="009302AC">
              <w:br/>
            </w:r>
            <w:r w:rsidRPr="00344671">
              <w:t>136</w:t>
            </w:r>
            <w:r w:rsidR="00481AC4">
              <w:rPr>
                <w:rStyle w:val="EndnoteReference"/>
              </w:rPr>
              <w:endnoteReference w:id="44"/>
            </w:r>
            <w:r w:rsidR="00B200F0">
              <w:t>,</w:t>
            </w:r>
            <w:r w:rsidRPr="00344671">
              <w:t xml:space="preserve"> 161</w:t>
            </w:r>
            <w:r w:rsidR="00481AC4">
              <w:rPr>
                <w:rStyle w:val="EndnoteReference"/>
              </w:rPr>
              <w:endnoteReference w:id="45"/>
            </w:r>
            <w:r w:rsidR="00B200F0">
              <w:t>,</w:t>
            </w:r>
            <w:r w:rsidRPr="00344671">
              <w:t xml:space="preserve"> 166</w:t>
            </w:r>
            <w:r w:rsidR="00481AC4">
              <w:rPr>
                <w:rStyle w:val="EndnoteReference"/>
              </w:rPr>
              <w:endnoteReference w:id="46"/>
            </w:r>
            <w:r w:rsidR="00B200F0">
              <w:t>.</w:t>
            </w:r>
          </w:p>
        </w:tc>
        <w:tc>
          <w:tcPr>
            <w:tcW w:w="2835" w:type="dxa"/>
            <w:tcBorders>
              <w:top w:val="single" w:sz="12" w:space="0" w:color="auto"/>
              <w:bottom w:val="single" w:sz="12" w:space="0" w:color="auto"/>
            </w:tcBorders>
            <w:shd w:val="clear" w:color="auto" w:fill="auto"/>
          </w:tcPr>
          <w:p w:rsidR="00344671" w:rsidRPr="00344671" w:rsidRDefault="00344671" w:rsidP="00481AC4">
            <w:pPr>
              <w:spacing w:before="40" w:after="120"/>
              <w:ind w:right="113"/>
            </w:pPr>
            <w:r w:rsidRPr="00344671">
              <w:t>124</w:t>
            </w:r>
            <w:r w:rsidR="00481AC4">
              <w:rPr>
                <w:rStyle w:val="EndnoteReference"/>
              </w:rPr>
              <w:endnoteReference w:id="47"/>
            </w:r>
            <w:r w:rsidR="00B200F0">
              <w:t>,</w:t>
            </w:r>
            <w:r w:rsidRPr="00344671">
              <w:t xml:space="preserve"> 163</w:t>
            </w:r>
            <w:r w:rsidR="00481AC4">
              <w:rPr>
                <w:rStyle w:val="EndnoteReference"/>
              </w:rPr>
              <w:endnoteReference w:id="48"/>
            </w:r>
            <w:r w:rsidR="00B200F0">
              <w:t>.</w:t>
            </w:r>
          </w:p>
        </w:tc>
        <w:tc>
          <w:tcPr>
            <w:tcW w:w="2835" w:type="dxa"/>
            <w:tcBorders>
              <w:top w:val="single" w:sz="12" w:space="0" w:color="auto"/>
              <w:bottom w:val="single" w:sz="12" w:space="0" w:color="auto"/>
            </w:tcBorders>
            <w:shd w:val="clear" w:color="auto" w:fill="auto"/>
          </w:tcPr>
          <w:p w:rsidR="00344671" w:rsidRPr="00344671" w:rsidRDefault="00344671" w:rsidP="00344671">
            <w:pPr>
              <w:spacing w:before="40" w:after="120"/>
              <w:ind w:right="113"/>
            </w:pPr>
            <w:r>
              <w:t>–</w:t>
            </w:r>
          </w:p>
        </w:tc>
      </w:tr>
    </w:tbl>
    <w:p w:rsidR="00344671" w:rsidRPr="00344671" w:rsidRDefault="00344671" w:rsidP="00344671">
      <w:pPr>
        <w:pStyle w:val="HChG"/>
      </w:pPr>
      <w:r>
        <w:tab/>
      </w:r>
      <w:r>
        <w:tab/>
      </w:r>
      <w:r w:rsidRPr="00344671">
        <w:t xml:space="preserve">Protection of human rights </w:t>
      </w:r>
    </w:p>
    <w:p w:rsidR="00344671" w:rsidRPr="00344671" w:rsidRDefault="00344671" w:rsidP="00344671">
      <w:pPr>
        <w:pStyle w:val="SingleTxtG"/>
      </w:pPr>
      <w:r>
        <w:t>8.</w:t>
      </w:r>
      <w:r>
        <w:tab/>
      </w:r>
      <w:r w:rsidRPr="00344671">
        <w:t>Enjoyment of human rights is ensured by the new Fundamental Law. The main rules of functioning, procedure and financial independence</w:t>
      </w:r>
      <w:r w:rsidR="00481AC4">
        <w:rPr>
          <w:rStyle w:val="EndnoteReference"/>
        </w:rPr>
        <w:endnoteReference w:id="49"/>
      </w:r>
      <w:r w:rsidRPr="00344671">
        <w:t xml:space="preserve"> of the </w:t>
      </w:r>
      <w:r w:rsidRPr="00344671">
        <w:rPr>
          <w:u w:val="single"/>
        </w:rPr>
        <w:t>Constitutional Court</w:t>
      </w:r>
      <w:r w:rsidRPr="00344671">
        <w:t xml:space="preserve"> are set in the Fundamental Law and in a cardinal act</w:t>
      </w:r>
      <w:r w:rsidR="00481AC4">
        <w:rPr>
          <w:rStyle w:val="EndnoteReference"/>
        </w:rPr>
        <w:endnoteReference w:id="50"/>
      </w:r>
      <w:r w:rsidRPr="00344671">
        <w:t>.</w:t>
      </w:r>
    </w:p>
    <w:p w:rsidR="00344671" w:rsidRPr="00344671" w:rsidRDefault="00344671" w:rsidP="00344671">
      <w:pPr>
        <w:pStyle w:val="SingleTxtG"/>
      </w:pPr>
      <w:r>
        <w:t>9.</w:t>
      </w:r>
      <w:r>
        <w:tab/>
      </w:r>
      <w:r w:rsidRPr="00344671">
        <w:t xml:space="preserve">Concerns regarding the </w:t>
      </w:r>
      <w:r w:rsidRPr="00344671">
        <w:rPr>
          <w:u w:val="single"/>
        </w:rPr>
        <w:t>independence of the judiciary</w:t>
      </w:r>
      <w:r w:rsidRPr="00344671">
        <w:t xml:space="preserve"> and rule of law have been remedied after consultations with international organisations, therefore no further legislative actions are necessary. The Government was and is ready for expert debate on these issues, but not for unfounded, biased</w:t>
      </w:r>
      <w:r>
        <w:t xml:space="preserve"> criticism.</w:t>
      </w:r>
    </w:p>
    <w:p w:rsidR="00344671" w:rsidRPr="00344671" w:rsidRDefault="00344671" w:rsidP="00344671">
      <w:pPr>
        <w:pStyle w:val="SingleTxtG"/>
      </w:pPr>
      <w:r>
        <w:t>10.</w:t>
      </w:r>
      <w:r>
        <w:tab/>
      </w:r>
      <w:r w:rsidRPr="00344671">
        <w:t xml:space="preserve">The “A” status </w:t>
      </w:r>
      <w:r w:rsidRPr="00344671">
        <w:rPr>
          <w:u w:val="single"/>
        </w:rPr>
        <w:t>Commissioner of Fundamental Rights</w:t>
      </w:r>
      <w:r w:rsidRPr="00344671">
        <w:t xml:space="preserve"> (CFR) is a central element of the Hungarian protection system including monitoring detention places in conformity with the regulations of the OPCAT</w:t>
      </w:r>
      <w:r w:rsidR="00481AC4">
        <w:rPr>
          <w:rStyle w:val="EndnoteReference"/>
        </w:rPr>
        <w:endnoteReference w:id="51"/>
      </w:r>
      <w:r w:rsidRPr="00344671">
        <w:t xml:space="preserve">. Its steadily increasing funding is ensured by the Parliament. </w:t>
      </w:r>
    </w:p>
    <w:p w:rsidR="00344671" w:rsidRPr="00344671" w:rsidRDefault="00344671" w:rsidP="00344671">
      <w:pPr>
        <w:pStyle w:val="SingleTxtG"/>
      </w:pPr>
      <w:r>
        <w:t>11.</w:t>
      </w:r>
      <w:r>
        <w:tab/>
      </w:r>
      <w:r w:rsidRPr="00344671">
        <w:t xml:space="preserve">The new autonomous </w:t>
      </w:r>
      <w:r w:rsidRPr="00344671">
        <w:rPr>
          <w:u w:val="single"/>
        </w:rPr>
        <w:t>Data Protection Authority</w:t>
      </w:r>
      <w:r w:rsidRPr="00344671">
        <w:t xml:space="preserve"> is supervising the protection of personal data and access to public data. Its status ensures independence as to its organisation, competences, personnel, budget and exercising its tasks. </w:t>
      </w:r>
      <w:r w:rsidRPr="005A0DAC">
        <w:rPr>
          <w:u w:val="single"/>
        </w:rPr>
        <w:t>C</w:t>
      </w:r>
      <w:r w:rsidRPr="00344671">
        <w:rPr>
          <w:u w:val="single"/>
        </w:rPr>
        <w:t>osts of fulfilment of data requests</w:t>
      </w:r>
      <w:r w:rsidRPr="00344671">
        <w:t xml:space="preserve"> can only be charged if the fulfilment of the demand involves extensive use of human resources. Restrictions of </w:t>
      </w:r>
      <w:r w:rsidRPr="00344671">
        <w:rPr>
          <w:u w:val="single"/>
        </w:rPr>
        <w:t>access to data of public interest</w:t>
      </w:r>
      <w:r w:rsidRPr="00344671">
        <w:t xml:space="preserve"> are in accordance with international norms.</w:t>
      </w:r>
    </w:p>
    <w:p w:rsidR="00344671" w:rsidRPr="00344671" w:rsidRDefault="00344671" w:rsidP="00344671">
      <w:pPr>
        <w:pStyle w:val="SingleTxtG"/>
      </w:pPr>
      <w:r>
        <w:t>12.</w:t>
      </w:r>
      <w:r>
        <w:tab/>
      </w:r>
      <w:r w:rsidRPr="00344671">
        <w:t xml:space="preserve">The inter-ministerial </w:t>
      </w:r>
      <w:r w:rsidRPr="00344671">
        <w:rPr>
          <w:u w:val="single"/>
        </w:rPr>
        <w:t>Human Rights Working Group</w:t>
      </w:r>
      <w:r w:rsidRPr="00344671">
        <w:t xml:space="preserve"> (HRWG) monitors human rights in Hungary, advices the Government and observes the implementation of the UPR recommendations. Its Roundtable </w:t>
      </w:r>
      <w:r w:rsidR="005A78AE">
        <w:t xml:space="preserve">is </w:t>
      </w:r>
      <w:r w:rsidRPr="00344671">
        <w:t xml:space="preserve">composed of 11 thematic sub-working groups with the participation of ministries, the CFR and NGOs. Proposals are submitted to the ministers of state for follow-up action. The Government deems the </w:t>
      </w:r>
      <w:proofErr w:type="spellStart"/>
      <w:r w:rsidRPr="00344671">
        <w:t>sectoral</w:t>
      </w:r>
      <w:proofErr w:type="spellEnd"/>
      <w:r w:rsidRPr="00344671">
        <w:t xml:space="preserve"> human rights strategies (which have been discussed, developed and are continuously assessed with the engagement of civil society) sufficient</w:t>
      </w:r>
      <w:r>
        <w:t>.</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344671" w:rsidRPr="00344671" w:rsidTr="000D7FC9">
        <w:tc>
          <w:tcPr>
            <w:tcW w:w="2835" w:type="dxa"/>
            <w:tcBorders>
              <w:top w:val="single" w:sz="4" w:space="0" w:color="auto"/>
              <w:bottom w:val="single" w:sz="12" w:space="0" w:color="auto"/>
            </w:tcBorders>
            <w:shd w:val="clear" w:color="auto" w:fill="auto"/>
            <w:vAlign w:val="bottom"/>
          </w:tcPr>
          <w:p w:rsidR="00344671" w:rsidRPr="00344671" w:rsidRDefault="00344671" w:rsidP="00344671">
            <w:pPr>
              <w:spacing w:before="80" w:after="80" w:line="200" w:lineRule="exact"/>
              <w:ind w:right="113"/>
              <w:rPr>
                <w:i/>
                <w:sz w:val="16"/>
              </w:rPr>
            </w:pPr>
            <w:r>
              <w:rPr>
                <w:i/>
                <w:sz w:val="16"/>
              </w:rPr>
              <w:t>I.</w:t>
            </w:r>
          </w:p>
        </w:tc>
        <w:tc>
          <w:tcPr>
            <w:tcW w:w="2835" w:type="dxa"/>
            <w:tcBorders>
              <w:top w:val="single" w:sz="4" w:space="0" w:color="auto"/>
              <w:bottom w:val="single" w:sz="12" w:space="0" w:color="auto"/>
            </w:tcBorders>
            <w:shd w:val="clear" w:color="auto" w:fill="auto"/>
            <w:vAlign w:val="bottom"/>
          </w:tcPr>
          <w:p w:rsidR="00344671" w:rsidRPr="00344671" w:rsidRDefault="00344671" w:rsidP="00344671">
            <w:pPr>
              <w:spacing w:before="80" w:after="80" w:line="200" w:lineRule="exact"/>
              <w:ind w:right="113"/>
              <w:rPr>
                <w:i/>
                <w:sz w:val="16"/>
              </w:rPr>
            </w:pPr>
            <w:r>
              <w:rPr>
                <w:i/>
                <w:sz w:val="16"/>
              </w:rPr>
              <w:t>II.</w:t>
            </w:r>
          </w:p>
        </w:tc>
        <w:tc>
          <w:tcPr>
            <w:tcW w:w="2835" w:type="dxa"/>
            <w:tcBorders>
              <w:top w:val="single" w:sz="4" w:space="0" w:color="auto"/>
              <w:bottom w:val="single" w:sz="12" w:space="0" w:color="auto"/>
            </w:tcBorders>
            <w:shd w:val="clear" w:color="auto" w:fill="auto"/>
            <w:vAlign w:val="bottom"/>
          </w:tcPr>
          <w:p w:rsidR="00344671" w:rsidRPr="00344671" w:rsidRDefault="00344671" w:rsidP="00344671">
            <w:pPr>
              <w:spacing w:before="80" w:after="80" w:line="200" w:lineRule="exact"/>
              <w:ind w:right="113"/>
              <w:rPr>
                <w:i/>
                <w:sz w:val="16"/>
              </w:rPr>
            </w:pPr>
            <w:r>
              <w:rPr>
                <w:i/>
                <w:sz w:val="16"/>
              </w:rPr>
              <w:t>III.</w:t>
            </w:r>
          </w:p>
        </w:tc>
      </w:tr>
      <w:tr w:rsidR="00344671" w:rsidRPr="00344671" w:rsidTr="000D7FC9">
        <w:tc>
          <w:tcPr>
            <w:tcW w:w="2835" w:type="dxa"/>
            <w:tcBorders>
              <w:top w:val="single" w:sz="12" w:space="0" w:color="auto"/>
              <w:bottom w:val="single" w:sz="12" w:space="0" w:color="auto"/>
            </w:tcBorders>
            <w:shd w:val="clear" w:color="auto" w:fill="auto"/>
          </w:tcPr>
          <w:p w:rsidR="00344671" w:rsidRPr="00344671" w:rsidRDefault="00344671" w:rsidP="00481AC4">
            <w:pPr>
              <w:spacing w:before="40" w:after="120"/>
              <w:ind w:right="113"/>
            </w:pPr>
            <w:r w:rsidRPr="00344671">
              <w:t>21</w:t>
            </w:r>
            <w:r w:rsidR="00481AC4">
              <w:rPr>
                <w:rStyle w:val="EndnoteReference"/>
              </w:rPr>
              <w:endnoteReference w:id="52"/>
            </w:r>
            <w:r w:rsidR="00B200F0">
              <w:t>,</w:t>
            </w:r>
            <w:r w:rsidRPr="00344671">
              <w:t xml:space="preserve"> 28</w:t>
            </w:r>
            <w:r w:rsidR="00481AC4">
              <w:rPr>
                <w:rStyle w:val="EndnoteReference"/>
              </w:rPr>
              <w:endnoteReference w:id="53"/>
            </w:r>
            <w:r w:rsidR="00B200F0">
              <w:t>,</w:t>
            </w:r>
            <w:r w:rsidRPr="00344671">
              <w:t xml:space="preserve"> 30</w:t>
            </w:r>
            <w:r w:rsidR="00481AC4">
              <w:rPr>
                <w:rStyle w:val="EndnoteReference"/>
              </w:rPr>
              <w:endnoteReference w:id="54"/>
            </w:r>
            <w:r w:rsidR="00B200F0">
              <w:t>,</w:t>
            </w:r>
            <w:r w:rsidRPr="00344671">
              <w:t xml:space="preserve"> 31</w:t>
            </w:r>
            <w:r w:rsidR="00481AC4">
              <w:rPr>
                <w:rStyle w:val="EndnoteReference"/>
              </w:rPr>
              <w:endnoteReference w:id="55"/>
            </w:r>
            <w:r w:rsidR="00B200F0">
              <w:t>,</w:t>
            </w:r>
            <w:r w:rsidRPr="00344671">
              <w:t xml:space="preserve"> 150</w:t>
            </w:r>
            <w:r w:rsidR="00481AC4">
              <w:rPr>
                <w:rStyle w:val="EndnoteReference"/>
              </w:rPr>
              <w:endnoteReference w:id="56"/>
            </w:r>
            <w:r w:rsidR="00B200F0">
              <w:t>,</w:t>
            </w:r>
            <w:r w:rsidRPr="00344671">
              <w:t xml:space="preserve"> </w:t>
            </w:r>
            <w:r w:rsidR="009302AC">
              <w:br/>
            </w:r>
            <w:r w:rsidRPr="00344671">
              <w:t>175</w:t>
            </w:r>
            <w:r w:rsidR="00481AC4">
              <w:rPr>
                <w:rStyle w:val="EndnoteReference"/>
              </w:rPr>
              <w:endnoteReference w:id="57"/>
            </w:r>
            <w:r w:rsidR="00B200F0">
              <w:t>,</w:t>
            </w:r>
            <w:r w:rsidRPr="00344671">
              <w:t xml:space="preserve"> 176</w:t>
            </w:r>
            <w:r w:rsidR="00481AC4">
              <w:rPr>
                <w:rStyle w:val="EndnoteReference"/>
              </w:rPr>
              <w:endnoteReference w:id="58"/>
            </w:r>
            <w:r w:rsidR="00B200F0">
              <w:t>.</w:t>
            </w:r>
          </w:p>
        </w:tc>
        <w:tc>
          <w:tcPr>
            <w:tcW w:w="2835" w:type="dxa"/>
            <w:tcBorders>
              <w:top w:val="single" w:sz="12" w:space="0" w:color="auto"/>
              <w:bottom w:val="single" w:sz="12" w:space="0" w:color="auto"/>
            </w:tcBorders>
            <w:shd w:val="clear" w:color="auto" w:fill="auto"/>
          </w:tcPr>
          <w:p w:rsidR="00344671" w:rsidRPr="00344671" w:rsidRDefault="00344671" w:rsidP="00481AC4">
            <w:pPr>
              <w:spacing w:before="40" w:after="120"/>
              <w:ind w:right="113"/>
            </w:pPr>
            <w:r w:rsidRPr="00344671">
              <w:t>23</w:t>
            </w:r>
            <w:r w:rsidR="00481AC4">
              <w:rPr>
                <w:rStyle w:val="EndnoteReference"/>
              </w:rPr>
              <w:endnoteReference w:id="59"/>
            </w:r>
            <w:r w:rsidR="00B200F0">
              <w:t>,</w:t>
            </w:r>
            <w:r w:rsidRPr="00344671">
              <w:t xml:space="preserve"> 152</w:t>
            </w:r>
            <w:r w:rsidR="00481AC4">
              <w:rPr>
                <w:rStyle w:val="EndnoteReference"/>
              </w:rPr>
              <w:endnoteReference w:id="60"/>
            </w:r>
            <w:r w:rsidR="00B200F0">
              <w:t>.</w:t>
            </w:r>
          </w:p>
        </w:tc>
        <w:tc>
          <w:tcPr>
            <w:tcW w:w="2835" w:type="dxa"/>
            <w:tcBorders>
              <w:top w:val="single" w:sz="12" w:space="0" w:color="auto"/>
              <w:bottom w:val="single" w:sz="12" w:space="0" w:color="auto"/>
            </w:tcBorders>
            <w:shd w:val="clear" w:color="auto" w:fill="auto"/>
          </w:tcPr>
          <w:p w:rsidR="00344671" w:rsidRPr="00344671" w:rsidRDefault="00344671" w:rsidP="00481AC4">
            <w:pPr>
              <w:spacing w:before="40" w:after="120"/>
              <w:ind w:right="113"/>
            </w:pPr>
            <w:r w:rsidRPr="00344671">
              <w:t>151</w:t>
            </w:r>
            <w:r w:rsidR="00481AC4">
              <w:rPr>
                <w:rStyle w:val="EndnoteReference"/>
              </w:rPr>
              <w:endnoteReference w:id="61"/>
            </w:r>
            <w:r w:rsidR="00B200F0">
              <w:t>,</w:t>
            </w:r>
            <w:r w:rsidRPr="00344671">
              <w:t xml:space="preserve"> 156</w:t>
            </w:r>
            <w:r w:rsidR="00481AC4">
              <w:rPr>
                <w:rStyle w:val="EndnoteReference"/>
              </w:rPr>
              <w:endnoteReference w:id="62"/>
            </w:r>
            <w:r w:rsidR="00B200F0">
              <w:t>.</w:t>
            </w:r>
          </w:p>
        </w:tc>
      </w:tr>
    </w:tbl>
    <w:p w:rsidR="000D7FC9" w:rsidRPr="000D7FC9" w:rsidRDefault="000D7FC9" w:rsidP="000D7FC9">
      <w:pPr>
        <w:pStyle w:val="HChG"/>
      </w:pPr>
      <w:r>
        <w:tab/>
      </w:r>
      <w:r>
        <w:tab/>
      </w:r>
      <w:r w:rsidRPr="000D7FC9">
        <w:t>Civil society</w:t>
      </w:r>
    </w:p>
    <w:p w:rsidR="000D7FC9" w:rsidRPr="000D7FC9" w:rsidRDefault="000D7FC9" w:rsidP="000D7FC9">
      <w:pPr>
        <w:pStyle w:val="SingleTxtG"/>
      </w:pPr>
      <w:r>
        <w:t>13.</w:t>
      </w:r>
      <w:r>
        <w:tab/>
      </w:r>
      <w:r w:rsidRPr="000D7FC9">
        <w:t>Government proposals for bills and decrees are to be published on its webpage. General consultations are mandatory, direct consultations are optional. In case of a rejected opinion, reasoning for the rejection has to be uploaded. The minister may involve NGOs, churches, minority organisations, professional and scientific organisations, lobby-groups etc. in the drafting process.</w:t>
      </w:r>
    </w:p>
    <w:p w:rsidR="000D7FC9" w:rsidRPr="000D7FC9" w:rsidRDefault="000D7FC9" w:rsidP="000D7FC9">
      <w:pPr>
        <w:pStyle w:val="SingleTxtG"/>
      </w:pPr>
      <w:r>
        <w:t>14.</w:t>
      </w:r>
      <w:r>
        <w:tab/>
      </w:r>
      <w:r w:rsidRPr="000D7FC9">
        <w:t>Human rights of HRDs</w:t>
      </w:r>
      <w:r w:rsidR="00D408B1">
        <w:rPr>
          <w:rStyle w:val="EndnoteReference"/>
        </w:rPr>
        <w:endnoteReference w:id="63"/>
      </w:r>
      <w:r w:rsidRPr="000D7FC9">
        <w:t xml:space="preserve"> are respected, including ones promoting the rights of Roma </w:t>
      </w:r>
      <w:proofErr w:type="gramStart"/>
      <w:r w:rsidRPr="000D7FC9">
        <w:t>communities,</w:t>
      </w:r>
      <w:proofErr w:type="gramEnd"/>
      <w:r w:rsidRPr="000D7FC9">
        <w:t xml:space="preserve"> the Government constantly consults with Roma HRDs. The Government Control Office audits the use of public funds, NGOs involved in any investigation have the right to appeal to Court. In line with international regulations there are only certain transparency and accounting restrictions for NGOs when accessing national or foreign funding.</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531379" w:rsidRPr="00531379" w:rsidTr="00531379">
        <w:tc>
          <w:tcPr>
            <w:tcW w:w="2835" w:type="dxa"/>
            <w:tcBorders>
              <w:top w:val="single" w:sz="4" w:space="0" w:color="auto"/>
              <w:bottom w:val="single" w:sz="12" w:space="0" w:color="auto"/>
            </w:tcBorders>
            <w:shd w:val="clear" w:color="auto" w:fill="auto"/>
            <w:vAlign w:val="bottom"/>
          </w:tcPr>
          <w:p w:rsidR="00531379" w:rsidRPr="00531379" w:rsidRDefault="00531379" w:rsidP="00531379">
            <w:pPr>
              <w:spacing w:before="80" w:after="80" w:line="200" w:lineRule="exact"/>
              <w:ind w:right="113"/>
              <w:rPr>
                <w:i/>
                <w:sz w:val="16"/>
              </w:rPr>
            </w:pPr>
            <w:r>
              <w:rPr>
                <w:i/>
                <w:sz w:val="16"/>
              </w:rPr>
              <w:t>I.</w:t>
            </w:r>
          </w:p>
        </w:tc>
        <w:tc>
          <w:tcPr>
            <w:tcW w:w="2835" w:type="dxa"/>
            <w:tcBorders>
              <w:top w:val="single" w:sz="4" w:space="0" w:color="auto"/>
              <w:bottom w:val="single" w:sz="12" w:space="0" w:color="auto"/>
            </w:tcBorders>
            <w:shd w:val="clear" w:color="auto" w:fill="auto"/>
            <w:vAlign w:val="bottom"/>
          </w:tcPr>
          <w:p w:rsidR="00531379" w:rsidRPr="00531379" w:rsidRDefault="00531379" w:rsidP="00531379">
            <w:pPr>
              <w:spacing w:before="80" w:after="80" w:line="200" w:lineRule="exact"/>
              <w:ind w:right="113"/>
              <w:rPr>
                <w:i/>
                <w:sz w:val="16"/>
              </w:rPr>
            </w:pPr>
            <w:r>
              <w:rPr>
                <w:i/>
                <w:sz w:val="16"/>
              </w:rPr>
              <w:t>II.</w:t>
            </w:r>
          </w:p>
        </w:tc>
        <w:tc>
          <w:tcPr>
            <w:tcW w:w="2835" w:type="dxa"/>
            <w:tcBorders>
              <w:top w:val="single" w:sz="4" w:space="0" w:color="auto"/>
              <w:bottom w:val="single" w:sz="12" w:space="0" w:color="auto"/>
            </w:tcBorders>
            <w:shd w:val="clear" w:color="auto" w:fill="auto"/>
            <w:vAlign w:val="bottom"/>
          </w:tcPr>
          <w:p w:rsidR="00531379" w:rsidRPr="00531379" w:rsidRDefault="00531379" w:rsidP="00531379">
            <w:pPr>
              <w:spacing w:before="80" w:after="80" w:line="200" w:lineRule="exact"/>
              <w:ind w:right="113"/>
              <w:rPr>
                <w:i/>
                <w:sz w:val="16"/>
              </w:rPr>
            </w:pPr>
            <w:r>
              <w:rPr>
                <w:i/>
                <w:sz w:val="16"/>
              </w:rPr>
              <w:t>III.</w:t>
            </w:r>
          </w:p>
        </w:tc>
      </w:tr>
      <w:tr w:rsidR="00531379" w:rsidRPr="00531379" w:rsidTr="00531379">
        <w:tc>
          <w:tcPr>
            <w:tcW w:w="2835" w:type="dxa"/>
            <w:tcBorders>
              <w:top w:val="single" w:sz="12" w:space="0" w:color="auto"/>
              <w:bottom w:val="single" w:sz="12" w:space="0" w:color="auto"/>
            </w:tcBorders>
            <w:shd w:val="clear" w:color="auto" w:fill="auto"/>
          </w:tcPr>
          <w:p w:rsidR="00531379" w:rsidRPr="00531379" w:rsidRDefault="00531379" w:rsidP="00D408B1">
            <w:pPr>
              <w:spacing w:before="40" w:after="120"/>
              <w:ind w:right="113"/>
            </w:pPr>
            <w:r w:rsidRPr="00531379">
              <w:t>36</w:t>
            </w:r>
            <w:r w:rsidR="00D408B1">
              <w:rPr>
                <w:rStyle w:val="EndnoteReference"/>
              </w:rPr>
              <w:endnoteReference w:id="64"/>
            </w:r>
            <w:r w:rsidR="00B200F0">
              <w:t>,</w:t>
            </w:r>
            <w:r w:rsidRPr="00531379">
              <w:t xml:space="preserve"> 37</w:t>
            </w:r>
            <w:r w:rsidR="00D408B1">
              <w:rPr>
                <w:rStyle w:val="EndnoteReference"/>
              </w:rPr>
              <w:endnoteReference w:id="65"/>
            </w:r>
            <w:r w:rsidR="00B200F0">
              <w:t>,</w:t>
            </w:r>
            <w:r w:rsidRPr="00531379">
              <w:t xml:space="preserve"> 38</w:t>
            </w:r>
            <w:r w:rsidR="00D408B1">
              <w:rPr>
                <w:rStyle w:val="EndnoteReference"/>
              </w:rPr>
              <w:endnoteReference w:id="66"/>
            </w:r>
            <w:r w:rsidR="00B200F0">
              <w:t>,</w:t>
            </w:r>
            <w:r w:rsidRPr="00531379">
              <w:t xml:space="preserve"> 39</w:t>
            </w:r>
            <w:r w:rsidR="00D408B1">
              <w:rPr>
                <w:rStyle w:val="EndnoteReference"/>
              </w:rPr>
              <w:endnoteReference w:id="67"/>
            </w:r>
            <w:r w:rsidR="00B200F0">
              <w:t>,</w:t>
            </w:r>
            <w:r w:rsidRPr="00531379">
              <w:t xml:space="preserve"> 40</w:t>
            </w:r>
            <w:r w:rsidR="00D408B1">
              <w:rPr>
                <w:rStyle w:val="EndnoteReference"/>
              </w:rPr>
              <w:endnoteReference w:id="68"/>
            </w:r>
            <w:r w:rsidR="00B200F0">
              <w:t>,</w:t>
            </w:r>
            <w:r w:rsidRPr="00531379">
              <w:t xml:space="preserve"> </w:t>
            </w:r>
            <w:r w:rsidR="009302AC">
              <w:br/>
            </w:r>
            <w:r w:rsidRPr="00531379">
              <w:t>164</w:t>
            </w:r>
            <w:r w:rsidR="00D408B1">
              <w:rPr>
                <w:rStyle w:val="EndnoteReference"/>
              </w:rPr>
              <w:endnoteReference w:id="69"/>
            </w:r>
            <w:r w:rsidR="00B200F0">
              <w:t>,</w:t>
            </w:r>
            <w:r w:rsidRPr="00531379">
              <w:t xml:space="preserve"> 165</w:t>
            </w:r>
            <w:r w:rsidR="00D408B1">
              <w:rPr>
                <w:rStyle w:val="EndnoteReference"/>
              </w:rPr>
              <w:endnoteReference w:id="70"/>
            </w:r>
            <w:r w:rsidR="00B200F0">
              <w:t>,</w:t>
            </w:r>
            <w:r w:rsidRPr="00531379">
              <w:t xml:space="preserve"> 167</w:t>
            </w:r>
            <w:r w:rsidR="00D408B1">
              <w:rPr>
                <w:rStyle w:val="EndnoteReference"/>
              </w:rPr>
              <w:endnoteReference w:id="71"/>
            </w:r>
            <w:r w:rsidR="00B200F0">
              <w:t>,</w:t>
            </w:r>
            <w:r w:rsidRPr="00531379">
              <w:t xml:space="preserve"> 168</w:t>
            </w:r>
            <w:r w:rsidR="00D408B1">
              <w:rPr>
                <w:rStyle w:val="EndnoteReference"/>
              </w:rPr>
              <w:endnoteReference w:id="72"/>
            </w:r>
            <w:r w:rsidR="00B200F0">
              <w:t>.</w:t>
            </w:r>
          </w:p>
        </w:tc>
        <w:tc>
          <w:tcPr>
            <w:tcW w:w="2835" w:type="dxa"/>
            <w:tcBorders>
              <w:top w:val="single" w:sz="12" w:space="0" w:color="auto"/>
              <w:bottom w:val="single" w:sz="12" w:space="0" w:color="auto"/>
            </w:tcBorders>
            <w:shd w:val="clear" w:color="auto" w:fill="auto"/>
          </w:tcPr>
          <w:p w:rsidR="00531379" w:rsidRPr="00531379" w:rsidRDefault="00531379" w:rsidP="00D408B1">
            <w:pPr>
              <w:spacing w:before="40" w:after="120"/>
              <w:ind w:right="113"/>
            </w:pPr>
            <w:r w:rsidRPr="00531379">
              <w:t>162</w:t>
            </w:r>
            <w:r w:rsidR="00D408B1">
              <w:rPr>
                <w:rStyle w:val="EndnoteReference"/>
              </w:rPr>
              <w:endnoteReference w:id="73"/>
            </w:r>
            <w:r w:rsidR="00B200F0">
              <w:t>.</w:t>
            </w:r>
          </w:p>
        </w:tc>
        <w:tc>
          <w:tcPr>
            <w:tcW w:w="2835" w:type="dxa"/>
            <w:tcBorders>
              <w:top w:val="single" w:sz="12" w:space="0" w:color="auto"/>
              <w:bottom w:val="single" w:sz="12" w:space="0" w:color="auto"/>
            </w:tcBorders>
            <w:shd w:val="clear" w:color="auto" w:fill="auto"/>
          </w:tcPr>
          <w:p w:rsidR="00531379" w:rsidRPr="00531379" w:rsidRDefault="00531379" w:rsidP="00531379">
            <w:pPr>
              <w:spacing w:before="40" w:after="120"/>
              <w:ind w:right="113"/>
            </w:pPr>
            <w:r>
              <w:t>–</w:t>
            </w:r>
          </w:p>
        </w:tc>
      </w:tr>
    </w:tbl>
    <w:p w:rsidR="00531379" w:rsidRPr="00531379" w:rsidRDefault="00531379" w:rsidP="00531379">
      <w:pPr>
        <w:pStyle w:val="HChG"/>
      </w:pPr>
      <w:r>
        <w:tab/>
      </w:r>
      <w:r>
        <w:tab/>
      </w:r>
      <w:r w:rsidRPr="00531379">
        <w:t>Family</w:t>
      </w:r>
    </w:p>
    <w:p w:rsidR="00531379" w:rsidRPr="00531379" w:rsidRDefault="00531379" w:rsidP="00531379">
      <w:pPr>
        <w:pStyle w:val="SingleTxtG"/>
      </w:pPr>
      <w:r>
        <w:t>15.</w:t>
      </w:r>
      <w:r>
        <w:tab/>
      </w:r>
      <w:r w:rsidRPr="00531379">
        <w:t>In order to enhance the social security of families and ease the financial burden of bringing up children, the family support system provides a broad scope of benefits. Free or discounted meals are provided for children living in low-income families in educational institutions</w:t>
      </w:r>
      <w:r w:rsidR="00D408B1">
        <w:rPr>
          <w:rStyle w:val="EndnoteReference"/>
        </w:rPr>
        <w:endnoteReference w:id="74"/>
      </w:r>
      <w:r w:rsidRPr="00531379">
        <w:t xml:space="preserve">. Family policies are developed in accordance with gender equality and non-discrimination requirements and are under permanent assessment based upon the necessities </w:t>
      </w:r>
      <w:r>
        <w:t>of the concerned social groups.</w:t>
      </w:r>
    </w:p>
    <w:p w:rsidR="00531379" w:rsidRPr="00531379" w:rsidRDefault="00531379" w:rsidP="00531379">
      <w:pPr>
        <w:pStyle w:val="SingleTxtG"/>
      </w:pPr>
      <w:r>
        <w:t>16.</w:t>
      </w:r>
      <w:r>
        <w:tab/>
      </w:r>
      <w:r w:rsidRPr="00531379">
        <w:t>According to the Fundamental Law the foundation of family ties are the marriage, and the relationship between parents and children. It also declares that Hungary shall protect the institution of marriage as the union of a man and a woman established by voluntary decision, and the family as the basis of the nation’s survival. It is imperative that legislation is in accordance with the Fundamental Law.</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531379" w:rsidRPr="00531379" w:rsidTr="00531379">
        <w:tc>
          <w:tcPr>
            <w:tcW w:w="2835" w:type="dxa"/>
            <w:tcBorders>
              <w:top w:val="single" w:sz="4" w:space="0" w:color="auto"/>
              <w:bottom w:val="single" w:sz="12" w:space="0" w:color="auto"/>
            </w:tcBorders>
            <w:shd w:val="clear" w:color="auto" w:fill="auto"/>
            <w:vAlign w:val="bottom"/>
          </w:tcPr>
          <w:p w:rsidR="00531379" w:rsidRPr="00531379" w:rsidRDefault="00531379" w:rsidP="00531379">
            <w:pPr>
              <w:spacing w:before="80" w:after="80" w:line="200" w:lineRule="exact"/>
              <w:ind w:right="113"/>
              <w:rPr>
                <w:i/>
                <w:sz w:val="16"/>
              </w:rPr>
            </w:pPr>
            <w:r>
              <w:rPr>
                <w:i/>
                <w:sz w:val="16"/>
              </w:rPr>
              <w:t>I.</w:t>
            </w:r>
          </w:p>
        </w:tc>
        <w:tc>
          <w:tcPr>
            <w:tcW w:w="2835" w:type="dxa"/>
            <w:tcBorders>
              <w:top w:val="single" w:sz="4" w:space="0" w:color="auto"/>
              <w:bottom w:val="single" w:sz="12" w:space="0" w:color="auto"/>
            </w:tcBorders>
            <w:shd w:val="clear" w:color="auto" w:fill="auto"/>
            <w:vAlign w:val="bottom"/>
          </w:tcPr>
          <w:p w:rsidR="00531379" w:rsidRPr="00531379" w:rsidRDefault="00531379" w:rsidP="00531379">
            <w:pPr>
              <w:spacing w:before="80" w:after="80" w:line="200" w:lineRule="exact"/>
              <w:ind w:right="113"/>
              <w:rPr>
                <w:i/>
                <w:sz w:val="16"/>
              </w:rPr>
            </w:pPr>
            <w:r>
              <w:rPr>
                <w:i/>
                <w:sz w:val="16"/>
              </w:rPr>
              <w:t>II.</w:t>
            </w:r>
          </w:p>
        </w:tc>
        <w:tc>
          <w:tcPr>
            <w:tcW w:w="2835" w:type="dxa"/>
            <w:tcBorders>
              <w:top w:val="single" w:sz="4" w:space="0" w:color="auto"/>
              <w:bottom w:val="single" w:sz="12" w:space="0" w:color="auto"/>
            </w:tcBorders>
            <w:shd w:val="clear" w:color="auto" w:fill="auto"/>
            <w:vAlign w:val="bottom"/>
          </w:tcPr>
          <w:p w:rsidR="00531379" w:rsidRPr="00531379" w:rsidRDefault="00531379" w:rsidP="00531379">
            <w:pPr>
              <w:spacing w:before="80" w:after="80" w:line="200" w:lineRule="exact"/>
              <w:ind w:right="113"/>
              <w:rPr>
                <w:i/>
                <w:sz w:val="16"/>
              </w:rPr>
            </w:pPr>
            <w:r>
              <w:rPr>
                <w:i/>
                <w:sz w:val="16"/>
              </w:rPr>
              <w:t>III.</w:t>
            </w:r>
          </w:p>
        </w:tc>
      </w:tr>
      <w:tr w:rsidR="00531379" w:rsidRPr="00531379" w:rsidTr="00531379">
        <w:tc>
          <w:tcPr>
            <w:tcW w:w="2835" w:type="dxa"/>
            <w:tcBorders>
              <w:top w:val="single" w:sz="12" w:space="0" w:color="auto"/>
              <w:bottom w:val="single" w:sz="12" w:space="0" w:color="auto"/>
            </w:tcBorders>
            <w:shd w:val="clear" w:color="auto" w:fill="auto"/>
          </w:tcPr>
          <w:p w:rsidR="00531379" w:rsidRPr="00531379" w:rsidRDefault="00531379" w:rsidP="00D408B1">
            <w:pPr>
              <w:spacing w:before="40" w:after="120"/>
              <w:ind w:right="113"/>
            </w:pPr>
            <w:r w:rsidRPr="00531379">
              <w:t>22</w:t>
            </w:r>
            <w:r w:rsidR="00D408B1">
              <w:rPr>
                <w:rStyle w:val="EndnoteReference"/>
              </w:rPr>
              <w:endnoteReference w:id="75"/>
            </w:r>
            <w:r w:rsidR="00B200F0">
              <w:t>.</w:t>
            </w:r>
          </w:p>
        </w:tc>
        <w:tc>
          <w:tcPr>
            <w:tcW w:w="2835" w:type="dxa"/>
            <w:tcBorders>
              <w:top w:val="single" w:sz="12" w:space="0" w:color="auto"/>
              <w:bottom w:val="single" w:sz="12" w:space="0" w:color="auto"/>
            </w:tcBorders>
            <w:shd w:val="clear" w:color="auto" w:fill="auto"/>
          </w:tcPr>
          <w:p w:rsidR="00531379" w:rsidRPr="00531379" w:rsidRDefault="00531379" w:rsidP="00D408B1">
            <w:pPr>
              <w:spacing w:before="40" w:after="120"/>
              <w:ind w:right="113"/>
            </w:pPr>
            <w:r w:rsidRPr="00531379">
              <w:t>47</w:t>
            </w:r>
            <w:r w:rsidR="00D408B1">
              <w:rPr>
                <w:rStyle w:val="EndnoteReference"/>
              </w:rPr>
              <w:endnoteReference w:id="76"/>
            </w:r>
            <w:r w:rsidR="00B200F0">
              <w:t>,</w:t>
            </w:r>
            <w:r w:rsidRPr="00531379">
              <w:t xml:space="preserve"> 170</w:t>
            </w:r>
            <w:r w:rsidR="00D408B1">
              <w:rPr>
                <w:rStyle w:val="EndnoteReference"/>
              </w:rPr>
              <w:endnoteReference w:id="77"/>
            </w:r>
            <w:r w:rsidR="00B200F0">
              <w:t>.</w:t>
            </w:r>
          </w:p>
        </w:tc>
        <w:tc>
          <w:tcPr>
            <w:tcW w:w="2835" w:type="dxa"/>
            <w:tcBorders>
              <w:top w:val="single" w:sz="12" w:space="0" w:color="auto"/>
              <w:bottom w:val="single" w:sz="12" w:space="0" w:color="auto"/>
            </w:tcBorders>
            <w:shd w:val="clear" w:color="auto" w:fill="auto"/>
          </w:tcPr>
          <w:p w:rsidR="00531379" w:rsidRPr="00531379" w:rsidRDefault="00531379" w:rsidP="00D408B1">
            <w:pPr>
              <w:spacing w:before="40" w:after="120"/>
              <w:ind w:right="113"/>
            </w:pPr>
            <w:r w:rsidRPr="00531379">
              <w:t>126</w:t>
            </w:r>
            <w:r w:rsidR="00D408B1">
              <w:rPr>
                <w:rStyle w:val="EndnoteReference"/>
              </w:rPr>
              <w:endnoteReference w:id="78"/>
            </w:r>
            <w:r w:rsidR="00B200F0">
              <w:t>.</w:t>
            </w:r>
          </w:p>
        </w:tc>
      </w:tr>
    </w:tbl>
    <w:p w:rsidR="00531379" w:rsidRPr="00531379" w:rsidRDefault="00531379" w:rsidP="00531379">
      <w:pPr>
        <w:pStyle w:val="HChG"/>
      </w:pPr>
      <w:r>
        <w:tab/>
      </w:r>
      <w:r>
        <w:tab/>
      </w:r>
      <w:r w:rsidRPr="00531379">
        <w:t>V</w:t>
      </w:r>
      <w:r>
        <w:t>ulnerable groups</w:t>
      </w:r>
    </w:p>
    <w:p w:rsidR="00531379" w:rsidRPr="00531379" w:rsidRDefault="00531379" w:rsidP="00531379">
      <w:pPr>
        <w:pStyle w:val="SingleTxtG"/>
      </w:pPr>
      <w:r>
        <w:t>17.</w:t>
      </w:r>
      <w:r>
        <w:tab/>
      </w:r>
      <w:r w:rsidRPr="00531379">
        <w:t xml:space="preserve">No child shall be subject to torture, corporal punishment or any other cruel, inhuman or degrading punishment or treatment. The Hungarian </w:t>
      </w:r>
      <w:r w:rsidRPr="00531379">
        <w:rPr>
          <w:u w:val="single"/>
        </w:rPr>
        <w:t>child protection</w:t>
      </w:r>
      <w:r w:rsidRPr="00531379">
        <w:t xml:space="preserve"> service involves the child rights representatives and the independent child protection guardians. The “A” status Fundamental Rights Commissioner also pays special attention to the protection of the child rights, the interests of future generations and the rights of the most vulnerable social groups including minorities. Temporary shelter and care is available for endangered children and their parent(s). The National Institute of Child Health developed new methodology and a counselling website. Anti-abuse programmes and trainings are org</w:t>
      </w:r>
      <w:r>
        <w:t>anised for experts and parents.</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E8503A" w:rsidRPr="00E8503A" w:rsidTr="00E8503A">
        <w:tc>
          <w:tcPr>
            <w:tcW w:w="3217" w:type="dxa"/>
            <w:tcBorders>
              <w:top w:val="single" w:sz="4" w:space="0" w:color="auto"/>
              <w:bottom w:val="single" w:sz="12" w:space="0" w:color="auto"/>
            </w:tcBorders>
            <w:shd w:val="clear" w:color="auto" w:fill="auto"/>
            <w:vAlign w:val="bottom"/>
          </w:tcPr>
          <w:p w:rsidR="00E8503A" w:rsidRPr="00E8503A" w:rsidRDefault="008765D2" w:rsidP="00E8503A">
            <w:pPr>
              <w:spacing w:before="80" w:after="80" w:line="200" w:lineRule="exact"/>
              <w:ind w:right="113"/>
              <w:rPr>
                <w:i/>
                <w:sz w:val="16"/>
              </w:rPr>
            </w:pPr>
            <w:r>
              <w:rPr>
                <w:i/>
                <w:sz w:val="16"/>
              </w:rPr>
              <w:t>I.</w:t>
            </w:r>
          </w:p>
        </w:tc>
        <w:tc>
          <w:tcPr>
            <w:tcW w:w="3216" w:type="dxa"/>
            <w:tcBorders>
              <w:top w:val="single" w:sz="4" w:space="0" w:color="auto"/>
              <w:bottom w:val="single" w:sz="12" w:space="0" w:color="auto"/>
            </w:tcBorders>
            <w:shd w:val="clear" w:color="auto" w:fill="auto"/>
            <w:vAlign w:val="bottom"/>
          </w:tcPr>
          <w:p w:rsidR="00E8503A" w:rsidRPr="00E8503A" w:rsidRDefault="00E8503A" w:rsidP="00E8503A">
            <w:pPr>
              <w:spacing w:before="80" w:after="80" w:line="200" w:lineRule="exact"/>
              <w:ind w:right="113"/>
              <w:rPr>
                <w:i/>
                <w:sz w:val="16"/>
              </w:rPr>
            </w:pPr>
            <w:r>
              <w:rPr>
                <w:i/>
                <w:sz w:val="16"/>
              </w:rPr>
              <w:t>II.</w:t>
            </w:r>
          </w:p>
        </w:tc>
        <w:tc>
          <w:tcPr>
            <w:tcW w:w="3216" w:type="dxa"/>
            <w:tcBorders>
              <w:top w:val="single" w:sz="4" w:space="0" w:color="auto"/>
              <w:bottom w:val="single" w:sz="12" w:space="0" w:color="auto"/>
            </w:tcBorders>
            <w:shd w:val="clear" w:color="auto" w:fill="auto"/>
            <w:vAlign w:val="bottom"/>
          </w:tcPr>
          <w:p w:rsidR="00E8503A" w:rsidRPr="00E8503A" w:rsidRDefault="00E8503A" w:rsidP="00E8503A">
            <w:pPr>
              <w:spacing w:before="80" w:after="80" w:line="200" w:lineRule="exact"/>
              <w:ind w:right="113"/>
              <w:rPr>
                <w:i/>
                <w:sz w:val="16"/>
              </w:rPr>
            </w:pPr>
            <w:r>
              <w:rPr>
                <w:i/>
                <w:sz w:val="16"/>
              </w:rPr>
              <w:t>III.</w:t>
            </w:r>
          </w:p>
        </w:tc>
      </w:tr>
      <w:tr w:rsidR="00E8503A" w:rsidRPr="00E8503A" w:rsidTr="00E8503A">
        <w:tc>
          <w:tcPr>
            <w:tcW w:w="3217" w:type="dxa"/>
            <w:tcBorders>
              <w:top w:val="single" w:sz="12" w:space="0" w:color="auto"/>
              <w:bottom w:val="single" w:sz="12" w:space="0" w:color="auto"/>
            </w:tcBorders>
            <w:shd w:val="clear" w:color="auto" w:fill="auto"/>
          </w:tcPr>
          <w:p w:rsidR="00E8503A" w:rsidRPr="00E8503A" w:rsidRDefault="00E8503A" w:rsidP="00D408B1">
            <w:pPr>
              <w:spacing w:before="40" w:after="120"/>
              <w:ind w:right="113"/>
            </w:pPr>
            <w:r w:rsidRPr="00E8503A">
              <w:t>33</w:t>
            </w:r>
            <w:r w:rsidR="00D408B1">
              <w:rPr>
                <w:rStyle w:val="EndnoteReference"/>
              </w:rPr>
              <w:endnoteReference w:id="79"/>
            </w:r>
            <w:r w:rsidR="00B200F0">
              <w:t>,</w:t>
            </w:r>
            <w:r w:rsidRPr="00E8503A">
              <w:t xml:space="preserve"> 34</w:t>
            </w:r>
            <w:r w:rsidR="00D408B1">
              <w:rPr>
                <w:rStyle w:val="EndnoteReference"/>
              </w:rPr>
              <w:endnoteReference w:id="80"/>
            </w:r>
            <w:r w:rsidR="00B200F0">
              <w:t>,</w:t>
            </w:r>
            <w:r w:rsidRPr="00E8503A">
              <w:t xml:space="preserve"> 35</w:t>
            </w:r>
            <w:r w:rsidR="00D408B1">
              <w:rPr>
                <w:rStyle w:val="EndnoteReference"/>
              </w:rPr>
              <w:endnoteReference w:id="81"/>
            </w:r>
            <w:r w:rsidR="00B200F0">
              <w:t>.</w:t>
            </w:r>
          </w:p>
        </w:tc>
        <w:tc>
          <w:tcPr>
            <w:tcW w:w="3216" w:type="dxa"/>
            <w:tcBorders>
              <w:top w:val="single" w:sz="12" w:space="0" w:color="auto"/>
              <w:bottom w:val="single" w:sz="12" w:space="0" w:color="auto"/>
            </w:tcBorders>
            <w:shd w:val="clear" w:color="auto" w:fill="auto"/>
          </w:tcPr>
          <w:p w:rsidR="00E8503A" w:rsidRPr="00E8503A" w:rsidRDefault="00E8503A" w:rsidP="00D408B1">
            <w:pPr>
              <w:spacing w:before="40" w:after="120"/>
              <w:ind w:right="113"/>
            </w:pPr>
            <w:r w:rsidRPr="00E8503A">
              <w:t>25</w:t>
            </w:r>
            <w:r w:rsidR="00D408B1">
              <w:rPr>
                <w:rStyle w:val="EndnoteReference"/>
              </w:rPr>
              <w:endnoteReference w:id="82"/>
            </w:r>
            <w:r w:rsidR="00B200F0">
              <w:t>,</w:t>
            </w:r>
            <w:r w:rsidRPr="00E8503A">
              <w:t xml:space="preserve"> 140</w:t>
            </w:r>
            <w:r w:rsidR="00D408B1">
              <w:rPr>
                <w:rStyle w:val="EndnoteReference"/>
              </w:rPr>
              <w:endnoteReference w:id="83"/>
            </w:r>
            <w:r w:rsidR="00B200F0">
              <w:t>.</w:t>
            </w:r>
          </w:p>
        </w:tc>
        <w:tc>
          <w:tcPr>
            <w:tcW w:w="3216" w:type="dxa"/>
            <w:tcBorders>
              <w:top w:val="single" w:sz="12" w:space="0" w:color="auto"/>
              <w:bottom w:val="single" w:sz="12" w:space="0" w:color="auto"/>
            </w:tcBorders>
            <w:shd w:val="clear" w:color="auto" w:fill="auto"/>
          </w:tcPr>
          <w:p w:rsidR="00E8503A" w:rsidRPr="00E8503A" w:rsidRDefault="00E8503A" w:rsidP="00E8503A">
            <w:pPr>
              <w:spacing w:before="40" w:after="120"/>
              <w:ind w:right="113"/>
            </w:pPr>
            <w:r>
              <w:t>–</w:t>
            </w:r>
          </w:p>
        </w:tc>
      </w:tr>
    </w:tbl>
    <w:p w:rsidR="00CF586F" w:rsidRDefault="00CF586F" w:rsidP="00E8503A"/>
    <w:p w:rsidR="00E8503A" w:rsidRPr="00E8503A" w:rsidRDefault="00E8503A" w:rsidP="00E8503A">
      <w:pPr>
        <w:pStyle w:val="SingleTxtG"/>
      </w:pPr>
      <w:r>
        <w:t>18.</w:t>
      </w:r>
      <w:r>
        <w:tab/>
      </w:r>
      <w:r w:rsidRPr="00E8503A">
        <w:t xml:space="preserve">The planned new Criminal Procedure Code will include further guarantees to take into account the best interest of the children in the </w:t>
      </w:r>
      <w:r w:rsidRPr="00E8503A">
        <w:rPr>
          <w:u w:val="single"/>
        </w:rPr>
        <w:t>juvenile justice</w:t>
      </w:r>
      <w:r w:rsidRPr="00E8503A">
        <w:t xml:space="preserve"> system. The new rules of the Criminal Code regarding detention and reintegration of children, in particular those between the ages of 12-14, are more favourable compared to older offenders.</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E8503A" w:rsidRPr="00E8503A" w:rsidTr="007C3F63">
        <w:tc>
          <w:tcPr>
            <w:tcW w:w="3217" w:type="dxa"/>
            <w:tcBorders>
              <w:top w:val="single" w:sz="4" w:space="0" w:color="auto"/>
              <w:bottom w:val="single" w:sz="12" w:space="0" w:color="auto"/>
            </w:tcBorders>
            <w:shd w:val="clear" w:color="auto" w:fill="auto"/>
            <w:vAlign w:val="bottom"/>
          </w:tcPr>
          <w:p w:rsidR="00E8503A" w:rsidRPr="00E8503A" w:rsidRDefault="00E8503A" w:rsidP="00E8503A">
            <w:pPr>
              <w:spacing w:before="80" w:after="80" w:line="200" w:lineRule="exact"/>
              <w:ind w:right="113"/>
              <w:rPr>
                <w:i/>
                <w:sz w:val="16"/>
              </w:rPr>
            </w:pPr>
            <w:r>
              <w:rPr>
                <w:i/>
                <w:sz w:val="16"/>
              </w:rPr>
              <w:t>I.</w:t>
            </w:r>
          </w:p>
        </w:tc>
        <w:tc>
          <w:tcPr>
            <w:tcW w:w="3216" w:type="dxa"/>
            <w:tcBorders>
              <w:top w:val="single" w:sz="4" w:space="0" w:color="auto"/>
              <w:bottom w:val="single" w:sz="12" w:space="0" w:color="auto"/>
            </w:tcBorders>
            <w:shd w:val="clear" w:color="auto" w:fill="auto"/>
            <w:vAlign w:val="bottom"/>
          </w:tcPr>
          <w:p w:rsidR="00E8503A" w:rsidRPr="00E8503A" w:rsidRDefault="00E8503A" w:rsidP="00E8503A">
            <w:pPr>
              <w:spacing w:before="80" w:after="80" w:line="200" w:lineRule="exact"/>
              <w:ind w:right="113"/>
              <w:rPr>
                <w:i/>
                <w:sz w:val="16"/>
              </w:rPr>
            </w:pPr>
            <w:r>
              <w:rPr>
                <w:i/>
                <w:sz w:val="16"/>
              </w:rPr>
              <w:t>II.</w:t>
            </w:r>
          </w:p>
        </w:tc>
        <w:tc>
          <w:tcPr>
            <w:tcW w:w="3216" w:type="dxa"/>
            <w:tcBorders>
              <w:top w:val="single" w:sz="4" w:space="0" w:color="auto"/>
              <w:bottom w:val="single" w:sz="12" w:space="0" w:color="auto"/>
            </w:tcBorders>
            <w:shd w:val="clear" w:color="auto" w:fill="auto"/>
            <w:vAlign w:val="bottom"/>
          </w:tcPr>
          <w:p w:rsidR="00E8503A" w:rsidRPr="00E8503A" w:rsidRDefault="00E8503A" w:rsidP="00E8503A">
            <w:pPr>
              <w:spacing w:before="80" w:after="80" w:line="200" w:lineRule="exact"/>
              <w:ind w:right="113"/>
              <w:rPr>
                <w:i/>
                <w:sz w:val="16"/>
              </w:rPr>
            </w:pPr>
            <w:r>
              <w:rPr>
                <w:i/>
                <w:sz w:val="16"/>
              </w:rPr>
              <w:t>III.</w:t>
            </w:r>
          </w:p>
        </w:tc>
      </w:tr>
      <w:tr w:rsidR="00E8503A" w:rsidRPr="00E8503A" w:rsidTr="007C3F63">
        <w:tc>
          <w:tcPr>
            <w:tcW w:w="3217" w:type="dxa"/>
            <w:tcBorders>
              <w:top w:val="single" w:sz="12" w:space="0" w:color="auto"/>
              <w:bottom w:val="single" w:sz="12" w:space="0" w:color="auto"/>
            </w:tcBorders>
            <w:shd w:val="clear" w:color="auto" w:fill="auto"/>
          </w:tcPr>
          <w:p w:rsidR="00E8503A" w:rsidRPr="00E8503A" w:rsidRDefault="00E8503A" w:rsidP="00D408B1">
            <w:pPr>
              <w:spacing w:before="40" w:after="120"/>
              <w:ind w:right="113"/>
            </w:pPr>
            <w:r w:rsidRPr="00E8503A">
              <w:t>153</w:t>
            </w:r>
            <w:r w:rsidR="00D408B1">
              <w:rPr>
                <w:rStyle w:val="EndnoteReference"/>
              </w:rPr>
              <w:endnoteReference w:id="84"/>
            </w:r>
            <w:r w:rsidR="00B200F0">
              <w:t>,</w:t>
            </w:r>
            <w:r w:rsidRPr="00E8503A">
              <w:t xml:space="preserve"> 154</w:t>
            </w:r>
            <w:r w:rsidR="00D408B1">
              <w:rPr>
                <w:rStyle w:val="EndnoteReference"/>
              </w:rPr>
              <w:endnoteReference w:id="85"/>
            </w:r>
            <w:r w:rsidR="00B200F0">
              <w:t>.</w:t>
            </w:r>
          </w:p>
        </w:tc>
        <w:tc>
          <w:tcPr>
            <w:tcW w:w="3216" w:type="dxa"/>
            <w:tcBorders>
              <w:top w:val="single" w:sz="12" w:space="0" w:color="auto"/>
              <w:bottom w:val="single" w:sz="12" w:space="0" w:color="auto"/>
            </w:tcBorders>
            <w:shd w:val="clear" w:color="auto" w:fill="auto"/>
          </w:tcPr>
          <w:p w:rsidR="00E8503A" w:rsidRPr="00E8503A" w:rsidRDefault="00E8503A" w:rsidP="00E8503A">
            <w:pPr>
              <w:spacing w:before="40" w:after="120"/>
              <w:ind w:right="113"/>
            </w:pPr>
            <w:r>
              <w:t>–</w:t>
            </w:r>
          </w:p>
        </w:tc>
        <w:tc>
          <w:tcPr>
            <w:tcW w:w="3216" w:type="dxa"/>
            <w:tcBorders>
              <w:top w:val="single" w:sz="12" w:space="0" w:color="auto"/>
              <w:bottom w:val="single" w:sz="12" w:space="0" w:color="auto"/>
            </w:tcBorders>
            <w:shd w:val="clear" w:color="auto" w:fill="auto"/>
          </w:tcPr>
          <w:p w:rsidR="00E8503A" w:rsidRPr="00E8503A" w:rsidRDefault="00E8503A" w:rsidP="00D408B1">
            <w:pPr>
              <w:spacing w:before="40" w:after="120"/>
              <w:ind w:right="113"/>
            </w:pPr>
            <w:r w:rsidRPr="00E8503A">
              <w:t>125</w:t>
            </w:r>
            <w:r w:rsidR="00D408B1">
              <w:rPr>
                <w:rStyle w:val="EndnoteReference"/>
              </w:rPr>
              <w:endnoteReference w:id="86"/>
            </w:r>
            <w:r w:rsidR="00B200F0">
              <w:t>,</w:t>
            </w:r>
            <w:r w:rsidRPr="00E8503A">
              <w:t xml:space="preserve"> 141</w:t>
            </w:r>
            <w:r w:rsidR="00D408B1">
              <w:rPr>
                <w:rStyle w:val="EndnoteReference"/>
              </w:rPr>
              <w:endnoteReference w:id="87"/>
            </w:r>
            <w:r w:rsidR="00B200F0">
              <w:t>.</w:t>
            </w:r>
          </w:p>
        </w:tc>
      </w:tr>
    </w:tbl>
    <w:p w:rsidR="00E8503A" w:rsidRDefault="00E8503A" w:rsidP="00E8503A"/>
    <w:p w:rsidR="00E8503A" w:rsidRPr="00E8503A" w:rsidRDefault="00E8503A" w:rsidP="00E8503A">
      <w:pPr>
        <w:pStyle w:val="SingleTxtG"/>
      </w:pPr>
      <w:r>
        <w:t>19.</w:t>
      </w:r>
      <w:r>
        <w:tab/>
      </w:r>
      <w:r w:rsidRPr="00E8503A">
        <w:t xml:space="preserve">The current legislation ensures the participation of </w:t>
      </w:r>
      <w:r w:rsidRPr="00E8503A">
        <w:rPr>
          <w:u w:val="single"/>
        </w:rPr>
        <w:t>women in political life</w:t>
      </w:r>
      <w:r w:rsidRPr="00E8503A">
        <w:t xml:space="preserve"> and in decision-making</w:t>
      </w:r>
      <w:r w:rsidR="00B634AC">
        <w:t>,</w:t>
      </w:r>
      <w:r w:rsidRPr="00E8503A">
        <w:t xml:space="preserve"> therefore no further legislative steps </w:t>
      </w:r>
      <w:proofErr w:type="gramStart"/>
      <w:r w:rsidRPr="00E8503A">
        <w:t>are</w:t>
      </w:r>
      <w:proofErr w:type="gramEnd"/>
      <w:r w:rsidRPr="00E8503A">
        <w:t xml:space="preserve"> necessary. However, the current comprehensive strategy aims to combat remaining gender stereotypes through new programs, media campaigns and projects for NGOs. </w:t>
      </w:r>
      <w:r w:rsidRPr="00E8503A">
        <w:rPr>
          <w:u w:val="single"/>
        </w:rPr>
        <w:t>Marriage</w:t>
      </w:r>
      <w:r w:rsidRPr="00E8503A">
        <w:t xml:space="preserve"> under the age of 16 is not allowed. Between 16-18 years it is possible only with the permission of the Guardianship Office which takes into account </w:t>
      </w:r>
      <w:r>
        <w:t>the best interest of the child.</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E8503A" w:rsidRPr="00E8503A" w:rsidTr="00E8503A">
        <w:tc>
          <w:tcPr>
            <w:tcW w:w="3217" w:type="dxa"/>
            <w:tcBorders>
              <w:top w:val="single" w:sz="4" w:space="0" w:color="auto"/>
              <w:bottom w:val="single" w:sz="12" w:space="0" w:color="auto"/>
            </w:tcBorders>
            <w:shd w:val="clear" w:color="auto" w:fill="auto"/>
            <w:vAlign w:val="bottom"/>
          </w:tcPr>
          <w:p w:rsidR="00E8503A" w:rsidRPr="00E8503A" w:rsidRDefault="00E8503A" w:rsidP="00E8503A">
            <w:pPr>
              <w:spacing w:before="80" w:after="80" w:line="200" w:lineRule="exact"/>
              <w:ind w:right="113"/>
              <w:rPr>
                <w:i/>
                <w:sz w:val="16"/>
              </w:rPr>
            </w:pPr>
            <w:r>
              <w:rPr>
                <w:i/>
                <w:sz w:val="16"/>
              </w:rPr>
              <w:t>I.</w:t>
            </w:r>
          </w:p>
        </w:tc>
        <w:tc>
          <w:tcPr>
            <w:tcW w:w="3216" w:type="dxa"/>
            <w:tcBorders>
              <w:top w:val="single" w:sz="4" w:space="0" w:color="auto"/>
              <w:bottom w:val="single" w:sz="12" w:space="0" w:color="auto"/>
            </w:tcBorders>
            <w:shd w:val="clear" w:color="auto" w:fill="auto"/>
            <w:vAlign w:val="bottom"/>
          </w:tcPr>
          <w:p w:rsidR="00E8503A" w:rsidRPr="00E8503A" w:rsidRDefault="00E8503A" w:rsidP="00E8503A">
            <w:pPr>
              <w:spacing w:before="80" w:after="80" w:line="200" w:lineRule="exact"/>
              <w:ind w:right="113"/>
              <w:rPr>
                <w:i/>
                <w:sz w:val="16"/>
              </w:rPr>
            </w:pPr>
            <w:r>
              <w:rPr>
                <w:i/>
                <w:sz w:val="16"/>
              </w:rPr>
              <w:t>II.</w:t>
            </w:r>
          </w:p>
        </w:tc>
        <w:tc>
          <w:tcPr>
            <w:tcW w:w="3216" w:type="dxa"/>
            <w:tcBorders>
              <w:top w:val="single" w:sz="4" w:space="0" w:color="auto"/>
              <w:bottom w:val="single" w:sz="12" w:space="0" w:color="auto"/>
            </w:tcBorders>
            <w:shd w:val="clear" w:color="auto" w:fill="auto"/>
            <w:vAlign w:val="bottom"/>
          </w:tcPr>
          <w:p w:rsidR="00E8503A" w:rsidRPr="00E8503A" w:rsidRDefault="00E8503A" w:rsidP="00E8503A">
            <w:pPr>
              <w:spacing w:before="80" w:after="80" w:line="200" w:lineRule="exact"/>
              <w:ind w:right="113"/>
              <w:rPr>
                <w:i/>
                <w:sz w:val="16"/>
              </w:rPr>
            </w:pPr>
            <w:r>
              <w:rPr>
                <w:i/>
                <w:sz w:val="16"/>
              </w:rPr>
              <w:t>III.</w:t>
            </w:r>
          </w:p>
        </w:tc>
      </w:tr>
      <w:tr w:rsidR="00E8503A" w:rsidRPr="00E8503A" w:rsidTr="00E8503A">
        <w:tc>
          <w:tcPr>
            <w:tcW w:w="3217" w:type="dxa"/>
            <w:tcBorders>
              <w:top w:val="single" w:sz="12" w:space="0" w:color="auto"/>
              <w:bottom w:val="single" w:sz="12" w:space="0" w:color="auto"/>
            </w:tcBorders>
            <w:shd w:val="clear" w:color="auto" w:fill="auto"/>
          </w:tcPr>
          <w:p w:rsidR="00E8503A" w:rsidRPr="00E8503A" w:rsidRDefault="00E8503A" w:rsidP="00D408B1">
            <w:pPr>
              <w:spacing w:before="40" w:after="120"/>
              <w:ind w:right="113"/>
            </w:pPr>
            <w:r w:rsidRPr="00E8503A">
              <w:t>39</w:t>
            </w:r>
            <w:r w:rsidR="00D408B1">
              <w:rPr>
                <w:rStyle w:val="EndnoteReference"/>
              </w:rPr>
              <w:endnoteReference w:id="88"/>
            </w:r>
            <w:r w:rsidR="00B200F0">
              <w:t>,</w:t>
            </w:r>
            <w:r w:rsidRPr="00E8503A">
              <w:t xml:space="preserve"> 57</w:t>
            </w:r>
            <w:r w:rsidR="00D408B1">
              <w:rPr>
                <w:rStyle w:val="EndnoteReference"/>
              </w:rPr>
              <w:endnoteReference w:id="89"/>
            </w:r>
            <w:r w:rsidR="00B200F0">
              <w:t>,</w:t>
            </w:r>
            <w:r w:rsidRPr="00E8503A">
              <w:t xml:space="preserve"> 62</w:t>
            </w:r>
            <w:r w:rsidR="00D408B1">
              <w:rPr>
                <w:rStyle w:val="EndnoteReference"/>
              </w:rPr>
              <w:endnoteReference w:id="90"/>
            </w:r>
            <w:r w:rsidR="00B200F0">
              <w:t>,</w:t>
            </w:r>
            <w:r w:rsidRPr="00E8503A">
              <w:t xml:space="preserve"> 64</w:t>
            </w:r>
            <w:r w:rsidR="00D408B1">
              <w:rPr>
                <w:rStyle w:val="EndnoteReference"/>
              </w:rPr>
              <w:endnoteReference w:id="91"/>
            </w:r>
            <w:r w:rsidR="00B200F0">
              <w:t>,</w:t>
            </w:r>
            <w:r w:rsidRPr="00E8503A">
              <w:t xml:space="preserve"> 131</w:t>
            </w:r>
            <w:r w:rsidR="00D408B1">
              <w:rPr>
                <w:rStyle w:val="EndnoteReference"/>
              </w:rPr>
              <w:endnoteReference w:id="92"/>
            </w:r>
            <w:r w:rsidR="00B200F0">
              <w:t>.</w:t>
            </w:r>
          </w:p>
        </w:tc>
        <w:tc>
          <w:tcPr>
            <w:tcW w:w="3216" w:type="dxa"/>
            <w:tcBorders>
              <w:top w:val="single" w:sz="12" w:space="0" w:color="auto"/>
              <w:bottom w:val="single" w:sz="12" w:space="0" w:color="auto"/>
            </w:tcBorders>
            <w:shd w:val="clear" w:color="auto" w:fill="auto"/>
          </w:tcPr>
          <w:p w:rsidR="00E8503A" w:rsidRPr="00E8503A" w:rsidRDefault="00E8503A" w:rsidP="00D408B1">
            <w:pPr>
              <w:spacing w:before="40" w:after="120"/>
              <w:ind w:right="113"/>
            </w:pPr>
            <w:r w:rsidRPr="00E8503A">
              <w:t>53</w:t>
            </w:r>
            <w:r w:rsidR="00D408B1">
              <w:rPr>
                <w:rStyle w:val="EndnoteReference"/>
              </w:rPr>
              <w:endnoteReference w:id="93"/>
            </w:r>
            <w:r w:rsidR="00B200F0">
              <w:t>,</w:t>
            </w:r>
            <w:r w:rsidRPr="00E8503A">
              <w:t xml:space="preserve"> 58</w:t>
            </w:r>
            <w:r w:rsidR="00D408B1">
              <w:rPr>
                <w:rStyle w:val="EndnoteReference"/>
              </w:rPr>
              <w:endnoteReference w:id="94"/>
            </w:r>
            <w:r w:rsidR="00B200F0">
              <w:t>,</w:t>
            </w:r>
            <w:r w:rsidRPr="00E8503A">
              <w:t xml:space="preserve"> 59</w:t>
            </w:r>
            <w:r w:rsidR="00D408B1">
              <w:rPr>
                <w:rStyle w:val="EndnoteReference"/>
              </w:rPr>
              <w:endnoteReference w:id="95"/>
            </w:r>
            <w:r w:rsidR="00B200F0">
              <w:t>,</w:t>
            </w:r>
            <w:r w:rsidRPr="00E8503A">
              <w:t xml:space="preserve"> 63</w:t>
            </w:r>
            <w:r w:rsidR="00D408B1">
              <w:rPr>
                <w:rStyle w:val="EndnoteReference"/>
              </w:rPr>
              <w:endnoteReference w:id="96"/>
            </w:r>
            <w:r w:rsidR="00B200F0">
              <w:t>,</w:t>
            </w:r>
            <w:r w:rsidRPr="00E8503A">
              <w:t xml:space="preserve"> 65</w:t>
            </w:r>
            <w:r w:rsidR="00D408B1">
              <w:rPr>
                <w:rStyle w:val="EndnoteReference"/>
              </w:rPr>
              <w:endnoteReference w:id="97"/>
            </w:r>
            <w:r w:rsidR="00B200F0">
              <w:t>,</w:t>
            </w:r>
            <w:r w:rsidRPr="00E8503A">
              <w:t xml:space="preserve"> 66</w:t>
            </w:r>
            <w:r w:rsidR="00D408B1">
              <w:rPr>
                <w:rStyle w:val="EndnoteReference"/>
              </w:rPr>
              <w:endnoteReference w:id="98"/>
            </w:r>
            <w:r w:rsidR="00B200F0">
              <w:t>,</w:t>
            </w:r>
            <w:r w:rsidRPr="00E8503A">
              <w:t xml:space="preserve"> 68</w:t>
            </w:r>
            <w:r w:rsidR="00D408B1">
              <w:rPr>
                <w:rStyle w:val="EndnoteReference"/>
              </w:rPr>
              <w:endnoteReference w:id="99"/>
            </w:r>
            <w:r w:rsidR="00B200F0">
              <w:t>,</w:t>
            </w:r>
            <w:r w:rsidRPr="00E8503A">
              <w:t xml:space="preserve"> 123</w:t>
            </w:r>
            <w:r w:rsidR="00D408B1">
              <w:rPr>
                <w:rStyle w:val="EndnoteReference"/>
              </w:rPr>
              <w:endnoteReference w:id="100"/>
            </w:r>
            <w:r w:rsidR="00B200F0">
              <w:t>,</w:t>
            </w:r>
            <w:r w:rsidRPr="00E8503A">
              <w:t xml:space="preserve"> 171</w:t>
            </w:r>
            <w:r w:rsidR="00D408B1">
              <w:rPr>
                <w:rStyle w:val="EndnoteReference"/>
              </w:rPr>
              <w:endnoteReference w:id="101"/>
            </w:r>
            <w:r w:rsidR="00B200F0">
              <w:t>.</w:t>
            </w:r>
          </w:p>
        </w:tc>
        <w:tc>
          <w:tcPr>
            <w:tcW w:w="3216" w:type="dxa"/>
            <w:tcBorders>
              <w:top w:val="single" w:sz="12" w:space="0" w:color="auto"/>
              <w:bottom w:val="single" w:sz="12" w:space="0" w:color="auto"/>
            </w:tcBorders>
            <w:shd w:val="clear" w:color="auto" w:fill="auto"/>
          </w:tcPr>
          <w:p w:rsidR="00E8503A" w:rsidRPr="00E8503A" w:rsidRDefault="00E8503A" w:rsidP="00E8503A">
            <w:pPr>
              <w:spacing w:before="40" w:after="120"/>
              <w:ind w:right="113"/>
            </w:pPr>
            <w:r>
              <w:t>–</w:t>
            </w:r>
          </w:p>
        </w:tc>
      </w:tr>
    </w:tbl>
    <w:p w:rsidR="00E8503A" w:rsidRDefault="00E8503A" w:rsidP="00E8503A"/>
    <w:p w:rsidR="00E8503A" w:rsidRPr="00E8503A" w:rsidRDefault="00E8503A" w:rsidP="00E8503A">
      <w:pPr>
        <w:pStyle w:val="SingleTxtG"/>
      </w:pPr>
      <w:r>
        <w:t>20.</w:t>
      </w:r>
      <w:r>
        <w:tab/>
      </w:r>
      <w:r w:rsidRPr="00E8503A">
        <w:t xml:space="preserve">Hungary continues preventing </w:t>
      </w:r>
      <w:r w:rsidRPr="00E8503A">
        <w:rPr>
          <w:u w:val="single"/>
        </w:rPr>
        <w:t>violence against women</w:t>
      </w:r>
      <w:r w:rsidRPr="00E8503A">
        <w:t xml:space="preserve"> through national strategies and policy actions. Expansion of the system of shelters, new forms of victim support services, intensified awareness-raising and prevention programmes are envisaged. With the </w:t>
      </w:r>
      <w:proofErr w:type="spellStart"/>
      <w:r w:rsidRPr="00E8503A">
        <w:t>ongoing</w:t>
      </w:r>
      <w:proofErr w:type="spellEnd"/>
      <w:r w:rsidRPr="00E8503A">
        <w:t xml:space="preserve"> ratification of the Istanbul Convention</w:t>
      </w:r>
      <w:r w:rsidR="00B634AC">
        <w:t>,</w:t>
      </w:r>
      <w:r w:rsidRPr="00E8503A">
        <w:t xml:space="preserve"> current legislation will be updated. A wider range of violence against women, including partnership violence, sexual duress etc. has been included in the new Criminal Code.</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E8503A" w:rsidRPr="00E8503A" w:rsidTr="00E8503A">
        <w:tc>
          <w:tcPr>
            <w:tcW w:w="3217" w:type="dxa"/>
            <w:tcBorders>
              <w:top w:val="single" w:sz="4" w:space="0" w:color="auto"/>
              <w:bottom w:val="single" w:sz="12" w:space="0" w:color="auto"/>
            </w:tcBorders>
            <w:shd w:val="clear" w:color="auto" w:fill="auto"/>
            <w:vAlign w:val="bottom"/>
          </w:tcPr>
          <w:p w:rsidR="00E8503A" w:rsidRPr="00E8503A" w:rsidRDefault="00E8503A" w:rsidP="00E8503A">
            <w:pPr>
              <w:spacing w:before="80" w:after="80" w:line="200" w:lineRule="exact"/>
              <w:ind w:right="113"/>
              <w:rPr>
                <w:i/>
                <w:sz w:val="16"/>
              </w:rPr>
            </w:pPr>
            <w:r>
              <w:rPr>
                <w:i/>
                <w:sz w:val="16"/>
              </w:rPr>
              <w:t>I.</w:t>
            </w:r>
          </w:p>
        </w:tc>
        <w:tc>
          <w:tcPr>
            <w:tcW w:w="3216" w:type="dxa"/>
            <w:tcBorders>
              <w:top w:val="single" w:sz="4" w:space="0" w:color="auto"/>
              <w:bottom w:val="single" w:sz="12" w:space="0" w:color="auto"/>
            </w:tcBorders>
            <w:shd w:val="clear" w:color="auto" w:fill="auto"/>
            <w:vAlign w:val="bottom"/>
          </w:tcPr>
          <w:p w:rsidR="00E8503A" w:rsidRPr="00E8503A" w:rsidRDefault="00E8503A" w:rsidP="00E8503A">
            <w:pPr>
              <w:spacing w:before="80" w:after="80" w:line="200" w:lineRule="exact"/>
              <w:ind w:right="113"/>
              <w:rPr>
                <w:i/>
                <w:sz w:val="16"/>
              </w:rPr>
            </w:pPr>
            <w:r>
              <w:rPr>
                <w:i/>
                <w:sz w:val="16"/>
              </w:rPr>
              <w:t>II.</w:t>
            </w:r>
          </w:p>
        </w:tc>
        <w:tc>
          <w:tcPr>
            <w:tcW w:w="3216" w:type="dxa"/>
            <w:tcBorders>
              <w:top w:val="single" w:sz="4" w:space="0" w:color="auto"/>
              <w:bottom w:val="single" w:sz="12" w:space="0" w:color="auto"/>
            </w:tcBorders>
            <w:shd w:val="clear" w:color="auto" w:fill="auto"/>
            <w:vAlign w:val="bottom"/>
          </w:tcPr>
          <w:p w:rsidR="00E8503A" w:rsidRPr="00E8503A" w:rsidRDefault="00E8503A" w:rsidP="00E8503A">
            <w:pPr>
              <w:spacing w:before="80" w:after="80" w:line="200" w:lineRule="exact"/>
              <w:ind w:right="113"/>
              <w:rPr>
                <w:i/>
                <w:sz w:val="16"/>
              </w:rPr>
            </w:pPr>
            <w:r>
              <w:rPr>
                <w:i/>
                <w:sz w:val="16"/>
              </w:rPr>
              <w:t>III.</w:t>
            </w:r>
          </w:p>
        </w:tc>
      </w:tr>
      <w:tr w:rsidR="00E8503A" w:rsidRPr="00E8503A" w:rsidTr="00E8503A">
        <w:tc>
          <w:tcPr>
            <w:tcW w:w="3217" w:type="dxa"/>
            <w:tcBorders>
              <w:top w:val="single" w:sz="12" w:space="0" w:color="auto"/>
              <w:bottom w:val="single" w:sz="12" w:space="0" w:color="auto"/>
            </w:tcBorders>
            <w:shd w:val="clear" w:color="auto" w:fill="auto"/>
          </w:tcPr>
          <w:p w:rsidR="00E8503A" w:rsidRPr="00E8503A" w:rsidRDefault="00E8503A" w:rsidP="00D408B1">
            <w:pPr>
              <w:spacing w:before="40" w:after="120"/>
              <w:ind w:right="113"/>
            </w:pPr>
            <w:r w:rsidRPr="00E8503A">
              <w:t>131</w:t>
            </w:r>
            <w:r w:rsidR="00D408B1">
              <w:rPr>
                <w:rStyle w:val="EndnoteReference"/>
              </w:rPr>
              <w:endnoteReference w:id="102"/>
            </w:r>
            <w:r w:rsidR="00B200F0">
              <w:t>,</w:t>
            </w:r>
            <w:r w:rsidRPr="00E8503A">
              <w:t xml:space="preserve"> 132</w:t>
            </w:r>
            <w:r w:rsidR="00D408B1">
              <w:rPr>
                <w:rStyle w:val="EndnoteReference"/>
              </w:rPr>
              <w:endnoteReference w:id="103"/>
            </w:r>
            <w:r w:rsidR="00B200F0">
              <w:t>,</w:t>
            </w:r>
            <w:r w:rsidRPr="00E8503A">
              <w:t xml:space="preserve"> 139</w:t>
            </w:r>
            <w:r w:rsidR="00D408B1">
              <w:rPr>
                <w:rStyle w:val="EndnoteReference"/>
              </w:rPr>
              <w:endnoteReference w:id="104"/>
            </w:r>
            <w:r w:rsidR="00B200F0">
              <w:t>.</w:t>
            </w:r>
          </w:p>
        </w:tc>
        <w:tc>
          <w:tcPr>
            <w:tcW w:w="3216" w:type="dxa"/>
            <w:tcBorders>
              <w:top w:val="single" w:sz="12" w:space="0" w:color="auto"/>
              <w:bottom w:val="single" w:sz="12" w:space="0" w:color="auto"/>
            </w:tcBorders>
            <w:shd w:val="clear" w:color="auto" w:fill="auto"/>
          </w:tcPr>
          <w:p w:rsidR="00E8503A" w:rsidRPr="00E8503A" w:rsidRDefault="00E8503A" w:rsidP="00E572B0">
            <w:pPr>
              <w:spacing w:before="40" w:after="120"/>
              <w:ind w:right="113"/>
            </w:pPr>
            <w:r w:rsidRPr="00E8503A">
              <w:t>60</w:t>
            </w:r>
            <w:r w:rsidR="00D408B1">
              <w:rPr>
                <w:rStyle w:val="EndnoteReference"/>
              </w:rPr>
              <w:endnoteReference w:id="105"/>
            </w:r>
            <w:r w:rsidR="00B200F0">
              <w:t>,</w:t>
            </w:r>
            <w:r w:rsidRPr="00E8503A">
              <w:t xml:space="preserve"> 130</w:t>
            </w:r>
            <w:r w:rsidR="00D408B1">
              <w:rPr>
                <w:rStyle w:val="EndnoteReference"/>
              </w:rPr>
              <w:endnoteReference w:id="106"/>
            </w:r>
            <w:r w:rsidR="00B200F0">
              <w:t>,</w:t>
            </w:r>
            <w:r w:rsidRPr="00E8503A">
              <w:t xml:space="preserve"> 133</w:t>
            </w:r>
            <w:r w:rsidR="00D408B1">
              <w:rPr>
                <w:rStyle w:val="EndnoteReference"/>
              </w:rPr>
              <w:endnoteReference w:id="107"/>
            </w:r>
            <w:r w:rsidR="00B200F0">
              <w:t>,</w:t>
            </w:r>
            <w:r w:rsidRPr="00E8503A">
              <w:t xml:space="preserve"> 135</w:t>
            </w:r>
            <w:r w:rsidR="00D408B1">
              <w:rPr>
                <w:rStyle w:val="EndnoteReference"/>
              </w:rPr>
              <w:endnoteReference w:id="108"/>
            </w:r>
            <w:r w:rsidR="00B200F0">
              <w:t>,</w:t>
            </w:r>
            <w:r w:rsidRPr="00E8503A">
              <w:t xml:space="preserve"> 137</w:t>
            </w:r>
            <w:r w:rsidR="00D408B1">
              <w:rPr>
                <w:rStyle w:val="EndnoteReference"/>
              </w:rPr>
              <w:endnoteReference w:id="109"/>
            </w:r>
            <w:r w:rsidR="00B200F0">
              <w:t>,</w:t>
            </w:r>
            <w:r w:rsidRPr="00E8503A">
              <w:t xml:space="preserve"> 138</w:t>
            </w:r>
            <w:r w:rsidR="00E572B0">
              <w:rPr>
                <w:rStyle w:val="EndnoteReference"/>
              </w:rPr>
              <w:endnoteReference w:id="110"/>
            </w:r>
            <w:r w:rsidR="00B200F0">
              <w:t>.</w:t>
            </w:r>
          </w:p>
        </w:tc>
        <w:tc>
          <w:tcPr>
            <w:tcW w:w="3216" w:type="dxa"/>
            <w:tcBorders>
              <w:top w:val="single" w:sz="12" w:space="0" w:color="auto"/>
              <w:bottom w:val="single" w:sz="12" w:space="0" w:color="auto"/>
            </w:tcBorders>
            <w:shd w:val="clear" w:color="auto" w:fill="auto"/>
          </w:tcPr>
          <w:p w:rsidR="00E8503A" w:rsidRPr="00E8503A" w:rsidRDefault="00E8503A" w:rsidP="00E8503A">
            <w:pPr>
              <w:spacing w:before="40" w:after="120"/>
              <w:ind w:right="113"/>
            </w:pPr>
            <w:r>
              <w:t>–</w:t>
            </w:r>
          </w:p>
        </w:tc>
      </w:tr>
    </w:tbl>
    <w:p w:rsidR="00E8503A" w:rsidRDefault="00E8503A" w:rsidP="00E8503A"/>
    <w:p w:rsidR="00E8503A" w:rsidRDefault="00E8503A" w:rsidP="00E8503A">
      <w:pPr>
        <w:pStyle w:val="SingleTxtG"/>
      </w:pPr>
      <w:r>
        <w:t>21.</w:t>
      </w:r>
      <w:r>
        <w:tab/>
      </w:r>
      <w:r w:rsidRPr="00E8503A">
        <w:t xml:space="preserve">A new national program is being developed with the aim of strengthening the </w:t>
      </w:r>
      <w:r w:rsidRPr="00E8503A">
        <w:rPr>
          <w:u w:val="single"/>
        </w:rPr>
        <w:t>reproductive health</w:t>
      </w:r>
      <w:r w:rsidRPr="00E8503A">
        <w:t xml:space="preserve"> services in particular for vulnerable groups. In case of patients with HIV/AIDS, treatment and prevention of HIV transmission is in focus.</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EC1ACC" w:rsidRPr="00EC1ACC" w:rsidTr="00EC1ACC">
        <w:tc>
          <w:tcPr>
            <w:tcW w:w="2835" w:type="dxa"/>
            <w:tcBorders>
              <w:top w:val="single" w:sz="4" w:space="0" w:color="auto"/>
              <w:bottom w:val="single" w:sz="12" w:space="0" w:color="auto"/>
            </w:tcBorders>
            <w:shd w:val="clear" w:color="auto" w:fill="auto"/>
            <w:vAlign w:val="bottom"/>
          </w:tcPr>
          <w:p w:rsidR="00EC1ACC" w:rsidRPr="00EC1ACC" w:rsidRDefault="00EC1ACC" w:rsidP="00EC1ACC">
            <w:pPr>
              <w:spacing w:before="80" w:after="80" w:line="200" w:lineRule="exact"/>
              <w:ind w:right="113"/>
              <w:rPr>
                <w:i/>
                <w:sz w:val="16"/>
              </w:rPr>
            </w:pPr>
            <w:r>
              <w:rPr>
                <w:i/>
                <w:sz w:val="16"/>
              </w:rPr>
              <w:t>I.</w:t>
            </w:r>
          </w:p>
        </w:tc>
        <w:tc>
          <w:tcPr>
            <w:tcW w:w="2835" w:type="dxa"/>
            <w:tcBorders>
              <w:top w:val="single" w:sz="4" w:space="0" w:color="auto"/>
              <w:bottom w:val="single" w:sz="12" w:space="0" w:color="auto"/>
            </w:tcBorders>
            <w:shd w:val="clear" w:color="auto" w:fill="auto"/>
            <w:vAlign w:val="bottom"/>
          </w:tcPr>
          <w:p w:rsidR="00EC1ACC" w:rsidRPr="00EC1ACC" w:rsidRDefault="00EC1ACC" w:rsidP="00EC1ACC">
            <w:pPr>
              <w:spacing w:before="80" w:after="80" w:line="200" w:lineRule="exact"/>
              <w:ind w:right="113"/>
              <w:rPr>
                <w:i/>
                <w:sz w:val="16"/>
              </w:rPr>
            </w:pPr>
            <w:r>
              <w:rPr>
                <w:i/>
                <w:sz w:val="16"/>
              </w:rPr>
              <w:t>II.</w:t>
            </w:r>
          </w:p>
        </w:tc>
        <w:tc>
          <w:tcPr>
            <w:tcW w:w="2835" w:type="dxa"/>
            <w:tcBorders>
              <w:top w:val="single" w:sz="4" w:space="0" w:color="auto"/>
              <w:bottom w:val="single" w:sz="12" w:space="0" w:color="auto"/>
            </w:tcBorders>
            <w:shd w:val="clear" w:color="auto" w:fill="auto"/>
            <w:vAlign w:val="bottom"/>
          </w:tcPr>
          <w:p w:rsidR="00EC1ACC" w:rsidRPr="00EC1ACC" w:rsidRDefault="00EC1ACC" w:rsidP="00EC1ACC">
            <w:pPr>
              <w:spacing w:before="80" w:after="80" w:line="200" w:lineRule="exact"/>
              <w:ind w:right="113"/>
              <w:rPr>
                <w:i/>
                <w:sz w:val="16"/>
              </w:rPr>
            </w:pPr>
            <w:r>
              <w:rPr>
                <w:i/>
                <w:sz w:val="16"/>
              </w:rPr>
              <w:t>III.</w:t>
            </w:r>
          </w:p>
        </w:tc>
      </w:tr>
      <w:tr w:rsidR="00EC1ACC" w:rsidRPr="00EC1ACC" w:rsidTr="00EC1ACC">
        <w:tc>
          <w:tcPr>
            <w:tcW w:w="2835" w:type="dxa"/>
            <w:tcBorders>
              <w:top w:val="single" w:sz="12" w:space="0" w:color="auto"/>
              <w:bottom w:val="single" w:sz="12" w:space="0" w:color="auto"/>
            </w:tcBorders>
            <w:shd w:val="clear" w:color="auto" w:fill="auto"/>
          </w:tcPr>
          <w:p w:rsidR="00EC1ACC" w:rsidRPr="00EC1ACC" w:rsidRDefault="00EC1ACC" w:rsidP="00EC1ACC">
            <w:pPr>
              <w:spacing w:before="40" w:after="120"/>
              <w:ind w:right="113"/>
            </w:pPr>
            <w:r>
              <w:t>–</w:t>
            </w:r>
          </w:p>
        </w:tc>
        <w:tc>
          <w:tcPr>
            <w:tcW w:w="2835" w:type="dxa"/>
            <w:tcBorders>
              <w:top w:val="single" w:sz="12" w:space="0" w:color="auto"/>
              <w:bottom w:val="single" w:sz="12" w:space="0" w:color="auto"/>
            </w:tcBorders>
            <w:shd w:val="clear" w:color="auto" w:fill="auto"/>
          </w:tcPr>
          <w:p w:rsidR="00EC1ACC" w:rsidRPr="00EC1ACC" w:rsidRDefault="00EC1ACC" w:rsidP="00E572B0">
            <w:pPr>
              <w:spacing w:before="40" w:after="120"/>
              <w:ind w:right="113"/>
            </w:pPr>
            <w:r w:rsidRPr="00EC1ACC">
              <w:t>172</w:t>
            </w:r>
            <w:r w:rsidR="00E572B0">
              <w:rPr>
                <w:rStyle w:val="EndnoteReference"/>
              </w:rPr>
              <w:endnoteReference w:id="111"/>
            </w:r>
            <w:r w:rsidR="00B200F0">
              <w:t>.</w:t>
            </w:r>
          </w:p>
        </w:tc>
        <w:tc>
          <w:tcPr>
            <w:tcW w:w="2835" w:type="dxa"/>
            <w:tcBorders>
              <w:top w:val="single" w:sz="12" w:space="0" w:color="auto"/>
              <w:bottom w:val="single" w:sz="12" w:space="0" w:color="auto"/>
            </w:tcBorders>
            <w:shd w:val="clear" w:color="auto" w:fill="auto"/>
          </w:tcPr>
          <w:p w:rsidR="00EC1ACC" w:rsidRPr="00EC1ACC" w:rsidRDefault="00EC1ACC" w:rsidP="00EC1ACC">
            <w:pPr>
              <w:spacing w:before="40" w:after="120"/>
              <w:ind w:right="113"/>
            </w:pPr>
            <w:r>
              <w:t>–</w:t>
            </w:r>
          </w:p>
        </w:tc>
      </w:tr>
    </w:tbl>
    <w:p w:rsidR="002F39F5" w:rsidRPr="002F39F5" w:rsidRDefault="002F39F5" w:rsidP="002F39F5">
      <w:pPr>
        <w:rPr>
          <w:rStyle w:val="PageNumber"/>
        </w:rPr>
      </w:pPr>
    </w:p>
    <w:p w:rsidR="00EC1ACC" w:rsidRPr="00EC1ACC" w:rsidRDefault="00EC1ACC" w:rsidP="00EC1ACC">
      <w:pPr>
        <w:pStyle w:val="SingleTxtG"/>
      </w:pPr>
      <w:r>
        <w:t>22.</w:t>
      </w:r>
      <w:r>
        <w:tab/>
      </w:r>
      <w:r w:rsidRPr="00EC1ACC">
        <w:t xml:space="preserve">Hungary will also maintain its commitment to combat </w:t>
      </w:r>
      <w:r w:rsidRPr="00EC1ACC">
        <w:rPr>
          <w:u w:val="single"/>
        </w:rPr>
        <w:t>human trafficking</w:t>
      </w:r>
      <w:r w:rsidRPr="00EC1ACC">
        <w:t>. Efforts are enhanced due to the migration crisis including cross-border cooperation and victim-protection.</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EC1ACC" w:rsidRPr="00EC1ACC" w:rsidTr="00EC1ACC">
        <w:tc>
          <w:tcPr>
            <w:tcW w:w="3217" w:type="dxa"/>
            <w:tcBorders>
              <w:top w:val="single" w:sz="4" w:space="0" w:color="auto"/>
              <w:bottom w:val="single" w:sz="12" w:space="0" w:color="auto"/>
            </w:tcBorders>
            <w:shd w:val="clear" w:color="auto" w:fill="auto"/>
            <w:vAlign w:val="bottom"/>
          </w:tcPr>
          <w:p w:rsidR="00EC1ACC" w:rsidRPr="00EC1ACC" w:rsidRDefault="00EC1ACC" w:rsidP="00EC1ACC">
            <w:pPr>
              <w:spacing w:before="80" w:after="80" w:line="200" w:lineRule="exact"/>
              <w:ind w:right="113"/>
              <w:rPr>
                <w:i/>
                <w:sz w:val="16"/>
              </w:rPr>
            </w:pPr>
            <w:r>
              <w:rPr>
                <w:i/>
                <w:sz w:val="16"/>
              </w:rPr>
              <w:t>I.</w:t>
            </w:r>
          </w:p>
        </w:tc>
        <w:tc>
          <w:tcPr>
            <w:tcW w:w="3216" w:type="dxa"/>
            <w:tcBorders>
              <w:top w:val="single" w:sz="4" w:space="0" w:color="auto"/>
              <w:bottom w:val="single" w:sz="12" w:space="0" w:color="auto"/>
            </w:tcBorders>
            <w:shd w:val="clear" w:color="auto" w:fill="auto"/>
            <w:vAlign w:val="bottom"/>
          </w:tcPr>
          <w:p w:rsidR="00EC1ACC" w:rsidRPr="00EC1ACC" w:rsidRDefault="00EC1ACC" w:rsidP="00EC1ACC">
            <w:pPr>
              <w:spacing w:before="80" w:after="80" w:line="200" w:lineRule="exact"/>
              <w:ind w:right="113"/>
              <w:rPr>
                <w:i/>
                <w:sz w:val="16"/>
              </w:rPr>
            </w:pPr>
            <w:r>
              <w:rPr>
                <w:i/>
                <w:sz w:val="16"/>
              </w:rPr>
              <w:t>II.</w:t>
            </w:r>
          </w:p>
        </w:tc>
        <w:tc>
          <w:tcPr>
            <w:tcW w:w="3216" w:type="dxa"/>
            <w:tcBorders>
              <w:top w:val="single" w:sz="4" w:space="0" w:color="auto"/>
              <w:bottom w:val="single" w:sz="12" w:space="0" w:color="auto"/>
            </w:tcBorders>
            <w:shd w:val="clear" w:color="auto" w:fill="auto"/>
            <w:vAlign w:val="bottom"/>
          </w:tcPr>
          <w:p w:rsidR="00EC1ACC" w:rsidRPr="00EC1ACC" w:rsidRDefault="00EC1ACC" w:rsidP="00EC1ACC">
            <w:pPr>
              <w:spacing w:before="80" w:after="80" w:line="200" w:lineRule="exact"/>
              <w:ind w:right="113"/>
              <w:rPr>
                <w:i/>
                <w:sz w:val="16"/>
              </w:rPr>
            </w:pPr>
            <w:r>
              <w:rPr>
                <w:i/>
                <w:sz w:val="16"/>
              </w:rPr>
              <w:t>III.</w:t>
            </w:r>
          </w:p>
        </w:tc>
      </w:tr>
      <w:tr w:rsidR="00EC1ACC" w:rsidRPr="00EC1ACC" w:rsidTr="00EC1ACC">
        <w:tc>
          <w:tcPr>
            <w:tcW w:w="3217" w:type="dxa"/>
            <w:tcBorders>
              <w:top w:val="single" w:sz="12" w:space="0" w:color="auto"/>
              <w:bottom w:val="single" w:sz="12" w:space="0" w:color="auto"/>
            </w:tcBorders>
            <w:shd w:val="clear" w:color="auto" w:fill="auto"/>
          </w:tcPr>
          <w:p w:rsidR="00EC1ACC" w:rsidRPr="00EC1ACC" w:rsidRDefault="00EC1ACC" w:rsidP="00331844">
            <w:pPr>
              <w:spacing w:before="40" w:after="120"/>
              <w:ind w:right="113"/>
            </w:pPr>
            <w:r w:rsidRPr="00EC1ACC">
              <w:t>142</w:t>
            </w:r>
            <w:r w:rsidR="00E572B0">
              <w:rPr>
                <w:rStyle w:val="EndnoteReference"/>
              </w:rPr>
              <w:endnoteReference w:id="112"/>
            </w:r>
            <w:r w:rsidR="00B200F0">
              <w:t>,</w:t>
            </w:r>
            <w:r w:rsidRPr="00EC1ACC">
              <w:t xml:space="preserve"> 143</w:t>
            </w:r>
            <w:r w:rsidR="00331844">
              <w:rPr>
                <w:rStyle w:val="EndnoteReference"/>
              </w:rPr>
              <w:endnoteReference w:id="113"/>
            </w:r>
            <w:r w:rsidR="00B200F0">
              <w:t>,</w:t>
            </w:r>
            <w:r w:rsidRPr="00EC1ACC">
              <w:t xml:space="preserve"> 144</w:t>
            </w:r>
            <w:r w:rsidR="00331844">
              <w:rPr>
                <w:rStyle w:val="EndnoteReference"/>
              </w:rPr>
              <w:endnoteReference w:id="114"/>
            </w:r>
            <w:r w:rsidR="00B200F0">
              <w:t>,</w:t>
            </w:r>
            <w:r w:rsidRPr="00EC1ACC">
              <w:t xml:space="preserve"> 145</w:t>
            </w:r>
            <w:r w:rsidR="00331844">
              <w:rPr>
                <w:rStyle w:val="EndnoteReference"/>
              </w:rPr>
              <w:endnoteReference w:id="115"/>
            </w:r>
            <w:r w:rsidR="00B200F0">
              <w:t>,</w:t>
            </w:r>
            <w:r w:rsidRPr="00EC1ACC">
              <w:t xml:space="preserve"> 146</w:t>
            </w:r>
            <w:r w:rsidR="00331844">
              <w:rPr>
                <w:rStyle w:val="EndnoteReference"/>
              </w:rPr>
              <w:endnoteReference w:id="116"/>
            </w:r>
            <w:r w:rsidR="00B200F0">
              <w:t>,</w:t>
            </w:r>
            <w:r w:rsidRPr="00EC1ACC">
              <w:t xml:space="preserve"> 147</w:t>
            </w:r>
            <w:r w:rsidR="00331844">
              <w:rPr>
                <w:rStyle w:val="EndnoteReference"/>
              </w:rPr>
              <w:endnoteReference w:id="117"/>
            </w:r>
            <w:r w:rsidR="00B200F0">
              <w:t>,</w:t>
            </w:r>
            <w:r w:rsidRPr="00EC1ACC">
              <w:t xml:space="preserve"> 148</w:t>
            </w:r>
            <w:r w:rsidR="00331844">
              <w:rPr>
                <w:rStyle w:val="EndnoteReference"/>
              </w:rPr>
              <w:endnoteReference w:id="118"/>
            </w:r>
            <w:r w:rsidR="00B200F0">
              <w:t>,</w:t>
            </w:r>
            <w:r w:rsidRPr="00EC1ACC">
              <w:t xml:space="preserve"> 149</w:t>
            </w:r>
            <w:r w:rsidR="00331844">
              <w:rPr>
                <w:rStyle w:val="EndnoteReference"/>
              </w:rPr>
              <w:endnoteReference w:id="119"/>
            </w:r>
            <w:r w:rsidR="00B200F0">
              <w:t>.</w:t>
            </w:r>
          </w:p>
        </w:tc>
        <w:tc>
          <w:tcPr>
            <w:tcW w:w="3216" w:type="dxa"/>
            <w:tcBorders>
              <w:top w:val="single" w:sz="12" w:space="0" w:color="auto"/>
              <w:bottom w:val="single" w:sz="12" w:space="0" w:color="auto"/>
            </w:tcBorders>
            <w:shd w:val="clear" w:color="auto" w:fill="auto"/>
          </w:tcPr>
          <w:p w:rsidR="00EC1ACC" w:rsidRPr="00EC1ACC" w:rsidRDefault="00EC1ACC" w:rsidP="00EC1ACC">
            <w:pPr>
              <w:spacing w:before="40" w:after="120"/>
              <w:ind w:right="113"/>
            </w:pPr>
            <w:r>
              <w:t>–</w:t>
            </w:r>
          </w:p>
        </w:tc>
        <w:tc>
          <w:tcPr>
            <w:tcW w:w="3216" w:type="dxa"/>
            <w:tcBorders>
              <w:top w:val="single" w:sz="12" w:space="0" w:color="auto"/>
              <w:bottom w:val="single" w:sz="12" w:space="0" w:color="auto"/>
            </w:tcBorders>
            <w:shd w:val="clear" w:color="auto" w:fill="auto"/>
          </w:tcPr>
          <w:p w:rsidR="00EC1ACC" w:rsidRPr="00EC1ACC" w:rsidRDefault="00EC1ACC" w:rsidP="00EC1ACC">
            <w:pPr>
              <w:spacing w:before="40" w:after="120"/>
              <w:ind w:right="113"/>
            </w:pPr>
            <w:r>
              <w:t>–</w:t>
            </w:r>
          </w:p>
        </w:tc>
      </w:tr>
    </w:tbl>
    <w:p w:rsidR="00E8503A" w:rsidRDefault="00E8503A" w:rsidP="00EC1ACC"/>
    <w:p w:rsidR="00EC1ACC" w:rsidRPr="00EC1ACC" w:rsidRDefault="00EC1ACC" w:rsidP="00EC1ACC">
      <w:pPr>
        <w:pStyle w:val="SingleTxtG"/>
      </w:pPr>
      <w:r>
        <w:t>23.</w:t>
      </w:r>
      <w:r>
        <w:tab/>
      </w:r>
      <w:r w:rsidRPr="00EC1ACC">
        <w:t xml:space="preserve">The Fundamental Law obliges the </w:t>
      </w:r>
      <w:r w:rsidR="00B634AC">
        <w:t>S</w:t>
      </w:r>
      <w:r w:rsidRPr="00EC1ACC">
        <w:t xml:space="preserve">tate to introduce specific measures to protect persons with </w:t>
      </w:r>
      <w:r w:rsidRPr="00EC1ACC">
        <w:rPr>
          <w:u w:val="single"/>
        </w:rPr>
        <w:t>disabilities</w:t>
      </w:r>
      <w:r w:rsidRPr="00EC1ACC">
        <w:t xml:space="preserve">. A new working group reviews i.e. the regulation and the case law of „supported decision making” and the suffrage issues. Deprivation of the right to vote due to mental status is now possible only by court decision. </w:t>
      </w:r>
      <w:r w:rsidRPr="00EC1ACC">
        <w:rPr>
          <w:u w:val="single"/>
        </w:rPr>
        <w:t>Mentally incapacitated</w:t>
      </w:r>
      <w:r w:rsidRPr="00EC1ACC">
        <w:t xml:space="preserve"> or partially capacitated persons have the right to receive the appropriate information with respect to their age, mental capacities and psychological status.</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EC1ACC" w:rsidRPr="00EC1ACC" w:rsidTr="00EC1ACC">
        <w:tc>
          <w:tcPr>
            <w:tcW w:w="3217" w:type="dxa"/>
            <w:tcBorders>
              <w:top w:val="single" w:sz="4" w:space="0" w:color="auto"/>
              <w:bottom w:val="single" w:sz="12" w:space="0" w:color="auto"/>
            </w:tcBorders>
            <w:shd w:val="clear" w:color="auto" w:fill="auto"/>
            <w:vAlign w:val="bottom"/>
          </w:tcPr>
          <w:p w:rsidR="00EC1ACC" w:rsidRPr="00EC1ACC" w:rsidRDefault="00EC1ACC" w:rsidP="00EC1ACC">
            <w:pPr>
              <w:spacing w:before="80" w:after="80" w:line="200" w:lineRule="exact"/>
              <w:ind w:right="113"/>
              <w:rPr>
                <w:i/>
                <w:sz w:val="16"/>
              </w:rPr>
            </w:pPr>
            <w:r>
              <w:rPr>
                <w:i/>
                <w:sz w:val="16"/>
              </w:rPr>
              <w:t>I.</w:t>
            </w:r>
          </w:p>
        </w:tc>
        <w:tc>
          <w:tcPr>
            <w:tcW w:w="3216" w:type="dxa"/>
            <w:tcBorders>
              <w:top w:val="single" w:sz="4" w:space="0" w:color="auto"/>
              <w:bottom w:val="single" w:sz="12" w:space="0" w:color="auto"/>
            </w:tcBorders>
            <w:shd w:val="clear" w:color="auto" w:fill="auto"/>
            <w:vAlign w:val="bottom"/>
          </w:tcPr>
          <w:p w:rsidR="00EC1ACC" w:rsidRPr="00EC1ACC" w:rsidRDefault="00EC1ACC" w:rsidP="00EC1ACC">
            <w:pPr>
              <w:spacing w:before="80" w:after="80" w:line="200" w:lineRule="exact"/>
              <w:ind w:right="113"/>
              <w:rPr>
                <w:i/>
                <w:sz w:val="16"/>
              </w:rPr>
            </w:pPr>
            <w:r>
              <w:rPr>
                <w:i/>
                <w:sz w:val="16"/>
              </w:rPr>
              <w:t>II.</w:t>
            </w:r>
          </w:p>
        </w:tc>
        <w:tc>
          <w:tcPr>
            <w:tcW w:w="3216" w:type="dxa"/>
            <w:tcBorders>
              <w:top w:val="single" w:sz="4" w:space="0" w:color="auto"/>
              <w:bottom w:val="single" w:sz="12" w:space="0" w:color="auto"/>
            </w:tcBorders>
            <w:shd w:val="clear" w:color="auto" w:fill="auto"/>
            <w:vAlign w:val="bottom"/>
          </w:tcPr>
          <w:p w:rsidR="00EC1ACC" w:rsidRPr="00EC1ACC" w:rsidRDefault="00EC1ACC" w:rsidP="00EC1ACC">
            <w:pPr>
              <w:spacing w:before="80" w:after="80" w:line="200" w:lineRule="exact"/>
              <w:ind w:right="113"/>
              <w:rPr>
                <w:i/>
                <w:sz w:val="16"/>
              </w:rPr>
            </w:pPr>
            <w:r>
              <w:rPr>
                <w:i/>
                <w:sz w:val="16"/>
              </w:rPr>
              <w:t>III.</w:t>
            </w:r>
          </w:p>
        </w:tc>
      </w:tr>
      <w:tr w:rsidR="00EC1ACC" w:rsidRPr="00EC1ACC" w:rsidTr="00EC1ACC">
        <w:tc>
          <w:tcPr>
            <w:tcW w:w="3217" w:type="dxa"/>
            <w:tcBorders>
              <w:top w:val="single" w:sz="12" w:space="0" w:color="auto"/>
              <w:bottom w:val="single" w:sz="12" w:space="0" w:color="auto"/>
            </w:tcBorders>
            <w:shd w:val="clear" w:color="auto" w:fill="auto"/>
          </w:tcPr>
          <w:p w:rsidR="00EC1ACC" w:rsidRPr="00EC1ACC" w:rsidRDefault="00EC1ACC" w:rsidP="00331844">
            <w:pPr>
              <w:spacing w:before="40" w:after="120"/>
              <w:ind w:right="113"/>
            </w:pPr>
            <w:r w:rsidRPr="00EC1ACC">
              <w:t>177</w:t>
            </w:r>
            <w:r w:rsidR="00331844">
              <w:rPr>
                <w:rStyle w:val="EndnoteReference"/>
              </w:rPr>
              <w:endnoteReference w:id="120"/>
            </w:r>
            <w:r w:rsidR="00B200F0">
              <w:t>,</w:t>
            </w:r>
            <w:r w:rsidRPr="00EC1ACC">
              <w:t xml:space="preserve"> 178</w:t>
            </w:r>
            <w:r w:rsidR="00331844">
              <w:rPr>
                <w:rStyle w:val="EndnoteReference"/>
              </w:rPr>
              <w:endnoteReference w:id="121"/>
            </w:r>
            <w:r w:rsidR="00B200F0">
              <w:t>,</w:t>
            </w:r>
            <w:r w:rsidRPr="00EC1ACC">
              <w:t xml:space="preserve"> 181</w:t>
            </w:r>
            <w:r w:rsidR="00331844">
              <w:rPr>
                <w:rStyle w:val="EndnoteReference"/>
              </w:rPr>
              <w:endnoteReference w:id="122"/>
            </w:r>
            <w:r w:rsidR="00B200F0">
              <w:t>,</w:t>
            </w:r>
            <w:r w:rsidRPr="00EC1ACC">
              <w:t xml:space="preserve"> 182</w:t>
            </w:r>
            <w:r w:rsidR="00331844">
              <w:rPr>
                <w:rStyle w:val="EndnoteReference"/>
              </w:rPr>
              <w:endnoteReference w:id="123"/>
            </w:r>
            <w:r w:rsidR="00B200F0">
              <w:t>,</w:t>
            </w:r>
            <w:r w:rsidRPr="00EC1ACC">
              <w:t xml:space="preserve"> 183</w:t>
            </w:r>
            <w:r w:rsidR="00331844">
              <w:rPr>
                <w:rStyle w:val="EndnoteReference"/>
              </w:rPr>
              <w:endnoteReference w:id="124"/>
            </w:r>
            <w:r w:rsidR="00B200F0">
              <w:t>.</w:t>
            </w:r>
          </w:p>
        </w:tc>
        <w:tc>
          <w:tcPr>
            <w:tcW w:w="3216" w:type="dxa"/>
            <w:tcBorders>
              <w:top w:val="single" w:sz="12" w:space="0" w:color="auto"/>
              <w:bottom w:val="single" w:sz="12" w:space="0" w:color="auto"/>
            </w:tcBorders>
            <w:shd w:val="clear" w:color="auto" w:fill="auto"/>
          </w:tcPr>
          <w:p w:rsidR="00EC1ACC" w:rsidRPr="00EC1ACC" w:rsidRDefault="00EC1ACC" w:rsidP="00331844">
            <w:pPr>
              <w:spacing w:before="40" w:after="120"/>
              <w:ind w:right="113"/>
            </w:pPr>
            <w:r w:rsidRPr="00EC1ACC">
              <w:t>179</w:t>
            </w:r>
            <w:r w:rsidR="00331844">
              <w:rPr>
                <w:rStyle w:val="EndnoteReference"/>
              </w:rPr>
              <w:endnoteReference w:id="125"/>
            </w:r>
            <w:r w:rsidR="00B200F0">
              <w:t>,</w:t>
            </w:r>
            <w:r w:rsidRPr="00EC1ACC">
              <w:t xml:space="preserve"> 180</w:t>
            </w:r>
            <w:r w:rsidR="00331844">
              <w:rPr>
                <w:rStyle w:val="EndnoteReference"/>
              </w:rPr>
              <w:endnoteReference w:id="126"/>
            </w:r>
            <w:r w:rsidR="00B200F0">
              <w:t>.</w:t>
            </w:r>
          </w:p>
        </w:tc>
        <w:tc>
          <w:tcPr>
            <w:tcW w:w="3216" w:type="dxa"/>
            <w:tcBorders>
              <w:top w:val="single" w:sz="12" w:space="0" w:color="auto"/>
              <w:bottom w:val="single" w:sz="12" w:space="0" w:color="auto"/>
            </w:tcBorders>
            <w:shd w:val="clear" w:color="auto" w:fill="auto"/>
          </w:tcPr>
          <w:p w:rsidR="00EC1ACC" w:rsidRPr="00EC1ACC" w:rsidRDefault="00EC1ACC" w:rsidP="00EC1ACC">
            <w:pPr>
              <w:spacing w:before="40" w:after="120"/>
              <w:ind w:right="113"/>
            </w:pPr>
            <w:r>
              <w:t>–</w:t>
            </w:r>
          </w:p>
        </w:tc>
      </w:tr>
    </w:tbl>
    <w:p w:rsidR="00EC1ACC" w:rsidRDefault="00EC1ACC" w:rsidP="00EC1ACC"/>
    <w:p w:rsidR="00E572E2" w:rsidRPr="00E572E2" w:rsidRDefault="00E572E2" w:rsidP="00E572E2">
      <w:pPr>
        <w:pStyle w:val="SingleTxtG"/>
      </w:pPr>
      <w:r>
        <w:t>24.</w:t>
      </w:r>
      <w:r>
        <w:tab/>
      </w:r>
      <w:r w:rsidRPr="00E572E2">
        <w:t xml:space="preserve">The Fundamental Law and the Equal Treatment Act prohibits discrimination on any ground thus on gender identity and </w:t>
      </w:r>
      <w:r w:rsidRPr="00E572E2">
        <w:rPr>
          <w:u w:val="single"/>
        </w:rPr>
        <w:t>sexual orientation</w:t>
      </w:r>
      <w:r w:rsidRPr="00E572E2">
        <w:t>. Coherent jurisprudence of courts is steadily developing. A new independent strategy is not envisaged for the time being. Nevertheless the LGBTI Roundtable of the above mentioned HRWG regularly examines the situation.</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E572E2" w:rsidRPr="00E572E2" w:rsidTr="00A70E93">
        <w:tc>
          <w:tcPr>
            <w:tcW w:w="2835" w:type="dxa"/>
            <w:tcBorders>
              <w:top w:val="single" w:sz="4" w:space="0" w:color="auto"/>
              <w:bottom w:val="single" w:sz="12" w:space="0" w:color="auto"/>
            </w:tcBorders>
            <w:shd w:val="clear" w:color="auto" w:fill="auto"/>
            <w:vAlign w:val="bottom"/>
          </w:tcPr>
          <w:p w:rsidR="00E572E2" w:rsidRPr="00E572E2" w:rsidRDefault="00E572E2" w:rsidP="00E572E2">
            <w:pPr>
              <w:spacing w:before="80" w:after="80" w:line="200" w:lineRule="exact"/>
              <w:ind w:right="113"/>
              <w:rPr>
                <w:i/>
                <w:sz w:val="16"/>
              </w:rPr>
            </w:pPr>
            <w:r>
              <w:rPr>
                <w:i/>
                <w:sz w:val="16"/>
              </w:rPr>
              <w:t>I.</w:t>
            </w:r>
          </w:p>
        </w:tc>
        <w:tc>
          <w:tcPr>
            <w:tcW w:w="2835" w:type="dxa"/>
            <w:tcBorders>
              <w:top w:val="single" w:sz="4" w:space="0" w:color="auto"/>
              <w:bottom w:val="single" w:sz="12" w:space="0" w:color="auto"/>
            </w:tcBorders>
            <w:shd w:val="clear" w:color="auto" w:fill="auto"/>
            <w:vAlign w:val="bottom"/>
          </w:tcPr>
          <w:p w:rsidR="00E572E2" w:rsidRPr="00E572E2" w:rsidRDefault="00E572E2" w:rsidP="00E572E2">
            <w:pPr>
              <w:spacing w:before="80" w:after="80" w:line="200" w:lineRule="exact"/>
              <w:ind w:right="113"/>
              <w:rPr>
                <w:i/>
                <w:sz w:val="16"/>
              </w:rPr>
            </w:pPr>
            <w:r>
              <w:rPr>
                <w:i/>
                <w:sz w:val="16"/>
              </w:rPr>
              <w:t>II.</w:t>
            </w:r>
          </w:p>
        </w:tc>
        <w:tc>
          <w:tcPr>
            <w:tcW w:w="2835" w:type="dxa"/>
            <w:tcBorders>
              <w:top w:val="single" w:sz="4" w:space="0" w:color="auto"/>
              <w:bottom w:val="single" w:sz="12" w:space="0" w:color="auto"/>
            </w:tcBorders>
            <w:shd w:val="clear" w:color="auto" w:fill="auto"/>
            <w:vAlign w:val="bottom"/>
          </w:tcPr>
          <w:p w:rsidR="00E572E2" w:rsidRPr="00E572E2" w:rsidRDefault="00E572E2" w:rsidP="00E572E2">
            <w:pPr>
              <w:spacing w:before="80" w:after="80" w:line="200" w:lineRule="exact"/>
              <w:ind w:right="113"/>
              <w:rPr>
                <w:i/>
                <w:sz w:val="16"/>
              </w:rPr>
            </w:pPr>
            <w:r>
              <w:rPr>
                <w:i/>
                <w:sz w:val="16"/>
              </w:rPr>
              <w:t>III.</w:t>
            </w:r>
          </w:p>
        </w:tc>
      </w:tr>
      <w:tr w:rsidR="00E572E2" w:rsidRPr="00E572E2" w:rsidTr="00A70E93">
        <w:tc>
          <w:tcPr>
            <w:tcW w:w="2835" w:type="dxa"/>
            <w:tcBorders>
              <w:top w:val="single" w:sz="12" w:space="0" w:color="auto"/>
              <w:bottom w:val="single" w:sz="12" w:space="0" w:color="auto"/>
            </w:tcBorders>
            <w:shd w:val="clear" w:color="auto" w:fill="auto"/>
          </w:tcPr>
          <w:p w:rsidR="00E572E2" w:rsidRPr="00E572E2" w:rsidRDefault="00E572E2" w:rsidP="00E572E2">
            <w:pPr>
              <w:spacing w:before="40" w:after="120"/>
              <w:ind w:right="113"/>
            </w:pPr>
            <w:r>
              <w:t>–</w:t>
            </w:r>
          </w:p>
        </w:tc>
        <w:tc>
          <w:tcPr>
            <w:tcW w:w="2835" w:type="dxa"/>
            <w:tcBorders>
              <w:top w:val="single" w:sz="12" w:space="0" w:color="auto"/>
              <w:bottom w:val="single" w:sz="12" w:space="0" w:color="auto"/>
            </w:tcBorders>
            <w:shd w:val="clear" w:color="auto" w:fill="auto"/>
          </w:tcPr>
          <w:p w:rsidR="00E572E2" w:rsidRPr="00E572E2" w:rsidRDefault="00E572E2" w:rsidP="00331844">
            <w:pPr>
              <w:spacing w:before="40" w:after="120"/>
              <w:ind w:right="113"/>
            </w:pPr>
            <w:r w:rsidRPr="00E572E2">
              <w:t>118</w:t>
            </w:r>
            <w:r w:rsidR="00331844">
              <w:rPr>
                <w:rStyle w:val="EndnoteReference"/>
              </w:rPr>
              <w:endnoteReference w:id="127"/>
            </w:r>
            <w:r w:rsidR="00B200F0">
              <w:t>,</w:t>
            </w:r>
            <w:r w:rsidRPr="00E572E2">
              <w:t xml:space="preserve"> 119</w:t>
            </w:r>
            <w:r w:rsidR="00331844">
              <w:rPr>
                <w:rStyle w:val="EndnoteReference"/>
              </w:rPr>
              <w:endnoteReference w:id="128"/>
            </w:r>
            <w:r w:rsidR="00B200F0">
              <w:t>,</w:t>
            </w:r>
            <w:r w:rsidRPr="00E572E2">
              <w:t xml:space="preserve"> 120</w:t>
            </w:r>
            <w:r w:rsidR="00331844">
              <w:rPr>
                <w:rStyle w:val="EndnoteReference"/>
              </w:rPr>
              <w:endnoteReference w:id="129"/>
            </w:r>
            <w:r w:rsidR="00B200F0">
              <w:t>,</w:t>
            </w:r>
            <w:r w:rsidRPr="00E572E2">
              <w:t xml:space="preserve"> 121</w:t>
            </w:r>
            <w:r w:rsidR="00331844">
              <w:rPr>
                <w:rStyle w:val="EndnoteReference"/>
              </w:rPr>
              <w:endnoteReference w:id="130"/>
            </w:r>
            <w:r w:rsidR="00B200F0">
              <w:t>,</w:t>
            </w:r>
            <w:r w:rsidRPr="00E572E2">
              <w:t xml:space="preserve"> 122</w:t>
            </w:r>
            <w:r w:rsidR="00331844">
              <w:rPr>
                <w:rStyle w:val="EndnoteReference"/>
              </w:rPr>
              <w:endnoteReference w:id="131"/>
            </w:r>
            <w:r w:rsidR="00B200F0">
              <w:t>.</w:t>
            </w:r>
          </w:p>
        </w:tc>
        <w:tc>
          <w:tcPr>
            <w:tcW w:w="2835" w:type="dxa"/>
            <w:tcBorders>
              <w:top w:val="single" w:sz="12" w:space="0" w:color="auto"/>
              <w:bottom w:val="single" w:sz="12" w:space="0" w:color="auto"/>
            </w:tcBorders>
            <w:shd w:val="clear" w:color="auto" w:fill="auto"/>
          </w:tcPr>
          <w:p w:rsidR="00E572E2" w:rsidRPr="00E572E2" w:rsidRDefault="00E572E2" w:rsidP="00E572E2">
            <w:pPr>
              <w:spacing w:before="40" w:after="120"/>
              <w:ind w:right="113"/>
            </w:pPr>
            <w:r>
              <w:t>–</w:t>
            </w:r>
          </w:p>
        </w:tc>
      </w:tr>
    </w:tbl>
    <w:p w:rsidR="00A70E93" w:rsidRPr="00A70E93" w:rsidRDefault="00A70E93" w:rsidP="00A70E93">
      <w:pPr>
        <w:pStyle w:val="HChG"/>
      </w:pPr>
      <w:r>
        <w:tab/>
      </w:r>
      <w:r>
        <w:tab/>
      </w:r>
      <w:r w:rsidRPr="00A70E93">
        <w:t>Minorities including Roma, discrimination, hate acts</w:t>
      </w:r>
    </w:p>
    <w:p w:rsidR="00A70E93" w:rsidRPr="00A70E93" w:rsidRDefault="00A70E93" w:rsidP="00A70E93">
      <w:pPr>
        <w:pStyle w:val="SingleTxtG"/>
      </w:pPr>
      <w:r>
        <w:t>25.</w:t>
      </w:r>
      <w:r>
        <w:tab/>
      </w:r>
      <w:r w:rsidRPr="00A70E93">
        <w:t xml:space="preserve">Fundamental rights are guaranteed at constitutional level without discrimination on any ground. The detailed </w:t>
      </w:r>
      <w:r w:rsidRPr="00A70E93">
        <w:rPr>
          <w:u w:val="single"/>
        </w:rPr>
        <w:t>anti-discrimination</w:t>
      </w:r>
      <w:r w:rsidRPr="00A70E93">
        <w:t xml:space="preserve"> provisions can be found in the Equal Treatment Act which is in line with relevant international norms. These rules apply also to participation in political life and in decision-making. An autonomous Equal Treatment Authority monitors and acts upon discrimination cases and exercises its tasks and competences free from any outside influence; its budget is guaranteed </w:t>
      </w:r>
      <w:r>
        <w:t>by the Parliament.</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A70E93" w:rsidRPr="00A70E93" w:rsidTr="00A70E93">
        <w:tc>
          <w:tcPr>
            <w:tcW w:w="3285" w:type="dxa"/>
            <w:tcBorders>
              <w:top w:val="single" w:sz="4" w:space="0" w:color="auto"/>
              <w:bottom w:val="single" w:sz="12" w:space="0" w:color="auto"/>
            </w:tcBorders>
            <w:shd w:val="clear" w:color="auto" w:fill="auto"/>
            <w:vAlign w:val="bottom"/>
          </w:tcPr>
          <w:p w:rsidR="00A70E93" w:rsidRPr="00A70E93" w:rsidRDefault="00A70E93" w:rsidP="00A70E93">
            <w:pPr>
              <w:spacing w:before="80" w:after="80" w:line="200" w:lineRule="exact"/>
              <w:ind w:right="113"/>
              <w:rPr>
                <w:i/>
                <w:sz w:val="16"/>
              </w:rPr>
            </w:pPr>
            <w:r>
              <w:rPr>
                <w:i/>
                <w:sz w:val="16"/>
              </w:rPr>
              <w:t>I.</w:t>
            </w:r>
          </w:p>
        </w:tc>
        <w:tc>
          <w:tcPr>
            <w:tcW w:w="3285" w:type="dxa"/>
            <w:tcBorders>
              <w:top w:val="single" w:sz="4" w:space="0" w:color="auto"/>
              <w:bottom w:val="single" w:sz="12" w:space="0" w:color="auto"/>
            </w:tcBorders>
            <w:shd w:val="clear" w:color="auto" w:fill="auto"/>
            <w:vAlign w:val="bottom"/>
          </w:tcPr>
          <w:p w:rsidR="00A70E93" w:rsidRPr="00A70E93" w:rsidRDefault="00A70E93" w:rsidP="00A70E93">
            <w:pPr>
              <w:spacing w:before="80" w:after="80" w:line="200" w:lineRule="exact"/>
              <w:ind w:right="113"/>
              <w:rPr>
                <w:i/>
                <w:sz w:val="16"/>
              </w:rPr>
            </w:pPr>
            <w:r>
              <w:rPr>
                <w:i/>
                <w:sz w:val="16"/>
              </w:rPr>
              <w:t>II.</w:t>
            </w:r>
          </w:p>
        </w:tc>
        <w:tc>
          <w:tcPr>
            <w:tcW w:w="3285" w:type="dxa"/>
            <w:tcBorders>
              <w:top w:val="single" w:sz="4" w:space="0" w:color="auto"/>
              <w:bottom w:val="single" w:sz="12" w:space="0" w:color="auto"/>
            </w:tcBorders>
            <w:shd w:val="clear" w:color="auto" w:fill="auto"/>
            <w:vAlign w:val="bottom"/>
          </w:tcPr>
          <w:p w:rsidR="00A70E93" w:rsidRPr="00A70E93" w:rsidRDefault="00A70E93" w:rsidP="00A70E93">
            <w:pPr>
              <w:spacing w:before="80" w:after="80" w:line="200" w:lineRule="exact"/>
              <w:ind w:right="113"/>
              <w:rPr>
                <w:i/>
                <w:sz w:val="16"/>
              </w:rPr>
            </w:pPr>
            <w:r>
              <w:rPr>
                <w:i/>
                <w:sz w:val="16"/>
              </w:rPr>
              <w:t>III.</w:t>
            </w:r>
          </w:p>
        </w:tc>
      </w:tr>
      <w:tr w:rsidR="00A70E93" w:rsidRPr="00A70E93" w:rsidTr="00A70E93">
        <w:tc>
          <w:tcPr>
            <w:tcW w:w="3285" w:type="dxa"/>
            <w:tcBorders>
              <w:top w:val="single" w:sz="12" w:space="0" w:color="auto"/>
              <w:bottom w:val="single" w:sz="12" w:space="0" w:color="auto"/>
            </w:tcBorders>
            <w:shd w:val="clear" w:color="auto" w:fill="auto"/>
          </w:tcPr>
          <w:p w:rsidR="00A70E93" w:rsidRPr="00A70E93" w:rsidRDefault="00A70E93" w:rsidP="00331844">
            <w:pPr>
              <w:spacing w:before="40" w:after="120"/>
              <w:ind w:right="113"/>
            </w:pPr>
            <w:r w:rsidRPr="00A70E93">
              <w:t>32</w:t>
            </w:r>
            <w:r w:rsidR="00331844">
              <w:rPr>
                <w:rStyle w:val="EndnoteReference"/>
              </w:rPr>
              <w:endnoteReference w:id="132"/>
            </w:r>
            <w:r w:rsidR="00B200F0">
              <w:t>,</w:t>
            </w:r>
            <w:r w:rsidRPr="00A70E93">
              <w:t xml:space="preserve"> 39</w:t>
            </w:r>
            <w:r w:rsidR="00331844">
              <w:rPr>
                <w:rStyle w:val="EndnoteReference"/>
              </w:rPr>
              <w:endnoteReference w:id="133"/>
            </w:r>
            <w:r w:rsidR="00B200F0">
              <w:t>,</w:t>
            </w:r>
            <w:r w:rsidRPr="00A70E93">
              <w:t xml:space="preserve"> 52</w:t>
            </w:r>
            <w:r w:rsidR="00331844">
              <w:rPr>
                <w:rStyle w:val="EndnoteReference"/>
              </w:rPr>
              <w:endnoteReference w:id="134"/>
            </w:r>
            <w:r w:rsidR="00B200F0">
              <w:t>,</w:t>
            </w:r>
            <w:r w:rsidRPr="00A70E93">
              <w:t xml:space="preserve"> 55</w:t>
            </w:r>
            <w:r w:rsidR="00331844">
              <w:rPr>
                <w:rStyle w:val="EndnoteReference"/>
              </w:rPr>
              <w:endnoteReference w:id="135"/>
            </w:r>
            <w:r w:rsidR="00B200F0">
              <w:t>.</w:t>
            </w:r>
          </w:p>
        </w:tc>
        <w:tc>
          <w:tcPr>
            <w:tcW w:w="3285" w:type="dxa"/>
            <w:tcBorders>
              <w:top w:val="single" w:sz="12" w:space="0" w:color="auto"/>
              <w:bottom w:val="single" w:sz="12" w:space="0" w:color="auto"/>
            </w:tcBorders>
            <w:shd w:val="clear" w:color="auto" w:fill="auto"/>
          </w:tcPr>
          <w:p w:rsidR="00A70E93" w:rsidRPr="00A70E93" w:rsidRDefault="00A70E93" w:rsidP="00331844">
            <w:pPr>
              <w:spacing w:before="40" w:after="120"/>
              <w:ind w:right="113"/>
            </w:pPr>
            <w:r w:rsidRPr="00A70E93">
              <w:t>49</w:t>
            </w:r>
            <w:r w:rsidR="00331844">
              <w:rPr>
                <w:rStyle w:val="EndnoteReference"/>
              </w:rPr>
              <w:endnoteReference w:id="136"/>
            </w:r>
            <w:r w:rsidR="00B200F0">
              <w:t>.</w:t>
            </w:r>
          </w:p>
        </w:tc>
        <w:tc>
          <w:tcPr>
            <w:tcW w:w="3285" w:type="dxa"/>
            <w:tcBorders>
              <w:top w:val="single" w:sz="12" w:space="0" w:color="auto"/>
              <w:bottom w:val="single" w:sz="12" w:space="0" w:color="auto"/>
            </w:tcBorders>
            <w:shd w:val="clear" w:color="auto" w:fill="auto"/>
          </w:tcPr>
          <w:p w:rsidR="00A70E93" w:rsidRPr="00A70E93" w:rsidRDefault="00A70E93" w:rsidP="00A70E93">
            <w:pPr>
              <w:spacing w:before="40" w:after="120"/>
              <w:ind w:right="113"/>
            </w:pPr>
            <w:r>
              <w:t>–</w:t>
            </w:r>
          </w:p>
        </w:tc>
      </w:tr>
    </w:tbl>
    <w:p w:rsidR="00E572E2" w:rsidRDefault="00E572E2" w:rsidP="00A70E93"/>
    <w:p w:rsidR="00A70E93" w:rsidRPr="00A70E93" w:rsidRDefault="00A70E93" w:rsidP="00A70E93">
      <w:pPr>
        <w:pStyle w:val="SingleTxtG"/>
      </w:pPr>
      <w:r>
        <w:t>26.</w:t>
      </w:r>
      <w:r>
        <w:tab/>
      </w:r>
      <w:r w:rsidRPr="00A70E93">
        <w:t xml:space="preserve">Hungary is taking comprehensive measures against racial discrimination and segregation. The </w:t>
      </w:r>
      <w:r w:rsidRPr="00A70E93">
        <w:rPr>
          <w:u w:val="single"/>
        </w:rPr>
        <w:t>National Social Inclusion Strategy</w:t>
      </w:r>
      <w:r w:rsidRPr="00A70E93">
        <w:t xml:space="preserve"> and its </w:t>
      </w:r>
      <w:proofErr w:type="spellStart"/>
      <w:r w:rsidRPr="00A70E93">
        <w:t>multisector</w:t>
      </w:r>
      <w:proofErr w:type="spellEnd"/>
      <w:r w:rsidRPr="00A70E93">
        <w:t xml:space="preserve"> Action Plan includes inclusion policies on child well-being, education, employment, health, housing as well as integration, awareness-raising. These measures</w:t>
      </w:r>
      <w:r w:rsidR="00331844">
        <w:rPr>
          <w:rStyle w:val="EndnoteReference"/>
        </w:rPr>
        <w:endnoteReference w:id="137"/>
      </w:r>
      <w:r w:rsidRPr="00A70E93">
        <w:t xml:space="preserve"> put special emphasis on Roma women and children. The 2</w:t>
      </w:r>
      <w:r w:rsidRPr="00A70E93">
        <w:rPr>
          <w:vertAlign w:val="superscript"/>
        </w:rPr>
        <w:t>nd</w:t>
      </w:r>
      <w:r w:rsidRPr="00A70E93">
        <w:t xml:space="preserve"> </w:t>
      </w:r>
      <w:r>
        <w:t>Action Plan (2015–</w:t>
      </w:r>
      <w:r w:rsidRPr="00A70E93">
        <w:t>2017) takes steps for broader social inclusion in particular in the labour, cultural, political and educational sectors. Health care is provided equally for each and every entitled person without any discrimination including ethnicity.</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A70E93" w:rsidRPr="00A70E93" w:rsidTr="00EC5DAD">
        <w:tc>
          <w:tcPr>
            <w:tcW w:w="2835" w:type="dxa"/>
            <w:tcBorders>
              <w:top w:val="single" w:sz="4" w:space="0" w:color="auto"/>
              <w:bottom w:val="single" w:sz="12" w:space="0" w:color="auto"/>
            </w:tcBorders>
            <w:shd w:val="clear" w:color="auto" w:fill="auto"/>
            <w:vAlign w:val="bottom"/>
          </w:tcPr>
          <w:p w:rsidR="00A70E93" w:rsidRPr="00A70E93" w:rsidRDefault="00A70E93" w:rsidP="00A70E93">
            <w:pPr>
              <w:spacing w:before="80" w:after="80" w:line="200" w:lineRule="exact"/>
              <w:ind w:right="113"/>
              <w:rPr>
                <w:i/>
                <w:sz w:val="16"/>
              </w:rPr>
            </w:pPr>
            <w:r>
              <w:rPr>
                <w:i/>
                <w:sz w:val="16"/>
              </w:rPr>
              <w:t>I.</w:t>
            </w:r>
          </w:p>
        </w:tc>
        <w:tc>
          <w:tcPr>
            <w:tcW w:w="2835" w:type="dxa"/>
            <w:tcBorders>
              <w:top w:val="single" w:sz="4" w:space="0" w:color="auto"/>
              <w:bottom w:val="single" w:sz="12" w:space="0" w:color="auto"/>
            </w:tcBorders>
            <w:shd w:val="clear" w:color="auto" w:fill="auto"/>
            <w:vAlign w:val="bottom"/>
          </w:tcPr>
          <w:p w:rsidR="00A70E93" w:rsidRPr="00A70E93" w:rsidRDefault="00A70E93" w:rsidP="00A70E93">
            <w:pPr>
              <w:spacing w:before="80" w:after="80" w:line="200" w:lineRule="exact"/>
              <w:ind w:right="113"/>
              <w:rPr>
                <w:i/>
                <w:sz w:val="16"/>
              </w:rPr>
            </w:pPr>
            <w:r>
              <w:rPr>
                <w:i/>
                <w:sz w:val="16"/>
              </w:rPr>
              <w:t>II.</w:t>
            </w:r>
          </w:p>
        </w:tc>
        <w:tc>
          <w:tcPr>
            <w:tcW w:w="2835" w:type="dxa"/>
            <w:tcBorders>
              <w:top w:val="single" w:sz="4" w:space="0" w:color="auto"/>
              <w:bottom w:val="single" w:sz="12" w:space="0" w:color="auto"/>
            </w:tcBorders>
            <w:shd w:val="clear" w:color="auto" w:fill="auto"/>
            <w:vAlign w:val="bottom"/>
          </w:tcPr>
          <w:p w:rsidR="00A70E93" w:rsidRPr="00A70E93" w:rsidRDefault="00A70E93" w:rsidP="00A70E93">
            <w:pPr>
              <w:spacing w:before="80" w:after="80" w:line="200" w:lineRule="exact"/>
              <w:ind w:right="113"/>
              <w:rPr>
                <w:i/>
                <w:sz w:val="16"/>
              </w:rPr>
            </w:pPr>
            <w:r>
              <w:rPr>
                <w:i/>
                <w:sz w:val="16"/>
              </w:rPr>
              <w:t>III.</w:t>
            </w:r>
          </w:p>
        </w:tc>
      </w:tr>
      <w:tr w:rsidR="00A70E93" w:rsidRPr="00A70E93" w:rsidTr="00EC5DAD">
        <w:tc>
          <w:tcPr>
            <w:tcW w:w="2835" w:type="dxa"/>
            <w:tcBorders>
              <w:top w:val="single" w:sz="12" w:space="0" w:color="auto"/>
              <w:bottom w:val="single" w:sz="12" w:space="0" w:color="auto"/>
            </w:tcBorders>
            <w:shd w:val="clear" w:color="auto" w:fill="auto"/>
          </w:tcPr>
          <w:p w:rsidR="00A70E93" w:rsidRPr="00A70E93" w:rsidRDefault="00EC5DAD" w:rsidP="001F3E59">
            <w:pPr>
              <w:spacing w:before="40" w:after="120"/>
              <w:ind w:right="113"/>
            </w:pPr>
            <w:r w:rsidRPr="00EC5DAD">
              <w:t>50</w:t>
            </w:r>
            <w:r w:rsidR="00331844">
              <w:rPr>
                <w:rStyle w:val="EndnoteReference"/>
              </w:rPr>
              <w:endnoteReference w:id="138"/>
            </w:r>
            <w:r w:rsidR="00B200F0">
              <w:t>,</w:t>
            </w:r>
            <w:r w:rsidRPr="00EC5DAD">
              <w:t xml:space="preserve"> 51</w:t>
            </w:r>
            <w:r w:rsidR="00331844">
              <w:rPr>
                <w:rStyle w:val="EndnoteReference"/>
              </w:rPr>
              <w:endnoteReference w:id="139"/>
            </w:r>
            <w:r w:rsidR="00B200F0">
              <w:t>,</w:t>
            </w:r>
            <w:r w:rsidRPr="00EC5DAD">
              <w:t xml:space="preserve"> 54</w:t>
            </w:r>
            <w:r w:rsidR="00331844">
              <w:rPr>
                <w:rStyle w:val="EndnoteReference"/>
              </w:rPr>
              <w:endnoteReference w:id="140"/>
            </w:r>
            <w:r w:rsidR="00B200F0">
              <w:t>,</w:t>
            </w:r>
            <w:r w:rsidRPr="00EC5DAD">
              <w:t xml:space="preserve"> 56</w:t>
            </w:r>
            <w:r w:rsidR="00331844">
              <w:rPr>
                <w:rStyle w:val="EndnoteReference"/>
              </w:rPr>
              <w:endnoteReference w:id="141"/>
            </w:r>
            <w:r w:rsidR="00B200F0">
              <w:t>,</w:t>
            </w:r>
            <w:r w:rsidRPr="00EC5DAD">
              <w:t xml:space="preserve"> 67</w:t>
            </w:r>
            <w:r w:rsidR="00331844">
              <w:rPr>
                <w:rStyle w:val="EndnoteReference"/>
              </w:rPr>
              <w:endnoteReference w:id="142"/>
            </w:r>
            <w:r w:rsidR="00B200F0">
              <w:t>,</w:t>
            </w:r>
            <w:r w:rsidRPr="00EC5DAD">
              <w:t xml:space="preserve"> 71</w:t>
            </w:r>
            <w:r w:rsidR="00331844">
              <w:rPr>
                <w:rStyle w:val="EndnoteReference"/>
              </w:rPr>
              <w:endnoteReference w:id="143"/>
            </w:r>
            <w:r w:rsidR="00B200F0">
              <w:t>,</w:t>
            </w:r>
            <w:r w:rsidRPr="00EC5DAD">
              <w:t xml:space="preserve"> 72</w:t>
            </w:r>
            <w:r w:rsidR="00331844">
              <w:rPr>
                <w:rStyle w:val="EndnoteReference"/>
              </w:rPr>
              <w:endnoteReference w:id="144"/>
            </w:r>
            <w:r w:rsidR="00B200F0">
              <w:t>,</w:t>
            </w:r>
            <w:r w:rsidRPr="00EC5DAD">
              <w:t xml:space="preserve"> 84</w:t>
            </w:r>
            <w:r w:rsidR="00331844">
              <w:rPr>
                <w:rStyle w:val="EndnoteReference"/>
              </w:rPr>
              <w:endnoteReference w:id="145"/>
            </w:r>
            <w:r w:rsidR="00B200F0">
              <w:t>,</w:t>
            </w:r>
            <w:r w:rsidRPr="00EC5DAD">
              <w:t xml:space="preserve"> 89</w:t>
            </w:r>
            <w:r w:rsidR="001F3E59">
              <w:rPr>
                <w:rStyle w:val="EndnoteReference"/>
              </w:rPr>
              <w:endnoteReference w:id="146"/>
            </w:r>
            <w:r w:rsidR="00B200F0">
              <w:t>,</w:t>
            </w:r>
            <w:r w:rsidRPr="00EC5DAD">
              <w:t xml:space="preserve"> 94</w:t>
            </w:r>
            <w:r w:rsidR="001F3E59">
              <w:rPr>
                <w:rStyle w:val="EndnoteReference"/>
              </w:rPr>
              <w:endnoteReference w:id="147"/>
            </w:r>
            <w:r w:rsidR="00B200F0">
              <w:t>,</w:t>
            </w:r>
            <w:r w:rsidRPr="00EC5DAD">
              <w:t xml:space="preserve"> 95</w:t>
            </w:r>
            <w:r w:rsidR="001F3E59">
              <w:rPr>
                <w:rStyle w:val="EndnoteReference"/>
              </w:rPr>
              <w:endnoteReference w:id="148"/>
            </w:r>
            <w:r w:rsidR="00B200F0">
              <w:t>.</w:t>
            </w:r>
          </w:p>
        </w:tc>
        <w:tc>
          <w:tcPr>
            <w:tcW w:w="2835" w:type="dxa"/>
            <w:tcBorders>
              <w:top w:val="single" w:sz="12" w:space="0" w:color="auto"/>
              <w:bottom w:val="single" w:sz="12" w:space="0" w:color="auto"/>
            </w:tcBorders>
            <w:shd w:val="clear" w:color="auto" w:fill="auto"/>
          </w:tcPr>
          <w:p w:rsidR="00A70E93" w:rsidRPr="00A70E93" w:rsidRDefault="00EC5DAD" w:rsidP="001F3E59">
            <w:pPr>
              <w:spacing w:before="40" w:after="120"/>
              <w:ind w:right="113"/>
            </w:pPr>
            <w:r w:rsidRPr="00EC5DAD">
              <w:t>61</w:t>
            </w:r>
            <w:r w:rsidR="001F3E59">
              <w:rPr>
                <w:rStyle w:val="EndnoteReference"/>
              </w:rPr>
              <w:endnoteReference w:id="149"/>
            </w:r>
            <w:r w:rsidR="00B200F0">
              <w:t>,</w:t>
            </w:r>
            <w:r w:rsidRPr="00EC5DAD">
              <w:t xml:space="preserve"> 85</w:t>
            </w:r>
            <w:r w:rsidR="001F3E59">
              <w:rPr>
                <w:rStyle w:val="EndnoteReference"/>
              </w:rPr>
              <w:endnoteReference w:id="150"/>
            </w:r>
            <w:r w:rsidR="00B200F0">
              <w:t>,</w:t>
            </w:r>
            <w:r w:rsidRPr="00EC5DAD">
              <w:t xml:space="preserve"> 87</w:t>
            </w:r>
            <w:r w:rsidR="001F3E59">
              <w:rPr>
                <w:rStyle w:val="EndnoteReference"/>
              </w:rPr>
              <w:endnoteReference w:id="151"/>
            </w:r>
            <w:r w:rsidR="00B200F0">
              <w:t>,</w:t>
            </w:r>
            <w:r w:rsidRPr="00EC5DAD">
              <w:t xml:space="preserve"> 88</w:t>
            </w:r>
            <w:r w:rsidR="001F3E59">
              <w:rPr>
                <w:rStyle w:val="EndnoteReference"/>
              </w:rPr>
              <w:endnoteReference w:id="152"/>
            </w:r>
            <w:r w:rsidR="00B200F0">
              <w:t>,</w:t>
            </w:r>
            <w:r w:rsidRPr="00EC5DAD">
              <w:t xml:space="preserve"> 90</w:t>
            </w:r>
            <w:r w:rsidR="001F3E59">
              <w:rPr>
                <w:rStyle w:val="EndnoteReference"/>
              </w:rPr>
              <w:endnoteReference w:id="153"/>
            </w:r>
            <w:r w:rsidR="00B200F0">
              <w:t>.</w:t>
            </w:r>
          </w:p>
        </w:tc>
        <w:tc>
          <w:tcPr>
            <w:tcW w:w="2835" w:type="dxa"/>
            <w:tcBorders>
              <w:top w:val="single" w:sz="12" w:space="0" w:color="auto"/>
              <w:bottom w:val="single" w:sz="12" w:space="0" w:color="auto"/>
            </w:tcBorders>
            <w:shd w:val="clear" w:color="auto" w:fill="auto"/>
          </w:tcPr>
          <w:p w:rsidR="00A70E93" w:rsidRPr="00A70E93" w:rsidRDefault="00EC5DAD" w:rsidP="00A70E93">
            <w:pPr>
              <w:spacing w:before="40" w:after="120"/>
              <w:ind w:right="113"/>
            </w:pPr>
            <w:r>
              <w:t>–</w:t>
            </w:r>
          </w:p>
        </w:tc>
      </w:tr>
    </w:tbl>
    <w:p w:rsidR="002F39F5" w:rsidRDefault="002F39F5" w:rsidP="002F39F5"/>
    <w:p w:rsidR="00A70E93" w:rsidRDefault="00EC5DAD" w:rsidP="00EC5DAD">
      <w:pPr>
        <w:pStyle w:val="SingleTxtG"/>
      </w:pPr>
      <w:r>
        <w:t>27.</w:t>
      </w:r>
      <w:r>
        <w:tab/>
      </w:r>
      <w:r w:rsidRPr="00EC5DAD">
        <w:t xml:space="preserve">Hungary guarantees protection of </w:t>
      </w:r>
      <w:r w:rsidRPr="00EC5DAD">
        <w:rPr>
          <w:u w:val="single"/>
        </w:rPr>
        <w:t>national minorities</w:t>
      </w:r>
      <w:r w:rsidRPr="00EC5DAD">
        <w:t xml:space="preserve"> at constitutional level. Details are regulated in a cardinal act. According to the Venice Commission</w:t>
      </w:r>
      <w:r w:rsidR="001F3E59">
        <w:rPr>
          <w:rStyle w:val="EndnoteReference"/>
        </w:rPr>
        <w:endnoteReference w:id="154"/>
      </w:r>
      <w:r w:rsidRPr="00EC5DAD">
        <w:t xml:space="preserve"> this act “confirms Hungary’s internationally recognised commitment to minority protection”. The new electoral law introduced preferential mandates in the Parliament: nationalities’ candidates need ¼ of the number of votes required for a majority mandate. Should a nationality fail to achieve this number, they may delegate a nationality advocate (“spokesperson”). This system ensures a fair balance between the rights of national minorities, the individual citizens’ right to self-determination and the transparency of elections.</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EC5DAD" w:rsidRPr="00EC5DAD" w:rsidTr="00EC5DAD">
        <w:tc>
          <w:tcPr>
            <w:tcW w:w="3217" w:type="dxa"/>
            <w:tcBorders>
              <w:top w:val="single" w:sz="4" w:space="0" w:color="auto"/>
              <w:bottom w:val="single" w:sz="12" w:space="0" w:color="auto"/>
            </w:tcBorders>
            <w:shd w:val="clear" w:color="auto" w:fill="auto"/>
            <w:vAlign w:val="bottom"/>
          </w:tcPr>
          <w:p w:rsidR="00EC5DAD" w:rsidRPr="00EC5DAD" w:rsidRDefault="00EC5DAD" w:rsidP="00EC5DAD">
            <w:pPr>
              <w:spacing w:before="80" w:after="80" w:line="200" w:lineRule="exact"/>
              <w:ind w:right="113"/>
              <w:rPr>
                <w:i/>
                <w:sz w:val="16"/>
              </w:rPr>
            </w:pPr>
            <w:r>
              <w:rPr>
                <w:i/>
                <w:sz w:val="16"/>
              </w:rPr>
              <w:t>I.</w:t>
            </w:r>
          </w:p>
        </w:tc>
        <w:tc>
          <w:tcPr>
            <w:tcW w:w="3216" w:type="dxa"/>
            <w:tcBorders>
              <w:top w:val="single" w:sz="4" w:space="0" w:color="auto"/>
              <w:bottom w:val="single" w:sz="12" w:space="0" w:color="auto"/>
            </w:tcBorders>
            <w:shd w:val="clear" w:color="auto" w:fill="auto"/>
            <w:vAlign w:val="bottom"/>
          </w:tcPr>
          <w:p w:rsidR="00EC5DAD" w:rsidRPr="00EC5DAD" w:rsidRDefault="00EC5DAD" w:rsidP="00EC5DAD">
            <w:pPr>
              <w:spacing w:before="80" w:after="80" w:line="200" w:lineRule="exact"/>
              <w:ind w:right="113"/>
              <w:rPr>
                <w:i/>
                <w:sz w:val="16"/>
              </w:rPr>
            </w:pPr>
            <w:r>
              <w:rPr>
                <w:i/>
                <w:sz w:val="16"/>
              </w:rPr>
              <w:t>II.</w:t>
            </w:r>
          </w:p>
        </w:tc>
        <w:tc>
          <w:tcPr>
            <w:tcW w:w="3216" w:type="dxa"/>
            <w:tcBorders>
              <w:top w:val="single" w:sz="4" w:space="0" w:color="auto"/>
              <w:bottom w:val="single" w:sz="12" w:space="0" w:color="auto"/>
            </w:tcBorders>
            <w:shd w:val="clear" w:color="auto" w:fill="auto"/>
            <w:vAlign w:val="bottom"/>
          </w:tcPr>
          <w:p w:rsidR="00EC5DAD" w:rsidRPr="00EC5DAD" w:rsidRDefault="00EC5DAD" w:rsidP="00EC5DAD">
            <w:pPr>
              <w:spacing w:before="80" w:after="80" w:line="200" w:lineRule="exact"/>
              <w:ind w:right="113"/>
              <w:rPr>
                <w:i/>
                <w:sz w:val="16"/>
              </w:rPr>
            </w:pPr>
            <w:r>
              <w:rPr>
                <w:i/>
                <w:sz w:val="16"/>
              </w:rPr>
              <w:t>III.</w:t>
            </w:r>
          </w:p>
        </w:tc>
      </w:tr>
      <w:tr w:rsidR="00EC5DAD" w:rsidRPr="00EC5DAD" w:rsidTr="00EC5DAD">
        <w:tc>
          <w:tcPr>
            <w:tcW w:w="3217" w:type="dxa"/>
            <w:tcBorders>
              <w:top w:val="single" w:sz="12" w:space="0" w:color="auto"/>
              <w:bottom w:val="single" w:sz="12" w:space="0" w:color="auto"/>
            </w:tcBorders>
            <w:shd w:val="clear" w:color="auto" w:fill="auto"/>
          </w:tcPr>
          <w:p w:rsidR="00EC5DAD" w:rsidRPr="00EC5DAD" w:rsidRDefault="00EC5DAD" w:rsidP="0072634D">
            <w:pPr>
              <w:spacing w:before="40" w:after="120"/>
              <w:ind w:right="113"/>
            </w:pPr>
            <w:r w:rsidRPr="00EC5DAD">
              <w:t>93</w:t>
            </w:r>
            <w:r w:rsidR="0072634D">
              <w:rPr>
                <w:rStyle w:val="EndnoteReference"/>
              </w:rPr>
              <w:endnoteReference w:id="155"/>
            </w:r>
            <w:r w:rsidR="00B200F0">
              <w:t>.</w:t>
            </w:r>
          </w:p>
        </w:tc>
        <w:tc>
          <w:tcPr>
            <w:tcW w:w="3216" w:type="dxa"/>
            <w:tcBorders>
              <w:top w:val="single" w:sz="12" w:space="0" w:color="auto"/>
              <w:bottom w:val="single" w:sz="12" w:space="0" w:color="auto"/>
            </w:tcBorders>
            <w:shd w:val="clear" w:color="auto" w:fill="auto"/>
          </w:tcPr>
          <w:p w:rsidR="00EC5DAD" w:rsidRPr="00EC5DAD" w:rsidRDefault="00EC5DAD" w:rsidP="00EC5DAD">
            <w:pPr>
              <w:spacing w:before="40" w:after="120"/>
              <w:ind w:right="113"/>
            </w:pPr>
            <w:r>
              <w:t>–</w:t>
            </w:r>
          </w:p>
        </w:tc>
        <w:tc>
          <w:tcPr>
            <w:tcW w:w="3216" w:type="dxa"/>
            <w:tcBorders>
              <w:top w:val="single" w:sz="12" w:space="0" w:color="auto"/>
              <w:bottom w:val="single" w:sz="12" w:space="0" w:color="auto"/>
            </w:tcBorders>
            <w:shd w:val="clear" w:color="auto" w:fill="auto"/>
          </w:tcPr>
          <w:p w:rsidR="00EC5DAD" w:rsidRPr="00EC5DAD" w:rsidRDefault="00EC5DAD" w:rsidP="00EC5DAD">
            <w:pPr>
              <w:spacing w:before="40" w:after="120"/>
              <w:ind w:right="113"/>
            </w:pPr>
            <w:r>
              <w:t>–</w:t>
            </w:r>
          </w:p>
        </w:tc>
      </w:tr>
    </w:tbl>
    <w:p w:rsidR="00EC5DAD" w:rsidRDefault="00EC5DAD" w:rsidP="00EC5DAD"/>
    <w:p w:rsidR="00EC5DAD" w:rsidRPr="00EC5DAD" w:rsidRDefault="00EC5DAD" w:rsidP="00EC5DAD">
      <w:pPr>
        <w:pStyle w:val="SingleTxtG"/>
      </w:pPr>
      <w:r>
        <w:t>28.</w:t>
      </w:r>
      <w:r>
        <w:tab/>
      </w:r>
      <w:r w:rsidRPr="00EC5DAD">
        <w:t xml:space="preserve">Hungary offers free mother tongue </w:t>
      </w:r>
      <w:r w:rsidRPr="00EC5DAD">
        <w:rPr>
          <w:u w:val="single"/>
        </w:rPr>
        <w:t>education for minorities</w:t>
      </w:r>
      <w:r w:rsidRPr="00EC5DAD">
        <w:t xml:space="preserve"> as well as guarantees teaching minority culture. To improve access to quality education the Government introduced several measures and programs in partnership with minority representatives to support disadvan</w:t>
      </w:r>
      <w:r>
        <w:t>taged students, including Roma.</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EC5DAD" w:rsidRPr="00EC5DAD" w:rsidTr="00EC5DAD">
        <w:tc>
          <w:tcPr>
            <w:tcW w:w="3217" w:type="dxa"/>
            <w:tcBorders>
              <w:top w:val="single" w:sz="4" w:space="0" w:color="auto"/>
              <w:bottom w:val="single" w:sz="12" w:space="0" w:color="auto"/>
            </w:tcBorders>
            <w:shd w:val="clear" w:color="auto" w:fill="auto"/>
            <w:vAlign w:val="bottom"/>
          </w:tcPr>
          <w:p w:rsidR="00EC5DAD" w:rsidRPr="00EC5DAD" w:rsidRDefault="00EC5DAD" w:rsidP="00EC5DAD">
            <w:pPr>
              <w:spacing w:before="80" w:after="80" w:line="200" w:lineRule="exact"/>
              <w:ind w:right="113"/>
              <w:rPr>
                <w:i/>
                <w:sz w:val="16"/>
              </w:rPr>
            </w:pPr>
            <w:r>
              <w:rPr>
                <w:i/>
                <w:sz w:val="16"/>
              </w:rPr>
              <w:t>I.</w:t>
            </w:r>
          </w:p>
        </w:tc>
        <w:tc>
          <w:tcPr>
            <w:tcW w:w="3216" w:type="dxa"/>
            <w:tcBorders>
              <w:top w:val="single" w:sz="4" w:space="0" w:color="auto"/>
              <w:bottom w:val="single" w:sz="12" w:space="0" w:color="auto"/>
            </w:tcBorders>
            <w:shd w:val="clear" w:color="auto" w:fill="auto"/>
            <w:vAlign w:val="bottom"/>
          </w:tcPr>
          <w:p w:rsidR="00EC5DAD" w:rsidRPr="00EC5DAD" w:rsidRDefault="00EC5DAD" w:rsidP="00EC5DAD">
            <w:pPr>
              <w:spacing w:before="80" w:after="80" w:line="200" w:lineRule="exact"/>
              <w:ind w:right="113"/>
              <w:rPr>
                <w:i/>
                <w:sz w:val="16"/>
              </w:rPr>
            </w:pPr>
            <w:r>
              <w:rPr>
                <w:i/>
                <w:sz w:val="16"/>
              </w:rPr>
              <w:t>II.</w:t>
            </w:r>
          </w:p>
        </w:tc>
        <w:tc>
          <w:tcPr>
            <w:tcW w:w="3216" w:type="dxa"/>
            <w:tcBorders>
              <w:top w:val="single" w:sz="4" w:space="0" w:color="auto"/>
              <w:bottom w:val="single" w:sz="12" w:space="0" w:color="auto"/>
            </w:tcBorders>
            <w:shd w:val="clear" w:color="auto" w:fill="auto"/>
            <w:vAlign w:val="bottom"/>
          </w:tcPr>
          <w:p w:rsidR="00EC5DAD" w:rsidRPr="00EC5DAD" w:rsidRDefault="00EC5DAD" w:rsidP="00EC5DAD">
            <w:pPr>
              <w:spacing w:before="80" w:after="80" w:line="200" w:lineRule="exact"/>
              <w:ind w:right="113"/>
              <w:rPr>
                <w:i/>
                <w:sz w:val="16"/>
              </w:rPr>
            </w:pPr>
            <w:r>
              <w:rPr>
                <w:i/>
                <w:sz w:val="16"/>
              </w:rPr>
              <w:t>III.</w:t>
            </w:r>
          </w:p>
        </w:tc>
      </w:tr>
      <w:tr w:rsidR="00EC5DAD" w:rsidRPr="00EC5DAD" w:rsidTr="00EC5DAD">
        <w:tc>
          <w:tcPr>
            <w:tcW w:w="3217" w:type="dxa"/>
            <w:tcBorders>
              <w:top w:val="single" w:sz="12" w:space="0" w:color="auto"/>
              <w:bottom w:val="single" w:sz="12" w:space="0" w:color="auto"/>
            </w:tcBorders>
            <w:shd w:val="clear" w:color="auto" w:fill="auto"/>
          </w:tcPr>
          <w:p w:rsidR="00EC5DAD" w:rsidRPr="00EC5DAD" w:rsidRDefault="00EC5DAD" w:rsidP="0072634D">
            <w:pPr>
              <w:spacing w:before="40" w:after="120"/>
              <w:ind w:right="113"/>
            </w:pPr>
            <w:r w:rsidRPr="00EC5DAD">
              <w:t>70</w:t>
            </w:r>
            <w:r w:rsidR="0072634D">
              <w:rPr>
                <w:rStyle w:val="EndnoteReference"/>
              </w:rPr>
              <w:endnoteReference w:id="156"/>
            </w:r>
            <w:r w:rsidR="00B200F0">
              <w:t>,</w:t>
            </w:r>
            <w:r w:rsidRPr="00EC5DAD">
              <w:t xml:space="preserve"> 73</w:t>
            </w:r>
            <w:r w:rsidR="0072634D">
              <w:rPr>
                <w:rStyle w:val="EndnoteReference"/>
              </w:rPr>
              <w:endnoteReference w:id="157"/>
            </w:r>
            <w:r w:rsidR="00B200F0">
              <w:t>,</w:t>
            </w:r>
            <w:r w:rsidRPr="00EC5DAD">
              <w:t xml:space="preserve"> 75</w:t>
            </w:r>
            <w:r w:rsidR="0072634D">
              <w:rPr>
                <w:rStyle w:val="EndnoteReference"/>
              </w:rPr>
              <w:endnoteReference w:id="158"/>
            </w:r>
            <w:r w:rsidR="00B200F0">
              <w:t>,</w:t>
            </w:r>
            <w:r w:rsidRPr="00EC5DAD">
              <w:t xml:space="preserve"> 92</w:t>
            </w:r>
            <w:r w:rsidR="0072634D">
              <w:rPr>
                <w:rStyle w:val="EndnoteReference"/>
              </w:rPr>
              <w:endnoteReference w:id="159"/>
            </w:r>
            <w:r w:rsidR="00B200F0">
              <w:t>.</w:t>
            </w:r>
          </w:p>
        </w:tc>
        <w:tc>
          <w:tcPr>
            <w:tcW w:w="3216" w:type="dxa"/>
            <w:tcBorders>
              <w:top w:val="single" w:sz="12" w:space="0" w:color="auto"/>
              <w:bottom w:val="single" w:sz="12" w:space="0" w:color="auto"/>
            </w:tcBorders>
            <w:shd w:val="clear" w:color="auto" w:fill="auto"/>
          </w:tcPr>
          <w:p w:rsidR="00EC5DAD" w:rsidRPr="00EC5DAD" w:rsidRDefault="00EC5DAD" w:rsidP="0072634D">
            <w:pPr>
              <w:spacing w:before="40" w:after="120"/>
              <w:ind w:right="113"/>
            </w:pPr>
            <w:r w:rsidRPr="00EC5DAD">
              <w:t>76</w:t>
            </w:r>
            <w:r w:rsidR="0072634D">
              <w:rPr>
                <w:rStyle w:val="EndnoteReference"/>
              </w:rPr>
              <w:endnoteReference w:id="160"/>
            </w:r>
            <w:r w:rsidR="00B200F0">
              <w:t>,</w:t>
            </w:r>
            <w:r w:rsidRPr="00EC5DAD">
              <w:t xml:space="preserve"> 81</w:t>
            </w:r>
            <w:r w:rsidR="0072634D">
              <w:rPr>
                <w:rStyle w:val="EndnoteReference"/>
              </w:rPr>
              <w:endnoteReference w:id="161"/>
            </w:r>
            <w:r w:rsidR="00B200F0">
              <w:t>,</w:t>
            </w:r>
            <w:r w:rsidRPr="00EC5DAD">
              <w:t xml:space="preserve"> 82</w:t>
            </w:r>
            <w:r w:rsidR="0072634D">
              <w:rPr>
                <w:rStyle w:val="EndnoteReference"/>
              </w:rPr>
              <w:endnoteReference w:id="162"/>
            </w:r>
            <w:r w:rsidR="00B200F0">
              <w:t>,</w:t>
            </w:r>
            <w:r w:rsidRPr="00EC5DAD">
              <w:t xml:space="preserve"> 86</w:t>
            </w:r>
            <w:r w:rsidR="0072634D">
              <w:rPr>
                <w:rStyle w:val="EndnoteReference"/>
              </w:rPr>
              <w:endnoteReference w:id="163"/>
            </w:r>
            <w:r w:rsidR="00B200F0">
              <w:t>,</w:t>
            </w:r>
            <w:r w:rsidRPr="00EC5DAD">
              <w:t xml:space="preserve"> 91</w:t>
            </w:r>
            <w:r w:rsidR="0072634D">
              <w:rPr>
                <w:rStyle w:val="EndnoteReference"/>
              </w:rPr>
              <w:endnoteReference w:id="164"/>
            </w:r>
            <w:r w:rsidR="00B200F0">
              <w:t>,</w:t>
            </w:r>
            <w:r w:rsidRPr="00EC5DAD">
              <w:t xml:space="preserve"> 173</w:t>
            </w:r>
            <w:r w:rsidR="0072634D">
              <w:rPr>
                <w:rStyle w:val="EndnoteReference"/>
              </w:rPr>
              <w:endnoteReference w:id="165"/>
            </w:r>
            <w:r w:rsidR="00B200F0">
              <w:t>,</w:t>
            </w:r>
            <w:r w:rsidRPr="00EC5DAD">
              <w:t xml:space="preserve"> 174</w:t>
            </w:r>
            <w:r w:rsidR="0072634D">
              <w:rPr>
                <w:rStyle w:val="EndnoteReference"/>
              </w:rPr>
              <w:endnoteReference w:id="166"/>
            </w:r>
            <w:r w:rsidR="00B200F0">
              <w:t>.</w:t>
            </w:r>
          </w:p>
        </w:tc>
        <w:tc>
          <w:tcPr>
            <w:tcW w:w="3216" w:type="dxa"/>
            <w:tcBorders>
              <w:top w:val="single" w:sz="12" w:space="0" w:color="auto"/>
              <w:bottom w:val="single" w:sz="12" w:space="0" w:color="auto"/>
            </w:tcBorders>
            <w:shd w:val="clear" w:color="auto" w:fill="auto"/>
          </w:tcPr>
          <w:p w:rsidR="00EC5DAD" w:rsidRPr="00EC5DAD" w:rsidRDefault="00EC5DAD" w:rsidP="00EC5DAD">
            <w:pPr>
              <w:spacing w:before="40" w:after="120"/>
              <w:ind w:right="113"/>
            </w:pPr>
            <w:r>
              <w:t>–</w:t>
            </w:r>
          </w:p>
        </w:tc>
      </w:tr>
    </w:tbl>
    <w:p w:rsidR="00EC5DAD" w:rsidRDefault="00EC5DAD" w:rsidP="00EC5DAD"/>
    <w:p w:rsidR="00EC5DAD" w:rsidRPr="00EC5DAD" w:rsidRDefault="00EC5DAD" w:rsidP="00EC5DAD">
      <w:pPr>
        <w:pStyle w:val="SingleTxtG"/>
      </w:pPr>
      <w:r>
        <w:t>29.</w:t>
      </w:r>
      <w:r>
        <w:tab/>
      </w:r>
      <w:r w:rsidRPr="00EC5DAD">
        <w:t>The Government takes stern action</w:t>
      </w:r>
      <w:r w:rsidR="0072634D">
        <w:rPr>
          <w:rStyle w:val="EndnoteReference"/>
        </w:rPr>
        <w:endnoteReference w:id="167"/>
      </w:r>
      <w:r w:rsidRPr="00EC5DAD">
        <w:t xml:space="preserve"> against </w:t>
      </w:r>
      <w:r w:rsidRPr="00EC5DAD">
        <w:rPr>
          <w:u w:val="single"/>
        </w:rPr>
        <w:t>hate acts</w:t>
      </w:r>
      <w:r w:rsidRPr="00EC5DAD">
        <w:t>. The new Criminal Code contains enhanced provisions</w:t>
      </w:r>
      <w:r w:rsidR="0072634D">
        <w:rPr>
          <w:rStyle w:val="EndnoteReference"/>
        </w:rPr>
        <w:endnoteReference w:id="168"/>
      </w:r>
      <w:r w:rsidRPr="00EC5DAD">
        <w:t xml:space="preserve"> against anti-Semitism, hate speech and action against violations of freedom of conscience and religion. In addition, the new Civil Code also provides the possibility for individuals and communities to launch civil law suits. </w:t>
      </w:r>
      <w:r w:rsidRPr="00EC5DAD">
        <w:rPr>
          <w:u w:val="single"/>
        </w:rPr>
        <w:t>Training</w:t>
      </w:r>
      <w:r w:rsidRPr="00EC5DAD">
        <w:t xml:space="preserve"> is provided for judges and prosecutors to enhance measures against hate crimes. A specialized police unit monitors the media and evaluates investigation data to signal possible hate crime acts as well as advises other police units. The Working Group against Hate Crimes serves as a forum for cooperation between the Government and relevant NGOs. The National Victim Service provides assistance for victims of crimes including hate crimes.</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EC5DAD" w:rsidRPr="00EC5DAD" w:rsidTr="00EC5DAD">
        <w:tc>
          <w:tcPr>
            <w:tcW w:w="3217" w:type="dxa"/>
            <w:tcBorders>
              <w:top w:val="single" w:sz="4" w:space="0" w:color="auto"/>
              <w:bottom w:val="single" w:sz="12" w:space="0" w:color="auto"/>
            </w:tcBorders>
            <w:shd w:val="clear" w:color="auto" w:fill="auto"/>
            <w:vAlign w:val="bottom"/>
          </w:tcPr>
          <w:p w:rsidR="00EC5DAD" w:rsidRPr="00EC5DAD" w:rsidRDefault="00EC5DAD" w:rsidP="00EC5DAD">
            <w:pPr>
              <w:spacing w:before="80" w:after="80" w:line="200" w:lineRule="exact"/>
              <w:ind w:right="113"/>
              <w:rPr>
                <w:i/>
                <w:sz w:val="16"/>
              </w:rPr>
            </w:pPr>
            <w:r>
              <w:rPr>
                <w:i/>
                <w:sz w:val="16"/>
              </w:rPr>
              <w:t>I.</w:t>
            </w:r>
          </w:p>
        </w:tc>
        <w:tc>
          <w:tcPr>
            <w:tcW w:w="3216" w:type="dxa"/>
            <w:tcBorders>
              <w:top w:val="single" w:sz="4" w:space="0" w:color="auto"/>
              <w:bottom w:val="single" w:sz="12" w:space="0" w:color="auto"/>
            </w:tcBorders>
            <w:shd w:val="clear" w:color="auto" w:fill="auto"/>
            <w:vAlign w:val="bottom"/>
          </w:tcPr>
          <w:p w:rsidR="00EC5DAD" w:rsidRPr="00EC5DAD" w:rsidRDefault="00EC5DAD" w:rsidP="00EC5DAD">
            <w:pPr>
              <w:spacing w:before="80" w:after="80" w:line="200" w:lineRule="exact"/>
              <w:ind w:right="113"/>
              <w:rPr>
                <w:i/>
                <w:sz w:val="16"/>
              </w:rPr>
            </w:pPr>
            <w:r>
              <w:rPr>
                <w:i/>
                <w:sz w:val="16"/>
              </w:rPr>
              <w:t>II.</w:t>
            </w:r>
          </w:p>
        </w:tc>
        <w:tc>
          <w:tcPr>
            <w:tcW w:w="3216" w:type="dxa"/>
            <w:tcBorders>
              <w:top w:val="single" w:sz="4" w:space="0" w:color="auto"/>
              <w:bottom w:val="single" w:sz="12" w:space="0" w:color="auto"/>
            </w:tcBorders>
            <w:shd w:val="clear" w:color="auto" w:fill="auto"/>
            <w:vAlign w:val="bottom"/>
          </w:tcPr>
          <w:p w:rsidR="00EC5DAD" w:rsidRPr="00EC5DAD" w:rsidRDefault="00EC5DAD" w:rsidP="00EC5DAD">
            <w:pPr>
              <w:spacing w:before="80" w:after="80" w:line="200" w:lineRule="exact"/>
              <w:ind w:right="113"/>
              <w:rPr>
                <w:i/>
                <w:sz w:val="16"/>
              </w:rPr>
            </w:pPr>
            <w:r>
              <w:rPr>
                <w:i/>
                <w:sz w:val="16"/>
              </w:rPr>
              <w:t>III.</w:t>
            </w:r>
          </w:p>
        </w:tc>
      </w:tr>
      <w:tr w:rsidR="00EC5DAD" w:rsidRPr="00EC5DAD" w:rsidTr="00EC5DAD">
        <w:tc>
          <w:tcPr>
            <w:tcW w:w="3217" w:type="dxa"/>
            <w:tcBorders>
              <w:top w:val="single" w:sz="12" w:space="0" w:color="auto"/>
              <w:bottom w:val="single" w:sz="12" w:space="0" w:color="auto"/>
            </w:tcBorders>
            <w:shd w:val="clear" w:color="auto" w:fill="auto"/>
          </w:tcPr>
          <w:p w:rsidR="00EC5DAD" w:rsidRPr="00EC5DAD" w:rsidRDefault="00EC5DAD" w:rsidP="0072634D">
            <w:pPr>
              <w:spacing w:before="40" w:after="120"/>
              <w:ind w:right="113"/>
            </w:pPr>
            <w:r w:rsidRPr="00EC5DAD">
              <w:t>77</w:t>
            </w:r>
            <w:r w:rsidR="0072634D">
              <w:rPr>
                <w:rStyle w:val="EndnoteReference"/>
              </w:rPr>
              <w:endnoteReference w:id="169"/>
            </w:r>
            <w:r w:rsidR="00B200F0">
              <w:t>,</w:t>
            </w:r>
            <w:r w:rsidRPr="00EC5DAD">
              <w:t xml:space="preserve"> 78</w:t>
            </w:r>
            <w:r w:rsidR="0072634D">
              <w:rPr>
                <w:rStyle w:val="EndnoteReference"/>
              </w:rPr>
              <w:endnoteReference w:id="170"/>
            </w:r>
            <w:r w:rsidR="00B200F0">
              <w:t>,</w:t>
            </w:r>
            <w:r w:rsidRPr="00EC5DAD">
              <w:t xml:space="preserve"> 97</w:t>
            </w:r>
            <w:r w:rsidR="0072634D">
              <w:rPr>
                <w:rStyle w:val="EndnoteReference"/>
              </w:rPr>
              <w:endnoteReference w:id="171"/>
            </w:r>
            <w:r w:rsidR="00B200F0">
              <w:t>,</w:t>
            </w:r>
            <w:r w:rsidRPr="00EC5DAD">
              <w:t xml:space="preserve"> 98</w:t>
            </w:r>
            <w:r w:rsidR="0072634D">
              <w:rPr>
                <w:rStyle w:val="EndnoteReference"/>
              </w:rPr>
              <w:endnoteReference w:id="172"/>
            </w:r>
            <w:r w:rsidR="00B200F0">
              <w:t>,</w:t>
            </w:r>
            <w:r w:rsidRPr="00EC5DAD">
              <w:t xml:space="preserve"> 99</w:t>
            </w:r>
            <w:r w:rsidR="0072634D">
              <w:rPr>
                <w:rStyle w:val="EndnoteReference"/>
              </w:rPr>
              <w:endnoteReference w:id="173"/>
            </w:r>
            <w:r w:rsidR="00B200F0">
              <w:t>,</w:t>
            </w:r>
            <w:r w:rsidRPr="00EC5DAD">
              <w:t xml:space="preserve"> 102</w:t>
            </w:r>
            <w:r w:rsidR="0072634D">
              <w:rPr>
                <w:rStyle w:val="EndnoteReference"/>
              </w:rPr>
              <w:endnoteReference w:id="174"/>
            </w:r>
            <w:r w:rsidR="00B200F0">
              <w:t>,</w:t>
            </w:r>
            <w:r w:rsidRPr="00EC5DAD">
              <w:t xml:space="preserve"> 103</w:t>
            </w:r>
            <w:r w:rsidR="0072634D">
              <w:rPr>
                <w:rStyle w:val="EndnoteReference"/>
              </w:rPr>
              <w:endnoteReference w:id="175"/>
            </w:r>
            <w:r w:rsidR="00B200F0">
              <w:t>,</w:t>
            </w:r>
            <w:r w:rsidRPr="00EC5DAD">
              <w:t xml:space="preserve"> 108</w:t>
            </w:r>
            <w:r w:rsidR="0072634D">
              <w:rPr>
                <w:rStyle w:val="EndnoteReference"/>
              </w:rPr>
              <w:endnoteReference w:id="176"/>
            </w:r>
            <w:r w:rsidR="00B200F0">
              <w:t>,</w:t>
            </w:r>
            <w:r w:rsidRPr="00EC5DAD">
              <w:t xml:space="preserve"> 110</w:t>
            </w:r>
            <w:r w:rsidR="0072634D">
              <w:rPr>
                <w:rStyle w:val="EndnoteReference"/>
              </w:rPr>
              <w:endnoteReference w:id="177"/>
            </w:r>
            <w:r w:rsidR="00B200F0">
              <w:t>,</w:t>
            </w:r>
            <w:r w:rsidRPr="00EC5DAD">
              <w:t xml:space="preserve"> 111</w:t>
            </w:r>
            <w:r w:rsidR="0072634D">
              <w:rPr>
                <w:rStyle w:val="EndnoteReference"/>
              </w:rPr>
              <w:endnoteReference w:id="178"/>
            </w:r>
            <w:r w:rsidR="00B200F0">
              <w:t>,</w:t>
            </w:r>
            <w:r w:rsidRPr="00EC5DAD">
              <w:t xml:space="preserve"> 112</w:t>
            </w:r>
            <w:r w:rsidR="0072634D">
              <w:rPr>
                <w:rStyle w:val="EndnoteReference"/>
              </w:rPr>
              <w:endnoteReference w:id="179"/>
            </w:r>
            <w:r w:rsidR="00B200F0">
              <w:t>,</w:t>
            </w:r>
            <w:r w:rsidRPr="00EC5DAD">
              <w:t xml:space="preserve"> 113</w:t>
            </w:r>
            <w:r w:rsidR="0072634D">
              <w:rPr>
                <w:rStyle w:val="EndnoteReference"/>
              </w:rPr>
              <w:endnoteReference w:id="180"/>
            </w:r>
            <w:r w:rsidR="00B200F0">
              <w:t>,</w:t>
            </w:r>
            <w:r w:rsidRPr="00EC5DAD">
              <w:t xml:space="preserve"> 114</w:t>
            </w:r>
            <w:r w:rsidR="0072634D">
              <w:rPr>
                <w:rStyle w:val="EndnoteReference"/>
              </w:rPr>
              <w:endnoteReference w:id="181"/>
            </w:r>
            <w:r w:rsidR="00B200F0">
              <w:t>,</w:t>
            </w:r>
            <w:r w:rsidRPr="00EC5DAD">
              <w:t xml:space="preserve"> 115</w:t>
            </w:r>
            <w:r w:rsidR="0072634D">
              <w:rPr>
                <w:rStyle w:val="EndnoteReference"/>
              </w:rPr>
              <w:endnoteReference w:id="182"/>
            </w:r>
            <w:r w:rsidR="00B200F0">
              <w:t>,</w:t>
            </w:r>
            <w:r w:rsidRPr="00EC5DAD">
              <w:t xml:space="preserve"> 116</w:t>
            </w:r>
            <w:r w:rsidR="0072634D">
              <w:rPr>
                <w:rStyle w:val="EndnoteReference"/>
              </w:rPr>
              <w:endnoteReference w:id="183"/>
            </w:r>
            <w:r w:rsidR="00B200F0">
              <w:t>,</w:t>
            </w:r>
            <w:r w:rsidRPr="00EC5DAD">
              <w:t xml:space="preserve"> 117</w:t>
            </w:r>
            <w:r w:rsidR="0072634D">
              <w:rPr>
                <w:rStyle w:val="EndnoteReference"/>
              </w:rPr>
              <w:endnoteReference w:id="184"/>
            </w:r>
            <w:r w:rsidR="00B200F0">
              <w:t>.</w:t>
            </w:r>
          </w:p>
        </w:tc>
        <w:tc>
          <w:tcPr>
            <w:tcW w:w="3216" w:type="dxa"/>
            <w:tcBorders>
              <w:top w:val="single" w:sz="12" w:space="0" w:color="auto"/>
              <w:bottom w:val="single" w:sz="12" w:space="0" w:color="auto"/>
            </w:tcBorders>
            <w:shd w:val="clear" w:color="auto" w:fill="auto"/>
          </w:tcPr>
          <w:p w:rsidR="00EC5DAD" w:rsidRPr="00EC5DAD" w:rsidRDefault="00EC5DAD" w:rsidP="0072634D">
            <w:pPr>
              <w:spacing w:before="40" w:after="120"/>
              <w:ind w:right="113"/>
            </w:pPr>
            <w:r w:rsidRPr="00EC5DAD">
              <w:t>46</w:t>
            </w:r>
            <w:r w:rsidR="0072634D">
              <w:rPr>
                <w:rStyle w:val="EndnoteReference"/>
              </w:rPr>
              <w:endnoteReference w:id="185"/>
            </w:r>
            <w:r w:rsidR="00B200F0">
              <w:t>,</w:t>
            </w:r>
            <w:r w:rsidRPr="00EC5DAD">
              <w:t xml:space="preserve"> 48</w:t>
            </w:r>
            <w:r w:rsidR="0072634D">
              <w:rPr>
                <w:rStyle w:val="EndnoteReference"/>
              </w:rPr>
              <w:endnoteReference w:id="186"/>
            </w:r>
            <w:r w:rsidR="00B200F0">
              <w:t>,</w:t>
            </w:r>
            <w:r w:rsidRPr="00EC5DAD">
              <w:t xml:space="preserve"> 107</w:t>
            </w:r>
            <w:r w:rsidR="0072634D">
              <w:rPr>
                <w:rStyle w:val="EndnoteReference"/>
              </w:rPr>
              <w:endnoteReference w:id="187"/>
            </w:r>
            <w:r w:rsidR="00B200F0">
              <w:t>,</w:t>
            </w:r>
            <w:r w:rsidRPr="00EC5DAD">
              <w:t xml:space="preserve"> 109</w:t>
            </w:r>
            <w:r w:rsidR="0072634D">
              <w:rPr>
                <w:rStyle w:val="EndnoteReference"/>
              </w:rPr>
              <w:endnoteReference w:id="188"/>
            </w:r>
            <w:r w:rsidR="00B200F0">
              <w:t>.</w:t>
            </w:r>
          </w:p>
        </w:tc>
        <w:tc>
          <w:tcPr>
            <w:tcW w:w="3216" w:type="dxa"/>
            <w:tcBorders>
              <w:top w:val="single" w:sz="12" w:space="0" w:color="auto"/>
              <w:bottom w:val="single" w:sz="12" w:space="0" w:color="auto"/>
            </w:tcBorders>
            <w:shd w:val="clear" w:color="auto" w:fill="auto"/>
          </w:tcPr>
          <w:p w:rsidR="00EC5DAD" w:rsidRPr="00EC5DAD" w:rsidRDefault="00EC5DAD" w:rsidP="00EC5DAD">
            <w:pPr>
              <w:spacing w:before="40" w:after="120"/>
              <w:ind w:right="113"/>
            </w:pPr>
            <w:r>
              <w:t>–</w:t>
            </w:r>
          </w:p>
        </w:tc>
      </w:tr>
    </w:tbl>
    <w:p w:rsidR="00EC5DAD" w:rsidRDefault="00EC5DAD" w:rsidP="00EC5DAD"/>
    <w:p w:rsidR="00EC5DAD" w:rsidRPr="00EC5DAD" w:rsidRDefault="00EC5DAD" w:rsidP="00EC5DAD">
      <w:pPr>
        <w:pStyle w:val="SingleTxtG"/>
      </w:pPr>
      <w:r>
        <w:t>30.</w:t>
      </w:r>
      <w:r>
        <w:tab/>
      </w:r>
      <w:r w:rsidRPr="00EC5DAD">
        <w:t>Since 1989, the provisions of the Criminal Code sanctioning hate crimes extend to actions committed against the dignity of the Hungarian nation. The Fundamental Law and the case-law of the Constitutional Court ensures the balance</w:t>
      </w:r>
      <w:r w:rsidR="0072634D">
        <w:rPr>
          <w:rStyle w:val="EndnoteReference"/>
        </w:rPr>
        <w:endnoteReference w:id="189"/>
      </w:r>
      <w:r w:rsidRPr="00EC5DAD">
        <w:t xml:space="preserve"> between freedom of speech and right to dignity of national, ethnic, racial or religious groups.</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EC5DAD" w:rsidRPr="00EC5DAD" w:rsidTr="00EC5DAD">
        <w:tc>
          <w:tcPr>
            <w:tcW w:w="3217" w:type="dxa"/>
            <w:tcBorders>
              <w:top w:val="single" w:sz="4" w:space="0" w:color="auto"/>
              <w:bottom w:val="single" w:sz="12" w:space="0" w:color="auto"/>
            </w:tcBorders>
            <w:shd w:val="clear" w:color="auto" w:fill="auto"/>
            <w:vAlign w:val="bottom"/>
          </w:tcPr>
          <w:p w:rsidR="00EC5DAD" w:rsidRPr="00EC5DAD" w:rsidRDefault="00EC5DAD" w:rsidP="00EC5DAD">
            <w:pPr>
              <w:spacing w:before="80" w:after="80" w:line="200" w:lineRule="exact"/>
              <w:ind w:right="113"/>
              <w:rPr>
                <w:sz w:val="16"/>
              </w:rPr>
            </w:pPr>
            <w:r>
              <w:rPr>
                <w:sz w:val="16"/>
              </w:rPr>
              <w:t>I.</w:t>
            </w:r>
          </w:p>
        </w:tc>
        <w:tc>
          <w:tcPr>
            <w:tcW w:w="3216" w:type="dxa"/>
            <w:tcBorders>
              <w:top w:val="single" w:sz="4" w:space="0" w:color="auto"/>
              <w:bottom w:val="single" w:sz="12" w:space="0" w:color="auto"/>
            </w:tcBorders>
            <w:shd w:val="clear" w:color="auto" w:fill="auto"/>
            <w:vAlign w:val="bottom"/>
          </w:tcPr>
          <w:p w:rsidR="00EC5DAD" w:rsidRPr="00EC5DAD" w:rsidRDefault="00EC5DAD" w:rsidP="00EC5DAD">
            <w:pPr>
              <w:spacing w:before="80" w:after="80" w:line="200" w:lineRule="exact"/>
              <w:ind w:right="113"/>
              <w:rPr>
                <w:i/>
                <w:sz w:val="16"/>
              </w:rPr>
            </w:pPr>
            <w:r>
              <w:rPr>
                <w:i/>
                <w:sz w:val="16"/>
              </w:rPr>
              <w:t>II.</w:t>
            </w:r>
          </w:p>
        </w:tc>
        <w:tc>
          <w:tcPr>
            <w:tcW w:w="3216" w:type="dxa"/>
            <w:tcBorders>
              <w:top w:val="single" w:sz="4" w:space="0" w:color="auto"/>
              <w:bottom w:val="single" w:sz="12" w:space="0" w:color="auto"/>
            </w:tcBorders>
            <w:shd w:val="clear" w:color="auto" w:fill="auto"/>
            <w:vAlign w:val="bottom"/>
          </w:tcPr>
          <w:p w:rsidR="00EC5DAD" w:rsidRPr="00EC5DAD" w:rsidRDefault="00EC5DAD" w:rsidP="00EC5DAD">
            <w:pPr>
              <w:spacing w:before="80" w:after="80" w:line="200" w:lineRule="exact"/>
              <w:ind w:right="113"/>
              <w:rPr>
                <w:i/>
                <w:sz w:val="16"/>
              </w:rPr>
            </w:pPr>
            <w:r>
              <w:rPr>
                <w:i/>
                <w:sz w:val="16"/>
              </w:rPr>
              <w:t>III.</w:t>
            </w:r>
          </w:p>
        </w:tc>
      </w:tr>
      <w:tr w:rsidR="00EC5DAD" w:rsidRPr="00EC5DAD" w:rsidTr="00EC5DAD">
        <w:tc>
          <w:tcPr>
            <w:tcW w:w="3217" w:type="dxa"/>
            <w:tcBorders>
              <w:top w:val="single" w:sz="12" w:space="0" w:color="auto"/>
              <w:bottom w:val="single" w:sz="12" w:space="0" w:color="auto"/>
            </w:tcBorders>
            <w:shd w:val="clear" w:color="auto" w:fill="auto"/>
          </w:tcPr>
          <w:p w:rsidR="00EC5DAD" w:rsidRPr="00EC5DAD" w:rsidRDefault="00EC5DAD" w:rsidP="0072634D">
            <w:pPr>
              <w:spacing w:before="40" w:after="120"/>
              <w:ind w:right="113"/>
            </w:pPr>
            <w:r w:rsidRPr="00EC5DAD">
              <w:t>104</w:t>
            </w:r>
            <w:r w:rsidR="0072634D">
              <w:rPr>
                <w:rStyle w:val="EndnoteReference"/>
              </w:rPr>
              <w:endnoteReference w:id="190"/>
            </w:r>
            <w:r w:rsidR="00B200F0">
              <w:t>.</w:t>
            </w:r>
          </w:p>
        </w:tc>
        <w:tc>
          <w:tcPr>
            <w:tcW w:w="3216" w:type="dxa"/>
            <w:tcBorders>
              <w:top w:val="single" w:sz="12" w:space="0" w:color="auto"/>
              <w:bottom w:val="single" w:sz="12" w:space="0" w:color="auto"/>
            </w:tcBorders>
            <w:shd w:val="clear" w:color="auto" w:fill="auto"/>
          </w:tcPr>
          <w:p w:rsidR="00EC5DAD" w:rsidRPr="00EC5DAD" w:rsidRDefault="00EC5DAD" w:rsidP="00EC5DAD">
            <w:pPr>
              <w:spacing w:before="40" w:after="120"/>
              <w:ind w:right="113"/>
            </w:pPr>
            <w:r>
              <w:t>–</w:t>
            </w:r>
          </w:p>
        </w:tc>
        <w:tc>
          <w:tcPr>
            <w:tcW w:w="3216" w:type="dxa"/>
            <w:tcBorders>
              <w:top w:val="single" w:sz="12" w:space="0" w:color="auto"/>
              <w:bottom w:val="single" w:sz="12" w:space="0" w:color="auto"/>
            </w:tcBorders>
            <w:shd w:val="clear" w:color="auto" w:fill="auto"/>
          </w:tcPr>
          <w:p w:rsidR="00EC5DAD" w:rsidRPr="00EC5DAD" w:rsidRDefault="00EC5DAD" w:rsidP="00EC5DAD">
            <w:pPr>
              <w:spacing w:before="40" w:after="120"/>
              <w:ind w:right="113"/>
            </w:pPr>
            <w:r>
              <w:t>–</w:t>
            </w:r>
          </w:p>
        </w:tc>
      </w:tr>
    </w:tbl>
    <w:p w:rsidR="00EC5DAD" w:rsidRPr="00EC5DAD" w:rsidRDefault="00EC5DAD" w:rsidP="00EC5DAD">
      <w:pPr>
        <w:pStyle w:val="HChG"/>
      </w:pPr>
      <w:r>
        <w:tab/>
      </w:r>
      <w:r>
        <w:tab/>
      </w:r>
      <w:r w:rsidRPr="00EC5DAD">
        <w:t>Asylum seekers and migrants</w:t>
      </w:r>
    </w:p>
    <w:p w:rsidR="00B200F0" w:rsidRDefault="00EC5DAD" w:rsidP="00EC5DAD">
      <w:pPr>
        <w:pStyle w:val="SingleTxtG"/>
      </w:pPr>
      <w:r>
        <w:t>31.</w:t>
      </w:r>
      <w:r>
        <w:tab/>
      </w:r>
      <w:r w:rsidRPr="00EC5DAD">
        <w:t xml:space="preserve">Hungary grants </w:t>
      </w:r>
      <w:r w:rsidRPr="00EC5DAD">
        <w:rPr>
          <w:u w:val="single"/>
        </w:rPr>
        <w:t>asylum</w:t>
      </w:r>
      <w:r w:rsidRPr="00EC5DAD">
        <w:t xml:space="preserve"> and established procedures in line with international and regional standards, including the 1951 Refugee Convention. Hungary firmly believes that protection should be provided for those who are in real danger, with special a</w:t>
      </w:r>
      <w:r w:rsidR="00F37938">
        <w:t>ttention to women and children.</w:t>
      </w:r>
      <w:r w:rsidRPr="00EC5DAD">
        <w:t xml:space="preserve"> The Government is striving to improve the </w:t>
      </w:r>
      <w:r w:rsidRPr="00EC5DAD">
        <w:rPr>
          <w:u w:val="single"/>
        </w:rPr>
        <w:t>living conditions of refugees and asylum seekers</w:t>
      </w:r>
      <w:r w:rsidRPr="00EC5DAD">
        <w:t>. Care and support provided, are in line with EU and international regulations</w:t>
      </w:r>
      <w:r w:rsidR="0072634D">
        <w:rPr>
          <w:rStyle w:val="EndnoteReference"/>
        </w:rPr>
        <w:endnoteReference w:id="191"/>
      </w:r>
      <w:r w:rsidR="0072634D">
        <w:t>.</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EC5DAD" w:rsidRPr="00EC5DAD" w:rsidTr="00730EE4">
        <w:tc>
          <w:tcPr>
            <w:tcW w:w="2835" w:type="dxa"/>
            <w:tcBorders>
              <w:top w:val="single" w:sz="4" w:space="0" w:color="auto"/>
              <w:bottom w:val="single" w:sz="12" w:space="0" w:color="auto"/>
            </w:tcBorders>
            <w:shd w:val="clear" w:color="auto" w:fill="auto"/>
            <w:vAlign w:val="bottom"/>
          </w:tcPr>
          <w:p w:rsidR="00EC5DAD" w:rsidRPr="00EC5DAD" w:rsidRDefault="00EC5DAD" w:rsidP="00EC5DAD">
            <w:pPr>
              <w:spacing w:before="80" w:after="80" w:line="200" w:lineRule="exact"/>
              <w:ind w:right="113"/>
              <w:rPr>
                <w:i/>
                <w:sz w:val="16"/>
              </w:rPr>
            </w:pPr>
            <w:r>
              <w:rPr>
                <w:i/>
                <w:sz w:val="16"/>
              </w:rPr>
              <w:t>I.</w:t>
            </w:r>
          </w:p>
        </w:tc>
        <w:tc>
          <w:tcPr>
            <w:tcW w:w="2835" w:type="dxa"/>
            <w:tcBorders>
              <w:top w:val="single" w:sz="4" w:space="0" w:color="auto"/>
              <w:bottom w:val="single" w:sz="12" w:space="0" w:color="auto"/>
            </w:tcBorders>
            <w:shd w:val="clear" w:color="auto" w:fill="auto"/>
            <w:vAlign w:val="bottom"/>
          </w:tcPr>
          <w:p w:rsidR="00EC5DAD" w:rsidRPr="00EC5DAD" w:rsidRDefault="00EC5DAD" w:rsidP="00EC5DAD">
            <w:pPr>
              <w:spacing w:before="80" w:after="80" w:line="200" w:lineRule="exact"/>
              <w:ind w:right="113"/>
              <w:rPr>
                <w:i/>
                <w:sz w:val="16"/>
              </w:rPr>
            </w:pPr>
            <w:r>
              <w:rPr>
                <w:i/>
                <w:sz w:val="16"/>
              </w:rPr>
              <w:t>II.</w:t>
            </w:r>
          </w:p>
        </w:tc>
        <w:tc>
          <w:tcPr>
            <w:tcW w:w="2835" w:type="dxa"/>
            <w:tcBorders>
              <w:top w:val="single" w:sz="4" w:space="0" w:color="auto"/>
              <w:bottom w:val="single" w:sz="12" w:space="0" w:color="auto"/>
            </w:tcBorders>
            <w:shd w:val="clear" w:color="auto" w:fill="auto"/>
            <w:vAlign w:val="bottom"/>
          </w:tcPr>
          <w:p w:rsidR="00EC5DAD" w:rsidRPr="00EC5DAD" w:rsidRDefault="00EC5DAD" w:rsidP="00EC5DAD">
            <w:pPr>
              <w:spacing w:before="80" w:after="80" w:line="200" w:lineRule="exact"/>
              <w:ind w:right="113"/>
              <w:rPr>
                <w:i/>
                <w:sz w:val="16"/>
              </w:rPr>
            </w:pPr>
            <w:r>
              <w:rPr>
                <w:i/>
                <w:sz w:val="16"/>
              </w:rPr>
              <w:t>III.</w:t>
            </w:r>
          </w:p>
        </w:tc>
      </w:tr>
      <w:tr w:rsidR="00EC5DAD" w:rsidRPr="00EC5DAD" w:rsidTr="00730EE4">
        <w:tc>
          <w:tcPr>
            <w:tcW w:w="2835" w:type="dxa"/>
            <w:tcBorders>
              <w:top w:val="single" w:sz="12" w:space="0" w:color="auto"/>
              <w:bottom w:val="single" w:sz="12" w:space="0" w:color="auto"/>
            </w:tcBorders>
            <w:shd w:val="clear" w:color="auto" w:fill="auto"/>
          </w:tcPr>
          <w:p w:rsidR="00EC5DAD" w:rsidRPr="00EC5DAD" w:rsidRDefault="00EC5DAD" w:rsidP="00EC5DAD">
            <w:pPr>
              <w:spacing w:before="40" w:after="120"/>
              <w:ind w:right="113"/>
            </w:pPr>
            <w:r>
              <w:t>–</w:t>
            </w:r>
          </w:p>
        </w:tc>
        <w:tc>
          <w:tcPr>
            <w:tcW w:w="2835" w:type="dxa"/>
            <w:tcBorders>
              <w:top w:val="single" w:sz="12" w:space="0" w:color="auto"/>
              <w:bottom w:val="single" w:sz="12" w:space="0" w:color="auto"/>
            </w:tcBorders>
            <w:shd w:val="clear" w:color="auto" w:fill="auto"/>
          </w:tcPr>
          <w:p w:rsidR="00EC5DAD" w:rsidRPr="00EC5DAD" w:rsidRDefault="00EC5DAD" w:rsidP="00466CEC">
            <w:pPr>
              <w:spacing w:before="40" w:after="120"/>
              <w:ind w:right="113"/>
            </w:pPr>
            <w:r w:rsidRPr="00EC5DAD">
              <w:t>69</w:t>
            </w:r>
            <w:r w:rsidR="0072634D">
              <w:rPr>
                <w:rStyle w:val="EndnoteReference"/>
              </w:rPr>
              <w:endnoteReference w:id="192"/>
            </w:r>
            <w:r w:rsidR="00B200F0">
              <w:t>,</w:t>
            </w:r>
            <w:r w:rsidRPr="00EC5DAD">
              <w:t xml:space="preserve"> 74</w:t>
            </w:r>
            <w:r w:rsidR="0072634D">
              <w:rPr>
                <w:rStyle w:val="EndnoteReference"/>
              </w:rPr>
              <w:endnoteReference w:id="193"/>
            </w:r>
            <w:r w:rsidR="00B200F0">
              <w:t>,</w:t>
            </w:r>
            <w:r w:rsidRPr="00EC5DAD">
              <w:t xml:space="preserve"> 80</w:t>
            </w:r>
            <w:r w:rsidR="0072634D">
              <w:rPr>
                <w:rStyle w:val="EndnoteReference"/>
              </w:rPr>
              <w:endnoteReference w:id="194"/>
            </w:r>
            <w:r w:rsidR="00B200F0">
              <w:t>,</w:t>
            </w:r>
            <w:r w:rsidRPr="00EC5DAD">
              <w:t xml:space="preserve"> 83</w:t>
            </w:r>
            <w:r w:rsidR="0072634D">
              <w:rPr>
                <w:rStyle w:val="EndnoteReference"/>
              </w:rPr>
              <w:endnoteReference w:id="195"/>
            </w:r>
            <w:r w:rsidR="00B200F0">
              <w:t>,</w:t>
            </w:r>
            <w:r w:rsidRPr="00EC5DAD">
              <w:t xml:space="preserve"> 96</w:t>
            </w:r>
            <w:r w:rsidR="0072634D">
              <w:rPr>
                <w:rStyle w:val="EndnoteReference"/>
              </w:rPr>
              <w:endnoteReference w:id="196"/>
            </w:r>
            <w:r w:rsidR="00B200F0">
              <w:t>,</w:t>
            </w:r>
            <w:r w:rsidRPr="00EC5DAD">
              <w:t xml:space="preserve"> 100</w:t>
            </w:r>
            <w:r w:rsidR="0072634D">
              <w:rPr>
                <w:rStyle w:val="EndnoteReference"/>
              </w:rPr>
              <w:endnoteReference w:id="197"/>
            </w:r>
            <w:r w:rsidR="00B200F0">
              <w:t>,</w:t>
            </w:r>
            <w:r w:rsidRPr="00EC5DAD">
              <w:t xml:space="preserve"> 101</w:t>
            </w:r>
            <w:r w:rsidR="0072634D">
              <w:rPr>
                <w:rStyle w:val="EndnoteReference"/>
              </w:rPr>
              <w:endnoteReference w:id="198"/>
            </w:r>
            <w:r w:rsidR="00B200F0">
              <w:t>,</w:t>
            </w:r>
            <w:r w:rsidRPr="00EC5DAD">
              <w:t xml:space="preserve"> 105</w:t>
            </w:r>
            <w:r w:rsidR="00466CEC">
              <w:rPr>
                <w:rStyle w:val="EndnoteReference"/>
              </w:rPr>
              <w:endnoteReference w:id="199"/>
            </w:r>
            <w:r w:rsidR="00B200F0">
              <w:t>,</w:t>
            </w:r>
            <w:r w:rsidRPr="00EC5DAD">
              <w:t xml:space="preserve"> 106</w:t>
            </w:r>
            <w:r w:rsidR="00466CEC">
              <w:rPr>
                <w:rStyle w:val="EndnoteReference"/>
              </w:rPr>
              <w:endnoteReference w:id="200"/>
            </w:r>
            <w:r w:rsidR="00B200F0">
              <w:t>,</w:t>
            </w:r>
            <w:r w:rsidRPr="00EC5DAD">
              <w:t xml:space="preserve"> 184</w:t>
            </w:r>
            <w:r w:rsidR="00466CEC">
              <w:rPr>
                <w:rStyle w:val="EndnoteReference"/>
              </w:rPr>
              <w:endnoteReference w:id="201"/>
            </w:r>
            <w:r w:rsidR="00B200F0">
              <w:t>,</w:t>
            </w:r>
            <w:r w:rsidRPr="00EC5DAD">
              <w:t xml:space="preserve"> 186</w:t>
            </w:r>
            <w:r w:rsidR="00466CEC">
              <w:rPr>
                <w:rStyle w:val="EndnoteReference"/>
              </w:rPr>
              <w:endnoteReference w:id="202"/>
            </w:r>
            <w:r w:rsidR="00B200F0">
              <w:t>,</w:t>
            </w:r>
            <w:r w:rsidRPr="00EC5DAD">
              <w:t xml:space="preserve"> 188</w:t>
            </w:r>
            <w:r w:rsidR="00466CEC">
              <w:rPr>
                <w:rStyle w:val="EndnoteReference"/>
              </w:rPr>
              <w:endnoteReference w:id="203"/>
            </w:r>
            <w:r w:rsidR="00B200F0">
              <w:t>,</w:t>
            </w:r>
            <w:r w:rsidRPr="00EC5DAD">
              <w:t xml:space="preserve"> 189</w:t>
            </w:r>
            <w:r w:rsidR="00466CEC">
              <w:rPr>
                <w:rStyle w:val="EndnoteReference"/>
              </w:rPr>
              <w:endnoteReference w:id="204"/>
            </w:r>
            <w:r w:rsidR="00B200F0">
              <w:t>,</w:t>
            </w:r>
            <w:r w:rsidRPr="00EC5DAD">
              <w:t xml:space="preserve"> 190</w:t>
            </w:r>
            <w:r w:rsidR="00466CEC">
              <w:rPr>
                <w:rStyle w:val="EndnoteReference"/>
              </w:rPr>
              <w:endnoteReference w:id="205"/>
            </w:r>
            <w:r w:rsidR="00B200F0">
              <w:t>,</w:t>
            </w:r>
            <w:r w:rsidRPr="00EC5DAD">
              <w:t xml:space="preserve"> 192</w:t>
            </w:r>
            <w:r w:rsidR="00466CEC">
              <w:rPr>
                <w:rStyle w:val="EndnoteReference"/>
              </w:rPr>
              <w:endnoteReference w:id="206"/>
            </w:r>
            <w:r w:rsidR="00B200F0">
              <w:t>,</w:t>
            </w:r>
            <w:r w:rsidRPr="00EC5DAD">
              <w:t xml:space="preserve"> 193</w:t>
            </w:r>
            <w:r w:rsidR="00466CEC">
              <w:rPr>
                <w:rStyle w:val="EndnoteReference"/>
              </w:rPr>
              <w:endnoteReference w:id="207"/>
            </w:r>
            <w:r w:rsidR="00B200F0">
              <w:t>,</w:t>
            </w:r>
            <w:r w:rsidRPr="00EC5DAD">
              <w:t xml:space="preserve"> 194</w:t>
            </w:r>
            <w:r w:rsidR="00466CEC">
              <w:rPr>
                <w:rStyle w:val="EndnoteReference"/>
              </w:rPr>
              <w:endnoteReference w:id="208"/>
            </w:r>
            <w:r w:rsidR="00B200F0">
              <w:t>,</w:t>
            </w:r>
            <w:r w:rsidRPr="00EC5DAD">
              <w:t xml:space="preserve"> 195</w:t>
            </w:r>
            <w:r w:rsidR="00466CEC">
              <w:rPr>
                <w:rStyle w:val="EndnoteReference"/>
              </w:rPr>
              <w:endnoteReference w:id="209"/>
            </w:r>
            <w:r w:rsidR="00B200F0">
              <w:t>,</w:t>
            </w:r>
            <w:r w:rsidRPr="00EC5DAD">
              <w:t xml:space="preserve"> 196</w:t>
            </w:r>
            <w:r w:rsidR="00466CEC">
              <w:rPr>
                <w:rStyle w:val="EndnoteReference"/>
              </w:rPr>
              <w:endnoteReference w:id="210"/>
            </w:r>
            <w:r w:rsidR="00B200F0">
              <w:t>,</w:t>
            </w:r>
            <w:r w:rsidRPr="00EC5DAD">
              <w:t xml:space="preserve"> 197</w:t>
            </w:r>
            <w:r w:rsidR="00466CEC">
              <w:rPr>
                <w:rStyle w:val="EndnoteReference"/>
              </w:rPr>
              <w:endnoteReference w:id="211"/>
            </w:r>
            <w:r w:rsidR="00B200F0">
              <w:t>,</w:t>
            </w:r>
            <w:r w:rsidRPr="00EC5DAD">
              <w:t xml:space="preserve"> 198</w:t>
            </w:r>
            <w:r w:rsidR="00466CEC">
              <w:rPr>
                <w:rStyle w:val="EndnoteReference"/>
              </w:rPr>
              <w:endnoteReference w:id="212"/>
            </w:r>
            <w:r w:rsidR="00B200F0">
              <w:t>,</w:t>
            </w:r>
            <w:r w:rsidRPr="00EC5DAD">
              <w:t xml:space="preserve"> 199</w:t>
            </w:r>
            <w:r w:rsidR="00466CEC">
              <w:rPr>
                <w:rStyle w:val="EndnoteReference"/>
              </w:rPr>
              <w:endnoteReference w:id="213"/>
            </w:r>
            <w:r w:rsidR="00B200F0">
              <w:t>,</w:t>
            </w:r>
            <w:r w:rsidRPr="00EC5DAD">
              <w:t xml:space="preserve"> 203</w:t>
            </w:r>
            <w:r w:rsidR="00466CEC">
              <w:rPr>
                <w:rStyle w:val="EndnoteReference"/>
              </w:rPr>
              <w:endnoteReference w:id="214"/>
            </w:r>
            <w:r w:rsidR="00B200F0">
              <w:t>,</w:t>
            </w:r>
            <w:r w:rsidRPr="00EC5DAD">
              <w:t xml:space="preserve"> 204</w:t>
            </w:r>
            <w:r w:rsidR="00466CEC">
              <w:rPr>
                <w:rStyle w:val="EndnoteReference"/>
              </w:rPr>
              <w:endnoteReference w:id="215"/>
            </w:r>
            <w:r w:rsidR="00B200F0">
              <w:t>,</w:t>
            </w:r>
            <w:r w:rsidRPr="00EC5DAD">
              <w:t xml:space="preserve"> 205</w:t>
            </w:r>
            <w:r w:rsidR="00466CEC">
              <w:rPr>
                <w:rStyle w:val="EndnoteReference"/>
              </w:rPr>
              <w:endnoteReference w:id="216"/>
            </w:r>
            <w:r w:rsidR="00B200F0">
              <w:t>,</w:t>
            </w:r>
            <w:r w:rsidRPr="00EC5DAD">
              <w:t xml:space="preserve"> 206</w:t>
            </w:r>
            <w:r w:rsidR="00466CEC">
              <w:rPr>
                <w:rStyle w:val="EndnoteReference"/>
              </w:rPr>
              <w:endnoteReference w:id="217"/>
            </w:r>
            <w:r w:rsidR="00B200F0">
              <w:t>,</w:t>
            </w:r>
            <w:r w:rsidRPr="00EC5DAD">
              <w:t xml:space="preserve"> 208</w:t>
            </w:r>
            <w:r w:rsidR="00466CEC">
              <w:rPr>
                <w:rStyle w:val="EndnoteReference"/>
              </w:rPr>
              <w:endnoteReference w:id="218"/>
            </w:r>
            <w:r w:rsidR="00B200F0">
              <w:t>,</w:t>
            </w:r>
            <w:r w:rsidRPr="00EC5DAD">
              <w:t xml:space="preserve"> 209</w:t>
            </w:r>
            <w:r w:rsidR="00466CEC">
              <w:rPr>
                <w:rStyle w:val="EndnoteReference"/>
              </w:rPr>
              <w:endnoteReference w:id="219"/>
            </w:r>
            <w:r w:rsidR="00B200F0">
              <w:t>,</w:t>
            </w:r>
            <w:r w:rsidRPr="00EC5DAD">
              <w:t xml:space="preserve"> 210</w:t>
            </w:r>
            <w:r w:rsidR="00466CEC">
              <w:rPr>
                <w:rStyle w:val="EndnoteReference"/>
              </w:rPr>
              <w:endnoteReference w:id="220"/>
            </w:r>
            <w:r w:rsidR="00B200F0">
              <w:t>,</w:t>
            </w:r>
            <w:r w:rsidRPr="00EC5DAD">
              <w:t xml:space="preserve"> 211</w:t>
            </w:r>
            <w:r w:rsidR="00466CEC">
              <w:rPr>
                <w:rStyle w:val="EndnoteReference"/>
              </w:rPr>
              <w:endnoteReference w:id="221"/>
            </w:r>
            <w:r w:rsidR="00B200F0">
              <w:t>,</w:t>
            </w:r>
            <w:r w:rsidRPr="00EC5DAD">
              <w:t xml:space="preserve"> 213</w:t>
            </w:r>
            <w:r w:rsidR="00466CEC">
              <w:rPr>
                <w:rStyle w:val="EndnoteReference"/>
              </w:rPr>
              <w:endnoteReference w:id="222"/>
            </w:r>
            <w:r w:rsidR="00B200F0">
              <w:t>,</w:t>
            </w:r>
            <w:r w:rsidRPr="00EC5DAD">
              <w:t xml:space="preserve"> 214</w:t>
            </w:r>
            <w:r w:rsidR="00466CEC">
              <w:rPr>
                <w:rStyle w:val="EndnoteReference"/>
              </w:rPr>
              <w:endnoteReference w:id="223"/>
            </w:r>
            <w:r w:rsidR="00B200F0">
              <w:t>,</w:t>
            </w:r>
            <w:r w:rsidRPr="00EC5DAD">
              <w:t xml:space="preserve"> 215</w:t>
            </w:r>
            <w:r w:rsidR="00466CEC">
              <w:rPr>
                <w:rStyle w:val="EndnoteReference"/>
              </w:rPr>
              <w:endnoteReference w:id="224"/>
            </w:r>
            <w:r w:rsidR="00B200F0">
              <w:t>,</w:t>
            </w:r>
            <w:r w:rsidRPr="00EC5DAD">
              <w:t xml:space="preserve"> 216</w:t>
            </w:r>
            <w:r w:rsidR="00466CEC">
              <w:rPr>
                <w:rStyle w:val="EndnoteReference"/>
              </w:rPr>
              <w:endnoteReference w:id="225"/>
            </w:r>
            <w:r w:rsidR="00B200F0">
              <w:t>,</w:t>
            </w:r>
            <w:r w:rsidRPr="00EC5DAD">
              <w:t xml:space="preserve"> 218</w:t>
            </w:r>
            <w:r w:rsidR="00466CEC">
              <w:rPr>
                <w:rStyle w:val="EndnoteReference"/>
              </w:rPr>
              <w:endnoteReference w:id="226"/>
            </w:r>
            <w:r w:rsidR="00B200F0">
              <w:t>.</w:t>
            </w:r>
          </w:p>
        </w:tc>
        <w:tc>
          <w:tcPr>
            <w:tcW w:w="2835" w:type="dxa"/>
            <w:tcBorders>
              <w:top w:val="single" w:sz="12" w:space="0" w:color="auto"/>
              <w:bottom w:val="single" w:sz="12" w:space="0" w:color="auto"/>
            </w:tcBorders>
            <w:shd w:val="clear" w:color="auto" w:fill="auto"/>
          </w:tcPr>
          <w:p w:rsidR="00EC5DAD" w:rsidRPr="00EC5DAD" w:rsidRDefault="00EC5DAD" w:rsidP="00EC5DAD">
            <w:pPr>
              <w:spacing w:before="40" w:after="120"/>
              <w:ind w:right="113"/>
            </w:pPr>
            <w:r>
              <w:t>–</w:t>
            </w:r>
          </w:p>
        </w:tc>
      </w:tr>
    </w:tbl>
    <w:p w:rsidR="00EC5DAD" w:rsidRDefault="00EC5DAD" w:rsidP="00EC5DAD"/>
    <w:p w:rsidR="00EC5DAD" w:rsidRPr="00EC5DAD" w:rsidRDefault="00EC5DAD" w:rsidP="00EC5DAD">
      <w:pPr>
        <w:pStyle w:val="SingleTxtG"/>
      </w:pPr>
      <w:r>
        <w:t>32.</w:t>
      </w:r>
      <w:r>
        <w:tab/>
      </w:r>
      <w:r w:rsidRPr="00EC5DAD">
        <w:rPr>
          <w:u w:val="single"/>
        </w:rPr>
        <w:t>Detention of asylum seekers</w:t>
      </w:r>
      <w:r w:rsidRPr="00EC5DAD">
        <w:t xml:space="preserve"> is exceptional</w:t>
      </w:r>
      <w:r w:rsidR="00466CEC">
        <w:rPr>
          <w:rStyle w:val="EndnoteReference"/>
        </w:rPr>
        <w:endnoteReference w:id="227"/>
      </w:r>
      <w:r w:rsidRPr="00EC5DAD">
        <w:t xml:space="preserve"> and serves as a last resort to ensure the presence of the applicant. Alternative measures</w:t>
      </w:r>
      <w:r w:rsidR="00466CEC">
        <w:rPr>
          <w:rStyle w:val="EndnoteReference"/>
        </w:rPr>
        <w:endnoteReference w:id="228"/>
      </w:r>
      <w:r w:rsidRPr="00EC5DAD">
        <w:t xml:space="preserve"> are used as a priority before detention. Families with children may only be detained exceptionally and for a maximum of 30 days, if it is in the best interest of the child. Care of unaccompanied minors is ensured in the frame of child protection service. Legal representation is provided by child protection guardians. The system complies with international standards</w:t>
      </w:r>
      <w:r w:rsidR="00466CEC">
        <w:rPr>
          <w:rStyle w:val="EndnoteReference"/>
        </w:rPr>
        <w:endnoteReference w:id="229"/>
      </w:r>
      <w:r w:rsidRPr="00EC5DAD">
        <w:t>. The legitimacy of the detention is ensured by continuous judicial control. Asylum applicants are separated from detainees</w:t>
      </w:r>
      <w:r>
        <w:t>.</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F37938" w:rsidRPr="00F37938" w:rsidTr="00F37938">
        <w:tc>
          <w:tcPr>
            <w:tcW w:w="3217" w:type="dxa"/>
            <w:tcBorders>
              <w:top w:val="single" w:sz="4" w:space="0" w:color="auto"/>
              <w:bottom w:val="single" w:sz="12" w:space="0" w:color="auto"/>
            </w:tcBorders>
            <w:shd w:val="clear" w:color="auto" w:fill="auto"/>
            <w:vAlign w:val="bottom"/>
          </w:tcPr>
          <w:p w:rsidR="00F37938" w:rsidRPr="00F37938" w:rsidRDefault="00F37938" w:rsidP="00F37938">
            <w:pPr>
              <w:spacing w:before="80" w:after="80" w:line="200" w:lineRule="exact"/>
              <w:ind w:right="113"/>
              <w:rPr>
                <w:i/>
                <w:sz w:val="16"/>
              </w:rPr>
            </w:pPr>
            <w:r>
              <w:rPr>
                <w:i/>
                <w:sz w:val="16"/>
              </w:rPr>
              <w:t>I.</w:t>
            </w:r>
          </w:p>
        </w:tc>
        <w:tc>
          <w:tcPr>
            <w:tcW w:w="3216" w:type="dxa"/>
            <w:tcBorders>
              <w:top w:val="single" w:sz="4" w:space="0" w:color="auto"/>
              <w:bottom w:val="single" w:sz="12" w:space="0" w:color="auto"/>
            </w:tcBorders>
            <w:shd w:val="clear" w:color="auto" w:fill="auto"/>
            <w:vAlign w:val="bottom"/>
          </w:tcPr>
          <w:p w:rsidR="00F37938" w:rsidRPr="00F37938" w:rsidRDefault="00F37938" w:rsidP="00F37938">
            <w:pPr>
              <w:spacing w:before="80" w:after="80" w:line="200" w:lineRule="exact"/>
              <w:ind w:right="113"/>
              <w:rPr>
                <w:i/>
                <w:sz w:val="16"/>
              </w:rPr>
            </w:pPr>
            <w:r>
              <w:rPr>
                <w:i/>
                <w:sz w:val="16"/>
              </w:rPr>
              <w:t>II.</w:t>
            </w:r>
          </w:p>
        </w:tc>
        <w:tc>
          <w:tcPr>
            <w:tcW w:w="3216" w:type="dxa"/>
            <w:tcBorders>
              <w:top w:val="single" w:sz="4" w:space="0" w:color="auto"/>
              <w:bottom w:val="single" w:sz="12" w:space="0" w:color="auto"/>
            </w:tcBorders>
            <w:shd w:val="clear" w:color="auto" w:fill="auto"/>
            <w:vAlign w:val="bottom"/>
          </w:tcPr>
          <w:p w:rsidR="00F37938" w:rsidRPr="00F37938" w:rsidRDefault="00F37938" w:rsidP="00F37938">
            <w:pPr>
              <w:spacing w:before="80" w:after="80" w:line="200" w:lineRule="exact"/>
              <w:ind w:right="113"/>
              <w:rPr>
                <w:i/>
                <w:sz w:val="16"/>
              </w:rPr>
            </w:pPr>
            <w:r>
              <w:rPr>
                <w:i/>
                <w:sz w:val="16"/>
              </w:rPr>
              <w:t>III.</w:t>
            </w:r>
          </w:p>
        </w:tc>
      </w:tr>
      <w:tr w:rsidR="00F37938" w:rsidRPr="00F37938" w:rsidTr="00F37938">
        <w:tc>
          <w:tcPr>
            <w:tcW w:w="3217" w:type="dxa"/>
            <w:tcBorders>
              <w:top w:val="single" w:sz="12" w:space="0" w:color="auto"/>
              <w:bottom w:val="single" w:sz="12" w:space="0" w:color="auto"/>
            </w:tcBorders>
            <w:shd w:val="clear" w:color="auto" w:fill="auto"/>
          </w:tcPr>
          <w:p w:rsidR="00F37938" w:rsidRPr="00F37938" w:rsidRDefault="005A2CDE" w:rsidP="00F37938">
            <w:pPr>
              <w:spacing w:before="40" w:after="120"/>
              <w:ind w:right="113"/>
            </w:pPr>
            <w:r>
              <w:t>–</w:t>
            </w:r>
          </w:p>
        </w:tc>
        <w:tc>
          <w:tcPr>
            <w:tcW w:w="3216" w:type="dxa"/>
            <w:tcBorders>
              <w:top w:val="single" w:sz="12" w:space="0" w:color="auto"/>
              <w:bottom w:val="single" w:sz="12" w:space="0" w:color="auto"/>
            </w:tcBorders>
            <w:shd w:val="clear" w:color="auto" w:fill="auto"/>
          </w:tcPr>
          <w:p w:rsidR="00F37938" w:rsidRPr="00F37938" w:rsidRDefault="005A2CDE" w:rsidP="00466CEC">
            <w:pPr>
              <w:spacing w:before="40" w:after="120"/>
              <w:ind w:right="113"/>
            </w:pPr>
            <w:r w:rsidRPr="005A2CDE">
              <w:t>191</w:t>
            </w:r>
            <w:r w:rsidR="00466CEC">
              <w:rPr>
                <w:rStyle w:val="EndnoteReference"/>
              </w:rPr>
              <w:endnoteReference w:id="230"/>
            </w:r>
            <w:r w:rsidR="00B200F0">
              <w:t>,</w:t>
            </w:r>
            <w:r w:rsidRPr="005A2CDE">
              <w:t xml:space="preserve"> 201</w:t>
            </w:r>
            <w:r w:rsidR="00466CEC">
              <w:rPr>
                <w:rStyle w:val="EndnoteReference"/>
              </w:rPr>
              <w:endnoteReference w:id="231"/>
            </w:r>
            <w:r w:rsidR="00B200F0">
              <w:t>,</w:t>
            </w:r>
            <w:r w:rsidRPr="005A2CDE">
              <w:t xml:space="preserve"> 212</w:t>
            </w:r>
            <w:r w:rsidR="00466CEC">
              <w:rPr>
                <w:rStyle w:val="EndnoteReference"/>
              </w:rPr>
              <w:endnoteReference w:id="232"/>
            </w:r>
            <w:r w:rsidR="00B200F0">
              <w:t>,</w:t>
            </w:r>
            <w:r w:rsidRPr="005A2CDE">
              <w:t xml:space="preserve"> 217</w:t>
            </w:r>
            <w:r w:rsidR="00466CEC">
              <w:rPr>
                <w:rStyle w:val="EndnoteReference"/>
              </w:rPr>
              <w:endnoteReference w:id="233"/>
            </w:r>
            <w:r w:rsidR="00B200F0">
              <w:t>,</w:t>
            </w:r>
            <w:r w:rsidRPr="005A2CDE">
              <w:t xml:space="preserve"> 219</w:t>
            </w:r>
            <w:r w:rsidR="00466CEC">
              <w:rPr>
                <w:rStyle w:val="EndnoteReference"/>
              </w:rPr>
              <w:endnoteReference w:id="234"/>
            </w:r>
            <w:r w:rsidR="00B200F0">
              <w:t>.</w:t>
            </w:r>
          </w:p>
        </w:tc>
        <w:tc>
          <w:tcPr>
            <w:tcW w:w="3216" w:type="dxa"/>
            <w:tcBorders>
              <w:top w:val="single" w:sz="12" w:space="0" w:color="auto"/>
              <w:bottom w:val="single" w:sz="12" w:space="0" w:color="auto"/>
            </w:tcBorders>
            <w:shd w:val="clear" w:color="auto" w:fill="auto"/>
          </w:tcPr>
          <w:p w:rsidR="00F37938" w:rsidRPr="00F37938" w:rsidRDefault="005A2CDE" w:rsidP="00466CEC">
            <w:pPr>
              <w:spacing w:before="40" w:after="120"/>
              <w:ind w:right="113"/>
            </w:pPr>
            <w:r w:rsidRPr="005A2CDE">
              <w:t>187</w:t>
            </w:r>
            <w:r w:rsidR="00466CEC">
              <w:rPr>
                <w:rStyle w:val="EndnoteReference"/>
              </w:rPr>
              <w:endnoteReference w:id="235"/>
            </w:r>
            <w:r w:rsidR="00B200F0">
              <w:t>,</w:t>
            </w:r>
            <w:r w:rsidRPr="005A2CDE">
              <w:t xml:space="preserve"> 207</w:t>
            </w:r>
            <w:r w:rsidR="00466CEC">
              <w:rPr>
                <w:rStyle w:val="EndnoteReference"/>
              </w:rPr>
              <w:endnoteReference w:id="236"/>
            </w:r>
            <w:r w:rsidR="00B200F0">
              <w:t>.</w:t>
            </w:r>
          </w:p>
        </w:tc>
      </w:tr>
    </w:tbl>
    <w:p w:rsidR="00EC5DAD" w:rsidRDefault="00EC5DAD" w:rsidP="00F37938"/>
    <w:p w:rsidR="005A2CDE" w:rsidRPr="005A2CDE" w:rsidRDefault="005A2CDE" w:rsidP="005A2CDE">
      <w:pPr>
        <w:pStyle w:val="SingleTxtG"/>
      </w:pPr>
      <w:r>
        <w:t>33.</w:t>
      </w:r>
      <w:r>
        <w:tab/>
      </w:r>
      <w:r w:rsidRPr="005A2CDE">
        <w:t xml:space="preserve">Any </w:t>
      </w:r>
      <w:r w:rsidRPr="005A2CDE">
        <w:rPr>
          <w:u w:val="single"/>
        </w:rPr>
        <w:t>excessive use of force</w:t>
      </w:r>
      <w:r w:rsidRPr="005A2CDE">
        <w:t xml:space="preserve"> can be challenged by the person concerned at the chief of the police unit, the head of the detention </w:t>
      </w:r>
      <w:proofErr w:type="spellStart"/>
      <w:r w:rsidRPr="005A2CDE">
        <w:t>center</w:t>
      </w:r>
      <w:proofErr w:type="spellEnd"/>
      <w:r w:rsidRPr="005A2CDE">
        <w:t xml:space="preserve">, the prosecutor or the court. A complaint can also be launched at the Independent Police Complaints Body. As the National Preventive Mechanism according to OPCAT, the Ombudsman also regularly examines detention </w:t>
      </w:r>
      <w:proofErr w:type="spellStart"/>
      <w:r w:rsidRPr="005A2CDE">
        <w:t>centers</w:t>
      </w:r>
      <w:proofErr w:type="spellEnd"/>
      <w:r w:rsidRPr="005A2CDE">
        <w:t>. Similar rules apply for military personnel.</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5A2CDE" w:rsidRPr="005A2CDE" w:rsidTr="005A2CDE">
        <w:tc>
          <w:tcPr>
            <w:tcW w:w="3217" w:type="dxa"/>
            <w:tcBorders>
              <w:top w:val="single" w:sz="4" w:space="0" w:color="auto"/>
              <w:bottom w:val="single" w:sz="12" w:space="0" w:color="auto"/>
            </w:tcBorders>
            <w:shd w:val="clear" w:color="auto" w:fill="auto"/>
            <w:vAlign w:val="bottom"/>
          </w:tcPr>
          <w:p w:rsidR="005A2CDE" w:rsidRPr="005A2CDE" w:rsidRDefault="005A2CDE" w:rsidP="005A2CDE">
            <w:pPr>
              <w:spacing w:before="80" w:after="80" w:line="200" w:lineRule="exact"/>
              <w:ind w:right="113"/>
              <w:rPr>
                <w:i/>
                <w:sz w:val="16"/>
              </w:rPr>
            </w:pPr>
            <w:r>
              <w:rPr>
                <w:i/>
                <w:sz w:val="16"/>
              </w:rPr>
              <w:t>I.</w:t>
            </w:r>
          </w:p>
        </w:tc>
        <w:tc>
          <w:tcPr>
            <w:tcW w:w="3216" w:type="dxa"/>
            <w:tcBorders>
              <w:top w:val="single" w:sz="4" w:space="0" w:color="auto"/>
              <w:bottom w:val="single" w:sz="12" w:space="0" w:color="auto"/>
            </w:tcBorders>
            <w:shd w:val="clear" w:color="auto" w:fill="auto"/>
            <w:vAlign w:val="bottom"/>
          </w:tcPr>
          <w:p w:rsidR="005A2CDE" w:rsidRPr="005A2CDE" w:rsidRDefault="005A2CDE" w:rsidP="005A2CDE">
            <w:pPr>
              <w:spacing w:before="80" w:after="80" w:line="200" w:lineRule="exact"/>
              <w:ind w:right="113"/>
              <w:rPr>
                <w:i/>
                <w:sz w:val="16"/>
              </w:rPr>
            </w:pPr>
            <w:r>
              <w:rPr>
                <w:i/>
                <w:sz w:val="16"/>
              </w:rPr>
              <w:t>II.</w:t>
            </w:r>
          </w:p>
        </w:tc>
        <w:tc>
          <w:tcPr>
            <w:tcW w:w="3216" w:type="dxa"/>
            <w:tcBorders>
              <w:top w:val="single" w:sz="4" w:space="0" w:color="auto"/>
              <w:bottom w:val="single" w:sz="12" w:space="0" w:color="auto"/>
            </w:tcBorders>
            <w:shd w:val="clear" w:color="auto" w:fill="auto"/>
            <w:vAlign w:val="bottom"/>
          </w:tcPr>
          <w:p w:rsidR="005A2CDE" w:rsidRPr="005A2CDE" w:rsidRDefault="005A2CDE" w:rsidP="005A2CDE">
            <w:pPr>
              <w:spacing w:before="80" w:after="80" w:line="200" w:lineRule="exact"/>
              <w:ind w:right="113"/>
              <w:rPr>
                <w:i/>
                <w:sz w:val="16"/>
              </w:rPr>
            </w:pPr>
            <w:r>
              <w:rPr>
                <w:i/>
                <w:sz w:val="16"/>
              </w:rPr>
              <w:t>III.</w:t>
            </w:r>
          </w:p>
        </w:tc>
      </w:tr>
      <w:tr w:rsidR="005A2CDE" w:rsidRPr="005A2CDE" w:rsidTr="005A2CDE">
        <w:tc>
          <w:tcPr>
            <w:tcW w:w="3217" w:type="dxa"/>
            <w:tcBorders>
              <w:top w:val="single" w:sz="12" w:space="0" w:color="auto"/>
              <w:bottom w:val="single" w:sz="12" w:space="0" w:color="auto"/>
            </w:tcBorders>
            <w:shd w:val="clear" w:color="auto" w:fill="auto"/>
          </w:tcPr>
          <w:p w:rsidR="005A2CDE" w:rsidRPr="005A2CDE" w:rsidRDefault="005A2CDE" w:rsidP="005A2CDE">
            <w:pPr>
              <w:spacing w:before="40" w:after="120"/>
              <w:ind w:right="113"/>
            </w:pPr>
            <w:r>
              <w:t>–</w:t>
            </w:r>
          </w:p>
        </w:tc>
        <w:tc>
          <w:tcPr>
            <w:tcW w:w="3216" w:type="dxa"/>
            <w:tcBorders>
              <w:top w:val="single" w:sz="12" w:space="0" w:color="auto"/>
              <w:bottom w:val="single" w:sz="12" w:space="0" w:color="auto"/>
            </w:tcBorders>
            <w:shd w:val="clear" w:color="auto" w:fill="auto"/>
          </w:tcPr>
          <w:p w:rsidR="005A2CDE" w:rsidRPr="005A2CDE" w:rsidRDefault="005A2CDE" w:rsidP="00466CEC">
            <w:pPr>
              <w:spacing w:before="40" w:after="120"/>
              <w:ind w:right="113"/>
            </w:pPr>
            <w:r w:rsidRPr="005A2CDE">
              <w:t>202</w:t>
            </w:r>
            <w:r w:rsidR="00466CEC">
              <w:rPr>
                <w:rStyle w:val="EndnoteReference"/>
              </w:rPr>
              <w:endnoteReference w:id="237"/>
            </w:r>
            <w:r w:rsidR="00B200F0">
              <w:t>.</w:t>
            </w:r>
          </w:p>
        </w:tc>
        <w:tc>
          <w:tcPr>
            <w:tcW w:w="3216" w:type="dxa"/>
            <w:tcBorders>
              <w:top w:val="single" w:sz="12" w:space="0" w:color="auto"/>
              <w:bottom w:val="single" w:sz="12" w:space="0" w:color="auto"/>
            </w:tcBorders>
            <w:shd w:val="clear" w:color="auto" w:fill="auto"/>
          </w:tcPr>
          <w:p w:rsidR="005A2CDE" w:rsidRPr="005A2CDE" w:rsidRDefault="005A2CDE" w:rsidP="00347CAB">
            <w:pPr>
              <w:spacing w:before="40" w:after="120"/>
              <w:ind w:right="113"/>
            </w:pPr>
            <w:r w:rsidRPr="005A2CDE">
              <w:t>79</w:t>
            </w:r>
            <w:r w:rsidR="00466CEC">
              <w:rPr>
                <w:rStyle w:val="EndnoteReference"/>
              </w:rPr>
              <w:endnoteReference w:id="238"/>
            </w:r>
            <w:r w:rsidR="00B200F0">
              <w:t>,</w:t>
            </w:r>
            <w:r w:rsidRPr="005A2CDE">
              <w:t xml:space="preserve"> 128</w:t>
            </w:r>
            <w:r w:rsidR="00347CAB">
              <w:rPr>
                <w:rStyle w:val="EndnoteReference"/>
              </w:rPr>
              <w:endnoteReference w:id="239"/>
            </w:r>
            <w:r w:rsidR="00B200F0">
              <w:t>.</w:t>
            </w:r>
          </w:p>
        </w:tc>
      </w:tr>
    </w:tbl>
    <w:p w:rsidR="005A2CDE" w:rsidRDefault="005A2CDE" w:rsidP="005A2CDE"/>
    <w:p w:rsidR="005A2CDE" w:rsidRPr="005A2CDE" w:rsidRDefault="005A2CDE" w:rsidP="005A2CDE">
      <w:pPr>
        <w:pStyle w:val="SingleTxtG"/>
      </w:pPr>
      <w:r>
        <w:t>34.</w:t>
      </w:r>
      <w:r>
        <w:tab/>
      </w:r>
      <w:r w:rsidRPr="005A2CDE">
        <w:t xml:space="preserve">Hungary participates in voluntary </w:t>
      </w:r>
      <w:r w:rsidRPr="005A2CDE">
        <w:rPr>
          <w:u w:val="single"/>
        </w:rPr>
        <w:t>resettlement</w:t>
      </w:r>
      <w:r w:rsidRPr="005A2CDE">
        <w:t xml:space="preserve"> schemes. Numerous refugees were resettled form Ukraine, Lebanon, Turkey and Jordan. “</w:t>
      </w:r>
      <w:r w:rsidRPr="005A2CDE">
        <w:rPr>
          <w:u w:val="single"/>
        </w:rPr>
        <w:t>Illegal entry</w:t>
      </w:r>
      <w:r w:rsidRPr="005A2CDE">
        <w:t xml:space="preserve">” is not criminalised in Hungary only if it is performed by breaking through the technical barrier protecting the selected section of the </w:t>
      </w:r>
      <w:r w:rsidR="00B634AC">
        <w:t>S</w:t>
      </w:r>
      <w:r w:rsidRPr="005A2CDE">
        <w:t xml:space="preserve">tate border. Otherwise, illegal border crossing is not a criminal offence, but an infraction, which is only punishable by fine or community service. Rules on transit zones and </w:t>
      </w:r>
      <w:r w:rsidRPr="005A2CDE">
        <w:rPr>
          <w:u w:val="single"/>
        </w:rPr>
        <w:t>safe countries</w:t>
      </w:r>
      <w:r w:rsidRPr="005A2CDE">
        <w:t xml:space="preserve"> are in line with the relevant provisions of the Common European Asylum System.</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4728FE" w:rsidRPr="004728FE" w:rsidTr="004728FE">
        <w:tc>
          <w:tcPr>
            <w:tcW w:w="2835" w:type="dxa"/>
            <w:tcBorders>
              <w:top w:val="single" w:sz="4" w:space="0" w:color="auto"/>
              <w:bottom w:val="single" w:sz="12" w:space="0" w:color="auto"/>
            </w:tcBorders>
            <w:shd w:val="clear" w:color="auto" w:fill="auto"/>
            <w:vAlign w:val="bottom"/>
          </w:tcPr>
          <w:p w:rsidR="004728FE" w:rsidRPr="004728FE" w:rsidRDefault="004728FE" w:rsidP="004728FE">
            <w:pPr>
              <w:spacing w:before="80" w:after="80" w:line="200" w:lineRule="exact"/>
              <w:ind w:right="113"/>
              <w:rPr>
                <w:i/>
                <w:sz w:val="16"/>
              </w:rPr>
            </w:pPr>
            <w:r>
              <w:rPr>
                <w:i/>
                <w:sz w:val="16"/>
              </w:rPr>
              <w:t>I.</w:t>
            </w:r>
          </w:p>
        </w:tc>
        <w:tc>
          <w:tcPr>
            <w:tcW w:w="2835" w:type="dxa"/>
            <w:tcBorders>
              <w:top w:val="single" w:sz="4" w:space="0" w:color="auto"/>
              <w:bottom w:val="single" w:sz="12" w:space="0" w:color="auto"/>
            </w:tcBorders>
            <w:shd w:val="clear" w:color="auto" w:fill="auto"/>
            <w:vAlign w:val="bottom"/>
          </w:tcPr>
          <w:p w:rsidR="004728FE" w:rsidRPr="004728FE" w:rsidRDefault="004728FE" w:rsidP="004728FE">
            <w:pPr>
              <w:spacing w:before="80" w:after="80" w:line="200" w:lineRule="exact"/>
              <w:ind w:right="113"/>
              <w:rPr>
                <w:i/>
                <w:sz w:val="16"/>
              </w:rPr>
            </w:pPr>
            <w:r>
              <w:rPr>
                <w:i/>
                <w:sz w:val="16"/>
              </w:rPr>
              <w:t>II.</w:t>
            </w:r>
          </w:p>
        </w:tc>
        <w:tc>
          <w:tcPr>
            <w:tcW w:w="2835" w:type="dxa"/>
            <w:tcBorders>
              <w:top w:val="single" w:sz="4" w:space="0" w:color="auto"/>
              <w:bottom w:val="single" w:sz="12" w:space="0" w:color="auto"/>
            </w:tcBorders>
            <w:shd w:val="clear" w:color="auto" w:fill="auto"/>
            <w:vAlign w:val="bottom"/>
          </w:tcPr>
          <w:p w:rsidR="004728FE" w:rsidRPr="004728FE" w:rsidRDefault="004728FE" w:rsidP="004728FE">
            <w:pPr>
              <w:spacing w:before="80" w:after="80" w:line="200" w:lineRule="exact"/>
              <w:ind w:right="113"/>
              <w:rPr>
                <w:i/>
                <w:sz w:val="16"/>
              </w:rPr>
            </w:pPr>
            <w:r>
              <w:rPr>
                <w:i/>
                <w:sz w:val="16"/>
              </w:rPr>
              <w:t>III.</w:t>
            </w:r>
          </w:p>
        </w:tc>
      </w:tr>
      <w:tr w:rsidR="004728FE" w:rsidRPr="004728FE" w:rsidTr="004728FE">
        <w:tc>
          <w:tcPr>
            <w:tcW w:w="2835" w:type="dxa"/>
            <w:tcBorders>
              <w:top w:val="single" w:sz="12" w:space="0" w:color="auto"/>
              <w:bottom w:val="single" w:sz="12" w:space="0" w:color="auto"/>
            </w:tcBorders>
            <w:shd w:val="clear" w:color="auto" w:fill="auto"/>
          </w:tcPr>
          <w:p w:rsidR="004728FE" w:rsidRPr="004728FE" w:rsidRDefault="004728FE" w:rsidP="00347CAB">
            <w:pPr>
              <w:spacing w:before="40" w:after="120"/>
              <w:ind w:right="113"/>
            </w:pPr>
            <w:r w:rsidRPr="004728FE">
              <w:t>185</w:t>
            </w:r>
            <w:r w:rsidR="00347CAB">
              <w:rPr>
                <w:rStyle w:val="EndnoteReference"/>
              </w:rPr>
              <w:endnoteReference w:id="240"/>
            </w:r>
            <w:r w:rsidR="00B200F0">
              <w:t>.</w:t>
            </w:r>
          </w:p>
        </w:tc>
        <w:tc>
          <w:tcPr>
            <w:tcW w:w="2835" w:type="dxa"/>
            <w:tcBorders>
              <w:top w:val="single" w:sz="12" w:space="0" w:color="auto"/>
              <w:bottom w:val="single" w:sz="12" w:space="0" w:color="auto"/>
            </w:tcBorders>
            <w:shd w:val="clear" w:color="auto" w:fill="auto"/>
          </w:tcPr>
          <w:p w:rsidR="004728FE" w:rsidRPr="004728FE" w:rsidRDefault="004728FE" w:rsidP="004728FE">
            <w:pPr>
              <w:spacing w:before="40" w:after="120"/>
              <w:ind w:right="113"/>
            </w:pPr>
            <w:r>
              <w:t>–</w:t>
            </w:r>
          </w:p>
        </w:tc>
        <w:tc>
          <w:tcPr>
            <w:tcW w:w="2835" w:type="dxa"/>
            <w:tcBorders>
              <w:top w:val="single" w:sz="12" w:space="0" w:color="auto"/>
              <w:bottom w:val="single" w:sz="12" w:space="0" w:color="auto"/>
            </w:tcBorders>
            <w:shd w:val="clear" w:color="auto" w:fill="auto"/>
          </w:tcPr>
          <w:p w:rsidR="004728FE" w:rsidRPr="004728FE" w:rsidRDefault="004728FE" w:rsidP="00347CAB">
            <w:pPr>
              <w:spacing w:before="40" w:after="120"/>
              <w:ind w:right="113"/>
            </w:pPr>
            <w:r w:rsidRPr="004728FE">
              <w:t>200</w:t>
            </w:r>
            <w:r w:rsidR="00347CAB">
              <w:rPr>
                <w:rStyle w:val="EndnoteReference"/>
              </w:rPr>
              <w:endnoteReference w:id="241"/>
            </w:r>
            <w:r w:rsidR="00B200F0">
              <w:t>,</w:t>
            </w:r>
            <w:r w:rsidRPr="004728FE">
              <w:t xml:space="preserve"> 207</w:t>
            </w:r>
            <w:r w:rsidR="00347CAB">
              <w:rPr>
                <w:rStyle w:val="EndnoteReference"/>
              </w:rPr>
              <w:endnoteReference w:id="242"/>
            </w:r>
            <w:r w:rsidR="00B200F0">
              <w:t>,</w:t>
            </w:r>
            <w:r w:rsidRPr="004728FE">
              <w:t xml:space="preserve"> 220</w:t>
            </w:r>
            <w:r w:rsidR="00347CAB">
              <w:rPr>
                <w:rStyle w:val="EndnoteReference"/>
              </w:rPr>
              <w:endnoteReference w:id="243"/>
            </w:r>
            <w:r w:rsidR="00B200F0">
              <w:t>.</w:t>
            </w:r>
          </w:p>
        </w:tc>
      </w:tr>
    </w:tbl>
    <w:p w:rsidR="004728FE" w:rsidRPr="004728FE" w:rsidRDefault="004728FE" w:rsidP="004728FE">
      <w:pPr>
        <w:pStyle w:val="HChG"/>
      </w:pPr>
      <w:r>
        <w:tab/>
      </w:r>
      <w:r>
        <w:tab/>
      </w:r>
      <w:r w:rsidRPr="004728FE">
        <w:t>Other</w:t>
      </w:r>
    </w:p>
    <w:p w:rsidR="004728FE" w:rsidRPr="004728FE" w:rsidRDefault="004728FE" w:rsidP="004728FE">
      <w:pPr>
        <w:pStyle w:val="SingleTxtG"/>
      </w:pPr>
      <w:r>
        <w:t>35.</w:t>
      </w:r>
      <w:r>
        <w:tab/>
      </w:r>
      <w:r w:rsidRPr="004728FE">
        <w:t xml:space="preserve">The Government was and is ready for dialogue in order to address concerns raised regarding the </w:t>
      </w:r>
      <w:r w:rsidRPr="004728FE">
        <w:rPr>
          <w:u w:val="single"/>
        </w:rPr>
        <w:t>new media regulation</w:t>
      </w:r>
      <w:r w:rsidRPr="004728FE">
        <w:t xml:space="preserve"> which was extensively discussed with relevant international organisations. As a result, current rules contain exclusively such limitations which are in line with international law, thus </w:t>
      </w:r>
      <w:proofErr w:type="spellStart"/>
      <w:r w:rsidRPr="004728FE">
        <w:t>CoE</w:t>
      </w:r>
      <w:proofErr w:type="spellEnd"/>
      <w:r w:rsidRPr="004728FE">
        <w:t xml:space="preserve"> acknowledged that the Hungarian media law had been sign</w:t>
      </w:r>
      <w:r>
        <w:t>ificantly improved.</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4728FE" w:rsidRPr="004728FE" w:rsidTr="004728FE">
        <w:tc>
          <w:tcPr>
            <w:tcW w:w="3217" w:type="dxa"/>
            <w:tcBorders>
              <w:top w:val="single" w:sz="4" w:space="0" w:color="auto"/>
              <w:bottom w:val="single" w:sz="12" w:space="0" w:color="auto"/>
            </w:tcBorders>
            <w:shd w:val="clear" w:color="auto" w:fill="auto"/>
            <w:vAlign w:val="bottom"/>
          </w:tcPr>
          <w:p w:rsidR="004728FE" w:rsidRPr="004728FE" w:rsidRDefault="004728FE" w:rsidP="004728FE">
            <w:pPr>
              <w:spacing w:before="80" w:after="80" w:line="200" w:lineRule="exact"/>
              <w:ind w:right="113"/>
              <w:rPr>
                <w:i/>
                <w:sz w:val="16"/>
              </w:rPr>
            </w:pPr>
            <w:r>
              <w:rPr>
                <w:i/>
                <w:sz w:val="16"/>
              </w:rPr>
              <w:t>I.</w:t>
            </w:r>
          </w:p>
        </w:tc>
        <w:tc>
          <w:tcPr>
            <w:tcW w:w="3216" w:type="dxa"/>
            <w:tcBorders>
              <w:top w:val="single" w:sz="4" w:space="0" w:color="auto"/>
              <w:bottom w:val="single" w:sz="12" w:space="0" w:color="auto"/>
            </w:tcBorders>
            <w:shd w:val="clear" w:color="auto" w:fill="auto"/>
            <w:vAlign w:val="bottom"/>
          </w:tcPr>
          <w:p w:rsidR="004728FE" w:rsidRPr="004728FE" w:rsidRDefault="004728FE" w:rsidP="004728FE">
            <w:pPr>
              <w:spacing w:before="80" w:after="80" w:line="200" w:lineRule="exact"/>
              <w:ind w:right="113"/>
              <w:rPr>
                <w:i/>
                <w:sz w:val="16"/>
              </w:rPr>
            </w:pPr>
            <w:r>
              <w:rPr>
                <w:i/>
                <w:sz w:val="16"/>
              </w:rPr>
              <w:t>II.</w:t>
            </w:r>
          </w:p>
        </w:tc>
        <w:tc>
          <w:tcPr>
            <w:tcW w:w="3216" w:type="dxa"/>
            <w:tcBorders>
              <w:top w:val="single" w:sz="4" w:space="0" w:color="auto"/>
              <w:bottom w:val="single" w:sz="12" w:space="0" w:color="auto"/>
            </w:tcBorders>
            <w:shd w:val="clear" w:color="auto" w:fill="auto"/>
            <w:vAlign w:val="bottom"/>
          </w:tcPr>
          <w:p w:rsidR="004728FE" w:rsidRPr="004728FE" w:rsidRDefault="004728FE" w:rsidP="004728FE">
            <w:pPr>
              <w:spacing w:before="80" w:after="80" w:line="200" w:lineRule="exact"/>
              <w:ind w:right="113"/>
              <w:rPr>
                <w:i/>
                <w:sz w:val="16"/>
              </w:rPr>
            </w:pPr>
            <w:r>
              <w:rPr>
                <w:i/>
                <w:sz w:val="16"/>
              </w:rPr>
              <w:t>III.</w:t>
            </w:r>
          </w:p>
        </w:tc>
      </w:tr>
      <w:tr w:rsidR="004728FE" w:rsidRPr="004728FE" w:rsidTr="004728FE">
        <w:tc>
          <w:tcPr>
            <w:tcW w:w="3217" w:type="dxa"/>
            <w:tcBorders>
              <w:top w:val="single" w:sz="12" w:space="0" w:color="auto"/>
              <w:bottom w:val="single" w:sz="12" w:space="0" w:color="auto"/>
            </w:tcBorders>
            <w:shd w:val="clear" w:color="auto" w:fill="auto"/>
          </w:tcPr>
          <w:p w:rsidR="004728FE" w:rsidRPr="004728FE" w:rsidRDefault="004728FE" w:rsidP="004728FE">
            <w:pPr>
              <w:spacing w:before="40" w:after="120"/>
              <w:ind w:right="113"/>
            </w:pPr>
            <w:r>
              <w:t>–</w:t>
            </w:r>
          </w:p>
        </w:tc>
        <w:tc>
          <w:tcPr>
            <w:tcW w:w="3216" w:type="dxa"/>
            <w:tcBorders>
              <w:top w:val="single" w:sz="12" w:space="0" w:color="auto"/>
              <w:bottom w:val="single" w:sz="12" w:space="0" w:color="auto"/>
            </w:tcBorders>
            <w:shd w:val="clear" w:color="auto" w:fill="auto"/>
          </w:tcPr>
          <w:p w:rsidR="004728FE" w:rsidRPr="004728FE" w:rsidRDefault="004728FE" w:rsidP="00B15526">
            <w:pPr>
              <w:spacing w:before="40" w:after="120"/>
              <w:ind w:right="113"/>
            </w:pPr>
            <w:r w:rsidRPr="004728FE">
              <w:t>155</w:t>
            </w:r>
            <w:r w:rsidR="00B15526">
              <w:rPr>
                <w:rStyle w:val="EndnoteReference"/>
              </w:rPr>
              <w:endnoteReference w:id="244"/>
            </w:r>
            <w:r w:rsidR="00B200F0">
              <w:t>,</w:t>
            </w:r>
            <w:r w:rsidRPr="004728FE">
              <w:t xml:space="preserve"> 157</w:t>
            </w:r>
            <w:r w:rsidR="00B15526">
              <w:rPr>
                <w:rStyle w:val="EndnoteReference"/>
              </w:rPr>
              <w:endnoteReference w:id="245"/>
            </w:r>
            <w:r w:rsidR="00B200F0">
              <w:t>,</w:t>
            </w:r>
            <w:r w:rsidRPr="004728FE">
              <w:t xml:space="preserve"> 158</w:t>
            </w:r>
            <w:r w:rsidR="00B15526">
              <w:rPr>
                <w:rStyle w:val="EndnoteReference"/>
              </w:rPr>
              <w:endnoteReference w:id="246"/>
            </w:r>
            <w:r w:rsidR="00B200F0">
              <w:t>,</w:t>
            </w:r>
            <w:r w:rsidRPr="004728FE">
              <w:t xml:space="preserve"> 159</w:t>
            </w:r>
            <w:r w:rsidR="00B15526">
              <w:rPr>
                <w:rStyle w:val="EndnoteReference"/>
              </w:rPr>
              <w:endnoteReference w:id="247"/>
            </w:r>
            <w:r w:rsidR="00B200F0">
              <w:t>,</w:t>
            </w:r>
            <w:r w:rsidRPr="004728FE">
              <w:t xml:space="preserve"> 160</w:t>
            </w:r>
            <w:r w:rsidR="00B15526">
              <w:rPr>
                <w:rStyle w:val="EndnoteReference"/>
              </w:rPr>
              <w:endnoteReference w:id="248"/>
            </w:r>
            <w:r w:rsidR="00B200F0">
              <w:t>.</w:t>
            </w:r>
          </w:p>
        </w:tc>
        <w:tc>
          <w:tcPr>
            <w:tcW w:w="3216" w:type="dxa"/>
            <w:tcBorders>
              <w:top w:val="single" w:sz="12" w:space="0" w:color="auto"/>
              <w:bottom w:val="single" w:sz="12" w:space="0" w:color="auto"/>
            </w:tcBorders>
            <w:shd w:val="clear" w:color="auto" w:fill="auto"/>
          </w:tcPr>
          <w:p w:rsidR="004728FE" w:rsidRPr="004728FE" w:rsidRDefault="004728FE" w:rsidP="004728FE">
            <w:pPr>
              <w:spacing w:before="40" w:after="120"/>
              <w:ind w:right="113"/>
            </w:pPr>
            <w:r>
              <w:t>–</w:t>
            </w:r>
          </w:p>
        </w:tc>
      </w:tr>
    </w:tbl>
    <w:p w:rsidR="005A2CDE" w:rsidRDefault="005A2CDE" w:rsidP="004728FE"/>
    <w:p w:rsidR="004728FE" w:rsidRPr="004728FE" w:rsidRDefault="007D1B95" w:rsidP="004728FE">
      <w:pPr>
        <w:pStyle w:val="SingleTxtG"/>
      </w:pPr>
      <w:r>
        <w:t>36.</w:t>
      </w:r>
      <w:r>
        <w:tab/>
      </w:r>
      <w:r w:rsidR="004728FE" w:rsidRPr="004728FE">
        <w:t xml:space="preserve">Hungary continuously makes efforts to eliminate </w:t>
      </w:r>
      <w:r w:rsidR="004728FE" w:rsidRPr="004728FE">
        <w:rPr>
          <w:u w:val="single"/>
        </w:rPr>
        <w:t>overcrowding in prisons</w:t>
      </w:r>
      <w:r w:rsidR="004728FE" w:rsidRPr="004728FE">
        <w:t xml:space="preserve">. 757 new prison places were built between 2013 and 2015. In addition, 4374 new places will be established resulting </w:t>
      </w:r>
      <w:r w:rsidR="00B634AC">
        <w:t xml:space="preserve">in </w:t>
      </w:r>
      <w:r w:rsidR="004728FE" w:rsidRPr="004728FE">
        <w:t>almost full elimination of overcrowding by 2020. In parallel, alternative measures and reduction of pre-trial detention are increasingly used</w:t>
      </w:r>
      <w:r w:rsidR="00B634AC">
        <w:t>,</w:t>
      </w:r>
      <w:r w:rsidR="004728FE" w:rsidRPr="004728FE">
        <w:t xml:space="preserve"> which also reduces prison population.</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7D1B95" w:rsidRPr="007D1B95" w:rsidTr="007D1B95">
        <w:tc>
          <w:tcPr>
            <w:tcW w:w="2835" w:type="dxa"/>
            <w:tcBorders>
              <w:top w:val="single" w:sz="4" w:space="0" w:color="auto"/>
              <w:bottom w:val="single" w:sz="12" w:space="0" w:color="auto"/>
            </w:tcBorders>
            <w:shd w:val="clear" w:color="auto" w:fill="auto"/>
            <w:vAlign w:val="bottom"/>
          </w:tcPr>
          <w:p w:rsidR="007D1B95" w:rsidRPr="007D1B95" w:rsidRDefault="007D1B95" w:rsidP="007D1B95">
            <w:pPr>
              <w:spacing w:before="80" w:after="80" w:line="200" w:lineRule="exact"/>
              <w:ind w:right="113"/>
              <w:rPr>
                <w:i/>
                <w:sz w:val="16"/>
              </w:rPr>
            </w:pPr>
            <w:r>
              <w:rPr>
                <w:i/>
                <w:sz w:val="16"/>
              </w:rPr>
              <w:t>I.</w:t>
            </w:r>
          </w:p>
        </w:tc>
        <w:tc>
          <w:tcPr>
            <w:tcW w:w="2835" w:type="dxa"/>
            <w:tcBorders>
              <w:top w:val="single" w:sz="4" w:space="0" w:color="auto"/>
              <w:bottom w:val="single" w:sz="12" w:space="0" w:color="auto"/>
            </w:tcBorders>
            <w:shd w:val="clear" w:color="auto" w:fill="auto"/>
            <w:vAlign w:val="bottom"/>
          </w:tcPr>
          <w:p w:rsidR="007D1B95" w:rsidRPr="007D1B95" w:rsidRDefault="007D1B95" w:rsidP="007D1B95">
            <w:pPr>
              <w:spacing w:before="80" w:after="80" w:line="200" w:lineRule="exact"/>
              <w:ind w:right="113"/>
              <w:rPr>
                <w:i/>
                <w:sz w:val="16"/>
              </w:rPr>
            </w:pPr>
            <w:r>
              <w:rPr>
                <w:i/>
                <w:sz w:val="16"/>
              </w:rPr>
              <w:t>II.</w:t>
            </w:r>
          </w:p>
        </w:tc>
        <w:tc>
          <w:tcPr>
            <w:tcW w:w="2835" w:type="dxa"/>
            <w:tcBorders>
              <w:top w:val="single" w:sz="4" w:space="0" w:color="auto"/>
              <w:bottom w:val="single" w:sz="12" w:space="0" w:color="auto"/>
            </w:tcBorders>
            <w:shd w:val="clear" w:color="auto" w:fill="auto"/>
            <w:vAlign w:val="bottom"/>
          </w:tcPr>
          <w:p w:rsidR="007D1B95" w:rsidRPr="007D1B95" w:rsidRDefault="007D1B95" w:rsidP="007D1B95">
            <w:pPr>
              <w:spacing w:before="80" w:after="80" w:line="200" w:lineRule="exact"/>
              <w:ind w:right="113"/>
              <w:rPr>
                <w:i/>
                <w:sz w:val="16"/>
              </w:rPr>
            </w:pPr>
            <w:r>
              <w:rPr>
                <w:i/>
                <w:sz w:val="16"/>
              </w:rPr>
              <w:t>III.</w:t>
            </w:r>
          </w:p>
        </w:tc>
      </w:tr>
      <w:tr w:rsidR="007D1B95" w:rsidRPr="007D1B95" w:rsidTr="007D1B95">
        <w:tc>
          <w:tcPr>
            <w:tcW w:w="2835" w:type="dxa"/>
            <w:tcBorders>
              <w:top w:val="single" w:sz="12" w:space="0" w:color="auto"/>
              <w:bottom w:val="single" w:sz="12" w:space="0" w:color="auto"/>
            </w:tcBorders>
            <w:shd w:val="clear" w:color="auto" w:fill="auto"/>
          </w:tcPr>
          <w:p w:rsidR="007D1B95" w:rsidRPr="007D1B95" w:rsidRDefault="007D1B95" w:rsidP="007D1B95">
            <w:pPr>
              <w:spacing w:before="40" w:after="120"/>
              <w:ind w:right="113"/>
            </w:pPr>
            <w:r>
              <w:t>–</w:t>
            </w:r>
          </w:p>
        </w:tc>
        <w:tc>
          <w:tcPr>
            <w:tcW w:w="2835" w:type="dxa"/>
            <w:tcBorders>
              <w:top w:val="single" w:sz="12" w:space="0" w:color="auto"/>
              <w:bottom w:val="single" w:sz="12" w:space="0" w:color="auto"/>
            </w:tcBorders>
            <w:shd w:val="clear" w:color="auto" w:fill="auto"/>
          </w:tcPr>
          <w:p w:rsidR="007D1B95" w:rsidRPr="007D1B95" w:rsidRDefault="007D1B95" w:rsidP="00B15526">
            <w:pPr>
              <w:spacing w:before="40" w:after="120"/>
              <w:ind w:right="113"/>
            </w:pPr>
            <w:r w:rsidRPr="007D1B95">
              <w:t>127</w:t>
            </w:r>
            <w:r w:rsidR="00B15526">
              <w:rPr>
                <w:rStyle w:val="EndnoteReference"/>
              </w:rPr>
              <w:endnoteReference w:id="249"/>
            </w:r>
            <w:r w:rsidR="00B200F0">
              <w:t>,</w:t>
            </w:r>
            <w:r w:rsidRPr="007D1B95">
              <w:t xml:space="preserve"> 129</w:t>
            </w:r>
            <w:r w:rsidR="00B15526">
              <w:rPr>
                <w:rStyle w:val="EndnoteReference"/>
              </w:rPr>
              <w:endnoteReference w:id="250"/>
            </w:r>
            <w:r w:rsidR="00B200F0">
              <w:t>.</w:t>
            </w:r>
          </w:p>
        </w:tc>
        <w:tc>
          <w:tcPr>
            <w:tcW w:w="2835" w:type="dxa"/>
            <w:tcBorders>
              <w:top w:val="single" w:sz="12" w:space="0" w:color="auto"/>
              <w:bottom w:val="single" w:sz="12" w:space="0" w:color="auto"/>
            </w:tcBorders>
            <w:shd w:val="clear" w:color="auto" w:fill="auto"/>
          </w:tcPr>
          <w:p w:rsidR="007D1B95" w:rsidRPr="007D1B95" w:rsidRDefault="007D1B95" w:rsidP="007D1B95">
            <w:pPr>
              <w:spacing w:before="40" w:after="120"/>
              <w:ind w:right="113"/>
            </w:pPr>
            <w:r>
              <w:t>–</w:t>
            </w:r>
          </w:p>
        </w:tc>
      </w:tr>
    </w:tbl>
    <w:p w:rsidR="007D1B95" w:rsidRDefault="007D1B95" w:rsidP="007D1B95"/>
    <w:p w:rsidR="007D1B95" w:rsidRPr="007D1B95" w:rsidRDefault="007D1B95" w:rsidP="007D1B95">
      <w:pPr>
        <w:pStyle w:val="SingleTxtG"/>
      </w:pPr>
      <w:r>
        <w:t>37.</w:t>
      </w:r>
      <w:r>
        <w:tab/>
      </w:r>
      <w:r w:rsidRPr="007D1B95">
        <w:t xml:space="preserve">Supporting </w:t>
      </w:r>
      <w:r w:rsidRPr="007D1B95">
        <w:rPr>
          <w:u w:val="single"/>
        </w:rPr>
        <w:t>young employees and entrepreneurs</w:t>
      </w:r>
      <w:r w:rsidRPr="007D1B95">
        <w:t xml:space="preserve">, promoting training programmes are priorities. Through the Youth Guarantee Initiative 24 higher education institutions are providing training programs and have cooperation agreement with more than 500 companies allowing students to acquire experience. Another initiative fosters the return of employees working in public administration to the primary labour market. </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7D1B95" w:rsidRPr="007D1B95" w:rsidTr="007D1B95">
        <w:tc>
          <w:tcPr>
            <w:tcW w:w="3217" w:type="dxa"/>
            <w:tcBorders>
              <w:top w:val="single" w:sz="4" w:space="0" w:color="auto"/>
              <w:bottom w:val="single" w:sz="12" w:space="0" w:color="auto"/>
            </w:tcBorders>
            <w:shd w:val="clear" w:color="auto" w:fill="auto"/>
            <w:vAlign w:val="bottom"/>
          </w:tcPr>
          <w:p w:rsidR="007D1B95" w:rsidRPr="007D1B95" w:rsidRDefault="007D1B95" w:rsidP="007D1B95">
            <w:pPr>
              <w:spacing w:before="80" w:after="80" w:line="200" w:lineRule="exact"/>
              <w:ind w:right="113"/>
              <w:rPr>
                <w:i/>
                <w:sz w:val="16"/>
              </w:rPr>
            </w:pPr>
            <w:r>
              <w:rPr>
                <w:i/>
                <w:sz w:val="16"/>
              </w:rPr>
              <w:t>I.</w:t>
            </w:r>
          </w:p>
        </w:tc>
        <w:tc>
          <w:tcPr>
            <w:tcW w:w="3216" w:type="dxa"/>
            <w:tcBorders>
              <w:top w:val="single" w:sz="4" w:space="0" w:color="auto"/>
              <w:bottom w:val="single" w:sz="12" w:space="0" w:color="auto"/>
            </w:tcBorders>
            <w:shd w:val="clear" w:color="auto" w:fill="auto"/>
            <w:vAlign w:val="bottom"/>
          </w:tcPr>
          <w:p w:rsidR="007D1B95" w:rsidRPr="007D1B95" w:rsidRDefault="007D1B95" w:rsidP="007D1B95">
            <w:pPr>
              <w:spacing w:before="80" w:after="80" w:line="200" w:lineRule="exact"/>
              <w:ind w:right="113"/>
              <w:rPr>
                <w:i/>
                <w:sz w:val="16"/>
              </w:rPr>
            </w:pPr>
            <w:r>
              <w:rPr>
                <w:i/>
                <w:sz w:val="16"/>
              </w:rPr>
              <w:t>II.</w:t>
            </w:r>
          </w:p>
        </w:tc>
        <w:tc>
          <w:tcPr>
            <w:tcW w:w="3216" w:type="dxa"/>
            <w:tcBorders>
              <w:top w:val="single" w:sz="4" w:space="0" w:color="auto"/>
              <w:bottom w:val="single" w:sz="12" w:space="0" w:color="auto"/>
            </w:tcBorders>
            <w:shd w:val="clear" w:color="auto" w:fill="auto"/>
            <w:vAlign w:val="bottom"/>
          </w:tcPr>
          <w:p w:rsidR="007D1B95" w:rsidRPr="007D1B95" w:rsidRDefault="007D1B95" w:rsidP="007D1B95">
            <w:pPr>
              <w:spacing w:before="80" w:after="80" w:line="200" w:lineRule="exact"/>
              <w:ind w:right="113"/>
              <w:rPr>
                <w:i/>
                <w:sz w:val="16"/>
              </w:rPr>
            </w:pPr>
            <w:r>
              <w:rPr>
                <w:i/>
                <w:sz w:val="16"/>
              </w:rPr>
              <w:t>III.</w:t>
            </w:r>
          </w:p>
        </w:tc>
      </w:tr>
      <w:tr w:rsidR="007D1B95" w:rsidRPr="007D1B95" w:rsidTr="007D1B95">
        <w:tc>
          <w:tcPr>
            <w:tcW w:w="3217" w:type="dxa"/>
            <w:tcBorders>
              <w:top w:val="single" w:sz="12" w:space="0" w:color="auto"/>
              <w:bottom w:val="single" w:sz="12" w:space="0" w:color="auto"/>
            </w:tcBorders>
            <w:shd w:val="clear" w:color="auto" w:fill="auto"/>
          </w:tcPr>
          <w:p w:rsidR="007D1B95" w:rsidRPr="007D1B95" w:rsidRDefault="007D1B95" w:rsidP="007D1B95">
            <w:pPr>
              <w:spacing w:before="40" w:after="120"/>
              <w:ind w:right="113"/>
            </w:pPr>
            <w:r>
              <w:t>–</w:t>
            </w:r>
          </w:p>
        </w:tc>
        <w:tc>
          <w:tcPr>
            <w:tcW w:w="3216" w:type="dxa"/>
            <w:tcBorders>
              <w:top w:val="single" w:sz="12" w:space="0" w:color="auto"/>
              <w:bottom w:val="single" w:sz="12" w:space="0" w:color="auto"/>
            </w:tcBorders>
            <w:shd w:val="clear" w:color="auto" w:fill="auto"/>
          </w:tcPr>
          <w:p w:rsidR="007D1B95" w:rsidRPr="007D1B95" w:rsidRDefault="007D1B95" w:rsidP="00B15526">
            <w:pPr>
              <w:spacing w:before="40" w:after="120"/>
              <w:ind w:right="113"/>
            </w:pPr>
            <w:r w:rsidRPr="007D1B95">
              <w:t>169</w:t>
            </w:r>
            <w:r w:rsidR="00B15526">
              <w:rPr>
                <w:rStyle w:val="EndnoteReference"/>
              </w:rPr>
              <w:endnoteReference w:id="251"/>
            </w:r>
            <w:r w:rsidR="00B200F0">
              <w:t>.</w:t>
            </w:r>
          </w:p>
        </w:tc>
        <w:tc>
          <w:tcPr>
            <w:tcW w:w="3216" w:type="dxa"/>
            <w:tcBorders>
              <w:top w:val="single" w:sz="12" w:space="0" w:color="auto"/>
              <w:bottom w:val="single" w:sz="12" w:space="0" w:color="auto"/>
            </w:tcBorders>
            <w:shd w:val="clear" w:color="auto" w:fill="auto"/>
          </w:tcPr>
          <w:p w:rsidR="007D1B95" w:rsidRPr="007D1B95" w:rsidRDefault="007D1B95" w:rsidP="007D1B95">
            <w:pPr>
              <w:spacing w:before="40" w:after="120"/>
              <w:ind w:right="113"/>
            </w:pPr>
            <w:r>
              <w:t>–</w:t>
            </w:r>
          </w:p>
        </w:tc>
      </w:tr>
    </w:tbl>
    <w:p w:rsidR="004728FE" w:rsidRDefault="004728FE" w:rsidP="007D1B95"/>
    <w:p w:rsidR="007D1B95" w:rsidRDefault="007D1B95" w:rsidP="007D1B95">
      <w:pPr>
        <w:pStyle w:val="SingleTxtG"/>
      </w:pPr>
      <w:r>
        <w:t>38.</w:t>
      </w:r>
      <w:r>
        <w:tab/>
      </w:r>
      <w:r w:rsidRPr="007D1B95">
        <w:t>Sustainable and peaceful solution of conflicts necessitates genuine political will of the parties involved instead of military or economic pressure. Companies operating in the territory of parties should observe the UN Guiding Principles on Business and Human Rights which Hungary is currently incorporating</w:t>
      </w:r>
      <w:r>
        <w:t xml:space="preserve"> into its national regulations.</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7D1B95" w:rsidRPr="007D1B95" w:rsidTr="007D1B95">
        <w:tc>
          <w:tcPr>
            <w:tcW w:w="3217" w:type="dxa"/>
            <w:tcBorders>
              <w:top w:val="single" w:sz="4" w:space="0" w:color="auto"/>
              <w:bottom w:val="single" w:sz="12" w:space="0" w:color="auto"/>
            </w:tcBorders>
            <w:shd w:val="clear" w:color="auto" w:fill="auto"/>
            <w:vAlign w:val="bottom"/>
          </w:tcPr>
          <w:p w:rsidR="007D1B95" w:rsidRPr="007D1B95" w:rsidRDefault="007D1B95" w:rsidP="007D1B95">
            <w:pPr>
              <w:spacing w:before="80" w:after="80" w:line="200" w:lineRule="exact"/>
              <w:ind w:right="113"/>
              <w:rPr>
                <w:i/>
                <w:sz w:val="16"/>
              </w:rPr>
            </w:pPr>
            <w:r>
              <w:rPr>
                <w:i/>
                <w:sz w:val="16"/>
              </w:rPr>
              <w:t>I.</w:t>
            </w:r>
          </w:p>
        </w:tc>
        <w:tc>
          <w:tcPr>
            <w:tcW w:w="3216" w:type="dxa"/>
            <w:tcBorders>
              <w:top w:val="single" w:sz="4" w:space="0" w:color="auto"/>
              <w:bottom w:val="single" w:sz="12" w:space="0" w:color="auto"/>
            </w:tcBorders>
            <w:shd w:val="clear" w:color="auto" w:fill="auto"/>
            <w:vAlign w:val="bottom"/>
          </w:tcPr>
          <w:p w:rsidR="007D1B95" w:rsidRPr="007D1B95" w:rsidRDefault="007D1B95" w:rsidP="007D1B95">
            <w:pPr>
              <w:spacing w:before="80" w:after="80" w:line="200" w:lineRule="exact"/>
              <w:ind w:right="113"/>
              <w:rPr>
                <w:i/>
                <w:sz w:val="16"/>
              </w:rPr>
            </w:pPr>
            <w:r>
              <w:rPr>
                <w:i/>
                <w:sz w:val="16"/>
              </w:rPr>
              <w:t>II.</w:t>
            </w:r>
          </w:p>
        </w:tc>
        <w:tc>
          <w:tcPr>
            <w:tcW w:w="3216" w:type="dxa"/>
            <w:tcBorders>
              <w:top w:val="single" w:sz="4" w:space="0" w:color="auto"/>
              <w:bottom w:val="single" w:sz="12" w:space="0" w:color="auto"/>
            </w:tcBorders>
            <w:shd w:val="clear" w:color="auto" w:fill="auto"/>
            <w:vAlign w:val="bottom"/>
          </w:tcPr>
          <w:p w:rsidR="007D1B95" w:rsidRPr="007D1B95" w:rsidRDefault="007D1B95" w:rsidP="007D1B95">
            <w:pPr>
              <w:spacing w:before="80" w:after="80" w:line="200" w:lineRule="exact"/>
              <w:ind w:right="113"/>
              <w:rPr>
                <w:i/>
                <w:sz w:val="16"/>
              </w:rPr>
            </w:pPr>
            <w:r>
              <w:rPr>
                <w:i/>
                <w:sz w:val="16"/>
              </w:rPr>
              <w:t>III.</w:t>
            </w:r>
          </w:p>
        </w:tc>
      </w:tr>
      <w:tr w:rsidR="007D1B95" w:rsidRPr="007D1B95" w:rsidTr="007D1B95">
        <w:tc>
          <w:tcPr>
            <w:tcW w:w="3217" w:type="dxa"/>
            <w:tcBorders>
              <w:top w:val="single" w:sz="12" w:space="0" w:color="auto"/>
              <w:bottom w:val="single" w:sz="12" w:space="0" w:color="auto"/>
            </w:tcBorders>
            <w:shd w:val="clear" w:color="auto" w:fill="auto"/>
          </w:tcPr>
          <w:p w:rsidR="007D1B95" w:rsidRPr="007D1B95" w:rsidRDefault="007D1B95" w:rsidP="007D1B95">
            <w:pPr>
              <w:spacing w:before="40" w:after="120"/>
              <w:ind w:right="113"/>
            </w:pPr>
            <w:r>
              <w:t>–</w:t>
            </w:r>
          </w:p>
        </w:tc>
        <w:tc>
          <w:tcPr>
            <w:tcW w:w="3216" w:type="dxa"/>
            <w:tcBorders>
              <w:top w:val="single" w:sz="12" w:space="0" w:color="auto"/>
              <w:bottom w:val="single" w:sz="12" w:space="0" w:color="auto"/>
            </w:tcBorders>
            <w:shd w:val="clear" w:color="auto" w:fill="auto"/>
          </w:tcPr>
          <w:p w:rsidR="007D1B95" w:rsidRPr="007D1B95" w:rsidRDefault="007D1B95" w:rsidP="007D1B95">
            <w:pPr>
              <w:spacing w:before="40" w:after="120"/>
              <w:ind w:right="113"/>
            </w:pPr>
            <w:r>
              <w:t>–</w:t>
            </w:r>
          </w:p>
        </w:tc>
        <w:tc>
          <w:tcPr>
            <w:tcW w:w="3216" w:type="dxa"/>
            <w:tcBorders>
              <w:top w:val="single" w:sz="12" w:space="0" w:color="auto"/>
              <w:bottom w:val="single" w:sz="12" w:space="0" w:color="auto"/>
            </w:tcBorders>
            <w:shd w:val="clear" w:color="auto" w:fill="auto"/>
          </w:tcPr>
          <w:p w:rsidR="007D1B95" w:rsidRPr="007D1B95" w:rsidRDefault="007D1B95" w:rsidP="00B15526">
            <w:pPr>
              <w:spacing w:before="40" w:after="120"/>
              <w:ind w:right="113"/>
            </w:pPr>
            <w:r w:rsidRPr="007D1B95">
              <w:t>24</w:t>
            </w:r>
            <w:r w:rsidR="00B15526">
              <w:rPr>
                <w:rStyle w:val="EndnoteReference"/>
              </w:rPr>
              <w:endnoteReference w:id="252"/>
            </w:r>
            <w:r w:rsidR="00B200F0">
              <w:t>.</w:t>
            </w:r>
          </w:p>
        </w:tc>
      </w:tr>
    </w:tbl>
    <w:p w:rsidR="007D1B95" w:rsidRPr="007D1B95" w:rsidRDefault="007D1B95" w:rsidP="007D1B95"/>
    <w:p w:rsidR="007D1B95" w:rsidRPr="007D1B95" w:rsidRDefault="007D1B95" w:rsidP="007D1B95">
      <w:pPr>
        <w:pStyle w:val="SingleTxtG"/>
      </w:pPr>
      <w:r>
        <w:t>39.</w:t>
      </w:r>
      <w:r>
        <w:tab/>
      </w:r>
      <w:r w:rsidRPr="007D1B95">
        <w:t xml:space="preserve">Hungary is steadily increasing its </w:t>
      </w:r>
      <w:r w:rsidRPr="007D1B95">
        <w:rPr>
          <w:u w:val="single"/>
        </w:rPr>
        <w:t>ODA contribution</w:t>
      </w:r>
      <w:r w:rsidRPr="007D1B95">
        <w:t xml:space="preserve"> despite austerity measures adopted each year since 20</w:t>
      </w:r>
      <w:r>
        <w:t>06. The current level is 0.11%.</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7D1B95" w:rsidRPr="007D1B95" w:rsidTr="007D1B95">
        <w:tc>
          <w:tcPr>
            <w:tcW w:w="3217" w:type="dxa"/>
            <w:tcBorders>
              <w:top w:val="single" w:sz="4" w:space="0" w:color="auto"/>
              <w:bottom w:val="single" w:sz="12" w:space="0" w:color="auto"/>
            </w:tcBorders>
            <w:shd w:val="clear" w:color="auto" w:fill="auto"/>
            <w:vAlign w:val="bottom"/>
          </w:tcPr>
          <w:p w:rsidR="007D1B95" w:rsidRPr="007D1B95" w:rsidRDefault="007D1B95" w:rsidP="007D1B95">
            <w:pPr>
              <w:spacing w:before="80" w:after="80" w:line="200" w:lineRule="exact"/>
              <w:ind w:right="113"/>
              <w:rPr>
                <w:i/>
                <w:sz w:val="16"/>
              </w:rPr>
            </w:pPr>
            <w:r>
              <w:rPr>
                <w:i/>
                <w:sz w:val="16"/>
              </w:rPr>
              <w:t>I.</w:t>
            </w:r>
          </w:p>
        </w:tc>
        <w:tc>
          <w:tcPr>
            <w:tcW w:w="3216" w:type="dxa"/>
            <w:tcBorders>
              <w:top w:val="single" w:sz="4" w:space="0" w:color="auto"/>
              <w:bottom w:val="single" w:sz="12" w:space="0" w:color="auto"/>
            </w:tcBorders>
            <w:shd w:val="clear" w:color="auto" w:fill="auto"/>
            <w:vAlign w:val="bottom"/>
          </w:tcPr>
          <w:p w:rsidR="007D1B95" w:rsidRPr="007D1B95" w:rsidRDefault="007D1B95" w:rsidP="007D1B95">
            <w:pPr>
              <w:spacing w:before="80" w:after="80" w:line="200" w:lineRule="exact"/>
              <w:ind w:right="113"/>
              <w:rPr>
                <w:i/>
                <w:sz w:val="16"/>
              </w:rPr>
            </w:pPr>
            <w:r>
              <w:rPr>
                <w:i/>
                <w:sz w:val="16"/>
              </w:rPr>
              <w:t>II.</w:t>
            </w:r>
          </w:p>
        </w:tc>
        <w:tc>
          <w:tcPr>
            <w:tcW w:w="3216" w:type="dxa"/>
            <w:tcBorders>
              <w:top w:val="single" w:sz="4" w:space="0" w:color="auto"/>
              <w:bottom w:val="single" w:sz="12" w:space="0" w:color="auto"/>
            </w:tcBorders>
            <w:shd w:val="clear" w:color="auto" w:fill="auto"/>
            <w:vAlign w:val="bottom"/>
          </w:tcPr>
          <w:p w:rsidR="007D1B95" w:rsidRPr="007D1B95" w:rsidRDefault="007D1B95" w:rsidP="007D1B95">
            <w:pPr>
              <w:spacing w:before="80" w:after="80" w:line="200" w:lineRule="exact"/>
              <w:ind w:right="113"/>
              <w:rPr>
                <w:i/>
                <w:sz w:val="16"/>
              </w:rPr>
            </w:pPr>
            <w:r>
              <w:rPr>
                <w:i/>
                <w:sz w:val="16"/>
              </w:rPr>
              <w:t>III.</w:t>
            </w:r>
          </w:p>
        </w:tc>
      </w:tr>
      <w:tr w:rsidR="007D1B95" w:rsidRPr="007D1B95" w:rsidTr="007D1B95">
        <w:tc>
          <w:tcPr>
            <w:tcW w:w="3217" w:type="dxa"/>
            <w:tcBorders>
              <w:top w:val="single" w:sz="12" w:space="0" w:color="auto"/>
              <w:bottom w:val="single" w:sz="12" w:space="0" w:color="auto"/>
            </w:tcBorders>
            <w:shd w:val="clear" w:color="auto" w:fill="auto"/>
          </w:tcPr>
          <w:p w:rsidR="007D1B95" w:rsidRPr="007D1B95" w:rsidRDefault="007D1B95" w:rsidP="00B15526">
            <w:pPr>
              <w:spacing w:before="40" w:after="120"/>
              <w:ind w:right="113"/>
            </w:pPr>
            <w:r w:rsidRPr="007D1B95">
              <w:t>221</w:t>
            </w:r>
            <w:r w:rsidR="00B15526">
              <w:rPr>
                <w:rStyle w:val="EndnoteReference"/>
              </w:rPr>
              <w:endnoteReference w:id="253"/>
            </w:r>
            <w:r w:rsidR="00B200F0">
              <w:t>.</w:t>
            </w:r>
          </w:p>
        </w:tc>
        <w:tc>
          <w:tcPr>
            <w:tcW w:w="3216" w:type="dxa"/>
            <w:tcBorders>
              <w:top w:val="single" w:sz="12" w:space="0" w:color="auto"/>
              <w:bottom w:val="single" w:sz="12" w:space="0" w:color="auto"/>
            </w:tcBorders>
            <w:shd w:val="clear" w:color="auto" w:fill="auto"/>
          </w:tcPr>
          <w:p w:rsidR="007D1B95" w:rsidRPr="007D1B95" w:rsidRDefault="007D1B95" w:rsidP="007D1B95">
            <w:pPr>
              <w:spacing w:before="40" w:after="120"/>
              <w:ind w:right="113"/>
            </w:pPr>
            <w:r>
              <w:t>–</w:t>
            </w:r>
          </w:p>
        </w:tc>
        <w:tc>
          <w:tcPr>
            <w:tcW w:w="3216" w:type="dxa"/>
            <w:tcBorders>
              <w:top w:val="single" w:sz="12" w:space="0" w:color="auto"/>
              <w:bottom w:val="single" w:sz="12" w:space="0" w:color="auto"/>
            </w:tcBorders>
            <w:shd w:val="clear" w:color="auto" w:fill="auto"/>
          </w:tcPr>
          <w:p w:rsidR="007D1B95" w:rsidRPr="007D1B95" w:rsidRDefault="007D1B95" w:rsidP="007D1B95">
            <w:pPr>
              <w:spacing w:before="40" w:after="120"/>
              <w:ind w:right="113"/>
            </w:pPr>
            <w:r>
              <w:t>–</w:t>
            </w:r>
          </w:p>
        </w:tc>
      </w:tr>
    </w:tbl>
    <w:p w:rsidR="003033EF" w:rsidRPr="007D1B95" w:rsidRDefault="003033EF" w:rsidP="003033EF">
      <w:pPr>
        <w:pStyle w:val="H4G"/>
      </w:pPr>
      <w:r>
        <w:t>Notes</w:t>
      </w:r>
    </w:p>
    <w:sectPr w:rsidR="003033EF" w:rsidRPr="007D1B95" w:rsidSect="000F2AE2">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CAB" w:rsidRDefault="00347CAB"/>
  </w:endnote>
  <w:endnote w:type="continuationSeparator" w:id="0">
    <w:p w:rsidR="00347CAB" w:rsidRDefault="00347CAB"/>
  </w:endnote>
  <w:endnote w:type="continuationNotice" w:id="1">
    <w:p w:rsidR="00347CAB" w:rsidRDefault="00347CAB"/>
  </w:endnote>
  <w:endnote w:id="2">
    <w:p w:rsidR="00347CAB" w:rsidRDefault="00347CAB" w:rsidP="0062597F">
      <w:pPr>
        <w:pStyle w:val="EndnoteText"/>
        <w:widowControl w:val="0"/>
        <w:tabs>
          <w:tab w:val="clear" w:pos="1021"/>
          <w:tab w:val="right" w:pos="1020"/>
        </w:tabs>
      </w:pPr>
      <w:r>
        <w:tab/>
      </w:r>
      <w:r>
        <w:rPr>
          <w:rStyle w:val="EndnoteReference"/>
        </w:rPr>
        <w:endnoteRef/>
      </w:r>
      <w:r>
        <w:tab/>
      </w:r>
      <w:r w:rsidRPr="0062597F">
        <w:t>Supported parts of these recommendations are underlined in relevant footnotes</w:t>
      </w:r>
      <w:r>
        <w:t xml:space="preserve">. </w:t>
      </w:r>
    </w:p>
  </w:endnote>
  <w:endnote w:id="3">
    <w:p w:rsidR="00347CAB" w:rsidRDefault="00347CAB" w:rsidP="0062597F">
      <w:pPr>
        <w:pStyle w:val="EndnoteText"/>
        <w:widowControl w:val="0"/>
        <w:tabs>
          <w:tab w:val="clear" w:pos="1021"/>
          <w:tab w:val="right" w:pos="1020"/>
        </w:tabs>
      </w:pPr>
      <w:r>
        <w:tab/>
      </w:r>
      <w:r>
        <w:rPr>
          <w:rStyle w:val="EndnoteReference"/>
        </w:rPr>
        <w:endnoteRef/>
      </w:r>
      <w:r>
        <w:tab/>
      </w:r>
      <w:proofErr w:type="gramStart"/>
      <w:r w:rsidRPr="0062597F">
        <w:t>Indigenous and Tribal Peoples Convention, 1989</w:t>
      </w:r>
      <w:r>
        <w:t>.</w:t>
      </w:r>
      <w:proofErr w:type="gramEnd"/>
    </w:p>
  </w:endnote>
  <w:endnote w:id="4">
    <w:p w:rsidR="00347CAB" w:rsidRDefault="00347CAB" w:rsidP="0062597F">
      <w:pPr>
        <w:pStyle w:val="EndnoteText"/>
        <w:widowControl w:val="0"/>
        <w:tabs>
          <w:tab w:val="clear" w:pos="1021"/>
          <w:tab w:val="right" w:pos="1020"/>
        </w:tabs>
      </w:pPr>
      <w:r>
        <w:tab/>
      </w:r>
      <w:r>
        <w:rPr>
          <w:rStyle w:val="EndnoteReference"/>
        </w:rPr>
        <w:endnoteRef/>
      </w:r>
      <w:r>
        <w:tab/>
      </w:r>
      <w:proofErr w:type="gramStart"/>
      <w:r w:rsidRPr="0062597F">
        <w:t>Domestic Workers Convention, 2011</w:t>
      </w:r>
      <w:r>
        <w:t>.</w:t>
      </w:r>
      <w:proofErr w:type="gramEnd"/>
    </w:p>
  </w:endnote>
  <w:endnote w:id="5">
    <w:p w:rsidR="00347CAB" w:rsidRDefault="00347CAB" w:rsidP="0062597F">
      <w:pPr>
        <w:pStyle w:val="EndnoteText"/>
        <w:widowControl w:val="0"/>
        <w:tabs>
          <w:tab w:val="clear" w:pos="1021"/>
          <w:tab w:val="right" w:pos="1020"/>
        </w:tabs>
      </w:pPr>
      <w:r>
        <w:tab/>
      </w:r>
      <w:r>
        <w:rPr>
          <w:rStyle w:val="EndnoteReference"/>
        </w:rPr>
        <w:endnoteRef/>
      </w:r>
      <w:r>
        <w:tab/>
      </w:r>
      <w:hyperlink r:id="rId1" w:history="1">
        <w:proofErr w:type="gramStart"/>
        <w:r w:rsidRPr="0062597F">
          <w:rPr>
            <w:rStyle w:val="Hyperlink"/>
          </w:rPr>
          <w:t>Council of Europe Convention on preventing and combating violence against women and domestic violence</w:t>
        </w:r>
      </w:hyperlink>
      <w:r>
        <w:t>.</w:t>
      </w:r>
      <w:proofErr w:type="gramEnd"/>
    </w:p>
  </w:endnote>
  <w:endnote w:id="6">
    <w:p w:rsidR="00347CAB" w:rsidRDefault="00347CAB" w:rsidP="0062597F">
      <w:pPr>
        <w:pStyle w:val="EndnoteText"/>
        <w:widowControl w:val="0"/>
        <w:tabs>
          <w:tab w:val="clear" w:pos="1021"/>
          <w:tab w:val="right" w:pos="1020"/>
        </w:tabs>
      </w:pPr>
      <w:r>
        <w:tab/>
      </w:r>
      <w:r>
        <w:rPr>
          <w:rStyle w:val="EndnoteReference"/>
        </w:rPr>
        <w:endnoteRef/>
      </w:r>
      <w:r>
        <w:tab/>
      </w:r>
      <w:proofErr w:type="gramStart"/>
      <w:r w:rsidRPr="0062597F">
        <w:t>International Convention for the Protection of All Persons from Enforced Disappearance</w:t>
      </w:r>
      <w:r>
        <w:t>.</w:t>
      </w:r>
      <w:proofErr w:type="gramEnd"/>
    </w:p>
  </w:endnote>
  <w:endnote w:id="7">
    <w:p w:rsidR="00347CAB" w:rsidRDefault="00347CAB" w:rsidP="0062597F">
      <w:pPr>
        <w:pStyle w:val="EndnoteText"/>
        <w:widowControl w:val="0"/>
        <w:tabs>
          <w:tab w:val="clear" w:pos="1021"/>
          <w:tab w:val="right" w:pos="1020"/>
        </w:tabs>
      </w:pPr>
      <w:r>
        <w:tab/>
      </w:r>
      <w:r>
        <w:rPr>
          <w:rStyle w:val="EndnoteReference"/>
        </w:rPr>
        <w:endnoteRef/>
      </w:r>
      <w:r>
        <w:tab/>
      </w:r>
      <w:proofErr w:type="gramStart"/>
      <w:r w:rsidRPr="0062597F">
        <w:t>Optional Protocol to the Convention on the Rights of the Child on a communication procedure</w:t>
      </w:r>
      <w:r>
        <w:t>.</w:t>
      </w:r>
      <w:proofErr w:type="gramEnd"/>
    </w:p>
  </w:endnote>
  <w:endnote w:id="8">
    <w:p w:rsidR="00347CAB" w:rsidRDefault="00347CAB" w:rsidP="0062597F">
      <w:pPr>
        <w:pStyle w:val="EndnoteText"/>
        <w:widowControl w:val="0"/>
        <w:tabs>
          <w:tab w:val="clear" w:pos="1021"/>
          <w:tab w:val="right" w:pos="1020"/>
        </w:tabs>
      </w:pPr>
      <w:r>
        <w:tab/>
      </w:r>
      <w:r>
        <w:rPr>
          <w:rStyle w:val="EndnoteReference"/>
        </w:rPr>
        <w:endnoteRef/>
      </w:r>
      <w:r>
        <w:tab/>
      </w:r>
      <w:proofErr w:type="gramStart"/>
      <w:r w:rsidRPr="0062597F">
        <w:t>International Convention on the Protection of the Rights of All Migrant Workers and Members of Their Families</w:t>
      </w:r>
      <w:r>
        <w:t>.</w:t>
      </w:r>
      <w:proofErr w:type="gramEnd"/>
    </w:p>
  </w:endnote>
  <w:endnote w:id="9">
    <w:p w:rsidR="00347CAB" w:rsidRDefault="00347CAB" w:rsidP="0062597F">
      <w:pPr>
        <w:pStyle w:val="EndnoteText"/>
        <w:widowControl w:val="0"/>
        <w:tabs>
          <w:tab w:val="clear" w:pos="1021"/>
          <w:tab w:val="right" w:pos="1020"/>
        </w:tabs>
      </w:pPr>
      <w:r>
        <w:tab/>
      </w:r>
      <w:r>
        <w:rPr>
          <w:rStyle w:val="EndnoteReference"/>
        </w:rPr>
        <w:endnoteRef/>
      </w:r>
      <w:r>
        <w:tab/>
      </w:r>
      <w:proofErr w:type="gramStart"/>
      <w:r w:rsidRPr="0062597F">
        <w:t>International Covenant on Economic, Social and Cultural Rights</w:t>
      </w:r>
      <w:r>
        <w:t>.</w:t>
      </w:r>
      <w:proofErr w:type="gramEnd"/>
    </w:p>
  </w:endnote>
  <w:endnote w:id="10">
    <w:p w:rsidR="00347CAB" w:rsidRDefault="00347CAB" w:rsidP="0062597F">
      <w:pPr>
        <w:pStyle w:val="EndnoteText"/>
        <w:widowControl w:val="0"/>
        <w:tabs>
          <w:tab w:val="clear" w:pos="1021"/>
          <w:tab w:val="right" w:pos="1020"/>
        </w:tabs>
      </w:pPr>
      <w:r>
        <w:tab/>
      </w:r>
      <w:r>
        <w:rPr>
          <w:rStyle w:val="EndnoteReference"/>
        </w:rPr>
        <w:endnoteRef/>
      </w:r>
      <w:r>
        <w:tab/>
      </w:r>
      <w:proofErr w:type="gramStart"/>
      <w:r w:rsidRPr="0062597F">
        <w:t>Optional Protocol to the International Covenant on Economic, Social and Cultural Rights</w:t>
      </w:r>
      <w:r>
        <w:t>.</w:t>
      </w:r>
      <w:proofErr w:type="gramEnd"/>
    </w:p>
  </w:endnote>
  <w:endnote w:id="11">
    <w:p w:rsidR="00347CAB" w:rsidRDefault="00347CAB" w:rsidP="0062597F">
      <w:pPr>
        <w:pStyle w:val="EndnoteText"/>
        <w:widowControl w:val="0"/>
        <w:tabs>
          <w:tab w:val="clear" w:pos="1021"/>
          <w:tab w:val="right" w:pos="1020"/>
        </w:tabs>
      </w:pPr>
      <w:r>
        <w:tab/>
      </w:r>
      <w:r>
        <w:rPr>
          <w:rStyle w:val="EndnoteReference"/>
        </w:rPr>
        <w:endnoteRef/>
      </w:r>
      <w:r>
        <w:tab/>
        <w:t>Ratify the Istanbul Convention.</w:t>
      </w:r>
    </w:p>
  </w:endnote>
  <w:endnote w:id="12">
    <w:p w:rsidR="00347CAB" w:rsidRDefault="00347CAB" w:rsidP="0062597F">
      <w:pPr>
        <w:pStyle w:val="EndnoteText"/>
        <w:widowControl w:val="0"/>
        <w:tabs>
          <w:tab w:val="clear" w:pos="1021"/>
          <w:tab w:val="right" w:pos="1020"/>
        </w:tabs>
      </w:pPr>
      <w:r>
        <w:tab/>
      </w:r>
      <w:r>
        <w:rPr>
          <w:rStyle w:val="EndnoteReference"/>
        </w:rPr>
        <w:endnoteRef/>
      </w:r>
      <w:r>
        <w:tab/>
      </w:r>
      <w:r w:rsidRPr="0062597F">
        <w:t>Accept the competence of the Committee on Enforced Disappearances, in conformity with A</w:t>
      </w:r>
      <w:r>
        <w:t>rticles 31 and 32 of the ICPPED.</w:t>
      </w:r>
    </w:p>
  </w:endnote>
  <w:endnote w:id="13">
    <w:p w:rsidR="00347CAB" w:rsidRDefault="00347CAB" w:rsidP="0062597F">
      <w:pPr>
        <w:pStyle w:val="EndnoteText"/>
        <w:widowControl w:val="0"/>
        <w:tabs>
          <w:tab w:val="clear" w:pos="1021"/>
          <w:tab w:val="right" w:pos="1020"/>
        </w:tabs>
      </w:pPr>
      <w:r>
        <w:tab/>
      </w:r>
      <w:r>
        <w:rPr>
          <w:rStyle w:val="EndnoteReference"/>
        </w:rPr>
        <w:endnoteRef/>
      </w:r>
      <w:r>
        <w:tab/>
      </w:r>
      <w:r w:rsidRPr="0062597F">
        <w:t>Consider acceding to the UN Conven</w:t>
      </w:r>
      <w:r>
        <w:t>tion on Enforced Disappearances.</w:t>
      </w:r>
    </w:p>
  </w:endnote>
  <w:endnote w:id="14">
    <w:p w:rsidR="00347CAB" w:rsidRDefault="00347CAB" w:rsidP="0062597F">
      <w:pPr>
        <w:pStyle w:val="EndnoteText"/>
        <w:widowControl w:val="0"/>
        <w:tabs>
          <w:tab w:val="clear" w:pos="1021"/>
          <w:tab w:val="right" w:pos="1020"/>
        </w:tabs>
      </w:pPr>
      <w:r>
        <w:tab/>
      </w:r>
      <w:r>
        <w:rPr>
          <w:rStyle w:val="EndnoteReference"/>
        </w:rPr>
        <w:endnoteRef/>
      </w:r>
      <w:r>
        <w:tab/>
      </w:r>
      <w:r w:rsidRPr="0062597F">
        <w:t>Accelerate the process of accession to the International Convention for the Protection of All Pers</w:t>
      </w:r>
      <w:r>
        <w:t>ons from Enforced Disappearance.</w:t>
      </w:r>
    </w:p>
  </w:endnote>
  <w:endnote w:id="15">
    <w:p w:rsidR="00347CAB" w:rsidRDefault="00347CAB" w:rsidP="0062597F">
      <w:pPr>
        <w:pStyle w:val="EndnoteText"/>
        <w:widowControl w:val="0"/>
        <w:tabs>
          <w:tab w:val="clear" w:pos="1021"/>
          <w:tab w:val="right" w:pos="1020"/>
        </w:tabs>
      </w:pPr>
      <w:r>
        <w:tab/>
      </w:r>
      <w:r>
        <w:rPr>
          <w:rStyle w:val="EndnoteReference"/>
        </w:rPr>
        <w:endnoteRef/>
      </w:r>
      <w:r>
        <w:tab/>
      </w:r>
      <w:r w:rsidRPr="0062597F">
        <w:t>Ratify the International Convention for the Protection of All Pers</w:t>
      </w:r>
      <w:r>
        <w:t>ons from Enforced Disappearance.</w:t>
      </w:r>
    </w:p>
  </w:endnote>
  <w:endnote w:id="16">
    <w:p w:rsidR="00347CAB" w:rsidRDefault="00347CAB" w:rsidP="0062597F">
      <w:pPr>
        <w:pStyle w:val="EndnoteText"/>
        <w:widowControl w:val="0"/>
        <w:tabs>
          <w:tab w:val="clear" w:pos="1021"/>
          <w:tab w:val="right" w:pos="1020"/>
        </w:tabs>
      </w:pPr>
      <w:r>
        <w:tab/>
      </w:r>
      <w:r>
        <w:rPr>
          <w:rStyle w:val="EndnoteReference"/>
        </w:rPr>
        <w:endnoteRef/>
      </w:r>
      <w:r>
        <w:tab/>
      </w:r>
      <w:r w:rsidRPr="0062597F">
        <w:t>Step up the process of consultations concerning the accession to IC</w:t>
      </w:r>
      <w:r>
        <w:t>PPED, as previously recommended.</w:t>
      </w:r>
    </w:p>
  </w:endnote>
  <w:endnote w:id="17">
    <w:p w:rsidR="00347CAB" w:rsidRDefault="00347CAB" w:rsidP="0062597F">
      <w:pPr>
        <w:pStyle w:val="EndnoteText"/>
        <w:widowControl w:val="0"/>
        <w:tabs>
          <w:tab w:val="clear" w:pos="1021"/>
          <w:tab w:val="right" w:pos="1020"/>
        </w:tabs>
      </w:pPr>
      <w:r>
        <w:tab/>
      </w:r>
      <w:r>
        <w:rPr>
          <w:rStyle w:val="EndnoteReference"/>
        </w:rPr>
        <w:endnoteRef/>
      </w:r>
      <w:r>
        <w:tab/>
      </w:r>
      <w:r w:rsidRPr="0062597F">
        <w:t>Fully align domestic legislation with the Rome Statute through explicit provisions on the duty to cooperate pr</w:t>
      </w:r>
      <w:r>
        <w:t>omptly and fully with the Court.</w:t>
      </w:r>
    </w:p>
  </w:endnote>
  <w:endnote w:id="18">
    <w:p w:rsidR="00347CAB" w:rsidRDefault="00347CAB" w:rsidP="0062597F">
      <w:pPr>
        <w:pStyle w:val="EndnoteText"/>
        <w:widowControl w:val="0"/>
        <w:tabs>
          <w:tab w:val="clear" w:pos="1021"/>
          <w:tab w:val="right" w:pos="1020"/>
        </w:tabs>
      </w:pPr>
      <w:r>
        <w:tab/>
      </w:r>
      <w:r>
        <w:rPr>
          <w:rStyle w:val="EndnoteReference"/>
        </w:rPr>
        <w:endnoteRef/>
      </w:r>
      <w:r>
        <w:tab/>
      </w:r>
      <w:r w:rsidRPr="0062597F">
        <w:t>Assess the compatibility of its policies and laws with its international obligations including all core principles of human rig</w:t>
      </w:r>
      <w:r>
        <w:t>hts to which Hungary is a party.</w:t>
      </w:r>
    </w:p>
  </w:endnote>
  <w:endnote w:id="19">
    <w:p w:rsidR="00347CAB" w:rsidRDefault="00347CAB" w:rsidP="0062597F">
      <w:pPr>
        <w:pStyle w:val="EndnoteText"/>
        <w:widowControl w:val="0"/>
        <w:tabs>
          <w:tab w:val="clear" w:pos="1021"/>
          <w:tab w:val="right" w:pos="1020"/>
        </w:tabs>
      </w:pPr>
      <w:r>
        <w:tab/>
      </w:r>
      <w:r>
        <w:rPr>
          <w:rStyle w:val="EndnoteReference"/>
        </w:rPr>
        <w:endnoteRef/>
      </w:r>
      <w:r>
        <w:tab/>
      </w:r>
      <w:r w:rsidRPr="0062597F">
        <w:t>Continue the efforts to harmonize national legislation with international standar</w:t>
      </w:r>
      <w:r>
        <w:t>ds in the field of human rights.</w:t>
      </w:r>
    </w:p>
  </w:endnote>
  <w:endnote w:id="20">
    <w:p w:rsidR="00347CAB" w:rsidRDefault="00347CAB" w:rsidP="0062597F">
      <w:pPr>
        <w:pStyle w:val="EndnoteText"/>
        <w:widowControl w:val="0"/>
        <w:tabs>
          <w:tab w:val="clear" w:pos="1021"/>
          <w:tab w:val="right" w:pos="1020"/>
        </w:tabs>
      </w:pPr>
      <w:r>
        <w:tab/>
      </w:r>
      <w:r>
        <w:rPr>
          <w:rStyle w:val="EndnoteReference"/>
        </w:rPr>
        <w:endnoteRef/>
      </w:r>
      <w:r>
        <w:tab/>
      </w:r>
      <w:r w:rsidRPr="0062597F">
        <w:t xml:space="preserve">Deepen its commitment with the International Criminal Court through adapting its national </w:t>
      </w:r>
      <w:r>
        <w:t>legislation to the Rome Statute.</w:t>
      </w:r>
    </w:p>
  </w:endnote>
  <w:endnote w:id="21">
    <w:p w:rsidR="00347CAB" w:rsidRDefault="00347CAB" w:rsidP="0062597F">
      <w:pPr>
        <w:pStyle w:val="EndnoteText"/>
        <w:widowControl w:val="0"/>
        <w:tabs>
          <w:tab w:val="clear" w:pos="1021"/>
          <w:tab w:val="right" w:pos="1020"/>
        </w:tabs>
      </w:pPr>
      <w:r>
        <w:tab/>
      </w:r>
      <w:r>
        <w:rPr>
          <w:rStyle w:val="EndnoteReference"/>
        </w:rPr>
        <w:endnoteRef/>
      </w:r>
      <w:r>
        <w:tab/>
      </w:r>
      <w:r w:rsidRPr="0062597F">
        <w:t>Strengthen efforts to combat violence against women, inter alia, by ra</w:t>
      </w:r>
      <w:r>
        <w:t>tifying the Istanbul Convention.</w:t>
      </w:r>
    </w:p>
  </w:endnote>
  <w:endnote w:id="22">
    <w:p w:rsidR="00347CAB" w:rsidRDefault="00347CAB" w:rsidP="0062597F">
      <w:pPr>
        <w:pStyle w:val="EndnoteText"/>
        <w:widowControl w:val="0"/>
        <w:tabs>
          <w:tab w:val="clear" w:pos="1021"/>
          <w:tab w:val="right" w:pos="1020"/>
        </w:tabs>
      </w:pPr>
      <w:r>
        <w:tab/>
      </w:r>
      <w:r>
        <w:rPr>
          <w:rStyle w:val="EndnoteReference"/>
        </w:rPr>
        <w:endnoteRef/>
      </w:r>
      <w:r>
        <w:tab/>
      </w:r>
      <w:r w:rsidRPr="0062597F">
        <w:t>Widen the scope of international obligations through accession to the remaining international treaties, such as ICRMW</w:t>
      </w:r>
      <w:r w:rsidR="000F27B6">
        <w:t>,</w:t>
      </w:r>
      <w:r w:rsidRPr="0062597F">
        <w:t xml:space="preserve"> </w:t>
      </w:r>
      <w:r w:rsidRPr="0062597F">
        <w:rPr>
          <w:u w:val="single"/>
        </w:rPr>
        <w:t>ICPPED</w:t>
      </w:r>
      <w:r w:rsidR="000F27B6" w:rsidRPr="005A0DAC">
        <w:t>,</w:t>
      </w:r>
      <w:r>
        <w:t xml:space="preserve"> OP-CRC-IC</w:t>
      </w:r>
      <w:r w:rsidR="000F27B6">
        <w:t xml:space="preserve"> and</w:t>
      </w:r>
      <w:r>
        <w:t xml:space="preserve"> OP-</w:t>
      </w:r>
      <w:r w:rsidR="000F27B6">
        <w:t>I</w:t>
      </w:r>
      <w:r>
        <w:t>CESCR.</w:t>
      </w:r>
    </w:p>
  </w:endnote>
  <w:endnote w:id="23">
    <w:p w:rsidR="00347CAB" w:rsidRDefault="00347CAB" w:rsidP="0062597F">
      <w:pPr>
        <w:pStyle w:val="EndnoteText"/>
        <w:widowControl w:val="0"/>
        <w:tabs>
          <w:tab w:val="clear" w:pos="1021"/>
          <w:tab w:val="right" w:pos="1020"/>
        </w:tabs>
      </w:pPr>
      <w:r>
        <w:tab/>
      </w:r>
      <w:r>
        <w:rPr>
          <w:rStyle w:val="EndnoteReference"/>
        </w:rPr>
        <w:endnoteRef/>
      </w:r>
      <w:r>
        <w:tab/>
      </w:r>
      <w:r w:rsidRPr="0062597F">
        <w:t xml:space="preserve">Consider ratifying the ICRMW, </w:t>
      </w:r>
      <w:r w:rsidRPr="0062597F">
        <w:rPr>
          <w:u w:val="single"/>
        </w:rPr>
        <w:t>ILO Convention 189</w:t>
      </w:r>
      <w:r w:rsidRPr="0062597F">
        <w:t>, and the Optional Protocol to the Conven</w:t>
      </w:r>
      <w:r>
        <w:t>tion on the Rights of the Child</w:t>
      </w:r>
      <w:r w:rsidR="000F27B6">
        <w:t xml:space="preserve"> on a communications procedure</w:t>
      </w:r>
      <w:r>
        <w:t>.</w:t>
      </w:r>
    </w:p>
  </w:endnote>
  <w:endnote w:id="24">
    <w:p w:rsidR="00347CAB" w:rsidRDefault="00347CAB" w:rsidP="0062597F">
      <w:pPr>
        <w:pStyle w:val="EndnoteText"/>
        <w:widowControl w:val="0"/>
        <w:tabs>
          <w:tab w:val="clear" w:pos="1021"/>
          <w:tab w:val="right" w:pos="1020"/>
        </w:tabs>
      </w:pPr>
      <w:r>
        <w:tab/>
      </w:r>
      <w:r>
        <w:rPr>
          <w:rStyle w:val="EndnoteReference"/>
        </w:rPr>
        <w:endnoteRef/>
      </w:r>
      <w:r>
        <w:tab/>
      </w:r>
      <w:r w:rsidRPr="0062597F">
        <w:t xml:space="preserve">Consider ratifying the </w:t>
      </w:r>
      <w:r w:rsidRPr="0062597F">
        <w:rPr>
          <w:u w:val="single"/>
        </w:rPr>
        <w:t>ICPPED</w:t>
      </w:r>
      <w:r w:rsidRPr="0062597F">
        <w:t xml:space="preserve">, </w:t>
      </w:r>
      <w:r>
        <w:t>the OP-CESCR and the ICRMW.</w:t>
      </w:r>
    </w:p>
  </w:endnote>
  <w:endnote w:id="25">
    <w:p w:rsidR="00347CAB" w:rsidRDefault="00347CAB" w:rsidP="0062597F">
      <w:pPr>
        <w:pStyle w:val="EndnoteText"/>
        <w:widowControl w:val="0"/>
        <w:tabs>
          <w:tab w:val="clear" w:pos="1021"/>
          <w:tab w:val="right" w:pos="1020"/>
        </w:tabs>
      </w:pPr>
      <w:r>
        <w:tab/>
      </w:r>
      <w:r>
        <w:rPr>
          <w:rStyle w:val="EndnoteReference"/>
        </w:rPr>
        <w:endnoteRef/>
      </w:r>
      <w:r>
        <w:tab/>
      </w:r>
      <w:r w:rsidRPr="0062597F">
        <w:t xml:space="preserve">Become party to the ICRMW, the </w:t>
      </w:r>
      <w:r w:rsidRPr="0062597F">
        <w:rPr>
          <w:u w:val="single"/>
        </w:rPr>
        <w:t>Rome Statute of the International Criminal Court</w:t>
      </w:r>
      <w:r w:rsidRPr="0062597F">
        <w:t xml:space="preserve">, the </w:t>
      </w:r>
      <w:r w:rsidRPr="0062597F">
        <w:rPr>
          <w:u w:val="single"/>
        </w:rPr>
        <w:t>Conventions on the refugees and stateless persons</w:t>
      </w:r>
      <w:r w:rsidRPr="0062597F">
        <w:t xml:space="preserve">, the ILO Convention 169 and the </w:t>
      </w:r>
      <w:r w:rsidRPr="0062597F">
        <w:rPr>
          <w:u w:val="single"/>
        </w:rPr>
        <w:t>Convention to fight discrimination in Education</w:t>
      </w:r>
      <w:r>
        <w:t>.</w:t>
      </w:r>
    </w:p>
  </w:endnote>
  <w:endnote w:id="26">
    <w:p w:rsidR="00347CAB" w:rsidRDefault="00347CAB" w:rsidP="0062597F">
      <w:pPr>
        <w:pStyle w:val="EndnoteText"/>
        <w:widowControl w:val="0"/>
        <w:tabs>
          <w:tab w:val="clear" w:pos="1021"/>
          <w:tab w:val="right" w:pos="1020"/>
        </w:tabs>
      </w:pPr>
      <w:r>
        <w:tab/>
      </w:r>
      <w:r>
        <w:rPr>
          <w:rStyle w:val="EndnoteReference"/>
        </w:rPr>
        <w:endnoteRef/>
      </w:r>
      <w:r>
        <w:tab/>
      </w:r>
      <w:r w:rsidRPr="0062597F">
        <w:rPr>
          <w:u w:val="single"/>
        </w:rPr>
        <w:t>Ratify the Istanbul Convention</w:t>
      </w:r>
      <w:r>
        <w:t xml:space="preserve"> without delay.</w:t>
      </w:r>
    </w:p>
  </w:endnote>
  <w:endnote w:id="27">
    <w:p w:rsidR="00347CAB" w:rsidRDefault="00347CAB" w:rsidP="0062597F">
      <w:pPr>
        <w:pStyle w:val="EndnoteText"/>
        <w:widowControl w:val="0"/>
        <w:tabs>
          <w:tab w:val="clear" w:pos="1021"/>
          <w:tab w:val="right" w:pos="1020"/>
        </w:tabs>
      </w:pPr>
      <w:r>
        <w:tab/>
      </w:r>
      <w:r>
        <w:rPr>
          <w:rStyle w:val="EndnoteReference"/>
        </w:rPr>
        <w:endnoteRef/>
      </w:r>
      <w:r>
        <w:tab/>
      </w:r>
      <w:r w:rsidRPr="0062597F">
        <w:t>Withdraw its reservation on pertinent articles of the ICERD, ICESCR, ICCPR and the Optional Protoc</w:t>
      </w:r>
      <w:r>
        <w:t xml:space="preserve">ol to the CRC on </w:t>
      </w:r>
      <w:r w:rsidR="008D3250">
        <w:t xml:space="preserve">children in </w:t>
      </w:r>
      <w:r>
        <w:t>armed conflict.</w:t>
      </w:r>
    </w:p>
  </w:endnote>
  <w:endnote w:id="28">
    <w:p w:rsidR="00347CAB" w:rsidRDefault="00347CAB" w:rsidP="0062597F">
      <w:pPr>
        <w:pStyle w:val="EndnoteText"/>
        <w:widowControl w:val="0"/>
        <w:tabs>
          <w:tab w:val="clear" w:pos="1021"/>
          <w:tab w:val="right" w:pos="1020"/>
        </w:tabs>
      </w:pPr>
      <w:r>
        <w:tab/>
      </w:r>
      <w:r>
        <w:rPr>
          <w:rStyle w:val="EndnoteReference"/>
        </w:rPr>
        <w:endnoteRef/>
      </w:r>
      <w:r>
        <w:tab/>
        <w:t>Sign and ratify ICRMW.</w:t>
      </w:r>
    </w:p>
  </w:endnote>
  <w:endnote w:id="29">
    <w:p w:rsidR="00347CAB" w:rsidRDefault="00347CAB" w:rsidP="0062597F">
      <w:pPr>
        <w:pStyle w:val="EndnoteText"/>
        <w:widowControl w:val="0"/>
        <w:tabs>
          <w:tab w:val="clear" w:pos="1021"/>
          <w:tab w:val="right" w:pos="1020"/>
        </w:tabs>
      </w:pPr>
      <w:r>
        <w:tab/>
      </w:r>
      <w:r>
        <w:rPr>
          <w:rStyle w:val="EndnoteReference"/>
        </w:rPr>
        <w:endnoteRef/>
      </w:r>
      <w:r>
        <w:tab/>
      </w:r>
      <w:r w:rsidRPr="0062597F">
        <w:t>Ratify the International Convention on the Protection of the Rights of all Migrant Worker</w:t>
      </w:r>
      <w:r>
        <w:t>s and Members of their Families.</w:t>
      </w:r>
    </w:p>
  </w:endnote>
  <w:endnote w:id="30">
    <w:p w:rsidR="00347CAB" w:rsidRDefault="00347CAB" w:rsidP="0062597F">
      <w:pPr>
        <w:pStyle w:val="EndnoteText"/>
        <w:widowControl w:val="0"/>
        <w:tabs>
          <w:tab w:val="clear" w:pos="1021"/>
          <w:tab w:val="right" w:pos="1020"/>
        </w:tabs>
      </w:pPr>
      <w:r>
        <w:tab/>
      </w:r>
      <w:r>
        <w:rPr>
          <w:rStyle w:val="EndnoteReference"/>
        </w:rPr>
        <w:endnoteRef/>
      </w:r>
      <w:r>
        <w:tab/>
        <w:t>Consider ratifying the ICRMW.</w:t>
      </w:r>
    </w:p>
  </w:endnote>
  <w:endnote w:id="31">
    <w:p w:rsidR="00347CAB" w:rsidRDefault="00347CAB" w:rsidP="0062597F">
      <w:pPr>
        <w:pStyle w:val="EndnoteText"/>
        <w:widowControl w:val="0"/>
        <w:tabs>
          <w:tab w:val="clear" w:pos="1021"/>
          <w:tab w:val="right" w:pos="1020"/>
        </w:tabs>
      </w:pPr>
      <w:r>
        <w:tab/>
      </w:r>
      <w:r>
        <w:rPr>
          <w:rStyle w:val="EndnoteReference"/>
        </w:rPr>
        <w:endnoteRef/>
      </w:r>
      <w:r>
        <w:tab/>
      </w:r>
      <w:r w:rsidRPr="0062597F">
        <w:t>Ratify I</w:t>
      </w:r>
      <w:r>
        <w:t>CRMW, as previously recommended.</w:t>
      </w:r>
    </w:p>
  </w:endnote>
  <w:endnote w:id="32">
    <w:p w:rsidR="00347CAB" w:rsidRDefault="00347CAB" w:rsidP="0062597F">
      <w:pPr>
        <w:pStyle w:val="EndnoteText"/>
        <w:widowControl w:val="0"/>
        <w:tabs>
          <w:tab w:val="clear" w:pos="1021"/>
          <w:tab w:val="right" w:pos="1020"/>
        </w:tabs>
      </w:pPr>
      <w:r>
        <w:tab/>
      </w:r>
      <w:r>
        <w:rPr>
          <w:rStyle w:val="EndnoteReference"/>
        </w:rPr>
        <w:endnoteRef/>
      </w:r>
      <w:r>
        <w:tab/>
      </w:r>
      <w:r w:rsidRPr="0062597F">
        <w:t>Ratify the Optional Protocol to the Convention on the Rights of the Chi</w:t>
      </w:r>
      <w:r>
        <w:t>ld on a communication procedure.</w:t>
      </w:r>
    </w:p>
  </w:endnote>
  <w:endnote w:id="33">
    <w:p w:rsidR="00347CAB" w:rsidRDefault="00347CAB" w:rsidP="00481AC4">
      <w:pPr>
        <w:pStyle w:val="EndnoteText"/>
        <w:widowControl w:val="0"/>
        <w:tabs>
          <w:tab w:val="clear" w:pos="1021"/>
          <w:tab w:val="right" w:pos="1020"/>
        </w:tabs>
      </w:pPr>
      <w:r>
        <w:tab/>
      </w:r>
      <w:r>
        <w:rPr>
          <w:rStyle w:val="EndnoteReference"/>
        </w:rPr>
        <w:endnoteRef/>
      </w:r>
      <w:r>
        <w:tab/>
      </w:r>
      <w:r w:rsidRPr="00481AC4">
        <w:t>Ratify the Optional Protocol to the International Covenant on Econo</w:t>
      </w:r>
      <w:r>
        <w:t>mic, Social and Cultural Rights.</w:t>
      </w:r>
    </w:p>
  </w:endnote>
  <w:endnote w:id="34">
    <w:p w:rsidR="00347CAB" w:rsidRDefault="00347CAB" w:rsidP="00481AC4">
      <w:pPr>
        <w:pStyle w:val="EndnoteText"/>
        <w:widowControl w:val="0"/>
        <w:tabs>
          <w:tab w:val="clear" w:pos="1021"/>
          <w:tab w:val="right" w:pos="1020"/>
        </w:tabs>
      </w:pPr>
      <w:r>
        <w:tab/>
      </w:r>
      <w:r>
        <w:rPr>
          <w:rStyle w:val="EndnoteReference"/>
        </w:rPr>
        <w:endnoteRef/>
      </w:r>
      <w:r>
        <w:tab/>
        <w:t>Ratify the OP-ICESCR.</w:t>
      </w:r>
    </w:p>
  </w:endnote>
  <w:endnote w:id="35">
    <w:p w:rsidR="00347CAB" w:rsidRDefault="00347CAB" w:rsidP="00481AC4">
      <w:pPr>
        <w:pStyle w:val="EndnoteText"/>
        <w:widowControl w:val="0"/>
        <w:tabs>
          <w:tab w:val="clear" w:pos="1021"/>
          <w:tab w:val="right" w:pos="1020"/>
        </w:tabs>
      </w:pPr>
      <w:r>
        <w:tab/>
      </w:r>
      <w:r>
        <w:rPr>
          <w:rStyle w:val="EndnoteReference"/>
        </w:rPr>
        <w:endnoteRef/>
      </w:r>
      <w:r>
        <w:tab/>
      </w:r>
      <w:proofErr w:type="gramStart"/>
      <w:r w:rsidRPr="00481AC4">
        <w:t>Convention on the Rights of Persons with Disabilities</w:t>
      </w:r>
      <w:r>
        <w:t>.</w:t>
      </w:r>
      <w:proofErr w:type="gramEnd"/>
    </w:p>
  </w:endnote>
  <w:endnote w:id="36">
    <w:p w:rsidR="00347CAB" w:rsidRDefault="00347CAB" w:rsidP="00481AC4">
      <w:pPr>
        <w:pStyle w:val="EndnoteText"/>
        <w:widowControl w:val="0"/>
        <w:tabs>
          <w:tab w:val="clear" w:pos="1021"/>
          <w:tab w:val="right" w:pos="1020"/>
        </w:tabs>
      </w:pPr>
      <w:r>
        <w:tab/>
      </w:r>
      <w:r>
        <w:rPr>
          <w:rStyle w:val="EndnoteReference"/>
        </w:rPr>
        <w:endnoteRef/>
      </w:r>
      <w:r>
        <w:tab/>
      </w:r>
      <w:proofErr w:type="gramStart"/>
      <w:r w:rsidRPr="00481AC4">
        <w:t>Convention on the Elimination of Discrimination against Women</w:t>
      </w:r>
      <w:r>
        <w:t>.</w:t>
      </w:r>
      <w:proofErr w:type="gramEnd"/>
    </w:p>
  </w:endnote>
  <w:endnote w:id="37">
    <w:p w:rsidR="00347CAB" w:rsidRDefault="00347CAB" w:rsidP="00481AC4">
      <w:pPr>
        <w:pStyle w:val="EndnoteText"/>
        <w:widowControl w:val="0"/>
        <w:tabs>
          <w:tab w:val="clear" w:pos="1021"/>
          <w:tab w:val="right" w:pos="1020"/>
        </w:tabs>
      </w:pPr>
      <w:r>
        <w:tab/>
      </w:r>
      <w:r>
        <w:rPr>
          <w:rStyle w:val="EndnoteReference"/>
        </w:rPr>
        <w:endnoteRef/>
      </w:r>
      <w:r>
        <w:tab/>
      </w:r>
      <w:proofErr w:type="gramStart"/>
      <w:r w:rsidRPr="00481AC4">
        <w:t>Convention on the Rights of the Child</w:t>
      </w:r>
      <w:r>
        <w:t>.</w:t>
      </w:r>
      <w:proofErr w:type="gramEnd"/>
    </w:p>
  </w:endnote>
  <w:endnote w:id="38">
    <w:p w:rsidR="00347CAB" w:rsidRDefault="00347CAB" w:rsidP="00481AC4">
      <w:pPr>
        <w:pStyle w:val="EndnoteText"/>
        <w:widowControl w:val="0"/>
        <w:tabs>
          <w:tab w:val="clear" w:pos="1021"/>
          <w:tab w:val="right" w:pos="1020"/>
        </w:tabs>
      </w:pPr>
      <w:r>
        <w:tab/>
      </w:r>
      <w:r>
        <w:rPr>
          <w:rStyle w:val="EndnoteReference"/>
        </w:rPr>
        <w:endnoteRef/>
      </w:r>
      <w:r>
        <w:tab/>
      </w:r>
      <w:r w:rsidRPr="00481AC4">
        <w:t>United Nations Security Council Resolution 1325 on women, peace and security</w:t>
      </w:r>
      <w:r>
        <w:t>.</w:t>
      </w:r>
    </w:p>
  </w:endnote>
  <w:endnote w:id="39">
    <w:p w:rsidR="00347CAB" w:rsidRDefault="00347CAB" w:rsidP="00481AC4">
      <w:pPr>
        <w:pStyle w:val="EndnoteText"/>
        <w:widowControl w:val="0"/>
        <w:tabs>
          <w:tab w:val="clear" w:pos="1021"/>
          <w:tab w:val="right" w:pos="1020"/>
        </w:tabs>
      </w:pPr>
      <w:r>
        <w:tab/>
      </w:r>
      <w:r>
        <w:rPr>
          <w:rStyle w:val="EndnoteReference"/>
        </w:rPr>
        <w:endnoteRef/>
      </w:r>
      <w:r>
        <w:tab/>
      </w:r>
      <w:r w:rsidRPr="00481AC4">
        <w:t>Continue with the efforts aimed at ensuring timely cooperation with treaty bodies, regarding the submission o</w:t>
      </w:r>
      <w:r>
        <w:t>f its over-due national reports.</w:t>
      </w:r>
    </w:p>
  </w:endnote>
  <w:endnote w:id="40">
    <w:p w:rsidR="00347CAB" w:rsidRDefault="00347CAB" w:rsidP="00481AC4">
      <w:pPr>
        <w:pStyle w:val="EndnoteText"/>
        <w:widowControl w:val="0"/>
        <w:tabs>
          <w:tab w:val="clear" w:pos="1021"/>
          <w:tab w:val="right" w:pos="1020"/>
        </w:tabs>
      </w:pPr>
      <w:r>
        <w:tab/>
      </w:r>
      <w:r>
        <w:rPr>
          <w:rStyle w:val="EndnoteReference"/>
        </w:rPr>
        <w:endnoteRef/>
      </w:r>
      <w:r>
        <w:tab/>
      </w:r>
      <w:r w:rsidRPr="00481AC4">
        <w:t>Submit overdue reports to CERD, Committee on Economic, Social and Cultural Rights an</w:t>
      </w:r>
      <w:r>
        <w:t>d to the Human Rights Committee.</w:t>
      </w:r>
    </w:p>
  </w:endnote>
  <w:endnote w:id="41">
    <w:p w:rsidR="00347CAB" w:rsidRDefault="00347CAB" w:rsidP="00481AC4">
      <w:pPr>
        <w:pStyle w:val="EndnoteText"/>
        <w:widowControl w:val="0"/>
        <w:tabs>
          <w:tab w:val="clear" w:pos="1021"/>
          <w:tab w:val="right" w:pos="1020"/>
        </w:tabs>
      </w:pPr>
      <w:r>
        <w:tab/>
      </w:r>
      <w:r>
        <w:rPr>
          <w:rStyle w:val="EndnoteReference"/>
        </w:rPr>
        <w:endnoteRef/>
      </w:r>
      <w:r>
        <w:tab/>
      </w:r>
      <w:r w:rsidRPr="00481AC4">
        <w:t xml:space="preserve">Intensify efforts aimed at implementing recommendations of treaty bodies and special procedures including CEDAW, CRC, </w:t>
      </w:r>
      <w:proofErr w:type="gramStart"/>
      <w:r w:rsidRPr="00481AC4">
        <w:t>Special</w:t>
      </w:r>
      <w:proofErr w:type="gramEnd"/>
      <w:r w:rsidRPr="00481AC4">
        <w:t xml:space="preserve"> Rapporteur on Racism and the Worki</w:t>
      </w:r>
      <w:r>
        <w:t>ng Group on Arbitrary Detention.</w:t>
      </w:r>
    </w:p>
  </w:endnote>
  <w:endnote w:id="42">
    <w:p w:rsidR="00347CAB" w:rsidRDefault="00347CAB" w:rsidP="00481AC4">
      <w:pPr>
        <w:pStyle w:val="EndnoteText"/>
        <w:widowControl w:val="0"/>
        <w:tabs>
          <w:tab w:val="clear" w:pos="1021"/>
          <w:tab w:val="right" w:pos="1020"/>
        </w:tabs>
      </w:pPr>
      <w:r>
        <w:tab/>
      </w:r>
      <w:r>
        <w:rPr>
          <w:rStyle w:val="EndnoteReference"/>
        </w:rPr>
        <w:endnoteRef/>
      </w:r>
      <w:r>
        <w:tab/>
      </w:r>
      <w:r w:rsidRPr="00481AC4">
        <w:t xml:space="preserve">Take appropriate measures to progressively reduce the existing backlog of overdue </w:t>
      </w:r>
      <w:r>
        <w:t>reports to the UN Treaty Bodies.</w:t>
      </w:r>
    </w:p>
  </w:endnote>
  <w:endnote w:id="43">
    <w:p w:rsidR="00347CAB" w:rsidRDefault="00347CAB" w:rsidP="00481AC4">
      <w:pPr>
        <w:pStyle w:val="EndnoteText"/>
        <w:widowControl w:val="0"/>
        <w:tabs>
          <w:tab w:val="clear" w:pos="1021"/>
          <w:tab w:val="right" w:pos="1020"/>
        </w:tabs>
      </w:pPr>
      <w:r>
        <w:tab/>
      </w:r>
      <w:r>
        <w:rPr>
          <w:rStyle w:val="EndnoteReference"/>
        </w:rPr>
        <w:endnoteRef/>
      </w:r>
      <w:r>
        <w:tab/>
      </w:r>
      <w:r w:rsidRPr="00481AC4">
        <w:t xml:space="preserve">Submit overdue reports to the Human </w:t>
      </w:r>
      <w:r>
        <w:t>Rights Committee, CESCR and CAT.</w:t>
      </w:r>
    </w:p>
  </w:endnote>
  <w:endnote w:id="44">
    <w:p w:rsidR="00347CAB" w:rsidRDefault="00347CAB" w:rsidP="00481AC4">
      <w:pPr>
        <w:pStyle w:val="EndnoteText"/>
        <w:widowControl w:val="0"/>
        <w:tabs>
          <w:tab w:val="clear" w:pos="1021"/>
          <w:tab w:val="right" w:pos="1020"/>
        </w:tabs>
      </w:pPr>
      <w:r>
        <w:tab/>
      </w:r>
      <w:r>
        <w:rPr>
          <w:rStyle w:val="EndnoteReference"/>
        </w:rPr>
        <w:endnoteRef/>
      </w:r>
      <w:r>
        <w:tab/>
      </w:r>
      <w:r w:rsidRPr="00481AC4">
        <w:t>Adopt a National Action Plan on Security Council Resolution 13</w:t>
      </w:r>
      <w:r>
        <w:t>25 on Women, Peace and Security.</w:t>
      </w:r>
    </w:p>
  </w:endnote>
  <w:endnote w:id="45">
    <w:p w:rsidR="00347CAB" w:rsidRDefault="00347CAB" w:rsidP="00481AC4">
      <w:pPr>
        <w:pStyle w:val="EndnoteText"/>
        <w:widowControl w:val="0"/>
        <w:tabs>
          <w:tab w:val="clear" w:pos="1021"/>
          <w:tab w:val="right" w:pos="1020"/>
        </w:tabs>
      </w:pPr>
      <w:r>
        <w:tab/>
      </w:r>
      <w:r>
        <w:rPr>
          <w:rStyle w:val="EndnoteReference"/>
        </w:rPr>
        <w:endnoteRef/>
      </w:r>
      <w:r>
        <w:tab/>
      </w:r>
      <w:r w:rsidRPr="00481AC4">
        <w:t>Give full consideration to the recommendations of the UN Special Rapporteur on the Situ</w:t>
      </w:r>
      <w:r>
        <w:t>ation of Human Rights Defenders.</w:t>
      </w:r>
    </w:p>
  </w:endnote>
  <w:endnote w:id="46">
    <w:p w:rsidR="00347CAB" w:rsidRDefault="00347CAB" w:rsidP="00481AC4">
      <w:pPr>
        <w:pStyle w:val="EndnoteText"/>
        <w:widowControl w:val="0"/>
        <w:tabs>
          <w:tab w:val="clear" w:pos="1021"/>
          <w:tab w:val="right" w:pos="1020"/>
        </w:tabs>
      </w:pPr>
      <w:r>
        <w:tab/>
      </w:r>
      <w:r>
        <w:rPr>
          <w:rStyle w:val="EndnoteReference"/>
        </w:rPr>
        <w:endnoteRef/>
      </w:r>
      <w:r>
        <w:tab/>
      </w:r>
      <w:r w:rsidRPr="00481AC4">
        <w:t xml:space="preserve">Positively consider and implement the recommendations presented by the </w:t>
      </w:r>
      <w:r w:rsidR="008D3250">
        <w:t>S</w:t>
      </w:r>
      <w:r w:rsidRPr="00481AC4">
        <w:t xml:space="preserve">pecial </w:t>
      </w:r>
      <w:r w:rsidR="008D3250">
        <w:t>R</w:t>
      </w:r>
      <w:r w:rsidRPr="00481AC4">
        <w:t>appo</w:t>
      </w:r>
      <w:r>
        <w:t>rteur on human rights defenders.</w:t>
      </w:r>
    </w:p>
  </w:endnote>
  <w:endnote w:id="47">
    <w:p w:rsidR="00347CAB" w:rsidRDefault="00347CAB" w:rsidP="00481AC4">
      <w:pPr>
        <w:pStyle w:val="EndnoteText"/>
        <w:widowControl w:val="0"/>
        <w:tabs>
          <w:tab w:val="clear" w:pos="1021"/>
          <w:tab w:val="right" w:pos="1020"/>
        </w:tabs>
      </w:pPr>
      <w:r>
        <w:tab/>
      </w:r>
      <w:r>
        <w:rPr>
          <w:rStyle w:val="EndnoteReference"/>
        </w:rPr>
        <w:endnoteRef/>
      </w:r>
      <w:r>
        <w:tab/>
      </w:r>
      <w:r w:rsidRPr="00481AC4">
        <w:t>Follow the recommendations of the 2014 OSCE election obs</w:t>
      </w:r>
      <w:r>
        <w:t>ervation mission’s final report.</w:t>
      </w:r>
    </w:p>
  </w:endnote>
  <w:endnote w:id="48">
    <w:p w:rsidR="00347CAB" w:rsidRDefault="00347CAB" w:rsidP="00481AC4">
      <w:pPr>
        <w:pStyle w:val="EndnoteText"/>
        <w:widowControl w:val="0"/>
        <w:tabs>
          <w:tab w:val="clear" w:pos="1021"/>
          <w:tab w:val="right" w:pos="1020"/>
        </w:tabs>
      </w:pPr>
      <w:r>
        <w:tab/>
      </w:r>
      <w:r>
        <w:rPr>
          <w:rStyle w:val="EndnoteReference"/>
        </w:rPr>
        <w:endnoteRef/>
      </w:r>
      <w:r>
        <w:tab/>
      </w:r>
      <w:r w:rsidRPr="00481AC4">
        <w:t>Implement recommendations made by UN Special Rapporteur on Freedom of Peaceful Assembly and Association regarding governmental ov</w:t>
      </w:r>
      <w:r>
        <w:t>ersight and regulations of NGOs.</w:t>
      </w:r>
    </w:p>
  </w:endnote>
  <w:endnote w:id="49">
    <w:p w:rsidR="00347CAB" w:rsidRDefault="00347CAB" w:rsidP="00481AC4">
      <w:pPr>
        <w:pStyle w:val="EndnoteText"/>
        <w:widowControl w:val="0"/>
        <w:tabs>
          <w:tab w:val="clear" w:pos="1021"/>
          <w:tab w:val="right" w:pos="1020"/>
        </w:tabs>
      </w:pPr>
      <w:r>
        <w:tab/>
      </w:r>
      <w:r>
        <w:rPr>
          <w:rStyle w:val="EndnoteReference"/>
        </w:rPr>
        <w:endnoteRef/>
      </w:r>
      <w:r>
        <w:tab/>
      </w:r>
      <w:proofErr w:type="gramStart"/>
      <w:r w:rsidRPr="00481AC4">
        <w:t>i.e</w:t>
      </w:r>
      <w:proofErr w:type="gramEnd"/>
      <w:r w:rsidRPr="00481AC4">
        <w:t>. The budget of the Constitutional Court shall not be less than the budget allocated in the central budget of the previous year.</w:t>
      </w:r>
    </w:p>
  </w:endnote>
  <w:endnote w:id="50">
    <w:p w:rsidR="00347CAB" w:rsidRDefault="00347CAB" w:rsidP="00481AC4">
      <w:pPr>
        <w:pStyle w:val="EndnoteText"/>
        <w:widowControl w:val="0"/>
        <w:tabs>
          <w:tab w:val="clear" w:pos="1021"/>
          <w:tab w:val="right" w:pos="1020"/>
        </w:tabs>
      </w:pPr>
      <w:r>
        <w:tab/>
      </w:r>
      <w:r>
        <w:rPr>
          <w:rStyle w:val="EndnoteReference"/>
        </w:rPr>
        <w:endnoteRef/>
      </w:r>
      <w:r>
        <w:tab/>
      </w:r>
      <w:r w:rsidRPr="00481AC4">
        <w:t xml:space="preserve">Adoption of a cardinal act requires the votes of 2/3 majority of the Parliament. Probably the most important change concerning the rules on the competences of the Constitutional Court is the abolition of </w:t>
      </w:r>
      <w:proofErr w:type="spellStart"/>
      <w:r w:rsidRPr="00481AC4">
        <w:rPr>
          <w:i/>
        </w:rPr>
        <w:t>actio</w:t>
      </w:r>
      <w:proofErr w:type="spellEnd"/>
      <w:r w:rsidRPr="00481AC4">
        <w:rPr>
          <w:i/>
        </w:rPr>
        <w:t xml:space="preserve"> </w:t>
      </w:r>
      <w:proofErr w:type="spellStart"/>
      <w:r w:rsidRPr="00481AC4">
        <w:rPr>
          <w:i/>
        </w:rPr>
        <w:t>popularis</w:t>
      </w:r>
      <w:proofErr w:type="spellEnd"/>
      <w:r w:rsidRPr="00481AC4">
        <w:t xml:space="preserve"> and parallel, the alteration of the institution of constitutional complaint. Before the adoption of the Fundamental Law the core competence of the Court was the </w:t>
      </w:r>
      <w:r w:rsidRPr="00481AC4">
        <w:rPr>
          <w:i/>
        </w:rPr>
        <w:t>ex post</w:t>
      </w:r>
      <w:r w:rsidRPr="00481AC4">
        <w:t xml:space="preserve"> review of the conformity of pieces of legislation with the Constitution, as anyone – even without a legal interest – was entitled to submit a petition asking the constitutional review of a legal norm. Abolition of this general right was even demanded by the Court itself because of the extent of its caseload. According to the new rules, such a proceeding can only be initiated by the Government, ¼th of all Members of Parliament, the President of the Supreme Court, the Prosecutor General or the Commissioner for Fundamental Rights. At the same time</w:t>
      </w:r>
      <w:r w:rsidR="00756017">
        <w:t>,</w:t>
      </w:r>
      <w:r w:rsidRPr="00481AC4">
        <w:t xml:space="preserve"> constitutional judges also urged the introduction of the „real”, that is, the German type of constitutional complaint. It may be lodged at the Court mainly when a right guaranteed by the Fundamental Law of the petitioner is violated by a judicial decision. The Venice Commission examined the modification of the regulation on the Court and on the whole it formed a positive opinion.</w:t>
      </w:r>
    </w:p>
  </w:endnote>
  <w:endnote w:id="51">
    <w:p w:rsidR="00347CAB" w:rsidRDefault="00347CAB" w:rsidP="00481AC4">
      <w:pPr>
        <w:pStyle w:val="EndnoteText"/>
        <w:widowControl w:val="0"/>
        <w:tabs>
          <w:tab w:val="clear" w:pos="1021"/>
          <w:tab w:val="right" w:pos="1020"/>
        </w:tabs>
      </w:pPr>
      <w:r>
        <w:tab/>
      </w:r>
      <w:r>
        <w:rPr>
          <w:rStyle w:val="EndnoteReference"/>
        </w:rPr>
        <w:endnoteRef/>
      </w:r>
      <w:r>
        <w:tab/>
      </w:r>
      <w:proofErr w:type="gramStart"/>
      <w:r w:rsidRPr="00481AC4">
        <w:t>Optional Protocol to the Convention against Torture and Other Cruel, Inhuman or Degrading Treatment or Punishment</w:t>
      </w:r>
      <w:r>
        <w:t>.</w:t>
      </w:r>
      <w:proofErr w:type="gramEnd"/>
    </w:p>
  </w:endnote>
  <w:endnote w:id="52">
    <w:p w:rsidR="00347CAB" w:rsidRDefault="00347CAB" w:rsidP="00481AC4">
      <w:pPr>
        <w:pStyle w:val="EndnoteText"/>
        <w:widowControl w:val="0"/>
        <w:tabs>
          <w:tab w:val="clear" w:pos="1021"/>
          <w:tab w:val="right" w:pos="1020"/>
        </w:tabs>
      </w:pPr>
      <w:r>
        <w:tab/>
      </w:r>
      <w:r>
        <w:rPr>
          <w:rStyle w:val="EndnoteReference"/>
        </w:rPr>
        <w:endnoteRef/>
      </w:r>
      <w:r>
        <w:tab/>
      </w:r>
      <w:r w:rsidRPr="00481AC4">
        <w:t>Continue further improvement of the protection and promotion</w:t>
      </w:r>
      <w:r>
        <w:t xml:space="preserve"> of human rights in the country.</w:t>
      </w:r>
    </w:p>
  </w:endnote>
  <w:endnote w:id="53">
    <w:p w:rsidR="00347CAB" w:rsidRDefault="00347CAB" w:rsidP="00481AC4">
      <w:pPr>
        <w:pStyle w:val="EndnoteText"/>
        <w:widowControl w:val="0"/>
        <w:tabs>
          <w:tab w:val="clear" w:pos="1021"/>
          <w:tab w:val="right" w:pos="1020"/>
        </w:tabs>
      </w:pPr>
      <w:r>
        <w:tab/>
      </w:r>
      <w:r>
        <w:rPr>
          <w:rStyle w:val="EndnoteReference"/>
        </w:rPr>
        <w:endnoteRef/>
      </w:r>
      <w:r>
        <w:tab/>
      </w:r>
      <w:r w:rsidRPr="00481AC4">
        <w:t>Continue to promote and protect the fundamental freedoms and h</w:t>
      </w:r>
      <w:r>
        <w:t>uman rights of all its citizens.</w:t>
      </w:r>
    </w:p>
  </w:endnote>
  <w:endnote w:id="54">
    <w:p w:rsidR="00347CAB" w:rsidRDefault="00347CAB" w:rsidP="00481AC4">
      <w:pPr>
        <w:pStyle w:val="EndnoteText"/>
        <w:widowControl w:val="0"/>
        <w:tabs>
          <w:tab w:val="clear" w:pos="1021"/>
          <w:tab w:val="right" w:pos="1020"/>
        </w:tabs>
      </w:pPr>
      <w:r>
        <w:tab/>
      </w:r>
      <w:r>
        <w:rPr>
          <w:rStyle w:val="EndnoteReference"/>
        </w:rPr>
        <w:endnoteRef/>
      </w:r>
      <w:r>
        <w:tab/>
      </w:r>
      <w:r w:rsidRPr="00481AC4">
        <w:t>Consider developing Human Rights Indicators as suggested by the OHCHR as an instrument that allows for a more precise and coherent evaluation of</w:t>
      </w:r>
      <w:r>
        <w:t xml:space="preserve"> national human rights policies.</w:t>
      </w:r>
    </w:p>
  </w:endnote>
  <w:endnote w:id="55">
    <w:p w:rsidR="00347CAB" w:rsidRDefault="00347CAB" w:rsidP="00481AC4">
      <w:pPr>
        <w:pStyle w:val="EndnoteText"/>
        <w:widowControl w:val="0"/>
        <w:tabs>
          <w:tab w:val="clear" w:pos="1021"/>
          <w:tab w:val="right" w:pos="1020"/>
        </w:tabs>
      </w:pPr>
      <w:r>
        <w:tab/>
      </w:r>
      <w:r>
        <w:rPr>
          <w:rStyle w:val="EndnoteReference"/>
        </w:rPr>
        <w:endnoteRef/>
      </w:r>
      <w:r>
        <w:tab/>
      </w:r>
      <w:r w:rsidRPr="00481AC4">
        <w:t xml:space="preserve">Consider increasing the funding of the National Preventive Mechanism, in order to support its work and the </w:t>
      </w:r>
      <w:r>
        <w:t>detention monitoring activities.</w:t>
      </w:r>
    </w:p>
  </w:endnote>
  <w:endnote w:id="56">
    <w:p w:rsidR="00347CAB" w:rsidRDefault="00347CAB" w:rsidP="00481AC4">
      <w:pPr>
        <w:pStyle w:val="EndnoteText"/>
        <w:widowControl w:val="0"/>
        <w:tabs>
          <w:tab w:val="clear" w:pos="1021"/>
          <w:tab w:val="right" w:pos="1020"/>
        </w:tabs>
      </w:pPr>
      <w:r>
        <w:tab/>
      </w:r>
      <w:r>
        <w:rPr>
          <w:rStyle w:val="EndnoteReference"/>
        </w:rPr>
        <w:endnoteRef/>
      </w:r>
      <w:r>
        <w:tab/>
      </w:r>
      <w:r w:rsidRPr="00481AC4">
        <w:t>Take concrete measures to ensure the independence of the Constitutional Court and the protection of human rights and fundamental freedoms, and that political pressure is not being appl</w:t>
      </w:r>
      <w:r>
        <w:t>ied to judicial decision-making.</w:t>
      </w:r>
    </w:p>
  </w:endnote>
  <w:endnote w:id="57">
    <w:p w:rsidR="00347CAB" w:rsidRDefault="00347CAB" w:rsidP="00481AC4">
      <w:pPr>
        <w:pStyle w:val="EndnoteText"/>
        <w:widowControl w:val="0"/>
        <w:tabs>
          <w:tab w:val="clear" w:pos="1021"/>
          <w:tab w:val="right" w:pos="1020"/>
        </w:tabs>
      </w:pPr>
      <w:r>
        <w:tab/>
      </w:r>
      <w:r>
        <w:rPr>
          <w:rStyle w:val="EndnoteReference"/>
        </w:rPr>
        <w:endnoteRef/>
      </w:r>
      <w:r>
        <w:tab/>
      </w:r>
      <w:r w:rsidRPr="00481AC4">
        <w:t xml:space="preserve">Ensure that the implementation of objectives set up in the 2014 National Strategy on Public Education </w:t>
      </w:r>
      <w:proofErr w:type="gramStart"/>
      <w:r w:rsidRPr="00481AC4">
        <w:t>are</w:t>
      </w:r>
      <w:proofErr w:type="gramEnd"/>
      <w:r w:rsidRPr="00481AC4">
        <w:t xml:space="preserve"> in line with the o</w:t>
      </w:r>
      <w:r>
        <w:t>bjectives and goals of the SDGs.</w:t>
      </w:r>
    </w:p>
  </w:endnote>
  <w:endnote w:id="58">
    <w:p w:rsidR="00347CAB" w:rsidRDefault="00347CAB" w:rsidP="00481AC4">
      <w:pPr>
        <w:pStyle w:val="EndnoteText"/>
        <w:widowControl w:val="0"/>
        <w:tabs>
          <w:tab w:val="clear" w:pos="1021"/>
          <w:tab w:val="right" w:pos="1020"/>
        </w:tabs>
      </w:pPr>
      <w:r>
        <w:tab/>
      </w:r>
      <w:r>
        <w:rPr>
          <w:rStyle w:val="EndnoteReference"/>
        </w:rPr>
        <w:endnoteRef/>
      </w:r>
      <w:r>
        <w:tab/>
      </w:r>
      <w:r w:rsidRPr="00481AC4">
        <w:t>Ensure the inclusion of human rights and especially children’s rights in the public education system, raising awarenes</w:t>
      </w:r>
      <w:r>
        <w:t>s about human rights in general.</w:t>
      </w:r>
    </w:p>
  </w:endnote>
  <w:endnote w:id="59">
    <w:p w:rsidR="00347CAB" w:rsidRDefault="00347CAB" w:rsidP="00481AC4">
      <w:pPr>
        <w:pStyle w:val="EndnoteText"/>
        <w:widowControl w:val="0"/>
        <w:tabs>
          <w:tab w:val="clear" w:pos="1021"/>
          <w:tab w:val="right" w:pos="1020"/>
        </w:tabs>
      </w:pPr>
      <w:r>
        <w:tab/>
      </w:r>
      <w:r>
        <w:rPr>
          <w:rStyle w:val="EndnoteReference"/>
        </w:rPr>
        <w:endnoteRef/>
      </w:r>
      <w:r>
        <w:tab/>
      </w:r>
      <w:r w:rsidRPr="00481AC4">
        <w:t xml:space="preserve">Develop and implement a National Action Plan on Human Rights to further ensure systematic and comprehensive approach for the promotion and protection of human rights, with the full </w:t>
      </w:r>
      <w:r>
        <w:t>engagement of the civil society.</w:t>
      </w:r>
    </w:p>
  </w:endnote>
  <w:endnote w:id="60">
    <w:p w:rsidR="00347CAB" w:rsidRDefault="00347CAB" w:rsidP="00481AC4">
      <w:pPr>
        <w:pStyle w:val="EndnoteText"/>
        <w:widowControl w:val="0"/>
        <w:tabs>
          <w:tab w:val="clear" w:pos="1021"/>
          <w:tab w:val="right" w:pos="1020"/>
        </w:tabs>
      </w:pPr>
      <w:r>
        <w:tab/>
      </w:r>
      <w:r>
        <w:rPr>
          <w:rStyle w:val="EndnoteReference"/>
        </w:rPr>
        <w:endnoteRef/>
      </w:r>
      <w:r>
        <w:tab/>
      </w:r>
      <w:r w:rsidRPr="00481AC4">
        <w:t>Continue to pursue implementation of the UN Basic Principles on the Independence of the Judiciary and repeal all provisions of national law that restrict the Constitutional</w:t>
      </w:r>
      <w:r>
        <w:t xml:space="preserve"> Court’s jurisdiction.</w:t>
      </w:r>
    </w:p>
  </w:endnote>
  <w:endnote w:id="61">
    <w:p w:rsidR="00347CAB" w:rsidRDefault="00347CAB" w:rsidP="00481AC4">
      <w:pPr>
        <w:pStyle w:val="EndnoteText"/>
        <w:widowControl w:val="0"/>
        <w:tabs>
          <w:tab w:val="clear" w:pos="1021"/>
          <w:tab w:val="right" w:pos="1020"/>
        </w:tabs>
      </w:pPr>
      <w:r>
        <w:tab/>
      </w:r>
      <w:r>
        <w:rPr>
          <w:rStyle w:val="EndnoteReference"/>
        </w:rPr>
        <w:endnoteRef/>
      </w:r>
      <w:r>
        <w:tab/>
      </w:r>
      <w:r w:rsidRPr="00481AC4">
        <w:t>Implement reforms on judicial independence and rule of law recommended by the International Bar Association</w:t>
      </w:r>
      <w:r>
        <w:t xml:space="preserve"> Human Rights Institute in 2015.</w:t>
      </w:r>
    </w:p>
  </w:endnote>
  <w:endnote w:id="62">
    <w:p w:rsidR="00347CAB" w:rsidRDefault="00347CAB" w:rsidP="00481AC4">
      <w:pPr>
        <w:pStyle w:val="EndnoteText"/>
        <w:widowControl w:val="0"/>
        <w:tabs>
          <w:tab w:val="clear" w:pos="1021"/>
          <w:tab w:val="right" w:pos="1020"/>
        </w:tabs>
      </w:pPr>
      <w:r>
        <w:tab/>
      </w:r>
      <w:r>
        <w:rPr>
          <w:rStyle w:val="EndnoteReference"/>
        </w:rPr>
        <w:endnoteRef/>
      </w:r>
      <w:r>
        <w:tab/>
      </w:r>
      <w:r w:rsidRPr="00481AC4">
        <w:t xml:space="preserve">Revise transparency laws to reinstate a freedom of information parliamentary </w:t>
      </w:r>
      <w:proofErr w:type="gramStart"/>
      <w:r w:rsidRPr="00481AC4">
        <w:t>ombudsman,</w:t>
      </w:r>
      <w:proofErr w:type="gramEnd"/>
      <w:r w:rsidRPr="00481AC4">
        <w:t xml:space="preserve"> and ex ante reclaiming of labo</w:t>
      </w:r>
      <w:r w:rsidR="00756017">
        <w:t>u</w:t>
      </w:r>
      <w:r w:rsidRPr="00481AC4">
        <w:t xml:space="preserve">r costs for processing information requests, and limit public institutions’ authority </w:t>
      </w:r>
      <w:r>
        <w:t>to refuse access to public data.</w:t>
      </w:r>
    </w:p>
  </w:endnote>
  <w:endnote w:id="63">
    <w:p w:rsidR="00347CAB" w:rsidRDefault="00347CAB" w:rsidP="00D408B1">
      <w:pPr>
        <w:pStyle w:val="EndnoteText"/>
        <w:widowControl w:val="0"/>
        <w:tabs>
          <w:tab w:val="clear" w:pos="1021"/>
          <w:tab w:val="right" w:pos="1020"/>
        </w:tabs>
      </w:pPr>
      <w:r>
        <w:tab/>
      </w:r>
      <w:r>
        <w:rPr>
          <w:rStyle w:val="EndnoteReference"/>
        </w:rPr>
        <w:endnoteRef/>
      </w:r>
      <w:r>
        <w:tab/>
      </w:r>
      <w:r w:rsidR="00756017">
        <w:t>H</w:t>
      </w:r>
      <w:r w:rsidRPr="00D408B1">
        <w:t>uman rights defenders</w:t>
      </w:r>
      <w:r>
        <w:t>.</w:t>
      </w:r>
    </w:p>
  </w:endnote>
  <w:endnote w:id="64">
    <w:p w:rsidR="00347CAB" w:rsidRDefault="00347CAB" w:rsidP="00D408B1">
      <w:pPr>
        <w:pStyle w:val="EndnoteText"/>
        <w:widowControl w:val="0"/>
        <w:tabs>
          <w:tab w:val="clear" w:pos="1021"/>
          <w:tab w:val="right" w:pos="1020"/>
        </w:tabs>
      </w:pPr>
      <w:r>
        <w:tab/>
      </w:r>
      <w:r>
        <w:rPr>
          <w:rStyle w:val="EndnoteReference"/>
        </w:rPr>
        <w:endnoteRef/>
      </w:r>
      <w:r>
        <w:tab/>
      </w:r>
      <w:r w:rsidRPr="00D408B1">
        <w:t xml:space="preserve">Ensure consultation processes which allow a public debate and interaction with the independent civil society, with sufficient time during the drafting </w:t>
      </w:r>
      <w:r>
        <w:t>of new laws and public policies.</w:t>
      </w:r>
    </w:p>
  </w:endnote>
  <w:endnote w:id="65">
    <w:p w:rsidR="00347CAB" w:rsidRDefault="00347CAB" w:rsidP="00D408B1">
      <w:pPr>
        <w:pStyle w:val="EndnoteText"/>
        <w:widowControl w:val="0"/>
        <w:tabs>
          <w:tab w:val="clear" w:pos="1021"/>
          <w:tab w:val="right" w:pos="1020"/>
        </w:tabs>
      </w:pPr>
      <w:r>
        <w:tab/>
      </w:r>
      <w:r>
        <w:rPr>
          <w:rStyle w:val="EndnoteReference"/>
        </w:rPr>
        <w:endnoteRef/>
      </w:r>
      <w:r>
        <w:tab/>
      </w:r>
      <w:r w:rsidRPr="00D408B1">
        <w:t>Engage in consultation with pro-transparency organisations and other relevant stakeholders prior to developing or implementing new legislation on Freed</w:t>
      </w:r>
      <w:r>
        <w:t>om of Information.</w:t>
      </w:r>
    </w:p>
  </w:endnote>
  <w:endnote w:id="66">
    <w:p w:rsidR="00347CAB" w:rsidRDefault="00347CAB" w:rsidP="00D408B1">
      <w:pPr>
        <w:pStyle w:val="EndnoteText"/>
        <w:widowControl w:val="0"/>
        <w:tabs>
          <w:tab w:val="clear" w:pos="1021"/>
          <w:tab w:val="right" w:pos="1020"/>
        </w:tabs>
      </w:pPr>
      <w:r>
        <w:tab/>
      </w:r>
      <w:r>
        <w:rPr>
          <w:rStyle w:val="EndnoteReference"/>
        </w:rPr>
        <w:endnoteRef/>
      </w:r>
      <w:r>
        <w:tab/>
      </w:r>
      <w:r w:rsidRPr="00D408B1">
        <w:t>Refrain from targeting or restricting the activities of civil society organisations based on their political affiliation or t</w:t>
      </w:r>
      <w:r>
        <w:t>heir receipt of foreign funding.</w:t>
      </w:r>
    </w:p>
  </w:endnote>
  <w:endnote w:id="67">
    <w:p w:rsidR="00347CAB" w:rsidRDefault="00347CAB" w:rsidP="00D408B1">
      <w:pPr>
        <w:pStyle w:val="EndnoteText"/>
        <w:widowControl w:val="0"/>
        <w:tabs>
          <w:tab w:val="clear" w:pos="1021"/>
          <w:tab w:val="right" w:pos="1020"/>
        </w:tabs>
      </w:pPr>
      <w:r>
        <w:tab/>
      </w:r>
      <w:r>
        <w:rPr>
          <w:rStyle w:val="EndnoteReference"/>
        </w:rPr>
        <w:endnoteRef/>
      </w:r>
      <w:r>
        <w:tab/>
      </w:r>
      <w:r w:rsidRPr="00D408B1">
        <w:t>Adopt measures to comply with provisions of the new Constitution including on combating discrimination and ensuring equal participation in political and</w:t>
      </w:r>
      <w:r>
        <w:t xml:space="preserve"> public affairs by all citizens.</w:t>
      </w:r>
    </w:p>
  </w:endnote>
  <w:endnote w:id="68">
    <w:p w:rsidR="00347CAB" w:rsidRDefault="00347CAB" w:rsidP="00D408B1">
      <w:pPr>
        <w:pStyle w:val="EndnoteText"/>
        <w:widowControl w:val="0"/>
        <w:tabs>
          <w:tab w:val="clear" w:pos="1021"/>
          <w:tab w:val="right" w:pos="1020"/>
        </w:tabs>
      </w:pPr>
      <w:r>
        <w:tab/>
      </w:r>
      <w:r>
        <w:rPr>
          <w:rStyle w:val="EndnoteReference"/>
        </w:rPr>
        <w:endnoteRef/>
      </w:r>
      <w:r>
        <w:tab/>
      </w:r>
      <w:r w:rsidRPr="00D408B1">
        <w:t>Improve both formal and informal dialogue and public consultation between the Government and civil society, including on proposed legislation wi</w:t>
      </w:r>
      <w:r>
        <w:t>th an impact on human rights.</w:t>
      </w:r>
    </w:p>
  </w:endnote>
  <w:endnote w:id="69">
    <w:p w:rsidR="00347CAB" w:rsidRDefault="00347CAB" w:rsidP="00D408B1">
      <w:pPr>
        <w:pStyle w:val="EndnoteText"/>
        <w:widowControl w:val="0"/>
        <w:tabs>
          <w:tab w:val="clear" w:pos="1021"/>
          <w:tab w:val="right" w:pos="1020"/>
        </w:tabs>
      </w:pPr>
      <w:r>
        <w:tab/>
      </w:r>
      <w:r>
        <w:rPr>
          <w:rStyle w:val="EndnoteReference"/>
        </w:rPr>
        <w:endnoteRef/>
      </w:r>
      <w:r>
        <w:tab/>
      </w:r>
      <w:r w:rsidRPr="00D408B1">
        <w:t>Review and abolish all legal provisions that restrict the rights of human rights defenders promoting t</w:t>
      </w:r>
      <w:r>
        <w:t>he rights of the Roma community.</w:t>
      </w:r>
    </w:p>
  </w:endnote>
  <w:endnote w:id="70">
    <w:p w:rsidR="00347CAB" w:rsidRDefault="00347CAB" w:rsidP="00D408B1">
      <w:pPr>
        <w:pStyle w:val="EndnoteText"/>
        <w:widowControl w:val="0"/>
        <w:tabs>
          <w:tab w:val="clear" w:pos="1021"/>
          <w:tab w:val="right" w:pos="1020"/>
        </w:tabs>
      </w:pPr>
      <w:r>
        <w:tab/>
      </w:r>
      <w:r>
        <w:rPr>
          <w:rStyle w:val="EndnoteReference"/>
        </w:rPr>
        <w:endnoteRef/>
      </w:r>
      <w:r>
        <w:tab/>
      </w:r>
      <w:r w:rsidRPr="00D408B1">
        <w:t>Ensure the prompt and independent investigation of all alleged violations against human</w:t>
      </w:r>
      <w:r>
        <w:t xml:space="preserve"> rights defenders.</w:t>
      </w:r>
    </w:p>
  </w:endnote>
  <w:endnote w:id="71">
    <w:p w:rsidR="00347CAB" w:rsidRDefault="00347CAB" w:rsidP="00D408B1">
      <w:pPr>
        <w:pStyle w:val="EndnoteText"/>
        <w:widowControl w:val="0"/>
        <w:tabs>
          <w:tab w:val="clear" w:pos="1021"/>
          <w:tab w:val="right" w:pos="1020"/>
        </w:tabs>
      </w:pPr>
      <w:r>
        <w:tab/>
      </w:r>
      <w:r>
        <w:rPr>
          <w:rStyle w:val="EndnoteReference"/>
        </w:rPr>
        <w:endnoteRef/>
      </w:r>
      <w:r>
        <w:tab/>
      </w:r>
      <w:r w:rsidRPr="00D408B1">
        <w:t>Remove all administrative and legislative provisions that restrict the rights of the Human Rights Defenders and ensure that civil society organizations can operate freely and without disc</w:t>
      </w:r>
      <w:r>
        <w:t>rimination or undue restriction.</w:t>
      </w:r>
    </w:p>
  </w:endnote>
  <w:endnote w:id="72">
    <w:p w:rsidR="00347CAB" w:rsidRDefault="00347CAB" w:rsidP="00D408B1">
      <w:pPr>
        <w:pStyle w:val="EndnoteText"/>
        <w:widowControl w:val="0"/>
        <w:tabs>
          <w:tab w:val="clear" w:pos="1021"/>
          <w:tab w:val="right" w:pos="1020"/>
        </w:tabs>
      </w:pPr>
      <w:r>
        <w:tab/>
      </w:r>
      <w:r>
        <w:rPr>
          <w:rStyle w:val="EndnoteReference"/>
        </w:rPr>
        <w:endnoteRef/>
      </w:r>
      <w:r>
        <w:tab/>
      </w:r>
      <w:r w:rsidRPr="00D408B1">
        <w:t>Take steps to ensure that civil society organizations freely can access and utilize funding,</w:t>
      </w:r>
      <w:r>
        <w:t xml:space="preserve"> including from foreign sources.</w:t>
      </w:r>
    </w:p>
  </w:endnote>
  <w:endnote w:id="73">
    <w:p w:rsidR="00347CAB" w:rsidRDefault="00347CAB" w:rsidP="00D408B1">
      <w:pPr>
        <w:pStyle w:val="EndnoteText"/>
        <w:widowControl w:val="0"/>
        <w:tabs>
          <w:tab w:val="clear" w:pos="1021"/>
          <w:tab w:val="right" w:pos="1020"/>
        </w:tabs>
      </w:pPr>
      <w:r>
        <w:tab/>
      </w:r>
      <w:r>
        <w:rPr>
          <w:rStyle w:val="EndnoteReference"/>
        </w:rPr>
        <w:endnoteRef/>
      </w:r>
      <w:r>
        <w:tab/>
      </w:r>
      <w:r w:rsidRPr="00D408B1">
        <w:t>Take measures allowing the exercise of the lawful activities of human rights defenders, in a favourable legal</w:t>
      </w:r>
      <w:r>
        <w:t xml:space="preserve"> and administrative environment.</w:t>
      </w:r>
    </w:p>
  </w:endnote>
  <w:endnote w:id="74">
    <w:p w:rsidR="00347CAB" w:rsidRDefault="00347CAB" w:rsidP="00D408B1">
      <w:pPr>
        <w:pStyle w:val="EndnoteText"/>
        <w:widowControl w:val="0"/>
        <w:tabs>
          <w:tab w:val="clear" w:pos="1021"/>
          <w:tab w:val="right" w:pos="1020"/>
        </w:tabs>
      </w:pPr>
      <w:r>
        <w:tab/>
      </w:r>
      <w:r>
        <w:rPr>
          <w:rStyle w:val="EndnoteReference"/>
        </w:rPr>
        <w:endnoteRef/>
      </w:r>
      <w:r>
        <w:tab/>
      </w:r>
      <w:proofErr w:type="gramStart"/>
      <w:r>
        <w:t>I</w:t>
      </w:r>
      <w:r w:rsidRPr="00D408B1">
        <w:t>n nurseries, kindergartens, primary and secondary schools</w:t>
      </w:r>
      <w:r>
        <w:t>.</w:t>
      </w:r>
      <w:proofErr w:type="gramEnd"/>
    </w:p>
  </w:endnote>
  <w:endnote w:id="75">
    <w:p w:rsidR="00347CAB" w:rsidRDefault="00347CAB" w:rsidP="00D408B1">
      <w:pPr>
        <w:pStyle w:val="EndnoteText"/>
        <w:widowControl w:val="0"/>
        <w:tabs>
          <w:tab w:val="clear" w:pos="1021"/>
          <w:tab w:val="right" w:pos="1020"/>
        </w:tabs>
      </w:pPr>
      <w:r>
        <w:tab/>
      </w:r>
      <w:r>
        <w:rPr>
          <w:rStyle w:val="EndnoteReference"/>
        </w:rPr>
        <w:endnoteRef/>
      </w:r>
      <w:r>
        <w:tab/>
      </w:r>
      <w:r w:rsidRPr="00D408B1">
        <w:t xml:space="preserve">Continue to provide protection to the family as the natural and </w:t>
      </w:r>
      <w:r>
        <w:t>fundamental unit of the society.</w:t>
      </w:r>
    </w:p>
  </w:endnote>
  <w:endnote w:id="76">
    <w:p w:rsidR="00347CAB" w:rsidRDefault="00347CAB" w:rsidP="00D408B1">
      <w:pPr>
        <w:pStyle w:val="EndnoteText"/>
        <w:widowControl w:val="0"/>
        <w:tabs>
          <w:tab w:val="clear" w:pos="1021"/>
          <w:tab w:val="right" w:pos="1020"/>
        </w:tabs>
      </w:pPr>
      <w:r>
        <w:tab/>
      </w:r>
      <w:r>
        <w:rPr>
          <w:rStyle w:val="EndnoteReference"/>
        </w:rPr>
        <w:endnoteRef/>
      </w:r>
      <w:r>
        <w:tab/>
      </w:r>
      <w:r w:rsidRPr="00D408B1">
        <w:t xml:space="preserve">Reconsider policies on family, gender </w:t>
      </w:r>
      <w:r>
        <w:t>equality and non-discrimination.</w:t>
      </w:r>
    </w:p>
  </w:endnote>
  <w:endnote w:id="77">
    <w:p w:rsidR="00347CAB" w:rsidRDefault="00347CAB" w:rsidP="00D408B1">
      <w:pPr>
        <w:pStyle w:val="EndnoteText"/>
        <w:widowControl w:val="0"/>
        <w:tabs>
          <w:tab w:val="clear" w:pos="1021"/>
          <w:tab w:val="right" w:pos="1020"/>
        </w:tabs>
      </w:pPr>
      <w:r>
        <w:tab/>
      </w:r>
      <w:r>
        <w:rPr>
          <w:rStyle w:val="EndnoteReference"/>
        </w:rPr>
        <w:endnoteRef/>
      </w:r>
      <w:r>
        <w:tab/>
      </w:r>
      <w:r w:rsidRPr="00D408B1">
        <w:t>Provide greater support for poor families and children and reduce social inequality</w:t>
      </w:r>
      <w:r>
        <w:t>.</w:t>
      </w:r>
    </w:p>
  </w:endnote>
  <w:endnote w:id="78">
    <w:p w:rsidR="00347CAB" w:rsidRDefault="00347CAB" w:rsidP="00D408B1">
      <w:pPr>
        <w:pStyle w:val="EndnoteText"/>
        <w:widowControl w:val="0"/>
        <w:tabs>
          <w:tab w:val="clear" w:pos="1021"/>
          <w:tab w:val="right" w:pos="1020"/>
        </w:tabs>
      </w:pPr>
      <w:r>
        <w:tab/>
      </w:r>
      <w:r>
        <w:rPr>
          <w:rStyle w:val="EndnoteReference"/>
        </w:rPr>
        <w:endnoteRef/>
      </w:r>
      <w:r>
        <w:tab/>
      </w:r>
      <w:r w:rsidRPr="00D408B1">
        <w:t>Amend the legislation on the protection of families in order to</w:t>
      </w:r>
      <w:r>
        <w:t xml:space="preserve"> widen the definition of family.</w:t>
      </w:r>
    </w:p>
  </w:endnote>
  <w:endnote w:id="79">
    <w:p w:rsidR="00347CAB" w:rsidRDefault="00347CAB" w:rsidP="00D408B1">
      <w:pPr>
        <w:pStyle w:val="EndnoteText"/>
        <w:widowControl w:val="0"/>
        <w:tabs>
          <w:tab w:val="clear" w:pos="1021"/>
          <w:tab w:val="right" w:pos="1020"/>
        </w:tabs>
      </w:pPr>
      <w:r>
        <w:tab/>
      </w:r>
      <w:r>
        <w:rPr>
          <w:rStyle w:val="EndnoteReference"/>
        </w:rPr>
        <w:endnoteRef/>
      </w:r>
      <w:r>
        <w:tab/>
      </w:r>
      <w:r w:rsidRPr="00D408B1">
        <w:t>Continue to implement measures to protect the rights of the child</w:t>
      </w:r>
      <w:r>
        <w:t>.</w:t>
      </w:r>
    </w:p>
  </w:endnote>
  <w:endnote w:id="80">
    <w:p w:rsidR="00347CAB" w:rsidRDefault="00347CAB" w:rsidP="00D408B1">
      <w:pPr>
        <w:pStyle w:val="EndnoteText"/>
        <w:widowControl w:val="0"/>
        <w:tabs>
          <w:tab w:val="clear" w:pos="1021"/>
          <w:tab w:val="right" w:pos="1020"/>
        </w:tabs>
      </w:pPr>
      <w:r>
        <w:tab/>
      </w:r>
      <w:r>
        <w:rPr>
          <w:rStyle w:val="EndnoteReference"/>
        </w:rPr>
        <w:endnoteRef/>
      </w:r>
      <w:r>
        <w:tab/>
      </w:r>
      <w:r w:rsidRPr="00D408B1">
        <w:t>Enhance measures to protect the rights of children, women and other vulnerable groups</w:t>
      </w:r>
      <w:r>
        <w:t>.</w:t>
      </w:r>
    </w:p>
  </w:endnote>
  <w:endnote w:id="81">
    <w:p w:rsidR="00347CAB" w:rsidRDefault="00347CAB" w:rsidP="00D408B1">
      <w:pPr>
        <w:pStyle w:val="EndnoteText"/>
        <w:widowControl w:val="0"/>
        <w:tabs>
          <w:tab w:val="clear" w:pos="1021"/>
          <w:tab w:val="right" w:pos="1020"/>
        </w:tabs>
      </w:pPr>
      <w:r>
        <w:tab/>
      </w:r>
      <w:r>
        <w:rPr>
          <w:rStyle w:val="EndnoteReference"/>
        </w:rPr>
        <w:endnoteRef/>
      </w:r>
      <w:r>
        <w:tab/>
      </w:r>
      <w:r w:rsidRPr="00D408B1">
        <w:t>Consider establishing independent mechanism for monitoring children’s rights and providing necessary financial resources for its functioning</w:t>
      </w:r>
      <w:r>
        <w:t>.</w:t>
      </w:r>
    </w:p>
  </w:endnote>
  <w:endnote w:id="82">
    <w:p w:rsidR="00347CAB" w:rsidRDefault="00347CAB" w:rsidP="00D408B1">
      <w:pPr>
        <w:pStyle w:val="EndnoteText"/>
        <w:widowControl w:val="0"/>
        <w:tabs>
          <w:tab w:val="clear" w:pos="1021"/>
          <w:tab w:val="right" w:pos="1020"/>
        </w:tabs>
      </w:pPr>
      <w:r>
        <w:tab/>
      </w:r>
      <w:r>
        <w:rPr>
          <w:rStyle w:val="EndnoteReference"/>
        </w:rPr>
        <w:endnoteRef/>
      </w:r>
      <w:r>
        <w:tab/>
      </w:r>
      <w:r w:rsidRPr="00D408B1">
        <w:t>Step up efforts to establish a mechanism to monitor measures to help address and ameliorate the c</w:t>
      </w:r>
      <w:r>
        <w:t>onditions of women and children.</w:t>
      </w:r>
    </w:p>
  </w:endnote>
  <w:endnote w:id="83">
    <w:p w:rsidR="00347CAB" w:rsidRDefault="00347CAB" w:rsidP="00D408B1">
      <w:pPr>
        <w:pStyle w:val="EndnoteText"/>
        <w:widowControl w:val="0"/>
        <w:tabs>
          <w:tab w:val="clear" w:pos="1021"/>
          <w:tab w:val="right" w:pos="1020"/>
        </w:tabs>
      </w:pPr>
      <w:r>
        <w:tab/>
      </w:r>
      <w:r>
        <w:rPr>
          <w:rStyle w:val="EndnoteReference"/>
        </w:rPr>
        <w:endnoteRef/>
      </w:r>
      <w:r>
        <w:tab/>
      </w:r>
      <w:r w:rsidRPr="00D408B1">
        <w:t xml:space="preserve">Abandon the practice of corporal punishment of children and encourage </w:t>
      </w:r>
      <w:r>
        <w:t>non-violent forms of discipline.</w:t>
      </w:r>
    </w:p>
  </w:endnote>
  <w:endnote w:id="84">
    <w:p w:rsidR="00347CAB" w:rsidRDefault="00347CAB" w:rsidP="00D408B1">
      <w:pPr>
        <w:pStyle w:val="EndnoteText"/>
        <w:widowControl w:val="0"/>
        <w:tabs>
          <w:tab w:val="clear" w:pos="1021"/>
          <w:tab w:val="right" w:pos="1020"/>
        </w:tabs>
      </w:pPr>
      <w:r>
        <w:tab/>
      </w:r>
      <w:r>
        <w:rPr>
          <w:rStyle w:val="EndnoteReference"/>
        </w:rPr>
        <w:endnoteRef/>
      </w:r>
      <w:r>
        <w:tab/>
      </w:r>
      <w:r w:rsidRPr="00D408B1">
        <w:t>Take necessary measures for strengthening its specialized juvenile justice system in compliance with the Conven</w:t>
      </w:r>
      <w:r>
        <w:t>tion on the Rights of the Child.</w:t>
      </w:r>
    </w:p>
  </w:endnote>
  <w:endnote w:id="85">
    <w:p w:rsidR="00347CAB" w:rsidRDefault="00347CAB" w:rsidP="00D408B1">
      <w:pPr>
        <w:pStyle w:val="EndnoteText"/>
        <w:widowControl w:val="0"/>
        <w:tabs>
          <w:tab w:val="clear" w:pos="1021"/>
          <w:tab w:val="right" w:pos="1020"/>
        </w:tabs>
      </w:pPr>
      <w:r>
        <w:tab/>
      </w:r>
      <w:r>
        <w:rPr>
          <w:rStyle w:val="EndnoteReference"/>
        </w:rPr>
        <w:endnoteRef/>
      </w:r>
      <w:r>
        <w:tab/>
      </w:r>
      <w:r w:rsidRPr="00D408B1">
        <w:t>Continue efforts for the reintegration of former</w:t>
      </w:r>
      <w:r>
        <w:t xml:space="preserve"> child offenders in the society.</w:t>
      </w:r>
    </w:p>
  </w:endnote>
  <w:endnote w:id="86">
    <w:p w:rsidR="00347CAB" w:rsidRDefault="00347CAB" w:rsidP="00D408B1">
      <w:pPr>
        <w:pStyle w:val="EndnoteText"/>
        <w:widowControl w:val="0"/>
        <w:tabs>
          <w:tab w:val="clear" w:pos="1021"/>
          <w:tab w:val="right" w:pos="1020"/>
        </w:tabs>
      </w:pPr>
      <w:r>
        <w:tab/>
      </w:r>
      <w:r>
        <w:rPr>
          <w:rStyle w:val="EndnoteReference"/>
        </w:rPr>
        <w:endnoteRef/>
      </w:r>
      <w:r>
        <w:tab/>
      </w:r>
      <w:r w:rsidRPr="00D408B1">
        <w:t xml:space="preserve">Reinstate juvenile courts and </w:t>
      </w:r>
      <w:proofErr w:type="gramStart"/>
      <w:r w:rsidRPr="00D408B1">
        <w:t>raise</w:t>
      </w:r>
      <w:proofErr w:type="gramEnd"/>
      <w:r w:rsidRPr="00D408B1">
        <w:t xml:space="preserve"> the age of criminal responsibility to 14 years, for all crimes, in line with international standards</w:t>
      </w:r>
      <w:r>
        <w:t>.</w:t>
      </w:r>
    </w:p>
  </w:endnote>
  <w:endnote w:id="87">
    <w:p w:rsidR="00347CAB" w:rsidRDefault="00347CAB" w:rsidP="00D408B1">
      <w:pPr>
        <w:pStyle w:val="EndnoteText"/>
        <w:widowControl w:val="0"/>
        <w:tabs>
          <w:tab w:val="clear" w:pos="1021"/>
          <w:tab w:val="right" w:pos="1020"/>
        </w:tabs>
      </w:pPr>
      <w:r>
        <w:tab/>
      </w:r>
      <w:r>
        <w:rPr>
          <w:rStyle w:val="EndnoteReference"/>
        </w:rPr>
        <w:endnoteRef/>
      </w:r>
      <w:r>
        <w:tab/>
      </w:r>
      <w:r w:rsidRPr="00D408B1">
        <w:t xml:space="preserve">Consider </w:t>
      </w:r>
      <w:proofErr w:type="gramStart"/>
      <w:r w:rsidRPr="00D408B1">
        <w:t>raising</w:t>
      </w:r>
      <w:proofErr w:type="gramEnd"/>
      <w:r w:rsidRPr="00D408B1">
        <w:t xml:space="preserve"> the age of criminal responsibility from 12 to 14 years, even for the most serious crimes</w:t>
      </w:r>
      <w:r>
        <w:t>.</w:t>
      </w:r>
    </w:p>
  </w:endnote>
  <w:endnote w:id="88">
    <w:p w:rsidR="00347CAB" w:rsidRDefault="00347CAB" w:rsidP="00D408B1">
      <w:pPr>
        <w:pStyle w:val="EndnoteText"/>
        <w:widowControl w:val="0"/>
        <w:tabs>
          <w:tab w:val="clear" w:pos="1021"/>
          <w:tab w:val="right" w:pos="1020"/>
        </w:tabs>
      </w:pPr>
      <w:r>
        <w:tab/>
      </w:r>
      <w:r>
        <w:rPr>
          <w:rStyle w:val="EndnoteReference"/>
        </w:rPr>
        <w:endnoteRef/>
      </w:r>
      <w:r>
        <w:tab/>
      </w:r>
      <w:r w:rsidRPr="00D408B1">
        <w:t>Adopt measures to comply with provisions of the new Constitution including on combating discrimination and ensuring equal participation in political and public affairs by all citizens</w:t>
      </w:r>
      <w:r>
        <w:t>.</w:t>
      </w:r>
    </w:p>
  </w:endnote>
  <w:endnote w:id="89">
    <w:p w:rsidR="00347CAB" w:rsidRDefault="00347CAB" w:rsidP="00D408B1">
      <w:pPr>
        <w:pStyle w:val="EndnoteText"/>
        <w:widowControl w:val="0"/>
        <w:tabs>
          <w:tab w:val="clear" w:pos="1021"/>
          <w:tab w:val="right" w:pos="1020"/>
        </w:tabs>
      </w:pPr>
      <w:r>
        <w:tab/>
      </w:r>
      <w:r>
        <w:rPr>
          <w:rStyle w:val="EndnoteReference"/>
        </w:rPr>
        <w:endnoteRef/>
      </w:r>
      <w:r>
        <w:tab/>
      </w:r>
      <w:r w:rsidRPr="00D408B1">
        <w:t>Take further measures to reduce the inequality between sexes, sensitize the population in this regard and ensure that these measures are effectively implemented</w:t>
      </w:r>
      <w:r>
        <w:t>.</w:t>
      </w:r>
    </w:p>
  </w:endnote>
  <w:endnote w:id="90">
    <w:p w:rsidR="00347CAB" w:rsidRDefault="00347CAB" w:rsidP="00D408B1">
      <w:pPr>
        <w:pStyle w:val="EndnoteText"/>
        <w:widowControl w:val="0"/>
        <w:tabs>
          <w:tab w:val="clear" w:pos="1021"/>
          <w:tab w:val="right" w:pos="1020"/>
        </w:tabs>
      </w:pPr>
      <w:r>
        <w:tab/>
      </w:r>
      <w:r>
        <w:rPr>
          <w:rStyle w:val="EndnoteReference"/>
        </w:rPr>
        <w:endnoteRef/>
      </w:r>
      <w:r>
        <w:tab/>
      </w:r>
      <w:r w:rsidRPr="00D408B1">
        <w:t>Take concrete measures to improve access to decent work for all women, eliminate all discrimination against women at work, and create more socioeconomic opportunities for disenfranchised women</w:t>
      </w:r>
      <w:r>
        <w:t>.</w:t>
      </w:r>
    </w:p>
  </w:endnote>
  <w:endnote w:id="91">
    <w:p w:rsidR="00347CAB" w:rsidRDefault="00347CAB" w:rsidP="00D408B1">
      <w:pPr>
        <w:pStyle w:val="EndnoteText"/>
        <w:widowControl w:val="0"/>
        <w:tabs>
          <w:tab w:val="clear" w:pos="1021"/>
          <w:tab w:val="right" w:pos="1020"/>
        </w:tabs>
      </w:pPr>
      <w:r>
        <w:tab/>
      </w:r>
      <w:r>
        <w:rPr>
          <w:rStyle w:val="EndnoteReference"/>
        </w:rPr>
        <w:endnoteRef/>
      </w:r>
      <w:r>
        <w:tab/>
      </w:r>
      <w:r w:rsidRPr="00D408B1">
        <w:t>Continue to make efforts to ensure women’s participation in political life and in decision-making</w:t>
      </w:r>
      <w:r>
        <w:t>.</w:t>
      </w:r>
    </w:p>
  </w:endnote>
  <w:endnote w:id="92">
    <w:p w:rsidR="00347CAB" w:rsidRDefault="00347CAB" w:rsidP="00D408B1">
      <w:pPr>
        <w:pStyle w:val="EndnoteText"/>
        <w:widowControl w:val="0"/>
        <w:tabs>
          <w:tab w:val="clear" w:pos="1021"/>
          <w:tab w:val="right" w:pos="1020"/>
        </w:tabs>
      </w:pPr>
      <w:r>
        <w:tab/>
      </w:r>
      <w:r>
        <w:rPr>
          <w:rStyle w:val="EndnoteReference"/>
        </w:rPr>
        <w:endnoteRef/>
      </w:r>
      <w:r>
        <w:tab/>
      </w:r>
      <w:r w:rsidRPr="00D408B1">
        <w:t>Take additional measures to effectively combat violence against women and promote the participation of women in political life and their insertion in the professional life</w:t>
      </w:r>
      <w:r>
        <w:t>.</w:t>
      </w:r>
    </w:p>
  </w:endnote>
  <w:endnote w:id="93">
    <w:p w:rsidR="00347CAB" w:rsidRDefault="00347CAB" w:rsidP="00D408B1">
      <w:pPr>
        <w:pStyle w:val="EndnoteText"/>
        <w:widowControl w:val="0"/>
        <w:tabs>
          <w:tab w:val="clear" w:pos="1021"/>
          <w:tab w:val="right" w:pos="1020"/>
        </w:tabs>
      </w:pPr>
      <w:r>
        <w:tab/>
      </w:r>
      <w:r>
        <w:rPr>
          <w:rStyle w:val="EndnoteReference"/>
        </w:rPr>
        <w:endnoteRef/>
      </w:r>
      <w:r>
        <w:tab/>
      </w:r>
      <w:r w:rsidRPr="00D408B1">
        <w:t>Intensify activities aimed at overcoming gender stereotypes</w:t>
      </w:r>
      <w:r>
        <w:t>.</w:t>
      </w:r>
    </w:p>
  </w:endnote>
  <w:endnote w:id="94">
    <w:p w:rsidR="00347CAB" w:rsidRDefault="00347CAB" w:rsidP="00D408B1">
      <w:pPr>
        <w:pStyle w:val="EndnoteText"/>
        <w:widowControl w:val="0"/>
        <w:tabs>
          <w:tab w:val="clear" w:pos="1021"/>
          <w:tab w:val="right" w:pos="1020"/>
        </w:tabs>
      </w:pPr>
      <w:r>
        <w:tab/>
      </w:r>
      <w:r>
        <w:rPr>
          <w:rStyle w:val="EndnoteReference"/>
        </w:rPr>
        <w:endnoteRef/>
      </w:r>
      <w:r>
        <w:tab/>
      </w:r>
      <w:r w:rsidRPr="00D408B1">
        <w:rPr>
          <w:u w:val="single"/>
        </w:rPr>
        <w:t>Continue to take action towards a comprehensive gender equality strategy</w:t>
      </w:r>
      <w:r w:rsidRPr="00D408B1">
        <w:t xml:space="preserve"> and introduce effective legislative measures to increase women’s participation in political life and decision-making</w:t>
      </w:r>
      <w:r>
        <w:t>.</w:t>
      </w:r>
    </w:p>
  </w:endnote>
  <w:endnote w:id="95">
    <w:p w:rsidR="00347CAB" w:rsidRDefault="00347CAB" w:rsidP="00D408B1">
      <w:pPr>
        <w:pStyle w:val="EndnoteText"/>
        <w:widowControl w:val="0"/>
        <w:tabs>
          <w:tab w:val="clear" w:pos="1021"/>
          <w:tab w:val="right" w:pos="1020"/>
        </w:tabs>
      </w:pPr>
      <w:r>
        <w:tab/>
      </w:r>
      <w:r>
        <w:rPr>
          <w:rStyle w:val="EndnoteReference"/>
        </w:rPr>
        <w:endnoteRef/>
      </w:r>
      <w:r>
        <w:tab/>
      </w:r>
      <w:r w:rsidRPr="00D408B1">
        <w:t>Redouble its efforts towards combating stereotypical division of gender roles in family and society</w:t>
      </w:r>
      <w:r>
        <w:t>.</w:t>
      </w:r>
    </w:p>
  </w:endnote>
  <w:endnote w:id="96">
    <w:p w:rsidR="00347CAB" w:rsidRDefault="00347CAB" w:rsidP="00D408B1">
      <w:pPr>
        <w:pStyle w:val="EndnoteText"/>
        <w:widowControl w:val="0"/>
        <w:tabs>
          <w:tab w:val="clear" w:pos="1021"/>
          <w:tab w:val="right" w:pos="1020"/>
        </w:tabs>
      </w:pPr>
      <w:r>
        <w:tab/>
      </w:r>
      <w:r>
        <w:rPr>
          <w:rStyle w:val="EndnoteReference"/>
        </w:rPr>
        <w:endnoteRef/>
      </w:r>
      <w:r>
        <w:tab/>
      </w:r>
      <w:r w:rsidRPr="00D408B1">
        <w:t>Introduce effective legislative measures to increase women’s participation in political life and decision-making</w:t>
      </w:r>
      <w:r>
        <w:t>.</w:t>
      </w:r>
    </w:p>
  </w:endnote>
  <w:endnote w:id="97">
    <w:p w:rsidR="00347CAB" w:rsidRDefault="00347CAB" w:rsidP="00D408B1">
      <w:pPr>
        <w:pStyle w:val="EndnoteText"/>
        <w:widowControl w:val="0"/>
        <w:tabs>
          <w:tab w:val="clear" w:pos="1021"/>
          <w:tab w:val="right" w:pos="1020"/>
        </w:tabs>
      </w:pPr>
      <w:r>
        <w:tab/>
      </w:r>
      <w:r>
        <w:rPr>
          <w:rStyle w:val="EndnoteReference"/>
        </w:rPr>
        <w:endnoteRef/>
      </w:r>
      <w:r>
        <w:tab/>
      </w:r>
      <w:r w:rsidRPr="00D408B1">
        <w:t>Establish effective legislative measures, such as quotas, to improve the participation of women in political life and decision-making processes</w:t>
      </w:r>
      <w:r>
        <w:t>.</w:t>
      </w:r>
    </w:p>
  </w:endnote>
  <w:endnote w:id="98">
    <w:p w:rsidR="00347CAB" w:rsidRDefault="00347CAB" w:rsidP="00D408B1">
      <w:pPr>
        <w:pStyle w:val="EndnoteText"/>
        <w:widowControl w:val="0"/>
        <w:tabs>
          <w:tab w:val="clear" w:pos="1021"/>
          <w:tab w:val="right" w:pos="1020"/>
        </w:tabs>
      </w:pPr>
      <w:r>
        <w:tab/>
      </w:r>
      <w:r>
        <w:rPr>
          <w:rStyle w:val="EndnoteReference"/>
        </w:rPr>
        <w:endnoteRef/>
      </w:r>
      <w:r>
        <w:tab/>
      </w:r>
      <w:r w:rsidRPr="00D408B1">
        <w:t xml:space="preserve">Adopt a </w:t>
      </w:r>
      <w:proofErr w:type="gramStart"/>
      <w:r w:rsidRPr="00D408B1">
        <w:t>comprehensive,</w:t>
      </w:r>
      <w:proofErr w:type="gramEnd"/>
      <w:r w:rsidRPr="00D408B1">
        <w:t xml:space="preserve"> human rights based gender equality strategy</w:t>
      </w:r>
      <w:r>
        <w:t>.</w:t>
      </w:r>
    </w:p>
  </w:endnote>
  <w:endnote w:id="99">
    <w:p w:rsidR="00347CAB" w:rsidRDefault="00347CAB" w:rsidP="00D408B1">
      <w:pPr>
        <w:pStyle w:val="EndnoteText"/>
        <w:widowControl w:val="0"/>
        <w:tabs>
          <w:tab w:val="clear" w:pos="1021"/>
          <w:tab w:val="right" w:pos="1020"/>
        </w:tabs>
      </w:pPr>
      <w:r>
        <w:tab/>
      </w:r>
      <w:r>
        <w:rPr>
          <w:rStyle w:val="EndnoteReference"/>
        </w:rPr>
        <w:endnoteRef/>
      </w:r>
      <w:r>
        <w:tab/>
      </w:r>
      <w:r w:rsidRPr="00D408B1">
        <w:t>Support the gender integration in all spheres of life</w:t>
      </w:r>
      <w:r>
        <w:t>.</w:t>
      </w:r>
    </w:p>
  </w:endnote>
  <w:endnote w:id="100">
    <w:p w:rsidR="00347CAB" w:rsidRDefault="00347CAB" w:rsidP="00D408B1">
      <w:pPr>
        <w:pStyle w:val="EndnoteText"/>
        <w:widowControl w:val="0"/>
        <w:tabs>
          <w:tab w:val="clear" w:pos="1021"/>
          <w:tab w:val="right" w:pos="1020"/>
        </w:tabs>
      </w:pPr>
      <w:r>
        <w:tab/>
      </w:r>
      <w:r>
        <w:rPr>
          <w:rStyle w:val="EndnoteReference"/>
        </w:rPr>
        <w:endnoteRef/>
      </w:r>
      <w:r>
        <w:tab/>
      </w:r>
      <w:proofErr w:type="gramStart"/>
      <w:r w:rsidRPr="00D408B1">
        <w:t>Raise</w:t>
      </w:r>
      <w:proofErr w:type="gramEnd"/>
      <w:r w:rsidRPr="00D408B1">
        <w:t xml:space="preserve"> the legal age of marriage for women and men to 18 years</w:t>
      </w:r>
      <w:r>
        <w:t>.</w:t>
      </w:r>
    </w:p>
  </w:endnote>
  <w:endnote w:id="101">
    <w:p w:rsidR="00347CAB" w:rsidRDefault="00347CAB" w:rsidP="00D408B1">
      <w:pPr>
        <w:pStyle w:val="EndnoteText"/>
        <w:widowControl w:val="0"/>
        <w:tabs>
          <w:tab w:val="clear" w:pos="1021"/>
          <w:tab w:val="right" w:pos="1020"/>
        </w:tabs>
      </w:pPr>
      <w:r>
        <w:tab/>
      </w:r>
      <w:r>
        <w:rPr>
          <w:rStyle w:val="EndnoteReference"/>
        </w:rPr>
        <w:endnoteRef/>
      </w:r>
      <w:r>
        <w:tab/>
      </w:r>
      <w:r w:rsidRPr="00D408B1">
        <w:t>Take further steps to ensure better labour market access and access to basic social and health services for marginalized women, including women with disabilities, Roma women and migrant women</w:t>
      </w:r>
      <w:r>
        <w:t>.</w:t>
      </w:r>
    </w:p>
  </w:endnote>
  <w:endnote w:id="102">
    <w:p w:rsidR="00347CAB" w:rsidRDefault="00347CAB" w:rsidP="00D408B1">
      <w:pPr>
        <w:pStyle w:val="EndnoteText"/>
        <w:widowControl w:val="0"/>
        <w:tabs>
          <w:tab w:val="clear" w:pos="1021"/>
          <w:tab w:val="right" w:pos="1020"/>
        </w:tabs>
      </w:pPr>
      <w:r>
        <w:tab/>
      </w:r>
      <w:r>
        <w:rPr>
          <w:rStyle w:val="EndnoteReference"/>
        </w:rPr>
        <w:endnoteRef/>
      </w:r>
      <w:r>
        <w:tab/>
      </w:r>
      <w:r w:rsidRPr="00D408B1">
        <w:t>Take additional measures to effectively combat violence against women and promote the participation of women in political life and their inse</w:t>
      </w:r>
      <w:r>
        <w:t>rtion in the professional life.</w:t>
      </w:r>
    </w:p>
  </w:endnote>
  <w:endnote w:id="103">
    <w:p w:rsidR="00347CAB" w:rsidRDefault="00347CAB" w:rsidP="00D408B1">
      <w:pPr>
        <w:pStyle w:val="EndnoteText"/>
        <w:widowControl w:val="0"/>
        <w:tabs>
          <w:tab w:val="clear" w:pos="1021"/>
          <w:tab w:val="right" w:pos="1020"/>
        </w:tabs>
      </w:pPr>
      <w:r>
        <w:tab/>
      </w:r>
      <w:r>
        <w:rPr>
          <w:rStyle w:val="EndnoteReference"/>
        </w:rPr>
        <w:endnoteRef/>
      </w:r>
      <w:r>
        <w:tab/>
      </w:r>
      <w:r w:rsidRPr="00D408B1">
        <w:t>Continue efforts, including by raising awareness, in order to prevent domestic violence and violence against women</w:t>
      </w:r>
      <w:r>
        <w:t>.</w:t>
      </w:r>
    </w:p>
  </w:endnote>
  <w:endnote w:id="104">
    <w:p w:rsidR="00347CAB" w:rsidRDefault="00347CAB" w:rsidP="00D408B1">
      <w:pPr>
        <w:pStyle w:val="EndnoteText"/>
        <w:widowControl w:val="0"/>
        <w:tabs>
          <w:tab w:val="clear" w:pos="1021"/>
          <w:tab w:val="right" w:pos="1020"/>
        </w:tabs>
      </w:pPr>
      <w:r>
        <w:tab/>
      </w:r>
      <w:r>
        <w:rPr>
          <w:rStyle w:val="EndnoteReference"/>
        </w:rPr>
        <w:endnoteRef/>
      </w:r>
      <w:r>
        <w:tab/>
      </w:r>
      <w:r w:rsidRPr="00D408B1">
        <w:t>Take concrete measures to protect child victims of sexual exploitation and prostitution</w:t>
      </w:r>
      <w:r>
        <w:t>.</w:t>
      </w:r>
    </w:p>
  </w:endnote>
  <w:endnote w:id="105">
    <w:p w:rsidR="00347CAB" w:rsidRDefault="00347CAB" w:rsidP="00D408B1">
      <w:pPr>
        <w:pStyle w:val="EndnoteText"/>
        <w:widowControl w:val="0"/>
        <w:tabs>
          <w:tab w:val="clear" w:pos="1021"/>
          <w:tab w:val="right" w:pos="1020"/>
        </w:tabs>
      </w:pPr>
      <w:r>
        <w:tab/>
      </w:r>
      <w:r>
        <w:rPr>
          <w:rStyle w:val="EndnoteReference"/>
        </w:rPr>
        <w:endnoteRef/>
      </w:r>
      <w:r>
        <w:tab/>
      </w:r>
      <w:r w:rsidRPr="00D408B1">
        <w:t>Adopt a comprehensive law on domestic violence</w:t>
      </w:r>
      <w:r>
        <w:t>.</w:t>
      </w:r>
    </w:p>
  </w:endnote>
  <w:endnote w:id="106">
    <w:p w:rsidR="00347CAB" w:rsidRDefault="00347CAB" w:rsidP="00D408B1">
      <w:pPr>
        <w:pStyle w:val="EndnoteText"/>
        <w:widowControl w:val="0"/>
        <w:tabs>
          <w:tab w:val="clear" w:pos="1021"/>
          <w:tab w:val="right" w:pos="1020"/>
        </w:tabs>
      </w:pPr>
      <w:r>
        <w:tab/>
      </w:r>
      <w:r>
        <w:rPr>
          <w:rStyle w:val="EndnoteReference"/>
        </w:rPr>
        <w:endnoteRef/>
      </w:r>
      <w:r>
        <w:tab/>
      </w:r>
      <w:r w:rsidRPr="00D408B1">
        <w:t>Consider adopting a law on domestic violence and criminalizing different types of violence against women</w:t>
      </w:r>
      <w:r>
        <w:t>.</w:t>
      </w:r>
    </w:p>
  </w:endnote>
  <w:endnote w:id="107">
    <w:p w:rsidR="00347CAB" w:rsidRDefault="00347CAB" w:rsidP="00D408B1">
      <w:pPr>
        <w:pStyle w:val="EndnoteText"/>
        <w:widowControl w:val="0"/>
        <w:tabs>
          <w:tab w:val="clear" w:pos="1021"/>
          <w:tab w:val="right" w:pos="1020"/>
        </w:tabs>
      </w:pPr>
      <w:r>
        <w:tab/>
      </w:r>
      <w:r>
        <w:rPr>
          <w:rStyle w:val="EndnoteReference"/>
        </w:rPr>
        <w:endnoteRef/>
      </w:r>
      <w:r>
        <w:tab/>
      </w:r>
      <w:r w:rsidRPr="00D408B1">
        <w:t>Promote public policies to prevent violence against women and girls, including domestic violence and sexual violence</w:t>
      </w:r>
      <w:r>
        <w:t>.</w:t>
      </w:r>
    </w:p>
  </w:endnote>
  <w:endnote w:id="108">
    <w:p w:rsidR="00347CAB" w:rsidRDefault="00347CAB" w:rsidP="00D408B1">
      <w:pPr>
        <w:pStyle w:val="EndnoteText"/>
        <w:widowControl w:val="0"/>
        <w:tabs>
          <w:tab w:val="clear" w:pos="1021"/>
          <w:tab w:val="right" w:pos="1020"/>
        </w:tabs>
      </w:pPr>
      <w:r>
        <w:tab/>
      </w:r>
      <w:r>
        <w:rPr>
          <w:rStyle w:val="EndnoteReference"/>
        </w:rPr>
        <w:endnoteRef/>
      </w:r>
      <w:r>
        <w:tab/>
      </w:r>
      <w:r w:rsidRPr="00D408B1">
        <w:t>Establish a law to criminalise all forms of violence against women</w:t>
      </w:r>
      <w:r>
        <w:t>.</w:t>
      </w:r>
    </w:p>
  </w:endnote>
  <w:endnote w:id="109">
    <w:p w:rsidR="00347CAB" w:rsidRDefault="00347CAB" w:rsidP="00D408B1">
      <w:pPr>
        <w:pStyle w:val="EndnoteText"/>
        <w:widowControl w:val="0"/>
        <w:tabs>
          <w:tab w:val="clear" w:pos="1021"/>
          <w:tab w:val="right" w:pos="1020"/>
        </w:tabs>
      </w:pPr>
      <w:r>
        <w:tab/>
      </w:r>
      <w:r>
        <w:rPr>
          <w:rStyle w:val="EndnoteReference"/>
        </w:rPr>
        <w:endnoteRef/>
      </w:r>
      <w:r>
        <w:tab/>
      </w:r>
      <w:r w:rsidRPr="00D408B1">
        <w:t xml:space="preserve">Define rape criminally based on the lack of voluntary consent in addition to </w:t>
      </w:r>
      <w:r w:rsidRPr="00D408B1">
        <w:rPr>
          <w:u w:val="single"/>
        </w:rPr>
        <w:t>reinforcing and making more accessible to v</w:t>
      </w:r>
      <w:r>
        <w:rPr>
          <w:u w:val="single"/>
        </w:rPr>
        <w:t>ictims the health care services.</w:t>
      </w:r>
    </w:p>
  </w:endnote>
  <w:endnote w:id="110">
    <w:p w:rsidR="00347CAB" w:rsidRDefault="00347CAB" w:rsidP="00E572B0">
      <w:pPr>
        <w:pStyle w:val="EndnoteText"/>
        <w:widowControl w:val="0"/>
        <w:tabs>
          <w:tab w:val="clear" w:pos="1021"/>
          <w:tab w:val="right" w:pos="1020"/>
        </w:tabs>
      </w:pPr>
      <w:r>
        <w:tab/>
      </w:r>
      <w:r>
        <w:rPr>
          <w:rStyle w:val="EndnoteReference"/>
        </w:rPr>
        <w:endnoteRef/>
      </w:r>
      <w:r>
        <w:tab/>
      </w:r>
      <w:r w:rsidRPr="00E572B0">
        <w:rPr>
          <w:u w:val="single"/>
        </w:rPr>
        <w:t>Criminalize different types of violence against women</w:t>
      </w:r>
      <w:r w:rsidRPr="00E572B0">
        <w:t>, to amend the Criminal Code to ensure that rape is defined accordi</w:t>
      </w:r>
      <w:r>
        <w:t>ng to the CEDAW recommendations.</w:t>
      </w:r>
    </w:p>
  </w:endnote>
  <w:endnote w:id="111">
    <w:p w:rsidR="00347CAB" w:rsidRDefault="00347CAB" w:rsidP="00E572B0">
      <w:pPr>
        <w:pStyle w:val="EndnoteText"/>
        <w:widowControl w:val="0"/>
        <w:tabs>
          <w:tab w:val="clear" w:pos="1021"/>
          <w:tab w:val="right" w:pos="1020"/>
        </w:tabs>
      </w:pPr>
      <w:r>
        <w:tab/>
      </w:r>
      <w:r>
        <w:rPr>
          <w:rStyle w:val="EndnoteReference"/>
        </w:rPr>
        <w:endnoteRef/>
      </w:r>
      <w:r>
        <w:tab/>
      </w:r>
      <w:r w:rsidRPr="00E572B0">
        <w:t>Continue to enhance access to sexual and reproductive health services for women, in particular women with disabilities, women with low income, women with HIV/AIDS, and women living in the rural areas</w:t>
      </w:r>
      <w:r>
        <w:t>.</w:t>
      </w:r>
    </w:p>
  </w:endnote>
  <w:endnote w:id="112">
    <w:p w:rsidR="00347CAB" w:rsidRDefault="00347CAB" w:rsidP="00E572B0">
      <w:pPr>
        <w:pStyle w:val="EndnoteText"/>
        <w:widowControl w:val="0"/>
        <w:tabs>
          <w:tab w:val="clear" w:pos="1021"/>
          <w:tab w:val="right" w:pos="1020"/>
        </w:tabs>
      </w:pPr>
      <w:r>
        <w:tab/>
      </w:r>
      <w:r>
        <w:rPr>
          <w:rStyle w:val="EndnoteReference"/>
        </w:rPr>
        <w:endnoteRef/>
      </w:r>
      <w:r>
        <w:tab/>
      </w:r>
      <w:r w:rsidRPr="00E572B0">
        <w:t>Enact laws and legislation aiming at combating human trafficking</w:t>
      </w:r>
      <w:r>
        <w:t>.</w:t>
      </w:r>
    </w:p>
  </w:endnote>
  <w:endnote w:id="113">
    <w:p w:rsidR="00347CAB" w:rsidRDefault="00347CAB" w:rsidP="00331844">
      <w:pPr>
        <w:pStyle w:val="EndnoteText"/>
        <w:widowControl w:val="0"/>
        <w:tabs>
          <w:tab w:val="clear" w:pos="1021"/>
          <w:tab w:val="right" w:pos="1020"/>
        </w:tabs>
      </w:pPr>
      <w:r>
        <w:tab/>
      </w:r>
      <w:r>
        <w:rPr>
          <w:rStyle w:val="EndnoteReference"/>
        </w:rPr>
        <w:endnoteRef/>
      </w:r>
      <w:r>
        <w:tab/>
      </w:r>
      <w:r w:rsidRPr="00331844">
        <w:t>Ensure the prosecution and punishment of perpetrators of human trafficking, and provide adequate assistance and protection services to victims</w:t>
      </w:r>
      <w:r>
        <w:t>.</w:t>
      </w:r>
    </w:p>
  </w:endnote>
  <w:endnote w:id="114">
    <w:p w:rsidR="00347CAB" w:rsidRDefault="00347CAB" w:rsidP="00331844">
      <w:pPr>
        <w:pStyle w:val="EndnoteText"/>
        <w:widowControl w:val="0"/>
        <w:tabs>
          <w:tab w:val="clear" w:pos="1021"/>
          <w:tab w:val="right" w:pos="1020"/>
        </w:tabs>
      </w:pPr>
      <w:r>
        <w:tab/>
      </w:r>
      <w:r>
        <w:rPr>
          <w:rStyle w:val="EndnoteReference"/>
        </w:rPr>
        <w:endnoteRef/>
      </w:r>
      <w:r>
        <w:tab/>
      </w:r>
      <w:r w:rsidRPr="00331844">
        <w:t>Continue its efforts in order to strengthen the protection of victims of trafficking</w:t>
      </w:r>
      <w:r>
        <w:t>.</w:t>
      </w:r>
    </w:p>
  </w:endnote>
  <w:endnote w:id="115">
    <w:p w:rsidR="00347CAB" w:rsidRDefault="00347CAB" w:rsidP="00331844">
      <w:pPr>
        <w:pStyle w:val="EndnoteText"/>
        <w:widowControl w:val="0"/>
        <w:tabs>
          <w:tab w:val="clear" w:pos="1021"/>
          <w:tab w:val="right" w:pos="1020"/>
        </w:tabs>
      </w:pPr>
      <w:r>
        <w:tab/>
      </w:r>
      <w:r>
        <w:rPr>
          <w:rStyle w:val="EndnoteReference"/>
        </w:rPr>
        <w:endnoteRef/>
      </w:r>
      <w:r>
        <w:tab/>
      </w:r>
      <w:r w:rsidRPr="00331844">
        <w:t>Take steps to reduce and prevent trafficking and provide adequate incentives and protection to victims</w:t>
      </w:r>
      <w:r>
        <w:t>.</w:t>
      </w:r>
    </w:p>
  </w:endnote>
  <w:endnote w:id="116">
    <w:p w:rsidR="00347CAB" w:rsidRDefault="00347CAB" w:rsidP="00331844">
      <w:pPr>
        <w:pStyle w:val="EndnoteText"/>
        <w:widowControl w:val="0"/>
        <w:tabs>
          <w:tab w:val="clear" w:pos="1021"/>
          <w:tab w:val="right" w:pos="1020"/>
        </w:tabs>
      </w:pPr>
      <w:r>
        <w:tab/>
      </w:r>
      <w:r>
        <w:rPr>
          <w:rStyle w:val="EndnoteReference"/>
        </w:rPr>
        <w:endnoteRef/>
      </w:r>
      <w:r>
        <w:tab/>
      </w:r>
      <w:r w:rsidRPr="00331844">
        <w:t>Take additional measures to combat trafficking in human beings</w:t>
      </w:r>
      <w:r>
        <w:t>.</w:t>
      </w:r>
    </w:p>
  </w:endnote>
  <w:endnote w:id="117">
    <w:p w:rsidR="00347CAB" w:rsidRDefault="00347CAB" w:rsidP="00331844">
      <w:pPr>
        <w:pStyle w:val="EndnoteText"/>
        <w:widowControl w:val="0"/>
        <w:tabs>
          <w:tab w:val="clear" w:pos="1021"/>
          <w:tab w:val="right" w:pos="1020"/>
        </w:tabs>
      </w:pPr>
      <w:r>
        <w:tab/>
      </w:r>
      <w:r>
        <w:rPr>
          <w:rStyle w:val="EndnoteReference"/>
        </w:rPr>
        <w:endnoteRef/>
      </w:r>
      <w:r>
        <w:tab/>
      </w:r>
      <w:r w:rsidRPr="00331844">
        <w:t>Intensify efforts to effectively prevent trafficking in women and girls and strengthen measures for the rehabilitation and social integration of victims of trafficking</w:t>
      </w:r>
      <w:r>
        <w:t>.</w:t>
      </w:r>
    </w:p>
  </w:endnote>
  <w:endnote w:id="118">
    <w:p w:rsidR="00347CAB" w:rsidRDefault="00347CAB" w:rsidP="00331844">
      <w:pPr>
        <w:pStyle w:val="EndnoteText"/>
        <w:widowControl w:val="0"/>
        <w:tabs>
          <w:tab w:val="clear" w:pos="1021"/>
          <w:tab w:val="right" w:pos="1020"/>
        </w:tabs>
      </w:pPr>
      <w:r>
        <w:tab/>
      </w:r>
      <w:r>
        <w:rPr>
          <w:rStyle w:val="EndnoteReference"/>
        </w:rPr>
        <w:endnoteRef/>
      </w:r>
      <w:r>
        <w:tab/>
      </w:r>
      <w:r w:rsidRPr="00331844">
        <w:t>Take measures to ensure the effective investigation and prosecution of human trafficking cases and establish remedy procedures for the victims</w:t>
      </w:r>
      <w:r>
        <w:t>.</w:t>
      </w:r>
    </w:p>
  </w:endnote>
  <w:endnote w:id="119">
    <w:p w:rsidR="00347CAB" w:rsidRDefault="00347CAB" w:rsidP="00331844">
      <w:pPr>
        <w:pStyle w:val="EndnoteText"/>
        <w:widowControl w:val="0"/>
        <w:tabs>
          <w:tab w:val="clear" w:pos="1021"/>
          <w:tab w:val="right" w:pos="1020"/>
        </w:tabs>
      </w:pPr>
      <w:r>
        <w:tab/>
      </w:r>
      <w:r>
        <w:rPr>
          <w:rStyle w:val="EndnoteReference"/>
        </w:rPr>
        <w:endnoteRef/>
      </w:r>
      <w:r>
        <w:tab/>
      </w:r>
      <w:r w:rsidRPr="00331844">
        <w:t>Strengthen mechanisms to prevent the trafficking in boys and girls and provide the support needed for victims of trafficking to be reintegrated into society</w:t>
      </w:r>
      <w:r>
        <w:t>.</w:t>
      </w:r>
    </w:p>
  </w:endnote>
  <w:endnote w:id="120">
    <w:p w:rsidR="00347CAB" w:rsidRDefault="00347CAB" w:rsidP="00331844">
      <w:pPr>
        <w:pStyle w:val="EndnoteText"/>
        <w:widowControl w:val="0"/>
        <w:tabs>
          <w:tab w:val="clear" w:pos="1021"/>
          <w:tab w:val="right" w:pos="1020"/>
        </w:tabs>
      </w:pPr>
      <w:r>
        <w:tab/>
      </w:r>
      <w:r>
        <w:rPr>
          <w:rStyle w:val="EndnoteReference"/>
        </w:rPr>
        <w:endnoteRef/>
      </w:r>
      <w:r>
        <w:tab/>
      </w:r>
      <w:r w:rsidRPr="00331844">
        <w:t>Strengthen efforts to provide access to education, labour market and public life for persons with disabilities</w:t>
      </w:r>
      <w:r>
        <w:t>.</w:t>
      </w:r>
    </w:p>
  </w:endnote>
  <w:endnote w:id="121">
    <w:p w:rsidR="00347CAB" w:rsidRDefault="00347CAB" w:rsidP="00331844">
      <w:pPr>
        <w:pStyle w:val="EndnoteText"/>
        <w:widowControl w:val="0"/>
        <w:tabs>
          <w:tab w:val="clear" w:pos="1021"/>
          <w:tab w:val="right" w:pos="1020"/>
        </w:tabs>
      </w:pPr>
      <w:r>
        <w:tab/>
      </w:r>
      <w:r>
        <w:rPr>
          <w:rStyle w:val="EndnoteReference"/>
        </w:rPr>
        <w:endnoteRef/>
      </w:r>
      <w:r>
        <w:tab/>
      </w:r>
      <w:r w:rsidRPr="00331844">
        <w:t>Continue the path regarding positive results achieved in ensuring the rights and equal opportunities of persons with disabilities by, inter alia, allocating sufficient resources for the development of an inclusive education system for children with disabilities and providing sufficient and adequate support services in local communities to enable persons with disabilities to li</w:t>
      </w:r>
      <w:r>
        <w:t>ve independently.</w:t>
      </w:r>
    </w:p>
  </w:endnote>
  <w:endnote w:id="122">
    <w:p w:rsidR="00347CAB" w:rsidRDefault="00347CAB" w:rsidP="00331844">
      <w:pPr>
        <w:pStyle w:val="EndnoteText"/>
        <w:widowControl w:val="0"/>
        <w:tabs>
          <w:tab w:val="clear" w:pos="1021"/>
          <w:tab w:val="right" w:pos="1020"/>
        </w:tabs>
      </w:pPr>
      <w:r>
        <w:tab/>
      </w:r>
      <w:r>
        <w:rPr>
          <w:rStyle w:val="EndnoteReference"/>
        </w:rPr>
        <w:endnoteRef/>
      </w:r>
      <w:r>
        <w:tab/>
      </w:r>
      <w:r w:rsidRPr="00331844">
        <w:t>Consolidate programmes to ensure a system of inclusive education for children with disabilities throughout the country</w:t>
      </w:r>
      <w:r>
        <w:t>.</w:t>
      </w:r>
    </w:p>
  </w:endnote>
  <w:endnote w:id="123">
    <w:p w:rsidR="00347CAB" w:rsidRDefault="00347CAB" w:rsidP="00331844">
      <w:pPr>
        <w:pStyle w:val="EndnoteText"/>
        <w:widowControl w:val="0"/>
        <w:tabs>
          <w:tab w:val="clear" w:pos="1021"/>
          <w:tab w:val="right" w:pos="1020"/>
        </w:tabs>
      </w:pPr>
      <w:r>
        <w:tab/>
      </w:r>
      <w:r>
        <w:rPr>
          <w:rStyle w:val="EndnoteReference"/>
        </w:rPr>
        <w:endnoteRef/>
      </w:r>
      <w:r>
        <w:tab/>
      </w:r>
      <w:r w:rsidRPr="00331844">
        <w:t>Take further measures to improve access of persons with disabilities to social, economic and cultural life and combat discrimination on the grounds of disability</w:t>
      </w:r>
      <w:r>
        <w:t>.</w:t>
      </w:r>
    </w:p>
  </w:endnote>
  <w:endnote w:id="124">
    <w:p w:rsidR="00347CAB" w:rsidRDefault="00347CAB" w:rsidP="00331844">
      <w:pPr>
        <w:pStyle w:val="EndnoteText"/>
        <w:widowControl w:val="0"/>
        <w:tabs>
          <w:tab w:val="clear" w:pos="1021"/>
          <w:tab w:val="right" w:pos="1020"/>
        </w:tabs>
      </w:pPr>
      <w:r>
        <w:tab/>
      </w:r>
      <w:r>
        <w:rPr>
          <w:rStyle w:val="EndnoteReference"/>
        </w:rPr>
        <w:endnoteRef/>
      </w:r>
      <w:r>
        <w:tab/>
      </w:r>
      <w:r w:rsidRPr="00331844">
        <w:t>Adopt measures in order for any health decision to depend upon the free and informed consent of the concerned disabled person</w:t>
      </w:r>
      <w:r>
        <w:t>.</w:t>
      </w:r>
    </w:p>
  </w:endnote>
  <w:endnote w:id="125">
    <w:p w:rsidR="00347CAB" w:rsidRDefault="00347CAB" w:rsidP="00331844">
      <w:pPr>
        <w:pStyle w:val="EndnoteText"/>
        <w:widowControl w:val="0"/>
        <w:tabs>
          <w:tab w:val="clear" w:pos="1021"/>
          <w:tab w:val="right" w:pos="1020"/>
        </w:tabs>
      </w:pPr>
      <w:r>
        <w:tab/>
      </w:r>
      <w:r>
        <w:rPr>
          <w:rStyle w:val="EndnoteReference"/>
        </w:rPr>
        <w:endnoteRef/>
      </w:r>
      <w:r>
        <w:tab/>
      </w:r>
      <w:r w:rsidRPr="00331844">
        <w:t xml:space="preserve">Review all relevant legislations, including the State’s new Fundamental Law to ensure that all persons with disabilities have a right to </w:t>
      </w:r>
      <w:proofErr w:type="gramStart"/>
      <w:r w:rsidRPr="00331844">
        <w:t>vote,</w:t>
      </w:r>
      <w:proofErr w:type="gramEnd"/>
      <w:r w:rsidRPr="00331844">
        <w:t xml:space="preserve"> and that they can participate in political and public life on an equal basis with others</w:t>
      </w:r>
      <w:r>
        <w:t>.</w:t>
      </w:r>
    </w:p>
  </w:endnote>
  <w:endnote w:id="126">
    <w:p w:rsidR="00347CAB" w:rsidRDefault="00347CAB" w:rsidP="00331844">
      <w:pPr>
        <w:pStyle w:val="EndnoteText"/>
        <w:widowControl w:val="0"/>
        <w:tabs>
          <w:tab w:val="clear" w:pos="1021"/>
          <w:tab w:val="right" w:pos="1020"/>
        </w:tabs>
      </w:pPr>
      <w:r>
        <w:tab/>
      </w:r>
      <w:r>
        <w:rPr>
          <w:rStyle w:val="EndnoteReference"/>
        </w:rPr>
        <w:endnoteRef/>
      </w:r>
      <w:r>
        <w:tab/>
      </w:r>
      <w:r w:rsidRPr="00331844">
        <w:t>Review legislations to ensure that all persons with disabilities have a right to vote, and that they can participate in political and public life</w:t>
      </w:r>
      <w:r>
        <w:t>.</w:t>
      </w:r>
    </w:p>
  </w:endnote>
  <w:endnote w:id="127">
    <w:p w:rsidR="00347CAB" w:rsidRDefault="00347CAB" w:rsidP="00331844">
      <w:pPr>
        <w:pStyle w:val="EndnoteText"/>
        <w:widowControl w:val="0"/>
        <w:tabs>
          <w:tab w:val="clear" w:pos="1021"/>
          <w:tab w:val="right" w:pos="1020"/>
        </w:tabs>
      </w:pPr>
      <w:r>
        <w:tab/>
      </w:r>
      <w:r>
        <w:rPr>
          <w:rStyle w:val="EndnoteReference"/>
        </w:rPr>
        <w:endnoteRef/>
      </w:r>
      <w:r>
        <w:tab/>
      </w:r>
      <w:r w:rsidRPr="00331844">
        <w:t>Adopt and implement a comprehensive strategy and action plan to tackle discrimination based on sexual orientation and gender identity</w:t>
      </w:r>
      <w:r>
        <w:t>.</w:t>
      </w:r>
    </w:p>
  </w:endnote>
  <w:endnote w:id="128">
    <w:p w:rsidR="00347CAB" w:rsidRDefault="00347CAB" w:rsidP="00331844">
      <w:pPr>
        <w:pStyle w:val="EndnoteText"/>
        <w:widowControl w:val="0"/>
        <w:tabs>
          <w:tab w:val="clear" w:pos="1021"/>
          <w:tab w:val="right" w:pos="1020"/>
        </w:tabs>
      </w:pPr>
      <w:r>
        <w:tab/>
      </w:r>
      <w:r>
        <w:rPr>
          <w:rStyle w:val="EndnoteReference"/>
        </w:rPr>
        <w:endnoteRef/>
      </w:r>
      <w:r>
        <w:tab/>
      </w:r>
      <w:r w:rsidRPr="00331844">
        <w:t>Adopt a strategy and a comprehensive plan of action to counter discrimination based on sexual orientation and gender identity</w:t>
      </w:r>
      <w:r>
        <w:t>.</w:t>
      </w:r>
    </w:p>
  </w:endnote>
  <w:endnote w:id="129">
    <w:p w:rsidR="00347CAB" w:rsidRDefault="00347CAB" w:rsidP="00331844">
      <w:pPr>
        <w:pStyle w:val="EndnoteText"/>
        <w:widowControl w:val="0"/>
        <w:tabs>
          <w:tab w:val="clear" w:pos="1021"/>
          <w:tab w:val="right" w:pos="1020"/>
        </w:tabs>
      </w:pPr>
      <w:r>
        <w:tab/>
      </w:r>
      <w:r>
        <w:rPr>
          <w:rStyle w:val="EndnoteReference"/>
        </w:rPr>
        <w:endnoteRef/>
      </w:r>
      <w:r>
        <w:tab/>
      </w:r>
      <w:r w:rsidRPr="00331844">
        <w:t xml:space="preserve">Take comprehensive measures to counter discrimination on the grounds of sexual </w:t>
      </w:r>
      <w:r>
        <w:t>orientation and gender identity.</w:t>
      </w:r>
    </w:p>
  </w:endnote>
  <w:endnote w:id="130">
    <w:p w:rsidR="00347CAB" w:rsidRDefault="00347CAB" w:rsidP="00331844">
      <w:pPr>
        <w:pStyle w:val="EndnoteText"/>
        <w:widowControl w:val="0"/>
        <w:tabs>
          <w:tab w:val="clear" w:pos="1021"/>
          <w:tab w:val="right" w:pos="1020"/>
        </w:tabs>
      </w:pPr>
      <w:r>
        <w:tab/>
      </w:r>
      <w:r>
        <w:rPr>
          <w:rStyle w:val="EndnoteReference"/>
        </w:rPr>
        <w:endnoteRef/>
      </w:r>
      <w:r>
        <w:tab/>
      </w:r>
      <w:r w:rsidRPr="00331844">
        <w:t>Fight against discrimination based on the origin, gender and sexual orientation, by continuing its efforts in the implementation of the existing instruments</w:t>
      </w:r>
      <w:r>
        <w:t>.</w:t>
      </w:r>
    </w:p>
  </w:endnote>
  <w:endnote w:id="131">
    <w:p w:rsidR="00347CAB" w:rsidRDefault="00347CAB" w:rsidP="00331844">
      <w:pPr>
        <w:pStyle w:val="EndnoteText"/>
        <w:widowControl w:val="0"/>
        <w:tabs>
          <w:tab w:val="clear" w:pos="1021"/>
          <w:tab w:val="right" w:pos="1020"/>
        </w:tabs>
      </w:pPr>
      <w:r>
        <w:tab/>
      </w:r>
      <w:r>
        <w:rPr>
          <w:rStyle w:val="EndnoteReference"/>
        </w:rPr>
        <w:endnoteRef/>
      </w:r>
      <w:r>
        <w:tab/>
      </w:r>
      <w:r w:rsidRPr="00331844">
        <w:t>Adopt a comprehensive strategy in order to combat discrimination based on sexual orientation and gender identity</w:t>
      </w:r>
      <w:r>
        <w:t>.</w:t>
      </w:r>
    </w:p>
  </w:endnote>
  <w:endnote w:id="132">
    <w:p w:rsidR="00347CAB" w:rsidRDefault="00347CAB" w:rsidP="00331844">
      <w:pPr>
        <w:pStyle w:val="EndnoteText"/>
        <w:widowControl w:val="0"/>
        <w:tabs>
          <w:tab w:val="clear" w:pos="1021"/>
          <w:tab w:val="right" w:pos="1020"/>
        </w:tabs>
      </w:pPr>
      <w:r>
        <w:tab/>
      </w:r>
      <w:r>
        <w:rPr>
          <w:rStyle w:val="EndnoteReference"/>
        </w:rPr>
        <w:endnoteRef/>
      </w:r>
      <w:r>
        <w:tab/>
      </w:r>
      <w:r w:rsidRPr="00331844">
        <w:t>Provide adequate resources and functional independence to the Equal Treatment Authority</w:t>
      </w:r>
      <w:r>
        <w:t>.</w:t>
      </w:r>
    </w:p>
  </w:endnote>
  <w:endnote w:id="133">
    <w:p w:rsidR="00347CAB" w:rsidRDefault="00347CAB" w:rsidP="00331844">
      <w:pPr>
        <w:pStyle w:val="EndnoteText"/>
        <w:widowControl w:val="0"/>
        <w:tabs>
          <w:tab w:val="clear" w:pos="1021"/>
          <w:tab w:val="right" w:pos="1020"/>
        </w:tabs>
      </w:pPr>
      <w:r>
        <w:tab/>
      </w:r>
      <w:r>
        <w:rPr>
          <w:rStyle w:val="EndnoteReference"/>
        </w:rPr>
        <w:endnoteRef/>
      </w:r>
      <w:r>
        <w:tab/>
      </w:r>
      <w:r w:rsidRPr="00331844">
        <w:t>Adopt measures to comply with provisions of the new Constitution including on combating discrimination and ensuring equal participation in political and public affairs by all citizens</w:t>
      </w:r>
      <w:r>
        <w:t>.</w:t>
      </w:r>
    </w:p>
  </w:endnote>
  <w:endnote w:id="134">
    <w:p w:rsidR="00347CAB" w:rsidRDefault="00347CAB" w:rsidP="00331844">
      <w:pPr>
        <w:pStyle w:val="EndnoteText"/>
        <w:widowControl w:val="0"/>
        <w:tabs>
          <w:tab w:val="clear" w:pos="1021"/>
          <w:tab w:val="right" w:pos="1020"/>
        </w:tabs>
      </w:pPr>
      <w:r>
        <w:tab/>
      </w:r>
      <w:r>
        <w:rPr>
          <w:rStyle w:val="EndnoteReference"/>
        </w:rPr>
        <w:endnoteRef/>
      </w:r>
      <w:r>
        <w:tab/>
      </w:r>
      <w:r w:rsidRPr="00331844">
        <w:t>Enact comprehensive legislation that fully guarantees the application of the principle of non-discrimination and to ensure the full enjoyment of all human rights by every member of society</w:t>
      </w:r>
      <w:r>
        <w:t>.</w:t>
      </w:r>
    </w:p>
  </w:endnote>
  <w:endnote w:id="135">
    <w:p w:rsidR="00347CAB" w:rsidRDefault="00347CAB" w:rsidP="00331844">
      <w:pPr>
        <w:pStyle w:val="EndnoteText"/>
        <w:widowControl w:val="0"/>
        <w:tabs>
          <w:tab w:val="clear" w:pos="1021"/>
          <w:tab w:val="right" w:pos="1020"/>
        </w:tabs>
      </w:pPr>
      <w:r>
        <w:tab/>
      </w:r>
      <w:r>
        <w:rPr>
          <w:rStyle w:val="EndnoteReference"/>
        </w:rPr>
        <w:endnoteRef/>
      </w:r>
      <w:r>
        <w:tab/>
      </w:r>
      <w:r w:rsidRPr="00331844">
        <w:t>Provide the national mechanism for the promotion of gender equality of adequate human and financial resources to enable it to</w:t>
      </w:r>
      <w:r>
        <w:t xml:space="preserve"> effectively fulfil its mandate.</w:t>
      </w:r>
    </w:p>
  </w:endnote>
  <w:endnote w:id="136">
    <w:p w:rsidR="00347CAB" w:rsidRDefault="00347CAB" w:rsidP="00331844">
      <w:pPr>
        <w:pStyle w:val="EndnoteText"/>
        <w:widowControl w:val="0"/>
        <w:tabs>
          <w:tab w:val="clear" w:pos="1021"/>
          <w:tab w:val="right" w:pos="1020"/>
        </w:tabs>
      </w:pPr>
      <w:r>
        <w:tab/>
      </w:r>
      <w:r>
        <w:rPr>
          <w:rStyle w:val="EndnoteReference"/>
        </w:rPr>
        <w:endnoteRef/>
      </w:r>
      <w:r>
        <w:tab/>
      </w:r>
      <w:r w:rsidRPr="00331844">
        <w:t>Continue efforts in following up and monitoring any discrimination based on sex, race or any other form</w:t>
      </w:r>
      <w:r>
        <w:t>.</w:t>
      </w:r>
    </w:p>
  </w:endnote>
  <w:endnote w:id="137">
    <w:p w:rsidR="00347CAB" w:rsidRDefault="00347CAB" w:rsidP="00331844">
      <w:pPr>
        <w:pStyle w:val="EndnoteText"/>
        <w:widowControl w:val="0"/>
        <w:tabs>
          <w:tab w:val="clear" w:pos="1021"/>
          <w:tab w:val="right" w:pos="1020"/>
        </w:tabs>
      </w:pPr>
      <w:r>
        <w:tab/>
      </w:r>
      <w:r>
        <w:rPr>
          <w:rStyle w:val="EndnoteReference"/>
        </w:rPr>
        <w:endnoteRef/>
      </w:r>
      <w:r>
        <w:tab/>
      </w:r>
      <w:r w:rsidRPr="00331844">
        <w:t xml:space="preserve">Children’s Centres, </w:t>
      </w:r>
      <w:proofErr w:type="spellStart"/>
      <w:r w:rsidRPr="00331844">
        <w:t>Tanoda</w:t>
      </w:r>
      <w:proofErr w:type="spellEnd"/>
      <w:r w:rsidRPr="00331844">
        <w:t xml:space="preserve"> network, Integrated Pedagogical System, For the Road program, Network of Christian Roma Vocational Boarding Schools. The Hungarian social land program, which is unique in European social policy, has been remodelled and expanded in 2015. Numerous measures/programs for the Roma women are in place: Woman is the chance, Roma girls (preventing early school leaving), support Roma women NGOs, improving the health of Roma girls and decreasing the likelihood of their victimization, the Network of Family, Equal Opportunity and Volunteer Houses will be upheld continuously with the primary aim of promoting social tolerance and diversity</w:t>
      </w:r>
      <w:r>
        <w:t>.</w:t>
      </w:r>
    </w:p>
  </w:endnote>
  <w:endnote w:id="138">
    <w:p w:rsidR="00347CAB" w:rsidRDefault="00347CAB" w:rsidP="00331844">
      <w:pPr>
        <w:pStyle w:val="EndnoteText"/>
        <w:widowControl w:val="0"/>
        <w:tabs>
          <w:tab w:val="clear" w:pos="1021"/>
          <w:tab w:val="right" w:pos="1020"/>
        </w:tabs>
      </w:pPr>
      <w:r>
        <w:tab/>
      </w:r>
      <w:r>
        <w:rPr>
          <w:rStyle w:val="EndnoteReference"/>
        </w:rPr>
        <w:endnoteRef/>
      </w:r>
      <w:r>
        <w:tab/>
      </w:r>
      <w:r w:rsidRPr="00331844">
        <w:t>Continue to implement National Social Inclusion Strategy</w:t>
      </w:r>
      <w:r>
        <w:t>.</w:t>
      </w:r>
    </w:p>
  </w:endnote>
  <w:endnote w:id="139">
    <w:p w:rsidR="00347CAB" w:rsidRDefault="00347CAB" w:rsidP="00331844">
      <w:pPr>
        <w:pStyle w:val="EndnoteText"/>
        <w:widowControl w:val="0"/>
        <w:tabs>
          <w:tab w:val="clear" w:pos="1021"/>
          <w:tab w:val="right" w:pos="1020"/>
        </w:tabs>
      </w:pPr>
      <w:r>
        <w:tab/>
      </w:r>
      <w:r>
        <w:rPr>
          <w:rStyle w:val="EndnoteReference"/>
        </w:rPr>
        <w:endnoteRef/>
      </w:r>
      <w:r>
        <w:tab/>
      </w:r>
      <w:r w:rsidRPr="00331844">
        <w:t>Take all the necessary measures to fully implement the National Social Inclusion Strategy</w:t>
      </w:r>
      <w:r>
        <w:t>.</w:t>
      </w:r>
    </w:p>
  </w:endnote>
  <w:endnote w:id="140">
    <w:p w:rsidR="00347CAB" w:rsidRDefault="00347CAB" w:rsidP="00331844">
      <w:pPr>
        <w:pStyle w:val="EndnoteText"/>
        <w:widowControl w:val="0"/>
        <w:tabs>
          <w:tab w:val="clear" w:pos="1021"/>
          <w:tab w:val="right" w:pos="1020"/>
        </w:tabs>
      </w:pPr>
      <w:r>
        <w:tab/>
      </w:r>
      <w:r>
        <w:rPr>
          <w:rStyle w:val="EndnoteReference"/>
        </w:rPr>
        <w:endnoteRef/>
      </w:r>
      <w:r>
        <w:tab/>
      </w:r>
      <w:r w:rsidRPr="00331844">
        <w:t>Take effective measures to address the needs of women belonging to minorities, such as Roma women, in order to eliminate all forms of discrimination against them</w:t>
      </w:r>
      <w:r>
        <w:t>.</w:t>
      </w:r>
    </w:p>
  </w:endnote>
  <w:endnote w:id="141">
    <w:p w:rsidR="00347CAB" w:rsidRDefault="00347CAB" w:rsidP="00331844">
      <w:pPr>
        <w:pStyle w:val="EndnoteText"/>
        <w:widowControl w:val="0"/>
        <w:tabs>
          <w:tab w:val="clear" w:pos="1021"/>
          <w:tab w:val="right" w:pos="1020"/>
        </w:tabs>
      </w:pPr>
      <w:r>
        <w:tab/>
      </w:r>
      <w:r>
        <w:rPr>
          <w:rStyle w:val="EndnoteReference"/>
        </w:rPr>
        <w:endnoteRef/>
      </w:r>
      <w:r>
        <w:tab/>
      </w:r>
      <w:r w:rsidRPr="00331844">
        <w:t>Address the discriminatory situation of women belonging to minorities, including Roma women</w:t>
      </w:r>
      <w:r>
        <w:t>.</w:t>
      </w:r>
    </w:p>
  </w:endnote>
  <w:endnote w:id="142">
    <w:p w:rsidR="00347CAB" w:rsidRDefault="00347CAB" w:rsidP="00331844">
      <w:pPr>
        <w:pStyle w:val="EndnoteText"/>
        <w:widowControl w:val="0"/>
        <w:tabs>
          <w:tab w:val="clear" w:pos="1021"/>
          <w:tab w:val="right" w:pos="1020"/>
        </w:tabs>
      </w:pPr>
      <w:r>
        <w:tab/>
      </w:r>
      <w:r>
        <w:rPr>
          <w:rStyle w:val="EndnoteReference"/>
        </w:rPr>
        <w:endnoteRef/>
      </w:r>
      <w:r>
        <w:tab/>
      </w:r>
      <w:r w:rsidRPr="00331844">
        <w:t>Continue the implementation of Roma integration policies in all social economic cultural political and educational sectors</w:t>
      </w:r>
      <w:r>
        <w:t>.</w:t>
      </w:r>
    </w:p>
  </w:endnote>
  <w:endnote w:id="143">
    <w:p w:rsidR="00347CAB" w:rsidRDefault="00347CAB" w:rsidP="00331844">
      <w:pPr>
        <w:pStyle w:val="EndnoteText"/>
        <w:widowControl w:val="0"/>
        <w:tabs>
          <w:tab w:val="clear" w:pos="1021"/>
          <w:tab w:val="right" w:pos="1020"/>
        </w:tabs>
      </w:pPr>
      <w:r>
        <w:tab/>
      </w:r>
      <w:r>
        <w:rPr>
          <w:rStyle w:val="EndnoteReference"/>
        </w:rPr>
        <w:endnoteRef/>
      </w:r>
      <w:r>
        <w:tab/>
      </w:r>
      <w:r w:rsidRPr="00331844">
        <w:t xml:space="preserve">Implement a comprehensive plan of action envisaged to protect the rights and improve the life conditions of women and children </w:t>
      </w:r>
      <w:r>
        <w:t>pertaining to ethnic minorities.</w:t>
      </w:r>
    </w:p>
  </w:endnote>
  <w:endnote w:id="144">
    <w:p w:rsidR="00347CAB" w:rsidRDefault="00347CAB" w:rsidP="00331844">
      <w:pPr>
        <w:pStyle w:val="EndnoteText"/>
        <w:widowControl w:val="0"/>
        <w:tabs>
          <w:tab w:val="clear" w:pos="1021"/>
          <w:tab w:val="right" w:pos="1020"/>
        </w:tabs>
      </w:pPr>
      <w:r>
        <w:tab/>
      </w:r>
      <w:r>
        <w:rPr>
          <w:rStyle w:val="EndnoteReference"/>
        </w:rPr>
        <w:endnoteRef/>
      </w:r>
      <w:r>
        <w:tab/>
      </w:r>
      <w:r w:rsidRPr="00331844">
        <w:t>Step up the efforts to combat all forms of discrimination and favour equality of opportunities and treatment, with special care and attention to those who are in a more vulnerable situation, such as persons belonging to the Roma community</w:t>
      </w:r>
      <w:r>
        <w:t>.</w:t>
      </w:r>
    </w:p>
  </w:endnote>
  <w:endnote w:id="145">
    <w:p w:rsidR="00347CAB" w:rsidRDefault="00347CAB" w:rsidP="00331844">
      <w:pPr>
        <w:pStyle w:val="EndnoteText"/>
        <w:widowControl w:val="0"/>
        <w:tabs>
          <w:tab w:val="clear" w:pos="1021"/>
          <w:tab w:val="right" w:pos="1020"/>
        </w:tabs>
      </w:pPr>
      <w:r>
        <w:tab/>
      </w:r>
      <w:r>
        <w:rPr>
          <w:rStyle w:val="EndnoteReference"/>
        </w:rPr>
        <w:endnoteRef/>
      </w:r>
      <w:r>
        <w:tab/>
      </w:r>
      <w:r w:rsidRPr="00331844">
        <w:t>Undertake further steps to promote efforts to overcome residual social discrimination against Roma and other ethnic minorities</w:t>
      </w:r>
      <w:r>
        <w:t>.</w:t>
      </w:r>
    </w:p>
  </w:endnote>
  <w:endnote w:id="146">
    <w:p w:rsidR="00347CAB" w:rsidRDefault="00347CAB" w:rsidP="001F3E59">
      <w:pPr>
        <w:pStyle w:val="EndnoteText"/>
        <w:widowControl w:val="0"/>
        <w:tabs>
          <w:tab w:val="clear" w:pos="1021"/>
          <w:tab w:val="right" w:pos="1020"/>
        </w:tabs>
      </w:pPr>
      <w:r>
        <w:tab/>
      </w:r>
      <w:r>
        <w:rPr>
          <w:rStyle w:val="EndnoteReference"/>
        </w:rPr>
        <w:endnoteRef/>
      </w:r>
      <w:r>
        <w:tab/>
      </w:r>
      <w:r w:rsidRPr="001F3E59">
        <w:t xml:space="preserve">Intensify efforts to combat discrimination and ill-treatment of Roma and eliminate segregation of Roma </w:t>
      </w:r>
      <w:r>
        <w:t>girls in the educational system.</w:t>
      </w:r>
    </w:p>
  </w:endnote>
  <w:endnote w:id="147">
    <w:p w:rsidR="00347CAB" w:rsidRDefault="00347CAB" w:rsidP="001F3E59">
      <w:pPr>
        <w:pStyle w:val="EndnoteText"/>
        <w:widowControl w:val="0"/>
        <w:tabs>
          <w:tab w:val="clear" w:pos="1021"/>
          <w:tab w:val="right" w:pos="1020"/>
        </w:tabs>
      </w:pPr>
      <w:r>
        <w:tab/>
      </w:r>
      <w:r>
        <w:rPr>
          <w:rStyle w:val="EndnoteReference"/>
        </w:rPr>
        <w:endnoteRef/>
      </w:r>
      <w:r>
        <w:tab/>
      </w:r>
      <w:r w:rsidRPr="001F3E59">
        <w:t>Include specific components in public policies and budgets to address the needs of persons belonging to minorities, including Roma women and children</w:t>
      </w:r>
      <w:r>
        <w:t>.</w:t>
      </w:r>
    </w:p>
  </w:endnote>
  <w:endnote w:id="148">
    <w:p w:rsidR="00347CAB" w:rsidRDefault="00347CAB" w:rsidP="001F3E59">
      <w:pPr>
        <w:pStyle w:val="EndnoteText"/>
        <w:widowControl w:val="0"/>
        <w:tabs>
          <w:tab w:val="clear" w:pos="1021"/>
          <w:tab w:val="right" w:pos="1020"/>
        </w:tabs>
      </w:pPr>
      <w:r>
        <w:tab/>
      </w:r>
      <w:r>
        <w:rPr>
          <w:rStyle w:val="EndnoteReference"/>
        </w:rPr>
        <w:endnoteRef/>
      </w:r>
      <w:r>
        <w:tab/>
      </w:r>
      <w:r w:rsidRPr="001F3E59">
        <w:t>Adopt more policies and allocate more resources specifically directed towards Roma women and children</w:t>
      </w:r>
      <w:r>
        <w:t>.</w:t>
      </w:r>
    </w:p>
  </w:endnote>
  <w:endnote w:id="149">
    <w:p w:rsidR="00347CAB" w:rsidRDefault="00347CAB" w:rsidP="001F3E59">
      <w:pPr>
        <w:pStyle w:val="EndnoteText"/>
        <w:widowControl w:val="0"/>
        <w:tabs>
          <w:tab w:val="clear" w:pos="1021"/>
          <w:tab w:val="right" w:pos="1020"/>
        </w:tabs>
      </w:pPr>
      <w:r>
        <w:tab/>
      </w:r>
      <w:r>
        <w:rPr>
          <w:rStyle w:val="EndnoteReference"/>
        </w:rPr>
        <w:endnoteRef/>
      </w:r>
      <w:r>
        <w:tab/>
      </w:r>
      <w:r w:rsidRPr="001F3E59">
        <w:t>Take further steps to address root causes that affect the rights of women belonging to disadvantaged groups</w:t>
      </w:r>
      <w:r>
        <w:t>.</w:t>
      </w:r>
    </w:p>
  </w:endnote>
  <w:endnote w:id="150">
    <w:p w:rsidR="00347CAB" w:rsidRDefault="00347CAB" w:rsidP="001F3E59">
      <w:pPr>
        <w:pStyle w:val="EndnoteText"/>
        <w:widowControl w:val="0"/>
        <w:tabs>
          <w:tab w:val="clear" w:pos="1021"/>
          <w:tab w:val="right" w:pos="1020"/>
        </w:tabs>
      </w:pPr>
      <w:r>
        <w:tab/>
      </w:r>
      <w:r>
        <w:rPr>
          <w:rStyle w:val="EndnoteReference"/>
        </w:rPr>
        <w:endnoteRef/>
      </w:r>
      <w:r>
        <w:tab/>
      </w:r>
      <w:r w:rsidRPr="001F3E59">
        <w:rPr>
          <w:u w:val="single"/>
        </w:rPr>
        <w:t>Take effective steps to end discrimination against Roma in education</w:t>
      </w:r>
      <w:r w:rsidRPr="001F3E59">
        <w:t xml:space="preserve">, health, </w:t>
      </w:r>
      <w:r w:rsidRPr="001F3E59">
        <w:rPr>
          <w:u w:val="single"/>
        </w:rPr>
        <w:t>employment, housing and access to services with a special focus on ending continued segregation of Roma children at schools</w:t>
      </w:r>
      <w:r>
        <w:rPr>
          <w:u w:val="single"/>
        </w:rPr>
        <w:t>.</w:t>
      </w:r>
    </w:p>
  </w:endnote>
  <w:endnote w:id="151">
    <w:p w:rsidR="00347CAB" w:rsidRDefault="00347CAB" w:rsidP="001F3E59">
      <w:pPr>
        <w:pStyle w:val="EndnoteText"/>
        <w:widowControl w:val="0"/>
        <w:tabs>
          <w:tab w:val="clear" w:pos="1021"/>
          <w:tab w:val="right" w:pos="1020"/>
        </w:tabs>
      </w:pPr>
      <w:r>
        <w:tab/>
      </w:r>
      <w:r>
        <w:rPr>
          <w:rStyle w:val="EndnoteReference"/>
        </w:rPr>
        <w:endnoteRef/>
      </w:r>
      <w:r>
        <w:tab/>
      </w:r>
      <w:r w:rsidRPr="001F3E59">
        <w:rPr>
          <w:u w:val="single"/>
        </w:rPr>
        <w:t xml:space="preserve">Step up efforts to effectively prevent and combat discrimination of persons belonging to national minorities, in particular regarding their access to education </w:t>
      </w:r>
      <w:r w:rsidRPr="001F3E59">
        <w:t>and health care</w:t>
      </w:r>
      <w:r>
        <w:t>.</w:t>
      </w:r>
    </w:p>
  </w:endnote>
  <w:endnote w:id="152">
    <w:p w:rsidR="00347CAB" w:rsidRDefault="00347CAB" w:rsidP="001F3E59">
      <w:pPr>
        <w:pStyle w:val="EndnoteText"/>
        <w:widowControl w:val="0"/>
        <w:tabs>
          <w:tab w:val="clear" w:pos="1021"/>
          <w:tab w:val="right" w:pos="1020"/>
        </w:tabs>
      </w:pPr>
      <w:r>
        <w:tab/>
      </w:r>
      <w:r>
        <w:rPr>
          <w:rStyle w:val="EndnoteReference"/>
        </w:rPr>
        <w:endnoteRef/>
      </w:r>
      <w:r>
        <w:tab/>
      </w:r>
      <w:r w:rsidRPr="001F3E59">
        <w:rPr>
          <w:u w:val="single"/>
        </w:rPr>
        <w:t>Take further steps to eliminate discrimination against the Roma population, especially in the field of education</w:t>
      </w:r>
      <w:r w:rsidRPr="001F3E59">
        <w:t xml:space="preserve">, health, </w:t>
      </w:r>
      <w:r w:rsidRPr="001F3E59">
        <w:rPr>
          <w:u w:val="single"/>
        </w:rPr>
        <w:t>employment, housing and access to services</w:t>
      </w:r>
      <w:r>
        <w:rPr>
          <w:u w:val="single"/>
        </w:rPr>
        <w:t>.</w:t>
      </w:r>
    </w:p>
  </w:endnote>
  <w:endnote w:id="153">
    <w:p w:rsidR="00347CAB" w:rsidRDefault="00347CAB" w:rsidP="001F3E59">
      <w:pPr>
        <w:pStyle w:val="EndnoteText"/>
        <w:widowControl w:val="0"/>
        <w:tabs>
          <w:tab w:val="clear" w:pos="1021"/>
          <w:tab w:val="right" w:pos="1020"/>
        </w:tabs>
      </w:pPr>
      <w:r>
        <w:tab/>
      </w:r>
      <w:r>
        <w:rPr>
          <w:rStyle w:val="EndnoteReference"/>
        </w:rPr>
        <w:endnoteRef/>
      </w:r>
      <w:r>
        <w:tab/>
      </w:r>
      <w:r w:rsidRPr="001F3E59">
        <w:t>Take measures to prevent and eliminate racism, racial discrimination, xenophobia and others</w:t>
      </w:r>
      <w:r>
        <w:t>.</w:t>
      </w:r>
    </w:p>
  </w:endnote>
  <w:endnote w:id="154">
    <w:p w:rsidR="00347CAB" w:rsidRDefault="00347CAB" w:rsidP="001F3E59">
      <w:pPr>
        <w:pStyle w:val="EndnoteText"/>
        <w:widowControl w:val="0"/>
        <w:tabs>
          <w:tab w:val="clear" w:pos="1021"/>
          <w:tab w:val="right" w:pos="1020"/>
        </w:tabs>
      </w:pPr>
      <w:r>
        <w:tab/>
      </w:r>
      <w:r>
        <w:rPr>
          <w:rStyle w:val="EndnoteReference"/>
        </w:rPr>
        <w:endnoteRef/>
      </w:r>
      <w:r>
        <w:tab/>
      </w:r>
      <w:proofErr w:type="gramStart"/>
      <w:r w:rsidRPr="001F3E59">
        <w:t>European Commission for Democracy through Law</w:t>
      </w:r>
      <w:r>
        <w:t>.</w:t>
      </w:r>
      <w:proofErr w:type="gramEnd"/>
    </w:p>
  </w:endnote>
  <w:endnote w:id="155">
    <w:p w:rsidR="00347CAB" w:rsidRDefault="00347CAB" w:rsidP="0072634D">
      <w:pPr>
        <w:pStyle w:val="EndnoteText"/>
        <w:widowControl w:val="0"/>
        <w:tabs>
          <w:tab w:val="clear" w:pos="1021"/>
          <w:tab w:val="right" w:pos="1020"/>
        </w:tabs>
      </w:pPr>
      <w:r>
        <w:tab/>
      </w:r>
      <w:r>
        <w:rPr>
          <w:rStyle w:val="EndnoteReference"/>
        </w:rPr>
        <w:endnoteRef/>
      </w:r>
      <w:r>
        <w:tab/>
      </w:r>
      <w:r w:rsidRPr="0072634D">
        <w:t>Ensure that, in the context of the new legislation adopted in 2011, following the UPR 2011 recommendations, the self-governments truly represent the persons of national mino</w:t>
      </w:r>
      <w:r>
        <w:t>rities on whose behalf they act.</w:t>
      </w:r>
    </w:p>
  </w:endnote>
  <w:endnote w:id="156">
    <w:p w:rsidR="00347CAB" w:rsidRDefault="00347CAB" w:rsidP="0072634D">
      <w:pPr>
        <w:pStyle w:val="EndnoteText"/>
        <w:widowControl w:val="0"/>
        <w:tabs>
          <w:tab w:val="clear" w:pos="1021"/>
          <w:tab w:val="right" w:pos="1020"/>
        </w:tabs>
      </w:pPr>
      <w:r>
        <w:tab/>
      </w:r>
      <w:r>
        <w:rPr>
          <w:rStyle w:val="EndnoteReference"/>
        </w:rPr>
        <w:endnoteRef/>
      </w:r>
      <w:r>
        <w:tab/>
      </w:r>
      <w:r w:rsidRPr="0072634D">
        <w:t>Take all necessary measures to eliminate racial discrimination and segregation of Roma in education</w:t>
      </w:r>
      <w:r>
        <w:t>.</w:t>
      </w:r>
    </w:p>
  </w:endnote>
  <w:endnote w:id="157">
    <w:p w:rsidR="00347CAB" w:rsidRDefault="00347CAB" w:rsidP="0072634D">
      <w:pPr>
        <w:pStyle w:val="EndnoteText"/>
        <w:widowControl w:val="0"/>
        <w:tabs>
          <w:tab w:val="clear" w:pos="1021"/>
          <w:tab w:val="right" w:pos="1020"/>
        </w:tabs>
      </w:pPr>
      <w:r>
        <w:tab/>
      </w:r>
      <w:r>
        <w:rPr>
          <w:rStyle w:val="EndnoteReference"/>
        </w:rPr>
        <w:endnoteRef/>
      </w:r>
      <w:r>
        <w:tab/>
      </w:r>
      <w:r w:rsidRPr="0072634D">
        <w:t>Step up efforts to address discrimination and social exclusion faced by persons belonging to the Roma minority with particular emphasis on integrated schooling and soci</w:t>
      </w:r>
      <w:r>
        <w:t>al housing.</w:t>
      </w:r>
    </w:p>
  </w:endnote>
  <w:endnote w:id="158">
    <w:p w:rsidR="00347CAB" w:rsidRDefault="00347CAB" w:rsidP="0072634D">
      <w:pPr>
        <w:pStyle w:val="EndnoteText"/>
        <w:widowControl w:val="0"/>
        <w:tabs>
          <w:tab w:val="clear" w:pos="1021"/>
          <w:tab w:val="right" w:pos="1020"/>
        </w:tabs>
      </w:pPr>
      <w:r>
        <w:tab/>
      </w:r>
      <w:r>
        <w:rPr>
          <w:rStyle w:val="EndnoteReference"/>
        </w:rPr>
        <w:endnoteRef/>
      </w:r>
      <w:r>
        <w:tab/>
      </w:r>
      <w:r w:rsidRPr="0072634D">
        <w:t>Continue to pay special attention to issues related to the elimination of discrimination of the Roma who study in the education system</w:t>
      </w:r>
      <w:r>
        <w:t>.</w:t>
      </w:r>
    </w:p>
  </w:endnote>
  <w:endnote w:id="159">
    <w:p w:rsidR="00347CAB" w:rsidRDefault="00347CAB" w:rsidP="0072634D">
      <w:pPr>
        <w:pStyle w:val="EndnoteText"/>
        <w:widowControl w:val="0"/>
        <w:tabs>
          <w:tab w:val="clear" w:pos="1021"/>
          <w:tab w:val="right" w:pos="1020"/>
        </w:tabs>
      </w:pPr>
      <w:r>
        <w:tab/>
      </w:r>
      <w:r>
        <w:rPr>
          <w:rStyle w:val="EndnoteReference"/>
        </w:rPr>
        <w:endnoteRef/>
      </w:r>
      <w:r>
        <w:tab/>
      </w:r>
      <w:r w:rsidRPr="0072634D">
        <w:t>Continue its efforts to integrate the adult Roma population in the labour market and the Roma children and young people in the regular education system</w:t>
      </w:r>
      <w:r>
        <w:t>.</w:t>
      </w:r>
    </w:p>
  </w:endnote>
  <w:endnote w:id="160">
    <w:p w:rsidR="00347CAB" w:rsidRDefault="00347CAB" w:rsidP="0072634D">
      <w:pPr>
        <w:pStyle w:val="EndnoteText"/>
        <w:widowControl w:val="0"/>
        <w:tabs>
          <w:tab w:val="clear" w:pos="1021"/>
          <w:tab w:val="right" w:pos="1020"/>
        </w:tabs>
      </w:pPr>
      <w:r>
        <w:tab/>
      </w:r>
      <w:r>
        <w:rPr>
          <w:rStyle w:val="EndnoteReference"/>
        </w:rPr>
        <w:endnoteRef/>
      </w:r>
      <w:r>
        <w:tab/>
      </w:r>
      <w:r w:rsidRPr="0072634D">
        <w:t>Take measures to eliminate any discrimination and segregation in the education system against Roma children</w:t>
      </w:r>
      <w:r>
        <w:t>.</w:t>
      </w:r>
    </w:p>
  </w:endnote>
  <w:endnote w:id="161">
    <w:p w:rsidR="00347CAB" w:rsidRDefault="00347CAB" w:rsidP="0072634D">
      <w:pPr>
        <w:pStyle w:val="EndnoteText"/>
        <w:widowControl w:val="0"/>
        <w:tabs>
          <w:tab w:val="clear" w:pos="1021"/>
          <w:tab w:val="right" w:pos="1020"/>
        </w:tabs>
      </w:pPr>
      <w:r>
        <w:tab/>
      </w:r>
      <w:r>
        <w:rPr>
          <w:rStyle w:val="EndnoteReference"/>
        </w:rPr>
        <w:endnoteRef/>
      </w:r>
      <w:r>
        <w:tab/>
      </w:r>
      <w:r w:rsidRPr="0072634D">
        <w:t>Take resolute measures to put an end, without further delay, to the continuing segregation of Roma children at school</w:t>
      </w:r>
      <w:r>
        <w:t>.</w:t>
      </w:r>
    </w:p>
  </w:endnote>
  <w:endnote w:id="162">
    <w:p w:rsidR="00347CAB" w:rsidRDefault="00347CAB" w:rsidP="0072634D">
      <w:pPr>
        <w:pStyle w:val="EndnoteText"/>
        <w:widowControl w:val="0"/>
        <w:tabs>
          <w:tab w:val="clear" w:pos="1021"/>
          <w:tab w:val="right" w:pos="1020"/>
        </w:tabs>
      </w:pPr>
      <w:r>
        <w:tab/>
      </w:r>
      <w:r>
        <w:rPr>
          <w:rStyle w:val="EndnoteReference"/>
        </w:rPr>
        <w:endnoteRef/>
      </w:r>
      <w:r>
        <w:tab/>
      </w:r>
      <w:r w:rsidRPr="0072634D">
        <w:t>Take active measures to prevent actual segregation of Roma students in public and private schools</w:t>
      </w:r>
      <w:r>
        <w:t>.</w:t>
      </w:r>
    </w:p>
  </w:endnote>
  <w:endnote w:id="163">
    <w:p w:rsidR="00347CAB" w:rsidRDefault="00347CAB" w:rsidP="0072634D">
      <w:pPr>
        <w:pStyle w:val="EndnoteText"/>
        <w:widowControl w:val="0"/>
        <w:tabs>
          <w:tab w:val="clear" w:pos="1021"/>
          <w:tab w:val="right" w:pos="1020"/>
        </w:tabs>
      </w:pPr>
      <w:r>
        <w:tab/>
      </w:r>
      <w:r>
        <w:rPr>
          <w:rStyle w:val="EndnoteReference"/>
        </w:rPr>
        <w:endnoteRef/>
      </w:r>
      <w:r>
        <w:tab/>
      </w:r>
      <w:r w:rsidRPr="0072634D">
        <w:t>Strengthen its efforts to promote tolerance and cultural understanding of the Roma population in the aim of eliminating discrimination including in regard to access to education and employment and participation in politics</w:t>
      </w:r>
      <w:r>
        <w:t>.</w:t>
      </w:r>
    </w:p>
  </w:endnote>
  <w:endnote w:id="164">
    <w:p w:rsidR="00347CAB" w:rsidRDefault="00347CAB" w:rsidP="0072634D">
      <w:pPr>
        <w:pStyle w:val="EndnoteText"/>
        <w:widowControl w:val="0"/>
        <w:tabs>
          <w:tab w:val="clear" w:pos="1021"/>
          <w:tab w:val="right" w:pos="1020"/>
        </w:tabs>
      </w:pPr>
      <w:r>
        <w:tab/>
      </w:r>
      <w:r>
        <w:rPr>
          <w:rStyle w:val="EndnoteReference"/>
        </w:rPr>
        <w:endnoteRef/>
      </w:r>
      <w:r>
        <w:tab/>
      </w:r>
      <w:r w:rsidRPr="0072634D">
        <w:t>Continue the work to further social and economic integration of the Roma population, reduce direct and indirect school segregation of Roma children and actively promote Roma participation in society through education</w:t>
      </w:r>
      <w:r>
        <w:t>.</w:t>
      </w:r>
    </w:p>
  </w:endnote>
  <w:endnote w:id="165">
    <w:p w:rsidR="00347CAB" w:rsidRDefault="00347CAB" w:rsidP="0072634D">
      <w:pPr>
        <w:pStyle w:val="EndnoteText"/>
        <w:widowControl w:val="0"/>
        <w:tabs>
          <w:tab w:val="clear" w:pos="1021"/>
          <w:tab w:val="right" w:pos="1020"/>
        </w:tabs>
      </w:pPr>
      <w:r>
        <w:tab/>
      </w:r>
      <w:r>
        <w:rPr>
          <w:rStyle w:val="EndnoteReference"/>
        </w:rPr>
        <w:endnoteRef/>
      </w:r>
      <w:r>
        <w:tab/>
      </w:r>
      <w:r w:rsidRPr="0072634D">
        <w:t xml:space="preserve">Effectively implement </w:t>
      </w:r>
      <w:proofErr w:type="spellStart"/>
      <w:r w:rsidRPr="0072634D">
        <w:t>ongoing</w:t>
      </w:r>
      <w:proofErr w:type="spellEnd"/>
      <w:r w:rsidRPr="0072634D">
        <w:t xml:space="preserve"> national policy to guarantee quality education for minority</w:t>
      </w:r>
      <w:r>
        <w:t>.</w:t>
      </w:r>
    </w:p>
  </w:endnote>
  <w:endnote w:id="166">
    <w:p w:rsidR="00347CAB" w:rsidRDefault="00347CAB" w:rsidP="0072634D">
      <w:pPr>
        <w:pStyle w:val="EndnoteText"/>
        <w:widowControl w:val="0"/>
        <w:tabs>
          <w:tab w:val="clear" w:pos="1021"/>
          <w:tab w:val="right" w:pos="1020"/>
        </w:tabs>
      </w:pPr>
      <w:r>
        <w:tab/>
      </w:r>
      <w:r>
        <w:rPr>
          <w:rStyle w:val="EndnoteReference"/>
        </w:rPr>
        <w:endnoteRef/>
      </w:r>
      <w:r>
        <w:tab/>
      </w:r>
      <w:r w:rsidRPr="0072634D">
        <w:t xml:space="preserve">Ensure that the standards of education in national minorities’ languages as well as teaching of </w:t>
      </w:r>
      <w:proofErr w:type="gramStart"/>
      <w:r w:rsidRPr="0072634D">
        <w:t>minorities</w:t>
      </w:r>
      <w:proofErr w:type="gramEnd"/>
      <w:r w:rsidRPr="0072634D">
        <w:t xml:space="preserve"> languages are the same as the general standards of education in the country</w:t>
      </w:r>
      <w:r>
        <w:t>.</w:t>
      </w:r>
    </w:p>
  </w:endnote>
  <w:endnote w:id="167">
    <w:p w:rsidR="00347CAB" w:rsidRDefault="00347CAB" w:rsidP="0072634D">
      <w:pPr>
        <w:pStyle w:val="EndnoteText"/>
        <w:widowControl w:val="0"/>
        <w:tabs>
          <w:tab w:val="clear" w:pos="1021"/>
          <w:tab w:val="right" w:pos="1020"/>
        </w:tabs>
      </w:pPr>
      <w:r>
        <w:tab/>
      </w:r>
      <w:r>
        <w:rPr>
          <w:rStyle w:val="EndnoteReference"/>
        </w:rPr>
        <w:endnoteRef/>
      </w:r>
      <w:r>
        <w:tab/>
      </w:r>
      <w:r w:rsidRPr="0072634D">
        <w:t xml:space="preserve">The Jewish Community Roundtable, the consultative forum created in 2011, helps to take joint and efficient action against conducts of anti-Semitism, racism and xenophobia. The Action and Protection Foundation participates in the work of the Roundtable, and its Brussels Institute, commissioned and financed by the Government, continuously monitors anti-Semitic hate crime acts and informs thereof the members of the Roundtable and the Prime Minister’s Office, working in close cooperation with the Roundtable. All </w:t>
      </w:r>
      <w:r w:rsidR="008346B2">
        <w:t>G</w:t>
      </w:r>
      <w:r w:rsidRPr="0072634D">
        <w:t>overnment agencies are open and ready for close cooperation with the Jewish organisations</w:t>
      </w:r>
      <w:r>
        <w:t>.</w:t>
      </w:r>
    </w:p>
  </w:endnote>
  <w:endnote w:id="168">
    <w:p w:rsidR="00347CAB" w:rsidRDefault="00347CAB" w:rsidP="0072634D">
      <w:pPr>
        <w:pStyle w:val="EndnoteText"/>
        <w:widowControl w:val="0"/>
        <w:tabs>
          <w:tab w:val="clear" w:pos="1021"/>
          <w:tab w:val="right" w:pos="1020"/>
        </w:tabs>
      </w:pPr>
      <w:r>
        <w:tab/>
      </w:r>
      <w:r>
        <w:rPr>
          <w:rStyle w:val="EndnoteReference"/>
        </w:rPr>
        <w:endnoteRef/>
      </w:r>
      <w:r>
        <w:tab/>
        <w:t>V</w:t>
      </w:r>
      <w:r w:rsidRPr="0072634D">
        <w:t>iolent hate crime (§ 216), inciting hatred against a community (§ 332), denial in public of the crimes committed by the National Socialist or Communist regimes (§ 333)</w:t>
      </w:r>
      <w:r>
        <w:t>.</w:t>
      </w:r>
    </w:p>
  </w:endnote>
  <w:endnote w:id="169">
    <w:p w:rsidR="00347CAB" w:rsidRDefault="00347CAB" w:rsidP="0072634D">
      <w:pPr>
        <w:pStyle w:val="EndnoteText"/>
        <w:widowControl w:val="0"/>
        <w:tabs>
          <w:tab w:val="clear" w:pos="1021"/>
          <w:tab w:val="right" w:pos="1020"/>
        </w:tabs>
      </w:pPr>
      <w:r>
        <w:tab/>
      </w:r>
      <w:r>
        <w:rPr>
          <w:rStyle w:val="EndnoteReference"/>
        </w:rPr>
        <w:endnoteRef/>
      </w:r>
      <w:r>
        <w:tab/>
      </w:r>
      <w:r w:rsidRPr="0072634D">
        <w:t>Take effective measures to ensure the Hungarian National Police and the hate-crimes expert net improve the enforcement of laws against hate crimes, including by allocating sufficient resources; undertaking thorough investigations and prosecution; and by providing training for</w:t>
      </w:r>
      <w:r>
        <w:t xml:space="preserve"> the front-line law enforcement.</w:t>
      </w:r>
    </w:p>
  </w:endnote>
  <w:endnote w:id="170">
    <w:p w:rsidR="00347CAB" w:rsidRDefault="00347CAB" w:rsidP="0072634D">
      <w:pPr>
        <w:pStyle w:val="EndnoteText"/>
        <w:widowControl w:val="0"/>
        <w:tabs>
          <w:tab w:val="clear" w:pos="1021"/>
          <w:tab w:val="right" w:pos="1020"/>
        </w:tabs>
      </w:pPr>
      <w:r>
        <w:tab/>
      </w:r>
      <w:r>
        <w:rPr>
          <w:rStyle w:val="EndnoteReference"/>
        </w:rPr>
        <w:endnoteRef/>
      </w:r>
      <w:r>
        <w:tab/>
      </w:r>
      <w:r w:rsidRPr="0072634D">
        <w:t>Protect persons who are marginalized and most vulnerable from intolerance, xenophobia, and other forms of discrimination</w:t>
      </w:r>
      <w:r>
        <w:t>.</w:t>
      </w:r>
    </w:p>
  </w:endnote>
  <w:endnote w:id="171">
    <w:p w:rsidR="00347CAB" w:rsidRDefault="00347CAB" w:rsidP="0072634D">
      <w:pPr>
        <w:pStyle w:val="EndnoteText"/>
        <w:widowControl w:val="0"/>
        <w:tabs>
          <w:tab w:val="clear" w:pos="1021"/>
          <w:tab w:val="right" w:pos="1020"/>
        </w:tabs>
      </w:pPr>
      <w:r>
        <w:tab/>
      </w:r>
      <w:r>
        <w:rPr>
          <w:rStyle w:val="EndnoteReference"/>
        </w:rPr>
        <w:endnoteRef/>
      </w:r>
      <w:r>
        <w:tab/>
      </w:r>
      <w:r w:rsidRPr="0072634D">
        <w:t>Carry out the work to eliminate expressions of hatred, racial and religious discrimination</w:t>
      </w:r>
      <w:r>
        <w:t>.</w:t>
      </w:r>
    </w:p>
  </w:endnote>
  <w:endnote w:id="172">
    <w:p w:rsidR="00347CAB" w:rsidRDefault="00347CAB" w:rsidP="0072634D">
      <w:pPr>
        <w:pStyle w:val="EndnoteText"/>
        <w:widowControl w:val="0"/>
        <w:tabs>
          <w:tab w:val="clear" w:pos="1021"/>
          <w:tab w:val="right" w:pos="1020"/>
        </w:tabs>
      </w:pPr>
      <w:r>
        <w:tab/>
      </w:r>
      <w:r>
        <w:rPr>
          <w:rStyle w:val="EndnoteReference"/>
        </w:rPr>
        <w:endnoteRef/>
      </w:r>
      <w:r>
        <w:tab/>
      </w:r>
      <w:r w:rsidRPr="0072634D">
        <w:t>Intensify national efforts to prevent and eliminate all manifestations of anti-Semitism and take resolute measures to condemn hate speech, including against Roma</w:t>
      </w:r>
      <w:r>
        <w:t>.</w:t>
      </w:r>
    </w:p>
  </w:endnote>
  <w:endnote w:id="173">
    <w:p w:rsidR="00347CAB" w:rsidRDefault="00347CAB" w:rsidP="0072634D">
      <w:pPr>
        <w:pStyle w:val="EndnoteText"/>
        <w:widowControl w:val="0"/>
        <w:tabs>
          <w:tab w:val="clear" w:pos="1021"/>
          <w:tab w:val="right" w:pos="1020"/>
        </w:tabs>
      </w:pPr>
      <w:r>
        <w:tab/>
      </w:r>
      <w:r>
        <w:rPr>
          <w:rStyle w:val="EndnoteReference"/>
        </w:rPr>
        <w:endnoteRef/>
      </w:r>
      <w:r>
        <w:tab/>
      </w:r>
      <w:r w:rsidRPr="0072634D">
        <w:t>Take action against the worrying increase and public use of hate speech, most often addressed at migrants, asylum seekers but also civil society organizations and vulnerable groups</w:t>
      </w:r>
      <w:r>
        <w:t>.</w:t>
      </w:r>
    </w:p>
  </w:endnote>
  <w:endnote w:id="174">
    <w:p w:rsidR="00347CAB" w:rsidRDefault="00347CAB" w:rsidP="0072634D">
      <w:pPr>
        <w:pStyle w:val="EndnoteText"/>
        <w:widowControl w:val="0"/>
        <w:tabs>
          <w:tab w:val="clear" w:pos="1021"/>
          <w:tab w:val="right" w:pos="1020"/>
        </w:tabs>
      </w:pPr>
      <w:r>
        <w:tab/>
      </w:r>
      <w:r>
        <w:rPr>
          <w:rStyle w:val="EndnoteReference"/>
        </w:rPr>
        <w:endnoteRef/>
      </w:r>
      <w:r>
        <w:tab/>
      </w:r>
      <w:r w:rsidRPr="0072634D">
        <w:t>Apply effectively policies against racism and hate speech</w:t>
      </w:r>
      <w:r>
        <w:t>.</w:t>
      </w:r>
    </w:p>
  </w:endnote>
  <w:endnote w:id="175">
    <w:p w:rsidR="00347CAB" w:rsidRDefault="00347CAB" w:rsidP="0072634D">
      <w:pPr>
        <w:pStyle w:val="EndnoteText"/>
        <w:widowControl w:val="0"/>
        <w:tabs>
          <w:tab w:val="clear" w:pos="1021"/>
          <w:tab w:val="right" w:pos="1020"/>
        </w:tabs>
      </w:pPr>
      <w:r>
        <w:tab/>
      </w:r>
      <w:r>
        <w:rPr>
          <w:rStyle w:val="EndnoteReference"/>
        </w:rPr>
        <w:endnoteRef/>
      </w:r>
      <w:r>
        <w:tab/>
      </w:r>
      <w:r w:rsidRPr="0072634D">
        <w:t>Implement effectively its legislation and policies against hate speech and hate crimes with particular focus on the human rights protection of Roma, Jews, LGBTIs and other vulnerable groups</w:t>
      </w:r>
      <w:r>
        <w:t>.</w:t>
      </w:r>
    </w:p>
  </w:endnote>
  <w:endnote w:id="176">
    <w:p w:rsidR="00347CAB" w:rsidRDefault="00347CAB" w:rsidP="0072634D">
      <w:pPr>
        <w:pStyle w:val="EndnoteText"/>
        <w:widowControl w:val="0"/>
        <w:tabs>
          <w:tab w:val="clear" w:pos="1021"/>
          <w:tab w:val="right" w:pos="1020"/>
        </w:tabs>
      </w:pPr>
      <w:r>
        <w:tab/>
      </w:r>
      <w:r>
        <w:rPr>
          <w:rStyle w:val="EndnoteReference"/>
        </w:rPr>
        <w:endnoteRef/>
      </w:r>
      <w:r>
        <w:tab/>
      </w:r>
      <w:r w:rsidRPr="0072634D">
        <w:t>Identify efforts to combat all forms of discrimination and to ensure that hate crimes motivated by racism, xenophobia or other forms of discrimination are effectively investigated and perpetrators are brought to justice</w:t>
      </w:r>
      <w:r>
        <w:t>.</w:t>
      </w:r>
    </w:p>
  </w:endnote>
  <w:endnote w:id="177">
    <w:p w:rsidR="00347CAB" w:rsidRDefault="00347CAB" w:rsidP="0072634D">
      <w:pPr>
        <w:pStyle w:val="EndnoteText"/>
        <w:widowControl w:val="0"/>
        <w:tabs>
          <w:tab w:val="clear" w:pos="1021"/>
          <w:tab w:val="right" w:pos="1020"/>
        </w:tabs>
      </w:pPr>
      <w:r>
        <w:tab/>
      </w:r>
      <w:r>
        <w:rPr>
          <w:rStyle w:val="EndnoteReference"/>
        </w:rPr>
        <w:endnoteRef/>
      </w:r>
      <w:r>
        <w:tab/>
      </w:r>
      <w:r w:rsidRPr="0072634D">
        <w:t>Enhance inter-ethnic, inter-religious, and inter-cultural understanding within the society, and ensure access to justice for victims of racial hatred or violence</w:t>
      </w:r>
      <w:r>
        <w:t>.</w:t>
      </w:r>
    </w:p>
  </w:endnote>
  <w:endnote w:id="178">
    <w:p w:rsidR="00347CAB" w:rsidRDefault="00347CAB" w:rsidP="0072634D">
      <w:pPr>
        <w:pStyle w:val="EndnoteText"/>
        <w:widowControl w:val="0"/>
        <w:tabs>
          <w:tab w:val="clear" w:pos="1021"/>
          <w:tab w:val="right" w:pos="1020"/>
        </w:tabs>
      </w:pPr>
      <w:r>
        <w:tab/>
      </w:r>
      <w:r>
        <w:rPr>
          <w:rStyle w:val="EndnoteReference"/>
        </w:rPr>
        <w:endnoteRef/>
      </w:r>
      <w:r>
        <w:tab/>
      </w:r>
      <w:r w:rsidRPr="0072634D">
        <w:t>Further strengthen measures to combat hate speech and hate crime</w:t>
      </w:r>
      <w:r>
        <w:t>.</w:t>
      </w:r>
    </w:p>
  </w:endnote>
  <w:endnote w:id="179">
    <w:p w:rsidR="00347CAB" w:rsidRDefault="00347CAB" w:rsidP="0072634D">
      <w:pPr>
        <w:pStyle w:val="EndnoteText"/>
        <w:widowControl w:val="0"/>
        <w:tabs>
          <w:tab w:val="clear" w:pos="1021"/>
          <w:tab w:val="right" w:pos="1020"/>
        </w:tabs>
      </w:pPr>
      <w:r>
        <w:tab/>
      </w:r>
      <w:r>
        <w:rPr>
          <w:rStyle w:val="EndnoteReference"/>
        </w:rPr>
        <w:endnoteRef/>
      </w:r>
      <w:r>
        <w:tab/>
      </w:r>
      <w:r w:rsidRPr="0072634D">
        <w:t>Strengthen measures to avoid hate speeches of all kinds in political messages and in the media</w:t>
      </w:r>
      <w:r>
        <w:t>.</w:t>
      </w:r>
    </w:p>
  </w:endnote>
  <w:endnote w:id="180">
    <w:p w:rsidR="00347CAB" w:rsidRDefault="00347CAB" w:rsidP="0072634D">
      <w:pPr>
        <w:pStyle w:val="EndnoteText"/>
        <w:widowControl w:val="0"/>
        <w:tabs>
          <w:tab w:val="clear" w:pos="1021"/>
          <w:tab w:val="right" w:pos="1020"/>
        </w:tabs>
      </w:pPr>
      <w:r>
        <w:tab/>
      </w:r>
      <w:r>
        <w:rPr>
          <w:rStyle w:val="EndnoteReference"/>
        </w:rPr>
        <w:endnoteRef/>
      </w:r>
      <w:r>
        <w:tab/>
      </w:r>
      <w:r w:rsidRPr="0072634D">
        <w:t>Combat hate speech and statements stigmatizing refugees and asylum seekers</w:t>
      </w:r>
      <w:r>
        <w:t>.</w:t>
      </w:r>
    </w:p>
  </w:endnote>
  <w:endnote w:id="181">
    <w:p w:rsidR="00347CAB" w:rsidRDefault="00347CAB" w:rsidP="0072634D">
      <w:pPr>
        <w:pStyle w:val="EndnoteText"/>
        <w:widowControl w:val="0"/>
        <w:tabs>
          <w:tab w:val="clear" w:pos="1021"/>
          <w:tab w:val="right" w:pos="1020"/>
        </w:tabs>
      </w:pPr>
      <w:r>
        <w:tab/>
      </w:r>
      <w:r>
        <w:rPr>
          <w:rStyle w:val="EndnoteReference"/>
        </w:rPr>
        <w:endnoteRef/>
      </w:r>
      <w:r>
        <w:tab/>
      </w:r>
      <w:r w:rsidRPr="0072634D">
        <w:t>Prevent and combat racism and hate speech, including through human rights education and training, and by promoting tolerance</w:t>
      </w:r>
      <w:r>
        <w:t>.</w:t>
      </w:r>
    </w:p>
  </w:endnote>
  <w:endnote w:id="182">
    <w:p w:rsidR="00347CAB" w:rsidRDefault="00347CAB" w:rsidP="0072634D">
      <w:pPr>
        <w:pStyle w:val="EndnoteText"/>
        <w:widowControl w:val="0"/>
        <w:tabs>
          <w:tab w:val="clear" w:pos="1021"/>
          <w:tab w:val="right" w:pos="1020"/>
        </w:tabs>
      </w:pPr>
      <w:r>
        <w:tab/>
      </w:r>
      <w:r>
        <w:rPr>
          <w:rStyle w:val="EndnoteReference"/>
        </w:rPr>
        <w:endnoteRef/>
      </w:r>
      <w:r>
        <w:tab/>
      </w:r>
      <w:r w:rsidRPr="0072634D">
        <w:t>Enhance its efforts to prevent and root out all kind of national and ethnic intolerance, as well as condemn any incitement to ethnic and religious hatred and hate speech against the Roma in particular</w:t>
      </w:r>
      <w:r>
        <w:t>.</w:t>
      </w:r>
    </w:p>
  </w:endnote>
  <w:endnote w:id="183">
    <w:p w:rsidR="00347CAB" w:rsidRDefault="00347CAB" w:rsidP="0072634D">
      <w:pPr>
        <w:pStyle w:val="EndnoteText"/>
        <w:widowControl w:val="0"/>
        <w:tabs>
          <w:tab w:val="clear" w:pos="1021"/>
          <w:tab w:val="right" w:pos="1020"/>
        </w:tabs>
      </w:pPr>
      <w:r>
        <w:tab/>
      </w:r>
      <w:r>
        <w:rPr>
          <w:rStyle w:val="EndnoteReference"/>
        </w:rPr>
        <w:endnoteRef/>
      </w:r>
      <w:r>
        <w:tab/>
      </w:r>
      <w:r w:rsidRPr="0072634D">
        <w:t>Implement strategies aimed at tackling hate speech and xenophobia in all its forms</w:t>
      </w:r>
      <w:r>
        <w:t>.</w:t>
      </w:r>
    </w:p>
  </w:endnote>
  <w:endnote w:id="184">
    <w:p w:rsidR="00347CAB" w:rsidRDefault="00347CAB" w:rsidP="0072634D">
      <w:pPr>
        <w:pStyle w:val="EndnoteText"/>
        <w:widowControl w:val="0"/>
        <w:tabs>
          <w:tab w:val="clear" w:pos="1021"/>
          <w:tab w:val="right" w:pos="1020"/>
        </w:tabs>
      </w:pPr>
      <w:r>
        <w:tab/>
      </w:r>
      <w:r>
        <w:rPr>
          <w:rStyle w:val="EndnoteReference"/>
        </w:rPr>
        <w:endnoteRef/>
      </w:r>
      <w:r>
        <w:tab/>
      </w:r>
      <w:r w:rsidRPr="0072634D">
        <w:t xml:space="preserve">Continue to fight anti-Semitism, and to oppose any attempt to relativize or rehabilitate anti-Semite policies in </w:t>
      </w:r>
      <w:r w:rsidR="008346B2">
        <w:t xml:space="preserve">the </w:t>
      </w:r>
      <w:r w:rsidRPr="0072634D">
        <w:t>past and present</w:t>
      </w:r>
      <w:r>
        <w:t>.</w:t>
      </w:r>
    </w:p>
  </w:endnote>
  <w:endnote w:id="185">
    <w:p w:rsidR="00347CAB" w:rsidRDefault="00347CAB" w:rsidP="0072634D">
      <w:pPr>
        <w:pStyle w:val="EndnoteText"/>
        <w:widowControl w:val="0"/>
        <w:tabs>
          <w:tab w:val="clear" w:pos="1021"/>
          <w:tab w:val="right" w:pos="1020"/>
        </w:tabs>
      </w:pPr>
      <w:r>
        <w:tab/>
      </w:r>
      <w:r>
        <w:rPr>
          <w:rStyle w:val="EndnoteReference"/>
        </w:rPr>
        <w:endnoteRef/>
      </w:r>
      <w:r>
        <w:tab/>
      </w:r>
      <w:r w:rsidRPr="0072634D">
        <w:t xml:space="preserve">Continue to strengthen measures to promote tolerance and respect for cultural diversity and to counter prejudice, stereotypes, discrimination, racism and </w:t>
      </w:r>
      <w:proofErr w:type="spellStart"/>
      <w:r w:rsidRPr="0072634D">
        <w:t>Islamophobia</w:t>
      </w:r>
      <w:proofErr w:type="spellEnd"/>
      <w:r>
        <w:t>.</w:t>
      </w:r>
    </w:p>
  </w:endnote>
  <w:endnote w:id="186">
    <w:p w:rsidR="00347CAB" w:rsidRDefault="00347CAB" w:rsidP="0072634D">
      <w:pPr>
        <w:pStyle w:val="EndnoteText"/>
        <w:widowControl w:val="0"/>
        <w:tabs>
          <w:tab w:val="clear" w:pos="1021"/>
          <w:tab w:val="right" w:pos="1020"/>
        </w:tabs>
      </w:pPr>
      <w:r>
        <w:tab/>
      </w:r>
      <w:r>
        <w:rPr>
          <w:rStyle w:val="EndnoteReference"/>
        </w:rPr>
        <w:endnoteRef/>
      </w:r>
      <w:r>
        <w:tab/>
      </w:r>
      <w:r w:rsidRPr="0072634D">
        <w:t>Continue efforts to sensitize the public to combat discrimination on all grounds online to ensure that all rights are respected</w:t>
      </w:r>
      <w:r>
        <w:t>.</w:t>
      </w:r>
    </w:p>
  </w:endnote>
  <w:endnote w:id="187">
    <w:p w:rsidR="00347CAB" w:rsidRDefault="00347CAB" w:rsidP="0072634D">
      <w:pPr>
        <w:pStyle w:val="EndnoteText"/>
        <w:widowControl w:val="0"/>
        <w:tabs>
          <w:tab w:val="clear" w:pos="1021"/>
          <w:tab w:val="right" w:pos="1020"/>
        </w:tabs>
      </w:pPr>
      <w:r>
        <w:tab/>
      </w:r>
      <w:r>
        <w:rPr>
          <w:rStyle w:val="EndnoteReference"/>
        </w:rPr>
        <w:endnoteRef/>
      </w:r>
      <w:r>
        <w:tab/>
      </w:r>
      <w:r w:rsidRPr="0072634D">
        <w:t>Adopt a hate crime investigation protocol and ensure that victims of hate crimes have effective access to the mechanisms of justice and redress</w:t>
      </w:r>
      <w:r>
        <w:t>.</w:t>
      </w:r>
    </w:p>
  </w:endnote>
  <w:endnote w:id="188">
    <w:p w:rsidR="00347CAB" w:rsidRDefault="00347CAB" w:rsidP="0072634D">
      <w:pPr>
        <w:pStyle w:val="EndnoteText"/>
        <w:widowControl w:val="0"/>
        <w:tabs>
          <w:tab w:val="clear" w:pos="1021"/>
          <w:tab w:val="right" w:pos="1020"/>
        </w:tabs>
      </w:pPr>
      <w:r>
        <w:tab/>
      </w:r>
      <w:r>
        <w:rPr>
          <w:rStyle w:val="EndnoteReference"/>
        </w:rPr>
        <w:endnoteRef/>
      </w:r>
      <w:r>
        <w:tab/>
      </w:r>
      <w:proofErr w:type="gramStart"/>
      <w:r w:rsidRPr="0072634D">
        <w:t>Further step up efforts to publicly condemn hate speech, including against Roma</w:t>
      </w:r>
      <w:r>
        <w:t>.</w:t>
      </w:r>
      <w:proofErr w:type="gramEnd"/>
    </w:p>
  </w:endnote>
  <w:endnote w:id="189">
    <w:p w:rsidR="00347CAB" w:rsidRDefault="00347CAB" w:rsidP="0072634D">
      <w:pPr>
        <w:pStyle w:val="EndnoteText"/>
        <w:widowControl w:val="0"/>
        <w:tabs>
          <w:tab w:val="clear" w:pos="1021"/>
          <w:tab w:val="right" w:pos="1020"/>
        </w:tabs>
      </w:pPr>
      <w:r>
        <w:tab/>
      </w:r>
      <w:r>
        <w:rPr>
          <w:rStyle w:val="EndnoteReference"/>
        </w:rPr>
        <w:endnoteRef/>
      </w:r>
      <w:r>
        <w:tab/>
      </w:r>
      <w:r w:rsidRPr="0072634D">
        <w:t xml:space="preserve">The Fourth Amendment of the Fundamental Law has added two essential elements to the provision defining freedom of expression. </w:t>
      </w:r>
      <w:proofErr w:type="gramStart"/>
      <w:r w:rsidRPr="0072634D">
        <w:t>One of these – according to which exercising the freedom of expression and opinion cannot be aimed at violating other person’s human dignity.</w:t>
      </w:r>
      <w:proofErr w:type="gramEnd"/>
      <w:r w:rsidRPr="0072634D">
        <w:t xml:space="preserve"> The Amendment stipulates this constitutional principle, and does not overrule earlier constitutional interpretations, which, for instance, established more stringent conditions with respect to public actors. The other innovation of the Amendment provides members of national, ethnic, racial or religious groups the possibility to bring action before the court against any statement considered injurious to the group alleging violation of their human dignity.</w:t>
      </w:r>
    </w:p>
  </w:endnote>
  <w:endnote w:id="190">
    <w:p w:rsidR="00347CAB" w:rsidRDefault="00347CAB" w:rsidP="0072634D">
      <w:pPr>
        <w:pStyle w:val="EndnoteText"/>
        <w:widowControl w:val="0"/>
        <w:tabs>
          <w:tab w:val="clear" w:pos="1021"/>
          <w:tab w:val="right" w:pos="1020"/>
        </w:tabs>
      </w:pPr>
      <w:r>
        <w:tab/>
      </w:r>
      <w:r>
        <w:rPr>
          <w:rStyle w:val="EndnoteReference"/>
        </w:rPr>
        <w:endnoteRef/>
      </w:r>
      <w:r>
        <w:tab/>
      </w:r>
      <w:r w:rsidRPr="0072634D">
        <w:t>Ensure that the constitutional amendment prohibiting speech that would violate the dignity of the Hungarian nation cannot be used to silence criticism and limit freedom of expressio</w:t>
      </w:r>
      <w:r>
        <w:t>n as guaranteed under the ICCPR.</w:t>
      </w:r>
    </w:p>
  </w:endnote>
  <w:endnote w:id="191">
    <w:p w:rsidR="00347CAB" w:rsidRDefault="00347CAB" w:rsidP="0072634D">
      <w:pPr>
        <w:pStyle w:val="EndnoteText"/>
        <w:widowControl w:val="0"/>
        <w:tabs>
          <w:tab w:val="clear" w:pos="1021"/>
          <w:tab w:val="right" w:pos="1020"/>
        </w:tabs>
      </w:pPr>
      <w:r>
        <w:tab/>
      </w:r>
      <w:r>
        <w:rPr>
          <w:rStyle w:val="EndnoteReference"/>
        </w:rPr>
        <w:endnoteRef/>
      </w:r>
      <w:r>
        <w:tab/>
      </w:r>
      <w:r w:rsidRPr="0072634D">
        <w:t>The asylum authority provides accommodation and care for asylum seekers during the asylum procedure including free health care, support for education, housing, social services, the acquisition of citizenship etc.</w:t>
      </w:r>
    </w:p>
  </w:endnote>
  <w:endnote w:id="192">
    <w:p w:rsidR="00347CAB" w:rsidRDefault="00347CAB" w:rsidP="0072634D">
      <w:pPr>
        <w:pStyle w:val="EndnoteText"/>
        <w:widowControl w:val="0"/>
        <w:tabs>
          <w:tab w:val="clear" w:pos="1021"/>
          <w:tab w:val="right" w:pos="1020"/>
        </w:tabs>
      </w:pPr>
      <w:r>
        <w:tab/>
      </w:r>
      <w:r>
        <w:rPr>
          <w:rStyle w:val="EndnoteReference"/>
        </w:rPr>
        <w:endnoteRef/>
      </w:r>
      <w:r>
        <w:tab/>
      </w:r>
      <w:r w:rsidRPr="0072634D">
        <w:t>Strengthen its measures to combat racism and discrimination in all its forms against migrants and asylum seekers</w:t>
      </w:r>
      <w:r>
        <w:t>.</w:t>
      </w:r>
    </w:p>
  </w:endnote>
  <w:endnote w:id="193">
    <w:p w:rsidR="00347CAB" w:rsidRDefault="00347CAB" w:rsidP="0072634D">
      <w:pPr>
        <w:pStyle w:val="EndnoteText"/>
        <w:widowControl w:val="0"/>
        <w:tabs>
          <w:tab w:val="clear" w:pos="1021"/>
          <w:tab w:val="right" w:pos="1020"/>
        </w:tabs>
      </w:pPr>
      <w:r>
        <w:tab/>
      </w:r>
      <w:r>
        <w:rPr>
          <w:rStyle w:val="EndnoteReference"/>
        </w:rPr>
        <w:endnoteRef/>
      </w:r>
      <w:r>
        <w:tab/>
      </w:r>
      <w:r w:rsidRPr="0072634D">
        <w:t>Establish a comprehensive integration strategy for migrants, with specific measures to prevent and eliminate racism, racial discrimination, xenophobia and intolerance against migrants irrespective of their status</w:t>
      </w:r>
      <w:r>
        <w:t>.</w:t>
      </w:r>
    </w:p>
  </w:endnote>
  <w:endnote w:id="194">
    <w:p w:rsidR="00347CAB" w:rsidRDefault="00347CAB" w:rsidP="0072634D">
      <w:pPr>
        <w:pStyle w:val="EndnoteText"/>
        <w:widowControl w:val="0"/>
        <w:tabs>
          <w:tab w:val="clear" w:pos="1021"/>
          <w:tab w:val="right" w:pos="1020"/>
        </w:tabs>
      </w:pPr>
      <w:r>
        <w:tab/>
      </w:r>
      <w:r>
        <w:rPr>
          <w:rStyle w:val="EndnoteReference"/>
        </w:rPr>
        <w:endnoteRef/>
      </w:r>
      <w:r>
        <w:tab/>
      </w:r>
      <w:r w:rsidRPr="0072634D">
        <w:t>Continue to take specific measures to prevent and eliminate racism, racial discrimination, xenophobia and intolerance against migran</w:t>
      </w:r>
      <w:r>
        <w:t>ts, refugees and asylum seekers.</w:t>
      </w:r>
    </w:p>
  </w:endnote>
  <w:endnote w:id="195">
    <w:p w:rsidR="00347CAB" w:rsidRDefault="00347CAB" w:rsidP="0072634D">
      <w:pPr>
        <w:pStyle w:val="EndnoteText"/>
        <w:widowControl w:val="0"/>
        <w:tabs>
          <w:tab w:val="clear" w:pos="1021"/>
          <w:tab w:val="right" w:pos="1020"/>
        </w:tabs>
      </w:pPr>
      <w:r>
        <w:tab/>
      </w:r>
      <w:r>
        <w:rPr>
          <w:rStyle w:val="EndnoteReference"/>
        </w:rPr>
        <w:endnoteRef/>
      </w:r>
      <w:r>
        <w:tab/>
      </w:r>
      <w:r w:rsidRPr="0072634D">
        <w:t>Redouble efforts to prevent and eliminate racial discrimination, xenophobia and the intolerance against migrants, refugees and asylum seekers</w:t>
      </w:r>
      <w:r>
        <w:t>.</w:t>
      </w:r>
    </w:p>
  </w:endnote>
  <w:endnote w:id="196">
    <w:p w:rsidR="00347CAB" w:rsidRDefault="00347CAB" w:rsidP="0072634D">
      <w:pPr>
        <w:pStyle w:val="EndnoteText"/>
        <w:widowControl w:val="0"/>
        <w:tabs>
          <w:tab w:val="clear" w:pos="1021"/>
          <w:tab w:val="right" w:pos="1020"/>
        </w:tabs>
      </w:pPr>
      <w:r>
        <w:tab/>
      </w:r>
      <w:r>
        <w:rPr>
          <w:rStyle w:val="EndnoteReference"/>
        </w:rPr>
        <w:endnoteRef/>
      </w:r>
      <w:r>
        <w:tab/>
      </w:r>
      <w:r w:rsidRPr="0072634D">
        <w:t>Continue the efforts to combat hate speech, racism, xenophobia and all forms of discrimination against refugees and migrants</w:t>
      </w:r>
      <w:r>
        <w:t>.</w:t>
      </w:r>
    </w:p>
  </w:endnote>
  <w:endnote w:id="197">
    <w:p w:rsidR="00347CAB" w:rsidRDefault="00347CAB" w:rsidP="0072634D">
      <w:pPr>
        <w:pStyle w:val="EndnoteText"/>
        <w:widowControl w:val="0"/>
        <w:tabs>
          <w:tab w:val="clear" w:pos="1021"/>
          <w:tab w:val="right" w:pos="1020"/>
        </w:tabs>
      </w:pPr>
      <w:r>
        <w:tab/>
      </w:r>
      <w:r>
        <w:rPr>
          <w:rStyle w:val="EndnoteReference"/>
        </w:rPr>
        <w:endnoteRef/>
      </w:r>
      <w:r>
        <w:tab/>
      </w:r>
      <w:r w:rsidRPr="0072634D">
        <w:t xml:space="preserve">Intensify its efforts to combat xenophobia, </w:t>
      </w:r>
      <w:proofErr w:type="spellStart"/>
      <w:r w:rsidRPr="0072634D">
        <w:t>islamophobia</w:t>
      </w:r>
      <w:proofErr w:type="spellEnd"/>
      <w:r w:rsidRPr="0072634D">
        <w:t xml:space="preserve"> and refugee hatred, and take the necessary measures to condemn hate speech</w:t>
      </w:r>
      <w:r>
        <w:t>.</w:t>
      </w:r>
    </w:p>
  </w:endnote>
  <w:endnote w:id="198">
    <w:p w:rsidR="00347CAB" w:rsidRDefault="00347CAB" w:rsidP="0072634D">
      <w:pPr>
        <w:pStyle w:val="EndnoteText"/>
        <w:widowControl w:val="0"/>
        <w:tabs>
          <w:tab w:val="clear" w:pos="1021"/>
          <w:tab w:val="right" w:pos="1020"/>
        </w:tabs>
      </w:pPr>
      <w:r>
        <w:tab/>
      </w:r>
      <w:r>
        <w:rPr>
          <w:rStyle w:val="EndnoteReference"/>
        </w:rPr>
        <w:endnoteRef/>
      </w:r>
      <w:r>
        <w:tab/>
      </w:r>
      <w:r w:rsidRPr="0072634D">
        <w:t>Take resolute measures to condemn hate speech, racial discrimination, xenophobia and intolerance against all minority groups, migrants and asylum seekers</w:t>
      </w:r>
      <w:r>
        <w:t>.</w:t>
      </w:r>
    </w:p>
  </w:endnote>
  <w:endnote w:id="199">
    <w:p w:rsidR="00347CAB" w:rsidRDefault="00347CAB" w:rsidP="00466CEC">
      <w:pPr>
        <w:pStyle w:val="EndnoteText"/>
        <w:widowControl w:val="0"/>
        <w:tabs>
          <w:tab w:val="clear" w:pos="1021"/>
          <w:tab w:val="right" w:pos="1020"/>
        </w:tabs>
      </w:pPr>
      <w:r>
        <w:tab/>
      </w:r>
      <w:r>
        <w:rPr>
          <w:rStyle w:val="EndnoteReference"/>
        </w:rPr>
        <w:endnoteRef/>
      </w:r>
      <w:r>
        <w:tab/>
      </w:r>
      <w:r w:rsidRPr="00466CEC">
        <w:t>Take all the necessary measures to combat violence linked to racial discrimination, as well as hate crimes and speeches, including against refugees and migrants</w:t>
      </w:r>
      <w:r>
        <w:t>.</w:t>
      </w:r>
    </w:p>
  </w:endnote>
  <w:endnote w:id="200">
    <w:p w:rsidR="00347CAB" w:rsidRDefault="00347CAB" w:rsidP="00466CEC">
      <w:pPr>
        <w:pStyle w:val="EndnoteText"/>
        <w:widowControl w:val="0"/>
        <w:tabs>
          <w:tab w:val="clear" w:pos="1021"/>
          <w:tab w:val="right" w:pos="1020"/>
        </w:tabs>
      </w:pPr>
      <w:r>
        <w:tab/>
      </w:r>
      <w:r>
        <w:rPr>
          <w:rStyle w:val="EndnoteReference"/>
        </w:rPr>
        <w:endnoteRef/>
      </w:r>
      <w:r>
        <w:tab/>
      </w:r>
      <w:r w:rsidRPr="00466CEC">
        <w:t>Cease anti-immigration campaigns and rhetoric of incitement to hatred, xenophobia and anti-Semitism and take measures to fight against hate sp</w:t>
      </w:r>
      <w:r>
        <w:t>eech and hate crimes in general.</w:t>
      </w:r>
    </w:p>
  </w:endnote>
  <w:endnote w:id="201">
    <w:p w:rsidR="00347CAB" w:rsidRDefault="00347CAB" w:rsidP="00466CEC">
      <w:pPr>
        <w:pStyle w:val="EndnoteText"/>
        <w:widowControl w:val="0"/>
        <w:tabs>
          <w:tab w:val="clear" w:pos="1021"/>
          <w:tab w:val="right" w:pos="1020"/>
        </w:tabs>
      </w:pPr>
      <w:r>
        <w:tab/>
      </w:r>
      <w:r>
        <w:rPr>
          <w:rStyle w:val="EndnoteReference"/>
        </w:rPr>
        <w:endnoteRef/>
      </w:r>
      <w:r>
        <w:tab/>
      </w:r>
      <w:r w:rsidRPr="00466CEC">
        <w:t>Take all steps necessary to ensure that the right to seek asylum is guaranteed for asylum seekers coming to Hungary and that the principle of non-</w:t>
      </w:r>
      <w:proofErr w:type="spellStart"/>
      <w:r w:rsidRPr="00466CEC">
        <w:t>refoulement</w:t>
      </w:r>
      <w:proofErr w:type="spellEnd"/>
      <w:r w:rsidRPr="00466CEC">
        <w:t xml:space="preserve"> is respected</w:t>
      </w:r>
      <w:r>
        <w:t>.</w:t>
      </w:r>
    </w:p>
  </w:endnote>
  <w:endnote w:id="202">
    <w:p w:rsidR="00347CAB" w:rsidRDefault="00347CAB" w:rsidP="00466CEC">
      <w:pPr>
        <w:pStyle w:val="EndnoteText"/>
        <w:widowControl w:val="0"/>
        <w:tabs>
          <w:tab w:val="clear" w:pos="1021"/>
          <w:tab w:val="right" w:pos="1020"/>
        </w:tabs>
      </w:pPr>
      <w:r>
        <w:tab/>
      </w:r>
      <w:r>
        <w:rPr>
          <w:rStyle w:val="EndnoteReference"/>
        </w:rPr>
        <w:endnoteRef/>
      </w:r>
      <w:r>
        <w:tab/>
      </w:r>
      <w:r w:rsidRPr="00466CEC">
        <w:t>Ensure that migrant and asylum-seeking women receive adequate assistance</w:t>
      </w:r>
      <w:r>
        <w:t>.</w:t>
      </w:r>
    </w:p>
  </w:endnote>
  <w:endnote w:id="203">
    <w:p w:rsidR="00347CAB" w:rsidRDefault="00347CAB" w:rsidP="00466CEC">
      <w:pPr>
        <w:pStyle w:val="EndnoteText"/>
        <w:widowControl w:val="0"/>
        <w:tabs>
          <w:tab w:val="clear" w:pos="1021"/>
          <w:tab w:val="right" w:pos="1020"/>
        </w:tabs>
      </w:pPr>
      <w:r>
        <w:tab/>
      </w:r>
      <w:r>
        <w:rPr>
          <w:rStyle w:val="EndnoteReference"/>
        </w:rPr>
        <w:endnoteRef/>
      </w:r>
      <w:r>
        <w:tab/>
      </w:r>
      <w:r w:rsidRPr="00466CEC">
        <w:t>Advance in measures of assistance and promotion of the rights of migrants, refugees and asylum seekers, in compliance with current international standards</w:t>
      </w:r>
      <w:r>
        <w:t>.</w:t>
      </w:r>
    </w:p>
  </w:endnote>
  <w:endnote w:id="204">
    <w:p w:rsidR="00347CAB" w:rsidRDefault="00347CAB" w:rsidP="00466CEC">
      <w:pPr>
        <w:pStyle w:val="EndnoteText"/>
        <w:widowControl w:val="0"/>
        <w:tabs>
          <w:tab w:val="clear" w:pos="1021"/>
          <w:tab w:val="right" w:pos="1020"/>
        </w:tabs>
      </w:pPr>
      <w:r>
        <w:tab/>
      </w:r>
      <w:r>
        <w:rPr>
          <w:rStyle w:val="EndnoteReference"/>
        </w:rPr>
        <w:endnoteRef/>
      </w:r>
      <w:r>
        <w:tab/>
      </w:r>
      <w:r w:rsidRPr="00466CEC">
        <w:t>Reform its legislation to ensure full respect of the principle of non-</w:t>
      </w:r>
      <w:proofErr w:type="spellStart"/>
      <w:r w:rsidRPr="00466CEC">
        <w:t>refoulement</w:t>
      </w:r>
      <w:proofErr w:type="spellEnd"/>
      <w:r>
        <w:t>.</w:t>
      </w:r>
    </w:p>
  </w:endnote>
  <w:endnote w:id="205">
    <w:p w:rsidR="00347CAB" w:rsidRDefault="00347CAB" w:rsidP="00466CEC">
      <w:pPr>
        <w:pStyle w:val="EndnoteText"/>
        <w:widowControl w:val="0"/>
        <w:tabs>
          <w:tab w:val="clear" w:pos="1021"/>
          <w:tab w:val="right" w:pos="1020"/>
        </w:tabs>
      </w:pPr>
      <w:r>
        <w:tab/>
      </w:r>
      <w:r>
        <w:rPr>
          <w:rStyle w:val="EndnoteReference"/>
        </w:rPr>
        <w:endnoteRef/>
      </w:r>
      <w:r>
        <w:tab/>
      </w:r>
      <w:r w:rsidRPr="00466CEC">
        <w:rPr>
          <w:u w:val="single"/>
        </w:rPr>
        <w:t>Ensure that its legal framework and actions concerning asylum seekers, refugees, and migrants comply with Hungary’s international human rights obligations, including with regard to procedural safeguards.</w:t>
      </w:r>
      <w:r w:rsidRPr="00466CEC">
        <w:t xml:space="preserve"> This includes repealing those amendments to Hungary’s Asylum Law, Law on Criminal Procedure and Criminal Code that are inconsistent with its interna</w:t>
      </w:r>
      <w:r>
        <w:t>tional human rights obligations.</w:t>
      </w:r>
    </w:p>
  </w:endnote>
  <w:endnote w:id="206">
    <w:p w:rsidR="00347CAB" w:rsidRDefault="00347CAB" w:rsidP="00466CEC">
      <w:pPr>
        <w:pStyle w:val="EndnoteText"/>
        <w:widowControl w:val="0"/>
        <w:tabs>
          <w:tab w:val="clear" w:pos="1021"/>
          <w:tab w:val="right" w:pos="1020"/>
        </w:tabs>
      </w:pPr>
      <w:r>
        <w:tab/>
      </w:r>
      <w:r>
        <w:rPr>
          <w:rStyle w:val="EndnoteReference"/>
        </w:rPr>
        <w:endnoteRef/>
      </w:r>
      <w:r>
        <w:tab/>
      </w:r>
      <w:r w:rsidRPr="00466CEC">
        <w:t>Develop actions that improve the living conditions of asylum seekers and prevent discrimination on the grounds of nationality or country of origin</w:t>
      </w:r>
      <w:r>
        <w:t>.</w:t>
      </w:r>
    </w:p>
  </w:endnote>
  <w:endnote w:id="207">
    <w:p w:rsidR="00347CAB" w:rsidRDefault="00347CAB" w:rsidP="00466CEC">
      <w:pPr>
        <w:pStyle w:val="EndnoteText"/>
        <w:widowControl w:val="0"/>
        <w:tabs>
          <w:tab w:val="clear" w:pos="1021"/>
          <w:tab w:val="right" w:pos="1020"/>
        </w:tabs>
      </w:pPr>
      <w:r>
        <w:tab/>
      </w:r>
      <w:r>
        <w:rPr>
          <w:rStyle w:val="EndnoteReference"/>
        </w:rPr>
        <w:endnoteRef/>
      </w:r>
      <w:r>
        <w:tab/>
      </w:r>
      <w:r w:rsidRPr="00466CEC">
        <w:t>Continue to improve the living conditions of migrants, refugees and asylum seekers</w:t>
      </w:r>
      <w:r>
        <w:t>.</w:t>
      </w:r>
    </w:p>
  </w:endnote>
  <w:endnote w:id="208">
    <w:p w:rsidR="00347CAB" w:rsidRDefault="00347CAB" w:rsidP="00466CEC">
      <w:pPr>
        <w:pStyle w:val="EndnoteText"/>
        <w:widowControl w:val="0"/>
        <w:tabs>
          <w:tab w:val="clear" w:pos="1021"/>
          <w:tab w:val="right" w:pos="1020"/>
        </w:tabs>
      </w:pPr>
      <w:r>
        <w:tab/>
      </w:r>
      <w:r>
        <w:rPr>
          <w:rStyle w:val="EndnoteReference"/>
        </w:rPr>
        <w:endnoteRef/>
      </w:r>
      <w:r>
        <w:tab/>
      </w:r>
      <w:r w:rsidRPr="00466CEC">
        <w:t>Ensure the inclusion of a human rights approach in the measures to address the migrant situation, taking into particular account the situation of vulnerable population</w:t>
      </w:r>
      <w:r>
        <w:t>.</w:t>
      </w:r>
    </w:p>
  </w:endnote>
  <w:endnote w:id="209">
    <w:p w:rsidR="00347CAB" w:rsidRDefault="00347CAB" w:rsidP="00466CEC">
      <w:pPr>
        <w:pStyle w:val="EndnoteText"/>
        <w:widowControl w:val="0"/>
        <w:tabs>
          <w:tab w:val="clear" w:pos="1021"/>
          <w:tab w:val="right" w:pos="1020"/>
        </w:tabs>
      </w:pPr>
      <w:r>
        <w:tab/>
      </w:r>
      <w:r>
        <w:rPr>
          <w:rStyle w:val="EndnoteReference"/>
        </w:rPr>
        <w:endnoteRef/>
      </w:r>
      <w:r>
        <w:tab/>
      </w:r>
      <w:r w:rsidRPr="00466CEC">
        <w:t>Apply a dignified and human treatment that respects the universal principles of human rights for people in situation of human mobility, whether migrants or refugees, with special emphasis on strengthening and implementing policies to address trafficking of persons from a holistic approach , particularly regarding women, children and other vulnerable groups, as well as to combat all forms of discrimination, with measures including complaint an denunciation mechanisms for victims that enable them to achieve reparations</w:t>
      </w:r>
      <w:r>
        <w:t>.</w:t>
      </w:r>
    </w:p>
  </w:endnote>
  <w:endnote w:id="210">
    <w:p w:rsidR="00347CAB" w:rsidRDefault="00347CAB" w:rsidP="00466CEC">
      <w:pPr>
        <w:pStyle w:val="EndnoteText"/>
        <w:widowControl w:val="0"/>
        <w:tabs>
          <w:tab w:val="clear" w:pos="1021"/>
          <w:tab w:val="right" w:pos="1020"/>
        </w:tabs>
      </w:pPr>
      <w:r>
        <w:tab/>
      </w:r>
      <w:r>
        <w:rPr>
          <w:rStyle w:val="EndnoteReference"/>
        </w:rPr>
        <w:endnoteRef/>
      </w:r>
      <w:r>
        <w:tab/>
      </w:r>
      <w:r w:rsidRPr="00466CEC">
        <w:t>Ensure that all issues related to migration, asylum seeking and border management are addressed in accordance with respective obligations und</w:t>
      </w:r>
      <w:r>
        <w:t>er applicable international law.</w:t>
      </w:r>
    </w:p>
  </w:endnote>
  <w:endnote w:id="211">
    <w:p w:rsidR="00347CAB" w:rsidRDefault="00347CAB" w:rsidP="00466CEC">
      <w:pPr>
        <w:pStyle w:val="EndnoteText"/>
        <w:widowControl w:val="0"/>
        <w:tabs>
          <w:tab w:val="clear" w:pos="1021"/>
          <w:tab w:val="right" w:pos="1020"/>
        </w:tabs>
      </w:pPr>
      <w:r>
        <w:tab/>
      </w:r>
      <w:r>
        <w:rPr>
          <w:rStyle w:val="EndnoteReference"/>
        </w:rPr>
        <w:endnoteRef/>
      </w:r>
      <w:r>
        <w:tab/>
      </w:r>
      <w:r w:rsidRPr="00466CEC">
        <w:t>Fully respect its obligations under international law by guaranteeing the right to seek asylum through an individual, effective process without discrimination</w:t>
      </w:r>
      <w:r>
        <w:t>.</w:t>
      </w:r>
    </w:p>
  </w:endnote>
  <w:endnote w:id="212">
    <w:p w:rsidR="00347CAB" w:rsidRDefault="00347CAB" w:rsidP="00466CEC">
      <w:pPr>
        <w:pStyle w:val="EndnoteText"/>
        <w:widowControl w:val="0"/>
        <w:tabs>
          <w:tab w:val="clear" w:pos="1021"/>
          <w:tab w:val="right" w:pos="1020"/>
        </w:tabs>
      </w:pPr>
      <w:r>
        <w:tab/>
      </w:r>
      <w:r>
        <w:rPr>
          <w:rStyle w:val="EndnoteReference"/>
        </w:rPr>
        <w:endnoteRef/>
      </w:r>
      <w:r>
        <w:tab/>
      </w:r>
      <w:r w:rsidRPr="00466CEC">
        <w:t xml:space="preserve">Improve the capacity to guarantee every person the possibility to request international protection in a legal way, and create conditions for the medical </w:t>
      </w:r>
      <w:r w:rsidR="008346B2">
        <w:t xml:space="preserve">and </w:t>
      </w:r>
      <w:r w:rsidRPr="00466CEC">
        <w:t>psychological treatment of asylum seekers, especially those who were victims of torture and violence</w:t>
      </w:r>
      <w:r>
        <w:t>.</w:t>
      </w:r>
    </w:p>
  </w:endnote>
  <w:endnote w:id="213">
    <w:p w:rsidR="00347CAB" w:rsidRDefault="00347CAB" w:rsidP="00466CEC">
      <w:pPr>
        <w:pStyle w:val="EndnoteText"/>
        <w:widowControl w:val="0"/>
        <w:tabs>
          <w:tab w:val="clear" w:pos="1021"/>
          <w:tab w:val="right" w:pos="1020"/>
        </w:tabs>
      </w:pPr>
      <w:r>
        <w:tab/>
      </w:r>
      <w:r>
        <w:rPr>
          <w:rStyle w:val="EndnoteReference"/>
        </w:rPr>
        <w:endnoteRef/>
      </w:r>
      <w:r>
        <w:tab/>
      </w:r>
      <w:r w:rsidRPr="00466CEC">
        <w:t>Fully implement international Conventions and standards for the protection of refugees and asylum seekers</w:t>
      </w:r>
      <w:r>
        <w:t>.</w:t>
      </w:r>
    </w:p>
  </w:endnote>
  <w:endnote w:id="214">
    <w:p w:rsidR="00347CAB" w:rsidRDefault="00347CAB" w:rsidP="00466CEC">
      <w:pPr>
        <w:pStyle w:val="EndnoteText"/>
        <w:widowControl w:val="0"/>
        <w:tabs>
          <w:tab w:val="clear" w:pos="1021"/>
          <w:tab w:val="right" w:pos="1020"/>
        </w:tabs>
      </w:pPr>
      <w:r>
        <w:tab/>
      </w:r>
      <w:r>
        <w:rPr>
          <w:rStyle w:val="EndnoteReference"/>
        </w:rPr>
        <w:endnoteRef/>
      </w:r>
      <w:r>
        <w:tab/>
      </w:r>
      <w:r w:rsidRPr="00466CEC">
        <w:t>Work together with the other European States to improve the conditions and treatment given to asylum seekers and refugees</w:t>
      </w:r>
      <w:r>
        <w:t>.</w:t>
      </w:r>
    </w:p>
  </w:endnote>
  <w:endnote w:id="215">
    <w:p w:rsidR="00347CAB" w:rsidRDefault="00347CAB" w:rsidP="00466CEC">
      <w:pPr>
        <w:pStyle w:val="EndnoteText"/>
        <w:widowControl w:val="0"/>
        <w:tabs>
          <w:tab w:val="clear" w:pos="1021"/>
          <w:tab w:val="right" w:pos="1020"/>
        </w:tabs>
      </w:pPr>
      <w:r>
        <w:tab/>
      </w:r>
      <w:r>
        <w:rPr>
          <w:rStyle w:val="EndnoteReference"/>
        </w:rPr>
        <w:endnoteRef/>
      </w:r>
      <w:r>
        <w:tab/>
      </w:r>
      <w:r w:rsidRPr="00466CEC">
        <w:t>Make every effort to pay due attention to the human rights of asylum seekers and to avoid using disproportionate</w:t>
      </w:r>
      <w:r>
        <w:t xml:space="preserve"> force on migrants and refugees.</w:t>
      </w:r>
    </w:p>
  </w:endnote>
  <w:endnote w:id="216">
    <w:p w:rsidR="00347CAB" w:rsidRDefault="00347CAB" w:rsidP="00466CEC">
      <w:pPr>
        <w:pStyle w:val="EndnoteText"/>
        <w:widowControl w:val="0"/>
        <w:tabs>
          <w:tab w:val="clear" w:pos="1021"/>
          <w:tab w:val="right" w:pos="1020"/>
        </w:tabs>
      </w:pPr>
      <w:r>
        <w:tab/>
      </w:r>
      <w:r>
        <w:rPr>
          <w:rStyle w:val="EndnoteReference"/>
        </w:rPr>
        <w:endnoteRef/>
      </w:r>
      <w:r>
        <w:tab/>
      </w:r>
      <w:r w:rsidRPr="00466CEC">
        <w:t>Redouble efforts in order to guarantee the respect of the human rights of migrants, including persons under irregular situation</w:t>
      </w:r>
      <w:r>
        <w:t>.</w:t>
      </w:r>
    </w:p>
  </w:endnote>
  <w:endnote w:id="217">
    <w:p w:rsidR="00347CAB" w:rsidRDefault="00347CAB" w:rsidP="00466CEC">
      <w:pPr>
        <w:pStyle w:val="EndnoteText"/>
        <w:widowControl w:val="0"/>
        <w:tabs>
          <w:tab w:val="clear" w:pos="1021"/>
          <w:tab w:val="right" w:pos="1020"/>
        </w:tabs>
      </w:pPr>
      <w:r>
        <w:tab/>
      </w:r>
      <w:r>
        <w:rPr>
          <w:rStyle w:val="EndnoteReference"/>
        </w:rPr>
        <w:endnoteRef/>
      </w:r>
      <w:r>
        <w:tab/>
      </w:r>
      <w:r w:rsidRPr="00466CEC">
        <w:t>Implement with no exception the principle of non-</w:t>
      </w:r>
      <w:proofErr w:type="spellStart"/>
      <w:r w:rsidRPr="00466CEC">
        <w:t>refoulement</w:t>
      </w:r>
      <w:proofErr w:type="spellEnd"/>
      <w:r w:rsidRPr="00466CEC">
        <w:t xml:space="preserve"> in the context of asylum seeking procedures</w:t>
      </w:r>
      <w:r>
        <w:t>.</w:t>
      </w:r>
    </w:p>
  </w:endnote>
  <w:endnote w:id="218">
    <w:p w:rsidR="00347CAB" w:rsidRDefault="00347CAB" w:rsidP="00466CEC">
      <w:pPr>
        <w:pStyle w:val="EndnoteText"/>
        <w:widowControl w:val="0"/>
        <w:tabs>
          <w:tab w:val="clear" w:pos="1021"/>
          <w:tab w:val="right" w:pos="1020"/>
        </w:tabs>
      </w:pPr>
      <w:r>
        <w:tab/>
      </w:r>
      <w:r>
        <w:rPr>
          <w:rStyle w:val="EndnoteReference"/>
        </w:rPr>
        <w:endnoteRef/>
      </w:r>
      <w:r>
        <w:tab/>
      </w:r>
      <w:r w:rsidRPr="00466CEC">
        <w:t>Comply with the principle of non-</w:t>
      </w:r>
      <w:proofErr w:type="spellStart"/>
      <w:r w:rsidRPr="00466CEC">
        <w:t>refoulement</w:t>
      </w:r>
      <w:proofErr w:type="spellEnd"/>
      <w:r>
        <w:t>.</w:t>
      </w:r>
    </w:p>
  </w:endnote>
  <w:endnote w:id="219">
    <w:p w:rsidR="00347CAB" w:rsidRDefault="00347CAB" w:rsidP="00466CEC">
      <w:pPr>
        <w:pStyle w:val="EndnoteText"/>
        <w:widowControl w:val="0"/>
        <w:tabs>
          <w:tab w:val="clear" w:pos="1021"/>
          <w:tab w:val="right" w:pos="1020"/>
        </w:tabs>
      </w:pPr>
      <w:r>
        <w:tab/>
      </w:r>
      <w:r>
        <w:rPr>
          <w:rStyle w:val="EndnoteReference"/>
        </w:rPr>
        <w:endnoteRef/>
      </w:r>
      <w:r>
        <w:tab/>
      </w:r>
      <w:r w:rsidRPr="00466CEC">
        <w:t>Take measures to work towards improving the living conditions for refugees and asylum seekers</w:t>
      </w:r>
      <w:r>
        <w:t>.</w:t>
      </w:r>
    </w:p>
  </w:endnote>
  <w:endnote w:id="220">
    <w:p w:rsidR="00347CAB" w:rsidRDefault="00347CAB" w:rsidP="00466CEC">
      <w:pPr>
        <w:pStyle w:val="EndnoteText"/>
        <w:widowControl w:val="0"/>
        <w:tabs>
          <w:tab w:val="clear" w:pos="1021"/>
          <w:tab w:val="right" w:pos="1020"/>
        </w:tabs>
      </w:pPr>
      <w:r>
        <w:tab/>
      </w:r>
      <w:r>
        <w:rPr>
          <w:rStyle w:val="EndnoteReference"/>
        </w:rPr>
        <w:endnoteRef/>
      </w:r>
      <w:r>
        <w:tab/>
      </w:r>
      <w:r w:rsidRPr="00466CEC">
        <w:t>Strengthen efforts in addressing issues of irregular migrants in the country in line with international human rights law obligations</w:t>
      </w:r>
      <w:r>
        <w:t>.</w:t>
      </w:r>
    </w:p>
  </w:endnote>
  <w:endnote w:id="221">
    <w:p w:rsidR="00347CAB" w:rsidRDefault="00347CAB" w:rsidP="00466CEC">
      <w:pPr>
        <w:pStyle w:val="EndnoteText"/>
        <w:widowControl w:val="0"/>
        <w:tabs>
          <w:tab w:val="clear" w:pos="1021"/>
          <w:tab w:val="right" w:pos="1020"/>
        </w:tabs>
      </w:pPr>
      <w:r>
        <w:tab/>
      </w:r>
      <w:r>
        <w:rPr>
          <w:rStyle w:val="EndnoteReference"/>
        </w:rPr>
        <w:endnoteRef/>
      </w:r>
      <w:r>
        <w:tab/>
      </w:r>
      <w:r w:rsidRPr="00466CEC">
        <w:t>Improve the living conditions of asylum seekers and step up efforts directed towards improving the treatment of asylum seekers and refugees</w:t>
      </w:r>
      <w:r>
        <w:t>.</w:t>
      </w:r>
    </w:p>
  </w:endnote>
  <w:endnote w:id="222">
    <w:p w:rsidR="00347CAB" w:rsidRDefault="00347CAB" w:rsidP="00466CEC">
      <w:pPr>
        <w:pStyle w:val="EndnoteText"/>
        <w:widowControl w:val="0"/>
        <w:tabs>
          <w:tab w:val="clear" w:pos="1021"/>
          <w:tab w:val="right" w:pos="1020"/>
        </w:tabs>
      </w:pPr>
      <w:r>
        <w:tab/>
      </w:r>
      <w:r>
        <w:rPr>
          <w:rStyle w:val="EndnoteReference"/>
        </w:rPr>
        <w:endnoteRef/>
      </w:r>
      <w:r>
        <w:tab/>
      </w:r>
      <w:r w:rsidRPr="00466CEC">
        <w:t>Review legislation on the rights of migrants and asylum seekers in accordance with Hungary’s obligations under international and European Law and to better apply existing internal rules, namely those related to the handling of unaccompanied children</w:t>
      </w:r>
      <w:r>
        <w:t>.</w:t>
      </w:r>
    </w:p>
  </w:endnote>
  <w:endnote w:id="223">
    <w:p w:rsidR="00347CAB" w:rsidRDefault="00347CAB" w:rsidP="00466CEC">
      <w:pPr>
        <w:pStyle w:val="EndnoteText"/>
        <w:widowControl w:val="0"/>
        <w:tabs>
          <w:tab w:val="clear" w:pos="1021"/>
          <w:tab w:val="right" w:pos="1020"/>
        </w:tabs>
      </w:pPr>
      <w:r>
        <w:tab/>
      </w:r>
      <w:r>
        <w:rPr>
          <w:rStyle w:val="EndnoteReference"/>
        </w:rPr>
        <w:endnoteRef/>
      </w:r>
      <w:r>
        <w:tab/>
      </w:r>
      <w:r w:rsidRPr="00466CEC">
        <w:t>Make efforts to ensure transparency and consideration for human rights, in particular those of women and children, in its treatment of migrants and refugees</w:t>
      </w:r>
      <w:r>
        <w:t>.</w:t>
      </w:r>
    </w:p>
  </w:endnote>
  <w:endnote w:id="224">
    <w:p w:rsidR="00347CAB" w:rsidRDefault="00347CAB" w:rsidP="00466CEC">
      <w:pPr>
        <w:pStyle w:val="EndnoteText"/>
        <w:widowControl w:val="0"/>
        <w:tabs>
          <w:tab w:val="clear" w:pos="1021"/>
          <w:tab w:val="right" w:pos="1020"/>
        </w:tabs>
      </w:pPr>
      <w:r>
        <w:tab/>
      </w:r>
      <w:r>
        <w:rPr>
          <w:rStyle w:val="EndnoteReference"/>
        </w:rPr>
        <w:endnoteRef/>
      </w:r>
      <w:r>
        <w:tab/>
      </w:r>
      <w:r w:rsidRPr="00466CEC">
        <w:t>Ensure that enforcement authorities comply with international human rights obligations in the treatment of migrants and asylum seekers, and expedite the judicial process to avoid prolonged detention of migrants and asylum seekers</w:t>
      </w:r>
      <w:r>
        <w:t>.</w:t>
      </w:r>
    </w:p>
  </w:endnote>
  <w:endnote w:id="225">
    <w:p w:rsidR="00347CAB" w:rsidRDefault="00347CAB" w:rsidP="00466CEC">
      <w:pPr>
        <w:pStyle w:val="EndnoteText"/>
        <w:widowControl w:val="0"/>
        <w:tabs>
          <w:tab w:val="clear" w:pos="1021"/>
          <w:tab w:val="right" w:pos="1020"/>
        </w:tabs>
      </w:pPr>
      <w:r>
        <w:tab/>
      </w:r>
      <w:r>
        <w:rPr>
          <w:rStyle w:val="EndnoteReference"/>
        </w:rPr>
        <w:endnoteRef/>
      </w:r>
      <w:r>
        <w:tab/>
      </w:r>
      <w:r w:rsidRPr="00466CEC">
        <w:t>Continue the efforts to improve the treatment of migrants and asylum seekers</w:t>
      </w:r>
      <w:r>
        <w:t>.</w:t>
      </w:r>
    </w:p>
  </w:endnote>
  <w:endnote w:id="226">
    <w:p w:rsidR="00347CAB" w:rsidRDefault="00347CAB" w:rsidP="00466CEC">
      <w:pPr>
        <w:pStyle w:val="EndnoteText"/>
        <w:widowControl w:val="0"/>
        <w:tabs>
          <w:tab w:val="clear" w:pos="1021"/>
          <w:tab w:val="right" w:pos="1020"/>
        </w:tabs>
      </w:pPr>
      <w:r>
        <w:tab/>
      </w:r>
      <w:r>
        <w:rPr>
          <w:rStyle w:val="EndnoteReference"/>
        </w:rPr>
        <w:endnoteRef/>
      </w:r>
      <w:r>
        <w:tab/>
      </w:r>
      <w:r w:rsidRPr="00466CEC">
        <w:t>Continue to fulfil its international human rights obligations regarding asylum</w:t>
      </w:r>
      <w:r>
        <w:t xml:space="preserve"> seekers, refugees and migrants.</w:t>
      </w:r>
    </w:p>
  </w:endnote>
  <w:endnote w:id="227">
    <w:p w:rsidR="00347CAB" w:rsidRDefault="00347CAB" w:rsidP="00466CEC">
      <w:pPr>
        <w:pStyle w:val="EndnoteText"/>
        <w:widowControl w:val="0"/>
        <w:tabs>
          <w:tab w:val="clear" w:pos="1021"/>
          <w:tab w:val="right" w:pos="1020"/>
        </w:tabs>
      </w:pPr>
      <w:r>
        <w:tab/>
      </w:r>
      <w:r>
        <w:rPr>
          <w:rStyle w:val="EndnoteReference"/>
        </w:rPr>
        <w:endnoteRef/>
      </w:r>
      <w:r>
        <w:tab/>
      </w:r>
      <w:r w:rsidRPr="00466CEC">
        <w:t>Till April 2016, out of 10.555 asylum seekers only 892 were detained</w:t>
      </w:r>
      <w:r>
        <w:t>.</w:t>
      </w:r>
    </w:p>
  </w:endnote>
  <w:endnote w:id="228">
    <w:p w:rsidR="00347CAB" w:rsidRDefault="00347CAB" w:rsidP="00466CEC">
      <w:pPr>
        <w:pStyle w:val="EndnoteText"/>
        <w:widowControl w:val="0"/>
        <w:tabs>
          <w:tab w:val="clear" w:pos="1021"/>
          <w:tab w:val="right" w:pos="1020"/>
        </w:tabs>
      </w:pPr>
      <w:r>
        <w:tab/>
      </w:r>
      <w:r>
        <w:rPr>
          <w:rStyle w:val="EndnoteReference"/>
        </w:rPr>
        <w:endnoteRef/>
      </w:r>
      <w:r>
        <w:tab/>
      </w:r>
      <w:proofErr w:type="gramStart"/>
      <w:r>
        <w:t>D</w:t>
      </w:r>
      <w:r w:rsidRPr="00466CEC">
        <w:t>esignated place of residence, asylum bail, regular reporting before the refugee authority</w:t>
      </w:r>
      <w:r>
        <w:t>.</w:t>
      </w:r>
      <w:proofErr w:type="gramEnd"/>
    </w:p>
  </w:endnote>
  <w:endnote w:id="229">
    <w:p w:rsidR="00347CAB" w:rsidRDefault="00347CAB" w:rsidP="00466CEC">
      <w:pPr>
        <w:pStyle w:val="EndnoteText"/>
        <w:widowControl w:val="0"/>
        <w:tabs>
          <w:tab w:val="clear" w:pos="1021"/>
          <w:tab w:val="right" w:pos="1020"/>
        </w:tabs>
      </w:pPr>
      <w:r>
        <w:tab/>
      </w:r>
      <w:r>
        <w:rPr>
          <w:rStyle w:val="EndnoteReference"/>
        </w:rPr>
        <w:endnoteRef/>
      </w:r>
      <w:r>
        <w:tab/>
      </w:r>
      <w:proofErr w:type="gramStart"/>
      <w:r w:rsidR="00025C89">
        <w:t>R</w:t>
      </w:r>
      <w:r w:rsidRPr="00466CEC">
        <w:t>elevant UNHCR recommendations, EU legislation, jurisprudence of the European Court of Human Rights and the Court of Justice of the EU</w:t>
      </w:r>
      <w:r>
        <w:t>.</w:t>
      </w:r>
      <w:proofErr w:type="gramEnd"/>
    </w:p>
  </w:endnote>
  <w:endnote w:id="230">
    <w:p w:rsidR="00347CAB" w:rsidRDefault="00347CAB" w:rsidP="00466CEC">
      <w:pPr>
        <w:pStyle w:val="EndnoteText"/>
        <w:widowControl w:val="0"/>
        <w:tabs>
          <w:tab w:val="clear" w:pos="1021"/>
          <w:tab w:val="right" w:pos="1020"/>
        </w:tabs>
      </w:pPr>
      <w:r>
        <w:tab/>
      </w:r>
      <w:r>
        <w:rPr>
          <w:rStyle w:val="EndnoteReference"/>
        </w:rPr>
        <w:endnoteRef/>
      </w:r>
      <w:r>
        <w:tab/>
      </w:r>
      <w:r w:rsidRPr="00466CEC">
        <w:t>Seek alternatives to detaining asylum seekers and migrants, particularly children. Take immediate and effective measures to ensure that conditions of detention are fully consistent with UN Standard Minimum Rules for the Treatment of Prisoners</w:t>
      </w:r>
      <w:r>
        <w:t>.</w:t>
      </w:r>
    </w:p>
  </w:endnote>
  <w:endnote w:id="231">
    <w:p w:rsidR="00347CAB" w:rsidRDefault="00347CAB" w:rsidP="00466CEC">
      <w:pPr>
        <w:pStyle w:val="EndnoteText"/>
        <w:widowControl w:val="0"/>
        <w:tabs>
          <w:tab w:val="clear" w:pos="1021"/>
          <w:tab w:val="right" w:pos="1020"/>
        </w:tabs>
      </w:pPr>
      <w:r>
        <w:tab/>
      </w:r>
      <w:r>
        <w:rPr>
          <w:rStyle w:val="EndnoteReference"/>
        </w:rPr>
        <w:endnoteRef/>
      </w:r>
      <w:r>
        <w:tab/>
      </w:r>
      <w:r w:rsidRPr="00466CEC">
        <w:t>Take immediate action to improve national asylum system, including by elaborating a national action plan, to avoid continuation of harsh conditions of detention and treatment of asylum seekers and refugees</w:t>
      </w:r>
      <w:r>
        <w:t>.</w:t>
      </w:r>
    </w:p>
  </w:endnote>
  <w:endnote w:id="232">
    <w:p w:rsidR="00347CAB" w:rsidRDefault="00347CAB" w:rsidP="00466CEC">
      <w:pPr>
        <w:pStyle w:val="EndnoteText"/>
        <w:widowControl w:val="0"/>
        <w:tabs>
          <w:tab w:val="clear" w:pos="1021"/>
          <w:tab w:val="right" w:pos="1020"/>
        </w:tabs>
      </w:pPr>
      <w:r>
        <w:tab/>
      </w:r>
      <w:r>
        <w:rPr>
          <w:rStyle w:val="EndnoteReference"/>
        </w:rPr>
        <w:endnoteRef/>
      </w:r>
      <w:r>
        <w:tab/>
      </w:r>
      <w:r w:rsidRPr="00466CEC">
        <w:t>Take all the necessary steps to address the placing of asylum-seeking and migrant children in detention, including by repealing relevant legislation allowing for the detention of families accompanied by children</w:t>
      </w:r>
      <w:r>
        <w:t>.</w:t>
      </w:r>
    </w:p>
  </w:endnote>
  <w:endnote w:id="233">
    <w:p w:rsidR="00347CAB" w:rsidRDefault="00347CAB" w:rsidP="00466CEC">
      <w:pPr>
        <w:pStyle w:val="EndnoteText"/>
        <w:widowControl w:val="0"/>
        <w:tabs>
          <w:tab w:val="clear" w:pos="1021"/>
          <w:tab w:val="right" w:pos="1020"/>
        </w:tabs>
      </w:pPr>
      <w:r>
        <w:tab/>
      </w:r>
      <w:r>
        <w:rPr>
          <w:rStyle w:val="EndnoteReference"/>
        </w:rPr>
        <w:endnoteRef/>
      </w:r>
      <w:r>
        <w:tab/>
      </w:r>
      <w:r w:rsidRPr="00466CEC">
        <w:t>Take steps to ensure that detention of asylum-seekers is used only in exceptional cases, the procedure for detention is transparent and comprehensible, and that detainees have access to effective legal remedy</w:t>
      </w:r>
      <w:r>
        <w:t>.</w:t>
      </w:r>
    </w:p>
  </w:endnote>
  <w:endnote w:id="234">
    <w:p w:rsidR="00347CAB" w:rsidRDefault="00347CAB" w:rsidP="00466CEC">
      <w:pPr>
        <w:pStyle w:val="EndnoteText"/>
        <w:widowControl w:val="0"/>
        <w:tabs>
          <w:tab w:val="clear" w:pos="1021"/>
          <w:tab w:val="right" w:pos="1020"/>
        </w:tabs>
      </w:pPr>
      <w:r>
        <w:tab/>
      </w:r>
      <w:r>
        <w:rPr>
          <w:rStyle w:val="EndnoteReference"/>
        </w:rPr>
        <w:endnoteRef/>
      </w:r>
      <w:r>
        <w:tab/>
      </w:r>
      <w:r w:rsidRPr="00466CEC">
        <w:t>Strengthen its efforts to improve the detention conditions of migrants and asylum seekers, including by refraining from excessive use of force, ill-treatment, and prolongation of detention periods; and also to adopt a comprehensive integration strategy for their early stage integration</w:t>
      </w:r>
      <w:r>
        <w:t>.</w:t>
      </w:r>
    </w:p>
  </w:endnote>
  <w:endnote w:id="235">
    <w:p w:rsidR="00347CAB" w:rsidRDefault="00347CAB" w:rsidP="00466CEC">
      <w:pPr>
        <w:pStyle w:val="EndnoteText"/>
        <w:widowControl w:val="0"/>
        <w:tabs>
          <w:tab w:val="clear" w:pos="1021"/>
          <w:tab w:val="right" w:pos="1020"/>
        </w:tabs>
      </w:pPr>
      <w:r>
        <w:tab/>
      </w:r>
      <w:r>
        <w:rPr>
          <w:rStyle w:val="EndnoteReference"/>
        </w:rPr>
        <w:endnoteRef/>
      </w:r>
      <w:r>
        <w:tab/>
      </w:r>
      <w:r w:rsidRPr="00466CEC">
        <w:t>Eliminate detention in penitentiary establishments of asylum seekers and refugees</w:t>
      </w:r>
      <w:r>
        <w:t>.</w:t>
      </w:r>
    </w:p>
  </w:endnote>
  <w:endnote w:id="236">
    <w:p w:rsidR="00347CAB" w:rsidRDefault="00347CAB" w:rsidP="00466CEC">
      <w:pPr>
        <w:pStyle w:val="EndnoteText"/>
        <w:widowControl w:val="0"/>
        <w:tabs>
          <w:tab w:val="clear" w:pos="1021"/>
          <w:tab w:val="right" w:pos="1020"/>
        </w:tabs>
      </w:pPr>
      <w:r>
        <w:tab/>
      </w:r>
      <w:r>
        <w:rPr>
          <w:rStyle w:val="EndnoteReference"/>
        </w:rPr>
        <w:endnoteRef/>
      </w:r>
      <w:r>
        <w:tab/>
      </w:r>
      <w:r w:rsidRPr="00466CEC">
        <w:t>Repeal the amendments to the Criminal Code that criminalizes “illegal entry” and introduces “transit zones” at the border</w:t>
      </w:r>
      <w:r>
        <w:t xml:space="preserve"> and a list of “safe countries”.</w:t>
      </w:r>
    </w:p>
  </w:endnote>
  <w:endnote w:id="237">
    <w:p w:rsidR="00347CAB" w:rsidRDefault="00347CAB" w:rsidP="00466CEC">
      <w:pPr>
        <w:pStyle w:val="EndnoteText"/>
        <w:widowControl w:val="0"/>
        <w:tabs>
          <w:tab w:val="clear" w:pos="1021"/>
          <w:tab w:val="right" w:pos="1020"/>
        </w:tabs>
      </w:pPr>
      <w:r>
        <w:tab/>
      </w:r>
      <w:r>
        <w:rPr>
          <w:rStyle w:val="EndnoteReference"/>
        </w:rPr>
        <w:endnoteRef/>
      </w:r>
      <w:r>
        <w:tab/>
      </w:r>
      <w:r w:rsidRPr="00466CEC">
        <w:t>Ensure the prompt and impartial investigation of any excessive use of force in policing the border operations, including by the military</w:t>
      </w:r>
      <w:r>
        <w:t>.</w:t>
      </w:r>
    </w:p>
  </w:endnote>
  <w:endnote w:id="238">
    <w:p w:rsidR="00347CAB" w:rsidRDefault="00347CAB" w:rsidP="00466CEC">
      <w:pPr>
        <w:pStyle w:val="EndnoteText"/>
        <w:widowControl w:val="0"/>
        <w:tabs>
          <w:tab w:val="clear" w:pos="1021"/>
          <w:tab w:val="right" w:pos="1020"/>
        </w:tabs>
      </w:pPr>
      <w:r>
        <w:tab/>
      </w:r>
      <w:r>
        <w:rPr>
          <w:rStyle w:val="EndnoteReference"/>
        </w:rPr>
        <w:endnoteRef/>
      </w:r>
      <w:r>
        <w:tab/>
      </w:r>
      <w:r w:rsidRPr="00466CEC">
        <w:t>Lift the measures in force that imply the discrimination and rejection of migrants and refugees, in particular those concerning t</w:t>
      </w:r>
      <w:r>
        <w:t>o the use of force against them.</w:t>
      </w:r>
    </w:p>
  </w:endnote>
  <w:endnote w:id="239">
    <w:p w:rsidR="00347CAB" w:rsidRDefault="00347CAB" w:rsidP="00347CAB">
      <w:pPr>
        <w:pStyle w:val="EndnoteText"/>
        <w:widowControl w:val="0"/>
        <w:tabs>
          <w:tab w:val="clear" w:pos="1021"/>
          <w:tab w:val="right" w:pos="1020"/>
        </w:tabs>
      </w:pPr>
      <w:r>
        <w:tab/>
      </w:r>
      <w:r>
        <w:rPr>
          <w:rStyle w:val="EndnoteReference"/>
        </w:rPr>
        <w:endnoteRef/>
      </w:r>
      <w:r>
        <w:tab/>
      </w:r>
      <w:r w:rsidRPr="00347CAB">
        <w:t>Take measures to address the persistence of preventive detention in police centres and the high risk of ill-treatment</w:t>
      </w:r>
      <w:r>
        <w:t>.</w:t>
      </w:r>
    </w:p>
  </w:endnote>
  <w:endnote w:id="240">
    <w:p w:rsidR="00347CAB" w:rsidRDefault="00347CAB" w:rsidP="00347CAB">
      <w:pPr>
        <w:pStyle w:val="EndnoteText"/>
        <w:widowControl w:val="0"/>
        <w:tabs>
          <w:tab w:val="clear" w:pos="1021"/>
          <w:tab w:val="right" w:pos="1020"/>
        </w:tabs>
      </w:pPr>
      <w:r>
        <w:tab/>
      </w:r>
      <w:r>
        <w:rPr>
          <w:rStyle w:val="EndnoteReference"/>
        </w:rPr>
        <w:endnoteRef/>
      </w:r>
      <w:r>
        <w:tab/>
      </w:r>
      <w:r w:rsidRPr="00347CAB">
        <w:t>Decriminalize the access to its territory for persons wishing to file a request for asylum, and process the asylum applications individually and in a non-discriminatory fashion, in compliance with its international obligations</w:t>
      </w:r>
      <w:r>
        <w:t>.</w:t>
      </w:r>
    </w:p>
  </w:endnote>
  <w:endnote w:id="241">
    <w:p w:rsidR="00347CAB" w:rsidRDefault="00347CAB" w:rsidP="00347CAB">
      <w:pPr>
        <w:pStyle w:val="EndnoteText"/>
        <w:widowControl w:val="0"/>
        <w:tabs>
          <w:tab w:val="clear" w:pos="1021"/>
          <w:tab w:val="right" w:pos="1020"/>
        </w:tabs>
      </w:pPr>
      <w:r>
        <w:tab/>
      </w:r>
      <w:r>
        <w:rPr>
          <w:rStyle w:val="EndnoteReference"/>
        </w:rPr>
        <w:endnoteRef/>
      </w:r>
      <w:r>
        <w:tab/>
      </w:r>
      <w:r w:rsidRPr="00347CAB">
        <w:t>Actively participate in the refugee resettlement / humanitarian admission process directly from Turkey to the EU, as this is actually the only way to save lives and crack down criminal networks of smugglers</w:t>
      </w:r>
      <w:r>
        <w:t>.</w:t>
      </w:r>
    </w:p>
  </w:endnote>
  <w:endnote w:id="242">
    <w:p w:rsidR="00347CAB" w:rsidRDefault="00347CAB" w:rsidP="00347CAB">
      <w:pPr>
        <w:pStyle w:val="EndnoteText"/>
        <w:widowControl w:val="0"/>
        <w:tabs>
          <w:tab w:val="clear" w:pos="1021"/>
          <w:tab w:val="right" w:pos="1020"/>
        </w:tabs>
      </w:pPr>
      <w:r>
        <w:tab/>
      </w:r>
      <w:r>
        <w:rPr>
          <w:rStyle w:val="EndnoteReference"/>
        </w:rPr>
        <w:endnoteRef/>
      </w:r>
      <w:r>
        <w:tab/>
      </w:r>
      <w:r w:rsidRPr="00347CAB">
        <w:t>Repeal the amendments to the Criminal Code that criminalizes “illegal entry” and introduces “transit zones” at the border</w:t>
      </w:r>
      <w:r>
        <w:t xml:space="preserve"> and a list of “safe countries”.</w:t>
      </w:r>
    </w:p>
  </w:endnote>
  <w:endnote w:id="243">
    <w:p w:rsidR="00347CAB" w:rsidRDefault="00347CAB" w:rsidP="00347CAB">
      <w:pPr>
        <w:pStyle w:val="EndnoteText"/>
        <w:widowControl w:val="0"/>
        <w:tabs>
          <w:tab w:val="clear" w:pos="1021"/>
          <w:tab w:val="right" w:pos="1020"/>
        </w:tabs>
      </w:pPr>
      <w:r>
        <w:tab/>
      </w:r>
      <w:r>
        <w:rPr>
          <w:rStyle w:val="EndnoteReference"/>
        </w:rPr>
        <w:endnoteRef/>
      </w:r>
      <w:r>
        <w:tab/>
      </w:r>
      <w:r w:rsidRPr="00347CAB">
        <w:t xml:space="preserve">Revise the national list of safe countries in order to avoid the high number of </w:t>
      </w:r>
      <w:proofErr w:type="spellStart"/>
      <w:r w:rsidRPr="00347CAB">
        <w:t>unadmitted</w:t>
      </w:r>
      <w:proofErr w:type="spellEnd"/>
      <w:r w:rsidRPr="00347CAB">
        <w:t xml:space="preserve"> requests that have been pointed out by th</w:t>
      </w:r>
      <w:r>
        <w:t>e Helsinki Committee of Hungary.</w:t>
      </w:r>
    </w:p>
  </w:endnote>
  <w:endnote w:id="244">
    <w:p w:rsidR="00B15526" w:rsidRDefault="00B15526" w:rsidP="00B15526">
      <w:pPr>
        <w:pStyle w:val="EndnoteText"/>
        <w:widowControl w:val="0"/>
        <w:tabs>
          <w:tab w:val="clear" w:pos="1021"/>
          <w:tab w:val="right" w:pos="1020"/>
        </w:tabs>
      </w:pPr>
      <w:r>
        <w:tab/>
      </w:r>
      <w:r>
        <w:rPr>
          <w:rStyle w:val="EndnoteReference"/>
        </w:rPr>
        <w:endnoteRef/>
      </w:r>
      <w:r>
        <w:tab/>
      </w:r>
      <w:r w:rsidRPr="00B15526">
        <w:t>Remedy the shortcomings in the media law as expressed by the Venice Commission</w:t>
      </w:r>
      <w:r>
        <w:t>.</w:t>
      </w:r>
    </w:p>
  </w:endnote>
  <w:endnote w:id="245">
    <w:p w:rsidR="00B15526" w:rsidRDefault="00B15526" w:rsidP="00B15526">
      <w:pPr>
        <w:pStyle w:val="EndnoteText"/>
        <w:widowControl w:val="0"/>
        <w:tabs>
          <w:tab w:val="clear" w:pos="1021"/>
          <w:tab w:val="right" w:pos="1020"/>
        </w:tabs>
      </w:pPr>
      <w:r>
        <w:tab/>
      </w:r>
      <w:r>
        <w:rPr>
          <w:rStyle w:val="EndnoteReference"/>
        </w:rPr>
        <w:endnoteRef/>
      </w:r>
      <w:r>
        <w:tab/>
      </w:r>
      <w:r w:rsidRPr="00B15526">
        <w:t>Take concrete steps to promote pluralism of the media and their independent work, including the exercise of their watchdog function</w:t>
      </w:r>
      <w:r>
        <w:t>.</w:t>
      </w:r>
    </w:p>
  </w:endnote>
  <w:endnote w:id="246">
    <w:p w:rsidR="00B15526" w:rsidRDefault="00B15526" w:rsidP="00B15526">
      <w:pPr>
        <w:pStyle w:val="EndnoteText"/>
        <w:widowControl w:val="0"/>
        <w:tabs>
          <w:tab w:val="clear" w:pos="1021"/>
          <w:tab w:val="right" w:pos="1020"/>
        </w:tabs>
      </w:pPr>
      <w:r>
        <w:tab/>
      </w:r>
      <w:r>
        <w:rPr>
          <w:rStyle w:val="EndnoteReference"/>
        </w:rPr>
        <w:endnoteRef/>
      </w:r>
      <w:r>
        <w:tab/>
      </w:r>
      <w:r w:rsidRPr="00B15526">
        <w:t>Take the necessary measures to promote media pluralism and fight threats against freedom of the press and freedom of expression</w:t>
      </w:r>
      <w:r>
        <w:t>.</w:t>
      </w:r>
    </w:p>
  </w:endnote>
  <w:endnote w:id="247">
    <w:p w:rsidR="00B15526" w:rsidRDefault="00B15526" w:rsidP="00B15526">
      <w:pPr>
        <w:pStyle w:val="EndnoteText"/>
        <w:widowControl w:val="0"/>
        <w:tabs>
          <w:tab w:val="clear" w:pos="1021"/>
          <w:tab w:val="right" w:pos="1020"/>
        </w:tabs>
      </w:pPr>
      <w:r>
        <w:tab/>
      </w:r>
      <w:r>
        <w:rPr>
          <w:rStyle w:val="EndnoteReference"/>
        </w:rPr>
        <w:endnoteRef/>
      </w:r>
      <w:r>
        <w:tab/>
      </w:r>
      <w:r w:rsidRPr="00B15526">
        <w:t>Take appropriate measures to further relax restricti</w:t>
      </w:r>
      <w:r>
        <w:t>ons on the freedom of the media.</w:t>
      </w:r>
    </w:p>
  </w:endnote>
  <w:endnote w:id="248">
    <w:p w:rsidR="00B15526" w:rsidRDefault="00B15526" w:rsidP="00B15526">
      <w:pPr>
        <w:pStyle w:val="EndnoteText"/>
        <w:widowControl w:val="0"/>
        <w:tabs>
          <w:tab w:val="clear" w:pos="1021"/>
          <w:tab w:val="right" w:pos="1020"/>
        </w:tabs>
      </w:pPr>
      <w:r>
        <w:tab/>
      </w:r>
      <w:r>
        <w:rPr>
          <w:rStyle w:val="EndnoteReference"/>
        </w:rPr>
        <w:endnoteRef/>
      </w:r>
      <w:r>
        <w:tab/>
      </w:r>
      <w:r w:rsidRPr="00B15526">
        <w:t>Amend the media law in line with previous recommendations to ensure that all media laws are in line with the right to fr</w:t>
      </w:r>
      <w:r>
        <w:t>eedom of opinion and expression.</w:t>
      </w:r>
    </w:p>
  </w:endnote>
  <w:endnote w:id="249">
    <w:p w:rsidR="00B15526" w:rsidRDefault="00B15526" w:rsidP="00B15526">
      <w:pPr>
        <w:pStyle w:val="EndnoteText"/>
        <w:widowControl w:val="0"/>
        <w:tabs>
          <w:tab w:val="clear" w:pos="1021"/>
          <w:tab w:val="right" w:pos="1020"/>
        </w:tabs>
      </w:pPr>
      <w:r>
        <w:tab/>
      </w:r>
      <w:r>
        <w:rPr>
          <w:rStyle w:val="EndnoteReference"/>
        </w:rPr>
        <w:endnoteRef/>
      </w:r>
      <w:r>
        <w:tab/>
      </w:r>
      <w:r w:rsidRPr="00B15526">
        <w:t>Intensify efforts to prevent overcrowding in prisons</w:t>
      </w:r>
      <w:r>
        <w:t>.</w:t>
      </w:r>
    </w:p>
  </w:endnote>
  <w:endnote w:id="250">
    <w:p w:rsidR="00B15526" w:rsidRDefault="00B15526" w:rsidP="00B15526">
      <w:pPr>
        <w:pStyle w:val="EndnoteText"/>
        <w:widowControl w:val="0"/>
        <w:tabs>
          <w:tab w:val="clear" w:pos="1021"/>
          <w:tab w:val="right" w:pos="1020"/>
        </w:tabs>
      </w:pPr>
      <w:r>
        <w:tab/>
      </w:r>
      <w:r>
        <w:rPr>
          <w:rStyle w:val="EndnoteReference"/>
        </w:rPr>
        <w:endnoteRef/>
      </w:r>
      <w:r>
        <w:tab/>
      </w:r>
      <w:r w:rsidRPr="00B15526">
        <w:t>Reduce the length of the initial pre-trial detention phase</w:t>
      </w:r>
      <w:r>
        <w:t>.</w:t>
      </w:r>
    </w:p>
  </w:endnote>
  <w:endnote w:id="251">
    <w:p w:rsidR="00B15526" w:rsidRDefault="00B15526" w:rsidP="00B15526">
      <w:pPr>
        <w:pStyle w:val="EndnoteText"/>
        <w:widowControl w:val="0"/>
        <w:tabs>
          <w:tab w:val="clear" w:pos="1021"/>
          <w:tab w:val="right" w:pos="1020"/>
        </w:tabs>
      </w:pPr>
      <w:r>
        <w:tab/>
      </w:r>
      <w:r>
        <w:rPr>
          <w:rStyle w:val="EndnoteReference"/>
        </w:rPr>
        <w:endnoteRef/>
      </w:r>
      <w:r>
        <w:tab/>
      </w:r>
      <w:r w:rsidRPr="00B15526">
        <w:t>Maintain its commitment to the realization of the right to work for all including through technical and vocational training for young people</w:t>
      </w:r>
      <w:r>
        <w:t>.</w:t>
      </w:r>
    </w:p>
  </w:endnote>
  <w:endnote w:id="252">
    <w:p w:rsidR="00B15526" w:rsidRDefault="00B15526" w:rsidP="00B15526">
      <w:pPr>
        <w:pStyle w:val="EndnoteText"/>
        <w:widowControl w:val="0"/>
        <w:tabs>
          <w:tab w:val="clear" w:pos="1021"/>
          <w:tab w:val="right" w:pos="1020"/>
        </w:tabs>
      </w:pPr>
      <w:r>
        <w:tab/>
      </w:r>
      <w:r>
        <w:rPr>
          <w:rStyle w:val="EndnoteReference"/>
        </w:rPr>
        <w:endnoteRef/>
      </w:r>
      <w:r>
        <w:tab/>
      </w:r>
      <w:r w:rsidRPr="00B15526">
        <w:t>Ensure that its policies, legislation, regulations and enforcement measures effectively serve to prevent and address the heightened risk of business involvement in abuses in conflict situations, which includes situations of foreign occupation</w:t>
      </w:r>
      <w:r>
        <w:t>.</w:t>
      </w:r>
    </w:p>
  </w:endnote>
  <w:endnote w:id="253">
    <w:p w:rsidR="00B15526" w:rsidRDefault="00B15526" w:rsidP="00B15526">
      <w:pPr>
        <w:pStyle w:val="EndnoteText"/>
        <w:widowControl w:val="0"/>
        <w:tabs>
          <w:tab w:val="clear" w:pos="1021"/>
          <w:tab w:val="right" w:pos="1020"/>
        </w:tabs>
      </w:pPr>
      <w:r>
        <w:tab/>
      </w:r>
      <w:r>
        <w:rPr>
          <w:rStyle w:val="EndnoteReference"/>
        </w:rPr>
        <w:endnoteRef/>
      </w:r>
      <w:r>
        <w:tab/>
        <w:t>Increase level of ODA.</w:t>
      </w:r>
    </w:p>
    <w:p w:rsidR="00B15526" w:rsidRPr="00B15526" w:rsidRDefault="00B15526" w:rsidP="00B15526">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CAB" w:rsidRPr="000F2AE2" w:rsidRDefault="00347CAB" w:rsidP="000F2AE2">
    <w:pPr>
      <w:pStyle w:val="Footer"/>
      <w:tabs>
        <w:tab w:val="right" w:pos="9638"/>
      </w:tabs>
    </w:pPr>
    <w:r w:rsidRPr="000F2AE2">
      <w:rPr>
        <w:b/>
        <w:sz w:val="18"/>
      </w:rPr>
      <w:fldChar w:fldCharType="begin"/>
    </w:r>
    <w:r w:rsidRPr="000F2AE2">
      <w:rPr>
        <w:b/>
        <w:sz w:val="18"/>
      </w:rPr>
      <w:instrText xml:space="preserve"> PAGE  \* MERGEFORMAT </w:instrText>
    </w:r>
    <w:r w:rsidRPr="000F2AE2">
      <w:rPr>
        <w:b/>
        <w:sz w:val="18"/>
      </w:rPr>
      <w:fldChar w:fldCharType="separate"/>
    </w:r>
    <w:r w:rsidR="00C954E7">
      <w:rPr>
        <w:b/>
        <w:noProof/>
        <w:sz w:val="18"/>
      </w:rPr>
      <w:t>18</w:t>
    </w:r>
    <w:r w:rsidRPr="000F2AE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CAB" w:rsidRPr="000F2AE2" w:rsidRDefault="00347CAB" w:rsidP="000F2AE2">
    <w:pPr>
      <w:pStyle w:val="Footer"/>
      <w:tabs>
        <w:tab w:val="right" w:pos="9638"/>
      </w:tabs>
      <w:rPr>
        <w:b/>
        <w:sz w:val="18"/>
      </w:rPr>
    </w:pPr>
    <w:r>
      <w:tab/>
    </w:r>
    <w:r w:rsidRPr="000F2AE2">
      <w:rPr>
        <w:b/>
        <w:sz w:val="18"/>
      </w:rPr>
      <w:fldChar w:fldCharType="begin"/>
    </w:r>
    <w:r w:rsidRPr="000F2AE2">
      <w:rPr>
        <w:b/>
        <w:sz w:val="18"/>
      </w:rPr>
      <w:instrText xml:space="preserve"> PAGE  \* MERGEFORMAT </w:instrText>
    </w:r>
    <w:r w:rsidRPr="000F2AE2">
      <w:rPr>
        <w:b/>
        <w:sz w:val="18"/>
      </w:rPr>
      <w:fldChar w:fldCharType="separate"/>
    </w:r>
    <w:r w:rsidR="00C954E7">
      <w:rPr>
        <w:b/>
        <w:noProof/>
        <w:sz w:val="18"/>
      </w:rPr>
      <w:t>17</w:t>
    </w:r>
    <w:r w:rsidRPr="000F2AE2">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CAB" w:rsidRPr="000B175B" w:rsidRDefault="00347CAB" w:rsidP="000B175B">
      <w:pPr>
        <w:tabs>
          <w:tab w:val="right" w:pos="2155"/>
        </w:tabs>
        <w:spacing w:after="80"/>
        <w:ind w:left="680"/>
        <w:rPr>
          <w:u w:val="single"/>
        </w:rPr>
      </w:pPr>
      <w:r>
        <w:rPr>
          <w:u w:val="single"/>
        </w:rPr>
        <w:tab/>
      </w:r>
    </w:p>
  </w:footnote>
  <w:footnote w:type="continuationSeparator" w:id="0">
    <w:p w:rsidR="00347CAB" w:rsidRPr="00FC68B7" w:rsidRDefault="00347CAB" w:rsidP="00FC68B7">
      <w:pPr>
        <w:tabs>
          <w:tab w:val="left" w:pos="2155"/>
        </w:tabs>
        <w:spacing w:after="80"/>
        <w:ind w:left="680"/>
        <w:rPr>
          <w:u w:val="single"/>
        </w:rPr>
      </w:pPr>
      <w:r>
        <w:rPr>
          <w:u w:val="single"/>
        </w:rPr>
        <w:tab/>
      </w:r>
    </w:p>
  </w:footnote>
  <w:footnote w:type="continuationNotice" w:id="1">
    <w:p w:rsidR="00347CAB" w:rsidRDefault="00347CAB"/>
  </w:footnote>
  <w:footnote w:id="2">
    <w:p w:rsidR="00347CAB" w:rsidRDefault="00347CAB" w:rsidP="000F2AE2">
      <w:pPr>
        <w:pStyle w:val="FootnoteText"/>
        <w:rPr>
          <w:szCs w:val="18"/>
        </w:rPr>
      </w:pPr>
      <w:r>
        <w:tab/>
      </w:r>
      <w:r>
        <w:rPr>
          <w:rStyle w:val="FootnoteReference"/>
          <w:sz w:val="20"/>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CAB" w:rsidRPr="000F2AE2" w:rsidRDefault="00347CAB">
    <w:pPr>
      <w:pStyle w:val="Header"/>
    </w:pPr>
    <w:r>
      <w:t>A/HRC/33/9/Add.1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CAB" w:rsidRPr="000F2AE2" w:rsidRDefault="00347CAB" w:rsidP="000F2AE2">
    <w:pPr>
      <w:pStyle w:val="Header"/>
      <w:jc w:val="right"/>
    </w:pPr>
    <w:r>
      <w:t>A/HRC/33/9/Add.1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E2"/>
    <w:rsid w:val="00007F7F"/>
    <w:rsid w:val="00022DB5"/>
    <w:rsid w:val="00025C89"/>
    <w:rsid w:val="000403D1"/>
    <w:rsid w:val="000449AA"/>
    <w:rsid w:val="00050F6B"/>
    <w:rsid w:val="00072C8C"/>
    <w:rsid w:val="00073E70"/>
    <w:rsid w:val="000876EB"/>
    <w:rsid w:val="00091419"/>
    <w:rsid w:val="000931C0"/>
    <w:rsid w:val="000B175B"/>
    <w:rsid w:val="000B3A0F"/>
    <w:rsid w:val="000B4A3B"/>
    <w:rsid w:val="000C76E4"/>
    <w:rsid w:val="000D1851"/>
    <w:rsid w:val="000D7FC9"/>
    <w:rsid w:val="000E0415"/>
    <w:rsid w:val="000F27B6"/>
    <w:rsid w:val="000F2AE2"/>
    <w:rsid w:val="001035C1"/>
    <w:rsid w:val="00146D32"/>
    <w:rsid w:val="001509BA"/>
    <w:rsid w:val="0016116C"/>
    <w:rsid w:val="00196AF6"/>
    <w:rsid w:val="001B4B04"/>
    <w:rsid w:val="001C6663"/>
    <w:rsid w:val="001C7895"/>
    <w:rsid w:val="001D26DF"/>
    <w:rsid w:val="001E2790"/>
    <w:rsid w:val="001F3E59"/>
    <w:rsid w:val="00211E0B"/>
    <w:rsid w:val="00211E72"/>
    <w:rsid w:val="00214047"/>
    <w:rsid w:val="0022130F"/>
    <w:rsid w:val="00237785"/>
    <w:rsid w:val="002410DD"/>
    <w:rsid w:val="00241466"/>
    <w:rsid w:val="00253D58"/>
    <w:rsid w:val="0027725F"/>
    <w:rsid w:val="002C21F0"/>
    <w:rsid w:val="002E4DE7"/>
    <w:rsid w:val="002F39F5"/>
    <w:rsid w:val="003033EF"/>
    <w:rsid w:val="003107FA"/>
    <w:rsid w:val="00317977"/>
    <w:rsid w:val="003229D8"/>
    <w:rsid w:val="003314D1"/>
    <w:rsid w:val="00331844"/>
    <w:rsid w:val="00335A2F"/>
    <w:rsid w:val="00341937"/>
    <w:rsid w:val="00344671"/>
    <w:rsid w:val="00347CAB"/>
    <w:rsid w:val="0039277A"/>
    <w:rsid w:val="003972E0"/>
    <w:rsid w:val="003975ED"/>
    <w:rsid w:val="003C2CC4"/>
    <w:rsid w:val="003D4B23"/>
    <w:rsid w:val="003E3FE3"/>
    <w:rsid w:val="00424C80"/>
    <w:rsid w:val="004325CB"/>
    <w:rsid w:val="0044503A"/>
    <w:rsid w:val="00446DE4"/>
    <w:rsid w:val="00447761"/>
    <w:rsid w:val="00451EC3"/>
    <w:rsid w:val="00466CEC"/>
    <w:rsid w:val="004721B1"/>
    <w:rsid w:val="004728FE"/>
    <w:rsid w:val="00481AC4"/>
    <w:rsid w:val="004859EC"/>
    <w:rsid w:val="00496A15"/>
    <w:rsid w:val="004B75D2"/>
    <w:rsid w:val="004C635B"/>
    <w:rsid w:val="004D1140"/>
    <w:rsid w:val="004F55ED"/>
    <w:rsid w:val="0052176C"/>
    <w:rsid w:val="005261E5"/>
    <w:rsid w:val="00531379"/>
    <w:rsid w:val="005420F2"/>
    <w:rsid w:val="00542574"/>
    <w:rsid w:val="005436AB"/>
    <w:rsid w:val="00546DBF"/>
    <w:rsid w:val="00553D76"/>
    <w:rsid w:val="005552B5"/>
    <w:rsid w:val="0056117B"/>
    <w:rsid w:val="00571365"/>
    <w:rsid w:val="005A0DAC"/>
    <w:rsid w:val="005A1970"/>
    <w:rsid w:val="005A2CDE"/>
    <w:rsid w:val="005A78AE"/>
    <w:rsid w:val="005B3DB3"/>
    <w:rsid w:val="005B6E48"/>
    <w:rsid w:val="005D643F"/>
    <w:rsid w:val="005E1712"/>
    <w:rsid w:val="00611FC4"/>
    <w:rsid w:val="006176FB"/>
    <w:rsid w:val="0062597F"/>
    <w:rsid w:val="00640B26"/>
    <w:rsid w:val="00670741"/>
    <w:rsid w:val="00696BD6"/>
    <w:rsid w:val="006A6B9D"/>
    <w:rsid w:val="006A7392"/>
    <w:rsid w:val="006B3189"/>
    <w:rsid w:val="006B7D65"/>
    <w:rsid w:val="006D6DA6"/>
    <w:rsid w:val="006E564B"/>
    <w:rsid w:val="006F13F0"/>
    <w:rsid w:val="006F5035"/>
    <w:rsid w:val="007065EB"/>
    <w:rsid w:val="00720183"/>
    <w:rsid w:val="0072632A"/>
    <w:rsid w:val="0072634D"/>
    <w:rsid w:val="00730EE4"/>
    <w:rsid w:val="0074200B"/>
    <w:rsid w:val="00756017"/>
    <w:rsid w:val="0078222C"/>
    <w:rsid w:val="007A6296"/>
    <w:rsid w:val="007B6BA5"/>
    <w:rsid w:val="007C1B62"/>
    <w:rsid w:val="007C3390"/>
    <w:rsid w:val="007C3F63"/>
    <w:rsid w:val="007C4F4B"/>
    <w:rsid w:val="007D1B95"/>
    <w:rsid w:val="007D2CDC"/>
    <w:rsid w:val="007D5327"/>
    <w:rsid w:val="007F6611"/>
    <w:rsid w:val="008155C3"/>
    <w:rsid w:val="008175E9"/>
    <w:rsid w:val="0082243E"/>
    <w:rsid w:val="008242D7"/>
    <w:rsid w:val="008346B2"/>
    <w:rsid w:val="00856CD2"/>
    <w:rsid w:val="00860680"/>
    <w:rsid w:val="00861BC6"/>
    <w:rsid w:val="00871FD5"/>
    <w:rsid w:val="008765D2"/>
    <w:rsid w:val="008979B1"/>
    <w:rsid w:val="008A6B25"/>
    <w:rsid w:val="008A6C4F"/>
    <w:rsid w:val="008C1E4D"/>
    <w:rsid w:val="008D3250"/>
    <w:rsid w:val="008E0E46"/>
    <w:rsid w:val="0090452C"/>
    <w:rsid w:val="00907C3F"/>
    <w:rsid w:val="0092237C"/>
    <w:rsid w:val="009302AC"/>
    <w:rsid w:val="0093707B"/>
    <w:rsid w:val="009400EB"/>
    <w:rsid w:val="009427E3"/>
    <w:rsid w:val="00956D9B"/>
    <w:rsid w:val="00963CBA"/>
    <w:rsid w:val="009654B7"/>
    <w:rsid w:val="0097066C"/>
    <w:rsid w:val="00974459"/>
    <w:rsid w:val="00991261"/>
    <w:rsid w:val="009A0B83"/>
    <w:rsid w:val="009B3800"/>
    <w:rsid w:val="009D22AC"/>
    <w:rsid w:val="009D50DB"/>
    <w:rsid w:val="009E1C4E"/>
    <w:rsid w:val="00A05E0B"/>
    <w:rsid w:val="00A1427D"/>
    <w:rsid w:val="00A4634F"/>
    <w:rsid w:val="00A51CF3"/>
    <w:rsid w:val="00A70E93"/>
    <w:rsid w:val="00A72F22"/>
    <w:rsid w:val="00A748A6"/>
    <w:rsid w:val="00A879A4"/>
    <w:rsid w:val="00A87E95"/>
    <w:rsid w:val="00A92E29"/>
    <w:rsid w:val="00AD09E9"/>
    <w:rsid w:val="00AF0576"/>
    <w:rsid w:val="00AF3829"/>
    <w:rsid w:val="00B037F0"/>
    <w:rsid w:val="00B15526"/>
    <w:rsid w:val="00B200F0"/>
    <w:rsid w:val="00B2327D"/>
    <w:rsid w:val="00B2718F"/>
    <w:rsid w:val="00B30179"/>
    <w:rsid w:val="00B320B1"/>
    <w:rsid w:val="00B3317B"/>
    <w:rsid w:val="00B334DC"/>
    <w:rsid w:val="00B3631A"/>
    <w:rsid w:val="00B53013"/>
    <w:rsid w:val="00B634AC"/>
    <w:rsid w:val="00B67F5E"/>
    <w:rsid w:val="00B73E65"/>
    <w:rsid w:val="00B81E12"/>
    <w:rsid w:val="00B87110"/>
    <w:rsid w:val="00B97FA8"/>
    <w:rsid w:val="00BC1385"/>
    <w:rsid w:val="00BC74E9"/>
    <w:rsid w:val="00BE618E"/>
    <w:rsid w:val="00C24693"/>
    <w:rsid w:val="00C35F0B"/>
    <w:rsid w:val="00C463DD"/>
    <w:rsid w:val="00C64458"/>
    <w:rsid w:val="00C745C3"/>
    <w:rsid w:val="00C954E7"/>
    <w:rsid w:val="00C97CC8"/>
    <w:rsid w:val="00CA2A58"/>
    <w:rsid w:val="00CC0B55"/>
    <w:rsid w:val="00CD6995"/>
    <w:rsid w:val="00CE4A8F"/>
    <w:rsid w:val="00CF0214"/>
    <w:rsid w:val="00CF586F"/>
    <w:rsid w:val="00CF7D43"/>
    <w:rsid w:val="00D11129"/>
    <w:rsid w:val="00D2031B"/>
    <w:rsid w:val="00D22332"/>
    <w:rsid w:val="00D226FD"/>
    <w:rsid w:val="00D25FE2"/>
    <w:rsid w:val="00D408B1"/>
    <w:rsid w:val="00D43252"/>
    <w:rsid w:val="00D550F9"/>
    <w:rsid w:val="00D572B0"/>
    <w:rsid w:val="00D62E90"/>
    <w:rsid w:val="00D76BE5"/>
    <w:rsid w:val="00D978C6"/>
    <w:rsid w:val="00DA0BCF"/>
    <w:rsid w:val="00DA67AD"/>
    <w:rsid w:val="00DB18CE"/>
    <w:rsid w:val="00DE3EC0"/>
    <w:rsid w:val="00E11593"/>
    <w:rsid w:val="00E12B6B"/>
    <w:rsid w:val="00E130AB"/>
    <w:rsid w:val="00E27081"/>
    <w:rsid w:val="00E438D9"/>
    <w:rsid w:val="00E5644E"/>
    <w:rsid w:val="00E572B0"/>
    <w:rsid w:val="00E572E2"/>
    <w:rsid w:val="00E7260F"/>
    <w:rsid w:val="00E806EE"/>
    <w:rsid w:val="00E8503A"/>
    <w:rsid w:val="00E96630"/>
    <w:rsid w:val="00EB0FB9"/>
    <w:rsid w:val="00EC1ACC"/>
    <w:rsid w:val="00EC5DAD"/>
    <w:rsid w:val="00ED0CA9"/>
    <w:rsid w:val="00ED7A2A"/>
    <w:rsid w:val="00EF1D7F"/>
    <w:rsid w:val="00EF5BDB"/>
    <w:rsid w:val="00F07FD9"/>
    <w:rsid w:val="00F23933"/>
    <w:rsid w:val="00F24119"/>
    <w:rsid w:val="00F37938"/>
    <w:rsid w:val="00F40E75"/>
    <w:rsid w:val="00F42CD9"/>
    <w:rsid w:val="00F52936"/>
    <w:rsid w:val="00F677CB"/>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0F2AE2"/>
    <w:rPr>
      <w:sz w:val="18"/>
      <w:lang w:eastAsia="en-US"/>
    </w:rPr>
  </w:style>
  <w:style w:type="paragraph" w:styleId="BalloonText">
    <w:name w:val="Balloon Text"/>
    <w:basedOn w:val="Normal"/>
    <w:link w:val="BalloonTextChar"/>
    <w:rsid w:val="002F39F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F39F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0F2AE2"/>
    <w:rPr>
      <w:sz w:val="18"/>
      <w:lang w:eastAsia="en-US"/>
    </w:rPr>
  </w:style>
  <w:style w:type="paragraph" w:styleId="BalloonText">
    <w:name w:val="Balloon Text"/>
    <w:basedOn w:val="Normal"/>
    <w:link w:val="BalloonTextChar"/>
    <w:rsid w:val="002F39F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F39F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rm.coe.int/CoERMPublicCommonSearchServices/DisplayDCTMContent?documentId=090000168046031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1516A4EED0F7449235F56463318FBF" ma:contentTypeVersion="2" ma:contentTypeDescription="Create a new document." ma:contentTypeScope="" ma:versionID="f59e815dde979776f4b2f4cd557ad86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9C6861-600D-473A-B2C5-7DAC1889FD32}"/>
</file>

<file path=customXml/itemProps2.xml><?xml version="1.0" encoding="utf-8"?>
<ds:datastoreItem xmlns:ds="http://schemas.openxmlformats.org/officeDocument/2006/customXml" ds:itemID="{6C001BE3-F768-4144-B97B-4FEAF5274690}"/>
</file>

<file path=customXml/itemProps3.xml><?xml version="1.0" encoding="utf-8"?>
<ds:datastoreItem xmlns:ds="http://schemas.openxmlformats.org/officeDocument/2006/customXml" ds:itemID="{961C1691-F12A-43F1-94A2-69E1B5A3E633}"/>
</file>

<file path=customXml/itemProps4.xml><?xml version="1.0" encoding="utf-8"?>
<ds:datastoreItem xmlns:ds="http://schemas.openxmlformats.org/officeDocument/2006/customXml" ds:itemID="{E0166982-59D0-4141-B7FD-2D0CF5ADD420}"/>
</file>

<file path=docProps/app.xml><?xml version="1.0" encoding="utf-8"?>
<Properties xmlns="http://schemas.openxmlformats.org/officeDocument/2006/extended-properties" xmlns:vt="http://schemas.openxmlformats.org/officeDocument/2006/docPropsVTypes">
  <Template>A_E.dotm</Template>
  <TotalTime>0</TotalTime>
  <Pages>18</Pages>
  <Words>2805</Words>
  <Characters>15989</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18757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Views on conclusions and/or recommendations, voluntary commitments and replies presented by Hungary in English</dc:title>
  <dc:creator>Sumiko IHARA</dc:creator>
  <cp:lastModifiedBy>Sumiko IHARA</cp:lastModifiedBy>
  <cp:revision>2</cp:revision>
  <cp:lastPrinted>2016-09-13T16:22:00Z</cp:lastPrinted>
  <dcterms:created xsi:type="dcterms:W3CDTF">2016-09-16T08:48:00Z</dcterms:created>
  <dcterms:modified xsi:type="dcterms:W3CDTF">2016-09-16T08:48:00Z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0x010100881516A4EED0F7449235F56463318FBF</vt:lpwstr>
  </property>
  <property fmtid="{D5CDD505-2E9C-101B-9397-08002B2CF9AE}" pid="3" name="Order">
    <vt:r8>4700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