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168"/>
        <w:gridCol w:w="2976"/>
      </w:tblGrid>
      <w:tr w:rsidR="00963CBA">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7B27B5" w:rsidP="00D17177">
            <w:pPr>
              <w:jc w:val="right"/>
            </w:pPr>
            <w:r w:rsidRPr="007B27B5">
              <w:rPr>
                <w:sz w:val="40"/>
              </w:rPr>
              <w:t>A</w:t>
            </w:r>
            <w:r w:rsidR="0048528F" w:rsidRPr="008B61E2">
              <w:rPr>
                <w:sz w:val="20"/>
              </w:rPr>
              <w:t>/HRC/34/51/Add.2</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04" w:type="dxa"/>
            <w:gridSpan w:val="2"/>
            <w:tcBorders>
              <w:top w:val="single" w:sz="4" w:space="0" w:color="auto"/>
              <w:left w:val="nil"/>
              <w:bottom w:val="single" w:sz="12" w:space="0" w:color="auto"/>
              <w:right w:val="nil"/>
            </w:tcBorders>
          </w:tcPr>
          <w:p w:rsidR="003107FA" w:rsidRPr="00B3317B" w:rsidRDefault="00624065" w:rsidP="00EF5BDB">
            <w:pPr>
              <w:spacing w:before="120" w:line="420" w:lineRule="exact"/>
              <w:rPr>
                <w:b/>
                <w:sz w:val="40"/>
                <w:szCs w:val="40"/>
              </w:rPr>
            </w:pPr>
            <w:r>
              <w:rPr>
                <w:b/>
                <w:sz w:val="40"/>
                <w:szCs w:val="40"/>
              </w:rPr>
              <w:t>Advance edited version</w:t>
            </w:r>
          </w:p>
        </w:tc>
        <w:tc>
          <w:tcPr>
            <w:tcW w:w="2976" w:type="dxa"/>
            <w:tcBorders>
              <w:top w:val="single" w:sz="4" w:space="0" w:color="auto"/>
              <w:left w:val="nil"/>
              <w:bottom w:val="single" w:sz="12" w:space="0" w:color="auto"/>
              <w:right w:val="nil"/>
            </w:tcBorders>
          </w:tcPr>
          <w:p w:rsidR="00C678A8" w:rsidRPr="00C678A8" w:rsidRDefault="00C678A8" w:rsidP="00C678A8">
            <w:pPr>
              <w:spacing w:before="240" w:line="240" w:lineRule="exact"/>
              <w:rPr>
                <w:sz w:val="20"/>
                <w:szCs w:val="20"/>
              </w:rPr>
            </w:pPr>
            <w:r w:rsidRPr="00C678A8">
              <w:rPr>
                <w:sz w:val="20"/>
                <w:szCs w:val="20"/>
              </w:rPr>
              <w:t>Distr.: General</w:t>
            </w:r>
          </w:p>
          <w:p w:rsidR="00C678A8" w:rsidRPr="00C678A8" w:rsidRDefault="00C678A8" w:rsidP="00C678A8">
            <w:pPr>
              <w:spacing w:line="240" w:lineRule="exact"/>
              <w:rPr>
                <w:sz w:val="20"/>
                <w:szCs w:val="20"/>
              </w:rPr>
            </w:pPr>
            <w:r>
              <w:rPr>
                <w:sz w:val="20"/>
                <w:szCs w:val="20"/>
              </w:rPr>
              <w:t>28</w:t>
            </w:r>
            <w:r w:rsidRPr="00C678A8">
              <w:rPr>
                <w:sz w:val="20"/>
                <w:szCs w:val="20"/>
              </w:rPr>
              <w:t xml:space="preserve"> </w:t>
            </w:r>
            <w:r>
              <w:rPr>
                <w:sz w:val="20"/>
                <w:szCs w:val="20"/>
              </w:rPr>
              <w:t>February</w:t>
            </w:r>
            <w:r w:rsidRPr="00C678A8">
              <w:rPr>
                <w:sz w:val="20"/>
                <w:szCs w:val="20"/>
              </w:rPr>
              <w:t xml:space="preserve"> 201</w:t>
            </w:r>
            <w:r>
              <w:rPr>
                <w:sz w:val="20"/>
                <w:szCs w:val="20"/>
              </w:rPr>
              <w:t>7</w:t>
            </w:r>
          </w:p>
          <w:p w:rsidR="00C678A8" w:rsidRPr="00C678A8" w:rsidRDefault="00C678A8" w:rsidP="00C678A8">
            <w:pPr>
              <w:spacing w:line="240" w:lineRule="exact"/>
              <w:rPr>
                <w:sz w:val="20"/>
                <w:szCs w:val="20"/>
              </w:rPr>
            </w:pPr>
          </w:p>
          <w:p w:rsidR="00810079" w:rsidRDefault="00C678A8" w:rsidP="00C678A8">
            <w:pPr>
              <w:spacing w:line="240" w:lineRule="exact"/>
            </w:pPr>
            <w:r w:rsidRPr="00C678A8">
              <w:rPr>
                <w:sz w:val="20"/>
                <w:szCs w:val="20"/>
              </w:rPr>
              <w:t>Original: English</w:t>
            </w:r>
          </w:p>
        </w:tc>
      </w:tr>
    </w:tbl>
    <w:p w:rsidR="004716AB" w:rsidRPr="008B61E2" w:rsidRDefault="0048528F" w:rsidP="004716AB">
      <w:pPr>
        <w:pStyle w:val="Body1"/>
        <w:spacing w:before="120"/>
        <w:rPr>
          <w:b/>
          <w:sz w:val="20"/>
        </w:rPr>
      </w:pPr>
      <w:r w:rsidRPr="008B61E2">
        <w:rPr>
          <w:rFonts w:hAnsi="Arial Unicode MS"/>
          <w:b/>
          <w:sz w:val="20"/>
        </w:rPr>
        <w:t>Human Rights Council</w:t>
      </w:r>
    </w:p>
    <w:p w:rsidR="004716AB" w:rsidRPr="008B61E2" w:rsidRDefault="0048528F" w:rsidP="004716AB">
      <w:pPr>
        <w:pStyle w:val="Body1"/>
        <w:rPr>
          <w:rFonts w:hAnsi="Arial Unicode MS"/>
          <w:b/>
          <w:sz w:val="20"/>
        </w:rPr>
      </w:pPr>
      <w:r w:rsidRPr="008B61E2">
        <w:rPr>
          <w:rFonts w:hAnsi="Arial Unicode MS"/>
          <w:b/>
          <w:sz w:val="20"/>
        </w:rPr>
        <w:t>Thirty-fourth session</w:t>
      </w:r>
    </w:p>
    <w:p w:rsidR="00CE047E" w:rsidRPr="008B61E2" w:rsidRDefault="0048528F" w:rsidP="00CE047E">
      <w:pPr>
        <w:rPr>
          <w:sz w:val="20"/>
        </w:rPr>
      </w:pPr>
      <w:r w:rsidRPr="008B61E2">
        <w:rPr>
          <w:sz w:val="20"/>
        </w:rPr>
        <w:t>27 February-24 March 2017</w:t>
      </w:r>
    </w:p>
    <w:p w:rsidR="004716AB" w:rsidRPr="008B61E2" w:rsidRDefault="0048528F" w:rsidP="004716AB">
      <w:pPr>
        <w:pStyle w:val="Body1"/>
        <w:rPr>
          <w:sz w:val="20"/>
        </w:rPr>
      </w:pPr>
      <w:r w:rsidRPr="008B61E2">
        <w:rPr>
          <w:rFonts w:hAnsi="Arial Unicode MS"/>
          <w:sz w:val="20"/>
        </w:rPr>
        <w:t>Agenda item 3</w:t>
      </w:r>
    </w:p>
    <w:p w:rsidR="004716AB" w:rsidRPr="008B61E2" w:rsidRDefault="0048528F" w:rsidP="004716AB">
      <w:pPr>
        <w:pStyle w:val="Body1"/>
        <w:rPr>
          <w:b/>
          <w:sz w:val="20"/>
        </w:rPr>
      </w:pPr>
      <w:r w:rsidRPr="008B61E2">
        <w:rPr>
          <w:rFonts w:hAnsi="Arial Unicode MS"/>
          <w:b/>
          <w:sz w:val="20"/>
        </w:rPr>
        <w:t>Promotion and protection of all human rights, civil,</w:t>
      </w:r>
    </w:p>
    <w:p w:rsidR="004716AB" w:rsidRPr="008B61E2" w:rsidRDefault="0048528F" w:rsidP="004716AB">
      <w:pPr>
        <w:pStyle w:val="Body1"/>
        <w:rPr>
          <w:b/>
          <w:sz w:val="20"/>
        </w:rPr>
      </w:pPr>
      <w:r w:rsidRPr="008B61E2">
        <w:rPr>
          <w:rFonts w:hAnsi="Arial Unicode MS"/>
          <w:b/>
          <w:sz w:val="20"/>
        </w:rPr>
        <w:t>political, economic, social and cultural rights,</w:t>
      </w:r>
    </w:p>
    <w:p w:rsidR="004716AB" w:rsidRPr="008B61E2" w:rsidRDefault="0048528F" w:rsidP="004716AB">
      <w:pPr>
        <w:pStyle w:val="Body1"/>
        <w:rPr>
          <w:b/>
          <w:sz w:val="20"/>
        </w:rPr>
      </w:pPr>
      <w:r w:rsidRPr="008B61E2">
        <w:rPr>
          <w:rFonts w:hAnsi="Arial Unicode MS"/>
          <w:b/>
          <w:sz w:val="20"/>
        </w:rPr>
        <w:t>including the right to development</w:t>
      </w:r>
    </w:p>
    <w:p w:rsidR="006F421D" w:rsidRDefault="004716AB" w:rsidP="00C678A8">
      <w:pPr>
        <w:pStyle w:val="HChG"/>
        <w:rPr>
          <w:rFonts w:eastAsia="Arial Unicode MS"/>
          <w:u w:color="000000"/>
        </w:rPr>
      </w:pPr>
      <w:bookmarkStart w:id="1" w:name="_TOC315167142"/>
      <w:r w:rsidRPr="008D51EA">
        <w:rPr>
          <w:rFonts w:eastAsia="Arial Unicode MS"/>
          <w:u w:color="000000"/>
        </w:rPr>
        <w:tab/>
      </w:r>
      <w:r w:rsidRPr="008D51EA">
        <w:rPr>
          <w:rFonts w:eastAsia="Arial Unicode MS"/>
          <w:u w:color="000000"/>
        </w:rPr>
        <w:tab/>
        <w:t>Report of the Special Rapporteur on adequate housing as a component of the right to an adequate standard of living, and on the right to non-discrimination in this context</w:t>
      </w:r>
      <w:bookmarkEnd w:id="1"/>
    </w:p>
    <w:p w:rsidR="004716AB" w:rsidRDefault="0048528F" w:rsidP="00C678A8">
      <w:pPr>
        <w:pStyle w:val="H1G"/>
        <w:rPr>
          <w:rFonts w:eastAsia="Arial Unicode MS"/>
          <w:u w:color="000000"/>
        </w:rPr>
      </w:pPr>
      <w:r w:rsidRPr="008B61E2">
        <w:rPr>
          <w:rFonts w:eastAsia="Arial Unicode MS"/>
          <w:u w:color="000000"/>
        </w:rPr>
        <w:tab/>
      </w:r>
      <w:r w:rsidRPr="008B61E2">
        <w:rPr>
          <w:rFonts w:eastAsia="Arial Unicode MS"/>
          <w:u w:color="000000"/>
        </w:rPr>
        <w:tab/>
      </w:r>
      <w:r w:rsidR="006F421D">
        <w:rPr>
          <w:rFonts w:eastAsia="Arial Unicode MS"/>
          <w:u w:color="000000"/>
        </w:rPr>
        <w:t>M</w:t>
      </w:r>
      <w:r w:rsidR="004716AB">
        <w:rPr>
          <w:rFonts w:eastAsia="Arial Unicode MS"/>
          <w:u w:color="000000"/>
        </w:rPr>
        <w:t xml:space="preserve">ission to </w:t>
      </w:r>
      <w:r w:rsidR="00D67B0B">
        <w:rPr>
          <w:rFonts w:eastAsia="Arial Unicode MS"/>
          <w:u w:color="000000"/>
        </w:rPr>
        <w:t>Portugal</w:t>
      </w:r>
      <w:r w:rsidR="00EE1861" w:rsidRPr="00C678A8">
        <w:rPr>
          <w:rStyle w:val="FootnoteReference"/>
          <w:bCs/>
          <w:vertAlign w:val="baseline"/>
        </w:rPr>
        <w:footnoteReference w:customMarkFollows="1" w:id="2"/>
        <w:t>*</w:t>
      </w:r>
    </w:p>
    <w:p w:rsidR="004716AB" w:rsidRDefault="004716AB" w:rsidP="004716AB">
      <w:pPr>
        <w:pStyle w:val="H1G"/>
        <w:rPr>
          <w:rFonts w:eastAsia="Arial Unicode MS"/>
          <w:u w:color="000000"/>
        </w:rPr>
      </w:pPr>
      <w:r>
        <w:rPr>
          <w:rFonts w:eastAsia="Arial Unicode MS"/>
          <w:u w:color="000000"/>
        </w:rPr>
        <w:tab/>
      </w:r>
      <w:r>
        <w:rPr>
          <w:rFonts w:eastAsia="Arial Unicode MS"/>
          <w:u w:color="000000"/>
        </w:rPr>
        <w:tab/>
        <w:t>Note by the Secretariat</w:t>
      </w:r>
    </w:p>
    <w:p w:rsidR="00583889" w:rsidRPr="008B61E2" w:rsidRDefault="0048528F" w:rsidP="008B61E2">
      <w:pPr>
        <w:ind w:left="1134" w:right="567" w:firstLine="567"/>
        <w:jc w:val="both"/>
        <w:rPr>
          <w:rFonts w:eastAsia="Arial Unicode MS"/>
          <w:sz w:val="20"/>
        </w:rPr>
      </w:pPr>
      <w:r w:rsidRPr="008B61E2">
        <w:rPr>
          <w:sz w:val="20"/>
        </w:rPr>
        <w:t>The Secretariat has the honour to transmit to the Human Rights Council the report of the Special Rapporteur on the right to adequate housing as a component of the right an adequate standard of living, and on the right to non-discrimination in this context, Leilani Farha, on her mission to Portugal from 5 to 13 December 2016, pursuant to Council resolution 31/9.</w:t>
      </w:r>
    </w:p>
    <w:p w:rsidR="004C0265" w:rsidRDefault="004C0265" w:rsidP="0077378D">
      <w:pPr>
        <w:pStyle w:val="SingleTxtG"/>
      </w:pPr>
      <w:r>
        <w:br w:type="page"/>
      </w:r>
    </w:p>
    <w:p w:rsidR="00620F7A" w:rsidRDefault="00620F7A" w:rsidP="007A0569">
      <w:pPr>
        <w:keepNext/>
        <w:keepLines/>
        <w:tabs>
          <w:tab w:val="right" w:pos="851"/>
        </w:tabs>
        <w:spacing w:before="360" w:after="240" w:line="300" w:lineRule="exact"/>
        <w:ind w:left="1134" w:right="1134" w:hanging="1134"/>
        <w:jc w:val="both"/>
        <w:outlineLvl w:val="0"/>
        <w:rPr>
          <w:rFonts w:eastAsia="Arial Unicode MS" w:hAnsi="Arial Unicode MS"/>
          <w:b/>
          <w:color w:val="000000"/>
          <w:sz w:val="28"/>
          <w:u w:color="000000"/>
        </w:rPr>
      </w:pPr>
      <w:r>
        <w:rPr>
          <w:rFonts w:eastAsia="Arial Unicode MS"/>
          <w:u w:color="000000"/>
        </w:rPr>
        <w:lastRenderedPageBreak/>
        <w:tab/>
      </w:r>
      <w:r>
        <w:rPr>
          <w:rFonts w:eastAsia="Arial Unicode MS"/>
          <w:u w:color="000000"/>
        </w:rPr>
        <w:tab/>
      </w:r>
      <w:r w:rsidRPr="008D51EA">
        <w:rPr>
          <w:rFonts w:eastAsia="Arial Unicode MS" w:hAnsi="Arial Unicode MS"/>
          <w:b/>
          <w:color w:val="000000"/>
          <w:sz w:val="28"/>
          <w:u w:color="000000"/>
        </w:rPr>
        <w:t>Report of the Special Rapporteur on adequate housing as a component of the right to an adequate standard of living, and on the right to non-discrimination in this context</w:t>
      </w:r>
      <w:r>
        <w:rPr>
          <w:rFonts w:eastAsia="Arial Unicode MS" w:hAnsi="Arial Unicode MS"/>
          <w:b/>
          <w:color w:val="000000"/>
          <w:sz w:val="28"/>
          <w:u w:color="000000"/>
        </w:rPr>
        <w:t xml:space="preserve">, on her mission to </w:t>
      </w:r>
      <w:r w:rsidR="00F17EDA">
        <w:rPr>
          <w:rFonts w:eastAsia="Arial Unicode MS" w:hAnsi="Arial Unicode MS"/>
          <w:b/>
          <w:color w:val="000000"/>
          <w:sz w:val="28"/>
          <w:u w:color="000000"/>
        </w:rPr>
        <w:t>Portugal</w:t>
      </w:r>
      <w:r w:rsidR="002307D2" w:rsidRPr="00C678A8">
        <w:rPr>
          <w:rStyle w:val="FootnoteReference"/>
          <w:b/>
          <w:bCs/>
          <w:vertAlign w:val="baseline"/>
        </w:rPr>
        <w:footnoteReference w:customMarkFollows="1" w:id="3"/>
        <w:t>*</w:t>
      </w:r>
      <w:r w:rsidR="00EE1861" w:rsidRPr="00C678A8">
        <w:rPr>
          <w:rStyle w:val="FootnoteReference"/>
          <w:b/>
          <w:szCs w:val="18"/>
          <w:vertAlign w:val="baseline"/>
        </w:rPr>
        <w:t>*</w:t>
      </w:r>
    </w:p>
    <w:p w:rsidR="00CF586F" w:rsidRPr="00C678A8" w:rsidRDefault="004C0265" w:rsidP="00620F7A">
      <w:pPr>
        <w:pStyle w:val="HChG"/>
        <w:rPr>
          <w:b w:val="0"/>
        </w:rPr>
      </w:pPr>
      <w:r>
        <w:rPr>
          <w:rFonts w:eastAsia="Arial Unicode MS"/>
          <w:u w:color="000000"/>
        </w:rPr>
        <w:tab/>
      </w:r>
      <w:r w:rsidRPr="00C678A8">
        <w:rPr>
          <w:b w:val="0"/>
        </w:rPr>
        <w:t>Contents</w:t>
      </w:r>
    </w:p>
    <w:p w:rsidR="004C0265" w:rsidRDefault="004C0265" w:rsidP="004C0265">
      <w:pPr>
        <w:tabs>
          <w:tab w:val="right" w:pos="9638"/>
        </w:tabs>
        <w:spacing w:after="120"/>
        <w:ind w:left="283"/>
        <w:rPr>
          <w:i/>
          <w:sz w:val="18"/>
        </w:rPr>
      </w:pPr>
      <w:r>
        <w:rPr>
          <w:i/>
          <w:sz w:val="18"/>
        </w:rPr>
        <w:tab/>
        <w:t>Page</w:t>
      </w:r>
    </w:p>
    <w:p w:rsidR="004C0265" w:rsidRPr="008B61E2" w:rsidRDefault="004C0265" w:rsidP="004C0265">
      <w:pPr>
        <w:tabs>
          <w:tab w:val="right" w:pos="850"/>
          <w:tab w:val="left" w:pos="1134"/>
          <w:tab w:val="left" w:pos="1559"/>
          <w:tab w:val="left" w:pos="1984"/>
          <w:tab w:val="left" w:leader="dot" w:pos="8929"/>
          <w:tab w:val="right" w:pos="9638"/>
        </w:tabs>
        <w:spacing w:after="120"/>
        <w:rPr>
          <w:sz w:val="20"/>
          <w:szCs w:val="20"/>
        </w:rPr>
      </w:pPr>
      <w:r w:rsidRPr="0017559B">
        <w:tab/>
      </w:r>
      <w:r w:rsidRPr="008B61E2">
        <w:rPr>
          <w:sz w:val="20"/>
          <w:szCs w:val="20"/>
        </w:rPr>
        <w:t>I.</w:t>
      </w:r>
      <w:r w:rsidRPr="008B61E2">
        <w:rPr>
          <w:sz w:val="20"/>
          <w:szCs w:val="20"/>
        </w:rPr>
        <w:tab/>
        <w:t>Introduction</w:t>
      </w:r>
      <w:r w:rsidRPr="008B61E2">
        <w:rPr>
          <w:sz w:val="20"/>
          <w:szCs w:val="20"/>
        </w:rPr>
        <w:tab/>
      </w:r>
      <w:r w:rsidRPr="008B61E2">
        <w:rPr>
          <w:sz w:val="20"/>
          <w:szCs w:val="20"/>
        </w:rPr>
        <w:tab/>
      </w:r>
      <w:r w:rsidR="00C678A8">
        <w:rPr>
          <w:sz w:val="20"/>
          <w:szCs w:val="20"/>
        </w:rPr>
        <w:t>3</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Pr="008B61E2">
        <w:rPr>
          <w:sz w:val="20"/>
          <w:szCs w:val="20"/>
        </w:rPr>
        <w:tab/>
        <w:t>A.</w:t>
      </w:r>
      <w:r w:rsidRPr="008B61E2">
        <w:rPr>
          <w:sz w:val="20"/>
          <w:szCs w:val="20"/>
        </w:rPr>
        <w:tab/>
        <w:t>Overview</w:t>
      </w:r>
      <w:r w:rsidRPr="008B61E2">
        <w:rPr>
          <w:sz w:val="20"/>
          <w:szCs w:val="20"/>
        </w:rPr>
        <w:tab/>
      </w:r>
      <w:r w:rsidRPr="008B61E2">
        <w:rPr>
          <w:sz w:val="20"/>
          <w:szCs w:val="20"/>
        </w:rPr>
        <w:tab/>
      </w:r>
      <w:r w:rsidR="00C678A8">
        <w:rPr>
          <w:sz w:val="20"/>
          <w:szCs w:val="20"/>
        </w:rPr>
        <w:t>3</w:t>
      </w:r>
    </w:p>
    <w:p w:rsidR="004C0265" w:rsidRPr="008B61E2" w:rsidRDefault="004C0265"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00AF777F" w:rsidRPr="008B61E2">
        <w:rPr>
          <w:sz w:val="20"/>
          <w:szCs w:val="20"/>
        </w:rPr>
        <w:tab/>
        <w:t>B.</w:t>
      </w:r>
      <w:r w:rsidR="00AF777F" w:rsidRPr="008B61E2">
        <w:rPr>
          <w:sz w:val="20"/>
          <w:szCs w:val="20"/>
        </w:rPr>
        <w:tab/>
        <w:t xml:space="preserve">Austerity </w:t>
      </w:r>
      <w:r w:rsidR="0092723A" w:rsidRPr="008B61E2">
        <w:rPr>
          <w:sz w:val="20"/>
          <w:szCs w:val="20"/>
        </w:rPr>
        <w:t>m</w:t>
      </w:r>
      <w:r w:rsidR="00AF777F" w:rsidRPr="008B61E2">
        <w:rPr>
          <w:sz w:val="20"/>
          <w:szCs w:val="20"/>
        </w:rPr>
        <w:t>easures</w:t>
      </w:r>
      <w:r w:rsidR="00AF777F" w:rsidRPr="008B61E2">
        <w:rPr>
          <w:sz w:val="20"/>
          <w:szCs w:val="20"/>
        </w:rPr>
        <w:tab/>
      </w:r>
      <w:r w:rsidR="00AF777F" w:rsidRPr="008B61E2">
        <w:rPr>
          <w:sz w:val="20"/>
          <w:szCs w:val="20"/>
        </w:rPr>
        <w:tab/>
      </w:r>
      <w:r w:rsidR="00C678A8">
        <w:rPr>
          <w:sz w:val="20"/>
          <w:szCs w:val="20"/>
        </w:rPr>
        <w:t>4</w:t>
      </w:r>
    </w:p>
    <w:p w:rsidR="004C0265" w:rsidRPr="008B61E2" w:rsidRDefault="004C0265"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00AF777F" w:rsidRPr="008B61E2">
        <w:rPr>
          <w:sz w:val="20"/>
          <w:szCs w:val="20"/>
        </w:rPr>
        <w:t>II.</w:t>
      </w:r>
      <w:r w:rsidR="00AF777F" w:rsidRPr="008B61E2">
        <w:rPr>
          <w:sz w:val="20"/>
          <w:szCs w:val="20"/>
        </w:rPr>
        <w:tab/>
        <w:t xml:space="preserve">Legal </w:t>
      </w:r>
      <w:r w:rsidR="00BD491C">
        <w:rPr>
          <w:sz w:val="20"/>
          <w:szCs w:val="20"/>
        </w:rPr>
        <w:t>f</w:t>
      </w:r>
      <w:r w:rsidR="00AF777F" w:rsidRPr="008B61E2">
        <w:rPr>
          <w:sz w:val="20"/>
          <w:szCs w:val="20"/>
        </w:rPr>
        <w:t>ramework</w:t>
      </w:r>
      <w:r w:rsidRPr="008B61E2">
        <w:rPr>
          <w:sz w:val="20"/>
          <w:szCs w:val="20"/>
        </w:rPr>
        <w:tab/>
      </w:r>
      <w:r w:rsidRPr="008B61E2">
        <w:rPr>
          <w:sz w:val="20"/>
          <w:szCs w:val="20"/>
        </w:rPr>
        <w:tab/>
      </w:r>
      <w:r w:rsidR="00C678A8">
        <w:rPr>
          <w:sz w:val="20"/>
          <w:szCs w:val="20"/>
        </w:rPr>
        <w:t>6</w:t>
      </w:r>
    </w:p>
    <w:p w:rsidR="004C0265" w:rsidRPr="008B61E2" w:rsidRDefault="004C0265"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Pr="008B61E2">
        <w:rPr>
          <w:sz w:val="20"/>
          <w:szCs w:val="20"/>
        </w:rPr>
        <w:tab/>
      </w:r>
      <w:r w:rsidR="00AF777F" w:rsidRPr="008B61E2">
        <w:rPr>
          <w:sz w:val="20"/>
          <w:szCs w:val="20"/>
        </w:rPr>
        <w:t>A.</w:t>
      </w:r>
      <w:r w:rsidR="00AF777F" w:rsidRPr="008B61E2">
        <w:rPr>
          <w:sz w:val="20"/>
          <w:szCs w:val="20"/>
        </w:rPr>
        <w:tab/>
        <w:t xml:space="preserve">International </w:t>
      </w:r>
      <w:r w:rsidR="00C07932" w:rsidRPr="008B61E2">
        <w:rPr>
          <w:sz w:val="20"/>
          <w:szCs w:val="20"/>
        </w:rPr>
        <w:t>h</w:t>
      </w:r>
      <w:r w:rsidR="00AF777F" w:rsidRPr="008B61E2">
        <w:rPr>
          <w:sz w:val="20"/>
          <w:szCs w:val="20"/>
        </w:rPr>
        <w:t xml:space="preserve">uman </w:t>
      </w:r>
      <w:r w:rsidR="00C07932" w:rsidRPr="008B61E2">
        <w:rPr>
          <w:sz w:val="20"/>
          <w:szCs w:val="20"/>
        </w:rPr>
        <w:t>r</w:t>
      </w:r>
      <w:r w:rsidR="00AF777F" w:rsidRPr="008B61E2">
        <w:rPr>
          <w:sz w:val="20"/>
          <w:szCs w:val="20"/>
        </w:rPr>
        <w:t xml:space="preserve">ights </w:t>
      </w:r>
      <w:r w:rsidR="00C07932" w:rsidRPr="008B61E2">
        <w:rPr>
          <w:sz w:val="20"/>
          <w:szCs w:val="20"/>
        </w:rPr>
        <w:t>l</w:t>
      </w:r>
      <w:r w:rsidR="00AF777F" w:rsidRPr="008B61E2">
        <w:rPr>
          <w:sz w:val="20"/>
          <w:szCs w:val="20"/>
        </w:rPr>
        <w:t>aw</w:t>
      </w:r>
      <w:r w:rsidR="00AF777F" w:rsidRPr="008B61E2">
        <w:rPr>
          <w:sz w:val="20"/>
          <w:szCs w:val="20"/>
        </w:rPr>
        <w:tab/>
      </w:r>
      <w:r w:rsidR="00AF777F" w:rsidRPr="008B61E2">
        <w:rPr>
          <w:sz w:val="20"/>
          <w:szCs w:val="20"/>
        </w:rPr>
        <w:tab/>
      </w:r>
      <w:r w:rsidR="00C678A8">
        <w:rPr>
          <w:sz w:val="20"/>
          <w:szCs w:val="20"/>
        </w:rPr>
        <w:t>6</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Pr="008B61E2">
        <w:rPr>
          <w:sz w:val="20"/>
          <w:szCs w:val="20"/>
        </w:rPr>
        <w:tab/>
        <w:t>B.</w:t>
      </w:r>
      <w:r w:rsidRPr="008B61E2">
        <w:rPr>
          <w:sz w:val="20"/>
          <w:szCs w:val="20"/>
        </w:rPr>
        <w:tab/>
        <w:t xml:space="preserve">Constitutional </w:t>
      </w:r>
      <w:r w:rsidR="00C07932" w:rsidRPr="008B61E2">
        <w:rPr>
          <w:sz w:val="20"/>
          <w:szCs w:val="20"/>
        </w:rPr>
        <w:t>l</w:t>
      </w:r>
      <w:r w:rsidRPr="008B61E2">
        <w:rPr>
          <w:sz w:val="20"/>
          <w:szCs w:val="20"/>
        </w:rPr>
        <w:t>aw</w:t>
      </w:r>
      <w:r w:rsidRPr="008B61E2">
        <w:rPr>
          <w:sz w:val="20"/>
          <w:szCs w:val="20"/>
        </w:rPr>
        <w:tab/>
      </w:r>
      <w:r w:rsidRPr="008B61E2">
        <w:rPr>
          <w:sz w:val="20"/>
          <w:szCs w:val="20"/>
        </w:rPr>
        <w:tab/>
      </w:r>
      <w:r w:rsidR="00C678A8">
        <w:rPr>
          <w:sz w:val="20"/>
          <w:szCs w:val="20"/>
        </w:rPr>
        <w:t>6</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t>III.</w:t>
      </w:r>
      <w:r w:rsidRPr="008B61E2">
        <w:rPr>
          <w:sz w:val="20"/>
          <w:szCs w:val="20"/>
        </w:rPr>
        <w:tab/>
      </w:r>
      <w:r w:rsidR="00C07932" w:rsidRPr="008B61E2">
        <w:rPr>
          <w:sz w:val="20"/>
          <w:szCs w:val="20"/>
        </w:rPr>
        <w:t>R</w:t>
      </w:r>
      <w:r w:rsidRPr="008B61E2">
        <w:rPr>
          <w:sz w:val="20"/>
          <w:szCs w:val="20"/>
        </w:rPr>
        <w:t>ight to adequate housing</w:t>
      </w:r>
      <w:r w:rsidRPr="008B61E2">
        <w:rPr>
          <w:sz w:val="20"/>
          <w:szCs w:val="20"/>
        </w:rPr>
        <w:tab/>
      </w:r>
      <w:r w:rsidRPr="008B61E2">
        <w:rPr>
          <w:sz w:val="20"/>
          <w:szCs w:val="20"/>
        </w:rPr>
        <w:tab/>
      </w:r>
      <w:r w:rsidR="00C678A8">
        <w:rPr>
          <w:sz w:val="20"/>
          <w:szCs w:val="20"/>
        </w:rPr>
        <w:t>7</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Pr="008B61E2">
        <w:rPr>
          <w:sz w:val="20"/>
          <w:szCs w:val="20"/>
        </w:rPr>
        <w:tab/>
        <w:t>A.</w:t>
      </w:r>
      <w:r w:rsidRPr="008B61E2">
        <w:rPr>
          <w:sz w:val="20"/>
          <w:szCs w:val="20"/>
        </w:rPr>
        <w:tab/>
        <w:t>Overview</w:t>
      </w:r>
      <w:r w:rsidRPr="008B61E2">
        <w:rPr>
          <w:sz w:val="20"/>
          <w:szCs w:val="20"/>
        </w:rPr>
        <w:tab/>
      </w:r>
      <w:r w:rsidRPr="008B61E2">
        <w:rPr>
          <w:sz w:val="20"/>
          <w:szCs w:val="20"/>
        </w:rPr>
        <w:tab/>
      </w:r>
      <w:r w:rsidR="00C678A8">
        <w:rPr>
          <w:sz w:val="20"/>
          <w:szCs w:val="20"/>
        </w:rPr>
        <w:t>7</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Pr="008B61E2">
        <w:rPr>
          <w:sz w:val="20"/>
          <w:szCs w:val="20"/>
        </w:rPr>
        <w:tab/>
        <w:t>B.</w:t>
      </w:r>
      <w:r w:rsidRPr="008B61E2">
        <w:rPr>
          <w:sz w:val="20"/>
          <w:szCs w:val="20"/>
        </w:rPr>
        <w:tab/>
        <w:t>National housing policies</w:t>
      </w:r>
      <w:r w:rsidRPr="008B61E2">
        <w:rPr>
          <w:sz w:val="20"/>
          <w:szCs w:val="20"/>
        </w:rPr>
        <w:tab/>
      </w:r>
      <w:r w:rsidRPr="008B61E2">
        <w:rPr>
          <w:sz w:val="20"/>
          <w:szCs w:val="20"/>
        </w:rPr>
        <w:tab/>
      </w:r>
      <w:r w:rsidR="00C678A8">
        <w:rPr>
          <w:sz w:val="20"/>
          <w:szCs w:val="20"/>
        </w:rPr>
        <w:t>8</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Pr="008B61E2">
        <w:rPr>
          <w:sz w:val="20"/>
          <w:szCs w:val="20"/>
        </w:rPr>
        <w:tab/>
        <w:t>C.</w:t>
      </w:r>
      <w:r w:rsidRPr="008B61E2">
        <w:rPr>
          <w:sz w:val="20"/>
          <w:szCs w:val="20"/>
        </w:rPr>
        <w:tab/>
        <w:t xml:space="preserve">Issues in </w:t>
      </w:r>
      <w:r w:rsidR="0092723A" w:rsidRPr="008B61E2">
        <w:rPr>
          <w:sz w:val="20"/>
          <w:szCs w:val="20"/>
        </w:rPr>
        <w:t>f</w:t>
      </w:r>
      <w:r w:rsidRPr="008B61E2">
        <w:rPr>
          <w:sz w:val="20"/>
          <w:szCs w:val="20"/>
        </w:rPr>
        <w:t>ocus</w:t>
      </w:r>
      <w:r w:rsidRPr="008B61E2">
        <w:rPr>
          <w:sz w:val="20"/>
          <w:szCs w:val="20"/>
        </w:rPr>
        <w:tab/>
      </w:r>
      <w:r w:rsidRPr="008B61E2">
        <w:rPr>
          <w:sz w:val="20"/>
          <w:szCs w:val="20"/>
        </w:rPr>
        <w:tab/>
      </w:r>
      <w:r w:rsidR="00C678A8">
        <w:rPr>
          <w:sz w:val="20"/>
          <w:szCs w:val="20"/>
        </w:rPr>
        <w:t>10</w:t>
      </w:r>
    </w:p>
    <w:p w:rsidR="00AF777F" w:rsidRPr="00985CC8" w:rsidRDefault="00766AB8"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00AF777F" w:rsidRPr="00985CC8">
        <w:rPr>
          <w:sz w:val="20"/>
          <w:szCs w:val="20"/>
        </w:rPr>
        <w:t>IV.</w:t>
      </w:r>
      <w:r w:rsidR="00AF777F" w:rsidRPr="00985CC8">
        <w:rPr>
          <w:sz w:val="20"/>
          <w:szCs w:val="20"/>
        </w:rPr>
        <w:tab/>
        <w:t>Discrimination and social exclusion</w:t>
      </w:r>
      <w:r w:rsidR="00AF777F" w:rsidRPr="00985CC8">
        <w:rPr>
          <w:sz w:val="20"/>
          <w:szCs w:val="20"/>
        </w:rPr>
        <w:tab/>
      </w:r>
      <w:r w:rsidR="00AF777F" w:rsidRPr="00985CC8">
        <w:rPr>
          <w:sz w:val="20"/>
          <w:szCs w:val="20"/>
        </w:rPr>
        <w:tab/>
      </w:r>
      <w:r w:rsidR="00C678A8">
        <w:rPr>
          <w:sz w:val="20"/>
          <w:szCs w:val="20"/>
        </w:rPr>
        <w:t>15</w:t>
      </w:r>
    </w:p>
    <w:p w:rsidR="00AF777F" w:rsidRPr="00985CC8" w:rsidRDefault="00AF777F" w:rsidP="004C0265">
      <w:pPr>
        <w:tabs>
          <w:tab w:val="right" w:pos="850"/>
          <w:tab w:val="left" w:pos="1134"/>
          <w:tab w:val="left" w:pos="1559"/>
          <w:tab w:val="left" w:pos="1984"/>
          <w:tab w:val="left" w:leader="dot" w:pos="8929"/>
          <w:tab w:val="right" w:pos="9638"/>
        </w:tabs>
        <w:spacing w:after="120"/>
        <w:rPr>
          <w:sz w:val="20"/>
          <w:szCs w:val="20"/>
        </w:rPr>
      </w:pPr>
      <w:r w:rsidRPr="00985CC8">
        <w:rPr>
          <w:sz w:val="20"/>
          <w:szCs w:val="20"/>
        </w:rPr>
        <w:tab/>
      </w:r>
      <w:r w:rsidRPr="00985CC8">
        <w:rPr>
          <w:sz w:val="20"/>
          <w:szCs w:val="20"/>
        </w:rPr>
        <w:tab/>
        <w:t>A.</w:t>
      </w:r>
      <w:r w:rsidRPr="00985CC8">
        <w:rPr>
          <w:sz w:val="20"/>
          <w:szCs w:val="20"/>
        </w:rPr>
        <w:tab/>
        <w:t>Roma (</w:t>
      </w:r>
      <w:r w:rsidR="0048528F" w:rsidRPr="00985CC8">
        <w:rPr>
          <w:i/>
          <w:sz w:val="20"/>
          <w:szCs w:val="20"/>
        </w:rPr>
        <w:t>Ciganos</w:t>
      </w:r>
      <w:r w:rsidRPr="00985CC8">
        <w:rPr>
          <w:sz w:val="20"/>
          <w:szCs w:val="20"/>
        </w:rPr>
        <w:t>)</w:t>
      </w:r>
      <w:r w:rsidRPr="00985CC8">
        <w:rPr>
          <w:sz w:val="20"/>
          <w:szCs w:val="20"/>
        </w:rPr>
        <w:tab/>
      </w:r>
      <w:r w:rsidRPr="00985CC8">
        <w:rPr>
          <w:sz w:val="20"/>
          <w:szCs w:val="20"/>
        </w:rPr>
        <w:tab/>
      </w:r>
      <w:r w:rsidR="00C678A8">
        <w:rPr>
          <w:sz w:val="20"/>
          <w:szCs w:val="20"/>
        </w:rPr>
        <w:t>15</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985CC8">
        <w:rPr>
          <w:sz w:val="20"/>
          <w:szCs w:val="20"/>
        </w:rPr>
        <w:tab/>
      </w:r>
      <w:r w:rsidRPr="00985CC8">
        <w:rPr>
          <w:sz w:val="20"/>
          <w:szCs w:val="20"/>
        </w:rPr>
        <w:tab/>
      </w:r>
      <w:r w:rsidR="00D21A37" w:rsidRPr="008B61E2">
        <w:rPr>
          <w:sz w:val="20"/>
          <w:szCs w:val="20"/>
        </w:rPr>
        <w:t>B</w:t>
      </w:r>
      <w:r w:rsidRPr="008B61E2">
        <w:rPr>
          <w:sz w:val="20"/>
          <w:szCs w:val="20"/>
        </w:rPr>
        <w:t>.</w:t>
      </w:r>
      <w:r w:rsidRPr="008B61E2">
        <w:rPr>
          <w:sz w:val="20"/>
          <w:szCs w:val="20"/>
        </w:rPr>
        <w:tab/>
        <w:t>People of African descent</w:t>
      </w:r>
      <w:r w:rsidRPr="008B61E2">
        <w:rPr>
          <w:sz w:val="20"/>
          <w:szCs w:val="20"/>
        </w:rPr>
        <w:tab/>
      </w:r>
      <w:r w:rsidRPr="008B61E2">
        <w:rPr>
          <w:sz w:val="20"/>
          <w:szCs w:val="20"/>
        </w:rPr>
        <w:tab/>
      </w:r>
      <w:r w:rsidR="00C678A8">
        <w:rPr>
          <w:sz w:val="20"/>
          <w:szCs w:val="20"/>
        </w:rPr>
        <w:t>16</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r>
      <w:r w:rsidRPr="008B61E2">
        <w:rPr>
          <w:sz w:val="20"/>
          <w:szCs w:val="20"/>
        </w:rPr>
        <w:tab/>
      </w:r>
      <w:r w:rsidR="00D21A37" w:rsidRPr="008B61E2">
        <w:rPr>
          <w:sz w:val="20"/>
          <w:szCs w:val="20"/>
        </w:rPr>
        <w:t>C</w:t>
      </w:r>
      <w:r w:rsidRPr="008B61E2">
        <w:rPr>
          <w:sz w:val="20"/>
          <w:szCs w:val="20"/>
        </w:rPr>
        <w:t>.</w:t>
      </w:r>
      <w:r w:rsidRPr="008B61E2">
        <w:rPr>
          <w:sz w:val="20"/>
          <w:szCs w:val="20"/>
        </w:rPr>
        <w:tab/>
      </w:r>
      <w:r w:rsidR="00113541">
        <w:rPr>
          <w:sz w:val="20"/>
          <w:szCs w:val="20"/>
        </w:rPr>
        <w:t>Persons with disabilities</w:t>
      </w:r>
      <w:r w:rsidRPr="008B61E2">
        <w:rPr>
          <w:sz w:val="20"/>
          <w:szCs w:val="20"/>
        </w:rPr>
        <w:tab/>
      </w:r>
      <w:r w:rsidRPr="008B61E2">
        <w:rPr>
          <w:sz w:val="20"/>
          <w:szCs w:val="20"/>
        </w:rPr>
        <w:tab/>
      </w:r>
      <w:r w:rsidR="00C678A8">
        <w:rPr>
          <w:sz w:val="20"/>
          <w:szCs w:val="20"/>
        </w:rPr>
        <w:t>16</w:t>
      </w:r>
    </w:p>
    <w:p w:rsidR="00AF777F" w:rsidRPr="008B61E2" w:rsidRDefault="00AF777F" w:rsidP="004C0265">
      <w:pPr>
        <w:tabs>
          <w:tab w:val="right" w:pos="850"/>
          <w:tab w:val="left" w:pos="1134"/>
          <w:tab w:val="left" w:pos="1559"/>
          <w:tab w:val="left" w:pos="1984"/>
          <w:tab w:val="left" w:leader="dot" w:pos="8929"/>
          <w:tab w:val="right" w:pos="9638"/>
        </w:tabs>
        <w:spacing w:after="120"/>
        <w:rPr>
          <w:sz w:val="20"/>
          <w:szCs w:val="20"/>
        </w:rPr>
      </w:pPr>
      <w:r w:rsidRPr="008B61E2">
        <w:rPr>
          <w:sz w:val="20"/>
          <w:szCs w:val="20"/>
        </w:rPr>
        <w:tab/>
        <w:t>V.</w:t>
      </w:r>
      <w:r w:rsidRPr="008B61E2">
        <w:rPr>
          <w:sz w:val="20"/>
          <w:szCs w:val="20"/>
        </w:rPr>
        <w:tab/>
        <w:t>Access to justice</w:t>
      </w:r>
      <w:r w:rsidR="003B3E36" w:rsidRPr="008B61E2">
        <w:rPr>
          <w:sz w:val="20"/>
          <w:szCs w:val="20"/>
        </w:rPr>
        <w:tab/>
      </w:r>
      <w:r w:rsidR="003B3E36" w:rsidRPr="008B61E2">
        <w:rPr>
          <w:sz w:val="20"/>
          <w:szCs w:val="20"/>
        </w:rPr>
        <w:tab/>
      </w:r>
      <w:r w:rsidR="00C678A8">
        <w:rPr>
          <w:sz w:val="20"/>
          <w:szCs w:val="20"/>
        </w:rPr>
        <w:t>17</w:t>
      </w:r>
    </w:p>
    <w:p w:rsidR="004C0265" w:rsidRPr="00A91F3B" w:rsidRDefault="004C0265" w:rsidP="004C0265">
      <w:pPr>
        <w:tabs>
          <w:tab w:val="right" w:pos="850"/>
          <w:tab w:val="left" w:pos="1134"/>
          <w:tab w:val="left" w:pos="1559"/>
          <w:tab w:val="left" w:pos="1984"/>
          <w:tab w:val="left" w:leader="dot" w:pos="8929"/>
          <w:tab w:val="right" w:pos="9638"/>
        </w:tabs>
        <w:spacing w:after="120"/>
      </w:pPr>
      <w:r w:rsidRPr="008B61E2">
        <w:rPr>
          <w:sz w:val="20"/>
          <w:szCs w:val="20"/>
        </w:rPr>
        <w:tab/>
        <w:t>VI.</w:t>
      </w:r>
      <w:r w:rsidRPr="008B61E2">
        <w:rPr>
          <w:sz w:val="20"/>
          <w:szCs w:val="20"/>
        </w:rPr>
        <w:tab/>
        <w:t>Conclusions and recommendations</w:t>
      </w:r>
      <w:r w:rsidR="003B3E36" w:rsidRPr="008B61E2">
        <w:rPr>
          <w:sz w:val="20"/>
          <w:szCs w:val="20"/>
        </w:rPr>
        <w:tab/>
      </w:r>
      <w:r w:rsidR="003B3E36">
        <w:tab/>
      </w:r>
      <w:r w:rsidR="00C678A8">
        <w:t>18</w:t>
      </w:r>
    </w:p>
    <w:p w:rsidR="009D4BCC" w:rsidRDefault="009D4BCC" w:rsidP="004C0265">
      <w:pPr>
        <w:tabs>
          <w:tab w:val="right" w:pos="9638"/>
        </w:tabs>
        <w:spacing w:after="120"/>
        <w:ind w:left="283"/>
        <w:rPr>
          <w:sz w:val="18"/>
        </w:rPr>
      </w:pPr>
      <w:r>
        <w:rPr>
          <w:sz w:val="18"/>
        </w:rPr>
        <w:br w:type="page"/>
      </w:r>
    </w:p>
    <w:p w:rsidR="009D4BCC" w:rsidRPr="009D4BCC" w:rsidRDefault="009D4BCC" w:rsidP="009D4BCC">
      <w:pPr>
        <w:pStyle w:val="HChG"/>
      </w:pPr>
      <w:bookmarkStart w:id="2" w:name="_Toc465615290"/>
      <w:r>
        <w:lastRenderedPageBreak/>
        <w:tab/>
        <w:t>I.</w:t>
      </w:r>
      <w:r>
        <w:tab/>
      </w:r>
      <w:r w:rsidRPr="009D4BCC">
        <w:t>Introduction</w:t>
      </w:r>
      <w:bookmarkEnd w:id="2"/>
    </w:p>
    <w:p w:rsidR="00C07932" w:rsidRPr="008B61E2" w:rsidRDefault="0048528F" w:rsidP="008B61E2">
      <w:pPr>
        <w:pStyle w:val="SingleTxtG"/>
        <w:rPr>
          <w:sz w:val="20"/>
          <w:szCs w:val="20"/>
        </w:rPr>
      </w:pPr>
      <w:r w:rsidRPr="008B61E2">
        <w:rPr>
          <w:sz w:val="20"/>
          <w:szCs w:val="20"/>
        </w:rPr>
        <w:t>1.</w:t>
      </w:r>
      <w:r w:rsidRPr="008B61E2">
        <w:rPr>
          <w:sz w:val="20"/>
          <w:szCs w:val="20"/>
        </w:rPr>
        <w:tab/>
        <w:t>The Special Rapporteur on adequate housing as a component of the right to an adequate standard of living, and on the right to non-discrimination in this context, Leilani Farha, visited Portugal from 5 to 13 December 2016, at the invitation of the Government. The visit was conducted jointly with the Special Rapporteur on the human rights to safe drinking water and sanitation, Léo Heller.</w:t>
      </w:r>
    </w:p>
    <w:p w:rsidR="00C07932" w:rsidRPr="008B61E2" w:rsidRDefault="0048528F" w:rsidP="008B61E2">
      <w:pPr>
        <w:pStyle w:val="SingleTxtG"/>
        <w:rPr>
          <w:sz w:val="20"/>
          <w:szCs w:val="20"/>
        </w:rPr>
      </w:pPr>
      <w:r w:rsidRPr="008B61E2">
        <w:rPr>
          <w:sz w:val="20"/>
          <w:szCs w:val="20"/>
        </w:rPr>
        <w:t>2.</w:t>
      </w:r>
      <w:r w:rsidRPr="008B61E2">
        <w:rPr>
          <w:sz w:val="20"/>
          <w:szCs w:val="20"/>
        </w:rPr>
        <w:tab/>
        <w:t>The purpose of the visit of the mandate holder was to examine the implementation of the right to adequate housing through legislation, policies and programmes and to identify positive outcomes and remaining challenges to the enjoyment of the right to adequate housing at the national and subnational levels.</w:t>
      </w:r>
    </w:p>
    <w:p w:rsidR="00C07932" w:rsidRPr="008B61E2" w:rsidRDefault="0048528F" w:rsidP="008B61E2">
      <w:pPr>
        <w:pStyle w:val="SingleTxtG"/>
        <w:rPr>
          <w:sz w:val="20"/>
          <w:szCs w:val="20"/>
        </w:rPr>
      </w:pPr>
      <w:r w:rsidRPr="008B61E2">
        <w:rPr>
          <w:sz w:val="20"/>
          <w:szCs w:val="20"/>
        </w:rPr>
        <w:t>3.</w:t>
      </w:r>
      <w:r w:rsidRPr="008B61E2">
        <w:rPr>
          <w:sz w:val="20"/>
          <w:szCs w:val="20"/>
        </w:rPr>
        <w:tab/>
        <w:t>The Special Rapporteur visited Lisbon and Porto, and the surrounding areas of both cities. She thanks the Government of Portugal for its cooperation throughout her visit, and also the municipal authorities of Lisbon and Porto for their welcome and support. She also thanks the Parliamentary Committee on the Environment, Territorial Planning, Decentralization, Local Government and Housing, and the Ombudsperson (</w:t>
      </w:r>
      <w:r w:rsidRPr="008B61E2">
        <w:rPr>
          <w:i/>
          <w:sz w:val="20"/>
          <w:szCs w:val="20"/>
        </w:rPr>
        <w:t>Provedor de Justiça</w:t>
      </w:r>
      <w:r w:rsidRPr="008B61E2">
        <w:rPr>
          <w:sz w:val="20"/>
          <w:szCs w:val="20"/>
        </w:rPr>
        <w:t>) for the opportunity to meet.</w:t>
      </w:r>
    </w:p>
    <w:p w:rsidR="00C07932" w:rsidRDefault="0048528F" w:rsidP="008B61E2">
      <w:pPr>
        <w:pStyle w:val="SingleTxtG"/>
      </w:pPr>
      <w:r w:rsidRPr="008B61E2">
        <w:rPr>
          <w:sz w:val="20"/>
          <w:szCs w:val="20"/>
        </w:rPr>
        <w:t>4.</w:t>
      </w:r>
      <w:r w:rsidRPr="008B61E2">
        <w:rPr>
          <w:sz w:val="20"/>
          <w:szCs w:val="20"/>
        </w:rPr>
        <w:tab/>
        <w:t>The Special Rapporteur also expresses her thanks to the representatives of the civil society community organizations and networks, and the academics and experts, who shared information and insights with her. She is deeply appreciative of all the residents who met her in their homes and communities, who offered testimonies and explained their living conditions to her.</w:t>
      </w:r>
      <w:r w:rsidR="00182D5E" w:rsidRPr="00182D5E">
        <w:t xml:space="preserve"> </w:t>
      </w:r>
    </w:p>
    <w:p w:rsidR="00C07932" w:rsidRDefault="00182D5E" w:rsidP="008B61E2">
      <w:pPr>
        <w:pStyle w:val="H1G"/>
        <w:spacing w:line="240" w:lineRule="atLeast"/>
      </w:pPr>
      <w:bookmarkStart w:id="3" w:name="_Toc473119152"/>
      <w:r>
        <w:tab/>
        <w:t>A.</w:t>
      </w:r>
      <w:r>
        <w:tab/>
      </w:r>
      <w:r w:rsidRPr="00182D5E">
        <w:t>Overview</w:t>
      </w:r>
      <w:bookmarkEnd w:id="3"/>
      <w:r w:rsidRPr="00182D5E">
        <w:t xml:space="preserve"> </w:t>
      </w:r>
    </w:p>
    <w:p w:rsidR="00C07932" w:rsidRPr="008B61E2" w:rsidRDefault="0048528F" w:rsidP="008B61E2">
      <w:pPr>
        <w:pStyle w:val="SingleTxtG"/>
        <w:rPr>
          <w:sz w:val="20"/>
          <w:szCs w:val="20"/>
        </w:rPr>
      </w:pPr>
      <w:r w:rsidRPr="008B61E2">
        <w:rPr>
          <w:sz w:val="20"/>
          <w:szCs w:val="20"/>
        </w:rPr>
        <w:t>5.</w:t>
      </w:r>
      <w:r w:rsidRPr="008B61E2">
        <w:rPr>
          <w:sz w:val="20"/>
          <w:szCs w:val="20"/>
        </w:rPr>
        <w:tab/>
        <w:t xml:space="preserve">For over 40 years, until 1974, Portugal was under a dictatorship. The “carnation revolution” led to the restoration of a democratic system, and eventually to the adoption of a Constitution in 1975. Several colonies – Cabo Verde, Mozambique, Angola, Guinea, and São Tomé and Principe – became independent in the mid-1970s, effectively ending over five centuries of Portuguese empire. Portugal joined the European Economic Community in 1986, which was incorporated into the European Union in 1993, and the euro became its currency in 1999. Since 2007, Portugal has faced an unprecedented economic crisis that has been addressed through a number of austerity measures, with serious effects on the enjoyment of economic, social and cultural rights for persons in vulnerable situations. </w:t>
      </w:r>
    </w:p>
    <w:p w:rsidR="00C07932" w:rsidRDefault="0048528F" w:rsidP="008B61E2">
      <w:pPr>
        <w:pStyle w:val="SingleTxtG"/>
      </w:pPr>
      <w:r w:rsidRPr="008B61E2">
        <w:rPr>
          <w:sz w:val="20"/>
          <w:szCs w:val="20"/>
        </w:rPr>
        <w:t>6.</w:t>
      </w:r>
      <w:r w:rsidRPr="008B61E2">
        <w:rPr>
          <w:sz w:val="20"/>
          <w:szCs w:val="20"/>
        </w:rPr>
        <w:tab/>
        <w:t>In 2015, Portugal had a population of 10,341,330. According to the 2011 census, more than 61 per cent lived in urban areas, with more than 2.8 million (or 27 per cent) living in the Lisbon metropolitan area. According to government sources, owing to the economic crisis, emigration increased from 11,000 per year in 2000 to approximately 54,000 in 2013. The increase in emigration included low-skilled workers, including from the construction industry, seeking better jobs and living conditions elsewhere.</w:t>
      </w:r>
      <w:r w:rsidRPr="008B61E2">
        <w:rPr>
          <w:sz w:val="18"/>
          <w:szCs w:val="18"/>
          <w:vertAlign w:val="superscript"/>
        </w:rPr>
        <w:footnoteReference w:id="4"/>
      </w:r>
      <w:r w:rsidRPr="008B61E2">
        <w:rPr>
          <w:sz w:val="20"/>
          <w:szCs w:val="20"/>
        </w:rPr>
        <w:t xml:space="preserve"> As in other European countries, the population in Portugal is steadily aging, and has had a negative growth rate since 2010. Between 2005 and 2015, the median age of the population rose by more than four years: in 2015, people 65 years or older represented 20.7 per cent of the population, or approximately 2 million people.</w:t>
      </w:r>
      <w:r w:rsidRPr="008B61E2">
        <w:rPr>
          <w:sz w:val="18"/>
          <w:szCs w:val="18"/>
          <w:vertAlign w:val="superscript"/>
        </w:rPr>
        <w:footnoteReference w:id="5"/>
      </w:r>
      <w:r w:rsidRPr="008B61E2">
        <w:rPr>
          <w:sz w:val="20"/>
          <w:szCs w:val="20"/>
          <w:vertAlign w:val="superscript"/>
        </w:rPr>
        <w:t xml:space="preserve"> </w:t>
      </w:r>
      <w:r w:rsidRPr="008B61E2">
        <w:rPr>
          <w:sz w:val="20"/>
          <w:szCs w:val="20"/>
        </w:rPr>
        <w:t xml:space="preserve">The age distribution of the population is </w:t>
      </w:r>
      <w:r w:rsidRPr="008B61E2">
        <w:rPr>
          <w:sz w:val="20"/>
          <w:szCs w:val="20"/>
        </w:rPr>
        <w:lastRenderedPageBreak/>
        <w:t>relevant to the housing sector, in particular in analyses of current and future housing needs and of housing policies, subsidies and other measures aimed at addressing trends towards housing exclusion.</w:t>
      </w:r>
    </w:p>
    <w:p w:rsidR="00C07932" w:rsidRDefault="0048528F" w:rsidP="008B61E2">
      <w:pPr>
        <w:pStyle w:val="SingleTxtG"/>
      </w:pPr>
      <w:r w:rsidRPr="008B61E2">
        <w:rPr>
          <w:sz w:val="20"/>
          <w:szCs w:val="20"/>
        </w:rPr>
        <w:t>7.</w:t>
      </w:r>
      <w:r w:rsidRPr="008B61E2">
        <w:rPr>
          <w:sz w:val="20"/>
          <w:szCs w:val="20"/>
        </w:rPr>
        <w:tab/>
        <w:t>With regard to income distribution, Portugal is also one of the most unequal countries in Europe.</w:t>
      </w:r>
      <w:r w:rsidRPr="008B61E2">
        <w:rPr>
          <w:sz w:val="18"/>
          <w:szCs w:val="18"/>
          <w:vertAlign w:val="superscript"/>
        </w:rPr>
        <w:footnoteReference w:id="6"/>
      </w:r>
      <w:r w:rsidRPr="008B61E2">
        <w:rPr>
          <w:sz w:val="20"/>
          <w:szCs w:val="20"/>
          <w:vertAlign w:val="superscript"/>
        </w:rPr>
        <w:t xml:space="preserve"> </w:t>
      </w:r>
      <w:r w:rsidRPr="008B61E2">
        <w:rPr>
          <w:sz w:val="20"/>
          <w:szCs w:val="20"/>
        </w:rPr>
        <w:t>According to the Organization for Economic Cooperation and Development (OECD), the bottom 10 per cent of the population accounts for only 2.4 per cent of the share of total income, the bottom 20 per cent accounts for only 6.9 per cent, while the top 20 per cent accounts for 41.5 per cent.</w:t>
      </w:r>
      <w:r>
        <w:rPr>
          <w:sz w:val="18"/>
          <w:vertAlign w:val="superscript"/>
        </w:rPr>
        <w:footnoteReference w:id="7"/>
      </w:r>
    </w:p>
    <w:p w:rsidR="00C07932" w:rsidRDefault="0048528F" w:rsidP="008B61E2">
      <w:pPr>
        <w:pStyle w:val="SingleTxtG"/>
        <w:rPr>
          <w:vertAlign w:val="superscript"/>
        </w:rPr>
      </w:pPr>
      <w:r w:rsidRPr="008B61E2">
        <w:rPr>
          <w:sz w:val="20"/>
          <w:szCs w:val="20"/>
        </w:rPr>
        <w:t>8.</w:t>
      </w:r>
      <w:r w:rsidRPr="008B61E2">
        <w:rPr>
          <w:sz w:val="20"/>
          <w:szCs w:val="20"/>
        </w:rPr>
        <w:tab/>
        <w:t>The economic crisis, in Portugal has led to the downsizing of the public sector, high unemployment rates, a reduction in salaries, higher taxes, and more housing exclusion and homelessness. Unemployment rates have risen from 9.4 per cent in 2009 to 11.1 per cent in 2016, while youth unemployment (persons 15 to 24 years of age) more than twice as high, running at 20 per cent in 2009and almost three times as high (28 per cent) in 2016.</w:t>
      </w:r>
      <w:r w:rsidRPr="008B61E2">
        <w:rPr>
          <w:sz w:val="18"/>
          <w:szCs w:val="18"/>
          <w:vertAlign w:val="superscript"/>
        </w:rPr>
        <w:footnoteReference w:id="8"/>
      </w:r>
      <w:r w:rsidRPr="008B61E2">
        <w:rPr>
          <w:sz w:val="20"/>
          <w:szCs w:val="20"/>
          <w:vertAlign w:val="superscript"/>
        </w:rPr>
        <w:t xml:space="preserve"> </w:t>
      </w:r>
      <w:r w:rsidRPr="008B61E2">
        <w:rPr>
          <w:sz w:val="20"/>
          <w:szCs w:val="20"/>
        </w:rPr>
        <w:t>Despite a slight decrease in the past two years, unemployment remains dramatically high.</w:t>
      </w:r>
      <w:r>
        <w:rPr>
          <w:sz w:val="18"/>
          <w:vertAlign w:val="superscript"/>
        </w:rPr>
        <w:footnoteReference w:id="9"/>
      </w:r>
      <w:r w:rsidR="00182D5E" w:rsidRPr="00182D5E">
        <w:rPr>
          <w:vertAlign w:val="superscript"/>
        </w:rPr>
        <w:t xml:space="preserve"> </w:t>
      </w:r>
    </w:p>
    <w:p w:rsidR="00C07932" w:rsidRPr="008B61E2" w:rsidRDefault="0048528F" w:rsidP="008B61E2">
      <w:pPr>
        <w:pStyle w:val="SingleTxtG"/>
        <w:rPr>
          <w:sz w:val="20"/>
          <w:szCs w:val="20"/>
        </w:rPr>
      </w:pPr>
      <w:r w:rsidRPr="008B61E2">
        <w:rPr>
          <w:sz w:val="20"/>
          <w:szCs w:val="20"/>
        </w:rPr>
        <w:t>9.</w:t>
      </w:r>
      <w:r w:rsidRPr="008B61E2">
        <w:rPr>
          <w:sz w:val="20"/>
          <w:szCs w:val="20"/>
        </w:rPr>
        <w:tab/>
        <w:t>The national poverty rate increased from approximately 18 per cent in 2009 to over 24 per cent by 2012. According to Eurostat data, the rate in 2015 stood at 19.5 per cent; while more than 11 per cent of the total population was at risk of poverty.</w:t>
      </w:r>
      <w:r w:rsidRPr="008B61E2">
        <w:rPr>
          <w:sz w:val="20"/>
          <w:szCs w:val="20"/>
          <w:vertAlign w:val="superscript"/>
        </w:rPr>
        <w:t xml:space="preserve"> </w:t>
      </w:r>
      <w:r w:rsidRPr="008B61E2">
        <w:rPr>
          <w:sz w:val="20"/>
          <w:szCs w:val="20"/>
        </w:rPr>
        <w:t>The unemployed are clearly those affected by the greatest incidence of poverty. More than 40 per cent of persons unemployed lived below the 60 per cent of median income poverty line in 2012.</w:t>
      </w:r>
      <w:r w:rsidRPr="0048528F">
        <w:rPr>
          <w:rStyle w:val="FootnoteReference"/>
          <w:sz w:val="20"/>
          <w:szCs w:val="20"/>
        </w:rPr>
        <w:footnoteReference w:id="10"/>
      </w:r>
      <w:r w:rsidRPr="008B61E2">
        <w:rPr>
          <w:sz w:val="20"/>
          <w:szCs w:val="20"/>
        </w:rPr>
        <w:t xml:space="preserve"> Employment does not necessarily protect against poverty, however; in 2015, 10.9 per cent of the working population was living below the poverty line.</w:t>
      </w:r>
      <w:r w:rsidRPr="008B61E2">
        <w:rPr>
          <w:sz w:val="18"/>
          <w:szCs w:val="18"/>
          <w:vertAlign w:val="superscript"/>
        </w:rPr>
        <w:footnoteReference w:id="11"/>
      </w:r>
      <w:r w:rsidRPr="008B61E2">
        <w:rPr>
          <w:sz w:val="20"/>
          <w:szCs w:val="20"/>
          <w:vertAlign w:val="superscript"/>
        </w:rPr>
        <w:t xml:space="preserve"> </w:t>
      </w:r>
      <w:r w:rsidRPr="008B61E2">
        <w:rPr>
          <w:sz w:val="20"/>
          <w:szCs w:val="20"/>
        </w:rPr>
        <w:t>Of those aged 17 or younger under, approximately 22 per cent lived below the poverty line.</w:t>
      </w:r>
    </w:p>
    <w:p w:rsidR="00C07932" w:rsidRDefault="0048528F" w:rsidP="008B61E2">
      <w:pPr>
        <w:pStyle w:val="SingleTxtG"/>
      </w:pPr>
      <w:r w:rsidRPr="008B61E2">
        <w:rPr>
          <w:sz w:val="20"/>
          <w:szCs w:val="20"/>
        </w:rPr>
        <w:t>10.</w:t>
      </w:r>
      <w:r w:rsidRPr="008B61E2">
        <w:rPr>
          <w:sz w:val="20"/>
          <w:szCs w:val="20"/>
        </w:rPr>
        <w:tab/>
        <w:t>With regard to housing, Portugal ranks 22nd of 28 countries in the European Housing Exclusion Index 2016, which considers, inter alia, five crucial indicators: housing cost overburden (spending more than 40 per cent of disposable income on housing); arrears on mortgage or rent payments; overcrowding; inability to keep home warm; and severe housing deprivation.</w:t>
      </w:r>
      <w:r w:rsidRPr="008B61E2">
        <w:rPr>
          <w:rStyle w:val="FootnoteReference"/>
        </w:rPr>
        <w:footnoteReference w:id="12"/>
      </w:r>
      <w:r w:rsidR="00182D5E" w:rsidRPr="00182D5E">
        <w:t xml:space="preserve"> </w:t>
      </w:r>
    </w:p>
    <w:p w:rsidR="00C07932" w:rsidRDefault="00182D5E" w:rsidP="008B61E2">
      <w:pPr>
        <w:pStyle w:val="H1G"/>
        <w:spacing w:line="240" w:lineRule="atLeast"/>
      </w:pPr>
      <w:bookmarkStart w:id="4" w:name="_Toc473119153"/>
      <w:r>
        <w:tab/>
        <w:t>B.</w:t>
      </w:r>
      <w:r>
        <w:tab/>
      </w:r>
      <w:r w:rsidRPr="00182D5E">
        <w:t xml:space="preserve">Austerity </w:t>
      </w:r>
      <w:r w:rsidR="0092723A">
        <w:t>m</w:t>
      </w:r>
      <w:r w:rsidRPr="00182D5E">
        <w:t>easures</w:t>
      </w:r>
      <w:bookmarkEnd w:id="4"/>
    </w:p>
    <w:p w:rsidR="00C07932" w:rsidRPr="008B61E2" w:rsidRDefault="0048528F" w:rsidP="008B61E2">
      <w:pPr>
        <w:pStyle w:val="SingleTxtG"/>
        <w:rPr>
          <w:sz w:val="20"/>
          <w:szCs w:val="20"/>
        </w:rPr>
      </w:pPr>
      <w:r w:rsidRPr="008B61E2">
        <w:rPr>
          <w:sz w:val="20"/>
          <w:szCs w:val="20"/>
        </w:rPr>
        <w:t>11.</w:t>
      </w:r>
      <w:r w:rsidRPr="008B61E2">
        <w:rPr>
          <w:sz w:val="20"/>
          <w:szCs w:val="20"/>
        </w:rPr>
        <w:tab/>
        <w:t xml:space="preserve">To address the economic crisis of the early 2000s, the Government of Portugal took a number of austerity measures that have had a significant impact on the enjoyment of the right to adequate housing and other socioeconomic rights. As part of a memorandum of </w:t>
      </w:r>
      <w:r w:rsidR="00935A35">
        <w:rPr>
          <w:sz w:val="20"/>
          <w:szCs w:val="20"/>
        </w:rPr>
        <w:t>u</w:t>
      </w:r>
      <w:r w:rsidRPr="008B61E2">
        <w:rPr>
          <w:sz w:val="20"/>
          <w:szCs w:val="20"/>
        </w:rPr>
        <w:t xml:space="preserve">nderstanding signed by the Government on 17 May 2011 with the International Monetary Fund, the European Central Bank and the European Commission and that formally ended in </w:t>
      </w:r>
      <w:r w:rsidRPr="008B61E2">
        <w:rPr>
          <w:sz w:val="20"/>
          <w:szCs w:val="20"/>
        </w:rPr>
        <w:lastRenderedPageBreak/>
        <w:t>June 2014,</w:t>
      </w:r>
      <w:r w:rsidRPr="008B61E2">
        <w:rPr>
          <w:sz w:val="20"/>
          <w:szCs w:val="20"/>
          <w:vertAlign w:val="superscript"/>
        </w:rPr>
        <w:t xml:space="preserve"> </w:t>
      </w:r>
      <w:r w:rsidRPr="008B61E2">
        <w:rPr>
          <w:sz w:val="20"/>
          <w:szCs w:val="20"/>
        </w:rPr>
        <w:t>Portugal received a loan of 78 billion euros.</w:t>
      </w:r>
      <w:r w:rsidRPr="008B61E2">
        <w:rPr>
          <w:sz w:val="18"/>
          <w:szCs w:val="18"/>
          <w:vertAlign w:val="superscript"/>
        </w:rPr>
        <w:footnoteReference w:id="13"/>
      </w:r>
      <w:r w:rsidRPr="008B61E2">
        <w:rPr>
          <w:sz w:val="20"/>
          <w:szCs w:val="20"/>
        </w:rPr>
        <w:t xml:space="preserve"> Among the conditions attached to the loan were a series of austerity measures that, by their nature, resulted in an increase in poverty levels, lower social protection benefits, higher rates of homelessness and unaffordable housing, utilities and other public services.</w:t>
      </w:r>
    </w:p>
    <w:p w:rsidR="00C07932" w:rsidRDefault="0048528F" w:rsidP="008B61E2">
      <w:pPr>
        <w:pStyle w:val="SingleTxtG"/>
      </w:pPr>
      <w:r w:rsidRPr="008B61E2">
        <w:rPr>
          <w:sz w:val="20"/>
          <w:szCs w:val="20"/>
        </w:rPr>
        <w:t>12.</w:t>
      </w:r>
      <w:r w:rsidRPr="008B61E2">
        <w:rPr>
          <w:sz w:val="20"/>
          <w:szCs w:val="20"/>
        </w:rPr>
        <w:tab/>
        <w:t>The stated objectives of the memorandum of understanding were to “improve households’ access to housing; foster labour mobility; improve the quality of housing and make better use of the housing stock; reduce the incentives for households to build up debt.” It also incorporated specific conditions relating to the rental market, the management of housing stock, property taxes and administrative procedures for the eviction of tenants in relation to renovation work.</w:t>
      </w:r>
    </w:p>
    <w:p w:rsidR="00C07932" w:rsidRPr="008B61E2" w:rsidRDefault="0048528F" w:rsidP="008B61E2">
      <w:pPr>
        <w:pStyle w:val="SingleTxtG"/>
        <w:rPr>
          <w:sz w:val="20"/>
          <w:szCs w:val="20"/>
        </w:rPr>
      </w:pPr>
      <w:r w:rsidRPr="008B61E2">
        <w:rPr>
          <w:sz w:val="20"/>
          <w:szCs w:val="20"/>
        </w:rPr>
        <w:t>13.</w:t>
      </w:r>
      <w:r w:rsidRPr="008B61E2">
        <w:rPr>
          <w:sz w:val="20"/>
          <w:szCs w:val="20"/>
        </w:rPr>
        <w:tab/>
        <w:t xml:space="preserve">The above-mentioned measures included the amendment of the New Urban Rental Regime (Law </w:t>
      </w:r>
      <w:r w:rsidR="00860769">
        <w:rPr>
          <w:sz w:val="20"/>
          <w:szCs w:val="20"/>
        </w:rPr>
        <w:t xml:space="preserve">No. </w:t>
      </w:r>
      <w:r w:rsidRPr="008B61E2">
        <w:rPr>
          <w:sz w:val="20"/>
          <w:szCs w:val="20"/>
        </w:rPr>
        <w:t>6/2006) “to ensure balanced rights and obligations of landlords and tenants, considering the socially vulnerable”. Accordingly, the reform introduced measures (a) to broaden the conditions under which open-ended residential leases could be renegotiated; (b) to phase out rent control mechanisms; (c) to reduce the prior notice for termination of leases for landlords; (d) to provide for an extrajudicial eviction procedure for breach of contract, aiming at shortening the eviction time to three months; and (e) to strengthen the use of existing extrajudicial procedures for cases of division of inherited property.</w:t>
      </w:r>
    </w:p>
    <w:p w:rsidR="00C07932" w:rsidRPr="008B61E2" w:rsidRDefault="0048528F" w:rsidP="008B61E2">
      <w:pPr>
        <w:pStyle w:val="SingleTxtG"/>
        <w:rPr>
          <w:sz w:val="20"/>
          <w:szCs w:val="20"/>
        </w:rPr>
      </w:pPr>
      <w:r w:rsidRPr="008B61E2">
        <w:rPr>
          <w:sz w:val="20"/>
          <w:szCs w:val="20"/>
        </w:rPr>
        <w:t>14.</w:t>
      </w:r>
      <w:r w:rsidRPr="008B61E2">
        <w:rPr>
          <w:sz w:val="20"/>
          <w:szCs w:val="20"/>
        </w:rPr>
        <w:tab/>
        <w:t>The memorandum of understanding also required simplified rules for the temporary relocation of tenants for rehabilitation works, allowing landlords to terminate lease contracts for major renovation works with a minimum of six months’ notice.</w:t>
      </w:r>
    </w:p>
    <w:p w:rsidR="00C07932" w:rsidRPr="008B61E2" w:rsidRDefault="0048528F" w:rsidP="008B61E2">
      <w:pPr>
        <w:pStyle w:val="SingleTxtG"/>
        <w:rPr>
          <w:sz w:val="20"/>
          <w:szCs w:val="20"/>
        </w:rPr>
      </w:pPr>
      <w:r w:rsidRPr="008B61E2">
        <w:rPr>
          <w:sz w:val="20"/>
          <w:szCs w:val="20"/>
        </w:rPr>
        <w:t>15.</w:t>
      </w:r>
      <w:r w:rsidRPr="008B61E2">
        <w:rPr>
          <w:sz w:val="20"/>
          <w:szCs w:val="20"/>
        </w:rPr>
        <w:tab/>
        <w:t xml:space="preserve">Each of the above measures has a potential bearing on the enjoyment of the right to adequate housing. Unfortunately, social and human rights impact assessments were not conducted prior to the adoption of austerity and other measures in the housing sector; furthermore, human rights principles and standards were not included in the memorandum of understanding. </w:t>
      </w:r>
    </w:p>
    <w:p w:rsidR="00C07932" w:rsidRDefault="0048528F" w:rsidP="008B61E2">
      <w:pPr>
        <w:pStyle w:val="SingleTxtG"/>
      </w:pPr>
      <w:r w:rsidRPr="008B61E2">
        <w:rPr>
          <w:sz w:val="20"/>
          <w:szCs w:val="20"/>
        </w:rPr>
        <w:t>16.</w:t>
      </w:r>
      <w:r w:rsidRPr="008B61E2">
        <w:rPr>
          <w:sz w:val="20"/>
          <w:szCs w:val="20"/>
        </w:rPr>
        <w:tab/>
        <w:t>The central goal of austerity measures was to reduce the budget deficit. In an attempt to curve the negative impact of the measures, the Government informed the Special Rapporteur about some programmes that were introduced, such as the Social Emergency Plan (PES-2012), including the Social Market for Renting (MSA, sect. 5c) giving access to housing at 20 to 30 per cent below market rates; and law no. 58/2012 creating a regime to protect mortgage debtors and requiring financial institutions to restructure loans for persons in serious financial difficulty. The Special Rapporteur did not receive information attesting to the extent to which these programmes had been beneficial to those most in need. Moreover, because these programmes are aimed at those living in poverty, they do not address the housing needs of the “new poor” struggling with mortgage and rent arrears, loss of employment, wage freezes, increased taxes and lower pensions.</w:t>
      </w:r>
      <w:r w:rsidRPr="0048528F">
        <w:rPr>
          <w:sz w:val="18"/>
          <w:szCs w:val="18"/>
          <w:vertAlign w:val="superscript"/>
        </w:rPr>
        <w:footnoteReference w:id="14"/>
      </w:r>
    </w:p>
    <w:p w:rsidR="00C07932" w:rsidRDefault="00182D5E" w:rsidP="008B61E2">
      <w:pPr>
        <w:pStyle w:val="HChG"/>
        <w:spacing w:line="240" w:lineRule="atLeast"/>
      </w:pPr>
      <w:bookmarkStart w:id="5" w:name="_Toc473100924"/>
      <w:bookmarkStart w:id="6" w:name="_Toc473119154"/>
      <w:r>
        <w:lastRenderedPageBreak/>
        <w:tab/>
        <w:t>II.</w:t>
      </w:r>
      <w:r>
        <w:tab/>
      </w:r>
      <w:r w:rsidRPr="00182D5E">
        <w:t xml:space="preserve">Legal </w:t>
      </w:r>
      <w:r w:rsidR="003B5CB4">
        <w:t>f</w:t>
      </w:r>
      <w:r w:rsidRPr="00182D5E">
        <w:t>ramework</w:t>
      </w:r>
      <w:bookmarkEnd w:id="5"/>
      <w:bookmarkEnd w:id="6"/>
    </w:p>
    <w:p w:rsidR="00C07932" w:rsidRDefault="00182D5E" w:rsidP="008B61E2">
      <w:pPr>
        <w:pStyle w:val="H1G"/>
        <w:spacing w:line="240" w:lineRule="atLeast"/>
      </w:pPr>
      <w:bookmarkStart w:id="7" w:name="_Toc473100925"/>
      <w:bookmarkStart w:id="8" w:name="_Toc473119155"/>
      <w:r>
        <w:tab/>
        <w:t>A.</w:t>
      </w:r>
      <w:r>
        <w:tab/>
      </w:r>
      <w:r w:rsidRPr="00182D5E">
        <w:t xml:space="preserve">International </w:t>
      </w:r>
      <w:r w:rsidR="003B5CB4">
        <w:t>h</w:t>
      </w:r>
      <w:r w:rsidRPr="00182D5E">
        <w:t xml:space="preserve">uman </w:t>
      </w:r>
      <w:r w:rsidR="003B5CB4">
        <w:t>r</w:t>
      </w:r>
      <w:r w:rsidRPr="00182D5E">
        <w:t xml:space="preserve">ights </w:t>
      </w:r>
      <w:r w:rsidR="003B5CB4">
        <w:t>l</w:t>
      </w:r>
      <w:r w:rsidRPr="00182D5E">
        <w:t>aw</w:t>
      </w:r>
      <w:bookmarkEnd w:id="7"/>
      <w:bookmarkEnd w:id="8"/>
      <w:r w:rsidRPr="00182D5E">
        <w:t xml:space="preserve"> </w:t>
      </w:r>
    </w:p>
    <w:p w:rsidR="00C07932" w:rsidRPr="008B61E2" w:rsidRDefault="0048528F" w:rsidP="008B61E2">
      <w:pPr>
        <w:pStyle w:val="SingleTxtG"/>
        <w:rPr>
          <w:sz w:val="20"/>
          <w:szCs w:val="20"/>
        </w:rPr>
      </w:pPr>
      <w:r w:rsidRPr="008B61E2">
        <w:rPr>
          <w:sz w:val="20"/>
          <w:szCs w:val="20"/>
        </w:rPr>
        <w:t>17.</w:t>
      </w:r>
      <w:r w:rsidRPr="008B61E2">
        <w:rPr>
          <w:sz w:val="20"/>
          <w:szCs w:val="20"/>
        </w:rPr>
        <w:tab/>
        <w:t>Internationally, Portugal is a champion of international human rights law, in particular with regard to economic, social and cultural rights, and is party to most core international human rights treaties. In 1978, it ratified the International Covenant on Economic, Social and Cultural Rights and the International Covenant on Civil and Political Rights. The International Covenant on Economic, Social and Cultural Rights provides for the right to an adequate standard of living, including housing (art. 11), and for the right to non-discrimination and equality (arts. 2 and 3). Article 2.1 guarantees the progressive realization of all rights making use of the State’s maximum of available resources with a view to ensuring the enjoyment of the right to adequate housing and other human rights.</w:t>
      </w:r>
    </w:p>
    <w:p w:rsidR="00C07932" w:rsidRPr="008B61E2" w:rsidRDefault="0048528F" w:rsidP="008B61E2">
      <w:pPr>
        <w:pStyle w:val="SingleTxtG"/>
        <w:rPr>
          <w:sz w:val="20"/>
          <w:szCs w:val="20"/>
        </w:rPr>
      </w:pPr>
      <w:r w:rsidRPr="008B61E2">
        <w:rPr>
          <w:sz w:val="20"/>
          <w:szCs w:val="20"/>
        </w:rPr>
        <w:t>18.</w:t>
      </w:r>
      <w:r w:rsidRPr="008B61E2">
        <w:rPr>
          <w:sz w:val="20"/>
          <w:szCs w:val="20"/>
        </w:rPr>
        <w:tab/>
        <w:t>In 2013, Portugal became one of the first countries to ratify the Optional Protocol to the International Covenant on Economic, Social and Cultural Rights, which provides for an international individual complaint mechanism for violations of the rights in the Covenant, in particular the right to adequate housing.</w:t>
      </w:r>
    </w:p>
    <w:p w:rsidR="00C07932" w:rsidRPr="008B61E2" w:rsidRDefault="0048528F" w:rsidP="008B61E2">
      <w:pPr>
        <w:pStyle w:val="SingleTxtG"/>
        <w:rPr>
          <w:sz w:val="20"/>
          <w:szCs w:val="20"/>
          <w:vertAlign w:val="superscript"/>
        </w:rPr>
      </w:pPr>
      <w:r w:rsidRPr="008B61E2">
        <w:rPr>
          <w:sz w:val="20"/>
          <w:szCs w:val="20"/>
        </w:rPr>
        <w:t>19.</w:t>
      </w:r>
      <w:r w:rsidRPr="008B61E2">
        <w:rPr>
          <w:sz w:val="20"/>
          <w:szCs w:val="20"/>
        </w:rPr>
        <w:tab/>
        <w:t>Portugal ratified the Convention on the Elimination of All Forms of Discrimination against Women in 1980, the International Convention on the Elimination of All Forms of Racial Discrimination in 1982, the Convention on the Rights of the Child in 1990, and the Convention on the Rights of Persons with Disabilities and the Optional Protocol thereto in 2009 (E/C</w:t>
      </w:r>
      <w:r w:rsidR="00564A78">
        <w:rPr>
          <w:sz w:val="20"/>
          <w:szCs w:val="20"/>
        </w:rPr>
        <w:t>.</w:t>
      </w:r>
      <w:r w:rsidRPr="008B61E2">
        <w:rPr>
          <w:sz w:val="20"/>
          <w:szCs w:val="20"/>
        </w:rPr>
        <w:t>12/PRT/4).</w:t>
      </w:r>
    </w:p>
    <w:p w:rsidR="00C07932" w:rsidRDefault="0048528F" w:rsidP="008B61E2">
      <w:pPr>
        <w:pStyle w:val="SingleTxtG"/>
      </w:pPr>
      <w:r w:rsidRPr="008B61E2">
        <w:rPr>
          <w:sz w:val="20"/>
          <w:szCs w:val="20"/>
        </w:rPr>
        <w:t>20.</w:t>
      </w:r>
      <w:r w:rsidRPr="008B61E2">
        <w:rPr>
          <w:sz w:val="20"/>
          <w:szCs w:val="20"/>
        </w:rPr>
        <w:tab/>
        <w:t>Consequently, Portugal has binding international human rights obligations to protect the enjoyment of the right to adequate housing without discrimination on any ground, to avoid retrogressive measures, and to provide mechanisms for access to effective remedies and justice in relation to these rights.</w:t>
      </w:r>
      <w:r w:rsidR="00182D5E" w:rsidRPr="00182D5E">
        <w:t xml:space="preserve"> </w:t>
      </w:r>
      <w:bookmarkStart w:id="9" w:name="_Toc473100926"/>
      <w:bookmarkStart w:id="10" w:name="_Toc473119156"/>
    </w:p>
    <w:p w:rsidR="00C07932" w:rsidRDefault="00182D5E" w:rsidP="008B61E2">
      <w:pPr>
        <w:pStyle w:val="H1G"/>
        <w:spacing w:line="240" w:lineRule="atLeast"/>
      </w:pPr>
      <w:r>
        <w:tab/>
        <w:t>B.</w:t>
      </w:r>
      <w:r>
        <w:tab/>
      </w:r>
      <w:r w:rsidRPr="00182D5E">
        <w:t xml:space="preserve">Constitutional </w:t>
      </w:r>
      <w:r w:rsidR="004C138F">
        <w:t>l</w:t>
      </w:r>
      <w:r w:rsidRPr="00182D5E">
        <w:t>aw</w:t>
      </w:r>
      <w:bookmarkEnd w:id="9"/>
      <w:bookmarkEnd w:id="10"/>
    </w:p>
    <w:p w:rsidR="00C07932" w:rsidRPr="008B61E2" w:rsidRDefault="0048528F" w:rsidP="008B61E2">
      <w:pPr>
        <w:pStyle w:val="SingleTxtG"/>
        <w:rPr>
          <w:sz w:val="20"/>
          <w:szCs w:val="20"/>
        </w:rPr>
      </w:pPr>
      <w:r w:rsidRPr="008B61E2">
        <w:rPr>
          <w:sz w:val="20"/>
          <w:szCs w:val="20"/>
        </w:rPr>
        <w:t>21.</w:t>
      </w:r>
      <w:r w:rsidRPr="008B61E2">
        <w:rPr>
          <w:sz w:val="20"/>
          <w:szCs w:val="20"/>
        </w:rPr>
        <w:tab/>
        <w:t>Article 65 of the Constitution of Portugal is a progressive provision that enshrines the right to adequate housing, stating that “everyone has the right, for himself and his family, to have an adequately sized dwelling that provides hygienic and comfortable conditions and preserves personal and family privacy”. It establishes the responsibilities of the State in the areas of (a) programming and implementation of housing policy, within urban plans that “guarantee the existence of an adequate network of transport and social facilities”; (b) the promotion of the construction of low-cost and social housing in cooperation with local authorities; (c) stimulus for both home ownership and rentals; and (d) support for community initiatives to resolve housing problems, including the creation of self-building cooperatives. Article 65 concludes with a description of the need for the State to adopt a policy establishing “a rental system that is compatible with family incomes and that provides access to individual housing”.</w:t>
      </w:r>
    </w:p>
    <w:p w:rsidR="00C07932" w:rsidRDefault="0048528F" w:rsidP="008B61E2">
      <w:pPr>
        <w:pStyle w:val="SingleTxtG"/>
      </w:pPr>
      <w:r w:rsidRPr="008B61E2">
        <w:rPr>
          <w:sz w:val="20"/>
          <w:szCs w:val="20"/>
        </w:rPr>
        <w:t>22.</w:t>
      </w:r>
      <w:r w:rsidRPr="008B61E2">
        <w:rPr>
          <w:sz w:val="20"/>
          <w:szCs w:val="20"/>
        </w:rPr>
        <w:tab/>
        <w:t xml:space="preserve">Surprisingly, Portugal does not, despite such a strong constitutional provision, have corresponding legislation, such as a national housing framework law. The Special Rapporteur was informed by some government officials that this had not obstructed the existence of adequate housing policies in the country. She was led to believe that, instead of adopting overarching legislation, the system is characterized by the approval of concrete policies articulated among each other in all sectors, and that the housing sector was not an exception. Civil society organizations, and some local government officials and academics, were of the opinion that the lack of framework legislation guiding the implementation of </w:t>
      </w:r>
      <w:r w:rsidRPr="008B61E2">
        <w:rPr>
          <w:sz w:val="20"/>
          <w:szCs w:val="20"/>
        </w:rPr>
        <w:lastRenderedPageBreak/>
        <w:t>the right to adequate housing was a much needed instrument. In follow-up to the end-of-mission statement, the Government acknowledged that due consideration could be given to a framework law on housing, and that it could serve to enshrine the principles of action in this sector, taking into account potential gaps that would need to be identified.</w:t>
      </w:r>
      <w:r w:rsidR="00182D5E" w:rsidRPr="00182D5E">
        <w:t xml:space="preserve"> </w:t>
      </w:r>
    </w:p>
    <w:p w:rsidR="00C07932" w:rsidRDefault="00182D5E" w:rsidP="008B61E2">
      <w:pPr>
        <w:pStyle w:val="HChG"/>
        <w:spacing w:line="240" w:lineRule="atLeast"/>
      </w:pPr>
      <w:bookmarkStart w:id="11" w:name="_Toc473100927"/>
      <w:bookmarkStart w:id="12" w:name="_Toc473119157"/>
      <w:r>
        <w:tab/>
        <w:t>III.</w:t>
      </w:r>
      <w:r>
        <w:tab/>
      </w:r>
      <w:r w:rsidR="004C138F">
        <w:t>R</w:t>
      </w:r>
      <w:r w:rsidRPr="00182D5E">
        <w:t>ight to adequate housing</w:t>
      </w:r>
      <w:bookmarkEnd w:id="11"/>
      <w:bookmarkEnd w:id="12"/>
      <w:r w:rsidRPr="00182D5E">
        <w:t xml:space="preserve"> </w:t>
      </w:r>
    </w:p>
    <w:p w:rsidR="00C07932" w:rsidRDefault="00182D5E" w:rsidP="008B61E2">
      <w:pPr>
        <w:pStyle w:val="H1G"/>
        <w:spacing w:line="240" w:lineRule="atLeast"/>
      </w:pPr>
      <w:bookmarkStart w:id="13" w:name="_Toc473100928"/>
      <w:bookmarkStart w:id="14" w:name="_Toc473119158"/>
      <w:r>
        <w:tab/>
        <w:t>A.</w:t>
      </w:r>
      <w:r>
        <w:tab/>
      </w:r>
      <w:r w:rsidRPr="00182D5E">
        <w:t>Overview</w:t>
      </w:r>
      <w:bookmarkEnd w:id="13"/>
      <w:bookmarkEnd w:id="14"/>
      <w:r w:rsidRPr="00182D5E">
        <w:t xml:space="preserve"> </w:t>
      </w:r>
    </w:p>
    <w:p w:rsidR="00C07932" w:rsidRPr="008B61E2" w:rsidRDefault="0048528F" w:rsidP="008B61E2">
      <w:pPr>
        <w:pStyle w:val="SingleTxtG"/>
        <w:rPr>
          <w:sz w:val="20"/>
          <w:szCs w:val="20"/>
        </w:rPr>
      </w:pPr>
      <w:r w:rsidRPr="008B61E2">
        <w:rPr>
          <w:sz w:val="20"/>
          <w:szCs w:val="20"/>
        </w:rPr>
        <w:t>23.</w:t>
      </w:r>
      <w:r w:rsidRPr="008B61E2">
        <w:rPr>
          <w:sz w:val="20"/>
          <w:szCs w:val="20"/>
        </w:rPr>
        <w:tab/>
        <w:t>Portugal is a centralized State with 308 municipalities and two autonomous regions (Azores and Madeira). Each level of government bears responsibility for housing; the role of the central government comes predominantly in the form of cash transfers, and the formulation of national laws, programmes and standards,</w:t>
      </w:r>
      <w:r w:rsidR="00D4427F">
        <w:rPr>
          <w:sz w:val="20"/>
          <w:szCs w:val="20"/>
        </w:rPr>
        <w:t xml:space="preserve"> </w:t>
      </w:r>
      <w:r w:rsidRPr="008B61E2">
        <w:rPr>
          <w:sz w:val="20"/>
          <w:szCs w:val="20"/>
        </w:rPr>
        <w:t>while municipalities are responsible for their implementation, and for providing resources to supplement those provided by central government.</w:t>
      </w:r>
    </w:p>
    <w:p w:rsidR="00C07932" w:rsidRPr="008B61E2" w:rsidRDefault="0048528F" w:rsidP="008B61E2">
      <w:pPr>
        <w:pStyle w:val="SingleTxtG"/>
        <w:rPr>
          <w:sz w:val="20"/>
          <w:szCs w:val="20"/>
          <w:vertAlign w:val="superscript"/>
        </w:rPr>
      </w:pPr>
      <w:r w:rsidRPr="008B61E2">
        <w:rPr>
          <w:sz w:val="20"/>
          <w:szCs w:val="20"/>
        </w:rPr>
        <w:t>24.</w:t>
      </w:r>
      <w:r w:rsidRPr="008B61E2">
        <w:rPr>
          <w:sz w:val="20"/>
          <w:szCs w:val="20"/>
        </w:rPr>
        <w:tab/>
        <w:t>The housing sector has particular characteristics that have an impact on the implementation of the right to adequate housing. Portugal boasts exceptionally high home ownership rates for the European region (75 per cent of the population in 2013). In 2011, there was a housing stock of approximately 5.9 million conventional dwellings, but only some 4 million families in the conventional housing sector, meaning there was no shortage of housing.</w:t>
      </w:r>
      <w:r w:rsidRPr="0048528F">
        <w:rPr>
          <w:sz w:val="18"/>
          <w:szCs w:val="18"/>
          <w:vertAlign w:val="superscript"/>
        </w:rPr>
        <w:footnoteReference w:id="15"/>
      </w:r>
      <w:r w:rsidRPr="008B61E2">
        <w:rPr>
          <w:sz w:val="20"/>
          <w:szCs w:val="20"/>
          <w:vertAlign w:val="superscript"/>
        </w:rPr>
        <w:t xml:space="preserve"> </w:t>
      </w:r>
      <w:r w:rsidRPr="008B61E2">
        <w:rPr>
          <w:sz w:val="20"/>
          <w:szCs w:val="20"/>
        </w:rPr>
        <w:t>Between 10 and 12 per cent of units stand vacant and/or are slated for demolition, 3.4 per cent of which are dilapidated and uninhabitable. In 2011, it was estimated that 132,656 units of housing were needed: 6,612 (5 per cent) households living in “non-conventional” dwellings;</w:t>
      </w:r>
      <w:r w:rsidRPr="0048528F">
        <w:rPr>
          <w:rStyle w:val="FootnoteReference"/>
          <w:szCs w:val="18"/>
        </w:rPr>
        <w:footnoteReference w:id="16"/>
      </w:r>
      <w:r w:rsidRPr="008B61E2">
        <w:rPr>
          <w:sz w:val="20"/>
          <w:szCs w:val="20"/>
        </w:rPr>
        <w:t xml:space="preserve"> 3,373 (2 per cent) classic families resid</w:t>
      </w:r>
      <w:r w:rsidR="009D3AA9">
        <w:rPr>
          <w:sz w:val="20"/>
          <w:szCs w:val="20"/>
        </w:rPr>
        <w:t>ed</w:t>
      </w:r>
      <w:r w:rsidRPr="008B61E2">
        <w:rPr>
          <w:sz w:val="20"/>
          <w:szCs w:val="20"/>
        </w:rPr>
        <w:t xml:space="preserve"> in hotels and similar or in unions; 42,009 (32 per cent) families shar</w:t>
      </w:r>
      <w:r w:rsidR="009D3AA9">
        <w:rPr>
          <w:sz w:val="20"/>
          <w:szCs w:val="20"/>
        </w:rPr>
        <w:t>ed</w:t>
      </w:r>
      <w:r w:rsidRPr="008B61E2">
        <w:rPr>
          <w:sz w:val="20"/>
          <w:szCs w:val="20"/>
        </w:rPr>
        <w:t xml:space="preserve"> accommodation with others; and 80</w:t>
      </w:r>
      <w:r w:rsidR="009D3AA9">
        <w:rPr>
          <w:sz w:val="20"/>
          <w:szCs w:val="20"/>
        </w:rPr>
        <w:t>,</w:t>
      </w:r>
      <w:r w:rsidRPr="008B61E2">
        <w:rPr>
          <w:sz w:val="20"/>
          <w:szCs w:val="20"/>
        </w:rPr>
        <w:t>662 (61</w:t>
      </w:r>
      <w:r w:rsidR="009D3AA9">
        <w:rPr>
          <w:sz w:val="20"/>
          <w:szCs w:val="20"/>
        </w:rPr>
        <w:t xml:space="preserve"> </w:t>
      </w:r>
      <w:r w:rsidRPr="008B61E2">
        <w:rPr>
          <w:sz w:val="20"/>
          <w:szCs w:val="20"/>
        </w:rPr>
        <w:t>per cent) for the minimum reserve of the housing market. Between 2001 and 2011, Portugal made significant progress in reduc</w:t>
      </w:r>
      <w:r w:rsidR="009D3AA9">
        <w:rPr>
          <w:sz w:val="20"/>
          <w:szCs w:val="20"/>
        </w:rPr>
        <w:t>ing the amount</w:t>
      </w:r>
      <w:r w:rsidRPr="008B61E2">
        <w:rPr>
          <w:sz w:val="20"/>
          <w:szCs w:val="20"/>
        </w:rPr>
        <w:t xml:space="preserve"> of housing need</w:t>
      </w:r>
      <w:r w:rsidR="009D3AA9">
        <w:rPr>
          <w:sz w:val="20"/>
          <w:szCs w:val="20"/>
        </w:rPr>
        <w:t>ed</w:t>
      </w:r>
      <w:r w:rsidRPr="008B61E2">
        <w:rPr>
          <w:sz w:val="20"/>
          <w:szCs w:val="20"/>
        </w:rPr>
        <w:t xml:space="preserve"> </w:t>
      </w:r>
      <w:r w:rsidR="009D3AA9">
        <w:rPr>
          <w:sz w:val="20"/>
          <w:szCs w:val="20"/>
        </w:rPr>
        <w:t>(</w:t>
      </w:r>
      <w:r w:rsidR="009D3AA9" w:rsidRPr="007E719F">
        <w:rPr>
          <w:sz w:val="20"/>
          <w:szCs w:val="20"/>
        </w:rPr>
        <w:t>by 22 per cent</w:t>
      </w:r>
      <w:r w:rsidR="009D3AA9">
        <w:rPr>
          <w:sz w:val="20"/>
          <w:szCs w:val="20"/>
        </w:rPr>
        <w:t xml:space="preserve">) by </w:t>
      </w:r>
      <w:r w:rsidRPr="008B61E2">
        <w:rPr>
          <w:sz w:val="20"/>
          <w:szCs w:val="20"/>
        </w:rPr>
        <w:t>a concerted effort to resettle those living in non-conventional dwellings.</w:t>
      </w:r>
      <w:r w:rsidRPr="0048528F">
        <w:rPr>
          <w:sz w:val="18"/>
          <w:szCs w:val="18"/>
          <w:vertAlign w:val="superscript"/>
        </w:rPr>
        <w:footnoteReference w:id="17"/>
      </w:r>
      <w:r w:rsidRPr="008B61E2">
        <w:rPr>
          <w:sz w:val="20"/>
          <w:szCs w:val="20"/>
          <w:vertAlign w:val="superscript"/>
        </w:rPr>
        <w:t xml:space="preserve"> </w:t>
      </w:r>
    </w:p>
    <w:p w:rsidR="00C07932" w:rsidRPr="008B61E2" w:rsidRDefault="0048528F" w:rsidP="008B61E2">
      <w:pPr>
        <w:pStyle w:val="SingleTxtG"/>
        <w:rPr>
          <w:sz w:val="20"/>
          <w:szCs w:val="20"/>
        </w:rPr>
      </w:pPr>
      <w:r w:rsidRPr="008B61E2">
        <w:rPr>
          <w:sz w:val="20"/>
          <w:szCs w:val="20"/>
        </w:rPr>
        <w:t>25.</w:t>
      </w:r>
      <w:r w:rsidRPr="008B61E2">
        <w:rPr>
          <w:sz w:val="20"/>
          <w:szCs w:val="20"/>
        </w:rPr>
        <w:tab/>
        <w:t xml:space="preserve">As a result of </w:t>
      </w:r>
      <w:r w:rsidR="00627646">
        <w:rPr>
          <w:sz w:val="20"/>
          <w:szCs w:val="20"/>
        </w:rPr>
        <w:t xml:space="preserve">the </w:t>
      </w:r>
      <w:r w:rsidRPr="008B61E2">
        <w:rPr>
          <w:sz w:val="20"/>
          <w:szCs w:val="20"/>
        </w:rPr>
        <w:t>priority given to home</w:t>
      </w:r>
      <w:r w:rsidR="00627646">
        <w:rPr>
          <w:sz w:val="20"/>
          <w:szCs w:val="20"/>
        </w:rPr>
        <w:t xml:space="preserve"> </w:t>
      </w:r>
      <w:r w:rsidRPr="008B61E2">
        <w:rPr>
          <w:sz w:val="20"/>
          <w:szCs w:val="20"/>
        </w:rPr>
        <w:t>ownership, the rental sector is limited</w:t>
      </w:r>
      <w:r w:rsidR="00627646">
        <w:rPr>
          <w:sz w:val="20"/>
          <w:szCs w:val="20"/>
        </w:rPr>
        <w:t>:</w:t>
      </w:r>
      <w:r w:rsidRPr="008B61E2">
        <w:rPr>
          <w:sz w:val="20"/>
          <w:szCs w:val="20"/>
        </w:rPr>
        <w:t xml:space="preserve"> only 2 per cent of all housing stock </w:t>
      </w:r>
      <w:r w:rsidR="00627646">
        <w:rPr>
          <w:sz w:val="20"/>
          <w:szCs w:val="20"/>
        </w:rPr>
        <w:t xml:space="preserve">is </w:t>
      </w:r>
      <w:r w:rsidRPr="008B61E2">
        <w:rPr>
          <w:sz w:val="20"/>
          <w:szCs w:val="20"/>
        </w:rPr>
        <w:t xml:space="preserve">allocated to social housing, one of the lowest rates in Europe. Rental as a long-term alternative to ensuring access to affordable and well-located housing </w:t>
      </w:r>
      <w:r w:rsidR="00627646">
        <w:rPr>
          <w:sz w:val="20"/>
          <w:szCs w:val="20"/>
        </w:rPr>
        <w:t>is no longer</w:t>
      </w:r>
      <w:r w:rsidRPr="008B61E2">
        <w:rPr>
          <w:sz w:val="20"/>
          <w:szCs w:val="20"/>
        </w:rPr>
        <w:t xml:space="preserve"> the preferred tenure system in Portugal. This represents a significant change in the structure of the housing sector: in 1970, rentals </w:t>
      </w:r>
      <w:r w:rsidR="00627646">
        <w:rPr>
          <w:sz w:val="20"/>
          <w:szCs w:val="20"/>
        </w:rPr>
        <w:t>accounted for almost</w:t>
      </w:r>
      <w:r w:rsidRPr="008B61E2">
        <w:rPr>
          <w:sz w:val="20"/>
          <w:szCs w:val="20"/>
        </w:rPr>
        <w:t xml:space="preserve"> 46 per cent of the total of main household residence</w:t>
      </w:r>
      <w:r w:rsidR="00627646">
        <w:rPr>
          <w:sz w:val="20"/>
          <w:szCs w:val="20"/>
        </w:rPr>
        <w:t xml:space="preserve">; in 2011, </w:t>
      </w:r>
      <w:r w:rsidRPr="008B61E2">
        <w:rPr>
          <w:sz w:val="20"/>
          <w:szCs w:val="20"/>
        </w:rPr>
        <w:t xml:space="preserve">this figure </w:t>
      </w:r>
      <w:r w:rsidR="00627646">
        <w:rPr>
          <w:sz w:val="20"/>
          <w:szCs w:val="20"/>
        </w:rPr>
        <w:t xml:space="preserve">had dropped to </w:t>
      </w:r>
      <w:r w:rsidRPr="008B61E2">
        <w:rPr>
          <w:sz w:val="20"/>
          <w:szCs w:val="20"/>
        </w:rPr>
        <w:t xml:space="preserve">around 20 per cent. </w:t>
      </w:r>
    </w:p>
    <w:p w:rsidR="00C07932" w:rsidRPr="008B61E2" w:rsidRDefault="0048528F" w:rsidP="008B61E2">
      <w:pPr>
        <w:pStyle w:val="SingleTxtG"/>
        <w:rPr>
          <w:sz w:val="20"/>
          <w:szCs w:val="20"/>
        </w:rPr>
      </w:pPr>
      <w:r w:rsidRPr="008B61E2">
        <w:rPr>
          <w:sz w:val="20"/>
          <w:szCs w:val="20"/>
        </w:rPr>
        <w:t>26.</w:t>
      </w:r>
      <w:r w:rsidRPr="008B61E2">
        <w:rPr>
          <w:sz w:val="20"/>
          <w:szCs w:val="20"/>
        </w:rPr>
        <w:tab/>
        <w:t xml:space="preserve">Until recently and for several decades, Portugal had stringent rental legislation </w:t>
      </w:r>
      <w:r w:rsidR="00627646">
        <w:rPr>
          <w:sz w:val="20"/>
          <w:szCs w:val="20"/>
        </w:rPr>
        <w:t>that</w:t>
      </w:r>
      <w:r w:rsidRPr="008B61E2">
        <w:rPr>
          <w:sz w:val="20"/>
          <w:szCs w:val="20"/>
        </w:rPr>
        <w:t xml:space="preserve"> fixed rental rates regardless of income levels and market value of the unit</w:t>
      </w:r>
      <w:r w:rsidR="00CB15EC">
        <w:rPr>
          <w:sz w:val="20"/>
          <w:szCs w:val="20"/>
        </w:rPr>
        <w:t>;</w:t>
      </w:r>
      <w:r w:rsidRPr="008B61E2">
        <w:rPr>
          <w:sz w:val="20"/>
          <w:szCs w:val="20"/>
        </w:rPr>
        <w:t xml:space="preserve"> rental contracts could </w:t>
      </w:r>
      <w:r w:rsidR="00CB15EC">
        <w:rPr>
          <w:sz w:val="20"/>
          <w:szCs w:val="20"/>
        </w:rPr>
        <w:t xml:space="preserve">also </w:t>
      </w:r>
      <w:r w:rsidRPr="008B61E2">
        <w:rPr>
          <w:sz w:val="20"/>
          <w:szCs w:val="20"/>
        </w:rPr>
        <w:t>be included in inheritance.</w:t>
      </w:r>
      <w:r w:rsidR="00CB15EC">
        <w:rPr>
          <w:sz w:val="20"/>
          <w:szCs w:val="20"/>
        </w:rPr>
        <w:t xml:space="preserve"> I</w:t>
      </w:r>
      <w:r w:rsidRPr="008B61E2">
        <w:rPr>
          <w:sz w:val="20"/>
          <w:szCs w:val="20"/>
        </w:rPr>
        <w:t xml:space="preserve">n central locations </w:t>
      </w:r>
      <w:r w:rsidR="00CB15EC">
        <w:rPr>
          <w:sz w:val="20"/>
          <w:szCs w:val="20"/>
        </w:rPr>
        <w:t>in</w:t>
      </w:r>
      <w:r w:rsidRPr="008B61E2">
        <w:rPr>
          <w:sz w:val="20"/>
          <w:szCs w:val="20"/>
        </w:rPr>
        <w:t xml:space="preserve"> Lisbon and Porto, many were paying very low rents and had old rental contracts. In turn, it was common for landlords to neglect and abandon properties, and </w:t>
      </w:r>
      <w:r w:rsidR="00CB15EC">
        <w:rPr>
          <w:sz w:val="20"/>
          <w:szCs w:val="20"/>
        </w:rPr>
        <w:t xml:space="preserve">to </w:t>
      </w:r>
      <w:r w:rsidRPr="008B61E2">
        <w:rPr>
          <w:sz w:val="20"/>
          <w:szCs w:val="20"/>
        </w:rPr>
        <w:t>avoid carry</w:t>
      </w:r>
      <w:r w:rsidR="00CB15EC">
        <w:rPr>
          <w:sz w:val="20"/>
          <w:szCs w:val="20"/>
        </w:rPr>
        <w:t>ing</w:t>
      </w:r>
      <w:r w:rsidRPr="008B61E2">
        <w:rPr>
          <w:sz w:val="20"/>
          <w:szCs w:val="20"/>
        </w:rPr>
        <w:t xml:space="preserve"> out even the most </w:t>
      </w:r>
      <w:r w:rsidR="00CB15EC">
        <w:rPr>
          <w:sz w:val="20"/>
          <w:szCs w:val="20"/>
        </w:rPr>
        <w:t>basic</w:t>
      </w:r>
      <w:r w:rsidRPr="008B61E2">
        <w:rPr>
          <w:sz w:val="20"/>
          <w:szCs w:val="20"/>
        </w:rPr>
        <w:t xml:space="preserve"> maintenance, renovation and conservation of buildings, units and common areas because they </w:t>
      </w:r>
      <w:r w:rsidR="00CB15EC">
        <w:rPr>
          <w:sz w:val="20"/>
          <w:szCs w:val="20"/>
        </w:rPr>
        <w:t>did</w:t>
      </w:r>
      <w:r w:rsidRPr="008B61E2">
        <w:rPr>
          <w:sz w:val="20"/>
          <w:szCs w:val="20"/>
        </w:rPr>
        <w:t xml:space="preserve"> not generat</w:t>
      </w:r>
      <w:r w:rsidR="00CB15EC">
        <w:rPr>
          <w:sz w:val="20"/>
          <w:szCs w:val="20"/>
        </w:rPr>
        <w:t>e</w:t>
      </w:r>
      <w:r w:rsidRPr="008B61E2">
        <w:rPr>
          <w:sz w:val="20"/>
          <w:szCs w:val="20"/>
        </w:rPr>
        <w:t xml:space="preserve"> enough income. Many such units were </w:t>
      </w:r>
      <w:r w:rsidR="00CB15EC">
        <w:rPr>
          <w:sz w:val="20"/>
          <w:szCs w:val="20"/>
        </w:rPr>
        <w:t>derelict</w:t>
      </w:r>
      <w:r w:rsidRPr="008B61E2">
        <w:rPr>
          <w:sz w:val="20"/>
          <w:szCs w:val="20"/>
        </w:rPr>
        <w:t xml:space="preserve"> and in urgent need of rehabilitation.</w:t>
      </w:r>
    </w:p>
    <w:p w:rsidR="00C07932" w:rsidRPr="008B61E2" w:rsidRDefault="0048528F" w:rsidP="008B61E2">
      <w:pPr>
        <w:pStyle w:val="SingleTxtG"/>
        <w:rPr>
          <w:sz w:val="20"/>
          <w:szCs w:val="20"/>
        </w:rPr>
      </w:pPr>
      <w:r w:rsidRPr="008B61E2">
        <w:rPr>
          <w:sz w:val="20"/>
          <w:szCs w:val="20"/>
        </w:rPr>
        <w:lastRenderedPageBreak/>
        <w:t>27.</w:t>
      </w:r>
      <w:r w:rsidRPr="008B61E2">
        <w:rPr>
          <w:sz w:val="20"/>
          <w:szCs w:val="20"/>
        </w:rPr>
        <w:tab/>
        <w:t xml:space="preserve">From the late 1970s until 2008, housing construction </w:t>
      </w:r>
      <w:r w:rsidR="00CB15EC">
        <w:rPr>
          <w:sz w:val="20"/>
          <w:szCs w:val="20"/>
        </w:rPr>
        <w:t>surged</w:t>
      </w:r>
      <w:r w:rsidRPr="008B61E2">
        <w:rPr>
          <w:sz w:val="20"/>
          <w:szCs w:val="20"/>
        </w:rPr>
        <w:t xml:space="preserve"> in Portugal</w:t>
      </w:r>
      <w:r w:rsidR="00CB15EC">
        <w:rPr>
          <w:sz w:val="20"/>
          <w:szCs w:val="20"/>
        </w:rPr>
        <w:t xml:space="preserve">; </w:t>
      </w:r>
      <w:r w:rsidRPr="008B61E2">
        <w:rPr>
          <w:sz w:val="20"/>
          <w:szCs w:val="20"/>
        </w:rPr>
        <w:t xml:space="preserve">the number of houses nearly doubled, and at access to credit for housing at low interest rates was </w:t>
      </w:r>
      <w:r w:rsidR="00CB15EC">
        <w:rPr>
          <w:sz w:val="20"/>
          <w:szCs w:val="20"/>
        </w:rPr>
        <w:t xml:space="preserve">more </w:t>
      </w:r>
      <w:r w:rsidRPr="008B61E2">
        <w:rPr>
          <w:sz w:val="20"/>
          <w:szCs w:val="20"/>
        </w:rPr>
        <w:t>readily available. A</w:t>
      </w:r>
      <w:r w:rsidR="00B74268">
        <w:rPr>
          <w:sz w:val="20"/>
          <w:szCs w:val="20"/>
        </w:rPr>
        <w:t>ccording to Statistics Portugal,</w:t>
      </w:r>
      <w:r w:rsidRPr="008B61E2">
        <w:rPr>
          <w:sz w:val="20"/>
          <w:szCs w:val="20"/>
        </w:rPr>
        <w:t xml:space="preserve"> </w:t>
      </w:r>
      <w:r w:rsidR="00B74268" w:rsidRPr="005C5598">
        <w:rPr>
          <w:sz w:val="20"/>
          <w:szCs w:val="20"/>
        </w:rPr>
        <w:t>between 1990 and 2001</w:t>
      </w:r>
      <w:r w:rsidR="00B74268">
        <w:rPr>
          <w:sz w:val="20"/>
          <w:szCs w:val="20"/>
        </w:rPr>
        <w:t>,</w:t>
      </w:r>
      <w:r w:rsidR="00B74268" w:rsidRPr="005C5598">
        <w:rPr>
          <w:sz w:val="20"/>
          <w:szCs w:val="20"/>
        </w:rPr>
        <w:t xml:space="preserve"> </w:t>
      </w:r>
      <w:r w:rsidRPr="008B61E2">
        <w:rPr>
          <w:sz w:val="20"/>
          <w:szCs w:val="20"/>
        </w:rPr>
        <w:t xml:space="preserve">the number of tenants decreased from 61 to 24 per cent. </w:t>
      </w:r>
      <w:r w:rsidR="00A531A1">
        <w:rPr>
          <w:sz w:val="20"/>
          <w:szCs w:val="20"/>
        </w:rPr>
        <w:t>B</w:t>
      </w:r>
      <w:r w:rsidR="00A531A1" w:rsidRPr="008545D4">
        <w:rPr>
          <w:sz w:val="20"/>
          <w:szCs w:val="20"/>
        </w:rPr>
        <w:t>y the end of the 1990s</w:t>
      </w:r>
      <w:r w:rsidR="00A531A1">
        <w:rPr>
          <w:sz w:val="20"/>
          <w:szCs w:val="20"/>
        </w:rPr>
        <w:t xml:space="preserve">, between </w:t>
      </w:r>
      <w:r w:rsidRPr="008B61E2">
        <w:rPr>
          <w:sz w:val="20"/>
          <w:szCs w:val="20"/>
        </w:rPr>
        <w:t xml:space="preserve">20 </w:t>
      </w:r>
      <w:r w:rsidR="00A531A1">
        <w:rPr>
          <w:sz w:val="20"/>
          <w:szCs w:val="20"/>
        </w:rPr>
        <w:t>and</w:t>
      </w:r>
      <w:r w:rsidRPr="008B61E2">
        <w:rPr>
          <w:sz w:val="20"/>
          <w:szCs w:val="20"/>
        </w:rPr>
        <w:t xml:space="preserve"> 25 per cent of the labour force </w:t>
      </w:r>
      <w:r w:rsidR="00A531A1">
        <w:rPr>
          <w:sz w:val="20"/>
          <w:szCs w:val="20"/>
        </w:rPr>
        <w:t xml:space="preserve">– </w:t>
      </w:r>
      <w:r w:rsidR="00A531A1" w:rsidRPr="00C101FF">
        <w:rPr>
          <w:sz w:val="20"/>
          <w:szCs w:val="20"/>
        </w:rPr>
        <w:t xml:space="preserve">including unskilled workers </w:t>
      </w:r>
      <w:r w:rsidR="009A2C09">
        <w:rPr>
          <w:sz w:val="20"/>
          <w:szCs w:val="20"/>
        </w:rPr>
        <w:t xml:space="preserve">who had migrated </w:t>
      </w:r>
      <w:r w:rsidR="00A531A1" w:rsidRPr="00C101FF">
        <w:rPr>
          <w:sz w:val="20"/>
          <w:szCs w:val="20"/>
        </w:rPr>
        <w:t xml:space="preserve">from rural areas to the cities, </w:t>
      </w:r>
      <w:r w:rsidR="009A2C09">
        <w:rPr>
          <w:sz w:val="20"/>
          <w:szCs w:val="20"/>
        </w:rPr>
        <w:t xml:space="preserve">and </w:t>
      </w:r>
      <w:r w:rsidR="00A531A1" w:rsidRPr="00C101FF">
        <w:rPr>
          <w:sz w:val="20"/>
          <w:szCs w:val="20"/>
        </w:rPr>
        <w:t>migrants from former colonies in Africa</w:t>
      </w:r>
      <w:r w:rsidRPr="008B61E2">
        <w:rPr>
          <w:sz w:val="20"/>
          <w:szCs w:val="20"/>
        </w:rPr>
        <w:t xml:space="preserve"> </w:t>
      </w:r>
      <w:r w:rsidR="009A2C09">
        <w:rPr>
          <w:sz w:val="20"/>
          <w:szCs w:val="20"/>
        </w:rPr>
        <w:t xml:space="preserve">– </w:t>
      </w:r>
      <w:r w:rsidRPr="008B61E2">
        <w:rPr>
          <w:sz w:val="20"/>
          <w:szCs w:val="20"/>
        </w:rPr>
        <w:t>w</w:t>
      </w:r>
      <w:r w:rsidR="009A2C09">
        <w:rPr>
          <w:sz w:val="20"/>
          <w:szCs w:val="20"/>
        </w:rPr>
        <w:t>ere</w:t>
      </w:r>
      <w:r w:rsidRPr="008B61E2">
        <w:rPr>
          <w:sz w:val="20"/>
          <w:szCs w:val="20"/>
        </w:rPr>
        <w:t xml:space="preserve"> engaged in construction. </w:t>
      </w:r>
      <w:r w:rsidR="009A2C09">
        <w:rPr>
          <w:sz w:val="20"/>
          <w:szCs w:val="20"/>
        </w:rPr>
        <w:t>Today,</w:t>
      </w:r>
      <w:r w:rsidRPr="008B61E2">
        <w:rPr>
          <w:sz w:val="20"/>
          <w:szCs w:val="20"/>
        </w:rPr>
        <w:t xml:space="preserve"> that figure stands at approximately 9 per cent.</w:t>
      </w:r>
      <w:r w:rsidRPr="0048528F">
        <w:rPr>
          <w:sz w:val="18"/>
          <w:szCs w:val="18"/>
          <w:vertAlign w:val="superscript"/>
        </w:rPr>
        <w:footnoteReference w:id="18"/>
      </w:r>
      <w:r w:rsidRPr="008B61E2">
        <w:rPr>
          <w:sz w:val="20"/>
          <w:szCs w:val="20"/>
        </w:rPr>
        <w:t xml:space="preserve"> Since 2002, and despite the </w:t>
      </w:r>
      <w:r w:rsidR="009A2C09">
        <w:rPr>
          <w:sz w:val="20"/>
          <w:szCs w:val="20"/>
        </w:rPr>
        <w:t>slowdown</w:t>
      </w:r>
      <w:r w:rsidRPr="008B61E2">
        <w:rPr>
          <w:sz w:val="20"/>
          <w:szCs w:val="20"/>
        </w:rPr>
        <w:t xml:space="preserve"> in new housing construction, the number of new housing units </w:t>
      </w:r>
      <w:r w:rsidR="009A2C09">
        <w:rPr>
          <w:sz w:val="20"/>
          <w:szCs w:val="20"/>
        </w:rPr>
        <w:t>is still</w:t>
      </w:r>
      <w:r w:rsidRPr="008B61E2">
        <w:rPr>
          <w:sz w:val="20"/>
          <w:szCs w:val="20"/>
        </w:rPr>
        <w:t xml:space="preserve"> higher than the number of housing rehabilitated.</w:t>
      </w:r>
    </w:p>
    <w:p w:rsidR="00C07932" w:rsidRPr="008B61E2" w:rsidRDefault="0048528F" w:rsidP="008B61E2">
      <w:pPr>
        <w:pStyle w:val="SingleTxtG"/>
        <w:rPr>
          <w:sz w:val="20"/>
          <w:szCs w:val="20"/>
        </w:rPr>
      </w:pPr>
      <w:r w:rsidRPr="008B61E2">
        <w:rPr>
          <w:sz w:val="20"/>
          <w:szCs w:val="20"/>
        </w:rPr>
        <w:t>28.</w:t>
      </w:r>
      <w:r w:rsidRPr="008B61E2">
        <w:rPr>
          <w:sz w:val="20"/>
          <w:szCs w:val="20"/>
        </w:rPr>
        <w:tab/>
      </w:r>
      <w:r w:rsidR="009A2C09">
        <w:rPr>
          <w:sz w:val="20"/>
          <w:szCs w:val="20"/>
        </w:rPr>
        <w:t xml:space="preserve">With regard to </w:t>
      </w:r>
      <w:r w:rsidRPr="008B61E2">
        <w:rPr>
          <w:sz w:val="20"/>
          <w:szCs w:val="20"/>
        </w:rPr>
        <w:t xml:space="preserve">access to services and infrastructure, an </w:t>
      </w:r>
      <w:r w:rsidR="009A2C09">
        <w:rPr>
          <w:sz w:val="20"/>
          <w:szCs w:val="20"/>
        </w:rPr>
        <w:t xml:space="preserve">important </w:t>
      </w:r>
      <w:r w:rsidRPr="008B61E2">
        <w:rPr>
          <w:sz w:val="20"/>
          <w:szCs w:val="20"/>
        </w:rPr>
        <w:t xml:space="preserve">element of adequate housing under international human rights law, </w:t>
      </w:r>
      <w:r w:rsidR="000E1F99">
        <w:rPr>
          <w:sz w:val="20"/>
          <w:szCs w:val="20"/>
        </w:rPr>
        <w:t>the</w:t>
      </w:r>
      <w:r w:rsidR="000E1F99" w:rsidRPr="000E1F99">
        <w:rPr>
          <w:szCs w:val="18"/>
        </w:rPr>
        <w:t xml:space="preserve"> </w:t>
      </w:r>
      <w:r w:rsidRPr="008B61E2">
        <w:rPr>
          <w:sz w:val="20"/>
          <w:szCs w:val="20"/>
        </w:rPr>
        <w:t xml:space="preserve">European Housing Exclusion Index </w:t>
      </w:r>
      <w:r w:rsidR="000E1F99">
        <w:rPr>
          <w:sz w:val="20"/>
          <w:szCs w:val="20"/>
        </w:rPr>
        <w:t xml:space="preserve">for </w:t>
      </w:r>
      <w:r w:rsidRPr="008B61E2">
        <w:rPr>
          <w:sz w:val="20"/>
          <w:szCs w:val="20"/>
        </w:rPr>
        <w:t>2016</w:t>
      </w:r>
      <w:r w:rsidR="000E1F99">
        <w:rPr>
          <w:szCs w:val="18"/>
        </w:rPr>
        <w:t xml:space="preserve"> </w:t>
      </w:r>
      <w:r w:rsidRPr="008B61E2">
        <w:rPr>
          <w:sz w:val="20"/>
          <w:szCs w:val="20"/>
        </w:rPr>
        <w:t>shows that</w:t>
      </w:r>
      <w:r w:rsidR="000E1F99">
        <w:rPr>
          <w:szCs w:val="18"/>
        </w:rPr>
        <w:t xml:space="preserve"> </w:t>
      </w:r>
      <w:r w:rsidRPr="008B61E2">
        <w:rPr>
          <w:sz w:val="20"/>
          <w:szCs w:val="20"/>
        </w:rPr>
        <w:t xml:space="preserve">approximately </w:t>
      </w:r>
      <w:r w:rsidR="009A2C09">
        <w:rPr>
          <w:sz w:val="20"/>
          <w:szCs w:val="20"/>
        </w:rPr>
        <w:t>one</w:t>
      </w:r>
      <w:r w:rsidRPr="008B61E2">
        <w:rPr>
          <w:sz w:val="20"/>
          <w:szCs w:val="20"/>
        </w:rPr>
        <w:t xml:space="preserve"> in </w:t>
      </w:r>
      <w:r w:rsidR="009A2C09">
        <w:rPr>
          <w:sz w:val="20"/>
          <w:szCs w:val="20"/>
        </w:rPr>
        <w:t>four</w:t>
      </w:r>
      <w:r w:rsidRPr="008B61E2">
        <w:rPr>
          <w:sz w:val="20"/>
          <w:szCs w:val="20"/>
        </w:rPr>
        <w:t xml:space="preserve"> pe</w:t>
      </w:r>
      <w:r w:rsidR="009A2C09">
        <w:rPr>
          <w:sz w:val="20"/>
          <w:szCs w:val="20"/>
        </w:rPr>
        <w:t>ople</w:t>
      </w:r>
      <w:r w:rsidRPr="008B61E2">
        <w:rPr>
          <w:sz w:val="20"/>
          <w:szCs w:val="20"/>
        </w:rPr>
        <w:t xml:space="preserve"> in Portugal </w:t>
      </w:r>
      <w:r w:rsidR="009A2C09">
        <w:rPr>
          <w:sz w:val="20"/>
          <w:szCs w:val="20"/>
        </w:rPr>
        <w:t>has</w:t>
      </w:r>
      <w:r w:rsidRPr="008B61E2">
        <w:rPr>
          <w:sz w:val="20"/>
          <w:szCs w:val="20"/>
        </w:rPr>
        <w:t xml:space="preserve"> serious </w:t>
      </w:r>
      <w:r w:rsidR="009A2C09">
        <w:rPr>
          <w:sz w:val="20"/>
          <w:szCs w:val="20"/>
        </w:rPr>
        <w:t xml:space="preserve">problems in keeping </w:t>
      </w:r>
      <w:r w:rsidRPr="008B61E2">
        <w:rPr>
          <w:sz w:val="20"/>
          <w:szCs w:val="20"/>
        </w:rPr>
        <w:t>their home adequately warm (23</w:t>
      </w:r>
      <w:r w:rsidR="009A2C09">
        <w:rPr>
          <w:sz w:val="20"/>
          <w:szCs w:val="20"/>
        </w:rPr>
        <w:t>.</w:t>
      </w:r>
      <w:r w:rsidRPr="008B61E2">
        <w:rPr>
          <w:sz w:val="20"/>
          <w:szCs w:val="20"/>
        </w:rPr>
        <w:t xml:space="preserve">8 per cent in 2015), almost three times higher than in the rest of the European Union. Severe housing deprivation is an issue of concern, especially for young people between 20 and 29 years, </w:t>
      </w:r>
      <w:r w:rsidR="000E1F99">
        <w:rPr>
          <w:sz w:val="20"/>
          <w:szCs w:val="20"/>
        </w:rPr>
        <w:t xml:space="preserve">and </w:t>
      </w:r>
      <w:r w:rsidRPr="008B61E2">
        <w:rPr>
          <w:sz w:val="20"/>
          <w:szCs w:val="20"/>
        </w:rPr>
        <w:t>dramatically increases the risk of homelessness.</w:t>
      </w:r>
    </w:p>
    <w:p w:rsidR="00C07932" w:rsidRDefault="0048528F" w:rsidP="008B61E2">
      <w:pPr>
        <w:pStyle w:val="SingleTxtG"/>
      </w:pPr>
      <w:r w:rsidRPr="008B61E2">
        <w:rPr>
          <w:sz w:val="20"/>
          <w:szCs w:val="20"/>
        </w:rPr>
        <w:t>29.</w:t>
      </w:r>
      <w:r w:rsidRPr="008B61E2">
        <w:rPr>
          <w:sz w:val="20"/>
          <w:szCs w:val="20"/>
        </w:rPr>
        <w:tab/>
        <w:t>Under international law</w:t>
      </w:r>
      <w:r w:rsidR="000E1F99">
        <w:rPr>
          <w:sz w:val="20"/>
          <w:szCs w:val="20"/>
        </w:rPr>
        <w:t>,</w:t>
      </w:r>
      <w:r w:rsidRPr="008B61E2">
        <w:rPr>
          <w:sz w:val="20"/>
          <w:szCs w:val="20"/>
        </w:rPr>
        <w:t xml:space="preserve"> for housing to be adequate it must be affordable, particularly for those living in poverty. In 2015</w:t>
      </w:r>
      <w:r w:rsidR="000E1F99">
        <w:rPr>
          <w:sz w:val="20"/>
          <w:szCs w:val="20"/>
        </w:rPr>
        <w:t>,</w:t>
      </w:r>
      <w:r w:rsidRPr="008B61E2">
        <w:rPr>
          <w:sz w:val="20"/>
          <w:szCs w:val="20"/>
        </w:rPr>
        <w:t xml:space="preserve"> 33.5 per cent of poor households liv</w:t>
      </w:r>
      <w:r w:rsidR="000E1F99">
        <w:rPr>
          <w:sz w:val="20"/>
          <w:szCs w:val="20"/>
        </w:rPr>
        <w:t>ed</w:t>
      </w:r>
      <w:r w:rsidRPr="008B61E2">
        <w:rPr>
          <w:sz w:val="20"/>
          <w:szCs w:val="20"/>
        </w:rPr>
        <w:t xml:space="preserve"> in unaffordable situations</w:t>
      </w:r>
      <w:r w:rsidR="000E1F99">
        <w:rPr>
          <w:sz w:val="20"/>
          <w:szCs w:val="20"/>
        </w:rPr>
        <w:t>,</w:t>
      </w:r>
      <w:r w:rsidRPr="008B61E2">
        <w:rPr>
          <w:sz w:val="20"/>
          <w:szCs w:val="20"/>
        </w:rPr>
        <w:t xml:space="preserve"> and </w:t>
      </w:r>
      <w:r w:rsidR="000E1F99">
        <w:rPr>
          <w:sz w:val="20"/>
          <w:szCs w:val="20"/>
        </w:rPr>
        <w:t xml:space="preserve">were </w:t>
      </w:r>
      <w:r w:rsidRPr="008B61E2">
        <w:rPr>
          <w:sz w:val="20"/>
          <w:szCs w:val="20"/>
        </w:rPr>
        <w:t>thus at risk of falling into arrears or mortgage foreclosure, a 3</w:t>
      </w:r>
      <w:r w:rsidR="000E1F99">
        <w:rPr>
          <w:sz w:val="20"/>
          <w:szCs w:val="20"/>
        </w:rPr>
        <w:t xml:space="preserve"> </w:t>
      </w:r>
      <w:r w:rsidRPr="008B61E2">
        <w:rPr>
          <w:sz w:val="20"/>
          <w:szCs w:val="20"/>
        </w:rPr>
        <w:t>per cent increase in just two years</w:t>
      </w:r>
      <w:r w:rsidR="000E1F99">
        <w:rPr>
          <w:sz w:val="20"/>
          <w:szCs w:val="20"/>
        </w:rPr>
        <w:t>.</w:t>
      </w:r>
      <w:r w:rsidRPr="008B61E2">
        <w:rPr>
          <w:sz w:val="20"/>
          <w:szCs w:val="20"/>
        </w:rPr>
        <w:t xml:space="preserve"> </w:t>
      </w:r>
      <w:r w:rsidR="000E1F99">
        <w:rPr>
          <w:sz w:val="20"/>
          <w:szCs w:val="20"/>
        </w:rPr>
        <w:t xml:space="preserve">According to information received by the Special Rapporteur from INE, </w:t>
      </w:r>
      <w:r w:rsidRPr="008B61E2">
        <w:rPr>
          <w:sz w:val="20"/>
          <w:szCs w:val="20"/>
        </w:rPr>
        <w:t>11 per cent of people living in poverty live in severe housing deprivation</w:t>
      </w:r>
      <w:r w:rsidR="000E1F99">
        <w:rPr>
          <w:sz w:val="20"/>
          <w:szCs w:val="20"/>
        </w:rPr>
        <w:t>,</w:t>
      </w:r>
      <w:r w:rsidRPr="008B61E2">
        <w:rPr>
          <w:sz w:val="20"/>
          <w:szCs w:val="20"/>
        </w:rPr>
        <w:t xml:space="preserve"> and almost</w:t>
      </w:r>
      <w:r w:rsidR="000E1F99">
        <w:rPr>
          <w:sz w:val="20"/>
          <w:szCs w:val="20"/>
        </w:rPr>
        <w:t xml:space="preserve"> </w:t>
      </w:r>
      <w:r w:rsidRPr="008B61E2">
        <w:rPr>
          <w:sz w:val="20"/>
          <w:szCs w:val="20"/>
        </w:rPr>
        <w:t>10.3 per cent (21 per cent of whom are poor) live in overcrowded households.</w:t>
      </w:r>
      <w:bookmarkStart w:id="15" w:name="_Toc473100929"/>
      <w:bookmarkStart w:id="16" w:name="_Toc473119159"/>
    </w:p>
    <w:p w:rsidR="00C07932" w:rsidRDefault="00182D5E" w:rsidP="008B61E2">
      <w:pPr>
        <w:pStyle w:val="H1G"/>
        <w:spacing w:line="240" w:lineRule="atLeast"/>
      </w:pPr>
      <w:r>
        <w:tab/>
        <w:t>B.</w:t>
      </w:r>
      <w:r>
        <w:tab/>
      </w:r>
      <w:r w:rsidRPr="00182D5E">
        <w:t>National housing policies</w:t>
      </w:r>
      <w:bookmarkEnd w:id="15"/>
      <w:bookmarkEnd w:id="16"/>
      <w:r w:rsidRPr="00182D5E">
        <w:t xml:space="preserve"> </w:t>
      </w:r>
    </w:p>
    <w:p w:rsidR="00C07932" w:rsidRPr="008B61E2" w:rsidRDefault="0048528F" w:rsidP="008B61E2">
      <w:pPr>
        <w:pStyle w:val="SingleTxtG"/>
        <w:rPr>
          <w:sz w:val="20"/>
          <w:szCs w:val="20"/>
        </w:rPr>
      </w:pPr>
      <w:r w:rsidRPr="008B61E2">
        <w:rPr>
          <w:sz w:val="20"/>
          <w:szCs w:val="20"/>
        </w:rPr>
        <w:t>30.</w:t>
      </w:r>
      <w:r w:rsidRPr="008B61E2">
        <w:rPr>
          <w:sz w:val="20"/>
          <w:szCs w:val="20"/>
        </w:rPr>
        <w:tab/>
      </w:r>
      <w:r w:rsidR="00B25204">
        <w:rPr>
          <w:sz w:val="20"/>
          <w:szCs w:val="20"/>
        </w:rPr>
        <w:t>The</w:t>
      </w:r>
      <w:r w:rsidRPr="008B61E2">
        <w:rPr>
          <w:sz w:val="20"/>
          <w:szCs w:val="20"/>
        </w:rPr>
        <w:t xml:space="preserve"> </w:t>
      </w:r>
      <w:r w:rsidR="000E1F99">
        <w:rPr>
          <w:sz w:val="20"/>
          <w:szCs w:val="20"/>
        </w:rPr>
        <w:t>n</w:t>
      </w:r>
      <w:r w:rsidRPr="008B61E2">
        <w:rPr>
          <w:sz w:val="20"/>
          <w:szCs w:val="20"/>
        </w:rPr>
        <w:t xml:space="preserve">ational </w:t>
      </w:r>
      <w:r w:rsidR="000E1F99">
        <w:rPr>
          <w:sz w:val="20"/>
          <w:szCs w:val="20"/>
        </w:rPr>
        <w:t>h</w:t>
      </w:r>
      <w:r w:rsidRPr="008B61E2">
        <w:rPr>
          <w:sz w:val="20"/>
          <w:szCs w:val="20"/>
        </w:rPr>
        <w:t xml:space="preserve">ousing </w:t>
      </w:r>
      <w:r w:rsidR="000E1F99">
        <w:rPr>
          <w:sz w:val="20"/>
          <w:szCs w:val="20"/>
        </w:rPr>
        <w:t>s</w:t>
      </w:r>
      <w:r w:rsidRPr="008B61E2">
        <w:rPr>
          <w:sz w:val="20"/>
          <w:szCs w:val="20"/>
        </w:rPr>
        <w:t xml:space="preserve">trategy </w:t>
      </w:r>
      <w:r w:rsidR="000E1F99">
        <w:rPr>
          <w:sz w:val="20"/>
          <w:szCs w:val="20"/>
        </w:rPr>
        <w:t xml:space="preserve">for the period </w:t>
      </w:r>
      <w:r w:rsidRPr="008B61E2">
        <w:rPr>
          <w:sz w:val="20"/>
          <w:szCs w:val="20"/>
        </w:rPr>
        <w:t>2015</w:t>
      </w:r>
      <w:r w:rsidR="000E1F99">
        <w:rPr>
          <w:sz w:val="20"/>
          <w:szCs w:val="20"/>
        </w:rPr>
        <w:t>-</w:t>
      </w:r>
      <w:r w:rsidRPr="008B61E2">
        <w:rPr>
          <w:sz w:val="20"/>
          <w:szCs w:val="20"/>
        </w:rPr>
        <w:t>2030</w:t>
      </w:r>
      <w:r w:rsidR="00B25204">
        <w:rPr>
          <w:sz w:val="20"/>
          <w:szCs w:val="20"/>
        </w:rPr>
        <w:t>,</w:t>
      </w:r>
      <w:r w:rsidRPr="008B61E2">
        <w:rPr>
          <w:sz w:val="20"/>
          <w:szCs w:val="20"/>
        </w:rPr>
        <w:t xml:space="preserve"> which is operational in nature, </w:t>
      </w:r>
      <w:r w:rsidR="00B25204">
        <w:rPr>
          <w:sz w:val="20"/>
          <w:szCs w:val="20"/>
        </w:rPr>
        <w:t xml:space="preserve">is aimed at </w:t>
      </w:r>
      <w:r w:rsidRPr="008B61E2">
        <w:rPr>
          <w:sz w:val="20"/>
          <w:szCs w:val="20"/>
        </w:rPr>
        <w:t>ensur</w:t>
      </w:r>
      <w:r w:rsidR="00B25204">
        <w:rPr>
          <w:sz w:val="20"/>
          <w:szCs w:val="20"/>
        </w:rPr>
        <w:t>ing</w:t>
      </w:r>
      <w:r w:rsidRPr="008B61E2">
        <w:rPr>
          <w:sz w:val="20"/>
          <w:szCs w:val="20"/>
        </w:rPr>
        <w:t xml:space="preserve"> access to housing for families, </w:t>
      </w:r>
      <w:r w:rsidR="00B25204">
        <w:rPr>
          <w:sz w:val="20"/>
          <w:szCs w:val="20"/>
        </w:rPr>
        <w:t xml:space="preserve">on the basis of </w:t>
      </w:r>
      <w:r w:rsidRPr="008B61E2">
        <w:rPr>
          <w:sz w:val="20"/>
          <w:szCs w:val="20"/>
        </w:rPr>
        <w:t>three thematic cornerstones</w:t>
      </w:r>
      <w:r w:rsidR="000E1F99">
        <w:rPr>
          <w:sz w:val="20"/>
          <w:szCs w:val="20"/>
        </w:rPr>
        <w:t>;</w:t>
      </w:r>
      <w:r w:rsidRPr="008B61E2">
        <w:rPr>
          <w:sz w:val="20"/>
          <w:szCs w:val="20"/>
        </w:rPr>
        <w:t xml:space="preserve"> urban rehabilitation</w:t>
      </w:r>
      <w:r w:rsidR="00B25204">
        <w:rPr>
          <w:sz w:val="20"/>
          <w:szCs w:val="20"/>
        </w:rPr>
        <w:t>,</w:t>
      </w:r>
      <w:r w:rsidRPr="008B61E2">
        <w:rPr>
          <w:sz w:val="20"/>
          <w:szCs w:val="20"/>
        </w:rPr>
        <w:t xml:space="preserve"> housing rent</w:t>
      </w:r>
      <w:r w:rsidR="00B25204">
        <w:rPr>
          <w:sz w:val="20"/>
          <w:szCs w:val="20"/>
        </w:rPr>
        <w:t>,</w:t>
      </w:r>
      <w:r w:rsidRPr="008B61E2">
        <w:rPr>
          <w:sz w:val="20"/>
          <w:szCs w:val="20"/>
        </w:rPr>
        <w:t xml:space="preserve"> and </w:t>
      </w:r>
      <w:r w:rsidR="00B25204">
        <w:rPr>
          <w:sz w:val="20"/>
          <w:szCs w:val="20"/>
        </w:rPr>
        <w:t xml:space="preserve">the </w:t>
      </w:r>
      <w:r w:rsidR="009415B8">
        <w:rPr>
          <w:sz w:val="20"/>
          <w:szCs w:val="20"/>
        </w:rPr>
        <w:t xml:space="preserve">rehabilitation </w:t>
      </w:r>
      <w:r w:rsidRPr="008B61E2">
        <w:rPr>
          <w:sz w:val="20"/>
          <w:szCs w:val="20"/>
        </w:rPr>
        <w:t>of housing (contribut</w:t>
      </w:r>
      <w:r w:rsidR="00B25204">
        <w:rPr>
          <w:sz w:val="20"/>
          <w:szCs w:val="20"/>
        </w:rPr>
        <w:t>ing</w:t>
      </w:r>
      <w:r w:rsidRPr="008B61E2">
        <w:rPr>
          <w:sz w:val="20"/>
          <w:szCs w:val="20"/>
        </w:rPr>
        <w:t xml:space="preserve"> to social inclusion and </w:t>
      </w:r>
      <w:r w:rsidR="00B25204">
        <w:rPr>
          <w:sz w:val="20"/>
          <w:szCs w:val="20"/>
        </w:rPr>
        <w:t xml:space="preserve">to the </w:t>
      </w:r>
      <w:r w:rsidRPr="008B61E2">
        <w:rPr>
          <w:sz w:val="20"/>
          <w:szCs w:val="20"/>
        </w:rPr>
        <w:t xml:space="preserve">protection of the most marginalized). The connection of </w:t>
      </w:r>
      <w:r w:rsidR="00B25204">
        <w:rPr>
          <w:sz w:val="20"/>
          <w:szCs w:val="20"/>
        </w:rPr>
        <w:t>the</w:t>
      </w:r>
      <w:r w:rsidRPr="008B61E2">
        <w:rPr>
          <w:sz w:val="20"/>
          <w:szCs w:val="20"/>
        </w:rPr>
        <w:t xml:space="preserve"> strategy </w:t>
      </w:r>
      <w:r w:rsidR="00B25204" w:rsidRPr="00DD19B6">
        <w:rPr>
          <w:sz w:val="20"/>
          <w:szCs w:val="20"/>
        </w:rPr>
        <w:t xml:space="preserve">to other housing policies </w:t>
      </w:r>
      <w:r w:rsidRPr="008B61E2">
        <w:rPr>
          <w:sz w:val="20"/>
          <w:szCs w:val="20"/>
        </w:rPr>
        <w:t>and its relevance is unclear.</w:t>
      </w:r>
    </w:p>
    <w:p w:rsidR="00C07932" w:rsidRPr="008B61E2" w:rsidRDefault="0048528F" w:rsidP="008B61E2">
      <w:pPr>
        <w:pStyle w:val="SingleTxtG"/>
        <w:rPr>
          <w:sz w:val="20"/>
          <w:szCs w:val="20"/>
        </w:rPr>
      </w:pPr>
      <w:r w:rsidRPr="008B61E2">
        <w:rPr>
          <w:sz w:val="20"/>
          <w:szCs w:val="20"/>
        </w:rPr>
        <w:t>31.</w:t>
      </w:r>
      <w:r w:rsidRPr="008B61E2">
        <w:rPr>
          <w:sz w:val="20"/>
          <w:szCs w:val="20"/>
        </w:rPr>
        <w:tab/>
        <w:t xml:space="preserve">The </w:t>
      </w:r>
      <w:r w:rsidR="00B25204" w:rsidRPr="001A301A">
        <w:rPr>
          <w:sz w:val="20"/>
          <w:szCs w:val="20"/>
        </w:rPr>
        <w:t>Institute for Housing and Urban Rehabilitation</w:t>
      </w:r>
      <w:r w:rsidRPr="008B61E2">
        <w:rPr>
          <w:sz w:val="20"/>
          <w:szCs w:val="20"/>
        </w:rPr>
        <w:t xml:space="preserve"> </w:t>
      </w:r>
      <w:r w:rsidR="00D4427F">
        <w:rPr>
          <w:sz w:val="20"/>
          <w:szCs w:val="20"/>
        </w:rPr>
        <w:t>(</w:t>
      </w:r>
      <w:r w:rsidRPr="008B61E2">
        <w:rPr>
          <w:sz w:val="20"/>
          <w:szCs w:val="20"/>
        </w:rPr>
        <w:t>Instituto da Habitação e da Reabilitação Urbana</w:t>
      </w:r>
      <w:r w:rsidR="00D4427F" w:rsidRPr="008B61E2">
        <w:rPr>
          <w:sz w:val="20"/>
          <w:szCs w:val="20"/>
        </w:rPr>
        <w:t>,</w:t>
      </w:r>
      <w:r w:rsidR="00D4427F">
        <w:rPr>
          <w:sz w:val="20"/>
          <w:szCs w:val="20"/>
        </w:rPr>
        <w:t xml:space="preserve"> or </w:t>
      </w:r>
      <w:r w:rsidRPr="008B61E2">
        <w:rPr>
          <w:sz w:val="20"/>
          <w:szCs w:val="20"/>
        </w:rPr>
        <w:t>IHRU</w:t>
      </w:r>
      <w:r w:rsidR="00D4427F">
        <w:rPr>
          <w:sz w:val="20"/>
          <w:szCs w:val="20"/>
        </w:rPr>
        <w:t>)</w:t>
      </w:r>
      <w:r w:rsidRPr="008B61E2">
        <w:rPr>
          <w:sz w:val="20"/>
          <w:szCs w:val="20"/>
        </w:rPr>
        <w:t>) is in charge of implement</w:t>
      </w:r>
      <w:r w:rsidR="00B25204">
        <w:rPr>
          <w:sz w:val="20"/>
          <w:szCs w:val="20"/>
        </w:rPr>
        <w:t>ing</w:t>
      </w:r>
      <w:r w:rsidRPr="008B61E2">
        <w:rPr>
          <w:sz w:val="20"/>
          <w:szCs w:val="20"/>
        </w:rPr>
        <w:t xml:space="preserve"> of </w:t>
      </w:r>
      <w:r w:rsidR="00B25204">
        <w:rPr>
          <w:sz w:val="20"/>
          <w:szCs w:val="20"/>
        </w:rPr>
        <w:t>the</w:t>
      </w:r>
      <w:r w:rsidRPr="008B61E2">
        <w:rPr>
          <w:sz w:val="20"/>
          <w:szCs w:val="20"/>
        </w:rPr>
        <w:t xml:space="preserve"> housing and urban rehabilitation policies</w:t>
      </w:r>
      <w:r w:rsidR="00B25204">
        <w:rPr>
          <w:sz w:val="20"/>
          <w:szCs w:val="20"/>
        </w:rPr>
        <w:t xml:space="preserve"> of the central Government</w:t>
      </w:r>
      <w:r w:rsidRPr="008B61E2">
        <w:rPr>
          <w:sz w:val="20"/>
          <w:szCs w:val="20"/>
        </w:rPr>
        <w:t>, particularly for low</w:t>
      </w:r>
      <w:r w:rsidR="00B25204">
        <w:rPr>
          <w:sz w:val="20"/>
          <w:szCs w:val="20"/>
        </w:rPr>
        <w:t>-</w:t>
      </w:r>
      <w:r w:rsidRPr="008B61E2">
        <w:rPr>
          <w:sz w:val="20"/>
          <w:szCs w:val="20"/>
        </w:rPr>
        <w:t xml:space="preserve">income families. </w:t>
      </w:r>
      <w:r w:rsidR="00B25204">
        <w:rPr>
          <w:sz w:val="20"/>
          <w:szCs w:val="20"/>
        </w:rPr>
        <w:t xml:space="preserve">To </w:t>
      </w:r>
      <w:r w:rsidRPr="008B61E2">
        <w:rPr>
          <w:sz w:val="20"/>
          <w:szCs w:val="20"/>
        </w:rPr>
        <w:t xml:space="preserve">this </w:t>
      </w:r>
      <w:r w:rsidR="00B25204">
        <w:rPr>
          <w:sz w:val="20"/>
          <w:szCs w:val="20"/>
        </w:rPr>
        <w:t>end</w:t>
      </w:r>
      <w:r w:rsidRPr="008B61E2">
        <w:rPr>
          <w:sz w:val="20"/>
          <w:szCs w:val="20"/>
        </w:rPr>
        <w:t xml:space="preserve">, </w:t>
      </w:r>
      <w:r w:rsidR="00B25204">
        <w:rPr>
          <w:sz w:val="20"/>
          <w:szCs w:val="20"/>
        </w:rPr>
        <w:t xml:space="preserve">it </w:t>
      </w:r>
      <w:r w:rsidRPr="008B61E2">
        <w:rPr>
          <w:sz w:val="20"/>
          <w:szCs w:val="20"/>
        </w:rPr>
        <w:t xml:space="preserve">provides grants and loans, with or without subsidies, to public, private </w:t>
      </w:r>
      <w:r w:rsidR="00B25204">
        <w:rPr>
          <w:sz w:val="20"/>
          <w:szCs w:val="20"/>
        </w:rPr>
        <w:t>and</w:t>
      </w:r>
      <w:r w:rsidRPr="008B61E2">
        <w:rPr>
          <w:sz w:val="20"/>
          <w:szCs w:val="20"/>
        </w:rPr>
        <w:t xml:space="preserve"> cooperative institutions. Where necessary</w:t>
      </w:r>
      <w:r w:rsidR="00B25204">
        <w:rPr>
          <w:sz w:val="20"/>
          <w:szCs w:val="20"/>
        </w:rPr>
        <w:t>,</w:t>
      </w:r>
      <w:r w:rsidRPr="008B61E2">
        <w:rPr>
          <w:sz w:val="20"/>
          <w:szCs w:val="20"/>
        </w:rPr>
        <w:t xml:space="preserve"> </w:t>
      </w:r>
      <w:r w:rsidR="00B25204">
        <w:rPr>
          <w:sz w:val="20"/>
          <w:szCs w:val="20"/>
        </w:rPr>
        <w:t>IHRU</w:t>
      </w:r>
      <w:r w:rsidRPr="008B61E2">
        <w:rPr>
          <w:sz w:val="20"/>
          <w:szCs w:val="20"/>
        </w:rPr>
        <w:t xml:space="preserve"> provides guarantees for social housing and urban rehabilitation financing operations, and may participate in companies,</w:t>
      </w:r>
      <w:r w:rsidR="00182D5E" w:rsidRPr="00182D5E">
        <w:t xml:space="preserve"> </w:t>
      </w:r>
      <w:r w:rsidRPr="008B61E2">
        <w:rPr>
          <w:sz w:val="20"/>
          <w:szCs w:val="20"/>
        </w:rPr>
        <w:t>real estate investment funds, consortiums, public-private partnerships and other forms of association that pursue urban rehabilitation.</w:t>
      </w:r>
    </w:p>
    <w:p w:rsidR="00C07932" w:rsidRDefault="0048528F" w:rsidP="008B61E2">
      <w:pPr>
        <w:pStyle w:val="SingleTxtG"/>
      </w:pPr>
      <w:r w:rsidRPr="008B61E2">
        <w:rPr>
          <w:sz w:val="20"/>
          <w:szCs w:val="20"/>
        </w:rPr>
        <w:t>3</w:t>
      </w:r>
      <w:r w:rsidR="00BD491C">
        <w:rPr>
          <w:sz w:val="20"/>
          <w:szCs w:val="20"/>
        </w:rPr>
        <w:t>2</w:t>
      </w:r>
      <w:r w:rsidRPr="008B61E2">
        <w:rPr>
          <w:sz w:val="20"/>
          <w:szCs w:val="20"/>
        </w:rPr>
        <w:t>.</w:t>
      </w:r>
      <w:r w:rsidRPr="008B61E2">
        <w:rPr>
          <w:sz w:val="20"/>
          <w:szCs w:val="20"/>
        </w:rPr>
        <w:tab/>
        <w:t xml:space="preserve">Portugal also has in place several programmes and policies to address specific housing challenges, reduce housing shortage, </w:t>
      </w:r>
      <w:r w:rsidR="00DC25D7">
        <w:rPr>
          <w:sz w:val="20"/>
          <w:szCs w:val="20"/>
        </w:rPr>
        <w:t>and</w:t>
      </w:r>
      <w:r w:rsidRPr="008B61E2">
        <w:rPr>
          <w:sz w:val="20"/>
          <w:szCs w:val="20"/>
        </w:rPr>
        <w:t xml:space="preserve"> regulate the interaction and functions between the national Government and the autonomous regions and municipalities responsible for housing.</w:t>
      </w:r>
    </w:p>
    <w:p w:rsidR="00C07932" w:rsidRDefault="0048528F" w:rsidP="008B61E2">
      <w:pPr>
        <w:pStyle w:val="SingleTxtG"/>
      </w:pPr>
      <w:r w:rsidRPr="008B61E2">
        <w:rPr>
          <w:sz w:val="20"/>
          <w:szCs w:val="20"/>
        </w:rPr>
        <w:t>3</w:t>
      </w:r>
      <w:r w:rsidR="00BD491C">
        <w:rPr>
          <w:sz w:val="20"/>
          <w:szCs w:val="20"/>
        </w:rPr>
        <w:t>3</w:t>
      </w:r>
      <w:r w:rsidRPr="008B61E2">
        <w:rPr>
          <w:sz w:val="20"/>
          <w:szCs w:val="20"/>
        </w:rPr>
        <w:t>.</w:t>
      </w:r>
      <w:r w:rsidRPr="008B61E2">
        <w:rPr>
          <w:sz w:val="20"/>
          <w:szCs w:val="20"/>
        </w:rPr>
        <w:tab/>
        <w:t xml:space="preserve">The </w:t>
      </w:r>
      <w:r w:rsidR="00DC25D7" w:rsidRPr="003043B8">
        <w:rPr>
          <w:sz w:val="20"/>
          <w:szCs w:val="20"/>
        </w:rPr>
        <w:t>Housing Access Financing Programme</w:t>
      </w:r>
      <w:r w:rsidRPr="008B61E2">
        <w:rPr>
          <w:sz w:val="20"/>
          <w:szCs w:val="20"/>
        </w:rPr>
        <w:t xml:space="preserve"> (</w:t>
      </w:r>
      <w:r w:rsidR="00DC25D7" w:rsidRPr="008B61E2">
        <w:rPr>
          <w:sz w:val="20"/>
          <w:szCs w:val="20"/>
        </w:rPr>
        <w:t>Programa de Financiamento para Acesso à Habitação</w:t>
      </w:r>
      <w:r w:rsidR="00DC25D7">
        <w:rPr>
          <w:sz w:val="20"/>
          <w:szCs w:val="20"/>
        </w:rPr>
        <w:t>, or</w:t>
      </w:r>
      <w:r w:rsidR="00DC25D7" w:rsidRPr="00510C34">
        <w:rPr>
          <w:sz w:val="20"/>
          <w:szCs w:val="20"/>
        </w:rPr>
        <w:t xml:space="preserve"> </w:t>
      </w:r>
      <w:r w:rsidRPr="008B61E2">
        <w:rPr>
          <w:sz w:val="20"/>
          <w:szCs w:val="20"/>
        </w:rPr>
        <w:t xml:space="preserve">PROHABITA) has been in place since 2004. Its objective is to support families with serious housing difficulties </w:t>
      </w:r>
      <w:r w:rsidR="00DC25D7">
        <w:rPr>
          <w:sz w:val="20"/>
          <w:szCs w:val="20"/>
        </w:rPr>
        <w:t>by providing</w:t>
      </w:r>
      <w:r w:rsidRPr="008B61E2">
        <w:rPr>
          <w:sz w:val="20"/>
          <w:szCs w:val="20"/>
        </w:rPr>
        <w:t xml:space="preserve"> cost-controlled housing, </w:t>
      </w:r>
      <w:r w:rsidRPr="008B61E2">
        <w:rPr>
          <w:sz w:val="20"/>
          <w:szCs w:val="20"/>
        </w:rPr>
        <w:lastRenderedPageBreak/>
        <w:t xml:space="preserve">rehabilitation and </w:t>
      </w:r>
      <w:r w:rsidR="00DC25D7">
        <w:rPr>
          <w:sz w:val="20"/>
          <w:szCs w:val="20"/>
        </w:rPr>
        <w:t xml:space="preserve">the </w:t>
      </w:r>
      <w:r w:rsidRPr="008B61E2">
        <w:rPr>
          <w:sz w:val="20"/>
          <w:szCs w:val="20"/>
        </w:rPr>
        <w:t>transformation of buildings into social facilities in social housing neighbourhoods</w:t>
      </w:r>
      <w:r w:rsidR="00DC25D7">
        <w:rPr>
          <w:sz w:val="20"/>
          <w:szCs w:val="20"/>
        </w:rPr>
        <w:t>,</w:t>
      </w:r>
      <w:r w:rsidRPr="008B61E2">
        <w:rPr>
          <w:sz w:val="20"/>
          <w:szCs w:val="20"/>
        </w:rPr>
        <w:t xml:space="preserve"> and financial support to households for rehousing in </w:t>
      </w:r>
      <w:r w:rsidR="00D33F6F">
        <w:rPr>
          <w:sz w:val="20"/>
          <w:szCs w:val="20"/>
        </w:rPr>
        <w:t>the event</w:t>
      </w:r>
      <w:r w:rsidRPr="008B61E2">
        <w:rPr>
          <w:sz w:val="20"/>
          <w:szCs w:val="20"/>
        </w:rPr>
        <w:t xml:space="preserve"> of natural disaster or emergency situations</w:t>
      </w:r>
      <w:r w:rsidR="00D33F6F">
        <w:rPr>
          <w:sz w:val="20"/>
          <w:szCs w:val="20"/>
        </w:rPr>
        <w:t xml:space="preserve"> (see </w:t>
      </w:r>
      <w:r w:rsidRPr="008B61E2">
        <w:rPr>
          <w:sz w:val="20"/>
          <w:szCs w:val="20"/>
        </w:rPr>
        <w:t>E/C.12/PRT/4, para. 202).</w:t>
      </w:r>
      <w:r w:rsidR="00182D5E" w:rsidRPr="00182D5E">
        <w:t xml:space="preserve"> </w:t>
      </w:r>
      <w:r w:rsidRPr="008B61E2">
        <w:rPr>
          <w:sz w:val="20"/>
          <w:szCs w:val="20"/>
        </w:rPr>
        <w:t>The Special Rapporteur was informed that the programme ha</w:t>
      </w:r>
      <w:r w:rsidR="00D33F6F">
        <w:rPr>
          <w:sz w:val="20"/>
          <w:szCs w:val="20"/>
        </w:rPr>
        <w:t>d</w:t>
      </w:r>
      <w:r w:rsidRPr="008B61E2">
        <w:rPr>
          <w:sz w:val="20"/>
          <w:szCs w:val="20"/>
        </w:rPr>
        <w:t xml:space="preserve"> received </w:t>
      </w:r>
      <w:r w:rsidR="00D33F6F" w:rsidRPr="000B3803">
        <w:rPr>
          <w:sz w:val="20"/>
          <w:szCs w:val="20"/>
        </w:rPr>
        <w:t xml:space="preserve">for 2017 </w:t>
      </w:r>
      <w:r w:rsidRPr="008B61E2">
        <w:rPr>
          <w:sz w:val="20"/>
          <w:szCs w:val="20"/>
        </w:rPr>
        <w:t>only a small budget allocation of 5.5 million euros</w:t>
      </w:r>
      <w:r w:rsidR="00D33F6F">
        <w:rPr>
          <w:sz w:val="20"/>
          <w:szCs w:val="20"/>
        </w:rPr>
        <w:t xml:space="preserve"> –</w:t>
      </w:r>
      <w:r w:rsidRPr="008B61E2">
        <w:rPr>
          <w:sz w:val="20"/>
          <w:szCs w:val="20"/>
        </w:rPr>
        <w:t xml:space="preserve"> which the </w:t>
      </w:r>
      <w:r w:rsidR="00D33F6F">
        <w:rPr>
          <w:sz w:val="20"/>
          <w:szCs w:val="20"/>
        </w:rPr>
        <w:t>G</w:t>
      </w:r>
      <w:r w:rsidRPr="008B61E2">
        <w:rPr>
          <w:sz w:val="20"/>
          <w:szCs w:val="20"/>
        </w:rPr>
        <w:t>overnment admits is low</w:t>
      </w:r>
      <w:r w:rsidR="00D33F6F">
        <w:rPr>
          <w:sz w:val="20"/>
          <w:szCs w:val="20"/>
        </w:rPr>
        <w:t xml:space="preserve"> –</w:t>
      </w:r>
      <w:r w:rsidRPr="008B61E2">
        <w:rPr>
          <w:sz w:val="20"/>
          <w:szCs w:val="20"/>
        </w:rPr>
        <w:t xml:space="preserve"> after several years without funding. It is not clear whether the resources allocated under </w:t>
      </w:r>
      <w:r w:rsidR="00D33F6F">
        <w:rPr>
          <w:sz w:val="20"/>
          <w:szCs w:val="20"/>
        </w:rPr>
        <w:t>the</w:t>
      </w:r>
      <w:r w:rsidRPr="008B61E2">
        <w:rPr>
          <w:sz w:val="20"/>
          <w:szCs w:val="20"/>
        </w:rPr>
        <w:t xml:space="preserve"> programme </w:t>
      </w:r>
      <w:r w:rsidR="00D33F6F">
        <w:rPr>
          <w:sz w:val="20"/>
          <w:szCs w:val="20"/>
        </w:rPr>
        <w:t>will be</w:t>
      </w:r>
      <w:r w:rsidRPr="008B61E2">
        <w:rPr>
          <w:sz w:val="20"/>
          <w:szCs w:val="20"/>
        </w:rPr>
        <w:t xml:space="preserve"> sufficient to address the needs identified.</w:t>
      </w:r>
    </w:p>
    <w:p w:rsidR="00C07932" w:rsidRDefault="0048528F" w:rsidP="008B61E2">
      <w:pPr>
        <w:pStyle w:val="SingleTxtG"/>
      </w:pPr>
      <w:r w:rsidRPr="008B61E2">
        <w:rPr>
          <w:sz w:val="20"/>
          <w:szCs w:val="20"/>
        </w:rPr>
        <w:t>3</w:t>
      </w:r>
      <w:r w:rsidR="00BD491C">
        <w:rPr>
          <w:sz w:val="20"/>
          <w:szCs w:val="20"/>
        </w:rPr>
        <w:t>4</w:t>
      </w:r>
      <w:r w:rsidRPr="008B61E2">
        <w:rPr>
          <w:sz w:val="20"/>
          <w:szCs w:val="20"/>
        </w:rPr>
        <w:t>.</w:t>
      </w:r>
      <w:r w:rsidRPr="008B61E2">
        <w:rPr>
          <w:sz w:val="20"/>
          <w:szCs w:val="20"/>
        </w:rPr>
        <w:tab/>
        <w:t xml:space="preserve">The </w:t>
      </w:r>
      <w:r w:rsidR="00D33F6F" w:rsidRPr="00924141">
        <w:rPr>
          <w:sz w:val="20"/>
          <w:szCs w:val="20"/>
        </w:rPr>
        <w:t>Special Rehousing Programme</w:t>
      </w:r>
      <w:r w:rsidRPr="008B61E2">
        <w:rPr>
          <w:sz w:val="20"/>
          <w:szCs w:val="20"/>
        </w:rPr>
        <w:t xml:space="preserve"> </w:t>
      </w:r>
      <w:r w:rsidR="00D33F6F">
        <w:rPr>
          <w:sz w:val="20"/>
          <w:szCs w:val="20"/>
        </w:rPr>
        <w:t>(</w:t>
      </w:r>
      <w:r w:rsidRPr="008B61E2">
        <w:rPr>
          <w:sz w:val="20"/>
          <w:szCs w:val="20"/>
        </w:rPr>
        <w:t>Programa Especial de Realojamento</w:t>
      </w:r>
      <w:r w:rsidR="00D33F6F">
        <w:rPr>
          <w:sz w:val="20"/>
          <w:szCs w:val="20"/>
        </w:rPr>
        <w:t>, or PER)</w:t>
      </w:r>
      <w:r w:rsidRPr="0048528F">
        <w:rPr>
          <w:sz w:val="18"/>
          <w:szCs w:val="18"/>
          <w:vertAlign w:val="superscript"/>
        </w:rPr>
        <w:footnoteReference w:id="19"/>
      </w:r>
      <w:r w:rsidR="00182D5E" w:rsidRPr="00182D5E">
        <w:t xml:space="preserve"> </w:t>
      </w:r>
      <w:r w:rsidRPr="008B61E2">
        <w:rPr>
          <w:sz w:val="20"/>
          <w:szCs w:val="20"/>
        </w:rPr>
        <w:t xml:space="preserve">targeted </w:t>
      </w:r>
      <w:r w:rsidR="00705E9A">
        <w:rPr>
          <w:sz w:val="20"/>
          <w:szCs w:val="20"/>
        </w:rPr>
        <w:t>people</w:t>
      </w:r>
      <w:r w:rsidRPr="008B61E2">
        <w:rPr>
          <w:sz w:val="20"/>
          <w:szCs w:val="20"/>
        </w:rPr>
        <w:t xml:space="preserve"> in the metropolitan areas of Lisbon and Porto </w:t>
      </w:r>
      <w:r w:rsidR="00705E9A" w:rsidRPr="00E5136E">
        <w:rPr>
          <w:sz w:val="20"/>
          <w:szCs w:val="20"/>
        </w:rPr>
        <w:t xml:space="preserve">living </w:t>
      </w:r>
      <w:r w:rsidRPr="008B61E2">
        <w:rPr>
          <w:sz w:val="20"/>
          <w:szCs w:val="20"/>
        </w:rPr>
        <w:t xml:space="preserve">in </w:t>
      </w:r>
      <w:r w:rsidR="00705E9A">
        <w:rPr>
          <w:sz w:val="20"/>
          <w:szCs w:val="20"/>
        </w:rPr>
        <w:t>“</w:t>
      </w:r>
      <w:r w:rsidRPr="008B61E2">
        <w:rPr>
          <w:sz w:val="20"/>
          <w:szCs w:val="20"/>
        </w:rPr>
        <w:t>non-conventional</w:t>
      </w:r>
      <w:r w:rsidR="00705E9A">
        <w:rPr>
          <w:sz w:val="20"/>
          <w:szCs w:val="20"/>
        </w:rPr>
        <w:t>”</w:t>
      </w:r>
      <w:r w:rsidRPr="008B61E2">
        <w:rPr>
          <w:sz w:val="20"/>
          <w:szCs w:val="20"/>
        </w:rPr>
        <w:t xml:space="preserve"> dwellings. </w:t>
      </w:r>
      <w:r w:rsidR="00705E9A">
        <w:rPr>
          <w:sz w:val="20"/>
          <w:szCs w:val="20"/>
        </w:rPr>
        <w:t>Launched</w:t>
      </w:r>
      <w:r w:rsidRPr="008B61E2">
        <w:rPr>
          <w:sz w:val="20"/>
          <w:szCs w:val="20"/>
        </w:rPr>
        <w:t xml:space="preserve"> in 1993, </w:t>
      </w:r>
      <w:r w:rsidR="00705E9A">
        <w:rPr>
          <w:sz w:val="20"/>
          <w:szCs w:val="20"/>
        </w:rPr>
        <w:t>the</w:t>
      </w:r>
      <w:r w:rsidRPr="008B61E2">
        <w:rPr>
          <w:sz w:val="20"/>
          <w:szCs w:val="20"/>
        </w:rPr>
        <w:t xml:space="preserve"> programme provided financial support for construction, acquisition </w:t>
      </w:r>
      <w:r w:rsidR="00705E9A">
        <w:rPr>
          <w:sz w:val="20"/>
          <w:szCs w:val="20"/>
        </w:rPr>
        <w:t>and</w:t>
      </w:r>
      <w:r w:rsidRPr="008B61E2">
        <w:rPr>
          <w:sz w:val="20"/>
          <w:szCs w:val="20"/>
        </w:rPr>
        <w:t xml:space="preserve"> rental. Grants were received by municipalities, municipal public enterprises, private social security institutions and housing or construction cooperatives. The programme was based on the resettlement needs identified in a universal survey conducted between 1993 and 1995. According to IHRU, 48,416 households were identified in the survey, of which 34,494 were resettled under </w:t>
      </w:r>
      <w:r w:rsidR="00534AC3">
        <w:rPr>
          <w:sz w:val="20"/>
          <w:szCs w:val="20"/>
        </w:rPr>
        <w:t>the programme</w:t>
      </w:r>
      <w:r w:rsidR="00705E9A">
        <w:rPr>
          <w:sz w:val="20"/>
          <w:szCs w:val="20"/>
        </w:rPr>
        <w:t>,</w:t>
      </w:r>
      <w:r w:rsidRPr="008B61E2">
        <w:rPr>
          <w:sz w:val="20"/>
          <w:szCs w:val="20"/>
        </w:rPr>
        <w:t xml:space="preserve"> while 10,621 found their own housing solutions. Of the housing units built under </w:t>
      </w:r>
      <w:r w:rsidR="00534AC3">
        <w:rPr>
          <w:sz w:val="20"/>
          <w:szCs w:val="20"/>
        </w:rPr>
        <w:t>the programme</w:t>
      </w:r>
      <w:r w:rsidR="00705E9A">
        <w:rPr>
          <w:sz w:val="20"/>
          <w:szCs w:val="20"/>
        </w:rPr>
        <w:t>,</w:t>
      </w:r>
      <w:r w:rsidRPr="008B61E2">
        <w:rPr>
          <w:sz w:val="20"/>
          <w:szCs w:val="20"/>
        </w:rPr>
        <w:t xml:space="preserve"> 22,672 are located in the Lisbon </w:t>
      </w:r>
      <w:r w:rsidR="00705E9A">
        <w:rPr>
          <w:sz w:val="20"/>
          <w:szCs w:val="20"/>
        </w:rPr>
        <w:t>m</w:t>
      </w:r>
      <w:r w:rsidRPr="008B61E2">
        <w:rPr>
          <w:sz w:val="20"/>
          <w:szCs w:val="20"/>
        </w:rPr>
        <w:t xml:space="preserve">etropolitan </w:t>
      </w:r>
      <w:r w:rsidR="00705E9A">
        <w:rPr>
          <w:sz w:val="20"/>
          <w:szCs w:val="20"/>
        </w:rPr>
        <w:t>a</w:t>
      </w:r>
      <w:r w:rsidRPr="008B61E2">
        <w:rPr>
          <w:sz w:val="20"/>
          <w:szCs w:val="20"/>
        </w:rPr>
        <w:t xml:space="preserve">rea and 11,822 in the Porto </w:t>
      </w:r>
      <w:r w:rsidR="00705E9A">
        <w:rPr>
          <w:sz w:val="20"/>
          <w:szCs w:val="20"/>
        </w:rPr>
        <w:t>m</w:t>
      </w:r>
      <w:r w:rsidRPr="008B61E2">
        <w:rPr>
          <w:sz w:val="20"/>
          <w:szCs w:val="20"/>
        </w:rPr>
        <w:t xml:space="preserve">etropolitan </w:t>
      </w:r>
      <w:r w:rsidR="00705E9A">
        <w:rPr>
          <w:sz w:val="20"/>
          <w:szCs w:val="20"/>
        </w:rPr>
        <w:t>a</w:t>
      </w:r>
      <w:r w:rsidRPr="008B61E2">
        <w:rPr>
          <w:sz w:val="20"/>
          <w:szCs w:val="20"/>
        </w:rPr>
        <w:t xml:space="preserve">rea. </w:t>
      </w:r>
      <w:r w:rsidR="00705E9A">
        <w:rPr>
          <w:sz w:val="20"/>
          <w:szCs w:val="20"/>
        </w:rPr>
        <w:t>M</w:t>
      </w:r>
      <w:r w:rsidRPr="008B61E2">
        <w:rPr>
          <w:sz w:val="20"/>
          <w:szCs w:val="20"/>
        </w:rPr>
        <w:t xml:space="preserve">ost resettlement </w:t>
      </w:r>
      <w:r w:rsidR="00705E9A">
        <w:rPr>
          <w:sz w:val="20"/>
          <w:szCs w:val="20"/>
        </w:rPr>
        <w:t>was concentrated</w:t>
      </w:r>
      <w:r w:rsidRPr="008B61E2">
        <w:rPr>
          <w:sz w:val="20"/>
          <w:szCs w:val="20"/>
        </w:rPr>
        <w:t xml:space="preserve"> on the outskirts of city centres</w:t>
      </w:r>
      <w:r w:rsidR="00705E9A">
        <w:rPr>
          <w:sz w:val="20"/>
          <w:szCs w:val="20"/>
        </w:rPr>
        <w:t>,</w:t>
      </w:r>
      <w:r w:rsidRPr="008B61E2">
        <w:rPr>
          <w:sz w:val="20"/>
          <w:szCs w:val="20"/>
        </w:rPr>
        <w:t xml:space="preserve"> result</w:t>
      </w:r>
      <w:r w:rsidR="00705E9A">
        <w:rPr>
          <w:sz w:val="20"/>
          <w:szCs w:val="20"/>
        </w:rPr>
        <w:t>ing</w:t>
      </w:r>
      <w:r w:rsidRPr="008B61E2">
        <w:rPr>
          <w:sz w:val="20"/>
          <w:szCs w:val="20"/>
        </w:rPr>
        <w:t xml:space="preserve"> in the relative isolation of these communities, far from other services and livelihood opportunities.</w:t>
      </w:r>
      <w:r w:rsidR="00705E9A">
        <w:rPr>
          <w:sz w:val="20"/>
          <w:szCs w:val="20"/>
        </w:rPr>
        <w:t xml:space="preserve"> L</w:t>
      </w:r>
      <w:r w:rsidRPr="008B61E2">
        <w:rPr>
          <w:sz w:val="20"/>
          <w:szCs w:val="20"/>
        </w:rPr>
        <w:t xml:space="preserve">ittle resettlement has </w:t>
      </w:r>
      <w:r w:rsidR="00705E9A">
        <w:rPr>
          <w:sz w:val="20"/>
          <w:szCs w:val="20"/>
        </w:rPr>
        <w:t>been witnessed</w:t>
      </w:r>
      <w:r w:rsidRPr="008B61E2">
        <w:rPr>
          <w:sz w:val="20"/>
          <w:szCs w:val="20"/>
        </w:rPr>
        <w:t xml:space="preserve"> in the </w:t>
      </w:r>
      <w:r w:rsidR="00705E9A">
        <w:rPr>
          <w:sz w:val="20"/>
          <w:szCs w:val="20"/>
        </w:rPr>
        <w:t>p</w:t>
      </w:r>
      <w:r w:rsidRPr="008B61E2">
        <w:rPr>
          <w:sz w:val="20"/>
          <w:szCs w:val="20"/>
        </w:rPr>
        <w:t xml:space="preserve">ast </w:t>
      </w:r>
      <w:r w:rsidR="00705E9A">
        <w:rPr>
          <w:sz w:val="20"/>
          <w:szCs w:val="20"/>
        </w:rPr>
        <w:t>20</w:t>
      </w:r>
      <w:r w:rsidRPr="008B61E2">
        <w:rPr>
          <w:sz w:val="20"/>
          <w:szCs w:val="20"/>
        </w:rPr>
        <w:t xml:space="preserve"> years</w:t>
      </w:r>
      <w:r w:rsidR="00705E9A">
        <w:rPr>
          <w:sz w:val="20"/>
          <w:szCs w:val="20"/>
        </w:rPr>
        <w:t>,</w:t>
      </w:r>
      <w:r w:rsidRPr="008B61E2">
        <w:rPr>
          <w:sz w:val="20"/>
          <w:szCs w:val="20"/>
        </w:rPr>
        <w:t xml:space="preserve"> which has meant that those who were </w:t>
      </w:r>
      <w:r w:rsidR="009415B8">
        <w:rPr>
          <w:sz w:val="20"/>
          <w:szCs w:val="20"/>
        </w:rPr>
        <w:t xml:space="preserve">not </w:t>
      </w:r>
      <w:r w:rsidR="00705E9A">
        <w:rPr>
          <w:sz w:val="20"/>
          <w:szCs w:val="20"/>
        </w:rPr>
        <w:t xml:space="preserve">included in the </w:t>
      </w:r>
      <w:r w:rsidRPr="008B61E2">
        <w:rPr>
          <w:sz w:val="20"/>
          <w:szCs w:val="20"/>
        </w:rPr>
        <w:t xml:space="preserve">survey </w:t>
      </w:r>
      <w:r w:rsidR="00705E9A">
        <w:rPr>
          <w:sz w:val="20"/>
          <w:szCs w:val="20"/>
        </w:rPr>
        <w:t xml:space="preserve">continue to </w:t>
      </w:r>
      <w:r w:rsidRPr="008B61E2">
        <w:rPr>
          <w:sz w:val="20"/>
          <w:szCs w:val="20"/>
        </w:rPr>
        <w:t>liv</w:t>
      </w:r>
      <w:r w:rsidR="00705E9A">
        <w:rPr>
          <w:sz w:val="20"/>
          <w:szCs w:val="20"/>
        </w:rPr>
        <w:t>e</w:t>
      </w:r>
      <w:r w:rsidRPr="008B61E2">
        <w:rPr>
          <w:sz w:val="20"/>
          <w:szCs w:val="20"/>
        </w:rPr>
        <w:t xml:space="preserve"> in </w:t>
      </w:r>
      <w:r w:rsidR="00705E9A">
        <w:rPr>
          <w:sz w:val="20"/>
          <w:szCs w:val="20"/>
        </w:rPr>
        <w:t>“</w:t>
      </w:r>
      <w:r w:rsidRPr="008B61E2">
        <w:rPr>
          <w:sz w:val="20"/>
          <w:szCs w:val="20"/>
        </w:rPr>
        <w:t>non-conventional</w:t>
      </w:r>
      <w:r w:rsidR="00705E9A">
        <w:rPr>
          <w:sz w:val="20"/>
          <w:szCs w:val="20"/>
        </w:rPr>
        <w:t>”</w:t>
      </w:r>
      <w:r w:rsidRPr="008B61E2">
        <w:rPr>
          <w:sz w:val="20"/>
          <w:szCs w:val="20"/>
        </w:rPr>
        <w:t xml:space="preserve"> dwellings and are at imminent risk of eviction or house demolition. IHRU </w:t>
      </w:r>
      <w:r w:rsidR="00705E9A">
        <w:rPr>
          <w:sz w:val="20"/>
          <w:szCs w:val="20"/>
        </w:rPr>
        <w:t xml:space="preserve">estimates </w:t>
      </w:r>
      <w:r w:rsidRPr="008B61E2">
        <w:rPr>
          <w:sz w:val="20"/>
          <w:szCs w:val="20"/>
        </w:rPr>
        <w:t>that 3,301 families remain in need of resettlement</w:t>
      </w:r>
      <w:r w:rsidR="004D04F4">
        <w:rPr>
          <w:sz w:val="20"/>
          <w:szCs w:val="20"/>
        </w:rPr>
        <w:t>.</w:t>
      </w:r>
      <w:r w:rsidR="00705E9A">
        <w:rPr>
          <w:sz w:val="20"/>
          <w:szCs w:val="20"/>
        </w:rPr>
        <w:t xml:space="preserve"> </w:t>
      </w:r>
      <w:r w:rsidR="004D04F4">
        <w:rPr>
          <w:sz w:val="20"/>
          <w:szCs w:val="20"/>
        </w:rPr>
        <w:t>N</w:t>
      </w:r>
      <w:r w:rsidRPr="008B61E2">
        <w:rPr>
          <w:sz w:val="20"/>
          <w:szCs w:val="20"/>
        </w:rPr>
        <w:t xml:space="preserve">ew immigrants to Portugal from </w:t>
      </w:r>
      <w:r w:rsidR="00705E9A">
        <w:rPr>
          <w:sz w:val="20"/>
          <w:szCs w:val="20"/>
        </w:rPr>
        <w:t xml:space="preserve">its </w:t>
      </w:r>
      <w:r w:rsidRPr="008B61E2">
        <w:rPr>
          <w:sz w:val="20"/>
          <w:szCs w:val="20"/>
        </w:rPr>
        <w:t>former colonies often have no alternative but to live in these areas.</w:t>
      </w:r>
    </w:p>
    <w:p w:rsidR="00C07932" w:rsidRPr="008B61E2" w:rsidRDefault="0048528F" w:rsidP="008B61E2">
      <w:pPr>
        <w:pStyle w:val="SingleTxtG"/>
        <w:rPr>
          <w:sz w:val="20"/>
          <w:szCs w:val="20"/>
        </w:rPr>
      </w:pPr>
      <w:r w:rsidRPr="008B61E2">
        <w:rPr>
          <w:sz w:val="20"/>
          <w:szCs w:val="20"/>
        </w:rPr>
        <w:t>3</w:t>
      </w:r>
      <w:r w:rsidR="00BD491C">
        <w:rPr>
          <w:sz w:val="20"/>
          <w:szCs w:val="20"/>
        </w:rPr>
        <w:t>5</w:t>
      </w:r>
      <w:r w:rsidRPr="008B61E2">
        <w:rPr>
          <w:sz w:val="20"/>
          <w:szCs w:val="20"/>
        </w:rPr>
        <w:t>.</w:t>
      </w:r>
      <w:r w:rsidRPr="008B61E2">
        <w:rPr>
          <w:sz w:val="20"/>
          <w:szCs w:val="20"/>
        </w:rPr>
        <w:tab/>
        <w:t xml:space="preserve">About 57 per cent of the population between 18 and 34 </w:t>
      </w:r>
      <w:r w:rsidR="004D04F4">
        <w:rPr>
          <w:sz w:val="20"/>
          <w:szCs w:val="20"/>
        </w:rPr>
        <w:t xml:space="preserve">years of age </w:t>
      </w:r>
      <w:r w:rsidRPr="008B61E2">
        <w:rPr>
          <w:sz w:val="20"/>
          <w:szCs w:val="20"/>
        </w:rPr>
        <w:t xml:space="preserve">continue to live with their parents, mostly </w:t>
      </w:r>
      <w:r w:rsidR="004D04F4">
        <w:rPr>
          <w:sz w:val="20"/>
          <w:szCs w:val="20"/>
        </w:rPr>
        <w:t>owing</w:t>
      </w:r>
      <w:r w:rsidRPr="008B61E2">
        <w:rPr>
          <w:sz w:val="20"/>
          <w:szCs w:val="20"/>
        </w:rPr>
        <w:t xml:space="preserve"> to unemployment, l</w:t>
      </w:r>
      <w:r w:rsidR="004D04F4">
        <w:rPr>
          <w:sz w:val="20"/>
          <w:szCs w:val="20"/>
        </w:rPr>
        <w:t>o</w:t>
      </w:r>
      <w:r w:rsidRPr="008B61E2">
        <w:rPr>
          <w:sz w:val="20"/>
          <w:szCs w:val="20"/>
        </w:rPr>
        <w:t xml:space="preserve">w wages </w:t>
      </w:r>
      <w:r w:rsidR="004B3FF3">
        <w:rPr>
          <w:sz w:val="20"/>
          <w:szCs w:val="20"/>
        </w:rPr>
        <w:t xml:space="preserve">and the </w:t>
      </w:r>
      <w:r w:rsidRPr="008B61E2">
        <w:rPr>
          <w:sz w:val="20"/>
          <w:szCs w:val="20"/>
        </w:rPr>
        <w:t xml:space="preserve">temporary </w:t>
      </w:r>
      <w:r w:rsidR="004B3FF3">
        <w:rPr>
          <w:sz w:val="20"/>
          <w:szCs w:val="20"/>
        </w:rPr>
        <w:t xml:space="preserve">nature of many work </w:t>
      </w:r>
      <w:r w:rsidRPr="008B61E2">
        <w:rPr>
          <w:sz w:val="20"/>
          <w:szCs w:val="20"/>
        </w:rPr>
        <w:t xml:space="preserve">contracts. </w:t>
      </w:r>
      <w:r w:rsidR="004B3FF3">
        <w:rPr>
          <w:sz w:val="20"/>
          <w:szCs w:val="20"/>
        </w:rPr>
        <w:t xml:space="preserve">The </w:t>
      </w:r>
      <w:r w:rsidRPr="008B61E2">
        <w:rPr>
          <w:sz w:val="20"/>
          <w:szCs w:val="20"/>
        </w:rPr>
        <w:t xml:space="preserve">Porta 65 </w:t>
      </w:r>
      <w:r w:rsidR="004B3FF3">
        <w:rPr>
          <w:sz w:val="20"/>
          <w:szCs w:val="20"/>
        </w:rPr>
        <w:t>Jovem p</w:t>
      </w:r>
      <w:r w:rsidRPr="008B61E2">
        <w:rPr>
          <w:sz w:val="20"/>
          <w:szCs w:val="20"/>
        </w:rPr>
        <w:t>rogram</w:t>
      </w:r>
      <w:r w:rsidR="004B3FF3">
        <w:rPr>
          <w:sz w:val="20"/>
          <w:szCs w:val="20"/>
        </w:rPr>
        <w:t>me</w:t>
      </w:r>
      <w:r w:rsidRPr="008B61E2">
        <w:rPr>
          <w:sz w:val="20"/>
          <w:szCs w:val="20"/>
          <w:vertAlign w:val="superscript"/>
        </w:rPr>
        <w:t xml:space="preserve"> </w:t>
      </w:r>
      <w:r w:rsidRPr="008B61E2">
        <w:rPr>
          <w:sz w:val="20"/>
          <w:szCs w:val="20"/>
        </w:rPr>
        <w:t>provide</w:t>
      </w:r>
      <w:r w:rsidR="004B3FF3">
        <w:rPr>
          <w:sz w:val="20"/>
          <w:szCs w:val="20"/>
        </w:rPr>
        <w:t>s</w:t>
      </w:r>
      <w:r w:rsidRPr="008B61E2">
        <w:rPr>
          <w:sz w:val="20"/>
          <w:szCs w:val="20"/>
        </w:rPr>
        <w:t xml:space="preserve"> financial support for rental accommodation for people up to </w:t>
      </w:r>
      <w:r w:rsidR="004B3FF3">
        <w:rPr>
          <w:sz w:val="20"/>
          <w:szCs w:val="20"/>
        </w:rPr>
        <w:t xml:space="preserve">the </w:t>
      </w:r>
      <w:r w:rsidRPr="008B61E2">
        <w:rPr>
          <w:sz w:val="20"/>
          <w:szCs w:val="20"/>
        </w:rPr>
        <w:t xml:space="preserve">age </w:t>
      </w:r>
      <w:r w:rsidR="004B3FF3">
        <w:rPr>
          <w:sz w:val="20"/>
          <w:szCs w:val="20"/>
        </w:rPr>
        <w:t xml:space="preserve">of </w:t>
      </w:r>
      <w:r w:rsidRPr="008B61E2">
        <w:rPr>
          <w:sz w:val="20"/>
          <w:szCs w:val="20"/>
        </w:rPr>
        <w:t>30</w:t>
      </w:r>
      <w:r w:rsidR="004B3FF3">
        <w:rPr>
          <w:sz w:val="20"/>
          <w:szCs w:val="20"/>
        </w:rPr>
        <w:t xml:space="preserve"> years</w:t>
      </w:r>
      <w:r w:rsidRPr="008B61E2">
        <w:rPr>
          <w:sz w:val="20"/>
          <w:szCs w:val="20"/>
        </w:rPr>
        <w:t xml:space="preserve">. </w:t>
      </w:r>
      <w:r w:rsidR="004B3FF3">
        <w:rPr>
          <w:sz w:val="20"/>
          <w:szCs w:val="20"/>
        </w:rPr>
        <w:t xml:space="preserve">Under the programme, private landlords receive a rental </w:t>
      </w:r>
      <w:r w:rsidRPr="008B61E2">
        <w:rPr>
          <w:sz w:val="20"/>
          <w:szCs w:val="20"/>
        </w:rPr>
        <w:t>supplement for a period of up to three years, assign</w:t>
      </w:r>
      <w:r w:rsidR="009415B8">
        <w:rPr>
          <w:sz w:val="20"/>
          <w:szCs w:val="20"/>
        </w:rPr>
        <w:t>ed monthly</w:t>
      </w:r>
      <w:r w:rsidRPr="008B61E2">
        <w:rPr>
          <w:sz w:val="20"/>
          <w:szCs w:val="20"/>
        </w:rPr>
        <w:t xml:space="preserve">. </w:t>
      </w:r>
    </w:p>
    <w:p w:rsidR="00C07932" w:rsidRDefault="0048528F" w:rsidP="008B61E2">
      <w:pPr>
        <w:pStyle w:val="SingleTxtG"/>
      </w:pPr>
      <w:r w:rsidRPr="008B61E2">
        <w:rPr>
          <w:sz w:val="20"/>
          <w:szCs w:val="20"/>
        </w:rPr>
        <w:t>3</w:t>
      </w:r>
      <w:r w:rsidR="00BD491C">
        <w:rPr>
          <w:sz w:val="20"/>
          <w:szCs w:val="20"/>
        </w:rPr>
        <w:t>6</w:t>
      </w:r>
      <w:r w:rsidRPr="008B61E2">
        <w:rPr>
          <w:sz w:val="20"/>
          <w:szCs w:val="20"/>
        </w:rPr>
        <w:t>.</w:t>
      </w:r>
      <w:r w:rsidRPr="008B61E2">
        <w:rPr>
          <w:sz w:val="20"/>
          <w:szCs w:val="20"/>
        </w:rPr>
        <w:tab/>
        <w:t xml:space="preserve">In order to stimulate the urban rental market, and as part of the </w:t>
      </w:r>
      <w:r w:rsidR="004B3FF3">
        <w:rPr>
          <w:sz w:val="20"/>
          <w:szCs w:val="20"/>
        </w:rPr>
        <w:t>m</w:t>
      </w:r>
      <w:r w:rsidRPr="008B61E2">
        <w:rPr>
          <w:sz w:val="20"/>
          <w:szCs w:val="20"/>
        </w:rPr>
        <w:t xml:space="preserve">emorandum of </w:t>
      </w:r>
      <w:r w:rsidR="004B3FF3">
        <w:rPr>
          <w:sz w:val="20"/>
          <w:szCs w:val="20"/>
        </w:rPr>
        <w:t>u</w:t>
      </w:r>
      <w:r w:rsidRPr="008B61E2">
        <w:rPr>
          <w:sz w:val="20"/>
          <w:szCs w:val="20"/>
        </w:rPr>
        <w:t xml:space="preserve">nderstanding, </w:t>
      </w:r>
      <w:r w:rsidR="004B3FF3">
        <w:rPr>
          <w:sz w:val="20"/>
          <w:szCs w:val="20"/>
        </w:rPr>
        <w:t xml:space="preserve">the </w:t>
      </w:r>
      <w:r w:rsidRPr="008B61E2">
        <w:rPr>
          <w:sz w:val="20"/>
          <w:szCs w:val="20"/>
        </w:rPr>
        <w:t xml:space="preserve">New Urban Rental Regime </w:t>
      </w:r>
      <w:r w:rsidR="004B3FF3" w:rsidRPr="00FC37C0">
        <w:rPr>
          <w:sz w:val="20"/>
          <w:szCs w:val="20"/>
        </w:rPr>
        <w:t>(Novo Regime de Arrendamento Urbano</w:t>
      </w:r>
      <w:r w:rsidR="004B3FF3">
        <w:rPr>
          <w:sz w:val="20"/>
          <w:szCs w:val="20"/>
        </w:rPr>
        <w:t xml:space="preserve">) </w:t>
      </w:r>
      <w:r w:rsidRPr="008B61E2">
        <w:rPr>
          <w:sz w:val="20"/>
          <w:szCs w:val="20"/>
        </w:rPr>
        <w:t xml:space="preserve">was </w:t>
      </w:r>
      <w:r w:rsidR="005C266D">
        <w:rPr>
          <w:sz w:val="20"/>
          <w:szCs w:val="20"/>
        </w:rPr>
        <w:t>introduced</w:t>
      </w:r>
      <w:r w:rsidRPr="008B61E2">
        <w:rPr>
          <w:sz w:val="20"/>
          <w:szCs w:val="20"/>
        </w:rPr>
        <w:t xml:space="preserve"> in </w:t>
      </w:r>
      <w:r w:rsidR="004B3FF3">
        <w:rPr>
          <w:sz w:val="20"/>
          <w:szCs w:val="20"/>
        </w:rPr>
        <w:t xml:space="preserve">August </w:t>
      </w:r>
      <w:r w:rsidRPr="008B61E2">
        <w:rPr>
          <w:sz w:val="20"/>
          <w:szCs w:val="20"/>
        </w:rPr>
        <w:t>2012.</w:t>
      </w:r>
      <w:r w:rsidR="00182D5E" w:rsidRPr="00182D5E">
        <w:t xml:space="preserve"> </w:t>
      </w:r>
      <w:r w:rsidRPr="008B61E2">
        <w:rPr>
          <w:sz w:val="20"/>
          <w:szCs w:val="20"/>
        </w:rPr>
        <w:t>Th</w:t>
      </w:r>
      <w:r w:rsidR="004B3FF3">
        <w:rPr>
          <w:sz w:val="20"/>
          <w:szCs w:val="20"/>
        </w:rPr>
        <w:t xml:space="preserve">e </w:t>
      </w:r>
      <w:r w:rsidRPr="008B61E2">
        <w:rPr>
          <w:sz w:val="20"/>
          <w:szCs w:val="20"/>
        </w:rPr>
        <w:t xml:space="preserve">law </w:t>
      </w:r>
      <w:r w:rsidR="004B3FF3">
        <w:rPr>
          <w:sz w:val="20"/>
          <w:szCs w:val="20"/>
        </w:rPr>
        <w:t xml:space="preserve">governing the initiative </w:t>
      </w:r>
      <w:r w:rsidRPr="008B61E2">
        <w:rPr>
          <w:sz w:val="20"/>
          <w:szCs w:val="20"/>
        </w:rPr>
        <w:t xml:space="preserve">was </w:t>
      </w:r>
      <w:r w:rsidR="005C266D">
        <w:rPr>
          <w:sz w:val="20"/>
          <w:szCs w:val="20"/>
        </w:rPr>
        <w:t xml:space="preserve">adopted with the aim of </w:t>
      </w:r>
      <w:r w:rsidRPr="008B61E2">
        <w:rPr>
          <w:sz w:val="20"/>
          <w:szCs w:val="20"/>
        </w:rPr>
        <w:t>moderniz</w:t>
      </w:r>
      <w:r w:rsidR="005C266D">
        <w:rPr>
          <w:sz w:val="20"/>
          <w:szCs w:val="20"/>
        </w:rPr>
        <w:t>ing</w:t>
      </w:r>
      <w:r w:rsidRPr="008B61E2">
        <w:rPr>
          <w:sz w:val="20"/>
          <w:szCs w:val="20"/>
        </w:rPr>
        <w:t xml:space="preserve"> what </w:t>
      </w:r>
      <w:r w:rsidR="005C266D">
        <w:rPr>
          <w:sz w:val="20"/>
          <w:szCs w:val="20"/>
        </w:rPr>
        <w:t xml:space="preserve">was perceived </w:t>
      </w:r>
      <w:r w:rsidRPr="008B61E2">
        <w:rPr>
          <w:sz w:val="20"/>
          <w:szCs w:val="20"/>
        </w:rPr>
        <w:t xml:space="preserve">as a rigid rental market </w:t>
      </w:r>
      <w:r w:rsidR="005C266D">
        <w:rPr>
          <w:sz w:val="20"/>
          <w:szCs w:val="20"/>
        </w:rPr>
        <w:t xml:space="preserve">that had emerged </w:t>
      </w:r>
      <w:r w:rsidRPr="008B61E2">
        <w:rPr>
          <w:sz w:val="20"/>
          <w:szCs w:val="20"/>
        </w:rPr>
        <w:t>over several decades. Th</w:t>
      </w:r>
      <w:r w:rsidR="005C266D">
        <w:rPr>
          <w:sz w:val="20"/>
          <w:szCs w:val="20"/>
        </w:rPr>
        <w:t>e</w:t>
      </w:r>
      <w:r w:rsidRPr="008B61E2">
        <w:rPr>
          <w:sz w:val="20"/>
          <w:szCs w:val="20"/>
        </w:rPr>
        <w:t xml:space="preserve"> new regime </w:t>
      </w:r>
      <w:r w:rsidR="005C266D">
        <w:rPr>
          <w:sz w:val="20"/>
          <w:szCs w:val="20"/>
        </w:rPr>
        <w:t xml:space="preserve">comprised </w:t>
      </w:r>
      <w:r w:rsidRPr="008B61E2">
        <w:rPr>
          <w:sz w:val="20"/>
          <w:szCs w:val="20"/>
        </w:rPr>
        <w:t xml:space="preserve">a </w:t>
      </w:r>
      <w:r w:rsidR="005C266D">
        <w:rPr>
          <w:sz w:val="20"/>
          <w:szCs w:val="20"/>
        </w:rPr>
        <w:t>number</w:t>
      </w:r>
      <w:r w:rsidRPr="008B61E2">
        <w:rPr>
          <w:sz w:val="20"/>
          <w:szCs w:val="20"/>
        </w:rPr>
        <w:t xml:space="preserve"> of changes</w:t>
      </w:r>
      <w:r w:rsidR="005C266D">
        <w:rPr>
          <w:sz w:val="20"/>
          <w:szCs w:val="20"/>
        </w:rPr>
        <w:t>,</w:t>
      </w:r>
      <w:r w:rsidRPr="008B61E2">
        <w:rPr>
          <w:sz w:val="20"/>
          <w:szCs w:val="20"/>
        </w:rPr>
        <w:t xml:space="preserve"> including</w:t>
      </w:r>
      <w:r w:rsidR="005C266D">
        <w:rPr>
          <w:sz w:val="20"/>
          <w:szCs w:val="20"/>
        </w:rPr>
        <w:t xml:space="preserve"> </w:t>
      </w:r>
      <w:r w:rsidRPr="008B61E2">
        <w:rPr>
          <w:sz w:val="20"/>
          <w:szCs w:val="20"/>
        </w:rPr>
        <w:t xml:space="preserve">the elimination of </w:t>
      </w:r>
      <w:r w:rsidR="005C266D" w:rsidRPr="00DF5495">
        <w:rPr>
          <w:sz w:val="20"/>
          <w:szCs w:val="20"/>
        </w:rPr>
        <w:t xml:space="preserve">provisions </w:t>
      </w:r>
      <w:r w:rsidR="005C266D">
        <w:rPr>
          <w:sz w:val="20"/>
          <w:szCs w:val="20"/>
        </w:rPr>
        <w:t xml:space="preserve">for a </w:t>
      </w:r>
      <w:r w:rsidRPr="008B61E2">
        <w:rPr>
          <w:sz w:val="20"/>
          <w:szCs w:val="20"/>
        </w:rPr>
        <w:t xml:space="preserve">mandatory </w:t>
      </w:r>
      <w:r w:rsidR="005C266D">
        <w:rPr>
          <w:sz w:val="20"/>
          <w:szCs w:val="20"/>
        </w:rPr>
        <w:t xml:space="preserve">5-year </w:t>
      </w:r>
      <w:r w:rsidRPr="008B61E2">
        <w:rPr>
          <w:sz w:val="20"/>
          <w:szCs w:val="20"/>
        </w:rPr>
        <w:t>minimum duration of fixed-term agreements;</w:t>
      </w:r>
      <w:r w:rsidR="005C266D">
        <w:rPr>
          <w:sz w:val="20"/>
          <w:szCs w:val="20"/>
        </w:rPr>
        <w:t xml:space="preserve"> </w:t>
      </w:r>
      <w:r w:rsidR="00957540">
        <w:rPr>
          <w:sz w:val="20"/>
          <w:szCs w:val="20"/>
        </w:rPr>
        <w:t>reduction</w:t>
      </w:r>
      <w:r w:rsidR="005C266D">
        <w:rPr>
          <w:sz w:val="20"/>
          <w:szCs w:val="20"/>
        </w:rPr>
        <w:t xml:space="preserve"> of the minimum period of notice </w:t>
      </w:r>
      <w:r w:rsidR="005C266D" w:rsidRPr="00482B2D">
        <w:rPr>
          <w:sz w:val="20"/>
          <w:szCs w:val="20"/>
        </w:rPr>
        <w:t>for the termination of an agreement</w:t>
      </w:r>
      <w:r w:rsidRPr="008B61E2">
        <w:rPr>
          <w:sz w:val="20"/>
          <w:szCs w:val="20"/>
        </w:rPr>
        <w:t xml:space="preserve"> </w:t>
      </w:r>
      <w:r w:rsidR="005C266D">
        <w:rPr>
          <w:sz w:val="20"/>
          <w:szCs w:val="20"/>
        </w:rPr>
        <w:t xml:space="preserve">from five </w:t>
      </w:r>
      <w:r w:rsidR="00957540">
        <w:rPr>
          <w:sz w:val="20"/>
          <w:szCs w:val="20"/>
        </w:rPr>
        <w:t xml:space="preserve">to two </w:t>
      </w:r>
      <w:r w:rsidRPr="008B61E2">
        <w:rPr>
          <w:sz w:val="20"/>
          <w:szCs w:val="20"/>
        </w:rPr>
        <w:t>year</w:t>
      </w:r>
      <w:r w:rsidR="005C266D">
        <w:rPr>
          <w:sz w:val="20"/>
          <w:szCs w:val="20"/>
        </w:rPr>
        <w:t>s</w:t>
      </w:r>
      <w:r w:rsidRPr="008B61E2">
        <w:rPr>
          <w:sz w:val="20"/>
          <w:szCs w:val="20"/>
        </w:rPr>
        <w:t>;</w:t>
      </w:r>
      <w:r w:rsidR="005C266D">
        <w:rPr>
          <w:sz w:val="20"/>
          <w:szCs w:val="20"/>
        </w:rPr>
        <w:t xml:space="preserve"> the </w:t>
      </w:r>
      <w:r w:rsidRPr="008B61E2">
        <w:rPr>
          <w:sz w:val="20"/>
          <w:szCs w:val="20"/>
        </w:rPr>
        <w:t xml:space="preserve">liberalization of rent increases </w:t>
      </w:r>
      <w:r w:rsidR="00F142A7">
        <w:rPr>
          <w:sz w:val="20"/>
          <w:szCs w:val="20"/>
        </w:rPr>
        <w:t>(introduced over a five-year period, ending in 2017)</w:t>
      </w:r>
      <w:r w:rsidR="00113541">
        <w:rPr>
          <w:sz w:val="20"/>
          <w:szCs w:val="20"/>
        </w:rPr>
        <w:t>, regardless of previous</w:t>
      </w:r>
      <w:r w:rsidRPr="008B61E2">
        <w:rPr>
          <w:sz w:val="20"/>
          <w:szCs w:val="20"/>
        </w:rPr>
        <w:t xml:space="preserve"> agreements</w:t>
      </w:r>
      <w:r w:rsidR="005C266D">
        <w:rPr>
          <w:sz w:val="20"/>
          <w:szCs w:val="20"/>
        </w:rPr>
        <w:t>,</w:t>
      </w:r>
      <w:r w:rsidRPr="008B61E2">
        <w:rPr>
          <w:sz w:val="20"/>
          <w:szCs w:val="20"/>
        </w:rPr>
        <w:t xml:space="preserve"> except </w:t>
      </w:r>
      <w:r w:rsidR="005C266D">
        <w:rPr>
          <w:sz w:val="20"/>
          <w:szCs w:val="20"/>
        </w:rPr>
        <w:t>in the case of persons</w:t>
      </w:r>
      <w:r w:rsidRPr="008B61E2">
        <w:rPr>
          <w:sz w:val="20"/>
          <w:szCs w:val="20"/>
        </w:rPr>
        <w:t xml:space="preserve"> older than 65 years or persons with a degree of disability </w:t>
      </w:r>
      <w:r w:rsidR="005C266D">
        <w:rPr>
          <w:sz w:val="20"/>
          <w:szCs w:val="20"/>
        </w:rPr>
        <w:t xml:space="preserve">in </w:t>
      </w:r>
      <w:r w:rsidRPr="008B61E2">
        <w:rPr>
          <w:sz w:val="20"/>
          <w:szCs w:val="20"/>
        </w:rPr>
        <w:t>exce</w:t>
      </w:r>
      <w:r w:rsidR="005C266D">
        <w:rPr>
          <w:sz w:val="20"/>
          <w:szCs w:val="20"/>
        </w:rPr>
        <w:t>ss of</w:t>
      </w:r>
      <w:r w:rsidRPr="008B61E2">
        <w:rPr>
          <w:sz w:val="20"/>
          <w:szCs w:val="20"/>
        </w:rPr>
        <w:t xml:space="preserve"> 60 per cent. </w:t>
      </w:r>
    </w:p>
    <w:p w:rsidR="00C07932" w:rsidRDefault="0048528F" w:rsidP="008B61E2">
      <w:pPr>
        <w:pStyle w:val="SingleTxtG"/>
      </w:pPr>
      <w:r w:rsidRPr="008B61E2">
        <w:rPr>
          <w:sz w:val="20"/>
          <w:szCs w:val="20"/>
        </w:rPr>
        <w:t>3</w:t>
      </w:r>
      <w:r w:rsidR="00BD491C">
        <w:rPr>
          <w:sz w:val="20"/>
          <w:szCs w:val="20"/>
        </w:rPr>
        <w:t>7</w:t>
      </w:r>
      <w:r w:rsidRPr="008B61E2">
        <w:rPr>
          <w:sz w:val="20"/>
          <w:szCs w:val="20"/>
        </w:rPr>
        <w:t>.</w:t>
      </w:r>
      <w:r w:rsidRPr="008B61E2">
        <w:rPr>
          <w:sz w:val="20"/>
          <w:szCs w:val="20"/>
        </w:rPr>
        <w:tab/>
        <w:t xml:space="preserve">The new rental regime </w:t>
      </w:r>
      <w:r w:rsidR="00AC46ED">
        <w:rPr>
          <w:sz w:val="20"/>
          <w:szCs w:val="20"/>
        </w:rPr>
        <w:t xml:space="preserve">included </w:t>
      </w:r>
      <w:r w:rsidRPr="008B61E2">
        <w:rPr>
          <w:sz w:val="20"/>
          <w:szCs w:val="20"/>
        </w:rPr>
        <w:t xml:space="preserve">a </w:t>
      </w:r>
      <w:r w:rsidR="00AC46ED">
        <w:rPr>
          <w:sz w:val="20"/>
          <w:szCs w:val="20"/>
        </w:rPr>
        <w:t>“</w:t>
      </w:r>
      <w:r w:rsidRPr="008B61E2">
        <w:rPr>
          <w:sz w:val="20"/>
          <w:szCs w:val="20"/>
        </w:rPr>
        <w:t>fast-track</w:t>
      </w:r>
      <w:r w:rsidR="00AC46ED">
        <w:rPr>
          <w:sz w:val="20"/>
          <w:szCs w:val="20"/>
        </w:rPr>
        <w:t>”</w:t>
      </w:r>
      <w:r w:rsidRPr="008B61E2">
        <w:rPr>
          <w:sz w:val="20"/>
          <w:szCs w:val="20"/>
        </w:rPr>
        <w:t xml:space="preserve"> eviction procedure</w:t>
      </w:r>
      <w:r w:rsidR="00AC46ED">
        <w:rPr>
          <w:sz w:val="20"/>
          <w:szCs w:val="20"/>
        </w:rPr>
        <w:t>, based on</w:t>
      </w:r>
      <w:r w:rsidRPr="008B61E2">
        <w:rPr>
          <w:sz w:val="20"/>
          <w:szCs w:val="20"/>
        </w:rPr>
        <w:t xml:space="preserve"> </w:t>
      </w:r>
      <w:r w:rsidR="00AC46ED">
        <w:rPr>
          <w:sz w:val="20"/>
          <w:szCs w:val="20"/>
        </w:rPr>
        <w:t xml:space="preserve">the </w:t>
      </w:r>
      <w:r w:rsidRPr="008B61E2">
        <w:rPr>
          <w:sz w:val="20"/>
          <w:szCs w:val="20"/>
        </w:rPr>
        <w:t xml:space="preserve">online </w:t>
      </w:r>
      <w:r w:rsidR="00AC46ED" w:rsidRPr="00DB0AA3">
        <w:rPr>
          <w:sz w:val="20"/>
          <w:szCs w:val="20"/>
        </w:rPr>
        <w:t>National Rental Counter</w:t>
      </w:r>
      <w:r w:rsidRPr="008B61E2">
        <w:rPr>
          <w:sz w:val="20"/>
          <w:szCs w:val="20"/>
        </w:rPr>
        <w:t xml:space="preserve"> </w:t>
      </w:r>
      <w:r w:rsidR="00AC46ED">
        <w:rPr>
          <w:sz w:val="20"/>
          <w:szCs w:val="20"/>
        </w:rPr>
        <w:t>(</w:t>
      </w:r>
      <w:r w:rsidRPr="008B61E2">
        <w:rPr>
          <w:sz w:val="20"/>
          <w:szCs w:val="20"/>
        </w:rPr>
        <w:t>Balcão Nacional de Arrendamento</w:t>
      </w:r>
      <w:r w:rsidR="00AC46ED">
        <w:rPr>
          <w:sz w:val="20"/>
          <w:szCs w:val="20"/>
        </w:rPr>
        <w:t>, or</w:t>
      </w:r>
      <w:r w:rsidRPr="008B61E2">
        <w:rPr>
          <w:sz w:val="20"/>
          <w:szCs w:val="20"/>
        </w:rPr>
        <w:t xml:space="preserve"> BNA</w:t>
      </w:r>
      <w:r w:rsidR="004C00B0">
        <w:rPr>
          <w:sz w:val="20"/>
          <w:szCs w:val="20"/>
        </w:rPr>
        <w:t>)</w:t>
      </w:r>
      <w:r w:rsidRPr="008B61E2">
        <w:rPr>
          <w:sz w:val="20"/>
          <w:szCs w:val="20"/>
        </w:rPr>
        <w:t>, administ</w:t>
      </w:r>
      <w:r w:rsidR="00AC46ED">
        <w:rPr>
          <w:sz w:val="20"/>
          <w:szCs w:val="20"/>
        </w:rPr>
        <w:t>ered</w:t>
      </w:r>
      <w:r w:rsidRPr="008B61E2">
        <w:rPr>
          <w:sz w:val="20"/>
          <w:szCs w:val="20"/>
        </w:rPr>
        <w:t xml:space="preserve"> </w:t>
      </w:r>
      <w:r w:rsidR="00AC46ED">
        <w:rPr>
          <w:sz w:val="20"/>
          <w:szCs w:val="20"/>
        </w:rPr>
        <w:t>by</w:t>
      </w:r>
      <w:r w:rsidRPr="008B61E2">
        <w:rPr>
          <w:sz w:val="20"/>
          <w:szCs w:val="20"/>
        </w:rPr>
        <w:t xml:space="preserve"> the Ministry of Justice. Th</w:t>
      </w:r>
      <w:r w:rsidR="00AC46ED">
        <w:rPr>
          <w:sz w:val="20"/>
          <w:szCs w:val="20"/>
        </w:rPr>
        <w:t>e</w:t>
      </w:r>
      <w:r w:rsidRPr="008B61E2">
        <w:rPr>
          <w:sz w:val="20"/>
          <w:szCs w:val="20"/>
        </w:rPr>
        <w:t xml:space="preserve"> procedure is an extrajudicial mechanism, although </w:t>
      </w:r>
      <w:r w:rsidR="00AC46ED" w:rsidRPr="00A9547C">
        <w:rPr>
          <w:sz w:val="20"/>
          <w:szCs w:val="20"/>
        </w:rPr>
        <w:t>it may</w:t>
      </w:r>
      <w:r w:rsidR="00AC46ED">
        <w:rPr>
          <w:sz w:val="20"/>
          <w:szCs w:val="20"/>
        </w:rPr>
        <w:t>,</w:t>
      </w:r>
      <w:r w:rsidR="00AC46ED" w:rsidRPr="00A9547C">
        <w:rPr>
          <w:sz w:val="20"/>
          <w:szCs w:val="20"/>
        </w:rPr>
        <w:t xml:space="preserve"> </w:t>
      </w:r>
      <w:r w:rsidRPr="008B61E2">
        <w:rPr>
          <w:sz w:val="20"/>
          <w:szCs w:val="20"/>
        </w:rPr>
        <w:t>under certain circumstances</w:t>
      </w:r>
      <w:r w:rsidR="00AC46ED">
        <w:rPr>
          <w:sz w:val="20"/>
          <w:szCs w:val="20"/>
        </w:rPr>
        <w:t>,</w:t>
      </w:r>
      <w:r w:rsidRPr="008B61E2">
        <w:rPr>
          <w:sz w:val="20"/>
          <w:szCs w:val="20"/>
        </w:rPr>
        <w:t xml:space="preserve"> be transferred to the courts.</w:t>
      </w:r>
      <w:r w:rsidRPr="0048528F">
        <w:rPr>
          <w:sz w:val="18"/>
          <w:szCs w:val="18"/>
          <w:vertAlign w:val="superscript"/>
        </w:rPr>
        <w:footnoteReference w:id="20"/>
      </w:r>
    </w:p>
    <w:p w:rsidR="00C07932" w:rsidRPr="008B61E2" w:rsidRDefault="0048528F" w:rsidP="008B61E2">
      <w:pPr>
        <w:pStyle w:val="SingleTxtG"/>
        <w:rPr>
          <w:sz w:val="20"/>
          <w:szCs w:val="20"/>
        </w:rPr>
      </w:pPr>
      <w:r w:rsidRPr="008B61E2">
        <w:rPr>
          <w:sz w:val="20"/>
          <w:szCs w:val="20"/>
        </w:rPr>
        <w:t>3</w:t>
      </w:r>
      <w:r w:rsidR="00BD491C">
        <w:rPr>
          <w:sz w:val="20"/>
          <w:szCs w:val="20"/>
        </w:rPr>
        <w:t>8</w:t>
      </w:r>
      <w:r w:rsidRPr="008B61E2">
        <w:rPr>
          <w:sz w:val="20"/>
          <w:szCs w:val="20"/>
        </w:rPr>
        <w:t>.</w:t>
      </w:r>
      <w:r w:rsidRPr="008B61E2">
        <w:rPr>
          <w:sz w:val="20"/>
          <w:szCs w:val="20"/>
        </w:rPr>
        <w:tab/>
        <w:t xml:space="preserve">Some concerns </w:t>
      </w:r>
      <w:r w:rsidR="004C00B0">
        <w:rPr>
          <w:sz w:val="20"/>
          <w:szCs w:val="20"/>
        </w:rPr>
        <w:t>have been</w:t>
      </w:r>
      <w:r w:rsidRPr="008B61E2">
        <w:rPr>
          <w:sz w:val="20"/>
          <w:szCs w:val="20"/>
        </w:rPr>
        <w:t xml:space="preserve"> raised about </w:t>
      </w:r>
      <w:r w:rsidR="004C00B0">
        <w:rPr>
          <w:sz w:val="20"/>
          <w:szCs w:val="20"/>
        </w:rPr>
        <w:t>the</w:t>
      </w:r>
      <w:r w:rsidRPr="008B61E2">
        <w:rPr>
          <w:sz w:val="20"/>
          <w:szCs w:val="20"/>
        </w:rPr>
        <w:t xml:space="preserve"> New Urban Rental Regime, in particular </w:t>
      </w:r>
      <w:r w:rsidR="004C00B0">
        <w:rPr>
          <w:sz w:val="20"/>
          <w:szCs w:val="20"/>
        </w:rPr>
        <w:t xml:space="preserve">with regard to </w:t>
      </w:r>
      <w:r w:rsidRPr="008B61E2">
        <w:rPr>
          <w:sz w:val="20"/>
          <w:szCs w:val="20"/>
        </w:rPr>
        <w:t>the ease with which evictions can be carried out. If tenant</w:t>
      </w:r>
      <w:r w:rsidR="004C00B0">
        <w:rPr>
          <w:sz w:val="20"/>
          <w:szCs w:val="20"/>
        </w:rPr>
        <w:t>s</w:t>
      </w:r>
      <w:r w:rsidRPr="008B61E2">
        <w:rPr>
          <w:sz w:val="20"/>
          <w:szCs w:val="20"/>
        </w:rPr>
        <w:t xml:space="preserve"> do not dispute the </w:t>
      </w:r>
      <w:r w:rsidRPr="008B61E2">
        <w:rPr>
          <w:sz w:val="20"/>
          <w:szCs w:val="20"/>
        </w:rPr>
        <w:lastRenderedPageBreak/>
        <w:t xml:space="preserve">eviction and demand a hearing, </w:t>
      </w:r>
      <w:r w:rsidR="004C00B0">
        <w:rPr>
          <w:sz w:val="20"/>
          <w:szCs w:val="20"/>
        </w:rPr>
        <w:t>they</w:t>
      </w:r>
      <w:r w:rsidRPr="008B61E2">
        <w:rPr>
          <w:sz w:val="20"/>
          <w:szCs w:val="20"/>
        </w:rPr>
        <w:t xml:space="preserve"> can be evicted through administrative procedures without a hearing and in a short period of time. Pe</w:t>
      </w:r>
      <w:r w:rsidR="004C00B0">
        <w:rPr>
          <w:sz w:val="20"/>
          <w:szCs w:val="20"/>
        </w:rPr>
        <w:t>rsons</w:t>
      </w:r>
      <w:r w:rsidRPr="008B61E2">
        <w:rPr>
          <w:sz w:val="20"/>
          <w:szCs w:val="20"/>
        </w:rPr>
        <w:t xml:space="preserve"> living in </w:t>
      </w:r>
      <w:r w:rsidR="004C00B0">
        <w:rPr>
          <w:sz w:val="20"/>
          <w:szCs w:val="20"/>
        </w:rPr>
        <w:t xml:space="preserve">a </w:t>
      </w:r>
      <w:r w:rsidRPr="008B61E2">
        <w:rPr>
          <w:sz w:val="20"/>
          <w:szCs w:val="20"/>
        </w:rPr>
        <w:t xml:space="preserve">vulnerable situation may experience multiple barriers </w:t>
      </w:r>
      <w:r w:rsidR="004C00B0">
        <w:rPr>
          <w:sz w:val="20"/>
          <w:szCs w:val="20"/>
        </w:rPr>
        <w:t>should they decide to</w:t>
      </w:r>
      <w:r w:rsidRPr="008B61E2">
        <w:rPr>
          <w:sz w:val="20"/>
          <w:szCs w:val="20"/>
        </w:rPr>
        <w:t xml:space="preserve"> </w:t>
      </w:r>
      <w:r w:rsidR="004C00B0">
        <w:rPr>
          <w:sz w:val="20"/>
          <w:szCs w:val="20"/>
        </w:rPr>
        <w:t xml:space="preserve">appeal against </w:t>
      </w:r>
      <w:r w:rsidRPr="008B61E2">
        <w:rPr>
          <w:sz w:val="20"/>
          <w:szCs w:val="20"/>
        </w:rPr>
        <w:t>an eviction</w:t>
      </w:r>
      <w:r w:rsidR="00887727">
        <w:rPr>
          <w:sz w:val="20"/>
          <w:szCs w:val="20"/>
        </w:rPr>
        <w:t>,</w:t>
      </w:r>
      <w:r w:rsidRPr="008B61E2">
        <w:rPr>
          <w:sz w:val="20"/>
          <w:szCs w:val="20"/>
        </w:rPr>
        <w:t xml:space="preserve"> </w:t>
      </w:r>
      <w:r w:rsidR="00887727">
        <w:rPr>
          <w:sz w:val="20"/>
          <w:szCs w:val="20"/>
        </w:rPr>
        <w:t xml:space="preserve">ranging </w:t>
      </w:r>
      <w:r w:rsidRPr="008B61E2">
        <w:rPr>
          <w:sz w:val="20"/>
          <w:szCs w:val="20"/>
        </w:rPr>
        <w:t xml:space="preserve">from lack of knowledge of the procedures to lack of time or money, or of legal aid. </w:t>
      </w:r>
      <w:r w:rsidR="000F1163">
        <w:rPr>
          <w:sz w:val="20"/>
          <w:szCs w:val="20"/>
        </w:rPr>
        <w:t>Moreover</w:t>
      </w:r>
      <w:r w:rsidRPr="008B61E2">
        <w:rPr>
          <w:sz w:val="20"/>
          <w:szCs w:val="20"/>
        </w:rPr>
        <w:t xml:space="preserve">, under the </w:t>
      </w:r>
      <w:r w:rsidR="00887727">
        <w:rPr>
          <w:sz w:val="20"/>
          <w:szCs w:val="20"/>
        </w:rPr>
        <w:t>former</w:t>
      </w:r>
      <w:r w:rsidRPr="008B61E2">
        <w:rPr>
          <w:sz w:val="20"/>
          <w:szCs w:val="20"/>
        </w:rPr>
        <w:t xml:space="preserve"> regime</w:t>
      </w:r>
      <w:r w:rsidR="00887727">
        <w:rPr>
          <w:sz w:val="20"/>
          <w:szCs w:val="20"/>
        </w:rPr>
        <w:t>,</w:t>
      </w:r>
      <w:r w:rsidRPr="008B61E2">
        <w:rPr>
          <w:sz w:val="20"/>
          <w:szCs w:val="20"/>
        </w:rPr>
        <w:t xml:space="preserve"> tenants benefited from strict</w:t>
      </w:r>
      <w:r w:rsidR="000F1163">
        <w:rPr>
          <w:sz w:val="20"/>
          <w:szCs w:val="20"/>
        </w:rPr>
        <w:t>,</w:t>
      </w:r>
      <w:r w:rsidRPr="008B61E2">
        <w:rPr>
          <w:sz w:val="20"/>
          <w:szCs w:val="20"/>
        </w:rPr>
        <w:t xml:space="preserve"> long-term rent control</w:t>
      </w:r>
      <w:r w:rsidR="000F1163">
        <w:rPr>
          <w:sz w:val="20"/>
          <w:szCs w:val="20"/>
        </w:rPr>
        <w:t>,</w:t>
      </w:r>
      <w:r w:rsidRPr="008B61E2">
        <w:rPr>
          <w:sz w:val="20"/>
          <w:szCs w:val="20"/>
        </w:rPr>
        <w:t xml:space="preserve"> </w:t>
      </w:r>
      <w:r w:rsidR="000F1163">
        <w:rPr>
          <w:sz w:val="20"/>
          <w:szCs w:val="20"/>
        </w:rPr>
        <w:t xml:space="preserve">in which case </w:t>
      </w:r>
      <w:r w:rsidRPr="008B61E2">
        <w:rPr>
          <w:sz w:val="20"/>
          <w:szCs w:val="20"/>
        </w:rPr>
        <w:t xml:space="preserve">many </w:t>
      </w:r>
      <w:r w:rsidR="000F1163">
        <w:rPr>
          <w:sz w:val="20"/>
          <w:szCs w:val="20"/>
        </w:rPr>
        <w:t xml:space="preserve">paid a </w:t>
      </w:r>
      <w:r w:rsidRPr="008B61E2">
        <w:rPr>
          <w:sz w:val="20"/>
          <w:szCs w:val="20"/>
        </w:rPr>
        <w:t xml:space="preserve">nominal sum each month. For those falling outside the transition phase categories, the dramatic increase in rent to market values has been experienced as an unmanageable shock, especially for those </w:t>
      </w:r>
      <w:r w:rsidR="000F1163">
        <w:rPr>
          <w:sz w:val="20"/>
          <w:szCs w:val="20"/>
        </w:rPr>
        <w:t xml:space="preserve">unentitled to </w:t>
      </w:r>
      <w:r w:rsidRPr="008B61E2">
        <w:rPr>
          <w:sz w:val="20"/>
          <w:szCs w:val="20"/>
        </w:rPr>
        <w:t>social benefits.</w:t>
      </w:r>
    </w:p>
    <w:p w:rsidR="00C07932" w:rsidRPr="008B61E2" w:rsidRDefault="0048528F" w:rsidP="008B61E2">
      <w:pPr>
        <w:pStyle w:val="SingleTxtG"/>
        <w:rPr>
          <w:sz w:val="20"/>
          <w:szCs w:val="20"/>
        </w:rPr>
      </w:pPr>
      <w:r w:rsidRPr="008B61E2">
        <w:rPr>
          <w:sz w:val="20"/>
          <w:szCs w:val="20"/>
        </w:rPr>
        <w:t>3</w:t>
      </w:r>
      <w:r w:rsidR="00BD491C">
        <w:rPr>
          <w:sz w:val="20"/>
          <w:szCs w:val="20"/>
        </w:rPr>
        <w:t>9</w:t>
      </w:r>
      <w:r w:rsidRPr="008B61E2">
        <w:rPr>
          <w:sz w:val="20"/>
          <w:szCs w:val="20"/>
        </w:rPr>
        <w:t>.</w:t>
      </w:r>
      <w:r w:rsidRPr="008B61E2">
        <w:rPr>
          <w:sz w:val="20"/>
          <w:szCs w:val="20"/>
        </w:rPr>
        <w:tab/>
      </w:r>
      <w:r w:rsidR="00703ECC">
        <w:rPr>
          <w:sz w:val="20"/>
          <w:szCs w:val="20"/>
        </w:rPr>
        <w:t>T</w:t>
      </w:r>
      <w:r w:rsidRPr="008B61E2">
        <w:rPr>
          <w:sz w:val="20"/>
          <w:szCs w:val="20"/>
        </w:rPr>
        <w:t xml:space="preserve">he </w:t>
      </w:r>
      <w:r w:rsidR="00703ECC">
        <w:rPr>
          <w:sz w:val="20"/>
          <w:szCs w:val="20"/>
        </w:rPr>
        <w:t xml:space="preserve">national </w:t>
      </w:r>
      <w:r w:rsidRPr="008B61E2">
        <w:rPr>
          <w:sz w:val="20"/>
          <w:szCs w:val="20"/>
        </w:rPr>
        <w:t>Parliament has approved general aspects of proposed amendments to th</w:t>
      </w:r>
      <w:r w:rsidR="00703ECC">
        <w:rPr>
          <w:sz w:val="20"/>
          <w:szCs w:val="20"/>
        </w:rPr>
        <w:t>e</w:t>
      </w:r>
      <w:r w:rsidRPr="008B61E2">
        <w:rPr>
          <w:sz w:val="20"/>
          <w:szCs w:val="20"/>
        </w:rPr>
        <w:t xml:space="preserve"> regime in two bills</w:t>
      </w:r>
      <w:r w:rsidR="00703ECC">
        <w:rPr>
          <w:sz w:val="20"/>
          <w:szCs w:val="20"/>
        </w:rPr>
        <w:t xml:space="preserve"> </w:t>
      </w:r>
      <w:r w:rsidRPr="008B61E2">
        <w:rPr>
          <w:sz w:val="20"/>
          <w:szCs w:val="20"/>
        </w:rPr>
        <w:t xml:space="preserve">to enhance protection for vulnerable tenants. Bill 155/XIII </w:t>
      </w:r>
      <w:r w:rsidR="00703ECC">
        <w:rPr>
          <w:sz w:val="20"/>
          <w:szCs w:val="20"/>
        </w:rPr>
        <w:t xml:space="preserve">introduces an amendment </w:t>
      </w:r>
      <w:r w:rsidRPr="008B61E2">
        <w:rPr>
          <w:sz w:val="20"/>
          <w:szCs w:val="20"/>
        </w:rPr>
        <w:t xml:space="preserve">to protect tenants who are 65 years old or older and persons with </w:t>
      </w:r>
      <w:r w:rsidR="00703ECC">
        <w:rPr>
          <w:sz w:val="20"/>
          <w:szCs w:val="20"/>
        </w:rPr>
        <w:t xml:space="preserve">a degree of disability in excess of </w:t>
      </w:r>
      <w:r w:rsidRPr="008B61E2">
        <w:rPr>
          <w:sz w:val="20"/>
          <w:szCs w:val="20"/>
        </w:rPr>
        <w:t>60 per cent receiv</w:t>
      </w:r>
      <w:r w:rsidR="00927F0F">
        <w:rPr>
          <w:sz w:val="20"/>
          <w:szCs w:val="20"/>
        </w:rPr>
        <w:t>ing</w:t>
      </w:r>
      <w:r w:rsidRPr="008B61E2">
        <w:rPr>
          <w:sz w:val="20"/>
          <w:szCs w:val="20"/>
        </w:rPr>
        <w:t xml:space="preserve"> an </w:t>
      </w:r>
      <w:r w:rsidR="00927F0F">
        <w:rPr>
          <w:sz w:val="20"/>
          <w:szCs w:val="20"/>
        </w:rPr>
        <w:t>a</w:t>
      </w:r>
      <w:r w:rsidRPr="008B61E2">
        <w:rPr>
          <w:sz w:val="20"/>
          <w:szCs w:val="20"/>
        </w:rPr>
        <w:t xml:space="preserve">nnual </w:t>
      </w:r>
      <w:r w:rsidR="00927F0F">
        <w:rPr>
          <w:sz w:val="20"/>
          <w:szCs w:val="20"/>
        </w:rPr>
        <w:t>gross f</w:t>
      </w:r>
      <w:r w:rsidRPr="008B61E2">
        <w:rPr>
          <w:sz w:val="20"/>
          <w:szCs w:val="20"/>
        </w:rPr>
        <w:t xml:space="preserve">ixed </w:t>
      </w:r>
      <w:r w:rsidR="00927F0F">
        <w:rPr>
          <w:sz w:val="20"/>
          <w:szCs w:val="20"/>
        </w:rPr>
        <w:t>i</w:t>
      </w:r>
      <w:r w:rsidRPr="008B61E2">
        <w:rPr>
          <w:sz w:val="20"/>
          <w:szCs w:val="20"/>
        </w:rPr>
        <w:t xml:space="preserve">ncome </w:t>
      </w:r>
      <w:r w:rsidR="00927F0F">
        <w:rPr>
          <w:sz w:val="20"/>
          <w:szCs w:val="20"/>
        </w:rPr>
        <w:t xml:space="preserve">that is </w:t>
      </w:r>
      <w:r w:rsidRPr="008B61E2">
        <w:rPr>
          <w:sz w:val="20"/>
          <w:szCs w:val="20"/>
        </w:rPr>
        <w:t xml:space="preserve">lower than five </w:t>
      </w:r>
      <w:r w:rsidR="00740E04">
        <w:rPr>
          <w:sz w:val="20"/>
          <w:szCs w:val="20"/>
        </w:rPr>
        <w:t>a</w:t>
      </w:r>
      <w:r w:rsidRPr="008B61E2">
        <w:rPr>
          <w:sz w:val="20"/>
          <w:szCs w:val="20"/>
        </w:rPr>
        <w:t xml:space="preserve">nnual </w:t>
      </w:r>
      <w:r w:rsidR="00740E04">
        <w:rPr>
          <w:sz w:val="20"/>
          <w:szCs w:val="20"/>
        </w:rPr>
        <w:t>n</w:t>
      </w:r>
      <w:r w:rsidRPr="008B61E2">
        <w:rPr>
          <w:sz w:val="20"/>
          <w:szCs w:val="20"/>
        </w:rPr>
        <w:t xml:space="preserve">ational </w:t>
      </w:r>
      <w:r w:rsidR="00740E04">
        <w:rPr>
          <w:sz w:val="20"/>
          <w:szCs w:val="20"/>
        </w:rPr>
        <w:t>m</w:t>
      </w:r>
      <w:r w:rsidRPr="008B61E2">
        <w:rPr>
          <w:sz w:val="20"/>
          <w:szCs w:val="20"/>
        </w:rPr>
        <w:t xml:space="preserve">inimum </w:t>
      </w:r>
      <w:r w:rsidR="00740E04">
        <w:rPr>
          <w:sz w:val="20"/>
          <w:szCs w:val="20"/>
        </w:rPr>
        <w:t>wages</w:t>
      </w:r>
      <w:r w:rsidRPr="008B61E2">
        <w:rPr>
          <w:sz w:val="20"/>
          <w:szCs w:val="20"/>
        </w:rPr>
        <w:t xml:space="preserve">, by extending the transition period from 5 to 10 years for those with pre-1990 housing contracts and non-housing contracts prior to 1995, limiting the increase in rent. Bill 310/XIII/2 also aims to extend the transition period from 5 to 10 years, but differs in scope by protecting all tenants in the lowest income segment, regardless of </w:t>
      </w:r>
      <w:r w:rsidR="00927F0F">
        <w:rPr>
          <w:sz w:val="20"/>
          <w:szCs w:val="20"/>
        </w:rPr>
        <w:t xml:space="preserve">the persons age or degree of </w:t>
      </w:r>
      <w:r w:rsidRPr="008B61E2">
        <w:rPr>
          <w:sz w:val="20"/>
          <w:szCs w:val="20"/>
        </w:rPr>
        <w:t xml:space="preserve">disability. The Special Rapporteur was not informed of when the amendments would be decided upon or </w:t>
      </w:r>
      <w:r w:rsidR="00622920">
        <w:rPr>
          <w:sz w:val="20"/>
          <w:szCs w:val="20"/>
        </w:rPr>
        <w:t>about</w:t>
      </w:r>
      <w:r w:rsidR="00927F0F">
        <w:rPr>
          <w:sz w:val="20"/>
          <w:szCs w:val="20"/>
        </w:rPr>
        <w:t xml:space="preserve"> </w:t>
      </w:r>
      <w:r w:rsidRPr="008B61E2">
        <w:rPr>
          <w:sz w:val="20"/>
          <w:szCs w:val="20"/>
        </w:rPr>
        <w:t xml:space="preserve">the likelihood of </w:t>
      </w:r>
      <w:r w:rsidR="00927F0F">
        <w:rPr>
          <w:sz w:val="20"/>
          <w:szCs w:val="20"/>
        </w:rPr>
        <w:t xml:space="preserve">their </w:t>
      </w:r>
      <w:r w:rsidRPr="008B61E2">
        <w:rPr>
          <w:sz w:val="20"/>
          <w:szCs w:val="20"/>
        </w:rPr>
        <w:t>adoption.</w:t>
      </w:r>
    </w:p>
    <w:p w:rsidR="00C07932" w:rsidRDefault="00BD491C" w:rsidP="008B61E2">
      <w:pPr>
        <w:pStyle w:val="SingleTxtG"/>
      </w:pPr>
      <w:r>
        <w:rPr>
          <w:sz w:val="20"/>
          <w:szCs w:val="20"/>
        </w:rPr>
        <w:t>40.</w:t>
      </w:r>
      <w:r w:rsidR="0048528F" w:rsidRPr="008B61E2">
        <w:rPr>
          <w:sz w:val="20"/>
          <w:szCs w:val="20"/>
        </w:rPr>
        <w:tab/>
        <w:t xml:space="preserve"> Some initiatives being developed by the Government suggest </w:t>
      </w:r>
      <w:r w:rsidR="00622920">
        <w:rPr>
          <w:sz w:val="20"/>
          <w:szCs w:val="20"/>
        </w:rPr>
        <w:t xml:space="preserve">that </w:t>
      </w:r>
      <w:r w:rsidR="0048528F" w:rsidRPr="008B61E2">
        <w:rPr>
          <w:sz w:val="20"/>
          <w:szCs w:val="20"/>
        </w:rPr>
        <w:t xml:space="preserve">efforts are being made to find </w:t>
      </w:r>
      <w:r w:rsidR="00622920" w:rsidRPr="008B0D82">
        <w:rPr>
          <w:sz w:val="20"/>
          <w:szCs w:val="20"/>
        </w:rPr>
        <w:t xml:space="preserve">affordable </w:t>
      </w:r>
      <w:r w:rsidR="0048528F" w:rsidRPr="008B61E2">
        <w:rPr>
          <w:sz w:val="20"/>
          <w:szCs w:val="20"/>
        </w:rPr>
        <w:t xml:space="preserve">alternatives </w:t>
      </w:r>
      <w:r w:rsidR="00622920">
        <w:rPr>
          <w:sz w:val="20"/>
          <w:szCs w:val="20"/>
        </w:rPr>
        <w:t>to</w:t>
      </w:r>
      <w:r w:rsidR="0048528F" w:rsidRPr="008B61E2">
        <w:rPr>
          <w:sz w:val="20"/>
          <w:szCs w:val="20"/>
        </w:rPr>
        <w:t xml:space="preserve"> rental accommodation, </w:t>
      </w:r>
      <w:r w:rsidR="00622920">
        <w:rPr>
          <w:sz w:val="20"/>
          <w:szCs w:val="20"/>
        </w:rPr>
        <w:t>such as</w:t>
      </w:r>
      <w:r w:rsidR="0048528F" w:rsidRPr="008B61E2">
        <w:rPr>
          <w:sz w:val="20"/>
          <w:szCs w:val="20"/>
        </w:rPr>
        <w:t xml:space="preserve"> </w:t>
      </w:r>
      <w:r w:rsidR="00622920">
        <w:rPr>
          <w:sz w:val="20"/>
          <w:szCs w:val="20"/>
        </w:rPr>
        <w:t xml:space="preserve">the </w:t>
      </w:r>
      <w:r w:rsidR="0048528F" w:rsidRPr="008B61E2">
        <w:rPr>
          <w:sz w:val="20"/>
          <w:szCs w:val="20"/>
        </w:rPr>
        <w:t xml:space="preserve">Rehabilitation for Renting </w:t>
      </w:r>
      <w:r w:rsidR="00622920">
        <w:rPr>
          <w:sz w:val="20"/>
          <w:szCs w:val="20"/>
        </w:rPr>
        <w:t>p</w:t>
      </w:r>
      <w:r w:rsidR="0048528F" w:rsidRPr="008B61E2">
        <w:rPr>
          <w:sz w:val="20"/>
          <w:szCs w:val="20"/>
        </w:rPr>
        <w:t>rogramme (</w:t>
      </w:r>
      <w:r w:rsidR="001C4273">
        <w:rPr>
          <w:sz w:val="20"/>
          <w:szCs w:val="20"/>
        </w:rPr>
        <w:t>R</w:t>
      </w:r>
      <w:r w:rsidR="0048528F" w:rsidRPr="008B61E2">
        <w:rPr>
          <w:sz w:val="20"/>
          <w:szCs w:val="20"/>
        </w:rPr>
        <w:t xml:space="preserve">ehabilitar para Arrendar), </w:t>
      </w:r>
      <w:r w:rsidR="00622920">
        <w:rPr>
          <w:sz w:val="20"/>
          <w:szCs w:val="20"/>
        </w:rPr>
        <w:t>the</w:t>
      </w:r>
      <w:r w:rsidR="0048528F" w:rsidRPr="008B61E2">
        <w:rPr>
          <w:sz w:val="20"/>
          <w:szCs w:val="20"/>
        </w:rPr>
        <w:t xml:space="preserve"> Rehabilitation for Renting </w:t>
      </w:r>
      <w:r w:rsidR="00622920">
        <w:rPr>
          <w:sz w:val="20"/>
          <w:szCs w:val="20"/>
        </w:rPr>
        <w:t>p</w:t>
      </w:r>
      <w:r w:rsidR="0048528F" w:rsidRPr="008B61E2">
        <w:rPr>
          <w:sz w:val="20"/>
          <w:szCs w:val="20"/>
        </w:rPr>
        <w:t xml:space="preserve">rogramme, and </w:t>
      </w:r>
      <w:r w:rsidR="00622920">
        <w:rPr>
          <w:sz w:val="20"/>
          <w:szCs w:val="20"/>
        </w:rPr>
        <w:t>the</w:t>
      </w:r>
      <w:r w:rsidR="0048528F" w:rsidRPr="008B61E2">
        <w:rPr>
          <w:sz w:val="20"/>
          <w:szCs w:val="20"/>
        </w:rPr>
        <w:t xml:space="preserve"> New Affordable Rental Market. In the latter</w:t>
      </w:r>
      <w:r w:rsidR="00622920">
        <w:rPr>
          <w:sz w:val="20"/>
          <w:szCs w:val="20"/>
        </w:rPr>
        <w:t xml:space="preserve"> case</w:t>
      </w:r>
      <w:r w:rsidR="0048528F" w:rsidRPr="008B61E2">
        <w:rPr>
          <w:sz w:val="20"/>
          <w:szCs w:val="20"/>
        </w:rPr>
        <w:t xml:space="preserve">, landlords are incentivized to rent below market rates in exchange for fast-track dispute settlements or tax benefits. </w:t>
      </w:r>
      <w:r w:rsidR="00622920">
        <w:rPr>
          <w:sz w:val="20"/>
          <w:szCs w:val="20"/>
        </w:rPr>
        <w:t>Although t</w:t>
      </w:r>
      <w:r w:rsidR="0048528F" w:rsidRPr="008B61E2">
        <w:rPr>
          <w:sz w:val="20"/>
          <w:szCs w:val="20"/>
        </w:rPr>
        <w:t>he Special Rapporteur recognizes that these programmes may lead to positive outcomes</w:t>
      </w:r>
      <w:r w:rsidR="00622920">
        <w:rPr>
          <w:sz w:val="20"/>
          <w:szCs w:val="20"/>
        </w:rPr>
        <w:t>,</w:t>
      </w:r>
      <w:r w:rsidR="0048528F" w:rsidRPr="008B61E2">
        <w:rPr>
          <w:sz w:val="20"/>
          <w:szCs w:val="20"/>
        </w:rPr>
        <w:t xml:space="preserve"> she notes that there </w:t>
      </w:r>
      <w:r w:rsidR="00622920">
        <w:rPr>
          <w:sz w:val="20"/>
          <w:szCs w:val="20"/>
        </w:rPr>
        <w:t>have</w:t>
      </w:r>
      <w:r w:rsidR="0048528F" w:rsidRPr="008B61E2">
        <w:rPr>
          <w:sz w:val="20"/>
          <w:szCs w:val="20"/>
        </w:rPr>
        <w:t xml:space="preserve"> not yet </w:t>
      </w:r>
      <w:r w:rsidR="00622920">
        <w:rPr>
          <w:sz w:val="20"/>
          <w:szCs w:val="20"/>
        </w:rPr>
        <w:t xml:space="preserve">been </w:t>
      </w:r>
      <w:r w:rsidR="0048528F" w:rsidRPr="008B61E2">
        <w:rPr>
          <w:sz w:val="20"/>
          <w:szCs w:val="20"/>
        </w:rPr>
        <w:t>any specific outcomes to be assessed. She also notes that programmes like BIP-ZIP</w:t>
      </w:r>
      <w:r w:rsidR="00622920">
        <w:rPr>
          <w:sz w:val="20"/>
          <w:szCs w:val="20"/>
        </w:rPr>
        <w:t>,</w:t>
      </w:r>
      <w:r w:rsidR="0048528F" w:rsidRPr="008B61E2">
        <w:rPr>
          <w:sz w:val="20"/>
          <w:szCs w:val="20"/>
        </w:rPr>
        <w:t xml:space="preserve"> in Lisbon, </w:t>
      </w:r>
      <w:r w:rsidR="00622920">
        <w:rPr>
          <w:sz w:val="20"/>
          <w:szCs w:val="20"/>
        </w:rPr>
        <w:t xml:space="preserve">which </w:t>
      </w:r>
      <w:r w:rsidR="0048528F" w:rsidRPr="008B61E2">
        <w:rPr>
          <w:sz w:val="20"/>
          <w:szCs w:val="20"/>
        </w:rPr>
        <w:t>provid</w:t>
      </w:r>
      <w:r w:rsidR="00622920">
        <w:rPr>
          <w:sz w:val="20"/>
          <w:szCs w:val="20"/>
        </w:rPr>
        <w:t>es</w:t>
      </w:r>
      <w:r w:rsidR="0048528F" w:rsidRPr="008B61E2">
        <w:rPr>
          <w:sz w:val="20"/>
          <w:szCs w:val="20"/>
        </w:rPr>
        <w:t xml:space="preserve"> direct support and funding to local organi</w:t>
      </w:r>
      <w:r w:rsidR="00622920">
        <w:rPr>
          <w:sz w:val="20"/>
          <w:szCs w:val="20"/>
        </w:rPr>
        <w:t>z</w:t>
      </w:r>
      <w:r w:rsidR="0048528F" w:rsidRPr="008B61E2">
        <w:rPr>
          <w:sz w:val="20"/>
          <w:szCs w:val="20"/>
        </w:rPr>
        <w:t xml:space="preserve">ations and </w:t>
      </w:r>
      <w:r w:rsidR="0048528F" w:rsidRPr="008B61E2">
        <w:rPr>
          <w:i/>
          <w:sz w:val="20"/>
          <w:szCs w:val="20"/>
        </w:rPr>
        <w:t>freguesias</w:t>
      </w:r>
      <w:r w:rsidR="0048528F" w:rsidRPr="008B61E2">
        <w:rPr>
          <w:sz w:val="20"/>
          <w:szCs w:val="20"/>
        </w:rPr>
        <w:t xml:space="preserve"> </w:t>
      </w:r>
      <w:r w:rsidR="00622920">
        <w:rPr>
          <w:sz w:val="20"/>
          <w:szCs w:val="20"/>
        </w:rPr>
        <w:t xml:space="preserve">(parishes) </w:t>
      </w:r>
      <w:r w:rsidR="0048528F" w:rsidRPr="008B61E2">
        <w:rPr>
          <w:sz w:val="20"/>
          <w:szCs w:val="20"/>
        </w:rPr>
        <w:t xml:space="preserve">have </w:t>
      </w:r>
      <w:r w:rsidR="00622920">
        <w:rPr>
          <w:sz w:val="20"/>
          <w:szCs w:val="20"/>
        </w:rPr>
        <w:t>yielded</w:t>
      </w:r>
      <w:r w:rsidR="0048528F" w:rsidRPr="008B61E2">
        <w:rPr>
          <w:sz w:val="20"/>
          <w:szCs w:val="20"/>
        </w:rPr>
        <w:t xml:space="preserve"> positive results since 2011</w:t>
      </w:r>
      <w:r w:rsidR="00622920">
        <w:rPr>
          <w:sz w:val="20"/>
          <w:szCs w:val="20"/>
        </w:rPr>
        <w:t>,</w:t>
      </w:r>
      <w:r w:rsidR="0048528F" w:rsidRPr="008B61E2">
        <w:rPr>
          <w:sz w:val="20"/>
          <w:szCs w:val="20"/>
        </w:rPr>
        <w:t xml:space="preserve"> and </w:t>
      </w:r>
      <w:r w:rsidR="00622920">
        <w:rPr>
          <w:sz w:val="20"/>
          <w:szCs w:val="20"/>
        </w:rPr>
        <w:t xml:space="preserve">that </w:t>
      </w:r>
      <w:r w:rsidR="0048528F" w:rsidRPr="008B61E2">
        <w:rPr>
          <w:sz w:val="20"/>
          <w:szCs w:val="20"/>
        </w:rPr>
        <w:t>similar programmes should be encouraged and funded.</w:t>
      </w:r>
    </w:p>
    <w:p w:rsidR="00C07932" w:rsidRDefault="00182D5E" w:rsidP="008B61E2">
      <w:pPr>
        <w:pStyle w:val="H1G"/>
        <w:spacing w:line="240" w:lineRule="atLeast"/>
      </w:pPr>
      <w:bookmarkStart w:id="17" w:name="_Toc473100930"/>
      <w:bookmarkStart w:id="18" w:name="_Toc473119160"/>
      <w:r>
        <w:tab/>
        <w:t>C.</w:t>
      </w:r>
      <w:r>
        <w:tab/>
      </w:r>
      <w:r w:rsidRPr="00182D5E">
        <w:t xml:space="preserve">Issues in </w:t>
      </w:r>
      <w:r w:rsidR="0092723A">
        <w:t>f</w:t>
      </w:r>
      <w:r w:rsidRPr="00182D5E">
        <w:t>ocus</w:t>
      </w:r>
      <w:bookmarkEnd w:id="17"/>
      <w:bookmarkEnd w:id="18"/>
    </w:p>
    <w:p w:rsidR="00C07932" w:rsidRPr="008B61E2" w:rsidRDefault="00560F00" w:rsidP="008B61E2">
      <w:pPr>
        <w:pStyle w:val="H23G"/>
        <w:spacing w:line="240" w:lineRule="atLeast"/>
        <w:rPr>
          <w:sz w:val="20"/>
          <w:szCs w:val="20"/>
        </w:rPr>
      </w:pPr>
      <w:bookmarkStart w:id="19" w:name="_Toc473119161"/>
      <w:r>
        <w:tab/>
      </w:r>
      <w:r w:rsidR="0048528F" w:rsidRPr="008B61E2">
        <w:rPr>
          <w:sz w:val="20"/>
          <w:szCs w:val="20"/>
        </w:rPr>
        <w:t>1.</w:t>
      </w:r>
      <w:r w:rsidR="0048528F" w:rsidRPr="008B61E2">
        <w:rPr>
          <w:sz w:val="20"/>
          <w:szCs w:val="20"/>
        </w:rPr>
        <w:tab/>
        <w:t>Evictions, demolitions and informal settlements</w:t>
      </w:r>
      <w:bookmarkEnd w:id="19"/>
      <w:r w:rsidR="0048528F" w:rsidRPr="008B61E2">
        <w:rPr>
          <w:sz w:val="20"/>
          <w:szCs w:val="20"/>
        </w:rPr>
        <w:t xml:space="preserve"> </w:t>
      </w:r>
    </w:p>
    <w:p w:rsidR="00C07932" w:rsidRPr="008B61E2" w:rsidRDefault="0048528F" w:rsidP="008B61E2">
      <w:pPr>
        <w:pStyle w:val="SingleTxtG"/>
        <w:rPr>
          <w:sz w:val="20"/>
          <w:szCs w:val="20"/>
        </w:rPr>
      </w:pPr>
      <w:r w:rsidRPr="008B61E2">
        <w:rPr>
          <w:sz w:val="20"/>
          <w:szCs w:val="20"/>
        </w:rPr>
        <w:t>4</w:t>
      </w:r>
      <w:r w:rsidR="00BD491C">
        <w:rPr>
          <w:sz w:val="20"/>
          <w:szCs w:val="20"/>
        </w:rPr>
        <w:t>1</w:t>
      </w:r>
      <w:r w:rsidRPr="008B61E2">
        <w:rPr>
          <w:sz w:val="20"/>
          <w:szCs w:val="20"/>
        </w:rPr>
        <w:t>.</w:t>
      </w:r>
      <w:r w:rsidRPr="008B61E2">
        <w:rPr>
          <w:sz w:val="20"/>
          <w:szCs w:val="20"/>
        </w:rPr>
        <w:tab/>
        <w:t>Forced evictions are a gross violation of international human rights law</w:t>
      </w:r>
      <w:r w:rsidR="00647A45">
        <w:rPr>
          <w:sz w:val="20"/>
          <w:szCs w:val="20"/>
        </w:rPr>
        <w:t>,</w:t>
      </w:r>
      <w:r w:rsidRPr="008B61E2">
        <w:rPr>
          <w:sz w:val="20"/>
          <w:szCs w:val="20"/>
        </w:rPr>
        <w:t xml:space="preserve"> and </w:t>
      </w:r>
      <w:r w:rsidR="00647A45">
        <w:rPr>
          <w:sz w:val="20"/>
          <w:szCs w:val="20"/>
        </w:rPr>
        <w:t>therefore</w:t>
      </w:r>
      <w:r w:rsidRPr="008B61E2">
        <w:rPr>
          <w:sz w:val="20"/>
          <w:szCs w:val="20"/>
        </w:rPr>
        <w:t xml:space="preserve"> prohibited. In </w:t>
      </w:r>
      <w:r w:rsidR="00647A45">
        <w:rPr>
          <w:sz w:val="20"/>
          <w:szCs w:val="20"/>
        </w:rPr>
        <w:t xml:space="preserve">the </w:t>
      </w:r>
      <w:r w:rsidRPr="008B61E2">
        <w:rPr>
          <w:sz w:val="20"/>
          <w:szCs w:val="20"/>
        </w:rPr>
        <w:t>light of their repercussions</w:t>
      </w:r>
      <w:r w:rsidR="00647A45" w:rsidRPr="00647A45">
        <w:rPr>
          <w:sz w:val="20"/>
          <w:szCs w:val="20"/>
        </w:rPr>
        <w:t xml:space="preserve"> </w:t>
      </w:r>
      <w:r w:rsidR="00647A45">
        <w:rPr>
          <w:sz w:val="20"/>
          <w:szCs w:val="20"/>
        </w:rPr>
        <w:t xml:space="preserve">on </w:t>
      </w:r>
      <w:r w:rsidR="00647A45" w:rsidRPr="00476172">
        <w:rPr>
          <w:sz w:val="20"/>
          <w:szCs w:val="20"/>
        </w:rPr>
        <w:t>human rights</w:t>
      </w:r>
      <w:r w:rsidRPr="008B61E2">
        <w:rPr>
          <w:sz w:val="20"/>
          <w:szCs w:val="20"/>
        </w:rPr>
        <w:t xml:space="preserve">, they </w:t>
      </w:r>
      <w:r w:rsidR="00647A45">
        <w:rPr>
          <w:sz w:val="20"/>
          <w:szCs w:val="20"/>
        </w:rPr>
        <w:t>are</w:t>
      </w:r>
      <w:r w:rsidRPr="008B61E2">
        <w:rPr>
          <w:sz w:val="20"/>
          <w:szCs w:val="20"/>
        </w:rPr>
        <w:t xml:space="preserve"> justified </w:t>
      </w:r>
      <w:r w:rsidR="00647A45" w:rsidRPr="00613BD9">
        <w:rPr>
          <w:sz w:val="20"/>
          <w:szCs w:val="20"/>
        </w:rPr>
        <w:t xml:space="preserve">only </w:t>
      </w:r>
      <w:r w:rsidRPr="008B61E2">
        <w:rPr>
          <w:sz w:val="20"/>
          <w:szCs w:val="20"/>
        </w:rPr>
        <w:t>in the rarest and most exceptional of circumstances</w:t>
      </w:r>
      <w:r w:rsidR="00647A45">
        <w:rPr>
          <w:sz w:val="20"/>
          <w:szCs w:val="20"/>
        </w:rPr>
        <w:t>,</w:t>
      </w:r>
      <w:r w:rsidRPr="008B61E2">
        <w:rPr>
          <w:sz w:val="20"/>
          <w:szCs w:val="20"/>
        </w:rPr>
        <w:t xml:space="preserve"> and in strict compliance with existing international human rights norms and guidelines.</w:t>
      </w:r>
    </w:p>
    <w:p w:rsidR="00C07932" w:rsidRPr="008B61E2" w:rsidRDefault="0048528F" w:rsidP="008B61E2">
      <w:pPr>
        <w:pStyle w:val="SingleTxtG"/>
        <w:rPr>
          <w:sz w:val="20"/>
          <w:szCs w:val="20"/>
        </w:rPr>
      </w:pPr>
      <w:r w:rsidRPr="008B61E2">
        <w:rPr>
          <w:sz w:val="20"/>
          <w:szCs w:val="20"/>
        </w:rPr>
        <w:t>4</w:t>
      </w:r>
      <w:r w:rsidR="00BD491C">
        <w:rPr>
          <w:sz w:val="20"/>
          <w:szCs w:val="20"/>
        </w:rPr>
        <w:t>2</w:t>
      </w:r>
      <w:r w:rsidRPr="008B61E2">
        <w:rPr>
          <w:sz w:val="20"/>
          <w:szCs w:val="20"/>
        </w:rPr>
        <w:t>.</w:t>
      </w:r>
      <w:r w:rsidRPr="008B61E2">
        <w:rPr>
          <w:sz w:val="20"/>
          <w:szCs w:val="20"/>
        </w:rPr>
        <w:tab/>
        <w:t xml:space="preserve">In 2011, there were approximately 6,612 </w:t>
      </w:r>
      <w:r w:rsidR="00647A45">
        <w:rPr>
          <w:sz w:val="20"/>
          <w:szCs w:val="20"/>
        </w:rPr>
        <w:t>“</w:t>
      </w:r>
      <w:r w:rsidRPr="008B61E2">
        <w:rPr>
          <w:sz w:val="20"/>
          <w:szCs w:val="20"/>
        </w:rPr>
        <w:t>non-conventional</w:t>
      </w:r>
      <w:r w:rsidR="00647A45">
        <w:rPr>
          <w:sz w:val="20"/>
          <w:szCs w:val="20"/>
        </w:rPr>
        <w:t>”</w:t>
      </w:r>
      <w:r w:rsidRPr="008B61E2">
        <w:rPr>
          <w:sz w:val="20"/>
          <w:szCs w:val="20"/>
        </w:rPr>
        <w:t xml:space="preserve"> dwellings</w:t>
      </w:r>
      <w:r w:rsidR="00647A45">
        <w:rPr>
          <w:sz w:val="20"/>
          <w:szCs w:val="20"/>
        </w:rPr>
        <w:t xml:space="preserve"> in Portugal</w:t>
      </w:r>
      <w:r w:rsidRPr="008B61E2">
        <w:rPr>
          <w:sz w:val="20"/>
          <w:szCs w:val="20"/>
        </w:rPr>
        <w:t xml:space="preserve">, less than 0.11 per cent of all dwellings The lack of social housing </w:t>
      </w:r>
      <w:r w:rsidR="00647A45">
        <w:rPr>
          <w:sz w:val="20"/>
          <w:szCs w:val="20"/>
        </w:rPr>
        <w:t>and</w:t>
      </w:r>
      <w:r w:rsidRPr="008B61E2">
        <w:rPr>
          <w:sz w:val="20"/>
          <w:szCs w:val="20"/>
        </w:rPr>
        <w:t xml:space="preserve"> of a rent supplement programme, or other private market access-to-housing solution for people living in poverty, means that these populations – </w:t>
      </w:r>
      <w:r w:rsidR="00647A45">
        <w:rPr>
          <w:sz w:val="20"/>
          <w:szCs w:val="20"/>
        </w:rPr>
        <w:t xml:space="preserve">the </w:t>
      </w:r>
      <w:r w:rsidRPr="008B61E2">
        <w:rPr>
          <w:sz w:val="20"/>
          <w:szCs w:val="20"/>
        </w:rPr>
        <w:t>Roma, pe</w:t>
      </w:r>
      <w:r w:rsidR="00647A45">
        <w:rPr>
          <w:sz w:val="20"/>
          <w:szCs w:val="20"/>
        </w:rPr>
        <w:t>rsons</w:t>
      </w:r>
      <w:r w:rsidRPr="008B61E2">
        <w:rPr>
          <w:sz w:val="20"/>
          <w:szCs w:val="20"/>
        </w:rPr>
        <w:t xml:space="preserve"> of African descent, pe</w:t>
      </w:r>
      <w:r w:rsidR="00647A45">
        <w:rPr>
          <w:sz w:val="20"/>
          <w:szCs w:val="20"/>
        </w:rPr>
        <w:t>rsons</w:t>
      </w:r>
      <w:r w:rsidRPr="008B61E2">
        <w:rPr>
          <w:sz w:val="20"/>
          <w:szCs w:val="20"/>
        </w:rPr>
        <w:t xml:space="preserve"> with disabilities, and single parents – often have no choice but to </w:t>
      </w:r>
      <w:r w:rsidR="00647A45">
        <w:rPr>
          <w:sz w:val="20"/>
          <w:szCs w:val="20"/>
        </w:rPr>
        <w:t>stay</w:t>
      </w:r>
      <w:r w:rsidRPr="008B61E2">
        <w:rPr>
          <w:sz w:val="20"/>
          <w:szCs w:val="20"/>
        </w:rPr>
        <w:t xml:space="preserve"> in informal settlements</w:t>
      </w:r>
      <w:r w:rsidR="00647A45">
        <w:rPr>
          <w:sz w:val="20"/>
          <w:szCs w:val="20"/>
        </w:rPr>
        <w:t>,</w:t>
      </w:r>
      <w:r w:rsidRPr="008B61E2">
        <w:rPr>
          <w:sz w:val="20"/>
          <w:szCs w:val="20"/>
        </w:rPr>
        <w:t xml:space="preserve"> in the worst conditions</w:t>
      </w:r>
      <w:r w:rsidR="00647A45">
        <w:rPr>
          <w:sz w:val="20"/>
          <w:szCs w:val="20"/>
        </w:rPr>
        <w:t>,</w:t>
      </w:r>
      <w:r w:rsidRPr="008B61E2">
        <w:rPr>
          <w:sz w:val="20"/>
          <w:szCs w:val="20"/>
        </w:rPr>
        <w:t xml:space="preserve"> or to rent the </w:t>
      </w:r>
      <w:r w:rsidR="00647A45">
        <w:rPr>
          <w:sz w:val="20"/>
          <w:szCs w:val="20"/>
        </w:rPr>
        <w:t>least expensive</w:t>
      </w:r>
      <w:r w:rsidRPr="008B61E2">
        <w:rPr>
          <w:sz w:val="20"/>
          <w:szCs w:val="20"/>
        </w:rPr>
        <w:t xml:space="preserve"> (yet not always affordable) units </w:t>
      </w:r>
      <w:r w:rsidR="00647A45">
        <w:rPr>
          <w:sz w:val="20"/>
          <w:szCs w:val="20"/>
        </w:rPr>
        <w:t>on</w:t>
      </w:r>
      <w:r w:rsidRPr="008B61E2">
        <w:rPr>
          <w:sz w:val="20"/>
          <w:szCs w:val="20"/>
        </w:rPr>
        <w:t xml:space="preserve"> the private market, many of which </w:t>
      </w:r>
      <w:r w:rsidR="00647A45">
        <w:rPr>
          <w:sz w:val="20"/>
          <w:szCs w:val="20"/>
        </w:rPr>
        <w:t xml:space="preserve">offer </w:t>
      </w:r>
      <w:r w:rsidRPr="008B61E2">
        <w:rPr>
          <w:sz w:val="20"/>
          <w:szCs w:val="20"/>
        </w:rPr>
        <w:t>grossly inadequate conditions. The informal settlements of the Roma and people of African descent are examples.</w:t>
      </w:r>
    </w:p>
    <w:p w:rsidR="00C07932" w:rsidRPr="008B61E2" w:rsidRDefault="0048528F" w:rsidP="008B61E2">
      <w:pPr>
        <w:pStyle w:val="SingleTxtG"/>
        <w:rPr>
          <w:sz w:val="20"/>
          <w:szCs w:val="20"/>
        </w:rPr>
      </w:pPr>
      <w:r w:rsidRPr="008B61E2">
        <w:rPr>
          <w:sz w:val="20"/>
          <w:szCs w:val="20"/>
        </w:rPr>
        <w:t>4</w:t>
      </w:r>
      <w:r w:rsidR="00BD491C">
        <w:rPr>
          <w:sz w:val="20"/>
          <w:szCs w:val="20"/>
        </w:rPr>
        <w:t>3</w:t>
      </w:r>
      <w:r w:rsidRPr="008B61E2">
        <w:rPr>
          <w:sz w:val="20"/>
          <w:szCs w:val="20"/>
        </w:rPr>
        <w:t>.</w:t>
      </w:r>
      <w:r w:rsidRPr="008B61E2">
        <w:rPr>
          <w:sz w:val="20"/>
          <w:szCs w:val="20"/>
        </w:rPr>
        <w:tab/>
      </w:r>
      <w:r w:rsidR="00647A45">
        <w:rPr>
          <w:sz w:val="20"/>
          <w:szCs w:val="20"/>
        </w:rPr>
        <w:t>I</w:t>
      </w:r>
      <w:r w:rsidRPr="008B61E2">
        <w:rPr>
          <w:sz w:val="20"/>
          <w:szCs w:val="20"/>
        </w:rPr>
        <w:t>nformal settlements such as those in Loures, where Roma and people of African descent are forced to live, are a shameful blight. Some communities liv</w:t>
      </w:r>
      <w:r w:rsidR="00647A45">
        <w:rPr>
          <w:sz w:val="20"/>
          <w:szCs w:val="20"/>
        </w:rPr>
        <w:t>e</w:t>
      </w:r>
      <w:r w:rsidRPr="008B61E2">
        <w:rPr>
          <w:sz w:val="20"/>
          <w:szCs w:val="20"/>
        </w:rPr>
        <w:t xml:space="preserve"> without electricity. Their homes are set amidst garbage, </w:t>
      </w:r>
      <w:r w:rsidR="00647A45">
        <w:rPr>
          <w:sz w:val="20"/>
          <w:szCs w:val="20"/>
        </w:rPr>
        <w:t xml:space="preserve">are </w:t>
      </w:r>
      <w:r w:rsidRPr="008B61E2">
        <w:rPr>
          <w:sz w:val="20"/>
          <w:szCs w:val="20"/>
        </w:rPr>
        <w:t xml:space="preserve">dark, poorly constructed out of tin and debris, </w:t>
      </w:r>
      <w:r w:rsidR="00647A45">
        <w:rPr>
          <w:sz w:val="20"/>
          <w:szCs w:val="20"/>
        </w:rPr>
        <w:t xml:space="preserve">and </w:t>
      </w:r>
      <w:r w:rsidRPr="008B61E2">
        <w:rPr>
          <w:sz w:val="20"/>
          <w:szCs w:val="20"/>
        </w:rPr>
        <w:t xml:space="preserve">exposed to rain, wind and overheating in the summer months. These are housing conditions </w:t>
      </w:r>
      <w:r w:rsidR="00647A45">
        <w:rPr>
          <w:sz w:val="20"/>
          <w:szCs w:val="20"/>
        </w:rPr>
        <w:t xml:space="preserve">that </w:t>
      </w:r>
      <w:r w:rsidRPr="008B61E2">
        <w:rPr>
          <w:sz w:val="20"/>
          <w:szCs w:val="20"/>
        </w:rPr>
        <w:t>one hopes never to see</w:t>
      </w:r>
      <w:r w:rsidR="00647A45">
        <w:rPr>
          <w:sz w:val="20"/>
          <w:szCs w:val="20"/>
        </w:rPr>
        <w:t>,</w:t>
      </w:r>
      <w:r w:rsidRPr="008B61E2">
        <w:rPr>
          <w:sz w:val="20"/>
          <w:szCs w:val="20"/>
        </w:rPr>
        <w:t xml:space="preserve"> and certainly not in a developed country that has ratified </w:t>
      </w:r>
      <w:r w:rsidRPr="008B61E2">
        <w:rPr>
          <w:sz w:val="20"/>
          <w:szCs w:val="20"/>
        </w:rPr>
        <w:lastRenderedPageBreak/>
        <w:t>international human rights instruments protecting the right to adequate housing. Contrary to international human rights law, a number of families have been evicted from their homes in Amadora municipality, or have had their homes demolished, and as a consequence were left homeless</w:t>
      </w:r>
      <w:r w:rsidR="00647A45">
        <w:rPr>
          <w:sz w:val="20"/>
          <w:szCs w:val="20"/>
        </w:rPr>
        <w:t xml:space="preserve"> (see</w:t>
      </w:r>
      <w:r w:rsidR="00647A45" w:rsidRPr="00647A45">
        <w:t xml:space="preserve"> </w:t>
      </w:r>
      <w:r w:rsidRPr="008B61E2">
        <w:rPr>
          <w:sz w:val="20"/>
          <w:szCs w:val="20"/>
        </w:rPr>
        <w:t xml:space="preserve">A/HRC/31/54). The Special Rapporteur heard testimonies from a number of individuals who were </w:t>
      </w:r>
      <w:r w:rsidR="00647A45">
        <w:rPr>
          <w:sz w:val="20"/>
          <w:szCs w:val="20"/>
        </w:rPr>
        <w:t xml:space="preserve">forced to </w:t>
      </w:r>
      <w:r w:rsidRPr="008B61E2">
        <w:rPr>
          <w:sz w:val="20"/>
          <w:szCs w:val="20"/>
        </w:rPr>
        <w:t>liv</w:t>
      </w:r>
      <w:r w:rsidR="00647A45">
        <w:rPr>
          <w:sz w:val="20"/>
          <w:szCs w:val="20"/>
        </w:rPr>
        <w:t>e</w:t>
      </w:r>
      <w:r w:rsidRPr="008B61E2">
        <w:rPr>
          <w:sz w:val="20"/>
          <w:szCs w:val="20"/>
        </w:rPr>
        <w:t xml:space="preserve"> in a shelter, or to </w:t>
      </w:r>
      <w:r w:rsidR="00647A45">
        <w:rPr>
          <w:sz w:val="20"/>
          <w:szCs w:val="20"/>
        </w:rPr>
        <w:t>move in</w:t>
      </w:r>
      <w:r w:rsidRPr="008B61E2">
        <w:rPr>
          <w:sz w:val="20"/>
          <w:szCs w:val="20"/>
        </w:rPr>
        <w:t xml:space="preserve"> with friends or relatives, and feared street homelessness. The Special Rapporteur also learned that some people </w:t>
      </w:r>
      <w:r w:rsidR="00647A45">
        <w:rPr>
          <w:sz w:val="20"/>
          <w:szCs w:val="20"/>
        </w:rPr>
        <w:t xml:space="preserve">actually </w:t>
      </w:r>
      <w:r w:rsidRPr="008B61E2">
        <w:rPr>
          <w:sz w:val="20"/>
          <w:szCs w:val="20"/>
        </w:rPr>
        <w:t xml:space="preserve">chose to sleep in cars or in other improvised solutions because of the importance of remaining in their neighbourhood and with their community. </w:t>
      </w:r>
    </w:p>
    <w:p w:rsidR="00C07932" w:rsidRDefault="0048528F" w:rsidP="008B61E2">
      <w:pPr>
        <w:pStyle w:val="SingleTxtG"/>
      </w:pPr>
      <w:r w:rsidRPr="008B61E2">
        <w:rPr>
          <w:sz w:val="20"/>
          <w:szCs w:val="20"/>
        </w:rPr>
        <w:t>4</w:t>
      </w:r>
      <w:r w:rsidR="00BD491C">
        <w:rPr>
          <w:sz w:val="20"/>
          <w:szCs w:val="20"/>
        </w:rPr>
        <w:t>4</w:t>
      </w:r>
      <w:r w:rsidRPr="008B61E2">
        <w:rPr>
          <w:sz w:val="20"/>
          <w:szCs w:val="20"/>
        </w:rPr>
        <w:t>.</w:t>
      </w:r>
      <w:r w:rsidRPr="008B61E2">
        <w:rPr>
          <w:sz w:val="20"/>
          <w:szCs w:val="20"/>
        </w:rPr>
        <w:tab/>
        <w:t xml:space="preserve">In other parts of </w:t>
      </w:r>
      <w:r w:rsidR="00647A45">
        <w:rPr>
          <w:sz w:val="20"/>
          <w:szCs w:val="20"/>
        </w:rPr>
        <w:t>the</w:t>
      </w:r>
      <w:r w:rsidRPr="008B61E2">
        <w:rPr>
          <w:sz w:val="20"/>
          <w:szCs w:val="20"/>
        </w:rPr>
        <w:t xml:space="preserve"> municipality, households that have been standing for more than </w:t>
      </w:r>
      <w:r w:rsidR="00647A45">
        <w:rPr>
          <w:sz w:val="20"/>
          <w:szCs w:val="20"/>
        </w:rPr>
        <w:t>30</w:t>
      </w:r>
      <w:r w:rsidRPr="008B61E2">
        <w:rPr>
          <w:sz w:val="20"/>
          <w:szCs w:val="20"/>
        </w:rPr>
        <w:t xml:space="preserve"> years, wh</w:t>
      </w:r>
      <w:r w:rsidR="00647A45">
        <w:rPr>
          <w:sz w:val="20"/>
          <w:szCs w:val="20"/>
        </w:rPr>
        <w:t>ich</w:t>
      </w:r>
      <w:r w:rsidRPr="008B61E2">
        <w:rPr>
          <w:sz w:val="20"/>
          <w:szCs w:val="20"/>
        </w:rPr>
        <w:t xml:space="preserve"> have contributed to community development </w:t>
      </w:r>
      <w:r w:rsidR="00647A45">
        <w:rPr>
          <w:sz w:val="20"/>
          <w:szCs w:val="20"/>
        </w:rPr>
        <w:t>(</w:t>
      </w:r>
      <w:r w:rsidRPr="008B61E2">
        <w:rPr>
          <w:sz w:val="20"/>
          <w:szCs w:val="20"/>
        </w:rPr>
        <w:t>for example</w:t>
      </w:r>
      <w:r w:rsidR="00647A45">
        <w:rPr>
          <w:sz w:val="20"/>
          <w:szCs w:val="20"/>
        </w:rPr>
        <w:t>,</w:t>
      </w:r>
      <w:r w:rsidRPr="008B61E2">
        <w:rPr>
          <w:sz w:val="20"/>
          <w:szCs w:val="20"/>
        </w:rPr>
        <w:t xml:space="preserve"> by naming their </w:t>
      </w:r>
      <w:r w:rsidR="00A3359A">
        <w:rPr>
          <w:sz w:val="20"/>
          <w:szCs w:val="20"/>
        </w:rPr>
        <w:t xml:space="preserve">own </w:t>
      </w:r>
      <w:r w:rsidRPr="008B61E2">
        <w:rPr>
          <w:sz w:val="20"/>
          <w:szCs w:val="20"/>
        </w:rPr>
        <w:t>streets with hand</w:t>
      </w:r>
      <w:r w:rsidR="00647A45">
        <w:rPr>
          <w:sz w:val="20"/>
          <w:szCs w:val="20"/>
        </w:rPr>
        <w:t>-</w:t>
      </w:r>
      <w:r w:rsidRPr="008B61E2">
        <w:rPr>
          <w:sz w:val="20"/>
          <w:szCs w:val="20"/>
        </w:rPr>
        <w:t>painted signs</w:t>
      </w:r>
      <w:r w:rsidR="00647A45">
        <w:rPr>
          <w:sz w:val="20"/>
          <w:szCs w:val="20"/>
        </w:rPr>
        <w:t>)</w:t>
      </w:r>
      <w:r w:rsidRPr="008B61E2">
        <w:rPr>
          <w:sz w:val="20"/>
          <w:szCs w:val="20"/>
        </w:rPr>
        <w:t xml:space="preserve">, continue to </w:t>
      </w:r>
      <w:r w:rsidR="00F04E86">
        <w:rPr>
          <w:sz w:val="20"/>
          <w:szCs w:val="20"/>
        </w:rPr>
        <w:t xml:space="preserve">live in </w:t>
      </w:r>
      <w:r w:rsidRPr="008B61E2">
        <w:rPr>
          <w:sz w:val="20"/>
          <w:szCs w:val="20"/>
        </w:rPr>
        <w:t xml:space="preserve">fear </w:t>
      </w:r>
      <w:r w:rsidR="00FA59A1">
        <w:rPr>
          <w:sz w:val="20"/>
          <w:szCs w:val="20"/>
        </w:rPr>
        <w:t xml:space="preserve">of </w:t>
      </w:r>
      <w:r w:rsidRPr="008B61E2">
        <w:rPr>
          <w:sz w:val="20"/>
          <w:szCs w:val="20"/>
        </w:rPr>
        <w:t xml:space="preserve">eviction or demolition because they reside on land that the Municipality would like to develop </w:t>
      </w:r>
      <w:r w:rsidR="00FA59A1">
        <w:rPr>
          <w:sz w:val="20"/>
          <w:szCs w:val="20"/>
        </w:rPr>
        <w:t>owing</w:t>
      </w:r>
      <w:r w:rsidRPr="008B61E2">
        <w:rPr>
          <w:sz w:val="20"/>
          <w:szCs w:val="20"/>
        </w:rPr>
        <w:t xml:space="preserve"> to increas</w:t>
      </w:r>
      <w:r w:rsidR="00FA59A1">
        <w:rPr>
          <w:sz w:val="20"/>
          <w:szCs w:val="20"/>
        </w:rPr>
        <w:t>ing</w:t>
      </w:r>
      <w:r w:rsidRPr="008B61E2">
        <w:rPr>
          <w:sz w:val="20"/>
          <w:szCs w:val="20"/>
        </w:rPr>
        <w:t xml:space="preserve"> value. </w:t>
      </w:r>
      <w:r w:rsidR="00FA59A1">
        <w:rPr>
          <w:sz w:val="20"/>
          <w:szCs w:val="20"/>
        </w:rPr>
        <w:t>Residents require, i</w:t>
      </w:r>
      <w:r w:rsidRPr="008B61E2">
        <w:rPr>
          <w:sz w:val="20"/>
          <w:szCs w:val="20"/>
        </w:rPr>
        <w:t>n accordance with international human rights law and standards, in situ security of tenure</w:t>
      </w:r>
      <w:r w:rsidR="00FA59A1">
        <w:rPr>
          <w:sz w:val="20"/>
          <w:szCs w:val="20"/>
        </w:rPr>
        <w:t xml:space="preserve"> (see</w:t>
      </w:r>
      <w:r w:rsidR="00FA59A1" w:rsidRPr="00FA59A1">
        <w:t xml:space="preserve"> </w:t>
      </w:r>
      <w:r w:rsidRPr="008B61E2">
        <w:rPr>
          <w:sz w:val="20"/>
          <w:szCs w:val="20"/>
        </w:rPr>
        <w:t xml:space="preserve">A/HRC/25/54). </w:t>
      </w:r>
      <w:r w:rsidR="00FA59A1">
        <w:rPr>
          <w:sz w:val="20"/>
          <w:szCs w:val="20"/>
        </w:rPr>
        <w:t>O</w:t>
      </w:r>
      <w:r w:rsidRPr="008B61E2">
        <w:rPr>
          <w:sz w:val="20"/>
          <w:szCs w:val="20"/>
        </w:rPr>
        <w:t xml:space="preserve">fficials </w:t>
      </w:r>
      <w:r w:rsidR="00FA59A1">
        <w:rPr>
          <w:sz w:val="20"/>
          <w:szCs w:val="20"/>
        </w:rPr>
        <w:t>from</w:t>
      </w:r>
      <w:r w:rsidRPr="008B61E2">
        <w:rPr>
          <w:sz w:val="20"/>
          <w:szCs w:val="20"/>
        </w:rPr>
        <w:t xml:space="preserve"> the Municipality of Amadora were </w:t>
      </w:r>
      <w:r w:rsidR="00FA59A1">
        <w:rPr>
          <w:sz w:val="20"/>
          <w:szCs w:val="20"/>
        </w:rPr>
        <w:t>u</w:t>
      </w:r>
      <w:r w:rsidR="00FA59A1" w:rsidRPr="00701060">
        <w:rPr>
          <w:sz w:val="20"/>
          <w:szCs w:val="20"/>
        </w:rPr>
        <w:t xml:space="preserve">nfortunately </w:t>
      </w:r>
      <w:r w:rsidRPr="008B61E2">
        <w:rPr>
          <w:sz w:val="20"/>
          <w:szCs w:val="20"/>
        </w:rPr>
        <w:t>unable to receive the Special Rapporteur during her visit</w:t>
      </w:r>
      <w:r w:rsidR="00FA59A1">
        <w:rPr>
          <w:sz w:val="20"/>
          <w:szCs w:val="20"/>
        </w:rPr>
        <w:t xml:space="preserve"> to the site</w:t>
      </w:r>
      <w:r w:rsidRPr="008B61E2">
        <w:rPr>
          <w:sz w:val="20"/>
          <w:szCs w:val="20"/>
        </w:rPr>
        <w:t>.</w:t>
      </w:r>
    </w:p>
    <w:p w:rsidR="00C07932" w:rsidRPr="008B61E2" w:rsidRDefault="00560F00" w:rsidP="008B61E2">
      <w:pPr>
        <w:pStyle w:val="H23G"/>
        <w:spacing w:line="240" w:lineRule="atLeast"/>
        <w:rPr>
          <w:sz w:val="20"/>
          <w:szCs w:val="20"/>
        </w:rPr>
      </w:pPr>
      <w:bookmarkStart w:id="20" w:name="_Toc473119162"/>
      <w:r w:rsidRPr="008B61E2">
        <w:rPr>
          <w:sz w:val="20"/>
          <w:szCs w:val="20"/>
        </w:rPr>
        <w:tab/>
        <w:t>2.</w:t>
      </w:r>
      <w:r w:rsidRPr="008B61E2">
        <w:rPr>
          <w:sz w:val="20"/>
          <w:szCs w:val="20"/>
        </w:rPr>
        <w:tab/>
      </w:r>
      <w:r w:rsidR="0048528F" w:rsidRPr="008B61E2">
        <w:rPr>
          <w:i/>
          <w:sz w:val="20"/>
          <w:szCs w:val="20"/>
        </w:rPr>
        <w:t>Ilhas</w:t>
      </w:r>
      <w:bookmarkEnd w:id="20"/>
    </w:p>
    <w:p w:rsidR="00C07932" w:rsidRPr="008B61E2" w:rsidRDefault="0048528F" w:rsidP="008B61E2">
      <w:pPr>
        <w:pStyle w:val="SingleTxtG"/>
        <w:rPr>
          <w:sz w:val="20"/>
          <w:szCs w:val="20"/>
        </w:rPr>
      </w:pPr>
      <w:r w:rsidRPr="008B61E2">
        <w:rPr>
          <w:sz w:val="20"/>
          <w:szCs w:val="20"/>
        </w:rPr>
        <w:t>4</w:t>
      </w:r>
      <w:r w:rsidR="00BD491C">
        <w:rPr>
          <w:sz w:val="20"/>
          <w:szCs w:val="20"/>
        </w:rPr>
        <w:t>5</w:t>
      </w:r>
      <w:r w:rsidRPr="008B61E2">
        <w:rPr>
          <w:sz w:val="20"/>
          <w:szCs w:val="20"/>
        </w:rPr>
        <w:t>.</w:t>
      </w:r>
      <w:r w:rsidRPr="008B61E2">
        <w:rPr>
          <w:sz w:val="20"/>
          <w:szCs w:val="20"/>
        </w:rPr>
        <w:tab/>
      </w:r>
      <w:r w:rsidRPr="008B61E2">
        <w:rPr>
          <w:i/>
          <w:sz w:val="20"/>
          <w:szCs w:val="20"/>
        </w:rPr>
        <w:t>Ilhas</w:t>
      </w:r>
      <w:r w:rsidRPr="008B61E2">
        <w:rPr>
          <w:sz w:val="20"/>
          <w:szCs w:val="20"/>
        </w:rPr>
        <w:t xml:space="preserve"> are a unique form of housing found only in Porto. Established in the </w:t>
      </w:r>
      <w:r w:rsidR="00FA59A1">
        <w:rPr>
          <w:sz w:val="20"/>
          <w:szCs w:val="20"/>
        </w:rPr>
        <w:t>nineteen</w:t>
      </w:r>
      <w:r w:rsidRPr="008B61E2">
        <w:rPr>
          <w:sz w:val="20"/>
          <w:szCs w:val="20"/>
        </w:rPr>
        <w:t xml:space="preserve">th century for workers, these </w:t>
      </w:r>
      <w:r w:rsidR="00141CBF">
        <w:rPr>
          <w:sz w:val="20"/>
          <w:szCs w:val="20"/>
        </w:rPr>
        <w:t>miniature</w:t>
      </w:r>
      <w:r w:rsidR="00141CBF" w:rsidRPr="00141CBF">
        <w:rPr>
          <w:sz w:val="20"/>
          <w:szCs w:val="20"/>
        </w:rPr>
        <w:t xml:space="preserve"> </w:t>
      </w:r>
      <w:r w:rsidR="00141CBF" w:rsidRPr="00466F53">
        <w:rPr>
          <w:sz w:val="20"/>
          <w:szCs w:val="20"/>
        </w:rPr>
        <w:t>homes</w:t>
      </w:r>
      <w:r w:rsidRPr="008B61E2">
        <w:rPr>
          <w:sz w:val="20"/>
          <w:szCs w:val="20"/>
        </w:rPr>
        <w:t xml:space="preserve">, measuring on average 16 </w:t>
      </w:r>
      <w:r w:rsidR="00141CBF">
        <w:rPr>
          <w:sz w:val="20"/>
          <w:szCs w:val="20"/>
        </w:rPr>
        <w:t>m</w:t>
      </w:r>
      <w:r>
        <w:rPr>
          <w:sz w:val="20"/>
          <w:szCs w:val="20"/>
          <w:vertAlign w:val="superscript"/>
        </w:rPr>
        <w:t>3</w:t>
      </w:r>
      <w:r w:rsidRPr="008B61E2">
        <w:rPr>
          <w:sz w:val="20"/>
          <w:szCs w:val="20"/>
        </w:rPr>
        <w:t xml:space="preserve">, house some of the poorest families in Porto. Hidden from view, the </w:t>
      </w:r>
      <w:r w:rsidRPr="008B61E2">
        <w:rPr>
          <w:i/>
          <w:sz w:val="20"/>
          <w:szCs w:val="20"/>
        </w:rPr>
        <w:t>ilhas</w:t>
      </w:r>
      <w:r w:rsidRPr="008B61E2">
        <w:rPr>
          <w:sz w:val="20"/>
          <w:szCs w:val="20"/>
        </w:rPr>
        <w:t xml:space="preserve"> are located down narrow lane ways. There are 957 of these housing arrangements scattered throughout Porto. The vast majority are owned privately</w:t>
      </w:r>
      <w:r w:rsidR="00141CBF">
        <w:rPr>
          <w:sz w:val="20"/>
          <w:szCs w:val="20"/>
        </w:rPr>
        <w:t>,</w:t>
      </w:r>
      <w:r w:rsidRPr="008B61E2">
        <w:rPr>
          <w:sz w:val="20"/>
          <w:szCs w:val="20"/>
        </w:rPr>
        <w:t xml:space="preserve"> and tenants pay rent to landlords</w:t>
      </w:r>
      <w:r w:rsidR="00141CBF" w:rsidRPr="00141CBF">
        <w:rPr>
          <w:sz w:val="20"/>
          <w:szCs w:val="20"/>
        </w:rPr>
        <w:t xml:space="preserve"> </w:t>
      </w:r>
      <w:r w:rsidR="00141CBF">
        <w:rPr>
          <w:sz w:val="20"/>
          <w:szCs w:val="20"/>
        </w:rPr>
        <w:t xml:space="preserve">who are </w:t>
      </w:r>
      <w:r w:rsidR="00141CBF" w:rsidRPr="003D2F51">
        <w:rPr>
          <w:sz w:val="20"/>
          <w:szCs w:val="20"/>
        </w:rPr>
        <w:t>often absent</w:t>
      </w:r>
      <w:r w:rsidRPr="008B61E2">
        <w:rPr>
          <w:sz w:val="20"/>
          <w:szCs w:val="20"/>
        </w:rPr>
        <w:t xml:space="preserve">. </w:t>
      </w:r>
    </w:p>
    <w:p w:rsidR="00C07932" w:rsidRPr="008B61E2" w:rsidRDefault="0048528F" w:rsidP="008B61E2">
      <w:pPr>
        <w:pStyle w:val="SingleTxtG"/>
        <w:rPr>
          <w:sz w:val="20"/>
          <w:szCs w:val="20"/>
        </w:rPr>
      </w:pPr>
      <w:r w:rsidRPr="008B61E2">
        <w:rPr>
          <w:sz w:val="20"/>
          <w:szCs w:val="20"/>
        </w:rPr>
        <w:t>4</w:t>
      </w:r>
      <w:r w:rsidR="00BD491C">
        <w:rPr>
          <w:sz w:val="20"/>
          <w:szCs w:val="20"/>
        </w:rPr>
        <w:t>6</w:t>
      </w:r>
      <w:r w:rsidRPr="008B61E2">
        <w:rPr>
          <w:sz w:val="20"/>
          <w:szCs w:val="20"/>
        </w:rPr>
        <w:t>.</w:t>
      </w:r>
      <w:r w:rsidRPr="008B61E2">
        <w:rPr>
          <w:sz w:val="20"/>
          <w:szCs w:val="20"/>
        </w:rPr>
        <w:tab/>
      </w:r>
      <w:r w:rsidR="00141CBF">
        <w:rPr>
          <w:sz w:val="20"/>
          <w:szCs w:val="20"/>
        </w:rPr>
        <w:t>Living</w:t>
      </w:r>
      <w:r w:rsidRPr="008B61E2">
        <w:rPr>
          <w:sz w:val="20"/>
          <w:szCs w:val="20"/>
        </w:rPr>
        <w:t xml:space="preserve"> conditions in most </w:t>
      </w:r>
      <w:r w:rsidRPr="008B61E2">
        <w:rPr>
          <w:i/>
          <w:sz w:val="20"/>
          <w:szCs w:val="20"/>
        </w:rPr>
        <w:t>ilhas</w:t>
      </w:r>
      <w:r w:rsidR="00141CBF">
        <w:rPr>
          <w:sz w:val="20"/>
          <w:szCs w:val="20"/>
        </w:rPr>
        <w:t xml:space="preserve"> </w:t>
      </w:r>
      <w:r w:rsidRPr="008B61E2">
        <w:rPr>
          <w:sz w:val="20"/>
          <w:szCs w:val="20"/>
        </w:rPr>
        <w:t xml:space="preserve">are grossly inadequate, contrary to international human rights standards, and can only be described as heartbreaking. </w:t>
      </w:r>
      <w:r w:rsidR="00141CBF">
        <w:rPr>
          <w:sz w:val="20"/>
          <w:szCs w:val="20"/>
        </w:rPr>
        <w:t xml:space="preserve">Although </w:t>
      </w:r>
      <w:r w:rsidRPr="008B61E2">
        <w:rPr>
          <w:sz w:val="20"/>
          <w:szCs w:val="20"/>
        </w:rPr>
        <w:t xml:space="preserve">they can barely accommodate one person, most are occupied by </w:t>
      </w:r>
      <w:r w:rsidR="00141CBF">
        <w:rPr>
          <w:sz w:val="20"/>
          <w:szCs w:val="20"/>
        </w:rPr>
        <w:t>families of three or four</w:t>
      </w:r>
      <w:r w:rsidRPr="008B61E2">
        <w:rPr>
          <w:sz w:val="20"/>
          <w:szCs w:val="20"/>
        </w:rPr>
        <w:t xml:space="preserve">. Many have ad hoc sanitation facilities, sometimes outside of the actual home, or without doors for privacy or a place to </w:t>
      </w:r>
      <w:r w:rsidR="00141CBF">
        <w:rPr>
          <w:sz w:val="20"/>
          <w:szCs w:val="20"/>
        </w:rPr>
        <w:t>wash</w:t>
      </w:r>
      <w:r w:rsidRPr="008B61E2">
        <w:rPr>
          <w:sz w:val="20"/>
          <w:szCs w:val="20"/>
        </w:rPr>
        <w:t>. While most have electricity and running water, some are off the grid and have no electricity security</w:t>
      </w:r>
      <w:r w:rsidR="00141CBF">
        <w:rPr>
          <w:sz w:val="20"/>
          <w:szCs w:val="20"/>
        </w:rPr>
        <w:t>,</w:t>
      </w:r>
      <w:r w:rsidRPr="008B61E2">
        <w:rPr>
          <w:sz w:val="20"/>
          <w:szCs w:val="20"/>
        </w:rPr>
        <w:t xml:space="preserve"> and </w:t>
      </w:r>
      <w:r w:rsidR="00141CBF">
        <w:rPr>
          <w:sz w:val="20"/>
          <w:szCs w:val="20"/>
        </w:rPr>
        <w:t xml:space="preserve">constantly </w:t>
      </w:r>
      <w:r w:rsidRPr="008B61E2">
        <w:rPr>
          <w:sz w:val="20"/>
          <w:szCs w:val="20"/>
        </w:rPr>
        <w:t xml:space="preserve">face </w:t>
      </w:r>
      <w:r w:rsidR="00141CBF">
        <w:rPr>
          <w:sz w:val="20"/>
          <w:szCs w:val="20"/>
        </w:rPr>
        <w:t>the risk of blackout</w:t>
      </w:r>
      <w:r w:rsidRPr="008B61E2">
        <w:rPr>
          <w:sz w:val="20"/>
          <w:szCs w:val="20"/>
        </w:rPr>
        <w:t xml:space="preserve">. Many of the homes have leaking roofs, </w:t>
      </w:r>
      <w:r w:rsidR="00141CBF">
        <w:rPr>
          <w:sz w:val="20"/>
          <w:szCs w:val="20"/>
        </w:rPr>
        <w:t xml:space="preserve">are infested by </w:t>
      </w:r>
      <w:r w:rsidRPr="008B61E2">
        <w:rPr>
          <w:sz w:val="20"/>
          <w:szCs w:val="20"/>
        </w:rPr>
        <w:t xml:space="preserve">rodents, and offer </w:t>
      </w:r>
      <w:r w:rsidR="00141CBF">
        <w:rPr>
          <w:sz w:val="20"/>
          <w:szCs w:val="20"/>
        </w:rPr>
        <w:t>scant</w:t>
      </w:r>
      <w:r w:rsidRPr="008B61E2">
        <w:rPr>
          <w:sz w:val="20"/>
          <w:szCs w:val="20"/>
        </w:rPr>
        <w:t xml:space="preserve"> protection from </w:t>
      </w:r>
      <w:r w:rsidR="00141CBF">
        <w:rPr>
          <w:sz w:val="20"/>
          <w:szCs w:val="20"/>
        </w:rPr>
        <w:t>elements</w:t>
      </w:r>
      <w:r w:rsidRPr="008B61E2">
        <w:rPr>
          <w:sz w:val="20"/>
          <w:szCs w:val="20"/>
        </w:rPr>
        <w:t xml:space="preserve">. </w:t>
      </w:r>
      <w:r w:rsidR="00141CBF">
        <w:rPr>
          <w:sz w:val="20"/>
          <w:szCs w:val="20"/>
        </w:rPr>
        <w:t>S</w:t>
      </w:r>
      <w:r w:rsidR="00141CBF" w:rsidRPr="006741B3">
        <w:rPr>
          <w:sz w:val="20"/>
          <w:szCs w:val="20"/>
        </w:rPr>
        <w:t xml:space="preserve">everal tenants </w:t>
      </w:r>
      <w:r w:rsidR="00141CBF">
        <w:rPr>
          <w:sz w:val="20"/>
          <w:szCs w:val="20"/>
        </w:rPr>
        <w:t>with whom t</w:t>
      </w:r>
      <w:r w:rsidRPr="008B61E2">
        <w:rPr>
          <w:sz w:val="20"/>
          <w:szCs w:val="20"/>
        </w:rPr>
        <w:t xml:space="preserve">he Special Rapporteur met said that they had requested </w:t>
      </w:r>
      <w:r w:rsidR="00141CBF">
        <w:rPr>
          <w:sz w:val="20"/>
          <w:szCs w:val="20"/>
        </w:rPr>
        <w:t xml:space="preserve">the landlord to make </w:t>
      </w:r>
      <w:r w:rsidRPr="008B61E2">
        <w:rPr>
          <w:sz w:val="20"/>
          <w:szCs w:val="20"/>
        </w:rPr>
        <w:t>repairs to their units</w:t>
      </w:r>
      <w:r w:rsidR="00141CBF">
        <w:rPr>
          <w:sz w:val="20"/>
          <w:szCs w:val="20"/>
        </w:rPr>
        <w:t>,</w:t>
      </w:r>
      <w:r w:rsidRPr="008B61E2">
        <w:rPr>
          <w:sz w:val="20"/>
          <w:szCs w:val="20"/>
        </w:rPr>
        <w:t xml:space="preserve"> but </w:t>
      </w:r>
      <w:r w:rsidR="00141CBF">
        <w:rPr>
          <w:sz w:val="20"/>
          <w:szCs w:val="20"/>
        </w:rPr>
        <w:t>in vain</w:t>
      </w:r>
      <w:r w:rsidRPr="008B61E2">
        <w:rPr>
          <w:sz w:val="20"/>
          <w:szCs w:val="20"/>
        </w:rPr>
        <w:t>.</w:t>
      </w:r>
    </w:p>
    <w:p w:rsidR="00C07932" w:rsidRPr="008B61E2" w:rsidRDefault="0048528F" w:rsidP="008B61E2">
      <w:pPr>
        <w:pStyle w:val="SingleTxtG"/>
        <w:rPr>
          <w:sz w:val="20"/>
          <w:szCs w:val="20"/>
        </w:rPr>
      </w:pPr>
      <w:r w:rsidRPr="008B61E2">
        <w:rPr>
          <w:sz w:val="20"/>
          <w:szCs w:val="20"/>
        </w:rPr>
        <w:t>4</w:t>
      </w:r>
      <w:r w:rsidR="00BD491C">
        <w:rPr>
          <w:sz w:val="20"/>
          <w:szCs w:val="20"/>
        </w:rPr>
        <w:t>7</w:t>
      </w:r>
      <w:r w:rsidRPr="008B61E2">
        <w:rPr>
          <w:sz w:val="20"/>
          <w:szCs w:val="20"/>
        </w:rPr>
        <w:t>.</w:t>
      </w:r>
      <w:r w:rsidRPr="008B61E2">
        <w:rPr>
          <w:sz w:val="20"/>
          <w:szCs w:val="20"/>
        </w:rPr>
        <w:tab/>
      </w:r>
      <w:r w:rsidR="00141CBF">
        <w:rPr>
          <w:sz w:val="20"/>
          <w:szCs w:val="20"/>
        </w:rPr>
        <w:t>One</w:t>
      </w:r>
      <w:r w:rsidRPr="008B61E2">
        <w:rPr>
          <w:sz w:val="20"/>
          <w:szCs w:val="20"/>
        </w:rPr>
        <w:t xml:space="preserve"> deep concern is the number of older people living in these homes, many with </w:t>
      </w:r>
      <w:r w:rsidR="00141CBF">
        <w:rPr>
          <w:sz w:val="20"/>
          <w:szCs w:val="20"/>
        </w:rPr>
        <w:t xml:space="preserve">a </w:t>
      </w:r>
      <w:r w:rsidRPr="008B61E2">
        <w:rPr>
          <w:sz w:val="20"/>
          <w:szCs w:val="20"/>
        </w:rPr>
        <w:t>disabilit</w:t>
      </w:r>
      <w:r w:rsidR="00141CBF">
        <w:rPr>
          <w:sz w:val="20"/>
          <w:szCs w:val="20"/>
        </w:rPr>
        <w:t>y</w:t>
      </w:r>
      <w:r w:rsidRPr="008B61E2">
        <w:rPr>
          <w:sz w:val="20"/>
          <w:szCs w:val="20"/>
        </w:rPr>
        <w:t xml:space="preserve"> or limited mobility, are completely isolated, </w:t>
      </w:r>
      <w:r w:rsidR="002C4DE3">
        <w:rPr>
          <w:sz w:val="20"/>
          <w:szCs w:val="20"/>
        </w:rPr>
        <w:t xml:space="preserve">and </w:t>
      </w:r>
      <w:r w:rsidRPr="008B61E2">
        <w:rPr>
          <w:sz w:val="20"/>
          <w:szCs w:val="20"/>
        </w:rPr>
        <w:t>rarely able to leave</w:t>
      </w:r>
      <w:r w:rsidR="002C4DE3">
        <w:rPr>
          <w:sz w:val="20"/>
          <w:szCs w:val="20"/>
        </w:rPr>
        <w:t>,</w:t>
      </w:r>
      <w:r w:rsidRPr="008B61E2">
        <w:rPr>
          <w:sz w:val="20"/>
          <w:szCs w:val="20"/>
        </w:rPr>
        <w:t xml:space="preserve"> except </w:t>
      </w:r>
      <w:r w:rsidR="002C4DE3">
        <w:rPr>
          <w:sz w:val="20"/>
          <w:szCs w:val="20"/>
        </w:rPr>
        <w:t xml:space="preserve">for </w:t>
      </w:r>
      <w:r w:rsidRPr="008B61E2">
        <w:rPr>
          <w:sz w:val="20"/>
          <w:szCs w:val="20"/>
        </w:rPr>
        <w:t>medical appointments. A</w:t>
      </w:r>
      <w:r w:rsidR="002C4DE3">
        <w:rPr>
          <w:sz w:val="20"/>
          <w:szCs w:val="20"/>
        </w:rPr>
        <w:t xml:space="preserve">nother </w:t>
      </w:r>
      <w:r w:rsidRPr="008B61E2">
        <w:rPr>
          <w:sz w:val="20"/>
          <w:szCs w:val="20"/>
        </w:rPr>
        <w:t>serious concern is that a number of residents, including single mothers, have been told</w:t>
      </w:r>
      <w:r w:rsidR="002C4DE3">
        <w:rPr>
          <w:sz w:val="20"/>
          <w:szCs w:val="20"/>
        </w:rPr>
        <w:t xml:space="preserve"> that</w:t>
      </w:r>
      <w:r w:rsidRPr="008B61E2">
        <w:rPr>
          <w:sz w:val="20"/>
          <w:szCs w:val="20"/>
        </w:rPr>
        <w:t xml:space="preserve"> their children may be taken away by welfare authorities </w:t>
      </w:r>
      <w:r w:rsidR="002C4DE3">
        <w:rPr>
          <w:sz w:val="20"/>
          <w:szCs w:val="20"/>
        </w:rPr>
        <w:t>owing</w:t>
      </w:r>
      <w:r w:rsidRPr="008B61E2">
        <w:rPr>
          <w:sz w:val="20"/>
          <w:szCs w:val="20"/>
        </w:rPr>
        <w:t xml:space="preserve"> to their housing conditions, </w:t>
      </w:r>
      <w:r w:rsidR="002C4DE3">
        <w:rPr>
          <w:sz w:val="20"/>
          <w:szCs w:val="20"/>
        </w:rPr>
        <w:t>despite the fact that</w:t>
      </w:r>
      <w:r w:rsidRPr="008B61E2">
        <w:rPr>
          <w:sz w:val="20"/>
          <w:szCs w:val="20"/>
        </w:rPr>
        <w:t xml:space="preserve"> no alternative housing ha</w:t>
      </w:r>
      <w:r w:rsidR="002C4DE3">
        <w:rPr>
          <w:sz w:val="20"/>
          <w:szCs w:val="20"/>
        </w:rPr>
        <w:t>s</w:t>
      </w:r>
      <w:r w:rsidRPr="008B61E2">
        <w:rPr>
          <w:sz w:val="20"/>
          <w:szCs w:val="20"/>
        </w:rPr>
        <w:t xml:space="preserve"> been made available to them. Many tenants have little to no income beyond a small pension or </w:t>
      </w:r>
      <w:r w:rsidR="002C4DE3">
        <w:rPr>
          <w:sz w:val="20"/>
          <w:szCs w:val="20"/>
        </w:rPr>
        <w:t xml:space="preserve">a </w:t>
      </w:r>
      <w:r w:rsidRPr="008B61E2">
        <w:rPr>
          <w:sz w:val="20"/>
          <w:szCs w:val="20"/>
        </w:rPr>
        <w:t>low social integration income (18</w:t>
      </w:r>
      <w:r w:rsidR="002C4DE3">
        <w:rPr>
          <w:sz w:val="20"/>
          <w:szCs w:val="20"/>
        </w:rPr>
        <w:t>1</w:t>
      </w:r>
      <w:r w:rsidRPr="008B61E2">
        <w:rPr>
          <w:sz w:val="20"/>
          <w:szCs w:val="20"/>
        </w:rPr>
        <w:t xml:space="preserve"> euros </w:t>
      </w:r>
      <w:r w:rsidR="002C4DE3" w:rsidRPr="004042AF">
        <w:rPr>
          <w:sz w:val="20"/>
          <w:szCs w:val="20"/>
        </w:rPr>
        <w:t>per month</w:t>
      </w:r>
      <w:r w:rsidRPr="008B61E2">
        <w:rPr>
          <w:sz w:val="20"/>
          <w:szCs w:val="20"/>
        </w:rPr>
        <w:t xml:space="preserve"> in 2016, </w:t>
      </w:r>
      <w:r w:rsidR="002C4DE3">
        <w:rPr>
          <w:sz w:val="20"/>
          <w:szCs w:val="20"/>
        </w:rPr>
        <w:t xml:space="preserve">though </w:t>
      </w:r>
      <w:r w:rsidRPr="008B61E2">
        <w:rPr>
          <w:sz w:val="20"/>
          <w:szCs w:val="20"/>
        </w:rPr>
        <w:t>var</w:t>
      </w:r>
      <w:r w:rsidR="002C4DE3">
        <w:rPr>
          <w:sz w:val="20"/>
          <w:szCs w:val="20"/>
        </w:rPr>
        <w:t xml:space="preserve">ying </w:t>
      </w:r>
      <w:r w:rsidRPr="008B61E2">
        <w:rPr>
          <w:sz w:val="20"/>
          <w:szCs w:val="20"/>
        </w:rPr>
        <w:t xml:space="preserve">according to </w:t>
      </w:r>
      <w:r w:rsidR="002C4DE3">
        <w:rPr>
          <w:sz w:val="20"/>
          <w:szCs w:val="20"/>
        </w:rPr>
        <w:t xml:space="preserve">the </w:t>
      </w:r>
      <w:r w:rsidRPr="008B61E2">
        <w:rPr>
          <w:sz w:val="20"/>
          <w:szCs w:val="20"/>
        </w:rPr>
        <w:t>household composition)</w:t>
      </w:r>
      <w:r w:rsidR="002C4DE3">
        <w:rPr>
          <w:sz w:val="20"/>
          <w:szCs w:val="20"/>
        </w:rPr>
        <w:t>,</w:t>
      </w:r>
      <w:r w:rsidR="00E93F2A">
        <w:rPr>
          <w:sz w:val="20"/>
          <w:szCs w:val="20"/>
        </w:rPr>
        <w:t xml:space="preserve"> </w:t>
      </w:r>
      <w:r w:rsidRPr="008B61E2">
        <w:rPr>
          <w:sz w:val="20"/>
          <w:szCs w:val="20"/>
        </w:rPr>
        <w:t>and most have been on wait</w:t>
      </w:r>
      <w:r w:rsidR="002C4DE3">
        <w:rPr>
          <w:sz w:val="20"/>
          <w:szCs w:val="20"/>
        </w:rPr>
        <w:t>ing</w:t>
      </w:r>
      <w:r w:rsidRPr="008B61E2">
        <w:rPr>
          <w:sz w:val="20"/>
          <w:szCs w:val="20"/>
        </w:rPr>
        <w:t xml:space="preserve"> lists </w:t>
      </w:r>
      <w:r w:rsidR="002C4DE3">
        <w:rPr>
          <w:sz w:val="20"/>
          <w:szCs w:val="20"/>
        </w:rPr>
        <w:t xml:space="preserve">for </w:t>
      </w:r>
      <w:r w:rsidR="002C4DE3" w:rsidRPr="00657DE9">
        <w:rPr>
          <w:sz w:val="20"/>
          <w:szCs w:val="20"/>
        </w:rPr>
        <w:t xml:space="preserve">social housing </w:t>
      </w:r>
      <w:r w:rsidRPr="008B61E2">
        <w:rPr>
          <w:sz w:val="20"/>
          <w:szCs w:val="20"/>
        </w:rPr>
        <w:t>for years.</w:t>
      </w:r>
    </w:p>
    <w:p w:rsidR="00C07932" w:rsidRDefault="0048528F" w:rsidP="008B61E2">
      <w:pPr>
        <w:pStyle w:val="SingleTxtG"/>
      </w:pPr>
      <w:r w:rsidRPr="008B61E2">
        <w:rPr>
          <w:sz w:val="20"/>
          <w:szCs w:val="20"/>
        </w:rPr>
        <w:t>4</w:t>
      </w:r>
      <w:r w:rsidR="00BD491C">
        <w:rPr>
          <w:sz w:val="20"/>
          <w:szCs w:val="20"/>
        </w:rPr>
        <w:t>8</w:t>
      </w:r>
      <w:r w:rsidRPr="008B61E2">
        <w:rPr>
          <w:sz w:val="20"/>
          <w:szCs w:val="20"/>
        </w:rPr>
        <w:t>.</w:t>
      </w:r>
      <w:r w:rsidRPr="008B61E2">
        <w:rPr>
          <w:sz w:val="20"/>
          <w:szCs w:val="20"/>
        </w:rPr>
        <w:tab/>
        <w:t xml:space="preserve">The Special Rapporteur also visited </w:t>
      </w:r>
      <w:r w:rsidRPr="008B61E2">
        <w:rPr>
          <w:i/>
          <w:sz w:val="20"/>
          <w:szCs w:val="20"/>
        </w:rPr>
        <w:t>ilhas</w:t>
      </w:r>
      <w:r w:rsidRPr="008B61E2">
        <w:rPr>
          <w:sz w:val="20"/>
          <w:szCs w:val="20"/>
        </w:rPr>
        <w:t xml:space="preserve"> that are currently being rehabilitated by the Municipality of Porto. While this programme is small</w:t>
      </w:r>
      <w:r w:rsidR="002C4DE3">
        <w:rPr>
          <w:sz w:val="20"/>
          <w:szCs w:val="20"/>
        </w:rPr>
        <w:t xml:space="preserve"> (concerning </w:t>
      </w:r>
      <w:r w:rsidRPr="008B61E2">
        <w:rPr>
          <w:sz w:val="20"/>
          <w:szCs w:val="20"/>
        </w:rPr>
        <w:t xml:space="preserve">just three </w:t>
      </w:r>
      <w:r w:rsidRPr="008B61E2">
        <w:rPr>
          <w:i/>
          <w:sz w:val="20"/>
          <w:szCs w:val="20"/>
        </w:rPr>
        <w:t>ilhas</w:t>
      </w:r>
      <w:r w:rsidR="002C4DE3">
        <w:rPr>
          <w:sz w:val="20"/>
          <w:szCs w:val="20"/>
        </w:rPr>
        <w:t>),</w:t>
      </w:r>
      <w:r w:rsidRPr="008B61E2">
        <w:rPr>
          <w:sz w:val="20"/>
          <w:szCs w:val="20"/>
        </w:rPr>
        <w:t xml:space="preserve"> it is a positive development that</w:t>
      </w:r>
      <w:r w:rsidR="002C4DE3">
        <w:rPr>
          <w:sz w:val="20"/>
          <w:szCs w:val="20"/>
        </w:rPr>
        <w:t>,</w:t>
      </w:r>
      <w:r w:rsidRPr="008B61E2">
        <w:rPr>
          <w:sz w:val="20"/>
          <w:szCs w:val="20"/>
        </w:rPr>
        <w:t xml:space="preserve"> if properly financed</w:t>
      </w:r>
      <w:r w:rsidR="002C4DE3">
        <w:rPr>
          <w:sz w:val="20"/>
          <w:szCs w:val="20"/>
        </w:rPr>
        <w:t>,</w:t>
      </w:r>
      <w:r w:rsidRPr="008B61E2">
        <w:rPr>
          <w:sz w:val="20"/>
          <w:szCs w:val="20"/>
        </w:rPr>
        <w:t xml:space="preserve"> could be a solution for many more residents.</w:t>
      </w:r>
      <w:r w:rsidR="00182D5E" w:rsidRPr="00182D5E">
        <w:t xml:space="preserve"> </w:t>
      </w:r>
    </w:p>
    <w:p w:rsidR="00C07932" w:rsidRPr="008B61E2" w:rsidRDefault="00560F00" w:rsidP="008B61E2">
      <w:pPr>
        <w:pStyle w:val="H23G"/>
        <w:spacing w:line="240" w:lineRule="atLeast"/>
        <w:rPr>
          <w:sz w:val="20"/>
          <w:szCs w:val="20"/>
        </w:rPr>
      </w:pPr>
      <w:bookmarkStart w:id="21" w:name="_Toc473100931"/>
      <w:bookmarkStart w:id="22" w:name="_Toc473119163"/>
      <w:r w:rsidRPr="008B61E2">
        <w:rPr>
          <w:sz w:val="20"/>
          <w:szCs w:val="20"/>
        </w:rPr>
        <w:tab/>
        <w:t>3.</w:t>
      </w:r>
      <w:r w:rsidRPr="008B61E2">
        <w:rPr>
          <w:sz w:val="20"/>
          <w:szCs w:val="20"/>
        </w:rPr>
        <w:tab/>
      </w:r>
      <w:r w:rsidR="00182D5E" w:rsidRPr="008B61E2">
        <w:rPr>
          <w:sz w:val="20"/>
          <w:szCs w:val="20"/>
        </w:rPr>
        <w:t>Homelessness</w:t>
      </w:r>
      <w:bookmarkEnd w:id="21"/>
      <w:bookmarkEnd w:id="22"/>
    </w:p>
    <w:p w:rsidR="00C07932" w:rsidRPr="008B61E2" w:rsidRDefault="0048528F" w:rsidP="008B61E2">
      <w:pPr>
        <w:pStyle w:val="SingleTxtG"/>
        <w:rPr>
          <w:sz w:val="20"/>
          <w:szCs w:val="20"/>
        </w:rPr>
      </w:pPr>
      <w:r w:rsidRPr="008B61E2">
        <w:rPr>
          <w:sz w:val="20"/>
          <w:szCs w:val="20"/>
        </w:rPr>
        <w:t>4</w:t>
      </w:r>
      <w:r w:rsidR="00BD491C">
        <w:rPr>
          <w:sz w:val="20"/>
          <w:szCs w:val="20"/>
        </w:rPr>
        <w:t>9</w:t>
      </w:r>
      <w:r w:rsidRPr="008B61E2">
        <w:rPr>
          <w:sz w:val="20"/>
          <w:szCs w:val="20"/>
        </w:rPr>
        <w:t>.</w:t>
      </w:r>
      <w:r w:rsidRPr="008B61E2">
        <w:rPr>
          <w:sz w:val="20"/>
          <w:szCs w:val="20"/>
        </w:rPr>
        <w:tab/>
        <w:t>Homelessness is a gross violation of the right to adequate housing under international human rights law and</w:t>
      </w:r>
      <w:r w:rsidR="00DE1196">
        <w:rPr>
          <w:sz w:val="20"/>
          <w:szCs w:val="20"/>
        </w:rPr>
        <w:t>,</w:t>
      </w:r>
      <w:r w:rsidRPr="008B61E2">
        <w:rPr>
          <w:sz w:val="20"/>
          <w:szCs w:val="20"/>
        </w:rPr>
        <w:t xml:space="preserve"> as such</w:t>
      </w:r>
      <w:r w:rsidR="00DE1196">
        <w:rPr>
          <w:sz w:val="20"/>
          <w:szCs w:val="20"/>
        </w:rPr>
        <w:t>,</w:t>
      </w:r>
      <w:r w:rsidRPr="008B61E2">
        <w:rPr>
          <w:sz w:val="20"/>
          <w:szCs w:val="20"/>
        </w:rPr>
        <w:t xml:space="preserve"> must be addressed as an immediate priority</w:t>
      </w:r>
      <w:r w:rsidR="00DE1196">
        <w:rPr>
          <w:sz w:val="20"/>
          <w:szCs w:val="20"/>
        </w:rPr>
        <w:t xml:space="preserve"> (see</w:t>
      </w:r>
      <w:r w:rsidR="00DE1196" w:rsidRPr="00DE1196">
        <w:rPr>
          <w:szCs w:val="18"/>
          <w:lang w:val="pt-BR"/>
        </w:rPr>
        <w:t xml:space="preserve"> </w:t>
      </w:r>
      <w:r w:rsidRPr="008B61E2">
        <w:rPr>
          <w:sz w:val="20"/>
          <w:szCs w:val="20"/>
          <w:lang w:val="pt-BR"/>
        </w:rPr>
        <w:t>A/HRC/31/54)</w:t>
      </w:r>
      <w:r w:rsidRPr="008B61E2">
        <w:rPr>
          <w:sz w:val="20"/>
          <w:szCs w:val="20"/>
        </w:rPr>
        <w:t xml:space="preserve">. All stakeholders, including the Government, agree that the overall number of homeless individuals is unknown. Estimates vary widely from 4,000 to 50,000, </w:t>
      </w:r>
      <w:r w:rsidRPr="008B61E2">
        <w:rPr>
          <w:sz w:val="20"/>
          <w:szCs w:val="20"/>
        </w:rPr>
        <w:lastRenderedPageBreak/>
        <w:t>suggesting there is no firm grasp o</w:t>
      </w:r>
      <w:r w:rsidR="00DE1196">
        <w:rPr>
          <w:sz w:val="20"/>
          <w:szCs w:val="20"/>
        </w:rPr>
        <w:t>f</w:t>
      </w:r>
      <w:r w:rsidRPr="008B61E2">
        <w:rPr>
          <w:sz w:val="20"/>
          <w:szCs w:val="20"/>
        </w:rPr>
        <w:t xml:space="preserve"> the extent of the problem </w:t>
      </w:r>
      <w:r w:rsidR="00DE1196">
        <w:rPr>
          <w:sz w:val="20"/>
          <w:szCs w:val="20"/>
        </w:rPr>
        <w:t>and</w:t>
      </w:r>
      <w:r w:rsidRPr="008B61E2">
        <w:rPr>
          <w:sz w:val="20"/>
          <w:szCs w:val="20"/>
        </w:rPr>
        <w:t xml:space="preserve"> no consistent methodology to count homeless pe</w:t>
      </w:r>
      <w:r w:rsidR="00DE1196">
        <w:rPr>
          <w:sz w:val="20"/>
          <w:szCs w:val="20"/>
        </w:rPr>
        <w:t>rsons</w:t>
      </w:r>
      <w:r w:rsidRPr="008B61E2">
        <w:rPr>
          <w:sz w:val="20"/>
          <w:szCs w:val="20"/>
        </w:rPr>
        <w:t xml:space="preserve">. Without a more accurate picture of the population of </w:t>
      </w:r>
      <w:r w:rsidR="00DE1196">
        <w:rPr>
          <w:sz w:val="20"/>
          <w:szCs w:val="20"/>
        </w:rPr>
        <w:t xml:space="preserve">the </w:t>
      </w:r>
      <w:r w:rsidRPr="008B61E2">
        <w:rPr>
          <w:sz w:val="20"/>
          <w:szCs w:val="20"/>
        </w:rPr>
        <w:t xml:space="preserve">homeless </w:t>
      </w:r>
      <w:r w:rsidR="00DE1196">
        <w:rPr>
          <w:sz w:val="20"/>
          <w:szCs w:val="20"/>
        </w:rPr>
        <w:t>–</w:t>
      </w:r>
      <w:r w:rsidRPr="008B61E2">
        <w:rPr>
          <w:sz w:val="20"/>
          <w:szCs w:val="20"/>
        </w:rPr>
        <w:t xml:space="preserve"> not just numbers but their needs</w:t>
      </w:r>
      <w:r w:rsidR="00DE1196">
        <w:rPr>
          <w:sz w:val="20"/>
          <w:szCs w:val="20"/>
        </w:rPr>
        <w:t xml:space="preserve"> –</w:t>
      </w:r>
      <w:r w:rsidRPr="008B61E2">
        <w:rPr>
          <w:sz w:val="20"/>
          <w:szCs w:val="20"/>
        </w:rPr>
        <w:t xml:space="preserve"> it will be difficult to address their situation</w:t>
      </w:r>
      <w:r w:rsidR="00DE1196" w:rsidRPr="00DE1196">
        <w:rPr>
          <w:sz w:val="20"/>
          <w:szCs w:val="20"/>
        </w:rPr>
        <w:t xml:space="preserve"> </w:t>
      </w:r>
      <w:r w:rsidR="00DE1196" w:rsidRPr="004527BB">
        <w:rPr>
          <w:sz w:val="20"/>
          <w:szCs w:val="20"/>
        </w:rPr>
        <w:t>effectively</w:t>
      </w:r>
      <w:r w:rsidRPr="008B61E2">
        <w:rPr>
          <w:sz w:val="20"/>
          <w:szCs w:val="20"/>
        </w:rPr>
        <w:t>. The composition of the current homeless population seems to have changed as a result of the financial crisis, with more young adults facing homelessness tha</w:t>
      </w:r>
      <w:r w:rsidR="00DE1196">
        <w:rPr>
          <w:sz w:val="20"/>
          <w:szCs w:val="20"/>
        </w:rPr>
        <w:t>n</w:t>
      </w:r>
      <w:r w:rsidRPr="008B61E2">
        <w:rPr>
          <w:sz w:val="20"/>
          <w:szCs w:val="20"/>
        </w:rPr>
        <w:t xml:space="preserve"> in past decades, </w:t>
      </w:r>
      <w:r w:rsidR="00DE1196">
        <w:rPr>
          <w:sz w:val="20"/>
          <w:szCs w:val="20"/>
        </w:rPr>
        <w:t>owing</w:t>
      </w:r>
      <w:r w:rsidRPr="008B61E2">
        <w:rPr>
          <w:sz w:val="20"/>
          <w:szCs w:val="20"/>
        </w:rPr>
        <w:t xml:space="preserve"> to </w:t>
      </w:r>
      <w:r w:rsidR="00DE1196">
        <w:rPr>
          <w:sz w:val="20"/>
          <w:szCs w:val="20"/>
        </w:rPr>
        <w:t xml:space="preserve">the </w:t>
      </w:r>
      <w:r w:rsidRPr="008B61E2">
        <w:rPr>
          <w:sz w:val="20"/>
          <w:szCs w:val="20"/>
        </w:rPr>
        <w:t xml:space="preserve">high </w:t>
      </w:r>
      <w:r w:rsidR="00DE1196" w:rsidRPr="00A971D0">
        <w:rPr>
          <w:sz w:val="20"/>
          <w:szCs w:val="20"/>
        </w:rPr>
        <w:t xml:space="preserve">rates </w:t>
      </w:r>
      <w:r w:rsidR="00DE1196">
        <w:rPr>
          <w:sz w:val="20"/>
          <w:szCs w:val="20"/>
        </w:rPr>
        <w:t xml:space="preserve">of </w:t>
      </w:r>
      <w:r w:rsidRPr="008B61E2">
        <w:rPr>
          <w:sz w:val="20"/>
          <w:szCs w:val="20"/>
        </w:rPr>
        <w:t xml:space="preserve">unemployment and </w:t>
      </w:r>
      <w:r w:rsidR="00DE1196">
        <w:rPr>
          <w:sz w:val="20"/>
          <w:szCs w:val="20"/>
        </w:rPr>
        <w:t xml:space="preserve">the </w:t>
      </w:r>
      <w:r w:rsidRPr="008B61E2">
        <w:rPr>
          <w:sz w:val="20"/>
          <w:szCs w:val="20"/>
        </w:rPr>
        <w:t xml:space="preserve">lack of affordable </w:t>
      </w:r>
      <w:r w:rsidR="00DE1196">
        <w:rPr>
          <w:sz w:val="20"/>
          <w:szCs w:val="20"/>
        </w:rPr>
        <w:t>housing</w:t>
      </w:r>
      <w:r w:rsidRPr="008B61E2">
        <w:rPr>
          <w:sz w:val="20"/>
          <w:szCs w:val="20"/>
        </w:rPr>
        <w:t xml:space="preserve">. </w:t>
      </w:r>
      <w:r w:rsidR="00DE1196">
        <w:rPr>
          <w:sz w:val="20"/>
          <w:szCs w:val="20"/>
        </w:rPr>
        <w:t xml:space="preserve">Some </w:t>
      </w:r>
      <w:r w:rsidRPr="008B61E2">
        <w:rPr>
          <w:sz w:val="20"/>
          <w:szCs w:val="20"/>
        </w:rPr>
        <w:t xml:space="preserve">regional variations </w:t>
      </w:r>
      <w:r w:rsidR="00DE1196">
        <w:rPr>
          <w:sz w:val="20"/>
          <w:szCs w:val="20"/>
        </w:rPr>
        <w:t xml:space="preserve">are known; </w:t>
      </w:r>
      <w:r w:rsidRPr="008B61E2">
        <w:rPr>
          <w:sz w:val="20"/>
          <w:szCs w:val="20"/>
        </w:rPr>
        <w:t>Porto</w:t>
      </w:r>
      <w:r w:rsidR="00DE1196">
        <w:rPr>
          <w:sz w:val="20"/>
          <w:szCs w:val="20"/>
        </w:rPr>
        <w:t>, for example, has</w:t>
      </w:r>
      <w:r w:rsidRPr="008B61E2">
        <w:rPr>
          <w:sz w:val="20"/>
          <w:szCs w:val="20"/>
        </w:rPr>
        <w:t xml:space="preserve"> a larger per capita </w:t>
      </w:r>
      <w:r w:rsidR="00DE1196">
        <w:rPr>
          <w:sz w:val="20"/>
          <w:szCs w:val="20"/>
        </w:rPr>
        <w:t>rate</w:t>
      </w:r>
      <w:r w:rsidRPr="008B61E2">
        <w:rPr>
          <w:sz w:val="20"/>
          <w:szCs w:val="20"/>
        </w:rPr>
        <w:t xml:space="preserve"> of homeless pe</w:t>
      </w:r>
      <w:r w:rsidR="00DE1196">
        <w:rPr>
          <w:sz w:val="20"/>
          <w:szCs w:val="20"/>
        </w:rPr>
        <w:t>rsons</w:t>
      </w:r>
      <w:r w:rsidRPr="008B61E2">
        <w:rPr>
          <w:sz w:val="20"/>
          <w:szCs w:val="20"/>
        </w:rPr>
        <w:t xml:space="preserve"> than Lisbon.</w:t>
      </w:r>
    </w:p>
    <w:p w:rsidR="00C07932" w:rsidRPr="008B61E2" w:rsidRDefault="00BD491C" w:rsidP="008B61E2">
      <w:pPr>
        <w:pStyle w:val="SingleTxtG"/>
        <w:rPr>
          <w:sz w:val="20"/>
          <w:szCs w:val="20"/>
        </w:rPr>
      </w:pPr>
      <w:r>
        <w:rPr>
          <w:sz w:val="20"/>
          <w:szCs w:val="20"/>
        </w:rPr>
        <w:t>50</w:t>
      </w:r>
      <w:r w:rsidR="0048528F" w:rsidRPr="008B61E2">
        <w:rPr>
          <w:sz w:val="20"/>
          <w:szCs w:val="20"/>
        </w:rPr>
        <w:t>.</w:t>
      </w:r>
      <w:r w:rsidR="0048528F" w:rsidRPr="008B61E2">
        <w:rPr>
          <w:sz w:val="20"/>
          <w:szCs w:val="20"/>
        </w:rPr>
        <w:tab/>
        <w:t xml:space="preserve">The </w:t>
      </w:r>
      <w:r w:rsidR="00DE1196">
        <w:rPr>
          <w:sz w:val="20"/>
          <w:szCs w:val="20"/>
        </w:rPr>
        <w:t>f</w:t>
      </w:r>
      <w:r w:rsidR="0048528F" w:rsidRPr="008B61E2">
        <w:rPr>
          <w:sz w:val="20"/>
          <w:szCs w:val="20"/>
        </w:rPr>
        <w:t>irst National Strategy for the Integration of Homeless Pe</w:t>
      </w:r>
      <w:r w:rsidR="00DE1196">
        <w:rPr>
          <w:sz w:val="20"/>
          <w:szCs w:val="20"/>
        </w:rPr>
        <w:t>rsons (</w:t>
      </w:r>
      <w:r w:rsidR="0048528F" w:rsidRPr="008B61E2">
        <w:rPr>
          <w:sz w:val="20"/>
          <w:szCs w:val="20"/>
          <w:lang w:val="pt-BR"/>
        </w:rPr>
        <w:t>Estratégia Nacional para a Integração de Pessoas Sem-abrigo)</w:t>
      </w:r>
      <w:r w:rsidR="0048528F">
        <w:rPr>
          <w:sz w:val="20"/>
          <w:szCs w:val="20"/>
          <w:vertAlign w:val="superscript"/>
        </w:rPr>
        <w:t xml:space="preserve"> </w:t>
      </w:r>
      <w:r w:rsidR="00DE1196">
        <w:rPr>
          <w:sz w:val="20"/>
          <w:szCs w:val="20"/>
        </w:rPr>
        <w:t xml:space="preserve">for the period </w:t>
      </w:r>
      <w:r w:rsidR="0048528F" w:rsidRPr="008B61E2">
        <w:rPr>
          <w:sz w:val="20"/>
          <w:szCs w:val="20"/>
        </w:rPr>
        <w:t xml:space="preserve">2009-2015 has been </w:t>
      </w:r>
      <w:r w:rsidR="00DE1196">
        <w:rPr>
          <w:sz w:val="20"/>
          <w:szCs w:val="20"/>
        </w:rPr>
        <w:t>praised</w:t>
      </w:r>
      <w:r w:rsidR="0048528F" w:rsidRPr="008B61E2">
        <w:rPr>
          <w:sz w:val="20"/>
          <w:szCs w:val="20"/>
        </w:rPr>
        <w:t xml:space="preserve"> as a strategy based </w:t>
      </w:r>
      <w:r w:rsidR="00DE1196">
        <w:rPr>
          <w:sz w:val="20"/>
          <w:szCs w:val="20"/>
        </w:rPr>
        <w:t>o</w:t>
      </w:r>
      <w:r w:rsidR="0048528F" w:rsidRPr="008B61E2">
        <w:rPr>
          <w:sz w:val="20"/>
          <w:szCs w:val="20"/>
        </w:rPr>
        <w:t xml:space="preserve">n the right to housing, with the explicit aim of addressing social exclusion. </w:t>
      </w:r>
      <w:r w:rsidR="00C07932">
        <w:rPr>
          <w:sz w:val="20"/>
          <w:szCs w:val="20"/>
        </w:rPr>
        <w:t>The</w:t>
      </w:r>
      <w:r w:rsidR="0048528F" w:rsidRPr="008B61E2">
        <w:rPr>
          <w:sz w:val="20"/>
          <w:szCs w:val="20"/>
        </w:rPr>
        <w:t xml:space="preserve"> goals </w:t>
      </w:r>
      <w:r w:rsidR="00C07932">
        <w:rPr>
          <w:sz w:val="20"/>
          <w:szCs w:val="20"/>
        </w:rPr>
        <w:t xml:space="preserve">of the strategy are based on </w:t>
      </w:r>
      <w:r w:rsidR="0048528F" w:rsidRPr="008B61E2">
        <w:rPr>
          <w:sz w:val="20"/>
          <w:szCs w:val="20"/>
        </w:rPr>
        <w:t>two axes: (</w:t>
      </w:r>
      <w:r w:rsidR="00C07932">
        <w:rPr>
          <w:sz w:val="20"/>
          <w:szCs w:val="20"/>
        </w:rPr>
        <w:t>a</w:t>
      </w:r>
      <w:r w:rsidR="0048528F" w:rsidRPr="008B61E2">
        <w:rPr>
          <w:sz w:val="20"/>
          <w:szCs w:val="20"/>
        </w:rPr>
        <w:t>) information</w:t>
      </w:r>
      <w:r w:rsidR="006540C5">
        <w:rPr>
          <w:sz w:val="20"/>
          <w:szCs w:val="20"/>
        </w:rPr>
        <w:t>, fighting</w:t>
      </w:r>
      <w:r w:rsidR="0048528F" w:rsidRPr="008B61E2">
        <w:rPr>
          <w:sz w:val="20"/>
          <w:szCs w:val="20"/>
        </w:rPr>
        <w:t xml:space="preserve"> against discrimination</w:t>
      </w:r>
      <w:r w:rsidR="006540C5">
        <w:rPr>
          <w:sz w:val="20"/>
          <w:szCs w:val="20"/>
        </w:rPr>
        <w:t>, and</w:t>
      </w:r>
      <w:r w:rsidR="0048528F" w:rsidRPr="008B61E2">
        <w:rPr>
          <w:sz w:val="20"/>
          <w:szCs w:val="20"/>
        </w:rPr>
        <w:t xml:space="preserve"> education; and (</w:t>
      </w:r>
      <w:r w:rsidR="006540C5">
        <w:rPr>
          <w:sz w:val="20"/>
          <w:szCs w:val="20"/>
        </w:rPr>
        <w:t>b</w:t>
      </w:r>
      <w:r w:rsidR="0048528F" w:rsidRPr="008B61E2">
        <w:rPr>
          <w:sz w:val="20"/>
          <w:szCs w:val="20"/>
        </w:rPr>
        <w:t xml:space="preserve">) </w:t>
      </w:r>
      <w:r w:rsidR="008C6106">
        <w:rPr>
          <w:sz w:val="20"/>
          <w:szCs w:val="20"/>
        </w:rPr>
        <w:t xml:space="preserve">decision-making with regard to </w:t>
      </w:r>
      <w:r w:rsidR="0048528F" w:rsidRPr="008B61E2">
        <w:rPr>
          <w:sz w:val="20"/>
          <w:szCs w:val="20"/>
        </w:rPr>
        <w:t>intervention</w:t>
      </w:r>
      <w:r w:rsidR="008C6106">
        <w:rPr>
          <w:sz w:val="20"/>
          <w:szCs w:val="20"/>
        </w:rPr>
        <w:t>s</w:t>
      </w:r>
      <w:r w:rsidR="00C07932">
        <w:rPr>
          <w:sz w:val="20"/>
          <w:szCs w:val="20"/>
        </w:rPr>
        <w:t xml:space="preserve"> (see</w:t>
      </w:r>
      <w:r w:rsidR="00C07932" w:rsidRPr="00C07932">
        <w:rPr>
          <w:szCs w:val="18"/>
          <w:lang w:val="pt-BR"/>
        </w:rPr>
        <w:t xml:space="preserve"> </w:t>
      </w:r>
      <w:r w:rsidR="00C07932" w:rsidRPr="008B61E2">
        <w:rPr>
          <w:sz w:val="20"/>
          <w:szCs w:val="18"/>
          <w:lang w:val="pt-BR"/>
        </w:rPr>
        <w:t>HRI/CORE/PRT/2014)</w:t>
      </w:r>
      <w:r w:rsidR="0048528F" w:rsidRPr="008B61E2">
        <w:rPr>
          <w:sz w:val="20"/>
          <w:szCs w:val="20"/>
        </w:rPr>
        <w:t>. Co</w:t>
      </w:r>
      <w:r w:rsidR="006540C5">
        <w:rPr>
          <w:sz w:val="20"/>
          <w:szCs w:val="20"/>
        </w:rPr>
        <w:t xml:space="preserve">ming from </w:t>
      </w:r>
      <w:r w:rsidR="0048528F" w:rsidRPr="008B61E2">
        <w:rPr>
          <w:sz w:val="20"/>
          <w:szCs w:val="20"/>
        </w:rPr>
        <w:t xml:space="preserve">a country </w:t>
      </w:r>
      <w:r w:rsidR="006540C5">
        <w:rPr>
          <w:sz w:val="20"/>
          <w:szCs w:val="20"/>
        </w:rPr>
        <w:t>that in recent decades has had to come to terms with</w:t>
      </w:r>
      <w:r w:rsidR="0048528F" w:rsidRPr="008B61E2">
        <w:rPr>
          <w:sz w:val="20"/>
          <w:szCs w:val="20"/>
        </w:rPr>
        <w:t xml:space="preserve"> a number of </w:t>
      </w:r>
      <w:r w:rsidR="006540C5">
        <w:rPr>
          <w:sz w:val="20"/>
          <w:szCs w:val="20"/>
        </w:rPr>
        <w:t xml:space="preserve">important </w:t>
      </w:r>
      <w:r w:rsidR="0048528F" w:rsidRPr="008B61E2">
        <w:rPr>
          <w:sz w:val="20"/>
          <w:szCs w:val="20"/>
        </w:rPr>
        <w:t xml:space="preserve">social and economic transformations, without a robust </w:t>
      </w:r>
      <w:r w:rsidR="006540C5">
        <w:rPr>
          <w:sz w:val="20"/>
          <w:szCs w:val="20"/>
        </w:rPr>
        <w:t>or</w:t>
      </w:r>
      <w:r w:rsidR="006540C5" w:rsidRPr="008B61E2">
        <w:rPr>
          <w:sz w:val="20"/>
          <w:szCs w:val="20"/>
        </w:rPr>
        <w:t xml:space="preserve"> </w:t>
      </w:r>
      <w:r w:rsidR="0048528F" w:rsidRPr="008B61E2">
        <w:rPr>
          <w:sz w:val="20"/>
          <w:szCs w:val="20"/>
        </w:rPr>
        <w:t xml:space="preserve">long-established welfare system, it is exceptional to </w:t>
      </w:r>
      <w:r w:rsidR="006540C5">
        <w:rPr>
          <w:sz w:val="20"/>
          <w:szCs w:val="20"/>
        </w:rPr>
        <w:t>witness</w:t>
      </w:r>
      <w:r w:rsidR="006540C5" w:rsidRPr="008B61E2">
        <w:rPr>
          <w:sz w:val="20"/>
          <w:szCs w:val="20"/>
        </w:rPr>
        <w:t xml:space="preserve"> </w:t>
      </w:r>
      <w:r w:rsidR="0048528F" w:rsidRPr="008B61E2">
        <w:rPr>
          <w:sz w:val="20"/>
          <w:szCs w:val="20"/>
        </w:rPr>
        <w:t>a strategy that view</w:t>
      </w:r>
      <w:r w:rsidR="00C41F95">
        <w:rPr>
          <w:sz w:val="20"/>
          <w:szCs w:val="20"/>
        </w:rPr>
        <w:t>s</w:t>
      </w:r>
      <w:r w:rsidR="0048528F" w:rsidRPr="008B61E2">
        <w:rPr>
          <w:sz w:val="20"/>
          <w:szCs w:val="20"/>
        </w:rPr>
        <w:t xml:space="preserve"> homelessness as “a consequence of a wide range of individual, organisation and structural hindrances, rather than simply a housing or a social problem.”</w:t>
      </w:r>
      <w:r w:rsidR="0048528F" w:rsidRPr="008B61E2">
        <w:rPr>
          <w:sz w:val="20"/>
          <w:szCs w:val="20"/>
          <w:vertAlign w:val="superscript"/>
        </w:rPr>
        <w:footnoteReference w:id="21"/>
      </w:r>
    </w:p>
    <w:p w:rsidR="00C07932" w:rsidRPr="008B61E2" w:rsidRDefault="0048528F" w:rsidP="008B61E2">
      <w:pPr>
        <w:pStyle w:val="SingleTxtG"/>
        <w:rPr>
          <w:sz w:val="20"/>
          <w:szCs w:val="20"/>
        </w:rPr>
      </w:pPr>
      <w:r w:rsidRPr="008B61E2">
        <w:rPr>
          <w:sz w:val="20"/>
          <w:szCs w:val="20"/>
        </w:rPr>
        <w:t>5</w:t>
      </w:r>
      <w:r w:rsidR="00BD491C">
        <w:rPr>
          <w:sz w:val="20"/>
          <w:szCs w:val="20"/>
        </w:rPr>
        <w:t>1</w:t>
      </w:r>
      <w:r w:rsidRPr="008B61E2">
        <w:rPr>
          <w:sz w:val="20"/>
          <w:szCs w:val="20"/>
        </w:rPr>
        <w:t>.</w:t>
      </w:r>
      <w:r w:rsidRPr="008B61E2">
        <w:rPr>
          <w:sz w:val="20"/>
          <w:szCs w:val="20"/>
        </w:rPr>
        <w:tab/>
        <w:t xml:space="preserve">The process that led to the development of </w:t>
      </w:r>
      <w:r w:rsidR="00C41F95">
        <w:rPr>
          <w:sz w:val="20"/>
          <w:szCs w:val="20"/>
        </w:rPr>
        <w:t>the above-mentioned</w:t>
      </w:r>
      <w:r w:rsidR="00C41F95" w:rsidRPr="008B61E2">
        <w:rPr>
          <w:sz w:val="20"/>
          <w:szCs w:val="20"/>
        </w:rPr>
        <w:t xml:space="preserve"> </w:t>
      </w:r>
      <w:r w:rsidRPr="008B61E2">
        <w:rPr>
          <w:sz w:val="20"/>
          <w:szCs w:val="20"/>
        </w:rPr>
        <w:t xml:space="preserve">strategy is considered highly effective and participatory, ensuring opportunities for </w:t>
      </w:r>
      <w:r w:rsidR="00C41F95">
        <w:rPr>
          <w:sz w:val="20"/>
          <w:szCs w:val="20"/>
        </w:rPr>
        <w:t xml:space="preserve">the </w:t>
      </w:r>
      <w:r w:rsidRPr="008B61E2">
        <w:rPr>
          <w:sz w:val="20"/>
          <w:szCs w:val="20"/>
        </w:rPr>
        <w:t>engagement of a wide-range of local organi</w:t>
      </w:r>
      <w:r w:rsidR="00C41F95">
        <w:rPr>
          <w:sz w:val="20"/>
          <w:szCs w:val="20"/>
        </w:rPr>
        <w:t>z</w:t>
      </w:r>
      <w:r w:rsidRPr="008B61E2">
        <w:rPr>
          <w:sz w:val="20"/>
          <w:szCs w:val="20"/>
        </w:rPr>
        <w:t xml:space="preserve">ations and authorities to raise views through, for example, a comprehensive questionnaire. </w:t>
      </w:r>
      <w:r w:rsidR="00C41F95">
        <w:rPr>
          <w:sz w:val="20"/>
          <w:szCs w:val="20"/>
        </w:rPr>
        <w:t>More than</w:t>
      </w:r>
      <w:r w:rsidR="00C41F95" w:rsidRPr="008B61E2">
        <w:rPr>
          <w:sz w:val="20"/>
          <w:szCs w:val="20"/>
        </w:rPr>
        <w:t xml:space="preserve"> </w:t>
      </w:r>
      <w:r w:rsidRPr="008B61E2">
        <w:rPr>
          <w:sz w:val="20"/>
          <w:szCs w:val="20"/>
        </w:rPr>
        <w:t xml:space="preserve">2,100 homeless people were interviewed and their views considered. As a result, it was possible to develop a nuanced view of the situation, understanding that homelessness is not just </w:t>
      </w:r>
      <w:r w:rsidR="00C41F95">
        <w:rPr>
          <w:sz w:val="20"/>
          <w:szCs w:val="20"/>
        </w:rPr>
        <w:t>“</w:t>
      </w:r>
      <w:r w:rsidRPr="008B61E2">
        <w:rPr>
          <w:sz w:val="20"/>
          <w:szCs w:val="20"/>
        </w:rPr>
        <w:t>rough sleeping</w:t>
      </w:r>
      <w:r w:rsidR="00C41F95">
        <w:rPr>
          <w:sz w:val="20"/>
          <w:szCs w:val="20"/>
        </w:rPr>
        <w:t>”</w:t>
      </w:r>
      <w:r w:rsidRPr="008B61E2">
        <w:rPr>
          <w:sz w:val="20"/>
          <w:szCs w:val="20"/>
        </w:rPr>
        <w:t>, but also comprises living in unconventional settings</w:t>
      </w:r>
      <w:r w:rsidR="00C41F95">
        <w:rPr>
          <w:sz w:val="20"/>
          <w:szCs w:val="20"/>
        </w:rPr>
        <w:t>,</w:t>
      </w:r>
      <w:r w:rsidRPr="008B61E2">
        <w:rPr>
          <w:sz w:val="20"/>
          <w:szCs w:val="20"/>
        </w:rPr>
        <w:t xml:space="preserve"> such as cars and abandoned buildings, situations of emergency accommodation, and temporary accommodation in pensions or rented rooms. Priority cities for intervention were Braga, Porto, Aveiro, Coimbra, Lisbon, Setubal and Faro.</w:t>
      </w:r>
      <w:r w:rsidRPr="009A7B45">
        <w:rPr>
          <w:sz w:val="18"/>
          <w:szCs w:val="20"/>
          <w:vertAlign w:val="superscript"/>
        </w:rPr>
        <w:footnoteReference w:id="22"/>
      </w:r>
      <w:r w:rsidRPr="009A7B45">
        <w:rPr>
          <w:sz w:val="18"/>
          <w:szCs w:val="20"/>
          <w:vertAlign w:val="superscript"/>
        </w:rPr>
        <w:t xml:space="preserve"> </w:t>
      </w:r>
      <w:r w:rsidRPr="008B61E2">
        <w:rPr>
          <w:sz w:val="20"/>
          <w:szCs w:val="20"/>
        </w:rPr>
        <w:t xml:space="preserve">The strategy helped </w:t>
      </w:r>
      <w:r w:rsidR="009A7B45">
        <w:rPr>
          <w:sz w:val="20"/>
          <w:szCs w:val="20"/>
        </w:rPr>
        <w:t xml:space="preserve">in the </w:t>
      </w:r>
      <w:r w:rsidRPr="008B61E2">
        <w:rPr>
          <w:sz w:val="20"/>
          <w:szCs w:val="20"/>
        </w:rPr>
        <w:t>develop</w:t>
      </w:r>
      <w:r w:rsidR="009A7B45">
        <w:rPr>
          <w:sz w:val="20"/>
          <w:szCs w:val="20"/>
        </w:rPr>
        <w:t>ment of</w:t>
      </w:r>
      <w:r w:rsidRPr="008B61E2">
        <w:rPr>
          <w:sz w:val="20"/>
          <w:szCs w:val="20"/>
        </w:rPr>
        <w:t xml:space="preserve"> a common definition of homelessness, and promoted better coordination among services.</w:t>
      </w:r>
    </w:p>
    <w:p w:rsidR="00C07932" w:rsidRPr="008B61E2" w:rsidRDefault="0048528F" w:rsidP="008B61E2">
      <w:pPr>
        <w:pStyle w:val="SingleTxtG"/>
        <w:rPr>
          <w:sz w:val="20"/>
          <w:szCs w:val="20"/>
        </w:rPr>
      </w:pPr>
      <w:r w:rsidRPr="008B61E2">
        <w:rPr>
          <w:sz w:val="20"/>
          <w:szCs w:val="20"/>
        </w:rPr>
        <w:t>5</w:t>
      </w:r>
      <w:r w:rsidR="00BD491C">
        <w:rPr>
          <w:sz w:val="20"/>
          <w:szCs w:val="20"/>
        </w:rPr>
        <w:t>2</w:t>
      </w:r>
      <w:r w:rsidRPr="008B61E2">
        <w:rPr>
          <w:sz w:val="20"/>
          <w:szCs w:val="20"/>
        </w:rPr>
        <w:t>.</w:t>
      </w:r>
      <w:r w:rsidRPr="008B61E2">
        <w:rPr>
          <w:sz w:val="20"/>
          <w:szCs w:val="20"/>
        </w:rPr>
        <w:tab/>
        <w:t>Several stakeholders recognize that the development and adoption of the strategy</w:t>
      </w:r>
      <w:r w:rsidR="00226A70">
        <w:rPr>
          <w:sz w:val="20"/>
          <w:szCs w:val="20"/>
        </w:rPr>
        <w:t>, the</w:t>
      </w:r>
      <w:r w:rsidRPr="008B61E2">
        <w:rPr>
          <w:sz w:val="20"/>
          <w:szCs w:val="20"/>
        </w:rPr>
        <w:t xml:space="preserve"> </w:t>
      </w:r>
      <w:r w:rsidR="00226A70" w:rsidRPr="0048528F">
        <w:rPr>
          <w:sz w:val="20"/>
          <w:szCs w:val="20"/>
        </w:rPr>
        <w:t>first of its kind in southern Europe</w:t>
      </w:r>
      <w:r w:rsidR="00226A70">
        <w:rPr>
          <w:sz w:val="20"/>
          <w:szCs w:val="20"/>
        </w:rPr>
        <w:t xml:space="preserve">, </w:t>
      </w:r>
      <w:r w:rsidR="009A7B45">
        <w:rPr>
          <w:sz w:val="20"/>
          <w:szCs w:val="20"/>
        </w:rPr>
        <w:t xml:space="preserve">has </w:t>
      </w:r>
      <w:r w:rsidRPr="008B61E2">
        <w:rPr>
          <w:sz w:val="20"/>
          <w:szCs w:val="20"/>
        </w:rPr>
        <w:t xml:space="preserve">led to positive change in encouraging local responses to homelessness. The Special Rapporteur was encouraged to learn that some municipalities, such as </w:t>
      </w:r>
      <w:r w:rsidR="00226A70">
        <w:rPr>
          <w:sz w:val="20"/>
          <w:szCs w:val="20"/>
        </w:rPr>
        <w:t xml:space="preserve">in </w:t>
      </w:r>
      <w:r w:rsidRPr="008B61E2">
        <w:rPr>
          <w:sz w:val="20"/>
          <w:szCs w:val="20"/>
        </w:rPr>
        <w:t xml:space="preserve">Porto, </w:t>
      </w:r>
      <w:r w:rsidR="00226A70">
        <w:rPr>
          <w:sz w:val="20"/>
          <w:szCs w:val="20"/>
        </w:rPr>
        <w:t xml:space="preserve">had </w:t>
      </w:r>
      <w:r w:rsidRPr="008B61E2">
        <w:rPr>
          <w:sz w:val="20"/>
          <w:szCs w:val="20"/>
        </w:rPr>
        <w:t>undert</w:t>
      </w:r>
      <w:r w:rsidR="00226A70">
        <w:rPr>
          <w:sz w:val="20"/>
          <w:szCs w:val="20"/>
        </w:rPr>
        <w:t>aken</w:t>
      </w:r>
      <w:r w:rsidRPr="008B61E2">
        <w:rPr>
          <w:sz w:val="20"/>
          <w:szCs w:val="20"/>
        </w:rPr>
        <w:t xml:space="preserve"> activities that went well beyond those </w:t>
      </w:r>
      <w:r w:rsidR="00226A70">
        <w:rPr>
          <w:sz w:val="20"/>
          <w:szCs w:val="20"/>
        </w:rPr>
        <w:t>proposed by</w:t>
      </w:r>
      <w:r w:rsidR="00226A70" w:rsidRPr="008B61E2">
        <w:rPr>
          <w:sz w:val="20"/>
          <w:szCs w:val="20"/>
        </w:rPr>
        <w:t xml:space="preserve"> </w:t>
      </w:r>
      <w:r w:rsidRPr="008B61E2">
        <w:rPr>
          <w:sz w:val="20"/>
          <w:szCs w:val="20"/>
        </w:rPr>
        <w:t>the strategy.</w:t>
      </w:r>
    </w:p>
    <w:p w:rsidR="00C07932" w:rsidRDefault="0048528F" w:rsidP="008B61E2">
      <w:pPr>
        <w:pStyle w:val="SingleTxtG"/>
      </w:pPr>
      <w:r w:rsidRPr="008B61E2">
        <w:rPr>
          <w:sz w:val="20"/>
          <w:szCs w:val="20"/>
        </w:rPr>
        <w:t>5</w:t>
      </w:r>
      <w:r w:rsidR="00BD491C">
        <w:rPr>
          <w:sz w:val="20"/>
          <w:szCs w:val="20"/>
        </w:rPr>
        <w:t>3</w:t>
      </w:r>
      <w:r w:rsidRPr="008B61E2">
        <w:rPr>
          <w:sz w:val="20"/>
          <w:szCs w:val="20"/>
        </w:rPr>
        <w:t>.</w:t>
      </w:r>
      <w:r w:rsidRPr="008B61E2">
        <w:rPr>
          <w:sz w:val="20"/>
          <w:szCs w:val="20"/>
        </w:rPr>
        <w:tab/>
      </w:r>
      <w:r w:rsidR="00375A7A">
        <w:rPr>
          <w:sz w:val="20"/>
          <w:szCs w:val="20"/>
        </w:rPr>
        <w:t>S</w:t>
      </w:r>
      <w:r w:rsidRPr="008B61E2">
        <w:rPr>
          <w:sz w:val="20"/>
          <w:szCs w:val="20"/>
        </w:rPr>
        <w:t xml:space="preserve">everal obstacles </w:t>
      </w:r>
      <w:r w:rsidR="00375A7A">
        <w:rPr>
          <w:sz w:val="20"/>
          <w:szCs w:val="20"/>
        </w:rPr>
        <w:t xml:space="preserve">have, however, stood in the way of </w:t>
      </w:r>
      <w:r w:rsidRPr="008B61E2">
        <w:rPr>
          <w:sz w:val="20"/>
          <w:szCs w:val="20"/>
        </w:rPr>
        <w:t xml:space="preserve">the full implementation of </w:t>
      </w:r>
      <w:r w:rsidR="00375A7A">
        <w:rPr>
          <w:sz w:val="20"/>
          <w:szCs w:val="20"/>
        </w:rPr>
        <w:t>the</w:t>
      </w:r>
      <w:r w:rsidR="00375A7A" w:rsidRPr="008B61E2">
        <w:rPr>
          <w:sz w:val="20"/>
          <w:szCs w:val="20"/>
        </w:rPr>
        <w:t xml:space="preserve"> </w:t>
      </w:r>
      <w:r w:rsidRPr="008B61E2">
        <w:rPr>
          <w:sz w:val="20"/>
          <w:szCs w:val="20"/>
        </w:rPr>
        <w:t xml:space="preserve">strategy, </w:t>
      </w:r>
      <w:r w:rsidR="00375A7A">
        <w:rPr>
          <w:sz w:val="20"/>
          <w:szCs w:val="20"/>
        </w:rPr>
        <w:t>in particular the</w:t>
      </w:r>
      <w:r w:rsidRPr="008B61E2">
        <w:rPr>
          <w:sz w:val="20"/>
          <w:szCs w:val="20"/>
        </w:rPr>
        <w:t xml:space="preserve"> lack of transparency in resource allocation, weak horizontal coordination at </w:t>
      </w:r>
      <w:r w:rsidR="00375A7A">
        <w:rPr>
          <w:sz w:val="20"/>
          <w:szCs w:val="20"/>
        </w:rPr>
        <w:t>the S</w:t>
      </w:r>
      <w:r w:rsidRPr="008B61E2">
        <w:rPr>
          <w:sz w:val="20"/>
          <w:szCs w:val="20"/>
        </w:rPr>
        <w:t>tate level</w:t>
      </w:r>
      <w:r w:rsidR="00375A7A">
        <w:rPr>
          <w:sz w:val="20"/>
          <w:szCs w:val="20"/>
        </w:rPr>
        <w:t>,</w:t>
      </w:r>
      <w:r w:rsidRPr="008B61E2">
        <w:rPr>
          <w:sz w:val="20"/>
          <w:szCs w:val="20"/>
        </w:rPr>
        <w:t xml:space="preserve"> and </w:t>
      </w:r>
      <w:r w:rsidR="00375A7A">
        <w:rPr>
          <w:sz w:val="20"/>
          <w:szCs w:val="20"/>
        </w:rPr>
        <w:t xml:space="preserve">a </w:t>
      </w:r>
      <w:r w:rsidRPr="008B61E2">
        <w:rPr>
          <w:sz w:val="20"/>
          <w:szCs w:val="20"/>
        </w:rPr>
        <w:t>failure to implement monitoring and evaluation mechanisms</w:t>
      </w:r>
      <w:r w:rsidR="00375A7A">
        <w:rPr>
          <w:sz w:val="20"/>
          <w:szCs w:val="20"/>
        </w:rPr>
        <w:t>.</w:t>
      </w:r>
      <w:r w:rsidRPr="00375A7A">
        <w:rPr>
          <w:sz w:val="18"/>
          <w:szCs w:val="20"/>
          <w:vertAlign w:val="superscript"/>
        </w:rPr>
        <w:footnoteReference w:id="23"/>
      </w:r>
      <w:r w:rsidRPr="008B61E2">
        <w:rPr>
          <w:sz w:val="20"/>
          <w:szCs w:val="20"/>
        </w:rPr>
        <w:t xml:space="preserve"> Further</w:t>
      </w:r>
      <w:r w:rsidR="00375A7A">
        <w:rPr>
          <w:sz w:val="20"/>
          <w:szCs w:val="20"/>
        </w:rPr>
        <w:t>more</w:t>
      </w:r>
      <w:r w:rsidRPr="008B61E2">
        <w:rPr>
          <w:sz w:val="20"/>
          <w:szCs w:val="20"/>
        </w:rPr>
        <w:t xml:space="preserve">, an evidence-base </w:t>
      </w:r>
      <w:r w:rsidR="00884F3F">
        <w:rPr>
          <w:sz w:val="20"/>
          <w:szCs w:val="20"/>
        </w:rPr>
        <w:t>assessment</w:t>
      </w:r>
      <w:r w:rsidR="00884F3F" w:rsidRPr="008B61E2">
        <w:rPr>
          <w:sz w:val="20"/>
          <w:szCs w:val="20"/>
        </w:rPr>
        <w:t xml:space="preserve"> </w:t>
      </w:r>
      <w:r w:rsidRPr="008B61E2">
        <w:rPr>
          <w:sz w:val="20"/>
          <w:szCs w:val="20"/>
        </w:rPr>
        <w:t>of the impact of the measures</w:t>
      </w:r>
      <w:r w:rsidR="008B597D">
        <w:rPr>
          <w:sz w:val="20"/>
          <w:szCs w:val="20"/>
        </w:rPr>
        <w:t xml:space="preserve"> does not seem to have been made</w:t>
      </w:r>
      <w:r w:rsidR="00884F3F">
        <w:rPr>
          <w:sz w:val="20"/>
          <w:szCs w:val="20"/>
        </w:rPr>
        <w:t>;</w:t>
      </w:r>
      <w:r w:rsidRPr="008B61E2">
        <w:rPr>
          <w:sz w:val="20"/>
          <w:szCs w:val="20"/>
        </w:rPr>
        <w:t xml:space="preserve"> </w:t>
      </w:r>
      <w:r w:rsidR="00884F3F">
        <w:rPr>
          <w:sz w:val="20"/>
          <w:szCs w:val="20"/>
        </w:rPr>
        <w:t xml:space="preserve">an assessment </w:t>
      </w:r>
      <w:r w:rsidRPr="008B61E2">
        <w:rPr>
          <w:sz w:val="20"/>
          <w:szCs w:val="20"/>
        </w:rPr>
        <w:t xml:space="preserve">of </w:t>
      </w:r>
      <w:r w:rsidR="00884F3F">
        <w:rPr>
          <w:sz w:val="20"/>
          <w:szCs w:val="20"/>
        </w:rPr>
        <w:t xml:space="preserve">this type would, however be </w:t>
      </w:r>
      <w:r w:rsidRPr="008B61E2">
        <w:rPr>
          <w:sz w:val="20"/>
          <w:szCs w:val="20"/>
        </w:rPr>
        <w:t>particular</w:t>
      </w:r>
      <w:r w:rsidR="00884F3F">
        <w:rPr>
          <w:sz w:val="20"/>
          <w:szCs w:val="20"/>
        </w:rPr>
        <w:t>ly</w:t>
      </w:r>
      <w:r w:rsidRPr="008B61E2">
        <w:rPr>
          <w:sz w:val="20"/>
          <w:szCs w:val="20"/>
        </w:rPr>
        <w:t xml:space="preserve"> </w:t>
      </w:r>
      <w:r w:rsidR="00884F3F">
        <w:rPr>
          <w:sz w:val="20"/>
          <w:szCs w:val="20"/>
        </w:rPr>
        <w:t>useful, given that</w:t>
      </w:r>
      <w:r w:rsidR="00884F3F" w:rsidRPr="008B61E2">
        <w:rPr>
          <w:sz w:val="20"/>
          <w:szCs w:val="20"/>
        </w:rPr>
        <w:t xml:space="preserve"> </w:t>
      </w:r>
      <w:r w:rsidRPr="008B61E2">
        <w:rPr>
          <w:sz w:val="20"/>
          <w:szCs w:val="20"/>
        </w:rPr>
        <w:t xml:space="preserve">a </w:t>
      </w:r>
      <w:r w:rsidR="00884F3F">
        <w:rPr>
          <w:sz w:val="20"/>
          <w:szCs w:val="20"/>
        </w:rPr>
        <w:t>new</w:t>
      </w:r>
      <w:r w:rsidR="00884F3F" w:rsidRPr="008B61E2">
        <w:rPr>
          <w:sz w:val="20"/>
          <w:szCs w:val="20"/>
        </w:rPr>
        <w:t xml:space="preserve"> </w:t>
      </w:r>
      <w:r w:rsidRPr="008B61E2">
        <w:rPr>
          <w:sz w:val="20"/>
          <w:szCs w:val="20"/>
        </w:rPr>
        <w:t xml:space="preserve">strategy is expected to be developed and </w:t>
      </w:r>
      <w:r w:rsidR="00884F3F">
        <w:rPr>
          <w:sz w:val="20"/>
          <w:szCs w:val="20"/>
        </w:rPr>
        <w:t xml:space="preserve">implemented </w:t>
      </w:r>
      <w:r w:rsidRPr="008B61E2">
        <w:rPr>
          <w:sz w:val="20"/>
          <w:szCs w:val="20"/>
        </w:rPr>
        <w:t xml:space="preserve">in the near future. Also, it was noted that a new strategy ought to give more importance to </w:t>
      </w:r>
      <w:r w:rsidR="00884F3F">
        <w:rPr>
          <w:sz w:val="20"/>
          <w:szCs w:val="20"/>
        </w:rPr>
        <w:t xml:space="preserve">the </w:t>
      </w:r>
      <w:r w:rsidRPr="008B61E2">
        <w:rPr>
          <w:sz w:val="20"/>
          <w:szCs w:val="20"/>
        </w:rPr>
        <w:t>prevention of homelessness and to ensuring that mechanisms to break the poverty cycle such as job training and alternatives for income generation</w:t>
      </w:r>
      <w:r w:rsidR="008C7CF8">
        <w:rPr>
          <w:sz w:val="20"/>
          <w:szCs w:val="20"/>
        </w:rPr>
        <w:t>,</w:t>
      </w:r>
      <w:r w:rsidR="008C7CF8" w:rsidRPr="008C7CF8">
        <w:rPr>
          <w:sz w:val="20"/>
          <w:szCs w:val="20"/>
        </w:rPr>
        <w:t xml:space="preserve"> </w:t>
      </w:r>
      <w:r w:rsidR="008C7CF8" w:rsidRPr="0048528F">
        <w:rPr>
          <w:sz w:val="20"/>
          <w:szCs w:val="20"/>
        </w:rPr>
        <w:t>are embedded</w:t>
      </w:r>
      <w:r w:rsidR="00611E79">
        <w:rPr>
          <w:sz w:val="20"/>
          <w:szCs w:val="20"/>
        </w:rPr>
        <w:t xml:space="preserve"> in it</w:t>
      </w:r>
      <w:r w:rsidRPr="008B61E2">
        <w:rPr>
          <w:sz w:val="20"/>
          <w:szCs w:val="20"/>
        </w:rPr>
        <w:t>.</w:t>
      </w:r>
      <w:r w:rsidR="00497B6A">
        <w:t xml:space="preserve"> </w:t>
      </w:r>
    </w:p>
    <w:p w:rsidR="00C07932" w:rsidRPr="008B61E2" w:rsidRDefault="007A115F" w:rsidP="008B61E2">
      <w:pPr>
        <w:pStyle w:val="H23G"/>
        <w:spacing w:line="240" w:lineRule="atLeast"/>
        <w:rPr>
          <w:sz w:val="20"/>
          <w:szCs w:val="20"/>
        </w:rPr>
      </w:pPr>
      <w:r w:rsidRPr="008B61E2">
        <w:rPr>
          <w:sz w:val="20"/>
          <w:szCs w:val="20"/>
        </w:rPr>
        <w:lastRenderedPageBreak/>
        <w:tab/>
        <w:t>4</w:t>
      </w:r>
      <w:r w:rsidR="00FA17FF" w:rsidRPr="008B61E2">
        <w:rPr>
          <w:sz w:val="20"/>
          <w:szCs w:val="20"/>
        </w:rPr>
        <w:t>.</w:t>
      </w:r>
      <w:r w:rsidR="00FA17FF" w:rsidRPr="008B61E2">
        <w:rPr>
          <w:sz w:val="20"/>
          <w:szCs w:val="20"/>
        </w:rPr>
        <w:tab/>
        <w:t xml:space="preserve">Social housing </w:t>
      </w:r>
    </w:p>
    <w:p w:rsidR="00C07932" w:rsidRPr="008B61E2" w:rsidRDefault="0048528F" w:rsidP="008B61E2">
      <w:pPr>
        <w:pStyle w:val="SingleTxtG"/>
        <w:rPr>
          <w:sz w:val="20"/>
          <w:szCs w:val="20"/>
        </w:rPr>
      </w:pPr>
      <w:r w:rsidRPr="008B61E2">
        <w:rPr>
          <w:sz w:val="20"/>
          <w:szCs w:val="20"/>
        </w:rPr>
        <w:t>5</w:t>
      </w:r>
      <w:r w:rsidR="00BD491C">
        <w:rPr>
          <w:sz w:val="20"/>
          <w:szCs w:val="20"/>
        </w:rPr>
        <w:t>4</w:t>
      </w:r>
      <w:r w:rsidRPr="008B61E2">
        <w:rPr>
          <w:sz w:val="20"/>
          <w:szCs w:val="20"/>
        </w:rPr>
        <w:t>.</w:t>
      </w:r>
      <w:r w:rsidRPr="008B61E2">
        <w:rPr>
          <w:sz w:val="20"/>
          <w:szCs w:val="20"/>
        </w:rPr>
        <w:tab/>
        <w:t xml:space="preserve">In all of Portugal there are only 120,000 </w:t>
      </w:r>
      <w:r w:rsidR="008C7CF8" w:rsidRPr="0048528F">
        <w:rPr>
          <w:sz w:val="20"/>
          <w:szCs w:val="20"/>
        </w:rPr>
        <w:t xml:space="preserve">social housing </w:t>
      </w:r>
      <w:r w:rsidRPr="008B61E2">
        <w:rPr>
          <w:sz w:val="20"/>
          <w:szCs w:val="20"/>
        </w:rPr>
        <w:t xml:space="preserve">units, a figure that seems rather low in </w:t>
      </w:r>
      <w:r w:rsidR="008C7CF8">
        <w:rPr>
          <w:sz w:val="20"/>
          <w:szCs w:val="20"/>
        </w:rPr>
        <w:t xml:space="preserve">the </w:t>
      </w:r>
      <w:r w:rsidRPr="008B61E2">
        <w:rPr>
          <w:sz w:val="20"/>
          <w:szCs w:val="20"/>
        </w:rPr>
        <w:t xml:space="preserve">light of the </w:t>
      </w:r>
      <w:r w:rsidR="008C7CF8">
        <w:rPr>
          <w:sz w:val="20"/>
          <w:szCs w:val="20"/>
        </w:rPr>
        <w:t xml:space="preserve">national </w:t>
      </w:r>
      <w:r w:rsidRPr="008B61E2">
        <w:rPr>
          <w:sz w:val="20"/>
          <w:szCs w:val="20"/>
        </w:rPr>
        <w:t xml:space="preserve">poverty rate. </w:t>
      </w:r>
      <w:r w:rsidR="008C7CF8">
        <w:rPr>
          <w:sz w:val="20"/>
          <w:szCs w:val="20"/>
        </w:rPr>
        <w:t xml:space="preserve">A total of </w:t>
      </w:r>
      <w:r w:rsidRPr="008B61E2">
        <w:rPr>
          <w:sz w:val="20"/>
          <w:szCs w:val="20"/>
        </w:rPr>
        <w:t>12,285 units are managed by IHRU</w:t>
      </w:r>
      <w:r w:rsidR="002967E4">
        <w:rPr>
          <w:sz w:val="20"/>
          <w:szCs w:val="20"/>
        </w:rPr>
        <w:t>, while</w:t>
      </w:r>
      <w:r w:rsidRPr="008B61E2">
        <w:rPr>
          <w:sz w:val="20"/>
          <w:szCs w:val="20"/>
        </w:rPr>
        <w:t xml:space="preserve"> the rest are owned and managed mainly by various municipalities and</w:t>
      </w:r>
      <w:r w:rsidR="002967E4">
        <w:rPr>
          <w:sz w:val="20"/>
          <w:szCs w:val="20"/>
        </w:rPr>
        <w:t>,</w:t>
      </w:r>
      <w:r w:rsidRPr="008B61E2">
        <w:rPr>
          <w:sz w:val="20"/>
          <w:szCs w:val="20"/>
        </w:rPr>
        <w:t xml:space="preserve"> </w:t>
      </w:r>
      <w:r w:rsidR="002967E4">
        <w:rPr>
          <w:sz w:val="20"/>
          <w:szCs w:val="20"/>
        </w:rPr>
        <w:t>to</w:t>
      </w:r>
      <w:r w:rsidR="002967E4" w:rsidRPr="008B61E2">
        <w:rPr>
          <w:sz w:val="20"/>
          <w:szCs w:val="20"/>
        </w:rPr>
        <w:t xml:space="preserve"> </w:t>
      </w:r>
      <w:r w:rsidRPr="008B61E2">
        <w:rPr>
          <w:sz w:val="20"/>
          <w:szCs w:val="20"/>
        </w:rPr>
        <w:t xml:space="preserve">a small </w:t>
      </w:r>
      <w:r w:rsidR="002967E4">
        <w:rPr>
          <w:sz w:val="20"/>
          <w:szCs w:val="20"/>
        </w:rPr>
        <w:t>extent,</w:t>
      </w:r>
      <w:r w:rsidR="002967E4" w:rsidRPr="008B61E2">
        <w:rPr>
          <w:sz w:val="20"/>
          <w:szCs w:val="20"/>
        </w:rPr>
        <w:t xml:space="preserve"> </w:t>
      </w:r>
      <w:r w:rsidRPr="008B61E2">
        <w:rPr>
          <w:sz w:val="20"/>
          <w:szCs w:val="20"/>
        </w:rPr>
        <w:t xml:space="preserve">by other entities. The city of Lisbon </w:t>
      </w:r>
      <w:r w:rsidR="00604AF5">
        <w:rPr>
          <w:sz w:val="20"/>
          <w:szCs w:val="20"/>
        </w:rPr>
        <w:t>provides</w:t>
      </w:r>
      <w:r w:rsidR="00604AF5" w:rsidRPr="008B61E2">
        <w:rPr>
          <w:sz w:val="20"/>
          <w:szCs w:val="20"/>
        </w:rPr>
        <w:t xml:space="preserve"> </w:t>
      </w:r>
      <w:r w:rsidRPr="008B61E2">
        <w:rPr>
          <w:sz w:val="20"/>
          <w:szCs w:val="20"/>
        </w:rPr>
        <w:t xml:space="preserve">the </w:t>
      </w:r>
      <w:r w:rsidR="00604AF5">
        <w:rPr>
          <w:sz w:val="20"/>
          <w:szCs w:val="20"/>
        </w:rPr>
        <w:t>greatest amount of</w:t>
      </w:r>
      <w:r w:rsidR="00604AF5" w:rsidRPr="008B61E2">
        <w:rPr>
          <w:sz w:val="20"/>
          <w:szCs w:val="20"/>
        </w:rPr>
        <w:t xml:space="preserve"> </w:t>
      </w:r>
      <w:r w:rsidRPr="008B61E2">
        <w:rPr>
          <w:sz w:val="20"/>
          <w:szCs w:val="20"/>
        </w:rPr>
        <w:t xml:space="preserve">social housing in Portugal </w:t>
      </w:r>
      <w:r w:rsidR="00604AF5">
        <w:rPr>
          <w:sz w:val="20"/>
          <w:szCs w:val="20"/>
        </w:rPr>
        <w:t>(</w:t>
      </w:r>
      <w:r w:rsidRPr="008B61E2">
        <w:rPr>
          <w:sz w:val="20"/>
          <w:szCs w:val="20"/>
        </w:rPr>
        <w:t>26,000 units</w:t>
      </w:r>
      <w:r w:rsidR="00604AF5">
        <w:rPr>
          <w:sz w:val="20"/>
          <w:szCs w:val="20"/>
        </w:rPr>
        <w:t>)</w:t>
      </w:r>
      <w:r w:rsidRPr="008B61E2">
        <w:rPr>
          <w:sz w:val="20"/>
          <w:szCs w:val="20"/>
        </w:rPr>
        <w:t xml:space="preserve">. </w:t>
      </w:r>
      <w:r w:rsidR="00604AF5">
        <w:rPr>
          <w:sz w:val="20"/>
          <w:szCs w:val="20"/>
        </w:rPr>
        <w:t>W</w:t>
      </w:r>
      <w:r w:rsidRPr="008B61E2">
        <w:rPr>
          <w:sz w:val="20"/>
          <w:szCs w:val="20"/>
        </w:rPr>
        <w:t>aiting lists for social housing are long</w:t>
      </w:r>
      <w:r w:rsidR="00604AF5">
        <w:rPr>
          <w:sz w:val="20"/>
          <w:szCs w:val="20"/>
        </w:rPr>
        <w:t>; for example, according to</w:t>
      </w:r>
      <w:r w:rsidRPr="008B61E2">
        <w:rPr>
          <w:sz w:val="20"/>
          <w:szCs w:val="20"/>
        </w:rPr>
        <w:t xml:space="preserve"> IHRU, approximately 4,000 households </w:t>
      </w:r>
      <w:r w:rsidR="00604AF5">
        <w:rPr>
          <w:sz w:val="20"/>
          <w:szCs w:val="20"/>
        </w:rPr>
        <w:t>applied for</w:t>
      </w:r>
      <w:r w:rsidR="00604AF5" w:rsidRPr="008B61E2">
        <w:rPr>
          <w:sz w:val="20"/>
          <w:szCs w:val="20"/>
        </w:rPr>
        <w:t xml:space="preserve"> </w:t>
      </w:r>
      <w:r w:rsidRPr="008B61E2">
        <w:rPr>
          <w:sz w:val="20"/>
          <w:szCs w:val="20"/>
        </w:rPr>
        <w:t>a unit in 2016</w:t>
      </w:r>
      <w:r w:rsidR="00875AEA">
        <w:rPr>
          <w:sz w:val="20"/>
          <w:szCs w:val="20"/>
        </w:rPr>
        <w:t>.</w:t>
      </w:r>
      <w:r w:rsidRPr="008B61E2">
        <w:rPr>
          <w:sz w:val="20"/>
          <w:szCs w:val="20"/>
        </w:rPr>
        <w:t xml:space="preserve"> </w:t>
      </w:r>
      <w:r w:rsidR="00875AEA">
        <w:rPr>
          <w:sz w:val="20"/>
          <w:szCs w:val="20"/>
        </w:rPr>
        <w:t>T</w:t>
      </w:r>
      <w:r w:rsidR="006D42A1">
        <w:rPr>
          <w:sz w:val="20"/>
          <w:szCs w:val="20"/>
        </w:rPr>
        <w:t xml:space="preserve">he average </w:t>
      </w:r>
      <w:r w:rsidRPr="008B61E2">
        <w:rPr>
          <w:sz w:val="20"/>
          <w:szCs w:val="20"/>
        </w:rPr>
        <w:t>wait</w:t>
      </w:r>
      <w:r w:rsidR="006D42A1">
        <w:rPr>
          <w:sz w:val="20"/>
          <w:szCs w:val="20"/>
        </w:rPr>
        <w:t>ing</w:t>
      </w:r>
      <w:r w:rsidRPr="008B61E2">
        <w:rPr>
          <w:sz w:val="20"/>
          <w:szCs w:val="20"/>
        </w:rPr>
        <w:t xml:space="preserve"> period </w:t>
      </w:r>
      <w:r w:rsidR="006D42A1">
        <w:rPr>
          <w:sz w:val="20"/>
          <w:szCs w:val="20"/>
        </w:rPr>
        <w:t>is two</w:t>
      </w:r>
      <w:r w:rsidRPr="008B61E2">
        <w:rPr>
          <w:sz w:val="20"/>
          <w:szCs w:val="20"/>
        </w:rPr>
        <w:t xml:space="preserve"> years. The Special Rapporteur learned</w:t>
      </w:r>
      <w:r w:rsidR="00875AEA">
        <w:rPr>
          <w:sz w:val="20"/>
          <w:szCs w:val="20"/>
        </w:rPr>
        <w:t>, however,</w:t>
      </w:r>
      <w:r w:rsidRPr="008B61E2">
        <w:rPr>
          <w:sz w:val="20"/>
          <w:szCs w:val="20"/>
        </w:rPr>
        <w:t xml:space="preserve"> that</w:t>
      </w:r>
      <w:r w:rsidR="00875AEA">
        <w:rPr>
          <w:sz w:val="20"/>
          <w:szCs w:val="20"/>
        </w:rPr>
        <w:t>,</w:t>
      </w:r>
      <w:r w:rsidRPr="008B61E2">
        <w:rPr>
          <w:sz w:val="20"/>
          <w:szCs w:val="20"/>
        </w:rPr>
        <w:t xml:space="preserve"> in the municipalities of Lisbon and Porto</w:t>
      </w:r>
      <w:r w:rsidR="00875AEA">
        <w:rPr>
          <w:sz w:val="20"/>
          <w:szCs w:val="20"/>
        </w:rPr>
        <w:t>,</w:t>
      </w:r>
      <w:r w:rsidRPr="008B61E2">
        <w:rPr>
          <w:sz w:val="20"/>
          <w:szCs w:val="20"/>
        </w:rPr>
        <w:t xml:space="preserve"> the wait can be </w:t>
      </w:r>
      <w:r w:rsidR="00875AEA">
        <w:rPr>
          <w:sz w:val="20"/>
          <w:szCs w:val="20"/>
        </w:rPr>
        <w:t>as long as seven</w:t>
      </w:r>
      <w:r w:rsidR="00875AEA" w:rsidRPr="008B61E2">
        <w:rPr>
          <w:sz w:val="20"/>
          <w:szCs w:val="20"/>
        </w:rPr>
        <w:t xml:space="preserve"> </w:t>
      </w:r>
      <w:r w:rsidRPr="008B61E2">
        <w:rPr>
          <w:sz w:val="20"/>
          <w:szCs w:val="20"/>
        </w:rPr>
        <w:t xml:space="preserve">years for some categories of units. </w:t>
      </w:r>
    </w:p>
    <w:p w:rsidR="00C07932" w:rsidRPr="008B61E2" w:rsidRDefault="0048528F" w:rsidP="008B61E2">
      <w:pPr>
        <w:pStyle w:val="SingleTxtG"/>
        <w:rPr>
          <w:sz w:val="20"/>
          <w:szCs w:val="20"/>
        </w:rPr>
      </w:pPr>
      <w:r w:rsidRPr="008B61E2">
        <w:rPr>
          <w:sz w:val="20"/>
          <w:szCs w:val="20"/>
        </w:rPr>
        <w:t>5</w:t>
      </w:r>
      <w:r w:rsidR="00BD491C">
        <w:rPr>
          <w:sz w:val="20"/>
          <w:szCs w:val="20"/>
        </w:rPr>
        <w:t>5</w:t>
      </w:r>
      <w:r w:rsidRPr="008B61E2">
        <w:rPr>
          <w:sz w:val="20"/>
          <w:szCs w:val="20"/>
        </w:rPr>
        <w:t>.</w:t>
      </w:r>
      <w:r w:rsidRPr="008B61E2">
        <w:rPr>
          <w:sz w:val="20"/>
          <w:szCs w:val="20"/>
        </w:rPr>
        <w:tab/>
        <w:t xml:space="preserve">One of the key social housing </w:t>
      </w:r>
      <w:r w:rsidR="00875AEA">
        <w:rPr>
          <w:sz w:val="20"/>
          <w:szCs w:val="20"/>
        </w:rPr>
        <w:t>project</w:t>
      </w:r>
      <w:r w:rsidR="006F3739">
        <w:rPr>
          <w:sz w:val="20"/>
          <w:szCs w:val="20"/>
        </w:rPr>
        <w:t>s</w:t>
      </w:r>
      <w:r w:rsidR="00875AEA" w:rsidRPr="008B61E2">
        <w:rPr>
          <w:sz w:val="20"/>
          <w:szCs w:val="20"/>
        </w:rPr>
        <w:t xml:space="preserve"> </w:t>
      </w:r>
      <w:r w:rsidRPr="008B61E2">
        <w:rPr>
          <w:sz w:val="20"/>
          <w:szCs w:val="20"/>
        </w:rPr>
        <w:t>in Portugal is run through the PER</w:t>
      </w:r>
      <w:r w:rsidR="006F3739">
        <w:rPr>
          <w:sz w:val="20"/>
          <w:szCs w:val="20"/>
        </w:rPr>
        <w:t>)</w:t>
      </w:r>
      <w:r w:rsidRPr="008B61E2">
        <w:rPr>
          <w:sz w:val="20"/>
          <w:szCs w:val="20"/>
        </w:rPr>
        <w:t xml:space="preserve"> established for the metropolitan areas of Lisbon and Porto</w:t>
      </w:r>
      <w:r w:rsidR="00685C69">
        <w:rPr>
          <w:sz w:val="20"/>
          <w:szCs w:val="20"/>
        </w:rPr>
        <w:t xml:space="preserve"> (see para. 33 above)</w:t>
      </w:r>
      <w:r w:rsidRPr="008B61E2">
        <w:rPr>
          <w:sz w:val="20"/>
          <w:szCs w:val="20"/>
        </w:rPr>
        <w:t xml:space="preserve">. As described above, </w:t>
      </w:r>
      <w:r w:rsidR="00685C69">
        <w:rPr>
          <w:sz w:val="20"/>
          <w:szCs w:val="20"/>
        </w:rPr>
        <w:t>t</w:t>
      </w:r>
      <w:r w:rsidR="006F3739">
        <w:rPr>
          <w:sz w:val="20"/>
          <w:szCs w:val="20"/>
        </w:rPr>
        <w:t>he</w:t>
      </w:r>
      <w:r w:rsidR="006F3739" w:rsidRPr="008B61E2">
        <w:rPr>
          <w:sz w:val="20"/>
          <w:szCs w:val="20"/>
        </w:rPr>
        <w:t xml:space="preserve"> </w:t>
      </w:r>
      <w:r w:rsidRPr="008B61E2">
        <w:rPr>
          <w:sz w:val="20"/>
          <w:szCs w:val="20"/>
        </w:rPr>
        <w:t xml:space="preserve">main objective </w:t>
      </w:r>
      <w:r w:rsidR="006F3739">
        <w:rPr>
          <w:sz w:val="20"/>
          <w:szCs w:val="20"/>
        </w:rPr>
        <w:t xml:space="preserve">of the programme is </w:t>
      </w:r>
      <w:r w:rsidRPr="008B61E2">
        <w:rPr>
          <w:sz w:val="20"/>
          <w:szCs w:val="20"/>
        </w:rPr>
        <w:t xml:space="preserve">to provide resettlement to households living in </w:t>
      </w:r>
      <w:r w:rsidR="003320D2">
        <w:rPr>
          <w:sz w:val="20"/>
          <w:szCs w:val="20"/>
        </w:rPr>
        <w:t>“</w:t>
      </w:r>
      <w:r w:rsidRPr="008B61E2">
        <w:rPr>
          <w:sz w:val="20"/>
          <w:szCs w:val="20"/>
        </w:rPr>
        <w:t>non-c</w:t>
      </w:r>
      <w:r w:rsidR="006D52A2">
        <w:rPr>
          <w:sz w:val="20"/>
          <w:szCs w:val="20"/>
        </w:rPr>
        <w:t>onventional</w:t>
      </w:r>
      <w:r w:rsidR="003320D2">
        <w:rPr>
          <w:sz w:val="20"/>
          <w:szCs w:val="20"/>
        </w:rPr>
        <w:t>”</w:t>
      </w:r>
      <w:r w:rsidRPr="008B61E2">
        <w:rPr>
          <w:sz w:val="20"/>
          <w:szCs w:val="20"/>
        </w:rPr>
        <w:t xml:space="preserve"> dwellings</w:t>
      </w:r>
      <w:r w:rsidR="006F3739">
        <w:rPr>
          <w:sz w:val="20"/>
          <w:szCs w:val="20"/>
        </w:rPr>
        <w:t>,</w:t>
      </w:r>
      <w:r w:rsidRPr="008B61E2">
        <w:rPr>
          <w:sz w:val="20"/>
          <w:szCs w:val="20"/>
        </w:rPr>
        <w:t xml:space="preserve"> such as </w:t>
      </w:r>
      <w:r w:rsidRPr="008B61E2">
        <w:rPr>
          <w:i/>
          <w:sz w:val="20"/>
          <w:szCs w:val="20"/>
        </w:rPr>
        <w:t xml:space="preserve">barracas </w:t>
      </w:r>
      <w:r w:rsidRPr="008B61E2">
        <w:rPr>
          <w:sz w:val="20"/>
          <w:szCs w:val="20"/>
        </w:rPr>
        <w:t>(</w:t>
      </w:r>
      <w:r w:rsidR="00FA59A1" w:rsidRPr="00D41EEB">
        <w:rPr>
          <w:sz w:val="20"/>
          <w:szCs w:val="20"/>
        </w:rPr>
        <w:t>shacks</w:t>
      </w:r>
      <w:r w:rsidRPr="008B61E2">
        <w:rPr>
          <w:sz w:val="20"/>
          <w:szCs w:val="20"/>
        </w:rPr>
        <w:t xml:space="preserve">) </w:t>
      </w:r>
      <w:r w:rsidR="002D7D00">
        <w:rPr>
          <w:sz w:val="20"/>
          <w:szCs w:val="20"/>
        </w:rPr>
        <w:t>or</w:t>
      </w:r>
      <w:r w:rsidR="002D7D00" w:rsidRPr="008B61E2">
        <w:rPr>
          <w:sz w:val="20"/>
          <w:szCs w:val="20"/>
        </w:rPr>
        <w:t xml:space="preserve"> </w:t>
      </w:r>
      <w:r w:rsidRPr="008B61E2">
        <w:rPr>
          <w:sz w:val="20"/>
          <w:szCs w:val="20"/>
        </w:rPr>
        <w:t xml:space="preserve">self-built homes made of perishable materials, on </w:t>
      </w:r>
      <w:r w:rsidR="006F3739">
        <w:rPr>
          <w:sz w:val="20"/>
          <w:szCs w:val="20"/>
        </w:rPr>
        <w:t>either</w:t>
      </w:r>
      <w:r w:rsidR="006F3739" w:rsidRPr="008B61E2">
        <w:rPr>
          <w:sz w:val="20"/>
          <w:szCs w:val="20"/>
        </w:rPr>
        <w:t xml:space="preserve"> </w:t>
      </w:r>
      <w:r w:rsidRPr="008B61E2">
        <w:rPr>
          <w:sz w:val="20"/>
          <w:szCs w:val="20"/>
        </w:rPr>
        <w:t xml:space="preserve">public </w:t>
      </w:r>
      <w:r w:rsidR="006F3739">
        <w:rPr>
          <w:sz w:val="20"/>
          <w:szCs w:val="20"/>
        </w:rPr>
        <w:t>or</w:t>
      </w:r>
      <w:r w:rsidR="006F3739" w:rsidRPr="008B61E2">
        <w:rPr>
          <w:sz w:val="20"/>
          <w:szCs w:val="20"/>
        </w:rPr>
        <w:t xml:space="preserve"> </w:t>
      </w:r>
      <w:r w:rsidRPr="008B61E2">
        <w:rPr>
          <w:sz w:val="20"/>
          <w:szCs w:val="20"/>
        </w:rPr>
        <w:t xml:space="preserve">private land, </w:t>
      </w:r>
      <w:r w:rsidR="002D7D00">
        <w:rPr>
          <w:sz w:val="20"/>
          <w:szCs w:val="20"/>
        </w:rPr>
        <w:t>for</w:t>
      </w:r>
      <w:r w:rsidRPr="008B61E2">
        <w:rPr>
          <w:sz w:val="20"/>
          <w:szCs w:val="20"/>
        </w:rPr>
        <w:t xml:space="preserve"> Roma communities living in camps </w:t>
      </w:r>
      <w:r w:rsidR="002D7D00">
        <w:rPr>
          <w:sz w:val="20"/>
          <w:szCs w:val="20"/>
        </w:rPr>
        <w:t>or</w:t>
      </w:r>
      <w:r w:rsidR="002D7D00" w:rsidRPr="008B61E2">
        <w:rPr>
          <w:sz w:val="20"/>
          <w:szCs w:val="20"/>
        </w:rPr>
        <w:t xml:space="preserve"> </w:t>
      </w:r>
      <w:r w:rsidRPr="008B61E2">
        <w:rPr>
          <w:sz w:val="20"/>
          <w:szCs w:val="20"/>
        </w:rPr>
        <w:t>other communities</w:t>
      </w:r>
      <w:r w:rsidR="002D7D00">
        <w:rPr>
          <w:sz w:val="20"/>
          <w:szCs w:val="20"/>
        </w:rPr>
        <w:t>,</w:t>
      </w:r>
      <w:r w:rsidRPr="008B61E2">
        <w:rPr>
          <w:sz w:val="20"/>
          <w:szCs w:val="20"/>
        </w:rPr>
        <w:t xml:space="preserve"> such as persons of African descent living in informal settlements. Under </w:t>
      </w:r>
      <w:r w:rsidR="002D7D00">
        <w:rPr>
          <w:sz w:val="20"/>
          <w:szCs w:val="20"/>
        </w:rPr>
        <w:t>the</w:t>
      </w:r>
      <w:r w:rsidR="002D7D00" w:rsidRPr="008B61E2">
        <w:rPr>
          <w:sz w:val="20"/>
          <w:szCs w:val="20"/>
        </w:rPr>
        <w:t xml:space="preserve"> </w:t>
      </w:r>
      <w:r w:rsidRPr="008B61E2">
        <w:rPr>
          <w:sz w:val="20"/>
          <w:szCs w:val="20"/>
        </w:rPr>
        <w:t>programme</w:t>
      </w:r>
      <w:r w:rsidR="002D7D00">
        <w:rPr>
          <w:sz w:val="20"/>
          <w:szCs w:val="20"/>
        </w:rPr>
        <w:t>,</w:t>
      </w:r>
      <w:r w:rsidRPr="008B61E2">
        <w:rPr>
          <w:sz w:val="20"/>
          <w:szCs w:val="20"/>
        </w:rPr>
        <w:t xml:space="preserve"> municipalities acquire buildings or dwellings</w:t>
      </w:r>
      <w:r w:rsidR="002D7D00">
        <w:rPr>
          <w:sz w:val="20"/>
          <w:szCs w:val="20"/>
        </w:rPr>
        <w:t>, which</w:t>
      </w:r>
      <w:r w:rsidRPr="008B61E2">
        <w:rPr>
          <w:sz w:val="20"/>
          <w:szCs w:val="20"/>
        </w:rPr>
        <w:t xml:space="preserve"> they refurbish </w:t>
      </w:r>
      <w:r w:rsidR="00752A75">
        <w:rPr>
          <w:sz w:val="20"/>
          <w:szCs w:val="20"/>
        </w:rPr>
        <w:t>for the relocation of</w:t>
      </w:r>
      <w:r w:rsidRPr="008B61E2">
        <w:rPr>
          <w:sz w:val="20"/>
          <w:szCs w:val="20"/>
        </w:rPr>
        <w:t xml:space="preserve"> households included in the</w:t>
      </w:r>
      <w:r w:rsidR="006D52A2">
        <w:rPr>
          <w:sz w:val="20"/>
          <w:szCs w:val="20"/>
        </w:rPr>
        <w:t xml:space="preserve"> 1993/95</w:t>
      </w:r>
      <w:r w:rsidRPr="008B61E2">
        <w:rPr>
          <w:sz w:val="20"/>
          <w:szCs w:val="20"/>
        </w:rPr>
        <w:t xml:space="preserve"> survey</w:t>
      </w:r>
      <w:r w:rsidR="006D52A2">
        <w:rPr>
          <w:sz w:val="20"/>
          <w:szCs w:val="20"/>
        </w:rPr>
        <w:t xml:space="preserve"> (see para. 34 above)</w:t>
      </w:r>
      <w:r w:rsidRPr="008B61E2">
        <w:rPr>
          <w:sz w:val="20"/>
          <w:szCs w:val="20"/>
        </w:rPr>
        <w:t>.</w:t>
      </w:r>
    </w:p>
    <w:p w:rsidR="00C07932" w:rsidRPr="008B61E2" w:rsidRDefault="0048528F" w:rsidP="008B61E2">
      <w:pPr>
        <w:pStyle w:val="SingleTxtG"/>
        <w:rPr>
          <w:sz w:val="20"/>
          <w:szCs w:val="20"/>
        </w:rPr>
      </w:pPr>
      <w:r w:rsidRPr="008B61E2">
        <w:rPr>
          <w:sz w:val="20"/>
          <w:szCs w:val="20"/>
        </w:rPr>
        <w:t>5</w:t>
      </w:r>
      <w:r w:rsidR="00BD491C">
        <w:rPr>
          <w:sz w:val="20"/>
          <w:szCs w:val="20"/>
        </w:rPr>
        <w:t>6</w:t>
      </w:r>
      <w:r w:rsidRPr="008B61E2">
        <w:rPr>
          <w:sz w:val="20"/>
          <w:szCs w:val="20"/>
        </w:rPr>
        <w:t>.</w:t>
      </w:r>
      <w:r w:rsidRPr="008B61E2">
        <w:rPr>
          <w:sz w:val="20"/>
          <w:szCs w:val="20"/>
        </w:rPr>
        <w:tab/>
        <w:t>Under the PER programme</w:t>
      </w:r>
      <w:r w:rsidR="00752A75">
        <w:rPr>
          <w:sz w:val="20"/>
          <w:szCs w:val="20"/>
        </w:rPr>
        <w:t>,</w:t>
      </w:r>
      <w:r w:rsidRPr="008B61E2">
        <w:rPr>
          <w:sz w:val="20"/>
          <w:szCs w:val="20"/>
        </w:rPr>
        <w:t xml:space="preserve"> 17,000 social housing units </w:t>
      </w:r>
      <w:r w:rsidR="00752A75">
        <w:rPr>
          <w:sz w:val="20"/>
          <w:szCs w:val="20"/>
        </w:rPr>
        <w:t>have been</w:t>
      </w:r>
      <w:r w:rsidR="00752A75" w:rsidRPr="008B61E2">
        <w:rPr>
          <w:sz w:val="20"/>
          <w:szCs w:val="20"/>
        </w:rPr>
        <w:t xml:space="preserve"> </w:t>
      </w:r>
      <w:r w:rsidRPr="008B61E2">
        <w:rPr>
          <w:sz w:val="20"/>
          <w:szCs w:val="20"/>
        </w:rPr>
        <w:t>built</w:t>
      </w:r>
      <w:r w:rsidR="00752A75">
        <w:rPr>
          <w:sz w:val="20"/>
          <w:szCs w:val="20"/>
        </w:rPr>
        <w:t>,</w:t>
      </w:r>
      <w:r w:rsidRPr="008B61E2">
        <w:rPr>
          <w:sz w:val="20"/>
          <w:szCs w:val="20"/>
        </w:rPr>
        <w:t xml:space="preserve"> </w:t>
      </w:r>
      <w:r w:rsidR="00752A75">
        <w:rPr>
          <w:sz w:val="20"/>
          <w:szCs w:val="20"/>
        </w:rPr>
        <w:t>for the benefit of</w:t>
      </w:r>
      <w:r w:rsidR="00752A75" w:rsidRPr="008B61E2">
        <w:rPr>
          <w:sz w:val="20"/>
          <w:szCs w:val="20"/>
        </w:rPr>
        <w:t xml:space="preserve"> </w:t>
      </w:r>
      <w:r w:rsidRPr="008B61E2">
        <w:rPr>
          <w:sz w:val="20"/>
          <w:szCs w:val="20"/>
        </w:rPr>
        <w:t xml:space="preserve">thousands of households. </w:t>
      </w:r>
      <w:r w:rsidR="00752A75">
        <w:rPr>
          <w:sz w:val="20"/>
          <w:szCs w:val="20"/>
        </w:rPr>
        <w:t>B</w:t>
      </w:r>
      <w:r w:rsidRPr="008B61E2">
        <w:rPr>
          <w:sz w:val="20"/>
          <w:szCs w:val="20"/>
        </w:rPr>
        <w:t xml:space="preserve">ecause the units </w:t>
      </w:r>
      <w:r w:rsidR="00752A75">
        <w:rPr>
          <w:sz w:val="20"/>
          <w:szCs w:val="20"/>
        </w:rPr>
        <w:t>have been</w:t>
      </w:r>
      <w:r w:rsidR="00752A75" w:rsidRPr="008B61E2">
        <w:rPr>
          <w:sz w:val="20"/>
          <w:szCs w:val="20"/>
        </w:rPr>
        <w:t xml:space="preserve"> </w:t>
      </w:r>
      <w:r w:rsidRPr="008B61E2">
        <w:rPr>
          <w:sz w:val="20"/>
          <w:szCs w:val="20"/>
        </w:rPr>
        <w:t xml:space="preserve">built as enclaves on the outskirts of cities, </w:t>
      </w:r>
      <w:r w:rsidR="00752A75">
        <w:rPr>
          <w:sz w:val="20"/>
          <w:szCs w:val="20"/>
        </w:rPr>
        <w:t>h</w:t>
      </w:r>
      <w:r w:rsidR="00752A75" w:rsidRPr="0048528F">
        <w:rPr>
          <w:sz w:val="20"/>
          <w:szCs w:val="20"/>
        </w:rPr>
        <w:t xml:space="preserve">owever, </w:t>
      </w:r>
      <w:r w:rsidRPr="008B61E2">
        <w:rPr>
          <w:sz w:val="20"/>
          <w:szCs w:val="20"/>
        </w:rPr>
        <w:t xml:space="preserve">there is concern that </w:t>
      </w:r>
      <w:r w:rsidR="00752A75">
        <w:rPr>
          <w:sz w:val="20"/>
          <w:szCs w:val="20"/>
        </w:rPr>
        <w:t>the programme</w:t>
      </w:r>
      <w:r w:rsidR="00752A75" w:rsidRPr="008B61E2">
        <w:rPr>
          <w:sz w:val="20"/>
          <w:szCs w:val="20"/>
        </w:rPr>
        <w:t xml:space="preserve"> </w:t>
      </w:r>
      <w:r w:rsidRPr="008B61E2">
        <w:rPr>
          <w:sz w:val="20"/>
          <w:szCs w:val="20"/>
        </w:rPr>
        <w:t>has led to ghettoization and social exclusion</w:t>
      </w:r>
      <w:r w:rsidR="00752A75">
        <w:rPr>
          <w:sz w:val="20"/>
          <w:szCs w:val="20"/>
        </w:rPr>
        <w:t>,</w:t>
      </w:r>
      <w:r w:rsidRPr="008B61E2">
        <w:rPr>
          <w:sz w:val="20"/>
          <w:szCs w:val="20"/>
        </w:rPr>
        <w:t xml:space="preserve"> </w:t>
      </w:r>
      <w:r w:rsidR="00752A75">
        <w:rPr>
          <w:sz w:val="20"/>
          <w:szCs w:val="20"/>
        </w:rPr>
        <w:t>owing also</w:t>
      </w:r>
      <w:r w:rsidRPr="008B61E2">
        <w:rPr>
          <w:sz w:val="20"/>
          <w:szCs w:val="20"/>
        </w:rPr>
        <w:t xml:space="preserve"> to a lack of efficient </w:t>
      </w:r>
      <w:r w:rsidR="00752A75">
        <w:rPr>
          <w:sz w:val="20"/>
          <w:szCs w:val="20"/>
        </w:rPr>
        <w:t xml:space="preserve">forms of </w:t>
      </w:r>
      <w:r w:rsidRPr="008B61E2">
        <w:rPr>
          <w:sz w:val="20"/>
          <w:szCs w:val="20"/>
        </w:rPr>
        <w:t>transportation to city centres.</w:t>
      </w:r>
    </w:p>
    <w:p w:rsidR="00C07932" w:rsidRPr="008B61E2" w:rsidRDefault="0048528F" w:rsidP="008B61E2">
      <w:pPr>
        <w:pStyle w:val="SingleTxtG"/>
        <w:rPr>
          <w:sz w:val="20"/>
          <w:szCs w:val="20"/>
        </w:rPr>
      </w:pPr>
      <w:r w:rsidRPr="008B61E2">
        <w:rPr>
          <w:sz w:val="20"/>
          <w:szCs w:val="20"/>
        </w:rPr>
        <w:t>5</w:t>
      </w:r>
      <w:r w:rsidR="00BD491C">
        <w:rPr>
          <w:sz w:val="20"/>
          <w:szCs w:val="20"/>
        </w:rPr>
        <w:t>7</w:t>
      </w:r>
      <w:r w:rsidRPr="008B61E2">
        <w:rPr>
          <w:sz w:val="20"/>
          <w:szCs w:val="20"/>
        </w:rPr>
        <w:t>.</w:t>
      </w:r>
      <w:r w:rsidRPr="008B61E2">
        <w:rPr>
          <w:sz w:val="20"/>
          <w:szCs w:val="20"/>
        </w:rPr>
        <w:tab/>
        <w:t xml:space="preserve">In Lisbon, the Special Rapporteur visited social housing that was in </w:t>
      </w:r>
      <w:r w:rsidR="00EF1599">
        <w:rPr>
          <w:sz w:val="20"/>
          <w:szCs w:val="20"/>
        </w:rPr>
        <w:t xml:space="preserve">a </w:t>
      </w:r>
      <w:r w:rsidRPr="008B61E2">
        <w:rPr>
          <w:sz w:val="20"/>
          <w:szCs w:val="20"/>
        </w:rPr>
        <w:t xml:space="preserve">serious state of neglect and disrepair. In one particularly </w:t>
      </w:r>
      <w:r w:rsidR="00EF1599">
        <w:rPr>
          <w:sz w:val="20"/>
          <w:szCs w:val="20"/>
        </w:rPr>
        <w:t>derelict</w:t>
      </w:r>
      <w:r w:rsidR="00EF1599" w:rsidRPr="008B61E2">
        <w:rPr>
          <w:sz w:val="20"/>
          <w:szCs w:val="20"/>
        </w:rPr>
        <w:t xml:space="preserve"> </w:t>
      </w:r>
      <w:r w:rsidRPr="008B61E2">
        <w:rPr>
          <w:sz w:val="20"/>
          <w:szCs w:val="20"/>
        </w:rPr>
        <w:t xml:space="preserve">neighbourhood, built 16 years ago, </w:t>
      </w:r>
      <w:r w:rsidR="00EF1599">
        <w:rPr>
          <w:sz w:val="20"/>
          <w:szCs w:val="20"/>
        </w:rPr>
        <w:t>beneath</w:t>
      </w:r>
      <w:r w:rsidRPr="008B61E2">
        <w:rPr>
          <w:sz w:val="20"/>
          <w:szCs w:val="20"/>
        </w:rPr>
        <w:t xml:space="preserve"> the flight path </w:t>
      </w:r>
      <w:r w:rsidR="00EF1599">
        <w:rPr>
          <w:sz w:val="20"/>
          <w:szCs w:val="20"/>
        </w:rPr>
        <w:t xml:space="preserve">of </w:t>
      </w:r>
      <w:r w:rsidRPr="008B61E2">
        <w:rPr>
          <w:sz w:val="20"/>
          <w:szCs w:val="20"/>
        </w:rPr>
        <w:t>the airport</w:t>
      </w:r>
      <w:r w:rsidR="00EF1599">
        <w:rPr>
          <w:sz w:val="20"/>
          <w:szCs w:val="20"/>
        </w:rPr>
        <w:t xml:space="preserve"> nearby</w:t>
      </w:r>
      <w:r w:rsidRPr="008B61E2">
        <w:rPr>
          <w:sz w:val="20"/>
          <w:szCs w:val="20"/>
        </w:rPr>
        <w:t xml:space="preserve">, buildings </w:t>
      </w:r>
      <w:r w:rsidR="00EF1599">
        <w:rPr>
          <w:sz w:val="20"/>
          <w:szCs w:val="20"/>
        </w:rPr>
        <w:t>were</w:t>
      </w:r>
      <w:r w:rsidR="00EF1599" w:rsidRPr="008B61E2">
        <w:rPr>
          <w:sz w:val="20"/>
          <w:szCs w:val="20"/>
        </w:rPr>
        <w:t xml:space="preserve"> </w:t>
      </w:r>
      <w:r w:rsidRPr="008B61E2">
        <w:rPr>
          <w:sz w:val="20"/>
          <w:szCs w:val="20"/>
        </w:rPr>
        <w:t>crumbling, with cracked foundations and walls, exposed wir</w:t>
      </w:r>
      <w:r w:rsidR="00EF1599">
        <w:rPr>
          <w:sz w:val="20"/>
          <w:szCs w:val="20"/>
        </w:rPr>
        <w:t>ing</w:t>
      </w:r>
      <w:r w:rsidRPr="008B61E2">
        <w:rPr>
          <w:sz w:val="20"/>
          <w:szCs w:val="20"/>
        </w:rPr>
        <w:t xml:space="preserve">, sewage problems, a lack of </w:t>
      </w:r>
      <w:r w:rsidR="00EF1599">
        <w:rPr>
          <w:sz w:val="20"/>
          <w:szCs w:val="20"/>
        </w:rPr>
        <w:t>recreational areas for</w:t>
      </w:r>
      <w:r w:rsidR="00EF1599" w:rsidRPr="008B61E2">
        <w:rPr>
          <w:sz w:val="20"/>
          <w:szCs w:val="20"/>
        </w:rPr>
        <w:t xml:space="preserve"> </w:t>
      </w:r>
      <w:r w:rsidRPr="008B61E2">
        <w:rPr>
          <w:sz w:val="20"/>
          <w:szCs w:val="20"/>
        </w:rPr>
        <w:t>children</w:t>
      </w:r>
      <w:r w:rsidR="00EF1599">
        <w:rPr>
          <w:sz w:val="20"/>
          <w:szCs w:val="20"/>
        </w:rPr>
        <w:t>,</w:t>
      </w:r>
      <w:r w:rsidRPr="008B61E2">
        <w:rPr>
          <w:sz w:val="20"/>
          <w:szCs w:val="20"/>
        </w:rPr>
        <w:t xml:space="preserve"> and </w:t>
      </w:r>
      <w:r w:rsidR="00EF1599">
        <w:rPr>
          <w:sz w:val="20"/>
          <w:szCs w:val="20"/>
        </w:rPr>
        <w:t>dirty,</w:t>
      </w:r>
      <w:r w:rsidRPr="008B61E2">
        <w:rPr>
          <w:sz w:val="20"/>
          <w:szCs w:val="20"/>
        </w:rPr>
        <w:t xml:space="preserve"> poorly lit common areas. In some cases</w:t>
      </w:r>
      <w:r w:rsidR="00EF1599">
        <w:rPr>
          <w:sz w:val="20"/>
          <w:szCs w:val="20"/>
        </w:rPr>
        <w:t>,</w:t>
      </w:r>
      <w:r w:rsidRPr="008B61E2">
        <w:rPr>
          <w:sz w:val="20"/>
          <w:szCs w:val="20"/>
        </w:rPr>
        <w:t xml:space="preserve"> empty units </w:t>
      </w:r>
      <w:r w:rsidR="00EF1599">
        <w:rPr>
          <w:sz w:val="20"/>
          <w:szCs w:val="20"/>
        </w:rPr>
        <w:t>were</w:t>
      </w:r>
      <w:r w:rsidR="00EF1599" w:rsidRPr="008B61E2">
        <w:rPr>
          <w:sz w:val="20"/>
          <w:szCs w:val="20"/>
        </w:rPr>
        <w:t xml:space="preserve"> </w:t>
      </w:r>
      <w:r w:rsidRPr="008B61E2">
        <w:rPr>
          <w:sz w:val="20"/>
          <w:szCs w:val="20"/>
        </w:rPr>
        <w:t>simply boarded</w:t>
      </w:r>
      <w:r w:rsidR="00EF1599">
        <w:rPr>
          <w:sz w:val="20"/>
          <w:szCs w:val="20"/>
        </w:rPr>
        <w:t>-</w:t>
      </w:r>
      <w:r w:rsidRPr="008B61E2">
        <w:rPr>
          <w:sz w:val="20"/>
          <w:szCs w:val="20"/>
        </w:rPr>
        <w:t>up, unused despite exceptionally long waiting lists. The Special Rapporteur was also informed that lack of sufficient social housing ha</w:t>
      </w:r>
      <w:r w:rsidR="00EF1599">
        <w:rPr>
          <w:sz w:val="20"/>
          <w:szCs w:val="20"/>
        </w:rPr>
        <w:t>d</w:t>
      </w:r>
      <w:r w:rsidRPr="008B61E2">
        <w:rPr>
          <w:sz w:val="20"/>
          <w:szCs w:val="20"/>
        </w:rPr>
        <w:t xml:space="preserve"> led to overcrowding. According to INE</w:t>
      </w:r>
      <w:r w:rsidR="00EF1599">
        <w:rPr>
          <w:sz w:val="20"/>
          <w:szCs w:val="20"/>
        </w:rPr>
        <w:t>,</w:t>
      </w:r>
      <w:r w:rsidRPr="008B61E2">
        <w:rPr>
          <w:sz w:val="20"/>
          <w:szCs w:val="20"/>
        </w:rPr>
        <w:t xml:space="preserve"> </w:t>
      </w:r>
      <w:r w:rsidR="00EF1599">
        <w:rPr>
          <w:sz w:val="20"/>
          <w:szCs w:val="20"/>
        </w:rPr>
        <w:t xml:space="preserve">in 2012, </w:t>
      </w:r>
      <w:r w:rsidRPr="008B61E2">
        <w:rPr>
          <w:sz w:val="20"/>
          <w:szCs w:val="20"/>
        </w:rPr>
        <w:t>the proportion of overcrowded primary residencies in Portugal represented 11</w:t>
      </w:r>
      <w:r w:rsidR="00141CBF">
        <w:rPr>
          <w:sz w:val="20"/>
          <w:szCs w:val="20"/>
        </w:rPr>
        <w:t xml:space="preserve"> per cent</w:t>
      </w:r>
      <w:r w:rsidRPr="008B61E2">
        <w:rPr>
          <w:sz w:val="20"/>
          <w:szCs w:val="20"/>
        </w:rPr>
        <w:t xml:space="preserve"> of total</w:t>
      </w:r>
      <w:r w:rsidR="00EF1599">
        <w:rPr>
          <w:sz w:val="20"/>
          <w:szCs w:val="20"/>
        </w:rPr>
        <w:t xml:space="preserve"> housing</w:t>
      </w:r>
      <w:r w:rsidRPr="008B61E2">
        <w:rPr>
          <w:sz w:val="20"/>
          <w:szCs w:val="20"/>
        </w:rPr>
        <w:t>.</w:t>
      </w:r>
    </w:p>
    <w:p w:rsidR="00C07932" w:rsidRPr="008B61E2" w:rsidRDefault="0048528F" w:rsidP="008B61E2">
      <w:pPr>
        <w:pStyle w:val="SingleTxtG"/>
        <w:rPr>
          <w:sz w:val="20"/>
          <w:szCs w:val="20"/>
        </w:rPr>
      </w:pPr>
      <w:r w:rsidRPr="008B61E2">
        <w:rPr>
          <w:sz w:val="20"/>
          <w:szCs w:val="20"/>
        </w:rPr>
        <w:t>5</w:t>
      </w:r>
      <w:r w:rsidR="00BD491C">
        <w:rPr>
          <w:sz w:val="20"/>
          <w:szCs w:val="20"/>
        </w:rPr>
        <w:t>8</w:t>
      </w:r>
      <w:r w:rsidRPr="008B61E2">
        <w:rPr>
          <w:sz w:val="20"/>
          <w:szCs w:val="20"/>
        </w:rPr>
        <w:t>.</w:t>
      </w:r>
      <w:r w:rsidRPr="008B61E2">
        <w:rPr>
          <w:sz w:val="20"/>
          <w:szCs w:val="20"/>
        </w:rPr>
        <w:tab/>
        <w:t xml:space="preserve">The Special Rapporteur </w:t>
      </w:r>
      <w:r w:rsidR="008D44E7">
        <w:rPr>
          <w:sz w:val="20"/>
          <w:szCs w:val="20"/>
        </w:rPr>
        <w:t>was unable to</w:t>
      </w:r>
      <w:r w:rsidR="008D44E7" w:rsidRPr="008B61E2">
        <w:rPr>
          <w:sz w:val="20"/>
          <w:szCs w:val="20"/>
        </w:rPr>
        <w:t xml:space="preserve"> </w:t>
      </w:r>
      <w:r w:rsidRPr="008B61E2">
        <w:rPr>
          <w:sz w:val="20"/>
          <w:szCs w:val="20"/>
        </w:rPr>
        <w:t xml:space="preserve">find reliable information </w:t>
      </w:r>
      <w:r w:rsidR="008D44E7">
        <w:rPr>
          <w:sz w:val="20"/>
          <w:szCs w:val="20"/>
        </w:rPr>
        <w:t>on</w:t>
      </w:r>
      <w:r w:rsidR="008D44E7" w:rsidRPr="008B61E2">
        <w:rPr>
          <w:sz w:val="20"/>
          <w:szCs w:val="20"/>
        </w:rPr>
        <w:t xml:space="preserve"> </w:t>
      </w:r>
      <w:r w:rsidR="008D44E7">
        <w:rPr>
          <w:sz w:val="20"/>
          <w:szCs w:val="20"/>
        </w:rPr>
        <w:t>the</w:t>
      </w:r>
      <w:r w:rsidR="008D44E7" w:rsidRPr="008B61E2">
        <w:rPr>
          <w:sz w:val="20"/>
          <w:szCs w:val="20"/>
        </w:rPr>
        <w:t xml:space="preserve"> </w:t>
      </w:r>
      <w:r w:rsidRPr="008B61E2">
        <w:rPr>
          <w:sz w:val="20"/>
          <w:szCs w:val="20"/>
        </w:rPr>
        <w:t xml:space="preserve">percentage of national and municipal budgets </w:t>
      </w:r>
      <w:r w:rsidR="008D44E7">
        <w:rPr>
          <w:sz w:val="20"/>
          <w:szCs w:val="20"/>
        </w:rPr>
        <w:t>allocated</w:t>
      </w:r>
      <w:r w:rsidRPr="008B61E2">
        <w:rPr>
          <w:sz w:val="20"/>
          <w:szCs w:val="20"/>
        </w:rPr>
        <w:t xml:space="preserve"> to </w:t>
      </w:r>
      <w:r w:rsidR="008D44E7">
        <w:rPr>
          <w:sz w:val="20"/>
          <w:szCs w:val="20"/>
        </w:rPr>
        <w:t xml:space="preserve">the </w:t>
      </w:r>
      <w:r w:rsidRPr="008B61E2">
        <w:rPr>
          <w:sz w:val="20"/>
          <w:szCs w:val="20"/>
        </w:rPr>
        <w:t>maint</w:t>
      </w:r>
      <w:r w:rsidR="008D44E7">
        <w:rPr>
          <w:sz w:val="20"/>
          <w:szCs w:val="20"/>
        </w:rPr>
        <w:t>e</w:t>
      </w:r>
      <w:r w:rsidRPr="008B61E2">
        <w:rPr>
          <w:sz w:val="20"/>
          <w:szCs w:val="20"/>
        </w:rPr>
        <w:t>n</w:t>
      </w:r>
      <w:r w:rsidR="008D44E7">
        <w:rPr>
          <w:sz w:val="20"/>
          <w:szCs w:val="20"/>
        </w:rPr>
        <w:t xml:space="preserve">ance </w:t>
      </w:r>
      <w:r w:rsidRPr="008B61E2">
        <w:rPr>
          <w:sz w:val="20"/>
          <w:szCs w:val="20"/>
        </w:rPr>
        <w:t xml:space="preserve">and </w:t>
      </w:r>
      <w:r w:rsidR="008D44E7">
        <w:rPr>
          <w:sz w:val="20"/>
          <w:szCs w:val="20"/>
        </w:rPr>
        <w:t>construction of</w:t>
      </w:r>
      <w:r w:rsidR="008D44E7" w:rsidRPr="008B61E2">
        <w:rPr>
          <w:sz w:val="20"/>
          <w:szCs w:val="20"/>
        </w:rPr>
        <w:t xml:space="preserve"> </w:t>
      </w:r>
      <w:r w:rsidRPr="008B61E2">
        <w:rPr>
          <w:sz w:val="20"/>
          <w:szCs w:val="20"/>
        </w:rPr>
        <w:t xml:space="preserve">social housing. </w:t>
      </w:r>
      <w:r w:rsidR="008D44E7">
        <w:rPr>
          <w:sz w:val="20"/>
          <w:szCs w:val="20"/>
        </w:rPr>
        <w:t>I</w:t>
      </w:r>
      <w:r w:rsidRPr="008B61E2">
        <w:rPr>
          <w:sz w:val="20"/>
          <w:szCs w:val="20"/>
        </w:rPr>
        <w:t xml:space="preserve">n keeping with the </w:t>
      </w:r>
      <w:r w:rsidR="008D44E7">
        <w:rPr>
          <w:sz w:val="20"/>
          <w:szCs w:val="20"/>
        </w:rPr>
        <w:t>m</w:t>
      </w:r>
      <w:r w:rsidRPr="008B61E2">
        <w:rPr>
          <w:sz w:val="20"/>
          <w:szCs w:val="20"/>
        </w:rPr>
        <w:t xml:space="preserve">emorandum of </w:t>
      </w:r>
      <w:r w:rsidR="008D44E7">
        <w:rPr>
          <w:sz w:val="20"/>
          <w:szCs w:val="20"/>
        </w:rPr>
        <w:t>u</w:t>
      </w:r>
      <w:r w:rsidRPr="008B61E2">
        <w:rPr>
          <w:sz w:val="20"/>
          <w:szCs w:val="20"/>
        </w:rPr>
        <w:t xml:space="preserve">nderstanding, the focus of policies and programmes </w:t>
      </w:r>
      <w:r w:rsidR="008D44E7">
        <w:rPr>
          <w:sz w:val="20"/>
          <w:szCs w:val="20"/>
        </w:rPr>
        <w:t>implemented by</w:t>
      </w:r>
      <w:r w:rsidR="008D44E7" w:rsidRPr="008B61E2">
        <w:rPr>
          <w:sz w:val="20"/>
          <w:szCs w:val="20"/>
        </w:rPr>
        <w:t xml:space="preserve"> </w:t>
      </w:r>
      <w:r w:rsidRPr="008B61E2">
        <w:rPr>
          <w:sz w:val="20"/>
          <w:szCs w:val="20"/>
        </w:rPr>
        <w:t xml:space="preserve">the Government </w:t>
      </w:r>
      <w:r w:rsidR="008D44E7">
        <w:rPr>
          <w:sz w:val="20"/>
          <w:szCs w:val="20"/>
        </w:rPr>
        <w:t>and</w:t>
      </w:r>
      <w:r w:rsidRPr="008B61E2">
        <w:rPr>
          <w:sz w:val="20"/>
          <w:szCs w:val="20"/>
        </w:rPr>
        <w:t xml:space="preserve"> municipal</w:t>
      </w:r>
      <w:r w:rsidR="008D44E7">
        <w:rPr>
          <w:sz w:val="20"/>
          <w:szCs w:val="20"/>
        </w:rPr>
        <w:t xml:space="preserve"> authorities</w:t>
      </w:r>
      <w:r w:rsidRPr="008B61E2">
        <w:rPr>
          <w:sz w:val="20"/>
          <w:szCs w:val="20"/>
        </w:rPr>
        <w:t xml:space="preserve"> </w:t>
      </w:r>
      <w:r w:rsidR="008D44E7">
        <w:rPr>
          <w:sz w:val="20"/>
          <w:szCs w:val="20"/>
        </w:rPr>
        <w:t>is</w:t>
      </w:r>
      <w:r w:rsidR="008D44E7" w:rsidRPr="008B61E2">
        <w:rPr>
          <w:sz w:val="20"/>
          <w:szCs w:val="20"/>
        </w:rPr>
        <w:t xml:space="preserve"> </w:t>
      </w:r>
      <w:r w:rsidRPr="008B61E2">
        <w:rPr>
          <w:sz w:val="20"/>
          <w:szCs w:val="20"/>
        </w:rPr>
        <w:t xml:space="preserve">on </w:t>
      </w:r>
      <w:r w:rsidR="008D44E7">
        <w:rPr>
          <w:sz w:val="20"/>
          <w:szCs w:val="20"/>
        </w:rPr>
        <w:t xml:space="preserve">the </w:t>
      </w:r>
      <w:r w:rsidRPr="008B61E2">
        <w:rPr>
          <w:sz w:val="20"/>
          <w:szCs w:val="20"/>
        </w:rPr>
        <w:t>creati</w:t>
      </w:r>
      <w:r w:rsidR="008D44E7">
        <w:rPr>
          <w:sz w:val="20"/>
          <w:szCs w:val="20"/>
        </w:rPr>
        <w:t>o</w:t>
      </w:r>
      <w:r w:rsidRPr="008B61E2">
        <w:rPr>
          <w:sz w:val="20"/>
          <w:szCs w:val="20"/>
        </w:rPr>
        <w:t xml:space="preserve">n </w:t>
      </w:r>
      <w:r w:rsidR="008D44E7">
        <w:rPr>
          <w:sz w:val="20"/>
          <w:szCs w:val="20"/>
        </w:rPr>
        <w:t xml:space="preserve">of </w:t>
      </w:r>
      <w:r w:rsidRPr="008B61E2">
        <w:rPr>
          <w:sz w:val="20"/>
          <w:szCs w:val="20"/>
        </w:rPr>
        <w:t>private</w:t>
      </w:r>
      <w:r w:rsidR="008D44E7">
        <w:rPr>
          <w:sz w:val="20"/>
          <w:szCs w:val="20"/>
        </w:rPr>
        <w:t>,</w:t>
      </w:r>
      <w:r w:rsidRPr="008B61E2">
        <w:rPr>
          <w:sz w:val="20"/>
          <w:szCs w:val="20"/>
        </w:rPr>
        <w:t xml:space="preserve"> market-based housing options for the working poor. The Special Rapporteur was </w:t>
      </w:r>
      <w:r w:rsidR="008D44E7">
        <w:rPr>
          <w:sz w:val="20"/>
          <w:szCs w:val="20"/>
        </w:rPr>
        <w:t>informed</w:t>
      </w:r>
      <w:r w:rsidR="008D44E7" w:rsidRPr="008B61E2">
        <w:rPr>
          <w:sz w:val="20"/>
          <w:szCs w:val="20"/>
        </w:rPr>
        <w:t xml:space="preserve"> </w:t>
      </w:r>
      <w:r w:rsidRPr="008B61E2">
        <w:rPr>
          <w:sz w:val="20"/>
          <w:szCs w:val="20"/>
        </w:rPr>
        <w:t>that</w:t>
      </w:r>
      <w:r w:rsidR="008D44E7">
        <w:rPr>
          <w:sz w:val="20"/>
          <w:szCs w:val="20"/>
        </w:rPr>
        <w:t>,</w:t>
      </w:r>
      <w:r w:rsidRPr="008B61E2">
        <w:rPr>
          <w:sz w:val="20"/>
          <w:szCs w:val="20"/>
        </w:rPr>
        <w:t xml:space="preserve"> in Porto</w:t>
      </w:r>
      <w:r w:rsidR="008D44E7">
        <w:rPr>
          <w:sz w:val="20"/>
          <w:szCs w:val="20"/>
        </w:rPr>
        <w:t>,</w:t>
      </w:r>
      <w:r w:rsidRPr="008B61E2">
        <w:rPr>
          <w:sz w:val="20"/>
          <w:szCs w:val="20"/>
        </w:rPr>
        <w:t xml:space="preserve"> not a single new unit of social housing had been built since the 1990s. This was explained as being related to a lack of available resources, and also to </w:t>
      </w:r>
      <w:r w:rsidR="008D44E7">
        <w:rPr>
          <w:sz w:val="20"/>
          <w:szCs w:val="20"/>
        </w:rPr>
        <w:t xml:space="preserve">the </w:t>
      </w:r>
      <w:r w:rsidRPr="008B61E2">
        <w:rPr>
          <w:sz w:val="20"/>
          <w:szCs w:val="20"/>
        </w:rPr>
        <w:t xml:space="preserve">priority given to rehabilitation of existing housing stock. </w:t>
      </w:r>
    </w:p>
    <w:p w:rsidR="00C07932" w:rsidRPr="008B61E2" w:rsidRDefault="0048528F" w:rsidP="008B61E2">
      <w:pPr>
        <w:pStyle w:val="SingleTxtG"/>
        <w:rPr>
          <w:sz w:val="20"/>
          <w:szCs w:val="20"/>
        </w:rPr>
      </w:pPr>
      <w:r w:rsidRPr="008B61E2">
        <w:rPr>
          <w:sz w:val="20"/>
          <w:szCs w:val="20"/>
        </w:rPr>
        <w:t>5</w:t>
      </w:r>
      <w:r w:rsidR="00BD491C">
        <w:rPr>
          <w:sz w:val="20"/>
          <w:szCs w:val="20"/>
        </w:rPr>
        <w:t>9</w:t>
      </w:r>
      <w:r w:rsidRPr="008B61E2">
        <w:rPr>
          <w:sz w:val="20"/>
          <w:szCs w:val="20"/>
        </w:rPr>
        <w:t>.</w:t>
      </w:r>
      <w:r w:rsidRPr="008B61E2">
        <w:rPr>
          <w:sz w:val="20"/>
          <w:szCs w:val="20"/>
        </w:rPr>
        <w:tab/>
        <w:t xml:space="preserve">The Special Rapporteur was pleased to learn that changes to the eligibility criteria for social housing and the manner in which </w:t>
      </w:r>
      <w:r w:rsidR="008D44E7">
        <w:rPr>
          <w:sz w:val="20"/>
          <w:szCs w:val="20"/>
        </w:rPr>
        <w:t xml:space="preserve">housing was </w:t>
      </w:r>
      <w:r w:rsidRPr="008B61E2">
        <w:rPr>
          <w:sz w:val="20"/>
          <w:szCs w:val="20"/>
        </w:rPr>
        <w:t xml:space="preserve">allocated </w:t>
      </w:r>
      <w:r w:rsidR="008D44E7">
        <w:rPr>
          <w:sz w:val="20"/>
          <w:szCs w:val="20"/>
        </w:rPr>
        <w:t>were under way</w:t>
      </w:r>
      <w:r w:rsidR="008D44E7" w:rsidRPr="008B61E2">
        <w:rPr>
          <w:sz w:val="20"/>
          <w:szCs w:val="20"/>
        </w:rPr>
        <w:t xml:space="preserve"> </w:t>
      </w:r>
      <w:r w:rsidRPr="008B61E2">
        <w:rPr>
          <w:sz w:val="20"/>
          <w:szCs w:val="20"/>
        </w:rPr>
        <w:t xml:space="preserve">in Lisbon, </w:t>
      </w:r>
      <w:r w:rsidR="008D44E7">
        <w:rPr>
          <w:sz w:val="20"/>
          <w:szCs w:val="20"/>
        </w:rPr>
        <w:t>al</w:t>
      </w:r>
      <w:r w:rsidRPr="008B61E2">
        <w:rPr>
          <w:sz w:val="20"/>
          <w:szCs w:val="20"/>
        </w:rPr>
        <w:t xml:space="preserve">though it is difficult to determine </w:t>
      </w:r>
      <w:r w:rsidR="008D44E7">
        <w:rPr>
          <w:sz w:val="20"/>
          <w:szCs w:val="20"/>
        </w:rPr>
        <w:t>whether the</w:t>
      </w:r>
      <w:r w:rsidRPr="008B61E2">
        <w:rPr>
          <w:sz w:val="20"/>
          <w:szCs w:val="20"/>
        </w:rPr>
        <w:t xml:space="preserve"> new system will result in faster placement of tenants in social housing </w:t>
      </w:r>
      <w:r w:rsidR="008D44E7">
        <w:rPr>
          <w:sz w:val="20"/>
          <w:szCs w:val="20"/>
        </w:rPr>
        <w:t>or</w:t>
      </w:r>
      <w:r w:rsidR="008D44E7" w:rsidRPr="008B61E2">
        <w:rPr>
          <w:sz w:val="20"/>
          <w:szCs w:val="20"/>
        </w:rPr>
        <w:t xml:space="preserve"> </w:t>
      </w:r>
      <w:r w:rsidRPr="008B61E2">
        <w:rPr>
          <w:sz w:val="20"/>
          <w:szCs w:val="20"/>
        </w:rPr>
        <w:t xml:space="preserve">whether it will address shortages in </w:t>
      </w:r>
      <w:r w:rsidR="008D44E7">
        <w:rPr>
          <w:sz w:val="20"/>
          <w:szCs w:val="20"/>
        </w:rPr>
        <w:t xml:space="preserve">its </w:t>
      </w:r>
      <w:r w:rsidR="008D44E7" w:rsidRPr="0048528F">
        <w:rPr>
          <w:sz w:val="20"/>
          <w:szCs w:val="20"/>
        </w:rPr>
        <w:t>supply</w:t>
      </w:r>
      <w:r w:rsidRPr="008B61E2">
        <w:rPr>
          <w:sz w:val="20"/>
          <w:szCs w:val="20"/>
        </w:rPr>
        <w:t>.</w:t>
      </w:r>
    </w:p>
    <w:p w:rsidR="00C07932" w:rsidRDefault="00BD491C" w:rsidP="008B61E2">
      <w:pPr>
        <w:pStyle w:val="SingleTxtG"/>
      </w:pPr>
      <w:r>
        <w:rPr>
          <w:sz w:val="20"/>
          <w:szCs w:val="20"/>
        </w:rPr>
        <w:t>60</w:t>
      </w:r>
      <w:r w:rsidR="0048528F" w:rsidRPr="008B61E2">
        <w:rPr>
          <w:sz w:val="20"/>
          <w:szCs w:val="20"/>
        </w:rPr>
        <w:t>.</w:t>
      </w:r>
      <w:r w:rsidR="0048528F" w:rsidRPr="008B61E2">
        <w:rPr>
          <w:sz w:val="20"/>
          <w:szCs w:val="20"/>
        </w:rPr>
        <w:tab/>
        <w:t>Under international human rights law, social housing is certainly not the only reasonable response to housing deficits</w:t>
      </w:r>
      <w:r w:rsidR="008D44E7">
        <w:rPr>
          <w:sz w:val="20"/>
          <w:szCs w:val="20"/>
        </w:rPr>
        <w:t>;</w:t>
      </w:r>
      <w:r w:rsidR="0048528F" w:rsidRPr="008B61E2">
        <w:rPr>
          <w:sz w:val="20"/>
          <w:szCs w:val="20"/>
        </w:rPr>
        <w:t xml:space="preserve"> in </w:t>
      </w:r>
      <w:r w:rsidR="008D44E7">
        <w:rPr>
          <w:sz w:val="20"/>
          <w:szCs w:val="20"/>
        </w:rPr>
        <w:t xml:space="preserve">the </w:t>
      </w:r>
      <w:r w:rsidR="0048528F" w:rsidRPr="008B61E2">
        <w:rPr>
          <w:sz w:val="20"/>
          <w:szCs w:val="20"/>
        </w:rPr>
        <w:t xml:space="preserve">light of the socioeconomic and demographic </w:t>
      </w:r>
      <w:r w:rsidR="008D44E7">
        <w:rPr>
          <w:sz w:val="20"/>
          <w:szCs w:val="20"/>
        </w:rPr>
        <w:t>composition of Portugal</w:t>
      </w:r>
      <w:r w:rsidR="0048528F" w:rsidRPr="008B61E2">
        <w:rPr>
          <w:sz w:val="20"/>
          <w:szCs w:val="20"/>
        </w:rPr>
        <w:t>, it could surely be part of the answer.</w:t>
      </w:r>
    </w:p>
    <w:p w:rsidR="00C07932" w:rsidRPr="008B61E2" w:rsidRDefault="00560F00" w:rsidP="008B61E2">
      <w:pPr>
        <w:pStyle w:val="H23G"/>
        <w:spacing w:line="240" w:lineRule="atLeast"/>
        <w:rPr>
          <w:sz w:val="20"/>
          <w:szCs w:val="20"/>
        </w:rPr>
      </w:pPr>
      <w:bookmarkStart w:id="23" w:name="_Toc473119164"/>
      <w:bookmarkStart w:id="24" w:name="_Toc473100932"/>
      <w:r w:rsidRPr="008B61E2">
        <w:rPr>
          <w:sz w:val="20"/>
          <w:szCs w:val="20"/>
        </w:rPr>
        <w:lastRenderedPageBreak/>
        <w:tab/>
      </w:r>
      <w:r w:rsidR="0006267F" w:rsidRPr="008B61E2">
        <w:rPr>
          <w:sz w:val="20"/>
          <w:szCs w:val="20"/>
        </w:rPr>
        <w:t>5</w:t>
      </w:r>
      <w:r w:rsidRPr="008B61E2">
        <w:rPr>
          <w:sz w:val="20"/>
          <w:szCs w:val="20"/>
        </w:rPr>
        <w:t>.</w:t>
      </w:r>
      <w:r w:rsidRPr="008B61E2">
        <w:rPr>
          <w:sz w:val="20"/>
          <w:szCs w:val="20"/>
        </w:rPr>
        <w:tab/>
      </w:r>
      <w:r w:rsidR="00182D5E" w:rsidRPr="008B61E2">
        <w:rPr>
          <w:sz w:val="20"/>
          <w:szCs w:val="20"/>
        </w:rPr>
        <w:t xml:space="preserve"> </w:t>
      </w:r>
      <w:r w:rsidR="00571F53" w:rsidRPr="008B61E2">
        <w:rPr>
          <w:sz w:val="20"/>
          <w:szCs w:val="20"/>
        </w:rPr>
        <w:t>“</w:t>
      </w:r>
      <w:r w:rsidR="00717939" w:rsidRPr="008B61E2">
        <w:rPr>
          <w:sz w:val="20"/>
          <w:szCs w:val="20"/>
        </w:rPr>
        <w:t>T</w:t>
      </w:r>
      <w:r w:rsidR="00DF2785" w:rsidRPr="008B61E2">
        <w:rPr>
          <w:sz w:val="20"/>
          <w:szCs w:val="20"/>
        </w:rPr>
        <w:t>ouristification’</w:t>
      </w:r>
      <w:r w:rsidR="008A0FEA" w:rsidRPr="008B61E2">
        <w:rPr>
          <w:sz w:val="20"/>
          <w:szCs w:val="20"/>
        </w:rPr>
        <w:t>’</w:t>
      </w:r>
      <w:r w:rsidR="00182D5E" w:rsidRPr="008B61E2">
        <w:rPr>
          <w:sz w:val="20"/>
          <w:szCs w:val="20"/>
        </w:rPr>
        <w:t xml:space="preserve"> and </w:t>
      </w:r>
      <w:bookmarkEnd w:id="23"/>
      <w:bookmarkEnd w:id="24"/>
      <w:r w:rsidR="00F84BF5" w:rsidRPr="008B61E2">
        <w:rPr>
          <w:sz w:val="20"/>
          <w:szCs w:val="20"/>
        </w:rPr>
        <w:t xml:space="preserve">short-term rentals </w:t>
      </w:r>
    </w:p>
    <w:p w:rsidR="00C07932" w:rsidRPr="008B61E2" w:rsidRDefault="0048528F" w:rsidP="008B61E2">
      <w:pPr>
        <w:pStyle w:val="SingleTxtG"/>
        <w:rPr>
          <w:sz w:val="20"/>
          <w:szCs w:val="20"/>
        </w:rPr>
      </w:pPr>
      <w:r w:rsidRPr="008B61E2">
        <w:rPr>
          <w:sz w:val="20"/>
          <w:szCs w:val="20"/>
        </w:rPr>
        <w:t>6</w:t>
      </w:r>
      <w:r w:rsidR="00BD491C">
        <w:rPr>
          <w:sz w:val="20"/>
          <w:szCs w:val="20"/>
        </w:rPr>
        <w:t>1</w:t>
      </w:r>
      <w:r w:rsidRPr="008B61E2">
        <w:rPr>
          <w:sz w:val="20"/>
          <w:szCs w:val="20"/>
        </w:rPr>
        <w:t>.</w:t>
      </w:r>
      <w:r w:rsidRPr="008B61E2">
        <w:rPr>
          <w:sz w:val="20"/>
          <w:szCs w:val="20"/>
        </w:rPr>
        <w:tab/>
        <w:t xml:space="preserve">Tourism is essential </w:t>
      </w:r>
      <w:r w:rsidR="008F07B0">
        <w:rPr>
          <w:sz w:val="20"/>
          <w:szCs w:val="20"/>
        </w:rPr>
        <w:t>to the</w:t>
      </w:r>
      <w:r w:rsidRPr="008B61E2">
        <w:rPr>
          <w:sz w:val="20"/>
          <w:szCs w:val="20"/>
        </w:rPr>
        <w:t xml:space="preserve"> economic recovery </w:t>
      </w:r>
      <w:r w:rsidR="008F07B0">
        <w:rPr>
          <w:sz w:val="20"/>
          <w:szCs w:val="20"/>
        </w:rPr>
        <w:t>of Portugal,</w:t>
      </w:r>
      <w:r w:rsidR="008F07B0" w:rsidRPr="0048528F">
        <w:rPr>
          <w:sz w:val="20"/>
          <w:szCs w:val="20"/>
        </w:rPr>
        <w:t xml:space="preserve"> </w:t>
      </w:r>
      <w:r w:rsidRPr="008B61E2">
        <w:rPr>
          <w:sz w:val="20"/>
          <w:szCs w:val="20"/>
        </w:rPr>
        <w:t xml:space="preserve">and a key source of income for many households. The historic centres of Lisbon and Porto </w:t>
      </w:r>
      <w:r w:rsidR="008F07B0">
        <w:rPr>
          <w:sz w:val="20"/>
          <w:szCs w:val="20"/>
        </w:rPr>
        <w:t>are today</w:t>
      </w:r>
      <w:r w:rsidRPr="008B61E2">
        <w:rPr>
          <w:sz w:val="20"/>
          <w:szCs w:val="20"/>
        </w:rPr>
        <w:t xml:space="preserve"> major tourist destinations. </w:t>
      </w:r>
      <w:r w:rsidR="008F07B0">
        <w:rPr>
          <w:sz w:val="20"/>
          <w:szCs w:val="20"/>
        </w:rPr>
        <w:t>The r</w:t>
      </w:r>
      <w:r w:rsidRPr="008B61E2">
        <w:rPr>
          <w:sz w:val="20"/>
          <w:szCs w:val="20"/>
        </w:rPr>
        <w:t>evitalization of historic city centres</w:t>
      </w:r>
      <w:r w:rsidR="008F07B0">
        <w:rPr>
          <w:sz w:val="20"/>
          <w:szCs w:val="20"/>
        </w:rPr>
        <w:t xml:space="preserve"> (</w:t>
      </w:r>
      <w:r w:rsidRPr="008B61E2">
        <w:rPr>
          <w:sz w:val="20"/>
          <w:szCs w:val="20"/>
        </w:rPr>
        <w:t xml:space="preserve">particularly in Porto, which was </w:t>
      </w:r>
      <w:r w:rsidR="008F07B0">
        <w:rPr>
          <w:sz w:val="20"/>
          <w:szCs w:val="20"/>
        </w:rPr>
        <w:t>characterized</w:t>
      </w:r>
      <w:r w:rsidR="008F07B0" w:rsidRPr="008B61E2">
        <w:rPr>
          <w:sz w:val="20"/>
          <w:szCs w:val="20"/>
        </w:rPr>
        <w:t xml:space="preserve"> </w:t>
      </w:r>
      <w:r w:rsidRPr="008B61E2">
        <w:rPr>
          <w:sz w:val="20"/>
          <w:szCs w:val="20"/>
        </w:rPr>
        <w:t xml:space="preserve">by </w:t>
      </w:r>
      <w:r w:rsidR="008F07B0">
        <w:rPr>
          <w:sz w:val="20"/>
          <w:szCs w:val="20"/>
        </w:rPr>
        <w:t xml:space="preserve">its </w:t>
      </w:r>
      <w:r w:rsidRPr="008B61E2">
        <w:rPr>
          <w:sz w:val="20"/>
          <w:szCs w:val="20"/>
        </w:rPr>
        <w:t>dilapidated and abandoned buildings</w:t>
      </w:r>
      <w:r w:rsidR="008F07B0">
        <w:rPr>
          <w:sz w:val="20"/>
          <w:szCs w:val="20"/>
        </w:rPr>
        <w:t>,</w:t>
      </w:r>
      <w:r w:rsidRPr="008B61E2">
        <w:rPr>
          <w:sz w:val="20"/>
          <w:szCs w:val="20"/>
        </w:rPr>
        <w:t xml:space="preserve"> and reportedly high </w:t>
      </w:r>
      <w:r w:rsidR="008F07B0">
        <w:rPr>
          <w:sz w:val="20"/>
          <w:szCs w:val="20"/>
        </w:rPr>
        <w:t xml:space="preserve">rates of </w:t>
      </w:r>
      <w:r w:rsidRPr="008B61E2">
        <w:rPr>
          <w:sz w:val="20"/>
          <w:szCs w:val="20"/>
        </w:rPr>
        <w:t>drug use and violence</w:t>
      </w:r>
      <w:r w:rsidR="008F07B0">
        <w:rPr>
          <w:sz w:val="20"/>
          <w:szCs w:val="20"/>
        </w:rPr>
        <w:t>)</w:t>
      </w:r>
      <w:r w:rsidRPr="008B61E2">
        <w:rPr>
          <w:sz w:val="20"/>
          <w:szCs w:val="20"/>
        </w:rPr>
        <w:t xml:space="preserve">, is a positive development. Although </w:t>
      </w:r>
      <w:r w:rsidR="008F07B0">
        <w:rPr>
          <w:sz w:val="20"/>
          <w:szCs w:val="20"/>
        </w:rPr>
        <w:t>the</w:t>
      </w:r>
      <w:r w:rsidR="008F07B0" w:rsidRPr="008B61E2">
        <w:rPr>
          <w:sz w:val="20"/>
          <w:szCs w:val="20"/>
        </w:rPr>
        <w:t xml:space="preserve"> </w:t>
      </w:r>
      <w:r w:rsidRPr="008B61E2">
        <w:rPr>
          <w:sz w:val="20"/>
          <w:szCs w:val="20"/>
        </w:rPr>
        <w:t xml:space="preserve">centre </w:t>
      </w:r>
      <w:r w:rsidR="008F07B0">
        <w:rPr>
          <w:sz w:val="20"/>
          <w:szCs w:val="20"/>
        </w:rPr>
        <w:t xml:space="preserve">of Porto </w:t>
      </w:r>
      <w:r w:rsidRPr="008B61E2">
        <w:rPr>
          <w:sz w:val="20"/>
          <w:szCs w:val="20"/>
        </w:rPr>
        <w:t xml:space="preserve">was declared a UNESCO World Heritage site 20 years ago, significant touristic flow has increased </w:t>
      </w:r>
      <w:r w:rsidR="008F07B0">
        <w:rPr>
          <w:sz w:val="20"/>
          <w:szCs w:val="20"/>
        </w:rPr>
        <w:t xml:space="preserve">only </w:t>
      </w:r>
      <w:r w:rsidRPr="008B61E2">
        <w:rPr>
          <w:sz w:val="20"/>
          <w:szCs w:val="20"/>
        </w:rPr>
        <w:t xml:space="preserve">in </w:t>
      </w:r>
      <w:r w:rsidR="008F07B0">
        <w:rPr>
          <w:sz w:val="20"/>
          <w:szCs w:val="20"/>
        </w:rPr>
        <w:t>recent</w:t>
      </w:r>
      <w:r w:rsidRPr="008B61E2">
        <w:rPr>
          <w:sz w:val="20"/>
          <w:szCs w:val="20"/>
        </w:rPr>
        <w:t xml:space="preserve"> years.</w:t>
      </w:r>
    </w:p>
    <w:p w:rsidR="00C07932" w:rsidRPr="008B61E2" w:rsidRDefault="0048528F" w:rsidP="008B61E2">
      <w:pPr>
        <w:pStyle w:val="SingleTxtG"/>
        <w:rPr>
          <w:sz w:val="20"/>
          <w:szCs w:val="20"/>
        </w:rPr>
      </w:pPr>
      <w:r w:rsidRPr="008B61E2">
        <w:rPr>
          <w:sz w:val="20"/>
          <w:szCs w:val="20"/>
        </w:rPr>
        <w:t>6</w:t>
      </w:r>
      <w:r w:rsidR="00BD491C">
        <w:rPr>
          <w:sz w:val="20"/>
          <w:szCs w:val="20"/>
        </w:rPr>
        <w:t>2</w:t>
      </w:r>
      <w:r w:rsidRPr="008B61E2">
        <w:rPr>
          <w:sz w:val="20"/>
          <w:szCs w:val="20"/>
        </w:rPr>
        <w:t>.</w:t>
      </w:r>
      <w:r w:rsidRPr="008B61E2">
        <w:rPr>
          <w:sz w:val="20"/>
          <w:szCs w:val="20"/>
        </w:rPr>
        <w:tab/>
        <w:t>In this context, short-term rentals mostly for tourist</w:t>
      </w:r>
      <w:r w:rsidR="002F429A">
        <w:rPr>
          <w:sz w:val="20"/>
          <w:szCs w:val="20"/>
        </w:rPr>
        <w:t>s</w:t>
      </w:r>
      <w:r w:rsidRPr="008B61E2">
        <w:rPr>
          <w:sz w:val="20"/>
          <w:szCs w:val="20"/>
        </w:rPr>
        <w:t xml:space="preserve"> have increased significantly in recent years</w:t>
      </w:r>
      <w:r w:rsidR="002F429A">
        <w:rPr>
          <w:sz w:val="20"/>
          <w:szCs w:val="20"/>
        </w:rPr>
        <w:t xml:space="preserve">, </w:t>
      </w:r>
      <w:r w:rsidRPr="008B61E2">
        <w:rPr>
          <w:sz w:val="20"/>
          <w:szCs w:val="20"/>
        </w:rPr>
        <w:t xml:space="preserve">the result of </w:t>
      </w:r>
      <w:r w:rsidR="002F429A">
        <w:rPr>
          <w:sz w:val="20"/>
          <w:szCs w:val="20"/>
        </w:rPr>
        <w:t xml:space="preserve">a combination of </w:t>
      </w:r>
      <w:r w:rsidRPr="008B61E2">
        <w:rPr>
          <w:sz w:val="20"/>
          <w:szCs w:val="20"/>
        </w:rPr>
        <w:t xml:space="preserve">factors. First, </w:t>
      </w:r>
      <w:r w:rsidR="002F429A">
        <w:rPr>
          <w:sz w:val="20"/>
          <w:szCs w:val="20"/>
        </w:rPr>
        <w:t xml:space="preserve">the adoption </w:t>
      </w:r>
      <w:r w:rsidRPr="008B61E2">
        <w:rPr>
          <w:sz w:val="20"/>
          <w:szCs w:val="20"/>
        </w:rPr>
        <w:t>in June 2008</w:t>
      </w:r>
      <w:r w:rsidR="002F429A">
        <w:rPr>
          <w:sz w:val="20"/>
          <w:szCs w:val="20"/>
        </w:rPr>
        <w:t xml:space="preserve"> of </w:t>
      </w:r>
      <w:r w:rsidRPr="008B61E2">
        <w:rPr>
          <w:sz w:val="20"/>
          <w:szCs w:val="20"/>
        </w:rPr>
        <w:t>an administrative rule</w:t>
      </w:r>
      <w:r w:rsidR="002F429A">
        <w:rPr>
          <w:sz w:val="20"/>
          <w:szCs w:val="20"/>
        </w:rPr>
        <w:t>,</w:t>
      </w:r>
      <w:r w:rsidRPr="008B61E2">
        <w:rPr>
          <w:sz w:val="20"/>
          <w:szCs w:val="20"/>
        </w:rPr>
        <w:t xml:space="preserve"> Portaria 517/2008</w:t>
      </w:r>
      <w:r w:rsidR="002F429A">
        <w:rPr>
          <w:sz w:val="20"/>
          <w:szCs w:val="20"/>
        </w:rPr>
        <w:t>,</w:t>
      </w:r>
      <w:r w:rsidRPr="008B61E2">
        <w:rPr>
          <w:sz w:val="20"/>
          <w:szCs w:val="20"/>
        </w:rPr>
        <w:t xml:space="preserve"> allowing for rental of apartments, houses and rooms for temporary accommodation</w:t>
      </w:r>
      <w:r w:rsidR="002F429A">
        <w:rPr>
          <w:sz w:val="20"/>
          <w:szCs w:val="20"/>
        </w:rPr>
        <w:t>;</w:t>
      </w:r>
      <w:r w:rsidRPr="008B61E2">
        <w:rPr>
          <w:sz w:val="20"/>
          <w:szCs w:val="20"/>
        </w:rPr>
        <w:t xml:space="preserve"> </w:t>
      </w:r>
      <w:r w:rsidR="002F429A">
        <w:rPr>
          <w:sz w:val="20"/>
          <w:szCs w:val="20"/>
        </w:rPr>
        <w:t>s</w:t>
      </w:r>
      <w:r w:rsidRPr="008B61E2">
        <w:rPr>
          <w:sz w:val="20"/>
          <w:szCs w:val="20"/>
        </w:rPr>
        <w:t xml:space="preserve">econd, as a result of the New Urban Rental Regime, which allows the eviction of existing tenants where a building is to be renovated, more owners </w:t>
      </w:r>
      <w:r w:rsidR="002F429A">
        <w:rPr>
          <w:sz w:val="20"/>
          <w:szCs w:val="20"/>
        </w:rPr>
        <w:t xml:space="preserve">are </w:t>
      </w:r>
      <w:r w:rsidRPr="008B61E2">
        <w:rPr>
          <w:sz w:val="20"/>
          <w:szCs w:val="20"/>
        </w:rPr>
        <w:t>invest</w:t>
      </w:r>
      <w:r w:rsidR="002F429A">
        <w:rPr>
          <w:sz w:val="20"/>
          <w:szCs w:val="20"/>
        </w:rPr>
        <w:t>ing</w:t>
      </w:r>
      <w:r w:rsidRPr="008B61E2">
        <w:rPr>
          <w:sz w:val="20"/>
          <w:szCs w:val="20"/>
        </w:rPr>
        <w:t xml:space="preserve"> in renovations then </w:t>
      </w:r>
      <w:r w:rsidR="002F429A">
        <w:rPr>
          <w:sz w:val="20"/>
          <w:szCs w:val="20"/>
        </w:rPr>
        <w:t xml:space="preserve">leasing out </w:t>
      </w:r>
      <w:r w:rsidRPr="008B61E2">
        <w:rPr>
          <w:sz w:val="20"/>
          <w:szCs w:val="20"/>
        </w:rPr>
        <w:t xml:space="preserve">their </w:t>
      </w:r>
      <w:r w:rsidR="002F429A">
        <w:rPr>
          <w:sz w:val="20"/>
          <w:szCs w:val="20"/>
        </w:rPr>
        <w:t>properties on a</w:t>
      </w:r>
      <w:r w:rsidRPr="008B61E2">
        <w:rPr>
          <w:sz w:val="20"/>
          <w:szCs w:val="20"/>
        </w:rPr>
        <w:t xml:space="preserve"> short-term </w:t>
      </w:r>
      <w:r w:rsidR="002F429A">
        <w:rPr>
          <w:sz w:val="20"/>
          <w:szCs w:val="20"/>
        </w:rPr>
        <w:t>basis in order</w:t>
      </w:r>
      <w:r w:rsidRPr="008B61E2">
        <w:rPr>
          <w:sz w:val="20"/>
          <w:szCs w:val="20"/>
        </w:rPr>
        <w:t xml:space="preserve"> to recover expenses as swiftly as possible</w:t>
      </w:r>
      <w:r w:rsidR="002F429A">
        <w:rPr>
          <w:sz w:val="20"/>
          <w:szCs w:val="20"/>
        </w:rPr>
        <w:t>; and</w:t>
      </w:r>
      <w:r w:rsidRPr="008B61E2">
        <w:rPr>
          <w:sz w:val="20"/>
          <w:szCs w:val="20"/>
        </w:rPr>
        <w:t xml:space="preserve"> </w:t>
      </w:r>
      <w:r w:rsidR="002F429A">
        <w:rPr>
          <w:sz w:val="20"/>
          <w:szCs w:val="20"/>
        </w:rPr>
        <w:t>t</w:t>
      </w:r>
      <w:r w:rsidRPr="008B61E2">
        <w:rPr>
          <w:sz w:val="20"/>
          <w:szCs w:val="20"/>
        </w:rPr>
        <w:t xml:space="preserve">hird, the </w:t>
      </w:r>
      <w:r w:rsidR="002F429A">
        <w:rPr>
          <w:sz w:val="20"/>
          <w:szCs w:val="20"/>
        </w:rPr>
        <w:t xml:space="preserve">increases in the </w:t>
      </w:r>
      <w:r w:rsidRPr="008B61E2">
        <w:rPr>
          <w:sz w:val="20"/>
          <w:szCs w:val="20"/>
        </w:rPr>
        <w:t>touris</w:t>
      </w:r>
      <w:r w:rsidR="002F429A">
        <w:rPr>
          <w:sz w:val="20"/>
          <w:szCs w:val="20"/>
        </w:rPr>
        <w:t>t</w:t>
      </w:r>
      <w:r w:rsidRPr="008B61E2">
        <w:rPr>
          <w:sz w:val="20"/>
          <w:szCs w:val="20"/>
        </w:rPr>
        <w:t xml:space="preserve"> </w:t>
      </w:r>
      <w:r w:rsidR="002F429A">
        <w:rPr>
          <w:sz w:val="20"/>
          <w:szCs w:val="20"/>
        </w:rPr>
        <w:t xml:space="preserve">industry </w:t>
      </w:r>
      <w:r w:rsidRPr="008B61E2">
        <w:rPr>
          <w:sz w:val="20"/>
          <w:szCs w:val="20"/>
        </w:rPr>
        <w:t xml:space="preserve">in Portugal, especially in Porto and Lisbon. </w:t>
      </w:r>
    </w:p>
    <w:p w:rsidR="00C07932" w:rsidRPr="008B61E2" w:rsidRDefault="0048528F" w:rsidP="008B61E2">
      <w:pPr>
        <w:pStyle w:val="SingleTxtG"/>
        <w:rPr>
          <w:sz w:val="20"/>
          <w:szCs w:val="20"/>
        </w:rPr>
      </w:pPr>
      <w:r w:rsidRPr="008B61E2">
        <w:rPr>
          <w:sz w:val="20"/>
          <w:szCs w:val="20"/>
        </w:rPr>
        <w:t>6</w:t>
      </w:r>
      <w:r w:rsidR="00BD491C">
        <w:rPr>
          <w:sz w:val="20"/>
          <w:szCs w:val="20"/>
        </w:rPr>
        <w:t>3</w:t>
      </w:r>
      <w:r w:rsidRPr="008B61E2">
        <w:rPr>
          <w:sz w:val="20"/>
          <w:szCs w:val="20"/>
        </w:rPr>
        <w:t>.</w:t>
      </w:r>
      <w:r w:rsidRPr="008B61E2">
        <w:rPr>
          <w:sz w:val="20"/>
          <w:szCs w:val="20"/>
        </w:rPr>
        <w:tab/>
        <w:t xml:space="preserve">Turismo de Portugal is in charge of maintaining a </w:t>
      </w:r>
      <w:r w:rsidR="002F429A">
        <w:rPr>
          <w:sz w:val="20"/>
          <w:szCs w:val="20"/>
        </w:rPr>
        <w:t>n</w:t>
      </w:r>
      <w:r w:rsidRPr="008B61E2">
        <w:rPr>
          <w:sz w:val="20"/>
          <w:szCs w:val="20"/>
        </w:rPr>
        <w:t xml:space="preserve">ational </w:t>
      </w:r>
      <w:r w:rsidR="002F429A">
        <w:rPr>
          <w:sz w:val="20"/>
          <w:szCs w:val="20"/>
        </w:rPr>
        <w:t>r</w:t>
      </w:r>
      <w:r w:rsidRPr="008B61E2">
        <w:rPr>
          <w:sz w:val="20"/>
          <w:szCs w:val="20"/>
        </w:rPr>
        <w:t xml:space="preserve">egistry of </w:t>
      </w:r>
      <w:r w:rsidR="002F429A">
        <w:rPr>
          <w:sz w:val="20"/>
          <w:szCs w:val="20"/>
        </w:rPr>
        <w:t>l</w:t>
      </w:r>
      <w:r w:rsidRPr="008B61E2">
        <w:rPr>
          <w:sz w:val="20"/>
          <w:szCs w:val="20"/>
        </w:rPr>
        <w:t xml:space="preserve">ocal </w:t>
      </w:r>
      <w:r w:rsidR="002F429A">
        <w:rPr>
          <w:sz w:val="20"/>
          <w:szCs w:val="20"/>
        </w:rPr>
        <w:t>a</w:t>
      </w:r>
      <w:r w:rsidRPr="008B61E2">
        <w:rPr>
          <w:sz w:val="20"/>
          <w:szCs w:val="20"/>
        </w:rPr>
        <w:t>ccommodation</w:t>
      </w:r>
      <w:r w:rsidR="00F74D66">
        <w:rPr>
          <w:sz w:val="20"/>
          <w:szCs w:val="20"/>
        </w:rPr>
        <w:t xml:space="preserve"> (RNAL)</w:t>
      </w:r>
      <w:r w:rsidRPr="008B61E2">
        <w:rPr>
          <w:sz w:val="20"/>
          <w:szCs w:val="20"/>
        </w:rPr>
        <w:t xml:space="preserve">. According to </w:t>
      </w:r>
      <w:r w:rsidR="002F429A">
        <w:rPr>
          <w:sz w:val="20"/>
          <w:szCs w:val="20"/>
        </w:rPr>
        <w:t xml:space="preserve">figures provided by the </w:t>
      </w:r>
      <w:r w:rsidRPr="008B61E2">
        <w:rPr>
          <w:sz w:val="20"/>
          <w:szCs w:val="20"/>
        </w:rPr>
        <w:t xml:space="preserve">Government, 31,339 properties </w:t>
      </w:r>
      <w:r w:rsidR="002F429A">
        <w:rPr>
          <w:sz w:val="20"/>
          <w:szCs w:val="20"/>
        </w:rPr>
        <w:t xml:space="preserve">had been </w:t>
      </w:r>
      <w:r w:rsidR="002F429A" w:rsidRPr="001C6D2F">
        <w:rPr>
          <w:sz w:val="20"/>
          <w:szCs w:val="20"/>
        </w:rPr>
        <w:t xml:space="preserve">registered </w:t>
      </w:r>
      <w:r w:rsidRPr="008B61E2">
        <w:rPr>
          <w:sz w:val="20"/>
          <w:szCs w:val="20"/>
        </w:rPr>
        <w:t xml:space="preserve">for local accommodation </w:t>
      </w:r>
      <w:r w:rsidR="002F429A">
        <w:rPr>
          <w:sz w:val="20"/>
          <w:szCs w:val="20"/>
        </w:rPr>
        <w:t>or</w:t>
      </w:r>
      <w:r w:rsidRPr="008B61E2">
        <w:rPr>
          <w:sz w:val="20"/>
          <w:szCs w:val="20"/>
        </w:rPr>
        <w:t xml:space="preserve"> short-term rental in </w:t>
      </w:r>
      <w:r w:rsidR="002F429A">
        <w:rPr>
          <w:sz w:val="20"/>
          <w:szCs w:val="20"/>
        </w:rPr>
        <w:t>m</w:t>
      </w:r>
      <w:r w:rsidRPr="008B61E2">
        <w:rPr>
          <w:sz w:val="20"/>
          <w:szCs w:val="20"/>
        </w:rPr>
        <w:t>ainland Portugal, only 0.55 per cent of total housing stock.</w:t>
      </w:r>
      <w:r w:rsidR="00F74D66">
        <w:rPr>
          <w:sz w:val="20"/>
          <w:szCs w:val="20"/>
        </w:rPr>
        <w:t xml:space="preserve"> </w:t>
      </w:r>
      <w:r w:rsidRPr="008B61E2">
        <w:rPr>
          <w:sz w:val="20"/>
          <w:szCs w:val="20"/>
        </w:rPr>
        <w:t xml:space="preserve">In addition, only a few </w:t>
      </w:r>
      <w:r w:rsidR="00B80E19">
        <w:rPr>
          <w:sz w:val="20"/>
          <w:szCs w:val="20"/>
        </w:rPr>
        <w:t>neighbourhoods</w:t>
      </w:r>
      <w:r w:rsidR="00B80E19" w:rsidRPr="008B61E2">
        <w:rPr>
          <w:sz w:val="20"/>
          <w:szCs w:val="20"/>
        </w:rPr>
        <w:t xml:space="preserve"> </w:t>
      </w:r>
      <w:r w:rsidRPr="008B61E2">
        <w:rPr>
          <w:sz w:val="20"/>
          <w:szCs w:val="20"/>
        </w:rPr>
        <w:t>in the historic centres of Lisbon and Porto have more than 10 per cent of their housing stock devoted to short-term accommodation.</w:t>
      </w:r>
    </w:p>
    <w:p w:rsidR="00C07932" w:rsidRPr="008B61E2" w:rsidRDefault="0048528F" w:rsidP="008B61E2">
      <w:pPr>
        <w:pStyle w:val="SingleTxtG"/>
        <w:rPr>
          <w:sz w:val="20"/>
          <w:szCs w:val="20"/>
        </w:rPr>
      </w:pPr>
      <w:r w:rsidRPr="008B61E2">
        <w:rPr>
          <w:sz w:val="20"/>
          <w:szCs w:val="20"/>
        </w:rPr>
        <w:t>6</w:t>
      </w:r>
      <w:r w:rsidR="00BD491C">
        <w:rPr>
          <w:sz w:val="20"/>
          <w:szCs w:val="20"/>
        </w:rPr>
        <w:t>4</w:t>
      </w:r>
      <w:r w:rsidRPr="008B61E2">
        <w:rPr>
          <w:sz w:val="20"/>
          <w:szCs w:val="20"/>
        </w:rPr>
        <w:t>.</w:t>
      </w:r>
      <w:r w:rsidRPr="008B61E2">
        <w:rPr>
          <w:sz w:val="20"/>
          <w:szCs w:val="20"/>
        </w:rPr>
        <w:tab/>
        <w:t xml:space="preserve">Short-term rentals, especially when they become the primary form of occupation of specific neighbourhoods, can weaken community networks and the social fabric of </w:t>
      </w:r>
      <w:r w:rsidR="00B80E19">
        <w:rPr>
          <w:sz w:val="20"/>
          <w:szCs w:val="20"/>
        </w:rPr>
        <w:t xml:space="preserve">a </w:t>
      </w:r>
      <w:r w:rsidRPr="008B61E2">
        <w:rPr>
          <w:sz w:val="20"/>
          <w:szCs w:val="20"/>
        </w:rPr>
        <w:t>city</w:t>
      </w:r>
      <w:r w:rsidR="00B80E19">
        <w:rPr>
          <w:sz w:val="20"/>
          <w:szCs w:val="20"/>
        </w:rPr>
        <w:t>,</w:t>
      </w:r>
      <w:r w:rsidRPr="008B61E2">
        <w:rPr>
          <w:sz w:val="20"/>
          <w:szCs w:val="20"/>
        </w:rPr>
        <w:t xml:space="preserve"> which </w:t>
      </w:r>
      <w:r w:rsidR="00B80E19">
        <w:rPr>
          <w:sz w:val="20"/>
          <w:szCs w:val="20"/>
        </w:rPr>
        <w:t>in turn undermines</w:t>
      </w:r>
      <w:r w:rsidRPr="008B61E2">
        <w:rPr>
          <w:sz w:val="20"/>
          <w:szCs w:val="20"/>
        </w:rPr>
        <w:t xml:space="preserve"> the promotion of long-term rental as an essential tenure system for local residents. In</w:t>
      </w:r>
      <w:r w:rsidR="00B80E19">
        <w:rPr>
          <w:sz w:val="20"/>
          <w:szCs w:val="20"/>
        </w:rPr>
        <w:t>deed</w:t>
      </w:r>
      <w:r w:rsidRPr="008B61E2">
        <w:rPr>
          <w:sz w:val="20"/>
          <w:szCs w:val="20"/>
        </w:rPr>
        <w:t>, a study</w:t>
      </w:r>
      <w:r w:rsidR="00B80E19">
        <w:rPr>
          <w:sz w:val="20"/>
          <w:szCs w:val="20"/>
        </w:rPr>
        <w:t xml:space="preserve"> conducted</w:t>
      </w:r>
      <w:r w:rsidRPr="008B61E2">
        <w:rPr>
          <w:sz w:val="20"/>
          <w:szCs w:val="20"/>
        </w:rPr>
        <w:t xml:space="preserve"> in November 2016</w:t>
      </w:r>
      <w:r w:rsidR="00B80E19">
        <w:rPr>
          <w:sz w:val="20"/>
          <w:szCs w:val="20"/>
        </w:rPr>
        <w:t xml:space="preserve"> found that</w:t>
      </w:r>
      <w:r w:rsidRPr="008B61E2">
        <w:rPr>
          <w:sz w:val="20"/>
          <w:szCs w:val="20"/>
        </w:rPr>
        <w:t xml:space="preserve"> </w:t>
      </w:r>
      <w:r w:rsidR="00B80E19">
        <w:rPr>
          <w:sz w:val="20"/>
          <w:szCs w:val="20"/>
        </w:rPr>
        <w:t xml:space="preserve">rental prices had increased </w:t>
      </w:r>
      <w:r w:rsidR="004A527A">
        <w:rPr>
          <w:sz w:val="20"/>
          <w:szCs w:val="20"/>
        </w:rPr>
        <w:t>considerably in recent years</w:t>
      </w:r>
      <w:r w:rsidRPr="008B61E2">
        <w:rPr>
          <w:sz w:val="20"/>
          <w:szCs w:val="20"/>
        </w:rPr>
        <w:t xml:space="preserve">. The study also </w:t>
      </w:r>
      <w:r w:rsidR="00B80E19">
        <w:rPr>
          <w:sz w:val="20"/>
          <w:szCs w:val="20"/>
        </w:rPr>
        <w:t>found</w:t>
      </w:r>
      <w:r w:rsidR="00B80E19" w:rsidRPr="008B61E2">
        <w:rPr>
          <w:sz w:val="20"/>
          <w:szCs w:val="20"/>
        </w:rPr>
        <w:t xml:space="preserve"> </w:t>
      </w:r>
      <w:r w:rsidRPr="008B61E2">
        <w:rPr>
          <w:sz w:val="20"/>
          <w:szCs w:val="20"/>
        </w:rPr>
        <w:t xml:space="preserve">that </w:t>
      </w:r>
      <w:r w:rsidR="00B80E19">
        <w:rPr>
          <w:sz w:val="20"/>
          <w:szCs w:val="20"/>
        </w:rPr>
        <w:t xml:space="preserve">the number of </w:t>
      </w:r>
      <w:r w:rsidR="00B80E19" w:rsidRPr="00D079AC">
        <w:rPr>
          <w:sz w:val="20"/>
          <w:szCs w:val="20"/>
        </w:rPr>
        <w:t xml:space="preserve">officially registered </w:t>
      </w:r>
      <w:r w:rsidRPr="008B61E2">
        <w:rPr>
          <w:sz w:val="20"/>
          <w:szCs w:val="20"/>
        </w:rPr>
        <w:t xml:space="preserve">short-term rentals and those advertised </w:t>
      </w:r>
      <w:r w:rsidR="00B80E19">
        <w:rPr>
          <w:sz w:val="20"/>
          <w:szCs w:val="20"/>
        </w:rPr>
        <w:t>o</w:t>
      </w:r>
      <w:r w:rsidRPr="008B61E2">
        <w:rPr>
          <w:sz w:val="20"/>
          <w:szCs w:val="20"/>
        </w:rPr>
        <w:t xml:space="preserve">n digital platforms </w:t>
      </w:r>
      <w:r w:rsidR="00B80E19">
        <w:rPr>
          <w:sz w:val="20"/>
          <w:szCs w:val="20"/>
        </w:rPr>
        <w:t>(</w:t>
      </w:r>
      <w:r w:rsidRPr="008B61E2">
        <w:rPr>
          <w:sz w:val="20"/>
          <w:szCs w:val="20"/>
        </w:rPr>
        <w:t>such as Air</w:t>
      </w:r>
      <w:r w:rsidR="00B80E19">
        <w:rPr>
          <w:sz w:val="20"/>
          <w:szCs w:val="20"/>
        </w:rPr>
        <w:t>b</w:t>
      </w:r>
      <w:r w:rsidRPr="008B61E2">
        <w:rPr>
          <w:sz w:val="20"/>
          <w:szCs w:val="20"/>
        </w:rPr>
        <w:t>n</w:t>
      </w:r>
      <w:r w:rsidR="00B80E19">
        <w:rPr>
          <w:sz w:val="20"/>
          <w:szCs w:val="20"/>
        </w:rPr>
        <w:t>b)</w:t>
      </w:r>
      <w:r w:rsidRPr="008B61E2">
        <w:rPr>
          <w:sz w:val="20"/>
          <w:szCs w:val="20"/>
        </w:rPr>
        <w:t xml:space="preserve"> </w:t>
      </w:r>
      <w:r w:rsidR="00B80E19">
        <w:rPr>
          <w:sz w:val="20"/>
          <w:szCs w:val="20"/>
        </w:rPr>
        <w:t>was</w:t>
      </w:r>
      <w:r w:rsidR="00B80E19" w:rsidRPr="008B61E2">
        <w:rPr>
          <w:sz w:val="20"/>
          <w:szCs w:val="20"/>
        </w:rPr>
        <w:t xml:space="preserve"> </w:t>
      </w:r>
      <w:r w:rsidRPr="008B61E2">
        <w:rPr>
          <w:sz w:val="20"/>
          <w:szCs w:val="20"/>
        </w:rPr>
        <w:t>unreliable</w:t>
      </w:r>
      <w:r w:rsidR="00B80E19">
        <w:rPr>
          <w:sz w:val="20"/>
          <w:szCs w:val="20"/>
        </w:rPr>
        <w:t>,</w:t>
      </w:r>
      <w:r w:rsidRPr="008B61E2">
        <w:rPr>
          <w:sz w:val="20"/>
          <w:szCs w:val="20"/>
        </w:rPr>
        <w:t xml:space="preserve"> which ma</w:t>
      </w:r>
      <w:r w:rsidR="00B80E19">
        <w:rPr>
          <w:sz w:val="20"/>
          <w:szCs w:val="20"/>
        </w:rPr>
        <w:t>de</w:t>
      </w:r>
      <w:r w:rsidRPr="008B61E2">
        <w:rPr>
          <w:sz w:val="20"/>
          <w:szCs w:val="20"/>
        </w:rPr>
        <w:t xml:space="preserve"> it difficult to regulate</w:t>
      </w:r>
      <w:r w:rsidR="00766032">
        <w:rPr>
          <w:sz w:val="20"/>
          <w:szCs w:val="20"/>
        </w:rPr>
        <w:t xml:space="preserve"> requirements</w:t>
      </w:r>
      <w:r w:rsidRPr="008B61E2">
        <w:rPr>
          <w:sz w:val="20"/>
          <w:szCs w:val="20"/>
        </w:rPr>
        <w:t>, collect taxes or collect data necessary for human rights compliant decision</w:t>
      </w:r>
      <w:r w:rsidR="00B80E19">
        <w:rPr>
          <w:sz w:val="20"/>
          <w:szCs w:val="20"/>
        </w:rPr>
        <w:t>-</w:t>
      </w:r>
      <w:r w:rsidRPr="008B61E2">
        <w:rPr>
          <w:sz w:val="20"/>
          <w:szCs w:val="20"/>
        </w:rPr>
        <w:t xml:space="preserve">making. </w:t>
      </w:r>
    </w:p>
    <w:p w:rsidR="00C07932" w:rsidRPr="008B61E2" w:rsidRDefault="0048528F" w:rsidP="008B61E2">
      <w:pPr>
        <w:pStyle w:val="SingleTxtG"/>
        <w:rPr>
          <w:sz w:val="20"/>
          <w:szCs w:val="20"/>
        </w:rPr>
      </w:pPr>
      <w:r w:rsidRPr="008B61E2">
        <w:rPr>
          <w:sz w:val="20"/>
          <w:szCs w:val="20"/>
        </w:rPr>
        <w:t>6</w:t>
      </w:r>
      <w:r w:rsidR="00BD491C">
        <w:rPr>
          <w:sz w:val="20"/>
          <w:szCs w:val="20"/>
        </w:rPr>
        <w:t>5</w:t>
      </w:r>
      <w:r w:rsidRPr="008B61E2">
        <w:rPr>
          <w:sz w:val="20"/>
          <w:szCs w:val="20"/>
        </w:rPr>
        <w:t>.</w:t>
      </w:r>
      <w:r w:rsidRPr="008B61E2">
        <w:rPr>
          <w:sz w:val="20"/>
          <w:szCs w:val="20"/>
        </w:rPr>
        <w:tab/>
        <w:t xml:space="preserve">Unbridled “touristification’’ can have other negative </w:t>
      </w:r>
      <w:r w:rsidR="00735ED5">
        <w:rPr>
          <w:sz w:val="20"/>
          <w:szCs w:val="20"/>
        </w:rPr>
        <w:t>effects</w:t>
      </w:r>
      <w:r w:rsidR="00735ED5" w:rsidRPr="008B61E2">
        <w:rPr>
          <w:sz w:val="20"/>
          <w:szCs w:val="20"/>
        </w:rPr>
        <w:t xml:space="preserve"> </w:t>
      </w:r>
      <w:r w:rsidRPr="008B61E2">
        <w:rPr>
          <w:sz w:val="20"/>
          <w:szCs w:val="20"/>
        </w:rPr>
        <w:t>on the enjoyment of the right to housing for the most vulnerable populations. When landlord cho</w:t>
      </w:r>
      <w:r w:rsidR="00735ED5">
        <w:rPr>
          <w:sz w:val="20"/>
          <w:szCs w:val="20"/>
        </w:rPr>
        <w:t>o</w:t>
      </w:r>
      <w:r w:rsidRPr="008B61E2">
        <w:rPr>
          <w:sz w:val="20"/>
          <w:szCs w:val="20"/>
        </w:rPr>
        <w:t xml:space="preserve">se to sell or </w:t>
      </w:r>
      <w:r w:rsidR="00735ED5">
        <w:rPr>
          <w:sz w:val="20"/>
          <w:szCs w:val="20"/>
        </w:rPr>
        <w:t>to renovate</w:t>
      </w:r>
      <w:r w:rsidRPr="008B61E2">
        <w:rPr>
          <w:sz w:val="20"/>
          <w:szCs w:val="20"/>
        </w:rPr>
        <w:t xml:space="preserve"> their property</w:t>
      </w:r>
      <w:r w:rsidR="00735ED5">
        <w:rPr>
          <w:sz w:val="20"/>
          <w:szCs w:val="20"/>
        </w:rPr>
        <w:t>,</w:t>
      </w:r>
      <w:r w:rsidRPr="008B61E2">
        <w:rPr>
          <w:sz w:val="20"/>
          <w:szCs w:val="20"/>
        </w:rPr>
        <w:t xml:space="preserve"> many families </w:t>
      </w:r>
      <w:r w:rsidR="00735ED5">
        <w:rPr>
          <w:sz w:val="20"/>
          <w:szCs w:val="20"/>
        </w:rPr>
        <w:t>may be</w:t>
      </w:r>
      <w:r w:rsidRPr="008B61E2">
        <w:rPr>
          <w:sz w:val="20"/>
          <w:szCs w:val="20"/>
        </w:rPr>
        <w:t xml:space="preserve"> displaced from their neighbourhoods </w:t>
      </w:r>
      <w:r w:rsidR="00735ED5">
        <w:rPr>
          <w:sz w:val="20"/>
          <w:szCs w:val="20"/>
        </w:rPr>
        <w:t xml:space="preserve">owing to </w:t>
      </w:r>
      <w:r w:rsidRPr="008B61E2">
        <w:rPr>
          <w:sz w:val="20"/>
          <w:szCs w:val="20"/>
        </w:rPr>
        <w:t>lack of affordab</w:t>
      </w:r>
      <w:r w:rsidR="00735ED5">
        <w:rPr>
          <w:sz w:val="20"/>
          <w:szCs w:val="20"/>
        </w:rPr>
        <w:t>le housing elsewhere</w:t>
      </w:r>
      <w:r w:rsidRPr="008B61E2">
        <w:rPr>
          <w:sz w:val="20"/>
          <w:szCs w:val="20"/>
        </w:rPr>
        <w:t xml:space="preserve">, or are more easily evicted in the process. The Special Rapporteur </w:t>
      </w:r>
      <w:r w:rsidR="00735ED5">
        <w:rPr>
          <w:sz w:val="20"/>
          <w:szCs w:val="20"/>
        </w:rPr>
        <w:t>observed</w:t>
      </w:r>
      <w:r w:rsidR="00735ED5" w:rsidRPr="008B61E2">
        <w:rPr>
          <w:sz w:val="20"/>
          <w:szCs w:val="20"/>
        </w:rPr>
        <w:t xml:space="preserve"> </w:t>
      </w:r>
      <w:r w:rsidRPr="008B61E2">
        <w:rPr>
          <w:sz w:val="20"/>
          <w:szCs w:val="20"/>
        </w:rPr>
        <w:t>that some property owners</w:t>
      </w:r>
      <w:r w:rsidR="00735ED5">
        <w:rPr>
          <w:sz w:val="20"/>
          <w:szCs w:val="20"/>
        </w:rPr>
        <w:t>,</w:t>
      </w:r>
      <w:r w:rsidRPr="008B61E2">
        <w:rPr>
          <w:sz w:val="20"/>
          <w:szCs w:val="20"/>
        </w:rPr>
        <w:t xml:space="preserve"> particularly in the historic centres of Lisbon and Porto, are choosing either </w:t>
      </w:r>
      <w:r w:rsidR="00735ED5">
        <w:rPr>
          <w:sz w:val="20"/>
          <w:szCs w:val="20"/>
        </w:rPr>
        <w:t>to renovate</w:t>
      </w:r>
      <w:r w:rsidRPr="008B61E2">
        <w:rPr>
          <w:sz w:val="20"/>
          <w:szCs w:val="20"/>
        </w:rPr>
        <w:t xml:space="preserve"> their properties or </w:t>
      </w:r>
      <w:r w:rsidR="00735ED5">
        <w:rPr>
          <w:sz w:val="20"/>
          <w:szCs w:val="20"/>
        </w:rPr>
        <w:t xml:space="preserve">to </w:t>
      </w:r>
      <w:r w:rsidRPr="008B61E2">
        <w:rPr>
          <w:sz w:val="20"/>
          <w:szCs w:val="20"/>
        </w:rPr>
        <w:t>convert them to luxury rental units</w:t>
      </w:r>
      <w:r w:rsidR="00735ED5">
        <w:rPr>
          <w:sz w:val="20"/>
          <w:szCs w:val="20"/>
        </w:rPr>
        <w:t xml:space="preserve"> for</w:t>
      </w:r>
      <w:r w:rsidRPr="008B61E2">
        <w:rPr>
          <w:sz w:val="20"/>
          <w:szCs w:val="20"/>
        </w:rPr>
        <w:t xml:space="preserve"> short</w:t>
      </w:r>
      <w:r w:rsidR="00735ED5">
        <w:rPr>
          <w:sz w:val="20"/>
          <w:szCs w:val="20"/>
        </w:rPr>
        <w:t>-</w:t>
      </w:r>
      <w:r w:rsidRPr="008B61E2">
        <w:rPr>
          <w:sz w:val="20"/>
          <w:szCs w:val="20"/>
        </w:rPr>
        <w:t>term rental</w:t>
      </w:r>
      <w:r w:rsidR="00735ED5">
        <w:rPr>
          <w:sz w:val="20"/>
          <w:szCs w:val="20"/>
        </w:rPr>
        <w:t>,</w:t>
      </w:r>
      <w:r w:rsidRPr="008B61E2">
        <w:rPr>
          <w:sz w:val="20"/>
          <w:szCs w:val="20"/>
        </w:rPr>
        <w:t xml:space="preserve"> or are selling their properties to foreign investors</w:t>
      </w:r>
      <w:r w:rsidR="00735ED5">
        <w:rPr>
          <w:sz w:val="20"/>
          <w:szCs w:val="20"/>
        </w:rPr>
        <w:t>,</w:t>
      </w:r>
      <w:r w:rsidRPr="008B61E2">
        <w:rPr>
          <w:sz w:val="20"/>
          <w:szCs w:val="20"/>
        </w:rPr>
        <w:t xml:space="preserve"> who often do the same. Since nightly rates are, on average, more affordable than</w:t>
      </w:r>
      <w:r w:rsidR="00096654">
        <w:rPr>
          <w:sz w:val="20"/>
          <w:szCs w:val="20"/>
        </w:rPr>
        <w:t xml:space="preserve"> those for a </w:t>
      </w:r>
      <w:r w:rsidRPr="008B61E2">
        <w:rPr>
          <w:sz w:val="20"/>
          <w:szCs w:val="20"/>
        </w:rPr>
        <w:t xml:space="preserve">hotel room but more lucrative than long-term rental prices, it creates an incentive for property owners to </w:t>
      </w:r>
      <w:r w:rsidR="00096654">
        <w:rPr>
          <w:sz w:val="20"/>
          <w:szCs w:val="20"/>
        </w:rPr>
        <w:t xml:space="preserve">convert their </w:t>
      </w:r>
      <w:r w:rsidRPr="008B61E2">
        <w:rPr>
          <w:sz w:val="20"/>
          <w:szCs w:val="20"/>
        </w:rPr>
        <w:t>homes or buildings</w:t>
      </w:r>
      <w:r w:rsidR="00096654">
        <w:rPr>
          <w:sz w:val="20"/>
          <w:szCs w:val="20"/>
        </w:rPr>
        <w:t xml:space="preserve"> accordingly</w:t>
      </w:r>
      <w:r w:rsidRPr="008B61E2">
        <w:rPr>
          <w:sz w:val="20"/>
          <w:szCs w:val="20"/>
        </w:rPr>
        <w:t xml:space="preserve">, which in turn reduces </w:t>
      </w:r>
      <w:r w:rsidR="00096654">
        <w:rPr>
          <w:sz w:val="20"/>
          <w:szCs w:val="20"/>
        </w:rPr>
        <w:t xml:space="preserve">the </w:t>
      </w:r>
      <w:r w:rsidRPr="008B61E2">
        <w:rPr>
          <w:sz w:val="20"/>
          <w:szCs w:val="20"/>
        </w:rPr>
        <w:t xml:space="preserve">stock of available units </w:t>
      </w:r>
      <w:r w:rsidR="00096654">
        <w:rPr>
          <w:sz w:val="20"/>
          <w:szCs w:val="20"/>
        </w:rPr>
        <w:t xml:space="preserve">and causes </w:t>
      </w:r>
      <w:r w:rsidRPr="008B61E2">
        <w:rPr>
          <w:sz w:val="20"/>
          <w:szCs w:val="20"/>
        </w:rPr>
        <w:t>the price of housing in those neighbourhoods</w:t>
      </w:r>
      <w:r w:rsidR="00096654">
        <w:rPr>
          <w:sz w:val="20"/>
          <w:szCs w:val="20"/>
        </w:rPr>
        <w:t xml:space="preserve"> to rise</w:t>
      </w:r>
      <w:r w:rsidRPr="008B61E2">
        <w:rPr>
          <w:sz w:val="20"/>
          <w:szCs w:val="20"/>
        </w:rPr>
        <w:t xml:space="preserve">. </w:t>
      </w:r>
      <w:r w:rsidR="00096654">
        <w:rPr>
          <w:sz w:val="20"/>
          <w:szCs w:val="20"/>
        </w:rPr>
        <w:t>The Special Rapporteur was informed that, i</w:t>
      </w:r>
      <w:r w:rsidRPr="008B61E2">
        <w:rPr>
          <w:sz w:val="20"/>
          <w:szCs w:val="20"/>
        </w:rPr>
        <w:t>n some areas, rents ha</w:t>
      </w:r>
      <w:r w:rsidR="00096654">
        <w:rPr>
          <w:sz w:val="20"/>
          <w:szCs w:val="20"/>
        </w:rPr>
        <w:t>d</w:t>
      </w:r>
      <w:r w:rsidRPr="008B61E2">
        <w:rPr>
          <w:sz w:val="20"/>
          <w:szCs w:val="20"/>
        </w:rPr>
        <w:t xml:space="preserve"> </w:t>
      </w:r>
      <w:r w:rsidR="00096654">
        <w:rPr>
          <w:sz w:val="20"/>
          <w:szCs w:val="20"/>
        </w:rPr>
        <w:t xml:space="preserve">actually </w:t>
      </w:r>
      <w:r w:rsidRPr="008B61E2">
        <w:rPr>
          <w:sz w:val="20"/>
          <w:szCs w:val="20"/>
        </w:rPr>
        <w:t xml:space="preserve">doubled in </w:t>
      </w:r>
      <w:r w:rsidR="00096654">
        <w:rPr>
          <w:sz w:val="20"/>
          <w:szCs w:val="20"/>
        </w:rPr>
        <w:t xml:space="preserve">only </w:t>
      </w:r>
      <w:r w:rsidRPr="008B61E2">
        <w:rPr>
          <w:sz w:val="20"/>
          <w:szCs w:val="20"/>
        </w:rPr>
        <w:t>a short period of time, making them unaffordable to many families, especially to those who rely on social support.</w:t>
      </w:r>
    </w:p>
    <w:p w:rsidR="00C07932" w:rsidRPr="008B61E2" w:rsidRDefault="0048528F" w:rsidP="008B61E2">
      <w:pPr>
        <w:pStyle w:val="SingleTxtG"/>
        <w:rPr>
          <w:sz w:val="20"/>
          <w:szCs w:val="20"/>
        </w:rPr>
      </w:pPr>
      <w:r w:rsidRPr="008B61E2">
        <w:rPr>
          <w:sz w:val="20"/>
          <w:szCs w:val="20"/>
        </w:rPr>
        <w:t>6</w:t>
      </w:r>
      <w:r w:rsidR="00BD491C">
        <w:rPr>
          <w:sz w:val="20"/>
          <w:szCs w:val="20"/>
        </w:rPr>
        <w:t>6</w:t>
      </w:r>
      <w:r w:rsidRPr="008B61E2">
        <w:rPr>
          <w:sz w:val="20"/>
          <w:szCs w:val="20"/>
        </w:rPr>
        <w:t>.</w:t>
      </w:r>
      <w:r w:rsidRPr="008B61E2">
        <w:rPr>
          <w:sz w:val="20"/>
          <w:szCs w:val="20"/>
        </w:rPr>
        <w:tab/>
        <w:t xml:space="preserve">The Government has taken some steps to curb the proliferation of short-term rentals by taxing, at a higher rate, developers and </w:t>
      </w:r>
      <w:r w:rsidR="00096654">
        <w:rPr>
          <w:sz w:val="20"/>
          <w:szCs w:val="20"/>
        </w:rPr>
        <w:t xml:space="preserve">the </w:t>
      </w:r>
      <w:r w:rsidRPr="008B61E2">
        <w:rPr>
          <w:sz w:val="20"/>
          <w:szCs w:val="20"/>
        </w:rPr>
        <w:t xml:space="preserve">property owners who create them. The Special Rapporteur understands </w:t>
      </w:r>
      <w:r w:rsidR="00096654">
        <w:rPr>
          <w:sz w:val="20"/>
          <w:szCs w:val="20"/>
        </w:rPr>
        <w:t xml:space="preserve">that </w:t>
      </w:r>
      <w:r w:rsidRPr="008B61E2">
        <w:rPr>
          <w:sz w:val="20"/>
          <w:szCs w:val="20"/>
        </w:rPr>
        <w:t xml:space="preserve">the Government has also introduced a programme </w:t>
      </w:r>
      <w:r w:rsidR="00096654">
        <w:rPr>
          <w:sz w:val="20"/>
          <w:szCs w:val="20"/>
        </w:rPr>
        <w:t>that</w:t>
      </w:r>
      <w:r w:rsidRPr="008B61E2">
        <w:rPr>
          <w:sz w:val="20"/>
          <w:szCs w:val="20"/>
        </w:rPr>
        <w:t xml:space="preserve"> subsidizes rent in the historic city centres so that those living </w:t>
      </w:r>
      <w:r w:rsidR="0042355A">
        <w:rPr>
          <w:sz w:val="20"/>
          <w:szCs w:val="20"/>
        </w:rPr>
        <w:t>below</w:t>
      </w:r>
      <w:r w:rsidRPr="008B61E2">
        <w:rPr>
          <w:sz w:val="20"/>
          <w:szCs w:val="20"/>
        </w:rPr>
        <w:t xml:space="preserve"> the poverty line</w:t>
      </w:r>
      <w:r w:rsidR="0042355A">
        <w:rPr>
          <w:sz w:val="20"/>
          <w:szCs w:val="20"/>
        </w:rPr>
        <w:t xml:space="preserve"> (less than </w:t>
      </w:r>
      <w:r w:rsidRPr="008B61E2">
        <w:rPr>
          <w:sz w:val="20"/>
          <w:szCs w:val="20"/>
        </w:rPr>
        <w:t xml:space="preserve">439 euros/month) pay </w:t>
      </w:r>
      <w:r w:rsidR="00096654">
        <w:rPr>
          <w:sz w:val="20"/>
          <w:szCs w:val="20"/>
        </w:rPr>
        <w:t xml:space="preserve">between </w:t>
      </w:r>
      <w:r w:rsidRPr="008B61E2">
        <w:rPr>
          <w:sz w:val="20"/>
          <w:szCs w:val="20"/>
        </w:rPr>
        <w:t>30</w:t>
      </w:r>
      <w:r w:rsidR="00096654">
        <w:rPr>
          <w:sz w:val="20"/>
          <w:szCs w:val="20"/>
        </w:rPr>
        <w:t xml:space="preserve"> and </w:t>
      </w:r>
      <w:r w:rsidRPr="008B61E2">
        <w:rPr>
          <w:sz w:val="20"/>
          <w:szCs w:val="20"/>
        </w:rPr>
        <w:t xml:space="preserve">40 per cent less than </w:t>
      </w:r>
      <w:r w:rsidR="0042355A">
        <w:rPr>
          <w:sz w:val="20"/>
          <w:szCs w:val="20"/>
        </w:rPr>
        <w:t xml:space="preserve">the current </w:t>
      </w:r>
      <w:r w:rsidRPr="008B61E2">
        <w:rPr>
          <w:sz w:val="20"/>
          <w:szCs w:val="20"/>
        </w:rPr>
        <w:t xml:space="preserve">market </w:t>
      </w:r>
      <w:r w:rsidR="0042355A">
        <w:rPr>
          <w:sz w:val="20"/>
          <w:szCs w:val="20"/>
        </w:rPr>
        <w:t>rate</w:t>
      </w:r>
      <w:r w:rsidRPr="008B61E2">
        <w:rPr>
          <w:sz w:val="20"/>
          <w:szCs w:val="20"/>
        </w:rPr>
        <w:t xml:space="preserve">. </w:t>
      </w:r>
      <w:r w:rsidRPr="008B61E2">
        <w:rPr>
          <w:sz w:val="20"/>
          <w:szCs w:val="20"/>
        </w:rPr>
        <w:lastRenderedPageBreak/>
        <w:t xml:space="preserve">While such regulations are welcome, there is certainly more that should be done to ensure city centres do not become </w:t>
      </w:r>
      <w:r w:rsidR="00096654">
        <w:rPr>
          <w:sz w:val="20"/>
          <w:szCs w:val="20"/>
        </w:rPr>
        <w:t xml:space="preserve">an </w:t>
      </w:r>
      <w:r w:rsidRPr="008B61E2">
        <w:rPr>
          <w:sz w:val="20"/>
          <w:szCs w:val="20"/>
        </w:rPr>
        <w:t xml:space="preserve">enclave for the wealthy and </w:t>
      </w:r>
      <w:r w:rsidR="00096654">
        <w:rPr>
          <w:sz w:val="20"/>
          <w:szCs w:val="20"/>
        </w:rPr>
        <w:t xml:space="preserve">for </w:t>
      </w:r>
      <w:r w:rsidRPr="008B61E2">
        <w:rPr>
          <w:sz w:val="20"/>
          <w:szCs w:val="20"/>
        </w:rPr>
        <w:t>foreigners.</w:t>
      </w:r>
    </w:p>
    <w:p w:rsidR="00C07932" w:rsidRDefault="0048528F" w:rsidP="008B61E2">
      <w:pPr>
        <w:pStyle w:val="SingleTxtG"/>
      </w:pPr>
      <w:r w:rsidRPr="008B61E2">
        <w:rPr>
          <w:sz w:val="20"/>
          <w:szCs w:val="20"/>
        </w:rPr>
        <w:t>6</w:t>
      </w:r>
      <w:r w:rsidR="00BD491C">
        <w:rPr>
          <w:sz w:val="20"/>
          <w:szCs w:val="20"/>
        </w:rPr>
        <w:t>7</w:t>
      </w:r>
      <w:r w:rsidRPr="008B61E2">
        <w:rPr>
          <w:sz w:val="20"/>
          <w:szCs w:val="20"/>
        </w:rPr>
        <w:t>.</w:t>
      </w:r>
      <w:r w:rsidRPr="008B61E2">
        <w:rPr>
          <w:sz w:val="20"/>
          <w:szCs w:val="20"/>
        </w:rPr>
        <w:tab/>
        <w:t>The Special Rapporteur is mindful that</w:t>
      </w:r>
      <w:r w:rsidR="00096654">
        <w:rPr>
          <w:sz w:val="20"/>
          <w:szCs w:val="20"/>
        </w:rPr>
        <w:t>,</w:t>
      </w:r>
      <w:r w:rsidRPr="008B61E2">
        <w:rPr>
          <w:sz w:val="20"/>
          <w:szCs w:val="20"/>
        </w:rPr>
        <w:t xml:space="preserve"> for the most part, those who offer rental accommodation are small landlords offering a single unit as an important source of their household’s income. </w:t>
      </w:r>
      <w:r w:rsidR="00096654">
        <w:rPr>
          <w:sz w:val="20"/>
          <w:szCs w:val="20"/>
        </w:rPr>
        <w:t>She was also informed, h</w:t>
      </w:r>
      <w:r w:rsidRPr="008B61E2">
        <w:rPr>
          <w:sz w:val="20"/>
          <w:szCs w:val="20"/>
        </w:rPr>
        <w:t>owever, that real estate agents and corporations tak</w:t>
      </w:r>
      <w:r w:rsidR="00096654">
        <w:rPr>
          <w:sz w:val="20"/>
          <w:szCs w:val="20"/>
        </w:rPr>
        <w:t>e</w:t>
      </w:r>
      <w:r w:rsidRPr="008B61E2">
        <w:rPr>
          <w:sz w:val="20"/>
          <w:szCs w:val="20"/>
        </w:rPr>
        <w:t xml:space="preserve"> advantage of </w:t>
      </w:r>
      <w:r w:rsidR="00096654">
        <w:rPr>
          <w:sz w:val="20"/>
          <w:szCs w:val="20"/>
        </w:rPr>
        <w:t>loopholes</w:t>
      </w:r>
      <w:r w:rsidRPr="008B61E2">
        <w:rPr>
          <w:sz w:val="20"/>
          <w:szCs w:val="20"/>
        </w:rPr>
        <w:t xml:space="preserve"> in </w:t>
      </w:r>
      <w:r w:rsidR="00096654">
        <w:rPr>
          <w:sz w:val="20"/>
          <w:szCs w:val="20"/>
        </w:rPr>
        <w:t>laws</w:t>
      </w:r>
      <w:r w:rsidRPr="008B61E2">
        <w:rPr>
          <w:sz w:val="20"/>
          <w:szCs w:val="20"/>
        </w:rPr>
        <w:t xml:space="preserve"> and regulation</w:t>
      </w:r>
      <w:r w:rsidR="00096654">
        <w:rPr>
          <w:sz w:val="20"/>
          <w:szCs w:val="20"/>
        </w:rPr>
        <w:t>s</w:t>
      </w:r>
      <w:r w:rsidRPr="008B61E2">
        <w:rPr>
          <w:sz w:val="20"/>
          <w:szCs w:val="20"/>
        </w:rPr>
        <w:t xml:space="preserve"> to buy up and control a significant share of the short-term rental market.</w:t>
      </w:r>
    </w:p>
    <w:p w:rsidR="00C07932" w:rsidRPr="008B61E2" w:rsidRDefault="00D21A37" w:rsidP="008B61E2">
      <w:pPr>
        <w:pStyle w:val="H23G"/>
        <w:spacing w:line="240" w:lineRule="atLeast"/>
        <w:rPr>
          <w:sz w:val="20"/>
          <w:szCs w:val="20"/>
        </w:rPr>
      </w:pPr>
      <w:r w:rsidRPr="008B61E2">
        <w:rPr>
          <w:sz w:val="20"/>
          <w:szCs w:val="20"/>
        </w:rPr>
        <w:tab/>
        <w:t>6.</w:t>
      </w:r>
      <w:r w:rsidRPr="008B61E2">
        <w:rPr>
          <w:sz w:val="20"/>
          <w:szCs w:val="20"/>
        </w:rPr>
        <w:tab/>
      </w:r>
      <w:r w:rsidR="00717939" w:rsidRPr="008B61E2">
        <w:rPr>
          <w:sz w:val="20"/>
          <w:szCs w:val="20"/>
        </w:rPr>
        <w:t>Golden visa</w:t>
      </w:r>
      <w:r w:rsidR="00D5615D" w:rsidRPr="008B61E2">
        <w:rPr>
          <w:sz w:val="20"/>
          <w:szCs w:val="20"/>
        </w:rPr>
        <w:t>s</w:t>
      </w:r>
    </w:p>
    <w:p w:rsidR="00C07932" w:rsidRPr="008B61E2" w:rsidRDefault="0048528F" w:rsidP="008B61E2">
      <w:pPr>
        <w:pStyle w:val="SingleTxtG"/>
        <w:rPr>
          <w:sz w:val="20"/>
          <w:szCs w:val="20"/>
        </w:rPr>
      </w:pPr>
      <w:r w:rsidRPr="008B61E2">
        <w:rPr>
          <w:sz w:val="20"/>
          <w:szCs w:val="20"/>
        </w:rPr>
        <w:t>6</w:t>
      </w:r>
      <w:r w:rsidR="00BD491C">
        <w:rPr>
          <w:sz w:val="20"/>
          <w:szCs w:val="20"/>
        </w:rPr>
        <w:t>8</w:t>
      </w:r>
      <w:r w:rsidRPr="008B61E2">
        <w:rPr>
          <w:sz w:val="20"/>
          <w:szCs w:val="20"/>
        </w:rPr>
        <w:t>.</w:t>
      </w:r>
      <w:r w:rsidRPr="008B61E2">
        <w:rPr>
          <w:sz w:val="20"/>
          <w:szCs w:val="20"/>
        </w:rPr>
        <w:tab/>
      </w:r>
      <w:r w:rsidR="00096654">
        <w:rPr>
          <w:sz w:val="20"/>
          <w:szCs w:val="20"/>
        </w:rPr>
        <w:t>With regard to</w:t>
      </w:r>
      <w:r w:rsidRPr="008B61E2">
        <w:rPr>
          <w:sz w:val="20"/>
          <w:szCs w:val="20"/>
        </w:rPr>
        <w:t xml:space="preserve"> foreign investment and </w:t>
      </w:r>
      <w:r w:rsidR="00096654">
        <w:rPr>
          <w:sz w:val="20"/>
          <w:szCs w:val="20"/>
        </w:rPr>
        <w:t xml:space="preserve">the </w:t>
      </w:r>
      <w:r w:rsidRPr="008B61E2">
        <w:rPr>
          <w:sz w:val="20"/>
          <w:szCs w:val="20"/>
        </w:rPr>
        <w:t>“fina</w:t>
      </w:r>
      <w:r w:rsidR="00096654">
        <w:rPr>
          <w:sz w:val="20"/>
          <w:szCs w:val="20"/>
        </w:rPr>
        <w:t>ncia</w:t>
      </w:r>
      <w:r w:rsidRPr="008B61E2">
        <w:rPr>
          <w:sz w:val="20"/>
          <w:szCs w:val="20"/>
        </w:rPr>
        <w:t>lization</w:t>
      </w:r>
      <w:r w:rsidR="00096654">
        <w:rPr>
          <w:sz w:val="20"/>
          <w:szCs w:val="20"/>
        </w:rPr>
        <w:t>”</w:t>
      </w:r>
      <w:r w:rsidRPr="008B61E2">
        <w:rPr>
          <w:sz w:val="20"/>
          <w:szCs w:val="20"/>
        </w:rPr>
        <w:t xml:space="preserve"> of housing</w:t>
      </w:r>
      <w:r w:rsidR="00096654">
        <w:rPr>
          <w:sz w:val="20"/>
          <w:szCs w:val="20"/>
        </w:rPr>
        <w:t xml:space="preserve"> (see A/HRC/34/51)</w:t>
      </w:r>
      <w:r w:rsidRPr="008B61E2">
        <w:rPr>
          <w:sz w:val="20"/>
          <w:szCs w:val="20"/>
        </w:rPr>
        <w:t xml:space="preserve">, Portugal has introduced a scheme </w:t>
      </w:r>
      <w:r w:rsidR="00096654">
        <w:rPr>
          <w:sz w:val="20"/>
          <w:szCs w:val="20"/>
        </w:rPr>
        <w:t xml:space="preserve">for “golden” visas </w:t>
      </w:r>
      <w:r w:rsidRPr="008B61E2">
        <w:rPr>
          <w:sz w:val="20"/>
          <w:szCs w:val="20"/>
        </w:rPr>
        <w:t>(</w:t>
      </w:r>
      <w:r w:rsidR="00096654">
        <w:rPr>
          <w:sz w:val="20"/>
          <w:szCs w:val="20"/>
        </w:rPr>
        <w:t>l</w:t>
      </w:r>
      <w:r w:rsidRPr="008B61E2">
        <w:rPr>
          <w:sz w:val="20"/>
          <w:szCs w:val="20"/>
        </w:rPr>
        <w:t xml:space="preserve">aw </w:t>
      </w:r>
      <w:r w:rsidR="00096654">
        <w:rPr>
          <w:sz w:val="20"/>
          <w:szCs w:val="20"/>
        </w:rPr>
        <w:t xml:space="preserve">No. </w:t>
      </w:r>
      <w:r w:rsidRPr="008B61E2">
        <w:rPr>
          <w:sz w:val="20"/>
          <w:szCs w:val="20"/>
        </w:rPr>
        <w:t xml:space="preserve">29/2012). Under </w:t>
      </w:r>
      <w:r w:rsidR="00096654">
        <w:rPr>
          <w:sz w:val="20"/>
          <w:szCs w:val="20"/>
        </w:rPr>
        <w:t>the</w:t>
      </w:r>
      <w:r w:rsidR="00096654" w:rsidRPr="008B61E2">
        <w:rPr>
          <w:sz w:val="20"/>
          <w:szCs w:val="20"/>
        </w:rPr>
        <w:t xml:space="preserve"> </w:t>
      </w:r>
      <w:r w:rsidRPr="008B61E2">
        <w:rPr>
          <w:sz w:val="20"/>
          <w:szCs w:val="20"/>
        </w:rPr>
        <w:t xml:space="preserve">scheme, eligibility criteria can be met with the purchase of real estate property with a value equal to </w:t>
      </w:r>
      <w:r w:rsidR="00846075">
        <w:rPr>
          <w:sz w:val="20"/>
          <w:szCs w:val="20"/>
        </w:rPr>
        <w:t>greater than</w:t>
      </w:r>
      <w:r w:rsidRPr="008B61E2">
        <w:rPr>
          <w:sz w:val="20"/>
          <w:szCs w:val="20"/>
        </w:rPr>
        <w:t xml:space="preserve"> 500,000 </w:t>
      </w:r>
      <w:r w:rsidR="00096654">
        <w:rPr>
          <w:sz w:val="20"/>
          <w:szCs w:val="20"/>
        </w:rPr>
        <w:t>e</w:t>
      </w:r>
      <w:r w:rsidRPr="008B61E2">
        <w:rPr>
          <w:sz w:val="20"/>
          <w:szCs w:val="20"/>
        </w:rPr>
        <w:t xml:space="preserve">uros; the purchase of older properties located in urban regeneration areas for refurbishing, </w:t>
      </w:r>
      <w:r w:rsidR="00846075">
        <w:rPr>
          <w:sz w:val="20"/>
          <w:szCs w:val="20"/>
        </w:rPr>
        <w:t>of</w:t>
      </w:r>
      <w:r w:rsidR="00846075" w:rsidRPr="008B61E2">
        <w:rPr>
          <w:sz w:val="20"/>
          <w:szCs w:val="20"/>
        </w:rPr>
        <w:t xml:space="preserve"> </w:t>
      </w:r>
      <w:r w:rsidRPr="008B61E2">
        <w:rPr>
          <w:sz w:val="20"/>
          <w:szCs w:val="20"/>
        </w:rPr>
        <w:t xml:space="preserve">a total value equal to or </w:t>
      </w:r>
      <w:r w:rsidR="00846075">
        <w:rPr>
          <w:sz w:val="20"/>
          <w:szCs w:val="20"/>
        </w:rPr>
        <w:t>greater than</w:t>
      </w:r>
      <w:r w:rsidRPr="008B61E2">
        <w:rPr>
          <w:sz w:val="20"/>
          <w:szCs w:val="20"/>
        </w:rPr>
        <w:t xml:space="preserve"> 350,000 </w:t>
      </w:r>
      <w:r w:rsidR="00096654">
        <w:rPr>
          <w:sz w:val="20"/>
          <w:szCs w:val="20"/>
        </w:rPr>
        <w:t>e</w:t>
      </w:r>
      <w:r w:rsidRPr="008B61E2">
        <w:rPr>
          <w:sz w:val="20"/>
          <w:szCs w:val="20"/>
        </w:rPr>
        <w:t>uros</w:t>
      </w:r>
      <w:r w:rsidR="00846075">
        <w:rPr>
          <w:sz w:val="20"/>
          <w:szCs w:val="20"/>
        </w:rPr>
        <w:t>;</w:t>
      </w:r>
      <w:r w:rsidRPr="008B61E2">
        <w:rPr>
          <w:sz w:val="20"/>
          <w:szCs w:val="20"/>
        </w:rPr>
        <w:t xml:space="preserve"> or capital investment of 1 million </w:t>
      </w:r>
      <w:r w:rsidR="00846075">
        <w:rPr>
          <w:sz w:val="20"/>
          <w:szCs w:val="20"/>
        </w:rPr>
        <w:t>e</w:t>
      </w:r>
      <w:r w:rsidRPr="008B61E2">
        <w:rPr>
          <w:sz w:val="20"/>
          <w:szCs w:val="20"/>
        </w:rPr>
        <w:t>uros or an investment that creates 30 jobs. Of the 3,888 visa</w:t>
      </w:r>
      <w:r w:rsidR="00846075">
        <w:rPr>
          <w:sz w:val="20"/>
          <w:szCs w:val="20"/>
        </w:rPr>
        <w:t>s issued</w:t>
      </w:r>
      <w:r w:rsidRPr="008B61E2">
        <w:rPr>
          <w:sz w:val="20"/>
          <w:szCs w:val="20"/>
        </w:rPr>
        <w:t xml:space="preserve"> between October 2012 and September 2016, </w:t>
      </w:r>
      <w:r w:rsidR="00846075">
        <w:rPr>
          <w:sz w:val="20"/>
          <w:szCs w:val="20"/>
        </w:rPr>
        <w:t>3</w:t>
      </w:r>
      <w:r w:rsidR="00846075" w:rsidRPr="002840BE">
        <w:rPr>
          <w:sz w:val="20"/>
          <w:szCs w:val="20"/>
        </w:rPr>
        <w:t xml:space="preserve">,669 were </w:t>
      </w:r>
      <w:r w:rsidR="00846075">
        <w:rPr>
          <w:sz w:val="20"/>
          <w:szCs w:val="20"/>
        </w:rPr>
        <w:t>given</w:t>
      </w:r>
      <w:r w:rsidR="00846075" w:rsidRPr="002840BE">
        <w:rPr>
          <w:sz w:val="20"/>
          <w:szCs w:val="20"/>
        </w:rPr>
        <w:t xml:space="preserve"> to third</w:t>
      </w:r>
      <w:r w:rsidR="00846075">
        <w:rPr>
          <w:sz w:val="20"/>
          <w:szCs w:val="20"/>
        </w:rPr>
        <w:t>-</w:t>
      </w:r>
      <w:r w:rsidR="00846075" w:rsidRPr="002840BE">
        <w:rPr>
          <w:sz w:val="20"/>
          <w:szCs w:val="20"/>
        </w:rPr>
        <w:t>party nationals acquiring real estate</w:t>
      </w:r>
      <w:r w:rsidR="00846075">
        <w:rPr>
          <w:sz w:val="20"/>
          <w:szCs w:val="20"/>
        </w:rPr>
        <w:t>;</w:t>
      </w:r>
      <w:r w:rsidR="00846075" w:rsidRPr="008B61E2">
        <w:rPr>
          <w:sz w:val="20"/>
          <w:szCs w:val="20"/>
        </w:rPr>
        <w:t xml:space="preserve"> </w:t>
      </w:r>
      <w:r w:rsidRPr="008B61E2">
        <w:rPr>
          <w:sz w:val="20"/>
          <w:szCs w:val="20"/>
        </w:rPr>
        <w:t xml:space="preserve">only </w:t>
      </w:r>
      <w:r w:rsidR="00846075">
        <w:rPr>
          <w:sz w:val="20"/>
          <w:szCs w:val="20"/>
        </w:rPr>
        <w:t>six</w:t>
      </w:r>
      <w:r w:rsidRPr="008B61E2">
        <w:rPr>
          <w:sz w:val="20"/>
          <w:szCs w:val="20"/>
        </w:rPr>
        <w:t xml:space="preserve"> were </w:t>
      </w:r>
      <w:r w:rsidR="00846075">
        <w:rPr>
          <w:sz w:val="20"/>
          <w:szCs w:val="20"/>
        </w:rPr>
        <w:t>given</w:t>
      </w:r>
      <w:r w:rsidRPr="008B61E2">
        <w:rPr>
          <w:sz w:val="20"/>
          <w:szCs w:val="20"/>
        </w:rPr>
        <w:t xml:space="preserve"> to investors who created jobs. </w:t>
      </w:r>
      <w:r w:rsidR="00846075">
        <w:rPr>
          <w:sz w:val="20"/>
          <w:szCs w:val="20"/>
        </w:rPr>
        <w:t>Alt</w:t>
      </w:r>
      <w:r w:rsidRPr="008B61E2">
        <w:rPr>
          <w:sz w:val="20"/>
          <w:szCs w:val="20"/>
        </w:rPr>
        <w:t xml:space="preserve">hough these investments </w:t>
      </w:r>
      <w:r w:rsidR="00EE4A49">
        <w:rPr>
          <w:sz w:val="20"/>
          <w:szCs w:val="20"/>
        </w:rPr>
        <w:t>account for</w:t>
      </w:r>
      <w:r w:rsidR="00EE4A49" w:rsidRPr="008B61E2">
        <w:rPr>
          <w:sz w:val="20"/>
          <w:szCs w:val="20"/>
        </w:rPr>
        <w:t xml:space="preserve"> </w:t>
      </w:r>
      <w:r w:rsidRPr="008B61E2">
        <w:rPr>
          <w:sz w:val="20"/>
          <w:szCs w:val="20"/>
        </w:rPr>
        <w:t>only 0.06</w:t>
      </w:r>
      <w:r w:rsidR="00846075">
        <w:rPr>
          <w:sz w:val="20"/>
          <w:szCs w:val="20"/>
        </w:rPr>
        <w:t xml:space="preserve"> per cent</w:t>
      </w:r>
      <w:r w:rsidRPr="008B61E2">
        <w:rPr>
          <w:sz w:val="20"/>
          <w:szCs w:val="20"/>
        </w:rPr>
        <w:t xml:space="preserve"> </w:t>
      </w:r>
      <w:r w:rsidR="00846075">
        <w:rPr>
          <w:sz w:val="20"/>
          <w:szCs w:val="20"/>
        </w:rPr>
        <w:t xml:space="preserve">of </w:t>
      </w:r>
      <w:r w:rsidRPr="008B61E2">
        <w:rPr>
          <w:sz w:val="20"/>
          <w:szCs w:val="20"/>
        </w:rPr>
        <w:t xml:space="preserve">housing stock in Portugal, the scheme brought in 2.37 billion </w:t>
      </w:r>
      <w:r w:rsidR="00846075">
        <w:rPr>
          <w:sz w:val="20"/>
          <w:szCs w:val="20"/>
        </w:rPr>
        <w:t>e</w:t>
      </w:r>
      <w:r w:rsidRPr="008B61E2">
        <w:rPr>
          <w:sz w:val="20"/>
          <w:szCs w:val="20"/>
        </w:rPr>
        <w:t xml:space="preserve">uros, of which 2.14 billion from the purchase of real estate, putting pressure on the overall cost of housing in the country. </w:t>
      </w:r>
    </w:p>
    <w:p w:rsidR="00C07932" w:rsidRDefault="0048528F" w:rsidP="008B61E2">
      <w:pPr>
        <w:pStyle w:val="SingleTxtG"/>
      </w:pPr>
      <w:r w:rsidRPr="008B61E2">
        <w:rPr>
          <w:sz w:val="20"/>
          <w:szCs w:val="20"/>
        </w:rPr>
        <w:t>6</w:t>
      </w:r>
      <w:r w:rsidR="00BD491C">
        <w:rPr>
          <w:sz w:val="20"/>
          <w:szCs w:val="20"/>
        </w:rPr>
        <w:t>9</w:t>
      </w:r>
      <w:r w:rsidRPr="008B61E2">
        <w:rPr>
          <w:sz w:val="20"/>
          <w:szCs w:val="20"/>
        </w:rPr>
        <w:t>.</w:t>
      </w:r>
      <w:r w:rsidRPr="008B61E2">
        <w:rPr>
          <w:sz w:val="20"/>
          <w:szCs w:val="20"/>
        </w:rPr>
        <w:tab/>
        <w:t xml:space="preserve">Despite the huge influx of capital, the </w:t>
      </w:r>
      <w:r w:rsidR="00EE4A49">
        <w:rPr>
          <w:sz w:val="20"/>
          <w:szCs w:val="20"/>
        </w:rPr>
        <w:t>g</w:t>
      </w:r>
      <w:r w:rsidRPr="008B61E2">
        <w:rPr>
          <w:sz w:val="20"/>
          <w:szCs w:val="20"/>
        </w:rPr>
        <w:t xml:space="preserve">olden </w:t>
      </w:r>
      <w:r w:rsidR="00EE4A49">
        <w:rPr>
          <w:sz w:val="20"/>
          <w:szCs w:val="20"/>
        </w:rPr>
        <w:t>v</w:t>
      </w:r>
      <w:r w:rsidRPr="008B61E2">
        <w:rPr>
          <w:sz w:val="20"/>
          <w:szCs w:val="20"/>
        </w:rPr>
        <w:t>isa scheme has not</w:t>
      </w:r>
      <w:r w:rsidR="00EE4A49">
        <w:rPr>
          <w:sz w:val="20"/>
          <w:szCs w:val="20"/>
        </w:rPr>
        <w:t>,</w:t>
      </w:r>
      <w:r w:rsidRPr="008B61E2">
        <w:rPr>
          <w:sz w:val="20"/>
          <w:szCs w:val="20"/>
        </w:rPr>
        <w:t xml:space="preserve"> </w:t>
      </w:r>
      <w:r w:rsidR="00EE4A49" w:rsidRPr="00617E67">
        <w:rPr>
          <w:sz w:val="20"/>
          <w:szCs w:val="20"/>
        </w:rPr>
        <w:t xml:space="preserve">in the </w:t>
      </w:r>
      <w:r w:rsidR="00EE4A49">
        <w:rPr>
          <w:sz w:val="20"/>
          <w:szCs w:val="20"/>
        </w:rPr>
        <w:t xml:space="preserve">view of the Special </w:t>
      </w:r>
      <w:r w:rsidR="00EE4A49" w:rsidRPr="00617E67">
        <w:rPr>
          <w:sz w:val="20"/>
          <w:szCs w:val="20"/>
        </w:rPr>
        <w:t xml:space="preserve">Rapporteur, </w:t>
      </w:r>
      <w:r w:rsidRPr="008B61E2">
        <w:rPr>
          <w:sz w:val="20"/>
          <w:szCs w:val="20"/>
        </w:rPr>
        <w:t xml:space="preserve">proven </w:t>
      </w:r>
      <w:r w:rsidR="00EE4A49">
        <w:rPr>
          <w:sz w:val="20"/>
          <w:szCs w:val="20"/>
        </w:rPr>
        <w:t xml:space="preserve">to be </w:t>
      </w:r>
      <w:r w:rsidRPr="008B61E2">
        <w:rPr>
          <w:sz w:val="20"/>
          <w:szCs w:val="20"/>
        </w:rPr>
        <w:t>beneficial to the people most in need in Portugal. It has not resulted in the creation of jobs</w:t>
      </w:r>
      <w:r w:rsidR="00EE4A49">
        <w:rPr>
          <w:sz w:val="20"/>
          <w:szCs w:val="20"/>
        </w:rPr>
        <w:t>,</w:t>
      </w:r>
      <w:r w:rsidRPr="008B61E2">
        <w:rPr>
          <w:sz w:val="20"/>
          <w:szCs w:val="20"/>
        </w:rPr>
        <w:t xml:space="preserve"> and not even a portion of its yields has been applied to develop affordable housing. In fact, </w:t>
      </w:r>
      <w:r w:rsidR="00EE4A49">
        <w:rPr>
          <w:sz w:val="20"/>
          <w:szCs w:val="20"/>
        </w:rPr>
        <w:t>the</w:t>
      </w:r>
      <w:r w:rsidRPr="008B61E2">
        <w:rPr>
          <w:sz w:val="20"/>
          <w:szCs w:val="20"/>
        </w:rPr>
        <w:t xml:space="preserve"> scheme, alongside other factors such scarcity of long-term rentals, easier access to credit to purchase housing for some, and low interest rates, may have exacerbated affordability issues for middle</w:t>
      </w:r>
      <w:r w:rsidR="00EE4A49">
        <w:rPr>
          <w:sz w:val="20"/>
          <w:szCs w:val="20"/>
        </w:rPr>
        <w:t>-</w:t>
      </w:r>
      <w:r w:rsidRPr="008B61E2">
        <w:rPr>
          <w:sz w:val="20"/>
          <w:szCs w:val="20"/>
        </w:rPr>
        <w:t xml:space="preserve"> and low</w:t>
      </w:r>
      <w:r w:rsidR="00EE4A49">
        <w:rPr>
          <w:sz w:val="20"/>
          <w:szCs w:val="20"/>
        </w:rPr>
        <w:t>-</w:t>
      </w:r>
      <w:r w:rsidRPr="008B61E2">
        <w:rPr>
          <w:sz w:val="20"/>
          <w:szCs w:val="20"/>
        </w:rPr>
        <w:t xml:space="preserve">income households. Housing and rental prices are escalating at a rate that causes concern throughout urban centres. </w:t>
      </w:r>
      <w:r w:rsidR="00EE4A49">
        <w:rPr>
          <w:sz w:val="20"/>
          <w:szCs w:val="20"/>
        </w:rPr>
        <w:t>According to the</w:t>
      </w:r>
      <w:r w:rsidRPr="008B61E2">
        <w:rPr>
          <w:sz w:val="20"/>
          <w:szCs w:val="20"/>
        </w:rPr>
        <w:t xml:space="preserve"> figures released by Statistics Portugal, for example, in </w:t>
      </w:r>
      <w:r w:rsidR="00EE4A49">
        <w:rPr>
          <w:sz w:val="20"/>
          <w:szCs w:val="20"/>
        </w:rPr>
        <w:t>the</w:t>
      </w:r>
      <w:r w:rsidRPr="008B61E2">
        <w:rPr>
          <w:sz w:val="20"/>
          <w:szCs w:val="20"/>
        </w:rPr>
        <w:t xml:space="preserve"> period 2015-2016</w:t>
      </w:r>
      <w:r w:rsidR="00EE4A49">
        <w:rPr>
          <w:sz w:val="20"/>
          <w:szCs w:val="20"/>
        </w:rPr>
        <w:t xml:space="preserve"> alone,</w:t>
      </w:r>
      <w:r w:rsidRPr="008B61E2">
        <w:rPr>
          <w:sz w:val="20"/>
          <w:szCs w:val="20"/>
        </w:rPr>
        <w:t xml:space="preserve"> urban areas in Portugal </w:t>
      </w:r>
      <w:r w:rsidR="00EE4A49">
        <w:rPr>
          <w:sz w:val="20"/>
          <w:szCs w:val="20"/>
        </w:rPr>
        <w:t>witnessed</w:t>
      </w:r>
      <w:r w:rsidR="00EE4A49" w:rsidRPr="008B61E2">
        <w:rPr>
          <w:sz w:val="20"/>
          <w:szCs w:val="20"/>
        </w:rPr>
        <w:t xml:space="preserve"> </w:t>
      </w:r>
      <w:r w:rsidRPr="008B61E2">
        <w:rPr>
          <w:sz w:val="20"/>
          <w:szCs w:val="20"/>
        </w:rPr>
        <w:t>a 5</w:t>
      </w:r>
      <w:r w:rsidR="00EE4A49">
        <w:rPr>
          <w:sz w:val="20"/>
          <w:szCs w:val="20"/>
        </w:rPr>
        <w:t xml:space="preserve"> </w:t>
      </w:r>
      <w:r w:rsidRPr="008B61E2">
        <w:rPr>
          <w:sz w:val="20"/>
          <w:szCs w:val="20"/>
        </w:rPr>
        <w:t>to</w:t>
      </w:r>
      <w:r w:rsidR="00EE4A49">
        <w:rPr>
          <w:sz w:val="20"/>
          <w:szCs w:val="20"/>
        </w:rPr>
        <w:t xml:space="preserve"> </w:t>
      </w:r>
      <w:r w:rsidRPr="008B61E2">
        <w:rPr>
          <w:sz w:val="20"/>
          <w:szCs w:val="20"/>
        </w:rPr>
        <w:t>10 per cent increase in real estate prices</w:t>
      </w:r>
      <w:r w:rsidR="00EE4A49">
        <w:rPr>
          <w:sz w:val="20"/>
          <w:szCs w:val="20"/>
        </w:rPr>
        <w:t xml:space="preserve"> (</w:t>
      </w:r>
      <w:r w:rsidRPr="008B61E2">
        <w:rPr>
          <w:sz w:val="20"/>
          <w:szCs w:val="20"/>
        </w:rPr>
        <w:t>such as in Amadora: 9.4 per cent; Porto: 7.2 per cent; and Lisbon: 5.2 per cent</w:t>
      </w:r>
      <w:r w:rsidR="00EE4A49">
        <w:rPr>
          <w:sz w:val="20"/>
          <w:szCs w:val="20"/>
        </w:rPr>
        <w:t>)</w:t>
      </w:r>
      <w:r w:rsidRPr="008B61E2">
        <w:rPr>
          <w:sz w:val="20"/>
          <w:szCs w:val="20"/>
        </w:rPr>
        <w:t>.</w:t>
      </w:r>
      <w:r w:rsidRPr="0048528F">
        <w:rPr>
          <w:sz w:val="18"/>
          <w:szCs w:val="18"/>
          <w:vertAlign w:val="superscript"/>
        </w:rPr>
        <w:footnoteReference w:id="24"/>
      </w:r>
    </w:p>
    <w:p w:rsidR="00C07932" w:rsidRPr="00AD546B" w:rsidRDefault="00560F00" w:rsidP="008B61E2">
      <w:pPr>
        <w:pStyle w:val="HChG"/>
        <w:spacing w:line="240" w:lineRule="atLeast"/>
      </w:pPr>
      <w:bookmarkStart w:id="25" w:name="_Toc473100935"/>
      <w:bookmarkStart w:id="26" w:name="_Toc473119167"/>
      <w:r>
        <w:tab/>
      </w:r>
      <w:r w:rsidR="0048528F" w:rsidRPr="00AD546B">
        <w:t>IV.</w:t>
      </w:r>
      <w:r w:rsidR="0048528F" w:rsidRPr="00AD546B">
        <w:tab/>
        <w:t>Discrimination and social exclusion</w:t>
      </w:r>
      <w:bookmarkEnd w:id="25"/>
      <w:bookmarkEnd w:id="26"/>
      <w:r w:rsidR="0048528F" w:rsidRPr="00AD546B">
        <w:tab/>
      </w:r>
    </w:p>
    <w:p w:rsidR="00C07932" w:rsidRPr="00AD546B" w:rsidRDefault="0048528F" w:rsidP="008B61E2">
      <w:pPr>
        <w:pStyle w:val="H1G"/>
        <w:spacing w:line="240" w:lineRule="atLeast"/>
      </w:pPr>
      <w:bookmarkStart w:id="27" w:name="_Toc473100938"/>
      <w:bookmarkStart w:id="28" w:name="_Toc473119168"/>
      <w:r w:rsidRPr="00AD546B">
        <w:tab/>
        <w:t>A.</w:t>
      </w:r>
      <w:r w:rsidRPr="00AD546B">
        <w:tab/>
        <w:t>Roma (</w:t>
      </w:r>
      <w:r w:rsidRPr="00AD546B">
        <w:rPr>
          <w:i/>
        </w:rPr>
        <w:t>Ciganos</w:t>
      </w:r>
      <w:r w:rsidRPr="00AD546B">
        <w:t>)</w:t>
      </w:r>
      <w:bookmarkEnd w:id="27"/>
      <w:bookmarkEnd w:id="28"/>
    </w:p>
    <w:p w:rsidR="00C07932" w:rsidRDefault="00BD491C" w:rsidP="008B61E2">
      <w:pPr>
        <w:pStyle w:val="SingleTxtG"/>
      </w:pPr>
      <w:r>
        <w:rPr>
          <w:sz w:val="20"/>
          <w:szCs w:val="20"/>
        </w:rPr>
        <w:t>70</w:t>
      </w:r>
      <w:r w:rsidR="0048528F" w:rsidRPr="008B61E2">
        <w:rPr>
          <w:sz w:val="20"/>
          <w:szCs w:val="20"/>
        </w:rPr>
        <w:t>.</w:t>
      </w:r>
      <w:r w:rsidR="0048528F" w:rsidRPr="008B61E2">
        <w:rPr>
          <w:sz w:val="20"/>
          <w:szCs w:val="20"/>
        </w:rPr>
        <w:tab/>
        <w:t xml:space="preserve">Portugal has constitutional limitations </w:t>
      </w:r>
      <w:r w:rsidR="00BC6ADA">
        <w:rPr>
          <w:sz w:val="20"/>
          <w:szCs w:val="20"/>
        </w:rPr>
        <w:t>o</w:t>
      </w:r>
      <w:r w:rsidR="0048528F" w:rsidRPr="008B61E2">
        <w:rPr>
          <w:sz w:val="20"/>
          <w:szCs w:val="20"/>
        </w:rPr>
        <w:t>n the collection and disaggregation of data on several grounds</w:t>
      </w:r>
      <w:r w:rsidR="00BC6ADA">
        <w:rPr>
          <w:sz w:val="20"/>
          <w:szCs w:val="20"/>
        </w:rPr>
        <w:t>,</w:t>
      </w:r>
      <w:r w:rsidR="0048528F" w:rsidRPr="008B61E2">
        <w:rPr>
          <w:sz w:val="20"/>
          <w:szCs w:val="20"/>
        </w:rPr>
        <w:t xml:space="preserve"> </w:t>
      </w:r>
      <w:r w:rsidR="00BC6ADA">
        <w:rPr>
          <w:sz w:val="20"/>
          <w:szCs w:val="20"/>
        </w:rPr>
        <w:t>such as</w:t>
      </w:r>
      <w:r w:rsidR="0048528F" w:rsidRPr="008B61E2">
        <w:rPr>
          <w:sz w:val="20"/>
          <w:szCs w:val="20"/>
        </w:rPr>
        <w:t xml:space="preserve"> religion or ethnic origin (art</w:t>
      </w:r>
      <w:r w:rsidR="00BC6ADA">
        <w:rPr>
          <w:sz w:val="20"/>
          <w:szCs w:val="20"/>
        </w:rPr>
        <w:t>.</w:t>
      </w:r>
      <w:r w:rsidR="0048528F" w:rsidRPr="008B61E2">
        <w:rPr>
          <w:sz w:val="20"/>
          <w:szCs w:val="20"/>
        </w:rPr>
        <w:t xml:space="preserve"> 35.3). The Roma community is </w:t>
      </w:r>
      <w:r w:rsidR="006F726D">
        <w:rPr>
          <w:sz w:val="20"/>
          <w:szCs w:val="20"/>
        </w:rPr>
        <w:t xml:space="preserve">variously </w:t>
      </w:r>
      <w:r w:rsidR="0048528F" w:rsidRPr="008B61E2">
        <w:rPr>
          <w:sz w:val="20"/>
          <w:szCs w:val="20"/>
        </w:rPr>
        <w:t xml:space="preserve">estimated to have between 4,000 and 60,000 members. </w:t>
      </w:r>
      <w:r w:rsidR="00BC6ADA">
        <w:rPr>
          <w:sz w:val="20"/>
          <w:szCs w:val="20"/>
        </w:rPr>
        <w:t xml:space="preserve">Most members of </w:t>
      </w:r>
      <w:r w:rsidR="0048528F" w:rsidRPr="008B61E2">
        <w:rPr>
          <w:sz w:val="20"/>
          <w:szCs w:val="20"/>
        </w:rPr>
        <w:t xml:space="preserve">Roma communities </w:t>
      </w:r>
      <w:r w:rsidR="00534AC3">
        <w:rPr>
          <w:sz w:val="20"/>
          <w:szCs w:val="20"/>
        </w:rPr>
        <w:t>(</w:t>
      </w:r>
      <w:r w:rsidR="00534AC3" w:rsidRPr="00564A8D">
        <w:rPr>
          <w:sz w:val="20"/>
          <w:szCs w:val="20"/>
        </w:rPr>
        <w:t xml:space="preserve">commonly referred to as </w:t>
      </w:r>
      <w:r w:rsidR="00534AC3" w:rsidRPr="00564A8D">
        <w:rPr>
          <w:i/>
          <w:sz w:val="20"/>
          <w:szCs w:val="20"/>
        </w:rPr>
        <w:t>Ciganos</w:t>
      </w:r>
      <w:r w:rsidR="00534AC3">
        <w:rPr>
          <w:sz w:val="20"/>
          <w:szCs w:val="20"/>
        </w:rPr>
        <w:t xml:space="preserve">) </w:t>
      </w:r>
      <w:r w:rsidR="0048528F" w:rsidRPr="008B61E2">
        <w:rPr>
          <w:sz w:val="20"/>
          <w:szCs w:val="20"/>
        </w:rPr>
        <w:t>are Portuguese citizens</w:t>
      </w:r>
      <w:r w:rsidR="00534AC3">
        <w:rPr>
          <w:sz w:val="20"/>
          <w:szCs w:val="20"/>
        </w:rPr>
        <w:t>,</w:t>
      </w:r>
      <w:r w:rsidR="0048528F" w:rsidRPr="008B61E2">
        <w:rPr>
          <w:sz w:val="20"/>
          <w:szCs w:val="20"/>
        </w:rPr>
        <w:t xml:space="preserve"> </w:t>
      </w:r>
      <w:r w:rsidR="00BC6ADA">
        <w:rPr>
          <w:sz w:val="20"/>
          <w:szCs w:val="20"/>
        </w:rPr>
        <w:t xml:space="preserve">and </w:t>
      </w:r>
      <w:r w:rsidR="0048528F" w:rsidRPr="008B61E2">
        <w:rPr>
          <w:sz w:val="20"/>
          <w:szCs w:val="20"/>
        </w:rPr>
        <w:t>liv</w:t>
      </w:r>
      <w:r w:rsidR="00BC6ADA">
        <w:rPr>
          <w:sz w:val="20"/>
          <w:szCs w:val="20"/>
        </w:rPr>
        <w:t>e</w:t>
      </w:r>
      <w:r w:rsidR="0048528F" w:rsidRPr="008B61E2">
        <w:rPr>
          <w:sz w:val="20"/>
          <w:szCs w:val="20"/>
        </w:rPr>
        <w:t xml:space="preserve"> </w:t>
      </w:r>
      <w:r w:rsidR="00BC6ADA">
        <w:rPr>
          <w:sz w:val="20"/>
          <w:szCs w:val="20"/>
        </w:rPr>
        <w:t>o</w:t>
      </w:r>
      <w:r w:rsidR="0048528F" w:rsidRPr="008B61E2">
        <w:rPr>
          <w:sz w:val="20"/>
          <w:szCs w:val="20"/>
        </w:rPr>
        <w:t>n the coast and in Lisbon, Porto, Faro and Santarém.</w:t>
      </w:r>
      <w:r w:rsidR="0048528F" w:rsidRPr="0048528F">
        <w:rPr>
          <w:sz w:val="18"/>
          <w:szCs w:val="18"/>
          <w:vertAlign w:val="superscript"/>
        </w:rPr>
        <w:footnoteReference w:id="25"/>
      </w:r>
    </w:p>
    <w:p w:rsidR="00C07932" w:rsidRPr="008B61E2" w:rsidRDefault="0048528F" w:rsidP="008B61E2">
      <w:pPr>
        <w:pStyle w:val="SingleTxtG"/>
        <w:rPr>
          <w:sz w:val="20"/>
          <w:szCs w:val="20"/>
        </w:rPr>
      </w:pPr>
      <w:r w:rsidRPr="008B61E2">
        <w:rPr>
          <w:sz w:val="20"/>
          <w:szCs w:val="20"/>
        </w:rPr>
        <w:t>7</w:t>
      </w:r>
      <w:r w:rsidR="00BD491C">
        <w:rPr>
          <w:sz w:val="20"/>
          <w:szCs w:val="20"/>
        </w:rPr>
        <w:t>1</w:t>
      </w:r>
      <w:r w:rsidRPr="008B61E2">
        <w:rPr>
          <w:sz w:val="20"/>
          <w:szCs w:val="20"/>
        </w:rPr>
        <w:t>.</w:t>
      </w:r>
      <w:r w:rsidRPr="008B61E2">
        <w:rPr>
          <w:sz w:val="20"/>
          <w:szCs w:val="20"/>
        </w:rPr>
        <w:tab/>
        <w:t xml:space="preserve">The National Roma Communities Integration Strategy </w:t>
      </w:r>
      <w:r w:rsidR="005331FB">
        <w:rPr>
          <w:sz w:val="20"/>
          <w:szCs w:val="20"/>
        </w:rPr>
        <w:t>(</w:t>
      </w:r>
      <w:r w:rsidRPr="008B61E2">
        <w:rPr>
          <w:sz w:val="20"/>
          <w:szCs w:val="20"/>
        </w:rPr>
        <w:t>2013-2020</w:t>
      </w:r>
      <w:r w:rsidR="005331FB">
        <w:rPr>
          <w:sz w:val="20"/>
          <w:szCs w:val="20"/>
        </w:rPr>
        <w:t>)</w:t>
      </w:r>
      <w:r w:rsidRPr="008B61E2">
        <w:rPr>
          <w:sz w:val="20"/>
          <w:szCs w:val="20"/>
        </w:rPr>
        <w:t xml:space="preserve">, implemented by the High Commission for Migration, was </w:t>
      </w:r>
      <w:r w:rsidR="001B679C">
        <w:rPr>
          <w:sz w:val="20"/>
          <w:szCs w:val="20"/>
        </w:rPr>
        <w:t>difficult</w:t>
      </w:r>
      <w:r w:rsidRPr="008B61E2">
        <w:rPr>
          <w:sz w:val="20"/>
          <w:szCs w:val="20"/>
        </w:rPr>
        <w:t xml:space="preserve"> to develop </w:t>
      </w:r>
      <w:r w:rsidR="001B679C">
        <w:rPr>
          <w:sz w:val="20"/>
          <w:szCs w:val="20"/>
        </w:rPr>
        <w:t>owing to</w:t>
      </w:r>
      <w:r w:rsidR="001B679C" w:rsidRPr="008B61E2">
        <w:rPr>
          <w:sz w:val="20"/>
          <w:szCs w:val="20"/>
        </w:rPr>
        <w:t xml:space="preserve"> </w:t>
      </w:r>
      <w:r w:rsidRPr="008B61E2">
        <w:rPr>
          <w:sz w:val="20"/>
          <w:szCs w:val="20"/>
        </w:rPr>
        <w:t xml:space="preserve">the scarcity of information </w:t>
      </w:r>
      <w:r w:rsidR="001B679C">
        <w:rPr>
          <w:sz w:val="20"/>
          <w:szCs w:val="20"/>
        </w:rPr>
        <w:t>on</w:t>
      </w:r>
      <w:r w:rsidRPr="008B61E2">
        <w:rPr>
          <w:sz w:val="20"/>
          <w:szCs w:val="20"/>
        </w:rPr>
        <w:t xml:space="preserve"> </w:t>
      </w:r>
      <w:r w:rsidR="001B679C">
        <w:rPr>
          <w:sz w:val="20"/>
          <w:szCs w:val="20"/>
        </w:rPr>
        <w:t xml:space="preserve">such </w:t>
      </w:r>
      <w:r w:rsidRPr="008B61E2">
        <w:rPr>
          <w:sz w:val="20"/>
          <w:szCs w:val="20"/>
        </w:rPr>
        <w:t xml:space="preserve">issues as housing and living conditions, education, health and </w:t>
      </w:r>
      <w:r w:rsidRPr="008B61E2">
        <w:rPr>
          <w:sz w:val="20"/>
          <w:szCs w:val="20"/>
        </w:rPr>
        <w:lastRenderedPageBreak/>
        <w:t>employment.</w:t>
      </w:r>
      <w:r w:rsidR="00A30B12" w:rsidRPr="008B61E2" w:rsidDel="00A30B12">
        <w:rPr>
          <w:sz w:val="18"/>
          <w:szCs w:val="18"/>
          <w:vertAlign w:val="superscript"/>
        </w:rPr>
        <w:t xml:space="preserve"> </w:t>
      </w:r>
      <w:r w:rsidRPr="008B61E2">
        <w:rPr>
          <w:sz w:val="20"/>
          <w:szCs w:val="20"/>
        </w:rPr>
        <w:t xml:space="preserve">A </w:t>
      </w:r>
      <w:r w:rsidR="0060277D">
        <w:rPr>
          <w:sz w:val="20"/>
          <w:szCs w:val="20"/>
        </w:rPr>
        <w:t>broad</w:t>
      </w:r>
      <w:r w:rsidRPr="008B61E2">
        <w:rPr>
          <w:sz w:val="20"/>
          <w:szCs w:val="20"/>
        </w:rPr>
        <w:t xml:space="preserve"> study </w:t>
      </w:r>
      <w:r w:rsidR="0060277D">
        <w:rPr>
          <w:sz w:val="20"/>
          <w:szCs w:val="20"/>
        </w:rPr>
        <w:t xml:space="preserve">that </w:t>
      </w:r>
      <w:r w:rsidRPr="008B61E2">
        <w:rPr>
          <w:sz w:val="20"/>
          <w:szCs w:val="20"/>
        </w:rPr>
        <w:t xml:space="preserve">was </w:t>
      </w:r>
      <w:r w:rsidR="0060277D">
        <w:rPr>
          <w:sz w:val="20"/>
          <w:szCs w:val="20"/>
        </w:rPr>
        <w:t xml:space="preserve">subsequently </w:t>
      </w:r>
      <w:r w:rsidRPr="008B61E2">
        <w:rPr>
          <w:sz w:val="20"/>
          <w:szCs w:val="20"/>
        </w:rPr>
        <w:t>conducted</w:t>
      </w:r>
      <w:r w:rsidR="0060277D">
        <w:rPr>
          <w:sz w:val="20"/>
          <w:szCs w:val="20"/>
        </w:rPr>
        <w:t xml:space="preserve"> found that </w:t>
      </w:r>
      <w:r w:rsidRPr="008B61E2">
        <w:rPr>
          <w:sz w:val="20"/>
          <w:szCs w:val="20"/>
        </w:rPr>
        <w:t xml:space="preserve">housing conditions </w:t>
      </w:r>
      <w:r w:rsidR="0060277D">
        <w:rPr>
          <w:sz w:val="20"/>
          <w:szCs w:val="20"/>
        </w:rPr>
        <w:t xml:space="preserve">of Roma communities </w:t>
      </w:r>
      <w:r w:rsidRPr="008B61E2">
        <w:rPr>
          <w:sz w:val="20"/>
          <w:szCs w:val="20"/>
        </w:rPr>
        <w:t xml:space="preserve">were particularly inadequate: approximately 31 per cent of the Roma population </w:t>
      </w:r>
      <w:r w:rsidR="0060277D">
        <w:rPr>
          <w:sz w:val="20"/>
          <w:szCs w:val="20"/>
        </w:rPr>
        <w:t xml:space="preserve">were </w:t>
      </w:r>
      <w:r w:rsidRPr="008B61E2">
        <w:rPr>
          <w:sz w:val="20"/>
          <w:szCs w:val="20"/>
        </w:rPr>
        <w:t>liv</w:t>
      </w:r>
      <w:r w:rsidR="0060277D">
        <w:rPr>
          <w:sz w:val="20"/>
          <w:szCs w:val="20"/>
        </w:rPr>
        <w:t>ing</w:t>
      </w:r>
      <w:r w:rsidRPr="008B61E2">
        <w:rPr>
          <w:sz w:val="20"/>
          <w:szCs w:val="20"/>
        </w:rPr>
        <w:t xml:space="preserve"> in a vulnerable situation</w:t>
      </w:r>
      <w:r w:rsidR="0060277D">
        <w:rPr>
          <w:sz w:val="20"/>
          <w:szCs w:val="20"/>
        </w:rPr>
        <w:t>,</w:t>
      </w:r>
      <w:r w:rsidRPr="008B61E2">
        <w:rPr>
          <w:sz w:val="20"/>
          <w:szCs w:val="20"/>
        </w:rPr>
        <w:t xml:space="preserve"> in substandard housing conditions</w:t>
      </w:r>
      <w:r w:rsidR="0060277D">
        <w:rPr>
          <w:sz w:val="20"/>
          <w:szCs w:val="20"/>
        </w:rPr>
        <w:t>,</w:t>
      </w:r>
      <w:r w:rsidRPr="008B61E2">
        <w:rPr>
          <w:sz w:val="20"/>
          <w:szCs w:val="20"/>
        </w:rPr>
        <w:t xml:space="preserve"> often in informal settlements consisting of barracks, shacks or tents</w:t>
      </w:r>
      <w:r w:rsidR="0060277D">
        <w:rPr>
          <w:sz w:val="20"/>
          <w:szCs w:val="20"/>
        </w:rPr>
        <w:t>,</w:t>
      </w:r>
      <w:r w:rsidRPr="008B61E2">
        <w:rPr>
          <w:sz w:val="20"/>
          <w:szCs w:val="20"/>
        </w:rPr>
        <w:t xml:space="preserve"> or </w:t>
      </w:r>
      <w:r w:rsidR="0060277D">
        <w:rPr>
          <w:sz w:val="20"/>
          <w:szCs w:val="20"/>
        </w:rPr>
        <w:t xml:space="preserve">in </w:t>
      </w:r>
      <w:r w:rsidR="009325B2">
        <w:rPr>
          <w:sz w:val="20"/>
          <w:szCs w:val="20"/>
        </w:rPr>
        <w:t>derelict</w:t>
      </w:r>
      <w:r w:rsidR="009325B2" w:rsidRPr="008B61E2">
        <w:rPr>
          <w:sz w:val="20"/>
          <w:szCs w:val="20"/>
        </w:rPr>
        <w:t xml:space="preserve"> </w:t>
      </w:r>
      <w:r w:rsidRPr="008B61E2">
        <w:rPr>
          <w:sz w:val="20"/>
          <w:szCs w:val="20"/>
        </w:rPr>
        <w:t xml:space="preserve">housing units </w:t>
      </w:r>
      <w:r w:rsidR="009325B2">
        <w:rPr>
          <w:sz w:val="20"/>
          <w:szCs w:val="20"/>
        </w:rPr>
        <w:t>rented on</w:t>
      </w:r>
      <w:r w:rsidRPr="008B61E2">
        <w:rPr>
          <w:sz w:val="20"/>
          <w:szCs w:val="20"/>
        </w:rPr>
        <w:t xml:space="preserve"> the private market.</w:t>
      </w:r>
      <w:r w:rsidR="0060277D" w:rsidRPr="000910DA">
        <w:rPr>
          <w:sz w:val="18"/>
          <w:szCs w:val="18"/>
          <w:vertAlign w:val="superscript"/>
        </w:rPr>
        <w:footnoteReference w:id="26"/>
      </w:r>
      <w:r w:rsidRPr="008B61E2">
        <w:rPr>
          <w:sz w:val="20"/>
          <w:szCs w:val="20"/>
        </w:rPr>
        <w:t xml:space="preserve"> Roma communities, </w:t>
      </w:r>
      <w:r w:rsidR="0060277D">
        <w:rPr>
          <w:sz w:val="20"/>
          <w:szCs w:val="20"/>
        </w:rPr>
        <w:t>mainly comprising</w:t>
      </w:r>
      <w:r w:rsidRPr="008B61E2">
        <w:rPr>
          <w:sz w:val="20"/>
          <w:szCs w:val="20"/>
        </w:rPr>
        <w:t xml:space="preserve"> individuals and households not resettled under </w:t>
      </w:r>
      <w:r w:rsidR="0060277D">
        <w:rPr>
          <w:sz w:val="20"/>
          <w:szCs w:val="20"/>
        </w:rPr>
        <w:t xml:space="preserve">the </w:t>
      </w:r>
      <w:r w:rsidRPr="008B61E2">
        <w:rPr>
          <w:sz w:val="20"/>
          <w:szCs w:val="20"/>
        </w:rPr>
        <w:t>PER</w:t>
      </w:r>
      <w:r w:rsidR="0060277D">
        <w:rPr>
          <w:sz w:val="20"/>
          <w:szCs w:val="20"/>
        </w:rPr>
        <w:t xml:space="preserve"> programme</w:t>
      </w:r>
      <w:r w:rsidRPr="008B61E2">
        <w:rPr>
          <w:sz w:val="20"/>
          <w:szCs w:val="20"/>
        </w:rPr>
        <w:t>, currently liv</w:t>
      </w:r>
      <w:r w:rsidR="0060277D">
        <w:rPr>
          <w:sz w:val="20"/>
          <w:szCs w:val="20"/>
        </w:rPr>
        <w:t>e</w:t>
      </w:r>
      <w:r w:rsidRPr="008B61E2">
        <w:rPr>
          <w:sz w:val="20"/>
          <w:szCs w:val="20"/>
        </w:rPr>
        <w:t xml:space="preserve"> in marginalized neighbourhoods, </w:t>
      </w:r>
      <w:r w:rsidR="0060277D">
        <w:rPr>
          <w:sz w:val="20"/>
          <w:szCs w:val="20"/>
        </w:rPr>
        <w:t>distant</w:t>
      </w:r>
      <w:r w:rsidRPr="008B61E2">
        <w:rPr>
          <w:sz w:val="20"/>
          <w:szCs w:val="20"/>
        </w:rPr>
        <w:t xml:space="preserve"> from city centres and without services or access to employment. Th</w:t>
      </w:r>
      <w:r w:rsidR="0060277D">
        <w:rPr>
          <w:sz w:val="20"/>
          <w:szCs w:val="20"/>
        </w:rPr>
        <w:t>e</w:t>
      </w:r>
      <w:r w:rsidRPr="008B61E2">
        <w:rPr>
          <w:sz w:val="20"/>
          <w:szCs w:val="20"/>
        </w:rPr>
        <w:t xml:space="preserve"> situation compounds existing physical, social and accessibility barriers, and in some cases leads to the emergence of interethnic conflicts.</w:t>
      </w:r>
    </w:p>
    <w:p w:rsidR="00C07932" w:rsidRPr="008B61E2" w:rsidRDefault="0048528F" w:rsidP="008B61E2">
      <w:pPr>
        <w:pStyle w:val="SingleTxtG"/>
        <w:rPr>
          <w:sz w:val="20"/>
          <w:szCs w:val="20"/>
          <w:vertAlign w:val="superscript"/>
        </w:rPr>
      </w:pPr>
      <w:r w:rsidRPr="008B61E2">
        <w:rPr>
          <w:sz w:val="20"/>
          <w:szCs w:val="20"/>
        </w:rPr>
        <w:t>7</w:t>
      </w:r>
      <w:r w:rsidR="00BD491C">
        <w:rPr>
          <w:sz w:val="20"/>
          <w:szCs w:val="20"/>
        </w:rPr>
        <w:t>2</w:t>
      </w:r>
      <w:r w:rsidRPr="008B61E2">
        <w:rPr>
          <w:sz w:val="20"/>
          <w:szCs w:val="20"/>
        </w:rPr>
        <w:t>.</w:t>
      </w:r>
      <w:r w:rsidRPr="008B61E2">
        <w:rPr>
          <w:sz w:val="20"/>
          <w:szCs w:val="20"/>
        </w:rPr>
        <w:tab/>
        <w:t xml:space="preserve">The Special Rapporteur was informed that the </w:t>
      </w:r>
      <w:r w:rsidR="0060277D">
        <w:rPr>
          <w:sz w:val="20"/>
          <w:szCs w:val="20"/>
        </w:rPr>
        <w:t>i</w:t>
      </w:r>
      <w:r w:rsidRPr="008B61E2">
        <w:rPr>
          <w:sz w:val="20"/>
          <w:szCs w:val="20"/>
        </w:rPr>
        <w:t xml:space="preserve">ntegration </w:t>
      </w:r>
      <w:r w:rsidR="0060277D">
        <w:rPr>
          <w:sz w:val="20"/>
          <w:szCs w:val="20"/>
        </w:rPr>
        <w:t>s</w:t>
      </w:r>
      <w:r w:rsidRPr="008B61E2">
        <w:rPr>
          <w:sz w:val="20"/>
          <w:szCs w:val="20"/>
        </w:rPr>
        <w:t xml:space="preserve">trategy was the first targeted public policy for Roma. Its main objective is to strengthen practices that promote the integration of Roma communities in several areas, including housing. The </w:t>
      </w:r>
      <w:r w:rsidR="00D35931">
        <w:rPr>
          <w:sz w:val="20"/>
          <w:szCs w:val="20"/>
        </w:rPr>
        <w:t>s</w:t>
      </w:r>
      <w:r w:rsidRPr="008B61E2">
        <w:rPr>
          <w:sz w:val="20"/>
          <w:szCs w:val="20"/>
        </w:rPr>
        <w:t xml:space="preserve">trategy </w:t>
      </w:r>
      <w:r w:rsidR="008336C4">
        <w:rPr>
          <w:sz w:val="20"/>
          <w:szCs w:val="20"/>
        </w:rPr>
        <w:t xml:space="preserve">is used </w:t>
      </w:r>
      <w:r w:rsidRPr="008B61E2">
        <w:rPr>
          <w:sz w:val="20"/>
          <w:szCs w:val="20"/>
        </w:rPr>
        <w:t>to tailor housing solutions, for example</w:t>
      </w:r>
      <w:r w:rsidR="008336C4">
        <w:rPr>
          <w:sz w:val="20"/>
          <w:szCs w:val="20"/>
        </w:rPr>
        <w:t>, by</w:t>
      </w:r>
      <w:r w:rsidRPr="008B61E2">
        <w:rPr>
          <w:sz w:val="20"/>
          <w:szCs w:val="20"/>
        </w:rPr>
        <w:t xml:space="preserve"> determining eligibility for resettlement and promot</w:t>
      </w:r>
      <w:r w:rsidR="008336C4">
        <w:rPr>
          <w:sz w:val="20"/>
          <w:szCs w:val="20"/>
        </w:rPr>
        <w:t>ing</w:t>
      </w:r>
      <w:r w:rsidRPr="008B61E2">
        <w:rPr>
          <w:sz w:val="20"/>
          <w:szCs w:val="20"/>
        </w:rPr>
        <w:t xml:space="preserve"> access to the rental market</w:t>
      </w:r>
      <w:r w:rsidR="008336C4">
        <w:rPr>
          <w:sz w:val="20"/>
          <w:szCs w:val="20"/>
        </w:rPr>
        <w:t xml:space="preserve"> and </w:t>
      </w:r>
      <w:r w:rsidRPr="008B61E2">
        <w:rPr>
          <w:sz w:val="20"/>
          <w:szCs w:val="20"/>
        </w:rPr>
        <w:t>private property without discrimination.</w:t>
      </w:r>
      <w:r w:rsidRPr="008B61E2">
        <w:rPr>
          <w:sz w:val="18"/>
          <w:szCs w:val="18"/>
          <w:vertAlign w:val="superscript"/>
        </w:rPr>
        <w:footnoteReference w:id="27"/>
      </w:r>
      <w:r w:rsidRPr="008B61E2">
        <w:rPr>
          <w:sz w:val="20"/>
          <w:szCs w:val="20"/>
          <w:vertAlign w:val="superscript"/>
        </w:rPr>
        <w:t xml:space="preserve"> </w:t>
      </w:r>
    </w:p>
    <w:p w:rsidR="00C07932" w:rsidRDefault="0048528F" w:rsidP="008B61E2">
      <w:pPr>
        <w:pStyle w:val="SingleTxtG"/>
      </w:pPr>
      <w:r w:rsidRPr="008B61E2">
        <w:rPr>
          <w:sz w:val="20"/>
          <w:szCs w:val="20"/>
        </w:rPr>
        <w:t>7</w:t>
      </w:r>
      <w:r w:rsidR="00BD491C">
        <w:rPr>
          <w:sz w:val="20"/>
          <w:szCs w:val="20"/>
        </w:rPr>
        <w:t>3</w:t>
      </w:r>
      <w:r w:rsidRPr="008B61E2">
        <w:rPr>
          <w:sz w:val="20"/>
          <w:szCs w:val="20"/>
        </w:rPr>
        <w:t>.</w:t>
      </w:r>
      <w:r w:rsidRPr="008B61E2">
        <w:rPr>
          <w:sz w:val="20"/>
          <w:szCs w:val="20"/>
        </w:rPr>
        <w:tab/>
      </w:r>
      <w:r w:rsidR="008336C4">
        <w:rPr>
          <w:sz w:val="20"/>
          <w:szCs w:val="20"/>
        </w:rPr>
        <w:t>T</w:t>
      </w:r>
      <w:r w:rsidRPr="008B61E2">
        <w:rPr>
          <w:sz w:val="20"/>
          <w:szCs w:val="20"/>
        </w:rPr>
        <w:t xml:space="preserve">he Committee on the Elimination of Racial Discrimination </w:t>
      </w:r>
      <w:r w:rsidR="008336C4">
        <w:rPr>
          <w:sz w:val="20"/>
          <w:szCs w:val="20"/>
        </w:rPr>
        <w:t>r</w:t>
      </w:r>
      <w:r w:rsidR="008336C4" w:rsidRPr="00DA6CBC">
        <w:rPr>
          <w:sz w:val="20"/>
          <w:szCs w:val="20"/>
        </w:rPr>
        <w:t xml:space="preserve">ecently </w:t>
      </w:r>
      <w:r w:rsidRPr="008B61E2">
        <w:rPr>
          <w:sz w:val="20"/>
          <w:szCs w:val="20"/>
        </w:rPr>
        <w:t xml:space="preserve">expressed concern about Roma continuing to face discrimination in access to housing, </w:t>
      </w:r>
      <w:r w:rsidR="00534AC3">
        <w:rPr>
          <w:sz w:val="20"/>
          <w:szCs w:val="20"/>
        </w:rPr>
        <w:t>and recommended that</w:t>
      </w:r>
      <w:r w:rsidRPr="008B61E2">
        <w:rPr>
          <w:sz w:val="20"/>
          <w:szCs w:val="20"/>
        </w:rPr>
        <w:t xml:space="preserve"> special measures </w:t>
      </w:r>
      <w:r w:rsidR="00534AC3">
        <w:rPr>
          <w:sz w:val="20"/>
          <w:szCs w:val="20"/>
        </w:rPr>
        <w:t xml:space="preserve">be taken </w:t>
      </w:r>
      <w:r w:rsidRPr="008B61E2">
        <w:rPr>
          <w:sz w:val="20"/>
          <w:szCs w:val="20"/>
        </w:rPr>
        <w:t>to improve housing conditions</w:t>
      </w:r>
      <w:r w:rsidR="00534AC3">
        <w:rPr>
          <w:sz w:val="20"/>
          <w:szCs w:val="20"/>
        </w:rPr>
        <w:t xml:space="preserve"> </w:t>
      </w:r>
      <w:r w:rsidR="00534AC3" w:rsidRPr="008B61E2">
        <w:rPr>
          <w:sz w:val="20"/>
          <w:szCs w:val="20"/>
        </w:rPr>
        <w:t>(CERD/C/PRT/CO/15-17)</w:t>
      </w:r>
      <w:r w:rsidRPr="008B61E2">
        <w:rPr>
          <w:sz w:val="20"/>
          <w:szCs w:val="20"/>
        </w:rPr>
        <w:t>.</w:t>
      </w:r>
      <w:r w:rsidRPr="008B61E2">
        <w:rPr>
          <w:sz w:val="20"/>
          <w:szCs w:val="20"/>
          <w:vertAlign w:val="superscript"/>
        </w:rPr>
        <w:t xml:space="preserve"> </w:t>
      </w:r>
      <w:r w:rsidRPr="008B61E2">
        <w:rPr>
          <w:sz w:val="20"/>
          <w:szCs w:val="20"/>
        </w:rPr>
        <w:t xml:space="preserve">Similarly, in 2014, the Committee on Economic, Social and Cultural Rights reported concerns that waiting lists for social housing were long and that many Roma did not meet the </w:t>
      </w:r>
      <w:r w:rsidR="00534AC3">
        <w:rPr>
          <w:sz w:val="20"/>
          <w:szCs w:val="20"/>
        </w:rPr>
        <w:t xml:space="preserve">eligibility </w:t>
      </w:r>
      <w:r w:rsidRPr="008B61E2">
        <w:rPr>
          <w:sz w:val="20"/>
          <w:szCs w:val="20"/>
        </w:rPr>
        <w:t xml:space="preserve">requirements </w:t>
      </w:r>
      <w:r w:rsidR="00534AC3">
        <w:rPr>
          <w:sz w:val="20"/>
          <w:szCs w:val="20"/>
        </w:rPr>
        <w:t>for</w:t>
      </w:r>
      <w:r w:rsidR="00534AC3" w:rsidRPr="008B61E2">
        <w:rPr>
          <w:sz w:val="20"/>
          <w:szCs w:val="20"/>
        </w:rPr>
        <w:t xml:space="preserve"> </w:t>
      </w:r>
      <w:r w:rsidRPr="008B61E2">
        <w:rPr>
          <w:sz w:val="20"/>
          <w:szCs w:val="20"/>
        </w:rPr>
        <w:t xml:space="preserve">social housing </w:t>
      </w:r>
      <w:r w:rsidR="00534AC3">
        <w:rPr>
          <w:sz w:val="20"/>
          <w:szCs w:val="20"/>
        </w:rPr>
        <w:t>under</w:t>
      </w:r>
      <w:r w:rsidR="00534AC3" w:rsidRPr="008B61E2">
        <w:rPr>
          <w:sz w:val="20"/>
          <w:szCs w:val="20"/>
        </w:rPr>
        <w:t xml:space="preserve"> </w:t>
      </w:r>
      <w:r w:rsidRPr="008B61E2">
        <w:rPr>
          <w:sz w:val="20"/>
          <w:szCs w:val="20"/>
        </w:rPr>
        <w:t>the Special Rehousing Programme (</w:t>
      </w:r>
      <w:r w:rsidR="00534AC3">
        <w:rPr>
          <w:sz w:val="20"/>
          <w:szCs w:val="20"/>
        </w:rPr>
        <w:t>see para. 33 above</w:t>
      </w:r>
      <w:r w:rsidRPr="008B61E2">
        <w:rPr>
          <w:sz w:val="20"/>
          <w:szCs w:val="20"/>
        </w:rPr>
        <w:t xml:space="preserve">) as they had not been included in the </w:t>
      </w:r>
      <w:r w:rsidR="00534AC3">
        <w:rPr>
          <w:sz w:val="20"/>
          <w:szCs w:val="20"/>
        </w:rPr>
        <w:t xml:space="preserve">census conducted in </w:t>
      </w:r>
      <w:r w:rsidRPr="008B61E2">
        <w:rPr>
          <w:sz w:val="20"/>
          <w:szCs w:val="20"/>
        </w:rPr>
        <w:t>1993</w:t>
      </w:r>
      <w:r w:rsidR="00534AC3">
        <w:rPr>
          <w:sz w:val="20"/>
          <w:szCs w:val="20"/>
        </w:rPr>
        <w:t xml:space="preserve"> </w:t>
      </w:r>
      <w:r w:rsidR="00534AC3" w:rsidRPr="008B61E2">
        <w:rPr>
          <w:sz w:val="20"/>
          <w:szCs w:val="20"/>
        </w:rPr>
        <w:t>(E/C.12/PRT/CO/4)</w:t>
      </w:r>
      <w:r w:rsidRPr="008B61E2">
        <w:rPr>
          <w:sz w:val="20"/>
          <w:szCs w:val="20"/>
        </w:rPr>
        <w:t>.</w:t>
      </w:r>
    </w:p>
    <w:p w:rsidR="00C07932" w:rsidRDefault="006A3C47" w:rsidP="008B61E2">
      <w:pPr>
        <w:pStyle w:val="H1G"/>
        <w:spacing w:line="240" w:lineRule="atLeast"/>
      </w:pPr>
      <w:bookmarkStart w:id="29" w:name="_Toc473100940"/>
      <w:bookmarkStart w:id="30" w:name="_Toc473119170"/>
      <w:r>
        <w:tab/>
      </w:r>
      <w:r w:rsidR="003576BF" w:rsidRPr="00AA3FE0">
        <w:t>B</w:t>
      </w:r>
      <w:r w:rsidR="00BD491C">
        <w:t>.</w:t>
      </w:r>
      <w:r w:rsidRPr="00AA3FE0">
        <w:tab/>
      </w:r>
      <w:r w:rsidR="00182D5E" w:rsidRPr="00AA3FE0">
        <w:t>People of African descent</w:t>
      </w:r>
      <w:bookmarkEnd w:id="29"/>
      <w:bookmarkEnd w:id="30"/>
    </w:p>
    <w:p w:rsidR="00C07932" w:rsidRPr="008B61E2" w:rsidRDefault="0048528F" w:rsidP="008B61E2">
      <w:pPr>
        <w:pStyle w:val="SingleTxtG"/>
        <w:rPr>
          <w:sz w:val="20"/>
          <w:szCs w:val="20"/>
        </w:rPr>
      </w:pPr>
      <w:r w:rsidRPr="008B61E2">
        <w:rPr>
          <w:sz w:val="20"/>
          <w:szCs w:val="20"/>
        </w:rPr>
        <w:t>7</w:t>
      </w:r>
      <w:r w:rsidR="00BD491C">
        <w:rPr>
          <w:sz w:val="20"/>
          <w:szCs w:val="20"/>
        </w:rPr>
        <w:t>4</w:t>
      </w:r>
      <w:r w:rsidRPr="008B61E2">
        <w:rPr>
          <w:sz w:val="20"/>
          <w:szCs w:val="20"/>
        </w:rPr>
        <w:t>.</w:t>
      </w:r>
      <w:r w:rsidRPr="008B61E2">
        <w:rPr>
          <w:sz w:val="20"/>
          <w:szCs w:val="20"/>
        </w:rPr>
        <w:tab/>
        <w:t xml:space="preserve">The Special Rapporteur is concerned </w:t>
      </w:r>
      <w:r w:rsidR="00E8219C">
        <w:rPr>
          <w:sz w:val="20"/>
          <w:szCs w:val="20"/>
        </w:rPr>
        <w:t>at</w:t>
      </w:r>
      <w:r w:rsidR="00E8219C" w:rsidRPr="008B61E2">
        <w:rPr>
          <w:sz w:val="20"/>
          <w:szCs w:val="20"/>
        </w:rPr>
        <w:t xml:space="preserve"> </w:t>
      </w:r>
      <w:r w:rsidRPr="008B61E2">
        <w:rPr>
          <w:sz w:val="20"/>
          <w:szCs w:val="20"/>
        </w:rPr>
        <w:t xml:space="preserve">the exclusion and discrimination experienced by some persons of African origin, largely from former Portuguese colonies, </w:t>
      </w:r>
      <w:r w:rsidR="00E8219C">
        <w:rPr>
          <w:sz w:val="20"/>
          <w:szCs w:val="20"/>
        </w:rPr>
        <w:t>such as</w:t>
      </w:r>
      <w:r w:rsidR="00E8219C" w:rsidRPr="008B61E2">
        <w:rPr>
          <w:sz w:val="20"/>
          <w:szCs w:val="20"/>
        </w:rPr>
        <w:t xml:space="preserve"> </w:t>
      </w:r>
      <w:r w:rsidR="00E8219C" w:rsidRPr="00316EA4">
        <w:rPr>
          <w:sz w:val="20"/>
          <w:szCs w:val="20"/>
        </w:rPr>
        <w:t>Angola</w:t>
      </w:r>
      <w:r w:rsidR="00E8219C">
        <w:rPr>
          <w:sz w:val="20"/>
          <w:szCs w:val="20"/>
        </w:rPr>
        <w:t>,</w:t>
      </w:r>
      <w:r w:rsidR="00E8219C" w:rsidRPr="008B61E2">
        <w:rPr>
          <w:sz w:val="20"/>
          <w:szCs w:val="20"/>
        </w:rPr>
        <w:t xml:space="preserve"> </w:t>
      </w:r>
      <w:r w:rsidRPr="008B61E2">
        <w:rPr>
          <w:sz w:val="20"/>
          <w:szCs w:val="20"/>
        </w:rPr>
        <w:t>Cabo Verde</w:t>
      </w:r>
      <w:r w:rsidR="00E8219C">
        <w:rPr>
          <w:sz w:val="20"/>
          <w:szCs w:val="20"/>
        </w:rPr>
        <w:t xml:space="preserve"> and</w:t>
      </w:r>
      <w:r w:rsidRPr="008B61E2">
        <w:rPr>
          <w:sz w:val="20"/>
          <w:szCs w:val="20"/>
        </w:rPr>
        <w:t xml:space="preserve"> Mozambique, who are also among the poorest and most deprived in terms of access to adequate housing. People of African descent coexist with Roma in informal settlements</w:t>
      </w:r>
      <w:r w:rsidR="00E8219C">
        <w:rPr>
          <w:sz w:val="20"/>
          <w:szCs w:val="20"/>
        </w:rPr>
        <w:t>,</w:t>
      </w:r>
      <w:r w:rsidRPr="008B61E2">
        <w:rPr>
          <w:sz w:val="20"/>
          <w:szCs w:val="20"/>
        </w:rPr>
        <w:t xml:space="preserve"> where they are forced to live in grossly inadequate conditions</w:t>
      </w:r>
      <w:r w:rsidR="00E8219C">
        <w:rPr>
          <w:sz w:val="20"/>
          <w:szCs w:val="20"/>
        </w:rPr>
        <w:t>, marked by</w:t>
      </w:r>
      <w:r w:rsidRPr="008B61E2">
        <w:rPr>
          <w:sz w:val="20"/>
          <w:szCs w:val="20"/>
        </w:rPr>
        <w:t xml:space="preserve"> the lack of sufficient available social housing </w:t>
      </w:r>
      <w:r w:rsidR="00E8219C">
        <w:rPr>
          <w:sz w:val="20"/>
          <w:szCs w:val="20"/>
        </w:rPr>
        <w:t xml:space="preserve">and </w:t>
      </w:r>
      <w:r w:rsidRPr="008B61E2">
        <w:rPr>
          <w:sz w:val="20"/>
          <w:szCs w:val="20"/>
        </w:rPr>
        <w:t xml:space="preserve">of a rent supplement programme, or </w:t>
      </w:r>
      <w:r w:rsidR="00E8219C">
        <w:rPr>
          <w:sz w:val="20"/>
          <w:szCs w:val="20"/>
        </w:rPr>
        <w:t xml:space="preserve">any </w:t>
      </w:r>
      <w:r w:rsidRPr="008B61E2">
        <w:rPr>
          <w:sz w:val="20"/>
          <w:szCs w:val="20"/>
        </w:rPr>
        <w:t xml:space="preserve">other private market access-to-housing solution for </w:t>
      </w:r>
      <w:r w:rsidR="00E8219C">
        <w:rPr>
          <w:sz w:val="20"/>
          <w:szCs w:val="20"/>
        </w:rPr>
        <w:t>those</w:t>
      </w:r>
      <w:r w:rsidRPr="008B61E2">
        <w:rPr>
          <w:sz w:val="20"/>
          <w:szCs w:val="20"/>
        </w:rPr>
        <w:t xml:space="preserve"> living in poverty.</w:t>
      </w:r>
    </w:p>
    <w:p w:rsidR="00C07932" w:rsidRDefault="0048528F" w:rsidP="008B61E2">
      <w:pPr>
        <w:pStyle w:val="SingleTxtG"/>
      </w:pPr>
      <w:r w:rsidRPr="008B61E2">
        <w:rPr>
          <w:sz w:val="20"/>
          <w:szCs w:val="20"/>
        </w:rPr>
        <w:t>7</w:t>
      </w:r>
      <w:r w:rsidR="00BD491C">
        <w:rPr>
          <w:sz w:val="20"/>
          <w:szCs w:val="20"/>
        </w:rPr>
        <w:t>5</w:t>
      </w:r>
      <w:r w:rsidRPr="008B61E2">
        <w:rPr>
          <w:sz w:val="20"/>
          <w:szCs w:val="20"/>
        </w:rPr>
        <w:t>.</w:t>
      </w:r>
      <w:r w:rsidRPr="008B61E2">
        <w:rPr>
          <w:sz w:val="20"/>
          <w:szCs w:val="20"/>
        </w:rPr>
        <w:tab/>
        <w:t>The Committee on the Elimination of Racial Discrimination underlined its concern that</w:t>
      </w:r>
      <w:r w:rsidR="00E8219C">
        <w:rPr>
          <w:sz w:val="20"/>
          <w:szCs w:val="20"/>
        </w:rPr>
        <w:t>,</w:t>
      </w:r>
      <w:r w:rsidRPr="008B61E2">
        <w:rPr>
          <w:sz w:val="20"/>
          <w:szCs w:val="20"/>
        </w:rPr>
        <w:t xml:space="preserve"> despite the long presence of Africans</w:t>
      </w:r>
      <w:r w:rsidR="00E8219C">
        <w:rPr>
          <w:sz w:val="20"/>
          <w:szCs w:val="20"/>
        </w:rPr>
        <w:t xml:space="preserve"> and persons</w:t>
      </w:r>
      <w:r w:rsidRPr="008B61E2">
        <w:rPr>
          <w:sz w:val="20"/>
          <w:szCs w:val="20"/>
        </w:rPr>
        <w:t xml:space="preserve"> of African descent in Portugal and their contribution to the development of the country, they </w:t>
      </w:r>
      <w:r w:rsidR="00E8219C">
        <w:rPr>
          <w:sz w:val="20"/>
          <w:szCs w:val="20"/>
        </w:rPr>
        <w:t>were</w:t>
      </w:r>
      <w:r w:rsidRPr="008B61E2">
        <w:rPr>
          <w:sz w:val="20"/>
          <w:szCs w:val="20"/>
        </w:rPr>
        <w:t xml:space="preserve"> still subjected to racism, with no programmes specially targeting their concerns</w:t>
      </w:r>
      <w:r w:rsidR="00E8219C">
        <w:rPr>
          <w:sz w:val="20"/>
          <w:szCs w:val="20"/>
        </w:rPr>
        <w:t>,</w:t>
      </w:r>
      <w:r w:rsidRPr="008B61E2">
        <w:rPr>
          <w:sz w:val="20"/>
          <w:szCs w:val="20"/>
        </w:rPr>
        <w:t xml:space="preserve"> including with regard to housing</w:t>
      </w:r>
      <w:r w:rsidR="00E8219C">
        <w:rPr>
          <w:sz w:val="20"/>
          <w:szCs w:val="20"/>
        </w:rPr>
        <w:t xml:space="preserve"> </w:t>
      </w:r>
      <w:r w:rsidR="00E8219C" w:rsidRPr="008B61E2">
        <w:rPr>
          <w:sz w:val="20"/>
          <w:szCs w:val="20"/>
        </w:rPr>
        <w:t>(CERD/C/PRT/CO/15-17</w:t>
      </w:r>
      <w:r w:rsidR="00E8219C">
        <w:rPr>
          <w:sz w:val="20"/>
          <w:szCs w:val="20"/>
        </w:rPr>
        <w:t>, para. 22</w:t>
      </w:r>
      <w:r w:rsidR="00E8219C" w:rsidRPr="008B61E2">
        <w:rPr>
          <w:sz w:val="20"/>
          <w:szCs w:val="20"/>
        </w:rPr>
        <w:t>)</w:t>
      </w:r>
      <w:r w:rsidRPr="008B61E2">
        <w:rPr>
          <w:sz w:val="20"/>
          <w:szCs w:val="20"/>
        </w:rPr>
        <w:t>.</w:t>
      </w:r>
    </w:p>
    <w:p w:rsidR="00C07932" w:rsidRDefault="006A3C47" w:rsidP="008B61E2">
      <w:pPr>
        <w:pStyle w:val="H1G"/>
        <w:spacing w:line="240" w:lineRule="atLeast"/>
      </w:pPr>
      <w:bookmarkStart w:id="31" w:name="_Toc473100941"/>
      <w:bookmarkStart w:id="32" w:name="_Toc473119171"/>
      <w:r>
        <w:tab/>
      </w:r>
      <w:r w:rsidR="00D21A37">
        <w:t>C</w:t>
      </w:r>
      <w:r>
        <w:t>.</w:t>
      </w:r>
      <w:r>
        <w:tab/>
      </w:r>
      <w:r w:rsidR="00113541">
        <w:t>Persons with disabilities</w:t>
      </w:r>
      <w:bookmarkEnd w:id="31"/>
      <w:bookmarkEnd w:id="32"/>
    </w:p>
    <w:p w:rsidR="00C07932" w:rsidRDefault="0048528F" w:rsidP="008B61E2">
      <w:pPr>
        <w:pStyle w:val="SingleTxtG"/>
      </w:pPr>
      <w:r w:rsidRPr="008B61E2">
        <w:rPr>
          <w:sz w:val="20"/>
          <w:szCs w:val="20"/>
        </w:rPr>
        <w:t>7</w:t>
      </w:r>
      <w:r w:rsidR="006F726D">
        <w:rPr>
          <w:sz w:val="20"/>
          <w:szCs w:val="20"/>
        </w:rPr>
        <w:t>6</w:t>
      </w:r>
      <w:r w:rsidRPr="008B61E2">
        <w:rPr>
          <w:sz w:val="20"/>
          <w:szCs w:val="20"/>
        </w:rPr>
        <w:t>.</w:t>
      </w:r>
      <w:r w:rsidRPr="008B61E2">
        <w:rPr>
          <w:sz w:val="20"/>
          <w:szCs w:val="20"/>
        </w:rPr>
        <w:tab/>
      </w:r>
      <w:r w:rsidR="00E45781">
        <w:rPr>
          <w:sz w:val="20"/>
          <w:szCs w:val="20"/>
        </w:rPr>
        <w:t xml:space="preserve">In 2006, </w:t>
      </w:r>
      <w:r w:rsidRPr="008B61E2">
        <w:rPr>
          <w:sz w:val="20"/>
          <w:szCs w:val="20"/>
        </w:rPr>
        <w:t xml:space="preserve">Portugal adopted </w:t>
      </w:r>
      <w:r w:rsidR="00E45781">
        <w:rPr>
          <w:sz w:val="20"/>
          <w:szCs w:val="20"/>
        </w:rPr>
        <w:t xml:space="preserve">the </w:t>
      </w:r>
      <w:r w:rsidRPr="008B61E2">
        <w:rPr>
          <w:sz w:val="20"/>
          <w:szCs w:val="20"/>
        </w:rPr>
        <w:t>Disability Act</w:t>
      </w:r>
      <w:r w:rsidR="00E45781">
        <w:rPr>
          <w:sz w:val="20"/>
          <w:szCs w:val="20"/>
        </w:rPr>
        <w:t>,</w:t>
      </w:r>
      <w:r w:rsidR="00E45781" w:rsidRPr="008B61E2" w:rsidDel="00E45781">
        <w:rPr>
          <w:sz w:val="20"/>
          <w:szCs w:val="20"/>
        </w:rPr>
        <w:t xml:space="preserve"> </w:t>
      </w:r>
      <w:r w:rsidRPr="008B61E2">
        <w:rPr>
          <w:sz w:val="20"/>
          <w:szCs w:val="20"/>
        </w:rPr>
        <w:t>which prohibits discrimination against persons with disabilities and promotes their full participation in society</w:t>
      </w:r>
      <w:r w:rsidR="00E45781">
        <w:rPr>
          <w:sz w:val="20"/>
          <w:szCs w:val="20"/>
        </w:rPr>
        <w:t>.</w:t>
      </w:r>
      <w:r w:rsidRPr="008B61E2">
        <w:rPr>
          <w:sz w:val="20"/>
          <w:szCs w:val="20"/>
        </w:rPr>
        <w:t xml:space="preserve"> </w:t>
      </w:r>
      <w:r w:rsidR="00E45781">
        <w:rPr>
          <w:sz w:val="20"/>
          <w:szCs w:val="20"/>
        </w:rPr>
        <w:t>I</w:t>
      </w:r>
      <w:r w:rsidRPr="008B61E2">
        <w:rPr>
          <w:sz w:val="20"/>
          <w:szCs w:val="20"/>
        </w:rPr>
        <w:t xml:space="preserve">t </w:t>
      </w:r>
      <w:r w:rsidR="00E45781">
        <w:rPr>
          <w:sz w:val="20"/>
          <w:szCs w:val="20"/>
        </w:rPr>
        <w:t xml:space="preserve">also </w:t>
      </w:r>
      <w:r w:rsidRPr="008B61E2">
        <w:rPr>
          <w:sz w:val="20"/>
          <w:szCs w:val="20"/>
        </w:rPr>
        <w:t xml:space="preserve">has a </w:t>
      </w:r>
      <w:r w:rsidR="00E45781">
        <w:rPr>
          <w:sz w:val="20"/>
          <w:szCs w:val="20"/>
        </w:rPr>
        <w:t>n</w:t>
      </w:r>
      <w:r w:rsidRPr="008B61E2">
        <w:rPr>
          <w:sz w:val="20"/>
          <w:szCs w:val="20"/>
        </w:rPr>
        <w:t xml:space="preserve">ational </w:t>
      </w:r>
      <w:r w:rsidR="00E45781">
        <w:rPr>
          <w:sz w:val="20"/>
          <w:szCs w:val="20"/>
        </w:rPr>
        <w:t>s</w:t>
      </w:r>
      <w:r w:rsidRPr="008B61E2">
        <w:rPr>
          <w:sz w:val="20"/>
          <w:szCs w:val="20"/>
        </w:rPr>
        <w:t xml:space="preserve">trategy on </w:t>
      </w:r>
      <w:r w:rsidR="00E45781">
        <w:rPr>
          <w:sz w:val="20"/>
          <w:szCs w:val="20"/>
        </w:rPr>
        <w:t>d</w:t>
      </w:r>
      <w:r w:rsidRPr="008B61E2">
        <w:rPr>
          <w:sz w:val="20"/>
          <w:szCs w:val="20"/>
        </w:rPr>
        <w:t xml:space="preserve">isability. The Special Rapporteur </w:t>
      </w:r>
      <w:r w:rsidR="00E45781">
        <w:rPr>
          <w:sz w:val="20"/>
          <w:szCs w:val="20"/>
        </w:rPr>
        <w:t>was informed,</w:t>
      </w:r>
      <w:r w:rsidRPr="008B61E2">
        <w:rPr>
          <w:sz w:val="20"/>
          <w:szCs w:val="20"/>
        </w:rPr>
        <w:t xml:space="preserve">, however, that persons with disabilities </w:t>
      </w:r>
      <w:r w:rsidR="00E45781">
        <w:rPr>
          <w:sz w:val="20"/>
          <w:szCs w:val="20"/>
        </w:rPr>
        <w:t>are subject to</w:t>
      </w:r>
      <w:r w:rsidRPr="008B61E2">
        <w:rPr>
          <w:sz w:val="20"/>
          <w:szCs w:val="20"/>
        </w:rPr>
        <w:t xml:space="preserve"> a number of barriers with </w:t>
      </w:r>
      <w:r w:rsidR="00E45781">
        <w:rPr>
          <w:sz w:val="20"/>
          <w:szCs w:val="20"/>
        </w:rPr>
        <w:t>regard</w:t>
      </w:r>
      <w:r w:rsidRPr="008B61E2">
        <w:rPr>
          <w:sz w:val="20"/>
          <w:szCs w:val="20"/>
        </w:rPr>
        <w:t xml:space="preserve"> to the enjoyment of the right to adequate housing. </w:t>
      </w:r>
      <w:r w:rsidR="00E45781">
        <w:rPr>
          <w:sz w:val="20"/>
          <w:szCs w:val="20"/>
        </w:rPr>
        <w:t>T</w:t>
      </w:r>
      <w:r w:rsidRPr="008B61E2">
        <w:rPr>
          <w:sz w:val="20"/>
          <w:szCs w:val="20"/>
        </w:rPr>
        <w:t xml:space="preserve">he Ombudsperson </w:t>
      </w:r>
      <w:r w:rsidR="00E45781">
        <w:rPr>
          <w:sz w:val="20"/>
          <w:szCs w:val="20"/>
        </w:rPr>
        <w:t xml:space="preserve">confirmed </w:t>
      </w:r>
      <w:r w:rsidRPr="008B61E2">
        <w:rPr>
          <w:sz w:val="20"/>
          <w:szCs w:val="20"/>
        </w:rPr>
        <w:t xml:space="preserve">that accessibility remains a </w:t>
      </w:r>
      <w:r w:rsidRPr="008B61E2">
        <w:rPr>
          <w:sz w:val="20"/>
          <w:szCs w:val="20"/>
        </w:rPr>
        <w:lastRenderedPageBreak/>
        <w:t>major challenge in Portugal, that discrimination against person with disabilities within the housing sector is common, and that pe</w:t>
      </w:r>
      <w:r w:rsidR="00E45781">
        <w:rPr>
          <w:sz w:val="20"/>
          <w:szCs w:val="20"/>
        </w:rPr>
        <w:t>rsons</w:t>
      </w:r>
      <w:r w:rsidRPr="008B61E2">
        <w:rPr>
          <w:sz w:val="20"/>
          <w:szCs w:val="20"/>
        </w:rPr>
        <w:t xml:space="preserve"> with disabilities continue to face many barriers in living independently, notably </w:t>
      </w:r>
      <w:r w:rsidR="00E45781">
        <w:rPr>
          <w:sz w:val="20"/>
          <w:szCs w:val="20"/>
        </w:rPr>
        <w:t xml:space="preserve">because of </w:t>
      </w:r>
      <w:r w:rsidRPr="008B61E2">
        <w:rPr>
          <w:sz w:val="20"/>
          <w:szCs w:val="20"/>
        </w:rPr>
        <w:t xml:space="preserve">the lack of a national strategy to facilitate and support independent living in the community rather that in institutions, as provided for in article 19 of the </w:t>
      </w:r>
      <w:r w:rsidR="00E45781" w:rsidRPr="00735DB1">
        <w:rPr>
          <w:bCs/>
          <w:color w:val="000000"/>
          <w:sz w:val="20"/>
          <w:szCs w:val="20"/>
        </w:rPr>
        <w:t>Convention on the Rights of Persons with Disabilities</w:t>
      </w:r>
      <w:r w:rsidR="00E45781">
        <w:rPr>
          <w:sz w:val="20"/>
          <w:szCs w:val="20"/>
        </w:rPr>
        <w:t xml:space="preserve"> </w:t>
      </w:r>
      <w:r w:rsidR="00E45781" w:rsidRPr="008B61E2">
        <w:rPr>
          <w:sz w:val="20"/>
          <w:szCs w:val="20"/>
        </w:rPr>
        <w:t xml:space="preserve">(CRPD/C/PRT/CO/1, paras. </w:t>
      </w:r>
      <w:r w:rsidR="00D37D61" w:rsidRPr="008B61E2">
        <w:rPr>
          <w:sz w:val="20"/>
          <w:szCs w:val="20"/>
        </w:rPr>
        <w:t>38-39)</w:t>
      </w:r>
      <w:r w:rsidRPr="008B61E2">
        <w:rPr>
          <w:sz w:val="20"/>
          <w:szCs w:val="20"/>
        </w:rPr>
        <w:t>.</w:t>
      </w:r>
      <w:r w:rsidRPr="0048528F">
        <w:rPr>
          <w:sz w:val="18"/>
          <w:szCs w:val="18"/>
          <w:vertAlign w:val="superscript"/>
        </w:rPr>
        <w:t xml:space="preserve"> </w:t>
      </w:r>
    </w:p>
    <w:p w:rsidR="00C07932" w:rsidRDefault="006A3C47" w:rsidP="008B61E2">
      <w:pPr>
        <w:pStyle w:val="HChG"/>
        <w:spacing w:line="240" w:lineRule="atLeast"/>
      </w:pPr>
      <w:bookmarkStart w:id="33" w:name="_Toc473100942"/>
      <w:bookmarkStart w:id="34" w:name="_Toc473119172"/>
      <w:r>
        <w:tab/>
        <w:t>V.</w:t>
      </w:r>
      <w:r>
        <w:tab/>
      </w:r>
      <w:r w:rsidR="00182D5E" w:rsidRPr="00182D5E">
        <w:t>Access to justice</w:t>
      </w:r>
      <w:bookmarkEnd w:id="33"/>
      <w:bookmarkEnd w:id="34"/>
    </w:p>
    <w:p w:rsidR="00C07932" w:rsidRPr="008B61E2" w:rsidRDefault="0048528F" w:rsidP="008B61E2">
      <w:pPr>
        <w:pStyle w:val="SingleTxtG"/>
        <w:rPr>
          <w:sz w:val="20"/>
          <w:szCs w:val="20"/>
        </w:rPr>
      </w:pPr>
      <w:r w:rsidRPr="008B61E2">
        <w:rPr>
          <w:sz w:val="20"/>
          <w:szCs w:val="20"/>
        </w:rPr>
        <w:t>7</w:t>
      </w:r>
      <w:r w:rsidR="006F726D">
        <w:rPr>
          <w:sz w:val="20"/>
          <w:szCs w:val="20"/>
        </w:rPr>
        <w:t>7</w:t>
      </w:r>
      <w:r w:rsidRPr="008B61E2">
        <w:rPr>
          <w:sz w:val="20"/>
          <w:szCs w:val="20"/>
        </w:rPr>
        <w:t>.</w:t>
      </w:r>
      <w:r w:rsidRPr="008B61E2">
        <w:rPr>
          <w:sz w:val="20"/>
          <w:szCs w:val="20"/>
        </w:rPr>
        <w:tab/>
        <w:t xml:space="preserve">The rights to adequate housing and to non-discrimination are meaningless without access to justice and to legal remedies for their violation. The Special Rapporteur commends Portugal for its mechanisms to ensure that the State complies with the right to adequate housing, but regrets that </w:t>
      </w:r>
      <w:r w:rsidR="00D37D61">
        <w:rPr>
          <w:sz w:val="20"/>
          <w:szCs w:val="20"/>
        </w:rPr>
        <w:t>recourse is</w:t>
      </w:r>
      <w:r w:rsidRPr="008B61E2">
        <w:rPr>
          <w:sz w:val="20"/>
          <w:szCs w:val="20"/>
        </w:rPr>
        <w:t xml:space="preserve"> not often </w:t>
      </w:r>
      <w:r w:rsidR="00D37D61">
        <w:rPr>
          <w:sz w:val="20"/>
          <w:szCs w:val="20"/>
        </w:rPr>
        <w:t>made to them</w:t>
      </w:r>
      <w:r w:rsidRPr="008B61E2">
        <w:rPr>
          <w:sz w:val="20"/>
          <w:szCs w:val="20"/>
        </w:rPr>
        <w:t>.</w:t>
      </w:r>
    </w:p>
    <w:p w:rsidR="00C07932" w:rsidRPr="008B61E2" w:rsidRDefault="0048528F" w:rsidP="008B61E2">
      <w:pPr>
        <w:pStyle w:val="SingleTxtG"/>
        <w:rPr>
          <w:sz w:val="20"/>
          <w:szCs w:val="20"/>
        </w:rPr>
      </w:pPr>
      <w:r w:rsidRPr="008B61E2">
        <w:rPr>
          <w:sz w:val="20"/>
          <w:szCs w:val="20"/>
        </w:rPr>
        <w:t>7</w:t>
      </w:r>
      <w:r w:rsidR="006F726D">
        <w:rPr>
          <w:sz w:val="20"/>
          <w:szCs w:val="20"/>
        </w:rPr>
        <w:t>8</w:t>
      </w:r>
      <w:r w:rsidRPr="008B61E2">
        <w:rPr>
          <w:sz w:val="20"/>
          <w:szCs w:val="20"/>
        </w:rPr>
        <w:t>.</w:t>
      </w:r>
      <w:r w:rsidRPr="008B61E2">
        <w:rPr>
          <w:sz w:val="20"/>
          <w:szCs w:val="20"/>
        </w:rPr>
        <w:tab/>
        <w:t>One positive example was a court decision by the South Administrative Central Court</w:t>
      </w:r>
      <w:r w:rsidR="00D37D61">
        <w:rPr>
          <w:sz w:val="20"/>
          <w:szCs w:val="20"/>
        </w:rPr>
        <w:t>,</w:t>
      </w:r>
      <w:r w:rsidRPr="008B61E2">
        <w:rPr>
          <w:sz w:val="20"/>
          <w:szCs w:val="20"/>
        </w:rPr>
        <w:t xml:space="preserve"> which recognized that the protection of basic housing needs should prevail over a generic legalistic interest in ensuring compliance with the law, even if it results in the loss of public revenues. In </w:t>
      </w:r>
      <w:r w:rsidR="00D37D61">
        <w:rPr>
          <w:sz w:val="20"/>
          <w:szCs w:val="20"/>
        </w:rPr>
        <w:t>the</w:t>
      </w:r>
      <w:r w:rsidR="00D37D61" w:rsidRPr="008B61E2">
        <w:rPr>
          <w:sz w:val="20"/>
          <w:szCs w:val="20"/>
        </w:rPr>
        <w:t xml:space="preserve"> </w:t>
      </w:r>
      <w:r w:rsidRPr="008B61E2">
        <w:rPr>
          <w:sz w:val="20"/>
          <w:szCs w:val="20"/>
        </w:rPr>
        <w:t>case</w:t>
      </w:r>
      <w:r w:rsidR="00D37D61">
        <w:rPr>
          <w:sz w:val="20"/>
          <w:szCs w:val="20"/>
        </w:rPr>
        <w:t xml:space="preserve"> in question</w:t>
      </w:r>
      <w:r w:rsidRPr="008B61E2">
        <w:rPr>
          <w:sz w:val="20"/>
          <w:szCs w:val="20"/>
        </w:rPr>
        <w:t xml:space="preserve">, in 2011, </w:t>
      </w:r>
      <w:r w:rsidR="00D37D61">
        <w:rPr>
          <w:sz w:val="20"/>
          <w:szCs w:val="20"/>
        </w:rPr>
        <w:t>an</w:t>
      </w:r>
      <w:r w:rsidR="00D37D61" w:rsidRPr="008B61E2">
        <w:rPr>
          <w:sz w:val="20"/>
          <w:szCs w:val="20"/>
        </w:rPr>
        <w:t xml:space="preserve"> </w:t>
      </w:r>
      <w:r w:rsidRPr="008B61E2">
        <w:rPr>
          <w:sz w:val="20"/>
          <w:szCs w:val="20"/>
        </w:rPr>
        <w:t xml:space="preserve">applicant was notified of the decision to terminate the rental contract of a social housing unit in Lisbon </w:t>
      </w:r>
      <w:r w:rsidR="00D37D61">
        <w:rPr>
          <w:sz w:val="20"/>
          <w:szCs w:val="20"/>
        </w:rPr>
        <w:t>owing</w:t>
      </w:r>
      <w:r w:rsidRPr="008B61E2">
        <w:rPr>
          <w:sz w:val="20"/>
          <w:szCs w:val="20"/>
        </w:rPr>
        <w:t xml:space="preserve"> to </w:t>
      </w:r>
      <w:r w:rsidR="00D37D61">
        <w:rPr>
          <w:sz w:val="20"/>
          <w:szCs w:val="20"/>
        </w:rPr>
        <w:t xml:space="preserve">arrears owed in </w:t>
      </w:r>
      <w:r w:rsidRPr="008B61E2">
        <w:rPr>
          <w:sz w:val="20"/>
          <w:szCs w:val="20"/>
        </w:rPr>
        <w:t xml:space="preserve">rent, with a period of 90 days to vacate the unit or face eviction. </w:t>
      </w:r>
      <w:r w:rsidR="00D37D61">
        <w:rPr>
          <w:sz w:val="20"/>
          <w:szCs w:val="20"/>
        </w:rPr>
        <w:t>In June 2012, t</w:t>
      </w:r>
      <w:r w:rsidRPr="008B61E2">
        <w:rPr>
          <w:sz w:val="20"/>
          <w:szCs w:val="20"/>
        </w:rPr>
        <w:t>he Court recogni</w:t>
      </w:r>
      <w:r w:rsidR="00D37D61">
        <w:rPr>
          <w:sz w:val="20"/>
          <w:szCs w:val="20"/>
        </w:rPr>
        <w:t>z</w:t>
      </w:r>
      <w:r w:rsidRPr="008B61E2">
        <w:rPr>
          <w:sz w:val="20"/>
          <w:szCs w:val="20"/>
        </w:rPr>
        <w:t xml:space="preserve">ed that </w:t>
      </w:r>
      <w:r w:rsidR="00D37D61">
        <w:rPr>
          <w:sz w:val="20"/>
          <w:szCs w:val="20"/>
        </w:rPr>
        <w:t>the housing</w:t>
      </w:r>
      <w:r w:rsidRPr="008B61E2">
        <w:rPr>
          <w:sz w:val="20"/>
          <w:szCs w:val="20"/>
        </w:rPr>
        <w:t xml:space="preserve"> unit was </w:t>
      </w:r>
      <w:r w:rsidR="00D37D61">
        <w:rPr>
          <w:sz w:val="20"/>
          <w:szCs w:val="20"/>
        </w:rPr>
        <w:t xml:space="preserve">actually </w:t>
      </w:r>
      <w:r w:rsidRPr="008B61E2">
        <w:rPr>
          <w:sz w:val="20"/>
          <w:szCs w:val="20"/>
        </w:rPr>
        <w:t xml:space="preserve">the primary residence </w:t>
      </w:r>
      <w:r w:rsidR="00D37D61">
        <w:rPr>
          <w:sz w:val="20"/>
          <w:szCs w:val="20"/>
        </w:rPr>
        <w:t>of</w:t>
      </w:r>
      <w:r w:rsidRPr="008B61E2">
        <w:rPr>
          <w:sz w:val="20"/>
          <w:szCs w:val="20"/>
        </w:rPr>
        <w:t xml:space="preserve"> the applicant and her family, </w:t>
      </w:r>
      <w:r w:rsidR="00D37D61">
        <w:rPr>
          <w:sz w:val="20"/>
          <w:szCs w:val="20"/>
        </w:rPr>
        <w:t xml:space="preserve">which </w:t>
      </w:r>
      <w:r w:rsidRPr="008B61E2">
        <w:rPr>
          <w:sz w:val="20"/>
          <w:szCs w:val="20"/>
        </w:rPr>
        <w:t>includ</w:t>
      </w:r>
      <w:r w:rsidR="00D37D61">
        <w:rPr>
          <w:sz w:val="20"/>
          <w:szCs w:val="20"/>
        </w:rPr>
        <w:t>ed</w:t>
      </w:r>
      <w:r w:rsidRPr="008B61E2">
        <w:rPr>
          <w:sz w:val="20"/>
          <w:szCs w:val="20"/>
        </w:rPr>
        <w:t xml:space="preserve"> two children, and </w:t>
      </w:r>
      <w:r w:rsidR="00D37D61">
        <w:rPr>
          <w:sz w:val="20"/>
          <w:szCs w:val="20"/>
        </w:rPr>
        <w:t xml:space="preserve">ordered that </w:t>
      </w:r>
      <w:r w:rsidRPr="008B61E2">
        <w:rPr>
          <w:sz w:val="20"/>
          <w:szCs w:val="20"/>
        </w:rPr>
        <w:t xml:space="preserve">the </w:t>
      </w:r>
      <w:r w:rsidR="00D37D61" w:rsidRPr="00304BB9">
        <w:rPr>
          <w:sz w:val="20"/>
          <w:szCs w:val="20"/>
        </w:rPr>
        <w:t>decision</w:t>
      </w:r>
      <w:r w:rsidR="00D37D61" w:rsidRPr="008B61E2">
        <w:rPr>
          <w:sz w:val="20"/>
          <w:szCs w:val="20"/>
        </w:rPr>
        <w:t xml:space="preserve"> </w:t>
      </w:r>
      <w:r w:rsidR="00D37D61">
        <w:rPr>
          <w:sz w:val="20"/>
          <w:szCs w:val="20"/>
        </w:rPr>
        <w:t xml:space="preserve">on the </w:t>
      </w:r>
      <w:r w:rsidRPr="008B61E2">
        <w:rPr>
          <w:sz w:val="20"/>
          <w:szCs w:val="20"/>
        </w:rPr>
        <w:t>eviction</w:t>
      </w:r>
      <w:r w:rsidR="00D37D61">
        <w:rPr>
          <w:sz w:val="20"/>
          <w:szCs w:val="20"/>
        </w:rPr>
        <w:t xml:space="preserve"> be revoked</w:t>
      </w:r>
      <w:r w:rsidRPr="008B61E2">
        <w:rPr>
          <w:sz w:val="20"/>
          <w:szCs w:val="20"/>
        </w:rPr>
        <w:t>, noting that the family did not have any other proper vacant housing to which they could move n</w:t>
      </w:r>
      <w:r w:rsidR="00D37D61">
        <w:rPr>
          <w:sz w:val="20"/>
          <w:szCs w:val="20"/>
        </w:rPr>
        <w:t>or</w:t>
      </w:r>
      <w:r w:rsidRPr="008B61E2">
        <w:rPr>
          <w:sz w:val="20"/>
          <w:szCs w:val="20"/>
        </w:rPr>
        <w:t xml:space="preserve"> the economic </w:t>
      </w:r>
      <w:r w:rsidR="00D37D61">
        <w:rPr>
          <w:sz w:val="20"/>
          <w:szCs w:val="20"/>
        </w:rPr>
        <w:t>means</w:t>
      </w:r>
      <w:r w:rsidR="00D37D61" w:rsidRPr="008B61E2">
        <w:rPr>
          <w:sz w:val="20"/>
          <w:szCs w:val="20"/>
        </w:rPr>
        <w:t xml:space="preserve"> </w:t>
      </w:r>
      <w:r w:rsidRPr="008B61E2">
        <w:rPr>
          <w:sz w:val="20"/>
          <w:szCs w:val="20"/>
        </w:rPr>
        <w:t xml:space="preserve">to pay </w:t>
      </w:r>
      <w:r w:rsidR="00D37D61">
        <w:rPr>
          <w:sz w:val="20"/>
          <w:szCs w:val="20"/>
        </w:rPr>
        <w:t xml:space="preserve">for </w:t>
      </w:r>
      <w:r w:rsidRPr="008B61E2">
        <w:rPr>
          <w:sz w:val="20"/>
          <w:szCs w:val="20"/>
        </w:rPr>
        <w:t xml:space="preserve">rent at </w:t>
      </w:r>
      <w:r w:rsidR="00D37D61">
        <w:rPr>
          <w:sz w:val="20"/>
          <w:szCs w:val="20"/>
        </w:rPr>
        <w:t xml:space="preserve">the current </w:t>
      </w:r>
      <w:r w:rsidRPr="008B61E2">
        <w:rPr>
          <w:sz w:val="20"/>
          <w:szCs w:val="20"/>
        </w:rPr>
        <w:t>market value</w:t>
      </w:r>
      <w:r w:rsidR="00D37D61">
        <w:rPr>
          <w:sz w:val="20"/>
          <w:szCs w:val="20"/>
        </w:rPr>
        <w:t>.</w:t>
      </w:r>
    </w:p>
    <w:p w:rsidR="00C07932" w:rsidRPr="008B61E2" w:rsidRDefault="006F726D" w:rsidP="008B61E2">
      <w:pPr>
        <w:pStyle w:val="SingleTxtG"/>
        <w:rPr>
          <w:sz w:val="20"/>
          <w:szCs w:val="20"/>
        </w:rPr>
      </w:pPr>
      <w:r>
        <w:rPr>
          <w:sz w:val="20"/>
          <w:szCs w:val="20"/>
        </w:rPr>
        <w:t>79</w:t>
      </w:r>
      <w:r w:rsidR="0048528F" w:rsidRPr="008B61E2">
        <w:rPr>
          <w:sz w:val="20"/>
          <w:szCs w:val="20"/>
        </w:rPr>
        <w:t>.</w:t>
      </w:r>
      <w:r w:rsidR="0048528F" w:rsidRPr="008B61E2">
        <w:rPr>
          <w:sz w:val="20"/>
          <w:szCs w:val="20"/>
        </w:rPr>
        <w:tab/>
        <w:t>The Ombudsperson is</w:t>
      </w:r>
      <w:r w:rsidR="00D37D61">
        <w:rPr>
          <w:sz w:val="20"/>
          <w:szCs w:val="20"/>
        </w:rPr>
        <w:t xml:space="preserve">, in accordance with </w:t>
      </w:r>
      <w:r w:rsidR="0048528F" w:rsidRPr="008B61E2">
        <w:rPr>
          <w:sz w:val="20"/>
          <w:szCs w:val="20"/>
        </w:rPr>
        <w:t>the national human rights institution</w:t>
      </w:r>
      <w:r w:rsidR="00D37D61">
        <w:rPr>
          <w:sz w:val="20"/>
          <w:szCs w:val="20"/>
        </w:rPr>
        <w:t>, and has had “A” status since 1999.</w:t>
      </w:r>
      <w:r w:rsidR="0048528F" w:rsidRPr="008B61E2">
        <w:rPr>
          <w:sz w:val="20"/>
          <w:szCs w:val="20"/>
        </w:rPr>
        <w:t xml:space="preserve"> </w:t>
      </w:r>
      <w:r w:rsidR="00D37D61">
        <w:rPr>
          <w:sz w:val="20"/>
          <w:szCs w:val="20"/>
        </w:rPr>
        <w:t>Pursuant to</w:t>
      </w:r>
      <w:r w:rsidR="0048528F" w:rsidRPr="008B61E2">
        <w:rPr>
          <w:sz w:val="20"/>
          <w:szCs w:val="20"/>
        </w:rPr>
        <w:t xml:space="preserve"> article 23 of the Constitution, </w:t>
      </w:r>
      <w:r w:rsidR="00D37D61">
        <w:rPr>
          <w:sz w:val="20"/>
          <w:szCs w:val="20"/>
        </w:rPr>
        <w:t>the Ombudsperson may</w:t>
      </w:r>
      <w:r w:rsidR="0048528F" w:rsidRPr="008B61E2">
        <w:rPr>
          <w:sz w:val="20"/>
          <w:szCs w:val="20"/>
        </w:rPr>
        <w:t xml:space="preserve"> receive complaints against actions or omissions by public authorities</w:t>
      </w:r>
      <w:r w:rsidR="00D37D61">
        <w:rPr>
          <w:sz w:val="20"/>
          <w:szCs w:val="20"/>
        </w:rPr>
        <w:t>,</w:t>
      </w:r>
      <w:r w:rsidR="0048528F" w:rsidRPr="008B61E2">
        <w:rPr>
          <w:sz w:val="20"/>
          <w:szCs w:val="20"/>
        </w:rPr>
        <w:t xml:space="preserve"> and present to the competent bodies “such recommendations as may be necessary in order to prevent or </w:t>
      </w:r>
      <w:r w:rsidR="00D37D61">
        <w:rPr>
          <w:sz w:val="20"/>
          <w:szCs w:val="20"/>
        </w:rPr>
        <w:t>rectify</w:t>
      </w:r>
      <w:r w:rsidR="0048528F" w:rsidRPr="008B61E2">
        <w:rPr>
          <w:sz w:val="20"/>
          <w:szCs w:val="20"/>
        </w:rPr>
        <w:t xml:space="preserve"> any injustices”. </w:t>
      </w:r>
      <w:r w:rsidR="00D37D61">
        <w:rPr>
          <w:sz w:val="20"/>
          <w:szCs w:val="20"/>
        </w:rPr>
        <w:t xml:space="preserve">The institution </w:t>
      </w:r>
      <w:r w:rsidR="0048528F" w:rsidRPr="008B61E2">
        <w:rPr>
          <w:sz w:val="20"/>
          <w:szCs w:val="20"/>
        </w:rPr>
        <w:t>plays an important role in protecting and promoting human rights, has submitted reports to treaty monitoring bodies and uses international human rights law in its work.</w:t>
      </w:r>
    </w:p>
    <w:p w:rsidR="00C07932" w:rsidRPr="008B61E2" w:rsidRDefault="0048528F" w:rsidP="008B61E2">
      <w:pPr>
        <w:pStyle w:val="SingleTxtG"/>
        <w:rPr>
          <w:sz w:val="20"/>
          <w:szCs w:val="20"/>
        </w:rPr>
      </w:pPr>
      <w:r w:rsidRPr="008B61E2">
        <w:rPr>
          <w:sz w:val="20"/>
          <w:szCs w:val="20"/>
        </w:rPr>
        <w:t>8</w:t>
      </w:r>
      <w:r w:rsidR="006F726D">
        <w:rPr>
          <w:sz w:val="20"/>
          <w:szCs w:val="20"/>
        </w:rPr>
        <w:t>0</w:t>
      </w:r>
      <w:r w:rsidRPr="008B61E2">
        <w:rPr>
          <w:sz w:val="20"/>
          <w:szCs w:val="20"/>
        </w:rPr>
        <w:t>.</w:t>
      </w:r>
      <w:r w:rsidRPr="008B61E2">
        <w:rPr>
          <w:sz w:val="20"/>
          <w:szCs w:val="20"/>
        </w:rPr>
        <w:tab/>
      </w:r>
      <w:r w:rsidR="00D37D61">
        <w:rPr>
          <w:sz w:val="20"/>
          <w:szCs w:val="20"/>
        </w:rPr>
        <w:t>With regard</w:t>
      </w:r>
      <w:r w:rsidRPr="008B61E2">
        <w:rPr>
          <w:sz w:val="20"/>
          <w:szCs w:val="20"/>
        </w:rPr>
        <w:t xml:space="preserve"> to social housing and local public health services, the Ombudsperson has submitted a number of recommendations to social security services and municipalities. In 2015, for example, the Ombudsperson recommended </w:t>
      </w:r>
      <w:r w:rsidR="00D37D61">
        <w:rPr>
          <w:sz w:val="20"/>
          <w:szCs w:val="20"/>
        </w:rPr>
        <w:t>that</w:t>
      </w:r>
      <w:r w:rsidR="00D37D61" w:rsidRPr="008B61E2">
        <w:rPr>
          <w:sz w:val="20"/>
          <w:szCs w:val="20"/>
        </w:rPr>
        <w:t xml:space="preserve"> </w:t>
      </w:r>
      <w:r w:rsidRPr="008B61E2">
        <w:rPr>
          <w:sz w:val="20"/>
          <w:szCs w:val="20"/>
        </w:rPr>
        <w:t xml:space="preserve">the Municipality of Amadora suspend the eviction and demolition of unauthorized constructions and houses developed in public land without </w:t>
      </w:r>
      <w:r w:rsidR="008636E3">
        <w:rPr>
          <w:sz w:val="20"/>
          <w:szCs w:val="20"/>
        </w:rPr>
        <w:t xml:space="preserve">a </w:t>
      </w:r>
      <w:r w:rsidRPr="008B61E2">
        <w:rPr>
          <w:sz w:val="20"/>
          <w:szCs w:val="20"/>
        </w:rPr>
        <w:t xml:space="preserve">permit. He noted that some households would be displaced or rendered homeless if the Municipality continued </w:t>
      </w:r>
      <w:r w:rsidR="008636E3">
        <w:rPr>
          <w:sz w:val="20"/>
          <w:szCs w:val="20"/>
        </w:rPr>
        <w:t xml:space="preserve">to </w:t>
      </w:r>
      <w:r w:rsidRPr="008B61E2">
        <w:rPr>
          <w:sz w:val="20"/>
          <w:szCs w:val="20"/>
        </w:rPr>
        <w:t>demolish homes without providing alternative accommodation. The Ombudsperson recommended that the Municipality, State and other institutions resettle all households without alternatives.</w:t>
      </w:r>
      <w:r w:rsidR="008636E3" w:rsidRPr="00D54AC0">
        <w:rPr>
          <w:sz w:val="18"/>
          <w:szCs w:val="18"/>
          <w:vertAlign w:val="superscript"/>
        </w:rPr>
        <w:footnoteReference w:id="28"/>
      </w:r>
    </w:p>
    <w:p w:rsidR="00C07932" w:rsidRDefault="0048528F" w:rsidP="008B61E2">
      <w:pPr>
        <w:pStyle w:val="SingleTxtG"/>
      </w:pPr>
      <w:r w:rsidRPr="008B61E2">
        <w:rPr>
          <w:sz w:val="20"/>
          <w:szCs w:val="20"/>
        </w:rPr>
        <w:t>8</w:t>
      </w:r>
      <w:r w:rsidR="006F726D">
        <w:rPr>
          <w:sz w:val="20"/>
          <w:szCs w:val="20"/>
        </w:rPr>
        <w:t>1</w:t>
      </w:r>
      <w:r w:rsidRPr="008B61E2">
        <w:rPr>
          <w:sz w:val="20"/>
          <w:szCs w:val="20"/>
        </w:rPr>
        <w:t>.</w:t>
      </w:r>
      <w:r w:rsidRPr="008B61E2">
        <w:rPr>
          <w:sz w:val="20"/>
          <w:szCs w:val="20"/>
        </w:rPr>
        <w:tab/>
        <w:t xml:space="preserve">Portugal has ratified several regional human rights instruments, and it is under scrutiny of the European Court of Human Rights and the European Committee of Social Rights. For example, in 2010, the European Roma Rights Centre brought a collective complaint against Portugal to the European Committee of Social Rights, alleging precarious and difficult housing conditions in several Roma settlements, in violation of articles 30 and 31 of the European Social Charter. The Committee found violations of article E (non-discrimination) in conjunction with articles 16, 30 and 31(1). In response to the complaint, </w:t>
      </w:r>
      <w:r w:rsidRPr="008B61E2">
        <w:rPr>
          <w:sz w:val="20"/>
          <w:szCs w:val="20"/>
        </w:rPr>
        <w:lastRenderedPageBreak/>
        <w:t>Portugal developed the National Roma Communities Integration Strategy (2013-2020)</w:t>
      </w:r>
      <w:r w:rsidR="00E73217">
        <w:rPr>
          <w:sz w:val="20"/>
          <w:szCs w:val="20"/>
        </w:rPr>
        <w:t xml:space="preserve"> (see para. 70 above)</w:t>
      </w:r>
      <w:r w:rsidRPr="008B61E2">
        <w:rPr>
          <w:sz w:val="20"/>
          <w:szCs w:val="20"/>
        </w:rPr>
        <w:t>.</w:t>
      </w:r>
      <w:r w:rsidR="00182D5E" w:rsidRPr="00182D5E">
        <w:t xml:space="preserve"> </w:t>
      </w:r>
    </w:p>
    <w:p w:rsidR="00C07932" w:rsidRDefault="00D86CB9" w:rsidP="008B61E2">
      <w:pPr>
        <w:pStyle w:val="HChG"/>
        <w:spacing w:line="240" w:lineRule="atLeast"/>
      </w:pPr>
      <w:bookmarkStart w:id="35" w:name="_Toc473119173"/>
      <w:bookmarkStart w:id="36" w:name="_Toc473100943"/>
      <w:r>
        <w:tab/>
        <w:t>VI.</w:t>
      </w:r>
      <w:r>
        <w:tab/>
      </w:r>
      <w:r w:rsidR="00182D5E" w:rsidRPr="00182D5E">
        <w:t>Conclusions and recommendations</w:t>
      </w:r>
      <w:bookmarkEnd w:id="35"/>
      <w:r w:rsidR="00182D5E" w:rsidRPr="00182D5E">
        <w:t xml:space="preserve"> </w:t>
      </w:r>
      <w:bookmarkEnd w:id="36"/>
    </w:p>
    <w:p w:rsidR="00C07932" w:rsidRPr="008B61E2" w:rsidRDefault="0048528F" w:rsidP="008B61E2">
      <w:pPr>
        <w:pStyle w:val="SingleTxtG"/>
        <w:rPr>
          <w:b/>
          <w:sz w:val="20"/>
          <w:szCs w:val="20"/>
        </w:rPr>
      </w:pPr>
      <w:bookmarkStart w:id="37" w:name="_Toc472963540"/>
      <w:bookmarkEnd w:id="37"/>
      <w:r w:rsidRPr="008B61E2">
        <w:rPr>
          <w:sz w:val="20"/>
          <w:szCs w:val="20"/>
        </w:rPr>
        <w:t>8</w:t>
      </w:r>
      <w:r w:rsidR="006F726D" w:rsidRPr="008B61E2">
        <w:rPr>
          <w:sz w:val="20"/>
          <w:szCs w:val="20"/>
        </w:rPr>
        <w:t>2</w:t>
      </w:r>
      <w:r w:rsidRPr="008B61E2">
        <w:rPr>
          <w:sz w:val="20"/>
          <w:szCs w:val="20"/>
        </w:rPr>
        <w:t>.</w:t>
      </w:r>
      <w:r w:rsidRPr="008B61E2">
        <w:rPr>
          <w:b/>
          <w:sz w:val="20"/>
          <w:szCs w:val="20"/>
        </w:rPr>
        <w:tab/>
        <w:t xml:space="preserve">Portugal has a strong foundation upon which to implement the right to adequate housing as a central </w:t>
      </w:r>
      <w:r w:rsidR="00E73217">
        <w:rPr>
          <w:b/>
          <w:sz w:val="20"/>
          <w:szCs w:val="20"/>
        </w:rPr>
        <w:t>feature</w:t>
      </w:r>
      <w:r w:rsidR="00E73217" w:rsidRPr="008B61E2">
        <w:rPr>
          <w:b/>
          <w:sz w:val="20"/>
          <w:szCs w:val="20"/>
        </w:rPr>
        <w:t xml:space="preserve"> </w:t>
      </w:r>
      <w:r w:rsidRPr="008B61E2">
        <w:rPr>
          <w:b/>
          <w:sz w:val="20"/>
          <w:szCs w:val="20"/>
        </w:rPr>
        <w:t xml:space="preserve">of a just and democratic society. Article 65 of the Constitution, </w:t>
      </w:r>
      <w:r w:rsidR="00E73217">
        <w:rPr>
          <w:b/>
          <w:sz w:val="20"/>
          <w:szCs w:val="20"/>
        </w:rPr>
        <w:t>together</w:t>
      </w:r>
      <w:r w:rsidRPr="008B61E2">
        <w:rPr>
          <w:b/>
          <w:sz w:val="20"/>
          <w:szCs w:val="20"/>
        </w:rPr>
        <w:t xml:space="preserve"> with several housing laws and programmes, reflects a general understanding of the importance of housing and some of the needs </w:t>
      </w:r>
      <w:r w:rsidR="00E73217">
        <w:rPr>
          <w:b/>
          <w:sz w:val="20"/>
          <w:szCs w:val="20"/>
        </w:rPr>
        <w:t xml:space="preserve">witnessed </w:t>
      </w:r>
      <w:r w:rsidRPr="008B61E2">
        <w:rPr>
          <w:b/>
          <w:sz w:val="20"/>
          <w:szCs w:val="20"/>
        </w:rPr>
        <w:t>in the sector. This has</w:t>
      </w:r>
      <w:r w:rsidR="00E73217" w:rsidRPr="00E00750">
        <w:rPr>
          <w:b/>
          <w:sz w:val="20"/>
          <w:szCs w:val="20"/>
        </w:rPr>
        <w:t>, however,</w:t>
      </w:r>
      <w:r w:rsidRPr="008B61E2">
        <w:rPr>
          <w:b/>
          <w:sz w:val="20"/>
          <w:szCs w:val="20"/>
        </w:rPr>
        <w:t xml:space="preserve"> been tempered by the financial crisis and the measures </w:t>
      </w:r>
      <w:r w:rsidR="00E73217">
        <w:rPr>
          <w:b/>
          <w:sz w:val="20"/>
          <w:szCs w:val="20"/>
        </w:rPr>
        <w:t xml:space="preserve">subsequently taken </w:t>
      </w:r>
      <w:r w:rsidRPr="008B61E2">
        <w:rPr>
          <w:b/>
          <w:sz w:val="20"/>
          <w:szCs w:val="20"/>
        </w:rPr>
        <w:t xml:space="preserve">to address </w:t>
      </w:r>
      <w:r w:rsidR="00E73217">
        <w:rPr>
          <w:b/>
          <w:sz w:val="20"/>
          <w:szCs w:val="20"/>
        </w:rPr>
        <w:t>it</w:t>
      </w:r>
      <w:r w:rsidRPr="008B61E2">
        <w:rPr>
          <w:b/>
          <w:sz w:val="20"/>
          <w:szCs w:val="20"/>
        </w:rPr>
        <w:t>.</w:t>
      </w:r>
    </w:p>
    <w:p w:rsidR="00C07932" w:rsidRPr="008B61E2" w:rsidRDefault="0048528F" w:rsidP="008B61E2">
      <w:pPr>
        <w:pStyle w:val="SingleTxtG"/>
        <w:rPr>
          <w:b/>
          <w:sz w:val="20"/>
          <w:szCs w:val="20"/>
        </w:rPr>
      </w:pPr>
      <w:r w:rsidRPr="008B61E2">
        <w:rPr>
          <w:sz w:val="20"/>
          <w:szCs w:val="20"/>
        </w:rPr>
        <w:t>8</w:t>
      </w:r>
      <w:r w:rsidR="006F726D" w:rsidRPr="008B61E2">
        <w:rPr>
          <w:sz w:val="20"/>
          <w:szCs w:val="20"/>
        </w:rPr>
        <w:t>3</w:t>
      </w:r>
      <w:r w:rsidRPr="008B61E2">
        <w:rPr>
          <w:sz w:val="20"/>
          <w:szCs w:val="20"/>
        </w:rPr>
        <w:t>.</w:t>
      </w:r>
      <w:r w:rsidRPr="008B61E2">
        <w:rPr>
          <w:b/>
          <w:sz w:val="20"/>
          <w:szCs w:val="20"/>
        </w:rPr>
        <w:tab/>
      </w:r>
      <w:r w:rsidR="00725A3B">
        <w:rPr>
          <w:b/>
          <w:sz w:val="20"/>
          <w:szCs w:val="20"/>
        </w:rPr>
        <w:t>The brunt of the a</w:t>
      </w:r>
      <w:r w:rsidRPr="008B61E2">
        <w:rPr>
          <w:b/>
          <w:sz w:val="20"/>
          <w:szCs w:val="20"/>
        </w:rPr>
        <w:t xml:space="preserve">usterity measures </w:t>
      </w:r>
      <w:r w:rsidR="00725A3B">
        <w:rPr>
          <w:b/>
          <w:sz w:val="20"/>
          <w:szCs w:val="20"/>
        </w:rPr>
        <w:t xml:space="preserve">taken </w:t>
      </w:r>
      <w:r w:rsidRPr="008B61E2">
        <w:rPr>
          <w:b/>
          <w:sz w:val="20"/>
          <w:szCs w:val="20"/>
        </w:rPr>
        <w:t xml:space="preserve">to revive </w:t>
      </w:r>
      <w:r w:rsidR="00725A3B">
        <w:rPr>
          <w:b/>
          <w:sz w:val="20"/>
          <w:szCs w:val="20"/>
        </w:rPr>
        <w:t xml:space="preserve">the </w:t>
      </w:r>
      <w:r w:rsidRPr="008B61E2">
        <w:rPr>
          <w:b/>
          <w:sz w:val="20"/>
          <w:szCs w:val="20"/>
        </w:rPr>
        <w:t>economy</w:t>
      </w:r>
      <w:r w:rsidR="00725A3B">
        <w:rPr>
          <w:b/>
          <w:sz w:val="20"/>
          <w:szCs w:val="20"/>
        </w:rPr>
        <w:t xml:space="preserve"> – such as the</w:t>
      </w:r>
      <w:r w:rsidRPr="008B61E2">
        <w:rPr>
          <w:b/>
          <w:sz w:val="20"/>
          <w:szCs w:val="20"/>
        </w:rPr>
        <w:t xml:space="preserve"> downsizing </w:t>
      </w:r>
      <w:r w:rsidR="00725A3B">
        <w:rPr>
          <w:b/>
          <w:sz w:val="20"/>
          <w:szCs w:val="20"/>
        </w:rPr>
        <w:t xml:space="preserve">of </w:t>
      </w:r>
      <w:r w:rsidRPr="008B61E2">
        <w:rPr>
          <w:b/>
          <w:sz w:val="20"/>
          <w:szCs w:val="20"/>
        </w:rPr>
        <w:t>the public service</w:t>
      </w:r>
      <w:r w:rsidR="00725A3B">
        <w:rPr>
          <w:b/>
          <w:sz w:val="20"/>
          <w:szCs w:val="20"/>
        </w:rPr>
        <w:t xml:space="preserve"> and </w:t>
      </w:r>
      <w:r w:rsidRPr="008B61E2">
        <w:rPr>
          <w:b/>
          <w:sz w:val="20"/>
          <w:szCs w:val="20"/>
        </w:rPr>
        <w:t xml:space="preserve">the withdrawal of the </w:t>
      </w:r>
      <w:r w:rsidR="00725A3B">
        <w:rPr>
          <w:b/>
          <w:sz w:val="20"/>
          <w:szCs w:val="20"/>
        </w:rPr>
        <w:t>S</w:t>
      </w:r>
      <w:r w:rsidRPr="008B61E2">
        <w:rPr>
          <w:b/>
          <w:sz w:val="20"/>
          <w:szCs w:val="20"/>
        </w:rPr>
        <w:t>tate from social protection</w:t>
      </w:r>
      <w:r w:rsidR="00725A3B">
        <w:rPr>
          <w:b/>
          <w:sz w:val="20"/>
          <w:szCs w:val="20"/>
        </w:rPr>
        <w:t xml:space="preserve"> –</w:t>
      </w:r>
      <w:r w:rsidRPr="008B61E2">
        <w:rPr>
          <w:b/>
          <w:sz w:val="20"/>
          <w:szCs w:val="20"/>
        </w:rPr>
        <w:t xml:space="preserve"> ha</w:t>
      </w:r>
      <w:r w:rsidR="00725A3B">
        <w:rPr>
          <w:b/>
          <w:sz w:val="20"/>
          <w:szCs w:val="20"/>
        </w:rPr>
        <w:t>s</w:t>
      </w:r>
      <w:r w:rsidRPr="008B61E2">
        <w:rPr>
          <w:b/>
          <w:sz w:val="20"/>
          <w:szCs w:val="20"/>
        </w:rPr>
        <w:t xml:space="preserve"> been born</w:t>
      </w:r>
      <w:r w:rsidR="00725A3B">
        <w:rPr>
          <w:b/>
          <w:sz w:val="20"/>
          <w:szCs w:val="20"/>
        </w:rPr>
        <w:t>e</w:t>
      </w:r>
      <w:r w:rsidRPr="008B61E2">
        <w:rPr>
          <w:b/>
          <w:sz w:val="20"/>
          <w:szCs w:val="20"/>
        </w:rPr>
        <w:t xml:space="preserve"> disproportionately by those who were already living below the poverty line or who were at risk of poverty</w:t>
      </w:r>
      <w:r w:rsidR="00725A3B">
        <w:rPr>
          <w:b/>
          <w:sz w:val="20"/>
          <w:szCs w:val="20"/>
        </w:rPr>
        <w:t>.</w:t>
      </w:r>
      <w:r w:rsidR="00725A3B" w:rsidRPr="008B61E2">
        <w:rPr>
          <w:rStyle w:val="FootnoteReference"/>
          <w:szCs w:val="20"/>
        </w:rPr>
        <w:footnoteReference w:id="29"/>
      </w:r>
      <w:r w:rsidRPr="008B61E2">
        <w:rPr>
          <w:b/>
          <w:sz w:val="20"/>
          <w:szCs w:val="20"/>
        </w:rPr>
        <w:t xml:space="preserve"> At the same time, </w:t>
      </w:r>
      <w:r w:rsidR="00725A3B">
        <w:rPr>
          <w:b/>
          <w:sz w:val="20"/>
          <w:szCs w:val="20"/>
        </w:rPr>
        <w:t>the</w:t>
      </w:r>
      <w:r w:rsidR="00725A3B" w:rsidRPr="008B61E2">
        <w:rPr>
          <w:b/>
          <w:sz w:val="20"/>
          <w:szCs w:val="20"/>
        </w:rPr>
        <w:t xml:space="preserve"> </w:t>
      </w:r>
      <w:r w:rsidRPr="008B61E2">
        <w:rPr>
          <w:b/>
          <w:sz w:val="20"/>
          <w:szCs w:val="20"/>
        </w:rPr>
        <w:t xml:space="preserve">measures have led to the emergence of the </w:t>
      </w:r>
      <w:r w:rsidR="00725A3B">
        <w:rPr>
          <w:b/>
          <w:sz w:val="20"/>
          <w:szCs w:val="20"/>
        </w:rPr>
        <w:t>“</w:t>
      </w:r>
      <w:r w:rsidRPr="008B61E2">
        <w:rPr>
          <w:b/>
          <w:sz w:val="20"/>
          <w:szCs w:val="20"/>
        </w:rPr>
        <w:t>new poor</w:t>
      </w:r>
      <w:r w:rsidR="00725A3B">
        <w:rPr>
          <w:b/>
          <w:sz w:val="20"/>
          <w:szCs w:val="20"/>
        </w:rPr>
        <w:t>”</w:t>
      </w:r>
      <w:r w:rsidRPr="008B61E2">
        <w:rPr>
          <w:b/>
          <w:sz w:val="20"/>
          <w:szCs w:val="20"/>
        </w:rPr>
        <w:t xml:space="preserve">, </w:t>
      </w:r>
      <w:r w:rsidR="00725A3B">
        <w:rPr>
          <w:b/>
          <w:sz w:val="20"/>
          <w:szCs w:val="20"/>
        </w:rPr>
        <w:t xml:space="preserve">who </w:t>
      </w:r>
      <w:r w:rsidRPr="008B61E2">
        <w:rPr>
          <w:b/>
          <w:sz w:val="20"/>
          <w:szCs w:val="20"/>
        </w:rPr>
        <w:t>fac</w:t>
      </w:r>
      <w:r w:rsidR="00725A3B">
        <w:rPr>
          <w:b/>
          <w:sz w:val="20"/>
          <w:szCs w:val="20"/>
        </w:rPr>
        <w:t>e</w:t>
      </w:r>
      <w:r w:rsidRPr="008B61E2">
        <w:rPr>
          <w:b/>
          <w:sz w:val="20"/>
          <w:szCs w:val="20"/>
        </w:rPr>
        <w:t xml:space="preserve"> social exclusion </w:t>
      </w:r>
      <w:r w:rsidR="00725A3B">
        <w:rPr>
          <w:b/>
          <w:sz w:val="20"/>
          <w:szCs w:val="20"/>
        </w:rPr>
        <w:t xml:space="preserve">largely owing </w:t>
      </w:r>
      <w:r w:rsidRPr="008B61E2">
        <w:rPr>
          <w:b/>
          <w:sz w:val="20"/>
          <w:szCs w:val="20"/>
        </w:rPr>
        <w:t xml:space="preserve">to the deterioration of their living conditions, </w:t>
      </w:r>
      <w:r w:rsidR="00725A3B">
        <w:rPr>
          <w:b/>
          <w:sz w:val="20"/>
          <w:szCs w:val="20"/>
        </w:rPr>
        <w:t>and in particular</w:t>
      </w:r>
      <w:r w:rsidR="00725A3B" w:rsidRPr="008B61E2">
        <w:rPr>
          <w:b/>
          <w:sz w:val="20"/>
          <w:szCs w:val="20"/>
        </w:rPr>
        <w:t xml:space="preserve"> </w:t>
      </w:r>
      <w:r w:rsidRPr="008B61E2">
        <w:rPr>
          <w:b/>
          <w:sz w:val="20"/>
          <w:szCs w:val="20"/>
        </w:rPr>
        <w:t>housing</w:t>
      </w:r>
      <w:r w:rsidR="00725A3B">
        <w:rPr>
          <w:b/>
          <w:sz w:val="20"/>
          <w:szCs w:val="20"/>
        </w:rPr>
        <w:t>;</w:t>
      </w:r>
      <w:r w:rsidRPr="008B61E2">
        <w:rPr>
          <w:b/>
          <w:sz w:val="20"/>
          <w:szCs w:val="20"/>
        </w:rPr>
        <w:t xml:space="preserve"> formerly middle-class homeowners</w:t>
      </w:r>
      <w:r w:rsidR="00725A3B">
        <w:rPr>
          <w:b/>
          <w:sz w:val="20"/>
          <w:szCs w:val="20"/>
        </w:rPr>
        <w:t>,</w:t>
      </w:r>
      <w:r w:rsidRPr="008B61E2">
        <w:rPr>
          <w:b/>
          <w:sz w:val="20"/>
          <w:szCs w:val="20"/>
        </w:rPr>
        <w:t xml:space="preserve"> with mortgages or utility arrears, pensioners or pe</w:t>
      </w:r>
      <w:r w:rsidR="00725A3B">
        <w:rPr>
          <w:b/>
          <w:sz w:val="20"/>
          <w:szCs w:val="20"/>
        </w:rPr>
        <w:t>rsons</w:t>
      </w:r>
      <w:r w:rsidRPr="008B61E2">
        <w:rPr>
          <w:b/>
          <w:sz w:val="20"/>
          <w:szCs w:val="20"/>
        </w:rPr>
        <w:t xml:space="preserve"> who relied solely on a salary</w:t>
      </w:r>
      <w:r w:rsidR="00725A3B">
        <w:rPr>
          <w:b/>
          <w:sz w:val="20"/>
          <w:szCs w:val="20"/>
        </w:rPr>
        <w:t>,</w:t>
      </w:r>
      <w:r w:rsidRPr="008B61E2">
        <w:rPr>
          <w:b/>
          <w:sz w:val="20"/>
          <w:szCs w:val="20"/>
        </w:rPr>
        <w:t xml:space="preserve"> and </w:t>
      </w:r>
      <w:r w:rsidR="00725A3B">
        <w:rPr>
          <w:b/>
          <w:sz w:val="20"/>
          <w:szCs w:val="20"/>
        </w:rPr>
        <w:t xml:space="preserve">have </w:t>
      </w:r>
      <w:r w:rsidRPr="008B61E2">
        <w:rPr>
          <w:b/>
          <w:sz w:val="20"/>
          <w:szCs w:val="20"/>
        </w:rPr>
        <w:t xml:space="preserve">lost their jobs. </w:t>
      </w:r>
    </w:p>
    <w:p w:rsidR="00C07932" w:rsidRPr="008B61E2" w:rsidRDefault="0048528F" w:rsidP="008B61E2">
      <w:pPr>
        <w:pStyle w:val="SingleTxtG"/>
        <w:rPr>
          <w:b/>
          <w:sz w:val="20"/>
          <w:szCs w:val="20"/>
        </w:rPr>
      </w:pPr>
      <w:r w:rsidRPr="008B61E2">
        <w:rPr>
          <w:sz w:val="20"/>
          <w:szCs w:val="20"/>
        </w:rPr>
        <w:t>8</w:t>
      </w:r>
      <w:r w:rsidR="006F726D" w:rsidRPr="008B61E2">
        <w:rPr>
          <w:sz w:val="20"/>
          <w:szCs w:val="20"/>
        </w:rPr>
        <w:t>4</w:t>
      </w:r>
      <w:r w:rsidRPr="008B61E2">
        <w:rPr>
          <w:sz w:val="20"/>
          <w:szCs w:val="20"/>
        </w:rPr>
        <w:t>.</w:t>
      </w:r>
      <w:r w:rsidRPr="008B61E2">
        <w:rPr>
          <w:b/>
          <w:sz w:val="20"/>
          <w:szCs w:val="20"/>
        </w:rPr>
        <w:tab/>
        <w:t xml:space="preserve">While there are signs of economic recovery, many </w:t>
      </w:r>
      <w:r w:rsidR="006B3218">
        <w:rPr>
          <w:b/>
          <w:sz w:val="20"/>
          <w:szCs w:val="20"/>
        </w:rPr>
        <w:t xml:space="preserve">people </w:t>
      </w:r>
      <w:r w:rsidRPr="008B61E2">
        <w:rPr>
          <w:b/>
          <w:sz w:val="20"/>
          <w:szCs w:val="20"/>
        </w:rPr>
        <w:t xml:space="preserve">still face serious long-term challenges: unemployment, </w:t>
      </w:r>
      <w:r w:rsidR="006B3218">
        <w:rPr>
          <w:b/>
          <w:sz w:val="20"/>
          <w:szCs w:val="20"/>
        </w:rPr>
        <w:t>wage</w:t>
      </w:r>
      <w:r w:rsidR="006B3218" w:rsidRPr="00CA46B2">
        <w:rPr>
          <w:b/>
          <w:sz w:val="20"/>
          <w:szCs w:val="20"/>
        </w:rPr>
        <w:t xml:space="preserve"> </w:t>
      </w:r>
      <w:r w:rsidRPr="008B61E2">
        <w:rPr>
          <w:b/>
          <w:sz w:val="20"/>
          <w:szCs w:val="20"/>
        </w:rPr>
        <w:t xml:space="preserve">cuts (particularly in the public sector) and an overall </w:t>
      </w:r>
      <w:r w:rsidR="006B3218">
        <w:rPr>
          <w:b/>
          <w:sz w:val="20"/>
          <w:szCs w:val="20"/>
        </w:rPr>
        <w:t>high</w:t>
      </w:r>
      <w:r w:rsidR="006B3218" w:rsidRPr="008B61E2">
        <w:rPr>
          <w:b/>
          <w:sz w:val="20"/>
          <w:szCs w:val="20"/>
        </w:rPr>
        <w:t xml:space="preserve"> </w:t>
      </w:r>
      <w:r w:rsidRPr="008B61E2">
        <w:rPr>
          <w:b/>
          <w:sz w:val="20"/>
          <w:szCs w:val="20"/>
        </w:rPr>
        <w:t xml:space="preserve">risk of poverty, with direct consequences for their access to affordable housing. </w:t>
      </w:r>
      <w:r w:rsidR="006B3218">
        <w:rPr>
          <w:b/>
          <w:sz w:val="20"/>
          <w:szCs w:val="20"/>
        </w:rPr>
        <w:t>The h</w:t>
      </w:r>
      <w:r w:rsidRPr="008B61E2">
        <w:rPr>
          <w:b/>
          <w:sz w:val="20"/>
          <w:szCs w:val="20"/>
        </w:rPr>
        <w:t xml:space="preserve">igh </w:t>
      </w:r>
      <w:r w:rsidR="006B3218">
        <w:rPr>
          <w:b/>
          <w:sz w:val="20"/>
          <w:szCs w:val="20"/>
        </w:rPr>
        <w:t>degree</w:t>
      </w:r>
      <w:r w:rsidRPr="008B61E2">
        <w:rPr>
          <w:b/>
          <w:sz w:val="20"/>
          <w:szCs w:val="20"/>
        </w:rPr>
        <w:t xml:space="preserve"> of inequality affect</w:t>
      </w:r>
      <w:r w:rsidR="006B3218">
        <w:rPr>
          <w:b/>
          <w:sz w:val="20"/>
          <w:szCs w:val="20"/>
        </w:rPr>
        <w:t>s</w:t>
      </w:r>
      <w:r w:rsidRPr="008B61E2">
        <w:rPr>
          <w:b/>
          <w:sz w:val="20"/>
          <w:szCs w:val="20"/>
        </w:rPr>
        <w:t xml:space="preserve"> everyone in the country, not only the poorest. When inequality </w:t>
      </w:r>
      <w:r w:rsidR="006B3218">
        <w:rPr>
          <w:b/>
          <w:sz w:val="20"/>
          <w:szCs w:val="20"/>
        </w:rPr>
        <w:t>leads to</w:t>
      </w:r>
      <w:r w:rsidRPr="008B61E2">
        <w:rPr>
          <w:b/>
          <w:sz w:val="20"/>
          <w:szCs w:val="20"/>
        </w:rPr>
        <w:t xml:space="preserve"> housing exclusion, the sustainability of </w:t>
      </w:r>
      <w:r w:rsidR="006B3218">
        <w:rPr>
          <w:b/>
          <w:sz w:val="20"/>
          <w:szCs w:val="20"/>
        </w:rPr>
        <w:t xml:space="preserve">economic </w:t>
      </w:r>
      <w:r w:rsidRPr="008B61E2">
        <w:rPr>
          <w:b/>
          <w:sz w:val="20"/>
          <w:szCs w:val="20"/>
        </w:rPr>
        <w:t xml:space="preserve">recovery </w:t>
      </w:r>
      <w:r w:rsidR="006B3218">
        <w:rPr>
          <w:b/>
          <w:sz w:val="20"/>
          <w:szCs w:val="20"/>
        </w:rPr>
        <w:t xml:space="preserve">and </w:t>
      </w:r>
      <w:r w:rsidRPr="008B61E2">
        <w:rPr>
          <w:b/>
          <w:sz w:val="20"/>
          <w:szCs w:val="20"/>
        </w:rPr>
        <w:t xml:space="preserve">the viability of policies and programmes implemented in </w:t>
      </w:r>
      <w:r w:rsidR="006B3218">
        <w:rPr>
          <w:b/>
          <w:sz w:val="20"/>
          <w:szCs w:val="20"/>
        </w:rPr>
        <w:t xml:space="preserve">its </w:t>
      </w:r>
      <w:r w:rsidRPr="008B61E2">
        <w:rPr>
          <w:b/>
          <w:sz w:val="20"/>
          <w:szCs w:val="20"/>
        </w:rPr>
        <w:t xml:space="preserve">name are called into question. At the same time, policies such as golden visas or short-term tourist rentals </w:t>
      </w:r>
      <w:r w:rsidR="006B3218">
        <w:rPr>
          <w:b/>
          <w:sz w:val="20"/>
          <w:szCs w:val="20"/>
        </w:rPr>
        <w:t>should</w:t>
      </w:r>
      <w:r w:rsidRPr="008B61E2">
        <w:rPr>
          <w:b/>
          <w:sz w:val="20"/>
          <w:szCs w:val="20"/>
        </w:rPr>
        <w:t xml:space="preserve"> be strictly monitored and regulated to ensure they do not have </w:t>
      </w:r>
      <w:r w:rsidR="006B3218">
        <w:rPr>
          <w:b/>
          <w:sz w:val="20"/>
          <w:szCs w:val="20"/>
        </w:rPr>
        <w:t>a negative</w:t>
      </w:r>
      <w:r w:rsidRPr="008B61E2">
        <w:rPr>
          <w:b/>
          <w:sz w:val="20"/>
          <w:szCs w:val="20"/>
        </w:rPr>
        <w:t xml:space="preserve"> </w:t>
      </w:r>
      <w:r w:rsidR="006B3218">
        <w:rPr>
          <w:b/>
          <w:sz w:val="20"/>
          <w:szCs w:val="20"/>
        </w:rPr>
        <w:t>impact</w:t>
      </w:r>
      <w:r w:rsidRPr="008B61E2">
        <w:rPr>
          <w:b/>
          <w:sz w:val="20"/>
          <w:szCs w:val="20"/>
        </w:rPr>
        <w:t xml:space="preserve"> on the affordability of housing </w:t>
      </w:r>
      <w:r w:rsidR="006B3218">
        <w:rPr>
          <w:b/>
          <w:sz w:val="20"/>
          <w:szCs w:val="20"/>
        </w:rPr>
        <w:t xml:space="preserve">and </w:t>
      </w:r>
      <w:r w:rsidRPr="008B61E2">
        <w:rPr>
          <w:b/>
          <w:sz w:val="20"/>
          <w:szCs w:val="20"/>
        </w:rPr>
        <w:t xml:space="preserve">do not deepen inequality and </w:t>
      </w:r>
      <w:r w:rsidR="006B3218">
        <w:rPr>
          <w:b/>
          <w:sz w:val="20"/>
          <w:szCs w:val="20"/>
        </w:rPr>
        <w:t xml:space="preserve">raise the possibility of </w:t>
      </w:r>
      <w:r w:rsidRPr="008B61E2">
        <w:rPr>
          <w:b/>
          <w:sz w:val="20"/>
          <w:szCs w:val="20"/>
        </w:rPr>
        <w:t>housing exclusion.</w:t>
      </w:r>
    </w:p>
    <w:p w:rsidR="00C07932" w:rsidRPr="008B61E2" w:rsidRDefault="0048528F" w:rsidP="008B61E2">
      <w:pPr>
        <w:pStyle w:val="SingleTxtG"/>
        <w:rPr>
          <w:b/>
          <w:sz w:val="20"/>
          <w:szCs w:val="20"/>
        </w:rPr>
      </w:pPr>
      <w:r w:rsidRPr="008B61E2">
        <w:rPr>
          <w:sz w:val="20"/>
          <w:szCs w:val="20"/>
        </w:rPr>
        <w:t>8</w:t>
      </w:r>
      <w:r w:rsidR="004100E7" w:rsidRPr="008B61E2">
        <w:rPr>
          <w:sz w:val="20"/>
          <w:szCs w:val="20"/>
        </w:rPr>
        <w:t>5</w:t>
      </w:r>
      <w:r w:rsidRPr="008B61E2">
        <w:rPr>
          <w:sz w:val="20"/>
          <w:szCs w:val="20"/>
        </w:rPr>
        <w:t>.</w:t>
      </w:r>
      <w:r w:rsidRPr="008B61E2">
        <w:rPr>
          <w:b/>
          <w:sz w:val="20"/>
          <w:szCs w:val="20"/>
        </w:rPr>
        <w:tab/>
      </w:r>
      <w:r w:rsidR="006B3218">
        <w:rPr>
          <w:b/>
          <w:sz w:val="20"/>
          <w:szCs w:val="20"/>
        </w:rPr>
        <w:t>Some</w:t>
      </w:r>
      <w:r w:rsidRPr="008B61E2">
        <w:rPr>
          <w:b/>
          <w:sz w:val="20"/>
          <w:szCs w:val="20"/>
        </w:rPr>
        <w:t xml:space="preserve"> </w:t>
      </w:r>
      <w:r w:rsidR="006B3218">
        <w:rPr>
          <w:b/>
          <w:sz w:val="20"/>
          <w:szCs w:val="20"/>
        </w:rPr>
        <w:t>communities</w:t>
      </w:r>
      <w:r w:rsidRPr="008B61E2">
        <w:rPr>
          <w:b/>
          <w:sz w:val="20"/>
          <w:szCs w:val="20"/>
        </w:rPr>
        <w:t xml:space="preserve"> in Portugal live in particularly inadequate housing conditions</w:t>
      </w:r>
      <w:r w:rsidR="006B3218">
        <w:rPr>
          <w:b/>
          <w:sz w:val="20"/>
          <w:szCs w:val="20"/>
        </w:rPr>
        <w:t>,</w:t>
      </w:r>
      <w:r w:rsidRPr="008B61E2">
        <w:rPr>
          <w:b/>
          <w:sz w:val="20"/>
          <w:szCs w:val="20"/>
        </w:rPr>
        <w:t xml:space="preserve"> such as the Roma and people of African descent. It is important to recognize that</w:t>
      </w:r>
      <w:r w:rsidR="006B3218">
        <w:rPr>
          <w:b/>
          <w:sz w:val="20"/>
          <w:szCs w:val="20"/>
        </w:rPr>
        <w:t>,</w:t>
      </w:r>
      <w:r w:rsidRPr="008B61E2">
        <w:rPr>
          <w:b/>
          <w:sz w:val="20"/>
          <w:szCs w:val="20"/>
        </w:rPr>
        <w:t xml:space="preserve"> regardless of the economic conditions in the country, the right to adequate housing must be legally protected and implemented</w:t>
      </w:r>
      <w:r w:rsidR="006B5EAD">
        <w:rPr>
          <w:b/>
          <w:sz w:val="20"/>
          <w:szCs w:val="20"/>
        </w:rPr>
        <w:t>,</w:t>
      </w:r>
      <w:r w:rsidRPr="008B61E2">
        <w:rPr>
          <w:b/>
          <w:sz w:val="20"/>
          <w:szCs w:val="20"/>
        </w:rPr>
        <w:t xml:space="preserve"> particularly for those in vulnerable situations. </w:t>
      </w:r>
    </w:p>
    <w:p w:rsidR="00C07932" w:rsidRPr="008B61E2" w:rsidRDefault="0048528F" w:rsidP="008B61E2">
      <w:pPr>
        <w:pStyle w:val="SingleTxtG"/>
        <w:rPr>
          <w:b/>
          <w:sz w:val="20"/>
          <w:szCs w:val="20"/>
        </w:rPr>
      </w:pPr>
      <w:r w:rsidRPr="008B61E2">
        <w:rPr>
          <w:sz w:val="20"/>
          <w:szCs w:val="20"/>
        </w:rPr>
        <w:t>8</w:t>
      </w:r>
      <w:r w:rsidR="004100E7" w:rsidRPr="008B61E2">
        <w:rPr>
          <w:sz w:val="20"/>
          <w:szCs w:val="20"/>
        </w:rPr>
        <w:t>6</w:t>
      </w:r>
      <w:r w:rsidRPr="008B61E2">
        <w:rPr>
          <w:sz w:val="20"/>
          <w:szCs w:val="20"/>
        </w:rPr>
        <w:t>.</w:t>
      </w:r>
      <w:r w:rsidRPr="008B61E2">
        <w:rPr>
          <w:b/>
          <w:sz w:val="20"/>
          <w:szCs w:val="20"/>
        </w:rPr>
        <w:tab/>
        <w:t xml:space="preserve">In the light of the </w:t>
      </w:r>
      <w:r w:rsidR="006B5EAD">
        <w:rPr>
          <w:b/>
          <w:sz w:val="20"/>
          <w:szCs w:val="20"/>
        </w:rPr>
        <w:t xml:space="preserve">above </w:t>
      </w:r>
      <w:r w:rsidRPr="008B61E2">
        <w:rPr>
          <w:b/>
          <w:sz w:val="20"/>
          <w:szCs w:val="20"/>
        </w:rPr>
        <w:t xml:space="preserve">conclusions, the Special Rapporteur recommends </w:t>
      </w:r>
      <w:r w:rsidR="006B5EAD">
        <w:rPr>
          <w:b/>
          <w:sz w:val="20"/>
          <w:szCs w:val="20"/>
        </w:rPr>
        <w:t>that</w:t>
      </w:r>
      <w:r w:rsidRPr="008B61E2">
        <w:rPr>
          <w:b/>
          <w:sz w:val="20"/>
          <w:szCs w:val="20"/>
        </w:rPr>
        <w:t xml:space="preserve"> the national and subnational </w:t>
      </w:r>
      <w:r w:rsidR="006B5EAD">
        <w:rPr>
          <w:b/>
          <w:sz w:val="20"/>
          <w:szCs w:val="20"/>
        </w:rPr>
        <w:t>G</w:t>
      </w:r>
      <w:r w:rsidRPr="008B61E2">
        <w:rPr>
          <w:b/>
          <w:sz w:val="20"/>
          <w:szCs w:val="20"/>
        </w:rPr>
        <w:t>overnments:</w:t>
      </w:r>
    </w:p>
    <w:p w:rsidR="00C07932" w:rsidRPr="008B61E2" w:rsidRDefault="0048528F" w:rsidP="008B61E2">
      <w:pPr>
        <w:pStyle w:val="SingleTxtG"/>
        <w:ind w:firstLine="567"/>
        <w:rPr>
          <w:b/>
          <w:sz w:val="20"/>
          <w:szCs w:val="20"/>
        </w:rPr>
      </w:pPr>
      <w:r w:rsidRPr="00C678A8">
        <w:rPr>
          <w:sz w:val="20"/>
          <w:szCs w:val="20"/>
        </w:rPr>
        <w:t>(a)</w:t>
      </w:r>
      <w:r w:rsidRPr="00C678A8">
        <w:rPr>
          <w:sz w:val="20"/>
          <w:szCs w:val="20"/>
        </w:rPr>
        <w:tab/>
      </w:r>
      <w:r w:rsidRPr="008B61E2">
        <w:rPr>
          <w:b/>
          <w:sz w:val="20"/>
          <w:szCs w:val="20"/>
        </w:rPr>
        <w:t xml:space="preserve">Adopt a </w:t>
      </w:r>
      <w:r w:rsidR="006B5EAD">
        <w:rPr>
          <w:b/>
          <w:sz w:val="20"/>
          <w:szCs w:val="20"/>
        </w:rPr>
        <w:t>n</w:t>
      </w:r>
      <w:r w:rsidRPr="008B61E2">
        <w:rPr>
          <w:b/>
          <w:sz w:val="20"/>
          <w:szCs w:val="20"/>
        </w:rPr>
        <w:t xml:space="preserve">ational </w:t>
      </w:r>
      <w:r w:rsidR="006B5EAD">
        <w:rPr>
          <w:b/>
          <w:sz w:val="20"/>
          <w:szCs w:val="20"/>
        </w:rPr>
        <w:t>h</w:t>
      </w:r>
      <w:r w:rsidRPr="008B61E2">
        <w:rPr>
          <w:b/>
          <w:sz w:val="20"/>
          <w:szCs w:val="20"/>
        </w:rPr>
        <w:t xml:space="preserve">ousing </w:t>
      </w:r>
      <w:r w:rsidR="006B5EAD">
        <w:rPr>
          <w:b/>
          <w:sz w:val="20"/>
          <w:szCs w:val="20"/>
        </w:rPr>
        <w:t>f</w:t>
      </w:r>
      <w:r w:rsidRPr="008B61E2">
        <w:rPr>
          <w:b/>
          <w:sz w:val="20"/>
          <w:szCs w:val="20"/>
        </w:rPr>
        <w:t xml:space="preserve">ramework </w:t>
      </w:r>
      <w:r w:rsidR="006B5EAD">
        <w:rPr>
          <w:b/>
          <w:sz w:val="20"/>
          <w:szCs w:val="20"/>
        </w:rPr>
        <w:t>l</w:t>
      </w:r>
      <w:r w:rsidRPr="008B61E2">
        <w:rPr>
          <w:b/>
          <w:sz w:val="20"/>
          <w:szCs w:val="20"/>
        </w:rPr>
        <w:t xml:space="preserve">aw formulated in consultation with all stakeholders and based </w:t>
      </w:r>
      <w:r w:rsidR="00A252B2">
        <w:rPr>
          <w:b/>
          <w:sz w:val="20"/>
          <w:szCs w:val="20"/>
        </w:rPr>
        <w:t>on</w:t>
      </w:r>
      <w:r w:rsidR="00A252B2" w:rsidRPr="008B61E2">
        <w:rPr>
          <w:b/>
          <w:sz w:val="20"/>
          <w:szCs w:val="20"/>
        </w:rPr>
        <w:t xml:space="preserve"> </w:t>
      </w:r>
      <w:r w:rsidRPr="008B61E2">
        <w:rPr>
          <w:b/>
          <w:sz w:val="20"/>
          <w:szCs w:val="20"/>
        </w:rPr>
        <w:t xml:space="preserve">international human rights principles. Such a law would provide consistency and coherence </w:t>
      </w:r>
      <w:r w:rsidR="00A252B2">
        <w:rPr>
          <w:b/>
          <w:sz w:val="20"/>
          <w:szCs w:val="20"/>
        </w:rPr>
        <w:t>in the State’s</w:t>
      </w:r>
      <w:r w:rsidRPr="008B61E2">
        <w:rPr>
          <w:b/>
          <w:sz w:val="20"/>
          <w:szCs w:val="20"/>
        </w:rPr>
        <w:t xml:space="preserve"> housing policies and programmes. </w:t>
      </w:r>
      <w:r w:rsidR="00A252B2">
        <w:rPr>
          <w:b/>
          <w:sz w:val="20"/>
          <w:szCs w:val="20"/>
        </w:rPr>
        <w:t>It</w:t>
      </w:r>
      <w:r w:rsidRPr="008B61E2">
        <w:rPr>
          <w:b/>
          <w:sz w:val="20"/>
          <w:szCs w:val="20"/>
        </w:rPr>
        <w:t xml:space="preserve"> should include measureable goals and timelines, a focus on those in vulnerable situations, </w:t>
      </w:r>
      <w:r w:rsidR="00A252B2">
        <w:rPr>
          <w:b/>
          <w:sz w:val="20"/>
          <w:szCs w:val="20"/>
        </w:rPr>
        <w:t xml:space="preserve">and the </w:t>
      </w:r>
      <w:r w:rsidRPr="008B61E2">
        <w:rPr>
          <w:b/>
          <w:sz w:val="20"/>
          <w:szCs w:val="20"/>
        </w:rPr>
        <w:t xml:space="preserve">distribution and coordination of responsibilities between different levels of government, with effective monitoring, accountability and claiming mechanisms. A </w:t>
      </w:r>
      <w:r w:rsidR="00A252B2">
        <w:rPr>
          <w:b/>
          <w:sz w:val="20"/>
          <w:szCs w:val="20"/>
        </w:rPr>
        <w:t>n</w:t>
      </w:r>
      <w:r w:rsidRPr="008B61E2">
        <w:rPr>
          <w:b/>
          <w:sz w:val="20"/>
          <w:szCs w:val="20"/>
        </w:rPr>
        <w:t xml:space="preserve">ational </w:t>
      </w:r>
      <w:r w:rsidR="00A252B2">
        <w:rPr>
          <w:b/>
          <w:sz w:val="20"/>
          <w:szCs w:val="20"/>
        </w:rPr>
        <w:t>h</w:t>
      </w:r>
      <w:r w:rsidRPr="008B61E2">
        <w:rPr>
          <w:b/>
          <w:sz w:val="20"/>
          <w:szCs w:val="20"/>
        </w:rPr>
        <w:t xml:space="preserve">ousing </w:t>
      </w:r>
      <w:r w:rsidR="00A252B2">
        <w:rPr>
          <w:b/>
          <w:sz w:val="20"/>
          <w:szCs w:val="20"/>
        </w:rPr>
        <w:t>f</w:t>
      </w:r>
      <w:r w:rsidRPr="008B61E2">
        <w:rPr>
          <w:b/>
          <w:sz w:val="20"/>
          <w:szCs w:val="20"/>
        </w:rPr>
        <w:t xml:space="preserve">ramework </w:t>
      </w:r>
      <w:r w:rsidR="00A252B2">
        <w:rPr>
          <w:b/>
          <w:sz w:val="20"/>
          <w:szCs w:val="20"/>
        </w:rPr>
        <w:t>l</w:t>
      </w:r>
      <w:r w:rsidRPr="008B61E2">
        <w:rPr>
          <w:b/>
          <w:sz w:val="20"/>
          <w:szCs w:val="20"/>
        </w:rPr>
        <w:t xml:space="preserve">aw </w:t>
      </w:r>
      <w:r w:rsidR="00A252B2">
        <w:rPr>
          <w:b/>
          <w:sz w:val="20"/>
          <w:szCs w:val="20"/>
        </w:rPr>
        <w:t>of this type</w:t>
      </w:r>
      <w:r w:rsidRPr="008B61E2">
        <w:rPr>
          <w:b/>
          <w:sz w:val="20"/>
          <w:szCs w:val="20"/>
        </w:rPr>
        <w:t xml:space="preserve"> could guarantee that the various policies and programmes in place reach populations experiencing the worst housing disadvantage such as Roma, people of African descent, women fleeing </w:t>
      </w:r>
      <w:r w:rsidRPr="008B61E2">
        <w:rPr>
          <w:b/>
          <w:sz w:val="20"/>
          <w:szCs w:val="20"/>
        </w:rPr>
        <w:lastRenderedPageBreak/>
        <w:t xml:space="preserve">violence, persons with disabilities, children, </w:t>
      </w:r>
      <w:r w:rsidR="00A252B2">
        <w:rPr>
          <w:b/>
          <w:sz w:val="20"/>
          <w:szCs w:val="20"/>
        </w:rPr>
        <w:t>young people</w:t>
      </w:r>
      <w:r w:rsidRPr="008B61E2">
        <w:rPr>
          <w:b/>
          <w:sz w:val="20"/>
          <w:szCs w:val="20"/>
        </w:rPr>
        <w:t xml:space="preserve"> and all those who are poor or </w:t>
      </w:r>
      <w:r w:rsidR="00A252B2">
        <w:rPr>
          <w:b/>
          <w:sz w:val="20"/>
          <w:szCs w:val="20"/>
        </w:rPr>
        <w:t>who belong to the “</w:t>
      </w:r>
      <w:r w:rsidRPr="008B61E2">
        <w:rPr>
          <w:b/>
          <w:sz w:val="20"/>
          <w:szCs w:val="20"/>
        </w:rPr>
        <w:t>new poor</w:t>
      </w:r>
      <w:r w:rsidR="00A252B2">
        <w:rPr>
          <w:b/>
          <w:sz w:val="20"/>
          <w:szCs w:val="20"/>
        </w:rPr>
        <w:t>”;</w:t>
      </w:r>
    </w:p>
    <w:p w:rsidR="00C07932" w:rsidRPr="008B61E2" w:rsidRDefault="0048528F" w:rsidP="008B61E2">
      <w:pPr>
        <w:pStyle w:val="SingleTxtG"/>
        <w:ind w:firstLine="567"/>
        <w:rPr>
          <w:b/>
          <w:sz w:val="20"/>
          <w:szCs w:val="20"/>
        </w:rPr>
      </w:pPr>
      <w:r w:rsidRPr="00C678A8">
        <w:rPr>
          <w:sz w:val="20"/>
          <w:szCs w:val="20"/>
        </w:rPr>
        <w:t>(b)</w:t>
      </w:r>
      <w:r w:rsidRPr="00C678A8">
        <w:rPr>
          <w:sz w:val="20"/>
          <w:szCs w:val="20"/>
        </w:rPr>
        <w:tab/>
      </w:r>
      <w:r w:rsidRPr="008B61E2">
        <w:rPr>
          <w:b/>
          <w:sz w:val="20"/>
          <w:szCs w:val="20"/>
        </w:rPr>
        <w:t>Commit to ending homelessness as a priority, in keeping with the Sustainable Development Goals, to leave no-one behind and to ensure adequate, safe and affordable housing and basic services for all, and the New Urban Agenda</w:t>
      </w:r>
      <w:r w:rsidR="007045D7">
        <w:rPr>
          <w:b/>
          <w:sz w:val="20"/>
          <w:szCs w:val="20"/>
        </w:rPr>
        <w:t>;</w:t>
      </w:r>
      <w:r w:rsidR="00360C6D" w:rsidRPr="00985CC8">
        <w:rPr>
          <w:rStyle w:val="FootnoteReference"/>
          <w:szCs w:val="20"/>
        </w:rPr>
        <w:footnoteReference w:id="30"/>
      </w:r>
      <w:r w:rsidRPr="008B61E2">
        <w:rPr>
          <w:b/>
          <w:sz w:val="20"/>
          <w:szCs w:val="20"/>
        </w:rPr>
        <w:t xml:space="preserve"> </w:t>
      </w:r>
      <w:r w:rsidR="007045D7">
        <w:rPr>
          <w:b/>
          <w:sz w:val="20"/>
          <w:szCs w:val="20"/>
        </w:rPr>
        <w:t>t</w:t>
      </w:r>
      <w:r w:rsidRPr="008B61E2">
        <w:rPr>
          <w:b/>
          <w:sz w:val="20"/>
          <w:szCs w:val="20"/>
        </w:rPr>
        <w:t xml:space="preserve">o this end, </w:t>
      </w:r>
      <w:r w:rsidR="007045D7">
        <w:rPr>
          <w:b/>
          <w:sz w:val="20"/>
          <w:szCs w:val="20"/>
        </w:rPr>
        <w:t xml:space="preserve">they should </w:t>
      </w:r>
      <w:r w:rsidRPr="008B61E2">
        <w:rPr>
          <w:b/>
          <w:sz w:val="20"/>
          <w:szCs w:val="20"/>
        </w:rPr>
        <w:t xml:space="preserve">ensure that </w:t>
      </w:r>
      <w:r w:rsidR="007045D7">
        <w:rPr>
          <w:b/>
          <w:sz w:val="20"/>
          <w:szCs w:val="20"/>
        </w:rPr>
        <w:t xml:space="preserve">the </w:t>
      </w:r>
      <w:r w:rsidRPr="008B61E2">
        <w:rPr>
          <w:b/>
          <w:sz w:val="20"/>
          <w:szCs w:val="20"/>
        </w:rPr>
        <w:t>lessons learn</w:t>
      </w:r>
      <w:r w:rsidR="007045D7">
        <w:rPr>
          <w:b/>
          <w:sz w:val="20"/>
          <w:szCs w:val="20"/>
        </w:rPr>
        <w:t>ed</w:t>
      </w:r>
      <w:r w:rsidRPr="008B61E2">
        <w:rPr>
          <w:b/>
          <w:sz w:val="20"/>
          <w:szCs w:val="20"/>
        </w:rPr>
        <w:t xml:space="preserve"> from the first </w:t>
      </w:r>
      <w:r w:rsidR="007045D7">
        <w:rPr>
          <w:b/>
          <w:sz w:val="20"/>
          <w:szCs w:val="20"/>
        </w:rPr>
        <w:t>n</w:t>
      </w:r>
      <w:r w:rsidRPr="008B61E2">
        <w:rPr>
          <w:b/>
          <w:sz w:val="20"/>
          <w:szCs w:val="20"/>
        </w:rPr>
        <w:t xml:space="preserve">ational </w:t>
      </w:r>
      <w:r w:rsidR="007045D7">
        <w:rPr>
          <w:b/>
          <w:sz w:val="20"/>
          <w:szCs w:val="20"/>
        </w:rPr>
        <w:t>s</w:t>
      </w:r>
      <w:r w:rsidRPr="008B61E2">
        <w:rPr>
          <w:b/>
          <w:sz w:val="20"/>
          <w:szCs w:val="20"/>
        </w:rPr>
        <w:t xml:space="preserve">trategy on </w:t>
      </w:r>
      <w:r w:rsidR="007045D7">
        <w:rPr>
          <w:b/>
          <w:sz w:val="20"/>
          <w:szCs w:val="20"/>
        </w:rPr>
        <w:t>h</w:t>
      </w:r>
      <w:r w:rsidRPr="008B61E2">
        <w:rPr>
          <w:b/>
          <w:sz w:val="20"/>
          <w:szCs w:val="20"/>
        </w:rPr>
        <w:t xml:space="preserve">omelessness are taken on board in a new strategy, including by ensuring a participatory process for its development, </w:t>
      </w:r>
      <w:r w:rsidR="005A506F">
        <w:rPr>
          <w:b/>
          <w:sz w:val="20"/>
          <w:szCs w:val="20"/>
        </w:rPr>
        <w:t xml:space="preserve">and </w:t>
      </w:r>
      <w:r w:rsidRPr="008B61E2">
        <w:rPr>
          <w:b/>
          <w:sz w:val="20"/>
          <w:szCs w:val="20"/>
        </w:rPr>
        <w:t xml:space="preserve">ample consultations </w:t>
      </w:r>
      <w:r w:rsidR="005A506F">
        <w:rPr>
          <w:b/>
          <w:sz w:val="20"/>
          <w:szCs w:val="20"/>
        </w:rPr>
        <w:t>with</w:t>
      </w:r>
      <w:r w:rsidRPr="008B61E2">
        <w:rPr>
          <w:b/>
          <w:sz w:val="20"/>
          <w:szCs w:val="20"/>
        </w:rPr>
        <w:t xml:space="preserve"> specific municipalities that engaged in implementing the strategy</w:t>
      </w:r>
      <w:r w:rsidR="0077533B">
        <w:rPr>
          <w:b/>
          <w:sz w:val="20"/>
          <w:szCs w:val="20"/>
        </w:rPr>
        <w:t>;</w:t>
      </w:r>
      <w:r w:rsidRPr="008B61E2">
        <w:rPr>
          <w:b/>
          <w:sz w:val="20"/>
          <w:szCs w:val="20"/>
        </w:rPr>
        <w:t xml:space="preserve"> </w:t>
      </w:r>
      <w:r w:rsidR="0077533B">
        <w:rPr>
          <w:b/>
          <w:sz w:val="20"/>
          <w:szCs w:val="20"/>
        </w:rPr>
        <w:t>and e</w:t>
      </w:r>
      <w:r w:rsidRPr="008B61E2">
        <w:rPr>
          <w:b/>
          <w:sz w:val="20"/>
          <w:szCs w:val="20"/>
        </w:rPr>
        <w:t xml:space="preserve">nsure </w:t>
      </w:r>
      <w:r w:rsidR="0077533B">
        <w:rPr>
          <w:b/>
          <w:sz w:val="20"/>
          <w:szCs w:val="20"/>
        </w:rPr>
        <w:t xml:space="preserve">that </w:t>
      </w:r>
      <w:r w:rsidRPr="008B61E2">
        <w:rPr>
          <w:b/>
          <w:sz w:val="20"/>
          <w:szCs w:val="20"/>
        </w:rPr>
        <w:t>the new strategy encourages preventive measures</w:t>
      </w:r>
      <w:r w:rsidR="0077533B">
        <w:rPr>
          <w:b/>
          <w:sz w:val="20"/>
          <w:szCs w:val="20"/>
        </w:rPr>
        <w:t>,</w:t>
      </w:r>
      <w:r w:rsidRPr="008B61E2">
        <w:rPr>
          <w:b/>
          <w:sz w:val="20"/>
          <w:szCs w:val="20"/>
        </w:rPr>
        <w:t xml:space="preserve"> not just crisis intervention</w:t>
      </w:r>
      <w:r w:rsidR="00A252B2">
        <w:rPr>
          <w:b/>
          <w:sz w:val="20"/>
          <w:szCs w:val="20"/>
        </w:rPr>
        <w:t>;</w:t>
      </w:r>
      <w:r w:rsidRPr="008B61E2">
        <w:rPr>
          <w:b/>
          <w:sz w:val="20"/>
          <w:szCs w:val="20"/>
        </w:rPr>
        <w:t xml:space="preserve"> </w:t>
      </w:r>
    </w:p>
    <w:p w:rsidR="00C07932" w:rsidRPr="008B61E2" w:rsidRDefault="0048528F" w:rsidP="008B61E2">
      <w:pPr>
        <w:pStyle w:val="SingleTxtG"/>
        <w:ind w:firstLine="567"/>
        <w:rPr>
          <w:b/>
          <w:sz w:val="20"/>
          <w:szCs w:val="20"/>
        </w:rPr>
      </w:pPr>
      <w:r w:rsidRPr="00C678A8">
        <w:rPr>
          <w:sz w:val="20"/>
          <w:szCs w:val="20"/>
        </w:rPr>
        <w:t>(c)</w:t>
      </w:r>
      <w:r w:rsidRPr="00C678A8">
        <w:rPr>
          <w:sz w:val="20"/>
          <w:szCs w:val="20"/>
        </w:rPr>
        <w:tab/>
      </w:r>
      <w:r w:rsidR="0077533B">
        <w:rPr>
          <w:b/>
          <w:sz w:val="20"/>
          <w:szCs w:val="20"/>
        </w:rPr>
        <w:t>Assess and address h</w:t>
      </w:r>
      <w:r w:rsidRPr="008B61E2">
        <w:rPr>
          <w:b/>
          <w:sz w:val="20"/>
          <w:szCs w:val="20"/>
        </w:rPr>
        <w:t>ousing conditions in all informal settlements on an urgent and priority basis</w:t>
      </w:r>
      <w:r w:rsidR="0077533B">
        <w:rPr>
          <w:b/>
          <w:sz w:val="20"/>
          <w:szCs w:val="20"/>
        </w:rPr>
        <w:t>,</w:t>
      </w:r>
      <w:r w:rsidRPr="008B61E2">
        <w:rPr>
          <w:b/>
          <w:sz w:val="20"/>
          <w:szCs w:val="20"/>
        </w:rPr>
        <w:t xml:space="preserve"> including for Roma communities and communities of people of African </w:t>
      </w:r>
      <w:r w:rsidR="0077533B">
        <w:rPr>
          <w:b/>
          <w:sz w:val="20"/>
          <w:szCs w:val="20"/>
        </w:rPr>
        <w:t>d</w:t>
      </w:r>
      <w:r w:rsidRPr="008B61E2">
        <w:rPr>
          <w:b/>
          <w:sz w:val="20"/>
          <w:szCs w:val="20"/>
        </w:rPr>
        <w:t xml:space="preserve">escent, in keeping with </w:t>
      </w:r>
      <w:r w:rsidR="0077533B">
        <w:rPr>
          <w:b/>
          <w:sz w:val="20"/>
          <w:szCs w:val="20"/>
        </w:rPr>
        <w:t>the goals outlined in the n</w:t>
      </w:r>
      <w:r w:rsidRPr="008B61E2">
        <w:rPr>
          <w:b/>
          <w:sz w:val="20"/>
          <w:szCs w:val="20"/>
        </w:rPr>
        <w:t xml:space="preserve">ational </w:t>
      </w:r>
      <w:r w:rsidR="0077533B">
        <w:rPr>
          <w:b/>
          <w:sz w:val="20"/>
          <w:szCs w:val="20"/>
        </w:rPr>
        <w:t>h</w:t>
      </w:r>
      <w:r w:rsidRPr="008B61E2">
        <w:rPr>
          <w:b/>
          <w:sz w:val="20"/>
          <w:szCs w:val="20"/>
        </w:rPr>
        <w:t xml:space="preserve">ousing </w:t>
      </w:r>
      <w:r w:rsidR="0077533B">
        <w:rPr>
          <w:b/>
          <w:sz w:val="20"/>
          <w:szCs w:val="20"/>
        </w:rPr>
        <w:t>s</w:t>
      </w:r>
      <w:r w:rsidRPr="008B61E2">
        <w:rPr>
          <w:b/>
          <w:sz w:val="20"/>
          <w:szCs w:val="20"/>
        </w:rPr>
        <w:t>trategy</w:t>
      </w:r>
      <w:r w:rsidR="0077533B">
        <w:rPr>
          <w:b/>
          <w:sz w:val="20"/>
          <w:szCs w:val="20"/>
        </w:rPr>
        <w:t>;</w:t>
      </w:r>
    </w:p>
    <w:p w:rsidR="00C07932" w:rsidRPr="008B61E2" w:rsidRDefault="0048528F" w:rsidP="008B61E2">
      <w:pPr>
        <w:pStyle w:val="SingleTxtG"/>
        <w:ind w:firstLine="567"/>
        <w:rPr>
          <w:b/>
          <w:sz w:val="20"/>
          <w:szCs w:val="20"/>
        </w:rPr>
      </w:pPr>
      <w:r w:rsidRPr="00C678A8">
        <w:rPr>
          <w:sz w:val="20"/>
          <w:szCs w:val="20"/>
        </w:rPr>
        <w:t>(d)</w:t>
      </w:r>
      <w:r w:rsidRPr="00C678A8">
        <w:rPr>
          <w:sz w:val="20"/>
          <w:szCs w:val="20"/>
        </w:rPr>
        <w:tab/>
      </w:r>
      <w:r w:rsidR="0077533B">
        <w:rPr>
          <w:b/>
          <w:sz w:val="20"/>
          <w:szCs w:val="20"/>
        </w:rPr>
        <w:t>Prevent d</w:t>
      </w:r>
      <w:r w:rsidRPr="008B61E2">
        <w:rPr>
          <w:b/>
          <w:sz w:val="20"/>
          <w:szCs w:val="20"/>
        </w:rPr>
        <w:t xml:space="preserve">emolitions and evictions that result in homelessness. Children </w:t>
      </w:r>
      <w:r w:rsidR="0077533B">
        <w:rPr>
          <w:b/>
          <w:sz w:val="20"/>
          <w:szCs w:val="20"/>
        </w:rPr>
        <w:t>should</w:t>
      </w:r>
      <w:r w:rsidR="0077533B" w:rsidRPr="008B61E2">
        <w:rPr>
          <w:b/>
          <w:sz w:val="20"/>
          <w:szCs w:val="20"/>
        </w:rPr>
        <w:t xml:space="preserve"> </w:t>
      </w:r>
      <w:r w:rsidRPr="008B61E2">
        <w:rPr>
          <w:b/>
          <w:sz w:val="20"/>
          <w:szCs w:val="20"/>
        </w:rPr>
        <w:t xml:space="preserve">not be </w:t>
      </w:r>
      <w:r w:rsidR="0077533B">
        <w:rPr>
          <w:b/>
          <w:sz w:val="20"/>
          <w:szCs w:val="20"/>
        </w:rPr>
        <w:t xml:space="preserve">removed </w:t>
      </w:r>
      <w:r w:rsidRPr="008B61E2">
        <w:rPr>
          <w:b/>
          <w:sz w:val="20"/>
          <w:szCs w:val="20"/>
        </w:rPr>
        <w:t>from their parents for lack of adequate housing</w:t>
      </w:r>
      <w:r w:rsidR="00D71AE4">
        <w:rPr>
          <w:b/>
          <w:sz w:val="20"/>
          <w:szCs w:val="20"/>
        </w:rPr>
        <w:t>.</w:t>
      </w:r>
      <w:r w:rsidRPr="008B61E2">
        <w:rPr>
          <w:b/>
          <w:sz w:val="20"/>
          <w:szCs w:val="20"/>
        </w:rPr>
        <w:t xml:space="preserve"> </w:t>
      </w:r>
      <w:r w:rsidR="00D71AE4">
        <w:rPr>
          <w:b/>
          <w:sz w:val="20"/>
          <w:szCs w:val="20"/>
        </w:rPr>
        <w:t>P</w:t>
      </w:r>
      <w:r w:rsidRPr="008B61E2">
        <w:rPr>
          <w:b/>
          <w:sz w:val="20"/>
          <w:szCs w:val="20"/>
        </w:rPr>
        <w:t xml:space="preserve">lans for </w:t>
      </w:r>
      <w:r w:rsidR="00D71AE4">
        <w:rPr>
          <w:b/>
          <w:sz w:val="20"/>
          <w:szCs w:val="20"/>
        </w:rPr>
        <w:t>disadvantaged</w:t>
      </w:r>
      <w:r w:rsidRPr="008B61E2">
        <w:rPr>
          <w:b/>
          <w:sz w:val="20"/>
          <w:szCs w:val="20"/>
        </w:rPr>
        <w:t xml:space="preserve"> communities </w:t>
      </w:r>
      <w:r w:rsidR="00D71AE4">
        <w:rPr>
          <w:b/>
          <w:sz w:val="20"/>
          <w:szCs w:val="20"/>
        </w:rPr>
        <w:t>should</w:t>
      </w:r>
      <w:r w:rsidRPr="008B61E2">
        <w:rPr>
          <w:b/>
          <w:sz w:val="20"/>
          <w:szCs w:val="20"/>
        </w:rPr>
        <w:t xml:space="preserve"> be developed and implemented in consultation with the populations </w:t>
      </w:r>
      <w:r w:rsidR="00D71AE4" w:rsidRPr="00AE3D28">
        <w:rPr>
          <w:b/>
          <w:sz w:val="20"/>
          <w:szCs w:val="20"/>
        </w:rPr>
        <w:t>affected</w:t>
      </w:r>
      <w:r w:rsidR="00D71AE4">
        <w:rPr>
          <w:b/>
          <w:sz w:val="20"/>
          <w:szCs w:val="20"/>
        </w:rPr>
        <w:t>,</w:t>
      </w:r>
      <w:r w:rsidR="00D71AE4" w:rsidRPr="00AE3D28">
        <w:rPr>
          <w:b/>
          <w:sz w:val="20"/>
          <w:szCs w:val="20"/>
        </w:rPr>
        <w:t xml:space="preserve"> </w:t>
      </w:r>
      <w:r w:rsidRPr="008B61E2">
        <w:rPr>
          <w:b/>
          <w:sz w:val="20"/>
          <w:szCs w:val="20"/>
        </w:rPr>
        <w:t>and should include key human rights principles</w:t>
      </w:r>
      <w:r w:rsidR="00D71AE4">
        <w:rPr>
          <w:b/>
          <w:sz w:val="20"/>
          <w:szCs w:val="20"/>
        </w:rPr>
        <w:t>,</w:t>
      </w:r>
      <w:r w:rsidRPr="008B61E2">
        <w:rPr>
          <w:b/>
          <w:sz w:val="20"/>
          <w:szCs w:val="20"/>
        </w:rPr>
        <w:t xml:space="preserve"> such as security of tenure, in situ relocation, access to basic services</w:t>
      </w:r>
      <w:r w:rsidR="00D71AE4">
        <w:rPr>
          <w:b/>
          <w:sz w:val="20"/>
          <w:szCs w:val="20"/>
        </w:rPr>
        <w:t>,</w:t>
      </w:r>
      <w:r w:rsidRPr="008B61E2">
        <w:rPr>
          <w:b/>
          <w:sz w:val="20"/>
          <w:szCs w:val="20"/>
        </w:rPr>
        <w:t xml:space="preserve"> including water, sanitation and electricity, affordability</w:t>
      </w:r>
      <w:r w:rsidR="00D71AE4">
        <w:rPr>
          <w:b/>
          <w:sz w:val="20"/>
          <w:szCs w:val="20"/>
        </w:rPr>
        <w:t>,</w:t>
      </w:r>
      <w:r w:rsidRPr="008B61E2">
        <w:rPr>
          <w:b/>
          <w:sz w:val="20"/>
          <w:szCs w:val="20"/>
        </w:rPr>
        <w:t xml:space="preserve"> and dignified living conditions.</w:t>
      </w:r>
    </w:p>
    <w:p w:rsidR="00C07932" w:rsidRPr="008B61E2" w:rsidRDefault="00D71AE4" w:rsidP="008B61E2">
      <w:pPr>
        <w:pStyle w:val="SingleTxtG"/>
        <w:rPr>
          <w:b/>
          <w:sz w:val="20"/>
          <w:szCs w:val="20"/>
        </w:rPr>
      </w:pPr>
      <w:r w:rsidRPr="008B61E2">
        <w:rPr>
          <w:sz w:val="20"/>
          <w:szCs w:val="20"/>
        </w:rPr>
        <w:t>8</w:t>
      </w:r>
      <w:r w:rsidR="004100E7" w:rsidRPr="008B61E2">
        <w:rPr>
          <w:sz w:val="20"/>
          <w:szCs w:val="20"/>
        </w:rPr>
        <w:t>7</w:t>
      </w:r>
      <w:r w:rsidRPr="008B61E2">
        <w:rPr>
          <w:sz w:val="20"/>
          <w:szCs w:val="20"/>
        </w:rPr>
        <w:t>.</w:t>
      </w:r>
      <w:r w:rsidR="0048528F" w:rsidRPr="008B61E2">
        <w:rPr>
          <w:b/>
          <w:sz w:val="20"/>
          <w:szCs w:val="20"/>
        </w:rPr>
        <w:tab/>
        <w:t xml:space="preserve">The Government should work closely with the Municipality of Porto and the residents of the </w:t>
      </w:r>
      <w:r w:rsidRPr="008B61E2">
        <w:rPr>
          <w:b/>
          <w:i/>
          <w:sz w:val="20"/>
          <w:szCs w:val="20"/>
        </w:rPr>
        <w:t>i</w:t>
      </w:r>
      <w:r w:rsidR="0048528F" w:rsidRPr="008B61E2">
        <w:rPr>
          <w:b/>
          <w:i/>
          <w:sz w:val="20"/>
          <w:szCs w:val="20"/>
        </w:rPr>
        <w:t>lhas</w:t>
      </w:r>
      <w:r w:rsidR="0048528F" w:rsidRPr="008B61E2">
        <w:rPr>
          <w:b/>
          <w:sz w:val="20"/>
          <w:szCs w:val="20"/>
        </w:rPr>
        <w:t xml:space="preserve"> to ensure all those residing in </w:t>
      </w:r>
      <w:r>
        <w:rPr>
          <w:b/>
          <w:sz w:val="20"/>
          <w:szCs w:val="20"/>
        </w:rPr>
        <w:t>them</w:t>
      </w:r>
      <w:r w:rsidRPr="008B61E2">
        <w:rPr>
          <w:b/>
          <w:sz w:val="20"/>
          <w:szCs w:val="20"/>
        </w:rPr>
        <w:t xml:space="preserve"> </w:t>
      </w:r>
      <w:r w:rsidR="0048528F" w:rsidRPr="008B61E2">
        <w:rPr>
          <w:b/>
          <w:sz w:val="20"/>
          <w:szCs w:val="20"/>
        </w:rPr>
        <w:t>are provided with adequate accommodation</w:t>
      </w:r>
      <w:r>
        <w:rPr>
          <w:b/>
          <w:sz w:val="20"/>
          <w:szCs w:val="20"/>
        </w:rPr>
        <w:t>,</w:t>
      </w:r>
      <w:r w:rsidR="0048528F" w:rsidRPr="008B61E2">
        <w:rPr>
          <w:b/>
          <w:sz w:val="20"/>
          <w:szCs w:val="20"/>
        </w:rPr>
        <w:t xml:space="preserve"> whether through refurbishment or relocation to affordable long</w:t>
      </w:r>
      <w:r>
        <w:rPr>
          <w:b/>
          <w:sz w:val="20"/>
          <w:szCs w:val="20"/>
        </w:rPr>
        <w:t>-</w:t>
      </w:r>
      <w:r w:rsidR="0048528F" w:rsidRPr="008B61E2">
        <w:rPr>
          <w:b/>
          <w:sz w:val="20"/>
          <w:szCs w:val="20"/>
        </w:rPr>
        <w:t xml:space="preserve">term housing, and allocate sufficient financial resources </w:t>
      </w:r>
      <w:r w:rsidR="00BA6B1C">
        <w:rPr>
          <w:b/>
          <w:sz w:val="20"/>
          <w:szCs w:val="20"/>
        </w:rPr>
        <w:t>to that end</w:t>
      </w:r>
      <w:r w:rsidR="0048528F" w:rsidRPr="008B61E2">
        <w:rPr>
          <w:b/>
          <w:sz w:val="20"/>
          <w:szCs w:val="20"/>
        </w:rPr>
        <w:t>.</w:t>
      </w:r>
    </w:p>
    <w:p w:rsidR="00C07932" w:rsidRPr="008B61E2" w:rsidRDefault="00BA6B1C" w:rsidP="008B61E2">
      <w:pPr>
        <w:pStyle w:val="SingleTxtG"/>
        <w:rPr>
          <w:b/>
          <w:sz w:val="20"/>
          <w:szCs w:val="20"/>
        </w:rPr>
      </w:pPr>
      <w:r w:rsidRPr="008B61E2">
        <w:rPr>
          <w:sz w:val="20"/>
          <w:szCs w:val="20"/>
        </w:rPr>
        <w:t>8</w:t>
      </w:r>
      <w:r w:rsidR="004100E7" w:rsidRPr="008B61E2">
        <w:rPr>
          <w:sz w:val="20"/>
          <w:szCs w:val="20"/>
        </w:rPr>
        <w:t>8</w:t>
      </w:r>
      <w:r w:rsidRPr="008B61E2">
        <w:rPr>
          <w:sz w:val="20"/>
          <w:szCs w:val="20"/>
        </w:rPr>
        <w:t>.</w:t>
      </w:r>
      <w:r w:rsidR="0048528F" w:rsidRPr="008B61E2">
        <w:rPr>
          <w:b/>
          <w:sz w:val="20"/>
          <w:szCs w:val="20"/>
        </w:rPr>
        <w:tab/>
        <w:t xml:space="preserve">Central, municipal and autonomous regional governments </w:t>
      </w:r>
      <w:r>
        <w:rPr>
          <w:b/>
          <w:sz w:val="20"/>
          <w:szCs w:val="20"/>
        </w:rPr>
        <w:t>should</w:t>
      </w:r>
      <w:r w:rsidRPr="008B61E2">
        <w:rPr>
          <w:b/>
          <w:sz w:val="20"/>
          <w:szCs w:val="20"/>
        </w:rPr>
        <w:t xml:space="preserve"> </w:t>
      </w:r>
      <w:r w:rsidR="0048528F" w:rsidRPr="008B61E2">
        <w:rPr>
          <w:b/>
          <w:sz w:val="20"/>
          <w:szCs w:val="20"/>
        </w:rPr>
        <w:t>develop a common vision for cities in Portugal with a view to ensuring they are places of inclusion rather than predominantly for the affluent or tourists</w:t>
      </w:r>
      <w:r>
        <w:rPr>
          <w:b/>
          <w:sz w:val="20"/>
          <w:szCs w:val="20"/>
        </w:rPr>
        <w:t>,</w:t>
      </w:r>
      <w:r w:rsidR="0048528F" w:rsidRPr="008B61E2">
        <w:rPr>
          <w:b/>
          <w:sz w:val="20"/>
          <w:szCs w:val="20"/>
        </w:rPr>
        <w:t xml:space="preserve"> and to ensure the effective implementation of the rights to adequate housing and to non-discrimination for long-term residents as a priority. Better coordination between levels of government, including adequate flow of resources, must be achieved.</w:t>
      </w:r>
    </w:p>
    <w:p w:rsidR="00C07932" w:rsidRPr="008B61E2" w:rsidRDefault="004100E7" w:rsidP="008B61E2">
      <w:pPr>
        <w:pStyle w:val="SingleTxtG"/>
        <w:rPr>
          <w:b/>
          <w:sz w:val="20"/>
          <w:szCs w:val="20"/>
        </w:rPr>
      </w:pPr>
      <w:r w:rsidRPr="008B61E2">
        <w:rPr>
          <w:sz w:val="20"/>
          <w:szCs w:val="20"/>
        </w:rPr>
        <w:t>8</w:t>
      </w:r>
      <w:r w:rsidR="00BA6B1C" w:rsidRPr="008B61E2">
        <w:rPr>
          <w:sz w:val="20"/>
          <w:szCs w:val="20"/>
        </w:rPr>
        <w:t>9.</w:t>
      </w:r>
      <w:r w:rsidR="0048528F" w:rsidRPr="008B61E2">
        <w:rPr>
          <w:b/>
          <w:sz w:val="20"/>
          <w:szCs w:val="20"/>
        </w:rPr>
        <w:tab/>
        <w:t xml:space="preserve">Governments </w:t>
      </w:r>
      <w:r w:rsidR="00BA6B1C">
        <w:rPr>
          <w:b/>
          <w:sz w:val="20"/>
          <w:szCs w:val="20"/>
        </w:rPr>
        <w:t>should</w:t>
      </w:r>
      <w:r w:rsidR="00BA6B1C" w:rsidRPr="008B61E2">
        <w:rPr>
          <w:b/>
          <w:sz w:val="20"/>
          <w:szCs w:val="20"/>
        </w:rPr>
        <w:t xml:space="preserve"> </w:t>
      </w:r>
      <w:r w:rsidR="0048528F" w:rsidRPr="008B61E2">
        <w:rPr>
          <w:b/>
          <w:sz w:val="20"/>
          <w:szCs w:val="20"/>
        </w:rPr>
        <w:t xml:space="preserve">adopt new regulatory mechanisms to prevent displacement through </w:t>
      </w:r>
      <w:r w:rsidR="00BA6B1C">
        <w:rPr>
          <w:b/>
          <w:sz w:val="20"/>
          <w:szCs w:val="20"/>
        </w:rPr>
        <w:t>“</w:t>
      </w:r>
      <w:r w:rsidR="0048528F" w:rsidRPr="008B61E2">
        <w:rPr>
          <w:b/>
          <w:sz w:val="20"/>
          <w:szCs w:val="20"/>
        </w:rPr>
        <w:t>touristification</w:t>
      </w:r>
      <w:r w:rsidR="00BA6B1C">
        <w:rPr>
          <w:b/>
          <w:sz w:val="20"/>
          <w:szCs w:val="20"/>
        </w:rPr>
        <w:t>”</w:t>
      </w:r>
      <w:r w:rsidR="0048528F" w:rsidRPr="008B61E2">
        <w:rPr>
          <w:b/>
          <w:sz w:val="20"/>
          <w:szCs w:val="20"/>
        </w:rPr>
        <w:t xml:space="preserve">. </w:t>
      </w:r>
      <w:r w:rsidR="00BA6B1C">
        <w:rPr>
          <w:b/>
          <w:sz w:val="20"/>
          <w:szCs w:val="20"/>
        </w:rPr>
        <w:t>They</w:t>
      </w:r>
      <w:r w:rsidR="0048528F" w:rsidRPr="008B61E2">
        <w:rPr>
          <w:b/>
          <w:sz w:val="20"/>
          <w:szCs w:val="20"/>
        </w:rPr>
        <w:t xml:space="preserve"> should examine effective policies and practices in other cities around the world facing similar situations with a view to protecting individuals from </w:t>
      </w:r>
      <w:r w:rsidR="00BA6B1C">
        <w:rPr>
          <w:b/>
          <w:sz w:val="20"/>
          <w:szCs w:val="20"/>
        </w:rPr>
        <w:t xml:space="preserve">the </w:t>
      </w:r>
      <w:r w:rsidR="0048528F" w:rsidRPr="008B61E2">
        <w:rPr>
          <w:b/>
          <w:sz w:val="20"/>
          <w:szCs w:val="20"/>
        </w:rPr>
        <w:t xml:space="preserve">negative impact of </w:t>
      </w:r>
      <w:r w:rsidR="00BA6B1C">
        <w:rPr>
          <w:b/>
          <w:sz w:val="20"/>
          <w:szCs w:val="20"/>
        </w:rPr>
        <w:t xml:space="preserve">this phenomenon </w:t>
      </w:r>
      <w:r w:rsidR="0048528F" w:rsidRPr="008B61E2">
        <w:rPr>
          <w:b/>
          <w:sz w:val="20"/>
          <w:szCs w:val="20"/>
        </w:rPr>
        <w:t xml:space="preserve">and </w:t>
      </w:r>
      <w:r w:rsidR="00BA6B1C">
        <w:rPr>
          <w:b/>
          <w:sz w:val="20"/>
          <w:szCs w:val="20"/>
        </w:rPr>
        <w:t xml:space="preserve">of </w:t>
      </w:r>
      <w:r w:rsidR="0048528F" w:rsidRPr="008B61E2">
        <w:rPr>
          <w:b/>
          <w:sz w:val="20"/>
          <w:szCs w:val="20"/>
        </w:rPr>
        <w:t>property speculation.</w:t>
      </w:r>
    </w:p>
    <w:p w:rsidR="00583042" w:rsidRDefault="00583042" w:rsidP="008B61E2">
      <w:pPr>
        <w:pStyle w:val="SingleTxtG"/>
        <w:rPr>
          <w:b/>
          <w:sz w:val="20"/>
          <w:szCs w:val="20"/>
        </w:rPr>
      </w:pPr>
      <w:r w:rsidRPr="008B61E2">
        <w:rPr>
          <w:sz w:val="20"/>
          <w:szCs w:val="20"/>
        </w:rPr>
        <w:t>9</w:t>
      </w:r>
      <w:r w:rsidR="004100E7" w:rsidRPr="008B61E2">
        <w:rPr>
          <w:sz w:val="20"/>
          <w:szCs w:val="20"/>
        </w:rPr>
        <w:t>0</w:t>
      </w:r>
      <w:r w:rsidRPr="008B61E2">
        <w:rPr>
          <w:sz w:val="20"/>
          <w:szCs w:val="20"/>
        </w:rPr>
        <w:t>.</w:t>
      </w:r>
      <w:r w:rsidRPr="008B61E2" w:rsidDel="00583042">
        <w:rPr>
          <w:b/>
          <w:sz w:val="20"/>
          <w:szCs w:val="20"/>
        </w:rPr>
        <w:t xml:space="preserve"> </w:t>
      </w:r>
      <w:r w:rsidR="0048528F" w:rsidRPr="008B61E2">
        <w:rPr>
          <w:b/>
          <w:sz w:val="20"/>
          <w:szCs w:val="20"/>
        </w:rPr>
        <w:tab/>
      </w:r>
      <w:r>
        <w:rPr>
          <w:b/>
          <w:sz w:val="20"/>
          <w:szCs w:val="20"/>
        </w:rPr>
        <w:t>The Special Rapporteur recommends that the national and regional authorities moreover:</w:t>
      </w:r>
    </w:p>
    <w:p w:rsidR="00C07932" w:rsidRPr="008B61E2" w:rsidRDefault="00583042" w:rsidP="008B61E2">
      <w:pPr>
        <w:pStyle w:val="SingleTxtG"/>
        <w:ind w:firstLine="567"/>
        <w:rPr>
          <w:b/>
          <w:sz w:val="20"/>
          <w:szCs w:val="20"/>
        </w:rPr>
      </w:pPr>
      <w:r w:rsidRPr="00C678A8">
        <w:rPr>
          <w:sz w:val="20"/>
          <w:szCs w:val="20"/>
        </w:rPr>
        <w:t>(a)</w:t>
      </w:r>
      <w:r w:rsidRPr="00C678A8">
        <w:rPr>
          <w:sz w:val="20"/>
          <w:szCs w:val="20"/>
        </w:rPr>
        <w:tab/>
      </w:r>
      <w:r w:rsidR="0048528F" w:rsidRPr="008B61E2">
        <w:rPr>
          <w:b/>
          <w:sz w:val="20"/>
          <w:szCs w:val="20"/>
        </w:rPr>
        <w:t xml:space="preserve">Review eviction procedures, including administrative measures recently adopted, to ensure </w:t>
      </w:r>
      <w:r>
        <w:rPr>
          <w:b/>
          <w:sz w:val="20"/>
          <w:szCs w:val="20"/>
        </w:rPr>
        <w:t xml:space="preserve">that </w:t>
      </w:r>
      <w:r w:rsidR="0048528F" w:rsidRPr="008B61E2">
        <w:rPr>
          <w:b/>
          <w:sz w:val="20"/>
          <w:szCs w:val="20"/>
        </w:rPr>
        <w:t>they adequately protect the rights of tenants, particularly not to be evicted into homelessness, and ensur</w:t>
      </w:r>
      <w:r>
        <w:rPr>
          <w:b/>
          <w:sz w:val="20"/>
          <w:szCs w:val="20"/>
        </w:rPr>
        <w:t>e</w:t>
      </w:r>
      <w:r w:rsidR="0048528F" w:rsidRPr="008B61E2">
        <w:rPr>
          <w:b/>
          <w:sz w:val="20"/>
          <w:szCs w:val="20"/>
        </w:rPr>
        <w:t xml:space="preserve"> </w:t>
      </w:r>
      <w:r>
        <w:rPr>
          <w:b/>
          <w:sz w:val="20"/>
          <w:szCs w:val="20"/>
        </w:rPr>
        <w:t xml:space="preserve">that </w:t>
      </w:r>
      <w:r w:rsidR="0048528F" w:rsidRPr="008B61E2">
        <w:rPr>
          <w:b/>
          <w:sz w:val="20"/>
          <w:szCs w:val="20"/>
        </w:rPr>
        <w:t>they have access to legal aid or other legal support to challenge eviction</w:t>
      </w:r>
      <w:r>
        <w:rPr>
          <w:b/>
          <w:sz w:val="20"/>
          <w:szCs w:val="20"/>
        </w:rPr>
        <w:t>s</w:t>
      </w:r>
      <w:r w:rsidR="0048528F" w:rsidRPr="008B61E2">
        <w:rPr>
          <w:b/>
          <w:sz w:val="20"/>
          <w:szCs w:val="20"/>
        </w:rPr>
        <w:t xml:space="preserve"> in court</w:t>
      </w:r>
      <w:r>
        <w:rPr>
          <w:b/>
          <w:sz w:val="20"/>
          <w:szCs w:val="20"/>
        </w:rPr>
        <w:t>;</w:t>
      </w:r>
    </w:p>
    <w:p w:rsidR="00C07932" w:rsidRPr="008B61E2" w:rsidRDefault="0048528F" w:rsidP="008B61E2">
      <w:pPr>
        <w:pStyle w:val="SingleTxtG"/>
        <w:ind w:firstLine="567"/>
        <w:rPr>
          <w:b/>
          <w:sz w:val="20"/>
          <w:szCs w:val="20"/>
        </w:rPr>
      </w:pPr>
      <w:r w:rsidRPr="00C678A8">
        <w:rPr>
          <w:sz w:val="20"/>
          <w:szCs w:val="20"/>
        </w:rPr>
        <w:t>(</w:t>
      </w:r>
      <w:r w:rsidR="00583042" w:rsidRPr="00C678A8">
        <w:rPr>
          <w:sz w:val="20"/>
          <w:szCs w:val="20"/>
        </w:rPr>
        <w:t>b</w:t>
      </w:r>
      <w:r w:rsidRPr="00C678A8">
        <w:rPr>
          <w:sz w:val="20"/>
          <w:szCs w:val="20"/>
        </w:rPr>
        <w:t>)</w:t>
      </w:r>
      <w:r w:rsidRPr="00C678A8">
        <w:rPr>
          <w:sz w:val="20"/>
          <w:szCs w:val="20"/>
        </w:rPr>
        <w:tab/>
      </w:r>
      <w:r w:rsidRPr="008B61E2">
        <w:rPr>
          <w:b/>
          <w:sz w:val="20"/>
          <w:szCs w:val="20"/>
        </w:rPr>
        <w:t>C</w:t>
      </w:r>
      <w:r w:rsidR="00583042">
        <w:rPr>
          <w:b/>
          <w:sz w:val="20"/>
          <w:szCs w:val="20"/>
        </w:rPr>
        <w:t>onduct</w:t>
      </w:r>
      <w:r w:rsidRPr="008B61E2">
        <w:rPr>
          <w:b/>
          <w:sz w:val="20"/>
          <w:szCs w:val="20"/>
        </w:rPr>
        <w:t xml:space="preserve"> a</w:t>
      </w:r>
      <w:r w:rsidR="00583042">
        <w:rPr>
          <w:b/>
          <w:sz w:val="20"/>
          <w:szCs w:val="20"/>
        </w:rPr>
        <w:t>n</w:t>
      </w:r>
      <w:r w:rsidRPr="008B61E2">
        <w:rPr>
          <w:b/>
          <w:sz w:val="20"/>
          <w:szCs w:val="20"/>
        </w:rPr>
        <w:t xml:space="preserve"> assess</w:t>
      </w:r>
      <w:r w:rsidR="00583042">
        <w:rPr>
          <w:b/>
          <w:sz w:val="20"/>
          <w:szCs w:val="20"/>
        </w:rPr>
        <w:t>ment of</w:t>
      </w:r>
      <w:r w:rsidRPr="008B61E2">
        <w:rPr>
          <w:b/>
          <w:sz w:val="20"/>
          <w:szCs w:val="20"/>
        </w:rPr>
        <w:t xml:space="preserve"> the </w:t>
      </w:r>
      <w:r w:rsidR="00583042">
        <w:rPr>
          <w:b/>
          <w:sz w:val="20"/>
          <w:szCs w:val="20"/>
        </w:rPr>
        <w:t xml:space="preserve">actual </w:t>
      </w:r>
      <w:r w:rsidRPr="008B61E2">
        <w:rPr>
          <w:b/>
          <w:sz w:val="20"/>
          <w:szCs w:val="20"/>
        </w:rPr>
        <w:t>need for social housing, subsidized housing and/or rent</w:t>
      </w:r>
      <w:r w:rsidR="00583042">
        <w:rPr>
          <w:b/>
          <w:sz w:val="20"/>
          <w:szCs w:val="20"/>
        </w:rPr>
        <w:t>-</w:t>
      </w:r>
      <w:r w:rsidRPr="008B61E2">
        <w:rPr>
          <w:b/>
          <w:sz w:val="20"/>
          <w:szCs w:val="20"/>
        </w:rPr>
        <w:t>controlled housing throughout the country</w:t>
      </w:r>
      <w:r w:rsidR="00583042">
        <w:rPr>
          <w:b/>
          <w:sz w:val="20"/>
          <w:szCs w:val="20"/>
        </w:rPr>
        <w:t>;</w:t>
      </w:r>
      <w:r w:rsidRPr="008B61E2">
        <w:rPr>
          <w:b/>
          <w:sz w:val="20"/>
          <w:szCs w:val="20"/>
        </w:rPr>
        <w:t xml:space="preserve"> The Government should then ensure the supply of affordable housing (defined in terms of cost burden relative to income, not in terms of market value) for those with the lowest incomes and those on waiting lists. </w:t>
      </w:r>
    </w:p>
    <w:p w:rsidR="00C07932" w:rsidRPr="008B61E2" w:rsidRDefault="00583042" w:rsidP="008B61E2">
      <w:pPr>
        <w:pStyle w:val="SingleTxtG"/>
        <w:rPr>
          <w:b/>
          <w:sz w:val="20"/>
          <w:szCs w:val="20"/>
        </w:rPr>
      </w:pPr>
      <w:r w:rsidRPr="008B61E2">
        <w:rPr>
          <w:sz w:val="20"/>
          <w:szCs w:val="20"/>
        </w:rPr>
        <w:lastRenderedPageBreak/>
        <w:t>9</w:t>
      </w:r>
      <w:r w:rsidR="004100E7" w:rsidRPr="008B61E2">
        <w:rPr>
          <w:sz w:val="20"/>
          <w:szCs w:val="20"/>
        </w:rPr>
        <w:t>1</w:t>
      </w:r>
      <w:r w:rsidRPr="008B61E2">
        <w:rPr>
          <w:sz w:val="20"/>
          <w:szCs w:val="20"/>
        </w:rPr>
        <w:t>.</w:t>
      </w:r>
      <w:r w:rsidR="0048528F" w:rsidRPr="008B61E2">
        <w:rPr>
          <w:b/>
          <w:sz w:val="20"/>
          <w:szCs w:val="20"/>
        </w:rPr>
        <w:tab/>
        <w:t xml:space="preserve">Existing social housing stock </w:t>
      </w:r>
      <w:r>
        <w:rPr>
          <w:b/>
          <w:sz w:val="20"/>
          <w:szCs w:val="20"/>
        </w:rPr>
        <w:t>should</w:t>
      </w:r>
      <w:r w:rsidRPr="008B61E2">
        <w:rPr>
          <w:b/>
          <w:sz w:val="20"/>
          <w:szCs w:val="20"/>
        </w:rPr>
        <w:t xml:space="preserve"> </w:t>
      </w:r>
      <w:r w:rsidR="0048528F" w:rsidRPr="008B61E2">
        <w:rPr>
          <w:b/>
          <w:sz w:val="20"/>
          <w:szCs w:val="20"/>
        </w:rPr>
        <w:t>be kept in good repair</w:t>
      </w:r>
      <w:r>
        <w:rPr>
          <w:b/>
          <w:sz w:val="20"/>
          <w:szCs w:val="20"/>
        </w:rPr>
        <w:t>,</w:t>
      </w:r>
      <w:r w:rsidR="0048528F" w:rsidRPr="008B61E2">
        <w:rPr>
          <w:b/>
          <w:sz w:val="20"/>
          <w:szCs w:val="20"/>
        </w:rPr>
        <w:t xml:space="preserve"> in keeping with </w:t>
      </w:r>
      <w:r>
        <w:rPr>
          <w:b/>
          <w:sz w:val="20"/>
          <w:szCs w:val="20"/>
        </w:rPr>
        <w:t xml:space="preserve">the </w:t>
      </w:r>
      <w:r w:rsidR="0048528F" w:rsidRPr="008B61E2">
        <w:rPr>
          <w:b/>
          <w:sz w:val="20"/>
          <w:szCs w:val="20"/>
        </w:rPr>
        <w:t xml:space="preserve">characteristics of adequate housing </w:t>
      </w:r>
      <w:r>
        <w:rPr>
          <w:b/>
          <w:sz w:val="20"/>
          <w:szCs w:val="20"/>
        </w:rPr>
        <w:t xml:space="preserve">as defined by the Committee on Economic, Social and Cultural Rights in its </w:t>
      </w:r>
      <w:r w:rsidR="0048528F" w:rsidRPr="008B61E2">
        <w:rPr>
          <w:b/>
          <w:sz w:val="20"/>
          <w:szCs w:val="20"/>
        </w:rPr>
        <w:t>general comment No.</w:t>
      </w:r>
      <w:r>
        <w:rPr>
          <w:b/>
          <w:sz w:val="20"/>
          <w:szCs w:val="20"/>
        </w:rPr>
        <w:t xml:space="preserve"> </w:t>
      </w:r>
      <w:r w:rsidR="0048528F" w:rsidRPr="008B61E2">
        <w:rPr>
          <w:b/>
          <w:sz w:val="20"/>
          <w:szCs w:val="20"/>
        </w:rPr>
        <w:t>4</w:t>
      </w:r>
      <w:r w:rsidR="001C4273">
        <w:rPr>
          <w:b/>
          <w:sz w:val="20"/>
          <w:szCs w:val="20"/>
        </w:rPr>
        <w:t xml:space="preserve"> (1991)</w:t>
      </w:r>
      <w:r w:rsidR="0048528F" w:rsidRPr="008B61E2">
        <w:rPr>
          <w:b/>
          <w:sz w:val="20"/>
          <w:szCs w:val="20"/>
        </w:rPr>
        <w:t>. A system must be in place to ensure the efficient allocation of vacant units in social housing</w:t>
      </w:r>
      <w:r w:rsidR="00935A35">
        <w:rPr>
          <w:b/>
          <w:sz w:val="20"/>
          <w:szCs w:val="20"/>
        </w:rPr>
        <w:t>,</w:t>
      </w:r>
      <w:r w:rsidR="0048528F" w:rsidRPr="008B61E2">
        <w:rPr>
          <w:b/>
          <w:sz w:val="20"/>
          <w:szCs w:val="20"/>
        </w:rPr>
        <w:t xml:space="preserve"> in </w:t>
      </w:r>
      <w:r w:rsidR="00935A35">
        <w:rPr>
          <w:b/>
          <w:sz w:val="20"/>
          <w:szCs w:val="20"/>
        </w:rPr>
        <w:t xml:space="preserve">the </w:t>
      </w:r>
      <w:r w:rsidR="0048528F" w:rsidRPr="008B61E2">
        <w:rPr>
          <w:b/>
          <w:sz w:val="20"/>
          <w:szCs w:val="20"/>
        </w:rPr>
        <w:t xml:space="preserve">light of </w:t>
      </w:r>
      <w:r w:rsidR="00935A35">
        <w:rPr>
          <w:b/>
          <w:sz w:val="20"/>
          <w:szCs w:val="20"/>
        </w:rPr>
        <w:t xml:space="preserve">the </w:t>
      </w:r>
      <w:r w:rsidR="0048528F" w:rsidRPr="008B61E2">
        <w:rPr>
          <w:b/>
          <w:sz w:val="20"/>
          <w:szCs w:val="20"/>
        </w:rPr>
        <w:t>long waiting lists</w:t>
      </w:r>
      <w:r w:rsidR="00935A35">
        <w:rPr>
          <w:b/>
          <w:sz w:val="20"/>
          <w:szCs w:val="20"/>
        </w:rPr>
        <w:t>.</w:t>
      </w:r>
      <w:r w:rsidR="0048528F" w:rsidRPr="008B61E2">
        <w:rPr>
          <w:b/>
          <w:sz w:val="20"/>
          <w:szCs w:val="20"/>
        </w:rPr>
        <w:t xml:space="preserve"> </w:t>
      </w:r>
    </w:p>
    <w:p w:rsidR="00C07932" w:rsidRPr="008B61E2" w:rsidRDefault="00935A35" w:rsidP="008B61E2">
      <w:pPr>
        <w:pStyle w:val="SingleTxtG"/>
        <w:rPr>
          <w:b/>
          <w:sz w:val="20"/>
          <w:szCs w:val="20"/>
        </w:rPr>
      </w:pPr>
      <w:r w:rsidRPr="008B61E2">
        <w:rPr>
          <w:sz w:val="20"/>
          <w:szCs w:val="20"/>
        </w:rPr>
        <w:t>9</w:t>
      </w:r>
      <w:r w:rsidR="004100E7" w:rsidRPr="008B61E2">
        <w:rPr>
          <w:sz w:val="20"/>
          <w:szCs w:val="20"/>
        </w:rPr>
        <w:t>2</w:t>
      </w:r>
      <w:r w:rsidRPr="008B61E2">
        <w:rPr>
          <w:sz w:val="20"/>
          <w:szCs w:val="20"/>
        </w:rPr>
        <w:t>.</w:t>
      </w:r>
      <w:r w:rsidR="0048528F" w:rsidRPr="008B61E2">
        <w:rPr>
          <w:b/>
          <w:sz w:val="20"/>
          <w:szCs w:val="20"/>
        </w:rPr>
        <w:tab/>
        <w:t xml:space="preserve">Long-term rentals should be promoted as an alternative </w:t>
      </w:r>
      <w:r>
        <w:rPr>
          <w:b/>
          <w:sz w:val="20"/>
          <w:szCs w:val="20"/>
        </w:rPr>
        <w:t>means</w:t>
      </w:r>
      <w:r w:rsidRPr="008B61E2">
        <w:rPr>
          <w:b/>
          <w:sz w:val="20"/>
          <w:szCs w:val="20"/>
        </w:rPr>
        <w:t xml:space="preserve"> </w:t>
      </w:r>
      <w:r w:rsidR="0048528F" w:rsidRPr="008B61E2">
        <w:rPr>
          <w:b/>
          <w:sz w:val="20"/>
          <w:szCs w:val="20"/>
        </w:rPr>
        <w:t xml:space="preserve">of access </w:t>
      </w:r>
      <w:r>
        <w:rPr>
          <w:b/>
          <w:sz w:val="20"/>
          <w:szCs w:val="20"/>
        </w:rPr>
        <w:t xml:space="preserve">to </w:t>
      </w:r>
      <w:r w:rsidR="0048528F" w:rsidRPr="008B61E2">
        <w:rPr>
          <w:b/>
          <w:sz w:val="20"/>
          <w:szCs w:val="20"/>
        </w:rPr>
        <w:t>affordable housing. Short-term rentals targeting the tourist sector should be regulated</w:t>
      </w:r>
      <w:r>
        <w:rPr>
          <w:b/>
          <w:sz w:val="20"/>
          <w:szCs w:val="20"/>
        </w:rPr>
        <w:t>,</w:t>
      </w:r>
      <w:r w:rsidR="0048528F" w:rsidRPr="008B61E2">
        <w:rPr>
          <w:b/>
          <w:sz w:val="20"/>
          <w:szCs w:val="20"/>
        </w:rPr>
        <w:t xml:space="preserve"> and their impact </w:t>
      </w:r>
      <w:r>
        <w:rPr>
          <w:b/>
          <w:sz w:val="20"/>
          <w:szCs w:val="20"/>
        </w:rPr>
        <w:t>o</w:t>
      </w:r>
      <w:r w:rsidR="0048528F" w:rsidRPr="008B61E2">
        <w:rPr>
          <w:b/>
          <w:sz w:val="20"/>
          <w:szCs w:val="20"/>
        </w:rPr>
        <w:t>n affordability properly assessed with a view to combating practices that result in the exclusion of long-term residents of specific neighbourhoods.</w:t>
      </w:r>
    </w:p>
    <w:p w:rsidR="00C07932" w:rsidRPr="008B61E2" w:rsidRDefault="00935A35" w:rsidP="008B61E2">
      <w:pPr>
        <w:pStyle w:val="SingleTxtG"/>
        <w:rPr>
          <w:b/>
          <w:sz w:val="20"/>
          <w:szCs w:val="20"/>
        </w:rPr>
      </w:pPr>
      <w:r w:rsidRPr="008B61E2">
        <w:rPr>
          <w:sz w:val="20"/>
          <w:szCs w:val="20"/>
        </w:rPr>
        <w:t>9</w:t>
      </w:r>
      <w:r w:rsidR="004100E7" w:rsidRPr="008B61E2">
        <w:rPr>
          <w:sz w:val="20"/>
          <w:szCs w:val="20"/>
        </w:rPr>
        <w:t>3</w:t>
      </w:r>
      <w:r w:rsidRPr="008B61E2">
        <w:rPr>
          <w:sz w:val="20"/>
          <w:szCs w:val="20"/>
        </w:rPr>
        <w:t>.</w:t>
      </w:r>
      <w:r w:rsidR="0048528F" w:rsidRPr="008B61E2">
        <w:rPr>
          <w:b/>
          <w:sz w:val="20"/>
          <w:szCs w:val="20"/>
        </w:rPr>
        <w:tab/>
        <w:t>Housing programmes such as those proposed by housing cooperatives for new housing and urban upgrading, or those emerging from participatory budgeting, strengthen real and effective participation of the population directly concerned in the design and implementation of housing policies</w:t>
      </w:r>
      <w:r>
        <w:rPr>
          <w:b/>
          <w:sz w:val="20"/>
          <w:szCs w:val="20"/>
        </w:rPr>
        <w:t>, and</w:t>
      </w:r>
      <w:r w:rsidRPr="00935A35">
        <w:rPr>
          <w:b/>
          <w:sz w:val="20"/>
          <w:szCs w:val="20"/>
        </w:rPr>
        <w:t xml:space="preserve"> </w:t>
      </w:r>
      <w:r w:rsidRPr="003966A4">
        <w:rPr>
          <w:b/>
          <w:sz w:val="20"/>
          <w:szCs w:val="20"/>
        </w:rPr>
        <w:t xml:space="preserve">should </w:t>
      </w:r>
      <w:r>
        <w:rPr>
          <w:b/>
          <w:sz w:val="20"/>
          <w:szCs w:val="20"/>
        </w:rPr>
        <w:t xml:space="preserve">therefore </w:t>
      </w:r>
      <w:r w:rsidRPr="003966A4">
        <w:rPr>
          <w:b/>
          <w:sz w:val="20"/>
          <w:szCs w:val="20"/>
        </w:rPr>
        <w:t xml:space="preserve">be </w:t>
      </w:r>
      <w:r>
        <w:rPr>
          <w:b/>
          <w:sz w:val="20"/>
          <w:szCs w:val="20"/>
        </w:rPr>
        <w:t>encouraged</w:t>
      </w:r>
      <w:r w:rsidR="0048528F" w:rsidRPr="008B61E2">
        <w:rPr>
          <w:b/>
          <w:sz w:val="20"/>
          <w:szCs w:val="20"/>
        </w:rPr>
        <w:t>. Collective and cooperative forms of ownership and use of land and housing should also be promoted.</w:t>
      </w:r>
    </w:p>
    <w:p w:rsidR="00C07932" w:rsidRPr="008B61E2" w:rsidRDefault="00935A35" w:rsidP="008B61E2">
      <w:pPr>
        <w:pStyle w:val="SingleTxtG"/>
        <w:rPr>
          <w:b/>
          <w:sz w:val="20"/>
          <w:szCs w:val="20"/>
        </w:rPr>
      </w:pPr>
      <w:r w:rsidRPr="008B61E2">
        <w:rPr>
          <w:sz w:val="20"/>
          <w:szCs w:val="20"/>
        </w:rPr>
        <w:t>9</w:t>
      </w:r>
      <w:r w:rsidR="004100E7" w:rsidRPr="008B61E2">
        <w:rPr>
          <w:sz w:val="20"/>
          <w:szCs w:val="20"/>
        </w:rPr>
        <w:t>4</w:t>
      </w:r>
      <w:r w:rsidRPr="008B61E2">
        <w:rPr>
          <w:sz w:val="20"/>
          <w:szCs w:val="20"/>
        </w:rPr>
        <w:t>.</w:t>
      </w:r>
      <w:r w:rsidR="0048528F" w:rsidRPr="008B61E2">
        <w:rPr>
          <w:b/>
          <w:sz w:val="20"/>
          <w:szCs w:val="20"/>
        </w:rPr>
        <w:tab/>
        <w:t xml:space="preserve">Serious consideration </w:t>
      </w:r>
      <w:r>
        <w:rPr>
          <w:b/>
          <w:sz w:val="20"/>
          <w:szCs w:val="20"/>
        </w:rPr>
        <w:t>should</w:t>
      </w:r>
      <w:r w:rsidR="0048528F" w:rsidRPr="008B61E2">
        <w:rPr>
          <w:b/>
          <w:sz w:val="20"/>
          <w:szCs w:val="20"/>
        </w:rPr>
        <w:t xml:space="preserve"> be given to </w:t>
      </w:r>
      <w:r>
        <w:rPr>
          <w:b/>
          <w:sz w:val="20"/>
          <w:szCs w:val="20"/>
        </w:rPr>
        <w:t xml:space="preserve">the </w:t>
      </w:r>
      <w:r w:rsidR="0048528F" w:rsidRPr="008B61E2">
        <w:rPr>
          <w:b/>
          <w:sz w:val="20"/>
          <w:szCs w:val="20"/>
        </w:rPr>
        <w:t>identification of vacant land or</w:t>
      </w:r>
      <w:r>
        <w:rPr>
          <w:b/>
          <w:sz w:val="20"/>
          <w:szCs w:val="20"/>
        </w:rPr>
        <w:t>,</w:t>
      </w:r>
      <w:r w:rsidR="0048528F" w:rsidRPr="008B61E2">
        <w:rPr>
          <w:b/>
          <w:sz w:val="20"/>
          <w:szCs w:val="20"/>
        </w:rPr>
        <w:t xml:space="preserve"> when possible, to the expropriation of land for public use, </w:t>
      </w:r>
      <w:r>
        <w:rPr>
          <w:b/>
          <w:sz w:val="20"/>
          <w:szCs w:val="20"/>
        </w:rPr>
        <w:t>so</w:t>
      </w:r>
      <w:r w:rsidR="0048528F" w:rsidRPr="008B61E2">
        <w:rPr>
          <w:b/>
          <w:sz w:val="20"/>
          <w:szCs w:val="20"/>
        </w:rPr>
        <w:t xml:space="preserve"> as to ensure security of tenure for </w:t>
      </w:r>
      <w:r>
        <w:rPr>
          <w:b/>
          <w:sz w:val="20"/>
          <w:szCs w:val="20"/>
        </w:rPr>
        <w:t>“</w:t>
      </w:r>
      <w:r w:rsidR="0048528F" w:rsidRPr="008B61E2">
        <w:rPr>
          <w:b/>
          <w:sz w:val="20"/>
          <w:szCs w:val="20"/>
        </w:rPr>
        <w:t>self-built</w:t>
      </w:r>
      <w:r>
        <w:rPr>
          <w:b/>
          <w:sz w:val="20"/>
          <w:szCs w:val="20"/>
        </w:rPr>
        <w:t>”</w:t>
      </w:r>
      <w:r w:rsidR="0048528F" w:rsidRPr="008B61E2">
        <w:rPr>
          <w:b/>
          <w:sz w:val="20"/>
          <w:szCs w:val="20"/>
        </w:rPr>
        <w:t xml:space="preserve"> neighbourhoods</w:t>
      </w:r>
      <w:r>
        <w:rPr>
          <w:b/>
          <w:sz w:val="20"/>
          <w:szCs w:val="20"/>
        </w:rPr>
        <w:t xml:space="preserve"> and </w:t>
      </w:r>
      <w:r w:rsidR="0048528F" w:rsidRPr="008B61E2">
        <w:rPr>
          <w:b/>
          <w:sz w:val="20"/>
          <w:szCs w:val="20"/>
        </w:rPr>
        <w:t xml:space="preserve">to enhance </w:t>
      </w:r>
      <w:r>
        <w:rPr>
          <w:b/>
          <w:sz w:val="20"/>
          <w:szCs w:val="20"/>
        </w:rPr>
        <w:t xml:space="preserve">the </w:t>
      </w:r>
      <w:r w:rsidR="0048528F" w:rsidRPr="008B61E2">
        <w:rPr>
          <w:b/>
          <w:sz w:val="20"/>
          <w:szCs w:val="20"/>
        </w:rPr>
        <w:t>availability of land for social housing.</w:t>
      </w:r>
    </w:p>
    <w:p w:rsidR="00935A35" w:rsidRDefault="00935A35" w:rsidP="008B61E2">
      <w:pPr>
        <w:pStyle w:val="SingleTxtG"/>
        <w:rPr>
          <w:b/>
        </w:rPr>
      </w:pPr>
      <w:r w:rsidRPr="008B61E2">
        <w:rPr>
          <w:sz w:val="20"/>
          <w:szCs w:val="20"/>
        </w:rPr>
        <w:t>9</w:t>
      </w:r>
      <w:r w:rsidR="004100E7" w:rsidRPr="008B61E2">
        <w:rPr>
          <w:sz w:val="20"/>
          <w:szCs w:val="20"/>
        </w:rPr>
        <w:t>5</w:t>
      </w:r>
      <w:r w:rsidRPr="008B61E2">
        <w:rPr>
          <w:sz w:val="20"/>
          <w:szCs w:val="20"/>
        </w:rPr>
        <w:t>.</w:t>
      </w:r>
      <w:r w:rsidR="0048528F" w:rsidRPr="008B61E2">
        <w:rPr>
          <w:b/>
          <w:sz w:val="20"/>
          <w:szCs w:val="20"/>
        </w:rPr>
        <w:tab/>
      </w:r>
      <w:r>
        <w:rPr>
          <w:b/>
          <w:sz w:val="20"/>
          <w:szCs w:val="20"/>
        </w:rPr>
        <w:t>National and subnational authorities should e</w:t>
      </w:r>
      <w:r w:rsidR="0048528F" w:rsidRPr="008B61E2">
        <w:rPr>
          <w:b/>
          <w:sz w:val="20"/>
          <w:szCs w:val="20"/>
        </w:rPr>
        <w:t xml:space="preserve">nhance the use of maximum available resources in the housing sector, including by ensuring that revenues from policies such as golden visas, property taxes or tourism taxes are invested </w:t>
      </w:r>
      <w:r>
        <w:rPr>
          <w:b/>
          <w:sz w:val="20"/>
          <w:szCs w:val="20"/>
        </w:rPr>
        <w:t xml:space="preserve">with the aim of </w:t>
      </w:r>
      <w:r w:rsidR="0048528F" w:rsidRPr="008B61E2">
        <w:rPr>
          <w:b/>
          <w:sz w:val="20"/>
          <w:szCs w:val="20"/>
        </w:rPr>
        <w:t>providing access and truly affordable housing to the most marginalized sectors of society.</w:t>
      </w:r>
    </w:p>
    <w:p w:rsidR="00C955E9" w:rsidRPr="008B61E2" w:rsidRDefault="0048528F" w:rsidP="00C955E9">
      <w:pPr>
        <w:pStyle w:val="SingleTxtG"/>
        <w:spacing w:before="240" w:after="0"/>
        <w:jc w:val="center"/>
        <w:rPr>
          <w:sz w:val="18"/>
          <w:u w:val="single"/>
        </w:rPr>
      </w:pPr>
      <w:r w:rsidRPr="008B61E2">
        <w:rPr>
          <w:sz w:val="18"/>
          <w:u w:val="single"/>
        </w:rPr>
        <w:tab/>
      </w:r>
      <w:r w:rsidRPr="008B61E2">
        <w:rPr>
          <w:sz w:val="18"/>
          <w:u w:val="single"/>
        </w:rPr>
        <w:tab/>
      </w:r>
      <w:r w:rsidRPr="008B61E2">
        <w:rPr>
          <w:sz w:val="18"/>
          <w:u w:val="single"/>
        </w:rPr>
        <w:tab/>
      </w:r>
    </w:p>
    <w:sectPr w:rsidR="00C955E9" w:rsidRPr="008B61E2" w:rsidSect="007B27B5">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81" w:rsidRDefault="00E45781"/>
  </w:endnote>
  <w:endnote w:type="continuationSeparator" w:id="0">
    <w:p w:rsidR="00E45781" w:rsidRDefault="00E45781"/>
  </w:endnote>
  <w:endnote w:type="continuationNotice" w:id="1">
    <w:p w:rsidR="00E45781" w:rsidRDefault="00E45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81" w:rsidRPr="007B27B5" w:rsidRDefault="00E45781" w:rsidP="007B27B5">
    <w:pPr>
      <w:pStyle w:val="Footer"/>
      <w:tabs>
        <w:tab w:val="right" w:pos="9638"/>
      </w:tabs>
    </w:pPr>
    <w:r>
      <w:fldChar w:fldCharType="begin"/>
    </w:r>
    <w:r>
      <w:instrText xml:space="preserve"> PAGE  \* MERGEFORMAT </w:instrText>
    </w:r>
    <w:r>
      <w:fldChar w:fldCharType="separate"/>
    </w:r>
    <w:r w:rsidR="00864840" w:rsidRPr="00864840">
      <w:rPr>
        <w:b/>
        <w:noProof/>
        <w:sz w:val="18"/>
      </w:rPr>
      <w:t>20</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81" w:rsidRPr="007B27B5" w:rsidRDefault="00E45781" w:rsidP="007B27B5">
    <w:pPr>
      <w:pStyle w:val="Footer"/>
      <w:tabs>
        <w:tab w:val="right" w:pos="9638"/>
      </w:tabs>
      <w:rPr>
        <w:b/>
        <w:sz w:val="18"/>
      </w:rPr>
    </w:pPr>
    <w:r>
      <w:tab/>
    </w:r>
    <w:r>
      <w:fldChar w:fldCharType="begin"/>
    </w:r>
    <w:r>
      <w:instrText xml:space="preserve"> PAGE  \* MERGEFORMAT </w:instrText>
    </w:r>
    <w:r>
      <w:fldChar w:fldCharType="separate"/>
    </w:r>
    <w:r w:rsidR="00864840" w:rsidRPr="00864840">
      <w:rPr>
        <w:b/>
        <w:noProof/>
        <w:sz w:val="18"/>
      </w:rPr>
      <w:t>19</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81" w:rsidRPr="000B175B" w:rsidRDefault="00E45781" w:rsidP="000B175B">
      <w:pPr>
        <w:tabs>
          <w:tab w:val="right" w:pos="2155"/>
        </w:tabs>
        <w:spacing w:after="80"/>
        <w:ind w:left="680"/>
        <w:rPr>
          <w:u w:val="single"/>
        </w:rPr>
      </w:pPr>
      <w:r>
        <w:rPr>
          <w:u w:val="single"/>
        </w:rPr>
        <w:tab/>
      </w:r>
    </w:p>
  </w:footnote>
  <w:footnote w:type="continuationSeparator" w:id="0">
    <w:p w:rsidR="00E45781" w:rsidRPr="00FC68B7" w:rsidRDefault="00E45781" w:rsidP="00FC68B7">
      <w:pPr>
        <w:tabs>
          <w:tab w:val="left" w:pos="2155"/>
        </w:tabs>
        <w:spacing w:after="80"/>
        <w:ind w:left="680"/>
        <w:rPr>
          <w:u w:val="single"/>
        </w:rPr>
      </w:pPr>
      <w:r>
        <w:rPr>
          <w:u w:val="single"/>
        </w:rPr>
        <w:tab/>
      </w:r>
    </w:p>
  </w:footnote>
  <w:footnote w:type="continuationNotice" w:id="1">
    <w:p w:rsidR="00E45781" w:rsidRDefault="00E45781"/>
  </w:footnote>
  <w:footnote w:id="2">
    <w:p w:rsidR="00E45781" w:rsidRPr="008B61E2" w:rsidRDefault="00E45781" w:rsidP="00EE1861">
      <w:pPr>
        <w:pStyle w:val="FootnoteText"/>
        <w:jc w:val="both"/>
        <w:rPr>
          <w:szCs w:val="18"/>
        </w:rPr>
      </w:pPr>
      <w:r w:rsidRPr="00D4427F">
        <w:rPr>
          <w:szCs w:val="18"/>
        </w:rPr>
        <w:tab/>
      </w:r>
      <w:r w:rsidRPr="00D4427F">
        <w:rPr>
          <w:rStyle w:val="FootnoteReference"/>
          <w:szCs w:val="18"/>
        </w:rPr>
        <w:t>*</w:t>
      </w:r>
      <w:r w:rsidRPr="00D4427F">
        <w:rPr>
          <w:szCs w:val="18"/>
        </w:rPr>
        <w:tab/>
      </w:r>
      <w:r w:rsidRPr="00D4427F">
        <w:rPr>
          <w:color w:val="000000"/>
          <w:szCs w:val="18"/>
          <w:lang w:eastAsia="en-GB"/>
        </w:rPr>
        <w:t>The present document was submitted late so as to include the most up-to-date information.</w:t>
      </w:r>
    </w:p>
  </w:footnote>
  <w:footnote w:id="3">
    <w:p w:rsidR="00E45781" w:rsidRPr="008B61E2" w:rsidRDefault="00E45781" w:rsidP="00D21A37">
      <w:pPr>
        <w:pStyle w:val="FootnoteText"/>
        <w:jc w:val="both"/>
        <w:rPr>
          <w:szCs w:val="18"/>
        </w:rPr>
      </w:pPr>
      <w:r w:rsidRPr="008B61E2">
        <w:rPr>
          <w:szCs w:val="18"/>
        </w:rPr>
        <w:tab/>
      </w:r>
      <w:r w:rsidRPr="008B61E2">
        <w:rPr>
          <w:rStyle w:val="FootnoteReference"/>
          <w:szCs w:val="18"/>
        </w:rPr>
        <w:t>**</w:t>
      </w:r>
      <w:r w:rsidRPr="008B61E2">
        <w:rPr>
          <w:szCs w:val="18"/>
        </w:rPr>
        <w:tab/>
      </w:r>
      <w:r w:rsidRPr="008B61E2">
        <w:rPr>
          <w:color w:val="000000"/>
          <w:szCs w:val="18"/>
          <w:lang w:eastAsia="en-GB"/>
        </w:rPr>
        <w:t>Circulated in the language of submission only.</w:t>
      </w:r>
    </w:p>
  </w:footnote>
  <w:footnote w:id="4">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 xml:space="preserve">David Justino, </w:t>
      </w:r>
      <w:r w:rsidRPr="008B61E2">
        <w:rPr>
          <w:i/>
          <w:szCs w:val="18"/>
        </w:rPr>
        <w:t>Emigration from Portugal: Old Wine in New Bottles?</w:t>
      </w:r>
      <w:r w:rsidRPr="008B61E2">
        <w:rPr>
          <w:szCs w:val="18"/>
        </w:rPr>
        <w:t xml:space="preserve"> (Washington, D.C., Migration Policy Institute,</w:t>
      </w:r>
      <w:r w:rsidRPr="008B61E2">
        <w:rPr>
          <w:i/>
          <w:szCs w:val="18"/>
        </w:rPr>
        <w:t xml:space="preserve"> </w:t>
      </w:r>
      <w:r w:rsidRPr="008B61E2">
        <w:rPr>
          <w:szCs w:val="18"/>
        </w:rPr>
        <w:t xml:space="preserve">February 2016), pp. 1-3. </w:t>
      </w:r>
    </w:p>
  </w:footnote>
  <w:footnote w:id="5">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Eurostat, Population age structure by major age groups, 2005 and 2015 (% of the total population) YB16.png.</w:t>
      </w:r>
    </w:p>
  </w:footnote>
  <w:footnote w:id="6">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Jens Arnold and Carlos Farinha Rodrigue</w:t>
      </w:r>
      <w:r w:rsidR="00825DEF">
        <w:rPr>
          <w:szCs w:val="18"/>
        </w:rPr>
        <w:t>s</w:t>
      </w:r>
      <w:r w:rsidRPr="008B61E2">
        <w:rPr>
          <w:szCs w:val="18"/>
        </w:rPr>
        <w:t xml:space="preserve">, Reducing Inequality and Poverty in Portugal, Economics Department Working Papers No. 1258, Organization for Economic Cooperation and Development (OECD), p. 5. </w:t>
      </w:r>
    </w:p>
  </w:footnote>
  <w:footnote w:id="7">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 xml:space="preserve">OECD, Inequality remains high in the face of weak recovery, November 2016, table 1. Key indicators. </w:t>
      </w:r>
    </w:p>
  </w:footnote>
  <w:footnote w:id="8">
    <w:p w:rsidR="00E45781" w:rsidRPr="008B61E2" w:rsidRDefault="00E45781" w:rsidP="006D7C76">
      <w:pPr>
        <w:pStyle w:val="FootnoteText"/>
        <w:jc w:val="both"/>
        <w:rPr>
          <w:szCs w:val="18"/>
        </w:rPr>
      </w:pPr>
      <w:r w:rsidRPr="008B61E2">
        <w:rPr>
          <w:szCs w:val="18"/>
        </w:rPr>
        <w:tab/>
      </w:r>
      <w:r w:rsidRPr="008B61E2">
        <w:rPr>
          <w:rStyle w:val="FootnoteReference"/>
          <w:szCs w:val="18"/>
        </w:rPr>
        <w:footnoteRef/>
      </w:r>
      <w:r w:rsidRPr="008B61E2">
        <w:rPr>
          <w:szCs w:val="18"/>
        </w:rPr>
        <w:tab/>
        <w:t>Instituto Nacional de Estadística – Statistics Portugal (INE), Monthly Employment and Unemployment Estimates, 4th Quarter of 2009</w:t>
      </w:r>
      <w:r w:rsidR="00860769">
        <w:rPr>
          <w:szCs w:val="18"/>
        </w:rPr>
        <w:t>,</w:t>
      </w:r>
      <w:r w:rsidRPr="008B61E2">
        <w:rPr>
          <w:szCs w:val="18"/>
        </w:rPr>
        <w:t xml:space="preserve"> Destaque press release, 7 February 2010.</w:t>
      </w:r>
    </w:p>
  </w:footnote>
  <w:footnote w:id="9">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INE, Portugal, Monthly Employment and Unemployment Estimates, November 2016, Destaque press release, 6 January 2017.</w:t>
      </w:r>
    </w:p>
  </w:footnote>
  <w:footnote w:id="10">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Arnold and Rodrigues, “Reducing Inequality and Poverty” (see footnote</w:t>
      </w:r>
      <w:r w:rsidR="00985CC8">
        <w:rPr>
          <w:szCs w:val="18"/>
        </w:rPr>
        <w:t xml:space="preserve"> 3</w:t>
      </w:r>
      <w:r w:rsidRPr="008B61E2">
        <w:rPr>
          <w:szCs w:val="18"/>
        </w:rPr>
        <w:t>), p.</w:t>
      </w:r>
      <w:r w:rsidR="00985CC8">
        <w:rPr>
          <w:szCs w:val="18"/>
        </w:rPr>
        <w:t xml:space="preserve"> </w:t>
      </w:r>
      <w:r w:rsidRPr="008B61E2">
        <w:rPr>
          <w:szCs w:val="18"/>
        </w:rPr>
        <w:t>11.</w:t>
      </w:r>
    </w:p>
  </w:footnote>
  <w:footnote w:id="11">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Ibid.</w:t>
      </w:r>
    </w:p>
  </w:footnote>
  <w:footnote w:id="12">
    <w:p w:rsidR="00E45781" w:rsidRPr="008B61E2" w:rsidRDefault="00E45781" w:rsidP="00D21A37">
      <w:pPr>
        <w:pStyle w:val="FootnoteText"/>
        <w:jc w:val="both"/>
        <w:rPr>
          <w:b/>
          <w:szCs w:val="18"/>
        </w:rPr>
      </w:pPr>
      <w:r w:rsidRPr="008B61E2">
        <w:rPr>
          <w:szCs w:val="18"/>
        </w:rPr>
        <w:tab/>
      </w:r>
      <w:r w:rsidRPr="008B61E2">
        <w:rPr>
          <w:rStyle w:val="FootnoteReference"/>
          <w:szCs w:val="18"/>
        </w:rPr>
        <w:footnoteRef/>
      </w:r>
      <w:r w:rsidRPr="008B61E2">
        <w:rPr>
          <w:szCs w:val="18"/>
        </w:rPr>
        <w:tab/>
        <w:t xml:space="preserve">See FEANTSA and Fondation Abbé Pierre, An Overview of European Housing Exclusion in Europe, Index 2016, 17 September 2016. </w:t>
      </w:r>
    </w:p>
  </w:footnote>
  <w:footnote w:id="13">
    <w:p w:rsidR="00E45781" w:rsidRPr="008B61E2" w:rsidRDefault="00E45781" w:rsidP="008871B1">
      <w:pPr>
        <w:pStyle w:val="FootnoteText"/>
        <w:jc w:val="both"/>
        <w:rPr>
          <w:szCs w:val="18"/>
        </w:rPr>
      </w:pPr>
      <w:r w:rsidRPr="008B61E2">
        <w:rPr>
          <w:szCs w:val="18"/>
        </w:rPr>
        <w:tab/>
      </w:r>
      <w:r w:rsidRPr="008B61E2">
        <w:rPr>
          <w:rStyle w:val="FootnoteReference"/>
          <w:szCs w:val="18"/>
        </w:rPr>
        <w:footnoteRef/>
      </w:r>
      <w:r w:rsidRPr="008B61E2">
        <w:rPr>
          <w:szCs w:val="18"/>
        </w:rPr>
        <w:tab/>
        <w:t xml:space="preserve">Since June 2014, Portugal has been under post-programme surveillance until at least 75 per cent of the financial assistance received has been repaid, possibly until 2026. </w:t>
      </w:r>
    </w:p>
  </w:footnote>
  <w:footnote w:id="14">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 xml:space="preserve">See the statement </w:t>
      </w:r>
      <w:r w:rsidRPr="008B61E2">
        <w:t>by the Committee on Economic, Social and Cultural Rights</w:t>
      </w:r>
      <w:r w:rsidRPr="008B61E2">
        <w:rPr>
          <w:szCs w:val="18"/>
        </w:rPr>
        <w:t xml:space="preserve"> on public debt, austerity measures and the International Convention on Economic, Social and Cultural Rights (E/C.12/2016/1), para. 3.</w:t>
      </w:r>
    </w:p>
  </w:footnote>
  <w:footnote w:id="15">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INE, Housing rehabilitation: an overview 2001-2011, p. 29.</w:t>
      </w:r>
    </w:p>
  </w:footnote>
  <w:footnote w:id="16">
    <w:p w:rsidR="00E45781" w:rsidRPr="008B61E2" w:rsidRDefault="00E45781" w:rsidP="00D21A37">
      <w:pPr>
        <w:pStyle w:val="FootnoteText"/>
        <w:jc w:val="both"/>
      </w:pPr>
      <w:r w:rsidRPr="008B61E2">
        <w:tab/>
      </w:r>
      <w:r w:rsidRPr="008B61E2">
        <w:rPr>
          <w:rStyle w:val="FootnoteReference"/>
        </w:rPr>
        <w:footnoteRef/>
      </w:r>
      <w:r w:rsidRPr="008B61E2">
        <w:t xml:space="preserve"> </w:t>
      </w:r>
      <w:r w:rsidRPr="008B61E2">
        <w:tab/>
        <w:t>INE defines conventional dwelling as a room or suite of rooms and its accessories built, rebuilt or converted for habitation by one household. It should have separate access to a street or to a common space within the building.</w:t>
      </w:r>
    </w:p>
  </w:footnote>
  <w:footnote w:id="17">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 xml:space="preserve">INE Housing </w:t>
      </w:r>
      <w:r w:rsidR="0013300F">
        <w:rPr>
          <w:szCs w:val="18"/>
        </w:rPr>
        <w:t>r</w:t>
      </w:r>
      <w:r w:rsidRPr="008B61E2">
        <w:rPr>
          <w:szCs w:val="18"/>
        </w:rPr>
        <w:t>ehabilitation (see footnote</w:t>
      </w:r>
      <w:r w:rsidR="0013300F">
        <w:rPr>
          <w:szCs w:val="18"/>
        </w:rPr>
        <w:t xml:space="preserve"> 12</w:t>
      </w:r>
      <w:r w:rsidRPr="008B61E2">
        <w:rPr>
          <w:szCs w:val="18"/>
        </w:rPr>
        <w:t>), p. 29.</w:t>
      </w:r>
    </w:p>
  </w:footnote>
  <w:footnote w:id="18">
    <w:p w:rsidR="00E45781" w:rsidRPr="00AD546B" w:rsidRDefault="00E45781" w:rsidP="00D21A37">
      <w:pPr>
        <w:pStyle w:val="FootnoteText"/>
        <w:jc w:val="both"/>
        <w:rPr>
          <w:szCs w:val="18"/>
          <w:lang w:val="es-ES"/>
        </w:rPr>
      </w:pPr>
      <w:r w:rsidRPr="008B61E2">
        <w:rPr>
          <w:szCs w:val="18"/>
        </w:rPr>
        <w:tab/>
      </w:r>
      <w:r w:rsidRPr="008B61E2">
        <w:rPr>
          <w:rStyle w:val="FootnoteReference"/>
          <w:szCs w:val="18"/>
        </w:rPr>
        <w:footnoteRef/>
      </w:r>
      <w:r w:rsidRPr="00AD546B">
        <w:rPr>
          <w:szCs w:val="18"/>
          <w:lang w:val="es-ES"/>
        </w:rPr>
        <w:tab/>
        <w:t xml:space="preserve">Banco de Portugal, Nota de Informação estatística 126, 2016, Análise do setor da construção, 2011-2016, 5 December 2016. </w:t>
      </w:r>
    </w:p>
  </w:footnote>
  <w:footnote w:id="19">
    <w:p w:rsidR="00E45781" w:rsidRPr="008B61E2" w:rsidRDefault="00E45781" w:rsidP="00D21A37">
      <w:pPr>
        <w:pStyle w:val="FootnoteText"/>
        <w:jc w:val="both"/>
        <w:rPr>
          <w:szCs w:val="18"/>
        </w:rPr>
      </w:pPr>
      <w:r w:rsidRPr="00AD546B">
        <w:rPr>
          <w:szCs w:val="18"/>
          <w:lang w:val="es-ES"/>
        </w:rPr>
        <w:tab/>
      </w:r>
      <w:r w:rsidRPr="008B61E2">
        <w:rPr>
          <w:rStyle w:val="FootnoteReference"/>
          <w:szCs w:val="18"/>
        </w:rPr>
        <w:footnoteRef/>
      </w:r>
      <w:r w:rsidRPr="008B61E2">
        <w:rPr>
          <w:szCs w:val="18"/>
        </w:rPr>
        <w:tab/>
        <w:t>Decree-law no. 163/93 of 7 May 1993, amended by decree-law no. 271/2003 of 28 October 2003.</w:t>
      </w:r>
    </w:p>
  </w:footnote>
  <w:footnote w:id="20">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See Décio Correia and Nelson Santos, Tenancy Law and Housing Policy in Multi-level Europe, National Rep</w:t>
      </w:r>
      <w:r w:rsidR="00C678A8">
        <w:rPr>
          <w:szCs w:val="18"/>
        </w:rPr>
        <w:t>ort for Portugal, 2015, p. 87.</w:t>
      </w:r>
    </w:p>
  </w:footnote>
  <w:footnote w:id="21">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 xml:space="preserve">Isabel Baptista, “Strategically Moving Forward in Combatting Homelessness in Spain”, </w:t>
      </w:r>
      <w:r w:rsidRPr="008B61E2">
        <w:rPr>
          <w:i/>
          <w:szCs w:val="18"/>
        </w:rPr>
        <w:t>European Journal of Homelessness</w:t>
      </w:r>
      <w:r w:rsidRPr="008B61E2">
        <w:rPr>
          <w:szCs w:val="18"/>
        </w:rPr>
        <w:t xml:space="preserve">, vol. 10, No. 2, December 2016, p. 94. </w:t>
      </w:r>
    </w:p>
  </w:footnote>
  <w:footnote w:id="22">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 xml:space="preserve">Ibid. </w:t>
      </w:r>
    </w:p>
  </w:footnote>
  <w:footnote w:id="23">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Ibid., p. 96.</w:t>
      </w:r>
    </w:p>
  </w:footnote>
  <w:footnote w:id="24">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t>“Portuguese house prices continue to rise as its economy recovers”, Global Property Guide, 21 March 2016.</w:t>
      </w:r>
    </w:p>
  </w:footnote>
  <w:footnote w:id="25">
    <w:p w:rsidR="00E45781" w:rsidRPr="008B61E2" w:rsidRDefault="00E45781" w:rsidP="00D21A37">
      <w:pPr>
        <w:pStyle w:val="FootnoteText"/>
        <w:jc w:val="both"/>
        <w:rPr>
          <w:szCs w:val="18"/>
        </w:rPr>
      </w:pPr>
      <w:r w:rsidRPr="008B61E2">
        <w:rPr>
          <w:szCs w:val="18"/>
        </w:rPr>
        <w:tab/>
      </w:r>
      <w:r w:rsidRPr="008B61E2">
        <w:rPr>
          <w:rStyle w:val="FootnoteReference"/>
          <w:szCs w:val="18"/>
        </w:rPr>
        <w:footnoteRef/>
      </w:r>
      <w:r w:rsidRPr="008B61E2">
        <w:rPr>
          <w:szCs w:val="18"/>
        </w:rPr>
        <w:tab/>
      </w:r>
      <w:r w:rsidRPr="008B61E2">
        <w:rPr>
          <w:color w:val="1A1A1A"/>
          <w:szCs w:val="18"/>
        </w:rPr>
        <w:t xml:space="preserve">Maria Helena Torres et al., Discrimination of Roma Communities: Portugal National Report, </w:t>
      </w:r>
      <w:r w:rsidRPr="008B61E2">
        <w:rPr>
          <w:iCs/>
          <w:color w:val="1A1A1A"/>
          <w:szCs w:val="18"/>
        </w:rPr>
        <w:t>EAPN and ACIDI, Net-Kard Project,</w:t>
      </w:r>
      <w:r w:rsidRPr="008B61E2">
        <w:rPr>
          <w:color w:val="1A1A1A"/>
          <w:szCs w:val="18"/>
        </w:rPr>
        <w:t xml:space="preserve"> 2012. pp. 6-7</w:t>
      </w:r>
      <w:r w:rsidRPr="008B61E2">
        <w:rPr>
          <w:szCs w:val="18"/>
        </w:rPr>
        <w:t>.</w:t>
      </w:r>
    </w:p>
  </w:footnote>
  <w:footnote w:id="26">
    <w:p w:rsidR="00E45781" w:rsidRPr="00AD546B" w:rsidRDefault="00E45781" w:rsidP="0060277D">
      <w:pPr>
        <w:pStyle w:val="FootnoteText"/>
        <w:jc w:val="both"/>
        <w:rPr>
          <w:szCs w:val="18"/>
          <w:lang w:val="es-ES"/>
        </w:rPr>
      </w:pPr>
      <w:r w:rsidRPr="008B61E2">
        <w:rPr>
          <w:szCs w:val="18"/>
        </w:rPr>
        <w:tab/>
      </w:r>
      <w:r w:rsidRPr="008B61E2">
        <w:rPr>
          <w:rStyle w:val="FootnoteReference"/>
          <w:szCs w:val="18"/>
        </w:rPr>
        <w:footnoteRef/>
      </w:r>
      <w:r w:rsidRPr="00AD546B">
        <w:rPr>
          <w:szCs w:val="18"/>
          <w:lang w:val="es-ES"/>
        </w:rPr>
        <w:tab/>
      </w:r>
      <w:r w:rsidR="00051C79" w:rsidRPr="00AD546B">
        <w:rPr>
          <w:color w:val="1A1A1A"/>
          <w:szCs w:val="18"/>
          <w:lang w:val="es-ES"/>
        </w:rPr>
        <w:t>Ibid.</w:t>
      </w:r>
      <w:r w:rsidRPr="00AD546B">
        <w:rPr>
          <w:color w:val="1A1A1A"/>
          <w:szCs w:val="18"/>
          <w:lang w:val="es-ES"/>
        </w:rPr>
        <w:t>, p. 6.</w:t>
      </w:r>
    </w:p>
  </w:footnote>
  <w:footnote w:id="27">
    <w:p w:rsidR="00E45781" w:rsidRPr="00AD546B" w:rsidRDefault="00E45781" w:rsidP="00D21A37">
      <w:pPr>
        <w:pStyle w:val="FootnoteText"/>
        <w:jc w:val="both"/>
        <w:rPr>
          <w:szCs w:val="18"/>
          <w:lang w:val="es-ES"/>
        </w:rPr>
      </w:pPr>
      <w:r w:rsidRPr="00AD546B">
        <w:rPr>
          <w:szCs w:val="18"/>
          <w:lang w:val="es-ES"/>
        </w:rPr>
        <w:tab/>
      </w:r>
      <w:r w:rsidRPr="008B61E2">
        <w:rPr>
          <w:rStyle w:val="FootnoteReference"/>
          <w:szCs w:val="18"/>
        </w:rPr>
        <w:footnoteRef/>
      </w:r>
      <w:r w:rsidRPr="00AD546B">
        <w:rPr>
          <w:szCs w:val="18"/>
          <w:lang w:val="es-ES"/>
        </w:rPr>
        <w:tab/>
        <w:t>Manuela Mendes et al., “Estudo nacional sobre as comunidades ciganas”, December 2014, p. 28.</w:t>
      </w:r>
    </w:p>
  </w:footnote>
  <w:footnote w:id="28">
    <w:p w:rsidR="008636E3" w:rsidRPr="008B61E2" w:rsidRDefault="008636E3" w:rsidP="008636E3">
      <w:pPr>
        <w:pStyle w:val="FootnoteText"/>
        <w:jc w:val="both"/>
        <w:rPr>
          <w:szCs w:val="18"/>
        </w:rPr>
      </w:pPr>
      <w:r w:rsidRPr="00AD546B">
        <w:rPr>
          <w:szCs w:val="18"/>
          <w:lang w:val="es-ES"/>
        </w:rPr>
        <w:tab/>
      </w:r>
      <w:r w:rsidRPr="008B61E2">
        <w:rPr>
          <w:rStyle w:val="FootnoteReference"/>
          <w:szCs w:val="18"/>
        </w:rPr>
        <w:footnoteRef/>
      </w:r>
      <w:r w:rsidRPr="008B61E2">
        <w:rPr>
          <w:szCs w:val="18"/>
        </w:rPr>
        <w:tab/>
        <w:t>See A/HRC/22/67, case PRT 1/2012 and reply from the Government of 11 September 2012, and at A/HRC/24/21, case PRT 1/2013 and reply from the Government of 10 July 2013.</w:t>
      </w:r>
    </w:p>
  </w:footnote>
  <w:footnote w:id="29">
    <w:p w:rsidR="00725A3B" w:rsidRPr="008B61E2" w:rsidRDefault="00725A3B">
      <w:pPr>
        <w:pStyle w:val="FootnoteText"/>
        <w:rPr>
          <w:szCs w:val="18"/>
        </w:rPr>
      </w:pPr>
      <w:r w:rsidRPr="008B61E2">
        <w:tab/>
      </w:r>
      <w:r w:rsidRPr="008B61E2">
        <w:rPr>
          <w:rStyle w:val="FootnoteReference"/>
          <w:szCs w:val="18"/>
        </w:rPr>
        <w:footnoteRef/>
      </w:r>
      <w:r w:rsidRPr="008B61E2">
        <w:rPr>
          <w:szCs w:val="18"/>
        </w:rPr>
        <w:t xml:space="preserve"> </w:t>
      </w:r>
      <w:r w:rsidRPr="008B61E2">
        <w:rPr>
          <w:szCs w:val="18"/>
        </w:rPr>
        <w:tab/>
        <w:t>In 2015, 25.1 per cent of the population were considered at risk of poverty.</w:t>
      </w:r>
    </w:p>
  </w:footnote>
  <w:footnote w:id="30">
    <w:p w:rsidR="00360C6D" w:rsidRPr="00985CC8" w:rsidRDefault="00360C6D">
      <w:pPr>
        <w:pStyle w:val="FootnoteText"/>
        <w:rPr>
          <w:lang w:val="en-US"/>
        </w:rPr>
      </w:pPr>
      <w:r>
        <w:tab/>
      </w:r>
      <w:r>
        <w:rPr>
          <w:rStyle w:val="FootnoteReference"/>
        </w:rPr>
        <w:footnoteRef/>
      </w:r>
      <w:r>
        <w:t xml:space="preserve"> </w:t>
      </w:r>
      <w:r>
        <w:tab/>
      </w:r>
      <w:r>
        <w:rPr>
          <w:lang w:val="en-US"/>
        </w:rPr>
        <w:t>General Assembly resolution 71/256,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81" w:rsidRPr="007B27B5" w:rsidRDefault="00E45781">
    <w:pPr>
      <w:pStyle w:val="Header"/>
    </w:pPr>
    <w:r>
      <w:t>A/HRC/34/51/Add.2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81" w:rsidRPr="007B27B5" w:rsidRDefault="00E45781" w:rsidP="007B27B5">
    <w:pPr>
      <w:pStyle w:val="Header"/>
      <w:jc w:val="right"/>
    </w:pPr>
    <w:r>
      <w:t>A/HRC/34/51/Add.2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3B515C"/>
    <w:multiLevelType w:val="hybridMultilevel"/>
    <w:tmpl w:val="EB0CD9AE"/>
    <w:lvl w:ilvl="0" w:tplc="3CF04012">
      <w:start w:val="1"/>
      <w:numFmt w:val="upperLetter"/>
      <w:lvlText w:val="%1."/>
      <w:lvlJc w:val="left"/>
      <w:pPr>
        <w:ind w:left="1140" w:hanging="576"/>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
    <w:nsid w:val="0C5A7A02"/>
    <w:multiLevelType w:val="hybridMultilevel"/>
    <w:tmpl w:val="4E6265DE"/>
    <w:lvl w:ilvl="0" w:tplc="21285078">
      <w:start w:val="1"/>
      <w:numFmt w:val="upperRoman"/>
      <w:lvlText w:val="%1."/>
      <w:lvlJc w:val="left"/>
      <w:pPr>
        <w:ind w:left="1080" w:hanging="720"/>
      </w:pPr>
      <w:rPr>
        <w:rFonts w:hint="default"/>
      </w:rPr>
    </w:lvl>
    <w:lvl w:ilvl="1" w:tplc="09C04C9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6AC7FF7"/>
    <w:multiLevelType w:val="hybridMultilevel"/>
    <w:tmpl w:val="F230BD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185CA4"/>
    <w:multiLevelType w:val="hybridMultilevel"/>
    <w:tmpl w:val="5318565A"/>
    <w:lvl w:ilvl="0" w:tplc="46D83554">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3544E"/>
    <w:multiLevelType w:val="hybridMultilevel"/>
    <w:tmpl w:val="3558F874"/>
    <w:lvl w:ilvl="0" w:tplc="F51AAAE4">
      <w:start w:val="1"/>
      <w:numFmt w:val="upp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9">
    <w:nsid w:val="2F336295"/>
    <w:multiLevelType w:val="hybridMultilevel"/>
    <w:tmpl w:val="BE1268AE"/>
    <w:lvl w:ilvl="0" w:tplc="CCF4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D61EFB"/>
    <w:multiLevelType w:val="hybridMultilevel"/>
    <w:tmpl w:val="5DDA03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68064F4"/>
    <w:multiLevelType w:val="hybridMultilevel"/>
    <w:tmpl w:val="03F2CA84"/>
    <w:lvl w:ilvl="0" w:tplc="A9CED77A">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AA0DF1"/>
    <w:multiLevelType w:val="hybridMultilevel"/>
    <w:tmpl w:val="FD5EA3AA"/>
    <w:lvl w:ilvl="0" w:tplc="08090015">
      <w:start w:val="1"/>
      <w:numFmt w:val="upperLetter"/>
      <w:lvlText w:val="%1."/>
      <w:lvlJc w:val="left"/>
      <w:pPr>
        <w:ind w:left="1284" w:hanging="360"/>
      </w:p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4">
    <w:nsid w:val="4B430E38"/>
    <w:multiLevelType w:val="hybridMultilevel"/>
    <w:tmpl w:val="BADC36AC"/>
    <w:lvl w:ilvl="0" w:tplc="3CF04012">
      <w:start w:val="1"/>
      <w:numFmt w:val="upperLetter"/>
      <w:lvlText w:val="%1."/>
      <w:lvlJc w:val="left"/>
      <w:pPr>
        <w:ind w:left="1140" w:hanging="576"/>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5">
    <w:nsid w:val="4F3571E3"/>
    <w:multiLevelType w:val="hybridMultilevel"/>
    <w:tmpl w:val="D6FAD3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412BED"/>
    <w:multiLevelType w:val="hybridMultilevel"/>
    <w:tmpl w:val="AAE0C85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509C41AE"/>
    <w:multiLevelType w:val="hybridMultilevel"/>
    <w:tmpl w:val="D49CF4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4042CF"/>
    <w:multiLevelType w:val="hybridMultilevel"/>
    <w:tmpl w:val="6C98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A61C2E"/>
    <w:multiLevelType w:val="hybridMultilevel"/>
    <w:tmpl w:val="BADC36AC"/>
    <w:lvl w:ilvl="0" w:tplc="3CF04012">
      <w:start w:val="1"/>
      <w:numFmt w:val="upperLetter"/>
      <w:lvlText w:val="%1."/>
      <w:lvlJc w:val="left"/>
      <w:pPr>
        <w:ind w:left="1140" w:hanging="576"/>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0">
    <w:nsid w:val="5CE173B2"/>
    <w:multiLevelType w:val="hybridMultilevel"/>
    <w:tmpl w:val="90D8155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Symbo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Symbol" w:hint="default"/>
      </w:rPr>
    </w:lvl>
    <w:lvl w:ilvl="8" w:tplc="08090005" w:tentative="1">
      <w:start w:val="1"/>
      <w:numFmt w:val="bullet"/>
      <w:lvlText w:val=""/>
      <w:lvlJc w:val="left"/>
      <w:pPr>
        <w:ind w:left="7614" w:hanging="360"/>
      </w:pPr>
      <w:rPr>
        <w:rFonts w:ascii="Wingdings" w:hAnsi="Wingdings" w:hint="default"/>
      </w:rPr>
    </w:lvl>
  </w:abstractNum>
  <w:abstractNum w:abstractNumId="21">
    <w:nsid w:val="5D16655E"/>
    <w:multiLevelType w:val="hybridMultilevel"/>
    <w:tmpl w:val="096A70A6"/>
    <w:lvl w:ilvl="0" w:tplc="0809000F">
      <w:start w:val="1"/>
      <w:numFmt w:val="decimal"/>
      <w:lvlText w:val="%1."/>
      <w:lvlJc w:val="left"/>
      <w:pPr>
        <w:ind w:left="1284" w:hanging="360"/>
      </w:p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22">
    <w:nsid w:val="5ED43AE5"/>
    <w:multiLevelType w:val="hybridMultilevel"/>
    <w:tmpl w:val="4644EF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627206DB"/>
    <w:multiLevelType w:val="hybridMultilevel"/>
    <w:tmpl w:val="91D2B31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2941B3D"/>
    <w:multiLevelType w:val="hybridMultilevel"/>
    <w:tmpl w:val="37B688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85251B5"/>
    <w:multiLevelType w:val="hybridMultilevel"/>
    <w:tmpl w:val="B4D4AD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D2273D1"/>
    <w:multiLevelType w:val="hybridMultilevel"/>
    <w:tmpl w:val="B80E62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71686E56"/>
    <w:multiLevelType w:val="hybridMultilevel"/>
    <w:tmpl w:val="21AE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A55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27"/>
  </w:num>
  <w:num w:numId="4">
    <w:abstractNumId w:val="4"/>
  </w:num>
  <w:num w:numId="5">
    <w:abstractNumId w:val="0"/>
  </w:num>
  <w:num w:numId="6">
    <w:abstractNumId w:val="1"/>
  </w:num>
  <w:num w:numId="7">
    <w:abstractNumId w:val="26"/>
  </w:num>
  <w:num w:numId="8">
    <w:abstractNumId w:val="8"/>
  </w:num>
  <w:num w:numId="9">
    <w:abstractNumId w:val="14"/>
  </w:num>
  <w:num w:numId="10">
    <w:abstractNumId w:val="29"/>
  </w:num>
  <w:num w:numId="11">
    <w:abstractNumId w:val="30"/>
  </w:num>
  <w:num w:numId="12">
    <w:abstractNumId w:val="2"/>
  </w:num>
  <w:num w:numId="13">
    <w:abstractNumId w:val="7"/>
  </w:num>
  <w:num w:numId="14">
    <w:abstractNumId w:val="12"/>
  </w:num>
  <w:num w:numId="15">
    <w:abstractNumId w:val="19"/>
  </w:num>
  <w:num w:numId="16">
    <w:abstractNumId w:val="21"/>
  </w:num>
  <w:num w:numId="17">
    <w:abstractNumId w:val="13"/>
  </w:num>
  <w:num w:numId="18">
    <w:abstractNumId w:val="18"/>
  </w:num>
  <w:num w:numId="19">
    <w:abstractNumId w:val="20"/>
  </w:num>
  <w:num w:numId="20">
    <w:abstractNumId w:val="9"/>
  </w:num>
  <w:num w:numId="21">
    <w:abstractNumId w:val="3"/>
  </w:num>
  <w:num w:numId="22">
    <w:abstractNumId w:val="5"/>
  </w:num>
  <w:num w:numId="23">
    <w:abstractNumId w:val="15"/>
  </w:num>
  <w:num w:numId="24">
    <w:abstractNumId w:val="11"/>
  </w:num>
  <w:num w:numId="25">
    <w:abstractNumId w:val="28"/>
  </w:num>
  <w:num w:numId="26">
    <w:abstractNumId w:val="25"/>
  </w:num>
  <w:num w:numId="27">
    <w:abstractNumId w:val="16"/>
  </w:num>
  <w:num w:numId="28">
    <w:abstractNumId w:val="23"/>
  </w:num>
  <w:num w:numId="29">
    <w:abstractNumId w:val="22"/>
  </w:num>
  <w:num w:numId="30">
    <w:abstractNumId w:val="24"/>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B5"/>
    <w:rsid w:val="000036C0"/>
    <w:rsid w:val="00005442"/>
    <w:rsid w:val="0000588E"/>
    <w:rsid w:val="00006E42"/>
    <w:rsid w:val="00007F7F"/>
    <w:rsid w:val="000123FE"/>
    <w:rsid w:val="00015029"/>
    <w:rsid w:val="0001508F"/>
    <w:rsid w:val="00022DB5"/>
    <w:rsid w:val="000305B7"/>
    <w:rsid w:val="00031C86"/>
    <w:rsid w:val="000379F6"/>
    <w:rsid w:val="000403D1"/>
    <w:rsid w:val="000426C4"/>
    <w:rsid w:val="00043819"/>
    <w:rsid w:val="000449AA"/>
    <w:rsid w:val="000504F4"/>
    <w:rsid w:val="00050F6B"/>
    <w:rsid w:val="00051C79"/>
    <w:rsid w:val="00054323"/>
    <w:rsid w:val="00054D39"/>
    <w:rsid w:val="00056848"/>
    <w:rsid w:val="00062138"/>
    <w:rsid w:val="0006267F"/>
    <w:rsid w:val="00064515"/>
    <w:rsid w:val="0006484E"/>
    <w:rsid w:val="00066F05"/>
    <w:rsid w:val="00072C8C"/>
    <w:rsid w:val="00073E70"/>
    <w:rsid w:val="00075E63"/>
    <w:rsid w:val="00076AC6"/>
    <w:rsid w:val="00076C20"/>
    <w:rsid w:val="0008111D"/>
    <w:rsid w:val="000861EC"/>
    <w:rsid w:val="000876EB"/>
    <w:rsid w:val="00090BE7"/>
    <w:rsid w:val="00091419"/>
    <w:rsid w:val="000931C0"/>
    <w:rsid w:val="00094384"/>
    <w:rsid w:val="000945CC"/>
    <w:rsid w:val="0009558C"/>
    <w:rsid w:val="00096654"/>
    <w:rsid w:val="000A0AE6"/>
    <w:rsid w:val="000A185C"/>
    <w:rsid w:val="000B175B"/>
    <w:rsid w:val="000B3499"/>
    <w:rsid w:val="000B3A0F"/>
    <w:rsid w:val="000B4A3B"/>
    <w:rsid w:val="000B6311"/>
    <w:rsid w:val="000B6F07"/>
    <w:rsid w:val="000C13AC"/>
    <w:rsid w:val="000C674E"/>
    <w:rsid w:val="000D04FD"/>
    <w:rsid w:val="000D1851"/>
    <w:rsid w:val="000D3210"/>
    <w:rsid w:val="000D5B5C"/>
    <w:rsid w:val="000E02A5"/>
    <w:rsid w:val="000E0415"/>
    <w:rsid w:val="000E09EA"/>
    <w:rsid w:val="000E12D9"/>
    <w:rsid w:val="000E1F99"/>
    <w:rsid w:val="000E5183"/>
    <w:rsid w:val="000E5258"/>
    <w:rsid w:val="000F00EE"/>
    <w:rsid w:val="000F0918"/>
    <w:rsid w:val="000F1163"/>
    <w:rsid w:val="000F7FEA"/>
    <w:rsid w:val="00112900"/>
    <w:rsid w:val="0011326A"/>
    <w:rsid w:val="00113541"/>
    <w:rsid w:val="00114F2D"/>
    <w:rsid w:val="001164EE"/>
    <w:rsid w:val="00116FAE"/>
    <w:rsid w:val="0011782C"/>
    <w:rsid w:val="001255F6"/>
    <w:rsid w:val="0013012F"/>
    <w:rsid w:val="0013300F"/>
    <w:rsid w:val="001338F4"/>
    <w:rsid w:val="00136A15"/>
    <w:rsid w:val="00137EB1"/>
    <w:rsid w:val="0014160D"/>
    <w:rsid w:val="00141CBF"/>
    <w:rsid w:val="001425F7"/>
    <w:rsid w:val="00144397"/>
    <w:rsid w:val="00146CB9"/>
    <w:rsid w:val="00146D32"/>
    <w:rsid w:val="00147AD2"/>
    <w:rsid w:val="0015062D"/>
    <w:rsid w:val="001509BA"/>
    <w:rsid w:val="00154058"/>
    <w:rsid w:val="00173AE9"/>
    <w:rsid w:val="001765FF"/>
    <w:rsid w:val="0017706C"/>
    <w:rsid w:val="00181F6C"/>
    <w:rsid w:val="00182247"/>
    <w:rsid w:val="00182D5E"/>
    <w:rsid w:val="00187254"/>
    <w:rsid w:val="001A0CEC"/>
    <w:rsid w:val="001A4F20"/>
    <w:rsid w:val="001B0FFF"/>
    <w:rsid w:val="001B2184"/>
    <w:rsid w:val="001B3A75"/>
    <w:rsid w:val="001B4494"/>
    <w:rsid w:val="001B4B04"/>
    <w:rsid w:val="001B679C"/>
    <w:rsid w:val="001B6A50"/>
    <w:rsid w:val="001B6C16"/>
    <w:rsid w:val="001C2B0B"/>
    <w:rsid w:val="001C3FD2"/>
    <w:rsid w:val="001C4273"/>
    <w:rsid w:val="001C6488"/>
    <w:rsid w:val="001C6663"/>
    <w:rsid w:val="001C7895"/>
    <w:rsid w:val="001D07FE"/>
    <w:rsid w:val="001D26DF"/>
    <w:rsid w:val="001D7199"/>
    <w:rsid w:val="001D7583"/>
    <w:rsid w:val="001E2790"/>
    <w:rsid w:val="001E5DE8"/>
    <w:rsid w:val="001E615F"/>
    <w:rsid w:val="001E623F"/>
    <w:rsid w:val="001E7B12"/>
    <w:rsid w:val="001E7CFA"/>
    <w:rsid w:val="001F20AC"/>
    <w:rsid w:val="001F217F"/>
    <w:rsid w:val="002016A9"/>
    <w:rsid w:val="00211E0B"/>
    <w:rsid w:val="00211E72"/>
    <w:rsid w:val="00214047"/>
    <w:rsid w:val="002147C2"/>
    <w:rsid w:val="00217696"/>
    <w:rsid w:val="002200CA"/>
    <w:rsid w:val="0022130F"/>
    <w:rsid w:val="00223B2F"/>
    <w:rsid w:val="00224D3A"/>
    <w:rsid w:val="0022606F"/>
    <w:rsid w:val="00226A70"/>
    <w:rsid w:val="002307D2"/>
    <w:rsid w:val="00231873"/>
    <w:rsid w:val="0023409D"/>
    <w:rsid w:val="00235BA5"/>
    <w:rsid w:val="00235EDF"/>
    <w:rsid w:val="00235FBE"/>
    <w:rsid w:val="002362E6"/>
    <w:rsid w:val="00237785"/>
    <w:rsid w:val="002410DD"/>
    <w:rsid w:val="00241466"/>
    <w:rsid w:val="002440FF"/>
    <w:rsid w:val="00247915"/>
    <w:rsid w:val="00253D58"/>
    <w:rsid w:val="00254D85"/>
    <w:rsid w:val="0025618D"/>
    <w:rsid w:val="00260773"/>
    <w:rsid w:val="002607DD"/>
    <w:rsid w:val="00265093"/>
    <w:rsid w:val="002707C1"/>
    <w:rsid w:val="00273AEE"/>
    <w:rsid w:val="00275FAC"/>
    <w:rsid w:val="0027725F"/>
    <w:rsid w:val="00277872"/>
    <w:rsid w:val="00283E23"/>
    <w:rsid w:val="00285C58"/>
    <w:rsid w:val="00287F57"/>
    <w:rsid w:val="0029393A"/>
    <w:rsid w:val="00294F2E"/>
    <w:rsid w:val="002967E4"/>
    <w:rsid w:val="00296865"/>
    <w:rsid w:val="00296F0A"/>
    <w:rsid w:val="002B032E"/>
    <w:rsid w:val="002B0CBF"/>
    <w:rsid w:val="002B5169"/>
    <w:rsid w:val="002C003F"/>
    <w:rsid w:val="002C0BF1"/>
    <w:rsid w:val="002C21F0"/>
    <w:rsid w:val="002C4D51"/>
    <w:rsid w:val="002C4DE3"/>
    <w:rsid w:val="002C6425"/>
    <w:rsid w:val="002D037E"/>
    <w:rsid w:val="002D194E"/>
    <w:rsid w:val="002D7D00"/>
    <w:rsid w:val="002E3DC2"/>
    <w:rsid w:val="002E598F"/>
    <w:rsid w:val="002F429A"/>
    <w:rsid w:val="002F472A"/>
    <w:rsid w:val="002F6CC5"/>
    <w:rsid w:val="002F7EDE"/>
    <w:rsid w:val="00302F83"/>
    <w:rsid w:val="00303A7A"/>
    <w:rsid w:val="00303B46"/>
    <w:rsid w:val="003079D4"/>
    <w:rsid w:val="003102AC"/>
    <w:rsid w:val="003107FA"/>
    <w:rsid w:val="00310903"/>
    <w:rsid w:val="00317977"/>
    <w:rsid w:val="0032222A"/>
    <w:rsid w:val="003229D8"/>
    <w:rsid w:val="00325101"/>
    <w:rsid w:val="0033012D"/>
    <w:rsid w:val="003314D1"/>
    <w:rsid w:val="003320D2"/>
    <w:rsid w:val="00335A2F"/>
    <w:rsid w:val="00341937"/>
    <w:rsid w:val="00345C64"/>
    <w:rsid w:val="003465C3"/>
    <w:rsid w:val="00347EE6"/>
    <w:rsid w:val="00353439"/>
    <w:rsid w:val="00354E1B"/>
    <w:rsid w:val="00355CFE"/>
    <w:rsid w:val="003576BF"/>
    <w:rsid w:val="00360C6D"/>
    <w:rsid w:val="00363931"/>
    <w:rsid w:val="00375A7A"/>
    <w:rsid w:val="00376350"/>
    <w:rsid w:val="003815EE"/>
    <w:rsid w:val="00382B92"/>
    <w:rsid w:val="003844E5"/>
    <w:rsid w:val="0039277A"/>
    <w:rsid w:val="00394AE8"/>
    <w:rsid w:val="00395ED8"/>
    <w:rsid w:val="003972E0"/>
    <w:rsid w:val="003975ED"/>
    <w:rsid w:val="00397730"/>
    <w:rsid w:val="003A0B69"/>
    <w:rsid w:val="003A10DF"/>
    <w:rsid w:val="003A3FC9"/>
    <w:rsid w:val="003B1918"/>
    <w:rsid w:val="003B3E36"/>
    <w:rsid w:val="003B44AA"/>
    <w:rsid w:val="003B5CB4"/>
    <w:rsid w:val="003B6B21"/>
    <w:rsid w:val="003B6F04"/>
    <w:rsid w:val="003C0088"/>
    <w:rsid w:val="003C2033"/>
    <w:rsid w:val="003C2CC4"/>
    <w:rsid w:val="003D33C8"/>
    <w:rsid w:val="003D4B23"/>
    <w:rsid w:val="003D4DFF"/>
    <w:rsid w:val="003D6B06"/>
    <w:rsid w:val="003E28B2"/>
    <w:rsid w:val="003E4303"/>
    <w:rsid w:val="003E4D37"/>
    <w:rsid w:val="003E644D"/>
    <w:rsid w:val="003F283D"/>
    <w:rsid w:val="003F5A9F"/>
    <w:rsid w:val="003F62F1"/>
    <w:rsid w:val="0040355B"/>
    <w:rsid w:val="004100E7"/>
    <w:rsid w:val="00410BF9"/>
    <w:rsid w:val="00413199"/>
    <w:rsid w:val="004160B5"/>
    <w:rsid w:val="00416953"/>
    <w:rsid w:val="0042172D"/>
    <w:rsid w:val="0042355A"/>
    <w:rsid w:val="004235ED"/>
    <w:rsid w:val="00424C80"/>
    <w:rsid w:val="00430266"/>
    <w:rsid w:val="004323C8"/>
    <w:rsid w:val="004325CB"/>
    <w:rsid w:val="004374C7"/>
    <w:rsid w:val="00442F64"/>
    <w:rsid w:val="0044345E"/>
    <w:rsid w:val="00444E11"/>
    <w:rsid w:val="0044503A"/>
    <w:rsid w:val="00446DE4"/>
    <w:rsid w:val="004476D1"/>
    <w:rsid w:val="00447761"/>
    <w:rsid w:val="004506CF"/>
    <w:rsid w:val="00450AD6"/>
    <w:rsid w:val="0045164A"/>
    <w:rsid w:val="00451EC3"/>
    <w:rsid w:val="00454BBA"/>
    <w:rsid w:val="004552F1"/>
    <w:rsid w:val="00462556"/>
    <w:rsid w:val="004716AB"/>
    <w:rsid w:val="004719B7"/>
    <w:rsid w:val="004721B1"/>
    <w:rsid w:val="00475F7A"/>
    <w:rsid w:val="00480F65"/>
    <w:rsid w:val="0048528F"/>
    <w:rsid w:val="004859EC"/>
    <w:rsid w:val="00485E8E"/>
    <w:rsid w:val="0049047F"/>
    <w:rsid w:val="004923E7"/>
    <w:rsid w:val="00494635"/>
    <w:rsid w:val="00495556"/>
    <w:rsid w:val="00496996"/>
    <w:rsid w:val="00496A15"/>
    <w:rsid w:val="004978D0"/>
    <w:rsid w:val="00497B6A"/>
    <w:rsid w:val="00497E0F"/>
    <w:rsid w:val="004A25C5"/>
    <w:rsid w:val="004A527A"/>
    <w:rsid w:val="004A6C64"/>
    <w:rsid w:val="004B3FF3"/>
    <w:rsid w:val="004B5506"/>
    <w:rsid w:val="004B6A62"/>
    <w:rsid w:val="004B75D2"/>
    <w:rsid w:val="004C00B0"/>
    <w:rsid w:val="004C0265"/>
    <w:rsid w:val="004C138F"/>
    <w:rsid w:val="004C6C40"/>
    <w:rsid w:val="004D04F4"/>
    <w:rsid w:val="004D0FD4"/>
    <w:rsid w:val="004D1140"/>
    <w:rsid w:val="004D11A3"/>
    <w:rsid w:val="004D2ABE"/>
    <w:rsid w:val="004D2E7D"/>
    <w:rsid w:val="004D3464"/>
    <w:rsid w:val="004D386A"/>
    <w:rsid w:val="004E03D3"/>
    <w:rsid w:val="004E4294"/>
    <w:rsid w:val="004E4C11"/>
    <w:rsid w:val="004F55ED"/>
    <w:rsid w:val="004F6BFB"/>
    <w:rsid w:val="00510DA6"/>
    <w:rsid w:val="00520270"/>
    <w:rsid w:val="0052176C"/>
    <w:rsid w:val="00521C6C"/>
    <w:rsid w:val="005220AA"/>
    <w:rsid w:val="00522A28"/>
    <w:rsid w:val="005261E5"/>
    <w:rsid w:val="00532341"/>
    <w:rsid w:val="005331FB"/>
    <w:rsid w:val="0053422B"/>
    <w:rsid w:val="00534AC3"/>
    <w:rsid w:val="00541794"/>
    <w:rsid w:val="005420F2"/>
    <w:rsid w:val="00542574"/>
    <w:rsid w:val="005429BD"/>
    <w:rsid w:val="005436AB"/>
    <w:rsid w:val="00543BF3"/>
    <w:rsid w:val="00544E6F"/>
    <w:rsid w:val="00545C16"/>
    <w:rsid w:val="00546DBF"/>
    <w:rsid w:val="00547C0A"/>
    <w:rsid w:val="005520B1"/>
    <w:rsid w:val="00552F20"/>
    <w:rsid w:val="00553D76"/>
    <w:rsid w:val="00554D61"/>
    <w:rsid w:val="005552B5"/>
    <w:rsid w:val="00560F00"/>
    <w:rsid w:val="0056117B"/>
    <w:rsid w:val="00563148"/>
    <w:rsid w:val="00563698"/>
    <w:rsid w:val="00564A78"/>
    <w:rsid w:val="00571365"/>
    <w:rsid w:val="00571F53"/>
    <w:rsid w:val="0057529B"/>
    <w:rsid w:val="005774B8"/>
    <w:rsid w:val="00581B6E"/>
    <w:rsid w:val="00583042"/>
    <w:rsid w:val="00583889"/>
    <w:rsid w:val="005847CB"/>
    <w:rsid w:val="00587B9E"/>
    <w:rsid w:val="00596A2E"/>
    <w:rsid w:val="0059703E"/>
    <w:rsid w:val="005A1311"/>
    <w:rsid w:val="005A4A9C"/>
    <w:rsid w:val="005A506F"/>
    <w:rsid w:val="005B0257"/>
    <w:rsid w:val="005B0641"/>
    <w:rsid w:val="005B227F"/>
    <w:rsid w:val="005B3DB3"/>
    <w:rsid w:val="005B6E48"/>
    <w:rsid w:val="005C04CC"/>
    <w:rsid w:val="005C266D"/>
    <w:rsid w:val="005C64D9"/>
    <w:rsid w:val="005D6428"/>
    <w:rsid w:val="005D72DC"/>
    <w:rsid w:val="005E1712"/>
    <w:rsid w:val="005E59BA"/>
    <w:rsid w:val="005E68FD"/>
    <w:rsid w:val="005E6D2C"/>
    <w:rsid w:val="0060277D"/>
    <w:rsid w:val="00604AF5"/>
    <w:rsid w:val="006070D1"/>
    <w:rsid w:val="00611E79"/>
    <w:rsid w:val="00611FC4"/>
    <w:rsid w:val="006155E8"/>
    <w:rsid w:val="00616534"/>
    <w:rsid w:val="00616DCF"/>
    <w:rsid w:val="006176FB"/>
    <w:rsid w:val="00620F7A"/>
    <w:rsid w:val="00622920"/>
    <w:rsid w:val="00624065"/>
    <w:rsid w:val="0062521C"/>
    <w:rsid w:val="006257F9"/>
    <w:rsid w:val="00627646"/>
    <w:rsid w:val="00627E86"/>
    <w:rsid w:val="00631E7A"/>
    <w:rsid w:val="00632A5D"/>
    <w:rsid w:val="00632D06"/>
    <w:rsid w:val="00634B54"/>
    <w:rsid w:val="00635F2E"/>
    <w:rsid w:val="00640B26"/>
    <w:rsid w:val="0064317D"/>
    <w:rsid w:val="006458E8"/>
    <w:rsid w:val="00646973"/>
    <w:rsid w:val="00647A45"/>
    <w:rsid w:val="00651075"/>
    <w:rsid w:val="00651ECD"/>
    <w:rsid w:val="006540C5"/>
    <w:rsid w:val="00657453"/>
    <w:rsid w:val="00661AD9"/>
    <w:rsid w:val="0066572E"/>
    <w:rsid w:val="00670741"/>
    <w:rsid w:val="00674A2C"/>
    <w:rsid w:val="006809F1"/>
    <w:rsid w:val="0068311E"/>
    <w:rsid w:val="00685AC3"/>
    <w:rsid w:val="00685C69"/>
    <w:rsid w:val="00696BD6"/>
    <w:rsid w:val="006A3C47"/>
    <w:rsid w:val="006A4AE8"/>
    <w:rsid w:val="006A6545"/>
    <w:rsid w:val="006A6B9D"/>
    <w:rsid w:val="006A7287"/>
    <w:rsid w:val="006A7392"/>
    <w:rsid w:val="006B3189"/>
    <w:rsid w:val="006B3218"/>
    <w:rsid w:val="006B5EAD"/>
    <w:rsid w:val="006B7D65"/>
    <w:rsid w:val="006C1A3F"/>
    <w:rsid w:val="006C511A"/>
    <w:rsid w:val="006C53D5"/>
    <w:rsid w:val="006C5D95"/>
    <w:rsid w:val="006C7977"/>
    <w:rsid w:val="006D05D2"/>
    <w:rsid w:val="006D36A7"/>
    <w:rsid w:val="006D42A1"/>
    <w:rsid w:val="006D48E8"/>
    <w:rsid w:val="006D5121"/>
    <w:rsid w:val="006D52A2"/>
    <w:rsid w:val="006D687E"/>
    <w:rsid w:val="006D6DA6"/>
    <w:rsid w:val="006D7C76"/>
    <w:rsid w:val="006E3C38"/>
    <w:rsid w:val="006E564B"/>
    <w:rsid w:val="006E642B"/>
    <w:rsid w:val="006E7EB0"/>
    <w:rsid w:val="006F13F0"/>
    <w:rsid w:val="006F3739"/>
    <w:rsid w:val="006F421D"/>
    <w:rsid w:val="006F5035"/>
    <w:rsid w:val="006F726D"/>
    <w:rsid w:val="00703ECC"/>
    <w:rsid w:val="007045D7"/>
    <w:rsid w:val="00705E9A"/>
    <w:rsid w:val="007065EB"/>
    <w:rsid w:val="007067BC"/>
    <w:rsid w:val="007147F4"/>
    <w:rsid w:val="0071562D"/>
    <w:rsid w:val="00717939"/>
    <w:rsid w:val="00720183"/>
    <w:rsid w:val="00720630"/>
    <w:rsid w:val="00723CC9"/>
    <w:rsid w:val="007257C4"/>
    <w:rsid w:val="00725A3B"/>
    <w:rsid w:val="00725C88"/>
    <w:rsid w:val="0072619D"/>
    <w:rsid w:val="0072632A"/>
    <w:rsid w:val="00726FA9"/>
    <w:rsid w:val="007338CD"/>
    <w:rsid w:val="00733BBB"/>
    <w:rsid w:val="00734DA5"/>
    <w:rsid w:val="00735ED5"/>
    <w:rsid w:val="00740E04"/>
    <w:rsid w:val="0074200B"/>
    <w:rsid w:val="00752A75"/>
    <w:rsid w:val="007651AF"/>
    <w:rsid w:val="007654B0"/>
    <w:rsid w:val="00766032"/>
    <w:rsid w:val="00766AB8"/>
    <w:rsid w:val="00770510"/>
    <w:rsid w:val="00772115"/>
    <w:rsid w:val="0077378D"/>
    <w:rsid w:val="0077378E"/>
    <w:rsid w:val="00774AF2"/>
    <w:rsid w:val="0077533B"/>
    <w:rsid w:val="00792B49"/>
    <w:rsid w:val="007956B2"/>
    <w:rsid w:val="00797FA2"/>
    <w:rsid w:val="007A0569"/>
    <w:rsid w:val="007A115F"/>
    <w:rsid w:val="007A2BF7"/>
    <w:rsid w:val="007A6296"/>
    <w:rsid w:val="007B0542"/>
    <w:rsid w:val="007B27B5"/>
    <w:rsid w:val="007B6BA5"/>
    <w:rsid w:val="007C080A"/>
    <w:rsid w:val="007C1B62"/>
    <w:rsid w:val="007C3390"/>
    <w:rsid w:val="007C4F4B"/>
    <w:rsid w:val="007C5EEA"/>
    <w:rsid w:val="007D2CDC"/>
    <w:rsid w:val="007D5327"/>
    <w:rsid w:val="007D714A"/>
    <w:rsid w:val="007E1F71"/>
    <w:rsid w:val="007E646F"/>
    <w:rsid w:val="007E7DCC"/>
    <w:rsid w:val="007F0EB3"/>
    <w:rsid w:val="007F5316"/>
    <w:rsid w:val="007F6611"/>
    <w:rsid w:val="00801338"/>
    <w:rsid w:val="008046ED"/>
    <w:rsid w:val="00804754"/>
    <w:rsid w:val="0080508D"/>
    <w:rsid w:val="00810079"/>
    <w:rsid w:val="00811277"/>
    <w:rsid w:val="00811CBA"/>
    <w:rsid w:val="00812772"/>
    <w:rsid w:val="008155C3"/>
    <w:rsid w:val="008175E9"/>
    <w:rsid w:val="008179E7"/>
    <w:rsid w:val="0082243E"/>
    <w:rsid w:val="008242D7"/>
    <w:rsid w:val="00825627"/>
    <w:rsid w:val="00825DEF"/>
    <w:rsid w:val="00831A79"/>
    <w:rsid w:val="00832BA2"/>
    <w:rsid w:val="008336C4"/>
    <w:rsid w:val="008427CA"/>
    <w:rsid w:val="008438AA"/>
    <w:rsid w:val="00846075"/>
    <w:rsid w:val="00856CD2"/>
    <w:rsid w:val="00860769"/>
    <w:rsid w:val="00861BC6"/>
    <w:rsid w:val="0086244C"/>
    <w:rsid w:val="008635B3"/>
    <w:rsid w:val="008636E3"/>
    <w:rsid w:val="00864114"/>
    <w:rsid w:val="008641BE"/>
    <w:rsid w:val="00864840"/>
    <w:rsid w:val="00867E3A"/>
    <w:rsid w:val="00870620"/>
    <w:rsid w:val="00871FD5"/>
    <w:rsid w:val="00875AEA"/>
    <w:rsid w:val="0088466E"/>
    <w:rsid w:val="00884BC3"/>
    <w:rsid w:val="00884F3F"/>
    <w:rsid w:val="00885720"/>
    <w:rsid w:val="008871B1"/>
    <w:rsid w:val="00887727"/>
    <w:rsid w:val="00890F24"/>
    <w:rsid w:val="00891386"/>
    <w:rsid w:val="00893B8B"/>
    <w:rsid w:val="00894059"/>
    <w:rsid w:val="0089583A"/>
    <w:rsid w:val="008979B1"/>
    <w:rsid w:val="008A0FEA"/>
    <w:rsid w:val="008A158F"/>
    <w:rsid w:val="008A4D37"/>
    <w:rsid w:val="008A6B25"/>
    <w:rsid w:val="008A6C4F"/>
    <w:rsid w:val="008B224B"/>
    <w:rsid w:val="008B597D"/>
    <w:rsid w:val="008B61E2"/>
    <w:rsid w:val="008C034E"/>
    <w:rsid w:val="008C044C"/>
    <w:rsid w:val="008C1E4D"/>
    <w:rsid w:val="008C201A"/>
    <w:rsid w:val="008C6106"/>
    <w:rsid w:val="008C7CF8"/>
    <w:rsid w:val="008D159D"/>
    <w:rsid w:val="008D1FA3"/>
    <w:rsid w:val="008D27F7"/>
    <w:rsid w:val="008D44E7"/>
    <w:rsid w:val="008D5D3D"/>
    <w:rsid w:val="008E0E46"/>
    <w:rsid w:val="008E42AF"/>
    <w:rsid w:val="008E4C84"/>
    <w:rsid w:val="008F07B0"/>
    <w:rsid w:val="008F116D"/>
    <w:rsid w:val="008F1F27"/>
    <w:rsid w:val="0090046A"/>
    <w:rsid w:val="00902559"/>
    <w:rsid w:val="009028B7"/>
    <w:rsid w:val="0090452C"/>
    <w:rsid w:val="00906A6B"/>
    <w:rsid w:val="00907C3F"/>
    <w:rsid w:val="00915043"/>
    <w:rsid w:val="0091586E"/>
    <w:rsid w:val="0092237C"/>
    <w:rsid w:val="00926A51"/>
    <w:rsid w:val="0092723A"/>
    <w:rsid w:val="00927F0F"/>
    <w:rsid w:val="009325B2"/>
    <w:rsid w:val="00934063"/>
    <w:rsid w:val="00935987"/>
    <w:rsid w:val="00935A35"/>
    <w:rsid w:val="0093707B"/>
    <w:rsid w:val="009400EB"/>
    <w:rsid w:val="00940DB2"/>
    <w:rsid w:val="009415B8"/>
    <w:rsid w:val="009427E3"/>
    <w:rsid w:val="00947BC9"/>
    <w:rsid w:val="00951C2E"/>
    <w:rsid w:val="00952A1F"/>
    <w:rsid w:val="0095381E"/>
    <w:rsid w:val="0095624C"/>
    <w:rsid w:val="00956D9B"/>
    <w:rsid w:val="00957540"/>
    <w:rsid w:val="00963CBA"/>
    <w:rsid w:val="009654B7"/>
    <w:rsid w:val="00967273"/>
    <w:rsid w:val="00972316"/>
    <w:rsid w:val="009724C9"/>
    <w:rsid w:val="0097320E"/>
    <w:rsid w:val="00985CC8"/>
    <w:rsid w:val="00991261"/>
    <w:rsid w:val="0099540B"/>
    <w:rsid w:val="009A0B83"/>
    <w:rsid w:val="009A14FE"/>
    <w:rsid w:val="009A19D9"/>
    <w:rsid w:val="009A249D"/>
    <w:rsid w:val="009A2C09"/>
    <w:rsid w:val="009A384B"/>
    <w:rsid w:val="009A7B45"/>
    <w:rsid w:val="009B3800"/>
    <w:rsid w:val="009C3197"/>
    <w:rsid w:val="009C4986"/>
    <w:rsid w:val="009C5CA4"/>
    <w:rsid w:val="009C6564"/>
    <w:rsid w:val="009C7A04"/>
    <w:rsid w:val="009D22AC"/>
    <w:rsid w:val="009D3AA9"/>
    <w:rsid w:val="009D4BCC"/>
    <w:rsid w:val="009D50DB"/>
    <w:rsid w:val="009D51BC"/>
    <w:rsid w:val="009D7822"/>
    <w:rsid w:val="009E1C4E"/>
    <w:rsid w:val="009E49D1"/>
    <w:rsid w:val="009E7093"/>
    <w:rsid w:val="009F27A3"/>
    <w:rsid w:val="009F3D24"/>
    <w:rsid w:val="00A03A07"/>
    <w:rsid w:val="00A0463B"/>
    <w:rsid w:val="00A05E0B"/>
    <w:rsid w:val="00A11D0A"/>
    <w:rsid w:val="00A1427D"/>
    <w:rsid w:val="00A15462"/>
    <w:rsid w:val="00A15892"/>
    <w:rsid w:val="00A173D5"/>
    <w:rsid w:val="00A226D1"/>
    <w:rsid w:val="00A252B2"/>
    <w:rsid w:val="00A30B12"/>
    <w:rsid w:val="00A31608"/>
    <w:rsid w:val="00A327F6"/>
    <w:rsid w:val="00A3359A"/>
    <w:rsid w:val="00A37535"/>
    <w:rsid w:val="00A424F9"/>
    <w:rsid w:val="00A42B68"/>
    <w:rsid w:val="00A4634F"/>
    <w:rsid w:val="00A51CF3"/>
    <w:rsid w:val="00A531A1"/>
    <w:rsid w:val="00A5431E"/>
    <w:rsid w:val="00A615EB"/>
    <w:rsid w:val="00A62D78"/>
    <w:rsid w:val="00A66130"/>
    <w:rsid w:val="00A70A08"/>
    <w:rsid w:val="00A70E06"/>
    <w:rsid w:val="00A72F22"/>
    <w:rsid w:val="00A748A6"/>
    <w:rsid w:val="00A77B04"/>
    <w:rsid w:val="00A83E0F"/>
    <w:rsid w:val="00A86DA2"/>
    <w:rsid w:val="00A879A4"/>
    <w:rsid w:val="00A87E95"/>
    <w:rsid w:val="00A902EC"/>
    <w:rsid w:val="00A92E29"/>
    <w:rsid w:val="00A967A1"/>
    <w:rsid w:val="00A96909"/>
    <w:rsid w:val="00A96E36"/>
    <w:rsid w:val="00AA10FD"/>
    <w:rsid w:val="00AA3FE0"/>
    <w:rsid w:val="00AA49FE"/>
    <w:rsid w:val="00AA5346"/>
    <w:rsid w:val="00AB49C5"/>
    <w:rsid w:val="00AB4C20"/>
    <w:rsid w:val="00AB51EA"/>
    <w:rsid w:val="00AB69AA"/>
    <w:rsid w:val="00AB7861"/>
    <w:rsid w:val="00AC0AE5"/>
    <w:rsid w:val="00AC11D4"/>
    <w:rsid w:val="00AC4690"/>
    <w:rsid w:val="00AC46ED"/>
    <w:rsid w:val="00AC5C72"/>
    <w:rsid w:val="00AD09E9"/>
    <w:rsid w:val="00AD40C2"/>
    <w:rsid w:val="00AD41DE"/>
    <w:rsid w:val="00AD546B"/>
    <w:rsid w:val="00AE0DB1"/>
    <w:rsid w:val="00AE135F"/>
    <w:rsid w:val="00AE3D5A"/>
    <w:rsid w:val="00AE7CD7"/>
    <w:rsid w:val="00AF0576"/>
    <w:rsid w:val="00AF3829"/>
    <w:rsid w:val="00AF5F3E"/>
    <w:rsid w:val="00AF73E7"/>
    <w:rsid w:val="00AF777F"/>
    <w:rsid w:val="00B00C66"/>
    <w:rsid w:val="00B02DA7"/>
    <w:rsid w:val="00B037F0"/>
    <w:rsid w:val="00B07B75"/>
    <w:rsid w:val="00B07DF9"/>
    <w:rsid w:val="00B11136"/>
    <w:rsid w:val="00B11CFD"/>
    <w:rsid w:val="00B12410"/>
    <w:rsid w:val="00B13466"/>
    <w:rsid w:val="00B14A74"/>
    <w:rsid w:val="00B17E6C"/>
    <w:rsid w:val="00B215C9"/>
    <w:rsid w:val="00B2327D"/>
    <w:rsid w:val="00B24AD9"/>
    <w:rsid w:val="00B24CE8"/>
    <w:rsid w:val="00B25204"/>
    <w:rsid w:val="00B253D8"/>
    <w:rsid w:val="00B2718F"/>
    <w:rsid w:val="00B27B0F"/>
    <w:rsid w:val="00B30179"/>
    <w:rsid w:val="00B31551"/>
    <w:rsid w:val="00B3317B"/>
    <w:rsid w:val="00B334DC"/>
    <w:rsid w:val="00B3631A"/>
    <w:rsid w:val="00B44168"/>
    <w:rsid w:val="00B442E3"/>
    <w:rsid w:val="00B476AB"/>
    <w:rsid w:val="00B53013"/>
    <w:rsid w:val="00B56508"/>
    <w:rsid w:val="00B57087"/>
    <w:rsid w:val="00B63C8C"/>
    <w:rsid w:val="00B67F5E"/>
    <w:rsid w:val="00B73E65"/>
    <w:rsid w:val="00B74268"/>
    <w:rsid w:val="00B80E19"/>
    <w:rsid w:val="00B81E12"/>
    <w:rsid w:val="00B8266A"/>
    <w:rsid w:val="00B87110"/>
    <w:rsid w:val="00B8745F"/>
    <w:rsid w:val="00B9174F"/>
    <w:rsid w:val="00B97FA8"/>
    <w:rsid w:val="00BA68B8"/>
    <w:rsid w:val="00BA6B1C"/>
    <w:rsid w:val="00BA732F"/>
    <w:rsid w:val="00BB1FD6"/>
    <w:rsid w:val="00BC05F4"/>
    <w:rsid w:val="00BC1385"/>
    <w:rsid w:val="00BC1C78"/>
    <w:rsid w:val="00BC3BFD"/>
    <w:rsid w:val="00BC425F"/>
    <w:rsid w:val="00BC4EAD"/>
    <w:rsid w:val="00BC641E"/>
    <w:rsid w:val="00BC6ADA"/>
    <w:rsid w:val="00BC74E9"/>
    <w:rsid w:val="00BD491C"/>
    <w:rsid w:val="00BD710C"/>
    <w:rsid w:val="00BE152A"/>
    <w:rsid w:val="00BE398C"/>
    <w:rsid w:val="00BE618E"/>
    <w:rsid w:val="00BF02B7"/>
    <w:rsid w:val="00BF1614"/>
    <w:rsid w:val="00BF4237"/>
    <w:rsid w:val="00BF4A40"/>
    <w:rsid w:val="00C07932"/>
    <w:rsid w:val="00C112C0"/>
    <w:rsid w:val="00C144D5"/>
    <w:rsid w:val="00C170E1"/>
    <w:rsid w:val="00C17626"/>
    <w:rsid w:val="00C21367"/>
    <w:rsid w:val="00C21F41"/>
    <w:rsid w:val="00C24693"/>
    <w:rsid w:val="00C258F6"/>
    <w:rsid w:val="00C32AD7"/>
    <w:rsid w:val="00C33D54"/>
    <w:rsid w:val="00C35F0B"/>
    <w:rsid w:val="00C37A26"/>
    <w:rsid w:val="00C41F95"/>
    <w:rsid w:val="00C463DD"/>
    <w:rsid w:val="00C505F0"/>
    <w:rsid w:val="00C56921"/>
    <w:rsid w:val="00C60F72"/>
    <w:rsid w:val="00C64458"/>
    <w:rsid w:val="00C65BE5"/>
    <w:rsid w:val="00C678A8"/>
    <w:rsid w:val="00C745C3"/>
    <w:rsid w:val="00C85002"/>
    <w:rsid w:val="00C9312F"/>
    <w:rsid w:val="00C955E9"/>
    <w:rsid w:val="00CA2A58"/>
    <w:rsid w:val="00CB15EC"/>
    <w:rsid w:val="00CB3793"/>
    <w:rsid w:val="00CB55D2"/>
    <w:rsid w:val="00CC0B55"/>
    <w:rsid w:val="00CC2269"/>
    <w:rsid w:val="00CC55A4"/>
    <w:rsid w:val="00CC5C78"/>
    <w:rsid w:val="00CD6995"/>
    <w:rsid w:val="00CD69E8"/>
    <w:rsid w:val="00CD7EC5"/>
    <w:rsid w:val="00CE047E"/>
    <w:rsid w:val="00CE3DFD"/>
    <w:rsid w:val="00CE4A8F"/>
    <w:rsid w:val="00CE4E1E"/>
    <w:rsid w:val="00CF0214"/>
    <w:rsid w:val="00CF09C9"/>
    <w:rsid w:val="00CF586F"/>
    <w:rsid w:val="00CF7D43"/>
    <w:rsid w:val="00D11129"/>
    <w:rsid w:val="00D122E7"/>
    <w:rsid w:val="00D13B0E"/>
    <w:rsid w:val="00D17050"/>
    <w:rsid w:val="00D17177"/>
    <w:rsid w:val="00D17582"/>
    <w:rsid w:val="00D2031B"/>
    <w:rsid w:val="00D2079E"/>
    <w:rsid w:val="00D21A37"/>
    <w:rsid w:val="00D22332"/>
    <w:rsid w:val="00D226FD"/>
    <w:rsid w:val="00D25414"/>
    <w:rsid w:val="00D25FE2"/>
    <w:rsid w:val="00D279C4"/>
    <w:rsid w:val="00D31208"/>
    <w:rsid w:val="00D33F6F"/>
    <w:rsid w:val="00D35931"/>
    <w:rsid w:val="00D37D61"/>
    <w:rsid w:val="00D40A77"/>
    <w:rsid w:val="00D40EF9"/>
    <w:rsid w:val="00D43252"/>
    <w:rsid w:val="00D4427F"/>
    <w:rsid w:val="00D45832"/>
    <w:rsid w:val="00D51FCC"/>
    <w:rsid w:val="00D550F9"/>
    <w:rsid w:val="00D5615D"/>
    <w:rsid w:val="00D572B0"/>
    <w:rsid w:val="00D60C22"/>
    <w:rsid w:val="00D62E90"/>
    <w:rsid w:val="00D64598"/>
    <w:rsid w:val="00D67B0B"/>
    <w:rsid w:val="00D71444"/>
    <w:rsid w:val="00D71AE4"/>
    <w:rsid w:val="00D76BE5"/>
    <w:rsid w:val="00D81410"/>
    <w:rsid w:val="00D83BF2"/>
    <w:rsid w:val="00D8616D"/>
    <w:rsid w:val="00D86CB9"/>
    <w:rsid w:val="00D907A0"/>
    <w:rsid w:val="00D907A1"/>
    <w:rsid w:val="00D978C6"/>
    <w:rsid w:val="00DA608D"/>
    <w:rsid w:val="00DA67AD"/>
    <w:rsid w:val="00DB18CE"/>
    <w:rsid w:val="00DB357E"/>
    <w:rsid w:val="00DC25D7"/>
    <w:rsid w:val="00DC5341"/>
    <w:rsid w:val="00DC59AA"/>
    <w:rsid w:val="00DC71C1"/>
    <w:rsid w:val="00DD04FA"/>
    <w:rsid w:val="00DD247C"/>
    <w:rsid w:val="00DD314C"/>
    <w:rsid w:val="00DD6D7E"/>
    <w:rsid w:val="00DD705E"/>
    <w:rsid w:val="00DE1196"/>
    <w:rsid w:val="00DE3EC0"/>
    <w:rsid w:val="00DE7E4D"/>
    <w:rsid w:val="00DF0377"/>
    <w:rsid w:val="00DF2785"/>
    <w:rsid w:val="00E01E1F"/>
    <w:rsid w:val="00E03DD4"/>
    <w:rsid w:val="00E057E2"/>
    <w:rsid w:val="00E11593"/>
    <w:rsid w:val="00E12B6B"/>
    <w:rsid w:val="00E130AB"/>
    <w:rsid w:val="00E13FB7"/>
    <w:rsid w:val="00E1487A"/>
    <w:rsid w:val="00E14AF8"/>
    <w:rsid w:val="00E23FD1"/>
    <w:rsid w:val="00E304BA"/>
    <w:rsid w:val="00E3080C"/>
    <w:rsid w:val="00E412D5"/>
    <w:rsid w:val="00E43589"/>
    <w:rsid w:val="00E437EA"/>
    <w:rsid w:val="00E438D9"/>
    <w:rsid w:val="00E4409A"/>
    <w:rsid w:val="00E45726"/>
    <w:rsid w:val="00E45781"/>
    <w:rsid w:val="00E477F1"/>
    <w:rsid w:val="00E5644E"/>
    <w:rsid w:val="00E57137"/>
    <w:rsid w:val="00E707F9"/>
    <w:rsid w:val="00E7260F"/>
    <w:rsid w:val="00E72C71"/>
    <w:rsid w:val="00E73217"/>
    <w:rsid w:val="00E76D46"/>
    <w:rsid w:val="00E76F54"/>
    <w:rsid w:val="00E803B8"/>
    <w:rsid w:val="00E806EE"/>
    <w:rsid w:val="00E8219C"/>
    <w:rsid w:val="00E82E62"/>
    <w:rsid w:val="00E8519C"/>
    <w:rsid w:val="00E87D9D"/>
    <w:rsid w:val="00E93F2A"/>
    <w:rsid w:val="00E962C2"/>
    <w:rsid w:val="00E96630"/>
    <w:rsid w:val="00E973EC"/>
    <w:rsid w:val="00EA2A51"/>
    <w:rsid w:val="00EA33FE"/>
    <w:rsid w:val="00EA47FC"/>
    <w:rsid w:val="00EB0FB9"/>
    <w:rsid w:val="00EB294A"/>
    <w:rsid w:val="00EB30B9"/>
    <w:rsid w:val="00EB35AF"/>
    <w:rsid w:val="00EB4010"/>
    <w:rsid w:val="00EB6DAD"/>
    <w:rsid w:val="00EB7AAD"/>
    <w:rsid w:val="00EC45B5"/>
    <w:rsid w:val="00EC4B0E"/>
    <w:rsid w:val="00EC5D55"/>
    <w:rsid w:val="00ED0614"/>
    <w:rsid w:val="00ED0CA9"/>
    <w:rsid w:val="00ED13F6"/>
    <w:rsid w:val="00ED5E04"/>
    <w:rsid w:val="00ED7A2A"/>
    <w:rsid w:val="00ED7AA1"/>
    <w:rsid w:val="00EE022A"/>
    <w:rsid w:val="00EE0FF1"/>
    <w:rsid w:val="00EE143A"/>
    <w:rsid w:val="00EE1861"/>
    <w:rsid w:val="00EE1D5A"/>
    <w:rsid w:val="00EE4A49"/>
    <w:rsid w:val="00EE7141"/>
    <w:rsid w:val="00EF1599"/>
    <w:rsid w:val="00EF1D7F"/>
    <w:rsid w:val="00EF5BDB"/>
    <w:rsid w:val="00F04E86"/>
    <w:rsid w:val="00F0589F"/>
    <w:rsid w:val="00F07FD9"/>
    <w:rsid w:val="00F10699"/>
    <w:rsid w:val="00F12C37"/>
    <w:rsid w:val="00F12D9B"/>
    <w:rsid w:val="00F142A7"/>
    <w:rsid w:val="00F15462"/>
    <w:rsid w:val="00F17EDA"/>
    <w:rsid w:val="00F201A7"/>
    <w:rsid w:val="00F23933"/>
    <w:rsid w:val="00F239C8"/>
    <w:rsid w:val="00F24119"/>
    <w:rsid w:val="00F25731"/>
    <w:rsid w:val="00F26035"/>
    <w:rsid w:val="00F27BC3"/>
    <w:rsid w:val="00F303D8"/>
    <w:rsid w:val="00F342D1"/>
    <w:rsid w:val="00F36AD2"/>
    <w:rsid w:val="00F36C30"/>
    <w:rsid w:val="00F36F64"/>
    <w:rsid w:val="00F40E75"/>
    <w:rsid w:val="00F42CD9"/>
    <w:rsid w:val="00F443EF"/>
    <w:rsid w:val="00F47250"/>
    <w:rsid w:val="00F52936"/>
    <w:rsid w:val="00F564B8"/>
    <w:rsid w:val="00F5761E"/>
    <w:rsid w:val="00F5787D"/>
    <w:rsid w:val="00F662E7"/>
    <w:rsid w:val="00F675F1"/>
    <w:rsid w:val="00F677CB"/>
    <w:rsid w:val="00F70B0F"/>
    <w:rsid w:val="00F74D66"/>
    <w:rsid w:val="00F8010F"/>
    <w:rsid w:val="00F812F8"/>
    <w:rsid w:val="00F84BF5"/>
    <w:rsid w:val="00F854C1"/>
    <w:rsid w:val="00F90B9D"/>
    <w:rsid w:val="00F96CFD"/>
    <w:rsid w:val="00FA17FF"/>
    <w:rsid w:val="00FA2F1B"/>
    <w:rsid w:val="00FA59A1"/>
    <w:rsid w:val="00FA5D0D"/>
    <w:rsid w:val="00FA7DF3"/>
    <w:rsid w:val="00FB1795"/>
    <w:rsid w:val="00FB5423"/>
    <w:rsid w:val="00FC0079"/>
    <w:rsid w:val="00FC1D8C"/>
    <w:rsid w:val="00FC49EF"/>
    <w:rsid w:val="00FC68B7"/>
    <w:rsid w:val="00FD497B"/>
    <w:rsid w:val="00FD7C12"/>
    <w:rsid w:val="00FE516B"/>
    <w:rsid w:val="00FF243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 Exposant 3 Point"/>
    <w:link w:val="BVIfn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Char Char 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471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16AB"/>
    <w:rPr>
      <w:rFonts w:ascii="Tahoma" w:hAnsi="Tahoma" w:cs="Tahoma"/>
      <w:sz w:val="16"/>
      <w:szCs w:val="16"/>
      <w:lang w:eastAsia="en-US"/>
    </w:rPr>
  </w:style>
  <w:style w:type="paragraph" w:customStyle="1" w:styleId="Body1">
    <w:name w:val="Body 1"/>
    <w:rsid w:val="004716AB"/>
    <w:pPr>
      <w:suppressAutoHyphens/>
      <w:spacing w:line="240" w:lineRule="atLeast"/>
      <w:outlineLvl w:val="0"/>
    </w:pPr>
    <w:rPr>
      <w:rFonts w:eastAsia="Arial Unicode MS"/>
      <w:color w:val="000000"/>
      <w:u w:color="000000"/>
    </w:rPr>
  </w:style>
  <w:style w:type="paragraph" w:styleId="ListParagraph">
    <w:name w:val="List Paragraph"/>
    <w:basedOn w:val="Normal"/>
    <w:uiPriority w:val="34"/>
    <w:qFormat/>
    <w:rsid w:val="009D4BCC"/>
    <w:pPr>
      <w:ind w:left="720"/>
      <w:contextualSpacing/>
    </w:pPr>
  </w:style>
  <w:style w:type="paragraph" w:styleId="TOCHeading">
    <w:name w:val="TOC Heading"/>
    <w:basedOn w:val="Heading1"/>
    <w:next w:val="Normal"/>
    <w:uiPriority w:val="39"/>
    <w:unhideWhenUsed/>
    <w:qFormat/>
    <w:rsid w:val="009D4BCC"/>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rsid w:val="009D4BCC"/>
    <w:pPr>
      <w:spacing w:after="100"/>
      <w:ind w:left="200"/>
    </w:pPr>
  </w:style>
  <w:style w:type="paragraph" w:styleId="TOC3">
    <w:name w:val="toc 3"/>
    <w:basedOn w:val="Normal"/>
    <w:next w:val="Normal"/>
    <w:autoRedefine/>
    <w:uiPriority w:val="39"/>
    <w:rsid w:val="009D4BCC"/>
    <w:pPr>
      <w:spacing w:after="100"/>
      <w:ind w:left="400"/>
    </w:pPr>
  </w:style>
  <w:style w:type="character" w:styleId="CommentReference">
    <w:name w:val="annotation reference"/>
    <w:basedOn w:val="DefaultParagraphFont"/>
    <w:uiPriority w:val="99"/>
    <w:rsid w:val="009D4BCC"/>
    <w:rPr>
      <w:sz w:val="16"/>
      <w:szCs w:val="16"/>
    </w:rPr>
  </w:style>
  <w:style w:type="paragraph" w:styleId="CommentText">
    <w:name w:val="annotation text"/>
    <w:basedOn w:val="Normal"/>
    <w:link w:val="CommentTextChar"/>
    <w:uiPriority w:val="99"/>
    <w:rsid w:val="009D4BCC"/>
    <w:pPr>
      <w:spacing w:line="240" w:lineRule="auto"/>
    </w:pPr>
  </w:style>
  <w:style w:type="character" w:customStyle="1" w:styleId="CommentTextChar">
    <w:name w:val="Comment Text Char"/>
    <w:basedOn w:val="DefaultParagraphFont"/>
    <w:link w:val="CommentText"/>
    <w:uiPriority w:val="99"/>
    <w:rsid w:val="009D4BCC"/>
    <w:rPr>
      <w:lang w:eastAsia="en-US"/>
    </w:rPr>
  </w:style>
  <w:style w:type="paragraph" w:styleId="CommentSubject">
    <w:name w:val="annotation subject"/>
    <w:basedOn w:val="CommentText"/>
    <w:next w:val="CommentText"/>
    <w:link w:val="CommentSubjectChar"/>
    <w:uiPriority w:val="99"/>
    <w:rsid w:val="009D4BCC"/>
    <w:rPr>
      <w:b/>
      <w:bCs/>
    </w:rPr>
  </w:style>
  <w:style w:type="character" w:customStyle="1" w:styleId="CommentSubjectChar">
    <w:name w:val="Comment Subject Char"/>
    <w:basedOn w:val="CommentTextChar"/>
    <w:link w:val="CommentSubject"/>
    <w:uiPriority w:val="99"/>
    <w:rsid w:val="009D4BCC"/>
    <w:rPr>
      <w:b/>
      <w:bCs/>
      <w:lang w:eastAsia="en-US"/>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link w:val="FootnoteText"/>
    <w:uiPriority w:val="99"/>
    <w:rsid w:val="009D4BCC"/>
    <w:rPr>
      <w:sz w:val="18"/>
      <w:lang w:eastAsia="en-US"/>
    </w:rPr>
  </w:style>
  <w:style w:type="character" w:customStyle="1" w:styleId="SingleTxtGChar">
    <w:name w:val="_ Single Txt_G Char"/>
    <w:link w:val="SingleTxtG"/>
    <w:rsid w:val="009D4BCC"/>
    <w:rPr>
      <w:lang w:eastAsia="en-US"/>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uiPriority w:val="99"/>
    <w:rsid w:val="009D4BCC"/>
    <w:pPr>
      <w:suppressAutoHyphens w:val="0"/>
      <w:spacing w:after="160" w:line="240" w:lineRule="exact"/>
    </w:pPr>
    <w:rPr>
      <w:sz w:val="18"/>
      <w:vertAlign w:val="superscript"/>
      <w:lang w:eastAsia="en-GB"/>
    </w:rPr>
  </w:style>
  <w:style w:type="character" w:customStyle="1" w:styleId="WW-FootnoteReference">
    <w:name w:val="WW-Footnote Reference"/>
    <w:rsid w:val="009D4BCC"/>
    <w:rPr>
      <w:vertAlign w:val="superscript"/>
    </w:rPr>
  </w:style>
  <w:style w:type="paragraph" w:customStyle="1" w:styleId="WW-Standard">
    <w:name w:val="WW-Standard"/>
    <w:rsid w:val="009D4BCC"/>
    <w:pPr>
      <w:suppressAutoHyphens/>
      <w:spacing w:line="276" w:lineRule="auto"/>
      <w:jc w:val="both"/>
    </w:pPr>
    <w:rPr>
      <w:rFonts w:eastAsia="Calibri"/>
      <w:szCs w:val="22"/>
      <w:lang w:eastAsia="ar-SA"/>
    </w:rPr>
  </w:style>
  <w:style w:type="character" w:customStyle="1" w:styleId="Caractresdenotedebasdepage">
    <w:name w:val="Caractères de note de bas de page"/>
    <w:rsid w:val="009D4BCC"/>
    <w:rPr>
      <w:vertAlign w:val="superscript"/>
    </w:rPr>
  </w:style>
  <w:style w:type="paragraph" w:styleId="Revision">
    <w:name w:val="Revision"/>
    <w:hidden/>
    <w:uiPriority w:val="99"/>
    <w:semiHidden/>
    <w:rsid w:val="009D4BCC"/>
    <w:rPr>
      <w:lang w:eastAsia="en-US"/>
    </w:rPr>
  </w:style>
  <w:style w:type="character" w:customStyle="1" w:styleId="apple-converted-space">
    <w:name w:val="apple-converted-space"/>
    <w:basedOn w:val="DefaultParagraphFont"/>
    <w:rsid w:val="009D4BCC"/>
  </w:style>
  <w:style w:type="character" w:customStyle="1" w:styleId="HeaderChar">
    <w:name w:val="Header Char"/>
    <w:aliases w:val="6_G Char"/>
    <w:basedOn w:val="DefaultParagraphFont"/>
    <w:link w:val="Header"/>
    <w:uiPriority w:val="99"/>
    <w:rsid w:val="009D4BCC"/>
    <w:rPr>
      <w:b/>
      <w:sz w:val="18"/>
      <w:lang w:eastAsia="en-US"/>
    </w:rPr>
  </w:style>
  <w:style w:type="character" w:customStyle="1" w:styleId="FooterChar">
    <w:name w:val="Footer Char"/>
    <w:aliases w:val="3_G Char"/>
    <w:basedOn w:val="DefaultParagraphFont"/>
    <w:link w:val="Footer"/>
    <w:uiPriority w:val="99"/>
    <w:rsid w:val="009D4BCC"/>
    <w:rPr>
      <w:sz w:val="16"/>
      <w:lang w:eastAsia="en-US"/>
    </w:rPr>
  </w:style>
  <w:style w:type="character" w:customStyle="1" w:styleId="Heading1Char">
    <w:name w:val="Heading 1 Char"/>
    <w:aliases w:val="Table_G Char"/>
    <w:basedOn w:val="DefaultParagraphFont"/>
    <w:link w:val="Heading1"/>
    <w:uiPriority w:val="9"/>
    <w:rsid w:val="00182D5E"/>
    <w:rPr>
      <w:lang w:eastAsia="en-US"/>
    </w:rPr>
  </w:style>
  <w:style w:type="character" w:customStyle="1" w:styleId="Heading2Char">
    <w:name w:val="Heading 2 Char"/>
    <w:basedOn w:val="DefaultParagraphFont"/>
    <w:link w:val="Heading2"/>
    <w:uiPriority w:val="9"/>
    <w:rsid w:val="00182D5E"/>
    <w:rPr>
      <w:lang w:eastAsia="en-US"/>
    </w:rPr>
  </w:style>
  <w:style w:type="paragraph" w:customStyle="1" w:styleId="Standard">
    <w:name w:val="Standard"/>
    <w:rsid w:val="00182D5E"/>
    <w:pPr>
      <w:widowControl w:val="0"/>
      <w:suppressAutoHyphens/>
      <w:autoSpaceDN w:val="0"/>
      <w:textAlignment w:val="baseline"/>
    </w:pPr>
    <w:rPr>
      <w:rFonts w:eastAsia="SimSun" w:cs="Arial"/>
      <w:kern w:val="3"/>
      <w:lang w:val="pt-PT" w:eastAsia="zh-CN" w:bidi="hi-IN"/>
    </w:rPr>
  </w:style>
  <w:style w:type="paragraph" w:styleId="TOC1">
    <w:name w:val="toc 1"/>
    <w:basedOn w:val="Normal"/>
    <w:next w:val="Normal"/>
    <w:autoRedefine/>
    <w:uiPriority w:val="39"/>
    <w:unhideWhenUsed/>
    <w:rsid w:val="00182D5E"/>
    <w:pPr>
      <w:tabs>
        <w:tab w:val="left" w:pos="440"/>
        <w:tab w:val="right" w:leader="dot" w:pos="9016"/>
      </w:tabs>
      <w:suppressAutoHyphens w:val="0"/>
      <w:spacing w:after="100" w:line="276" w:lineRule="auto"/>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182D5E"/>
    <w:rPr>
      <w:lang w:eastAsia="en-US"/>
    </w:rPr>
  </w:style>
  <w:style w:type="character" w:customStyle="1" w:styleId="button-text">
    <w:name w:val="button-text"/>
    <w:basedOn w:val="DefaultParagraphFont"/>
    <w:rsid w:val="00182D5E"/>
  </w:style>
  <w:style w:type="paragraph" w:customStyle="1" w:styleId="Normali">
    <w:name w:val="Normal_i"/>
    <w:basedOn w:val="Normal"/>
    <w:qFormat/>
    <w:rsid w:val="00182D5E"/>
    <w:pPr>
      <w:suppressAutoHyphens w:val="0"/>
      <w:spacing w:before="120" w:after="120" w:line="360" w:lineRule="atLeast"/>
      <w:ind w:left="850" w:hanging="425"/>
      <w:jc w:val="both"/>
    </w:pPr>
    <w:rPr>
      <w:rFonts w:ascii="Calibri Light" w:hAnsi="Calibri Light"/>
      <w:lang w:val="pt-PT" w:eastAsia="pt-PT"/>
    </w:rPr>
  </w:style>
  <w:style w:type="paragraph" w:styleId="HTMLPreformatted">
    <w:name w:val="HTML Preformatted"/>
    <w:basedOn w:val="Normal"/>
    <w:link w:val="HTMLPreformattedChar"/>
    <w:uiPriority w:val="99"/>
    <w:unhideWhenUsed/>
    <w:rsid w:val="0018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182D5E"/>
    <w:rPr>
      <w:rFonts w:ascii="Courier New" w:hAnsi="Courier New" w:cs="Courier New"/>
    </w:rPr>
  </w:style>
  <w:style w:type="paragraph" w:customStyle="1" w:styleId="Default">
    <w:name w:val="Default"/>
    <w:rsid w:val="00182D5E"/>
    <w:pPr>
      <w:autoSpaceDE w:val="0"/>
      <w:autoSpaceDN w:val="0"/>
      <w:adjustRightInd w:val="0"/>
    </w:pPr>
    <w:rPr>
      <w:rFonts w:eastAsiaTheme="minorHAnsi"/>
      <w:color w:val="000000"/>
      <w:lang w:eastAsia="en-US"/>
    </w:rPr>
  </w:style>
  <w:style w:type="paragraph" w:styleId="NormalWeb">
    <w:name w:val="Normal (Web)"/>
    <w:basedOn w:val="Normal"/>
    <w:uiPriority w:val="99"/>
    <w:unhideWhenUsed/>
    <w:rsid w:val="00182D5E"/>
    <w:pPr>
      <w:suppressAutoHyphens w:val="0"/>
      <w:spacing w:before="100" w:beforeAutospacing="1" w:after="100" w:afterAutospacing="1" w:line="240" w:lineRule="auto"/>
    </w:pPr>
    <w:rPr>
      <w:lang w:eastAsia="en-GB"/>
    </w:rPr>
  </w:style>
  <w:style w:type="character" w:customStyle="1" w:styleId="Heading4Char">
    <w:name w:val="Heading 4 Char"/>
    <w:basedOn w:val="DefaultParagraphFont"/>
    <w:link w:val="Heading4"/>
    <w:uiPriority w:val="9"/>
    <w:rsid w:val="00182D5E"/>
    <w:rPr>
      <w:lang w:eastAsia="en-US"/>
    </w:rPr>
  </w:style>
  <w:style w:type="character" w:customStyle="1" w:styleId="shorttext">
    <w:name w:val="short_text"/>
    <w:basedOn w:val="DefaultParagraphFont"/>
    <w:rsid w:val="00182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 Exposant 3 Point"/>
    <w:link w:val="BVIfn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Char Char 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471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16AB"/>
    <w:rPr>
      <w:rFonts w:ascii="Tahoma" w:hAnsi="Tahoma" w:cs="Tahoma"/>
      <w:sz w:val="16"/>
      <w:szCs w:val="16"/>
      <w:lang w:eastAsia="en-US"/>
    </w:rPr>
  </w:style>
  <w:style w:type="paragraph" w:customStyle="1" w:styleId="Body1">
    <w:name w:val="Body 1"/>
    <w:rsid w:val="004716AB"/>
    <w:pPr>
      <w:suppressAutoHyphens/>
      <w:spacing w:line="240" w:lineRule="atLeast"/>
      <w:outlineLvl w:val="0"/>
    </w:pPr>
    <w:rPr>
      <w:rFonts w:eastAsia="Arial Unicode MS"/>
      <w:color w:val="000000"/>
      <w:u w:color="000000"/>
    </w:rPr>
  </w:style>
  <w:style w:type="paragraph" w:styleId="ListParagraph">
    <w:name w:val="List Paragraph"/>
    <w:basedOn w:val="Normal"/>
    <w:uiPriority w:val="34"/>
    <w:qFormat/>
    <w:rsid w:val="009D4BCC"/>
    <w:pPr>
      <w:ind w:left="720"/>
      <w:contextualSpacing/>
    </w:pPr>
  </w:style>
  <w:style w:type="paragraph" w:styleId="TOCHeading">
    <w:name w:val="TOC Heading"/>
    <w:basedOn w:val="Heading1"/>
    <w:next w:val="Normal"/>
    <w:uiPriority w:val="39"/>
    <w:unhideWhenUsed/>
    <w:qFormat/>
    <w:rsid w:val="009D4BCC"/>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rsid w:val="009D4BCC"/>
    <w:pPr>
      <w:spacing w:after="100"/>
      <w:ind w:left="200"/>
    </w:pPr>
  </w:style>
  <w:style w:type="paragraph" w:styleId="TOC3">
    <w:name w:val="toc 3"/>
    <w:basedOn w:val="Normal"/>
    <w:next w:val="Normal"/>
    <w:autoRedefine/>
    <w:uiPriority w:val="39"/>
    <w:rsid w:val="009D4BCC"/>
    <w:pPr>
      <w:spacing w:after="100"/>
      <w:ind w:left="400"/>
    </w:pPr>
  </w:style>
  <w:style w:type="character" w:styleId="CommentReference">
    <w:name w:val="annotation reference"/>
    <w:basedOn w:val="DefaultParagraphFont"/>
    <w:uiPriority w:val="99"/>
    <w:rsid w:val="009D4BCC"/>
    <w:rPr>
      <w:sz w:val="16"/>
      <w:szCs w:val="16"/>
    </w:rPr>
  </w:style>
  <w:style w:type="paragraph" w:styleId="CommentText">
    <w:name w:val="annotation text"/>
    <w:basedOn w:val="Normal"/>
    <w:link w:val="CommentTextChar"/>
    <w:uiPriority w:val="99"/>
    <w:rsid w:val="009D4BCC"/>
    <w:pPr>
      <w:spacing w:line="240" w:lineRule="auto"/>
    </w:pPr>
  </w:style>
  <w:style w:type="character" w:customStyle="1" w:styleId="CommentTextChar">
    <w:name w:val="Comment Text Char"/>
    <w:basedOn w:val="DefaultParagraphFont"/>
    <w:link w:val="CommentText"/>
    <w:uiPriority w:val="99"/>
    <w:rsid w:val="009D4BCC"/>
    <w:rPr>
      <w:lang w:eastAsia="en-US"/>
    </w:rPr>
  </w:style>
  <w:style w:type="paragraph" w:styleId="CommentSubject">
    <w:name w:val="annotation subject"/>
    <w:basedOn w:val="CommentText"/>
    <w:next w:val="CommentText"/>
    <w:link w:val="CommentSubjectChar"/>
    <w:uiPriority w:val="99"/>
    <w:rsid w:val="009D4BCC"/>
    <w:rPr>
      <w:b/>
      <w:bCs/>
    </w:rPr>
  </w:style>
  <w:style w:type="character" w:customStyle="1" w:styleId="CommentSubjectChar">
    <w:name w:val="Comment Subject Char"/>
    <w:basedOn w:val="CommentTextChar"/>
    <w:link w:val="CommentSubject"/>
    <w:uiPriority w:val="99"/>
    <w:rsid w:val="009D4BCC"/>
    <w:rPr>
      <w:b/>
      <w:bCs/>
      <w:lang w:eastAsia="en-US"/>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link w:val="FootnoteText"/>
    <w:uiPriority w:val="99"/>
    <w:rsid w:val="009D4BCC"/>
    <w:rPr>
      <w:sz w:val="18"/>
      <w:lang w:eastAsia="en-US"/>
    </w:rPr>
  </w:style>
  <w:style w:type="character" w:customStyle="1" w:styleId="SingleTxtGChar">
    <w:name w:val="_ Single Txt_G Char"/>
    <w:link w:val="SingleTxtG"/>
    <w:rsid w:val="009D4BCC"/>
    <w:rPr>
      <w:lang w:eastAsia="en-US"/>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uiPriority w:val="99"/>
    <w:rsid w:val="009D4BCC"/>
    <w:pPr>
      <w:suppressAutoHyphens w:val="0"/>
      <w:spacing w:after="160" w:line="240" w:lineRule="exact"/>
    </w:pPr>
    <w:rPr>
      <w:sz w:val="18"/>
      <w:vertAlign w:val="superscript"/>
      <w:lang w:eastAsia="en-GB"/>
    </w:rPr>
  </w:style>
  <w:style w:type="character" w:customStyle="1" w:styleId="WW-FootnoteReference">
    <w:name w:val="WW-Footnote Reference"/>
    <w:rsid w:val="009D4BCC"/>
    <w:rPr>
      <w:vertAlign w:val="superscript"/>
    </w:rPr>
  </w:style>
  <w:style w:type="paragraph" w:customStyle="1" w:styleId="WW-Standard">
    <w:name w:val="WW-Standard"/>
    <w:rsid w:val="009D4BCC"/>
    <w:pPr>
      <w:suppressAutoHyphens/>
      <w:spacing w:line="276" w:lineRule="auto"/>
      <w:jc w:val="both"/>
    </w:pPr>
    <w:rPr>
      <w:rFonts w:eastAsia="Calibri"/>
      <w:szCs w:val="22"/>
      <w:lang w:eastAsia="ar-SA"/>
    </w:rPr>
  </w:style>
  <w:style w:type="character" w:customStyle="1" w:styleId="Caractresdenotedebasdepage">
    <w:name w:val="Caractères de note de bas de page"/>
    <w:rsid w:val="009D4BCC"/>
    <w:rPr>
      <w:vertAlign w:val="superscript"/>
    </w:rPr>
  </w:style>
  <w:style w:type="paragraph" w:styleId="Revision">
    <w:name w:val="Revision"/>
    <w:hidden/>
    <w:uiPriority w:val="99"/>
    <w:semiHidden/>
    <w:rsid w:val="009D4BCC"/>
    <w:rPr>
      <w:lang w:eastAsia="en-US"/>
    </w:rPr>
  </w:style>
  <w:style w:type="character" w:customStyle="1" w:styleId="apple-converted-space">
    <w:name w:val="apple-converted-space"/>
    <w:basedOn w:val="DefaultParagraphFont"/>
    <w:rsid w:val="009D4BCC"/>
  </w:style>
  <w:style w:type="character" w:customStyle="1" w:styleId="HeaderChar">
    <w:name w:val="Header Char"/>
    <w:aliases w:val="6_G Char"/>
    <w:basedOn w:val="DefaultParagraphFont"/>
    <w:link w:val="Header"/>
    <w:uiPriority w:val="99"/>
    <w:rsid w:val="009D4BCC"/>
    <w:rPr>
      <w:b/>
      <w:sz w:val="18"/>
      <w:lang w:eastAsia="en-US"/>
    </w:rPr>
  </w:style>
  <w:style w:type="character" w:customStyle="1" w:styleId="FooterChar">
    <w:name w:val="Footer Char"/>
    <w:aliases w:val="3_G Char"/>
    <w:basedOn w:val="DefaultParagraphFont"/>
    <w:link w:val="Footer"/>
    <w:uiPriority w:val="99"/>
    <w:rsid w:val="009D4BCC"/>
    <w:rPr>
      <w:sz w:val="16"/>
      <w:lang w:eastAsia="en-US"/>
    </w:rPr>
  </w:style>
  <w:style w:type="character" w:customStyle="1" w:styleId="Heading1Char">
    <w:name w:val="Heading 1 Char"/>
    <w:aliases w:val="Table_G Char"/>
    <w:basedOn w:val="DefaultParagraphFont"/>
    <w:link w:val="Heading1"/>
    <w:uiPriority w:val="9"/>
    <w:rsid w:val="00182D5E"/>
    <w:rPr>
      <w:lang w:eastAsia="en-US"/>
    </w:rPr>
  </w:style>
  <w:style w:type="character" w:customStyle="1" w:styleId="Heading2Char">
    <w:name w:val="Heading 2 Char"/>
    <w:basedOn w:val="DefaultParagraphFont"/>
    <w:link w:val="Heading2"/>
    <w:uiPriority w:val="9"/>
    <w:rsid w:val="00182D5E"/>
    <w:rPr>
      <w:lang w:eastAsia="en-US"/>
    </w:rPr>
  </w:style>
  <w:style w:type="paragraph" w:customStyle="1" w:styleId="Standard">
    <w:name w:val="Standard"/>
    <w:rsid w:val="00182D5E"/>
    <w:pPr>
      <w:widowControl w:val="0"/>
      <w:suppressAutoHyphens/>
      <w:autoSpaceDN w:val="0"/>
      <w:textAlignment w:val="baseline"/>
    </w:pPr>
    <w:rPr>
      <w:rFonts w:eastAsia="SimSun" w:cs="Arial"/>
      <w:kern w:val="3"/>
      <w:lang w:val="pt-PT" w:eastAsia="zh-CN" w:bidi="hi-IN"/>
    </w:rPr>
  </w:style>
  <w:style w:type="paragraph" w:styleId="TOC1">
    <w:name w:val="toc 1"/>
    <w:basedOn w:val="Normal"/>
    <w:next w:val="Normal"/>
    <w:autoRedefine/>
    <w:uiPriority w:val="39"/>
    <w:unhideWhenUsed/>
    <w:rsid w:val="00182D5E"/>
    <w:pPr>
      <w:tabs>
        <w:tab w:val="left" w:pos="440"/>
        <w:tab w:val="right" w:leader="dot" w:pos="9016"/>
      </w:tabs>
      <w:suppressAutoHyphens w:val="0"/>
      <w:spacing w:after="100" w:line="276" w:lineRule="auto"/>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182D5E"/>
    <w:rPr>
      <w:lang w:eastAsia="en-US"/>
    </w:rPr>
  </w:style>
  <w:style w:type="character" w:customStyle="1" w:styleId="button-text">
    <w:name w:val="button-text"/>
    <w:basedOn w:val="DefaultParagraphFont"/>
    <w:rsid w:val="00182D5E"/>
  </w:style>
  <w:style w:type="paragraph" w:customStyle="1" w:styleId="Normali">
    <w:name w:val="Normal_i"/>
    <w:basedOn w:val="Normal"/>
    <w:qFormat/>
    <w:rsid w:val="00182D5E"/>
    <w:pPr>
      <w:suppressAutoHyphens w:val="0"/>
      <w:spacing w:before="120" w:after="120" w:line="360" w:lineRule="atLeast"/>
      <w:ind w:left="850" w:hanging="425"/>
      <w:jc w:val="both"/>
    </w:pPr>
    <w:rPr>
      <w:rFonts w:ascii="Calibri Light" w:hAnsi="Calibri Light"/>
      <w:lang w:val="pt-PT" w:eastAsia="pt-PT"/>
    </w:rPr>
  </w:style>
  <w:style w:type="paragraph" w:styleId="HTMLPreformatted">
    <w:name w:val="HTML Preformatted"/>
    <w:basedOn w:val="Normal"/>
    <w:link w:val="HTMLPreformattedChar"/>
    <w:uiPriority w:val="99"/>
    <w:unhideWhenUsed/>
    <w:rsid w:val="0018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182D5E"/>
    <w:rPr>
      <w:rFonts w:ascii="Courier New" w:hAnsi="Courier New" w:cs="Courier New"/>
    </w:rPr>
  </w:style>
  <w:style w:type="paragraph" w:customStyle="1" w:styleId="Default">
    <w:name w:val="Default"/>
    <w:rsid w:val="00182D5E"/>
    <w:pPr>
      <w:autoSpaceDE w:val="0"/>
      <w:autoSpaceDN w:val="0"/>
      <w:adjustRightInd w:val="0"/>
    </w:pPr>
    <w:rPr>
      <w:rFonts w:eastAsiaTheme="minorHAnsi"/>
      <w:color w:val="000000"/>
      <w:lang w:eastAsia="en-US"/>
    </w:rPr>
  </w:style>
  <w:style w:type="paragraph" w:styleId="NormalWeb">
    <w:name w:val="Normal (Web)"/>
    <w:basedOn w:val="Normal"/>
    <w:uiPriority w:val="99"/>
    <w:unhideWhenUsed/>
    <w:rsid w:val="00182D5E"/>
    <w:pPr>
      <w:suppressAutoHyphens w:val="0"/>
      <w:spacing w:before="100" w:beforeAutospacing="1" w:after="100" w:afterAutospacing="1" w:line="240" w:lineRule="auto"/>
    </w:pPr>
    <w:rPr>
      <w:lang w:eastAsia="en-GB"/>
    </w:rPr>
  </w:style>
  <w:style w:type="character" w:customStyle="1" w:styleId="Heading4Char">
    <w:name w:val="Heading 4 Char"/>
    <w:basedOn w:val="DefaultParagraphFont"/>
    <w:link w:val="Heading4"/>
    <w:uiPriority w:val="9"/>
    <w:rsid w:val="00182D5E"/>
    <w:rPr>
      <w:lang w:eastAsia="en-US"/>
    </w:rPr>
  </w:style>
  <w:style w:type="character" w:customStyle="1" w:styleId="shorttext">
    <w:name w:val="short_text"/>
    <w:basedOn w:val="DefaultParagraphFont"/>
    <w:rsid w:val="0018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9598">
      <w:bodyDiv w:val="1"/>
      <w:marLeft w:val="0"/>
      <w:marRight w:val="0"/>
      <w:marTop w:val="0"/>
      <w:marBottom w:val="0"/>
      <w:divBdr>
        <w:top w:val="none" w:sz="0" w:space="0" w:color="auto"/>
        <w:left w:val="none" w:sz="0" w:space="0" w:color="auto"/>
        <w:bottom w:val="none" w:sz="0" w:space="0" w:color="auto"/>
        <w:right w:val="none" w:sz="0" w:space="0" w:color="auto"/>
      </w:divBdr>
    </w:div>
    <w:div w:id="17994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95F299-2B41-4D0B-A980-3587A0293FBA}"/>
</file>

<file path=customXml/itemProps2.xml><?xml version="1.0" encoding="utf-8"?>
<ds:datastoreItem xmlns:ds="http://schemas.openxmlformats.org/officeDocument/2006/customXml" ds:itemID="{9104605D-D97C-4441-BA11-6E656155C7A0}"/>
</file>

<file path=customXml/itemProps3.xml><?xml version="1.0" encoding="utf-8"?>
<ds:datastoreItem xmlns:ds="http://schemas.openxmlformats.org/officeDocument/2006/customXml" ds:itemID="{3EB97D20-8E89-4E34-BDEA-573B1BD356E5}"/>
</file>

<file path=customXml/itemProps4.xml><?xml version="1.0" encoding="utf-8"?>
<ds:datastoreItem xmlns:ds="http://schemas.openxmlformats.org/officeDocument/2006/customXml" ds:itemID="{427D5960-6580-48C9-AAE3-D01E92F7117A}"/>
</file>

<file path=docProps/app.xml><?xml version="1.0" encoding="utf-8"?>
<Properties xmlns="http://schemas.openxmlformats.org/officeDocument/2006/extended-properties" xmlns:vt="http://schemas.openxmlformats.org/officeDocument/2006/docPropsVTypes">
  <Template>Normal.dotm</Template>
  <TotalTime>1</TotalTime>
  <Pages>20</Pages>
  <Words>9313</Words>
  <Characters>53089</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adequate housing - Mission to Portugal in English</dc:title>
  <dc:creator>Francesca Foppiano</dc:creator>
  <cp:lastModifiedBy>Patricia Varela</cp:lastModifiedBy>
  <cp:revision>2</cp:revision>
  <cp:lastPrinted>2017-02-09T16:11:00Z</cp:lastPrinted>
  <dcterms:created xsi:type="dcterms:W3CDTF">2017-02-28T10:58:00Z</dcterms:created>
  <dcterms:modified xsi:type="dcterms:W3CDTF">2017-02-28T10:58:00Z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