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A12E20" w:rsidRPr="00DB58B5" w:rsidTr="00E6618E">
        <w:trPr>
          <w:trHeight w:hRule="exact" w:val="851"/>
        </w:trPr>
        <w:tc>
          <w:tcPr>
            <w:tcW w:w="1276" w:type="dxa"/>
            <w:tcBorders>
              <w:bottom w:val="single" w:sz="4" w:space="0" w:color="auto"/>
            </w:tcBorders>
          </w:tcPr>
          <w:p w:rsidR="00A12E20" w:rsidRPr="00DB58B5" w:rsidRDefault="00A12E20" w:rsidP="000B0FA8"/>
        </w:tc>
        <w:tc>
          <w:tcPr>
            <w:tcW w:w="2268" w:type="dxa"/>
            <w:tcBorders>
              <w:bottom w:val="single" w:sz="4" w:space="0" w:color="auto"/>
            </w:tcBorders>
            <w:vAlign w:val="bottom"/>
          </w:tcPr>
          <w:p w:rsidR="00A12E20" w:rsidRPr="00DB58B5" w:rsidRDefault="00A12E20" w:rsidP="00E6618E">
            <w:pPr>
              <w:spacing w:after="80" w:line="300" w:lineRule="exact"/>
              <w:rPr>
                <w:sz w:val="28"/>
              </w:rPr>
            </w:pPr>
          </w:p>
        </w:tc>
        <w:tc>
          <w:tcPr>
            <w:tcW w:w="6095" w:type="dxa"/>
            <w:gridSpan w:val="2"/>
            <w:tcBorders>
              <w:bottom w:val="single" w:sz="4" w:space="0" w:color="auto"/>
            </w:tcBorders>
            <w:vAlign w:val="bottom"/>
          </w:tcPr>
          <w:p w:rsidR="00A12E20" w:rsidRPr="00DB58B5" w:rsidRDefault="000B0FA8" w:rsidP="000B0FA8">
            <w:pPr>
              <w:jc w:val="right"/>
            </w:pPr>
            <w:r w:rsidRPr="000B0FA8">
              <w:rPr>
                <w:sz w:val="40"/>
              </w:rPr>
              <w:t>A</w:t>
            </w:r>
            <w:r>
              <w:t>/HRC/34/73</w:t>
            </w:r>
          </w:p>
        </w:tc>
      </w:tr>
      <w:tr w:rsidR="00A12E20" w:rsidRPr="00DB58B5" w:rsidTr="00E6618E">
        <w:trPr>
          <w:trHeight w:hRule="exact" w:val="2835"/>
        </w:trPr>
        <w:tc>
          <w:tcPr>
            <w:tcW w:w="1276" w:type="dxa"/>
            <w:tcBorders>
              <w:top w:val="single" w:sz="4" w:space="0" w:color="auto"/>
              <w:bottom w:val="single" w:sz="12" w:space="0" w:color="auto"/>
            </w:tcBorders>
          </w:tcPr>
          <w:p w:rsidR="00A12E20" w:rsidRPr="00DB58B5" w:rsidRDefault="00A12E20" w:rsidP="00E6618E">
            <w:pPr>
              <w:spacing w:before="120"/>
              <w:jc w:val="center"/>
            </w:pPr>
          </w:p>
        </w:tc>
        <w:tc>
          <w:tcPr>
            <w:tcW w:w="5528" w:type="dxa"/>
            <w:gridSpan w:val="2"/>
            <w:tcBorders>
              <w:top w:val="single" w:sz="4" w:space="0" w:color="auto"/>
              <w:bottom w:val="single" w:sz="12" w:space="0" w:color="auto"/>
            </w:tcBorders>
          </w:tcPr>
          <w:p w:rsidR="00A12E20" w:rsidRPr="00740562" w:rsidRDefault="000A6B23" w:rsidP="00E6618E">
            <w:pPr>
              <w:spacing w:before="120" w:line="420" w:lineRule="exact"/>
              <w:rPr>
                <w:b/>
                <w:sz w:val="40"/>
                <w:szCs w:val="40"/>
              </w:rPr>
            </w:pPr>
            <w:r>
              <w:rPr>
                <w:b/>
                <w:sz w:val="40"/>
                <w:szCs w:val="40"/>
              </w:rPr>
              <w:t xml:space="preserve">Advance </w:t>
            </w:r>
            <w:proofErr w:type="spellStart"/>
            <w:r>
              <w:rPr>
                <w:b/>
                <w:sz w:val="40"/>
                <w:szCs w:val="40"/>
              </w:rPr>
              <w:t>edi</w:t>
            </w:r>
            <w:bookmarkStart w:id="0" w:name="_GoBack"/>
            <w:bookmarkEnd w:id="0"/>
            <w:r>
              <w:rPr>
                <w:b/>
                <w:sz w:val="40"/>
                <w:szCs w:val="40"/>
              </w:rPr>
              <w:t>ted</w:t>
            </w:r>
            <w:proofErr w:type="spellEnd"/>
            <w:r>
              <w:rPr>
                <w:b/>
                <w:sz w:val="40"/>
                <w:szCs w:val="40"/>
              </w:rPr>
              <w:t xml:space="preserve"> version</w:t>
            </w:r>
          </w:p>
        </w:tc>
        <w:tc>
          <w:tcPr>
            <w:tcW w:w="2835" w:type="dxa"/>
            <w:tcBorders>
              <w:top w:val="single" w:sz="4" w:space="0" w:color="auto"/>
              <w:bottom w:val="single" w:sz="12" w:space="0" w:color="auto"/>
            </w:tcBorders>
          </w:tcPr>
          <w:p w:rsidR="00A12E20" w:rsidRDefault="000B0FA8" w:rsidP="00E6618E">
            <w:pPr>
              <w:spacing w:before="240"/>
            </w:pPr>
            <w:proofErr w:type="spellStart"/>
            <w:r>
              <w:t>Distr</w:t>
            </w:r>
            <w:proofErr w:type="spellEnd"/>
            <w:r>
              <w:t>. générale</w:t>
            </w:r>
          </w:p>
          <w:p w:rsidR="000B0FA8" w:rsidRDefault="00FD0765" w:rsidP="000B0FA8">
            <w:pPr>
              <w:spacing w:line="240" w:lineRule="exact"/>
            </w:pPr>
            <w:r>
              <w:t>8</w:t>
            </w:r>
            <w:r w:rsidR="000B0FA8">
              <w:t xml:space="preserve"> mars 2017</w:t>
            </w:r>
          </w:p>
          <w:p w:rsidR="00703450" w:rsidRDefault="00703450" w:rsidP="000B0FA8">
            <w:pPr>
              <w:spacing w:line="240" w:lineRule="exact"/>
            </w:pPr>
          </w:p>
          <w:p w:rsidR="000B0FA8" w:rsidRPr="00DB58B5" w:rsidRDefault="000B0FA8" w:rsidP="000B0FA8">
            <w:pPr>
              <w:spacing w:line="240" w:lineRule="exact"/>
            </w:pPr>
            <w:r>
              <w:t>Original : français</w:t>
            </w:r>
          </w:p>
        </w:tc>
      </w:tr>
    </w:tbl>
    <w:p w:rsidR="00D45432" w:rsidRDefault="00D45432" w:rsidP="00D45432">
      <w:pPr>
        <w:spacing w:before="120"/>
        <w:rPr>
          <w:b/>
          <w:sz w:val="24"/>
          <w:szCs w:val="24"/>
        </w:rPr>
      </w:pPr>
      <w:r w:rsidRPr="00BA184E">
        <w:rPr>
          <w:b/>
          <w:sz w:val="24"/>
          <w:szCs w:val="24"/>
        </w:rPr>
        <w:t>Conseil des droits de l’homme</w:t>
      </w:r>
    </w:p>
    <w:p w:rsidR="000B0FA8" w:rsidRPr="009E690C" w:rsidRDefault="000B0FA8" w:rsidP="000B0FA8">
      <w:pPr>
        <w:rPr>
          <w:b/>
        </w:rPr>
      </w:pPr>
      <w:r w:rsidRPr="009E690C">
        <w:rPr>
          <w:b/>
        </w:rPr>
        <w:t>Trente-quatrième session</w:t>
      </w:r>
    </w:p>
    <w:p w:rsidR="000B0FA8" w:rsidRDefault="000B0FA8" w:rsidP="000B0FA8">
      <w:r>
        <w:t>27 février-24 mars 2017</w:t>
      </w:r>
    </w:p>
    <w:p w:rsidR="000B0FA8" w:rsidRPr="009E690C" w:rsidRDefault="000B0FA8" w:rsidP="000B0FA8">
      <w:r w:rsidRPr="009E690C">
        <w:t>Point 10 de l</w:t>
      </w:r>
      <w:r>
        <w:t>’</w:t>
      </w:r>
      <w:r w:rsidRPr="009E690C">
        <w:t>ordre du jour</w:t>
      </w:r>
    </w:p>
    <w:p w:rsidR="000B0FA8" w:rsidRPr="009E690C" w:rsidRDefault="000B0FA8" w:rsidP="000B0FA8">
      <w:pPr>
        <w:rPr>
          <w:b/>
        </w:rPr>
      </w:pPr>
      <w:r w:rsidRPr="009E690C">
        <w:rPr>
          <w:b/>
        </w:rPr>
        <w:t>Assistance technique et renforcement des capacités</w:t>
      </w:r>
    </w:p>
    <w:p w:rsidR="000B0FA8" w:rsidRPr="009E690C" w:rsidRDefault="000B0FA8" w:rsidP="00703450">
      <w:pPr>
        <w:pStyle w:val="HChG"/>
        <w:rPr>
          <w:sz w:val="20"/>
        </w:rPr>
      </w:pPr>
      <w:r w:rsidRPr="009E690C">
        <w:tab/>
      </w:r>
      <w:r w:rsidRPr="009E690C">
        <w:tab/>
        <w:t>Rapport de l</w:t>
      </w:r>
      <w:r>
        <w:t>’</w:t>
      </w:r>
      <w:r w:rsidRPr="009E690C">
        <w:t xml:space="preserve">Expert indépendant sur la situation </w:t>
      </w:r>
      <w:r w:rsidR="00E21C2F">
        <w:br/>
      </w:r>
      <w:r>
        <w:t>des droits de l’homme en Haïti</w:t>
      </w:r>
      <w:r w:rsidRPr="00703450">
        <w:rPr>
          <w:rStyle w:val="FootnoteReference"/>
          <w:b w:val="0"/>
          <w:bCs/>
          <w:sz w:val="20"/>
          <w:vertAlign w:val="baseline"/>
        </w:rPr>
        <w:footnoteReference w:customMarkFollows="1" w:id="2"/>
        <w:t>*</w:t>
      </w:r>
    </w:p>
    <w:p w:rsidR="000B0FA8" w:rsidRPr="009E690C" w:rsidRDefault="000B0FA8" w:rsidP="00E21C2F">
      <w:pPr>
        <w:pStyle w:val="H1G"/>
      </w:pPr>
      <w:r w:rsidRPr="009E690C">
        <w:tab/>
      </w:r>
      <w:r w:rsidRPr="009E690C">
        <w:tab/>
        <w:t>Note du Secrétariat</w:t>
      </w:r>
    </w:p>
    <w:p w:rsidR="000B0FA8" w:rsidRPr="009E690C" w:rsidRDefault="000B0FA8" w:rsidP="000B0FA8">
      <w:pPr>
        <w:pStyle w:val="SingleTxtG"/>
        <w:ind w:firstLine="567"/>
      </w:pPr>
      <w:r w:rsidRPr="009E690C">
        <w:t>L</w:t>
      </w:r>
      <w:r>
        <w:t>’</w:t>
      </w:r>
      <w:r w:rsidRPr="009E690C">
        <w:t>Expert indépendant sur la situation des droits de l</w:t>
      </w:r>
      <w:r>
        <w:t>’</w:t>
      </w:r>
      <w:r w:rsidRPr="009E690C">
        <w:t xml:space="preserve">homme en Haïti continue à considérer que </w:t>
      </w:r>
      <w:r>
        <w:t>la</w:t>
      </w:r>
      <w:r w:rsidRPr="009E690C">
        <w:t xml:space="preserve"> situation est complexe mais surmontable, à condition que tous les efforts pour y </w:t>
      </w:r>
      <w:r>
        <w:t>parvenir</w:t>
      </w:r>
      <w:r w:rsidRPr="009E690C">
        <w:t xml:space="preserve"> soient coordonnés dans une même direction. </w:t>
      </w:r>
    </w:p>
    <w:p w:rsidR="000B0FA8" w:rsidRPr="009E690C" w:rsidRDefault="000B0FA8" w:rsidP="000B0FA8">
      <w:pPr>
        <w:pStyle w:val="SingleTxtG"/>
        <w:ind w:firstLine="567"/>
      </w:pPr>
      <w:r w:rsidRPr="009E690C">
        <w:t>Avant tout, l</w:t>
      </w:r>
      <w:r>
        <w:t>’</w:t>
      </w:r>
      <w:r w:rsidRPr="009E690C">
        <w:t xml:space="preserve">Expert indépendant insiste sur des recommandations visant à alphabétiser la population dans un délai raisonnablement court, améliorer les conditions </w:t>
      </w:r>
      <w:r>
        <w:t xml:space="preserve">de détention </w:t>
      </w:r>
      <w:r w:rsidRPr="009E690C">
        <w:t>inhumaines</w:t>
      </w:r>
      <w:r>
        <w:t>,</w:t>
      </w:r>
      <w:r w:rsidRPr="009E690C">
        <w:t xml:space="preserve"> et notamment </w:t>
      </w:r>
      <w:r>
        <w:t xml:space="preserve">la situation </w:t>
      </w:r>
      <w:r w:rsidRPr="009E690C">
        <w:t xml:space="preserve">des personnes en détention préventive prolongée, créer une commission de vérité, justice et réparation pour les violations commises dans le passé, et garantir un logement digne </w:t>
      </w:r>
      <w:r>
        <w:t>aux</w:t>
      </w:r>
      <w:r w:rsidRPr="009E690C">
        <w:t xml:space="preserve"> personnes déplacées. </w:t>
      </w:r>
    </w:p>
    <w:p w:rsidR="000B0FA8" w:rsidRPr="009E690C" w:rsidRDefault="000B0FA8" w:rsidP="000B0FA8">
      <w:pPr>
        <w:pStyle w:val="SingleTxtG"/>
        <w:ind w:firstLine="567"/>
      </w:pPr>
      <w:r w:rsidRPr="009E690C">
        <w:t xml:space="preserve">Ces recommandations sont basées sur </w:t>
      </w:r>
      <w:r>
        <w:t>l’</w:t>
      </w:r>
      <w:r w:rsidRPr="009E690C">
        <w:t xml:space="preserve">appel </w:t>
      </w:r>
      <w:r>
        <w:t xml:space="preserve">de l’Expert indépendant </w:t>
      </w:r>
      <w:r w:rsidRPr="009E690C">
        <w:t>à surmonter l</w:t>
      </w:r>
      <w:r>
        <w:t>’</w:t>
      </w:r>
      <w:r w:rsidRPr="009E690C">
        <w:t xml:space="preserve">extrême inégalité structurelle qui </w:t>
      </w:r>
      <w:r>
        <w:t>touche</w:t>
      </w:r>
      <w:r w:rsidRPr="009E690C">
        <w:t xml:space="preserve"> la société et les institutions du pays, ce qui devrait focaliser l</w:t>
      </w:r>
      <w:r>
        <w:t>’</w:t>
      </w:r>
      <w:r w:rsidRPr="009E690C">
        <w:t>attention sur cinq axes prioritaires indiqués dans ses précédents rapports</w:t>
      </w:r>
      <w:r>
        <w:t> </w:t>
      </w:r>
      <w:r w:rsidRPr="009E690C">
        <w:t>: les droits sociaux, économiques et culturels</w:t>
      </w:r>
      <w:r>
        <w:t> </w:t>
      </w:r>
      <w:r w:rsidRPr="009E690C">
        <w:t>; les conditions de privation de liberté</w:t>
      </w:r>
      <w:r>
        <w:t> </w:t>
      </w:r>
      <w:r w:rsidRPr="009E690C">
        <w:t>; l</w:t>
      </w:r>
      <w:r>
        <w:t>’</w:t>
      </w:r>
      <w:r w:rsidRPr="009E690C">
        <w:t>état de droit et de solidité institutionnelle</w:t>
      </w:r>
      <w:r>
        <w:t> </w:t>
      </w:r>
      <w:r w:rsidRPr="009E690C">
        <w:t>; le fonctionnement de l</w:t>
      </w:r>
      <w:r>
        <w:t>’</w:t>
      </w:r>
      <w:r w:rsidRPr="009E690C">
        <w:t>administration de</w:t>
      </w:r>
      <w:r>
        <w:t xml:space="preserve"> la</w:t>
      </w:r>
      <w:r w:rsidRPr="009E690C">
        <w:t xml:space="preserve"> justice</w:t>
      </w:r>
      <w:r>
        <w:t> </w:t>
      </w:r>
      <w:r w:rsidRPr="009E690C">
        <w:t>; et l</w:t>
      </w:r>
      <w:r>
        <w:t>’</w:t>
      </w:r>
      <w:r w:rsidRPr="009E690C">
        <w:t>environnement, l</w:t>
      </w:r>
      <w:r>
        <w:t>’</w:t>
      </w:r>
      <w:r w:rsidRPr="009E690C">
        <w:t xml:space="preserve">habitat territorial et la migration haïtienne. </w:t>
      </w:r>
    </w:p>
    <w:p w:rsidR="000B0FA8" w:rsidRPr="009E690C" w:rsidRDefault="000B0FA8" w:rsidP="000B0FA8">
      <w:pPr>
        <w:pStyle w:val="SingleTxtG"/>
        <w:ind w:firstLine="567"/>
      </w:pPr>
      <w:r w:rsidRPr="009E690C">
        <w:t>Dans le présent rapport, l</w:t>
      </w:r>
      <w:r>
        <w:t>’</w:t>
      </w:r>
      <w:r w:rsidRPr="009E690C">
        <w:t xml:space="preserve">Expert indépendant souligne </w:t>
      </w:r>
      <w:r>
        <w:t>l</w:t>
      </w:r>
      <w:r w:rsidRPr="009E690C">
        <w:t xml:space="preserve">es progrès </w:t>
      </w:r>
      <w:r>
        <w:t xml:space="preserve">réalisés </w:t>
      </w:r>
      <w:r w:rsidRPr="009E690C">
        <w:t>dans deux domaines particuliers</w:t>
      </w:r>
      <w:r>
        <w:t> </w:t>
      </w:r>
      <w:r w:rsidRPr="009E690C">
        <w:t xml:space="preserve">: </w:t>
      </w:r>
      <w:r>
        <w:t>l</w:t>
      </w:r>
      <w:r w:rsidRPr="009E690C">
        <w:t>es élections (liées à l</w:t>
      </w:r>
      <w:r>
        <w:t>’</w:t>
      </w:r>
      <w:r w:rsidRPr="009E690C">
        <w:t xml:space="preserve">état de droit) et </w:t>
      </w:r>
      <w:r>
        <w:t>le</w:t>
      </w:r>
      <w:r w:rsidRPr="009E690C">
        <w:t xml:space="preserve"> choléra (lié aux droits des personnes affectées par des facteurs autres que l</w:t>
      </w:r>
      <w:r>
        <w:t>’</w:t>
      </w:r>
      <w:r w:rsidRPr="009E690C">
        <w:t>État haïtien). Il insiste tout de même sur l</w:t>
      </w:r>
      <w:r>
        <w:t>’</w:t>
      </w:r>
      <w:r w:rsidRPr="009E690C">
        <w:t>urgence d</w:t>
      </w:r>
      <w:r>
        <w:t>’</w:t>
      </w:r>
      <w:r w:rsidRPr="009E690C">
        <w:t>assurer un gouvernement stable aussi bien que d</w:t>
      </w:r>
      <w:r>
        <w:t xml:space="preserve">’octroyer des </w:t>
      </w:r>
      <w:r w:rsidRPr="009E690C">
        <w:t>répar</w:t>
      </w:r>
      <w:r>
        <w:t>ations aux</w:t>
      </w:r>
      <w:r w:rsidRPr="009E690C">
        <w:t xml:space="preserve"> victimes du choléra. </w:t>
      </w:r>
    </w:p>
    <w:p w:rsidR="000B0FA8" w:rsidRPr="009E690C" w:rsidRDefault="000B0FA8" w:rsidP="000B0FA8">
      <w:pPr>
        <w:pStyle w:val="SingleTxtG"/>
        <w:ind w:firstLine="567"/>
      </w:pPr>
      <w:r w:rsidRPr="009E690C">
        <w:t>L</w:t>
      </w:r>
      <w:r>
        <w:t>’</w:t>
      </w:r>
      <w:r w:rsidRPr="009E690C">
        <w:t>Expert indépendant a visité les prisons de Croix</w:t>
      </w:r>
      <w:r>
        <w:t>-</w:t>
      </w:r>
      <w:r w:rsidRPr="009E690C">
        <w:t>de</w:t>
      </w:r>
      <w:r>
        <w:t>s-</w:t>
      </w:r>
      <w:r w:rsidRPr="009E690C">
        <w:t>Bouquet</w:t>
      </w:r>
      <w:r>
        <w:t>s</w:t>
      </w:r>
      <w:r w:rsidRPr="009E690C">
        <w:t xml:space="preserve"> et de Cabaret. </w:t>
      </w:r>
      <w:r w:rsidR="00E21C2F" w:rsidRPr="009E690C">
        <w:t>Il</w:t>
      </w:r>
      <w:r w:rsidR="00E21C2F">
        <w:t> </w:t>
      </w:r>
      <w:r w:rsidRPr="009E690C">
        <w:t>réitère l</w:t>
      </w:r>
      <w:r>
        <w:t>’</w:t>
      </w:r>
      <w:r w:rsidRPr="009E690C">
        <w:t>urgence de mettre fin à la situation de détention préventive prolongée. Il a visité aussi un camp de personnes rentrées de République dominicaine. Leur situation est très précaire et elles risquent de se retrouver en situation d</w:t>
      </w:r>
      <w:r>
        <w:t>’</w:t>
      </w:r>
      <w:r w:rsidRPr="009E690C">
        <w:t xml:space="preserve">apatridie. </w:t>
      </w:r>
    </w:p>
    <w:p w:rsidR="000B0FA8" w:rsidRPr="009E690C" w:rsidRDefault="000B0FA8" w:rsidP="000B0FA8">
      <w:pPr>
        <w:pStyle w:val="SingleTxtG"/>
        <w:ind w:firstLine="567"/>
      </w:pPr>
      <w:r w:rsidRPr="009E690C">
        <w:t>L</w:t>
      </w:r>
      <w:r>
        <w:t>’</w:t>
      </w:r>
      <w:r w:rsidRPr="009E690C">
        <w:t>Expert indépendant s</w:t>
      </w:r>
      <w:r>
        <w:t>’</w:t>
      </w:r>
      <w:r w:rsidRPr="009E690C">
        <w:t xml:space="preserve">est </w:t>
      </w:r>
      <w:r>
        <w:t>rendu dans</w:t>
      </w:r>
      <w:r w:rsidRPr="009E690C">
        <w:t xml:space="preserve"> la région de </w:t>
      </w:r>
      <w:proofErr w:type="spellStart"/>
      <w:r w:rsidRPr="009E690C">
        <w:t>Grand</w:t>
      </w:r>
      <w:r>
        <w:t>’</w:t>
      </w:r>
      <w:r w:rsidRPr="009E690C">
        <w:t>Anse</w:t>
      </w:r>
      <w:proofErr w:type="spellEnd"/>
      <w:r>
        <w:t>,</w:t>
      </w:r>
      <w:r w:rsidRPr="009E690C">
        <w:t xml:space="preserve"> où il a visité un abri à Jérémie et a pu con</w:t>
      </w:r>
      <w:r>
        <w:t>stater</w:t>
      </w:r>
      <w:r w:rsidRPr="009E690C">
        <w:t xml:space="preserve"> la difficile situation des personnes </w:t>
      </w:r>
      <w:r>
        <w:t>touchées</w:t>
      </w:r>
      <w:r w:rsidRPr="009E690C">
        <w:t xml:space="preserve"> par l</w:t>
      </w:r>
      <w:r>
        <w:t>’</w:t>
      </w:r>
      <w:r w:rsidRPr="009E690C">
        <w:t xml:space="preserve">ouragan. </w:t>
      </w:r>
      <w:r w:rsidR="00E21C2F" w:rsidRPr="009E690C">
        <w:t>Il</w:t>
      </w:r>
      <w:r w:rsidR="00E21C2F">
        <w:t> </w:t>
      </w:r>
      <w:r w:rsidRPr="009E690C">
        <w:t>appel</w:t>
      </w:r>
      <w:r>
        <w:t>le</w:t>
      </w:r>
      <w:r w:rsidRPr="009E690C">
        <w:t xml:space="preserve"> à redoubler </w:t>
      </w:r>
      <w:r>
        <w:t>d’</w:t>
      </w:r>
      <w:r w:rsidRPr="009E690C">
        <w:t>efforts pour répondre aux besoins les plus urgents des victimes de cette catastrophe.</w:t>
      </w:r>
    </w:p>
    <w:p w:rsidR="000B0FA8" w:rsidRPr="009E690C" w:rsidRDefault="000B0FA8" w:rsidP="00703450">
      <w:pPr>
        <w:pStyle w:val="SingleTxtG"/>
        <w:keepLines/>
        <w:ind w:firstLine="567"/>
      </w:pPr>
      <w:r w:rsidRPr="009E690C">
        <w:lastRenderedPageBreak/>
        <w:t>Pour coordonner ces actions urgentes, l</w:t>
      </w:r>
      <w:r>
        <w:t>’</w:t>
      </w:r>
      <w:r w:rsidRPr="009E690C">
        <w:t>Expert indépendant souligne encore une fois la nécessité de reconduire le poste de Ministre des droits de l</w:t>
      </w:r>
      <w:r>
        <w:t>’</w:t>
      </w:r>
      <w:r w:rsidRPr="009E690C">
        <w:t>homme (ou un mécanisme similaire) et d</w:t>
      </w:r>
      <w:r>
        <w:t>’élaborer</w:t>
      </w:r>
      <w:r w:rsidRPr="009E690C">
        <w:t xml:space="preserve"> une politique des droits humains et un plan d</w:t>
      </w:r>
      <w:r>
        <w:t>’</w:t>
      </w:r>
      <w:r w:rsidRPr="009E690C">
        <w:t>action qui prennent en considération les recommandations faites par l</w:t>
      </w:r>
      <w:r>
        <w:t>’</w:t>
      </w:r>
      <w:r w:rsidRPr="009E690C">
        <w:t>Expert indépendant ainsi que par d</w:t>
      </w:r>
      <w:r>
        <w:t>’</w:t>
      </w:r>
      <w:r w:rsidRPr="009E690C">
        <w:t>autres titulaires de mandats et les organes conventionnels.</w:t>
      </w:r>
    </w:p>
    <w:p w:rsidR="000B0FA8" w:rsidRPr="009E690C" w:rsidRDefault="000B0FA8" w:rsidP="000765C3">
      <w:pPr>
        <w:pStyle w:val="HChG"/>
      </w:pPr>
      <w:r w:rsidRPr="009E690C">
        <w:br w:type="page"/>
      </w:r>
      <w:r w:rsidRPr="009E690C">
        <w:lastRenderedPageBreak/>
        <w:tab/>
      </w:r>
      <w:r w:rsidRPr="009E690C">
        <w:tab/>
        <w:t>Rapport de l</w:t>
      </w:r>
      <w:r>
        <w:t>’</w:t>
      </w:r>
      <w:r w:rsidRPr="009E690C">
        <w:t xml:space="preserve">Expert indépendant sur la situation </w:t>
      </w:r>
      <w:r w:rsidR="000765C3">
        <w:br/>
      </w:r>
      <w:r w:rsidRPr="009E690C">
        <w:t xml:space="preserve">des droits de </w:t>
      </w:r>
      <w:r>
        <w:t>l’homme en Haïti</w:t>
      </w:r>
    </w:p>
    <w:p w:rsidR="000B0FA8" w:rsidRPr="009E690C" w:rsidRDefault="000B0FA8" w:rsidP="000B0FA8">
      <w:pPr>
        <w:spacing w:after="120"/>
        <w:rPr>
          <w:sz w:val="28"/>
        </w:rPr>
      </w:pPr>
      <w:r w:rsidRPr="009E690C">
        <w:rPr>
          <w:sz w:val="28"/>
        </w:rPr>
        <w:t>Table des matières</w:t>
      </w:r>
    </w:p>
    <w:p w:rsidR="000B0FA8" w:rsidRPr="00BD10DE" w:rsidRDefault="000B0FA8" w:rsidP="000B0FA8">
      <w:pPr>
        <w:spacing w:after="120"/>
        <w:jc w:val="right"/>
        <w:rPr>
          <w:sz w:val="18"/>
          <w:szCs w:val="18"/>
        </w:rPr>
      </w:pPr>
      <w:r w:rsidRPr="00BD10DE">
        <w:rPr>
          <w:i/>
          <w:sz w:val="18"/>
          <w:szCs w:val="18"/>
        </w:rPr>
        <w:t>Page</w:t>
      </w:r>
    </w:p>
    <w:p w:rsidR="000B0FA8" w:rsidRPr="00BD10DE" w:rsidRDefault="000B0FA8" w:rsidP="00703450">
      <w:pPr>
        <w:tabs>
          <w:tab w:val="right" w:pos="850"/>
          <w:tab w:val="right" w:leader="dot" w:pos="8787"/>
          <w:tab w:val="right" w:pos="9638"/>
        </w:tabs>
        <w:spacing w:after="120"/>
        <w:ind w:left="1134" w:hanging="1134"/>
        <w:rPr>
          <w:lang w:val="fr-FR"/>
        </w:rPr>
      </w:pPr>
      <w:r w:rsidRPr="00BD10DE">
        <w:rPr>
          <w:lang w:val="fr-FR"/>
        </w:rPr>
        <w:tab/>
        <w:t>I.</w:t>
      </w:r>
      <w:r w:rsidRPr="00BD10DE">
        <w:rPr>
          <w:lang w:val="fr-FR"/>
        </w:rPr>
        <w:tab/>
        <w:t>Introduction</w:t>
      </w:r>
      <w:r w:rsidRPr="00BD10DE">
        <w:rPr>
          <w:lang w:val="fr-FR"/>
        </w:rPr>
        <w:tab/>
      </w:r>
      <w:r w:rsidRPr="00BD10DE">
        <w:rPr>
          <w:lang w:val="fr-FR"/>
        </w:rPr>
        <w:tab/>
        <w:t>4</w:t>
      </w:r>
    </w:p>
    <w:p w:rsidR="000B0FA8" w:rsidRPr="00BD10DE" w:rsidRDefault="000B0FA8" w:rsidP="00703450">
      <w:pPr>
        <w:tabs>
          <w:tab w:val="right" w:pos="850"/>
          <w:tab w:val="right" w:leader="dot" w:pos="8787"/>
          <w:tab w:val="right" w:pos="9638"/>
        </w:tabs>
        <w:spacing w:after="120"/>
        <w:ind w:left="1134" w:hanging="1134"/>
        <w:rPr>
          <w:lang w:val="fr-FR"/>
        </w:rPr>
      </w:pPr>
      <w:r w:rsidRPr="00BD10DE">
        <w:rPr>
          <w:lang w:val="fr-FR"/>
        </w:rPr>
        <w:tab/>
        <w:t>II.</w:t>
      </w:r>
      <w:r w:rsidRPr="00BD10DE">
        <w:rPr>
          <w:lang w:val="fr-FR"/>
        </w:rPr>
        <w:tab/>
        <w:t xml:space="preserve">Cinq aspects </w:t>
      </w:r>
      <w:r>
        <w:rPr>
          <w:lang w:val="fr-FR"/>
        </w:rPr>
        <w:t xml:space="preserve">clés </w:t>
      </w:r>
      <w:r w:rsidRPr="00BD10DE">
        <w:rPr>
          <w:lang w:val="fr-FR"/>
        </w:rPr>
        <w:t>de la situation des droits humains en Haïti</w:t>
      </w:r>
      <w:r w:rsidRPr="00BD10DE">
        <w:rPr>
          <w:lang w:val="fr-FR"/>
        </w:rPr>
        <w:tab/>
      </w:r>
      <w:r w:rsidRPr="00BD10DE">
        <w:rPr>
          <w:lang w:val="fr-FR"/>
        </w:rPr>
        <w:tab/>
        <w:t>5</w:t>
      </w:r>
    </w:p>
    <w:p w:rsidR="000B0FA8" w:rsidRPr="00BD10DE" w:rsidRDefault="000B0FA8" w:rsidP="00703450">
      <w:pPr>
        <w:tabs>
          <w:tab w:val="right" w:leader="dot" w:pos="8787"/>
          <w:tab w:val="right" w:pos="9638"/>
        </w:tabs>
        <w:spacing w:after="120"/>
        <w:ind w:left="1559" w:hanging="425"/>
        <w:rPr>
          <w:lang w:val="fr-FR"/>
        </w:rPr>
      </w:pPr>
      <w:r w:rsidRPr="00BD10DE">
        <w:rPr>
          <w:lang w:val="fr-FR"/>
        </w:rPr>
        <w:t>A.</w:t>
      </w:r>
      <w:r w:rsidRPr="00BD10DE">
        <w:rPr>
          <w:lang w:val="fr-FR"/>
        </w:rPr>
        <w:tab/>
        <w:t>Alphabétisation, inégalité sociale et droits économiques, sociaux et culturels</w:t>
      </w:r>
      <w:r w:rsidRPr="00BD10DE">
        <w:rPr>
          <w:lang w:val="fr-FR"/>
        </w:rPr>
        <w:tab/>
      </w:r>
      <w:r>
        <w:rPr>
          <w:lang w:val="fr-FR"/>
        </w:rPr>
        <w:tab/>
      </w:r>
      <w:r w:rsidRPr="00BD10DE">
        <w:rPr>
          <w:lang w:val="fr-FR"/>
        </w:rPr>
        <w:t>8</w:t>
      </w:r>
    </w:p>
    <w:p w:rsidR="000B0FA8" w:rsidRPr="00BD10DE" w:rsidRDefault="000B0FA8" w:rsidP="00703450">
      <w:pPr>
        <w:tabs>
          <w:tab w:val="right" w:leader="dot" w:pos="8787"/>
          <w:tab w:val="right" w:pos="9638"/>
        </w:tabs>
        <w:spacing w:after="120"/>
        <w:ind w:left="1559" w:hanging="425"/>
        <w:rPr>
          <w:lang w:val="fr-FR"/>
        </w:rPr>
      </w:pPr>
      <w:r w:rsidRPr="00BD10DE">
        <w:rPr>
          <w:lang w:val="fr-FR"/>
        </w:rPr>
        <w:t>B.</w:t>
      </w:r>
      <w:r w:rsidRPr="00BD10DE">
        <w:rPr>
          <w:lang w:val="fr-FR"/>
        </w:rPr>
        <w:tab/>
        <w:t>Détention préventive prolongée et conditions de détention</w:t>
      </w:r>
      <w:r>
        <w:rPr>
          <w:lang w:val="fr-FR"/>
        </w:rPr>
        <w:t xml:space="preserve"> inhumaines</w:t>
      </w:r>
      <w:r w:rsidRPr="00BD10DE">
        <w:rPr>
          <w:lang w:val="fr-FR"/>
        </w:rPr>
        <w:tab/>
      </w:r>
      <w:r w:rsidRPr="00BD10DE">
        <w:rPr>
          <w:lang w:val="fr-FR"/>
        </w:rPr>
        <w:tab/>
        <w:t>9</w:t>
      </w:r>
    </w:p>
    <w:p w:rsidR="000B0FA8" w:rsidRPr="00BD10DE" w:rsidRDefault="000B0FA8" w:rsidP="00703450">
      <w:pPr>
        <w:tabs>
          <w:tab w:val="right" w:leader="dot" w:pos="8787"/>
          <w:tab w:val="right" w:pos="9638"/>
        </w:tabs>
        <w:spacing w:after="120"/>
        <w:ind w:left="1559" w:hanging="425"/>
        <w:rPr>
          <w:lang w:val="fr-FR"/>
        </w:rPr>
      </w:pPr>
      <w:r w:rsidRPr="00BD10DE">
        <w:rPr>
          <w:lang w:val="fr-FR"/>
        </w:rPr>
        <w:t>C.</w:t>
      </w:r>
      <w:r w:rsidRPr="00BD10DE">
        <w:rPr>
          <w:lang w:val="fr-FR"/>
        </w:rPr>
        <w:tab/>
        <w:t>Élections et état de droit</w:t>
      </w:r>
      <w:r w:rsidRPr="00BD10DE">
        <w:rPr>
          <w:lang w:val="fr-FR"/>
        </w:rPr>
        <w:tab/>
      </w:r>
      <w:r w:rsidRPr="00BD10DE">
        <w:rPr>
          <w:lang w:val="fr-FR"/>
        </w:rPr>
        <w:tab/>
        <w:t>1</w:t>
      </w:r>
      <w:r w:rsidR="000A36E9">
        <w:rPr>
          <w:lang w:val="fr-FR"/>
        </w:rPr>
        <w:t>1</w:t>
      </w:r>
    </w:p>
    <w:p w:rsidR="000B0FA8" w:rsidRPr="00BD10DE" w:rsidRDefault="000B0FA8" w:rsidP="00703450">
      <w:pPr>
        <w:tabs>
          <w:tab w:val="right" w:leader="dot" w:pos="8787"/>
          <w:tab w:val="right" w:pos="9638"/>
        </w:tabs>
        <w:spacing w:after="120"/>
        <w:ind w:left="1559" w:hanging="425"/>
        <w:rPr>
          <w:lang w:val="fr-FR"/>
        </w:rPr>
      </w:pPr>
      <w:r w:rsidRPr="00BD10DE">
        <w:rPr>
          <w:lang w:val="fr-FR"/>
        </w:rPr>
        <w:t>D.</w:t>
      </w:r>
      <w:r w:rsidRPr="00BD10DE">
        <w:rPr>
          <w:lang w:val="fr-FR"/>
        </w:rPr>
        <w:tab/>
      </w:r>
      <w:r>
        <w:rPr>
          <w:lang w:val="fr-FR"/>
        </w:rPr>
        <w:t>I</w:t>
      </w:r>
      <w:r w:rsidRPr="00BD10DE">
        <w:rPr>
          <w:lang w:val="fr-FR"/>
        </w:rPr>
        <w:t xml:space="preserve">mpunité et </w:t>
      </w:r>
      <w:r>
        <w:rPr>
          <w:lang w:val="fr-FR"/>
        </w:rPr>
        <w:t xml:space="preserve">crédibilité du </w:t>
      </w:r>
      <w:r w:rsidRPr="00BD10DE">
        <w:rPr>
          <w:lang w:val="fr-FR"/>
        </w:rPr>
        <w:t>système judiciaire</w:t>
      </w:r>
      <w:r w:rsidRPr="00BD10DE">
        <w:rPr>
          <w:lang w:val="fr-FR"/>
        </w:rPr>
        <w:tab/>
      </w:r>
      <w:r w:rsidRPr="00BD10DE">
        <w:rPr>
          <w:lang w:val="fr-FR"/>
        </w:rPr>
        <w:tab/>
        <w:t>1</w:t>
      </w:r>
      <w:r w:rsidR="000A36E9">
        <w:rPr>
          <w:lang w:val="fr-FR"/>
        </w:rPr>
        <w:t>4</w:t>
      </w:r>
    </w:p>
    <w:p w:rsidR="000B0FA8" w:rsidRPr="00BD10DE" w:rsidRDefault="000B0FA8" w:rsidP="00703450">
      <w:pPr>
        <w:tabs>
          <w:tab w:val="right" w:leader="dot" w:pos="8787"/>
          <w:tab w:val="right" w:pos="9638"/>
        </w:tabs>
        <w:spacing w:after="120"/>
        <w:ind w:left="1559" w:hanging="425"/>
        <w:rPr>
          <w:lang w:val="fr-FR"/>
        </w:rPr>
      </w:pPr>
      <w:r w:rsidRPr="00BD10DE">
        <w:rPr>
          <w:lang w:val="fr-FR"/>
        </w:rPr>
        <w:t>E.</w:t>
      </w:r>
      <w:r w:rsidRPr="00BD10DE">
        <w:rPr>
          <w:lang w:val="fr-FR"/>
        </w:rPr>
        <w:tab/>
      </w:r>
      <w:r>
        <w:rPr>
          <w:lang w:val="fr-FR"/>
        </w:rPr>
        <w:t>T</w:t>
      </w:r>
      <w:r w:rsidRPr="00BD10DE">
        <w:rPr>
          <w:lang w:val="fr-FR"/>
        </w:rPr>
        <w:t>ragédies humanitaires liées à d</w:t>
      </w:r>
      <w:r>
        <w:rPr>
          <w:lang w:val="fr-FR"/>
        </w:rPr>
        <w:t>’</w:t>
      </w:r>
      <w:r w:rsidRPr="00BD10DE">
        <w:rPr>
          <w:lang w:val="fr-FR"/>
        </w:rPr>
        <w:t>autres facteurs ou acteurs affectant les</w:t>
      </w:r>
      <w:r>
        <w:rPr>
          <w:lang w:val="fr-FR"/>
        </w:rPr>
        <w:t xml:space="preserve"> </w:t>
      </w:r>
      <w:r w:rsidRPr="00BD10DE">
        <w:rPr>
          <w:lang w:val="fr-FR"/>
        </w:rPr>
        <w:t>droits humains</w:t>
      </w:r>
      <w:r w:rsidRPr="00BD10DE">
        <w:rPr>
          <w:lang w:val="fr-FR"/>
        </w:rPr>
        <w:tab/>
      </w:r>
      <w:r w:rsidRPr="00BD10DE">
        <w:rPr>
          <w:lang w:val="fr-FR"/>
        </w:rPr>
        <w:tab/>
        <w:t>1</w:t>
      </w:r>
      <w:r w:rsidR="000A36E9">
        <w:rPr>
          <w:lang w:val="fr-FR"/>
        </w:rPr>
        <w:t>4</w:t>
      </w:r>
    </w:p>
    <w:p w:rsidR="000B0FA8" w:rsidRPr="00BD10DE" w:rsidRDefault="000B0FA8" w:rsidP="00703450">
      <w:pPr>
        <w:tabs>
          <w:tab w:val="right" w:pos="850"/>
          <w:tab w:val="right" w:leader="dot" w:pos="8787"/>
          <w:tab w:val="right" w:pos="9638"/>
        </w:tabs>
        <w:spacing w:after="120"/>
        <w:ind w:left="1134" w:hanging="1134"/>
        <w:rPr>
          <w:lang w:val="fr-FR"/>
        </w:rPr>
      </w:pPr>
      <w:r w:rsidRPr="00BD10DE">
        <w:rPr>
          <w:lang w:val="fr-FR"/>
        </w:rPr>
        <w:tab/>
        <w:t>III.</w:t>
      </w:r>
      <w:r w:rsidRPr="00BD10DE">
        <w:rPr>
          <w:lang w:val="fr-FR"/>
        </w:rPr>
        <w:tab/>
        <w:t xml:space="preserve">Conclusions et </w:t>
      </w:r>
      <w:r>
        <w:rPr>
          <w:lang w:val="fr-FR"/>
        </w:rPr>
        <w:t>r</w:t>
      </w:r>
      <w:r w:rsidRPr="00BD10DE">
        <w:rPr>
          <w:lang w:val="fr-FR"/>
        </w:rPr>
        <w:t>ecommandations</w:t>
      </w:r>
      <w:r w:rsidRPr="00BD10DE">
        <w:rPr>
          <w:lang w:val="fr-FR"/>
        </w:rPr>
        <w:tab/>
      </w:r>
      <w:r w:rsidRPr="00BD10DE">
        <w:rPr>
          <w:lang w:val="fr-FR"/>
        </w:rPr>
        <w:tab/>
      </w:r>
      <w:r w:rsidR="000A36E9">
        <w:rPr>
          <w:lang w:val="fr-FR"/>
        </w:rPr>
        <w:t>18</w:t>
      </w:r>
    </w:p>
    <w:p w:rsidR="000B0FA8" w:rsidRPr="009E690C" w:rsidRDefault="000B0FA8" w:rsidP="00E3734C">
      <w:pPr>
        <w:pStyle w:val="HChG"/>
      </w:pPr>
      <w:r w:rsidRPr="009E690C">
        <w:br w:type="page"/>
      </w:r>
      <w:r w:rsidRPr="009E690C">
        <w:lastRenderedPageBreak/>
        <w:tab/>
        <w:t>I.</w:t>
      </w:r>
      <w:r w:rsidRPr="009E690C">
        <w:tab/>
        <w:t xml:space="preserve">Introduction </w:t>
      </w:r>
    </w:p>
    <w:p w:rsidR="000B0FA8" w:rsidRPr="009E690C" w:rsidRDefault="000B0FA8" w:rsidP="000B0FA8">
      <w:pPr>
        <w:pStyle w:val="SingleTxtG"/>
      </w:pPr>
      <w:r w:rsidRPr="009E690C">
        <w:t>1.</w:t>
      </w:r>
      <w:r w:rsidRPr="009E690C">
        <w:tab/>
      </w:r>
      <w:r>
        <w:t>Le présent</w:t>
      </w:r>
      <w:r w:rsidRPr="009E690C">
        <w:t xml:space="preserve"> rapport est soumis sur la base de la </w:t>
      </w:r>
      <w:r>
        <w:t>d</w:t>
      </w:r>
      <w:r w:rsidRPr="009E690C">
        <w:t>éclaration du Président du Conseil des droits de l</w:t>
      </w:r>
      <w:r>
        <w:t>’</w:t>
      </w:r>
      <w:r w:rsidRPr="009E690C">
        <w:t xml:space="preserve">homme </w:t>
      </w:r>
      <w:r>
        <w:t>(</w:t>
      </w:r>
      <w:r>
        <w:rPr>
          <w:szCs w:val="18"/>
        </w:rPr>
        <w:t>A/HRC/PRST/31/1)</w:t>
      </w:r>
      <w:r w:rsidRPr="009E690C">
        <w:t xml:space="preserve">, </w:t>
      </w:r>
      <w:r>
        <w:t xml:space="preserve">en date </w:t>
      </w:r>
      <w:r w:rsidRPr="009E690C">
        <w:t xml:space="preserve">du </w:t>
      </w:r>
      <w:r w:rsidR="00E3734C" w:rsidRPr="009E690C">
        <w:t>24</w:t>
      </w:r>
      <w:r w:rsidR="00E3734C">
        <w:t> </w:t>
      </w:r>
      <w:r w:rsidRPr="009E690C">
        <w:t>mars 2016</w:t>
      </w:r>
      <w:r>
        <w:t xml:space="preserve">, dans laquelle le Conseil a </w:t>
      </w:r>
      <w:r w:rsidRPr="009E690C">
        <w:t>invit</w:t>
      </w:r>
      <w:r>
        <w:t>é</w:t>
      </w:r>
      <w:r w:rsidRPr="009E690C">
        <w:t xml:space="preserve"> l</w:t>
      </w:r>
      <w:r>
        <w:t>’</w:t>
      </w:r>
      <w:r w:rsidRPr="009E690C">
        <w:t>Expert indépendant sur la situation des droits de l</w:t>
      </w:r>
      <w:r>
        <w:t>’</w:t>
      </w:r>
      <w:r w:rsidRPr="009E690C">
        <w:t xml:space="preserve">homme en Haïti à se rendre en mission </w:t>
      </w:r>
      <w:r>
        <w:t>dans le</w:t>
      </w:r>
      <w:r w:rsidRPr="009E690C">
        <w:t xml:space="preserve"> pays et à </w:t>
      </w:r>
      <w:r>
        <w:t>lui présenter,</w:t>
      </w:r>
      <w:r w:rsidRPr="009E690C">
        <w:t xml:space="preserve"> à </w:t>
      </w:r>
      <w:r>
        <w:t>s</w:t>
      </w:r>
      <w:r w:rsidRPr="009E690C">
        <w:t>a trente-quatrième session</w:t>
      </w:r>
      <w:r>
        <w:t>, son rapport</w:t>
      </w:r>
      <w:r w:rsidRPr="009E690C">
        <w:t xml:space="preserve">. </w:t>
      </w:r>
      <w:r>
        <w:t>Dans c</w:t>
      </w:r>
      <w:r w:rsidRPr="009E690C">
        <w:t xml:space="preserve">ette </w:t>
      </w:r>
      <w:r>
        <w:t>d</w:t>
      </w:r>
      <w:r w:rsidRPr="009E690C">
        <w:t>éclaration</w:t>
      </w:r>
      <w:r>
        <w:t>, le Conseil</w:t>
      </w:r>
      <w:r w:rsidRPr="009E690C">
        <w:t xml:space="preserve"> a renouvelé pour un an le mandat de l</w:t>
      </w:r>
      <w:r>
        <w:t>’</w:t>
      </w:r>
      <w:r w:rsidRPr="009E690C">
        <w:t xml:space="preserve">Expert indépendant, Gustavo </w:t>
      </w:r>
      <w:proofErr w:type="spellStart"/>
      <w:r w:rsidRPr="009E690C">
        <w:t>Gallón</w:t>
      </w:r>
      <w:proofErr w:type="spellEnd"/>
      <w:r w:rsidRPr="009E690C">
        <w:t>.</w:t>
      </w:r>
    </w:p>
    <w:p w:rsidR="000B0FA8" w:rsidRPr="009E690C" w:rsidRDefault="000B0FA8" w:rsidP="000B0FA8">
      <w:pPr>
        <w:pStyle w:val="SingleTxtG"/>
      </w:pPr>
      <w:r w:rsidRPr="009E690C">
        <w:t>2.</w:t>
      </w:r>
      <w:r w:rsidRPr="009E690C">
        <w:tab/>
        <w:t>Le présent rapport porte sur la période comprise entre le 24</w:t>
      </w:r>
      <w:r w:rsidR="00E3734C">
        <w:t> </w:t>
      </w:r>
      <w:r w:rsidRPr="009E690C">
        <w:t>mars 2016 et le 25</w:t>
      </w:r>
      <w:r w:rsidR="00E3734C">
        <w:t> </w:t>
      </w:r>
      <w:r w:rsidRPr="009E690C">
        <w:t xml:space="preserve">janvier 2017, et contient des recommandations adressées au </w:t>
      </w:r>
      <w:r>
        <w:t>G</w:t>
      </w:r>
      <w:r w:rsidRPr="009E690C">
        <w:t>ouvernement haïtien et à la communauté internationale. Il reprend les cinq axes prioritaires indiqués dans les rapports précédents et approfondi</w:t>
      </w:r>
      <w:r>
        <w:t>t</w:t>
      </w:r>
      <w:r w:rsidRPr="009E690C">
        <w:t xml:space="preserve"> certains aspects</w:t>
      </w:r>
      <w:r>
        <w:t>,</w:t>
      </w:r>
      <w:r w:rsidRPr="009E690C">
        <w:t xml:space="preserve"> dont notamment les élections et la situation des victimes de catastrophes naturelles, en particulier celles de l</w:t>
      </w:r>
      <w:r>
        <w:t>’</w:t>
      </w:r>
      <w:r w:rsidRPr="009E690C">
        <w:t>ouragan Matthew qui a frappé Haïti le</w:t>
      </w:r>
      <w:r>
        <w:t>s</w:t>
      </w:r>
      <w:r w:rsidRPr="009E690C">
        <w:t xml:space="preserve"> 3 et 4</w:t>
      </w:r>
      <w:r w:rsidR="00E3734C">
        <w:t> </w:t>
      </w:r>
      <w:r w:rsidRPr="009E690C">
        <w:t>octobre 2016.</w:t>
      </w:r>
    </w:p>
    <w:p w:rsidR="000B0FA8" w:rsidRPr="009E690C" w:rsidRDefault="000B0FA8" w:rsidP="000B0FA8">
      <w:pPr>
        <w:pStyle w:val="SingleTxtG"/>
      </w:pPr>
      <w:r w:rsidRPr="009E690C">
        <w:t>3.</w:t>
      </w:r>
      <w:r w:rsidRPr="009E690C">
        <w:tab/>
        <w:t xml:space="preserve">Le Gouvernement haïtien a transmis ses réactions </w:t>
      </w:r>
      <w:r>
        <w:t>au</w:t>
      </w:r>
      <w:r w:rsidRPr="009E690C">
        <w:t xml:space="preserve"> rapport de l</w:t>
      </w:r>
      <w:r>
        <w:t>’</w:t>
      </w:r>
      <w:r w:rsidRPr="009E690C">
        <w:t>Expert indépendant le 23</w:t>
      </w:r>
      <w:r w:rsidR="00E3734C">
        <w:t> </w:t>
      </w:r>
      <w:r w:rsidRPr="009E690C">
        <w:t>janvier 2017.</w:t>
      </w:r>
    </w:p>
    <w:p w:rsidR="000B0FA8" w:rsidRPr="009E690C" w:rsidRDefault="000B0FA8" w:rsidP="000B0FA8">
      <w:pPr>
        <w:pStyle w:val="SingleTxtG"/>
      </w:pPr>
      <w:r w:rsidRPr="009E690C">
        <w:t>4.</w:t>
      </w:r>
      <w:r w:rsidRPr="009E690C">
        <w:tab/>
        <w:t>L</w:t>
      </w:r>
      <w:r>
        <w:t>’</w:t>
      </w:r>
      <w:r w:rsidRPr="009E690C">
        <w:t>Expert indépendant a effectué une mission en Haïti du 18 au 26</w:t>
      </w:r>
      <w:r w:rsidR="00E3734C">
        <w:t> </w:t>
      </w:r>
      <w:r w:rsidRPr="009E690C">
        <w:t>octobre 2016, suivi</w:t>
      </w:r>
      <w:r>
        <w:t>e</w:t>
      </w:r>
      <w:r w:rsidRPr="009E690C">
        <w:t xml:space="preserve"> par des entretiens à New York les 27 et 28</w:t>
      </w:r>
      <w:r w:rsidR="00E3734C">
        <w:t> </w:t>
      </w:r>
      <w:r w:rsidRPr="009E690C">
        <w:t>octobre. Il a séjourné à Port-au-Prince et s</w:t>
      </w:r>
      <w:r>
        <w:t>’</w:t>
      </w:r>
      <w:r w:rsidRPr="009E690C">
        <w:t xml:space="preserve">est </w:t>
      </w:r>
      <w:r>
        <w:t>rendu</w:t>
      </w:r>
      <w:r w:rsidRPr="009E690C">
        <w:t xml:space="preserve"> à Jérémie</w:t>
      </w:r>
      <w:r>
        <w:t>,</w:t>
      </w:r>
      <w:r w:rsidRPr="009E690C">
        <w:t xml:space="preserve"> dans le département de la </w:t>
      </w:r>
      <w:proofErr w:type="spellStart"/>
      <w:r w:rsidRPr="009E690C">
        <w:t>Grand</w:t>
      </w:r>
      <w:r>
        <w:t>’</w:t>
      </w:r>
      <w:r w:rsidRPr="009E690C">
        <w:t>Anse</w:t>
      </w:r>
      <w:proofErr w:type="spellEnd"/>
      <w:r w:rsidRPr="009E690C">
        <w:t xml:space="preserve"> (</w:t>
      </w:r>
      <w:r>
        <w:t>s</w:t>
      </w:r>
      <w:r w:rsidRPr="009E690C">
        <w:t>ud-ouest)</w:t>
      </w:r>
      <w:r>
        <w:t>,</w:t>
      </w:r>
      <w:r w:rsidRPr="009E690C">
        <w:t xml:space="preserve"> pour </w:t>
      </w:r>
      <w:r>
        <w:t>constater les dégâts</w:t>
      </w:r>
      <w:r w:rsidRPr="009E690C">
        <w:t xml:space="preserve"> causé</w:t>
      </w:r>
      <w:r>
        <w:t>s</w:t>
      </w:r>
      <w:r w:rsidRPr="009E690C">
        <w:t xml:space="preserve"> par l</w:t>
      </w:r>
      <w:r>
        <w:t>’</w:t>
      </w:r>
      <w:r w:rsidRPr="009E690C">
        <w:t xml:space="preserve">ouragan Matthew. </w:t>
      </w:r>
    </w:p>
    <w:p w:rsidR="000B0FA8" w:rsidRPr="009E690C" w:rsidRDefault="000B0FA8" w:rsidP="000B0FA8">
      <w:pPr>
        <w:pStyle w:val="SingleTxtG"/>
      </w:pPr>
      <w:r w:rsidRPr="009E690C">
        <w:t>5.</w:t>
      </w:r>
      <w:r w:rsidRPr="009E690C">
        <w:tab/>
      </w:r>
      <w:r>
        <w:t>Auparavant,</w:t>
      </w:r>
      <w:r w:rsidRPr="009E690C">
        <w:t xml:space="preserve"> l</w:t>
      </w:r>
      <w:r>
        <w:t>’</w:t>
      </w:r>
      <w:r w:rsidRPr="009E690C">
        <w:t>Expert indépendant</w:t>
      </w:r>
      <w:r>
        <w:t xml:space="preserve"> </w:t>
      </w:r>
      <w:r w:rsidRPr="009E690C">
        <w:t>avait visité Haïti du 21</w:t>
      </w:r>
      <w:r w:rsidR="00E3734C">
        <w:t> </w:t>
      </w:r>
      <w:r w:rsidRPr="009E690C">
        <w:t>février au 1</w:t>
      </w:r>
      <w:r w:rsidRPr="00EE4A62">
        <w:rPr>
          <w:vertAlign w:val="superscript"/>
        </w:rPr>
        <w:t>er</w:t>
      </w:r>
      <w:r w:rsidR="00E3734C">
        <w:t> </w:t>
      </w:r>
      <w:r w:rsidRPr="009E690C">
        <w:t>mars 2016, trois semaines avant la présentation de son rapport oral au Conseil des droits de l</w:t>
      </w:r>
      <w:r>
        <w:t>’</w:t>
      </w:r>
      <w:r w:rsidRPr="009E690C">
        <w:t>homme le 22</w:t>
      </w:r>
      <w:r w:rsidR="00E3734C">
        <w:t> </w:t>
      </w:r>
      <w:r w:rsidRPr="009E690C">
        <w:t>mars, mais après la publication de son rapport écrit. Le présent rapport contient aussi des références à cette visite.</w:t>
      </w:r>
    </w:p>
    <w:p w:rsidR="000B0FA8" w:rsidRPr="009E690C" w:rsidRDefault="000B0FA8" w:rsidP="000B0FA8">
      <w:pPr>
        <w:pStyle w:val="SingleTxtG"/>
      </w:pPr>
      <w:r w:rsidRPr="009E690C">
        <w:t>6.</w:t>
      </w:r>
      <w:r w:rsidRPr="009E690C">
        <w:tab/>
        <w:t>L</w:t>
      </w:r>
      <w:r>
        <w:t>’</w:t>
      </w:r>
      <w:r w:rsidRPr="009E690C">
        <w:t>Expert indépendant</w:t>
      </w:r>
      <w:r>
        <w:t xml:space="preserve"> </w:t>
      </w:r>
      <w:r w:rsidRPr="009E690C">
        <w:t xml:space="preserve">tient à exprimer sa gratitude à toutes les personnes rencontrées lors de ses visites, </w:t>
      </w:r>
      <w:r>
        <w:t xml:space="preserve">en </w:t>
      </w:r>
      <w:r w:rsidRPr="009E690C">
        <w:t>particuli</w:t>
      </w:r>
      <w:r>
        <w:t>er</w:t>
      </w:r>
      <w:r w:rsidRPr="009E690C">
        <w:t xml:space="preserve"> le Président </w:t>
      </w:r>
      <w:r>
        <w:t>intérimaire</w:t>
      </w:r>
      <w:r w:rsidRPr="009E690C">
        <w:t xml:space="preserve"> de la République, le Chef du Cabinet présidentiel, les Ministres des </w:t>
      </w:r>
      <w:r>
        <w:t>f</w:t>
      </w:r>
      <w:r w:rsidRPr="009E690C">
        <w:t xml:space="preserve">inances, des </w:t>
      </w:r>
      <w:r>
        <w:t>a</w:t>
      </w:r>
      <w:r w:rsidRPr="009E690C">
        <w:t xml:space="preserve">ffaires </w:t>
      </w:r>
      <w:r>
        <w:t>é</w:t>
      </w:r>
      <w:r w:rsidRPr="009E690C">
        <w:t xml:space="preserve">trangères et des </w:t>
      </w:r>
      <w:r>
        <w:t>c</w:t>
      </w:r>
      <w:r w:rsidRPr="009E690C">
        <w:t>ultes, de l</w:t>
      </w:r>
      <w:r>
        <w:t>’i</w:t>
      </w:r>
      <w:r w:rsidRPr="009E690C">
        <w:t xml:space="preserve">ntérieur et des </w:t>
      </w:r>
      <w:r>
        <w:t>c</w:t>
      </w:r>
      <w:r w:rsidRPr="009E690C">
        <w:t xml:space="preserve">ollectivités </w:t>
      </w:r>
      <w:r>
        <w:t>t</w:t>
      </w:r>
      <w:r w:rsidRPr="009E690C">
        <w:t xml:space="preserve">erritoriales, de la </w:t>
      </w:r>
      <w:r>
        <w:t>j</w:t>
      </w:r>
      <w:r w:rsidRPr="009E690C">
        <w:t xml:space="preserve">ustice et de la </w:t>
      </w:r>
      <w:r>
        <w:t>s</w:t>
      </w:r>
      <w:r w:rsidRPr="009E690C">
        <w:t xml:space="preserve">écurité </w:t>
      </w:r>
      <w:r>
        <w:t>p</w:t>
      </w:r>
      <w:r w:rsidRPr="009E690C">
        <w:t xml:space="preserve">ublique, et de la </w:t>
      </w:r>
      <w:r>
        <w:t>s</w:t>
      </w:r>
      <w:r w:rsidRPr="009E690C">
        <w:t xml:space="preserve">anté </w:t>
      </w:r>
      <w:r>
        <w:t>p</w:t>
      </w:r>
      <w:r w:rsidRPr="009E690C">
        <w:t xml:space="preserve">ublique et de la </w:t>
      </w:r>
      <w:r>
        <w:t>p</w:t>
      </w:r>
      <w:r w:rsidRPr="009E690C">
        <w:t xml:space="preserve">opulation. </w:t>
      </w:r>
    </w:p>
    <w:p w:rsidR="000B0FA8" w:rsidRPr="009E690C" w:rsidRDefault="000B0FA8" w:rsidP="000B0FA8">
      <w:pPr>
        <w:pStyle w:val="SingleTxtG"/>
      </w:pPr>
      <w:r w:rsidRPr="009E690C">
        <w:t>7.</w:t>
      </w:r>
      <w:r w:rsidRPr="009E690C">
        <w:tab/>
        <w:t>L</w:t>
      </w:r>
      <w:r>
        <w:t>’</w:t>
      </w:r>
      <w:r w:rsidRPr="009E690C">
        <w:t>Expert indépendant</w:t>
      </w:r>
      <w:r>
        <w:t xml:space="preserve"> </w:t>
      </w:r>
      <w:r w:rsidRPr="009E690C">
        <w:t xml:space="preserve">remercie aussi le Président du Conseil électoral provisoire, la Protectrice </w:t>
      </w:r>
      <w:r>
        <w:t>de l’</w:t>
      </w:r>
      <w:r w:rsidRPr="009E690C">
        <w:t xml:space="preserve">Office de </w:t>
      </w:r>
      <w:r>
        <w:t>p</w:t>
      </w:r>
      <w:r w:rsidRPr="009E690C">
        <w:t xml:space="preserve">rotection du </w:t>
      </w:r>
      <w:r>
        <w:t>c</w:t>
      </w:r>
      <w:r w:rsidRPr="009E690C">
        <w:t>itoyen, le Président et un membre de la Commission présidentielle sur la détention préventive</w:t>
      </w:r>
      <w:r>
        <w:t xml:space="preserve"> prolongée</w:t>
      </w:r>
      <w:r w:rsidRPr="009E690C">
        <w:t xml:space="preserve">, les </w:t>
      </w:r>
      <w:r>
        <w:t>services</w:t>
      </w:r>
      <w:r w:rsidRPr="009E690C">
        <w:t xml:space="preserve"> d</w:t>
      </w:r>
      <w:r>
        <w:t>e l’</w:t>
      </w:r>
      <w:r w:rsidRPr="009E690C">
        <w:t>immigration d</w:t>
      </w:r>
      <w:r>
        <w:t>’</w:t>
      </w:r>
      <w:proofErr w:type="spellStart"/>
      <w:r w:rsidRPr="009E690C">
        <w:t>Ouanaminthe</w:t>
      </w:r>
      <w:proofErr w:type="spellEnd"/>
      <w:r w:rsidRPr="009E690C">
        <w:t xml:space="preserve">, </w:t>
      </w:r>
      <w:r>
        <w:t>à</w:t>
      </w:r>
      <w:r w:rsidRPr="009E690C">
        <w:t xml:space="preserve"> la frontière </w:t>
      </w:r>
      <w:proofErr w:type="spellStart"/>
      <w:r w:rsidRPr="009E690C">
        <w:t>dominic</w:t>
      </w:r>
      <w:r>
        <w:t>o</w:t>
      </w:r>
      <w:proofErr w:type="spellEnd"/>
      <w:r w:rsidRPr="009E690C">
        <w:t xml:space="preserve">-haïtienne, les autorités de Jérémie et les autorités du </w:t>
      </w:r>
      <w:r>
        <w:t>c</w:t>
      </w:r>
      <w:r w:rsidRPr="009E690C">
        <w:t>entre de détention de Croix-des-Bouquets et de la prison de femmes de Cabaret, qu</w:t>
      </w:r>
      <w:r>
        <w:t>’</w:t>
      </w:r>
      <w:r w:rsidRPr="009E690C">
        <w:t>il a eu l</w:t>
      </w:r>
      <w:r>
        <w:t>’</w:t>
      </w:r>
      <w:r w:rsidRPr="009E690C">
        <w:t xml:space="preserve">occasion de rencontrer. </w:t>
      </w:r>
    </w:p>
    <w:p w:rsidR="000B0FA8" w:rsidRPr="009E690C" w:rsidRDefault="000B0FA8" w:rsidP="000B0FA8">
      <w:pPr>
        <w:pStyle w:val="SingleTxtG"/>
      </w:pPr>
      <w:r w:rsidRPr="009E690C">
        <w:t>8.</w:t>
      </w:r>
      <w:r w:rsidRPr="009E690C">
        <w:tab/>
        <w:t>L</w:t>
      </w:r>
      <w:r>
        <w:t>’</w:t>
      </w:r>
      <w:r w:rsidRPr="009E690C">
        <w:t xml:space="preserve">appui de la Mission des Nations </w:t>
      </w:r>
      <w:r>
        <w:t>U</w:t>
      </w:r>
      <w:r w:rsidRPr="009E690C">
        <w:t>nies pour la stabilisation en Haïti (MINUSTAH) a été décisif pour la réussite de cette mission. L</w:t>
      </w:r>
      <w:r>
        <w:t>’</w:t>
      </w:r>
      <w:r w:rsidRPr="009E690C">
        <w:t>Expert indépendant</w:t>
      </w:r>
      <w:r>
        <w:t xml:space="preserve"> </w:t>
      </w:r>
      <w:r w:rsidRPr="009E690C">
        <w:t xml:space="preserve">remercie la Représentante </w:t>
      </w:r>
      <w:r>
        <w:t>s</w:t>
      </w:r>
      <w:r w:rsidRPr="009E690C">
        <w:t xml:space="preserve">péciale du Secrétaire </w:t>
      </w:r>
      <w:r>
        <w:t>g</w:t>
      </w:r>
      <w:r w:rsidRPr="009E690C">
        <w:t xml:space="preserve">énéral, ainsi que tous ses collaborateurs, et </w:t>
      </w:r>
      <w:r>
        <w:t xml:space="preserve">tout </w:t>
      </w:r>
      <w:r w:rsidRPr="009E690C">
        <w:t>particulièrement la Section des droits de l</w:t>
      </w:r>
      <w:r>
        <w:t>’</w:t>
      </w:r>
      <w:r w:rsidRPr="009E690C">
        <w:t xml:space="preserve">homme. </w:t>
      </w:r>
      <w:r>
        <w:t>Il</w:t>
      </w:r>
      <w:r w:rsidRPr="009E690C">
        <w:t xml:space="preserve"> remercie aussi les représentants et membres des programmes des Nations </w:t>
      </w:r>
      <w:r>
        <w:t>U</w:t>
      </w:r>
      <w:r w:rsidRPr="009E690C">
        <w:t xml:space="preserve">nies en Haïti et à New York pour le soutien et les informations fournis. </w:t>
      </w:r>
    </w:p>
    <w:p w:rsidR="000B0FA8" w:rsidRPr="009E690C" w:rsidRDefault="000B0FA8" w:rsidP="000B0FA8">
      <w:pPr>
        <w:pStyle w:val="SingleTxtG"/>
      </w:pPr>
      <w:r w:rsidRPr="009E690C">
        <w:t>9.</w:t>
      </w:r>
      <w:r w:rsidRPr="009E690C">
        <w:tab/>
        <w:t>L</w:t>
      </w:r>
      <w:r>
        <w:t>’</w:t>
      </w:r>
      <w:r w:rsidRPr="009E690C">
        <w:t>Expert indépendant</w:t>
      </w:r>
      <w:r>
        <w:t xml:space="preserve"> </w:t>
      </w:r>
      <w:r w:rsidRPr="009E690C">
        <w:t xml:space="preserve">remercie </w:t>
      </w:r>
      <w:r>
        <w:t>en outre</w:t>
      </w:r>
      <w:r w:rsidRPr="009E690C">
        <w:t xml:space="preserve"> les représentants de l</w:t>
      </w:r>
      <w:r>
        <w:t>’</w:t>
      </w:r>
      <w:r w:rsidRPr="009E690C">
        <w:t xml:space="preserve">Organisation des États </w:t>
      </w:r>
      <w:r>
        <w:t>a</w:t>
      </w:r>
      <w:r w:rsidRPr="009E690C">
        <w:t xml:space="preserve">méricains, grâce à qui il a pu rencontrer </w:t>
      </w:r>
      <w:r>
        <w:t>d</w:t>
      </w:r>
      <w:r w:rsidRPr="009E690C">
        <w:t>es membres du corps diplomatique en Haïti. Il</w:t>
      </w:r>
      <w:r w:rsidR="00352ECE">
        <w:t> </w:t>
      </w:r>
      <w:r w:rsidRPr="009E690C">
        <w:t xml:space="preserve">remercie aussi les </w:t>
      </w:r>
      <w:r>
        <w:t>a</w:t>
      </w:r>
      <w:r w:rsidRPr="009E690C">
        <w:t xml:space="preserve">mbassadeurs du </w:t>
      </w:r>
      <w:r>
        <w:t>G</w:t>
      </w:r>
      <w:r w:rsidRPr="009E690C">
        <w:t>roupe d</w:t>
      </w:r>
      <w:r>
        <w:t>es A</w:t>
      </w:r>
      <w:r w:rsidRPr="009E690C">
        <w:t>mis d</w:t>
      </w:r>
      <w:r>
        <w:t>’</w:t>
      </w:r>
      <w:r w:rsidRPr="009E690C">
        <w:t>Haïti rencontrés à New York grâce à l</w:t>
      </w:r>
      <w:r>
        <w:t>’</w:t>
      </w:r>
      <w:r w:rsidRPr="009E690C">
        <w:t xml:space="preserve">accueil de la Mission </w:t>
      </w:r>
      <w:r>
        <w:t>p</w:t>
      </w:r>
      <w:r w:rsidRPr="009E690C">
        <w:t>ermanente de l</w:t>
      </w:r>
      <w:r>
        <w:t>’</w:t>
      </w:r>
      <w:r w:rsidRPr="009E690C">
        <w:t xml:space="preserve">Uruguay auprès des Nations </w:t>
      </w:r>
      <w:r>
        <w:t>U</w:t>
      </w:r>
      <w:r w:rsidRPr="009E690C">
        <w:t>nies.</w:t>
      </w:r>
    </w:p>
    <w:p w:rsidR="000B0FA8" w:rsidRPr="009E690C" w:rsidRDefault="000B0FA8" w:rsidP="000B0FA8">
      <w:pPr>
        <w:pStyle w:val="SingleTxtG"/>
      </w:pPr>
      <w:r w:rsidRPr="009E690C">
        <w:t>10.</w:t>
      </w:r>
      <w:r w:rsidRPr="009E690C">
        <w:tab/>
        <w:t>L</w:t>
      </w:r>
      <w:r>
        <w:t>’</w:t>
      </w:r>
      <w:r w:rsidRPr="009E690C">
        <w:t>Expert indépendant</w:t>
      </w:r>
      <w:r>
        <w:t xml:space="preserve"> </w:t>
      </w:r>
      <w:r w:rsidRPr="009E690C">
        <w:t xml:space="preserve">tient </w:t>
      </w:r>
      <w:r>
        <w:t xml:space="preserve">enfin </w:t>
      </w:r>
      <w:r w:rsidRPr="009E690C">
        <w:t>à remercier chaleureusement les nombreux représentants des organisations de la société civile et des partis politiques, ainsi que des membres de plusieurs organisations non gouvernementales des droits humains de Port</w:t>
      </w:r>
      <w:r w:rsidR="00352ECE">
        <w:noBreakHyphen/>
      </w:r>
      <w:r w:rsidRPr="009E690C">
        <w:t>au</w:t>
      </w:r>
      <w:r w:rsidR="00352ECE">
        <w:noBreakHyphen/>
      </w:r>
      <w:r w:rsidRPr="009E690C">
        <w:t xml:space="preserve">Prince et du </w:t>
      </w:r>
      <w:r>
        <w:t>d</w:t>
      </w:r>
      <w:r w:rsidRPr="009E690C">
        <w:t xml:space="preserve">épartement de la </w:t>
      </w:r>
      <w:proofErr w:type="spellStart"/>
      <w:r w:rsidRPr="009E690C">
        <w:t>Grand</w:t>
      </w:r>
      <w:r>
        <w:t>’</w:t>
      </w:r>
      <w:r w:rsidRPr="009E690C">
        <w:t>Anse</w:t>
      </w:r>
      <w:proofErr w:type="spellEnd"/>
      <w:r w:rsidRPr="009E690C">
        <w:t xml:space="preserve"> qu</w:t>
      </w:r>
      <w:r>
        <w:t>’</w:t>
      </w:r>
      <w:r w:rsidRPr="009E690C">
        <w:t>il a rencontrés en Haïti aussi bien qu</w:t>
      </w:r>
      <w:r>
        <w:t>’</w:t>
      </w:r>
      <w:r w:rsidRPr="009E690C">
        <w:t>à New</w:t>
      </w:r>
      <w:r w:rsidR="00352ECE">
        <w:t> </w:t>
      </w:r>
      <w:r w:rsidRPr="009E690C">
        <w:t xml:space="preserve">York. </w:t>
      </w:r>
    </w:p>
    <w:p w:rsidR="000B0FA8" w:rsidRPr="009E690C" w:rsidRDefault="000B0FA8" w:rsidP="000B0FA8">
      <w:pPr>
        <w:pStyle w:val="HChG"/>
      </w:pPr>
      <w:r w:rsidRPr="009E690C">
        <w:lastRenderedPageBreak/>
        <w:tab/>
        <w:t>II.</w:t>
      </w:r>
      <w:r w:rsidRPr="009E690C">
        <w:tab/>
        <w:t xml:space="preserve">Cinq aspects </w:t>
      </w:r>
      <w:r>
        <w:t xml:space="preserve">clés </w:t>
      </w:r>
      <w:r w:rsidRPr="009E690C">
        <w:t xml:space="preserve">de la situation des droits humains en Haïti </w:t>
      </w:r>
    </w:p>
    <w:p w:rsidR="000B0FA8" w:rsidRPr="009E690C" w:rsidRDefault="000B0FA8" w:rsidP="000B0FA8">
      <w:pPr>
        <w:pStyle w:val="SingleTxtG"/>
      </w:pPr>
      <w:r w:rsidRPr="009E690C">
        <w:t>11.</w:t>
      </w:r>
      <w:r w:rsidRPr="009E690C">
        <w:tab/>
        <w:t xml:space="preserve">Dès le premier rapport </w:t>
      </w:r>
      <w:r>
        <w:t xml:space="preserve">qu’il a </w:t>
      </w:r>
      <w:r w:rsidRPr="009E690C">
        <w:t>présenté sur Haïti au Conseil des droits de l</w:t>
      </w:r>
      <w:r>
        <w:t>’</w:t>
      </w:r>
      <w:r w:rsidRPr="009E690C">
        <w:t>homme en 2014</w:t>
      </w:r>
      <w:r>
        <w:t xml:space="preserve"> (A/HRC/25/71)</w:t>
      </w:r>
      <w:r w:rsidRPr="009E690C">
        <w:t>, l</w:t>
      </w:r>
      <w:r>
        <w:t>’</w:t>
      </w:r>
      <w:r w:rsidRPr="009E690C">
        <w:t>Expert indépendant</w:t>
      </w:r>
      <w:r>
        <w:t xml:space="preserve"> </w:t>
      </w:r>
      <w:r w:rsidRPr="009E690C">
        <w:t>a recommandé aux autorités haïtiennes et à la communauté internationale de concentrer leurs efforts sur cinq aspects particulièrement inquiétants</w:t>
      </w:r>
      <w:r>
        <w:t> </w:t>
      </w:r>
      <w:r w:rsidRPr="009E690C">
        <w:t xml:space="preserve">: </w:t>
      </w:r>
      <w:r>
        <w:t>a</w:t>
      </w:r>
      <w:r w:rsidRPr="009E690C">
        <w:t>)</w:t>
      </w:r>
      <w:r w:rsidR="00352ECE">
        <w:t> </w:t>
      </w:r>
      <w:r w:rsidRPr="009E690C">
        <w:t>l</w:t>
      </w:r>
      <w:r>
        <w:t>’</w:t>
      </w:r>
      <w:r w:rsidRPr="009E690C">
        <w:t>analphabétisme</w:t>
      </w:r>
      <w:r w:rsidR="00352ECE">
        <w:t> ;</w:t>
      </w:r>
      <w:r w:rsidR="00352ECE" w:rsidRPr="009E690C">
        <w:t xml:space="preserve"> </w:t>
      </w:r>
      <w:r>
        <w:t>b</w:t>
      </w:r>
      <w:r w:rsidRPr="009E690C">
        <w:t>)</w:t>
      </w:r>
      <w:r w:rsidR="00352ECE">
        <w:t> </w:t>
      </w:r>
      <w:r w:rsidRPr="009E690C">
        <w:t>la détention préventive prolongée</w:t>
      </w:r>
      <w:r w:rsidR="00352ECE">
        <w:t> ;</w:t>
      </w:r>
      <w:r w:rsidR="00352ECE" w:rsidRPr="009E690C">
        <w:t xml:space="preserve"> </w:t>
      </w:r>
      <w:r>
        <w:t>c</w:t>
      </w:r>
      <w:r w:rsidRPr="009E690C">
        <w:t>)</w:t>
      </w:r>
      <w:r w:rsidR="00352ECE">
        <w:t> </w:t>
      </w:r>
      <w:r w:rsidRPr="009E690C">
        <w:t>l</w:t>
      </w:r>
      <w:r>
        <w:t>’</w:t>
      </w:r>
      <w:r w:rsidRPr="009E690C">
        <w:t>absence d</w:t>
      </w:r>
      <w:r>
        <w:t>’</w:t>
      </w:r>
      <w:r w:rsidRPr="009E690C">
        <w:t>élections</w:t>
      </w:r>
      <w:r w:rsidR="00352ECE">
        <w:t> ;</w:t>
      </w:r>
      <w:r w:rsidR="00352ECE" w:rsidRPr="009E690C">
        <w:t xml:space="preserve"> </w:t>
      </w:r>
      <w:r>
        <w:t>d</w:t>
      </w:r>
      <w:r w:rsidRPr="009E690C">
        <w:t>)</w:t>
      </w:r>
      <w:r w:rsidR="00352ECE">
        <w:t> </w:t>
      </w:r>
      <w:r w:rsidRPr="009E690C">
        <w:t>l</w:t>
      </w:r>
      <w:r>
        <w:t>’</w:t>
      </w:r>
      <w:r w:rsidRPr="009E690C">
        <w:t>impunité des violations du passé</w:t>
      </w:r>
      <w:r w:rsidR="00352ECE">
        <w:t> ;</w:t>
      </w:r>
      <w:r w:rsidR="00352ECE" w:rsidRPr="009E690C">
        <w:t xml:space="preserve"> </w:t>
      </w:r>
      <w:r w:rsidRPr="009E690C">
        <w:t xml:space="preserve">et </w:t>
      </w:r>
      <w:r>
        <w:t>e</w:t>
      </w:r>
      <w:r w:rsidRPr="009E690C">
        <w:t>) la situation de</w:t>
      </w:r>
      <w:r>
        <w:t>s</w:t>
      </w:r>
      <w:r w:rsidRPr="009E690C">
        <w:t xml:space="preserve"> personnes victimes d</w:t>
      </w:r>
      <w:r>
        <w:t>’</w:t>
      </w:r>
      <w:r w:rsidRPr="009E690C">
        <w:t>autres facteurs</w:t>
      </w:r>
      <w:r>
        <w:t xml:space="preserve">, </w:t>
      </w:r>
      <w:r w:rsidRPr="009E690C">
        <w:t xml:space="preserve">tels que les déplacés </w:t>
      </w:r>
      <w:r>
        <w:t>suite au</w:t>
      </w:r>
      <w:r w:rsidRPr="009E690C">
        <w:t xml:space="preserve"> tremblement de terre d</w:t>
      </w:r>
      <w:r>
        <w:t>e</w:t>
      </w:r>
      <w:r w:rsidRPr="009E690C">
        <w:t xml:space="preserve"> 2010, les </w:t>
      </w:r>
      <w:r>
        <w:t>H</w:t>
      </w:r>
      <w:r w:rsidRPr="009E690C">
        <w:t xml:space="preserve">aïtiens ou </w:t>
      </w:r>
      <w:r>
        <w:t xml:space="preserve">personnes </w:t>
      </w:r>
      <w:r w:rsidRPr="009E690C">
        <w:t>d</w:t>
      </w:r>
      <w:r>
        <w:t>’</w:t>
      </w:r>
      <w:r w:rsidRPr="009E690C">
        <w:t xml:space="preserve">origine haïtienne </w:t>
      </w:r>
      <w:r>
        <w:t>expulsés de</w:t>
      </w:r>
      <w:r w:rsidRPr="009E690C">
        <w:t xml:space="preserve"> République dominicaine et les victimes du choléra. </w:t>
      </w:r>
    </w:p>
    <w:p w:rsidR="000B0FA8" w:rsidRPr="009E690C" w:rsidRDefault="000B0FA8" w:rsidP="000B0FA8">
      <w:pPr>
        <w:pStyle w:val="SingleTxtG"/>
      </w:pPr>
      <w:r w:rsidRPr="009E690C">
        <w:t>12.</w:t>
      </w:r>
      <w:r w:rsidRPr="009E690C">
        <w:tab/>
        <w:t>L</w:t>
      </w:r>
      <w:r>
        <w:t>’</w:t>
      </w:r>
      <w:r w:rsidRPr="009E690C">
        <w:t>Expert indépendant</w:t>
      </w:r>
      <w:r>
        <w:t xml:space="preserve"> </w:t>
      </w:r>
      <w:r w:rsidRPr="009E690C">
        <w:t xml:space="preserve">a </w:t>
      </w:r>
      <w:r>
        <w:t>appelé à</w:t>
      </w:r>
      <w:r w:rsidRPr="009E690C">
        <w:t xml:space="preserve"> l</w:t>
      </w:r>
      <w:r>
        <w:t>’</w:t>
      </w:r>
      <w:r w:rsidRPr="009E690C">
        <w:t xml:space="preserve">adoption de mesures urgentes </w:t>
      </w:r>
      <w:r>
        <w:t>pour</w:t>
      </w:r>
      <w:r w:rsidRPr="009E690C">
        <w:t xml:space="preserve"> faire cesser la perpétration de violations dans ces cinq aspects. Ce sont des violations tellement aigu</w:t>
      </w:r>
      <w:r>
        <w:t>ë</w:t>
      </w:r>
      <w:r w:rsidRPr="009E690C">
        <w:t>s que pour beaucoup de gens elles sont perçues comme des circonstances normales de la vie quotidienne. Loin d</w:t>
      </w:r>
      <w:r>
        <w:t>’</w:t>
      </w:r>
      <w:r w:rsidRPr="009E690C">
        <w:t>être normales, elles mettent en évidence le degré de détérioration de la situation des droits humains en Haïti. Il faut</w:t>
      </w:r>
      <w:r>
        <w:t>,</w:t>
      </w:r>
      <w:r w:rsidRPr="009E690C">
        <w:t xml:space="preserve"> par conséquent</w:t>
      </w:r>
      <w:r>
        <w:t>,</w:t>
      </w:r>
      <w:r w:rsidRPr="009E690C">
        <w:t xml:space="preserve"> </w:t>
      </w:r>
      <w:r>
        <w:t>d’abord remédier à</w:t>
      </w:r>
      <w:r w:rsidRPr="009E690C">
        <w:t xml:space="preserve"> la situation structurelle et corriger ces circonstances extrêmes si </w:t>
      </w:r>
      <w:r>
        <w:t>l’</w:t>
      </w:r>
      <w:r w:rsidRPr="009E690C">
        <w:t xml:space="preserve">on veut établir des bases solides pour développer une politique de protection et </w:t>
      </w:r>
      <w:r>
        <w:t xml:space="preserve">de </w:t>
      </w:r>
      <w:r w:rsidRPr="009E690C">
        <w:t xml:space="preserve">respect des droits humains dans le pays. </w:t>
      </w:r>
    </w:p>
    <w:p w:rsidR="000B0FA8" w:rsidRPr="009E690C" w:rsidRDefault="000B0FA8" w:rsidP="000B0FA8">
      <w:pPr>
        <w:pStyle w:val="SingleTxtG"/>
      </w:pPr>
      <w:r w:rsidRPr="009E690C">
        <w:t>13.</w:t>
      </w:r>
      <w:r w:rsidRPr="009E690C">
        <w:tab/>
        <w:t xml:space="preserve">Ces cinq aspects correspondent </w:t>
      </w:r>
      <w:r>
        <w:t>à</w:t>
      </w:r>
      <w:r w:rsidRPr="009E690C">
        <w:t xml:space="preserve"> cinq domaines plus vastes qui constituent la porte d</w:t>
      </w:r>
      <w:r>
        <w:t>’</w:t>
      </w:r>
      <w:r w:rsidRPr="009E690C">
        <w:t xml:space="preserve">entrée pour définir et mettre en œuvre, à plus long terme, des mesures plus complexes destinées à </w:t>
      </w:r>
      <w:r>
        <w:t>développer</w:t>
      </w:r>
      <w:r w:rsidRPr="009E690C">
        <w:t xml:space="preserve"> </w:t>
      </w:r>
      <w:r>
        <w:t>la</w:t>
      </w:r>
      <w:r w:rsidRPr="009E690C">
        <w:t xml:space="preserve"> politique de protection et </w:t>
      </w:r>
      <w:r>
        <w:t xml:space="preserve">de </w:t>
      </w:r>
      <w:r w:rsidRPr="009E690C">
        <w:t>respect des droits de l</w:t>
      </w:r>
      <w:r>
        <w:t>’</w:t>
      </w:r>
      <w:r w:rsidRPr="009E690C">
        <w:t>homme</w:t>
      </w:r>
      <w:r>
        <w:t>, à savoir </w:t>
      </w:r>
      <w:r w:rsidRPr="009E690C">
        <w:t xml:space="preserve">: </w:t>
      </w:r>
      <w:r>
        <w:t>a</w:t>
      </w:r>
      <w:r w:rsidRPr="009E690C">
        <w:t>) l</w:t>
      </w:r>
      <w:r>
        <w:t>’</w:t>
      </w:r>
      <w:r w:rsidRPr="009E690C">
        <w:t>ensemble des droits sociaux, économiques et culturels</w:t>
      </w:r>
      <w:r w:rsidR="00352ECE">
        <w:t> ;</w:t>
      </w:r>
      <w:r w:rsidR="00352ECE" w:rsidRPr="009E690C">
        <w:t xml:space="preserve"> </w:t>
      </w:r>
      <w:r>
        <w:t>b</w:t>
      </w:r>
      <w:r w:rsidRPr="009E690C">
        <w:t>) les conditions de privation de liberté</w:t>
      </w:r>
      <w:r w:rsidR="00352ECE">
        <w:t> ;</w:t>
      </w:r>
      <w:r w:rsidR="00352ECE" w:rsidRPr="009E690C">
        <w:t xml:space="preserve"> </w:t>
      </w:r>
      <w:r>
        <w:t>c</w:t>
      </w:r>
      <w:r w:rsidRPr="009E690C">
        <w:t xml:space="preserve">) </w:t>
      </w:r>
      <w:r>
        <w:t>l’é</w:t>
      </w:r>
      <w:r w:rsidRPr="009E690C">
        <w:t>tat de droit et de solidité institutionnelle</w:t>
      </w:r>
      <w:r w:rsidR="00352ECE">
        <w:t> ;</w:t>
      </w:r>
      <w:r w:rsidR="00352ECE" w:rsidRPr="009E690C">
        <w:t xml:space="preserve"> </w:t>
      </w:r>
      <w:r>
        <w:t>d</w:t>
      </w:r>
      <w:r w:rsidRPr="009E690C">
        <w:t>) le fonctionnement de l</w:t>
      </w:r>
      <w:r>
        <w:t>’</w:t>
      </w:r>
      <w:r w:rsidRPr="009E690C">
        <w:t xml:space="preserve">administration de </w:t>
      </w:r>
      <w:r>
        <w:t xml:space="preserve">la </w:t>
      </w:r>
      <w:r w:rsidRPr="009E690C">
        <w:t>justice</w:t>
      </w:r>
      <w:r w:rsidR="00352ECE">
        <w:t> ;</w:t>
      </w:r>
      <w:r w:rsidR="00352ECE" w:rsidRPr="009E690C">
        <w:t xml:space="preserve"> </w:t>
      </w:r>
      <w:r w:rsidRPr="009E690C">
        <w:t xml:space="preserve">et </w:t>
      </w:r>
      <w:r>
        <w:t>e</w:t>
      </w:r>
      <w:r w:rsidRPr="009E690C">
        <w:t>) l</w:t>
      </w:r>
      <w:r>
        <w:t>’</w:t>
      </w:r>
      <w:r w:rsidRPr="009E690C">
        <w:t>environnement, l</w:t>
      </w:r>
      <w:r>
        <w:t>’</w:t>
      </w:r>
      <w:r w:rsidRPr="009E690C">
        <w:t xml:space="preserve">habitat territorial et la migration haïtienne. </w:t>
      </w:r>
    </w:p>
    <w:p w:rsidR="000B0FA8" w:rsidRPr="009E690C" w:rsidRDefault="000B0FA8" w:rsidP="000B0FA8">
      <w:pPr>
        <w:pStyle w:val="SingleTxtG"/>
      </w:pPr>
      <w:r w:rsidRPr="009E690C">
        <w:t>14.</w:t>
      </w:r>
      <w:r w:rsidRPr="009E690C">
        <w:tab/>
        <w:t xml:space="preserve">Ces cinq </w:t>
      </w:r>
      <w:r>
        <w:t>aspects</w:t>
      </w:r>
      <w:r w:rsidRPr="009E690C">
        <w:t xml:space="preserve"> sont </w:t>
      </w:r>
      <w:r>
        <w:t>causés</w:t>
      </w:r>
      <w:r w:rsidRPr="009E690C">
        <w:t xml:space="preserve"> par une situation d</w:t>
      </w:r>
      <w:r>
        <w:t>’</w:t>
      </w:r>
      <w:r w:rsidRPr="009E690C">
        <w:t xml:space="preserve">inégalité </w:t>
      </w:r>
      <w:r>
        <w:t>forte</w:t>
      </w:r>
      <w:r w:rsidRPr="009E690C">
        <w:t xml:space="preserve"> qui </w:t>
      </w:r>
      <w:r>
        <w:t>imprègne</w:t>
      </w:r>
      <w:r w:rsidRPr="009E690C">
        <w:t xml:space="preserve"> les relations humaines en Haïti et qui doit </w:t>
      </w:r>
      <w:r>
        <w:t>faire</w:t>
      </w:r>
      <w:r w:rsidRPr="009E690C">
        <w:t xml:space="preserve"> l</w:t>
      </w:r>
      <w:r>
        <w:t>’</w:t>
      </w:r>
      <w:r w:rsidRPr="009E690C">
        <w:t>objet d</w:t>
      </w:r>
      <w:r>
        <w:t>’</w:t>
      </w:r>
      <w:r w:rsidRPr="009E690C">
        <w:t xml:space="preserve">un traitement particulier et persistant pour </w:t>
      </w:r>
      <w:r>
        <w:t>être</w:t>
      </w:r>
      <w:r w:rsidRPr="009E690C">
        <w:t xml:space="preserve"> rédui</w:t>
      </w:r>
      <w:r>
        <w:t>t</w:t>
      </w:r>
      <w:r w:rsidRPr="009E690C">
        <w:t>e au maximum</w:t>
      </w:r>
      <w:r>
        <w:t>, ce qui est une</w:t>
      </w:r>
      <w:r w:rsidRPr="009E690C">
        <w:t xml:space="preserve"> condition pour </w:t>
      </w:r>
      <w:r>
        <w:t>réussir à</w:t>
      </w:r>
      <w:r w:rsidRPr="009E690C">
        <w:t xml:space="preserve"> améliorer </w:t>
      </w:r>
      <w:r>
        <w:t>sensiblement</w:t>
      </w:r>
      <w:r w:rsidRPr="009E690C">
        <w:t xml:space="preserve"> la situation des droits humains. </w:t>
      </w:r>
    </w:p>
    <w:p w:rsidR="000B0FA8" w:rsidRPr="009E690C" w:rsidRDefault="000B0FA8" w:rsidP="000B0FA8">
      <w:pPr>
        <w:pStyle w:val="SingleTxtG"/>
      </w:pPr>
      <w:r w:rsidRPr="009E690C">
        <w:t>15.</w:t>
      </w:r>
      <w:r w:rsidRPr="009E690C">
        <w:tab/>
      </w:r>
      <w:r>
        <w:t>L</w:t>
      </w:r>
      <w:r w:rsidRPr="009E690C">
        <w:t xml:space="preserve">es cinq </w:t>
      </w:r>
      <w:r>
        <w:t>aspects</w:t>
      </w:r>
      <w:r w:rsidRPr="009E690C">
        <w:t>, ainsi que les cinq domaines et l</w:t>
      </w:r>
      <w:r>
        <w:t>’</w:t>
      </w:r>
      <w:r w:rsidRPr="009E690C">
        <w:t xml:space="preserve">inégalité sous-jacente, se retrouvent depuis 1986 dans les rapports des </w:t>
      </w:r>
      <w:r>
        <w:t>titulaires</w:t>
      </w:r>
      <w:r w:rsidRPr="009E690C">
        <w:t xml:space="preserve"> d</w:t>
      </w:r>
      <w:r>
        <w:t>e</w:t>
      </w:r>
      <w:r w:rsidRPr="009E690C">
        <w:t xml:space="preserve"> mandat </w:t>
      </w:r>
      <w:r>
        <w:t xml:space="preserve">relevant </w:t>
      </w:r>
      <w:r w:rsidRPr="009E690C">
        <w:t xml:space="preserve">des </w:t>
      </w:r>
      <w:r>
        <w:t>p</w:t>
      </w:r>
      <w:r w:rsidRPr="009E690C">
        <w:t>rocédures spéciales</w:t>
      </w:r>
      <w:r>
        <w:t xml:space="preserve"> en Haïti</w:t>
      </w:r>
      <w:r w:rsidRPr="009E690C">
        <w:t>, d</w:t>
      </w:r>
      <w:r>
        <w:t>’</w:t>
      </w:r>
      <w:r w:rsidRPr="009E690C">
        <w:t>abord de la Commission</w:t>
      </w:r>
      <w:r>
        <w:t xml:space="preserve"> des droits de l’homme</w:t>
      </w:r>
      <w:r w:rsidRPr="009E690C">
        <w:t>, puis du Conseil des droits de l</w:t>
      </w:r>
      <w:r>
        <w:t>’</w:t>
      </w:r>
      <w:r w:rsidRPr="009E690C">
        <w:t>homme</w:t>
      </w:r>
      <w:r w:rsidRPr="00EE4A62">
        <w:rPr>
          <w:rStyle w:val="FootnoteReference"/>
        </w:rPr>
        <w:footnoteReference w:id="3"/>
      </w:r>
      <w:r w:rsidRPr="009E690C">
        <w:t>. Ce ne sont pas de</w:t>
      </w:r>
      <w:r>
        <w:t>s</w:t>
      </w:r>
      <w:r w:rsidRPr="009E690C">
        <w:t xml:space="preserve"> phénomènes nouveaux, mais </w:t>
      </w:r>
      <w:r>
        <w:t>l’</w:t>
      </w:r>
      <w:r w:rsidRPr="009E690C">
        <w:t>Expert indépendant</w:t>
      </w:r>
      <w:r>
        <w:t xml:space="preserve"> </w:t>
      </w:r>
      <w:r w:rsidRPr="009E690C">
        <w:t xml:space="preserve">a considéré approprié de les organiser et les </w:t>
      </w:r>
      <w:r>
        <w:t>hiérarchiser</w:t>
      </w:r>
      <w:r w:rsidRPr="009E690C">
        <w:t xml:space="preserve"> comme </w:t>
      </w:r>
      <w:r>
        <w:t>indiqué plus haut</w:t>
      </w:r>
      <w:r w:rsidRPr="009E690C">
        <w:t xml:space="preserve">. Ils sont le fil conducteur de ses rapports pour </w:t>
      </w:r>
      <w:r>
        <w:t>contribuer</w:t>
      </w:r>
      <w:r w:rsidRPr="009E690C">
        <w:t xml:space="preserve"> à observer cette situation qu</w:t>
      </w:r>
      <w:r>
        <w:t>’</w:t>
      </w:r>
      <w:r w:rsidRPr="009E690C">
        <w:t>i</w:t>
      </w:r>
      <w:r>
        <w:t>l a déjà qualifiée dans</w:t>
      </w:r>
      <w:r w:rsidRPr="009E690C">
        <w:t xml:space="preserve"> son premier rapport</w:t>
      </w:r>
      <w:r>
        <w:t xml:space="preserve"> de</w:t>
      </w:r>
      <w:r w:rsidRPr="009E690C">
        <w:t xml:space="preserve"> complexe mais surmontable. </w:t>
      </w:r>
    </w:p>
    <w:p w:rsidR="000B0FA8" w:rsidRPr="009E690C" w:rsidRDefault="000B0FA8" w:rsidP="000B0FA8">
      <w:pPr>
        <w:pStyle w:val="SingleTxtG"/>
      </w:pPr>
      <w:r w:rsidRPr="009E690C">
        <w:t>16.</w:t>
      </w:r>
      <w:r w:rsidRPr="009E690C">
        <w:tab/>
        <w:t>L</w:t>
      </w:r>
      <w:r>
        <w:t>’</w:t>
      </w:r>
      <w:r w:rsidRPr="009E690C">
        <w:t>année 2016 a été marquée par une situation provisoire ou transitoire en matière de gouvernance due au fait que l</w:t>
      </w:r>
      <w:r>
        <w:t>e mandat</w:t>
      </w:r>
      <w:r w:rsidRPr="009E690C">
        <w:t xml:space="preserve"> de l</w:t>
      </w:r>
      <w:r>
        <w:t>’</w:t>
      </w:r>
      <w:r w:rsidRPr="009E690C">
        <w:t xml:space="preserve">ancien Président de la République, Michel Martelly, </w:t>
      </w:r>
      <w:r>
        <w:t>a</w:t>
      </w:r>
      <w:r w:rsidRPr="009E690C">
        <w:t xml:space="preserve"> </w:t>
      </w:r>
      <w:proofErr w:type="gramStart"/>
      <w:r>
        <w:t>pris</w:t>
      </w:r>
      <w:proofErr w:type="gramEnd"/>
      <w:r>
        <w:t xml:space="preserve"> fin</w:t>
      </w:r>
      <w:r w:rsidRPr="009E690C">
        <w:t xml:space="preserve"> le 7</w:t>
      </w:r>
      <w:r w:rsidR="00352ECE">
        <w:t> </w:t>
      </w:r>
      <w:r w:rsidRPr="009E690C">
        <w:t xml:space="preserve">février 2016 sans </w:t>
      </w:r>
      <w:r>
        <w:t>qu’</w:t>
      </w:r>
      <w:r w:rsidRPr="009E690C">
        <w:t>un successeur</w:t>
      </w:r>
      <w:r>
        <w:t xml:space="preserve"> n’ait été élu</w:t>
      </w:r>
      <w:r w:rsidRPr="009E690C">
        <w:t xml:space="preserve">. Il a fallu </w:t>
      </w:r>
      <w:r>
        <w:t>conclure</w:t>
      </w:r>
      <w:r w:rsidRPr="009E690C">
        <w:t xml:space="preserve"> un accord entre le Président sortant et les Présidents du Sénat et de la Chambre des députés, suite auquel le Parlement a élu le Président du Sénat, </w:t>
      </w:r>
      <w:proofErr w:type="spellStart"/>
      <w:r w:rsidRPr="009E690C">
        <w:t>Jocelerme</w:t>
      </w:r>
      <w:proofErr w:type="spellEnd"/>
      <w:r w:rsidRPr="009E690C">
        <w:t xml:space="preserve"> </w:t>
      </w:r>
      <w:proofErr w:type="spellStart"/>
      <w:r w:rsidRPr="009E690C">
        <w:t>Privert</w:t>
      </w:r>
      <w:proofErr w:type="spellEnd"/>
      <w:r w:rsidRPr="009E690C">
        <w:t>, Président intérimaire de la République avec le mandat de conclure le processus électoral aussi bien qu</w:t>
      </w:r>
      <w:r>
        <w:t>e de gouverner le pays</w:t>
      </w:r>
      <w:r w:rsidRPr="009E690C">
        <w:t xml:space="preserve">. </w:t>
      </w:r>
    </w:p>
    <w:p w:rsidR="000B0FA8" w:rsidRPr="009E690C" w:rsidRDefault="000B0FA8" w:rsidP="000B0FA8">
      <w:pPr>
        <w:pStyle w:val="SingleTxtG"/>
      </w:pPr>
      <w:r w:rsidRPr="009E690C">
        <w:t>17.</w:t>
      </w:r>
      <w:r w:rsidRPr="009E690C">
        <w:tab/>
        <w:t>Ce mandat intérimaire est lié à l</w:t>
      </w:r>
      <w:r>
        <w:t>’application</w:t>
      </w:r>
      <w:r w:rsidRPr="009E690C">
        <w:t xml:space="preserve"> de l</w:t>
      </w:r>
      <w:r>
        <w:t>’</w:t>
      </w:r>
      <w:r w:rsidRPr="009E690C">
        <w:t>une des recommandations urgentes faite</w:t>
      </w:r>
      <w:r>
        <w:t>s</w:t>
      </w:r>
      <w:r w:rsidRPr="009E690C">
        <w:t xml:space="preserve"> par l</w:t>
      </w:r>
      <w:r>
        <w:t>’</w:t>
      </w:r>
      <w:r w:rsidRPr="009E690C">
        <w:t>Expert</w:t>
      </w:r>
      <w:r>
        <w:t xml:space="preserve"> </w:t>
      </w:r>
      <w:r w:rsidRPr="009E690C">
        <w:t xml:space="preserve">indépendant, celle relative à la </w:t>
      </w:r>
      <w:r>
        <w:t>tenue</w:t>
      </w:r>
      <w:r w:rsidRPr="009E690C">
        <w:t xml:space="preserve"> des élections, qui, après avoir </w:t>
      </w:r>
      <w:r>
        <w:t>connu</w:t>
      </w:r>
      <w:r w:rsidRPr="009E690C">
        <w:t xml:space="preserve"> d</w:t>
      </w:r>
      <w:r>
        <w:t>iverses</w:t>
      </w:r>
      <w:r w:rsidRPr="009E690C">
        <w:t xml:space="preserve"> difficultés pendant l</w:t>
      </w:r>
      <w:r>
        <w:t>’</w:t>
      </w:r>
      <w:r w:rsidRPr="009E690C">
        <w:t>année, ont eu lieu le 20</w:t>
      </w:r>
      <w:r w:rsidR="00352ECE">
        <w:t> </w:t>
      </w:r>
      <w:r w:rsidRPr="009E690C">
        <w:t xml:space="preserve">novembre 2016, en relation avec le premier tour des présidentielles. </w:t>
      </w:r>
    </w:p>
    <w:p w:rsidR="000B0FA8" w:rsidRPr="009E690C" w:rsidRDefault="000B0FA8" w:rsidP="000B0FA8">
      <w:pPr>
        <w:pStyle w:val="SingleTxtG"/>
      </w:pPr>
      <w:r w:rsidRPr="009E690C">
        <w:t>18.</w:t>
      </w:r>
      <w:r w:rsidRPr="009E690C">
        <w:tab/>
        <w:t xml:space="preserve">Il y a aussi </w:t>
      </w:r>
      <w:r>
        <w:t xml:space="preserve">eu </w:t>
      </w:r>
      <w:r w:rsidRPr="009E690C">
        <w:t>des progrès partiels par rapport à une autre recommandation faite par l</w:t>
      </w:r>
      <w:r>
        <w:t>’</w:t>
      </w:r>
      <w:r w:rsidRPr="009E690C">
        <w:t>Expert</w:t>
      </w:r>
      <w:r>
        <w:t xml:space="preserve"> </w:t>
      </w:r>
      <w:r w:rsidRPr="009E690C">
        <w:t xml:space="preserve">indépendant en ce qui concerne les victimes du choléra, pour lesquelles le Secrétaire général a reconnu la responsabilité de </w:t>
      </w:r>
      <w:r>
        <w:t>l’O</w:t>
      </w:r>
      <w:r w:rsidRPr="009E690C">
        <w:t>rganisation</w:t>
      </w:r>
      <w:r>
        <w:t xml:space="preserve"> des Nations Unies (ONU)</w:t>
      </w:r>
      <w:r w:rsidRPr="009E690C">
        <w:t xml:space="preserve">. </w:t>
      </w:r>
      <w:r>
        <w:t>L</w:t>
      </w:r>
      <w:r w:rsidRPr="009E690C">
        <w:t>e 1</w:t>
      </w:r>
      <w:r w:rsidRPr="00EE4A62">
        <w:rPr>
          <w:vertAlign w:val="superscript"/>
        </w:rPr>
        <w:t>er</w:t>
      </w:r>
      <w:r w:rsidR="00352ECE">
        <w:t> </w:t>
      </w:r>
      <w:r w:rsidRPr="009E690C">
        <w:t>décembre 2016, le Secrétaire général s</w:t>
      </w:r>
      <w:r>
        <w:t>’</w:t>
      </w:r>
      <w:r w:rsidRPr="009E690C">
        <w:t>est excusé auprès du peuple haïtien et a annoncé une nouvelle approche pour ré</w:t>
      </w:r>
      <w:r>
        <w:t>soudre le problème du</w:t>
      </w:r>
      <w:r w:rsidRPr="009E690C">
        <w:t xml:space="preserve"> choléra.</w:t>
      </w:r>
    </w:p>
    <w:p w:rsidR="000B0FA8" w:rsidRPr="009E690C" w:rsidRDefault="000B0FA8" w:rsidP="000B0FA8">
      <w:pPr>
        <w:pStyle w:val="SingleTxtG"/>
      </w:pPr>
      <w:r w:rsidRPr="009E690C">
        <w:lastRenderedPageBreak/>
        <w:t>19.</w:t>
      </w:r>
      <w:r w:rsidRPr="009E690C">
        <w:tab/>
        <w:t xml:space="preserve">En ce qui concerne la détention préventive prolongée, une </w:t>
      </w:r>
      <w:r>
        <w:t>c</w:t>
      </w:r>
      <w:r w:rsidRPr="009E690C">
        <w:t>ommission présidentielle a été créé</w:t>
      </w:r>
      <w:r>
        <w:t>e</w:t>
      </w:r>
      <w:r w:rsidRPr="009E690C">
        <w:t xml:space="preserve"> au Ministère de la </w:t>
      </w:r>
      <w:r>
        <w:t>j</w:t>
      </w:r>
      <w:r w:rsidRPr="009E690C">
        <w:t>ustice. Le Gouvernement a informé l</w:t>
      </w:r>
      <w:r>
        <w:t>’</w:t>
      </w:r>
      <w:r w:rsidRPr="009E690C">
        <w:t>Expert indépendant</w:t>
      </w:r>
      <w:r>
        <w:t xml:space="preserve"> </w:t>
      </w:r>
      <w:r w:rsidRPr="009E690C">
        <w:t>que «</w:t>
      </w:r>
      <w:r>
        <w:t> </w:t>
      </w:r>
      <w:r w:rsidRPr="009E690C">
        <w:t>les travaux de cette commission ont permis de réduire</w:t>
      </w:r>
      <w:r>
        <w:t xml:space="preserve"> […]</w:t>
      </w:r>
      <w:r w:rsidRPr="009E690C">
        <w:t xml:space="preserve"> le taux de la détention préventive prolongée</w:t>
      </w:r>
      <w:r>
        <w:t> </w:t>
      </w:r>
      <w:r w:rsidRPr="009E690C">
        <w:t>»</w:t>
      </w:r>
      <w:r w:rsidRPr="00EE4A62">
        <w:rPr>
          <w:rStyle w:val="FootnoteReference"/>
        </w:rPr>
        <w:footnoteReference w:id="4"/>
      </w:r>
      <w:r w:rsidRPr="009E690C">
        <w:t xml:space="preserve">. </w:t>
      </w:r>
      <w:r w:rsidRPr="00903F65">
        <w:rPr>
          <w:lang w:val="fr-FR"/>
        </w:rPr>
        <w:t>La prochaine visite de l</w:t>
      </w:r>
      <w:r>
        <w:rPr>
          <w:lang w:val="fr-FR"/>
        </w:rPr>
        <w:t>’</w:t>
      </w:r>
      <w:r w:rsidRPr="00903F65">
        <w:rPr>
          <w:lang w:val="fr-FR"/>
        </w:rPr>
        <w:t xml:space="preserve">Expert </w:t>
      </w:r>
      <w:r w:rsidRPr="009E690C">
        <w:t>indépendant</w:t>
      </w:r>
      <w:r>
        <w:t xml:space="preserve"> </w:t>
      </w:r>
      <w:r w:rsidRPr="00903F65">
        <w:rPr>
          <w:lang w:val="fr-FR"/>
        </w:rPr>
        <w:t xml:space="preserve">au pays sera </w:t>
      </w:r>
      <w:r>
        <w:rPr>
          <w:lang w:val="fr-FR"/>
        </w:rPr>
        <w:t>l’</w:t>
      </w:r>
      <w:r w:rsidRPr="00903F65">
        <w:rPr>
          <w:lang w:val="fr-FR"/>
        </w:rPr>
        <w:t xml:space="preserve">occasion </w:t>
      </w:r>
      <w:r>
        <w:rPr>
          <w:lang w:val="fr-FR"/>
        </w:rPr>
        <w:t>de</w:t>
      </w:r>
      <w:r w:rsidRPr="00903F65">
        <w:rPr>
          <w:lang w:val="fr-FR"/>
        </w:rPr>
        <w:t xml:space="preserve"> vérifier </w:t>
      </w:r>
      <w:r>
        <w:rPr>
          <w:lang w:val="fr-FR"/>
        </w:rPr>
        <w:t>s’</w:t>
      </w:r>
      <w:r w:rsidRPr="00903F65">
        <w:rPr>
          <w:lang w:val="fr-FR"/>
        </w:rPr>
        <w:t>il y a eu une réduction du phénomène</w:t>
      </w:r>
      <w:r>
        <w:rPr>
          <w:lang w:val="fr-FR"/>
        </w:rPr>
        <w:t>.</w:t>
      </w:r>
    </w:p>
    <w:p w:rsidR="000B0FA8" w:rsidRPr="009E690C" w:rsidRDefault="000B0FA8" w:rsidP="000B0FA8">
      <w:pPr>
        <w:pStyle w:val="SingleTxtG"/>
      </w:pPr>
      <w:r w:rsidRPr="009E690C">
        <w:t>20.</w:t>
      </w:r>
      <w:r w:rsidRPr="009E690C">
        <w:tab/>
        <w:t>L</w:t>
      </w:r>
      <w:r>
        <w:t>’</w:t>
      </w:r>
      <w:r w:rsidRPr="009E690C">
        <w:t>Expert indépendant</w:t>
      </w:r>
      <w:r>
        <w:t xml:space="preserve"> </w:t>
      </w:r>
      <w:r w:rsidRPr="009E690C">
        <w:t>a été informé par les autorités haïtiennes que l</w:t>
      </w:r>
      <w:r>
        <w:t>’</w:t>
      </w:r>
      <w:r w:rsidRPr="009E690C">
        <w:t>expulsion des personnes haïtiennes ou d</w:t>
      </w:r>
      <w:r>
        <w:t>’</w:t>
      </w:r>
      <w:r w:rsidRPr="009E690C">
        <w:t>origine haïtienne de la République dominicaine se poursui</w:t>
      </w:r>
      <w:r>
        <w:t>vai</w:t>
      </w:r>
      <w:r w:rsidRPr="009E690C">
        <w:t>t</w:t>
      </w:r>
      <w:r w:rsidRPr="00EE4A62">
        <w:rPr>
          <w:rStyle w:val="FootnoteReference"/>
        </w:rPr>
        <w:footnoteReference w:id="5"/>
      </w:r>
      <w:r w:rsidRPr="009E690C">
        <w:t xml:space="preserve">. </w:t>
      </w:r>
      <w:r>
        <w:t>D</w:t>
      </w:r>
      <w:r w:rsidRPr="009E690C">
        <w:t xml:space="preserve">es efforts plus efficaces </w:t>
      </w:r>
      <w:r>
        <w:t xml:space="preserve">doivent être déployés </w:t>
      </w:r>
      <w:r w:rsidRPr="009E690C">
        <w:t xml:space="preserve">pour améliorer aussi bien leur situation de facto que leur situation </w:t>
      </w:r>
      <w:r w:rsidRPr="00EE4A62">
        <w:rPr>
          <w:i/>
          <w:iCs/>
        </w:rPr>
        <w:t>de jure</w:t>
      </w:r>
      <w:r w:rsidRPr="009E690C">
        <w:t>.</w:t>
      </w:r>
    </w:p>
    <w:p w:rsidR="000B0FA8" w:rsidRPr="009E690C" w:rsidRDefault="000B0FA8" w:rsidP="000B0FA8">
      <w:pPr>
        <w:pStyle w:val="SingleTxtG"/>
      </w:pPr>
      <w:r w:rsidRPr="009E690C">
        <w:t>21.</w:t>
      </w:r>
      <w:r w:rsidRPr="009E690C">
        <w:tab/>
        <w:t>On n</w:t>
      </w:r>
      <w:r>
        <w:t>’</w:t>
      </w:r>
      <w:r w:rsidRPr="009E690C">
        <w:t xml:space="preserve">enregistre pas de mesures </w:t>
      </w:r>
      <w:r>
        <w:t>particulières</w:t>
      </w:r>
      <w:r w:rsidRPr="009E690C">
        <w:t xml:space="preserve"> en matière d</w:t>
      </w:r>
      <w:r>
        <w:t>’</w:t>
      </w:r>
      <w:r w:rsidRPr="009E690C">
        <w:t xml:space="preserve">alphabétisation </w:t>
      </w:r>
      <w:r>
        <w:t>ni</w:t>
      </w:r>
      <w:r w:rsidRPr="009E690C">
        <w:t xml:space="preserve"> en ce qui concerne le traitement des violations du passé. L</w:t>
      </w:r>
      <w:r>
        <w:t>’</w:t>
      </w:r>
      <w:r w:rsidRPr="009E690C">
        <w:t>Expert indépendant</w:t>
      </w:r>
      <w:r>
        <w:t xml:space="preserve"> </w:t>
      </w:r>
      <w:r w:rsidRPr="009E690C">
        <w:t xml:space="preserve">continue à insister </w:t>
      </w:r>
      <w:r>
        <w:t>sur ce problème</w:t>
      </w:r>
      <w:r w:rsidRPr="009E690C">
        <w:t xml:space="preserve"> dans </w:t>
      </w:r>
      <w:r>
        <w:t>l</w:t>
      </w:r>
      <w:r w:rsidRPr="009E690C">
        <w:t>e</w:t>
      </w:r>
      <w:r>
        <w:t xml:space="preserve"> présent</w:t>
      </w:r>
      <w:r w:rsidRPr="009E690C">
        <w:t xml:space="preserve"> rapport.</w:t>
      </w:r>
    </w:p>
    <w:p w:rsidR="000B0FA8" w:rsidRPr="009E690C" w:rsidRDefault="000B0FA8" w:rsidP="000B0FA8">
      <w:pPr>
        <w:pStyle w:val="SingleTxtG"/>
      </w:pPr>
      <w:r w:rsidRPr="009E690C">
        <w:t>22.</w:t>
      </w:r>
      <w:r w:rsidRPr="009E690C">
        <w:tab/>
        <w:t>Dans son précédent rapport, l</w:t>
      </w:r>
      <w:r>
        <w:t>’</w:t>
      </w:r>
      <w:r w:rsidRPr="009E690C">
        <w:t>Expert indépendant</w:t>
      </w:r>
      <w:r>
        <w:t xml:space="preserve"> </w:t>
      </w:r>
      <w:r w:rsidRPr="009E690C">
        <w:t>avait noté qu</w:t>
      </w:r>
      <w:r>
        <w:t>’</w:t>
      </w:r>
      <w:r w:rsidRPr="009E690C">
        <w:t>après la suppression</w:t>
      </w:r>
      <w:r>
        <w:t>,</w:t>
      </w:r>
      <w:r w:rsidRPr="009E690C">
        <w:t xml:space="preserve"> en décembre 2014</w:t>
      </w:r>
      <w:r>
        <w:t>,</w:t>
      </w:r>
      <w:r w:rsidRPr="009E690C">
        <w:t xml:space="preserve"> du bureau chargé des droits humains, créé </w:t>
      </w:r>
      <w:r>
        <w:t>en</w:t>
      </w:r>
      <w:r w:rsidRPr="009E690C">
        <w:t xml:space="preserve"> 2012 sous la </w:t>
      </w:r>
      <w:r>
        <w:t>forme</w:t>
      </w:r>
      <w:r w:rsidRPr="009E690C">
        <w:t xml:space="preserve"> d</w:t>
      </w:r>
      <w:r>
        <w:t>’</w:t>
      </w:r>
      <w:r w:rsidRPr="009E690C">
        <w:t xml:space="preserve">une </w:t>
      </w:r>
      <w:r>
        <w:t>m</w:t>
      </w:r>
      <w:r w:rsidRPr="009E690C">
        <w:t>inistre déléguée à la Primature, il s</w:t>
      </w:r>
      <w:r>
        <w:t>’</w:t>
      </w:r>
      <w:r w:rsidRPr="009E690C">
        <w:t xml:space="preserve">avérait judicieux </w:t>
      </w:r>
      <w:r>
        <w:t xml:space="preserve">de maintenir </w:t>
      </w:r>
      <w:r w:rsidRPr="009E690C">
        <w:t>un bureau chargé des droits de l</w:t>
      </w:r>
      <w:r>
        <w:t>’</w:t>
      </w:r>
      <w:r w:rsidRPr="009E690C">
        <w:t xml:space="preserve">homme avec </w:t>
      </w:r>
      <w:r>
        <w:t xml:space="preserve">une </w:t>
      </w:r>
      <w:r w:rsidRPr="009E690C">
        <w:t>autorité suffisante pour assurer la coordination des agences gouvernementales dans ce domaine et faciliter l</w:t>
      </w:r>
      <w:r>
        <w:t>’</w:t>
      </w:r>
      <w:r w:rsidRPr="009E690C">
        <w:t>adoption d</w:t>
      </w:r>
      <w:r>
        <w:t>’</w:t>
      </w:r>
      <w:r w:rsidRPr="009E690C">
        <w:t>une politique de</w:t>
      </w:r>
      <w:r>
        <w:t>s</w:t>
      </w:r>
      <w:r w:rsidRPr="009E690C">
        <w:t xml:space="preserve"> droits humains qui soit transversale </w:t>
      </w:r>
      <w:r>
        <w:t>dans</w:t>
      </w:r>
      <w:r w:rsidRPr="009E690C">
        <w:t xml:space="preserve"> l</w:t>
      </w:r>
      <w:r>
        <w:t>’e</w:t>
      </w:r>
      <w:r w:rsidRPr="009E690C">
        <w:t xml:space="preserve">xécutif et, par ce biais, </w:t>
      </w:r>
      <w:r>
        <w:t>dans</w:t>
      </w:r>
      <w:r w:rsidRPr="009E690C">
        <w:t xml:space="preserve"> l</w:t>
      </w:r>
      <w:r>
        <w:t>’</w:t>
      </w:r>
      <w:r w:rsidRPr="009E690C">
        <w:t>ensemble de l</w:t>
      </w:r>
      <w:r>
        <w:t>’</w:t>
      </w:r>
      <w:r w:rsidRPr="009E690C">
        <w:t>État et de la société. Le Gouvernement a pris note «</w:t>
      </w:r>
      <w:r>
        <w:t> </w:t>
      </w:r>
      <w:r w:rsidRPr="009E690C">
        <w:t>de ces recommandations jugées pertinentes</w:t>
      </w:r>
      <w:r>
        <w:t> </w:t>
      </w:r>
      <w:r w:rsidRPr="009E690C">
        <w:t>»</w:t>
      </w:r>
      <w:r w:rsidRPr="00EE4A62">
        <w:rPr>
          <w:rStyle w:val="FootnoteReference"/>
        </w:rPr>
        <w:footnoteReference w:id="6"/>
      </w:r>
      <w:r>
        <w:t xml:space="preserve"> </w:t>
      </w:r>
      <w:r w:rsidRPr="009E690C">
        <w:t xml:space="preserve">et a </w:t>
      </w:r>
      <w:r>
        <w:t>indiqué</w:t>
      </w:r>
      <w:r w:rsidRPr="009E690C">
        <w:t xml:space="preserve"> à l</w:t>
      </w:r>
      <w:r>
        <w:t>’</w:t>
      </w:r>
      <w:r w:rsidRPr="009E690C">
        <w:t>Expert indépendant</w:t>
      </w:r>
      <w:r>
        <w:t xml:space="preserve"> </w:t>
      </w:r>
      <w:r w:rsidRPr="009E690C">
        <w:t>qu</w:t>
      </w:r>
      <w:r>
        <w:t>’</w:t>
      </w:r>
      <w:r w:rsidRPr="009E690C">
        <w:t>il les transmettrait à la nouvelle administration.</w:t>
      </w:r>
    </w:p>
    <w:p w:rsidR="000B0FA8" w:rsidRPr="009E690C" w:rsidRDefault="000B0FA8" w:rsidP="000B0FA8">
      <w:pPr>
        <w:pStyle w:val="SingleTxtG"/>
      </w:pPr>
      <w:r w:rsidRPr="009E690C">
        <w:t>23.</w:t>
      </w:r>
      <w:r w:rsidRPr="009E690C">
        <w:tab/>
      </w:r>
      <w:r>
        <w:t>Dans le</w:t>
      </w:r>
      <w:r w:rsidRPr="009E690C">
        <w:t xml:space="preserve"> préc</w:t>
      </w:r>
      <w:r>
        <w:t>é</w:t>
      </w:r>
      <w:r w:rsidRPr="009E690C">
        <w:t>dent rapport, l</w:t>
      </w:r>
      <w:r>
        <w:t>’</w:t>
      </w:r>
      <w:r w:rsidRPr="009E690C">
        <w:t>Expert indépendant</w:t>
      </w:r>
      <w:r>
        <w:t xml:space="preserve"> </w:t>
      </w:r>
      <w:r w:rsidRPr="009E690C">
        <w:t xml:space="preserve">avait encouragé le </w:t>
      </w:r>
      <w:r>
        <w:t>G</w:t>
      </w:r>
      <w:r w:rsidRPr="009E690C">
        <w:t xml:space="preserve">ouvernement, et </w:t>
      </w:r>
      <w:r>
        <w:t>il l’encourage à nouveau</w:t>
      </w:r>
      <w:r w:rsidRPr="009E690C">
        <w:t>, à ratifier la Convention internationale sur la protection des droits de tous les travailleurs migrants et des membres de leur famille</w:t>
      </w:r>
      <w:r>
        <w:t> </w:t>
      </w:r>
      <w:r w:rsidRPr="009E690C">
        <w:t>; la Convention interaméricaine contre le racisme, la discrimination raciale et les formes connexes d</w:t>
      </w:r>
      <w:r>
        <w:t>’</w:t>
      </w:r>
      <w:r w:rsidRPr="009E690C">
        <w:t>intolérance</w:t>
      </w:r>
      <w:r>
        <w:t> </w:t>
      </w:r>
      <w:r w:rsidRPr="009E690C">
        <w:t>; ainsi que la Convention interaméricaine contre toutes les formes de discrimination</w:t>
      </w:r>
      <w:r>
        <w:t xml:space="preserve"> et d’intolérance</w:t>
      </w:r>
      <w:r w:rsidRPr="009E690C">
        <w:t xml:space="preserve">. Il encourage aussi le Parlement à approuver la Convention contre la torture et autres peines ou traitements cruels, inhumains ou dégradants, qui lui </w:t>
      </w:r>
      <w:proofErr w:type="gramStart"/>
      <w:r w:rsidRPr="009E690C">
        <w:t>a</w:t>
      </w:r>
      <w:proofErr w:type="gramEnd"/>
      <w:r w:rsidRPr="009E690C">
        <w:t xml:space="preserve"> été soumise par le Gouvernement pour </w:t>
      </w:r>
      <w:r>
        <w:t xml:space="preserve">qu’il </w:t>
      </w:r>
      <w:r w:rsidRPr="009E690C">
        <w:t>autorise sa ratification.</w:t>
      </w:r>
    </w:p>
    <w:p w:rsidR="000B0FA8" w:rsidRPr="009E690C" w:rsidRDefault="000B0FA8" w:rsidP="000B0FA8">
      <w:pPr>
        <w:pStyle w:val="SingleTxtG"/>
      </w:pPr>
      <w:r w:rsidRPr="009E690C">
        <w:t>24.</w:t>
      </w:r>
      <w:r w:rsidRPr="009E690C">
        <w:tab/>
        <w:t xml:space="preserve">Au mois de novembre 2016, Haïti </w:t>
      </w:r>
      <w:r>
        <w:t>a été soumis à</w:t>
      </w:r>
      <w:r w:rsidRPr="009E690C">
        <w:t xml:space="preserve"> l</w:t>
      </w:r>
      <w:r>
        <w:t>’e</w:t>
      </w:r>
      <w:r w:rsidRPr="009E690C">
        <w:t xml:space="preserve">xamen </w:t>
      </w:r>
      <w:r>
        <w:t>p</w:t>
      </w:r>
      <w:r w:rsidRPr="009E690C">
        <w:t xml:space="preserve">ériodique </w:t>
      </w:r>
      <w:r>
        <w:t>u</w:t>
      </w:r>
      <w:r w:rsidRPr="009E690C">
        <w:t>niversel du Conseil des droits de l</w:t>
      </w:r>
      <w:r>
        <w:t>’</w:t>
      </w:r>
      <w:r w:rsidRPr="009E690C">
        <w:t xml:space="preserve">homme. </w:t>
      </w:r>
      <w:r>
        <w:t>Cent-soixante-quinze</w:t>
      </w:r>
      <w:r w:rsidRPr="009E690C">
        <w:t xml:space="preserve"> recommandations ont été acceptées, </w:t>
      </w:r>
      <w:r>
        <w:t xml:space="preserve">comme notamment </w:t>
      </w:r>
      <w:r w:rsidRPr="009E690C">
        <w:t>adopter, en consultation avec la société civile, un plan d</w:t>
      </w:r>
      <w:r>
        <w:t>’</w:t>
      </w:r>
      <w:r w:rsidRPr="009E690C">
        <w:t xml:space="preserve">action pour prioriser, ratifier et </w:t>
      </w:r>
      <w:r>
        <w:t>mettre en œuvre</w:t>
      </w:r>
      <w:r w:rsidRPr="009E690C">
        <w:t xml:space="preserve"> des traités internationaux </w:t>
      </w:r>
      <w:r>
        <w:t>relatifs aux</w:t>
      </w:r>
      <w:r w:rsidRPr="009E690C">
        <w:t xml:space="preserve"> droits </w:t>
      </w:r>
      <w:r>
        <w:t>de l’homme, dont</w:t>
      </w:r>
      <w:r w:rsidRPr="009E690C">
        <w:t xml:space="preserve"> la Convention contre la torture, </w:t>
      </w:r>
      <w:r>
        <w:t>le</w:t>
      </w:r>
      <w:r w:rsidRPr="009E690C">
        <w:t xml:space="preserve"> Protocole </w:t>
      </w:r>
      <w:r>
        <w:t>f</w:t>
      </w:r>
      <w:r w:rsidRPr="009E690C">
        <w:t xml:space="preserve">acultatif </w:t>
      </w:r>
      <w:r>
        <w:t xml:space="preserve">s’y rapportant, </w:t>
      </w:r>
      <w:r w:rsidRPr="009E690C">
        <w:t xml:space="preserve">ainsi que les Protocoles </w:t>
      </w:r>
      <w:r>
        <w:t>f</w:t>
      </w:r>
      <w:r w:rsidRPr="009E690C">
        <w:t xml:space="preserve">acultatifs à la Convention </w:t>
      </w:r>
      <w:r>
        <w:t xml:space="preserve">relative aux </w:t>
      </w:r>
      <w:r w:rsidRPr="009E690C">
        <w:t>droits de l</w:t>
      </w:r>
      <w:r>
        <w:t>’</w:t>
      </w:r>
      <w:r w:rsidRPr="009E690C">
        <w:t xml:space="preserve">enfant et à la Convention </w:t>
      </w:r>
      <w:r>
        <w:t>sur</w:t>
      </w:r>
      <w:r w:rsidRPr="009E690C">
        <w:t xml:space="preserve"> l</w:t>
      </w:r>
      <w:r>
        <w:t>’</w:t>
      </w:r>
      <w:r w:rsidRPr="009E690C">
        <w:t xml:space="preserve">élimination de </w:t>
      </w:r>
      <w:r>
        <w:t xml:space="preserve">toutes les formes de </w:t>
      </w:r>
      <w:r w:rsidRPr="009E690C">
        <w:t xml:space="preserve">discrimination </w:t>
      </w:r>
      <w:r>
        <w:t>à l’égard d</w:t>
      </w:r>
      <w:r w:rsidRPr="009E690C">
        <w:t xml:space="preserve">es femmes, la Convention </w:t>
      </w:r>
      <w:r>
        <w:t>de 2011 sur les travailleuses et travailleurs domestiques (n</w:t>
      </w:r>
      <w:r w:rsidRPr="00704CBA">
        <w:rPr>
          <w:vertAlign w:val="superscript"/>
        </w:rPr>
        <w:t>o</w:t>
      </w:r>
      <w:r>
        <w:t> </w:t>
      </w:r>
      <w:r w:rsidRPr="009E690C">
        <w:t>189</w:t>
      </w:r>
      <w:r>
        <w:t xml:space="preserve">) </w:t>
      </w:r>
      <w:r w:rsidRPr="009E690C">
        <w:t>de l</w:t>
      </w:r>
      <w:r>
        <w:t>’</w:t>
      </w:r>
      <w:r w:rsidRPr="009E690C">
        <w:t>O</w:t>
      </w:r>
      <w:r>
        <w:t>rganisation internationale du Travail</w:t>
      </w:r>
      <w:r w:rsidRPr="009E690C">
        <w:t>, le Pacte international relatif aux droits économiques</w:t>
      </w:r>
      <w:r>
        <w:t xml:space="preserve">, </w:t>
      </w:r>
      <w:r w:rsidRPr="009E690C">
        <w:t>sociaux et culturels, la Convention internationale sur l</w:t>
      </w:r>
      <w:r>
        <w:t>a protection d</w:t>
      </w:r>
      <w:r w:rsidRPr="009E690C">
        <w:t>es droits de</w:t>
      </w:r>
      <w:r>
        <w:t xml:space="preserve"> tou</w:t>
      </w:r>
      <w:r w:rsidRPr="009E690C">
        <w:t xml:space="preserve">s </w:t>
      </w:r>
      <w:r>
        <w:t xml:space="preserve">les </w:t>
      </w:r>
      <w:r w:rsidRPr="009E690C">
        <w:t>travailleurs migrants</w:t>
      </w:r>
      <w:r>
        <w:t xml:space="preserve"> et des membres de leur famille</w:t>
      </w:r>
      <w:r w:rsidRPr="009E690C">
        <w:t>, la Convention relative au statut des apatrides et la Convention sur la réduction de</w:t>
      </w:r>
      <w:r>
        <w:t>s cas</w:t>
      </w:r>
      <w:r w:rsidRPr="009E690C">
        <w:t xml:space="preserve"> </w:t>
      </w:r>
      <w:r>
        <w:t>d’</w:t>
      </w:r>
      <w:r w:rsidRPr="009E690C">
        <w:t>apatridie</w:t>
      </w:r>
      <w:r>
        <w:t> </w:t>
      </w:r>
      <w:r w:rsidRPr="009E690C">
        <w:t xml:space="preserve">; </w:t>
      </w:r>
      <w:r>
        <w:t>poursuivre l</w:t>
      </w:r>
      <w:r w:rsidRPr="009E690C">
        <w:t xml:space="preserve">es efforts pour fournir </w:t>
      </w:r>
      <w:r>
        <w:t xml:space="preserve">un </w:t>
      </w:r>
      <w:r w:rsidRPr="009E690C">
        <w:t xml:space="preserve">plein accès à la justice, </w:t>
      </w:r>
      <w:r>
        <w:t>aux</w:t>
      </w:r>
      <w:r w:rsidRPr="009E690C">
        <w:t xml:space="preserve"> services de santé et </w:t>
      </w:r>
      <w:r>
        <w:t xml:space="preserve">à </w:t>
      </w:r>
      <w:r w:rsidRPr="009E690C">
        <w:t>l</w:t>
      </w:r>
      <w:r>
        <w:t>’</w:t>
      </w:r>
      <w:r w:rsidRPr="009E690C">
        <w:t>éducation pour tous</w:t>
      </w:r>
      <w:r>
        <w:t> </w:t>
      </w:r>
      <w:r w:rsidRPr="009E690C">
        <w:t xml:space="preserve">; </w:t>
      </w:r>
      <w:r>
        <w:t>mettre en œuvre</w:t>
      </w:r>
      <w:r w:rsidRPr="009E690C">
        <w:t xml:space="preserve"> un plan d</w:t>
      </w:r>
      <w:r>
        <w:t>’</w:t>
      </w:r>
      <w:r w:rsidRPr="009E690C">
        <w:t>action pour promouvoir les droits humains, en coopération avec la société civile et l</w:t>
      </w:r>
      <w:r>
        <w:t>’</w:t>
      </w:r>
      <w:r w:rsidRPr="009E690C">
        <w:t xml:space="preserve">Office de </w:t>
      </w:r>
      <w:r>
        <w:t>p</w:t>
      </w:r>
      <w:r w:rsidRPr="009E690C">
        <w:t xml:space="preserve">rotection du </w:t>
      </w:r>
      <w:r>
        <w:t>c</w:t>
      </w:r>
      <w:r w:rsidRPr="009E690C">
        <w:t xml:space="preserve">itoyen, avec </w:t>
      </w:r>
      <w:r>
        <w:t>un accent particulier</w:t>
      </w:r>
      <w:r w:rsidRPr="009E690C">
        <w:t xml:space="preserve"> sur les droits des femmes et de</w:t>
      </w:r>
      <w:r>
        <w:t>s</w:t>
      </w:r>
      <w:r w:rsidRPr="009E690C">
        <w:t xml:space="preserve"> groupes vulnérables</w:t>
      </w:r>
      <w:r>
        <w:t> </w:t>
      </w:r>
      <w:r w:rsidRPr="009E690C">
        <w:t xml:space="preserve">; retirer de </w:t>
      </w:r>
      <w:r>
        <w:t>l</w:t>
      </w:r>
      <w:r w:rsidRPr="009E690C">
        <w:t xml:space="preserve">a législation et de la pratique toutes les </w:t>
      </w:r>
      <w:r>
        <w:t>dispositions</w:t>
      </w:r>
      <w:r w:rsidRPr="009E690C">
        <w:t xml:space="preserve"> civiles et </w:t>
      </w:r>
      <w:r>
        <w:t>pénales</w:t>
      </w:r>
      <w:r w:rsidRPr="009E690C">
        <w:t xml:space="preserve"> qui constituent </w:t>
      </w:r>
      <w:r>
        <w:t xml:space="preserve">une </w:t>
      </w:r>
      <w:r w:rsidRPr="009E690C">
        <w:t xml:space="preserve">discrimination </w:t>
      </w:r>
      <w:r>
        <w:t>en</w:t>
      </w:r>
      <w:r w:rsidRPr="009E690C">
        <w:t>vers les femmes et les filles</w:t>
      </w:r>
      <w:r>
        <w:t> </w:t>
      </w:r>
      <w:r w:rsidRPr="009E690C">
        <w:t xml:space="preserve">; et redoubler </w:t>
      </w:r>
      <w:r>
        <w:t>d’</w:t>
      </w:r>
      <w:r w:rsidRPr="009E690C">
        <w:t xml:space="preserve">efforts pour améliorer les conditions </w:t>
      </w:r>
      <w:r>
        <w:t xml:space="preserve">de détention </w:t>
      </w:r>
      <w:r w:rsidRPr="009E690C">
        <w:t>des personnes privées de liberté, en particulier à travers la réduction de la période de détention provisoire, la facilitation d</w:t>
      </w:r>
      <w:r>
        <w:t>e l’</w:t>
      </w:r>
      <w:r w:rsidRPr="009E690C">
        <w:t>accès à la justice et l</w:t>
      </w:r>
      <w:r>
        <w:t>’</w:t>
      </w:r>
      <w:r w:rsidRPr="009E690C">
        <w:t xml:space="preserve">amélioration des conditions </w:t>
      </w:r>
      <w:r>
        <w:t>de vie dans l</w:t>
      </w:r>
      <w:r w:rsidRPr="009E690C">
        <w:t>es centres de détention</w:t>
      </w:r>
      <w:r w:rsidRPr="00EE4A62">
        <w:rPr>
          <w:rStyle w:val="FootnoteReference"/>
        </w:rPr>
        <w:footnoteReference w:id="7"/>
      </w:r>
      <w:r w:rsidRPr="009E690C">
        <w:t>.</w:t>
      </w:r>
    </w:p>
    <w:p w:rsidR="000B0FA8" w:rsidRPr="009E690C" w:rsidRDefault="000B0FA8" w:rsidP="000B0FA8">
      <w:pPr>
        <w:pStyle w:val="SingleTxtG"/>
      </w:pPr>
      <w:r w:rsidRPr="009E690C">
        <w:lastRenderedPageBreak/>
        <w:t>25.</w:t>
      </w:r>
      <w:r w:rsidRPr="009E690C">
        <w:tab/>
        <w:t>S</w:t>
      </w:r>
      <w:r>
        <w:t>’agissant</w:t>
      </w:r>
      <w:r w:rsidRPr="009E690C">
        <w:t xml:space="preserve"> d</w:t>
      </w:r>
      <w:r>
        <w:t>’</w:t>
      </w:r>
      <w:r w:rsidRPr="009E690C">
        <w:t>autres recommandations faites lors de l</w:t>
      </w:r>
      <w:r>
        <w:t>’examen périodique universel</w:t>
      </w:r>
      <w:r w:rsidRPr="009E690C">
        <w:t>, Haïti a répondu qu</w:t>
      </w:r>
      <w:r>
        <w:t>’</w:t>
      </w:r>
      <w:r w:rsidRPr="009E690C">
        <w:t xml:space="preserve">elles seraient examinées et </w:t>
      </w:r>
      <w:r>
        <w:t>qu’</w:t>
      </w:r>
      <w:r w:rsidRPr="009E690C">
        <w:t xml:space="preserve">une réponse serait donnée au plus tard à la </w:t>
      </w:r>
      <w:r>
        <w:t>trente-quatri</w:t>
      </w:r>
      <w:r w:rsidRPr="009E690C">
        <w:t>ème session du Conseil des droits de l</w:t>
      </w:r>
      <w:r>
        <w:t>’</w:t>
      </w:r>
      <w:r w:rsidRPr="009E690C">
        <w:t xml:space="preserve">homme en mars 2017. </w:t>
      </w:r>
      <w:r>
        <w:t>À cette fin</w:t>
      </w:r>
      <w:r w:rsidRPr="009E690C">
        <w:t xml:space="preserve">, un atelier de consultation avec la société civile, le corps diplomatique et les agences des Nations </w:t>
      </w:r>
      <w:r>
        <w:t>U</w:t>
      </w:r>
      <w:r w:rsidRPr="009E690C">
        <w:t>nies en Haïti a été organisé le 20</w:t>
      </w:r>
      <w:r w:rsidR="00A63102" w:rsidRPr="009E690C">
        <w:rPr>
          <w:szCs w:val="18"/>
        </w:rPr>
        <w:t> </w:t>
      </w:r>
      <w:r w:rsidRPr="009E690C">
        <w:t xml:space="preserve">décembre 2016. </w:t>
      </w:r>
      <w:r>
        <w:t>À la s</w:t>
      </w:r>
      <w:r w:rsidRPr="009E690C">
        <w:t xml:space="preserve">uite </w:t>
      </w:r>
      <w:r>
        <w:t>de</w:t>
      </w:r>
      <w:r w:rsidRPr="009E690C">
        <w:t xml:space="preserve"> cette consultation, le Gouvernement a informé l</w:t>
      </w:r>
      <w:r>
        <w:t>’</w:t>
      </w:r>
      <w:r w:rsidRPr="009E690C">
        <w:t>Expert indépendant</w:t>
      </w:r>
      <w:r>
        <w:t xml:space="preserve"> </w:t>
      </w:r>
      <w:r w:rsidRPr="009E690C">
        <w:t>qu</w:t>
      </w:r>
      <w:r>
        <w:t>’</w:t>
      </w:r>
      <w:r w:rsidRPr="009E690C">
        <w:t>actuellement il n</w:t>
      </w:r>
      <w:r>
        <w:t>’</w:t>
      </w:r>
      <w:r w:rsidRPr="009E690C">
        <w:t>y a</w:t>
      </w:r>
      <w:r>
        <w:t>vait</w:t>
      </w:r>
      <w:r w:rsidRPr="009E690C">
        <w:t xml:space="preserve"> plus de recommandations r</w:t>
      </w:r>
      <w:r>
        <w:t>e</w:t>
      </w:r>
      <w:r w:rsidRPr="009E690C">
        <w:t>portées et</w:t>
      </w:r>
      <w:r>
        <w:t xml:space="preserve"> que</w:t>
      </w:r>
      <w:r w:rsidRPr="009E690C">
        <w:t xml:space="preserve"> le nombre de recommandations acceptées par Haïti </w:t>
      </w:r>
      <w:r>
        <w:t>était</w:t>
      </w:r>
      <w:r w:rsidRPr="009E690C">
        <w:t xml:space="preserve"> passé à 188, et celles notées à 25. Le Gouvernement a </w:t>
      </w:r>
      <w:r>
        <w:t xml:space="preserve">aussi </w:t>
      </w:r>
      <w:r w:rsidRPr="009E690C">
        <w:t>tenu à signaler que la Convention internationale pour la protection de toutes les personnes contre les disparitions forcées, que l</w:t>
      </w:r>
      <w:r>
        <w:t>’</w:t>
      </w:r>
      <w:r w:rsidRPr="009E690C">
        <w:t>Expert indépendant</w:t>
      </w:r>
      <w:r>
        <w:t xml:space="preserve"> </w:t>
      </w:r>
      <w:r w:rsidRPr="009E690C">
        <w:t>avait encouragé à accepter, «</w:t>
      </w:r>
      <w:r>
        <w:t> </w:t>
      </w:r>
      <w:r w:rsidRPr="009E690C">
        <w:t>a été effectivement prise en compte et la recommandation demandant de combattre systématiquement l</w:t>
      </w:r>
      <w:r>
        <w:t>’</w:t>
      </w:r>
      <w:r w:rsidRPr="009E690C">
        <w:t>exploitation et la violence contre les enfants</w:t>
      </w:r>
      <w:r>
        <w:t>,</w:t>
      </w:r>
      <w:r w:rsidRPr="009E690C">
        <w:t xml:space="preserve"> y compris au moyen de législation criminalisant la pratique de soumettre les enfants aux services domestiques, a été notée. De même, la recommandation relative à la mise en œuvre de mesures pour garantir aux personnes déplacées l</w:t>
      </w:r>
      <w:r>
        <w:t>’</w:t>
      </w:r>
      <w:r w:rsidRPr="009E690C">
        <w:t xml:space="preserve">accès à des services </w:t>
      </w:r>
      <w:r>
        <w:t xml:space="preserve">[de </w:t>
      </w:r>
      <w:r w:rsidRPr="009E690C">
        <w:t>bas</w:t>
      </w:r>
      <w:r>
        <w:t>e]</w:t>
      </w:r>
      <w:r w:rsidRPr="009E690C">
        <w:t xml:space="preserve"> si bien qu</w:t>
      </w:r>
      <w:r>
        <w:t>’</w:t>
      </w:r>
      <w:r w:rsidRPr="009E690C">
        <w:t>elles puissent quitter le camp, qui fut notée par Haïti</w:t>
      </w:r>
      <w:r>
        <w:t>,</w:t>
      </w:r>
      <w:r w:rsidRPr="009E690C">
        <w:t xml:space="preserve"> a été acceptée par la suite</w:t>
      </w:r>
      <w:r>
        <w:t> </w:t>
      </w:r>
      <w:r w:rsidRPr="009E690C">
        <w:t>»</w:t>
      </w:r>
      <w:r w:rsidRPr="00EE4A62">
        <w:rPr>
          <w:rStyle w:val="FootnoteReference"/>
        </w:rPr>
        <w:footnoteReference w:id="8"/>
      </w:r>
      <w:r w:rsidRPr="009E690C">
        <w:t>.</w:t>
      </w:r>
    </w:p>
    <w:p w:rsidR="000B0FA8" w:rsidRPr="009E690C" w:rsidRDefault="000B0FA8" w:rsidP="000B0FA8">
      <w:pPr>
        <w:pStyle w:val="SingleTxtG"/>
      </w:pPr>
      <w:r w:rsidRPr="009E690C">
        <w:t>26.</w:t>
      </w:r>
      <w:r w:rsidRPr="009E690C">
        <w:tab/>
        <w:t>L</w:t>
      </w:r>
      <w:r>
        <w:t>’</w:t>
      </w:r>
      <w:r w:rsidRPr="009E690C">
        <w:t>Expert indépendant</w:t>
      </w:r>
      <w:r>
        <w:t xml:space="preserve"> souligne</w:t>
      </w:r>
      <w:r w:rsidRPr="009E690C">
        <w:t xml:space="preserve"> l</w:t>
      </w:r>
      <w:r>
        <w:t>’</w:t>
      </w:r>
      <w:r w:rsidRPr="009E690C">
        <w:t xml:space="preserve">importance de </w:t>
      </w:r>
      <w:r>
        <w:t>l’</w:t>
      </w:r>
      <w:r w:rsidRPr="009E690C">
        <w:t xml:space="preserve">acceptation des recommandations ainsi que de la procédure de consultation qui a été mise en œuvre autour du sujet et encourage aussi bien la société civile que la nouvelle administration à </w:t>
      </w:r>
      <w:r>
        <w:t>poursuivre</w:t>
      </w:r>
      <w:r w:rsidRPr="009E690C">
        <w:t xml:space="preserve"> les efforts nécessaires pour assurer leur</w:t>
      </w:r>
      <w:r>
        <w:t xml:space="preserve"> application</w:t>
      </w:r>
      <w:r w:rsidRPr="009E690C">
        <w:t xml:space="preserve"> effective. </w:t>
      </w:r>
    </w:p>
    <w:p w:rsidR="000B0FA8" w:rsidRPr="009E690C" w:rsidRDefault="000B0FA8" w:rsidP="000B0FA8">
      <w:pPr>
        <w:pStyle w:val="SingleTxtG"/>
      </w:pPr>
      <w:r w:rsidRPr="009E690C">
        <w:t>27.</w:t>
      </w:r>
      <w:r w:rsidRPr="009E690C">
        <w:tab/>
        <w:t>L</w:t>
      </w:r>
      <w:r>
        <w:t>’</w:t>
      </w:r>
      <w:r w:rsidRPr="009E690C">
        <w:t>Expert indépendant</w:t>
      </w:r>
      <w:r>
        <w:t xml:space="preserve"> lance également</w:t>
      </w:r>
      <w:r w:rsidRPr="009E690C">
        <w:t xml:space="preserve"> un appel au Parlement </w:t>
      </w:r>
      <w:r>
        <w:t>pour qu’il</w:t>
      </w:r>
      <w:r w:rsidRPr="009E690C">
        <w:t xml:space="preserve"> approuve dans le</w:t>
      </w:r>
      <w:r>
        <w:t>s</w:t>
      </w:r>
      <w:r w:rsidRPr="009E690C">
        <w:t xml:space="preserve"> meilleur</w:t>
      </w:r>
      <w:r>
        <w:t>s</w:t>
      </w:r>
      <w:r w:rsidRPr="009E690C">
        <w:t xml:space="preserve"> délais les instruments de ratification de la Convention relative au statut des apatrides et de la Convention sur la réduction des cas d</w:t>
      </w:r>
      <w:r>
        <w:t>’</w:t>
      </w:r>
      <w:r w:rsidRPr="009E690C">
        <w:t>apatridie qui lui ont été soumis par le Gouvernement, selon l</w:t>
      </w:r>
      <w:r>
        <w:t>’</w:t>
      </w:r>
      <w:r w:rsidRPr="009E690C">
        <w:t>information transmise à l</w:t>
      </w:r>
      <w:r>
        <w:t>’</w:t>
      </w:r>
      <w:r w:rsidRPr="009E690C">
        <w:t>Expert indépendant</w:t>
      </w:r>
      <w:r>
        <w:t xml:space="preserve"> </w:t>
      </w:r>
      <w:r w:rsidRPr="009E690C">
        <w:t>après sa visite d</w:t>
      </w:r>
      <w:r>
        <w:t>’</w:t>
      </w:r>
      <w:r w:rsidRPr="009E690C">
        <w:t>octobre 2016</w:t>
      </w:r>
      <w:r w:rsidRPr="00EE4A62">
        <w:rPr>
          <w:rStyle w:val="FootnoteReference"/>
        </w:rPr>
        <w:footnoteReference w:id="9"/>
      </w:r>
      <w:r w:rsidRPr="009E690C">
        <w:t>.</w:t>
      </w:r>
    </w:p>
    <w:p w:rsidR="000B0FA8" w:rsidRPr="009E690C" w:rsidRDefault="000B0FA8" w:rsidP="000B0FA8">
      <w:pPr>
        <w:pStyle w:val="SingleTxtG"/>
      </w:pPr>
      <w:r w:rsidRPr="009E690C">
        <w:t>28.</w:t>
      </w:r>
      <w:r w:rsidRPr="009E690C">
        <w:tab/>
        <w:t>Le quatorzième rapport périodique d</w:t>
      </w:r>
      <w:r>
        <w:t>’</w:t>
      </w:r>
      <w:r w:rsidRPr="009E690C">
        <w:t>Haïti au Comité pour l</w:t>
      </w:r>
      <w:r>
        <w:t>’</w:t>
      </w:r>
      <w:r w:rsidRPr="009E690C">
        <w:t>élimination de la discrimination raciale</w:t>
      </w:r>
      <w:r>
        <w:t xml:space="preserve"> </w:t>
      </w:r>
      <w:r w:rsidRPr="009E690C">
        <w:t>n</w:t>
      </w:r>
      <w:r>
        <w:t>’</w:t>
      </w:r>
      <w:r w:rsidRPr="009E690C">
        <w:t xml:space="preserve">a pas été soumis. Le premier rapport au Comité </w:t>
      </w:r>
      <w:r>
        <w:t>d</w:t>
      </w:r>
      <w:r w:rsidRPr="009E690C">
        <w:t>es droits économiques, sociaux et culturels est aussi en retard. Néanmoins, le Gouvernement a annoncé à l</w:t>
      </w:r>
      <w:r>
        <w:t>’</w:t>
      </w:r>
      <w:r w:rsidRPr="009E690C">
        <w:t>Expert indépendant</w:t>
      </w:r>
      <w:r>
        <w:t xml:space="preserve"> </w:t>
      </w:r>
      <w:r w:rsidRPr="009E690C">
        <w:t xml:space="preserve">que le Comité interministériel des droits de la personne </w:t>
      </w:r>
      <w:r>
        <w:t>était</w:t>
      </w:r>
      <w:r w:rsidRPr="009E690C">
        <w:t xml:space="preserve"> en train de travailler activement sur ce rapport qui sera</w:t>
      </w:r>
      <w:r>
        <w:t>it</w:t>
      </w:r>
      <w:r w:rsidRPr="009E690C">
        <w:t xml:space="preserve"> bientôt soumis à l</w:t>
      </w:r>
      <w:r>
        <w:t>’</w:t>
      </w:r>
      <w:r w:rsidRPr="009E690C">
        <w:t>instance concernée. Il est important de souligner aussi l</w:t>
      </w:r>
      <w:r>
        <w:t>’</w:t>
      </w:r>
      <w:r w:rsidRPr="009E690C">
        <w:t>adoption d</w:t>
      </w:r>
      <w:r>
        <w:t xml:space="preserve">es </w:t>
      </w:r>
      <w:r w:rsidRPr="009E690C">
        <w:t xml:space="preserve">observations finales du Comité </w:t>
      </w:r>
      <w:r>
        <w:t>d</w:t>
      </w:r>
      <w:r w:rsidRPr="009E690C">
        <w:t>es droits de l</w:t>
      </w:r>
      <w:r>
        <w:t>’</w:t>
      </w:r>
      <w:r w:rsidRPr="009E690C">
        <w:t xml:space="preserve">enfant </w:t>
      </w:r>
      <w:r>
        <w:t xml:space="preserve">(CRC/C/HTI/CO/2-3) </w:t>
      </w:r>
      <w:r w:rsidRPr="009E690C">
        <w:t>en janvier 2016 et du Comité pour l</w:t>
      </w:r>
      <w:r>
        <w:t>’</w:t>
      </w:r>
      <w:r w:rsidRPr="009E690C">
        <w:t>élimination de la discrimination à l</w:t>
      </w:r>
      <w:r>
        <w:t>’</w:t>
      </w:r>
      <w:r w:rsidRPr="009E690C">
        <w:t xml:space="preserve">égard des femmes </w:t>
      </w:r>
      <w:r>
        <w:t xml:space="preserve">(CEDAW/C/HTI/CO/8-9) </w:t>
      </w:r>
      <w:r w:rsidRPr="009E690C">
        <w:t>en mars 2016.</w:t>
      </w:r>
    </w:p>
    <w:p w:rsidR="000B0FA8" w:rsidRPr="009E690C" w:rsidRDefault="000B0FA8" w:rsidP="000B0FA8">
      <w:pPr>
        <w:pStyle w:val="SingleTxtG"/>
      </w:pPr>
      <w:r w:rsidRPr="009E690C">
        <w:t>29.</w:t>
      </w:r>
      <w:r w:rsidRPr="009E690C">
        <w:tab/>
        <w:t>Le Conseil de sécurité a annoncé</w:t>
      </w:r>
      <w:r>
        <w:t xml:space="preserve"> dans sa résolution </w:t>
      </w:r>
      <w:r w:rsidRPr="003810B9">
        <w:t>2313 (2016)</w:t>
      </w:r>
      <w:r>
        <w:t>,</w:t>
      </w:r>
      <w:r w:rsidRPr="009E690C">
        <w:t xml:space="preserve"> le 13</w:t>
      </w:r>
      <w:r w:rsidR="00FE02AA" w:rsidRPr="009E690C">
        <w:rPr>
          <w:szCs w:val="18"/>
        </w:rPr>
        <w:t> </w:t>
      </w:r>
      <w:r w:rsidRPr="009E690C">
        <w:t>octobre dernier</w:t>
      </w:r>
      <w:r>
        <w:t>,</w:t>
      </w:r>
      <w:r w:rsidRPr="009E690C">
        <w:t xml:space="preserve"> son intention d</w:t>
      </w:r>
      <w:r>
        <w:t>’</w:t>
      </w:r>
      <w:r w:rsidRPr="009E690C">
        <w:t>étudier la possibilité d</w:t>
      </w:r>
      <w:r>
        <w:t>’</w:t>
      </w:r>
      <w:r w:rsidRPr="009E690C">
        <w:t>un retrait de la MINUSTAH et d</w:t>
      </w:r>
      <w:r>
        <w:t>’</w:t>
      </w:r>
      <w:r w:rsidRPr="009E690C">
        <w:t>une transition vers la mise en place d</w:t>
      </w:r>
      <w:r>
        <w:t>’</w:t>
      </w:r>
      <w:r w:rsidRPr="009E690C">
        <w:t xml:space="preserve">une autre présence des Nations </w:t>
      </w:r>
      <w:r>
        <w:t>U</w:t>
      </w:r>
      <w:r w:rsidRPr="009E690C">
        <w:t>nies à compter du 15</w:t>
      </w:r>
      <w:r w:rsidR="00FE02AA" w:rsidRPr="009E690C">
        <w:rPr>
          <w:szCs w:val="18"/>
        </w:rPr>
        <w:t> </w:t>
      </w:r>
      <w:r w:rsidRPr="009E690C">
        <w:t>avril 2017, en même temps qu</w:t>
      </w:r>
      <w:r>
        <w:t>’</w:t>
      </w:r>
      <w:r w:rsidRPr="009E690C">
        <w:t>il a déclaré que le respect des droits de l</w:t>
      </w:r>
      <w:r>
        <w:t>’</w:t>
      </w:r>
      <w:r w:rsidRPr="009E690C">
        <w:t xml:space="preserve">homme </w:t>
      </w:r>
      <w:r>
        <w:t xml:space="preserve">était </w:t>
      </w:r>
      <w:r w:rsidRPr="009E690C">
        <w:t>crucial pour la stabilité d</w:t>
      </w:r>
      <w:r>
        <w:t>’</w:t>
      </w:r>
      <w:r w:rsidRPr="009E690C">
        <w:t>Haïti, la responsabilité individuelle des auteurs de graves violations commises sous de précédents régimes devant en particulier être engag</w:t>
      </w:r>
      <w:r>
        <w:t>é</w:t>
      </w:r>
      <w:r w:rsidRPr="009E690C">
        <w:t>e. Le rôle joué par la Section des droits de l</w:t>
      </w:r>
      <w:r>
        <w:t>’</w:t>
      </w:r>
      <w:r w:rsidRPr="009E690C">
        <w:t>homme de la MINUSTAH a été décisif pour assister les autorités dans ce domaine et contribuer à améliorer la situation des droits humains dans le pays. Dans le cas d</w:t>
      </w:r>
      <w:r>
        <w:t>’</w:t>
      </w:r>
      <w:r w:rsidRPr="009E690C">
        <w:t>un retrait éventuel de la MINUSTAH</w:t>
      </w:r>
      <w:r>
        <w:t>,</w:t>
      </w:r>
      <w:r w:rsidRPr="009E690C">
        <w:t xml:space="preserve"> il faut préserver ce rôle car il y a toujours beaucoup de travail à </w:t>
      </w:r>
      <w:r>
        <w:t>accomplir</w:t>
      </w:r>
      <w:r w:rsidRPr="009E690C">
        <w:t xml:space="preserve"> en matière de droits humains. Le Gouvernement a annoncé à l</w:t>
      </w:r>
      <w:r>
        <w:t>’</w:t>
      </w:r>
      <w:r w:rsidRPr="009E690C">
        <w:t>Expert indépendant</w:t>
      </w:r>
      <w:r>
        <w:t xml:space="preserve"> </w:t>
      </w:r>
      <w:r w:rsidRPr="009E690C">
        <w:t>qu</w:t>
      </w:r>
      <w:r>
        <w:t>’</w:t>
      </w:r>
      <w:r w:rsidRPr="009E690C">
        <w:t>il «</w:t>
      </w:r>
      <w:r>
        <w:t> </w:t>
      </w:r>
      <w:r w:rsidRPr="009E690C">
        <w:t>accueille favorablement</w:t>
      </w:r>
      <w:r>
        <w:t> </w:t>
      </w:r>
      <w:r w:rsidRPr="009E690C">
        <w:t>»</w:t>
      </w:r>
      <w:r w:rsidRPr="00EE4A62">
        <w:rPr>
          <w:rStyle w:val="FootnoteReference"/>
        </w:rPr>
        <w:footnoteReference w:id="10"/>
      </w:r>
      <w:r>
        <w:t xml:space="preserve"> </w:t>
      </w:r>
      <w:r w:rsidRPr="009E690C">
        <w:t>cette proposition. Étant donné le caractère technique de la Section, il est conseillé de maintenir la complémentarité politique fournie par le mandat de l</w:t>
      </w:r>
      <w:r>
        <w:t>’</w:t>
      </w:r>
      <w:r w:rsidRPr="009E690C">
        <w:t>Expert indépendant</w:t>
      </w:r>
      <w:r>
        <w:t xml:space="preserve"> </w:t>
      </w:r>
      <w:r w:rsidRPr="009E690C">
        <w:t xml:space="preserve">et sa fonction de </w:t>
      </w:r>
      <w:r>
        <w:t>formuler</w:t>
      </w:r>
      <w:r w:rsidRPr="009E690C">
        <w:t xml:space="preserve"> des recommandations </w:t>
      </w:r>
      <w:r>
        <w:t>à l’intention des</w:t>
      </w:r>
      <w:r w:rsidRPr="009E690C">
        <w:t xml:space="preserve"> autorités et </w:t>
      </w:r>
      <w:r>
        <w:t>d</w:t>
      </w:r>
      <w:r w:rsidRPr="009E690C">
        <w:t>u Conseil des droits de l</w:t>
      </w:r>
      <w:r>
        <w:t>’</w:t>
      </w:r>
      <w:r w:rsidRPr="009E690C">
        <w:t>homme et de présenter à ce</w:t>
      </w:r>
      <w:r>
        <w:t xml:space="preserve"> dernier</w:t>
      </w:r>
      <w:r w:rsidRPr="009E690C">
        <w:t xml:space="preserve"> un rapport annuel sur la situation. Une possibilité envisageable pourrait être de donner</w:t>
      </w:r>
      <w:r>
        <w:t xml:space="preserve"> également</w:t>
      </w:r>
      <w:r w:rsidRPr="009E690C">
        <w:t xml:space="preserve"> un mandat politique à la Section des droits de l</w:t>
      </w:r>
      <w:r>
        <w:t>’</w:t>
      </w:r>
      <w:r w:rsidRPr="009E690C">
        <w:t>homme en Haïti</w:t>
      </w:r>
      <w:r>
        <w:t>,</w:t>
      </w:r>
      <w:r w:rsidRPr="009E690C">
        <w:t xml:space="preserve"> </w:t>
      </w:r>
      <w:r>
        <w:t xml:space="preserve">qui </w:t>
      </w:r>
      <w:r w:rsidRPr="009E690C">
        <w:t>absorber</w:t>
      </w:r>
      <w:r>
        <w:t>ait</w:t>
      </w:r>
      <w:r w:rsidRPr="009E690C">
        <w:t xml:space="preserve"> par ce biais le rôle joué jusqu</w:t>
      </w:r>
      <w:r>
        <w:t>’</w:t>
      </w:r>
      <w:r w:rsidRPr="009E690C">
        <w:t>à présent par l</w:t>
      </w:r>
      <w:r>
        <w:t>’</w:t>
      </w:r>
      <w:r w:rsidRPr="009E690C">
        <w:t>Expert</w:t>
      </w:r>
      <w:r>
        <w:t xml:space="preserve"> </w:t>
      </w:r>
      <w:r w:rsidRPr="009E690C">
        <w:t xml:space="preserve">indépendant. </w:t>
      </w:r>
      <w:r w:rsidRPr="009E690C">
        <w:lastRenderedPageBreak/>
        <w:t xml:space="preserve">Mais </w:t>
      </w:r>
      <w:r>
        <w:t xml:space="preserve">il </w:t>
      </w:r>
      <w:r w:rsidRPr="009E690C">
        <w:t>est évident que la Section doit continuer à être présente en Haïti après l</w:t>
      </w:r>
      <w:r>
        <w:t>’</w:t>
      </w:r>
      <w:r w:rsidRPr="009E690C">
        <w:t>éventuel retrait de la MINUSTAH, et que le mandat de l</w:t>
      </w:r>
      <w:r>
        <w:t>’</w:t>
      </w:r>
      <w:r w:rsidRPr="009E690C">
        <w:t>Expert indépendant</w:t>
      </w:r>
      <w:r>
        <w:t xml:space="preserve"> </w:t>
      </w:r>
      <w:r w:rsidRPr="009E690C">
        <w:t>doit aussi être préservé si le mandat de la Section n</w:t>
      </w:r>
      <w:r>
        <w:t>’</w:t>
      </w:r>
      <w:r w:rsidRPr="009E690C">
        <w:t xml:space="preserve">est pas complété avec les fonctions </w:t>
      </w:r>
      <w:r>
        <w:t>exercées</w:t>
      </w:r>
      <w:r w:rsidRPr="009E690C">
        <w:t xml:space="preserve"> par l</w:t>
      </w:r>
      <w:r>
        <w:t>’</w:t>
      </w:r>
      <w:r w:rsidRPr="009E690C">
        <w:t>Expert</w:t>
      </w:r>
      <w:r>
        <w:t xml:space="preserve"> </w:t>
      </w:r>
      <w:r w:rsidRPr="009E690C">
        <w:t xml:space="preserve">indépendant. </w:t>
      </w:r>
    </w:p>
    <w:p w:rsidR="000B0FA8" w:rsidRPr="009E690C" w:rsidRDefault="000B0FA8" w:rsidP="000B0FA8">
      <w:pPr>
        <w:pStyle w:val="H1G"/>
      </w:pPr>
      <w:r w:rsidRPr="009E690C">
        <w:tab/>
        <w:t>A.</w:t>
      </w:r>
      <w:r w:rsidRPr="009E690C">
        <w:tab/>
        <w:t xml:space="preserve">Alphabétisation, inégalité sociale et droits économiques, </w:t>
      </w:r>
      <w:r w:rsidR="00FE02AA">
        <w:br/>
      </w:r>
      <w:r w:rsidRPr="009E690C">
        <w:t>sociaux et culturels</w:t>
      </w:r>
    </w:p>
    <w:p w:rsidR="000B0FA8" w:rsidRPr="009E690C" w:rsidRDefault="000B0FA8" w:rsidP="000B0FA8">
      <w:pPr>
        <w:pStyle w:val="SingleTxtG"/>
      </w:pPr>
      <w:r w:rsidRPr="009E690C">
        <w:t>30.</w:t>
      </w:r>
      <w:r w:rsidRPr="009E690C">
        <w:tab/>
        <w:t>La situation de transition en matière de gouvernance en Haïti en 2016 n</w:t>
      </w:r>
      <w:r>
        <w:t>’</w:t>
      </w:r>
      <w:r w:rsidRPr="009E690C">
        <w:t xml:space="preserve">a pas été propice </w:t>
      </w:r>
      <w:r>
        <w:t>à</w:t>
      </w:r>
      <w:r w:rsidRPr="009E690C">
        <w:t xml:space="preserve"> la lutte pour réduire la grande inégalité sociale sur laquelle est bâtie la société haïtienne, lutte qui doit continuer pour vaincre la source </w:t>
      </w:r>
      <w:r>
        <w:t xml:space="preserve">principale </w:t>
      </w:r>
      <w:r w:rsidRPr="009E690C">
        <w:t xml:space="preserve">de la situation critique des droits humains dans le pays, à commencer par la précarité des droits économiques, sociaux et culturels </w:t>
      </w:r>
      <w:r>
        <w:t>de</w:t>
      </w:r>
      <w:r w:rsidRPr="009E690C">
        <w:t xml:space="preserve"> la plupart de la population. </w:t>
      </w:r>
    </w:p>
    <w:p w:rsidR="000B0FA8" w:rsidRPr="009E690C" w:rsidRDefault="000B0FA8" w:rsidP="000B0FA8">
      <w:pPr>
        <w:pStyle w:val="H23G"/>
      </w:pPr>
      <w:r w:rsidRPr="009E690C">
        <w:tab/>
      </w:r>
      <w:r>
        <w:t>1.</w:t>
      </w:r>
      <w:r w:rsidRPr="009E690C">
        <w:tab/>
        <w:t>Alphabétis</w:t>
      </w:r>
      <w:r>
        <w:t>ation de</w:t>
      </w:r>
      <w:r w:rsidRPr="009E690C">
        <w:t xml:space="preserve"> la totalité de la population dans un délai raisonnablement court </w:t>
      </w:r>
    </w:p>
    <w:p w:rsidR="000B0FA8" w:rsidRPr="009E690C" w:rsidRDefault="000B0FA8" w:rsidP="000B0FA8">
      <w:pPr>
        <w:pStyle w:val="SingleTxtG"/>
      </w:pPr>
      <w:r w:rsidRPr="009E690C">
        <w:t>31.</w:t>
      </w:r>
      <w:r w:rsidRPr="009E690C">
        <w:tab/>
        <w:t>Alphabétiser dans un temps raisonnablement court la totalité de la population est une recommandation que l</w:t>
      </w:r>
      <w:r>
        <w:t>’</w:t>
      </w:r>
      <w:r w:rsidRPr="009E690C">
        <w:t>Expert indépendant</w:t>
      </w:r>
      <w:r>
        <w:t xml:space="preserve"> </w:t>
      </w:r>
      <w:r w:rsidRPr="009E690C">
        <w:t>a</w:t>
      </w:r>
      <w:r>
        <w:t>vait</w:t>
      </w:r>
      <w:r w:rsidRPr="009E690C">
        <w:t xml:space="preserve"> faite dès son premier rapport et qu</w:t>
      </w:r>
      <w:r>
        <w:t>’</w:t>
      </w:r>
      <w:r w:rsidRPr="009E690C">
        <w:t xml:space="preserve">il doit réitérer </w:t>
      </w:r>
      <w:r>
        <w:t>aujourd’hui</w:t>
      </w:r>
      <w:r w:rsidRPr="009E690C">
        <w:t xml:space="preserve">. </w:t>
      </w:r>
    </w:p>
    <w:p w:rsidR="000B0FA8" w:rsidRPr="009E690C" w:rsidRDefault="000B0FA8" w:rsidP="000B0FA8">
      <w:pPr>
        <w:pStyle w:val="SingleTxtG"/>
      </w:pPr>
      <w:r w:rsidRPr="009E690C">
        <w:t>32.</w:t>
      </w:r>
      <w:r w:rsidRPr="009E690C">
        <w:tab/>
        <w:t>Il n</w:t>
      </w:r>
      <w:r>
        <w:t>’</w:t>
      </w:r>
      <w:r w:rsidRPr="009E690C">
        <w:t>est pas nécessaire de dépenser de gros</w:t>
      </w:r>
      <w:r>
        <w:t>ses</w:t>
      </w:r>
      <w:r w:rsidRPr="009E690C">
        <w:t xml:space="preserve"> sommes pour réussir, mais </w:t>
      </w:r>
      <w:r>
        <w:t>plutôt</w:t>
      </w:r>
      <w:r w:rsidRPr="009E690C">
        <w:t xml:space="preserve"> d</w:t>
      </w:r>
      <w:r>
        <w:t>’</w:t>
      </w:r>
      <w:r w:rsidRPr="009E690C">
        <w:t>organiser une campagne basée sur une décision gouvernementale ferme d</w:t>
      </w:r>
      <w:r>
        <w:t>’</w:t>
      </w:r>
      <w:r w:rsidRPr="009E690C">
        <w:t xml:space="preserve">éliminer </w:t>
      </w:r>
      <w:r>
        <w:t>complètement</w:t>
      </w:r>
      <w:r w:rsidRPr="009E690C">
        <w:t xml:space="preserve"> et de façon urgente le problème. </w:t>
      </w:r>
      <w:r>
        <w:t>Cette</w:t>
      </w:r>
      <w:r w:rsidRPr="009E690C">
        <w:t xml:space="preserve"> décision </w:t>
      </w:r>
      <w:r>
        <w:t xml:space="preserve">devrait être </w:t>
      </w:r>
      <w:r w:rsidRPr="009E690C">
        <w:t>appuyée par le travail volontaire des étudiants de secondaire et d</w:t>
      </w:r>
      <w:r>
        <w:t>’</w:t>
      </w:r>
      <w:r w:rsidRPr="009E690C">
        <w:t xml:space="preserve">autres citoyens voulant aider les gens à faire cet apprentissage élémentaire. </w:t>
      </w:r>
    </w:p>
    <w:p w:rsidR="000B0FA8" w:rsidRPr="009E690C" w:rsidRDefault="000B0FA8" w:rsidP="000B0FA8">
      <w:pPr>
        <w:pStyle w:val="SingleTxtG"/>
      </w:pPr>
      <w:r w:rsidRPr="009E690C">
        <w:t>33.</w:t>
      </w:r>
      <w:r w:rsidRPr="009E690C">
        <w:tab/>
        <w:t xml:space="preserve">Ce serait </w:t>
      </w:r>
      <w:r>
        <w:t>non</w:t>
      </w:r>
      <w:r w:rsidRPr="009E690C">
        <w:t xml:space="preserve"> seulement </w:t>
      </w:r>
      <w:r>
        <w:t>un</w:t>
      </w:r>
      <w:r w:rsidRPr="009E690C">
        <w:t xml:space="preserve"> moyen de surmonter l</w:t>
      </w:r>
      <w:r>
        <w:t>’</w:t>
      </w:r>
      <w:r w:rsidRPr="009E690C">
        <w:t xml:space="preserve">analphabétisme mais aussi de mettre en œuvre un mécanisme pour développer la solidarité </w:t>
      </w:r>
      <w:r>
        <w:t>au sein de</w:t>
      </w:r>
      <w:r w:rsidRPr="009E690C">
        <w:t xml:space="preserve"> la population et générer par ce biais la possibilité d</w:t>
      </w:r>
      <w:r>
        <w:t>’</w:t>
      </w:r>
      <w:r w:rsidRPr="009E690C">
        <w:t xml:space="preserve">agir </w:t>
      </w:r>
      <w:r>
        <w:t>avec</w:t>
      </w:r>
      <w:r w:rsidRPr="009E690C">
        <w:t xml:space="preserve"> un objectif commun pouvant </w:t>
      </w:r>
      <w:r>
        <w:t>permettre d’</w:t>
      </w:r>
      <w:r w:rsidRPr="009E690C">
        <w:t xml:space="preserve">aller au-delà de la polarisation sociale prédominante. </w:t>
      </w:r>
    </w:p>
    <w:p w:rsidR="000B0FA8" w:rsidRPr="009E690C" w:rsidRDefault="000B0FA8" w:rsidP="000B0FA8">
      <w:pPr>
        <w:pStyle w:val="SingleTxtG"/>
      </w:pPr>
      <w:r w:rsidRPr="009E690C">
        <w:t>34.</w:t>
      </w:r>
      <w:r w:rsidRPr="009E690C">
        <w:tab/>
        <w:t xml:space="preserve">Pendant sa visite </w:t>
      </w:r>
      <w:r>
        <w:t xml:space="preserve">en </w:t>
      </w:r>
      <w:r w:rsidRPr="009E690C">
        <w:t>octobre, l</w:t>
      </w:r>
      <w:r>
        <w:t>’</w:t>
      </w:r>
      <w:r w:rsidRPr="009E690C">
        <w:t>Expert indépendant</w:t>
      </w:r>
      <w:r>
        <w:t xml:space="preserve"> </w:t>
      </w:r>
      <w:r w:rsidRPr="009E690C">
        <w:t>a reçu l</w:t>
      </w:r>
      <w:r>
        <w:t>’</w:t>
      </w:r>
      <w:r w:rsidRPr="009E690C">
        <w:t>information qu</w:t>
      </w:r>
      <w:r>
        <w:t>’</w:t>
      </w:r>
      <w:r w:rsidRPr="009E690C">
        <w:t>en 2010 le Gouvernement avait élaboré un plan d</w:t>
      </w:r>
      <w:r>
        <w:t>’</w:t>
      </w:r>
      <w:r w:rsidRPr="009E690C">
        <w:t>éducation où il était prévu d</w:t>
      </w:r>
      <w:r>
        <w:t>’</w:t>
      </w:r>
      <w:r w:rsidRPr="009E690C">
        <w:t>éliminer l</w:t>
      </w:r>
      <w:r>
        <w:t>’</w:t>
      </w:r>
      <w:r w:rsidRPr="009E690C">
        <w:t xml:space="preserve">analphabétisme dans un délai de cinq ans. Ce plan a été repris par le nouveau </w:t>
      </w:r>
      <w:r>
        <w:t>G</w:t>
      </w:r>
      <w:r w:rsidRPr="009E690C">
        <w:t>ouvernement en 2011 mais ne s</w:t>
      </w:r>
      <w:r>
        <w:t>’</w:t>
      </w:r>
      <w:r w:rsidRPr="009E690C">
        <w:t xml:space="preserve">est pas matérialisé. Il </w:t>
      </w:r>
      <w:r>
        <w:t>est</w:t>
      </w:r>
      <w:r w:rsidRPr="009E690C">
        <w:t xml:space="preserve"> toujours possib</w:t>
      </w:r>
      <w:r>
        <w:t>le</w:t>
      </w:r>
      <w:r w:rsidRPr="009E690C">
        <w:t xml:space="preserve"> de le reprendre et de le traduire en réalité.</w:t>
      </w:r>
    </w:p>
    <w:p w:rsidR="000B0FA8" w:rsidRPr="009E690C" w:rsidRDefault="000B0FA8" w:rsidP="000B0FA8">
      <w:pPr>
        <w:pStyle w:val="SingleTxtG"/>
      </w:pPr>
      <w:r w:rsidRPr="009E690C">
        <w:t>35.</w:t>
      </w:r>
      <w:r w:rsidRPr="009E690C">
        <w:tab/>
      </w:r>
      <w:r>
        <w:t>Lors de</w:t>
      </w:r>
      <w:r w:rsidRPr="009E690C">
        <w:t xml:space="preserve"> ses visites précédentes, l</w:t>
      </w:r>
      <w:r>
        <w:t>’</w:t>
      </w:r>
      <w:r w:rsidRPr="009E690C">
        <w:t>Expert indépendant</w:t>
      </w:r>
      <w:r>
        <w:t xml:space="preserve"> </w:t>
      </w:r>
      <w:r w:rsidRPr="009E690C">
        <w:t xml:space="preserve">avait parlé </w:t>
      </w:r>
      <w:r>
        <w:t>de</w:t>
      </w:r>
      <w:r w:rsidRPr="009E690C">
        <w:t xml:space="preserve"> </w:t>
      </w:r>
      <w:r>
        <w:t>s</w:t>
      </w:r>
      <w:r w:rsidRPr="009E690C">
        <w:t xml:space="preserve">es inquiétudes avec </w:t>
      </w:r>
      <w:r>
        <w:t>le</w:t>
      </w:r>
      <w:r w:rsidRPr="009E690C">
        <w:t xml:space="preserve"> Ministre de l</w:t>
      </w:r>
      <w:r>
        <w:t>’é</w:t>
      </w:r>
      <w:r w:rsidRPr="009E690C">
        <w:t>ducation et des fonctionnaires responsables de l</w:t>
      </w:r>
      <w:r>
        <w:t>’</w:t>
      </w:r>
      <w:r w:rsidRPr="009E690C">
        <w:t>alphabétisation. Selon l</w:t>
      </w:r>
      <w:r>
        <w:t>’</w:t>
      </w:r>
      <w:r w:rsidRPr="009E690C">
        <w:t>information reçue, le Ministère de l</w:t>
      </w:r>
      <w:r>
        <w:t>’é</w:t>
      </w:r>
      <w:r w:rsidRPr="009E690C">
        <w:t>ducation voulait doubler son budget, qui était d</w:t>
      </w:r>
      <w:r>
        <w:t>e</w:t>
      </w:r>
      <w:r w:rsidRPr="009E690C">
        <w:t xml:space="preserve"> 5</w:t>
      </w:r>
      <w:r>
        <w:t> </w:t>
      </w:r>
      <w:r w:rsidRPr="009E690C">
        <w:t xml:space="preserve">% du </w:t>
      </w:r>
      <w:r>
        <w:t>produit intérieur brut</w:t>
      </w:r>
      <w:r w:rsidRPr="009E690C">
        <w:t xml:space="preserve"> et 16</w:t>
      </w:r>
      <w:r>
        <w:t> </w:t>
      </w:r>
      <w:r w:rsidRPr="009E690C">
        <w:t>% du budget national.</w:t>
      </w:r>
    </w:p>
    <w:p w:rsidR="000B0FA8" w:rsidRPr="009E690C" w:rsidRDefault="000B0FA8" w:rsidP="000B0FA8">
      <w:pPr>
        <w:pStyle w:val="SingleTxtG"/>
      </w:pPr>
      <w:r w:rsidRPr="009E690C">
        <w:t>36.</w:t>
      </w:r>
      <w:r w:rsidRPr="009E690C">
        <w:tab/>
        <w:t>L</w:t>
      </w:r>
      <w:r>
        <w:t>’</w:t>
      </w:r>
      <w:r w:rsidRPr="009E690C">
        <w:t>Expert indépendant</w:t>
      </w:r>
      <w:r>
        <w:t xml:space="preserve"> </w:t>
      </w:r>
      <w:r w:rsidRPr="009E690C">
        <w:t xml:space="preserve">espère que le nouveau Gouvernement </w:t>
      </w:r>
      <w:r>
        <w:t>pourra</w:t>
      </w:r>
      <w:r w:rsidRPr="009E690C">
        <w:t xml:space="preserve"> donner </w:t>
      </w:r>
      <w:r>
        <w:t xml:space="preserve">la priorité </w:t>
      </w:r>
      <w:r w:rsidRPr="009E690C">
        <w:t>à l</w:t>
      </w:r>
      <w:r>
        <w:t>’</w:t>
      </w:r>
      <w:r w:rsidRPr="009E690C">
        <w:t>éradication de l</w:t>
      </w:r>
      <w:r>
        <w:t>’</w:t>
      </w:r>
      <w:r w:rsidRPr="009E690C">
        <w:t>analphabétisme en Haïti et organiser une politique d</w:t>
      </w:r>
      <w:r>
        <w:t>’</w:t>
      </w:r>
      <w:r w:rsidRPr="009E690C">
        <w:t xml:space="preserve">alphabétisation visant à éradiquer le phénomène dans un délai raisonnablement court, </w:t>
      </w:r>
      <w:r>
        <w:t>a</w:t>
      </w:r>
      <w:r w:rsidRPr="009E690C">
        <w:t>fin de fournir une base solide à la réalisation des droits humains. Il réitère aussi l</w:t>
      </w:r>
      <w:r>
        <w:t>’</w:t>
      </w:r>
      <w:r w:rsidRPr="009E690C">
        <w:t xml:space="preserve">invitation </w:t>
      </w:r>
      <w:r>
        <w:t xml:space="preserve">qu’il a faite </w:t>
      </w:r>
      <w:r w:rsidRPr="009E690C">
        <w:t xml:space="preserve">à la communauté internationale </w:t>
      </w:r>
      <w:r>
        <w:t>de se</w:t>
      </w:r>
      <w:r w:rsidRPr="009E690C">
        <w:t xml:space="preserve"> joindre </w:t>
      </w:r>
      <w:r>
        <w:t>à c</w:t>
      </w:r>
      <w:r w:rsidRPr="009E690C">
        <w:t xml:space="preserve">es efforts et </w:t>
      </w:r>
      <w:r>
        <w:t>de</w:t>
      </w:r>
      <w:r w:rsidRPr="009E690C">
        <w:t xml:space="preserve"> coordonner la coopération avec le Gouvernement haïtien dans ce sens. </w:t>
      </w:r>
    </w:p>
    <w:p w:rsidR="000B0FA8" w:rsidRPr="009E690C" w:rsidRDefault="000B0FA8" w:rsidP="000B0FA8">
      <w:pPr>
        <w:pStyle w:val="H23G"/>
      </w:pPr>
      <w:r w:rsidRPr="009E690C">
        <w:tab/>
      </w:r>
      <w:r>
        <w:t>2.</w:t>
      </w:r>
      <w:r w:rsidRPr="009E690C">
        <w:tab/>
      </w:r>
      <w:r>
        <w:t>A</w:t>
      </w:r>
      <w:r w:rsidRPr="009E690C">
        <w:t xml:space="preserve">utres aspects des droits économiques, sociaux et culturels </w:t>
      </w:r>
      <w:r w:rsidR="00FE02AA">
        <w:br/>
      </w:r>
      <w:r w:rsidRPr="009E690C">
        <w:t xml:space="preserve">qui </w:t>
      </w:r>
      <w:r>
        <w:t>requièrent une</w:t>
      </w:r>
      <w:r w:rsidRPr="009E690C">
        <w:t xml:space="preserve"> attention particulière</w:t>
      </w:r>
    </w:p>
    <w:p w:rsidR="000B0FA8" w:rsidRPr="009E690C" w:rsidRDefault="000B0FA8" w:rsidP="000B0FA8">
      <w:pPr>
        <w:pStyle w:val="SingleTxtG"/>
      </w:pPr>
      <w:r w:rsidRPr="009E690C">
        <w:t>37.</w:t>
      </w:r>
      <w:r w:rsidRPr="009E690C">
        <w:tab/>
        <w:t>Les conditions de vie de la plupart de</w:t>
      </w:r>
      <w:r>
        <w:t>s</w:t>
      </w:r>
      <w:r w:rsidRPr="009E690C">
        <w:t xml:space="preserve"> </w:t>
      </w:r>
      <w:r>
        <w:t>H</w:t>
      </w:r>
      <w:r w:rsidRPr="009E690C">
        <w:t>aïtien</w:t>
      </w:r>
      <w:r>
        <w:t>s</w:t>
      </w:r>
      <w:r w:rsidRPr="009E690C">
        <w:t xml:space="preserve"> </w:t>
      </w:r>
      <w:r>
        <w:t>restent</w:t>
      </w:r>
      <w:r w:rsidRPr="009E690C">
        <w:t xml:space="preserve"> précaires et n</w:t>
      </w:r>
      <w:r>
        <w:t>’</w:t>
      </w:r>
      <w:r w:rsidRPr="009E690C">
        <w:t xml:space="preserve">ont pas </w:t>
      </w:r>
      <w:r>
        <w:t xml:space="preserve">beaucoup </w:t>
      </w:r>
      <w:r w:rsidRPr="009E690C">
        <w:t xml:space="preserve">changé </w:t>
      </w:r>
      <w:r>
        <w:t>par rapport à</w:t>
      </w:r>
      <w:r w:rsidRPr="009E690C">
        <w:t xml:space="preserve"> ce qui a été </w:t>
      </w:r>
      <w:r>
        <w:t>constaté</w:t>
      </w:r>
      <w:r w:rsidRPr="009E690C">
        <w:t xml:space="preserve"> dans les rapports précédents de l</w:t>
      </w:r>
      <w:r>
        <w:t>’</w:t>
      </w:r>
      <w:r w:rsidRPr="009E690C">
        <w:t>Expert</w:t>
      </w:r>
      <w:r>
        <w:t xml:space="preserve"> </w:t>
      </w:r>
      <w:r w:rsidRPr="009E690C">
        <w:t>indépendant</w:t>
      </w:r>
      <w:r>
        <w:t> </w:t>
      </w:r>
      <w:r w:rsidRPr="009E690C">
        <w:t>: 60</w:t>
      </w:r>
      <w:r>
        <w:t> </w:t>
      </w:r>
      <w:r w:rsidRPr="009E690C">
        <w:t>% des habitants gagnent moins d</w:t>
      </w:r>
      <w:r>
        <w:t>’</w:t>
      </w:r>
      <w:r w:rsidRPr="009E690C">
        <w:t xml:space="preserve">un dollar par jour et les pourcentages </w:t>
      </w:r>
      <w:r>
        <w:t>d</w:t>
      </w:r>
      <w:r w:rsidRPr="009E690C">
        <w:t xml:space="preserve">u taux de chômage, </w:t>
      </w:r>
      <w:r>
        <w:t xml:space="preserve">de </w:t>
      </w:r>
      <w:r w:rsidRPr="009E690C">
        <w:t>l</w:t>
      </w:r>
      <w:r>
        <w:t>’</w:t>
      </w:r>
      <w:r w:rsidRPr="009E690C">
        <w:t xml:space="preserve">indice de la faim, </w:t>
      </w:r>
      <w:r>
        <w:t>du</w:t>
      </w:r>
      <w:r w:rsidRPr="009E690C">
        <w:t xml:space="preserve"> niveau de malnutrition, </w:t>
      </w:r>
      <w:r>
        <w:t xml:space="preserve">de </w:t>
      </w:r>
      <w:r w:rsidRPr="009E690C">
        <w:t>l</w:t>
      </w:r>
      <w:r>
        <w:t>’</w:t>
      </w:r>
      <w:r w:rsidRPr="009E690C">
        <w:t xml:space="preserve">insuffisance et </w:t>
      </w:r>
      <w:r>
        <w:t xml:space="preserve">de la </w:t>
      </w:r>
      <w:r w:rsidRPr="009E690C">
        <w:t xml:space="preserve">mauvaise qualité du logement, </w:t>
      </w:r>
      <w:r>
        <w:t xml:space="preserve">de </w:t>
      </w:r>
      <w:r w:rsidRPr="009E690C">
        <w:t>la précarité d</w:t>
      </w:r>
      <w:r>
        <w:t>’</w:t>
      </w:r>
      <w:r w:rsidRPr="009E690C">
        <w:t xml:space="preserve">accès aux soins de santé de base, </w:t>
      </w:r>
      <w:r>
        <w:t>du</w:t>
      </w:r>
      <w:r w:rsidRPr="009E690C">
        <w:t xml:space="preserve"> nombre d</w:t>
      </w:r>
      <w:r>
        <w:t>’</w:t>
      </w:r>
      <w:r w:rsidRPr="009E690C">
        <w:t xml:space="preserve">enfants </w:t>
      </w:r>
      <w:r>
        <w:t>non scolarisés</w:t>
      </w:r>
      <w:r w:rsidRPr="009E690C">
        <w:t xml:space="preserve"> et </w:t>
      </w:r>
      <w:r>
        <w:t>du nombre d’enfants</w:t>
      </w:r>
      <w:r w:rsidRPr="009E690C">
        <w:t xml:space="preserve"> en âge de scolarité qui ne finissent pas des études secondaires</w:t>
      </w:r>
      <w:r>
        <w:t xml:space="preserve"> </w:t>
      </w:r>
      <w:r w:rsidRPr="009E690C">
        <w:t>sont très élevés</w:t>
      </w:r>
      <w:r w:rsidRPr="00EE4A62">
        <w:rPr>
          <w:rStyle w:val="FootnoteReference"/>
        </w:rPr>
        <w:footnoteReference w:id="11"/>
      </w:r>
      <w:r w:rsidRPr="009E690C">
        <w:t xml:space="preserve">. </w:t>
      </w:r>
      <w:r>
        <w:t>Pour</w:t>
      </w:r>
      <w:r w:rsidRPr="009E690C">
        <w:t xml:space="preserve"> 2014, l</w:t>
      </w:r>
      <w:r>
        <w:t>’i</w:t>
      </w:r>
      <w:r w:rsidRPr="009E690C">
        <w:t xml:space="preserve">ndice de développement humain </w:t>
      </w:r>
      <w:r w:rsidRPr="009E690C">
        <w:lastRenderedPageBreak/>
        <w:t>a été de 0,483 (163</w:t>
      </w:r>
      <w:r w:rsidRPr="00EE4A62">
        <w:rPr>
          <w:vertAlign w:val="superscript"/>
        </w:rPr>
        <w:t>e</w:t>
      </w:r>
      <w:r w:rsidR="00FE02AA" w:rsidRPr="009E690C">
        <w:rPr>
          <w:szCs w:val="18"/>
        </w:rPr>
        <w:t> </w:t>
      </w:r>
      <w:r w:rsidRPr="009E690C">
        <w:t xml:space="preserve">rang </w:t>
      </w:r>
      <w:r>
        <w:t xml:space="preserve">sur </w:t>
      </w:r>
      <w:r w:rsidRPr="009E690C">
        <w:t>188</w:t>
      </w:r>
      <w:r w:rsidR="00FE02AA" w:rsidRPr="009E690C">
        <w:rPr>
          <w:szCs w:val="18"/>
        </w:rPr>
        <w:t> </w:t>
      </w:r>
      <w:r w:rsidRPr="009E690C">
        <w:t>pays et territoires</w:t>
      </w:r>
      <w:r>
        <w:t>)</w:t>
      </w:r>
      <w:r w:rsidRPr="00EE4A62">
        <w:rPr>
          <w:rStyle w:val="FootnoteReference"/>
        </w:rPr>
        <w:footnoteReference w:id="12"/>
      </w:r>
      <w:r>
        <w:t> </w:t>
      </w:r>
      <w:r w:rsidRPr="009E690C">
        <w:t>; l</w:t>
      </w:r>
      <w:r>
        <w:t>’i</w:t>
      </w:r>
      <w:r w:rsidRPr="009E690C">
        <w:t>ndice ajusté selon les inégalités de 0,296</w:t>
      </w:r>
      <w:r w:rsidRPr="00EE4A62">
        <w:rPr>
          <w:rStyle w:val="FootnoteReference"/>
        </w:rPr>
        <w:footnoteReference w:id="13"/>
      </w:r>
      <w:r>
        <w:t> </w:t>
      </w:r>
      <w:r w:rsidRPr="009E690C">
        <w:t>; l</w:t>
      </w:r>
      <w:r>
        <w:t>’i</w:t>
      </w:r>
      <w:r w:rsidRPr="009E690C">
        <w:t>ndice d</w:t>
      </w:r>
      <w:r>
        <w:t>’</w:t>
      </w:r>
      <w:r w:rsidRPr="009E690C">
        <w:t>inégalité de genre de 0,603 (138</w:t>
      </w:r>
      <w:r w:rsidRPr="00EE4A62">
        <w:rPr>
          <w:vertAlign w:val="superscript"/>
        </w:rPr>
        <w:t>e</w:t>
      </w:r>
      <w:r w:rsidR="00FE02AA" w:rsidRPr="009E690C">
        <w:rPr>
          <w:szCs w:val="18"/>
        </w:rPr>
        <w:t> </w:t>
      </w:r>
      <w:r>
        <w:t>rang</w:t>
      </w:r>
      <w:r w:rsidRPr="009E690C">
        <w:t>)</w:t>
      </w:r>
      <w:r>
        <w:t> </w:t>
      </w:r>
      <w:r w:rsidRPr="009E690C">
        <w:t>; et le coefficient Gini de 59</w:t>
      </w:r>
      <w:r>
        <w:t>,</w:t>
      </w:r>
      <w:r w:rsidRPr="009E690C">
        <w:t>2</w:t>
      </w:r>
      <w:r w:rsidRPr="00EE4A62">
        <w:rPr>
          <w:rStyle w:val="FootnoteReference"/>
        </w:rPr>
        <w:footnoteReference w:id="14"/>
      </w:r>
      <w:r w:rsidRPr="009E690C">
        <w:t xml:space="preserve">. </w:t>
      </w:r>
    </w:p>
    <w:p w:rsidR="000B0FA8" w:rsidRPr="009E690C" w:rsidRDefault="000B0FA8" w:rsidP="000B0FA8">
      <w:pPr>
        <w:pStyle w:val="SingleTxtG"/>
      </w:pPr>
      <w:r w:rsidRPr="009E690C">
        <w:t>38.</w:t>
      </w:r>
      <w:r w:rsidRPr="009E690C">
        <w:tab/>
        <w:t>L</w:t>
      </w:r>
      <w:r>
        <w:t>’</w:t>
      </w:r>
      <w:r w:rsidRPr="009E690C">
        <w:t>Expert indépendant</w:t>
      </w:r>
      <w:r>
        <w:t xml:space="preserve"> </w:t>
      </w:r>
      <w:r w:rsidRPr="009E690C">
        <w:t>réitère l</w:t>
      </w:r>
      <w:r>
        <w:t>’</w:t>
      </w:r>
      <w:r w:rsidRPr="009E690C">
        <w:t>appel qu</w:t>
      </w:r>
      <w:r>
        <w:t>’</w:t>
      </w:r>
      <w:r w:rsidRPr="009E690C">
        <w:t xml:space="preserve">il a fait dans ses précédents rapports pour que le </w:t>
      </w:r>
      <w:r>
        <w:t>p</w:t>
      </w:r>
      <w:r w:rsidRPr="009E690C">
        <w:t xml:space="preserve">lan de développement du nouveau Gouvernement vise à surmonter la profonde inégalité sociale et pour </w:t>
      </w:r>
      <w:r>
        <w:t xml:space="preserve">qu’à cette fin le Gouvernement </w:t>
      </w:r>
      <w:r w:rsidRPr="009E690C">
        <w:t>adopte des mesures visant à améliorer significativement le</w:t>
      </w:r>
      <w:r>
        <w:t>s</w:t>
      </w:r>
      <w:r w:rsidRPr="009E690C">
        <w:t xml:space="preserve"> revenu</w:t>
      </w:r>
      <w:r>
        <w:t>s</w:t>
      </w:r>
      <w:r w:rsidRPr="009E690C">
        <w:t xml:space="preserve"> des travailleurs, la santé et l</w:t>
      </w:r>
      <w:r>
        <w:t>’</w:t>
      </w:r>
      <w:r w:rsidRPr="009E690C">
        <w:t xml:space="preserve">éducation pour les plus pauvres, la santé reproductive des femmes, leur autonomisation et leur représentation au Parlement, </w:t>
      </w:r>
      <w:r>
        <w:t xml:space="preserve">entre </w:t>
      </w:r>
      <w:r w:rsidRPr="009E690C">
        <w:t xml:space="preserve">autres aspects, </w:t>
      </w:r>
      <w:r>
        <w:t xml:space="preserve">et qu’il </w:t>
      </w:r>
      <w:r w:rsidRPr="009E690C">
        <w:t xml:space="preserve">assure, en général, </w:t>
      </w:r>
      <w:r>
        <w:t>à</w:t>
      </w:r>
      <w:r w:rsidRPr="009E690C">
        <w:t xml:space="preserve"> tous les individus</w:t>
      </w:r>
      <w:r>
        <w:t xml:space="preserve"> </w:t>
      </w:r>
      <w:r w:rsidRPr="009E690C">
        <w:t>des conditions de vie dignes.</w:t>
      </w:r>
    </w:p>
    <w:p w:rsidR="000B0FA8" w:rsidRPr="009E690C" w:rsidRDefault="000B0FA8" w:rsidP="000B0FA8">
      <w:pPr>
        <w:pStyle w:val="H1G"/>
      </w:pPr>
      <w:r w:rsidRPr="009E690C">
        <w:tab/>
        <w:t>B.</w:t>
      </w:r>
      <w:r w:rsidRPr="009E690C">
        <w:tab/>
        <w:t xml:space="preserve">Détention préventive prolongée et conditions de détention inhumaines </w:t>
      </w:r>
    </w:p>
    <w:p w:rsidR="000B0FA8" w:rsidRPr="009E690C" w:rsidRDefault="000B0FA8" w:rsidP="000B0FA8">
      <w:pPr>
        <w:pStyle w:val="H23G"/>
      </w:pPr>
      <w:r w:rsidRPr="009E690C">
        <w:tab/>
      </w:r>
      <w:r>
        <w:t>1.</w:t>
      </w:r>
      <w:r w:rsidRPr="009E690C">
        <w:tab/>
        <w:t>Urgence d</w:t>
      </w:r>
      <w:r>
        <w:t>’</w:t>
      </w:r>
      <w:r w:rsidRPr="009E690C">
        <w:t>éradiquer la détention préventive prolongée</w:t>
      </w:r>
    </w:p>
    <w:p w:rsidR="000B0FA8" w:rsidRPr="009E690C" w:rsidRDefault="000B0FA8" w:rsidP="000B0FA8">
      <w:pPr>
        <w:pStyle w:val="SingleTxtG"/>
      </w:pPr>
      <w:r w:rsidRPr="009E690C">
        <w:t>39.</w:t>
      </w:r>
      <w:r w:rsidRPr="009E690C">
        <w:tab/>
      </w:r>
      <w:r>
        <w:t>Lors</w:t>
      </w:r>
      <w:r w:rsidRPr="009E690C">
        <w:t xml:space="preserve"> </w:t>
      </w:r>
      <w:r>
        <w:t>d</w:t>
      </w:r>
      <w:r w:rsidRPr="009E690C">
        <w:t>es entretiens de l</w:t>
      </w:r>
      <w:r>
        <w:t>’</w:t>
      </w:r>
      <w:r w:rsidRPr="009E690C">
        <w:t>Expert indépendant</w:t>
      </w:r>
      <w:r>
        <w:t xml:space="preserve"> </w:t>
      </w:r>
      <w:r w:rsidRPr="009E690C">
        <w:t xml:space="preserve">avec le </w:t>
      </w:r>
      <w:r>
        <w:t>P</w:t>
      </w:r>
      <w:r w:rsidRPr="009E690C">
        <w:t xml:space="preserve">résident de la République et le Ministre de la </w:t>
      </w:r>
      <w:r>
        <w:t>j</w:t>
      </w:r>
      <w:r w:rsidRPr="009E690C">
        <w:t>ustice</w:t>
      </w:r>
      <w:r>
        <w:t>, ces derniers</w:t>
      </w:r>
      <w:r w:rsidRPr="009E690C">
        <w:t xml:space="preserve"> se sont montrés réceptifs à la nécessité de mettre fin à la détention provisoire prolongée, qui fait que 71</w:t>
      </w:r>
      <w:r>
        <w:t> </w:t>
      </w:r>
      <w:r w:rsidRPr="009E690C">
        <w:t>% des personnes privées de liberté n</w:t>
      </w:r>
      <w:r>
        <w:t>’</w:t>
      </w:r>
      <w:r w:rsidRPr="009E690C">
        <w:t>ont pas été entendues par une autorité judiciaire</w:t>
      </w:r>
      <w:r>
        <w:t> </w:t>
      </w:r>
      <w:r w:rsidRPr="009E690C">
        <w:t xml:space="preserve">: </w:t>
      </w:r>
      <w:r>
        <w:t>sur</w:t>
      </w:r>
      <w:r w:rsidRPr="009E690C">
        <w:t xml:space="preserve"> 11</w:t>
      </w:r>
      <w:r>
        <w:t> </w:t>
      </w:r>
      <w:r w:rsidRPr="009E690C">
        <w:t>012 individus emprisonnés (dont 372</w:t>
      </w:r>
      <w:r w:rsidR="00222E0A" w:rsidRPr="009E690C">
        <w:rPr>
          <w:szCs w:val="18"/>
        </w:rPr>
        <w:t> </w:t>
      </w:r>
      <w:r w:rsidRPr="009E690C">
        <w:t>femmes, 220</w:t>
      </w:r>
      <w:r w:rsidR="00222E0A" w:rsidRPr="009E690C">
        <w:rPr>
          <w:szCs w:val="18"/>
        </w:rPr>
        <w:t> </w:t>
      </w:r>
      <w:r w:rsidRPr="009E690C">
        <w:t>garçons et 22</w:t>
      </w:r>
      <w:r w:rsidR="00222E0A" w:rsidRPr="009E690C">
        <w:rPr>
          <w:szCs w:val="18"/>
        </w:rPr>
        <w:t> </w:t>
      </w:r>
      <w:r w:rsidRPr="009E690C">
        <w:t>filles), lorsque l</w:t>
      </w:r>
      <w:r>
        <w:t>’</w:t>
      </w:r>
      <w:r w:rsidRPr="009E690C">
        <w:t>Expert indépendant</w:t>
      </w:r>
      <w:r>
        <w:t xml:space="preserve"> </w:t>
      </w:r>
      <w:r w:rsidRPr="009E690C">
        <w:t xml:space="preserve">a fait sa sixième visite </w:t>
      </w:r>
      <w:r>
        <w:t>en Haïti</w:t>
      </w:r>
      <w:r w:rsidRPr="009E690C">
        <w:t xml:space="preserve"> en octobre 2016, 3</w:t>
      </w:r>
      <w:r>
        <w:t> </w:t>
      </w:r>
      <w:r w:rsidRPr="009E690C">
        <w:t>182 étaient condamnés alors que 7</w:t>
      </w:r>
      <w:r>
        <w:t> </w:t>
      </w:r>
      <w:r w:rsidRPr="009E690C">
        <w:t xml:space="preserve">830 étaient des prévenus en attente de jugement, selon les chiffres officiels. </w:t>
      </w:r>
    </w:p>
    <w:p w:rsidR="000B0FA8" w:rsidRPr="009E690C" w:rsidRDefault="000B0FA8" w:rsidP="000B0FA8">
      <w:pPr>
        <w:pStyle w:val="SingleTxtG"/>
      </w:pPr>
      <w:r w:rsidRPr="009E690C">
        <w:t>40.</w:t>
      </w:r>
      <w:r w:rsidRPr="009E690C">
        <w:tab/>
        <w:t xml:space="preserve">Une </w:t>
      </w:r>
      <w:r>
        <w:t>c</w:t>
      </w:r>
      <w:r w:rsidRPr="009E690C">
        <w:t xml:space="preserve">ommission présidentielle sur la détention préventive prolongée a été créée pour faire face à cette violation récurrente des droits humains. </w:t>
      </w:r>
      <w:r>
        <w:t>Composée de</w:t>
      </w:r>
      <w:r w:rsidRPr="009E690C">
        <w:t xml:space="preserve"> neuf membres, cette </w:t>
      </w:r>
      <w:r>
        <w:t>c</w:t>
      </w:r>
      <w:r w:rsidRPr="009E690C">
        <w:t xml:space="preserve">ommission a été </w:t>
      </w:r>
      <w:r>
        <w:t>mise en place</w:t>
      </w:r>
      <w:r w:rsidRPr="009E690C">
        <w:t xml:space="preserve"> le 5</w:t>
      </w:r>
      <w:r w:rsidR="00222E0A" w:rsidRPr="009E690C">
        <w:rPr>
          <w:szCs w:val="18"/>
        </w:rPr>
        <w:t> </w:t>
      </w:r>
      <w:r w:rsidRPr="009E690C">
        <w:t xml:space="preserve">septembre 2016 par le Ministre de la </w:t>
      </w:r>
      <w:r>
        <w:t>j</w:t>
      </w:r>
      <w:r w:rsidRPr="009E690C">
        <w:t xml:space="preserve">ustice, dans le but de dresser la liste nationale des prévenus en situation de détention préventive prolongée </w:t>
      </w:r>
      <w:r>
        <w:t>dans</w:t>
      </w:r>
      <w:r w:rsidRPr="009E690C">
        <w:t xml:space="preserve"> toutes les prisons civiles et </w:t>
      </w:r>
      <w:r>
        <w:t xml:space="preserve">tous </w:t>
      </w:r>
      <w:r w:rsidRPr="009E690C">
        <w:t xml:space="preserve">les </w:t>
      </w:r>
      <w:r>
        <w:t>c</w:t>
      </w:r>
      <w:r w:rsidRPr="009E690C">
        <w:t>ommissariats de police faisant office de centre</w:t>
      </w:r>
      <w:r>
        <w:t>s</w:t>
      </w:r>
      <w:r w:rsidRPr="009E690C">
        <w:t xml:space="preserve"> de détention au niveau des 18</w:t>
      </w:r>
      <w:r w:rsidR="00222E0A" w:rsidRPr="009E690C">
        <w:rPr>
          <w:szCs w:val="18"/>
        </w:rPr>
        <w:t> </w:t>
      </w:r>
      <w:r w:rsidRPr="009E690C">
        <w:t xml:space="preserve">juridictions de </w:t>
      </w:r>
      <w:r>
        <w:t>p</w:t>
      </w:r>
      <w:r w:rsidRPr="009E690C">
        <w:t xml:space="preserve">remière </w:t>
      </w:r>
      <w:r>
        <w:t>i</w:t>
      </w:r>
      <w:r w:rsidRPr="009E690C">
        <w:t xml:space="preserve">nstance et de faire des recommandations pour la programmation des audiences correctionnelles afin de traiter les cas identifiés avec célérité dans le respect de la loi. </w:t>
      </w:r>
    </w:p>
    <w:p w:rsidR="000B0FA8" w:rsidRPr="009E690C" w:rsidRDefault="000B0FA8" w:rsidP="000B0FA8">
      <w:pPr>
        <w:pStyle w:val="SingleTxtG"/>
      </w:pPr>
      <w:r w:rsidRPr="009E690C">
        <w:t>41.</w:t>
      </w:r>
      <w:r w:rsidRPr="009E690C">
        <w:tab/>
        <w:t>Le délai fixé pour le travail de la Commission est de trois mois renouvelables. La</w:t>
      </w:r>
      <w:r w:rsidR="00222E0A" w:rsidRPr="009E690C">
        <w:rPr>
          <w:szCs w:val="18"/>
        </w:rPr>
        <w:t> </w:t>
      </w:r>
      <w:r w:rsidRPr="009E690C">
        <w:t>liste mentionnée ne nécessite pas beaucoup de temps pour être élaborée car il existe déjà des listes minutieuse</w:t>
      </w:r>
      <w:r>
        <w:t>ment</w:t>
      </w:r>
      <w:r w:rsidRPr="009E690C">
        <w:t xml:space="preserve"> élaborées par d</w:t>
      </w:r>
      <w:r>
        <w:t>’</w:t>
      </w:r>
      <w:r w:rsidRPr="009E690C">
        <w:t xml:space="preserve">autres organisations dans le pays. La </w:t>
      </w:r>
      <w:r>
        <w:t>tenue</w:t>
      </w:r>
      <w:r w:rsidRPr="009E690C">
        <w:t xml:space="preserve"> des audiences, par contre, </w:t>
      </w:r>
      <w:r>
        <w:t xml:space="preserve">nécessitera </w:t>
      </w:r>
      <w:r w:rsidRPr="009E690C">
        <w:t xml:space="preserve">un peu plus de temps. Le </w:t>
      </w:r>
      <w:r>
        <w:t>P</w:t>
      </w:r>
      <w:r w:rsidRPr="009E690C">
        <w:t xml:space="preserve">résident et un membre de la Commission présidentielle sur la détention préventive prolongée ont </w:t>
      </w:r>
      <w:r>
        <w:t>fait part</w:t>
      </w:r>
      <w:r w:rsidRPr="009E690C">
        <w:t xml:space="preserve"> à l</w:t>
      </w:r>
      <w:r>
        <w:t>’</w:t>
      </w:r>
      <w:r w:rsidRPr="009E690C">
        <w:t>Expert indépendant</w:t>
      </w:r>
      <w:r>
        <w:t xml:space="preserve"> de </w:t>
      </w:r>
      <w:r w:rsidRPr="009E690C">
        <w:t>leur inquiétude pour le court délai d</w:t>
      </w:r>
      <w:r>
        <w:t>ont disposait</w:t>
      </w:r>
      <w:r w:rsidRPr="009E690C">
        <w:t xml:space="preserve"> la Commission pour mener à bien une tâche aussi complexe, pour laquelle ils estimaient </w:t>
      </w:r>
      <w:r>
        <w:t>qu’un délai d’</w:t>
      </w:r>
      <w:r w:rsidRPr="009E690C">
        <w:t>au moins un an</w:t>
      </w:r>
      <w:r>
        <w:t xml:space="preserve"> était </w:t>
      </w:r>
      <w:r w:rsidRPr="009E690C">
        <w:t xml:space="preserve">nécessaire, et </w:t>
      </w:r>
      <w:r>
        <w:t xml:space="preserve">ont estimé </w:t>
      </w:r>
      <w:r w:rsidRPr="009E690C">
        <w:t>qu</w:t>
      </w:r>
      <w:r>
        <w:t>’</w:t>
      </w:r>
      <w:r w:rsidRPr="009E690C">
        <w:t>il devrait même exister une institution permanente pour surveiller le</w:t>
      </w:r>
      <w:r>
        <w:t>s questions</w:t>
      </w:r>
      <w:r w:rsidRPr="009E690C">
        <w:t xml:space="preserve"> de détention préventive, y compris le travail des juges et des commissaires gouvernementaux. </w:t>
      </w:r>
    </w:p>
    <w:p w:rsidR="000B0FA8" w:rsidRPr="009E690C" w:rsidRDefault="000B0FA8" w:rsidP="000B0FA8">
      <w:pPr>
        <w:pStyle w:val="SingleTxtG"/>
      </w:pPr>
      <w:r w:rsidRPr="009E690C">
        <w:t>42.</w:t>
      </w:r>
      <w:r w:rsidRPr="009E690C">
        <w:tab/>
        <w:t xml:space="preserve">Bien que </w:t>
      </w:r>
      <w:r>
        <w:t xml:space="preserve">pendant </w:t>
      </w:r>
      <w:r w:rsidRPr="009E690C">
        <w:t>le premier mois et demi de son existence, c</w:t>
      </w:r>
      <w:r>
        <w:t>’</w:t>
      </w:r>
      <w:r w:rsidRPr="009E690C">
        <w:t>est</w:t>
      </w:r>
      <w:r>
        <w:t>-</w:t>
      </w:r>
      <w:r w:rsidRPr="009E690C">
        <w:t>à</w:t>
      </w:r>
      <w:r>
        <w:t>-</w:t>
      </w:r>
      <w:r w:rsidRPr="009E690C">
        <w:t>dire la moitié de la période établie pour développer ses activités, la Commission n</w:t>
      </w:r>
      <w:r>
        <w:t>’</w:t>
      </w:r>
      <w:r w:rsidRPr="009E690C">
        <w:t xml:space="preserve">a pas eu de budget, le Ministre des </w:t>
      </w:r>
      <w:r>
        <w:t>f</w:t>
      </w:r>
      <w:r w:rsidRPr="009E690C">
        <w:t>inances a annoncé à l</w:t>
      </w:r>
      <w:r>
        <w:t>’</w:t>
      </w:r>
      <w:r w:rsidRPr="009E690C">
        <w:t>Expert indépendant</w:t>
      </w:r>
      <w:r>
        <w:t xml:space="preserve"> </w:t>
      </w:r>
      <w:r w:rsidRPr="009E690C">
        <w:t>en octobre 2016 que son cabinet venait d</w:t>
      </w:r>
      <w:r>
        <w:t>e prévoir</w:t>
      </w:r>
      <w:r w:rsidRPr="009E690C">
        <w:t xml:space="preserve"> des fonds appropriés pour son fonctionnement.</w:t>
      </w:r>
    </w:p>
    <w:p w:rsidR="000B0FA8" w:rsidRPr="009E690C" w:rsidRDefault="000B0FA8" w:rsidP="000B0FA8">
      <w:pPr>
        <w:pStyle w:val="SingleTxtG"/>
      </w:pPr>
      <w:r w:rsidRPr="009E690C">
        <w:t>43.</w:t>
      </w:r>
      <w:r w:rsidRPr="009E690C">
        <w:tab/>
        <w:t xml:space="preserve">La perception </w:t>
      </w:r>
      <w:r>
        <w:t>d</w:t>
      </w:r>
      <w:r w:rsidRPr="009E690C">
        <w:t xml:space="preserve">es </w:t>
      </w:r>
      <w:r>
        <w:t>chances</w:t>
      </w:r>
      <w:r w:rsidRPr="009E690C">
        <w:t xml:space="preserve"> de réussite de la Commission par des observateurs qualifiés dans le milieu juridique et des analystes politiques était </w:t>
      </w:r>
      <w:r>
        <w:t>mitigée</w:t>
      </w:r>
      <w:r w:rsidRPr="009E690C">
        <w:t xml:space="preserve"> car</w:t>
      </w:r>
      <w:r>
        <w:t>,</w:t>
      </w:r>
      <w:r w:rsidRPr="009E690C">
        <w:t xml:space="preserve"> pour certains d</w:t>
      </w:r>
      <w:r>
        <w:t>’</w:t>
      </w:r>
      <w:r w:rsidRPr="009E690C">
        <w:t>entre eux</w:t>
      </w:r>
      <w:r>
        <w:t>,</w:t>
      </w:r>
      <w:r w:rsidRPr="009E690C">
        <w:t xml:space="preserve"> le fait </w:t>
      </w:r>
      <w:r>
        <w:t>que la</w:t>
      </w:r>
      <w:r w:rsidRPr="009E690C">
        <w:t xml:space="preserve"> décision </w:t>
      </w:r>
      <w:r>
        <w:t xml:space="preserve">ait été prise </w:t>
      </w:r>
      <w:r w:rsidRPr="009E690C">
        <w:t>au niveau présidentiel était un bon signe tandis que pour d</w:t>
      </w:r>
      <w:r>
        <w:t>’</w:t>
      </w:r>
      <w:r w:rsidRPr="009E690C">
        <w:t>autres ce n</w:t>
      </w:r>
      <w:r>
        <w:t>’</w:t>
      </w:r>
      <w:r w:rsidRPr="009E690C">
        <w:t>était pas la première fois qu</w:t>
      </w:r>
      <w:r>
        <w:t>’</w:t>
      </w:r>
      <w:r w:rsidRPr="009E690C">
        <w:t>une commission avec des objectifs semblables était créé</w:t>
      </w:r>
      <w:r>
        <w:t>e</w:t>
      </w:r>
      <w:r w:rsidRPr="009E690C">
        <w:t xml:space="preserve"> et sa composition n</w:t>
      </w:r>
      <w:r>
        <w:t>’</w:t>
      </w:r>
      <w:r w:rsidRPr="009E690C">
        <w:t xml:space="preserve">était pas tout à fait convaincante. </w:t>
      </w:r>
      <w:r>
        <w:t>En</w:t>
      </w:r>
      <w:r w:rsidR="00222E0A" w:rsidRPr="009E690C">
        <w:rPr>
          <w:szCs w:val="18"/>
        </w:rPr>
        <w:t> </w:t>
      </w:r>
      <w:r>
        <w:t>outre</w:t>
      </w:r>
      <w:r w:rsidRPr="009E690C">
        <w:t>, la courte période assigné</w:t>
      </w:r>
      <w:r>
        <w:t>e</w:t>
      </w:r>
      <w:r w:rsidRPr="009E690C">
        <w:t xml:space="preserve"> à la Commission pour faire son travail </w:t>
      </w:r>
      <w:r>
        <w:t>pouvait</w:t>
      </w:r>
      <w:r w:rsidRPr="009E690C">
        <w:t xml:space="preserve"> devenir un obstacle pour </w:t>
      </w:r>
      <w:r>
        <w:t>l’exécution de</w:t>
      </w:r>
      <w:r w:rsidRPr="009E690C">
        <w:t xml:space="preserve"> son mandat. Quoiqu</w:t>
      </w:r>
      <w:r>
        <w:t>’</w:t>
      </w:r>
      <w:r w:rsidRPr="009E690C">
        <w:t>il en soit, il est souhaitable que la Commission puisse surmonter ses limit</w:t>
      </w:r>
      <w:r>
        <w:t>es</w:t>
      </w:r>
      <w:r w:rsidRPr="009E690C">
        <w:t xml:space="preserve"> réelles ou supposées de façon à ce que les prisons </w:t>
      </w:r>
      <w:r w:rsidRPr="009E690C">
        <w:lastRenderedPageBreak/>
        <w:t>d</w:t>
      </w:r>
      <w:r>
        <w:t>u</w:t>
      </w:r>
      <w:r w:rsidRPr="009E690C">
        <w:t xml:space="preserve"> pays puissent se trouver dans une situation </w:t>
      </w:r>
      <w:r>
        <w:t xml:space="preserve">de </w:t>
      </w:r>
      <w:r w:rsidRPr="009E690C">
        <w:t xml:space="preserve">population carcérale </w:t>
      </w:r>
      <w:r>
        <w:t xml:space="preserve">normale </w:t>
      </w:r>
      <w:r w:rsidRPr="009E690C">
        <w:t xml:space="preserve">aussi vite que possible. </w:t>
      </w:r>
    </w:p>
    <w:p w:rsidR="000B0FA8" w:rsidRPr="009E690C" w:rsidRDefault="000B0FA8" w:rsidP="000B0FA8">
      <w:pPr>
        <w:pStyle w:val="SingleTxtG"/>
      </w:pPr>
      <w:r w:rsidRPr="009E690C">
        <w:t>44.</w:t>
      </w:r>
      <w:r w:rsidRPr="009E690C">
        <w:tab/>
        <w:t>L</w:t>
      </w:r>
      <w:r>
        <w:t>’</w:t>
      </w:r>
      <w:r w:rsidRPr="009E690C">
        <w:t>Expert indépendant</w:t>
      </w:r>
      <w:r>
        <w:t xml:space="preserve"> </w:t>
      </w:r>
      <w:r w:rsidRPr="009E690C">
        <w:t>réitère encore une fois l</w:t>
      </w:r>
      <w:r>
        <w:t>’</w:t>
      </w:r>
      <w:r w:rsidRPr="009E690C">
        <w:t xml:space="preserve">urgence de mettre fin à la situation de </w:t>
      </w:r>
      <w:r>
        <w:t xml:space="preserve">la </w:t>
      </w:r>
      <w:r w:rsidRPr="009E690C">
        <w:t>détention préventive prolongée en Haïti. Les mesures qu</w:t>
      </w:r>
      <w:r>
        <w:t>’</w:t>
      </w:r>
      <w:r w:rsidRPr="009E690C">
        <w:t xml:space="preserve">il a proposées ont été largement exposées dans ses précédents rapports. </w:t>
      </w:r>
    </w:p>
    <w:p w:rsidR="000B0FA8" w:rsidRPr="009E690C" w:rsidRDefault="000B0FA8" w:rsidP="000B0FA8">
      <w:pPr>
        <w:pStyle w:val="H23G"/>
      </w:pPr>
      <w:r w:rsidRPr="009E690C">
        <w:tab/>
      </w:r>
      <w:r>
        <w:t>2.</w:t>
      </w:r>
      <w:r w:rsidRPr="009E690C">
        <w:tab/>
      </w:r>
      <w:r>
        <w:t>A</w:t>
      </w:r>
      <w:r w:rsidRPr="009E690C">
        <w:t>utres aspects concernant les conditions de détention</w:t>
      </w:r>
    </w:p>
    <w:p w:rsidR="000B0FA8" w:rsidRPr="009E690C" w:rsidRDefault="000B0FA8" w:rsidP="000B0FA8">
      <w:pPr>
        <w:pStyle w:val="SingleTxtG"/>
      </w:pPr>
      <w:r w:rsidRPr="009E690C">
        <w:t>45.</w:t>
      </w:r>
      <w:r w:rsidRPr="009E690C">
        <w:tab/>
        <w:t>Le nombre de personnes détenues lors de la sixième visite de l</w:t>
      </w:r>
      <w:r>
        <w:t>’</w:t>
      </w:r>
      <w:r w:rsidRPr="009E690C">
        <w:t>Expert indépendant</w:t>
      </w:r>
      <w:r>
        <w:t xml:space="preserve"> </w:t>
      </w:r>
      <w:r w:rsidRPr="009E690C">
        <w:t>en octobre 2016 était de 11</w:t>
      </w:r>
      <w:r>
        <w:t> </w:t>
      </w:r>
      <w:r w:rsidRPr="009E690C">
        <w:t>012</w:t>
      </w:r>
      <w:r w:rsidR="00222E0A" w:rsidRPr="009E690C">
        <w:rPr>
          <w:szCs w:val="18"/>
        </w:rPr>
        <w:t> </w:t>
      </w:r>
      <w:r w:rsidRPr="009E690C">
        <w:t>individus, selon les autorités, tandis que la capacité des prisons n</w:t>
      </w:r>
      <w:r>
        <w:t>’</w:t>
      </w:r>
      <w:r w:rsidRPr="009E690C">
        <w:t>est pas supérieure à 4</w:t>
      </w:r>
      <w:r>
        <w:t> </w:t>
      </w:r>
      <w:r w:rsidRPr="009E690C">
        <w:t>000</w:t>
      </w:r>
      <w:r w:rsidR="00222E0A" w:rsidRPr="009E690C">
        <w:rPr>
          <w:szCs w:val="18"/>
        </w:rPr>
        <w:t> </w:t>
      </w:r>
      <w:r w:rsidRPr="009E690C">
        <w:t>personnes, si bien qu</w:t>
      </w:r>
      <w:r>
        <w:t>’</w:t>
      </w:r>
      <w:r w:rsidRPr="009E690C">
        <w:t xml:space="preserve">il y avait, </w:t>
      </w:r>
      <w:r>
        <w:t>à</w:t>
      </w:r>
      <w:r w:rsidRPr="009E690C">
        <w:t xml:space="preserve"> ce moment</w:t>
      </w:r>
      <w:r>
        <w:t>-là</w:t>
      </w:r>
      <w:r w:rsidRPr="009E690C">
        <w:t>, un taux de surpopulation carcérale de 359</w:t>
      </w:r>
      <w:r>
        <w:t> </w:t>
      </w:r>
      <w:r w:rsidRPr="009E690C">
        <w:t>%</w:t>
      </w:r>
      <w:r w:rsidRPr="00EE4A62">
        <w:rPr>
          <w:rStyle w:val="FootnoteReference"/>
        </w:rPr>
        <w:footnoteReference w:id="15"/>
      </w:r>
      <w:r w:rsidRPr="009E690C">
        <w:t>. Il n</w:t>
      </w:r>
      <w:r>
        <w:t>’</w:t>
      </w:r>
      <w:r w:rsidRPr="009E690C">
        <w:t>y aurait pas de surpopulation si seule</w:t>
      </w:r>
      <w:r>
        <w:t xml:space="preserve">s </w:t>
      </w:r>
      <w:r w:rsidRPr="009E690C">
        <w:t>les personnes condamnées (3</w:t>
      </w:r>
      <w:r>
        <w:t> </w:t>
      </w:r>
      <w:r w:rsidRPr="009E690C">
        <w:t xml:space="preserve">182) et un nombre modéré de personnes en attente de jugement </w:t>
      </w:r>
      <w:r>
        <w:t>pendant</w:t>
      </w:r>
      <w:r w:rsidRPr="009E690C">
        <w:t xml:space="preserve"> un délai raisonnablement court</w:t>
      </w:r>
      <w:r>
        <w:t xml:space="preserve"> étaient </w:t>
      </w:r>
      <w:proofErr w:type="gramStart"/>
      <w:r>
        <w:t>privées</w:t>
      </w:r>
      <w:proofErr w:type="gramEnd"/>
      <w:r>
        <w:t xml:space="preserve"> de liberté</w:t>
      </w:r>
      <w:r w:rsidRPr="009E690C">
        <w:t>.</w:t>
      </w:r>
    </w:p>
    <w:p w:rsidR="000B0FA8" w:rsidRPr="009E690C" w:rsidRDefault="000B0FA8" w:rsidP="000B0FA8">
      <w:pPr>
        <w:pStyle w:val="SingleTxtG"/>
      </w:pPr>
      <w:r w:rsidRPr="009E690C">
        <w:t>46.</w:t>
      </w:r>
      <w:r w:rsidRPr="009E690C">
        <w:tab/>
        <w:t>Heureusement, et exceptionnellement, il n</w:t>
      </w:r>
      <w:r>
        <w:t>’y a</w:t>
      </w:r>
      <w:r w:rsidRPr="009E690C">
        <w:t xml:space="preserve"> pas de surpopulation </w:t>
      </w:r>
      <w:r>
        <w:t xml:space="preserve">carcérale </w:t>
      </w:r>
      <w:r w:rsidRPr="009E690C">
        <w:t xml:space="preserve">dans </w:t>
      </w:r>
      <w:r>
        <w:t>la</w:t>
      </w:r>
      <w:r w:rsidRPr="009E690C">
        <w:t xml:space="preserve"> nouvelle prison construite dans la municipalité de Cabaret, près de Port</w:t>
      </w:r>
      <w:r>
        <w:t>-</w:t>
      </w:r>
      <w:r w:rsidRPr="009E690C">
        <w:t>au</w:t>
      </w:r>
      <w:r>
        <w:t>-</w:t>
      </w:r>
      <w:r w:rsidRPr="009E690C">
        <w:t>Prince</w:t>
      </w:r>
      <w:r>
        <w:t>, que</w:t>
      </w:r>
      <w:r w:rsidRPr="009E690C">
        <w:t xml:space="preserve"> </w:t>
      </w:r>
      <w:r>
        <w:t>l’</w:t>
      </w:r>
      <w:r w:rsidRPr="009E690C">
        <w:t>Expert indépendant</w:t>
      </w:r>
      <w:r>
        <w:t xml:space="preserve"> </w:t>
      </w:r>
      <w:r w:rsidRPr="009E690C">
        <w:t>a visitée en octobre 2016. Elle comptait déjà 254</w:t>
      </w:r>
      <w:r w:rsidR="00222E0A" w:rsidRPr="009E690C">
        <w:rPr>
          <w:szCs w:val="18"/>
        </w:rPr>
        <w:t> </w:t>
      </w:r>
      <w:r w:rsidRPr="009E690C">
        <w:t>femmes dont 17</w:t>
      </w:r>
      <w:r w:rsidR="00222E0A" w:rsidRPr="009E690C">
        <w:rPr>
          <w:szCs w:val="18"/>
        </w:rPr>
        <w:t> </w:t>
      </w:r>
      <w:r w:rsidRPr="009E690C">
        <w:t>mineures en provenance de la prison pour femmes de Pétion-Ville. La prison a une capacité de 300</w:t>
      </w:r>
      <w:r w:rsidR="00222E0A" w:rsidRPr="009E690C">
        <w:rPr>
          <w:szCs w:val="18"/>
        </w:rPr>
        <w:t> </w:t>
      </w:r>
      <w:r w:rsidRPr="009E690C">
        <w:t>personnes. Chaque individu dispose d</w:t>
      </w:r>
      <w:r>
        <w:t>’</w:t>
      </w:r>
      <w:r w:rsidRPr="009E690C">
        <w:t xml:space="preserve">un espace digne pour dormir. </w:t>
      </w:r>
      <w:r w:rsidR="00222E0A" w:rsidRPr="009E690C">
        <w:t>C</w:t>
      </w:r>
      <w:r w:rsidR="00222E0A">
        <w:t>’</w:t>
      </w:r>
      <w:r w:rsidR="00222E0A" w:rsidRPr="009E690C">
        <w:t>est</w:t>
      </w:r>
      <w:r w:rsidR="00222E0A">
        <w:t> </w:t>
      </w:r>
      <w:r w:rsidRPr="009E690C">
        <w:t>donc un exemple d</w:t>
      </w:r>
      <w:r>
        <w:t>’</w:t>
      </w:r>
      <w:r w:rsidRPr="009E690C">
        <w:t>installation non surpeuplée et, de surcro</w:t>
      </w:r>
      <w:r>
        <w:t>î</w:t>
      </w:r>
      <w:r w:rsidRPr="009E690C">
        <w:t xml:space="preserve">t, propre, avec un service scolaire pour les mineurs. </w:t>
      </w:r>
    </w:p>
    <w:p w:rsidR="000B0FA8" w:rsidRPr="009E690C" w:rsidRDefault="000B0FA8" w:rsidP="000B0FA8">
      <w:pPr>
        <w:pStyle w:val="SingleTxtG"/>
      </w:pPr>
      <w:r w:rsidRPr="009E690C">
        <w:t>47.</w:t>
      </w:r>
      <w:r w:rsidRPr="009E690C">
        <w:tab/>
        <w:t>Cependant, l</w:t>
      </w:r>
      <w:r>
        <w:t>’</w:t>
      </w:r>
      <w:r w:rsidRPr="009E690C">
        <w:t>endroit n</w:t>
      </w:r>
      <w:r>
        <w:t>e dispose pas</w:t>
      </w:r>
      <w:r w:rsidRPr="009E690C">
        <w:t xml:space="preserve"> d</w:t>
      </w:r>
      <w:r>
        <w:t>’</w:t>
      </w:r>
      <w:r w:rsidRPr="009E690C">
        <w:t>eau potable et l</w:t>
      </w:r>
      <w:r>
        <w:t>’</w:t>
      </w:r>
      <w:r w:rsidRPr="009E690C">
        <w:t>intimité n</w:t>
      </w:r>
      <w:r>
        <w:t>’</w:t>
      </w:r>
      <w:r w:rsidRPr="009E690C">
        <w:t xml:space="preserve">est pas assurée dans les douches et les toilettes, </w:t>
      </w:r>
      <w:r>
        <w:t>alors que cela</w:t>
      </w:r>
      <w:r w:rsidRPr="009E690C">
        <w:t xml:space="preserve"> pourrait très facilement se faire à l</w:t>
      </w:r>
      <w:r>
        <w:t>’</w:t>
      </w:r>
      <w:r w:rsidRPr="009E690C">
        <w:t>aide de rideaux en plastique dont le co</w:t>
      </w:r>
      <w:r>
        <w:t>û</w:t>
      </w:r>
      <w:r w:rsidRPr="009E690C">
        <w:t xml:space="preserve">t est minime. La proportion de gardiens </w:t>
      </w:r>
      <w:r>
        <w:t>hommes</w:t>
      </w:r>
      <w:r w:rsidRPr="009E690C">
        <w:t xml:space="preserve"> dans cette prison est supérieure à celle de gardiens femmes, ce qui pose un risque </w:t>
      </w:r>
      <w:r>
        <w:t>pour</w:t>
      </w:r>
      <w:r w:rsidRPr="009E690C">
        <w:t xml:space="preserve"> la sécurité et l</w:t>
      </w:r>
      <w:r>
        <w:t>’</w:t>
      </w:r>
      <w:r w:rsidRPr="009E690C">
        <w:t xml:space="preserve">intimité des femmes </w:t>
      </w:r>
      <w:r>
        <w:t>incarcérées</w:t>
      </w:r>
      <w:r w:rsidRPr="009E690C">
        <w:t>. Il faut aussi aménager des espaces pour que les détenues puissent travailler. Le temps de recréation est limité à trois heures par semaine dans une cour et il y a un réfectoire qui n</w:t>
      </w:r>
      <w:r>
        <w:t>’</w:t>
      </w:r>
      <w:r w:rsidRPr="009E690C">
        <w:t>est pas utilisé, apparemment parce que les autorités de la prison craignent de ne pas avoir suffisamment d</w:t>
      </w:r>
      <w:r>
        <w:t>’</w:t>
      </w:r>
      <w:r w:rsidRPr="009E690C">
        <w:t>agents pour contrôler les prisonnières dans ces endroits.</w:t>
      </w:r>
    </w:p>
    <w:p w:rsidR="000B0FA8" w:rsidRPr="009E690C" w:rsidRDefault="000B0FA8" w:rsidP="000B0FA8">
      <w:pPr>
        <w:pStyle w:val="SingleTxtG"/>
      </w:pPr>
      <w:r w:rsidRPr="009E690C">
        <w:t>48.</w:t>
      </w:r>
      <w:r w:rsidRPr="009E690C">
        <w:tab/>
      </w:r>
      <w:r>
        <w:t>Lors de</w:t>
      </w:r>
      <w:r w:rsidRPr="009E690C">
        <w:t xml:space="preserve"> sa cinquième visite au pays, en février 2016, l</w:t>
      </w:r>
      <w:r>
        <w:t>’</w:t>
      </w:r>
      <w:r w:rsidRPr="009E690C">
        <w:t>Expert indépendant</w:t>
      </w:r>
      <w:r>
        <w:t xml:space="preserve"> </w:t>
      </w:r>
      <w:r w:rsidRPr="009E690C">
        <w:t>s</w:t>
      </w:r>
      <w:r>
        <w:t>’</w:t>
      </w:r>
      <w:r w:rsidRPr="009E690C">
        <w:t xml:space="preserve">était </w:t>
      </w:r>
      <w:r>
        <w:t xml:space="preserve">aussi </w:t>
      </w:r>
      <w:r w:rsidRPr="009E690C">
        <w:t>rendu à la prison de Croix</w:t>
      </w:r>
      <w:r>
        <w:t>-</w:t>
      </w:r>
      <w:r w:rsidRPr="009E690C">
        <w:t>de</w:t>
      </w:r>
      <w:r>
        <w:t>s-</w:t>
      </w:r>
      <w:r w:rsidRPr="009E690C">
        <w:t>Bouquet</w:t>
      </w:r>
      <w:r>
        <w:t>s</w:t>
      </w:r>
      <w:r w:rsidRPr="009E690C">
        <w:t>, dans la banlieue de Port-au-Prince. Les</w:t>
      </w:r>
      <w:r w:rsidR="00597DF4" w:rsidRPr="009E690C">
        <w:rPr>
          <w:szCs w:val="18"/>
        </w:rPr>
        <w:t> </w:t>
      </w:r>
      <w:r w:rsidRPr="009E690C">
        <w:t xml:space="preserve">conditions de détention y </w:t>
      </w:r>
      <w:r>
        <w:t>étaient</w:t>
      </w:r>
      <w:r w:rsidRPr="009E690C">
        <w:t xml:space="preserve"> moins </w:t>
      </w:r>
      <w:r>
        <w:t>mauvaises</w:t>
      </w:r>
      <w:r w:rsidRPr="009E690C">
        <w:t xml:space="preserve"> que dans les autres centres de détention qu</w:t>
      </w:r>
      <w:r>
        <w:t>’</w:t>
      </w:r>
      <w:r w:rsidRPr="009E690C">
        <w:t xml:space="preserve">il avait visités les </w:t>
      </w:r>
      <w:r>
        <w:t>fois</w:t>
      </w:r>
      <w:r w:rsidRPr="009E690C">
        <w:t xml:space="preserve"> précédentes. Le taux de surpopulation dépassait quand même la capacité d</w:t>
      </w:r>
      <w:r>
        <w:t>’</w:t>
      </w:r>
      <w:r w:rsidRPr="009E690C">
        <w:t>accueil de 50</w:t>
      </w:r>
      <w:r>
        <w:t> </w:t>
      </w:r>
      <w:r w:rsidRPr="009E690C">
        <w:t>%</w:t>
      </w:r>
      <w:r>
        <w:t>, puisqu’</w:t>
      </w:r>
      <w:r w:rsidRPr="009E690C">
        <w:t>environ 1</w:t>
      </w:r>
      <w:r>
        <w:t> </w:t>
      </w:r>
      <w:r w:rsidRPr="009E690C">
        <w:t>105</w:t>
      </w:r>
      <w:r w:rsidR="00597DF4" w:rsidRPr="009E690C">
        <w:rPr>
          <w:szCs w:val="18"/>
        </w:rPr>
        <w:t> </w:t>
      </w:r>
      <w:r w:rsidRPr="009E690C">
        <w:t>détenus</w:t>
      </w:r>
      <w:r>
        <w:t xml:space="preserve"> se trouvaient dans un </w:t>
      </w:r>
      <w:r w:rsidRPr="009E690C">
        <w:t>endroit bâti pour héberger autour de 760</w:t>
      </w:r>
      <w:r w:rsidR="00597DF4" w:rsidRPr="009E690C">
        <w:rPr>
          <w:szCs w:val="18"/>
        </w:rPr>
        <w:t> </w:t>
      </w:r>
      <w:r w:rsidRPr="009E690C">
        <w:t xml:space="preserve">personnes. </w:t>
      </w:r>
      <w:r>
        <w:t xml:space="preserve">Seuls </w:t>
      </w:r>
      <w:r w:rsidRPr="009E690C">
        <w:t>330</w:t>
      </w:r>
      <w:r w:rsidR="00597DF4" w:rsidRPr="009E690C">
        <w:rPr>
          <w:szCs w:val="18"/>
        </w:rPr>
        <w:t> </w:t>
      </w:r>
      <w:r w:rsidRPr="009E690C">
        <w:t>prisonniers étaient des personnes condamnées. Les 775</w:t>
      </w:r>
      <w:r w:rsidR="00597DF4" w:rsidRPr="009E690C">
        <w:rPr>
          <w:szCs w:val="18"/>
        </w:rPr>
        <w:t> </w:t>
      </w:r>
      <w:r w:rsidRPr="009E690C">
        <w:t>personnes restantes (</w:t>
      </w:r>
      <w:r>
        <w:t>soit</w:t>
      </w:r>
      <w:r w:rsidRPr="009E690C">
        <w:t xml:space="preserve"> 70</w:t>
      </w:r>
      <w:r>
        <w:t> </w:t>
      </w:r>
      <w:r w:rsidRPr="009E690C">
        <w:t>%) étaient des individus en détention préventive</w:t>
      </w:r>
      <w:r>
        <w:t>,</w:t>
      </w:r>
      <w:r w:rsidRPr="009E690C">
        <w:t xml:space="preserve"> bien que la prison de Croix</w:t>
      </w:r>
      <w:r>
        <w:t>-</w:t>
      </w:r>
      <w:r w:rsidRPr="009E690C">
        <w:t>des</w:t>
      </w:r>
      <w:r>
        <w:t>-</w:t>
      </w:r>
      <w:r w:rsidRPr="009E690C">
        <w:t xml:space="preserve">Bouquets </w:t>
      </w:r>
      <w:r>
        <w:t>ne soit</w:t>
      </w:r>
      <w:r w:rsidRPr="009E690C">
        <w:t xml:space="preserve"> destinée à abriter que des condamnés. </w:t>
      </w:r>
    </w:p>
    <w:p w:rsidR="000B0FA8" w:rsidRPr="009E690C" w:rsidRDefault="000B0FA8" w:rsidP="000B0FA8">
      <w:pPr>
        <w:pStyle w:val="SingleTxtG"/>
      </w:pPr>
      <w:r w:rsidRPr="009E690C">
        <w:t>49.</w:t>
      </w:r>
      <w:r w:rsidRPr="009E690C">
        <w:tab/>
        <w:t>L</w:t>
      </w:r>
      <w:r>
        <w:t>’</w:t>
      </w:r>
      <w:r w:rsidRPr="009E690C">
        <w:t>Expert indépendant</w:t>
      </w:r>
      <w:r>
        <w:t xml:space="preserve"> </w:t>
      </w:r>
      <w:r w:rsidRPr="009E690C">
        <w:t xml:space="preserve">a rencontré dans cette prison un homme qui était en détention préventive depuis décembre 2012, soit plus de </w:t>
      </w:r>
      <w:r>
        <w:t>trois</w:t>
      </w:r>
      <w:r w:rsidRPr="009E690C">
        <w:t xml:space="preserve"> ans. Accusé d</w:t>
      </w:r>
      <w:r>
        <w:t>’</w:t>
      </w:r>
      <w:r w:rsidRPr="009E690C">
        <w:t xml:space="preserve">avoir acheté une arme qui aurait été volée, il serait éventuellement </w:t>
      </w:r>
      <w:r>
        <w:t xml:space="preserve">passible </w:t>
      </w:r>
      <w:r w:rsidRPr="009E690C">
        <w:t>d</w:t>
      </w:r>
      <w:r>
        <w:t>’</w:t>
      </w:r>
      <w:r w:rsidRPr="009E690C">
        <w:t>une peine d</w:t>
      </w:r>
      <w:r>
        <w:t>’</w:t>
      </w:r>
      <w:r w:rsidRPr="009E690C">
        <w:t xml:space="preserve">un an et </w:t>
      </w:r>
      <w:proofErr w:type="gramStart"/>
      <w:r w:rsidRPr="009E690C">
        <w:t>demi</w:t>
      </w:r>
      <w:proofErr w:type="gramEnd"/>
      <w:r w:rsidRPr="009E690C">
        <w:t>, s</w:t>
      </w:r>
      <w:r>
        <w:t>’</w:t>
      </w:r>
      <w:r w:rsidRPr="009E690C">
        <w:t>il était déclaré coupable. Il n</w:t>
      </w:r>
      <w:r>
        <w:t>’</w:t>
      </w:r>
      <w:r w:rsidRPr="009E690C">
        <w:t xml:space="preserve">avait jamais été entendu par un juge. </w:t>
      </w:r>
    </w:p>
    <w:p w:rsidR="000B0FA8" w:rsidRPr="009E690C" w:rsidRDefault="000B0FA8" w:rsidP="000B0FA8">
      <w:pPr>
        <w:pStyle w:val="SingleTxtG"/>
      </w:pPr>
      <w:r w:rsidRPr="009E690C">
        <w:t>50.</w:t>
      </w:r>
      <w:r w:rsidRPr="009E690C">
        <w:tab/>
        <w:t>Les visites des familles dans la prison de Croix</w:t>
      </w:r>
      <w:r>
        <w:t>-</w:t>
      </w:r>
      <w:r w:rsidRPr="009E690C">
        <w:t>de</w:t>
      </w:r>
      <w:r>
        <w:t>s-</w:t>
      </w:r>
      <w:r w:rsidRPr="009E690C">
        <w:t>Bouquet</w:t>
      </w:r>
      <w:r>
        <w:t>s</w:t>
      </w:r>
      <w:r w:rsidRPr="009E690C">
        <w:t xml:space="preserve"> étaient suspendues depuis le mois de septembre 2015 à cause, selon le Directeur de la prison, de la situation d</w:t>
      </w:r>
      <w:r>
        <w:t>e l’</w:t>
      </w:r>
      <w:r w:rsidRPr="009E690C">
        <w:t xml:space="preserve">ordre public et </w:t>
      </w:r>
      <w:r>
        <w:t>d</w:t>
      </w:r>
      <w:r w:rsidRPr="009E690C">
        <w:t>es manifestations populaires motivées par les résultats électoraux. Ce</w:t>
      </w:r>
      <w:r w:rsidR="00597DF4" w:rsidRPr="009E690C">
        <w:rPr>
          <w:szCs w:val="18"/>
        </w:rPr>
        <w:t> </w:t>
      </w:r>
      <w:r w:rsidRPr="009E690C">
        <w:t>n</w:t>
      </w:r>
      <w:r>
        <w:t>’</w:t>
      </w:r>
      <w:r w:rsidRPr="009E690C">
        <w:t>est pas une justification suffisante pour priver les prisonniers, pendant plus d</w:t>
      </w:r>
      <w:r>
        <w:t>’</w:t>
      </w:r>
      <w:r w:rsidRPr="009E690C">
        <w:t xml:space="preserve">un an, du droit de recevoir la visite de leurs </w:t>
      </w:r>
      <w:r>
        <w:t>proches</w:t>
      </w:r>
      <w:r w:rsidRPr="009E690C">
        <w:t xml:space="preserve">. </w:t>
      </w:r>
    </w:p>
    <w:p w:rsidR="000B0FA8" w:rsidRPr="009E690C" w:rsidRDefault="000B0FA8" w:rsidP="00703450">
      <w:pPr>
        <w:pStyle w:val="SingleTxtG"/>
        <w:keepLines/>
      </w:pPr>
      <w:r w:rsidRPr="009E690C">
        <w:lastRenderedPageBreak/>
        <w:t>51.</w:t>
      </w:r>
      <w:r w:rsidRPr="009E690C">
        <w:tab/>
      </w:r>
      <w:r>
        <w:t>Tout comme</w:t>
      </w:r>
      <w:r w:rsidRPr="009E690C">
        <w:t xml:space="preserve"> dans la prison de Cabaret, le temps de recréation dans la prison de Croix</w:t>
      </w:r>
      <w:r>
        <w:t>-</w:t>
      </w:r>
      <w:r w:rsidRPr="009E690C">
        <w:t>de</w:t>
      </w:r>
      <w:r>
        <w:t>s-</w:t>
      </w:r>
      <w:r w:rsidRPr="009E690C">
        <w:t>Bouquet</w:t>
      </w:r>
      <w:r>
        <w:t>s</w:t>
      </w:r>
      <w:r w:rsidRPr="009E690C">
        <w:t xml:space="preserve"> est inférieur à une heure par jour dans une cour</w:t>
      </w:r>
      <w:r>
        <w:t>,</w:t>
      </w:r>
      <w:r w:rsidRPr="009E690C">
        <w:t xml:space="preserve"> car les gardiens ne se sentent pas suffisamment nombreux pour maîtriser une tentative d</w:t>
      </w:r>
      <w:r>
        <w:t>’</w:t>
      </w:r>
      <w:r w:rsidRPr="009E690C">
        <w:t xml:space="preserve">évasion. Ce serait aussi la raison pour laquelle </w:t>
      </w:r>
      <w:r>
        <w:t>le</w:t>
      </w:r>
      <w:r w:rsidRPr="009E690C">
        <w:t xml:space="preserve"> réfectoire </w:t>
      </w:r>
      <w:r>
        <w:t>n’est</w:t>
      </w:r>
      <w:r w:rsidRPr="009E690C">
        <w:t xml:space="preserve"> pas</w:t>
      </w:r>
      <w:r>
        <w:t xml:space="preserve"> utilisé</w:t>
      </w:r>
      <w:r w:rsidRPr="009E690C">
        <w:t>, bien qu</w:t>
      </w:r>
      <w:r>
        <w:t>’</w:t>
      </w:r>
      <w:r w:rsidRPr="009E690C">
        <w:t xml:space="preserve">il ait </w:t>
      </w:r>
      <w:r>
        <w:t>la</w:t>
      </w:r>
      <w:r w:rsidRPr="009E690C">
        <w:t xml:space="preserve"> capacité </w:t>
      </w:r>
      <w:r>
        <w:t xml:space="preserve">d’accueillir </w:t>
      </w:r>
      <w:r w:rsidRPr="009E690C">
        <w:t xml:space="preserve">une centaine de personnes. </w:t>
      </w:r>
    </w:p>
    <w:p w:rsidR="000B0FA8" w:rsidRPr="009E690C" w:rsidRDefault="000B0FA8" w:rsidP="000B0FA8">
      <w:pPr>
        <w:pStyle w:val="SingleTxtG"/>
      </w:pPr>
      <w:r w:rsidRPr="009E690C">
        <w:t>52.</w:t>
      </w:r>
      <w:r w:rsidRPr="009E690C">
        <w:tab/>
        <w:t>Les prisons de Cabaret et de Croix</w:t>
      </w:r>
      <w:r>
        <w:t>-</w:t>
      </w:r>
      <w:r w:rsidRPr="009E690C">
        <w:t>de</w:t>
      </w:r>
      <w:r>
        <w:t>s-</w:t>
      </w:r>
      <w:r w:rsidRPr="009E690C">
        <w:t>Bouquet</w:t>
      </w:r>
      <w:r>
        <w:t>s</w:t>
      </w:r>
      <w:r w:rsidRPr="009E690C">
        <w:t xml:space="preserve"> ont </w:t>
      </w:r>
      <w:r>
        <w:t xml:space="preserve">connu </w:t>
      </w:r>
      <w:r w:rsidRPr="009E690C">
        <w:t xml:space="preserve">moins de </w:t>
      </w:r>
      <w:r>
        <w:t>difficultés</w:t>
      </w:r>
      <w:r w:rsidRPr="009E690C">
        <w:t xml:space="preserve"> que les autres lieux de privation de liberté dans le pays, </w:t>
      </w:r>
      <w:r>
        <w:t xml:space="preserve">dont </w:t>
      </w:r>
      <w:r w:rsidRPr="009E690C">
        <w:t xml:space="preserve">la plupart </w:t>
      </w:r>
      <w:r>
        <w:t>offrent</w:t>
      </w:r>
      <w:r w:rsidRPr="009E690C">
        <w:t xml:space="preserve"> des conditions </w:t>
      </w:r>
      <w:r>
        <w:t xml:space="preserve">de vie </w:t>
      </w:r>
      <w:r w:rsidRPr="009E690C">
        <w:t>extrêmement précaires en matière d</w:t>
      </w:r>
      <w:r>
        <w:t>’</w:t>
      </w:r>
      <w:r w:rsidRPr="009E690C">
        <w:t xml:space="preserve">espace par individu, </w:t>
      </w:r>
      <w:r>
        <w:t xml:space="preserve">de </w:t>
      </w:r>
      <w:r w:rsidRPr="009E690C">
        <w:t>toilettes,</w:t>
      </w:r>
      <w:r>
        <w:t xml:space="preserve"> de</w:t>
      </w:r>
      <w:r w:rsidRPr="009E690C">
        <w:t xml:space="preserve"> services de santé, </w:t>
      </w:r>
      <w:r>
        <w:t xml:space="preserve">de </w:t>
      </w:r>
      <w:r w:rsidRPr="009E690C">
        <w:t xml:space="preserve">nourriture et </w:t>
      </w:r>
      <w:r>
        <w:t xml:space="preserve">de </w:t>
      </w:r>
      <w:r w:rsidRPr="009E690C">
        <w:t>moyens de travail ou d</w:t>
      </w:r>
      <w:r>
        <w:t>’</w:t>
      </w:r>
      <w:r w:rsidRPr="009E690C">
        <w:t xml:space="preserve">étude pour les prisonniers. </w:t>
      </w:r>
      <w:r>
        <w:t>De manière</w:t>
      </w:r>
      <w:r w:rsidRPr="009E690C">
        <w:t xml:space="preserve"> général</w:t>
      </w:r>
      <w:r>
        <w:t>e</w:t>
      </w:r>
      <w:r w:rsidRPr="009E690C">
        <w:t>, l</w:t>
      </w:r>
      <w:r>
        <w:t>’</w:t>
      </w:r>
      <w:r w:rsidRPr="009E690C">
        <w:t>état des prisons haïtiennes constitue un traitement inhumain et dégradant. L</w:t>
      </w:r>
      <w:r>
        <w:t>’</w:t>
      </w:r>
      <w:r w:rsidRPr="009E690C">
        <w:t>Expert indépendant</w:t>
      </w:r>
      <w:r>
        <w:t xml:space="preserve"> </w:t>
      </w:r>
      <w:r w:rsidRPr="009E690C">
        <w:t>réitère l</w:t>
      </w:r>
      <w:r>
        <w:t>’</w:t>
      </w:r>
      <w:r w:rsidRPr="009E690C">
        <w:t xml:space="preserve">invitation </w:t>
      </w:r>
      <w:r>
        <w:t xml:space="preserve">qu’il a </w:t>
      </w:r>
      <w:r w:rsidRPr="009E690C">
        <w:t xml:space="preserve">faite aux autorités haïtiennes dans ses précédents rapports à humaniser ces lieux en assurant des conditions de vie dignes aux personnes privées de liberté, conformément aux normes universelles pour le traitement des détenus. Il faudrait </w:t>
      </w:r>
      <w:r>
        <w:t>tout</w:t>
      </w:r>
      <w:r w:rsidRPr="009E690C">
        <w:t xml:space="preserve"> au moins suivre</w:t>
      </w:r>
      <w:r>
        <w:t xml:space="preserve"> </w:t>
      </w:r>
      <w:r w:rsidRPr="009E690C">
        <w:t>l</w:t>
      </w:r>
      <w:r>
        <w:t>’</w:t>
      </w:r>
      <w:r w:rsidRPr="009E690C">
        <w:t xml:space="preserve">exemple de la prison de Cabaret. </w:t>
      </w:r>
    </w:p>
    <w:p w:rsidR="000B0FA8" w:rsidRPr="009E690C" w:rsidRDefault="000B0FA8" w:rsidP="000B0FA8">
      <w:pPr>
        <w:pStyle w:val="H1G"/>
      </w:pPr>
      <w:r w:rsidRPr="009E690C">
        <w:tab/>
        <w:t>C.</w:t>
      </w:r>
      <w:r w:rsidRPr="009E690C">
        <w:tab/>
        <w:t xml:space="preserve">Élections et </w:t>
      </w:r>
      <w:r>
        <w:t>é</w:t>
      </w:r>
      <w:r w:rsidRPr="009E690C">
        <w:t>tat de droit</w:t>
      </w:r>
    </w:p>
    <w:p w:rsidR="000B0FA8" w:rsidRPr="009E690C" w:rsidRDefault="000B0FA8" w:rsidP="000B0FA8">
      <w:pPr>
        <w:pStyle w:val="SingleTxtG"/>
      </w:pPr>
      <w:r w:rsidRPr="009E690C">
        <w:t>53.</w:t>
      </w:r>
      <w:r w:rsidRPr="009E690C">
        <w:tab/>
        <w:t>La situation de faiblesse institutionnelle à laquelle les autorités haïtiennes ont dû faire face de manière plus urgente en 2016 est celle des élections, ce qui n</w:t>
      </w:r>
      <w:r>
        <w:t>’</w:t>
      </w:r>
      <w:r w:rsidRPr="009E690C">
        <w:t>empêche pas d</w:t>
      </w:r>
      <w:r>
        <w:t>’</w:t>
      </w:r>
      <w:r w:rsidRPr="009E690C">
        <w:t xml:space="preserve">attirer </w:t>
      </w:r>
      <w:r>
        <w:t xml:space="preserve">également </w:t>
      </w:r>
      <w:r w:rsidRPr="009E690C">
        <w:t>l</w:t>
      </w:r>
      <w:r>
        <w:t>’</w:t>
      </w:r>
      <w:r w:rsidRPr="009E690C">
        <w:t>attention sur d</w:t>
      </w:r>
      <w:r>
        <w:t>’</w:t>
      </w:r>
      <w:r w:rsidRPr="009E690C">
        <w:t>autres lacunes graves en matière d</w:t>
      </w:r>
      <w:r>
        <w:t>’é</w:t>
      </w:r>
      <w:r w:rsidRPr="009E690C">
        <w:t xml:space="preserve">tat de droit. </w:t>
      </w:r>
    </w:p>
    <w:p w:rsidR="000B0FA8" w:rsidRPr="009E690C" w:rsidRDefault="000B0FA8" w:rsidP="000B0FA8">
      <w:pPr>
        <w:pStyle w:val="H23G"/>
      </w:pPr>
      <w:r w:rsidRPr="009E690C">
        <w:tab/>
      </w:r>
      <w:r>
        <w:t>1.</w:t>
      </w:r>
      <w:r w:rsidRPr="009E690C">
        <w:tab/>
        <w:t xml:space="preserve">Élections </w:t>
      </w:r>
      <w:r>
        <w:t>de</w:t>
      </w:r>
      <w:r w:rsidRPr="009E690C">
        <w:t xml:space="preserve"> 2015 et 2016</w:t>
      </w:r>
    </w:p>
    <w:p w:rsidR="000B0FA8" w:rsidRPr="009E690C" w:rsidRDefault="000B0FA8" w:rsidP="000B0FA8">
      <w:pPr>
        <w:pStyle w:val="SingleTxtG"/>
      </w:pPr>
      <w:r w:rsidRPr="009E690C">
        <w:t>54.</w:t>
      </w:r>
      <w:r w:rsidRPr="009E690C">
        <w:tab/>
        <w:t>L</w:t>
      </w:r>
      <w:r>
        <w:t>’</w:t>
      </w:r>
      <w:r w:rsidRPr="009E690C">
        <w:t>absence d</w:t>
      </w:r>
      <w:r>
        <w:t>’</w:t>
      </w:r>
      <w:r w:rsidRPr="009E690C">
        <w:t xml:space="preserve">élections en Haïti </w:t>
      </w:r>
      <w:r>
        <w:t>entre</w:t>
      </w:r>
      <w:r w:rsidRPr="009E690C">
        <w:t xml:space="preserve"> 2011 </w:t>
      </w:r>
      <w:r>
        <w:t>et</w:t>
      </w:r>
      <w:r w:rsidRPr="009E690C">
        <w:t xml:space="preserve"> 2014 a laissé l</w:t>
      </w:r>
      <w:r>
        <w:t>’</w:t>
      </w:r>
      <w:r w:rsidRPr="009E690C">
        <w:t>État sans Parlement pendant tout</w:t>
      </w:r>
      <w:r>
        <w:t>e</w:t>
      </w:r>
      <w:r w:rsidRPr="009E690C">
        <w:t xml:space="preserve"> l</w:t>
      </w:r>
      <w:r>
        <w:t>’</w:t>
      </w:r>
      <w:r w:rsidRPr="009E690C">
        <w:t xml:space="preserve">année 2015, ce qui a eu un impact négatif </w:t>
      </w:r>
      <w:r>
        <w:t>pour</w:t>
      </w:r>
      <w:r w:rsidRPr="009E690C">
        <w:t xml:space="preserve"> le fonctionnement d</w:t>
      </w:r>
      <w:r>
        <w:t>’</w:t>
      </w:r>
      <w:r w:rsidRPr="009E690C">
        <w:t xml:space="preserve">autres institutions, comme le </w:t>
      </w:r>
      <w:r>
        <w:t xml:space="preserve">système </w:t>
      </w:r>
      <w:r w:rsidRPr="009E690C">
        <w:t>judiciaire. Comme on l</w:t>
      </w:r>
      <w:r>
        <w:t>’</w:t>
      </w:r>
      <w:r w:rsidRPr="009E690C">
        <w:t xml:space="preserve">a déjà </w:t>
      </w:r>
      <w:r>
        <w:t>noté</w:t>
      </w:r>
      <w:r w:rsidRPr="009E690C">
        <w:t xml:space="preserve"> dans de précédents rapports, suite aux recommandations d</w:t>
      </w:r>
      <w:r>
        <w:t>’</w:t>
      </w:r>
      <w:r w:rsidRPr="009E690C">
        <w:t>une commission créé</w:t>
      </w:r>
      <w:r>
        <w:t>e</w:t>
      </w:r>
      <w:r w:rsidRPr="009E690C">
        <w:t xml:space="preserve"> par l</w:t>
      </w:r>
      <w:r>
        <w:t>’</w:t>
      </w:r>
      <w:r w:rsidRPr="009E690C">
        <w:t xml:space="preserve">ancien Président, Michel Martelly, un nouveau Premier Ministre, </w:t>
      </w:r>
      <w:proofErr w:type="spellStart"/>
      <w:r w:rsidRPr="009E690C">
        <w:t>Évans</w:t>
      </w:r>
      <w:proofErr w:type="spellEnd"/>
      <w:r w:rsidRPr="009E690C">
        <w:t xml:space="preserve"> Paul, a été nommé en décembre 2014 pour se consacrer prioritairement à la </w:t>
      </w:r>
      <w:r>
        <w:t>conduite</w:t>
      </w:r>
      <w:r w:rsidRPr="009E690C">
        <w:t xml:space="preserve"> des élections en 2015, pour lesquelles ont été fixées les dates du 9</w:t>
      </w:r>
      <w:r w:rsidR="00597DF4" w:rsidRPr="009E690C">
        <w:rPr>
          <w:szCs w:val="18"/>
        </w:rPr>
        <w:t> </w:t>
      </w:r>
      <w:r w:rsidRPr="009E690C">
        <w:t xml:space="preserve">août pour le premier tour des législatives, </w:t>
      </w:r>
      <w:r>
        <w:t>du</w:t>
      </w:r>
      <w:r w:rsidRPr="009E690C">
        <w:t xml:space="preserve"> 25</w:t>
      </w:r>
      <w:r w:rsidR="00597DF4" w:rsidRPr="009E690C">
        <w:rPr>
          <w:szCs w:val="18"/>
        </w:rPr>
        <w:t> </w:t>
      </w:r>
      <w:r w:rsidRPr="009E690C">
        <w:t xml:space="preserve">octobre pour le deuxième tour des législatives et le premier tour des présidentielles, et </w:t>
      </w:r>
      <w:r>
        <w:t>du</w:t>
      </w:r>
      <w:r w:rsidRPr="009E690C">
        <w:t xml:space="preserve"> 27</w:t>
      </w:r>
      <w:r w:rsidR="00597DF4" w:rsidRPr="009E690C">
        <w:rPr>
          <w:szCs w:val="18"/>
        </w:rPr>
        <w:t> </w:t>
      </w:r>
      <w:r w:rsidRPr="009E690C">
        <w:t xml:space="preserve">décembre pour le deuxième tour des présidentielles. </w:t>
      </w:r>
    </w:p>
    <w:p w:rsidR="000B0FA8" w:rsidRPr="009E690C" w:rsidRDefault="000B0FA8" w:rsidP="000B0FA8">
      <w:pPr>
        <w:pStyle w:val="SingleTxtG"/>
      </w:pPr>
      <w:r w:rsidRPr="009E690C">
        <w:t>55.</w:t>
      </w:r>
      <w:r w:rsidRPr="009E690C">
        <w:tab/>
        <w:t>Les élections du 9</w:t>
      </w:r>
      <w:r w:rsidR="00597DF4" w:rsidRPr="009E690C">
        <w:rPr>
          <w:szCs w:val="18"/>
        </w:rPr>
        <w:t> </w:t>
      </w:r>
      <w:r w:rsidRPr="009E690C">
        <w:t>août 2015 ont été précédées d</w:t>
      </w:r>
      <w:r>
        <w:t>’</w:t>
      </w:r>
      <w:r w:rsidRPr="009E690C">
        <w:t>actes violents (cinq assassinats et deux tentatives d</w:t>
      </w:r>
      <w:r>
        <w:t>’</w:t>
      </w:r>
      <w:r w:rsidRPr="009E690C">
        <w:t xml:space="preserve">assassinat) et ont </w:t>
      </w:r>
      <w:r>
        <w:t>été entachées</w:t>
      </w:r>
      <w:r w:rsidRPr="009E690C">
        <w:t xml:space="preserve"> de multiples irrégularités (des faits violents dans au moins 104</w:t>
      </w:r>
      <w:r w:rsidR="00597DF4" w:rsidRPr="009E690C">
        <w:rPr>
          <w:szCs w:val="18"/>
        </w:rPr>
        <w:t> </w:t>
      </w:r>
      <w:r w:rsidRPr="009E690C">
        <w:t>centres de vote, de</w:t>
      </w:r>
      <w:r>
        <w:t>s problèmes liés aux</w:t>
      </w:r>
      <w:r w:rsidRPr="009E690C">
        <w:t xml:space="preserve"> isoloirs, </w:t>
      </w:r>
      <w:r>
        <w:t>à</w:t>
      </w:r>
      <w:r w:rsidRPr="009E690C">
        <w:t xml:space="preserve"> l</w:t>
      </w:r>
      <w:r>
        <w:t>’</w:t>
      </w:r>
      <w:r w:rsidRPr="009E690C">
        <w:t xml:space="preserve">encre et </w:t>
      </w:r>
      <w:r>
        <w:t>aux</w:t>
      </w:r>
      <w:r w:rsidRPr="009E690C">
        <w:t xml:space="preserve"> urnes dans plusieurs autres et </w:t>
      </w:r>
      <w:r>
        <w:t xml:space="preserve">la </w:t>
      </w:r>
      <w:r w:rsidRPr="009E690C">
        <w:t xml:space="preserve">présence illicite de candidats ou </w:t>
      </w:r>
      <w:r>
        <w:t xml:space="preserve">de </w:t>
      </w:r>
      <w:r w:rsidRPr="009E690C">
        <w:t xml:space="preserve">représentants des partis </w:t>
      </w:r>
      <w:r>
        <w:t>dans les</w:t>
      </w:r>
      <w:r w:rsidRPr="009E690C">
        <w:t xml:space="preserve"> locaux électoraux pour contraindre des électeurs). Le taux de participation a été de 18</w:t>
      </w:r>
      <w:r>
        <w:t> </w:t>
      </w:r>
      <w:r w:rsidRPr="009E690C">
        <w:t>% en moyenne pour le pays et plus bas pour la capitale.</w:t>
      </w:r>
    </w:p>
    <w:p w:rsidR="000B0FA8" w:rsidRPr="009E690C" w:rsidRDefault="000B0FA8" w:rsidP="000B0FA8">
      <w:pPr>
        <w:pStyle w:val="SingleTxtG"/>
      </w:pPr>
      <w:r w:rsidRPr="009E690C">
        <w:t>56.</w:t>
      </w:r>
      <w:r w:rsidRPr="009E690C">
        <w:tab/>
        <w:t>Les élections du 25</w:t>
      </w:r>
      <w:r w:rsidR="00597DF4" w:rsidRPr="009E690C">
        <w:rPr>
          <w:szCs w:val="18"/>
        </w:rPr>
        <w:t> </w:t>
      </w:r>
      <w:r w:rsidRPr="009E690C">
        <w:t xml:space="preserve">octobre ont </w:t>
      </w:r>
      <w:r>
        <w:t>connu</w:t>
      </w:r>
      <w:r w:rsidRPr="009E690C">
        <w:t xml:space="preserve"> moins d</w:t>
      </w:r>
      <w:r>
        <w:t>’</w:t>
      </w:r>
      <w:r w:rsidRPr="009E690C">
        <w:t>irrégularités, du fait que certains correctifs ont été adoptés à la demande d</w:t>
      </w:r>
      <w:r>
        <w:t>’</w:t>
      </w:r>
      <w:r w:rsidRPr="009E690C">
        <w:t>observateurs électoraux. Le taux de participation en moyenne nationale a été de 25</w:t>
      </w:r>
      <w:r>
        <w:t> </w:t>
      </w:r>
      <w:r w:rsidRPr="009E690C">
        <w:t xml:space="preserve">%. </w:t>
      </w:r>
      <w:r>
        <w:t>E</w:t>
      </w:r>
      <w:r w:rsidRPr="009E690C">
        <w:t xml:space="preserve">lles ont </w:t>
      </w:r>
      <w:r>
        <w:t>t</w:t>
      </w:r>
      <w:r w:rsidRPr="009E690C">
        <w:t>out de même</w:t>
      </w:r>
      <w:r>
        <w:t xml:space="preserve"> </w:t>
      </w:r>
      <w:r w:rsidRPr="009E690C">
        <w:t xml:space="preserve">été contestées par plusieurs secteurs et notamment par </w:t>
      </w:r>
      <w:r>
        <w:t>huit</w:t>
      </w:r>
      <w:r w:rsidRPr="009E690C">
        <w:t xml:space="preserve"> candidats présidentiels qui n</w:t>
      </w:r>
      <w:r>
        <w:t>’</w:t>
      </w:r>
      <w:r w:rsidRPr="009E690C">
        <w:t>ont pas obtenu la première place des résultats d</w:t>
      </w:r>
      <w:r>
        <w:t>u</w:t>
      </w:r>
      <w:r w:rsidRPr="009E690C">
        <w:t xml:space="preserve"> vote annoncés par le Conseil </w:t>
      </w:r>
      <w:r>
        <w:t>é</w:t>
      </w:r>
      <w:r w:rsidRPr="009E690C">
        <w:t xml:space="preserve">lectoral </w:t>
      </w:r>
      <w:r>
        <w:t>p</w:t>
      </w:r>
      <w:r w:rsidRPr="009E690C">
        <w:t>rovisoire. Pour faire face à ces critiques, le Gouvernement a créé</w:t>
      </w:r>
      <w:r>
        <w:t>,</w:t>
      </w:r>
      <w:r w:rsidRPr="009E690C">
        <w:t xml:space="preserve"> le 16</w:t>
      </w:r>
      <w:r w:rsidR="00597DF4" w:rsidRPr="009E690C">
        <w:rPr>
          <w:szCs w:val="18"/>
        </w:rPr>
        <w:t> </w:t>
      </w:r>
      <w:r w:rsidRPr="009E690C">
        <w:t>décembre</w:t>
      </w:r>
      <w:r>
        <w:t>,</w:t>
      </w:r>
      <w:r w:rsidRPr="009E690C">
        <w:t xml:space="preserve"> une </w:t>
      </w:r>
      <w:r>
        <w:t>c</w:t>
      </w:r>
      <w:r w:rsidRPr="009E690C">
        <w:t>ommission nationale d</w:t>
      </w:r>
      <w:r>
        <w:t>’</w:t>
      </w:r>
      <w:r w:rsidRPr="009E690C">
        <w:t>évaluation électorale, suite à quoi</w:t>
      </w:r>
      <w:r>
        <w:t>,</w:t>
      </w:r>
      <w:r w:rsidRPr="009E690C">
        <w:t xml:space="preserve"> le 21</w:t>
      </w:r>
      <w:r w:rsidR="00597DF4" w:rsidRPr="009E690C">
        <w:rPr>
          <w:szCs w:val="18"/>
        </w:rPr>
        <w:t> </w:t>
      </w:r>
      <w:r w:rsidRPr="009E690C">
        <w:t>décembre</w:t>
      </w:r>
      <w:r>
        <w:t>,</w:t>
      </w:r>
      <w:r w:rsidRPr="009E690C">
        <w:t xml:space="preserve"> le C</w:t>
      </w:r>
      <w:r>
        <w:t>onseil</w:t>
      </w:r>
      <w:r w:rsidRPr="009E690C">
        <w:t xml:space="preserve"> a reporté </w:t>
      </w:r>
      <w:r w:rsidRPr="00EE4A62">
        <w:rPr>
          <w:i/>
          <w:iCs/>
        </w:rPr>
        <w:t>sine die</w:t>
      </w:r>
      <w:r w:rsidRPr="009E690C">
        <w:t xml:space="preserve"> les élections prévues pour le 25</w:t>
      </w:r>
      <w:r w:rsidR="00597DF4" w:rsidRPr="009E690C">
        <w:rPr>
          <w:szCs w:val="18"/>
        </w:rPr>
        <w:t> </w:t>
      </w:r>
      <w:r w:rsidRPr="009E690C">
        <w:t xml:space="preserve">décembre. </w:t>
      </w:r>
    </w:p>
    <w:p w:rsidR="000B0FA8" w:rsidRPr="009E690C" w:rsidRDefault="000B0FA8" w:rsidP="000B0FA8">
      <w:pPr>
        <w:pStyle w:val="SingleTxtG"/>
      </w:pPr>
      <w:r w:rsidRPr="009E690C">
        <w:t>57.</w:t>
      </w:r>
      <w:r w:rsidRPr="009E690C">
        <w:tab/>
        <w:t>La Commission nationale d</w:t>
      </w:r>
      <w:r>
        <w:t>’</w:t>
      </w:r>
      <w:r w:rsidRPr="009E690C">
        <w:t>évaluation électorale a rendu son rapport le 3</w:t>
      </w:r>
      <w:r w:rsidR="00597DF4" w:rsidRPr="009E690C">
        <w:rPr>
          <w:szCs w:val="18"/>
        </w:rPr>
        <w:t> </w:t>
      </w:r>
      <w:r w:rsidRPr="009E690C">
        <w:t xml:space="preserve">janvier 2016 et, </w:t>
      </w:r>
      <w:r>
        <w:t xml:space="preserve">entre </w:t>
      </w:r>
      <w:r w:rsidRPr="009E690C">
        <w:t>autres recommandations, elle a conclu que «</w:t>
      </w:r>
      <w:r>
        <w:t> </w:t>
      </w:r>
      <w:r w:rsidRPr="009E690C">
        <w:t>pour poursuivre le processus et espérer une participation appréciable aux élections et la paix sociale, il faudrait deux choses</w:t>
      </w:r>
      <w:r>
        <w:t> </w:t>
      </w:r>
      <w:r w:rsidRPr="009E690C">
        <w:t>: un dialogue politique entre les différents acteurs du pays et un examen plus approfondi au plan technique de la responsabilité de la machine électorale dans les irrégularités souvent assimilée à de la fraude massive</w:t>
      </w:r>
      <w:r>
        <w:t> </w:t>
      </w:r>
      <w:r w:rsidRPr="009E690C">
        <w:t>»</w:t>
      </w:r>
      <w:r w:rsidRPr="00EE4A62">
        <w:rPr>
          <w:rStyle w:val="FootnoteReference"/>
        </w:rPr>
        <w:footnoteReference w:id="16"/>
      </w:r>
      <w:r w:rsidRPr="009E690C">
        <w:t>. Une nouvelle date pour le deuxième tour de l</w:t>
      </w:r>
      <w:r>
        <w:t>’</w:t>
      </w:r>
      <w:r w:rsidRPr="009E690C">
        <w:t>élection présidentielle a été fixée pour le 24</w:t>
      </w:r>
      <w:r w:rsidR="00597DF4" w:rsidRPr="009E690C">
        <w:rPr>
          <w:szCs w:val="18"/>
        </w:rPr>
        <w:t> </w:t>
      </w:r>
      <w:r w:rsidRPr="009E690C">
        <w:t>janvier 2016.</w:t>
      </w:r>
    </w:p>
    <w:p w:rsidR="000B0FA8" w:rsidRPr="009E690C" w:rsidRDefault="000B0FA8" w:rsidP="000B0FA8">
      <w:pPr>
        <w:pStyle w:val="SingleTxtG"/>
      </w:pPr>
      <w:r w:rsidRPr="009E690C">
        <w:lastRenderedPageBreak/>
        <w:t>58.</w:t>
      </w:r>
      <w:r w:rsidRPr="009E690C">
        <w:tab/>
        <w:t>Le 22</w:t>
      </w:r>
      <w:r w:rsidR="000E21B6" w:rsidRPr="009E690C">
        <w:rPr>
          <w:szCs w:val="18"/>
        </w:rPr>
        <w:t> </w:t>
      </w:r>
      <w:r w:rsidRPr="009E690C">
        <w:t>janvier 2016, deux jours avant la date établie pour le deuxième tour des élections présidentielles, le C</w:t>
      </w:r>
      <w:r>
        <w:t>onseil électoral provisoire</w:t>
      </w:r>
      <w:r w:rsidRPr="009E690C">
        <w:t xml:space="preserve"> a de nouveau suspendu leur </w:t>
      </w:r>
      <w:r>
        <w:t>organisation</w:t>
      </w:r>
      <w:r w:rsidRPr="009E690C">
        <w:t xml:space="preserve"> suite à des actes de violence contre des installations, des éléments et même des individus liés aux élections dans différentes parties du pays, y compris face aux bureaux du C</w:t>
      </w:r>
      <w:r>
        <w:t>onseil</w:t>
      </w:r>
      <w:r w:rsidRPr="009E690C">
        <w:t xml:space="preserve"> à Pétion-ville. Deux membres du C</w:t>
      </w:r>
      <w:r>
        <w:t>onseil</w:t>
      </w:r>
      <w:r w:rsidRPr="009E690C">
        <w:t xml:space="preserve"> ont démissionné ce </w:t>
      </w:r>
      <w:r>
        <w:t xml:space="preserve">même </w:t>
      </w:r>
      <w:r w:rsidRPr="009E690C">
        <w:t>jour</w:t>
      </w:r>
      <w:r>
        <w:t xml:space="preserve"> et le Conseil</w:t>
      </w:r>
      <w:r w:rsidRPr="009E690C">
        <w:t xml:space="preserve"> n</w:t>
      </w:r>
      <w:r>
        <w:t>’</w:t>
      </w:r>
      <w:r w:rsidRPr="009E690C">
        <w:t>était donc pas en mesure d</w:t>
      </w:r>
      <w:r>
        <w:t>’</w:t>
      </w:r>
      <w:r w:rsidRPr="009E690C">
        <w:t xml:space="preserve">assurer le quorum. </w:t>
      </w:r>
    </w:p>
    <w:p w:rsidR="000B0FA8" w:rsidRPr="009E690C" w:rsidRDefault="000B0FA8" w:rsidP="000B0FA8">
      <w:pPr>
        <w:pStyle w:val="SingleTxtG"/>
      </w:pPr>
      <w:r w:rsidRPr="009E690C">
        <w:t>59.</w:t>
      </w:r>
      <w:r w:rsidRPr="009E690C">
        <w:tab/>
        <w:t>Étant donné que l</w:t>
      </w:r>
      <w:r>
        <w:t>e</w:t>
      </w:r>
      <w:r w:rsidRPr="009E690C">
        <w:t xml:space="preserve"> mandat du Président Martelly expirait le 7</w:t>
      </w:r>
      <w:r w:rsidR="000E21B6" w:rsidRPr="009E690C">
        <w:rPr>
          <w:szCs w:val="18"/>
        </w:rPr>
        <w:t> </w:t>
      </w:r>
      <w:r w:rsidRPr="009E690C">
        <w:t>février 2016 et en l</w:t>
      </w:r>
      <w:r>
        <w:t>’</w:t>
      </w:r>
      <w:r w:rsidRPr="009E690C">
        <w:t>absence d</w:t>
      </w:r>
      <w:r>
        <w:t>’</w:t>
      </w:r>
      <w:r w:rsidRPr="009E690C">
        <w:t>un président élu pour lui succéder au pouvoir, le Président Martelly, le Président du Sénat, M.</w:t>
      </w:r>
      <w:r>
        <w:t> </w:t>
      </w:r>
      <w:proofErr w:type="spellStart"/>
      <w:r w:rsidRPr="009E690C">
        <w:t>Privert</w:t>
      </w:r>
      <w:proofErr w:type="spellEnd"/>
      <w:r w:rsidRPr="009E690C">
        <w:t xml:space="preserve">, et le Président de la Chambre des députés, </w:t>
      </w:r>
      <w:proofErr w:type="spellStart"/>
      <w:r w:rsidRPr="009E690C">
        <w:t>Cholzer</w:t>
      </w:r>
      <w:proofErr w:type="spellEnd"/>
      <w:r w:rsidRPr="009E690C">
        <w:t xml:space="preserve"> </w:t>
      </w:r>
      <w:proofErr w:type="spellStart"/>
      <w:r w:rsidRPr="009E690C">
        <w:t>Chancy</w:t>
      </w:r>
      <w:proofErr w:type="spellEnd"/>
      <w:r w:rsidRPr="009E690C">
        <w:t>, ont formalisé un accord le 5</w:t>
      </w:r>
      <w:r w:rsidR="000E21B6" w:rsidRPr="009E690C">
        <w:rPr>
          <w:szCs w:val="18"/>
        </w:rPr>
        <w:t> </w:t>
      </w:r>
      <w:r w:rsidRPr="009E690C">
        <w:t>février 2016 pour recevoir, au nom du Parlement, l</w:t>
      </w:r>
      <w:r>
        <w:t>a déclaration</w:t>
      </w:r>
      <w:r w:rsidRPr="009E690C">
        <w:t xml:space="preserve"> du Président de la République sortant concernant «</w:t>
      </w:r>
      <w:r>
        <w:t> </w:t>
      </w:r>
      <w:r w:rsidRPr="009E690C">
        <w:t>la fin de son mandat et son départ du pouvoir le 7</w:t>
      </w:r>
      <w:r w:rsidR="000E21B6" w:rsidRPr="009E690C">
        <w:rPr>
          <w:szCs w:val="18"/>
        </w:rPr>
        <w:t> </w:t>
      </w:r>
      <w:r w:rsidRPr="009E690C">
        <w:t>février 2016</w:t>
      </w:r>
      <w:r>
        <w:t> </w:t>
      </w:r>
      <w:r w:rsidRPr="009E690C">
        <w:t>»</w:t>
      </w:r>
      <w:r w:rsidRPr="00EE4A62">
        <w:rPr>
          <w:rStyle w:val="FootnoteReference"/>
        </w:rPr>
        <w:footnoteReference w:id="17"/>
      </w:r>
      <w:r w:rsidRPr="009E690C">
        <w:t>, et démarrer un processus «</w:t>
      </w:r>
      <w:r>
        <w:t> </w:t>
      </w:r>
      <w:r w:rsidRPr="009E690C">
        <w:t>pour combler le vide</w:t>
      </w:r>
      <w:r>
        <w:t> </w:t>
      </w:r>
      <w:r w:rsidRPr="009E690C">
        <w:t>»</w:t>
      </w:r>
      <w:r w:rsidRPr="00EE4A62">
        <w:rPr>
          <w:rStyle w:val="FootnoteReference"/>
        </w:rPr>
        <w:footnoteReference w:id="18"/>
      </w:r>
      <w:r w:rsidRPr="009E690C">
        <w:t xml:space="preserve"> à travers l</w:t>
      </w:r>
      <w:r>
        <w:t>’</w:t>
      </w:r>
      <w:r w:rsidRPr="009E690C">
        <w:t>élection d</w:t>
      </w:r>
      <w:r>
        <w:t>’</w:t>
      </w:r>
      <w:r w:rsidRPr="009E690C">
        <w:t>un Président de la République provisoire par l</w:t>
      </w:r>
      <w:r>
        <w:t>’</w:t>
      </w:r>
      <w:r w:rsidRPr="009E690C">
        <w:t xml:space="preserve">Assemblée </w:t>
      </w:r>
      <w:r>
        <w:t>n</w:t>
      </w:r>
      <w:r w:rsidRPr="009E690C">
        <w:t xml:space="preserve">ationale dans un délai ne dépassant pas cinq jours calendaires. Ce </w:t>
      </w:r>
      <w:r>
        <w:t>p</w:t>
      </w:r>
      <w:r w:rsidRPr="009E690C">
        <w:t>résident provisoire aurait le mandat de proposer au Parlement le nom d</w:t>
      </w:r>
      <w:r>
        <w:t>’</w:t>
      </w:r>
      <w:r w:rsidRPr="009E690C">
        <w:t>un candidat de consensus comme Premier Ministre, nommer des nouveaux membres du C</w:t>
      </w:r>
      <w:r>
        <w:t>onseil électoral provisoire</w:t>
      </w:r>
      <w:r w:rsidRPr="009E690C">
        <w:t xml:space="preserve"> et poursuivre le processus électoral en mettant «</w:t>
      </w:r>
      <w:r>
        <w:t> </w:t>
      </w:r>
      <w:r w:rsidRPr="009E690C">
        <w:t>en application des recommandations techniques de la Commission indépendante d</w:t>
      </w:r>
      <w:r>
        <w:t>’</w:t>
      </w:r>
      <w:r w:rsidRPr="009E690C">
        <w:t>évaluation électorale</w:t>
      </w:r>
      <w:r>
        <w:t> </w:t>
      </w:r>
      <w:r w:rsidRPr="009E690C">
        <w:t>»</w:t>
      </w:r>
      <w:r w:rsidRPr="00EE4A62">
        <w:rPr>
          <w:rStyle w:val="FootnoteReference"/>
        </w:rPr>
        <w:footnoteReference w:id="19"/>
      </w:r>
      <w:r w:rsidRPr="009E690C">
        <w:t>. Selon l</w:t>
      </w:r>
      <w:r>
        <w:t>’</w:t>
      </w:r>
      <w:r w:rsidRPr="009E690C">
        <w:t>accord, «</w:t>
      </w:r>
      <w:r>
        <w:t> l</w:t>
      </w:r>
      <w:r w:rsidRPr="009E690C">
        <w:t>e mandat du président provisoire est de 120</w:t>
      </w:r>
      <w:r w:rsidR="000E21B6" w:rsidRPr="009E690C">
        <w:rPr>
          <w:szCs w:val="18"/>
        </w:rPr>
        <w:t> </w:t>
      </w:r>
      <w:r w:rsidRPr="009E690C">
        <w:t>jours maximum à partir de la date de son installation. Le cas échéant</w:t>
      </w:r>
      <w:r>
        <w:t>,</w:t>
      </w:r>
      <w:r w:rsidRPr="009E690C">
        <w:t xml:space="preserve"> l</w:t>
      </w:r>
      <w:r>
        <w:t>’</w:t>
      </w:r>
      <w:r w:rsidRPr="009E690C">
        <w:t xml:space="preserve">Assemblée </w:t>
      </w:r>
      <w:r>
        <w:t>n</w:t>
      </w:r>
      <w:r w:rsidRPr="009E690C">
        <w:t>ationale prendra les dispositions qui s</w:t>
      </w:r>
      <w:r>
        <w:t>’</w:t>
      </w:r>
      <w:r w:rsidRPr="009E690C">
        <w:t>imposent</w:t>
      </w:r>
      <w:r>
        <w:t> </w:t>
      </w:r>
      <w:r w:rsidRPr="009E690C">
        <w:t>»</w:t>
      </w:r>
      <w:r w:rsidRPr="00EE4A62">
        <w:rPr>
          <w:rStyle w:val="FootnoteReference"/>
        </w:rPr>
        <w:footnoteReference w:id="20"/>
      </w:r>
      <w:r w:rsidRPr="009E690C">
        <w:t xml:space="preserve">. </w:t>
      </w:r>
    </w:p>
    <w:p w:rsidR="000B0FA8" w:rsidRPr="009E690C" w:rsidRDefault="000B0FA8" w:rsidP="000B0FA8">
      <w:pPr>
        <w:pStyle w:val="SingleTxtG"/>
      </w:pPr>
      <w:r w:rsidRPr="009E690C">
        <w:t>60.</w:t>
      </w:r>
      <w:r w:rsidRPr="009E690C">
        <w:tab/>
        <w:t>Le 14</w:t>
      </w:r>
      <w:r w:rsidR="000E21B6" w:rsidRPr="009E690C">
        <w:rPr>
          <w:szCs w:val="18"/>
        </w:rPr>
        <w:t> </w:t>
      </w:r>
      <w:r w:rsidRPr="009E690C">
        <w:t>janvier 2016</w:t>
      </w:r>
      <w:r>
        <w:t>,</w:t>
      </w:r>
      <w:r w:rsidRPr="009E690C">
        <w:t xml:space="preserve"> l</w:t>
      </w:r>
      <w:r>
        <w:t>’</w:t>
      </w:r>
      <w:r w:rsidRPr="009E690C">
        <w:t xml:space="preserve">Assemblée </w:t>
      </w:r>
      <w:r>
        <w:t>n</w:t>
      </w:r>
      <w:r w:rsidRPr="009E690C">
        <w:t>ationale a élu M.</w:t>
      </w:r>
      <w:r>
        <w:t> </w:t>
      </w:r>
      <w:proofErr w:type="spellStart"/>
      <w:r w:rsidRPr="009E690C">
        <w:t>Privert</w:t>
      </w:r>
      <w:proofErr w:type="spellEnd"/>
      <w:r w:rsidRPr="009E690C">
        <w:t xml:space="preserve"> Président provisoire de la République, parmi </w:t>
      </w:r>
      <w:r>
        <w:t>13</w:t>
      </w:r>
      <w:r w:rsidR="000E21B6" w:rsidRPr="009E690C">
        <w:rPr>
          <w:szCs w:val="18"/>
        </w:rPr>
        <w:t> </w:t>
      </w:r>
      <w:r w:rsidRPr="009E690C">
        <w:t>postulants, conformément à l</w:t>
      </w:r>
      <w:r>
        <w:t>’</w:t>
      </w:r>
      <w:r w:rsidRPr="009E690C">
        <w:t xml:space="preserve">accord formalisé avec le </w:t>
      </w:r>
      <w:r>
        <w:t>P</w:t>
      </w:r>
      <w:r w:rsidRPr="009E690C">
        <w:t xml:space="preserve">résident sortant. </w:t>
      </w:r>
    </w:p>
    <w:p w:rsidR="000B0FA8" w:rsidRPr="009E690C" w:rsidRDefault="000B0FA8" w:rsidP="000B0FA8">
      <w:pPr>
        <w:pStyle w:val="SingleTxtG"/>
      </w:pPr>
      <w:r w:rsidRPr="009E690C">
        <w:t>61.</w:t>
      </w:r>
      <w:r w:rsidRPr="009E690C">
        <w:tab/>
        <w:t>Le S</w:t>
      </w:r>
      <w:r>
        <w:t>é</w:t>
      </w:r>
      <w:r w:rsidRPr="009E690C">
        <w:t xml:space="preserve">nat et la Chambre des </w:t>
      </w:r>
      <w:r>
        <w:t>d</w:t>
      </w:r>
      <w:r w:rsidRPr="009E690C">
        <w:t>éputés ont ratifié</w:t>
      </w:r>
      <w:r>
        <w:t>,</w:t>
      </w:r>
      <w:r w:rsidRPr="009E690C">
        <w:t xml:space="preserve"> le 25</w:t>
      </w:r>
      <w:r w:rsidR="000E21B6" w:rsidRPr="009E690C">
        <w:rPr>
          <w:szCs w:val="18"/>
        </w:rPr>
        <w:t> </w:t>
      </w:r>
      <w:r w:rsidRPr="009E690C">
        <w:t>mars 2016</w:t>
      </w:r>
      <w:r>
        <w:t>,</w:t>
      </w:r>
      <w:r w:rsidRPr="009E690C">
        <w:t xml:space="preserve"> la nomination faite par le Président provisoire d</w:t>
      </w:r>
      <w:r>
        <w:t>’</w:t>
      </w:r>
      <w:proofErr w:type="spellStart"/>
      <w:r w:rsidRPr="009E690C">
        <w:t>Enex</w:t>
      </w:r>
      <w:proofErr w:type="spellEnd"/>
      <w:r w:rsidRPr="009E690C">
        <w:t xml:space="preserve"> Jean-Charles comme nouveau Premier Ministre. Le</w:t>
      </w:r>
      <w:r w:rsidR="000E21B6" w:rsidRPr="009E690C">
        <w:rPr>
          <w:szCs w:val="18"/>
        </w:rPr>
        <w:t> </w:t>
      </w:r>
      <w:r w:rsidRPr="009E690C">
        <w:t>Président provisoire a également nommé des nouveaux membres du C</w:t>
      </w:r>
      <w:r>
        <w:t>onseil électoral provisoire</w:t>
      </w:r>
      <w:r w:rsidRPr="009E690C">
        <w:t xml:space="preserve"> à travers un processus de consultation avec différents secteurs sociaux.</w:t>
      </w:r>
    </w:p>
    <w:p w:rsidR="000B0FA8" w:rsidRPr="009E690C" w:rsidRDefault="000B0FA8" w:rsidP="000B0FA8">
      <w:pPr>
        <w:pStyle w:val="SingleTxtG"/>
      </w:pPr>
      <w:r w:rsidRPr="009E690C">
        <w:t>62.</w:t>
      </w:r>
      <w:r w:rsidRPr="009E690C">
        <w:tab/>
        <w:t>Après consultation «</w:t>
      </w:r>
      <w:r>
        <w:t> </w:t>
      </w:r>
      <w:r w:rsidRPr="009E690C">
        <w:t>avec les différents secteurs du pays dans la perspective de boucler le processus électoral conformément à l</w:t>
      </w:r>
      <w:r>
        <w:t>’</w:t>
      </w:r>
      <w:r w:rsidRPr="009E690C">
        <w:t>accord du 5</w:t>
      </w:r>
      <w:r w:rsidR="00B0740B" w:rsidRPr="009E690C">
        <w:rPr>
          <w:szCs w:val="18"/>
        </w:rPr>
        <w:t> </w:t>
      </w:r>
      <w:r w:rsidRPr="009E690C">
        <w:t>février 2016</w:t>
      </w:r>
      <w:r>
        <w:t> </w:t>
      </w:r>
      <w:r w:rsidRPr="009E690C">
        <w:t>»</w:t>
      </w:r>
      <w:r>
        <w:t>,</w:t>
      </w:r>
      <w:r w:rsidRPr="009E690C">
        <w:t xml:space="preserve"> une </w:t>
      </w:r>
      <w:r>
        <w:t>c</w:t>
      </w:r>
      <w:r w:rsidRPr="009E690C">
        <w:t xml:space="preserve">ommission </w:t>
      </w:r>
      <w:r>
        <w:t>i</w:t>
      </w:r>
      <w:r w:rsidRPr="009E690C">
        <w:t>ndépendante d</w:t>
      </w:r>
      <w:r>
        <w:t>’é</w:t>
      </w:r>
      <w:r w:rsidRPr="009E690C">
        <w:t xml:space="preserve">valuation et de </w:t>
      </w:r>
      <w:r>
        <w:t>v</w:t>
      </w:r>
      <w:r w:rsidRPr="009E690C">
        <w:t xml:space="preserve">érification </w:t>
      </w:r>
      <w:r>
        <w:t>é</w:t>
      </w:r>
      <w:r w:rsidRPr="009E690C">
        <w:t>lectorale a été créée</w:t>
      </w:r>
      <w:r>
        <w:t>,</w:t>
      </w:r>
      <w:r w:rsidRPr="009E690C">
        <w:t xml:space="preserve"> le 28</w:t>
      </w:r>
      <w:r w:rsidR="00B0740B" w:rsidRPr="009E690C">
        <w:rPr>
          <w:szCs w:val="18"/>
        </w:rPr>
        <w:t> </w:t>
      </w:r>
      <w:r w:rsidRPr="009E690C">
        <w:t>avril</w:t>
      </w:r>
      <w:r>
        <w:t>,</w:t>
      </w:r>
      <w:r w:rsidRPr="009E690C">
        <w:t xml:space="preserve"> par arrêté présidentiel </w:t>
      </w:r>
      <w:r>
        <w:t xml:space="preserve">et </w:t>
      </w:r>
      <w:r w:rsidRPr="009E690C">
        <w:t>«</w:t>
      </w:r>
      <w:r>
        <w:t> </w:t>
      </w:r>
      <w:r w:rsidRPr="009E690C">
        <w:t>chargée de rétablir la confiance des acteurs politiques dans le processus électoral en établissant la sincérité des résultats des élections de 2015</w:t>
      </w:r>
      <w:r>
        <w:t> </w:t>
      </w:r>
      <w:r w:rsidRPr="009E690C">
        <w:t>»</w:t>
      </w:r>
      <w:r w:rsidRPr="00EE4A62">
        <w:rPr>
          <w:rStyle w:val="FootnoteReference"/>
        </w:rPr>
        <w:footnoteReference w:id="21"/>
      </w:r>
      <w:r w:rsidRPr="009E690C">
        <w:t xml:space="preserve">. </w:t>
      </w:r>
    </w:p>
    <w:p w:rsidR="000B0FA8" w:rsidRPr="009E690C" w:rsidRDefault="000B0FA8" w:rsidP="000B0FA8">
      <w:pPr>
        <w:pStyle w:val="SingleTxtG"/>
      </w:pPr>
      <w:r w:rsidRPr="009E690C">
        <w:t>63.</w:t>
      </w:r>
      <w:r w:rsidRPr="009E690C">
        <w:tab/>
      </w:r>
      <w:r>
        <w:t>Cette commission</w:t>
      </w:r>
      <w:r w:rsidRPr="009E690C">
        <w:t xml:space="preserve"> a conclu, le 29</w:t>
      </w:r>
      <w:r w:rsidR="00B0740B" w:rsidRPr="009E690C">
        <w:rPr>
          <w:szCs w:val="18"/>
        </w:rPr>
        <w:t> </w:t>
      </w:r>
      <w:r w:rsidRPr="009E690C">
        <w:t>mai 2016, que «</w:t>
      </w:r>
      <w:r>
        <w:t> </w:t>
      </w:r>
      <w:r w:rsidRPr="009E690C">
        <w:t>le processus électoral était entaché de sérieuses irrégularités</w:t>
      </w:r>
      <w:r>
        <w:t> </w:t>
      </w:r>
      <w:r w:rsidRPr="009E690C">
        <w:t>»</w:t>
      </w:r>
      <w:r w:rsidRPr="00EE4A62">
        <w:rPr>
          <w:rStyle w:val="FootnoteReference"/>
        </w:rPr>
        <w:footnoteReference w:id="22"/>
      </w:r>
      <w:r w:rsidRPr="009E690C">
        <w:t xml:space="preserve"> et</w:t>
      </w:r>
      <w:r>
        <w:t xml:space="preserve"> des dates ont été fixées pour procéder à de nouvelles</w:t>
      </w:r>
      <w:r w:rsidRPr="009E690C">
        <w:t xml:space="preserve"> élections</w:t>
      </w:r>
      <w:r>
        <w:t> :</w:t>
      </w:r>
      <w:r w:rsidRPr="009E690C">
        <w:t xml:space="preserve"> </w:t>
      </w:r>
      <w:r>
        <w:t>le</w:t>
      </w:r>
      <w:r w:rsidRPr="009E690C">
        <w:t xml:space="preserve"> 9</w:t>
      </w:r>
      <w:r w:rsidR="00B0740B" w:rsidRPr="009E690C">
        <w:rPr>
          <w:szCs w:val="18"/>
        </w:rPr>
        <w:t> </w:t>
      </w:r>
      <w:r w:rsidRPr="009E690C">
        <w:t xml:space="preserve">octobre 2016 pour le premier tour de la </w:t>
      </w:r>
      <w:r>
        <w:t>p</w:t>
      </w:r>
      <w:r w:rsidRPr="009E690C">
        <w:t xml:space="preserve">résidentielle, </w:t>
      </w:r>
      <w:r>
        <w:t xml:space="preserve">le </w:t>
      </w:r>
      <w:r w:rsidRPr="009E690C">
        <w:t xml:space="preserve">deuxième tour des législatives complémentaires et le premier tour du </w:t>
      </w:r>
      <w:r>
        <w:t>tiers</w:t>
      </w:r>
      <w:r w:rsidRPr="009E690C">
        <w:t xml:space="preserve"> du S</w:t>
      </w:r>
      <w:r>
        <w:t>é</w:t>
      </w:r>
      <w:r w:rsidRPr="009E690C">
        <w:t>nat</w:t>
      </w:r>
      <w:r>
        <w:t>,</w:t>
      </w:r>
      <w:r w:rsidRPr="009E690C">
        <w:t xml:space="preserve"> et le 8</w:t>
      </w:r>
      <w:r w:rsidR="00B0740B" w:rsidRPr="009E690C">
        <w:rPr>
          <w:szCs w:val="18"/>
        </w:rPr>
        <w:t> </w:t>
      </w:r>
      <w:r w:rsidRPr="009E690C">
        <w:t xml:space="preserve">janvier 2017 pour le deuxième tour de la </w:t>
      </w:r>
      <w:r>
        <w:t>p</w:t>
      </w:r>
      <w:r w:rsidRPr="009E690C">
        <w:t xml:space="preserve">résidentielle, le deuxième tour du </w:t>
      </w:r>
      <w:r>
        <w:t>tiers</w:t>
      </w:r>
      <w:r w:rsidRPr="009E690C">
        <w:t xml:space="preserve"> du S</w:t>
      </w:r>
      <w:r>
        <w:t>é</w:t>
      </w:r>
      <w:r w:rsidRPr="009E690C">
        <w:t xml:space="preserve">nat et les locales. </w:t>
      </w:r>
    </w:p>
    <w:p w:rsidR="000B0FA8" w:rsidRPr="009E690C" w:rsidRDefault="000B0FA8" w:rsidP="000B0FA8">
      <w:pPr>
        <w:pStyle w:val="SingleTxtG"/>
      </w:pPr>
      <w:r w:rsidRPr="009E690C">
        <w:t>64.</w:t>
      </w:r>
      <w:r w:rsidRPr="009E690C">
        <w:tab/>
      </w:r>
      <w:r>
        <w:t>Après le passage de</w:t>
      </w:r>
      <w:r w:rsidRPr="009E690C">
        <w:t xml:space="preserve"> l</w:t>
      </w:r>
      <w:r>
        <w:t>’</w:t>
      </w:r>
      <w:r w:rsidRPr="009E690C">
        <w:t>ouragan Matthew</w:t>
      </w:r>
      <w:r>
        <w:t>,</w:t>
      </w:r>
      <w:r w:rsidRPr="009E690C">
        <w:t xml:space="preserve"> le C</w:t>
      </w:r>
      <w:r>
        <w:t>onseil électoral provisoire</w:t>
      </w:r>
      <w:r w:rsidRPr="009E690C">
        <w:t xml:space="preserve"> a annoncé de nouvelles dates d</w:t>
      </w:r>
      <w:r>
        <w:t>’</w:t>
      </w:r>
      <w:r w:rsidRPr="009E690C">
        <w:t>élections</w:t>
      </w:r>
      <w:r>
        <w:t>,</w:t>
      </w:r>
      <w:r w:rsidRPr="009E690C">
        <w:t xml:space="preserve"> le 20</w:t>
      </w:r>
      <w:r w:rsidR="00B0740B" w:rsidRPr="009E690C">
        <w:rPr>
          <w:szCs w:val="18"/>
        </w:rPr>
        <w:t> </w:t>
      </w:r>
      <w:r w:rsidRPr="009E690C">
        <w:t>novembre 2016 et le 29</w:t>
      </w:r>
      <w:r w:rsidR="00B0740B" w:rsidRPr="009E690C">
        <w:rPr>
          <w:szCs w:val="18"/>
        </w:rPr>
        <w:t> </w:t>
      </w:r>
      <w:r w:rsidRPr="009E690C">
        <w:t>janvier 2017. Les élections présidentielles du 20</w:t>
      </w:r>
      <w:r w:rsidR="00B0740B" w:rsidRPr="009E690C">
        <w:rPr>
          <w:szCs w:val="18"/>
        </w:rPr>
        <w:t> </w:t>
      </w:r>
      <w:r w:rsidRPr="009E690C">
        <w:t>novembre 2016 se sont déroulées au milieu d</w:t>
      </w:r>
      <w:r>
        <w:t>’</w:t>
      </w:r>
      <w:r w:rsidRPr="009E690C">
        <w:t>énormes difficultés. Les</w:t>
      </w:r>
      <w:r w:rsidR="00B0740B" w:rsidRPr="009E690C">
        <w:rPr>
          <w:szCs w:val="18"/>
        </w:rPr>
        <w:t> </w:t>
      </w:r>
      <w:r w:rsidRPr="009E690C">
        <w:t>dommages causés par l</w:t>
      </w:r>
      <w:r>
        <w:t>’</w:t>
      </w:r>
      <w:r w:rsidRPr="009E690C">
        <w:t>ouragan Matthew constituaient un obstacle difficile à surmonter pour beaucoup d</w:t>
      </w:r>
      <w:r>
        <w:t>’</w:t>
      </w:r>
      <w:r w:rsidRPr="009E690C">
        <w:t xml:space="preserve">électeurs, </w:t>
      </w:r>
      <w:r>
        <w:t>étant donné que</w:t>
      </w:r>
      <w:r w:rsidRPr="009E690C">
        <w:t xml:space="preserve"> les chemins conduisant au</w:t>
      </w:r>
      <w:r>
        <w:t>x</w:t>
      </w:r>
      <w:r w:rsidRPr="009E690C">
        <w:t xml:space="preserve"> centre</w:t>
      </w:r>
      <w:r>
        <w:t>s</w:t>
      </w:r>
      <w:r w:rsidRPr="009E690C">
        <w:t xml:space="preserve"> de vote étaient abîmés</w:t>
      </w:r>
      <w:r>
        <w:t xml:space="preserve"> et que</w:t>
      </w:r>
      <w:r w:rsidRPr="009E690C">
        <w:t xml:space="preserve"> beaucoup de personnes touchées par l</w:t>
      </w:r>
      <w:r>
        <w:t>’</w:t>
      </w:r>
      <w:r w:rsidRPr="009E690C">
        <w:t>ouragan avaient perdu leurs documents d</w:t>
      </w:r>
      <w:r>
        <w:t>’</w:t>
      </w:r>
      <w:r w:rsidRPr="009E690C">
        <w:t>état civil ou la motivation pour aller voter</w:t>
      </w:r>
      <w:r>
        <w:t>, étant davantage</w:t>
      </w:r>
      <w:r w:rsidRPr="009E690C">
        <w:t xml:space="preserve"> </w:t>
      </w:r>
      <w:r>
        <w:t>occupées à résoudre l</w:t>
      </w:r>
      <w:r w:rsidRPr="009E690C">
        <w:t xml:space="preserve">es dommages </w:t>
      </w:r>
      <w:r>
        <w:t>en question</w:t>
      </w:r>
      <w:r w:rsidRPr="009E690C">
        <w:t xml:space="preserve">. </w:t>
      </w:r>
    </w:p>
    <w:p w:rsidR="000B0FA8" w:rsidRPr="009E690C" w:rsidRDefault="000B0FA8" w:rsidP="00703450">
      <w:pPr>
        <w:pStyle w:val="SingleTxtG"/>
        <w:keepLines/>
      </w:pPr>
      <w:r w:rsidRPr="009E690C">
        <w:lastRenderedPageBreak/>
        <w:t>65.</w:t>
      </w:r>
      <w:r w:rsidRPr="009E690C">
        <w:tab/>
        <w:t>L</w:t>
      </w:r>
      <w:r>
        <w:t>e déroulement</w:t>
      </w:r>
      <w:r w:rsidRPr="009E690C">
        <w:t xml:space="preserve"> des élections du 20</w:t>
      </w:r>
      <w:r w:rsidR="00B0740B" w:rsidRPr="009E690C">
        <w:rPr>
          <w:szCs w:val="18"/>
        </w:rPr>
        <w:t> </w:t>
      </w:r>
      <w:r w:rsidRPr="009E690C">
        <w:t xml:space="preserve">novembre a été </w:t>
      </w:r>
      <w:r>
        <w:t>évalué</w:t>
      </w:r>
      <w:r w:rsidRPr="009E690C">
        <w:t xml:space="preserve"> de façon positive par les observateurs, puisqu</w:t>
      </w:r>
      <w:r>
        <w:t>’</w:t>
      </w:r>
      <w:r w:rsidRPr="009E690C">
        <w:t>il n</w:t>
      </w:r>
      <w:r>
        <w:t>’</w:t>
      </w:r>
      <w:r w:rsidRPr="009E690C">
        <w:t>y a pas eu d</w:t>
      </w:r>
      <w:r>
        <w:t>’</w:t>
      </w:r>
      <w:r w:rsidRPr="009E690C">
        <w:t xml:space="preserve">irrégularités structurelles et </w:t>
      </w:r>
      <w:r>
        <w:t>puisque</w:t>
      </w:r>
      <w:r w:rsidRPr="009E690C">
        <w:t>, malgré les effets de l</w:t>
      </w:r>
      <w:r>
        <w:t>’</w:t>
      </w:r>
      <w:r w:rsidRPr="009E690C">
        <w:t>ouragan Matthew, la participation a été supérieure aux élections d</w:t>
      </w:r>
      <w:r>
        <w:t>’</w:t>
      </w:r>
      <w:r w:rsidRPr="009E690C">
        <w:t>août 2016</w:t>
      </w:r>
      <w:r>
        <w:t>, soit</w:t>
      </w:r>
      <w:r w:rsidRPr="009E690C">
        <w:t xml:space="preserve"> 21</w:t>
      </w:r>
      <w:r>
        <w:t> </w:t>
      </w:r>
      <w:r w:rsidRPr="009E690C">
        <w:t>% en moyenne nationale, au lieu de 18</w:t>
      </w:r>
      <w:r>
        <w:t> </w:t>
      </w:r>
      <w:r w:rsidRPr="009E690C">
        <w:t xml:space="preserve">%. </w:t>
      </w:r>
    </w:p>
    <w:p w:rsidR="000B0FA8" w:rsidRPr="009E690C" w:rsidRDefault="000B0FA8" w:rsidP="000B0FA8">
      <w:pPr>
        <w:pStyle w:val="SingleTxtG"/>
      </w:pPr>
      <w:r w:rsidRPr="009E690C">
        <w:t>66.</w:t>
      </w:r>
      <w:r w:rsidRPr="009E690C">
        <w:tab/>
        <w:t>Le 29</w:t>
      </w:r>
      <w:r w:rsidR="00B0740B" w:rsidRPr="009E690C">
        <w:rPr>
          <w:szCs w:val="18"/>
        </w:rPr>
        <w:t> </w:t>
      </w:r>
      <w:r w:rsidRPr="009E690C">
        <w:t>novembre 2016</w:t>
      </w:r>
      <w:r>
        <w:t>,</w:t>
      </w:r>
      <w:r w:rsidRPr="009E690C">
        <w:t xml:space="preserve"> le C</w:t>
      </w:r>
      <w:r>
        <w:t>onseil électoral provisoire</w:t>
      </w:r>
      <w:r w:rsidRPr="009E690C">
        <w:t xml:space="preserve"> a publié les résultats préliminaires du premier tour de l</w:t>
      </w:r>
      <w:r>
        <w:t>’</w:t>
      </w:r>
      <w:r w:rsidRPr="009E690C">
        <w:t>élection présidentielle</w:t>
      </w:r>
      <w:r>
        <w:t> </w:t>
      </w:r>
      <w:r w:rsidRPr="009E690C">
        <w:t xml:space="preserve">: </w:t>
      </w:r>
      <w:proofErr w:type="spellStart"/>
      <w:r w:rsidRPr="009E690C">
        <w:t>Jovenel</w:t>
      </w:r>
      <w:proofErr w:type="spellEnd"/>
      <w:r w:rsidRPr="009E690C">
        <w:t xml:space="preserve"> Moïse (P</w:t>
      </w:r>
      <w:r>
        <w:t xml:space="preserve">arti haïtien </w:t>
      </w:r>
      <w:proofErr w:type="spellStart"/>
      <w:r>
        <w:t>Tèt</w:t>
      </w:r>
      <w:proofErr w:type="spellEnd"/>
      <w:r>
        <w:t xml:space="preserve"> </w:t>
      </w:r>
      <w:proofErr w:type="spellStart"/>
      <w:r>
        <w:t>Kale</w:t>
      </w:r>
      <w:proofErr w:type="spellEnd"/>
      <w:r>
        <w:t xml:space="preserve"> </w:t>
      </w:r>
      <w:r w:rsidR="00B0740B">
        <w:t>− </w:t>
      </w:r>
      <w:r>
        <w:t>P</w:t>
      </w:r>
      <w:r w:rsidRPr="009E690C">
        <w:t>HTK), 595</w:t>
      </w:r>
      <w:r>
        <w:t> </w:t>
      </w:r>
      <w:r w:rsidRPr="009E690C">
        <w:t>430 votes (55</w:t>
      </w:r>
      <w:r>
        <w:t>,</w:t>
      </w:r>
      <w:r w:rsidRPr="009E690C">
        <w:t>67</w:t>
      </w:r>
      <w:r>
        <w:t> </w:t>
      </w:r>
      <w:r w:rsidRPr="009E690C">
        <w:t>%)</w:t>
      </w:r>
      <w:r>
        <w:t> </w:t>
      </w:r>
      <w:r w:rsidRPr="009E690C">
        <w:t>; Jude Célestin (</w:t>
      </w:r>
      <w:r>
        <w:t>Ligue alternative pour le progrès et l’émancipation haïtienne –</w:t>
      </w:r>
      <w:r w:rsidRPr="00EE4A62">
        <w:rPr>
          <w:lang w:val="fr-FR"/>
        </w:rPr>
        <w:t> </w:t>
      </w:r>
      <w:r w:rsidRPr="009E690C">
        <w:t>LAPEH), 208</w:t>
      </w:r>
      <w:r>
        <w:t> </w:t>
      </w:r>
      <w:r w:rsidRPr="009E690C">
        <w:t>839 votes (19</w:t>
      </w:r>
      <w:r>
        <w:t>,</w:t>
      </w:r>
      <w:r w:rsidRPr="009E690C">
        <w:t>52</w:t>
      </w:r>
      <w:r>
        <w:t> </w:t>
      </w:r>
      <w:r w:rsidRPr="009E690C">
        <w:t>%)</w:t>
      </w:r>
      <w:r>
        <w:t> </w:t>
      </w:r>
      <w:r w:rsidRPr="009E690C">
        <w:t>; Jean-Charles Moïse (</w:t>
      </w:r>
      <w:proofErr w:type="spellStart"/>
      <w:r w:rsidRPr="009E690C">
        <w:t>Pitit</w:t>
      </w:r>
      <w:proofErr w:type="spellEnd"/>
      <w:r w:rsidRPr="009E690C">
        <w:t xml:space="preserve"> Dessalines), 118</w:t>
      </w:r>
      <w:r>
        <w:t> </w:t>
      </w:r>
      <w:r w:rsidRPr="009E690C">
        <w:t>142 votes (11,04</w:t>
      </w:r>
      <w:r>
        <w:t> </w:t>
      </w:r>
      <w:r w:rsidRPr="009E690C">
        <w:t>%)</w:t>
      </w:r>
      <w:r>
        <w:t> </w:t>
      </w:r>
      <w:r w:rsidRPr="009E690C">
        <w:t>; et Maryse Narcisse (</w:t>
      </w:r>
      <w:proofErr w:type="spellStart"/>
      <w:r w:rsidRPr="009E690C">
        <w:t>Fanmi</w:t>
      </w:r>
      <w:proofErr w:type="spellEnd"/>
      <w:r w:rsidRPr="009E690C">
        <w:t xml:space="preserve"> </w:t>
      </w:r>
      <w:proofErr w:type="spellStart"/>
      <w:r w:rsidRPr="009E690C">
        <w:t>Lavalas</w:t>
      </w:r>
      <w:proofErr w:type="spellEnd"/>
      <w:r w:rsidRPr="009E690C">
        <w:t>), 96</w:t>
      </w:r>
      <w:r>
        <w:t> </w:t>
      </w:r>
      <w:r w:rsidRPr="009E690C">
        <w:t>121 votes (8</w:t>
      </w:r>
      <w:r>
        <w:t>,</w:t>
      </w:r>
      <w:r w:rsidRPr="009E690C">
        <w:t>99</w:t>
      </w:r>
      <w:r>
        <w:t> </w:t>
      </w:r>
      <w:r w:rsidRPr="009E690C">
        <w:t>%). La diffusion de ces résultats préliminaires a suscité de</w:t>
      </w:r>
      <w:r>
        <w:t>s</w:t>
      </w:r>
      <w:r w:rsidRPr="009E690C">
        <w:t xml:space="preserve"> réactions contraires des candidats qui n</w:t>
      </w:r>
      <w:r>
        <w:t>’</w:t>
      </w:r>
      <w:r w:rsidRPr="009E690C">
        <w:t xml:space="preserve">ont pas </w:t>
      </w:r>
      <w:r>
        <w:t>gagné</w:t>
      </w:r>
      <w:r w:rsidRPr="009E690C">
        <w:t xml:space="preserve"> le premier </w:t>
      </w:r>
      <w:r>
        <w:t>tour</w:t>
      </w:r>
      <w:r w:rsidRPr="009E690C">
        <w:t xml:space="preserve">, et même des manifestations violentes dans les rues. </w:t>
      </w:r>
    </w:p>
    <w:p w:rsidR="000B0FA8" w:rsidRPr="009E690C" w:rsidRDefault="000B0FA8" w:rsidP="000B0FA8">
      <w:pPr>
        <w:pStyle w:val="SingleTxtG"/>
      </w:pPr>
      <w:r w:rsidRPr="009E690C">
        <w:t>67.</w:t>
      </w:r>
      <w:r w:rsidRPr="009E690C">
        <w:tab/>
        <w:t>Les résultats définitifs, publiés le 3</w:t>
      </w:r>
      <w:r w:rsidR="00B0740B" w:rsidRPr="009E690C">
        <w:rPr>
          <w:szCs w:val="18"/>
        </w:rPr>
        <w:t> </w:t>
      </w:r>
      <w:r w:rsidRPr="009E690C">
        <w:t>janvier 2017, après l</w:t>
      </w:r>
      <w:r>
        <w:t>’</w:t>
      </w:r>
      <w:r w:rsidRPr="009E690C">
        <w:t>étude et la décision des recours devant les instances contentieuses du C</w:t>
      </w:r>
      <w:r>
        <w:t>onseil électoral provisoire</w:t>
      </w:r>
      <w:r w:rsidRPr="009E690C">
        <w:t xml:space="preserve">, ont déclaré </w:t>
      </w:r>
      <w:proofErr w:type="spellStart"/>
      <w:r w:rsidRPr="009E690C">
        <w:t>Jovenel</w:t>
      </w:r>
      <w:proofErr w:type="spellEnd"/>
      <w:r w:rsidRPr="009E690C">
        <w:t xml:space="preserve"> Moïse (qui doit recevoir le pouvoir du Président provisoire le 7</w:t>
      </w:r>
      <w:r w:rsidR="00B0740B" w:rsidRPr="009E690C">
        <w:rPr>
          <w:szCs w:val="18"/>
        </w:rPr>
        <w:t> </w:t>
      </w:r>
      <w:r w:rsidRPr="009E690C">
        <w:t xml:space="preserve">février) </w:t>
      </w:r>
      <w:r>
        <w:t>P</w:t>
      </w:r>
      <w:r w:rsidRPr="009E690C">
        <w:t>résident élu, avec 590</w:t>
      </w:r>
      <w:r>
        <w:t> </w:t>
      </w:r>
      <w:r w:rsidRPr="009E690C">
        <w:t>927</w:t>
      </w:r>
      <w:r w:rsidR="00B0740B" w:rsidRPr="009E690C">
        <w:rPr>
          <w:szCs w:val="18"/>
        </w:rPr>
        <w:t> </w:t>
      </w:r>
      <w:r w:rsidRPr="009E690C">
        <w:t>votes (55</w:t>
      </w:r>
      <w:r>
        <w:t>,</w:t>
      </w:r>
      <w:r w:rsidRPr="009E690C">
        <w:t>60</w:t>
      </w:r>
      <w:r>
        <w:t> </w:t>
      </w:r>
      <w:r w:rsidRPr="009E690C">
        <w:t xml:space="preserve">%). Il </w:t>
      </w:r>
      <w:r>
        <w:t>était</w:t>
      </w:r>
      <w:r w:rsidRPr="009E690C">
        <w:t xml:space="preserve"> suivi de Jude Célestin, 207</w:t>
      </w:r>
      <w:r>
        <w:t> </w:t>
      </w:r>
      <w:r w:rsidRPr="009E690C">
        <w:t>988 votes (19</w:t>
      </w:r>
      <w:r>
        <w:t>,</w:t>
      </w:r>
      <w:r w:rsidRPr="009E690C">
        <w:t>57</w:t>
      </w:r>
      <w:r>
        <w:t> </w:t>
      </w:r>
      <w:r w:rsidRPr="009E690C">
        <w:t>%)</w:t>
      </w:r>
      <w:r>
        <w:t> </w:t>
      </w:r>
      <w:r w:rsidRPr="009E690C">
        <w:t xml:space="preserve">; </w:t>
      </w:r>
      <w:r>
        <w:t xml:space="preserve">de </w:t>
      </w:r>
      <w:r w:rsidRPr="009E690C">
        <w:t>Jean-Charles Moïse, 117</w:t>
      </w:r>
      <w:r>
        <w:t> </w:t>
      </w:r>
      <w:r w:rsidRPr="009E690C">
        <w:t>349</w:t>
      </w:r>
      <w:r w:rsidR="00B0740B" w:rsidRPr="009E690C">
        <w:rPr>
          <w:szCs w:val="18"/>
        </w:rPr>
        <w:t> </w:t>
      </w:r>
      <w:r w:rsidRPr="009E690C">
        <w:t>votes (11</w:t>
      </w:r>
      <w:r>
        <w:t>,</w:t>
      </w:r>
      <w:r w:rsidRPr="009E690C">
        <w:t>04</w:t>
      </w:r>
      <w:r>
        <w:t> </w:t>
      </w:r>
      <w:r w:rsidRPr="009E690C">
        <w:t>%)</w:t>
      </w:r>
      <w:r>
        <w:t> </w:t>
      </w:r>
      <w:r w:rsidRPr="009E690C">
        <w:t xml:space="preserve">; et </w:t>
      </w:r>
      <w:r>
        <w:t xml:space="preserve">de </w:t>
      </w:r>
      <w:r w:rsidRPr="009E690C">
        <w:t>Maryse Narcisse, 95</w:t>
      </w:r>
      <w:r>
        <w:t> </w:t>
      </w:r>
      <w:r w:rsidRPr="009E690C">
        <w:t>765</w:t>
      </w:r>
      <w:r w:rsidR="00B0740B" w:rsidRPr="009E690C">
        <w:rPr>
          <w:szCs w:val="18"/>
        </w:rPr>
        <w:t> </w:t>
      </w:r>
      <w:r w:rsidRPr="009E690C">
        <w:t>votes (9</w:t>
      </w:r>
      <w:r>
        <w:t>,</w:t>
      </w:r>
      <w:r w:rsidRPr="009E690C">
        <w:t>01</w:t>
      </w:r>
      <w:r>
        <w:t> </w:t>
      </w:r>
      <w:r w:rsidRPr="009E690C">
        <w:t xml:space="preserve">%). </w:t>
      </w:r>
      <w:r>
        <w:t xml:space="preserve">Vingt-trois </w:t>
      </w:r>
      <w:r w:rsidRPr="009E690C">
        <w:t>autres candidats ont enregistré 4</w:t>
      </w:r>
      <w:r>
        <w:t>,</w:t>
      </w:r>
      <w:r w:rsidRPr="009E690C">
        <w:t>10</w:t>
      </w:r>
      <w:r>
        <w:t> </w:t>
      </w:r>
      <w:r w:rsidRPr="009E690C">
        <w:t>%</w:t>
      </w:r>
      <w:r>
        <w:t>,</w:t>
      </w:r>
      <w:r w:rsidRPr="009E690C">
        <w:t xml:space="preserve"> et 0</w:t>
      </w:r>
      <w:r>
        <w:t>,</w:t>
      </w:r>
      <w:r w:rsidRPr="009E690C">
        <w:t>68</w:t>
      </w:r>
      <w:r>
        <w:t> </w:t>
      </w:r>
      <w:r w:rsidRPr="009E690C">
        <w:t>% des votes</w:t>
      </w:r>
      <w:r>
        <w:t xml:space="preserve"> ne concernaient aucun candidat</w:t>
      </w:r>
      <w:r w:rsidRPr="009E690C">
        <w:t xml:space="preserve">. </w:t>
      </w:r>
    </w:p>
    <w:p w:rsidR="000B0FA8" w:rsidRPr="009E690C" w:rsidRDefault="000B0FA8" w:rsidP="000B0FA8">
      <w:pPr>
        <w:pStyle w:val="SingleTxtG"/>
      </w:pPr>
      <w:r w:rsidRPr="009E690C">
        <w:t>68.</w:t>
      </w:r>
      <w:r w:rsidRPr="009E690C">
        <w:tab/>
        <w:t>L</w:t>
      </w:r>
      <w:r>
        <w:t>’</w:t>
      </w:r>
      <w:r w:rsidRPr="009E690C">
        <w:t>Expert indépendant</w:t>
      </w:r>
      <w:r>
        <w:t xml:space="preserve"> </w:t>
      </w:r>
      <w:r w:rsidRPr="009E690C">
        <w:t xml:space="preserve">a pu </w:t>
      </w:r>
      <w:r>
        <w:t>constater</w:t>
      </w:r>
      <w:r w:rsidRPr="009E690C">
        <w:t xml:space="preserve"> au moment de sa visite en octobre 2016 que le nouveau C</w:t>
      </w:r>
      <w:r>
        <w:t>onseil</w:t>
      </w:r>
      <w:r w:rsidRPr="009E690C">
        <w:t xml:space="preserve"> </w:t>
      </w:r>
      <w:r>
        <w:t xml:space="preserve">électoral provisoire </w:t>
      </w:r>
      <w:r w:rsidRPr="009E690C">
        <w:t>jouissait d</w:t>
      </w:r>
      <w:r>
        <w:t>’un certain</w:t>
      </w:r>
      <w:r w:rsidRPr="009E690C">
        <w:t xml:space="preserve"> prestige, </w:t>
      </w:r>
      <w:r>
        <w:t>et</w:t>
      </w:r>
      <w:r w:rsidRPr="009E690C">
        <w:t xml:space="preserve"> qu</w:t>
      </w:r>
      <w:r>
        <w:t>e le</w:t>
      </w:r>
      <w:r w:rsidRPr="009E690C">
        <w:t xml:space="preserve"> climat politique</w:t>
      </w:r>
      <w:r>
        <w:t xml:space="preserve"> était</w:t>
      </w:r>
      <w:r w:rsidRPr="009E690C">
        <w:t xml:space="preserve"> plus détendu que l</w:t>
      </w:r>
      <w:r>
        <w:t>’</w:t>
      </w:r>
      <w:r w:rsidRPr="009E690C">
        <w:t>année d</w:t>
      </w:r>
      <w:r>
        <w:t>’avant</w:t>
      </w:r>
      <w:r w:rsidRPr="009E690C">
        <w:t xml:space="preserve">, </w:t>
      </w:r>
      <w:r>
        <w:t>en dépit des</w:t>
      </w:r>
      <w:r w:rsidRPr="009E690C">
        <w:t xml:space="preserve"> critiques de certains secteurs </w:t>
      </w:r>
      <w:r>
        <w:t>d</w:t>
      </w:r>
      <w:r w:rsidRPr="009E690C">
        <w:t xml:space="preserve">u Gouvernement </w:t>
      </w:r>
      <w:r>
        <w:t>vis-à-vis</w:t>
      </w:r>
      <w:r w:rsidRPr="009E690C">
        <w:t xml:space="preserve"> </w:t>
      </w:r>
      <w:r>
        <w:t xml:space="preserve">de </w:t>
      </w:r>
      <w:r w:rsidRPr="009E690C">
        <w:t>la continuation de l</w:t>
      </w:r>
      <w:r>
        <w:t>’</w:t>
      </w:r>
      <w:r w:rsidRPr="009E690C">
        <w:t xml:space="preserve">exercice de la </w:t>
      </w:r>
      <w:r>
        <w:t>p</w:t>
      </w:r>
      <w:r w:rsidRPr="009E690C">
        <w:t>résidence de la République après l</w:t>
      </w:r>
      <w:r>
        <w:t>’</w:t>
      </w:r>
      <w:r w:rsidRPr="009E690C">
        <w:t>expiration de la période provisoire accordée. L</w:t>
      </w:r>
      <w:r>
        <w:t>’</w:t>
      </w:r>
      <w:r w:rsidRPr="009E690C">
        <w:t>établissement d</w:t>
      </w:r>
      <w:r>
        <w:t>’</w:t>
      </w:r>
      <w:r w:rsidRPr="009E690C">
        <w:t xml:space="preserve">un gouvernement stable est un impératif pour </w:t>
      </w:r>
      <w:r>
        <w:t>élaborer</w:t>
      </w:r>
      <w:r w:rsidRPr="009E690C">
        <w:t xml:space="preserve"> et mettre en place une politique de</w:t>
      </w:r>
      <w:r>
        <w:t>s</w:t>
      </w:r>
      <w:r w:rsidRPr="009E690C">
        <w:t xml:space="preserve"> droits humains à long terme qui répond</w:t>
      </w:r>
      <w:r>
        <w:t>e</w:t>
      </w:r>
      <w:r w:rsidRPr="009E690C">
        <w:t xml:space="preserve"> aux défis auxquels Haïti doi</w:t>
      </w:r>
      <w:r>
        <w:t>t</w:t>
      </w:r>
      <w:r w:rsidRPr="009E690C">
        <w:t xml:space="preserve"> faire face dans ce domaine.</w:t>
      </w:r>
    </w:p>
    <w:p w:rsidR="000B0FA8" w:rsidRPr="009E690C" w:rsidRDefault="000B0FA8" w:rsidP="000B0FA8">
      <w:pPr>
        <w:pStyle w:val="H23G"/>
      </w:pPr>
      <w:r w:rsidRPr="009E690C">
        <w:tab/>
      </w:r>
      <w:r>
        <w:t>2.</w:t>
      </w:r>
      <w:r w:rsidRPr="009E690C">
        <w:tab/>
      </w:r>
      <w:r>
        <w:t>A</w:t>
      </w:r>
      <w:r w:rsidRPr="009E690C">
        <w:t>utres aspects de l</w:t>
      </w:r>
      <w:r>
        <w:t>’</w:t>
      </w:r>
      <w:r w:rsidRPr="009E690C">
        <w:t>état de droit qui doivent être garantis</w:t>
      </w:r>
    </w:p>
    <w:p w:rsidR="000B0FA8" w:rsidRPr="009E690C" w:rsidRDefault="000B0FA8" w:rsidP="000B0FA8">
      <w:pPr>
        <w:pStyle w:val="SingleTxtG"/>
      </w:pPr>
      <w:r w:rsidRPr="009E690C">
        <w:t>69.</w:t>
      </w:r>
      <w:r w:rsidRPr="009E690C">
        <w:tab/>
        <w:t>D</w:t>
      </w:r>
      <w:r>
        <w:t>’</w:t>
      </w:r>
      <w:r w:rsidRPr="009E690C">
        <w:t>autres domaines que l</w:t>
      </w:r>
      <w:r>
        <w:t>’</w:t>
      </w:r>
      <w:r w:rsidRPr="009E690C">
        <w:t>Expert indépendant</w:t>
      </w:r>
      <w:r>
        <w:t xml:space="preserve"> </w:t>
      </w:r>
      <w:r w:rsidRPr="009E690C">
        <w:t xml:space="preserve">avait signalés </w:t>
      </w:r>
      <w:r>
        <w:t xml:space="preserve">comme </w:t>
      </w:r>
      <w:r w:rsidRPr="009E690C">
        <w:t>méritant un réaménagement substantiel n</w:t>
      </w:r>
      <w:r>
        <w:t>’</w:t>
      </w:r>
      <w:r w:rsidRPr="009E690C">
        <w:t xml:space="preserve">ont pas encore </w:t>
      </w:r>
      <w:r>
        <w:t>connu</w:t>
      </w:r>
      <w:r w:rsidRPr="009E690C">
        <w:t xml:space="preserve"> d</w:t>
      </w:r>
      <w:r>
        <w:t>’</w:t>
      </w:r>
      <w:r w:rsidRPr="009E690C">
        <w:t>améliorations. Il s</w:t>
      </w:r>
      <w:r>
        <w:t>’</w:t>
      </w:r>
      <w:r w:rsidRPr="009E690C">
        <w:t xml:space="preserve">agit </w:t>
      </w:r>
      <w:r>
        <w:t xml:space="preserve">notamment </w:t>
      </w:r>
      <w:r w:rsidRPr="009E690C">
        <w:t>du développement d</w:t>
      </w:r>
      <w:r>
        <w:t>’</w:t>
      </w:r>
      <w:r w:rsidRPr="009E690C">
        <w:t xml:space="preserve">un système cadastral fiable, </w:t>
      </w:r>
      <w:r>
        <w:t xml:space="preserve">de </w:t>
      </w:r>
      <w:r w:rsidRPr="009E690C">
        <w:t>l</w:t>
      </w:r>
      <w:r>
        <w:t>’</w:t>
      </w:r>
      <w:r w:rsidRPr="009E690C">
        <w:t xml:space="preserve">absentéisme des juges et des greffiers pour traiter des affaires sous leur responsabilité, </w:t>
      </w:r>
      <w:r>
        <w:t xml:space="preserve">de </w:t>
      </w:r>
      <w:r w:rsidRPr="009E690C">
        <w:t>la détérioration du droit à la vie qui met en cause la capacité de l</w:t>
      </w:r>
      <w:r>
        <w:t>’e</w:t>
      </w:r>
      <w:r w:rsidRPr="009E690C">
        <w:t xml:space="preserve">xécutif de protéger ce droit, ou </w:t>
      </w:r>
      <w:r>
        <w:t xml:space="preserve">de </w:t>
      </w:r>
      <w:r w:rsidRPr="009E690C">
        <w:t>la persistance des relations d</w:t>
      </w:r>
      <w:r>
        <w:t>’</w:t>
      </w:r>
      <w:r w:rsidRPr="009E690C">
        <w:t xml:space="preserve">exploitation des enfants </w:t>
      </w:r>
      <w:r w:rsidRPr="00093B95">
        <w:t>en situation de domesticité</w:t>
      </w:r>
      <w:r w:rsidRPr="009E690C">
        <w:t>.</w:t>
      </w:r>
    </w:p>
    <w:p w:rsidR="000B0FA8" w:rsidRPr="009E690C" w:rsidRDefault="000B0FA8" w:rsidP="000B0FA8">
      <w:pPr>
        <w:pStyle w:val="SingleTxtG"/>
      </w:pPr>
      <w:r w:rsidRPr="009E690C">
        <w:t>70.</w:t>
      </w:r>
      <w:r w:rsidRPr="009E690C">
        <w:tab/>
        <w:t xml:space="preserve">En septembre, un festival international organisé par la communauté </w:t>
      </w:r>
      <w:r>
        <w:t>des lesbiennes, gays, bisexuels, transgenres et intersexués</w:t>
      </w:r>
      <w:r w:rsidRPr="009E690C">
        <w:t xml:space="preserve">, </w:t>
      </w:r>
      <w:r>
        <w:t>appelé</w:t>
      </w:r>
      <w:r w:rsidRPr="009E690C">
        <w:t xml:space="preserve"> festival </w:t>
      </w:r>
      <w:proofErr w:type="spellStart"/>
      <w:r w:rsidRPr="009E690C">
        <w:t>Massi</w:t>
      </w:r>
      <w:proofErr w:type="spellEnd"/>
      <w:r w:rsidRPr="009E690C">
        <w:t xml:space="preserve"> </w:t>
      </w:r>
      <w:proofErr w:type="spellStart"/>
      <w:r w:rsidRPr="009E690C">
        <w:t>Madi</w:t>
      </w:r>
      <w:proofErr w:type="spellEnd"/>
      <w:r w:rsidRPr="009E690C">
        <w:t xml:space="preserve">, a été interdit par le </w:t>
      </w:r>
      <w:r>
        <w:t>c</w:t>
      </w:r>
      <w:r w:rsidRPr="009E690C">
        <w:t>ommissaire du gouvernement d</w:t>
      </w:r>
      <w:r>
        <w:t>e</w:t>
      </w:r>
      <w:r w:rsidRPr="009E690C">
        <w:t xml:space="preserve"> Port</w:t>
      </w:r>
      <w:r>
        <w:t>-</w:t>
      </w:r>
      <w:r w:rsidRPr="009E690C">
        <w:t>au</w:t>
      </w:r>
      <w:r>
        <w:t>-</w:t>
      </w:r>
      <w:r w:rsidRPr="009E690C">
        <w:t xml:space="preserve">Prince, suite à </w:t>
      </w:r>
      <w:r>
        <w:t>l’</w:t>
      </w:r>
      <w:r w:rsidRPr="009E690C">
        <w:t>attitude homophobe des pasteurs évangéliques et du Président de la Commission de justice, sécurité et défense nationale au Sénat, qui s</w:t>
      </w:r>
      <w:r>
        <w:t>’</w:t>
      </w:r>
      <w:r w:rsidRPr="009E690C">
        <w:t>opposaient au déroulement d</w:t>
      </w:r>
      <w:r>
        <w:t>u</w:t>
      </w:r>
      <w:r w:rsidRPr="009E690C">
        <w:t xml:space="preserve"> festival. </w:t>
      </w:r>
      <w:r>
        <w:t>Cette</w:t>
      </w:r>
      <w:r w:rsidRPr="009E690C">
        <w:t xml:space="preserve"> communauté a </w:t>
      </w:r>
      <w:r>
        <w:t>fait</w:t>
      </w:r>
      <w:r w:rsidRPr="009E690C">
        <w:t xml:space="preserve"> l</w:t>
      </w:r>
      <w:r>
        <w:t>’</w:t>
      </w:r>
      <w:r w:rsidRPr="009E690C">
        <w:t>objet de menaces et d</w:t>
      </w:r>
      <w:r>
        <w:t>’</w:t>
      </w:r>
      <w:r w:rsidRPr="009E690C">
        <w:t>attaques verbales et physiques</w:t>
      </w:r>
      <w:r>
        <w:t>.</w:t>
      </w:r>
      <w:r w:rsidRPr="009E690C">
        <w:t xml:space="preserve"> Ces </w:t>
      </w:r>
      <w:r>
        <w:t>incidents</w:t>
      </w:r>
      <w:r w:rsidRPr="009E690C">
        <w:t xml:space="preserve"> sont contraires au droit à l</w:t>
      </w:r>
      <w:r>
        <w:t>’</w:t>
      </w:r>
      <w:r w:rsidRPr="009E690C">
        <w:t>égalité et à la non-discrimination reconnu par les traités internationaux auxquels Haïti a souscrit. L</w:t>
      </w:r>
      <w:r>
        <w:t>’</w:t>
      </w:r>
      <w:r w:rsidRPr="009E690C">
        <w:t>Expert indépendant</w:t>
      </w:r>
      <w:r>
        <w:t xml:space="preserve"> </w:t>
      </w:r>
      <w:r w:rsidRPr="009E690C">
        <w:t xml:space="preserve">a </w:t>
      </w:r>
      <w:r>
        <w:t>lancé</w:t>
      </w:r>
      <w:r w:rsidRPr="009E690C">
        <w:t xml:space="preserve"> un appel spécial, aussi bien </w:t>
      </w:r>
      <w:r>
        <w:t>auprès des</w:t>
      </w:r>
      <w:r w:rsidRPr="009E690C">
        <w:t xml:space="preserve"> autorités </w:t>
      </w:r>
      <w:r>
        <w:t>que de la</w:t>
      </w:r>
      <w:r w:rsidRPr="009E690C">
        <w:t xml:space="preserve"> société, à respecter ces principes. </w:t>
      </w:r>
    </w:p>
    <w:p w:rsidR="000B0FA8" w:rsidRPr="009E690C" w:rsidRDefault="000B0FA8" w:rsidP="000B0FA8">
      <w:pPr>
        <w:pStyle w:val="SingleTxtG"/>
      </w:pPr>
      <w:r w:rsidRPr="009E690C">
        <w:t>71.</w:t>
      </w:r>
      <w:r w:rsidRPr="009E690C">
        <w:tab/>
      </w:r>
      <w:r>
        <w:t xml:space="preserve">Il </w:t>
      </w:r>
      <w:r w:rsidRPr="009E690C">
        <w:t>est encourageant de savoir que le Gouvernement a décidé de ne pas s</w:t>
      </w:r>
      <w:r>
        <w:t>’</w:t>
      </w:r>
      <w:r w:rsidRPr="009E690C">
        <w:t xml:space="preserve">opposer à certaines recommandations faites </w:t>
      </w:r>
      <w:r>
        <w:t>dans le cadre de</w:t>
      </w:r>
      <w:r w:rsidRPr="009E690C">
        <w:t xml:space="preserve"> l</w:t>
      </w:r>
      <w:r>
        <w:t>’examen périodique universel</w:t>
      </w:r>
      <w:r w:rsidRPr="009E690C">
        <w:t xml:space="preserve"> qui sont en rapport avec la volonté d</w:t>
      </w:r>
      <w:r>
        <w:t>’</w:t>
      </w:r>
      <w:r w:rsidRPr="009E690C">
        <w:t xml:space="preserve">avoir en Haïti un État de droit pouvant respecter et protéger les droits humains, telles que </w:t>
      </w:r>
      <w:r>
        <w:t>les recommandations</w:t>
      </w:r>
      <w:r w:rsidRPr="009E690C">
        <w:t xml:space="preserve"> concernant les enfants en situation de domesticité</w:t>
      </w:r>
      <w:r>
        <w:t>,</w:t>
      </w:r>
      <w:r w:rsidRPr="009E690C">
        <w:t xml:space="preserve"> </w:t>
      </w:r>
      <w:r>
        <w:t>les</w:t>
      </w:r>
      <w:r w:rsidRPr="009E690C">
        <w:t xml:space="preserve"> mesures pour combattre</w:t>
      </w:r>
      <w:r>
        <w:t xml:space="preserve"> les</w:t>
      </w:r>
      <w:r w:rsidRPr="009E690C">
        <w:t xml:space="preserve"> normes, pratiques et stéréotypes pouvant causer </w:t>
      </w:r>
      <w:r>
        <w:t xml:space="preserve">des </w:t>
      </w:r>
      <w:r w:rsidRPr="009E690C">
        <w:t>discrimination</w:t>
      </w:r>
      <w:r>
        <w:t>s</w:t>
      </w:r>
      <w:r w:rsidRPr="009E690C">
        <w:t xml:space="preserve"> et violence</w:t>
      </w:r>
      <w:r>
        <w:t>s</w:t>
      </w:r>
      <w:r w:rsidRPr="009E690C">
        <w:t xml:space="preserve"> basées sur </w:t>
      </w:r>
      <w:r>
        <w:t>l’</w:t>
      </w:r>
      <w:r w:rsidRPr="009E690C">
        <w:t xml:space="preserve">orientation sexuelle et </w:t>
      </w:r>
      <w:r>
        <w:t>l’</w:t>
      </w:r>
      <w:r w:rsidRPr="009E690C">
        <w:t>identité de genre</w:t>
      </w:r>
      <w:r>
        <w:t>,</w:t>
      </w:r>
      <w:r w:rsidRPr="009E690C">
        <w:t xml:space="preserve"> ou </w:t>
      </w:r>
      <w:r>
        <w:t>l’</w:t>
      </w:r>
      <w:r w:rsidRPr="009E690C">
        <w:t>élimin</w:t>
      </w:r>
      <w:r>
        <w:t>ation de</w:t>
      </w:r>
      <w:r w:rsidRPr="009E690C">
        <w:t xml:space="preserve"> la violence contre l</w:t>
      </w:r>
      <w:r>
        <w:t>es</w:t>
      </w:r>
      <w:r w:rsidRPr="009E690C">
        <w:t xml:space="preserve"> femme</w:t>
      </w:r>
      <w:r>
        <w:t>s</w:t>
      </w:r>
      <w:r w:rsidRPr="009E690C">
        <w:t xml:space="preserve"> </w:t>
      </w:r>
      <w:r>
        <w:t>dans</w:t>
      </w:r>
      <w:r w:rsidRPr="009E690C">
        <w:t xml:space="preserve"> toutes ses manifestations, </w:t>
      </w:r>
      <w:r>
        <w:t>entre</w:t>
      </w:r>
      <w:r w:rsidRPr="009E690C">
        <w:t xml:space="preserve"> autres</w:t>
      </w:r>
      <w:r w:rsidRPr="00EE4A62">
        <w:rPr>
          <w:rStyle w:val="FootnoteReference"/>
        </w:rPr>
        <w:footnoteReference w:id="23"/>
      </w:r>
      <w:r w:rsidRPr="009E690C">
        <w:t>. L</w:t>
      </w:r>
      <w:r>
        <w:t>’</w:t>
      </w:r>
      <w:r w:rsidRPr="009E690C">
        <w:t>Expert indépendant</w:t>
      </w:r>
      <w:r>
        <w:t xml:space="preserve"> </w:t>
      </w:r>
      <w:r w:rsidRPr="009E690C">
        <w:t>propose d</w:t>
      </w:r>
      <w:r>
        <w:t>’</w:t>
      </w:r>
      <w:r w:rsidRPr="009E690C">
        <w:t xml:space="preserve">avoir une discussion avec les autorités haïtiennes orientée </w:t>
      </w:r>
      <w:r>
        <w:t>sur la détermination d</w:t>
      </w:r>
      <w:r w:rsidRPr="009E690C">
        <w:t xml:space="preserve">es raisons du refus exprimé initialement par le Gouvernement </w:t>
      </w:r>
      <w:r>
        <w:t>d’</w:t>
      </w:r>
      <w:r w:rsidRPr="009E690C">
        <w:t>accepter ces recommandations.</w:t>
      </w:r>
    </w:p>
    <w:p w:rsidR="000B0FA8" w:rsidRPr="009E690C" w:rsidRDefault="000B0FA8" w:rsidP="002D70F6">
      <w:pPr>
        <w:pStyle w:val="H1G"/>
        <w:spacing w:before="320" w:after="200"/>
      </w:pPr>
      <w:r w:rsidRPr="009E690C">
        <w:lastRenderedPageBreak/>
        <w:tab/>
        <w:t>D.</w:t>
      </w:r>
      <w:r w:rsidRPr="009E690C">
        <w:tab/>
      </w:r>
      <w:r>
        <w:t>I</w:t>
      </w:r>
      <w:r w:rsidRPr="009E690C">
        <w:t xml:space="preserve">mpunité et </w:t>
      </w:r>
      <w:r>
        <w:t>crédibilité du</w:t>
      </w:r>
      <w:r w:rsidRPr="009E690C">
        <w:t xml:space="preserve"> système judiciaire</w:t>
      </w:r>
    </w:p>
    <w:p w:rsidR="000B0FA8" w:rsidRPr="009E690C" w:rsidRDefault="000B0FA8" w:rsidP="000B0FA8">
      <w:pPr>
        <w:pStyle w:val="SingleTxtG"/>
      </w:pPr>
      <w:r w:rsidRPr="009E690C">
        <w:t>72.</w:t>
      </w:r>
      <w:r w:rsidRPr="009E690C">
        <w:tab/>
        <w:t>L</w:t>
      </w:r>
      <w:r>
        <w:t>’</w:t>
      </w:r>
      <w:r w:rsidRPr="009E690C">
        <w:t>accès à la justice est tellement précaire en Haïti que, même si cela fait partie de l</w:t>
      </w:r>
      <w:r>
        <w:t>’é</w:t>
      </w:r>
      <w:r w:rsidRPr="009E690C">
        <w:t xml:space="preserve">tat de droit, </w:t>
      </w:r>
      <w:r>
        <w:t>ce sujet</w:t>
      </w:r>
      <w:r w:rsidRPr="009E690C">
        <w:t xml:space="preserve"> doit </w:t>
      </w:r>
      <w:r>
        <w:t>faire</w:t>
      </w:r>
      <w:r w:rsidRPr="009E690C">
        <w:t xml:space="preserve"> l</w:t>
      </w:r>
      <w:r>
        <w:t>’</w:t>
      </w:r>
      <w:r w:rsidRPr="009E690C">
        <w:t>objet d</w:t>
      </w:r>
      <w:r>
        <w:t>’</w:t>
      </w:r>
      <w:r w:rsidRPr="009E690C">
        <w:t>un traitement spécifique, à commencer par l</w:t>
      </w:r>
      <w:r>
        <w:t>a question</w:t>
      </w:r>
      <w:r w:rsidRPr="009E690C">
        <w:t xml:space="preserve"> des violations du passé. </w:t>
      </w:r>
    </w:p>
    <w:p w:rsidR="000B0FA8" w:rsidRPr="009E690C" w:rsidRDefault="000B0FA8" w:rsidP="002D70F6">
      <w:pPr>
        <w:pStyle w:val="H23G"/>
        <w:spacing w:before="200"/>
        <w:ind w:left="0" w:firstLine="0"/>
      </w:pPr>
      <w:r w:rsidRPr="009E690C">
        <w:tab/>
      </w:r>
      <w:r>
        <w:t>1.</w:t>
      </w:r>
      <w:r w:rsidRPr="009E690C">
        <w:tab/>
        <w:t>Le cas Duvalier et les autres violations du passé</w:t>
      </w:r>
    </w:p>
    <w:p w:rsidR="000B0FA8" w:rsidRPr="009E690C" w:rsidRDefault="000B0FA8" w:rsidP="000B0FA8">
      <w:pPr>
        <w:pStyle w:val="SingleTxtG"/>
      </w:pPr>
      <w:r w:rsidRPr="009E690C">
        <w:t>73.</w:t>
      </w:r>
      <w:r w:rsidRPr="009E690C">
        <w:tab/>
      </w:r>
      <w:r>
        <w:t xml:space="preserve">Il </w:t>
      </w:r>
      <w:r w:rsidRPr="009E690C">
        <w:t>est très préoccupant qu</w:t>
      </w:r>
      <w:r>
        <w:t>’</w:t>
      </w:r>
      <w:r w:rsidRPr="009E690C">
        <w:t>il n</w:t>
      </w:r>
      <w:r>
        <w:t>’</w:t>
      </w:r>
      <w:r w:rsidRPr="009E690C">
        <w:t xml:space="preserve">y ait pas eu de progrès par rapport au procès judiciaire ouvert </w:t>
      </w:r>
      <w:r>
        <w:t>po</w:t>
      </w:r>
      <w:r w:rsidRPr="009E690C">
        <w:t>ur les violations de</w:t>
      </w:r>
      <w:r>
        <w:t>s</w:t>
      </w:r>
      <w:r w:rsidRPr="009E690C">
        <w:t xml:space="preserve"> droits humains perpétrées sous le régime de Jean-Claude Duvalier, décédé en octobre 2014. Le procès doit continuer contre ses consorts qui ont été des acteurs clés pour que ces violations </w:t>
      </w:r>
      <w:r>
        <w:t>puissent</w:t>
      </w:r>
      <w:r w:rsidRPr="009E690C">
        <w:t xml:space="preserve"> </w:t>
      </w:r>
      <w:r>
        <w:t>être</w:t>
      </w:r>
      <w:r w:rsidRPr="009E690C">
        <w:t xml:space="preserve"> perpétr</w:t>
      </w:r>
      <w:r>
        <w:t>ées</w:t>
      </w:r>
      <w:r w:rsidRPr="009E690C">
        <w:t>. L</w:t>
      </w:r>
      <w:r>
        <w:t>’</w:t>
      </w:r>
      <w:r w:rsidRPr="009E690C">
        <w:t>Expert indépendant</w:t>
      </w:r>
      <w:r>
        <w:t xml:space="preserve"> </w:t>
      </w:r>
      <w:r w:rsidRPr="009E690C">
        <w:t xml:space="preserve">réitère </w:t>
      </w:r>
      <w:r>
        <w:t xml:space="preserve">son </w:t>
      </w:r>
      <w:r w:rsidRPr="009E690C">
        <w:t>appel aussi bien au Gouvernement qu</w:t>
      </w:r>
      <w:r>
        <w:t>’</w:t>
      </w:r>
      <w:r w:rsidRPr="009E690C">
        <w:t>au pouvoir judiciaire à donner à ce cas l</w:t>
      </w:r>
      <w:r>
        <w:t>’</w:t>
      </w:r>
      <w:r w:rsidRPr="009E690C">
        <w:t>importance qu</w:t>
      </w:r>
      <w:r>
        <w:t>’</w:t>
      </w:r>
      <w:r w:rsidRPr="009E690C">
        <w:t>il mérite et par conséquent à prendre les mesures politiques, financières et administratives nécessaires à une enquête rapide, exhaustive et impartiale aussi bien qu</w:t>
      </w:r>
      <w:r>
        <w:t xml:space="preserve">’à </w:t>
      </w:r>
      <w:r w:rsidRPr="009E690C">
        <w:t>un jugement des violations du passé.</w:t>
      </w:r>
    </w:p>
    <w:p w:rsidR="000B0FA8" w:rsidRPr="009E690C" w:rsidRDefault="000B0FA8" w:rsidP="000B0FA8">
      <w:pPr>
        <w:pStyle w:val="SingleTxtG"/>
      </w:pPr>
      <w:r w:rsidRPr="009E690C">
        <w:t>74.</w:t>
      </w:r>
      <w:r w:rsidRPr="009E690C">
        <w:tab/>
        <w:t>La recommandation faite par le Comité des droits de l</w:t>
      </w:r>
      <w:r>
        <w:t>’</w:t>
      </w:r>
      <w:r w:rsidRPr="009E690C">
        <w:t xml:space="preserve">homme en 2014 </w:t>
      </w:r>
      <w:r>
        <w:t>visant</w:t>
      </w:r>
      <w:r w:rsidRPr="009E690C">
        <w:t xml:space="preserve"> à «</w:t>
      </w:r>
      <w:r>
        <w:t> </w:t>
      </w:r>
      <w:r w:rsidRPr="009E690C">
        <w:t>poursuivre l</w:t>
      </w:r>
      <w:r>
        <w:t>’</w:t>
      </w:r>
      <w:r w:rsidRPr="009E690C">
        <w:t>instruction dans l</w:t>
      </w:r>
      <w:r>
        <w:t>’</w:t>
      </w:r>
      <w:r w:rsidRPr="009E690C">
        <w:t>affaire dite Duvalier et traduire en justice toutes les personnes responsables des violations graves commises pendant la Présidence et octroyer aux victimes une réparation juste et équitable</w:t>
      </w:r>
      <w:r>
        <w:t> </w:t>
      </w:r>
      <w:r w:rsidRPr="009E690C">
        <w:t>»</w:t>
      </w:r>
      <w:r w:rsidRPr="00EE4A62">
        <w:rPr>
          <w:rStyle w:val="FootnoteReference"/>
        </w:rPr>
        <w:footnoteReference w:id="24"/>
      </w:r>
      <w:r w:rsidRPr="009E690C">
        <w:t xml:space="preserve"> est toujours en vigueur. «</w:t>
      </w:r>
      <w:r>
        <w:t> </w:t>
      </w:r>
      <w:r w:rsidRPr="009E690C">
        <w:t>L</w:t>
      </w:r>
      <w:r>
        <w:t>’</w:t>
      </w:r>
      <w:r w:rsidRPr="009E690C">
        <w:t>État devrait mettre en œuvre les recommandations de la Commission nationale de vérité et justice pour les violations graves commises entre 1991 et 1994</w:t>
      </w:r>
      <w:r w:rsidR="0063431A">
        <w:t>.</w:t>
      </w:r>
      <w:r>
        <w:t> </w:t>
      </w:r>
      <w:r w:rsidRPr="009E690C">
        <w:t>»</w:t>
      </w:r>
      <w:r w:rsidRPr="00EE4A62">
        <w:rPr>
          <w:rStyle w:val="FootnoteReference"/>
        </w:rPr>
        <w:footnoteReference w:id="25"/>
      </w:r>
    </w:p>
    <w:p w:rsidR="000B0FA8" w:rsidRPr="009E690C" w:rsidRDefault="000B0FA8" w:rsidP="000B0FA8">
      <w:pPr>
        <w:pStyle w:val="SingleTxtG"/>
      </w:pPr>
      <w:r w:rsidRPr="009E690C">
        <w:t>75.</w:t>
      </w:r>
      <w:r w:rsidRPr="009E690C">
        <w:tab/>
        <w:t xml:space="preserve">En concordance étroite avec ce que le Comité a recommandé, </w:t>
      </w:r>
      <w:r>
        <w:t>l’</w:t>
      </w:r>
      <w:r w:rsidRPr="009E690C">
        <w:t>Expert indépendant</w:t>
      </w:r>
      <w:r>
        <w:t xml:space="preserve"> </w:t>
      </w:r>
      <w:r w:rsidRPr="009E690C">
        <w:t xml:space="preserve">a proposé de créer une </w:t>
      </w:r>
      <w:r>
        <w:t>c</w:t>
      </w:r>
      <w:r w:rsidRPr="009E690C">
        <w:t xml:space="preserve">ommission de vérité, justice et réparation pour </w:t>
      </w:r>
      <w:r>
        <w:t>faire la lumière sur</w:t>
      </w:r>
      <w:r w:rsidRPr="009E690C">
        <w:t xml:space="preserve"> les violations du passé et </w:t>
      </w:r>
      <w:r>
        <w:t>réparer</w:t>
      </w:r>
      <w:r w:rsidRPr="009E690C">
        <w:t xml:space="preserve"> les dommages causés aux victimes et au pays dans son ensemble, de façon à renforcer les énergies sociales pour bâtir une société plus égalitaire, basée sur la justice, initiative inspirée aussi </w:t>
      </w:r>
      <w:r>
        <w:t>par</w:t>
      </w:r>
      <w:r w:rsidRPr="009E690C">
        <w:t xml:space="preserve"> les recommandations de la Commission nationale de vérité et justice de 1994.</w:t>
      </w:r>
    </w:p>
    <w:p w:rsidR="000B0FA8" w:rsidRPr="009E690C" w:rsidRDefault="000B0FA8" w:rsidP="002D70F6">
      <w:pPr>
        <w:pStyle w:val="H23G"/>
        <w:spacing w:before="200"/>
      </w:pPr>
      <w:r w:rsidRPr="009E690C">
        <w:tab/>
      </w:r>
      <w:r>
        <w:t>2.</w:t>
      </w:r>
      <w:r w:rsidRPr="009E690C">
        <w:tab/>
      </w:r>
      <w:r>
        <w:t>N</w:t>
      </w:r>
      <w:r w:rsidRPr="009E690C">
        <w:t xml:space="preserve">écessité de renforcer la capacité et la crédibilité du système judiciaire </w:t>
      </w:r>
      <w:r w:rsidR="0063431A">
        <w:br/>
      </w:r>
      <w:r w:rsidRPr="009E690C">
        <w:t xml:space="preserve">dans son ensemble </w:t>
      </w:r>
    </w:p>
    <w:p w:rsidR="000B0FA8" w:rsidRPr="009E690C" w:rsidRDefault="000B0FA8" w:rsidP="000B0FA8">
      <w:pPr>
        <w:pStyle w:val="SingleTxtG"/>
      </w:pPr>
      <w:r w:rsidRPr="009E690C">
        <w:t>76.</w:t>
      </w:r>
      <w:r w:rsidRPr="009E690C">
        <w:tab/>
        <w:t>En 2014, le Comité des droits de l</w:t>
      </w:r>
      <w:r>
        <w:t>’</w:t>
      </w:r>
      <w:r w:rsidRPr="009E690C">
        <w:t>homme a recommandé à Haïti de renforcer l</w:t>
      </w:r>
      <w:r>
        <w:t>’</w:t>
      </w:r>
      <w:r w:rsidRPr="009E690C">
        <w:t>indépendance et l</w:t>
      </w:r>
      <w:r>
        <w:t>’</w:t>
      </w:r>
      <w:r w:rsidRPr="009E690C">
        <w:t>efficacité du système judiciaire</w:t>
      </w:r>
      <w:r w:rsidRPr="00EE4A62">
        <w:rPr>
          <w:rStyle w:val="FootnoteReference"/>
        </w:rPr>
        <w:footnoteReference w:id="26"/>
      </w:r>
      <w:r w:rsidRPr="009E690C">
        <w:t>, recommandation que l</w:t>
      </w:r>
      <w:r>
        <w:t>’</w:t>
      </w:r>
      <w:r w:rsidRPr="009E690C">
        <w:t>Expert indépendant</w:t>
      </w:r>
      <w:r>
        <w:t xml:space="preserve"> </w:t>
      </w:r>
      <w:r w:rsidRPr="009E690C">
        <w:t>a fait sienne et qu</w:t>
      </w:r>
      <w:r>
        <w:t>’</w:t>
      </w:r>
      <w:r w:rsidRPr="009E690C">
        <w:t>il doit réitérer</w:t>
      </w:r>
      <w:r>
        <w:t>, le but étant</w:t>
      </w:r>
      <w:r w:rsidRPr="009E690C">
        <w:t xml:space="preserve"> que les institutions puissent protéger de façon efficace les droits humains. </w:t>
      </w:r>
    </w:p>
    <w:p w:rsidR="000B0FA8" w:rsidRPr="009E690C" w:rsidRDefault="000B0FA8" w:rsidP="002D70F6">
      <w:pPr>
        <w:pStyle w:val="H1G"/>
        <w:spacing w:before="320" w:after="200"/>
      </w:pPr>
      <w:r w:rsidRPr="009E690C">
        <w:tab/>
        <w:t>E.</w:t>
      </w:r>
      <w:r w:rsidRPr="009E690C">
        <w:tab/>
      </w:r>
      <w:r>
        <w:t>T</w:t>
      </w:r>
      <w:r w:rsidRPr="009E690C">
        <w:t>ragédies humanitaires liées à d</w:t>
      </w:r>
      <w:r>
        <w:t>’</w:t>
      </w:r>
      <w:r w:rsidRPr="009E690C">
        <w:t xml:space="preserve">autres facteurs ou acteurs </w:t>
      </w:r>
      <w:r w:rsidR="0063431A">
        <w:br/>
      </w:r>
      <w:r w:rsidRPr="009E690C">
        <w:t>affectant les droits humains</w:t>
      </w:r>
    </w:p>
    <w:p w:rsidR="000B0FA8" w:rsidRPr="009E690C" w:rsidRDefault="000B0FA8" w:rsidP="000B0FA8">
      <w:pPr>
        <w:pStyle w:val="SingleTxtG"/>
      </w:pPr>
      <w:r w:rsidRPr="009E690C">
        <w:t>77.</w:t>
      </w:r>
      <w:r w:rsidRPr="009E690C">
        <w:tab/>
        <w:t xml:space="preserve">En 2016, Haïti a </w:t>
      </w:r>
      <w:r>
        <w:t>connu</w:t>
      </w:r>
      <w:r w:rsidRPr="009E690C">
        <w:t xml:space="preserve"> une nouvelle </w:t>
      </w:r>
      <w:r>
        <w:t>situation affectant</w:t>
      </w:r>
      <w:r w:rsidRPr="009E690C">
        <w:t xml:space="preserve"> </w:t>
      </w:r>
      <w:r>
        <w:t>l</w:t>
      </w:r>
      <w:r w:rsidRPr="009E690C">
        <w:t>es droits des personnes à cause de l</w:t>
      </w:r>
      <w:r>
        <w:t>’</w:t>
      </w:r>
      <w:r w:rsidRPr="009E690C">
        <w:t>ouragan Matthew, qui s</w:t>
      </w:r>
      <w:r>
        <w:t>’</w:t>
      </w:r>
      <w:r w:rsidRPr="009E690C">
        <w:t>ajoute à celle des victimes de</w:t>
      </w:r>
      <w:r>
        <w:t>s précédentes</w:t>
      </w:r>
      <w:r w:rsidRPr="009E690C">
        <w:t xml:space="preserve"> catastrophes naturelles, des personnes haïtiennes ou d</w:t>
      </w:r>
      <w:r>
        <w:t>’</w:t>
      </w:r>
      <w:r w:rsidRPr="009E690C">
        <w:t xml:space="preserve">origine haïtienne en République dominicaine ou des victimes du choléra. </w:t>
      </w:r>
    </w:p>
    <w:p w:rsidR="000B0FA8" w:rsidRPr="009E690C" w:rsidRDefault="000B0FA8" w:rsidP="002D70F6">
      <w:pPr>
        <w:pStyle w:val="H23G"/>
        <w:spacing w:before="200"/>
      </w:pPr>
      <w:r w:rsidRPr="009E690C">
        <w:tab/>
      </w:r>
      <w:r>
        <w:t>1.</w:t>
      </w:r>
      <w:r w:rsidRPr="009E690C">
        <w:tab/>
      </w:r>
      <w:r>
        <w:t>V</w:t>
      </w:r>
      <w:r w:rsidRPr="009E690C">
        <w:t>ictimes de l</w:t>
      </w:r>
      <w:r>
        <w:t>’</w:t>
      </w:r>
      <w:r w:rsidRPr="009E690C">
        <w:t xml:space="preserve">ouragan Matthew et accroissement du nombre de personnes déplacées </w:t>
      </w:r>
      <w:r>
        <w:t>nécessitant</w:t>
      </w:r>
      <w:r w:rsidRPr="009E690C">
        <w:t xml:space="preserve"> un traitement d</w:t>
      </w:r>
      <w:r>
        <w:t>’</w:t>
      </w:r>
      <w:r w:rsidRPr="009E690C">
        <w:t xml:space="preserve">urgence </w:t>
      </w:r>
    </w:p>
    <w:p w:rsidR="000B0FA8" w:rsidRPr="009E690C" w:rsidRDefault="000B0FA8" w:rsidP="000B0FA8">
      <w:pPr>
        <w:pStyle w:val="SingleTxtG"/>
      </w:pPr>
      <w:r w:rsidRPr="009E690C">
        <w:t>78.</w:t>
      </w:r>
      <w:r w:rsidRPr="009E690C">
        <w:tab/>
        <w:t>Le</w:t>
      </w:r>
      <w:r>
        <w:t>s</w:t>
      </w:r>
      <w:r w:rsidRPr="009E690C">
        <w:t xml:space="preserve"> 3 et 4</w:t>
      </w:r>
      <w:r w:rsidR="007C3752" w:rsidRPr="009E690C">
        <w:rPr>
          <w:szCs w:val="18"/>
        </w:rPr>
        <w:t> </w:t>
      </w:r>
      <w:r w:rsidRPr="009E690C">
        <w:t>octobre 2016</w:t>
      </w:r>
      <w:r>
        <w:t>,</w:t>
      </w:r>
      <w:r w:rsidRPr="009E690C">
        <w:t xml:space="preserve"> une nouvelle catastrophe naturelle </w:t>
      </w:r>
      <w:r>
        <w:t>s’est abattue sur</w:t>
      </w:r>
      <w:r w:rsidRPr="009E690C">
        <w:t xml:space="preserve"> Haïti</w:t>
      </w:r>
      <w:r>
        <w:t> </w:t>
      </w:r>
      <w:r w:rsidRPr="009E690C">
        <w:t>: l</w:t>
      </w:r>
      <w:r>
        <w:t>’</w:t>
      </w:r>
      <w:r w:rsidRPr="009E690C">
        <w:t>ouragan Matthew. L</w:t>
      </w:r>
      <w:r>
        <w:t>’</w:t>
      </w:r>
      <w:r w:rsidRPr="009E690C">
        <w:t>Expert indépendant</w:t>
      </w:r>
      <w:r>
        <w:t xml:space="preserve"> </w:t>
      </w:r>
      <w:r w:rsidRPr="009E690C">
        <w:t>tient à réitérer l</w:t>
      </w:r>
      <w:r>
        <w:t>’</w:t>
      </w:r>
      <w:r w:rsidRPr="009E690C">
        <w:t>expression de ses sentiments de solidarité avec les victimes de l</w:t>
      </w:r>
      <w:r>
        <w:t>’</w:t>
      </w:r>
      <w:r w:rsidRPr="009E690C">
        <w:t xml:space="preserve">ouragan et avec le peuple </w:t>
      </w:r>
      <w:r>
        <w:t>h</w:t>
      </w:r>
      <w:r w:rsidRPr="009E690C">
        <w:t>aïtien dans son ensemble</w:t>
      </w:r>
      <w:r w:rsidRPr="00EE4A62">
        <w:rPr>
          <w:rStyle w:val="FootnoteReference"/>
        </w:rPr>
        <w:footnoteReference w:id="27"/>
      </w:r>
      <w:r w:rsidRPr="009E690C">
        <w:t>. Il</w:t>
      </w:r>
      <w:r w:rsidR="007C3752" w:rsidRPr="009E690C">
        <w:rPr>
          <w:szCs w:val="18"/>
        </w:rPr>
        <w:t> </w:t>
      </w:r>
      <w:r w:rsidRPr="009E690C">
        <w:t>veut réaffirmer aussi sa volonté de contribuer au redressement de la situation dans le cadre de son mandat, en tant qu</w:t>
      </w:r>
      <w:r>
        <w:t>’</w:t>
      </w:r>
      <w:r w:rsidRPr="009E690C">
        <w:t>Expert</w:t>
      </w:r>
      <w:r>
        <w:t xml:space="preserve"> </w:t>
      </w:r>
      <w:r w:rsidRPr="009E690C">
        <w:t>indépendant, et faire un appel spécial au Gouvernement et à la communauté internationale pour que la protection et la réalisation des droits humains soi</w:t>
      </w:r>
      <w:r>
        <w:t>en</w:t>
      </w:r>
      <w:r w:rsidRPr="009E690C">
        <w:t>t placé</w:t>
      </w:r>
      <w:r>
        <w:t>es</w:t>
      </w:r>
      <w:r w:rsidRPr="009E690C">
        <w:t xml:space="preserve"> au centre de toute action d</w:t>
      </w:r>
      <w:r>
        <w:t>’</w:t>
      </w:r>
      <w:r w:rsidRPr="009E690C">
        <w:t xml:space="preserve">assistance. </w:t>
      </w:r>
    </w:p>
    <w:p w:rsidR="000B0FA8" w:rsidRPr="009E690C" w:rsidRDefault="000B0FA8" w:rsidP="000B0FA8">
      <w:pPr>
        <w:pStyle w:val="SingleTxtG"/>
      </w:pPr>
      <w:r w:rsidRPr="009E690C">
        <w:lastRenderedPageBreak/>
        <w:t>79.</w:t>
      </w:r>
      <w:r w:rsidRPr="009E690C">
        <w:tab/>
        <w:t>Pour connaître de plus près la situation dans les régions le</w:t>
      </w:r>
      <w:r>
        <w:t>s</w:t>
      </w:r>
      <w:r w:rsidRPr="009E690C">
        <w:t xml:space="preserve"> plus </w:t>
      </w:r>
      <w:r>
        <w:t>touchées</w:t>
      </w:r>
      <w:r w:rsidRPr="009E690C">
        <w:t xml:space="preserve"> par l</w:t>
      </w:r>
      <w:r>
        <w:t>’</w:t>
      </w:r>
      <w:r w:rsidRPr="009E690C">
        <w:t>ouragan, l</w:t>
      </w:r>
      <w:r>
        <w:t>’</w:t>
      </w:r>
      <w:r w:rsidRPr="009E690C">
        <w:t>Expert indépendant</w:t>
      </w:r>
      <w:r>
        <w:t xml:space="preserve"> </w:t>
      </w:r>
      <w:r w:rsidRPr="009E690C">
        <w:t>s</w:t>
      </w:r>
      <w:r>
        <w:t>’</w:t>
      </w:r>
      <w:r w:rsidRPr="009E690C">
        <w:t xml:space="preserve">est rendu à Jérémie, dans le département de la </w:t>
      </w:r>
      <w:proofErr w:type="spellStart"/>
      <w:r w:rsidRPr="009E690C">
        <w:t>Grand</w:t>
      </w:r>
      <w:r>
        <w:t>’</w:t>
      </w:r>
      <w:r w:rsidRPr="009E690C">
        <w:t>Anse</w:t>
      </w:r>
      <w:proofErr w:type="spellEnd"/>
      <w:r w:rsidRPr="009E690C">
        <w:t xml:space="preserve">, au </w:t>
      </w:r>
      <w:r>
        <w:t>n</w:t>
      </w:r>
      <w:r w:rsidRPr="009E690C">
        <w:t xml:space="preserve">ord-ouest de la </w:t>
      </w:r>
      <w:r>
        <w:t>p</w:t>
      </w:r>
      <w:r w:rsidRPr="009E690C">
        <w:t xml:space="preserve">éninsule du </w:t>
      </w:r>
      <w:proofErr w:type="spellStart"/>
      <w:r w:rsidRPr="009E690C">
        <w:t>Tiburon</w:t>
      </w:r>
      <w:proofErr w:type="spellEnd"/>
      <w:r w:rsidRPr="009E690C">
        <w:t xml:space="preserve">, dans le </w:t>
      </w:r>
      <w:r>
        <w:t>s</w:t>
      </w:r>
      <w:r w:rsidRPr="009E690C">
        <w:t xml:space="preserve">ud. Il a visité le </w:t>
      </w:r>
      <w:r>
        <w:t>l</w:t>
      </w:r>
      <w:r w:rsidRPr="009E690C">
        <w:t>ycée Nord Alexis, qui abritait environ 3</w:t>
      </w:r>
      <w:r>
        <w:t> </w:t>
      </w:r>
      <w:r w:rsidRPr="009E690C">
        <w:t>000</w:t>
      </w:r>
      <w:r w:rsidR="002D70F6" w:rsidRPr="009E690C">
        <w:rPr>
          <w:szCs w:val="18"/>
        </w:rPr>
        <w:t> </w:t>
      </w:r>
      <w:r w:rsidRPr="009E690C">
        <w:t>victimes du cyclone, soit 525</w:t>
      </w:r>
      <w:r w:rsidR="002D70F6" w:rsidRPr="009E690C">
        <w:rPr>
          <w:szCs w:val="18"/>
        </w:rPr>
        <w:t> </w:t>
      </w:r>
      <w:r w:rsidRPr="009E690C">
        <w:t>familles. Il a pu constater qu</w:t>
      </w:r>
      <w:r>
        <w:t>’</w:t>
      </w:r>
      <w:r w:rsidRPr="009E690C">
        <w:t xml:space="preserve">elles </w:t>
      </w:r>
      <w:r>
        <w:t>vivaient</w:t>
      </w:r>
      <w:r w:rsidRPr="009E690C">
        <w:t xml:space="preserve"> dans des conditions pénibles</w:t>
      </w:r>
      <w:r>
        <w:t> </w:t>
      </w:r>
      <w:r w:rsidRPr="009E690C">
        <w:t>: sans nourriture, sans accès aux services de santé, sans eau potable, sans services hygiéniques et sanitaires appropriés, et sans foyer. Elles se plaignaient de n</w:t>
      </w:r>
      <w:r>
        <w:t>’</w:t>
      </w:r>
      <w:r w:rsidRPr="009E690C">
        <w:t xml:space="preserve">avoir reçu la visite </w:t>
      </w:r>
      <w:r>
        <w:t xml:space="preserve">que </w:t>
      </w:r>
      <w:r w:rsidRPr="009E690C">
        <w:t>d</w:t>
      </w:r>
      <w:r>
        <w:t>’</w:t>
      </w:r>
      <w:r w:rsidRPr="009E690C">
        <w:t>un candidat au Sénat et d</w:t>
      </w:r>
      <w:r>
        <w:t>’</w:t>
      </w:r>
      <w:r w:rsidRPr="009E690C">
        <w:t>un envoyé d</w:t>
      </w:r>
      <w:r>
        <w:t>’</w:t>
      </w:r>
      <w:r w:rsidRPr="009E690C">
        <w:t>une candidate présidentielle, mais aucune de la part des représentants de l</w:t>
      </w:r>
      <w:r>
        <w:t>’</w:t>
      </w:r>
      <w:r w:rsidRPr="009E690C">
        <w:t xml:space="preserve">État pour leur fournir </w:t>
      </w:r>
      <w:r>
        <w:t>l</w:t>
      </w:r>
      <w:r w:rsidRPr="009E690C">
        <w:t xml:space="preserve">es services dont elles étaient privées, et notamment du matériel pour reconstruire leurs maisons. </w:t>
      </w:r>
    </w:p>
    <w:p w:rsidR="000B0FA8" w:rsidRPr="009E690C" w:rsidRDefault="000B0FA8" w:rsidP="000B0FA8">
      <w:pPr>
        <w:pStyle w:val="SingleTxtG"/>
      </w:pPr>
      <w:r w:rsidRPr="009E690C">
        <w:t>80.</w:t>
      </w:r>
      <w:r w:rsidRPr="009E690C">
        <w:tab/>
        <w:t>Ces personnes étaient entassées dans 20</w:t>
      </w:r>
      <w:r w:rsidR="002D70F6" w:rsidRPr="009E690C">
        <w:rPr>
          <w:szCs w:val="18"/>
        </w:rPr>
        <w:t> </w:t>
      </w:r>
      <w:r w:rsidRPr="009E690C">
        <w:t>salles du lycée. C</w:t>
      </w:r>
      <w:r>
        <w:t>’</w:t>
      </w:r>
      <w:r w:rsidRPr="009E690C">
        <w:t>était une situation similaire à celle que l</w:t>
      </w:r>
      <w:r>
        <w:t>’</w:t>
      </w:r>
      <w:r w:rsidRPr="009E690C">
        <w:t>Expert indépendant</w:t>
      </w:r>
      <w:r>
        <w:t xml:space="preserve"> </w:t>
      </w:r>
      <w:r w:rsidRPr="009E690C">
        <w:t>a</w:t>
      </w:r>
      <w:r>
        <w:t>vait</w:t>
      </w:r>
      <w:r w:rsidRPr="009E690C">
        <w:t xml:space="preserve"> vu</w:t>
      </w:r>
      <w:r>
        <w:t>e</w:t>
      </w:r>
      <w:r w:rsidRPr="009E690C">
        <w:t xml:space="preserve"> auparavant dans les camps de personnes déplacées par le tremblement de terre de 2010, ou </w:t>
      </w:r>
      <w:r>
        <w:t>celle d</w:t>
      </w:r>
      <w:r w:rsidRPr="009E690C">
        <w:t xml:space="preserve">es personnes émigrées de la République dominicaine dans la zone frontalière, ou </w:t>
      </w:r>
      <w:r>
        <w:t>celle d</w:t>
      </w:r>
      <w:r w:rsidRPr="009E690C">
        <w:t>es personnes privées de liberté dans les prisons du pays. Si ce n</w:t>
      </w:r>
      <w:r>
        <w:t>’</w:t>
      </w:r>
      <w:r w:rsidRPr="009E690C">
        <w:t>était la qualité du bâtiment qui les abritait, leurs conditions de vie n</w:t>
      </w:r>
      <w:r>
        <w:t>’</w:t>
      </w:r>
      <w:r w:rsidRPr="009E690C">
        <w:t xml:space="preserve">étaient pas très différentes. Elles avaient faim. Il y avait deux bébés qui étaient nés </w:t>
      </w:r>
      <w:r>
        <w:t>sur place</w:t>
      </w:r>
      <w:r w:rsidRPr="009E690C">
        <w:t>, sans assistance médicale lors de l</w:t>
      </w:r>
      <w:r>
        <w:t>’</w:t>
      </w:r>
      <w:r w:rsidRPr="009E690C">
        <w:t xml:space="preserve">accouchement. Il y avait </w:t>
      </w:r>
      <w:r>
        <w:t>encore une vingtaine de</w:t>
      </w:r>
      <w:r w:rsidRPr="009E690C">
        <w:t xml:space="preserve"> femmes enceintes, plusieurs d</w:t>
      </w:r>
      <w:r>
        <w:t>’</w:t>
      </w:r>
      <w:r w:rsidRPr="009E690C">
        <w:t>elles mineures. De plus, tous ces gens étaient affectés psychologiquement à cause de ce qui s</w:t>
      </w:r>
      <w:r>
        <w:t>’</w:t>
      </w:r>
      <w:r w:rsidRPr="009E690C">
        <w:t xml:space="preserve">était passé du jour au lendemain </w:t>
      </w:r>
      <w:r>
        <w:t>dans</w:t>
      </w:r>
      <w:r w:rsidRPr="009E690C">
        <w:t xml:space="preserve"> leur vie. Une mère âgée de 60</w:t>
      </w:r>
      <w:r w:rsidR="002D70F6" w:rsidRPr="009E690C">
        <w:rPr>
          <w:szCs w:val="18"/>
        </w:rPr>
        <w:t> </w:t>
      </w:r>
      <w:r w:rsidRPr="009E690C">
        <w:t xml:space="preserve">ans avait quitté le lycée quelques jours </w:t>
      </w:r>
      <w:r>
        <w:t>aupar</w:t>
      </w:r>
      <w:r w:rsidRPr="009E690C">
        <w:t xml:space="preserve">avant dans un état évident de maladie mentale, selon ses voisins, à cause de la perte de sa maison. Une jeune </w:t>
      </w:r>
      <w:r>
        <w:t>femme</w:t>
      </w:r>
      <w:r w:rsidRPr="009E690C">
        <w:t xml:space="preserve"> a dit à l</w:t>
      </w:r>
      <w:r>
        <w:t>’</w:t>
      </w:r>
      <w:r w:rsidRPr="009E690C">
        <w:t>Expert</w:t>
      </w:r>
      <w:r>
        <w:t xml:space="preserve"> </w:t>
      </w:r>
      <w:r w:rsidRPr="009E690C">
        <w:t>indépendant</w:t>
      </w:r>
      <w:r>
        <w:t> </w:t>
      </w:r>
      <w:r w:rsidRPr="009E690C">
        <w:t>: «</w:t>
      </w:r>
      <w:r>
        <w:t> </w:t>
      </w:r>
      <w:r w:rsidRPr="009E690C">
        <w:t>Nous sommes tous des malades mentaux</w:t>
      </w:r>
      <w:r>
        <w:t> </w:t>
      </w:r>
      <w:r w:rsidRPr="009E690C">
        <w:t>». Les</w:t>
      </w:r>
      <w:r w:rsidR="002D70F6" w:rsidRPr="009E690C">
        <w:rPr>
          <w:szCs w:val="18"/>
        </w:rPr>
        <w:t> </w:t>
      </w:r>
      <w:r w:rsidRPr="009E690C">
        <w:t xml:space="preserve">conditions dans lesquelles se trouvaient ces personnes étaient inhumaines et </w:t>
      </w:r>
      <w:r>
        <w:t xml:space="preserve">tardaient à </w:t>
      </w:r>
      <w:r w:rsidRPr="009E690C">
        <w:t xml:space="preserve">être résolues. </w:t>
      </w:r>
    </w:p>
    <w:p w:rsidR="000B0FA8" w:rsidRPr="009E690C" w:rsidRDefault="000B0FA8" w:rsidP="000B0FA8">
      <w:pPr>
        <w:pStyle w:val="SingleTxtG"/>
      </w:pPr>
      <w:r w:rsidRPr="009E690C">
        <w:t>81.</w:t>
      </w:r>
      <w:r w:rsidRPr="009E690C">
        <w:tab/>
        <w:t xml:space="preserve">Le directeur du </w:t>
      </w:r>
      <w:r>
        <w:t>l</w:t>
      </w:r>
      <w:r w:rsidRPr="009E690C">
        <w:t>ycée Nord Alexis avait reçu des autorités l</w:t>
      </w:r>
      <w:r>
        <w:t>’</w:t>
      </w:r>
      <w:r w:rsidRPr="009E690C">
        <w:t xml:space="preserve">instruction de se préparer à organiser la rentrée scolaire </w:t>
      </w:r>
      <w:r>
        <w:t>sous</w:t>
      </w:r>
      <w:r w:rsidRPr="009E690C">
        <w:t xml:space="preserve"> deux semaines. Il ne voyait pas comment il pourrait honorer cette instruction si les autorités ne garantissaient pas la reconstruction des maisons des personnes abritées dans le </w:t>
      </w:r>
      <w:r>
        <w:t>l</w:t>
      </w:r>
      <w:r w:rsidRPr="009E690C">
        <w:t>ycée. On pou</w:t>
      </w:r>
      <w:r>
        <w:t>v</w:t>
      </w:r>
      <w:r w:rsidRPr="009E690C">
        <w:t>ait se demander s</w:t>
      </w:r>
      <w:r>
        <w:t>’</w:t>
      </w:r>
      <w:r w:rsidRPr="009E690C">
        <w:t xml:space="preserve">il était suffisamment préparé </w:t>
      </w:r>
      <w:r>
        <w:t xml:space="preserve">lui-même </w:t>
      </w:r>
      <w:r w:rsidRPr="009E690C">
        <w:t xml:space="preserve">à ne pas être affecté de maladie mentale face à ce drame. </w:t>
      </w:r>
    </w:p>
    <w:p w:rsidR="000B0FA8" w:rsidRPr="009E690C" w:rsidRDefault="000B0FA8" w:rsidP="000B0FA8">
      <w:pPr>
        <w:pStyle w:val="SingleTxtG"/>
      </w:pPr>
      <w:r w:rsidRPr="009E690C">
        <w:t>82.</w:t>
      </w:r>
      <w:r w:rsidRPr="009E690C">
        <w:tab/>
        <w:t>Il y avait 15</w:t>
      </w:r>
      <w:r w:rsidR="00D46547">
        <w:t> </w:t>
      </w:r>
      <w:r w:rsidRPr="009E690C">
        <w:t>autres abris comme celui-là dans des écoles à Jérémie. Rien ne permettait de penser que leur situation fut meilleure. D</w:t>
      </w:r>
      <w:r>
        <w:t>’</w:t>
      </w:r>
      <w:r w:rsidRPr="009E690C">
        <w:t xml:space="preserve">autres communes avaient été sérieusement touchées dans le </w:t>
      </w:r>
      <w:r>
        <w:t>d</w:t>
      </w:r>
      <w:r w:rsidRPr="009E690C">
        <w:t xml:space="preserve">épartement de la </w:t>
      </w:r>
      <w:proofErr w:type="spellStart"/>
      <w:r w:rsidRPr="009E690C">
        <w:t>Grand</w:t>
      </w:r>
      <w:r>
        <w:t>’</w:t>
      </w:r>
      <w:r w:rsidRPr="009E690C">
        <w:t>Anse</w:t>
      </w:r>
      <w:proofErr w:type="spellEnd"/>
      <w:r w:rsidRPr="009E690C">
        <w:t xml:space="preserve">, ainsi que dans les </w:t>
      </w:r>
      <w:r>
        <w:t>d</w:t>
      </w:r>
      <w:r w:rsidRPr="009E690C">
        <w:t>épartements des Nippes, du Sud et de l</w:t>
      </w:r>
      <w:r>
        <w:t>’</w:t>
      </w:r>
      <w:r w:rsidRPr="009E690C">
        <w:t xml:space="preserve">Ouest, et dans une moindre mesure dans les </w:t>
      </w:r>
      <w:r>
        <w:t>d</w:t>
      </w:r>
      <w:r w:rsidRPr="009E690C">
        <w:t>épartements du Nord-</w:t>
      </w:r>
      <w:r>
        <w:t>O</w:t>
      </w:r>
      <w:r w:rsidRPr="009E690C">
        <w:t>uest et du Sud-</w:t>
      </w:r>
      <w:r>
        <w:t>E</w:t>
      </w:r>
      <w:r w:rsidRPr="009E690C">
        <w:t xml:space="preserve">st. La plupart des maisons construites en bois avaient été endommagées, </w:t>
      </w:r>
      <w:r>
        <w:t>voire</w:t>
      </w:r>
      <w:r w:rsidRPr="009E690C">
        <w:t xml:space="preserve"> détruites</w:t>
      </w:r>
      <w:r>
        <w:t> </w:t>
      </w:r>
      <w:r w:rsidRPr="009E690C">
        <w:t>: plus de 66</w:t>
      </w:r>
      <w:r>
        <w:t> 000</w:t>
      </w:r>
      <w:r w:rsidRPr="009E690C">
        <w:t xml:space="preserve"> dans le </w:t>
      </w:r>
      <w:r>
        <w:t>d</w:t>
      </w:r>
      <w:r w:rsidRPr="009E690C">
        <w:t xml:space="preserve">épartement de la </w:t>
      </w:r>
      <w:proofErr w:type="spellStart"/>
      <w:r w:rsidRPr="009E690C">
        <w:t>Grand</w:t>
      </w:r>
      <w:r>
        <w:t>’</w:t>
      </w:r>
      <w:r w:rsidRPr="009E690C">
        <w:t>Anse</w:t>
      </w:r>
      <w:proofErr w:type="spellEnd"/>
      <w:r w:rsidRPr="009E690C">
        <w:t xml:space="preserve">. Beaucoup de toits de tôle avaient été arrachés par les vents. </w:t>
      </w:r>
      <w:r>
        <w:t xml:space="preserve">En outre, </w:t>
      </w:r>
      <w:r w:rsidRPr="009E690C">
        <w:t>103</w:t>
      </w:r>
      <w:r w:rsidR="002D70F6" w:rsidRPr="009E690C">
        <w:rPr>
          <w:szCs w:val="18"/>
        </w:rPr>
        <w:t> </w:t>
      </w:r>
      <w:r w:rsidRPr="009E690C">
        <w:t>écoles avaient été endommagées et 105</w:t>
      </w:r>
      <w:r w:rsidR="002D70F6" w:rsidRPr="009E690C">
        <w:rPr>
          <w:szCs w:val="18"/>
        </w:rPr>
        <w:t> </w:t>
      </w:r>
      <w:r w:rsidRPr="009E690C">
        <w:t xml:space="preserve">écoles publiques avaient été détruites dans le </w:t>
      </w:r>
      <w:r>
        <w:t>d</w:t>
      </w:r>
      <w:r w:rsidRPr="009E690C">
        <w:t xml:space="preserve">épartement de la </w:t>
      </w:r>
      <w:proofErr w:type="spellStart"/>
      <w:r w:rsidRPr="009E690C">
        <w:t>Grand</w:t>
      </w:r>
      <w:r>
        <w:t>’</w:t>
      </w:r>
      <w:r w:rsidRPr="009E690C">
        <w:t>Anse</w:t>
      </w:r>
      <w:proofErr w:type="spellEnd"/>
      <w:r w:rsidRPr="009E690C">
        <w:t xml:space="preserve">. Des cultures avaient été </w:t>
      </w:r>
      <w:r>
        <w:t>détruites</w:t>
      </w:r>
      <w:r w:rsidRPr="009E690C">
        <w:t xml:space="preserve"> à plus de 70</w:t>
      </w:r>
      <w:r>
        <w:t> </w:t>
      </w:r>
      <w:r w:rsidRPr="009E690C">
        <w:t>% dans certains endroits, des milliers de têtes de bétail avaient été emportées par les eaux, une quantité énorme d</w:t>
      </w:r>
      <w:r>
        <w:t>’</w:t>
      </w:r>
      <w:r w:rsidRPr="009E690C">
        <w:t>arbres avaient été abattus par le vent</w:t>
      </w:r>
      <w:r>
        <w:t xml:space="preserve"> et</w:t>
      </w:r>
      <w:r w:rsidRPr="009E690C">
        <w:t xml:space="preserve"> plusieurs routes avaient été détruites, ainsi que des outils de pêche et de travaux agricoles</w:t>
      </w:r>
      <w:r w:rsidRPr="00EE4A62">
        <w:rPr>
          <w:rStyle w:val="FootnoteReference"/>
        </w:rPr>
        <w:footnoteReference w:id="28"/>
      </w:r>
      <w:r w:rsidRPr="009E690C">
        <w:t>.</w:t>
      </w:r>
    </w:p>
    <w:p w:rsidR="000B0FA8" w:rsidRPr="009E690C" w:rsidRDefault="000B0FA8" w:rsidP="000B0FA8">
      <w:pPr>
        <w:pStyle w:val="SingleTxtG"/>
      </w:pPr>
      <w:r w:rsidRPr="009E690C">
        <w:t>83.</w:t>
      </w:r>
      <w:r w:rsidRPr="009E690C">
        <w:tab/>
      </w:r>
      <w:r>
        <w:t>Se fondant</w:t>
      </w:r>
      <w:r w:rsidRPr="009E690C">
        <w:t xml:space="preserve"> sur le rapport publié par le Bureau de </w:t>
      </w:r>
      <w:r>
        <w:t>la c</w:t>
      </w:r>
      <w:r w:rsidRPr="009E690C">
        <w:t xml:space="preserve">oordination des </w:t>
      </w:r>
      <w:r>
        <w:t>a</w:t>
      </w:r>
      <w:r w:rsidRPr="009E690C">
        <w:t xml:space="preserve">ffaires </w:t>
      </w:r>
      <w:r>
        <w:t>h</w:t>
      </w:r>
      <w:r w:rsidRPr="009E690C">
        <w:t>uma</w:t>
      </w:r>
      <w:r>
        <w:t>nitaires</w:t>
      </w:r>
      <w:r w:rsidRPr="009E690C">
        <w:t xml:space="preserve"> le 17</w:t>
      </w:r>
      <w:r w:rsidR="002D70F6" w:rsidRPr="009E690C">
        <w:rPr>
          <w:szCs w:val="18"/>
        </w:rPr>
        <w:t> </w:t>
      </w:r>
      <w:r w:rsidRPr="009E690C">
        <w:t xml:space="preserve">octobre 2016, le Réseau </w:t>
      </w:r>
      <w:r>
        <w:t>n</w:t>
      </w:r>
      <w:r w:rsidRPr="009E690C">
        <w:t xml:space="preserve">ational de </w:t>
      </w:r>
      <w:r>
        <w:t>d</w:t>
      </w:r>
      <w:r w:rsidRPr="009E690C">
        <w:t xml:space="preserve">éfense des </w:t>
      </w:r>
      <w:r>
        <w:t>d</w:t>
      </w:r>
      <w:r w:rsidRPr="009E690C">
        <w:t xml:space="preserve">roits </w:t>
      </w:r>
      <w:r>
        <w:t>h</w:t>
      </w:r>
      <w:r w:rsidRPr="009E690C">
        <w:t xml:space="preserve">umains </w:t>
      </w:r>
      <w:r>
        <w:t xml:space="preserve">(RNDDH) </w:t>
      </w:r>
      <w:r w:rsidRPr="009E690C">
        <w:t>affirmait que dans l</w:t>
      </w:r>
      <w:r>
        <w:t>’</w:t>
      </w:r>
      <w:r w:rsidRPr="009E690C">
        <w:t>ensemble du pays «</w:t>
      </w:r>
      <w:r>
        <w:t> </w:t>
      </w:r>
      <w:r w:rsidRPr="009E690C">
        <w:t>cinq cent quarante-six (546) morts et cent vingt-huit (128) disparus ont été recensés. Deux millions cent mille (2</w:t>
      </w:r>
      <w:r>
        <w:t> </w:t>
      </w:r>
      <w:r w:rsidRPr="009E690C">
        <w:t>100</w:t>
      </w:r>
      <w:r>
        <w:t> </w:t>
      </w:r>
      <w:r w:rsidRPr="009E690C">
        <w:t>000) personnes ont été affectées par l</w:t>
      </w:r>
      <w:r>
        <w:t>’</w:t>
      </w:r>
      <w:r w:rsidRPr="009E690C">
        <w:t>ouragan. Parmi elles, un million quatre cent mille (1</w:t>
      </w:r>
      <w:r>
        <w:t> </w:t>
      </w:r>
      <w:r w:rsidRPr="009E690C">
        <w:t>400</w:t>
      </w:r>
      <w:r>
        <w:t> </w:t>
      </w:r>
      <w:r w:rsidRPr="009E690C">
        <w:t>000) sont en situation de vulnérabilité et ont besoin de l</w:t>
      </w:r>
      <w:r>
        <w:t>’</w:t>
      </w:r>
      <w:r w:rsidRPr="009E690C">
        <w:t>aide humanitaire et pas moins de cent soixante-quinze mille cinq cent neuf (175</w:t>
      </w:r>
      <w:r>
        <w:t> </w:t>
      </w:r>
      <w:r w:rsidRPr="009E690C">
        <w:t>509) personnes sont déplacées</w:t>
      </w:r>
      <w:r>
        <w:t> </w:t>
      </w:r>
      <w:r w:rsidRPr="009E690C">
        <w:t>»</w:t>
      </w:r>
      <w:r w:rsidRPr="00EE4A62">
        <w:rPr>
          <w:rStyle w:val="FootnoteReference"/>
        </w:rPr>
        <w:footnoteReference w:id="29"/>
      </w:r>
      <w:r w:rsidRPr="009E690C">
        <w:t>. Ces chiffres étaient provisoires et tout indiquait qu</w:t>
      </w:r>
      <w:r>
        <w:t>’ils</w:t>
      </w:r>
      <w:r w:rsidRPr="009E690C">
        <w:t xml:space="preserve"> allaient sensiblement</w:t>
      </w:r>
      <w:r>
        <w:t xml:space="preserve"> </w:t>
      </w:r>
      <w:r w:rsidRPr="009E690C">
        <w:t>augmenter.</w:t>
      </w:r>
    </w:p>
    <w:p w:rsidR="000B0FA8" w:rsidRPr="009E690C" w:rsidRDefault="000B0FA8" w:rsidP="000B0FA8">
      <w:pPr>
        <w:pStyle w:val="SingleTxtG"/>
      </w:pPr>
      <w:r w:rsidRPr="009E690C">
        <w:lastRenderedPageBreak/>
        <w:t>84.</w:t>
      </w:r>
      <w:r w:rsidRPr="009E690C">
        <w:tab/>
        <w:t>Plusieurs cas de choléra ont été enregistrés après l</w:t>
      </w:r>
      <w:r>
        <w:t>’</w:t>
      </w:r>
      <w:r w:rsidRPr="009E690C">
        <w:t xml:space="preserve">ouragan. </w:t>
      </w:r>
      <w:r>
        <w:t>Rien que dans la région de</w:t>
      </w:r>
      <w:r w:rsidRPr="009E690C">
        <w:t xml:space="preserve"> </w:t>
      </w:r>
      <w:proofErr w:type="spellStart"/>
      <w:r w:rsidRPr="009E690C">
        <w:t>Grand</w:t>
      </w:r>
      <w:r>
        <w:t>’</w:t>
      </w:r>
      <w:r w:rsidRPr="009E690C">
        <w:t>Anse</w:t>
      </w:r>
      <w:proofErr w:type="spellEnd"/>
      <w:r w:rsidRPr="009E690C">
        <w:t xml:space="preserve">, la Direction de la </w:t>
      </w:r>
      <w:r>
        <w:t>p</w:t>
      </w:r>
      <w:r w:rsidRPr="009E690C">
        <w:t xml:space="preserve">rotection </w:t>
      </w:r>
      <w:r>
        <w:t>c</w:t>
      </w:r>
      <w:r w:rsidRPr="009E690C">
        <w:t>ivile parlait de 601</w:t>
      </w:r>
      <w:r w:rsidR="005E27E7" w:rsidRPr="009E690C">
        <w:rPr>
          <w:szCs w:val="18"/>
        </w:rPr>
        <w:t> </w:t>
      </w:r>
      <w:r w:rsidRPr="009E690C">
        <w:t>nouveaux cas jusqu</w:t>
      </w:r>
      <w:r>
        <w:t>’</w:t>
      </w:r>
      <w:r w:rsidRPr="009E690C">
        <w:t>au 20</w:t>
      </w:r>
      <w:r w:rsidR="005E27E7" w:rsidRPr="009E690C">
        <w:rPr>
          <w:szCs w:val="18"/>
        </w:rPr>
        <w:t> </w:t>
      </w:r>
      <w:r w:rsidRPr="009E690C">
        <w:t>octobre et elle prévenait que les cas augment</w:t>
      </w:r>
      <w:r>
        <w:t>ai</w:t>
      </w:r>
      <w:r w:rsidRPr="009E690C">
        <w:t xml:space="preserve">ent rapidement. </w:t>
      </w:r>
    </w:p>
    <w:p w:rsidR="000B0FA8" w:rsidRPr="009E690C" w:rsidRDefault="000B0FA8" w:rsidP="000B0FA8">
      <w:pPr>
        <w:pStyle w:val="SingleTxtG"/>
      </w:pPr>
      <w:r w:rsidRPr="009E690C">
        <w:t>85.</w:t>
      </w:r>
      <w:r w:rsidRPr="009E690C">
        <w:tab/>
        <w:t>Tout en reconnaissant l</w:t>
      </w:r>
      <w:r>
        <w:t>’</w:t>
      </w:r>
      <w:r w:rsidRPr="009E690C">
        <w:t xml:space="preserve">importance des actions déployées par les autorités nationales ainsi que par la communauté internationale pour faire face à cette catastrophe, </w:t>
      </w:r>
      <w:r>
        <w:t>l’Expert indépendant estime qu’</w:t>
      </w:r>
      <w:r w:rsidRPr="009E690C">
        <w:t xml:space="preserve">il faut encore redoubler </w:t>
      </w:r>
      <w:r>
        <w:t>d’</w:t>
      </w:r>
      <w:r w:rsidRPr="009E690C">
        <w:t xml:space="preserve">efforts et </w:t>
      </w:r>
      <w:r>
        <w:t>développer</w:t>
      </w:r>
      <w:r w:rsidRPr="009E690C">
        <w:t xml:space="preserve"> le travail communautaire de façon à ce que les activités à </w:t>
      </w:r>
      <w:r>
        <w:t>mener</w:t>
      </w:r>
      <w:r w:rsidRPr="009E690C">
        <w:t xml:space="preserve"> puissent se traduire en source d</w:t>
      </w:r>
      <w:r>
        <w:t>’</w:t>
      </w:r>
      <w:r w:rsidRPr="009E690C">
        <w:t>emploi et de mobilisation économique de la population ainsi qu</w:t>
      </w:r>
      <w:r>
        <w:t>’</w:t>
      </w:r>
      <w:r w:rsidRPr="009E690C">
        <w:t>en moteur du renforcement des liens sociaux et des possibilités de développement de l</w:t>
      </w:r>
      <w:r>
        <w:t>’</w:t>
      </w:r>
      <w:r w:rsidRPr="009E690C">
        <w:t xml:space="preserve">ensemble de la société. </w:t>
      </w:r>
    </w:p>
    <w:p w:rsidR="000B0FA8" w:rsidRPr="009E690C" w:rsidRDefault="000B0FA8" w:rsidP="000B0FA8">
      <w:pPr>
        <w:pStyle w:val="SingleTxtG"/>
      </w:pPr>
      <w:r w:rsidRPr="009E690C">
        <w:t>86.</w:t>
      </w:r>
      <w:r w:rsidRPr="009E690C">
        <w:tab/>
        <w:t>L</w:t>
      </w:r>
      <w:r>
        <w:t>’atteinte aux</w:t>
      </w:r>
      <w:r w:rsidRPr="009E690C">
        <w:t xml:space="preserve"> droits des personnes en Haïti à cause des catastrophes naturelles est l</w:t>
      </w:r>
      <w:r>
        <w:t>’</w:t>
      </w:r>
      <w:r w:rsidRPr="009E690C">
        <w:t>un des cinq aspects que l</w:t>
      </w:r>
      <w:r>
        <w:t>’</w:t>
      </w:r>
      <w:r w:rsidRPr="009E690C">
        <w:t>Expert indépendant</w:t>
      </w:r>
      <w:r>
        <w:t xml:space="preserve"> </w:t>
      </w:r>
      <w:r w:rsidRPr="009E690C">
        <w:t xml:space="preserve">a </w:t>
      </w:r>
      <w:r>
        <w:t>désignés</w:t>
      </w:r>
      <w:r w:rsidRPr="009E690C">
        <w:t xml:space="preserve"> comme prioritaires</w:t>
      </w:r>
      <w:r>
        <w:t xml:space="preserve"> </w:t>
      </w:r>
      <w:r w:rsidRPr="009E690C">
        <w:t>dans ses rapports précédents. Plus que beaucoup d</w:t>
      </w:r>
      <w:r>
        <w:t>’</w:t>
      </w:r>
      <w:r w:rsidRPr="009E690C">
        <w:t>autres pays, Haïti est soumis de façon aigu</w:t>
      </w:r>
      <w:r>
        <w:t>ë</w:t>
      </w:r>
      <w:r w:rsidRPr="009E690C">
        <w:t xml:space="preserve"> à ce risque et les autorités doivent prendre des mesures adéquates aussi bien pour prévenir les tragédies que pour réparer rapidement les dégâts qui en résultent. </w:t>
      </w:r>
    </w:p>
    <w:p w:rsidR="000B0FA8" w:rsidRPr="009E690C" w:rsidRDefault="000B0FA8" w:rsidP="000B0FA8">
      <w:pPr>
        <w:pStyle w:val="SingleTxtG"/>
      </w:pPr>
      <w:r w:rsidRPr="009E690C">
        <w:t>87.</w:t>
      </w:r>
      <w:r w:rsidRPr="009E690C">
        <w:tab/>
        <w:t>L</w:t>
      </w:r>
      <w:r>
        <w:t>’</w:t>
      </w:r>
      <w:r w:rsidRPr="009E690C">
        <w:t>Expert indépendant</w:t>
      </w:r>
      <w:r>
        <w:t xml:space="preserve"> </w:t>
      </w:r>
      <w:r w:rsidRPr="009E690C">
        <w:t>tient à rappeler qu</w:t>
      </w:r>
      <w:r>
        <w:t>’</w:t>
      </w:r>
      <w:r w:rsidRPr="009E690C">
        <w:t>il y a environ 55</w:t>
      </w:r>
      <w:r>
        <w:t> </w:t>
      </w:r>
      <w:r w:rsidRPr="009E690C">
        <w:t>000</w:t>
      </w:r>
      <w:r w:rsidR="005E27E7" w:rsidRPr="009E690C">
        <w:rPr>
          <w:szCs w:val="18"/>
        </w:rPr>
        <w:t> </w:t>
      </w:r>
      <w:r w:rsidRPr="009E690C">
        <w:t xml:space="preserve">personnes qui se trouvent encore dans des camps de déplacés six ans et demi après le tremblement de terre de 2010 et que leur situation doit être résolue. Ces personnes </w:t>
      </w:r>
      <w:r w:rsidRPr="00C301BE">
        <w:t>continuent à être exposées à des évictions</w:t>
      </w:r>
      <w:r w:rsidRPr="009E690C">
        <w:t xml:space="preserve"> forcées par des propriétaires de terrains, ce qui constitue un danger permanent pour leurs droits déjà assez outragés. </w:t>
      </w:r>
      <w:r>
        <w:t xml:space="preserve">Il </w:t>
      </w:r>
      <w:r w:rsidRPr="009E690C">
        <w:t>est encourageant de savoir que le Gouvernement ne s</w:t>
      </w:r>
      <w:r>
        <w:t>’</w:t>
      </w:r>
      <w:r w:rsidRPr="009E690C">
        <w:t xml:space="preserve">est finalement pas opposé à la recommandation faite dans </w:t>
      </w:r>
      <w:r>
        <w:t xml:space="preserve">le cadre de </w:t>
      </w:r>
      <w:r w:rsidRPr="009E690C">
        <w:t>l</w:t>
      </w:r>
      <w:r>
        <w:t>’examen périodique universel</w:t>
      </w:r>
      <w:r w:rsidRPr="009E690C">
        <w:t xml:space="preserve"> </w:t>
      </w:r>
      <w:r>
        <w:t>de</w:t>
      </w:r>
      <w:r w:rsidRPr="009E690C">
        <w:t xml:space="preserve"> mettre fin à toute éviction forcée des camps de déplacement, et à d</w:t>
      </w:r>
      <w:r>
        <w:t>’</w:t>
      </w:r>
      <w:r w:rsidRPr="009E690C">
        <w:t>autres recommandations à l</w:t>
      </w:r>
      <w:r>
        <w:t>’</w:t>
      </w:r>
      <w:r w:rsidRPr="009E690C">
        <w:t>égard des personnes déplacées</w:t>
      </w:r>
      <w:r w:rsidRPr="00EE4A62">
        <w:rPr>
          <w:rStyle w:val="FootnoteReference"/>
        </w:rPr>
        <w:footnoteReference w:id="30"/>
      </w:r>
      <w:r w:rsidRPr="009E690C">
        <w:t>. L</w:t>
      </w:r>
      <w:r>
        <w:t>’</w:t>
      </w:r>
      <w:r w:rsidRPr="009E690C">
        <w:t xml:space="preserve">Expert </w:t>
      </w:r>
      <w:r>
        <w:t xml:space="preserve">indépendant </w:t>
      </w:r>
      <w:r w:rsidRPr="009E690C">
        <w:t xml:space="preserve">invite les autorités haïtiennes à avoir une discussion </w:t>
      </w:r>
      <w:r>
        <w:t>visant à déterminer</w:t>
      </w:r>
      <w:r w:rsidRPr="009E690C">
        <w:t xml:space="preserve"> les raisons d</w:t>
      </w:r>
      <w:r>
        <w:t>e leur</w:t>
      </w:r>
      <w:r w:rsidRPr="009E690C">
        <w:t xml:space="preserve"> refus initial</w:t>
      </w:r>
      <w:r>
        <w:t xml:space="preserve"> d’</w:t>
      </w:r>
      <w:r w:rsidRPr="009E690C">
        <w:t>accepter ces recommandations</w:t>
      </w:r>
      <w:r>
        <w:t>. L</w:t>
      </w:r>
      <w:r w:rsidRPr="009E690C">
        <w:t>e Comité des droits de l</w:t>
      </w:r>
      <w:r>
        <w:t>’</w:t>
      </w:r>
      <w:r w:rsidRPr="009E690C">
        <w:t>homme a aussi recommandé à l</w:t>
      </w:r>
      <w:r>
        <w:t>’</w:t>
      </w:r>
      <w:r w:rsidRPr="009E690C">
        <w:t>État haïtien de «</w:t>
      </w:r>
      <w:r>
        <w:t> </w:t>
      </w:r>
      <w:r w:rsidRPr="009E690C">
        <w:t>garantir qu</w:t>
      </w:r>
      <w:r>
        <w:t>’</w:t>
      </w:r>
      <w:r w:rsidRPr="009E690C">
        <w:t>aucune personne ne soit expulsée des camps sans qu</w:t>
      </w:r>
      <w:r>
        <w:t>’</w:t>
      </w:r>
      <w:r w:rsidRPr="009E690C">
        <w:t>une alternative n</w:t>
      </w:r>
      <w:r>
        <w:t>’</w:t>
      </w:r>
      <w:r w:rsidRPr="009E690C">
        <w:t>ait été trouvée pour elle et sa famille et que chaque personne déplacée par le séisme puisse bénéficier de solutions durables</w:t>
      </w:r>
      <w:r>
        <w:t> </w:t>
      </w:r>
      <w:r w:rsidRPr="009E690C">
        <w:t>»</w:t>
      </w:r>
      <w:r w:rsidRPr="00EE4A62">
        <w:rPr>
          <w:rStyle w:val="FootnoteReference"/>
        </w:rPr>
        <w:footnoteReference w:id="31"/>
      </w:r>
      <w:r w:rsidRPr="009E690C">
        <w:t>.</w:t>
      </w:r>
    </w:p>
    <w:p w:rsidR="000B0FA8" w:rsidRPr="009E690C" w:rsidRDefault="000B0FA8" w:rsidP="000B0FA8">
      <w:pPr>
        <w:pStyle w:val="H23G"/>
      </w:pPr>
      <w:r w:rsidRPr="009E690C">
        <w:tab/>
      </w:r>
      <w:r>
        <w:t>2.</w:t>
      </w:r>
      <w:r w:rsidRPr="009E690C">
        <w:tab/>
      </w:r>
      <w:r>
        <w:t>A</w:t>
      </w:r>
      <w:r w:rsidRPr="009E690C">
        <w:t>patridie et droits des personnes haïtiennes ou d</w:t>
      </w:r>
      <w:r>
        <w:t>’</w:t>
      </w:r>
      <w:r w:rsidRPr="009E690C">
        <w:t xml:space="preserve">origine haïtienne </w:t>
      </w:r>
      <w:r w:rsidR="005E27E7">
        <w:br/>
      </w:r>
      <w:r w:rsidRPr="009E690C">
        <w:t>migrant de la République dominicaine</w:t>
      </w:r>
    </w:p>
    <w:p w:rsidR="000B0FA8" w:rsidRPr="009E690C" w:rsidRDefault="000B0FA8" w:rsidP="000B0FA8">
      <w:pPr>
        <w:pStyle w:val="SingleTxtG"/>
      </w:pPr>
      <w:r w:rsidRPr="009E690C">
        <w:t>88.</w:t>
      </w:r>
      <w:r w:rsidRPr="009E690C">
        <w:tab/>
        <w:t>Dans ses précédents rapports, l</w:t>
      </w:r>
      <w:r>
        <w:t>’</w:t>
      </w:r>
      <w:r w:rsidRPr="009E690C">
        <w:t>Expert indépendant</w:t>
      </w:r>
      <w:r>
        <w:t xml:space="preserve"> </w:t>
      </w:r>
      <w:r w:rsidRPr="009E690C">
        <w:t>s</w:t>
      </w:r>
      <w:r>
        <w:t>’</w:t>
      </w:r>
      <w:r w:rsidRPr="009E690C">
        <w:t>est prononcé sur la nécessité de protéger les personnes haïtiennes ou d</w:t>
      </w:r>
      <w:r>
        <w:t>’</w:t>
      </w:r>
      <w:r w:rsidRPr="009E690C">
        <w:t xml:space="preserve">origine haïtienne vivant en République dominicaine dont les droits, et notamment celui de la nationalité, ne sont pas respectés </w:t>
      </w:r>
      <w:r>
        <w:t>ni</w:t>
      </w:r>
      <w:r w:rsidRPr="009E690C">
        <w:t xml:space="preserve"> même reconnus. Ces personnes </w:t>
      </w:r>
      <w:r>
        <w:t>risquent d’</w:t>
      </w:r>
      <w:r w:rsidRPr="009E690C">
        <w:t xml:space="preserve">être expulsées et </w:t>
      </w:r>
      <w:r>
        <w:t>de</w:t>
      </w:r>
      <w:r w:rsidRPr="009E690C">
        <w:t xml:space="preserve"> se </w:t>
      </w:r>
      <w:r>
        <w:t>re</w:t>
      </w:r>
      <w:r w:rsidRPr="009E690C">
        <w:t>trouver en situation d</w:t>
      </w:r>
      <w:r>
        <w:t>’</w:t>
      </w:r>
      <w:r w:rsidRPr="009E690C">
        <w:t>apatridie en Haïti. Le Gouvernement a indiqué que «</w:t>
      </w:r>
      <w:r>
        <w:t> </w:t>
      </w:r>
      <w:r w:rsidRPr="009E690C">
        <w:t xml:space="preserve">ces personnes bénéficient du </w:t>
      </w:r>
      <w:r w:rsidRPr="00EE4A62">
        <w:rPr>
          <w:i/>
          <w:iCs/>
        </w:rPr>
        <w:t xml:space="preserve">jus </w:t>
      </w:r>
      <w:proofErr w:type="spellStart"/>
      <w:r w:rsidRPr="00EE4A62">
        <w:rPr>
          <w:i/>
          <w:iCs/>
        </w:rPr>
        <w:t>sanguinis</w:t>
      </w:r>
      <w:proofErr w:type="spellEnd"/>
      <w:r>
        <w:t> </w:t>
      </w:r>
      <w:r w:rsidRPr="009E690C">
        <w:t>» et que «</w:t>
      </w:r>
      <w:r>
        <w:t> </w:t>
      </w:r>
      <w:r w:rsidRPr="009E690C">
        <w:t xml:space="preserve">le Gouvernement a toujours procuré un acte de naissance aux </w:t>
      </w:r>
      <w:r>
        <w:t>H</w:t>
      </w:r>
      <w:r w:rsidRPr="009E690C">
        <w:t>aïtiens qui n</w:t>
      </w:r>
      <w:r>
        <w:t>’</w:t>
      </w:r>
      <w:r w:rsidRPr="009E690C">
        <w:t>en avaient pas</w:t>
      </w:r>
      <w:r>
        <w:t> </w:t>
      </w:r>
      <w:r w:rsidRPr="009E690C">
        <w:t>»</w:t>
      </w:r>
      <w:r w:rsidRPr="00EE4A62">
        <w:rPr>
          <w:rStyle w:val="FootnoteReference"/>
        </w:rPr>
        <w:footnoteReference w:id="32"/>
      </w:r>
      <w:r w:rsidRPr="009E690C">
        <w:t xml:space="preserve">. Il faudrait tout de même </w:t>
      </w:r>
      <w:r>
        <w:t>prendre des mesures</w:t>
      </w:r>
      <w:r w:rsidRPr="009E690C">
        <w:t xml:space="preserve"> juridiques spéciales pour reconnaître leurs droits en Haïti de façon plus efficace puisque ces personnes ont des difficultés pratiques à prouver leur droit à la nationalité. </w:t>
      </w:r>
    </w:p>
    <w:p w:rsidR="000B0FA8" w:rsidRPr="009E690C" w:rsidRDefault="000B0FA8" w:rsidP="000B0FA8">
      <w:pPr>
        <w:pStyle w:val="SingleTxtG"/>
      </w:pPr>
      <w:r w:rsidRPr="009E690C">
        <w:t>89.</w:t>
      </w:r>
      <w:r w:rsidRPr="009E690C">
        <w:tab/>
        <w:t>En mars 2016, l</w:t>
      </w:r>
      <w:r>
        <w:t>’</w:t>
      </w:r>
      <w:r w:rsidRPr="009E690C">
        <w:t>Expert indépendant</w:t>
      </w:r>
      <w:r>
        <w:t xml:space="preserve"> </w:t>
      </w:r>
      <w:r w:rsidRPr="009E690C">
        <w:t xml:space="preserve">a visité </w:t>
      </w:r>
      <w:proofErr w:type="spellStart"/>
      <w:r w:rsidRPr="009E690C">
        <w:t>Ouanaminthe</w:t>
      </w:r>
      <w:proofErr w:type="spellEnd"/>
      <w:r w:rsidRPr="009E690C">
        <w:t xml:space="preserve">, </w:t>
      </w:r>
      <w:r>
        <w:t>à</w:t>
      </w:r>
      <w:r w:rsidRPr="009E690C">
        <w:t xml:space="preserve"> la frontière </w:t>
      </w:r>
      <w:r>
        <w:t>n</w:t>
      </w:r>
      <w:r w:rsidRPr="009E690C">
        <w:t>ord, où un</w:t>
      </w:r>
      <w:r>
        <w:t xml:space="preserve"> nombre</w:t>
      </w:r>
      <w:r w:rsidRPr="009E690C">
        <w:t xml:space="preserve"> considérable d</w:t>
      </w:r>
      <w:r>
        <w:t>’H</w:t>
      </w:r>
      <w:r w:rsidRPr="009E690C">
        <w:t>aïtiens subissaient des expulsions depuis le mois d</w:t>
      </w:r>
      <w:r>
        <w:t>’</w:t>
      </w:r>
      <w:r w:rsidRPr="009E690C">
        <w:t xml:space="preserve">août dernier. En février 2016, on </w:t>
      </w:r>
      <w:r>
        <w:t xml:space="preserve">en </w:t>
      </w:r>
      <w:r w:rsidRPr="009E690C">
        <w:t>a enregistré autour de 2</w:t>
      </w:r>
      <w:r>
        <w:t> </w:t>
      </w:r>
      <w:r w:rsidRPr="009E690C">
        <w:t>500 (dont environ 300</w:t>
      </w:r>
      <w:r w:rsidR="005E27E7" w:rsidRPr="009E690C">
        <w:rPr>
          <w:szCs w:val="18"/>
        </w:rPr>
        <w:t> </w:t>
      </w:r>
      <w:r w:rsidRPr="009E690C">
        <w:t>femmes adultes et plus de 150</w:t>
      </w:r>
      <w:r w:rsidR="005E27E7" w:rsidRPr="009E690C">
        <w:rPr>
          <w:szCs w:val="18"/>
        </w:rPr>
        <w:t> </w:t>
      </w:r>
      <w:r w:rsidRPr="009E690C">
        <w:t xml:space="preserve">mineurs). </w:t>
      </w:r>
      <w:r>
        <w:t>Il s’agissait</w:t>
      </w:r>
      <w:r w:rsidRPr="009E690C">
        <w:t xml:space="preserve"> </w:t>
      </w:r>
      <w:r>
        <w:t>essentiellement</w:t>
      </w:r>
      <w:r w:rsidRPr="009E690C">
        <w:t xml:space="preserve"> de travailleurs agricoles, accueillis du côté haïtien par des organisations publiques, civiles et religieuses, qui faisaient un travail admirable dans des circonstances très précaires. </w:t>
      </w:r>
      <w:r>
        <w:t>L’</w:t>
      </w:r>
      <w:r w:rsidRPr="009E690C">
        <w:t>Expert</w:t>
      </w:r>
      <w:r>
        <w:t xml:space="preserve"> </w:t>
      </w:r>
      <w:r w:rsidRPr="009E690C">
        <w:t>indépendant</w:t>
      </w:r>
      <w:r>
        <w:t xml:space="preserve"> a appris que</w:t>
      </w:r>
      <w:r w:rsidRPr="009E690C">
        <w:t xml:space="preserve"> l</w:t>
      </w:r>
      <w:r>
        <w:t>’expulsion</w:t>
      </w:r>
      <w:r w:rsidRPr="009E690C">
        <w:t xml:space="preserve"> de mineurs non accompagnés se poursui</w:t>
      </w:r>
      <w:r>
        <w:t>vai</w:t>
      </w:r>
      <w:r w:rsidRPr="009E690C">
        <w:t xml:space="preserve">t. </w:t>
      </w:r>
      <w:r>
        <w:t xml:space="preserve">Il </w:t>
      </w:r>
      <w:r w:rsidRPr="009E690C">
        <w:t xml:space="preserve">réitère </w:t>
      </w:r>
      <w:r>
        <w:t xml:space="preserve">son </w:t>
      </w:r>
      <w:r w:rsidRPr="009E690C">
        <w:t xml:space="preserve">appel aux autorités haïtiennes pour </w:t>
      </w:r>
      <w:r>
        <w:t xml:space="preserve">qu’elles </w:t>
      </w:r>
      <w:r w:rsidRPr="009E690C">
        <w:t>pren</w:t>
      </w:r>
      <w:r>
        <w:t>nent</w:t>
      </w:r>
      <w:r w:rsidRPr="009E690C">
        <w:t xml:space="preserve"> des mesures pour prévenir cette situation </w:t>
      </w:r>
      <w:r>
        <w:t>et</w:t>
      </w:r>
      <w:r w:rsidRPr="009E690C">
        <w:t xml:space="preserve"> pour améliorer la capacité de l</w:t>
      </w:r>
      <w:r>
        <w:t>’</w:t>
      </w:r>
      <w:r w:rsidRPr="009E690C">
        <w:t xml:space="preserve">État </w:t>
      </w:r>
      <w:r>
        <w:t>de</w:t>
      </w:r>
      <w:r w:rsidRPr="009E690C">
        <w:t xml:space="preserve"> garantir les droits de ces individus liés, avec des difficultés, à la société haïtienne.</w:t>
      </w:r>
    </w:p>
    <w:p w:rsidR="000B0FA8" w:rsidRPr="009E690C" w:rsidRDefault="000B0FA8" w:rsidP="000B0FA8">
      <w:pPr>
        <w:pStyle w:val="SingleTxtG"/>
      </w:pPr>
      <w:r w:rsidRPr="00DF2BDB">
        <w:lastRenderedPageBreak/>
        <w:t>90.</w:t>
      </w:r>
      <w:r w:rsidRPr="00DF2BDB">
        <w:tab/>
        <w:t>L’Expert indépendant a reçu des autorités haïtiennes l’information selon laquelle les relations avec la République dominicaine s’étaient améliorées pendant l’année 2016, et il les encourage à saisir cette occasion pour améliorer le statut juridique des personnes d’origine haïtienne vivant dans le pays voisin pour que la protection de leurs droits soit plus solide.</w:t>
      </w:r>
      <w:r w:rsidRPr="009E690C">
        <w:t xml:space="preserve"> </w:t>
      </w:r>
    </w:p>
    <w:p w:rsidR="000B0FA8" w:rsidRPr="009E690C" w:rsidRDefault="000B0FA8" w:rsidP="000B0FA8">
      <w:pPr>
        <w:pStyle w:val="SingleTxtG"/>
      </w:pPr>
      <w:r w:rsidRPr="009E690C">
        <w:t>91.</w:t>
      </w:r>
      <w:r w:rsidRPr="009E690C">
        <w:tab/>
      </w:r>
      <w:r>
        <w:t xml:space="preserve">Il </w:t>
      </w:r>
      <w:r w:rsidRPr="009E690C">
        <w:t xml:space="preserve">est rassurant de savoir que le Gouvernement </w:t>
      </w:r>
      <w:r>
        <w:t>h</w:t>
      </w:r>
      <w:r w:rsidRPr="009E690C">
        <w:t>aïti</w:t>
      </w:r>
      <w:r>
        <w:t>en</w:t>
      </w:r>
      <w:r w:rsidRPr="009E690C">
        <w:t xml:space="preserve"> ne s</w:t>
      </w:r>
      <w:r>
        <w:t>’</w:t>
      </w:r>
      <w:r w:rsidRPr="009E690C">
        <w:t xml:space="preserve">est </w:t>
      </w:r>
      <w:r>
        <w:t xml:space="preserve">finalement </w:t>
      </w:r>
      <w:r w:rsidRPr="009E690C">
        <w:t>pas opposé à la recommandation faite lors de l</w:t>
      </w:r>
      <w:r>
        <w:t>’examen périodique universel</w:t>
      </w:r>
      <w:r w:rsidRPr="009E690C">
        <w:t xml:space="preserve"> de mettre </w:t>
      </w:r>
      <w:r>
        <w:t>à</w:t>
      </w:r>
      <w:r w:rsidRPr="009E690C">
        <w:t xml:space="preserve"> jour le Protocol</w:t>
      </w:r>
      <w:r>
        <w:t>e</w:t>
      </w:r>
      <w:r w:rsidRPr="009E690C">
        <w:t xml:space="preserve"> avec la République dominicaine sur des mécanismes de rapatriement conformes aux normes internationa</w:t>
      </w:r>
      <w:r>
        <w:t>les</w:t>
      </w:r>
      <w:r w:rsidRPr="009E690C">
        <w:t xml:space="preserve">, </w:t>
      </w:r>
      <w:r>
        <w:t>ni</w:t>
      </w:r>
      <w:r w:rsidRPr="009E690C">
        <w:t xml:space="preserve"> à celle de fournir des documents à des personnes d</w:t>
      </w:r>
      <w:r>
        <w:t>’</w:t>
      </w:r>
      <w:r w:rsidRPr="009E690C">
        <w:t xml:space="preserve">origine haïtienne vivant en République dominicaine pour régulariser leur statut et éviter des </w:t>
      </w:r>
      <w:r>
        <w:t>expulsions</w:t>
      </w:r>
      <w:r w:rsidRPr="009E690C">
        <w:t xml:space="preserve"> en coordination avec l</w:t>
      </w:r>
      <w:r>
        <w:t>’</w:t>
      </w:r>
      <w:r w:rsidRPr="009E690C">
        <w:t>Organisation international</w:t>
      </w:r>
      <w:r>
        <w:t>e</w:t>
      </w:r>
      <w:r w:rsidRPr="009E690C">
        <w:t xml:space="preserve"> </w:t>
      </w:r>
      <w:r>
        <w:t>pour les</w:t>
      </w:r>
      <w:r w:rsidRPr="009E690C">
        <w:t xml:space="preserve"> migrations</w:t>
      </w:r>
      <w:r w:rsidRPr="00EE4A62">
        <w:rPr>
          <w:rStyle w:val="FootnoteReference"/>
        </w:rPr>
        <w:footnoteReference w:id="33"/>
      </w:r>
      <w:r w:rsidRPr="009E690C">
        <w:t>. L</w:t>
      </w:r>
      <w:r>
        <w:t>’</w:t>
      </w:r>
      <w:r w:rsidRPr="009E690C">
        <w:t>Expert indépendant</w:t>
      </w:r>
      <w:r>
        <w:t xml:space="preserve"> </w:t>
      </w:r>
      <w:r w:rsidRPr="009E690C">
        <w:t xml:space="preserve">invite les autorités haïtiennes à discuter avec lui </w:t>
      </w:r>
      <w:r>
        <w:t>d</w:t>
      </w:r>
      <w:r w:rsidRPr="009E690C">
        <w:t xml:space="preserve">es raisons </w:t>
      </w:r>
      <w:r>
        <w:t>qui ont</w:t>
      </w:r>
      <w:r w:rsidRPr="009E690C">
        <w:t xml:space="preserve"> motivé le Gouvernement à exprimer initialement </w:t>
      </w:r>
      <w:r>
        <w:t>un</w:t>
      </w:r>
      <w:r w:rsidRPr="009E690C">
        <w:t xml:space="preserve"> refus de ces recommandations lors de l</w:t>
      </w:r>
      <w:r>
        <w:t>’examen</w:t>
      </w:r>
      <w:r w:rsidRPr="009E690C">
        <w:t>.</w:t>
      </w:r>
    </w:p>
    <w:p w:rsidR="000B0FA8" w:rsidRPr="009E690C" w:rsidRDefault="000B0FA8" w:rsidP="000B0FA8">
      <w:pPr>
        <w:pStyle w:val="H23G"/>
      </w:pPr>
      <w:r w:rsidRPr="009E690C">
        <w:tab/>
      </w:r>
      <w:r>
        <w:t>3.</w:t>
      </w:r>
      <w:r w:rsidRPr="009E690C">
        <w:tab/>
      </w:r>
      <w:r>
        <w:t>V</w:t>
      </w:r>
      <w:r w:rsidRPr="009E690C">
        <w:t>ictimes du choléra</w:t>
      </w:r>
    </w:p>
    <w:p w:rsidR="000B0FA8" w:rsidRPr="009E690C" w:rsidRDefault="000B0FA8" w:rsidP="000B0FA8">
      <w:pPr>
        <w:pStyle w:val="SingleTxtG"/>
      </w:pPr>
      <w:r w:rsidRPr="009E690C">
        <w:t>92.</w:t>
      </w:r>
      <w:r w:rsidRPr="009E690C">
        <w:tab/>
        <w:t>Une situation qui mérite aussi d</w:t>
      </w:r>
      <w:r>
        <w:t>’</w:t>
      </w:r>
      <w:r w:rsidRPr="009E690C">
        <w:t xml:space="preserve">être résolue de façon urgente est celle des victimes du choléra. Selon les chiffres </w:t>
      </w:r>
      <w:r>
        <w:t xml:space="preserve">les </w:t>
      </w:r>
      <w:r w:rsidRPr="009E690C">
        <w:t xml:space="preserve">plus </w:t>
      </w:r>
      <w:r>
        <w:t>modérés</w:t>
      </w:r>
      <w:r w:rsidRPr="009E690C">
        <w:t>, 9</w:t>
      </w:r>
      <w:r>
        <w:t> </w:t>
      </w:r>
      <w:r w:rsidRPr="009E690C">
        <w:t xml:space="preserve">415 </w:t>
      </w:r>
      <w:r>
        <w:t xml:space="preserve">personnes sont </w:t>
      </w:r>
      <w:r w:rsidRPr="009E690C">
        <w:t>mort</w:t>
      </w:r>
      <w:r>
        <w:t>e</w:t>
      </w:r>
      <w:r w:rsidRPr="009E690C">
        <w:t xml:space="preserve">s </w:t>
      </w:r>
      <w:r>
        <w:t>du</w:t>
      </w:r>
      <w:r w:rsidRPr="009E690C">
        <w:t xml:space="preserve"> choléra et plus de 792</w:t>
      </w:r>
      <w:r>
        <w:t> </w:t>
      </w:r>
      <w:r w:rsidRPr="009E690C">
        <w:t xml:space="preserve">153 personnes </w:t>
      </w:r>
      <w:r>
        <w:t xml:space="preserve">ont été </w:t>
      </w:r>
      <w:r w:rsidRPr="009E690C">
        <w:t>infectées depuis octobre 2010</w:t>
      </w:r>
      <w:r w:rsidRPr="00EE4A62">
        <w:rPr>
          <w:rStyle w:val="FootnoteReference"/>
        </w:rPr>
        <w:footnoteReference w:id="34"/>
      </w:r>
      <w:r w:rsidRPr="009E690C">
        <w:t>. Cette situation s</w:t>
      </w:r>
      <w:r>
        <w:t>’</w:t>
      </w:r>
      <w:r w:rsidRPr="009E690C">
        <w:t>est aggravée vers la fin de l</w:t>
      </w:r>
      <w:r>
        <w:t>’</w:t>
      </w:r>
      <w:r w:rsidRPr="009E690C">
        <w:t>année 2016 à cause du passage de l</w:t>
      </w:r>
      <w:r>
        <w:t>’</w:t>
      </w:r>
      <w:r w:rsidRPr="009E690C">
        <w:t>ouragan Matthew, qui a accru le nombre de victimes et a répandu l</w:t>
      </w:r>
      <w:r>
        <w:t>’</w:t>
      </w:r>
      <w:r w:rsidRPr="009E690C">
        <w:t xml:space="preserve">épidémie en la </w:t>
      </w:r>
      <w:r>
        <w:t>rendant</w:t>
      </w:r>
      <w:r w:rsidRPr="009E690C">
        <w:t xml:space="preserve"> plus difficile </w:t>
      </w:r>
      <w:r>
        <w:t>à</w:t>
      </w:r>
      <w:r w:rsidRPr="009E690C">
        <w:t xml:space="preserve"> contrôler.</w:t>
      </w:r>
    </w:p>
    <w:p w:rsidR="000B0FA8" w:rsidRPr="009E690C" w:rsidRDefault="000B0FA8" w:rsidP="000B0FA8">
      <w:pPr>
        <w:pStyle w:val="SingleTxtG"/>
      </w:pPr>
      <w:r w:rsidRPr="009E690C">
        <w:t>93.</w:t>
      </w:r>
      <w:r w:rsidRPr="009E690C">
        <w:tab/>
        <w:t>L</w:t>
      </w:r>
      <w:r>
        <w:t>’</w:t>
      </w:r>
      <w:r w:rsidRPr="009E690C">
        <w:t>Expert</w:t>
      </w:r>
      <w:r>
        <w:t xml:space="preserve"> </w:t>
      </w:r>
      <w:r w:rsidRPr="009E690C">
        <w:t xml:space="preserve">indépendant, </w:t>
      </w:r>
      <w:r>
        <w:t>tout comme</w:t>
      </w:r>
      <w:r w:rsidRPr="009E690C">
        <w:t xml:space="preserve"> son prédécesseur, a invité l</w:t>
      </w:r>
      <w:r>
        <w:t>’ONU</w:t>
      </w:r>
      <w:r w:rsidRPr="009E690C">
        <w:t xml:space="preserve"> à agir conformément à la gravité du problème et à </w:t>
      </w:r>
      <w:r>
        <w:t>s</w:t>
      </w:r>
      <w:r w:rsidRPr="009E690C">
        <w:t xml:space="preserve">a responsabilité. Pour ce faire, </w:t>
      </w:r>
      <w:r>
        <w:t>l’</w:t>
      </w:r>
      <w:r w:rsidRPr="009E690C">
        <w:t>Expert indépendant</w:t>
      </w:r>
      <w:r>
        <w:t xml:space="preserve"> </w:t>
      </w:r>
      <w:r w:rsidRPr="009E690C">
        <w:t>a proposé la création d</w:t>
      </w:r>
      <w:r>
        <w:t>’</w:t>
      </w:r>
      <w:r w:rsidRPr="009E690C">
        <w:t xml:space="preserve">une </w:t>
      </w:r>
      <w:r>
        <w:t>c</w:t>
      </w:r>
      <w:r w:rsidRPr="009E690C">
        <w:t>ommission de vérité, justice et réparation et l</w:t>
      </w:r>
      <w:r>
        <w:t>’</w:t>
      </w:r>
      <w:r w:rsidRPr="009E690C">
        <w:t>application des Principes fondamentaux et directives concernant le droit à un recours et à réparation des victimes de violations flagrantes du droit international des droits de l</w:t>
      </w:r>
      <w:r>
        <w:t>’</w:t>
      </w:r>
      <w:r w:rsidRPr="009E690C">
        <w:t>homme et de violations graves du droit international humanitaire, approuvés par l</w:t>
      </w:r>
      <w:r>
        <w:t>’</w:t>
      </w:r>
      <w:r w:rsidRPr="009E690C">
        <w:t>Assemblée générale le 16 décembre 2005.</w:t>
      </w:r>
    </w:p>
    <w:p w:rsidR="000B0FA8" w:rsidRPr="009E690C" w:rsidRDefault="000B0FA8" w:rsidP="000B0FA8">
      <w:pPr>
        <w:pStyle w:val="SingleTxtG"/>
      </w:pPr>
      <w:r w:rsidRPr="009E690C">
        <w:t>94.</w:t>
      </w:r>
      <w:r w:rsidRPr="009E690C">
        <w:tab/>
        <w:t>Le 23 octobre 2015</w:t>
      </w:r>
      <w:r>
        <w:t>,</w:t>
      </w:r>
      <w:r w:rsidRPr="009E690C">
        <w:t xml:space="preserve"> le Rapporteur spécia</w:t>
      </w:r>
      <w:r>
        <w:t>l</w:t>
      </w:r>
      <w:r w:rsidRPr="009E690C">
        <w:t xml:space="preserve"> sur le logement convenable en tant qu</w:t>
      </w:r>
      <w:r>
        <w:t>’</w:t>
      </w:r>
      <w:r w:rsidRPr="009E690C">
        <w:t>élément du droit à un niveau de vie suffisant</w:t>
      </w:r>
      <w:r>
        <w:t xml:space="preserve"> </w:t>
      </w:r>
      <w:r w:rsidRPr="009E690C">
        <w:t xml:space="preserve">ainsi que sur le droit à la non-discrimination </w:t>
      </w:r>
      <w:r>
        <w:t>dans ce contexte</w:t>
      </w:r>
      <w:r w:rsidRPr="009E690C">
        <w:t xml:space="preserve">, </w:t>
      </w:r>
      <w:r>
        <w:t xml:space="preserve">le Rapporteur spécial </w:t>
      </w:r>
      <w:r w:rsidRPr="009E690C">
        <w:t>sur l</w:t>
      </w:r>
      <w:r>
        <w:t>’</w:t>
      </w:r>
      <w:r w:rsidRPr="009E690C">
        <w:t>extrême pauvreté et les droits de l</w:t>
      </w:r>
      <w:r>
        <w:t>’</w:t>
      </w:r>
      <w:r w:rsidRPr="009E690C">
        <w:t xml:space="preserve">homme, </w:t>
      </w:r>
      <w:r>
        <w:t xml:space="preserve">le Rapporteur spécial </w:t>
      </w:r>
      <w:r w:rsidRPr="009E690C">
        <w:t xml:space="preserve">sur le droit </w:t>
      </w:r>
      <w:r>
        <w:t>qu’a</w:t>
      </w:r>
      <w:r w:rsidRPr="009E690C">
        <w:t xml:space="preserve"> toute personne de jouir du meilleur état de santé physique et mentale </w:t>
      </w:r>
      <w:r>
        <w:t>possible</w:t>
      </w:r>
      <w:r w:rsidRPr="009E690C">
        <w:t xml:space="preserve">, </w:t>
      </w:r>
      <w:r>
        <w:t xml:space="preserve">le Rapporteur spécial </w:t>
      </w:r>
      <w:r w:rsidRPr="009E690C">
        <w:t xml:space="preserve">sur le droit </w:t>
      </w:r>
      <w:r>
        <w:t xml:space="preserve">de l’homme </w:t>
      </w:r>
      <w:r w:rsidRPr="009E690C">
        <w:t>à l</w:t>
      </w:r>
      <w:r>
        <w:t>’</w:t>
      </w:r>
      <w:r w:rsidRPr="009E690C">
        <w:t>eau potable et à l</w:t>
      </w:r>
      <w:r>
        <w:t>’</w:t>
      </w:r>
      <w:r w:rsidRPr="009E690C">
        <w:t>assainissement et l</w:t>
      </w:r>
      <w:r>
        <w:t>’</w:t>
      </w:r>
      <w:r w:rsidRPr="009E690C">
        <w:t>Expert indépendant</w:t>
      </w:r>
      <w:r>
        <w:t xml:space="preserve"> </w:t>
      </w:r>
      <w:r w:rsidRPr="009E690C">
        <w:t>sur la situation des droits de l</w:t>
      </w:r>
      <w:r>
        <w:t>’</w:t>
      </w:r>
      <w:r w:rsidRPr="009E690C">
        <w:t xml:space="preserve">homme en Haïti ont envoyé une lettre au Secrétaire général pour lui </w:t>
      </w:r>
      <w:r>
        <w:t>faire part de</w:t>
      </w:r>
      <w:r w:rsidRPr="009E690C">
        <w:t xml:space="preserve"> leur préoccupation </w:t>
      </w:r>
      <w:r>
        <w:t>quant à ce</w:t>
      </w:r>
      <w:r w:rsidRPr="009E690C">
        <w:t xml:space="preserve"> problème et suggérer </w:t>
      </w:r>
      <w:r>
        <w:t>qu’</w:t>
      </w:r>
      <w:r w:rsidRPr="009E690C">
        <w:t xml:space="preserve">une réponse plus </w:t>
      </w:r>
      <w:r>
        <w:t>globale soit trouvée</w:t>
      </w:r>
      <w:r w:rsidRPr="009E690C">
        <w:t>. Le 25 février 2016</w:t>
      </w:r>
      <w:r>
        <w:t>,</w:t>
      </w:r>
      <w:r w:rsidRPr="009E690C">
        <w:t xml:space="preserve"> le Secrétaire général adjoint a répondu </w:t>
      </w:r>
      <w:r>
        <w:t xml:space="preserve">à </w:t>
      </w:r>
      <w:r w:rsidRPr="009E690C">
        <w:t>cette lettre en fournissant de</w:t>
      </w:r>
      <w:r>
        <w:t xml:space="preserve">s </w:t>
      </w:r>
      <w:r w:rsidRPr="009E690C">
        <w:t>information</w:t>
      </w:r>
      <w:r>
        <w:t>s</w:t>
      </w:r>
      <w:r w:rsidRPr="009E690C">
        <w:t xml:space="preserve"> sur </w:t>
      </w:r>
      <w:r>
        <w:t>l</w:t>
      </w:r>
      <w:r w:rsidRPr="009E690C">
        <w:t xml:space="preserve">es activités </w:t>
      </w:r>
      <w:r>
        <w:t>mises en œuvre</w:t>
      </w:r>
      <w:r w:rsidRPr="009E690C">
        <w:t xml:space="preserve"> par l</w:t>
      </w:r>
      <w:r>
        <w:t>’ONU</w:t>
      </w:r>
      <w:r w:rsidRPr="009E690C">
        <w:t xml:space="preserve"> dans le but de résoudre ce problème et en remerciant les signataires de la lettre </w:t>
      </w:r>
      <w:r>
        <w:t xml:space="preserve">pour </w:t>
      </w:r>
      <w:r w:rsidRPr="009E690C">
        <w:t>l</w:t>
      </w:r>
      <w:r>
        <w:t>eur</w:t>
      </w:r>
      <w:r w:rsidRPr="009E690C">
        <w:t xml:space="preserve"> disposition </w:t>
      </w:r>
      <w:r>
        <w:t>à</w:t>
      </w:r>
      <w:r w:rsidRPr="009E690C">
        <w:t xml:space="preserve"> s</w:t>
      </w:r>
      <w:r>
        <w:t>’</w:t>
      </w:r>
      <w:r w:rsidRPr="009E690C">
        <w:t xml:space="preserve">engager davantage, </w:t>
      </w:r>
      <w:r>
        <w:t>dans le cadre</w:t>
      </w:r>
      <w:r w:rsidRPr="009E690C">
        <w:t xml:space="preserve"> de leurs mandats</w:t>
      </w:r>
      <w:r>
        <w:t xml:space="preserve"> respectifs</w:t>
      </w:r>
      <w:r w:rsidRPr="009E690C">
        <w:t>, dans l</w:t>
      </w:r>
      <w:r>
        <w:t>’examen</w:t>
      </w:r>
      <w:r w:rsidRPr="009E690C">
        <w:t xml:space="preserve"> de possibles mesures </w:t>
      </w:r>
      <w:r>
        <w:t>supplémentaires</w:t>
      </w:r>
      <w:r w:rsidRPr="009E690C">
        <w:t xml:space="preserve"> que l</w:t>
      </w:r>
      <w:r>
        <w:t>’ONU</w:t>
      </w:r>
      <w:r w:rsidRPr="009E690C">
        <w:t xml:space="preserve"> pourrait prendre pour </w:t>
      </w:r>
      <w:r>
        <w:t>aider</w:t>
      </w:r>
      <w:r w:rsidRPr="009E690C">
        <w:t xml:space="preserve"> les victimes du choléra et leurs communautés.</w:t>
      </w:r>
    </w:p>
    <w:p w:rsidR="000B0FA8" w:rsidRPr="009E690C" w:rsidRDefault="000B0FA8" w:rsidP="000B0FA8">
      <w:pPr>
        <w:pStyle w:val="SingleTxtG"/>
      </w:pPr>
      <w:r w:rsidRPr="009E690C">
        <w:t>95.</w:t>
      </w:r>
      <w:r w:rsidRPr="009E690C">
        <w:tab/>
        <w:t>Le 25 octobre 2016, le Rapporteur spécial sur l</w:t>
      </w:r>
      <w:r>
        <w:t>’</w:t>
      </w:r>
      <w:r w:rsidRPr="009E690C">
        <w:t>extrême pauvreté et les droits de l</w:t>
      </w:r>
      <w:r>
        <w:t>’</w:t>
      </w:r>
      <w:r w:rsidRPr="009E690C">
        <w:t>homme a présenté à la Troisième Commission de l</w:t>
      </w:r>
      <w:r>
        <w:t>’</w:t>
      </w:r>
      <w:r w:rsidRPr="009E690C">
        <w:t xml:space="preserve">Assemblée </w:t>
      </w:r>
      <w:r>
        <w:t>g</w:t>
      </w:r>
      <w:r w:rsidRPr="009E690C">
        <w:t xml:space="preserve">énérale un rapport dans lequel il a </w:t>
      </w:r>
      <w:r>
        <w:t>déclaré que l</w:t>
      </w:r>
      <w:r w:rsidRPr="009E690C">
        <w:t>a position juridique adoptée jusqu</w:t>
      </w:r>
      <w:r>
        <w:t>’</w:t>
      </w:r>
      <w:r w:rsidRPr="009E690C">
        <w:t>à présent par l</w:t>
      </w:r>
      <w:r>
        <w:t>’</w:t>
      </w:r>
      <w:r w:rsidRPr="009E690C">
        <w:t>Organisation a consisté à refuser d</w:t>
      </w:r>
      <w:r>
        <w:t>’</w:t>
      </w:r>
      <w:r w:rsidRPr="009E690C">
        <w:t>admettre la moindre responsabilité dans la survenue de l</w:t>
      </w:r>
      <w:r>
        <w:t>’</w:t>
      </w:r>
      <w:r w:rsidRPr="009E690C">
        <w:t>épidémie, à rejeter toutes les demandes d</w:t>
      </w:r>
      <w:r>
        <w:t>’</w:t>
      </w:r>
      <w:r w:rsidRPr="009E690C">
        <w:t>indemnisation, à refuser de mettre en place une procédure permettant de régler cette matière privée et à soutenir de façon totalement injustifiée que l</w:t>
      </w:r>
      <w:r>
        <w:t>’</w:t>
      </w:r>
      <w:r w:rsidRPr="009E690C">
        <w:t>immunité de juridiction absolue dont elle bénéficiait serait compromise si une approche différente était adoptée</w:t>
      </w:r>
      <w:r w:rsidRPr="00EE4A62">
        <w:rPr>
          <w:rStyle w:val="FootnoteReference"/>
        </w:rPr>
        <w:footnoteReference w:id="35"/>
      </w:r>
      <w:r w:rsidRPr="009E690C">
        <w:t xml:space="preserve">. Il a qualifié cette position </w:t>
      </w:r>
      <w:r>
        <w:t>de</w:t>
      </w:r>
      <w:r w:rsidRPr="009E690C">
        <w:t xml:space="preserve"> moralement inadmissible, </w:t>
      </w:r>
      <w:r w:rsidRPr="009E690C">
        <w:lastRenderedPageBreak/>
        <w:t>juridiquement indéfendable et politiquement contre-productive</w:t>
      </w:r>
      <w:r w:rsidRPr="00EE4A62">
        <w:rPr>
          <w:rStyle w:val="FootnoteReference"/>
        </w:rPr>
        <w:footnoteReference w:id="36"/>
      </w:r>
      <w:r w:rsidRPr="009E690C">
        <w:t xml:space="preserve"> et a invité l</w:t>
      </w:r>
      <w:r>
        <w:t>’</w:t>
      </w:r>
      <w:r w:rsidRPr="009E690C">
        <w:t>O</w:t>
      </w:r>
      <w:r>
        <w:t>NU</w:t>
      </w:r>
      <w:r w:rsidRPr="009E690C">
        <w:t xml:space="preserve"> à présenter des excuses et </w:t>
      </w:r>
      <w:r>
        <w:t xml:space="preserve">à </w:t>
      </w:r>
      <w:r w:rsidRPr="009E690C">
        <w:t>admettre sa responsabilité.</w:t>
      </w:r>
    </w:p>
    <w:p w:rsidR="000B0FA8" w:rsidRPr="009E690C" w:rsidRDefault="000B0FA8" w:rsidP="000B0FA8">
      <w:pPr>
        <w:pStyle w:val="SingleTxtG"/>
      </w:pPr>
      <w:r w:rsidRPr="009E690C">
        <w:t>96.</w:t>
      </w:r>
      <w:r w:rsidRPr="009E690C">
        <w:tab/>
        <w:t>Le 1</w:t>
      </w:r>
      <w:r w:rsidRPr="00EE4A62">
        <w:rPr>
          <w:vertAlign w:val="superscript"/>
        </w:rPr>
        <w:t>er</w:t>
      </w:r>
      <w:r w:rsidR="00DF2BDB">
        <w:t> </w:t>
      </w:r>
      <w:r w:rsidRPr="009E690C">
        <w:t>décembre 2016</w:t>
      </w:r>
      <w:r>
        <w:t>,</w:t>
      </w:r>
      <w:r w:rsidRPr="009E690C">
        <w:t xml:space="preserve"> le Secrétaire général a annoncé une nouvelle approche pour faire face au choléra en Haïti</w:t>
      </w:r>
      <w:r>
        <w:t> </w:t>
      </w:r>
      <w:r w:rsidRPr="009E690C">
        <w:t>: «</w:t>
      </w:r>
      <w:r>
        <w:t> </w:t>
      </w:r>
      <w:r w:rsidRPr="009E690C">
        <w:t xml:space="preserve">Au nom des Nations </w:t>
      </w:r>
      <w:r>
        <w:t>U</w:t>
      </w:r>
      <w:r w:rsidRPr="009E690C">
        <w:t>nies, je veux vous le dire très clairement</w:t>
      </w:r>
      <w:r>
        <w:t> </w:t>
      </w:r>
      <w:r w:rsidRPr="009E690C">
        <w:t>: nous nous excusons auprès du peuple haïtien. Nous n</w:t>
      </w:r>
      <w:r>
        <w:t>’</w:t>
      </w:r>
      <w:r w:rsidRPr="009E690C">
        <w:t>avons tout simplement pas fait assez concernant l</w:t>
      </w:r>
      <w:r>
        <w:t>’</w:t>
      </w:r>
      <w:r w:rsidRPr="009E690C">
        <w:t>épidémie de choléra et sa propagation en Haïti. Nous sommes profondément désolés pour notre rôle</w:t>
      </w:r>
      <w:r>
        <w:t> </w:t>
      </w:r>
      <w:r w:rsidRPr="009E690C">
        <w:t>»</w:t>
      </w:r>
      <w:r w:rsidRPr="00EE4A62">
        <w:rPr>
          <w:rStyle w:val="FootnoteReference"/>
        </w:rPr>
        <w:footnoteReference w:id="37"/>
      </w:r>
      <w:r w:rsidRPr="009E690C">
        <w:t>. Il a ajouté</w:t>
      </w:r>
      <w:r>
        <w:t> </w:t>
      </w:r>
      <w:r w:rsidRPr="009E690C">
        <w:t>: «</w:t>
      </w:r>
      <w:r>
        <w:t> </w:t>
      </w:r>
      <w:r w:rsidRPr="009E690C">
        <w:t>Dans l</w:t>
      </w:r>
      <w:r>
        <w:t>’</w:t>
      </w:r>
      <w:r w:rsidRPr="009E690C">
        <w:t xml:space="preserve">intérêt du peuple </w:t>
      </w:r>
      <w:r>
        <w:t>h</w:t>
      </w:r>
      <w:r w:rsidRPr="009E690C">
        <w:t>aïtien, mais aussi dans l</w:t>
      </w:r>
      <w:r>
        <w:t>’</w:t>
      </w:r>
      <w:r w:rsidRPr="009E690C">
        <w:t xml:space="preserve">intérêt des Nations </w:t>
      </w:r>
      <w:r>
        <w:t>U</w:t>
      </w:r>
      <w:r w:rsidRPr="009E690C">
        <w:t>nies elles-mêmes, nous avons une responsabilité morale d</w:t>
      </w:r>
      <w:r>
        <w:t>’</w:t>
      </w:r>
      <w:r w:rsidRPr="009E690C">
        <w:t>agir. Et nous avons une responsabilité collective de faire ce qu</w:t>
      </w:r>
      <w:r>
        <w:t>’</w:t>
      </w:r>
      <w:r w:rsidRPr="009E690C">
        <w:t>on attend de nous</w:t>
      </w:r>
      <w:r>
        <w:t> </w:t>
      </w:r>
      <w:r w:rsidRPr="009E690C">
        <w:t>»</w:t>
      </w:r>
      <w:r w:rsidRPr="00EE4A62">
        <w:rPr>
          <w:rStyle w:val="FootnoteReference"/>
        </w:rPr>
        <w:footnoteReference w:id="38"/>
      </w:r>
      <w:r w:rsidRPr="009E690C">
        <w:t>. Sur ces bases, le Secrétaire général a alors annoncé une nouvelle stratégie axée sur deux volets</w:t>
      </w:r>
      <w:r>
        <w:t> </w:t>
      </w:r>
      <w:r w:rsidRPr="009E690C">
        <w:t>: le premier vise à renforcer l</w:t>
      </w:r>
      <w:r>
        <w:t>’</w:t>
      </w:r>
      <w:r w:rsidRPr="009E690C">
        <w:t>aide que l</w:t>
      </w:r>
      <w:r>
        <w:t>’</w:t>
      </w:r>
      <w:r w:rsidRPr="009E690C">
        <w:t>Organisation apporte pour réduire et mettre un terme une fois pour toutes à la transmission du choléra, améliorer l</w:t>
      </w:r>
      <w:r>
        <w:t>’</w:t>
      </w:r>
      <w:r w:rsidRPr="009E690C">
        <w:t>accès aux soins et aux traitements, et s</w:t>
      </w:r>
      <w:r>
        <w:t>’</w:t>
      </w:r>
      <w:r w:rsidRPr="009E690C">
        <w:t>attaquer à des enjeux à plus long terme que sont les systèmes d</w:t>
      </w:r>
      <w:r>
        <w:t>’</w:t>
      </w:r>
      <w:r w:rsidRPr="009E690C">
        <w:t>approvisionnement en eau, d</w:t>
      </w:r>
      <w:r>
        <w:t>’</w:t>
      </w:r>
      <w:r w:rsidRPr="009E690C">
        <w:t>assainissement et de santé en Haïti</w:t>
      </w:r>
      <w:r>
        <w:t> ;</w:t>
      </w:r>
      <w:r w:rsidRPr="009E690C">
        <w:t xml:space="preserve"> </w:t>
      </w:r>
      <w:r>
        <w:t>l</w:t>
      </w:r>
      <w:r w:rsidRPr="009E690C">
        <w:t>e second consiste à mettre au point un dispositif d</w:t>
      </w:r>
      <w:r>
        <w:t>’</w:t>
      </w:r>
      <w:r w:rsidRPr="009E690C">
        <w:t>aide matérielle et financière en faveur des Haïtiens les plus directement touchés par le choléra. Cette démarche doit bénéficier en priorité entre autres aux victimes de la maladie et à leurs familles</w:t>
      </w:r>
      <w:r w:rsidRPr="00EE4A62">
        <w:rPr>
          <w:rStyle w:val="FootnoteReference"/>
        </w:rPr>
        <w:footnoteReference w:id="39"/>
      </w:r>
      <w:r w:rsidRPr="009E690C">
        <w:t>.</w:t>
      </w:r>
    </w:p>
    <w:p w:rsidR="000B0FA8" w:rsidRPr="009E690C" w:rsidRDefault="000B0FA8" w:rsidP="000B0FA8">
      <w:pPr>
        <w:pStyle w:val="SingleTxtG"/>
      </w:pPr>
      <w:r w:rsidRPr="009E690C">
        <w:t>97.</w:t>
      </w:r>
      <w:r w:rsidRPr="009E690C">
        <w:tab/>
        <w:t xml:space="preserve">Cette nouvelle approche </w:t>
      </w:r>
      <w:r>
        <w:t>représente</w:t>
      </w:r>
      <w:r w:rsidRPr="009E690C">
        <w:t xml:space="preserve"> une évolution importante d</w:t>
      </w:r>
      <w:r>
        <w:t>e</w:t>
      </w:r>
      <w:r w:rsidRPr="009E690C">
        <w:t xml:space="preserve"> la position de l</w:t>
      </w:r>
      <w:r>
        <w:t>’</w:t>
      </w:r>
      <w:r w:rsidRPr="009E690C">
        <w:t>O</w:t>
      </w:r>
      <w:r>
        <w:t>NU</w:t>
      </w:r>
      <w:r w:rsidRPr="009E690C">
        <w:t xml:space="preserve"> vis-à-vis </w:t>
      </w:r>
      <w:r>
        <w:t xml:space="preserve">de </w:t>
      </w:r>
      <w:r w:rsidRPr="009E690C">
        <w:t>sa responsabilité par rapport à l</w:t>
      </w:r>
      <w:r>
        <w:t>’</w:t>
      </w:r>
      <w:r w:rsidRPr="009E690C">
        <w:t>épidémie d</w:t>
      </w:r>
      <w:r>
        <w:t>e</w:t>
      </w:r>
      <w:r w:rsidRPr="009E690C">
        <w:t xml:space="preserve"> choléra en Haïti. L</w:t>
      </w:r>
      <w:r>
        <w:t>’</w:t>
      </w:r>
      <w:r w:rsidRPr="009E690C">
        <w:t>Expert indépendant</w:t>
      </w:r>
      <w:r>
        <w:t xml:space="preserve"> </w:t>
      </w:r>
      <w:r w:rsidRPr="009E690C">
        <w:t xml:space="preserve">espère que cette évolution se </w:t>
      </w:r>
      <w:r>
        <w:t>poursuivra</w:t>
      </w:r>
      <w:r w:rsidRPr="009E690C">
        <w:t xml:space="preserve"> de façon à ce que les victimes du choléra dans le pays </w:t>
      </w:r>
      <w:r>
        <w:t>reçoivent</w:t>
      </w:r>
      <w:r w:rsidRPr="009E690C">
        <w:t xml:space="preserve"> répar</w:t>
      </w:r>
      <w:r>
        <w:t>ation</w:t>
      </w:r>
      <w:r w:rsidRPr="009E690C">
        <w:t xml:space="preserve"> et que l</w:t>
      </w:r>
      <w:r>
        <w:t>’</w:t>
      </w:r>
      <w:r w:rsidRPr="009E690C">
        <w:t xml:space="preserve">épidémie soit éradiquée </w:t>
      </w:r>
      <w:r>
        <w:t>complètement</w:t>
      </w:r>
      <w:r w:rsidRPr="009E690C">
        <w:t xml:space="preserve"> du territoire. L</w:t>
      </w:r>
      <w:r>
        <w:t>’</w:t>
      </w:r>
      <w:r w:rsidRPr="009E690C">
        <w:t>Expert indépendant</w:t>
      </w:r>
      <w:r>
        <w:t xml:space="preserve"> </w:t>
      </w:r>
      <w:r w:rsidRPr="009E690C">
        <w:t xml:space="preserve">exhorte les États </w:t>
      </w:r>
      <w:r>
        <w:t>M</w:t>
      </w:r>
      <w:r w:rsidRPr="009E690C">
        <w:t>embres à soutenir cette stratégie avec des ressources financières</w:t>
      </w:r>
      <w:r>
        <w:t xml:space="preserve">, y compris le second volet dans sa démarche </w:t>
      </w:r>
      <w:r w:rsidRPr="008036E3">
        <w:rPr>
          <w:lang w:eastAsia="en-GB"/>
        </w:rPr>
        <w:t>axée sur les personnes</w:t>
      </w:r>
      <w:r w:rsidRPr="009E690C">
        <w:t>.</w:t>
      </w:r>
    </w:p>
    <w:p w:rsidR="000B0FA8" w:rsidRPr="009E690C" w:rsidRDefault="000B0FA8" w:rsidP="000B0FA8">
      <w:pPr>
        <w:pStyle w:val="SingleTxtG"/>
      </w:pPr>
      <w:r w:rsidRPr="009E690C">
        <w:t>98.</w:t>
      </w:r>
      <w:r w:rsidRPr="009E690C">
        <w:tab/>
        <w:t>De même, l</w:t>
      </w:r>
      <w:r>
        <w:t>’</w:t>
      </w:r>
      <w:r w:rsidRPr="009E690C">
        <w:t>Expert indépendant</w:t>
      </w:r>
      <w:r>
        <w:t xml:space="preserve"> </w:t>
      </w:r>
      <w:r w:rsidRPr="009E690C">
        <w:t>encourage l</w:t>
      </w:r>
      <w:r>
        <w:t>’</w:t>
      </w:r>
      <w:r w:rsidRPr="009E690C">
        <w:t xml:space="preserve">État haïtien à travailler en coordination avec les Nations </w:t>
      </w:r>
      <w:r>
        <w:t>U</w:t>
      </w:r>
      <w:r w:rsidRPr="009E690C">
        <w:t>nies dans cette nouvelle approche et à prendre toutes les mesures nécessaires pour mettre en place des structures d</w:t>
      </w:r>
      <w:r>
        <w:t>’</w:t>
      </w:r>
      <w:r w:rsidRPr="009E690C">
        <w:t>assainissement visant à résoudre de manière définitive et à long terme la grave problématique structurelle d</w:t>
      </w:r>
      <w:r>
        <w:t>’</w:t>
      </w:r>
      <w:r w:rsidRPr="009E690C">
        <w:t>accès à l</w:t>
      </w:r>
      <w:r>
        <w:t>’</w:t>
      </w:r>
      <w:r w:rsidRPr="009E690C">
        <w:t>eau potable pour l</w:t>
      </w:r>
      <w:r>
        <w:t>’</w:t>
      </w:r>
      <w:r w:rsidRPr="009E690C">
        <w:t>ensemble de la population.</w:t>
      </w:r>
    </w:p>
    <w:p w:rsidR="000B0FA8" w:rsidRPr="009E690C" w:rsidRDefault="000B0FA8" w:rsidP="000B0FA8">
      <w:pPr>
        <w:pStyle w:val="HChG"/>
      </w:pPr>
      <w:r w:rsidRPr="009E690C">
        <w:tab/>
        <w:t>III.</w:t>
      </w:r>
      <w:r w:rsidRPr="009E690C">
        <w:tab/>
        <w:t>Conclusions et recommandations</w:t>
      </w:r>
    </w:p>
    <w:p w:rsidR="000B0FA8" w:rsidRPr="009E690C" w:rsidRDefault="000B0FA8" w:rsidP="000B0FA8">
      <w:pPr>
        <w:pStyle w:val="SingleTxtG"/>
      </w:pPr>
      <w:r w:rsidRPr="009E690C">
        <w:t>99.</w:t>
      </w:r>
      <w:r w:rsidRPr="009E690C">
        <w:tab/>
      </w:r>
      <w:r w:rsidRPr="009E690C">
        <w:rPr>
          <w:b/>
        </w:rPr>
        <w:t>L</w:t>
      </w:r>
      <w:r>
        <w:rPr>
          <w:b/>
        </w:rPr>
        <w:t>’</w:t>
      </w:r>
      <w:r w:rsidRPr="009E690C">
        <w:rPr>
          <w:b/>
        </w:rPr>
        <w:t xml:space="preserve">Expert indépendant </w:t>
      </w:r>
      <w:r>
        <w:rPr>
          <w:b/>
        </w:rPr>
        <w:t xml:space="preserve">a </w:t>
      </w:r>
      <w:r w:rsidRPr="009E690C">
        <w:rPr>
          <w:b/>
        </w:rPr>
        <w:t>observ</w:t>
      </w:r>
      <w:r>
        <w:rPr>
          <w:b/>
        </w:rPr>
        <w:t>é</w:t>
      </w:r>
      <w:r w:rsidRPr="009E690C">
        <w:rPr>
          <w:b/>
        </w:rPr>
        <w:t xml:space="preserve"> des efforts importants en ce qui concerne la mise en œuvre de deux recommandations formulées dans ses précédents rapports</w:t>
      </w:r>
      <w:r>
        <w:rPr>
          <w:b/>
        </w:rPr>
        <w:t> </w:t>
      </w:r>
      <w:r w:rsidRPr="009E690C">
        <w:rPr>
          <w:b/>
        </w:rPr>
        <w:t>: dans le</w:t>
      </w:r>
      <w:r>
        <w:rPr>
          <w:b/>
        </w:rPr>
        <w:t>s</w:t>
      </w:r>
      <w:r w:rsidRPr="009E690C">
        <w:rPr>
          <w:b/>
        </w:rPr>
        <w:t xml:space="preserve"> domaine</w:t>
      </w:r>
      <w:r>
        <w:rPr>
          <w:b/>
        </w:rPr>
        <w:t>s</w:t>
      </w:r>
      <w:r w:rsidRPr="009E690C">
        <w:rPr>
          <w:b/>
        </w:rPr>
        <w:t xml:space="preserve"> des élections et de la responsabilité de</w:t>
      </w:r>
      <w:r>
        <w:rPr>
          <w:b/>
        </w:rPr>
        <w:t xml:space="preserve"> l’ONU</w:t>
      </w:r>
      <w:r w:rsidRPr="009E690C">
        <w:rPr>
          <w:b/>
        </w:rPr>
        <w:t xml:space="preserve"> </w:t>
      </w:r>
      <w:r>
        <w:rPr>
          <w:b/>
        </w:rPr>
        <w:t>vis-à-vis de l’épidémie de</w:t>
      </w:r>
      <w:r w:rsidRPr="009E690C">
        <w:rPr>
          <w:b/>
        </w:rPr>
        <w:t xml:space="preserve"> choléra. Ces efforts doivent continuer jusqu</w:t>
      </w:r>
      <w:r>
        <w:rPr>
          <w:b/>
        </w:rPr>
        <w:t>’</w:t>
      </w:r>
      <w:r w:rsidRPr="009E690C">
        <w:rPr>
          <w:b/>
        </w:rPr>
        <w:t xml:space="preserve">à </w:t>
      </w:r>
      <w:r>
        <w:rPr>
          <w:b/>
        </w:rPr>
        <w:t>ce que</w:t>
      </w:r>
      <w:r w:rsidRPr="009E690C">
        <w:rPr>
          <w:b/>
        </w:rPr>
        <w:t xml:space="preserve"> des résultats pleinement satisfaisants </w:t>
      </w:r>
      <w:r>
        <w:rPr>
          <w:b/>
        </w:rPr>
        <w:t xml:space="preserve">soient obtenus </w:t>
      </w:r>
      <w:r w:rsidRPr="009E690C">
        <w:rPr>
          <w:b/>
        </w:rPr>
        <w:t>dans ces deux domaines.</w:t>
      </w:r>
      <w:r w:rsidRPr="009E690C">
        <w:t xml:space="preserve"> </w:t>
      </w:r>
    </w:p>
    <w:p w:rsidR="000B0FA8" w:rsidRPr="009E690C" w:rsidRDefault="000B0FA8" w:rsidP="000B0FA8">
      <w:pPr>
        <w:pStyle w:val="SingleTxtG"/>
      </w:pPr>
      <w:r w:rsidRPr="009E690C">
        <w:t>100.</w:t>
      </w:r>
      <w:r w:rsidRPr="009E690C">
        <w:tab/>
      </w:r>
      <w:r w:rsidRPr="009E690C">
        <w:rPr>
          <w:b/>
        </w:rPr>
        <w:t xml:space="preserve">La priorisation des autres aspects soulevés par </w:t>
      </w:r>
      <w:r w:rsidRPr="00325037">
        <w:rPr>
          <w:b/>
        </w:rPr>
        <w:t>l</w:t>
      </w:r>
      <w:r>
        <w:rPr>
          <w:b/>
        </w:rPr>
        <w:t>’</w:t>
      </w:r>
      <w:r w:rsidRPr="00325037">
        <w:rPr>
          <w:b/>
        </w:rPr>
        <w:t xml:space="preserve">Expert </w:t>
      </w:r>
      <w:r w:rsidRPr="00EE4A62">
        <w:rPr>
          <w:b/>
        </w:rPr>
        <w:t xml:space="preserve">indépendant </w:t>
      </w:r>
      <w:r>
        <w:rPr>
          <w:b/>
        </w:rPr>
        <w:t>reste</w:t>
      </w:r>
      <w:r w:rsidRPr="009E690C">
        <w:rPr>
          <w:b/>
        </w:rPr>
        <w:t xml:space="preserve"> valable, si bien qu</w:t>
      </w:r>
      <w:r>
        <w:rPr>
          <w:b/>
        </w:rPr>
        <w:t>’</w:t>
      </w:r>
      <w:r w:rsidRPr="009E690C">
        <w:rPr>
          <w:b/>
        </w:rPr>
        <w:t>il tient à réitérer l</w:t>
      </w:r>
      <w:r>
        <w:rPr>
          <w:b/>
        </w:rPr>
        <w:t>’</w:t>
      </w:r>
      <w:r w:rsidRPr="009E690C">
        <w:rPr>
          <w:b/>
        </w:rPr>
        <w:t xml:space="preserve">appel </w:t>
      </w:r>
      <w:r>
        <w:rPr>
          <w:b/>
        </w:rPr>
        <w:t xml:space="preserve">fait </w:t>
      </w:r>
      <w:r w:rsidRPr="009E690C">
        <w:rPr>
          <w:b/>
        </w:rPr>
        <w:t>aux autorités pour adopter de</w:t>
      </w:r>
      <w:r>
        <w:rPr>
          <w:b/>
        </w:rPr>
        <w:t>s</w:t>
      </w:r>
      <w:r w:rsidRPr="009E690C">
        <w:rPr>
          <w:b/>
        </w:rPr>
        <w:t xml:space="preserve"> mesures urgentes afin de garantir</w:t>
      </w:r>
      <w:r>
        <w:rPr>
          <w:b/>
        </w:rPr>
        <w:t> </w:t>
      </w:r>
      <w:r w:rsidRPr="009E690C">
        <w:rPr>
          <w:b/>
        </w:rPr>
        <w:t>:</w:t>
      </w:r>
      <w:r w:rsidRPr="009E690C">
        <w:t xml:space="preserve"> </w:t>
      </w:r>
    </w:p>
    <w:p w:rsidR="000B0FA8" w:rsidRPr="00EE4A62" w:rsidRDefault="000B0FA8" w:rsidP="00703450">
      <w:pPr>
        <w:pStyle w:val="SingleTxtG"/>
        <w:ind w:firstLine="567"/>
        <w:rPr>
          <w:b/>
          <w:lang w:val="fr-FR"/>
        </w:rPr>
      </w:pPr>
      <w:r w:rsidRPr="00703450">
        <w:rPr>
          <w:b/>
          <w:lang w:val="fr-FR"/>
        </w:rPr>
        <w:t>a)</w:t>
      </w:r>
      <w:r w:rsidRPr="00EE4A62">
        <w:rPr>
          <w:lang w:val="fr-FR"/>
        </w:rPr>
        <w:tab/>
      </w:r>
      <w:r w:rsidRPr="00EE4A62">
        <w:rPr>
          <w:b/>
          <w:lang w:val="fr-FR"/>
        </w:rPr>
        <w:t>L</w:t>
      </w:r>
      <w:r>
        <w:rPr>
          <w:b/>
          <w:lang w:val="fr-FR"/>
        </w:rPr>
        <w:t>’</w:t>
      </w:r>
      <w:r w:rsidRPr="00EE4A62">
        <w:rPr>
          <w:b/>
          <w:lang w:val="fr-FR"/>
        </w:rPr>
        <w:t>éradication de l</w:t>
      </w:r>
      <w:r>
        <w:rPr>
          <w:b/>
          <w:lang w:val="fr-FR"/>
        </w:rPr>
        <w:t>’</w:t>
      </w:r>
      <w:r w:rsidRPr="00EE4A62">
        <w:rPr>
          <w:b/>
          <w:lang w:val="fr-FR"/>
        </w:rPr>
        <w:t>analphabétisme dans un délai raisonnablement court</w:t>
      </w:r>
      <w:r>
        <w:rPr>
          <w:b/>
          <w:lang w:val="fr-FR"/>
        </w:rPr>
        <w:t> ;</w:t>
      </w:r>
      <w:r w:rsidRPr="00EE4A62">
        <w:rPr>
          <w:b/>
          <w:lang w:val="fr-FR"/>
        </w:rPr>
        <w:t xml:space="preserve"> </w:t>
      </w:r>
    </w:p>
    <w:p w:rsidR="000B0FA8" w:rsidRPr="00BD10DE" w:rsidRDefault="000B0FA8" w:rsidP="00703450">
      <w:pPr>
        <w:pStyle w:val="SingleTxtG"/>
        <w:ind w:firstLine="567"/>
        <w:rPr>
          <w:b/>
        </w:rPr>
      </w:pPr>
      <w:r w:rsidRPr="00703450">
        <w:rPr>
          <w:b/>
        </w:rPr>
        <w:t>b)</w:t>
      </w:r>
      <w:r w:rsidRPr="00BD10DE">
        <w:tab/>
      </w:r>
      <w:r w:rsidRPr="00BD10DE">
        <w:rPr>
          <w:b/>
        </w:rPr>
        <w:t xml:space="preserve">La cessation des cas de détention préventive prolongée, </w:t>
      </w:r>
      <w:r>
        <w:rPr>
          <w:b/>
        </w:rPr>
        <w:t xml:space="preserve">en </w:t>
      </w:r>
      <w:r w:rsidRPr="00BD10DE">
        <w:rPr>
          <w:b/>
        </w:rPr>
        <w:t xml:space="preserve">espérant que la Commission présidentielle nommée pour traiter ce sujet y </w:t>
      </w:r>
      <w:r>
        <w:rPr>
          <w:b/>
        </w:rPr>
        <w:t>parviendra</w:t>
      </w:r>
      <w:r w:rsidRPr="00BD10DE">
        <w:rPr>
          <w:b/>
        </w:rPr>
        <w:t xml:space="preserve"> aussitôt que possible</w:t>
      </w:r>
      <w:r>
        <w:rPr>
          <w:b/>
        </w:rPr>
        <w:t> ;</w:t>
      </w:r>
    </w:p>
    <w:p w:rsidR="000B0FA8" w:rsidRPr="00BD10DE" w:rsidRDefault="000B0FA8" w:rsidP="00703450">
      <w:pPr>
        <w:pStyle w:val="SingleTxtG"/>
        <w:ind w:firstLine="567"/>
        <w:rPr>
          <w:b/>
        </w:rPr>
      </w:pPr>
      <w:r w:rsidRPr="00703450">
        <w:rPr>
          <w:b/>
        </w:rPr>
        <w:t>c)</w:t>
      </w:r>
      <w:r w:rsidRPr="00BD10DE">
        <w:tab/>
      </w:r>
      <w:r w:rsidRPr="00BD10DE">
        <w:rPr>
          <w:b/>
        </w:rPr>
        <w:t>La création d</w:t>
      </w:r>
      <w:r>
        <w:rPr>
          <w:b/>
        </w:rPr>
        <w:t>’</w:t>
      </w:r>
      <w:r w:rsidRPr="00BD10DE">
        <w:rPr>
          <w:b/>
        </w:rPr>
        <w:t xml:space="preserve">une </w:t>
      </w:r>
      <w:r>
        <w:rPr>
          <w:b/>
        </w:rPr>
        <w:t>c</w:t>
      </w:r>
      <w:r w:rsidRPr="00BD10DE">
        <w:rPr>
          <w:b/>
        </w:rPr>
        <w:t>ommission de vérité, justice et réparation pour les violations massives et systématiques commises dans le passé</w:t>
      </w:r>
      <w:r>
        <w:rPr>
          <w:b/>
        </w:rPr>
        <w:t> ;</w:t>
      </w:r>
    </w:p>
    <w:p w:rsidR="000B0FA8" w:rsidRPr="00BD10DE" w:rsidRDefault="000B0FA8" w:rsidP="00703450">
      <w:pPr>
        <w:pStyle w:val="SingleTxtG"/>
        <w:ind w:firstLine="567"/>
        <w:rPr>
          <w:b/>
        </w:rPr>
      </w:pPr>
      <w:r w:rsidRPr="00703450">
        <w:rPr>
          <w:b/>
        </w:rPr>
        <w:t>d)</w:t>
      </w:r>
      <w:r w:rsidRPr="00BD10DE">
        <w:tab/>
      </w:r>
      <w:r w:rsidRPr="00BD10DE">
        <w:rPr>
          <w:b/>
        </w:rPr>
        <w:t xml:space="preserve">Un logement digne pour </w:t>
      </w:r>
      <w:r>
        <w:rPr>
          <w:b/>
        </w:rPr>
        <w:t>l</w:t>
      </w:r>
      <w:r w:rsidRPr="00BD10DE">
        <w:rPr>
          <w:b/>
        </w:rPr>
        <w:t xml:space="preserve">es personnes déplacées, vivant </w:t>
      </w:r>
      <w:r>
        <w:rPr>
          <w:b/>
        </w:rPr>
        <w:t xml:space="preserve">encore </w:t>
      </w:r>
      <w:r w:rsidRPr="00BD10DE">
        <w:rPr>
          <w:b/>
        </w:rPr>
        <w:t>dans des camps suite au séisme d</w:t>
      </w:r>
      <w:r>
        <w:rPr>
          <w:b/>
        </w:rPr>
        <w:t>e</w:t>
      </w:r>
      <w:r w:rsidRPr="00BD10DE">
        <w:rPr>
          <w:b/>
        </w:rPr>
        <w:t xml:space="preserve"> 2010 et à l</w:t>
      </w:r>
      <w:r>
        <w:rPr>
          <w:b/>
        </w:rPr>
        <w:t>’</w:t>
      </w:r>
      <w:r w:rsidRPr="00BD10DE">
        <w:rPr>
          <w:b/>
        </w:rPr>
        <w:t>ouragan Matthew</w:t>
      </w:r>
      <w:r>
        <w:rPr>
          <w:b/>
        </w:rPr>
        <w:t> ;</w:t>
      </w:r>
    </w:p>
    <w:p w:rsidR="000B0FA8" w:rsidRPr="00EE4A62" w:rsidRDefault="000B0FA8" w:rsidP="00703450">
      <w:pPr>
        <w:pStyle w:val="SingleTxtG"/>
        <w:ind w:firstLine="567"/>
        <w:rPr>
          <w:b/>
          <w:lang w:val="fr-FR"/>
        </w:rPr>
      </w:pPr>
      <w:r w:rsidRPr="00703450">
        <w:rPr>
          <w:b/>
        </w:rPr>
        <w:lastRenderedPageBreak/>
        <w:t>e)</w:t>
      </w:r>
      <w:r w:rsidRPr="00BD10DE">
        <w:tab/>
      </w:r>
      <w:r w:rsidRPr="00BD10DE">
        <w:rPr>
          <w:b/>
        </w:rPr>
        <w:t xml:space="preserve">La réalisation des droits des </w:t>
      </w:r>
      <w:r>
        <w:rPr>
          <w:b/>
        </w:rPr>
        <w:t>H</w:t>
      </w:r>
      <w:r w:rsidRPr="00BD10DE">
        <w:rPr>
          <w:b/>
        </w:rPr>
        <w:t>aïtiens ou des personnes d</w:t>
      </w:r>
      <w:r>
        <w:rPr>
          <w:b/>
        </w:rPr>
        <w:t>’</w:t>
      </w:r>
      <w:r w:rsidRPr="00BD10DE">
        <w:rPr>
          <w:b/>
        </w:rPr>
        <w:t>origine haïtienne vivant ou ayant vécu à l</w:t>
      </w:r>
      <w:r>
        <w:rPr>
          <w:b/>
        </w:rPr>
        <w:t>’</w:t>
      </w:r>
      <w:r w:rsidRPr="00BD10DE">
        <w:rPr>
          <w:b/>
        </w:rPr>
        <w:t>étranger en risque d</w:t>
      </w:r>
      <w:r>
        <w:rPr>
          <w:b/>
        </w:rPr>
        <w:t>’</w:t>
      </w:r>
      <w:r w:rsidRPr="00BD10DE">
        <w:rPr>
          <w:b/>
        </w:rPr>
        <w:t xml:space="preserve">apatridie, notamment en République dominicaine. </w:t>
      </w:r>
      <w:r w:rsidRPr="00EE4A62">
        <w:rPr>
          <w:b/>
          <w:lang w:val="fr-FR"/>
        </w:rPr>
        <w:t>Il est important que les autorités haïtiennes accueillent dans des conditions conformes aux droits humains les personnes en provenance de la République dominicaine, qu</w:t>
      </w:r>
      <w:r>
        <w:rPr>
          <w:b/>
          <w:lang w:val="fr-FR"/>
        </w:rPr>
        <w:t>’</w:t>
      </w:r>
      <w:r w:rsidRPr="00EE4A62">
        <w:rPr>
          <w:b/>
          <w:lang w:val="fr-FR"/>
        </w:rPr>
        <w:t>elles mettent en place des programmes d</w:t>
      </w:r>
      <w:r>
        <w:rPr>
          <w:b/>
          <w:lang w:val="fr-FR"/>
        </w:rPr>
        <w:t>’</w:t>
      </w:r>
      <w:r w:rsidRPr="00EE4A62">
        <w:rPr>
          <w:b/>
          <w:lang w:val="fr-FR"/>
        </w:rPr>
        <w:t xml:space="preserve">insertion durables et que la population soit sensibilisée </w:t>
      </w:r>
      <w:r>
        <w:rPr>
          <w:b/>
          <w:lang w:val="fr-FR"/>
        </w:rPr>
        <w:t>à</w:t>
      </w:r>
      <w:r w:rsidRPr="00EE4A62">
        <w:rPr>
          <w:b/>
          <w:lang w:val="fr-FR"/>
        </w:rPr>
        <w:t xml:space="preserve"> l</w:t>
      </w:r>
      <w:r>
        <w:rPr>
          <w:b/>
          <w:lang w:val="fr-FR"/>
        </w:rPr>
        <w:t>’</w:t>
      </w:r>
      <w:r w:rsidRPr="00EE4A62">
        <w:rPr>
          <w:b/>
          <w:lang w:val="fr-FR"/>
        </w:rPr>
        <w:t>importance d</w:t>
      </w:r>
      <w:r>
        <w:rPr>
          <w:b/>
          <w:lang w:val="fr-FR"/>
        </w:rPr>
        <w:t>’</w:t>
      </w:r>
      <w:r w:rsidRPr="00EE4A62">
        <w:rPr>
          <w:b/>
          <w:lang w:val="fr-FR"/>
        </w:rPr>
        <w:t>enregistrer toute naissance en Haïti, en République dominicaine ou ailleurs. Il est aussi important que les autorités haïtiennes fournissent les documents d</w:t>
      </w:r>
      <w:r>
        <w:rPr>
          <w:b/>
          <w:lang w:val="fr-FR"/>
        </w:rPr>
        <w:t>’</w:t>
      </w:r>
      <w:r w:rsidRPr="00EE4A62">
        <w:rPr>
          <w:b/>
          <w:lang w:val="fr-FR"/>
        </w:rPr>
        <w:t xml:space="preserve">état civil </w:t>
      </w:r>
      <w:r>
        <w:rPr>
          <w:b/>
          <w:lang w:val="fr-FR"/>
        </w:rPr>
        <w:t xml:space="preserve">nécessaires </w:t>
      </w:r>
      <w:r w:rsidRPr="00EE4A62">
        <w:rPr>
          <w:b/>
          <w:lang w:val="fr-FR"/>
        </w:rPr>
        <w:t xml:space="preserve">aux Haïtiennes et Haïtiens habitant en République dominicaine qui ont besoin de régulariser </w:t>
      </w:r>
      <w:r>
        <w:rPr>
          <w:b/>
          <w:lang w:val="fr-FR"/>
        </w:rPr>
        <w:t>leur</w:t>
      </w:r>
      <w:r w:rsidRPr="00EE4A62">
        <w:rPr>
          <w:b/>
          <w:lang w:val="fr-FR"/>
        </w:rPr>
        <w:t xml:space="preserve"> situation dans le pays voisin.</w:t>
      </w:r>
    </w:p>
    <w:p w:rsidR="000B0FA8" w:rsidRPr="009E690C" w:rsidRDefault="000B0FA8" w:rsidP="000B0FA8">
      <w:pPr>
        <w:pStyle w:val="SingleTxtG"/>
      </w:pPr>
      <w:r w:rsidRPr="009E690C">
        <w:t>101.</w:t>
      </w:r>
      <w:r w:rsidRPr="009E690C">
        <w:tab/>
      </w:r>
      <w:r w:rsidRPr="009E690C">
        <w:rPr>
          <w:b/>
        </w:rPr>
        <w:t>L</w:t>
      </w:r>
      <w:r>
        <w:rPr>
          <w:b/>
        </w:rPr>
        <w:t>’</w:t>
      </w:r>
      <w:r w:rsidRPr="009E690C">
        <w:rPr>
          <w:b/>
        </w:rPr>
        <w:t xml:space="preserve">Expert </w:t>
      </w:r>
      <w:r>
        <w:rPr>
          <w:b/>
        </w:rPr>
        <w:t xml:space="preserve">indépendant </w:t>
      </w:r>
      <w:r w:rsidRPr="009E690C">
        <w:rPr>
          <w:b/>
        </w:rPr>
        <w:t>doit réitérer l</w:t>
      </w:r>
      <w:r>
        <w:rPr>
          <w:b/>
        </w:rPr>
        <w:t>’</w:t>
      </w:r>
      <w:r w:rsidRPr="009E690C">
        <w:rPr>
          <w:b/>
        </w:rPr>
        <w:t xml:space="preserve">espoir </w:t>
      </w:r>
      <w:r>
        <w:rPr>
          <w:b/>
        </w:rPr>
        <w:t>que</w:t>
      </w:r>
      <w:r w:rsidRPr="009E690C">
        <w:rPr>
          <w:b/>
        </w:rPr>
        <w:t xml:space="preserve"> les difficultés de gouvernance et de transition en Haïti </w:t>
      </w:r>
      <w:r>
        <w:rPr>
          <w:b/>
        </w:rPr>
        <w:t>soient</w:t>
      </w:r>
      <w:r w:rsidRPr="009E690C">
        <w:rPr>
          <w:b/>
        </w:rPr>
        <w:t xml:space="preserve"> surmont</w:t>
      </w:r>
      <w:r>
        <w:rPr>
          <w:b/>
        </w:rPr>
        <w:t>ées grâce à</w:t>
      </w:r>
      <w:r w:rsidRPr="009E690C">
        <w:rPr>
          <w:b/>
        </w:rPr>
        <w:t xml:space="preserve"> la recherche de solutions concertées. Ce</w:t>
      </w:r>
      <w:r>
        <w:rPr>
          <w:b/>
        </w:rPr>
        <w:t>la</w:t>
      </w:r>
      <w:r w:rsidRPr="009E690C">
        <w:rPr>
          <w:b/>
        </w:rPr>
        <w:t xml:space="preserve"> devrait donner lieu à l</w:t>
      </w:r>
      <w:r>
        <w:rPr>
          <w:b/>
        </w:rPr>
        <w:t>’</w:t>
      </w:r>
      <w:r w:rsidRPr="009E690C">
        <w:rPr>
          <w:b/>
        </w:rPr>
        <w:t>adoption d</w:t>
      </w:r>
      <w:r>
        <w:rPr>
          <w:b/>
        </w:rPr>
        <w:t>’</w:t>
      </w:r>
      <w:r w:rsidRPr="009E690C">
        <w:rPr>
          <w:b/>
        </w:rPr>
        <w:t>une politique des droits humains dans laquelle ces cinq recommandations méritent l</w:t>
      </w:r>
      <w:r>
        <w:rPr>
          <w:b/>
        </w:rPr>
        <w:t>’</w:t>
      </w:r>
      <w:r w:rsidRPr="009E690C">
        <w:rPr>
          <w:b/>
        </w:rPr>
        <w:t>attention des autorités et l</w:t>
      </w:r>
      <w:r>
        <w:rPr>
          <w:b/>
        </w:rPr>
        <w:t>’</w:t>
      </w:r>
      <w:r w:rsidRPr="009E690C">
        <w:rPr>
          <w:b/>
        </w:rPr>
        <w:t>appui d</w:t>
      </w:r>
      <w:r>
        <w:rPr>
          <w:b/>
        </w:rPr>
        <w:t>u</w:t>
      </w:r>
      <w:r w:rsidRPr="009E690C">
        <w:rPr>
          <w:b/>
        </w:rPr>
        <w:t xml:space="preserve"> Conseil. Les droits des femmes haïtiennes doivent être considérés de façon prioritaire dans cette politique, étant donné leur situation de vulnérabilité, ainsi que les enfants, les personnes handicapées et les personnes âgées. Le Président provisoire et ses </w:t>
      </w:r>
      <w:r>
        <w:rPr>
          <w:b/>
        </w:rPr>
        <w:t>M</w:t>
      </w:r>
      <w:r w:rsidRPr="009E690C">
        <w:rPr>
          <w:b/>
        </w:rPr>
        <w:t xml:space="preserve">inistres ont </w:t>
      </w:r>
      <w:r>
        <w:rPr>
          <w:b/>
        </w:rPr>
        <w:t>fait part</w:t>
      </w:r>
      <w:r w:rsidRPr="009E690C">
        <w:rPr>
          <w:b/>
        </w:rPr>
        <w:t xml:space="preserve"> à </w:t>
      </w:r>
      <w:r>
        <w:rPr>
          <w:b/>
        </w:rPr>
        <w:t>l’</w:t>
      </w:r>
      <w:r w:rsidRPr="009E690C">
        <w:rPr>
          <w:b/>
        </w:rPr>
        <w:t xml:space="preserve">Expert </w:t>
      </w:r>
      <w:r>
        <w:rPr>
          <w:b/>
        </w:rPr>
        <w:t xml:space="preserve">indépendant de </w:t>
      </w:r>
      <w:r w:rsidRPr="009E690C">
        <w:rPr>
          <w:b/>
        </w:rPr>
        <w:t xml:space="preserve">leur accord avec les recommandations et </w:t>
      </w:r>
      <w:r>
        <w:rPr>
          <w:b/>
        </w:rPr>
        <w:t xml:space="preserve">de </w:t>
      </w:r>
      <w:r w:rsidRPr="009E690C">
        <w:rPr>
          <w:b/>
        </w:rPr>
        <w:t xml:space="preserve">leur volonté de les mettre en œuvre dans la mesure du possible et dans la durée limitée de leur mandat. Cette volonté devrait </w:t>
      </w:r>
      <w:r>
        <w:rPr>
          <w:b/>
        </w:rPr>
        <w:t>être partagée</w:t>
      </w:r>
      <w:r w:rsidRPr="009E690C">
        <w:rPr>
          <w:b/>
        </w:rPr>
        <w:t xml:space="preserve"> par les autorités issues des élections.</w:t>
      </w:r>
    </w:p>
    <w:p w:rsidR="000B0FA8" w:rsidRPr="009E690C" w:rsidRDefault="000B0FA8" w:rsidP="000B0FA8">
      <w:pPr>
        <w:pStyle w:val="SingleTxtG"/>
      </w:pPr>
      <w:r w:rsidRPr="009E690C">
        <w:t>102.</w:t>
      </w:r>
      <w:r w:rsidRPr="009E690C">
        <w:tab/>
      </w:r>
      <w:r w:rsidRPr="009E690C">
        <w:rPr>
          <w:b/>
        </w:rPr>
        <w:t>L</w:t>
      </w:r>
      <w:r>
        <w:rPr>
          <w:b/>
        </w:rPr>
        <w:t>’</w:t>
      </w:r>
      <w:r w:rsidRPr="009E690C">
        <w:rPr>
          <w:b/>
        </w:rPr>
        <w:t xml:space="preserve">Expert </w:t>
      </w:r>
      <w:r>
        <w:rPr>
          <w:b/>
        </w:rPr>
        <w:t xml:space="preserve">indépendant </w:t>
      </w:r>
      <w:r w:rsidRPr="009E690C">
        <w:rPr>
          <w:b/>
        </w:rPr>
        <w:t>recommande au nouveau Gouvernement d</w:t>
      </w:r>
      <w:r>
        <w:rPr>
          <w:b/>
        </w:rPr>
        <w:t>’</w:t>
      </w:r>
      <w:r w:rsidRPr="009E690C">
        <w:rPr>
          <w:b/>
        </w:rPr>
        <w:t xml:space="preserve">adopter un </w:t>
      </w:r>
      <w:r>
        <w:rPr>
          <w:b/>
        </w:rPr>
        <w:t>p</w:t>
      </w:r>
      <w:r w:rsidRPr="009E690C">
        <w:rPr>
          <w:b/>
        </w:rPr>
        <w:t xml:space="preserve">lan </w:t>
      </w:r>
      <w:r>
        <w:rPr>
          <w:b/>
        </w:rPr>
        <w:t>pour les</w:t>
      </w:r>
      <w:r w:rsidRPr="009E690C">
        <w:rPr>
          <w:b/>
        </w:rPr>
        <w:t xml:space="preserve"> droits humains, en concertation avec la société civile et l</w:t>
      </w:r>
      <w:r>
        <w:rPr>
          <w:b/>
        </w:rPr>
        <w:t>’</w:t>
      </w:r>
      <w:r w:rsidRPr="009E690C">
        <w:rPr>
          <w:b/>
        </w:rPr>
        <w:t>O</w:t>
      </w:r>
      <w:r>
        <w:rPr>
          <w:b/>
        </w:rPr>
        <w:t>ffice de protection du citoyen</w:t>
      </w:r>
      <w:r w:rsidRPr="009E690C">
        <w:rPr>
          <w:b/>
        </w:rPr>
        <w:t>, pour développer des mesures structurelles visant à assurer</w:t>
      </w:r>
      <w:r>
        <w:rPr>
          <w:b/>
        </w:rPr>
        <w:t> </w:t>
      </w:r>
      <w:r w:rsidRPr="009E690C">
        <w:rPr>
          <w:b/>
        </w:rPr>
        <w:t>:</w:t>
      </w:r>
    </w:p>
    <w:p w:rsidR="000B0FA8" w:rsidRPr="00DF2BDB" w:rsidRDefault="000B0FA8" w:rsidP="00703450">
      <w:pPr>
        <w:pStyle w:val="SingleTxtG"/>
        <w:ind w:firstLine="567"/>
        <w:rPr>
          <w:b/>
        </w:rPr>
      </w:pPr>
      <w:r w:rsidRPr="00703450">
        <w:rPr>
          <w:b/>
        </w:rPr>
        <w:t>a)</w:t>
      </w:r>
      <w:r w:rsidRPr="00703450">
        <w:rPr>
          <w:b/>
        </w:rPr>
        <w:tab/>
      </w:r>
      <w:r w:rsidRPr="00DF2BDB">
        <w:rPr>
          <w:b/>
        </w:rPr>
        <w:t>Une réduction importante de l’inégalité sociale et la jouissance d’un niveau minimum de droits sociaux, économiques et culturels pour toute la population ;</w:t>
      </w:r>
    </w:p>
    <w:p w:rsidR="000B0FA8" w:rsidRPr="00DF2BDB" w:rsidRDefault="000B0FA8" w:rsidP="00DF2BDB">
      <w:pPr>
        <w:pStyle w:val="SingleTxtG"/>
        <w:ind w:firstLine="567"/>
        <w:rPr>
          <w:b/>
        </w:rPr>
      </w:pPr>
      <w:r w:rsidRPr="00703450">
        <w:rPr>
          <w:b/>
        </w:rPr>
        <w:t>b)</w:t>
      </w:r>
      <w:r w:rsidRPr="00703450">
        <w:rPr>
          <w:b/>
        </w:rPr>
        <w:tab/>
      </w:r>
      <w:r w:rsidRPr="00DF2BDB">
        <w:rPr>
          <w:b/>
        </w:rPr>
        <w:t>L’humanisation des conditions de détention, notamment la réduction de la surpopulation carcérale, l’aménagement de services sanitaires et hygiéniques, l’approvisionnement en nourriture pour les détenus, et des possibilités d’étudier et de travailler à l’intérieur des prisons ;</w:t>
      </w:r>
    </w:p>
    <w:p w:rsidR="000B0FA8" w:rsidRPr="00DF2BDB" w:rsidRDefault="000B0FA8" w:rsidP="00703450">
      <w:pPr>
        <w:pStyle w:val="SingleTxtG"/>
        <w:ind w:firstLine="567"/>
        <w:rPr>
          <w:b/>
          <w:lang w:val="fr-FR"/>
        </w:rPr>
      </w:pPr>
      <w:r w:rsidRPr="00703450">
        <w:rPr>
          <w:b/>
          <w:lang w:val="fr-FR"/>
        </w:rPr>
        <w:t>c)</w:t>
      </w:r>
      <w:r w:rsidRPr="00703450">
        <w:rPr>
          <w:b/>
          <w:lang w:val="fr-FR"/>
        </w:rPr>
        <w:tab/>
      </w:r>
      <w:r w:rsidRPr="00DF2BDB">
        <w:rPr>
          <w:b/>
          <w:lang w:val="fr-FR"/>
        </w:rPr>
        <w:t>Le renforcement de l’état de droit ;</w:t>
      </w:r>
    </w:p>
    <w:p w:rsidR="000B0FA8" w:rsidRPr="00DF2BDB" w:rsidRDefault="000B0FA8" w:rsidP="00703450">
      <w:pPr>
        <w:pStyle w:val="SingleTxtG"/>
        <w:ind w:firstLine="567"/>
        <w:rPr>
          <w:b/>
        </w:rPr>
      </w:pPr>
      <w:r w:rsidRPr="00703450">
        <w:rPr>
          <w:b/>
        </w:rPr>
        <w:t>d)</w:t>
      </w:r>
      <w:r w:rsidRPr="00703450">
        <w:rPr>
          <w:b/>
        </w:rPr>
        <w:tab/>
      </w:r>
      <w:r w:rsidRPr="00DF2BDB">
        <w:rPr>
          <w:b/>
        </w:rPr>
        <w:t>L’amélioration de l’efficacité et de la crédibilité du système judiciaire.</w:t>
      </w:r>
    </w:p>
    <w:p w:rsidR="000B0FA8" w:rsidRPr="009E690C" w:rsidRDefault="000B0FA8" w:rsidP="000B0FA8">
      <w:pPr>
        <w:pStyle w:val="SingleTxtG"/>
      </w:pPr>
      <w:r w:rsidRPr="009E690C">
        <w:t>103.</w:t>
      </w:r>
      <w:r w:rsidRPr="009E690C">
        <w:tab/>
      </w:r>
      <w:r w:rsidRPr="009E690C">
        <w:rPr>
          <w:b/>
        </w:rPr>
        <w:t xml:space="preserve">Dans tous les domaines </w:t>
      </w:r>
      <w:r>
        <w:rPr>
          <w:b/>
        </w:rPr>
        <w:t>sus</w:t>
      </w:r>
      <w:r w:rsidRPr="009E690C">
        <w:rPr>
          <w:b/>
        </w:rPr>
        <w:t xml:space="preserve">mentionnés, les droits des femmes doivent </w:t>
      </w:r>
      <w:r>
        <w:rPr>
          <w:b/>
        </w:rPr>
        <w:t>faire</w:t>
      </w:r>
      <w:r w:rsidRPr="009E690C">
        <w:rPr>
          <w:b/>
        </w:rPr>
        <w:t xml:space="preserve"> l</w:t>
      </w:r>
      <w:r>
        <w:rPr>
          <w:b/>
        </w:rPr>
        <w:t>’</w:t>
      </w:r>
      <w:r w:rsidRPr="009E690C">
        <w:rPr>
          <w:b/>
        </w:rPr>
        <w:t>objet d</w:t>
      </w:r>
      <w:r>
        <w:rPr>
          <w:b/>
        </w:rPr>
        <w:t>’</w:t>
      </w:r>
      <w:r w:rsidRPr="009E690C">
        <w:rPr>
          <w:b/>
        </w:rPr>
        <w:t xml:space="preserve">une attention </w:t>
      </w:r>
      <w:r>
        <w:rPr>
          <w:b/>
        </w:rPr>
        <w:t>particulière</w:t>
      </w:r>
      <w:r w:rsidRPr="009E690C">
        <w:rPr>
          <w:b/>
        </w:rPr>
        <w:t xml:space="preserve"> dans le but de réduire l</w:t>
      </w:r>
      <w:r>
        <w:rPr>
          <w:b/>
        </w:rPr>
        <w:t>’</w:t>
      </w:r>
      <w:r w:rsidRPr="009E690C">
        <w:rPr>
          <w:b/>
        </w:rPr>
        <w:t xml:space="preserve">extrême inégalité </w:t>
      </w:r>
      <w:r>
        <w:rPr>
          <w:b/>
        </w:rPr>
        <w:t>entre les femmes et les</w:t>
      </w:r>
      <w:r w:rsidRPr="009E690C">
        <w:rPr>
          <w:b/>
        </w:rPr>
        <w:t xml:space="preserve"> hommes.</w:t>
      </w:r>
    </w:p>
    <w:p w:rsidR="000B0FA8" w:rsidRPr="009E690C" w:rsidRDefault="000B0FA8" w:rsidP="000B0FA8">
      <w:pPr>
        <w:pStyle w:val="SingleTxtG"/>
      </w:pPr>
      <w:r w:rsidRPr="009E690C">
        <w:t>104.</w:t>
      </w:r>
      <w:r w:rsidRPr="009E690C">
        <w:tab/>
      </w:r>
      <w:r w:rsidRPr="009E690C">
        <w:rPr>
          <w:b/>
        </w:rPr>
        <w:t>La nomination d</w:t>
      </w:r>
      <w:r>
        <w:rPr>
          <w:b/>
        </w:rPr>
        <w:t>’</w:t>
      </w:r>
      <w:r w:rsidRPr="009E690C">
        <w:rPr>
          <w:b/>
        </w:rPr>
        <w:t>une personne responsable d</w:t>
      </w:r>
      <w:r>
        <w:rPr>
          <w:b/>
        </w:rPr>
        <w:t>e la question</w:t>
      </w:r>
      <w:r w:rsidRPr="009E690C">
        <w:rPr>
          <w:b/>
        </w:rPr>
        <w:t xml:space="preserve"> des droits humains au plus haut niveau du Gouvernement, tel</w:t>
      </w:r>
      <w:r>
        <w:rPr>
          <w:b/>
        </w:rPr>
        <w:t>le</w:t>
      </w:r>
      <w:r w:rsidRPr="009E690C">
        <w:rPr>
          <w:b/>
        </w:rPr>
        <w:t xml:space="preserve"> qu</w:t>
      </w:r>
      <w:r>
        <w:rPr>
          <w:b/>
        </w:rPr>
        <w:t>’elle</w:t>
      </w:r>
      <w:r w:rsidRPr="009E690C">
        <w:rPr>
          <w:b/>
        </w:rPr>
        <w:t xml:space="preserve"> existait jusqu</w:t>
      </w:r>
      <w:r>
        <w:rPr>
          <w:b/>
        </w:rPr>
        <w:t>’</w:t>
      </w:r>
      <w:r w:rsidRPr="009E690C">
        <w:rPr>
          <w:b/>
        </w:rPr>
        <w:t>au mois de décembre 2014, serait très utile pour la cohérence et l</w:t>
      </w:r>
      <w:r>
        <w:rPr>
          <w:b/>
        </w:rPr>
        <w:t>’</w:t>
      </w:r>
      <w:r w:rsidRPr="009E690C">
        <w:rPr>
          <w:b/>
        </w:rPr>
        <w:t xml:space="preserve">efficacité des actions du Gouvernement dans ce domaine, </w:t>
      </w:r>
      <w:r>
        <w:rPr>
          <w:b/>
        </w:rPr>
        <w:t>de même</w:t>
      </w:r>
      <w:r w:rsidRPr="009E690C">
        <w:rPr>
          <w:b/>
        </w:rPr>
        <w:t xml:space="preserve"> que pour garantir la nécessaire participation de la société civile dans la définition et la mise en œuvre d</w:t>
      </w:r>
      <w:r>
        <w:rPr>
          <w:b/>
        </w:rPr>
        <w:t>’</w:t>
      </w:r>
      <w:r w:rsidRPr="009E690C">
        <w:rPr>
          <w:b/>
        </w:rPr>
        <w:t xml:space="preserve">une politique de respect, </w:t>
      </w:r>
      <w:r>
        <w:rPr>
          <w:b/>
        </w:rPr>
        <w:t xml:space="preserve">de </w:t>
      </w:r>
      <w:r w:rsidRPr="009E690C">
        <w:rPr>
          <w:b/>
        </w:rPr>
        <w:t xml:space="preserve">protection et </w:t>
      </w:r>
      <w:r>
        <w:rPr>
          <w:b/>
        </w:rPr>
        <w:t xml:space="preserve">de </w:t>
      </w:r>
      <w:r w:rsidRPr="009E690C">
        <w:rPr>
          <w:b/>
        </w:rPr>
        <w:t>promotion des droits humains en Haïti.</w:t>
      </w:r>
      <w:r w:rsidRPr="009E690C">
        <w:t xml:space="preserve"> </w:t>
      </w:r>
    </w:p>
    <w:p w:rsidR="000B0FA8" w:rsidRPr="009E690C" w:rsidRDefault="000B0FA8" w:rsidP="000B0FA8">
      <w:pPr>
        <w:pStyle w:val="SingleTxtG"/>
      </w:pPr>
      <w:r w:rsidRPr="009E690C">
        <w:t>105.</w:t>
      </w:r>
      <w:r w:rsidRPr="009E690C">
        <w:tab/>
      </w:r>
      <w:r w:rsidRPr="009E690C">
        <w:rPr>
          <w:b/>
        </w:rPr>
        <w:t>L</w:t>
      </w:r>
      <w:r>
        <w:rPr>
          <w:b/>
        </w:rPr>
        <w:t>’</w:t>
      </w:r>
      <w:r w:rsidRPr="009E690C">
        <w:rPr>
          <w:b/>
        </w:rPr>
        <w:t xml:space="preserve">Expert </w:t>
      </w:r>
      <w:r>
        <w:rPr>
          <w:b/>
        </w:rPr>
        <w:t xml:space="preserve">indépendant </w:t>
      </w:r>
      <w:r w:rsidRPr="009E690C">
        <w:rPr>
          <w:b/>
        </w:rPr>
        <w:t xml:space="preserve">continue à considérer que, même si la situation des droits humains en Haïti est extrêmement grave, elle est surmontable à condition que tous les efforts </w:t>
      </w:r>
      <w:r>
        <w:rPr>
          <w:b/>
        </w:rPr>
        <w:t>déployés à cette fin</w:t>
      </w:r>
      <w:r w:rsidRPr="009E690C">
        <w:rPr>
          <w:b/>
        </w:rPr>
        <w:t xml:space="preserve"> soient coordonnés dans une même direction. </w:t>
      </w:r>
      <w:r w:rsidR="00C9077C">
        <w:rPr>
          <w:b/>
        </w:rPr>
        <w:t>Il </w:t>
      </w:r>
      <w:r>
        <w:rPr>
          <w:b/>
        </w:rPr>
        <w:t>lance</w:t>
      </w:r>
      <w:r w:rsidRPr="009E690C">
        <w:rPr>
          <w:b/>
        </w:rPr>
        <w:t xml:space="preserve"> de nouveau un appel spécial aux autorités, à la société civile et à la communauté internationale pour construire un solide consensus à cet égard, dont le point de départ pourrait être ses recommandations (ou d</w:t>
      </w:r>
      <w:r>
        <w:rPr>
          <w:b/>
        </w:rPr>
        <w:t>’</w:t>
      </w:r>
      <w:r w:rsidRPr="009E690C">
        <w:rPr>
          <w:b/>
        </w:rPr>
        <w:t xml:space="preserve">autres plus pertinentes le cas échéant), mais un consensus qui puisse </w:t>
      </w:r>
      <w:r>
        <w:rPr>
          <w:b/>
        </w:rPr>
        <w:t>susciter</w:t>
      </w:r>
      <w:r w:rsidRPr="009E690C">
        <w:rPr>
          <w:b/>
        </w:rPr>
        <w:t xml:space="preserve"> une forte volonté politique et une persévérance des efforts pour atteindre un minimum de résultats.</w:t>
      </w:r>
      <w:r w:rsidRPr="009E690C">
        <w:t xml:space="preserve"> </w:t>
      </w:r>
    </w:p>
    <w:p w:rsidR="000B0FA8" w:rsidRDefault="000B0FA8" w:rsidP="000B0FA8">
      <w:pPr>
        <w:pStyle w:val="SingleTxtG"/>
      </w:pPr>
      <w:r w:rsidRPr="009E690C">
        <w:t>106.</w:t>
      </w:r>
      <w:r w:rsidRPr="009E690C">
        <w:tab/>
      </w:r>
      <w:r w:rsidRPr="009E690C">
        <w:rPr>
          <w:b/>
        </w:rPr>
        <w:t>L</w:t>
      </w:r>
      <w:r>
        <w:rPr>
          <w:b/>
        </w:rPr>
        <w:t>’</w:t>
      </w:r>
      <w:r w:rsidRPr="009E690C">
        <w:rPr>
          <w:b/>
        </w:rPr>
        <w:t xml:space="preserve">Expert </w:t>
      </w:r>
      <w:r>
        <w:rPr>
          <w:b/>
        </w:rPr>
        <w:t xml:space="preserve">indépendant </w:t>
      </w:r>
      <w:r w:rsidRPr="009E690C">
        <w:rPr>
          <w:b/>
        </w:rPr>
        <w:t>ré</w:t>
      </w:r>
      <w:r>
        <w:rPr>
          <w:b/>
        </w:rPr>
        <w:t xml:space="preserve">affirme qu’il est </w:t>
      </w:r>
      <w:r w:rsidRPr="009E690C">
        <w:rPr>
          <w:b/>
        </w:rPr>
        <w:t>ferme</w:t>
      </w:r>
      <w:r>
        <w:rPr>
          <w:b/>
        </w:rPr>
        <w:t>ment</w:t>
      </w:r>
      <w:r w:rsidRPr="009E690C">
        <w:rPr>
          <w:b/>
        </w:rPr>
        <w:t xml:space="preserve"> dispos</w:t>
      </w:r>
      <w:r>
        <w:rPr>
          <w:b/>
        </w:rPr>
        <w:t>é</w:t>
      </w:r>
      <w:r w:rsidRPr="009E690C">
        <w:rPr>
          <w:b/>
        </w:rPr>
        <w:t xml:space="preserve"> à </w:t>
      </w:r>
      <w:r>
        <w:rPr>
          <w:b/>
        </w:rPr>
        <w:t>apporter</w:t>
      </w:r>
      <w:r w:rsidRPr="009E690C">
        <w:rPr>
          <w:b/>
        </w:rPr>
        <w:t xml:space="preserve"> son concours à ce pro</w:t>
      </w:r>
      <w:r>
        <w:rPr>
          <w:b/>
        </w:rPr>
        <w:t>jet</w:t>
      </w:r>
      <w:r w:rsidRPr="009E690C">
        <w:rPr>
          <w:b/>
        </w:rPr>
        <w:t>.</w:t>
      </w:r>
      <w:r w:rsidRPr="009E690C">
        <w:t xml:space="preserve"> </w:t>
      </w:r>
    </w:p>
    <w:p w:rsidR="00552797" w:rsidRDefault="000B0FA8" w:rsidP="00703450">
      <w:pPr>
        <w:pStyle w:val="SingleTxtG"/>
        <w:keepLines/>
        <w:rPr>
          <w:b/>
        </w:rPr>
      </w:pPr>
      <w:r w:rsidRPr="009E690C">
        <w:lastRenderedPageBreak/>
        <w:t>107.</w:t>
      </w:r>
      <w:r w:rsidRPr="009E690C">
        <w:tab/>
      </w:r>
      <w:r>
        <w:rPr>
          <w:b/>
        </w:rPr>
        <w:t>Compte tenu du</w:t>
      </w:r>
      <w:r w:rsidRPr="009E690C">
        <w:rPr>
          <w:b/>
        </w:rPr>
        <w:t xml:space="preserve"> plan de consolidation de la MINUSTAH et </w:t>
      </w:r>
      <w:r>
        <w:rPr>
          <w:b/>
        </w:rPr>
        <w:t>d</w:t>
      </w:r>
      <w:r w:rsidRPr="009E690C">
        <w:rPr>
          <w:b/>
        </w:rPr>
        <w:t>es débats en cours sur la présence de l</w:t>
      </w:r>
      <w:r>
        <w:rPr>
          <w:b/>
        </w:rPr>
        <w:t>’</w:t>
      </w:r>
      <w:r w:rsidRPr="009E690C">
        <w:rPr>
          <w:b/>
        </w:rPr>
        <w:t>ONU en Haïti, l</w:t>
      </w:r>
      <w:r>
        <w:rPr>
          <w:b/>
        </w:rPr>
        <w:t>’</w:t>
      </w:r>
      <w:r w:rsidRPr="009E690C">
        <w:rPr>
          <w:b/>
        </w:rPr>
        <w:t xml:space="preserve">Expert </w:t>
      </w:r>
      <w:r>
        <w:rPr>
          <w:b/>
        </w:rPr>
        <w:t xml:space="preserve">indépendant </w:t>
      </w:r>
      <w:r w:rsidRPr="009E690C">
        <w:rPr>
          <w:b/>
        </w:rPr>
        <w:t>réitère l</w:t>
      </w:r>
      <w:r>
        <w:rPr>
          <w:b/>
        </w:rPr>
        <w:t>’</w:t>
      </w:r>
      <w:r w:rsidRPr="009E690C">
        <w:rPr>
          <w:b/>
        </w:rPr>
        <w:t>importance, pour appuyer les efforts visant à surmonter les obstacles à la réalisation des droits humains, de s</w:t>
      </w:r>
      <w:r>
        <w:rPr>
          <w:b/>
        </w:rPr>
        <w:t>’</w:t>
      </w:r>
      <w:r w:rsidRPr="009E690C">
        <w:rPr>
          <w:b/>
        </w:rPr>
        <w:t xml:space="preserve">assurer que le Haut-Commissariat des Nations </w:t>
      </w:r>
      <w:r>
        <w:rPr>
          <w:b/>
        </w:rPr>
        <w:t>U</w:t>
      </w:r>
      <w:r w:rsidRPr="009E690C">
        <w:rPr>
          <w:b/>
        </w:rPr>
        <w:t xml:space="preserve">nies </w:t>
      </w:r>
      <w:r>
        <w:rPr>
          <w:b/>
        </w:rPr>
        <w:t>aux</w:t>
      </w:r>
      <w:r w:rsidRPr="009E690C">
        <w:rPr>
          <w:b/>
        </w:rPr>
        <w:t xml:space="preserve"> droits de l</w:t>
      </w:r>
      <w:r>
        <w:rPr>
          <w:b/>
        </w:rPr>
        <w:t>’</w:t>
      </w:r>
      <w:r w:rsidRPr="009E690C">
        <w:rPr>
          <w:b/>
        </w:rPr>
        <w:t>homme maintiendra une présence appropriée en Haïti.</w:t>
      </w:r>
    </w:p>
    <w:p w:rsidR="000B0FA8" w:rsidRPr="000B0FA8" w:rsidRDefault="000B0FA8" w:rsidP="000B0FA8">
      <w:pPr>
        <w:pStyle w:val="SingleTxtG"/>
        <w:spacing w:before="240" w:after="0"/>
        <w:jc w:val="center"/>
        <w:rPr>
          <w:u w:val="single"/>
        </w:rPr>
      </w:pPr>
      <w:r>
        <w:rPr>
          <w:u w:val="single"/>
        </w:rPr>
        <w:tab/>
      </w:r>
      <w:r>
        <w:rPr>
          <w:u w:val="single"/>
        </w:rPr>
        <w:tab/>
      </w:r>
      <w:r>
        <w:rPr>
          <w:u w:val="single"/>
        </w:rPr>
        <w:tab/>
      </w:r>
    </w:p>
    <w:sectPr w:rsidR="000B0FA8" w:rsidRPr="000B0FA8" w:rsidSect="000B0FA8">
      <w:headerReference w:type="even" r:id="rId9"/>
      <w:headerReference w:type="default" r:id="rId10"/>
      <w:footerReference w:type="even" r:id="rId11"/>
      <w:footerReference w:type="default" r:id="rId12"/>
      <w:footerReference w:type="first" r:id="rId13"/>
      <w:endnotePr>
        <w:numFmt w:val="decimal"/>
      </w:endnotePr>
      <w:pgSz w:w="11906" w:h="16838" w:code="9"/>
      <w:pgMar w:top="1417" w:right="1134" w:bottom="1134" w:left="1134" w:header="850"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0FA8" w:rsidRPr="00EF7F30" w:rsidRDefault="000B0FA8" w:rsidP="00EF7F30">
      <w:pPr>
        <w:pStyle w:val="Footer"/>
      </w:pPr>
    </w:p>
  </w:endnote>
  <w:endnote w:type="continuationSeparator" w:id="0">
    <w:p w:rsidR="000B0FA8" w:rsidRPr="00EF7F30" w:rsidRDefault="000B0FA8" w:rsidP="00EF7F30">
      <w:pPr>
        <w:pStyle w:val="Footer"/>
      </w:pPr>
    </w:p>
  </w:endnote>
  <w:endnote w:type="continuationNotice" w:id="1">
    <w:p w:rsidR="000B0FA8" w:rsidRDefault="000B0FA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FA8" w:rsidRPr="000B0FA8" w:rsidRDefault="000B0FA8" w:rsidP="000B0FA8">
    <w:pPr>
      <w:pStyle w:val="Footer"/>
      <w:tabs>
        <w:tab w:val="right" w:pos="9638"/>
      </w:tabs>
    </w:pPr>
    <w:r w:rsidRPr="000B0FA8">
      <w:rPr>
        <w:b/>
        <w:sz w:val="18"/>
      </w:rPr>
      <w:fldChar w:fldCharType="begin"/>
    </w:r>
    <w:r w:rsidRPr="000B0FA8">
      <w:rPr>
        <w:b/>
        <w:sz w:val="18"/>
      </w:rPr>
      <w:instrText xml:space="preserve"> PAGE  \* MERGEFORMAT </w:instrText>
    </w:r>
    <w:r w:rsidRPr="000B0FA8">
      <w:rPr>
        <w:b/>
        <w:sz w:val="18"/>
      </w:rPr>
      <w:fldChar w:fldCharType="separate"/>
    </w:r>
    <w:r w:rsidR="000A6B23">
      <w:rPr>
        <w:b/>
        <w:noProof/>
        <w:sz w:val="18"/>
      </w:rPr>
      <w:t>2</w:t>
    </w:r>
    <w:r w:rsidRPr="000B0FA8">
      <w:rPr>
        <w:b/>
        <w:sz w:val="18"/>
      </w:rPr>
      <w:fldChar w:fldCharType="end"/>
    </w:r>
    <w:r>
      <w:rPr>
        <w:b/>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FA8" w:rsidRPr="000B0FA8" w:rsidRDefault="000B0FA8" w:rsidP="000B0FA8">
    <w:pPr>
      <w:pStyle w:val="Footer"/>
      <w:tabs>
        <w:tab w:val="right" w:pos="9638"/>
      </w:tabs>
      <w:rPr>
        <w:b/>
        <w:sz w:val="18"/>
      </w:rPr>
    </w:pPr>
    <w:r>
      <w:tab/>
    </w:r>
    <w:r w:rsidRPr="000B0FA8">
      <w:rPr>
        <w:b/>
        <w:sz w:val="18"/>
      </w:rPr>
      <w:fldChar w:fldCharType="begin"/>
    </w:r>
    <w:r w:rsidRPr="000B0FA8">
      <w:rPr>
        <w:b/>
        <w:sz w:val="18"/>
      </w:rPr>
      <w:instrText xml:space="preserve"> PAGE  \* MERGEFORMAT </w:instrText>
    </w:r>
    <w:r w:rsidRPr="000B0FA8">
      <w:rPr>
        <w:b/>
        <w:sz w:val="18"/>
      </w:rPr>
      <w:fldChar w:fldCharType="separate"/>
    </w:r>
    <w:r w:rsidR="000A6B23">
      <w:rPr>
        <w:b/>
        <w:noProof/>
        <w:sz w:val="18"/>
      </w:rPr>
      <w:t>19</w:t>
    </w:r>
    <w:r w:rsidRPr="000B0FA8">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FA8" w:rsidRPr="000B0FA8" w:rsidRDefault="00615C8F" w:rsidP="000B0FA8">
    <w:pPr>
      <w:pStyle w:val="Footer"/>
      <w:spacing w:before="120"/>
      <w:rPr>
        <w:sz w:val="20"/>
      </w:rPr>
    </w:pPr>
    <w:r>
      <w:rPr>
        <w:noProof/>
        <w:lang w:val="en-GB" w:eastAsia="en-GB"/>
      </w:rPr>
      <w:drawing>
        <wp:anchor distT="0" distB="0" distL="114300" distR="114300" simplePos="0" relativeHeight="251659264" behindDoc="0" locked="0" layoutInCell="1" allowOverlap="0" wp14:anchorId="484E9F60" wp14:editId="0B44F095">
          <wp:simplePos x="0" y="0"/>
          <wp:positionH relativeFrom="margin">
            <wp:posOffset>4472305</wp:posOffset>
          </wp:positionH>
          <wp:positionV relativeFrom="margin">
            <wp:posOffset>9296400</wp:posOffset>
          </wp:positionV>
          <wp:extent cx="1105200" cy="234000"/>
          <wp:effectExtent l="0" t="0" r="0" b="0"/>
          <wp:wrapNone/>
          <wp:docPr id="2" name="Image 2" descr="recycle_Fre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Fren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5200" cy="2340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0FA8" w:rsidRPr="00EF7F30" w:rsidRDefault="000B0FA8" w:rsidP="00EF7F30">
      <w:pPr>
        <w:pStyle w:val="Footer"/>
        <w:tabs>
          <w:tab w:val="right" w:pos="2155"/>
        </w:tabs>
        <w:spacing w:after="80" w:line="240" w:lineRule="atLeast"/>
        <w:ind w:left="680"/>
        <w:rPr>
          <w:u w:val="single"/>
        </w:rPr>
      </w:pPr>
      <w:r w:rsidRPr="00EF7F30">
        <w:rPr>
          <w:u w:val="single"/>
        </w:rPr>
        <w:tab/>
      </w:r>
    </w:p>
  </w:footnote>
  <w:footnote w:type="continuationSeparator" w:id="0">
    <w:p w:rsidR="000B0FA8" w:rsidRPr="00EF7F30" w:rsidRDefault="000B0FA8" w:rsidP="000E5ADA">
      <w:pPr>
        <w:pStyle w:val="Footer"/>
        <w:tabs>
          <w:tab w:val="right" w:pos="2155"/>
        </w:tabs>
        <w:spacing w:after="80" w:line="240" w:lineRule="atLeast"/>
        <w:ind w:left="680"/>
      </w:pPr>
      <w:r w:rsidRPr="00EF7F30">
        <w:rPr>
          <w:u w:val="single"/>
        </w:rPr>
        <w:tab/>
      </w:r>
    </w:p>
  </w:footnote>
  <w:footnote w:type="continuationNotice" w:id="1">
    <w:p w:rsidR="000B0FA8" w:rsidRPr="000F2457" w:rsidRDefault="000B0FA8">
      <w:pPr>
        <w:spacing w:line="240" w:lineRule="auto"/>
        <w:rPr>
          <w:sz w:val="2"/>
          <w:szCs w:val="2"/>
        </w:rPr>
      </w:pPr>
    </w:p>
  </w:footnote>
  <w:footnote w:id="2">
    <w:p w:rsidR="000B0FA8" w:rsidRPr="00EE4A62" w:rsidRDefault="000B0FA8" w:rsidP="000B0FA8">
      <w:pPr>
        <w:pStyle w:val="FootnoteText"/>
        <w:rPr>
          <w:lang w:val="fr-FR"/>
        </w:rPr>
      </w:pPr>
      <w:r>
        <w:tab/>
      </w:r>
      <w:r w:rsidRPr="00E21C2F">
        <w:rPr>
          <w:rStyle w:val="FootnoteReference"/>
          <w:sz w:val="20"/>
          <w:vertAlign w:val="baseline"/>
          <w:lang w:val="fr-FR"/>
        </w:rPr>
        <w:t>*</w:t>
      </w:r>
      <w:r w:rsidRPr="00EE4A62">
        <w:rPr>
          <w:lang w:val="fr-FR"/>
        </w:rPr>
        <w:tab/>
      </w:r>
      <w:r>
        <w:rPr>
          <w:lang w:val="fr-FR"/>
        </w:rPr>
        <w:t>Le présent document est soumis tardivement pour que l</w:t>
      </w:r>
      <w:r w:rsidRPr="00076D27">
        <w:rPr>
          <w:lang w:val="fr-FR"/>
        </w:rPr>
        <w:t>’</w:t>
      </w:r>
      <w:r>
        <w:rPr>
          <w:lang w:val="fr-FR"/>
        </w:rPr>
        <w:t>information la plus récente puisse y figurer</w:t>
      </w:r>
      <w:r w:rsidRPr="00EE4A62">
        <w:rPr>
          <w:color w:val="000000"/>
          <w:szCs w:val="18"/>
          <w:lang w:val="fr-FR" w:eastAsia="en-GB"/>
        </w:rPr>
        <w:t>.</w:t>
      </w:r>
    </w:p>
  </w:footnote>
  <w:footnote w:id="3">
    <w:p w:rsidR="000B0FA8" w:rsidRPr="009E690C" w:rsidRDefault="000B0FA8" w:rsidP="000B0FA8">
      <w:pPr>
        <w:pStyle w:val="FootnoteText"/>
      </w:pPr>
      <w:r w:rsidRPr="009E690C">
        <w:tab/>
      </w:r>
      <w:r w:rsidRPr="00EE4A62">
        <w:rPr>
          <w:rStyle w:val="FootnoteReference"/>
        </w:rPr>
        <w:footnoteRef/>
      </w:r>
      <w:r w:rsidRPr="009E690C">
        <w:tab/>
      </w:r>
      <w:r>
        <w:t xml:space="preserve">Voir la </w:t>
      </w:r>
      <w:r>
        <w:rPr>
          <w:szCs w:val="18"/>
        </w:rPr>
        <w:t>r</w:t>
      </w:r>
      <w:r w:rsidRPr="009E690C">
        <w:rPr>
          <w:szCs w:val="18"/>
        </w:rPr>
        <w:t xml:space="preserve">ésolution 1503 du Conseil </w:t>
      </w:r>
      <w:r>
        <w:rPr>
          <w:szCs w:val="18"/>
        </w:rPr>
        <w:t>é</w:t>
      </w:r>
      <w:r w:rsidRPr="009E690C">
        <w:rPr>
          <w:szCs w:val="18"/>
        </w:rPr>
        <w:t xml:space="preserve">conomique et </w:t>
      </w:r>
      <w:r>
        <w:rPr>
          <w:szCs w:val="18"/>
        </w:rPr>
        <w:t>s</w:t>
      </w:r>
      <w:r w:rsidRPr="009E690C">
        <w:rPr>
          <w:szCs w:val="18"/>
        </w:rPr>
        <w:t xml:space="preserve">ocial </w:t>
      </w:r>
      <w:r>
        <w:rPr>
          <w:szCs w:val="18"/>
        </w:rPr>
        <w:t xml:space="preserve">et le document </w:t>
      </w:r>
      <w:r w:rsidRPr="009E690C">
        <w:rPr>
          <w:szCs w:val="18"/>
        </w:rPr>
        <w:t>E/CN.4/1987/61.</w:t>
      </w:r>
      <w:r w:rsidRPr="009E690C">
        <w:t xml:space="preserve"> </w:t>
      </w:r>
    </w:p>
  </w:footnote>
  <w:footnote w:id="4">
    <w:p w:rsidR="000B0FA8" w:rsidRPr="009E690C" w:rsidRDefault="000B0FA8" w:rsidP="000B0FA8">
      <w:pPr>
        <w:pStyle w:val="FootnoteText"/>
      </w:pPr>
      <w:r w:rsidRPr="009E690C">
        <w:tab/>
      </w:r>
      <w:r w:rsidRPr="00EE4A62">
        <w:rPr>
          <w:rStyle w:val="FootnoteReference"/>
        </w:rPr>
        <w:footnoteRef/>
      </w:r>
      <w:r w:rsidRPr="009E690C">
        <w:tab/>
      </w:r>
      <w:r w:rsidRPr="009E690C">
        <w:rPr>
          <w:szCs w:val="18"/>
        </w:rPr>
        <w:t xml:space="preserve">« Réactions du Gouvernement haïtien sur le rapport de l’Expert indépendant sur la situation des droits de l’homme en Haïti », transmises à l’Expert indépendant </w:t>
      </w:r>
      <w:r>
        <w:rPr>
          <w:szCs w:val="18"/>
        </w:rPr>
        <w:t>le</w:t>
      </w:r>
      <w:r w:rsidRPr="009E690C">
        <w:rPr>
          <w:szCs w:val="18"/>
        </w:rPr>
        <w:t xml:space="preserve"> </w:t>
      </w:r>
      <w:r w:rsidR="00A63102" w:rsidRPr="009E690C">
        <w:rPr>
          <w:szCs w:val="18"/>
        </w:rPr>
        <w:t>23</w:t>
      </w:r>
      <w:r w:rsidR="00A63102">
        <w:rPr>
          <w:szCs w:val="18"/>
        </w:rPr>
        <w:t> </w:t>
      </w:r>
      <w:r w:rsidRPr="009E690C">
        <w:rPr>
          <w:szCs w:val="18"/>
        </w:rPr>
        <w:t>janvier 2017, par</w:t>
      </w:r>
      <w:r w:rsidR="00A63102" w:rsidRPr="009E690C">
        <w:rPr>
          <w:szCs w:val="18"/>
        </w:rPr>
        <w:t>.</w:t>
      </w:r>
      <w:r w:rsidR="00A63102">
        <w:rPr>
          <w:szCs w:val="18"/>
        </w:rPr>
        <w:t> </w:t>
      </w:r>
      <w:r w:rsidRPr="009E690C">
        <w:rPr>
          <w:szCs w:val="18"/>
        </w:rPr>
        <w:t>6.</w:t>
      </w:r>
      <w:r w:rsidRPr="009E690C">
        <w:t xml:space="preserve"> </w:t>
      </w:r>
    </w:p>
  </w:footnote>
  <w:footnote w:id="5">
    <w:p w:rsidR="000B0FA8" w:rsidRPr="009E690C" w:rsidRDefault="000B0FA8" w:rsidP="000B0FA8">
      <w:pPr>
        <w:pStyle w:val="FootnoteText"/>
      </w:pPr>
      <w:r w:rsidRPr="009E690C">
        <w:tab/>
      </w:r>
      <w:r w:rsidRPr="00EE4A62">
        <w:rPr>
          <w:rStyle w:val="FootnoteReference"/>
        </w:rPr>
        <w:footnoteRef/>
      </w:r>
      <w:r w:rsidRPr="009E690C">
        <w:tab/>
      </w:r>
      <w:r>
        <w:rPr>
          <w:lang w:val="fr-FR"/>
        </w:rPr>
        <w:t>Ibid.</w:t>
      </w:r>
      <w:r w:rsidRPr="003011AE">
        <w:rPr>
          <w:lang w:val="fr-FR"/>
        </w:rPr>
        <w:t>, par.</w:t>
      </w:r>
      <w:r w:rsidR="00A63102" w:rsidRPr="009E690C">
        <w:rPr>
          <w:szCs w:val="18"/>
        </w:rPr>
        <w:t> </w:t>
      </w:r>
      <w:r w:rsidRPr="003011AE">
        <w:rPr>
          <w:lang w:val="fr-FR"/>
        </w:rPr>
        <w:t>7.</w:t>
      </w:r>
      <w:r w:rsidRPr="009E690C">
        <w:t xml:space="preserve"> </w:t>
      </w:r>
    </w:p>
  </w:footnote>
  <w:footnote w:id="6">
    <w:p w:rsidR="000B0FA8" w:rsidRPr="009E690C" w:rsidRDefault="000B0FA8" w:rsidP="000B0FA8">
      <w:pPr>
        <w:pStyle w:val="FootnoteText"/>
      </w:pPr>
      <w:r w:rsidRPr="009E690C">
        <w:tab/>
      </w:r>
      <w:r w:rsidRPr="00EE4A62">
        <w:rPr>
          <w:rStyle w:val="FootnoteReference"/>
        </w:rPr>
        <w:footnoteRef/>
      </w:r>
      <w:r w:rsidRPr="009E690C">
        <w:tab/>
      </w:r>
      <w:r>
        <w:rPr>
          <w:lang w:val="fr-FR"/>
        </w:rPr>
        <w:t>Ibid., par.</w:t>
      </w:r>
      <w:r w:rsidR="00A63102" w:rsidRPr="009E690C">
        <w:rPr>
          <w:szCs w:val="18"/>
        </w:rPr>
        <w:t> </w:t>
      </w:r>
      <w:r>
        <w:rPr>
          <w:lang w:val="fr-FR"/>
        </w:rPr>
        <w:t>3</w:t>
      </w:r>
      <w:r w:rsidRPr="005C15B3">
        <w:rPr>
          <w:lang w:val="fr-FR"/>
        </w:rPr>
        <w:t xml:space="preserve">. </w:t>
      </w:r>
    </w:p>
  </w:footnote>
  <w:footnote w:id="7">
    <w:p w:rsidR="000B0FA8" w:rsidRPr="009E690C" w:rsidRDefault="000B0FA8" w:rsidP="000B0FA8">
      <w:pPr>
        <w:pStyle w:val="FootnoteText"/>
      </w:pPr>
      <w:r w:rsidRPr="009E690C">
        <w:tab/>
      </w:r>
      <w:r w:rsidRPr="00EE4A62">
        <w:rPr>
          <w:rStyle w:val="FootnoteReference"/>
        </w:rPr>
        <w:footnoteRef/>
      </w:r>
      <w:r w:rsidRPr="009E690C">
        <w:tab/>
      </w:r>
      <w:r w:rsidRPr="005C15B3">
        <w:rPr>
          <w:szCs w:val="18"/>
          <w:lang w:val="fr-FR"/>
        </w:rPr>
        <w:t>A/HRC/</w:t>
      </w:r>
      <w:r>
        <w:rPr>
          <w:szCs w:val="18"/>
          <w:lang w:val="fr-FR"/>
        </w:rPr>
        <w:t>34/14</w:t>
      </w:r>
      <w:r w:rsidRPr="005C15B3">
        <w:rPr>
          <w:szCs w:val="18"/>
          <w:lang w:val="fr-FR"/>
        </w:rPr>
        <w:t>, par.</w:t>
      </w:r>
      <w:r w:rsidR="00A63102" w:rsidRPr="009E690C">
        <w:rPr>
          <w:szCs w:val="18"/>
        </w:rPr>
        <w:t> </w:t>
      </w:r>
      <w:r w:rsidRPr="005C15B3">
        <w:rPr>
          <w:szCs w:val="18"/>
          <w:lang w:val="fr-FR"/>
        </w:rPr>
        <w:t>115.</w:t>
      </w:r>
      <w:r w:rsidRPr="009E690C">
        <w:t xml:space="preserve"> </w:t>
      </w:r>
    </w:p>
  </w:footnote>
  <w:footnote w:id="8">
    <w:p w:rsidR="000B0FA8" w:rsidRPr="009E690C" w:rsidRDefault="000B0FA8" w:rsidP="000B0FA8">
      <w:pPr>
        <w:pStyle w:val="FootnoteText"/>
      </w:pPr>
      <w:r w:rsidRPr="009E690C">
        <w:tab/>
      </w:r>
      <w:r w:rsidRPr="00EE4A62">
        <w:rPr>
          <w:rStyle w:val="FootnoteReference"/>
        </w:rPr>
        <w:footnoteRef/>
      </w:r>
      <w:r w:rsidRPr="009E690C">
        <w:tab/>
      </w:r>
      <w:r w:rsidRPr="003810B9">
        <w:rPr>
          <w:lang w:val="fr-FR"/>
        </w:rPr>
        <w:t xml:space="preserve">« Réactions du Gouvernement haïtien sur le rapport de l’Expert indépendant sur la situation des droits de l’homme en Haïti », </w:t>
      </w:r>
      <w:r>
        <w:rPr>
          <w:lang w:val="fr-FR"/>
        </w:rPr>
        <w:t>par.</w:t>
      </w:r>
      <w:r w:rsidR="00FE02AA" w:rsidRPr="009E690C">
        <w:rPr>
          <w:szCs w:val="18"/>
        </w:rPr>
        <w:t> </w:t>
      </w:r>
      <w:r>
        <w:rPr>
          <w:lang w:val="fr-FR"/>
        </w:rPr>
        <w:t>9</w:t>
      </w:r>
      <w:r w:rsidRPr="00AD2A46">
        <w:rPr>
          <w:lang w:val="fr-FR"/>
        </w:rPr>
        <w:t>.</w:t>
      </w:r>
      <w:r w:rsidRPr="009E690C">
        <w:t xml:space="preserve"> </w:t>
      </w:r>
    </w:p>
  </w:footnote>
  <w:footnote w:id="9">
    <w:p w:rsidR="000B0FA8" w:rsidRPr="009E690C" w:rsidRDefault="000B0FA8" w:rsidP="000B0FA8">
      <w:pPr>
        <w:pStyle w:val="FootnoteText"/>
      </w:pPr>
      <w:r w:rsidRPr="009E690C">
        <w:tab/>
      </w:r>
      <w:r w:rsidRPr="00EE4A62">
        <w:rPr>
          <w:rStyle w:val="FootnoteReference"/>
        </w:rPr>
        <w:footnoteRef/>
      </w:r>
      <w:r w:rsidRPr="009E690C">
        <w:tab/>
      </w:r>
      <w:r>
        <w:t>Ibid.,</w:t>
      </w:r>
      <w:r>
        <w:rPr>
          <w:lang w:val="fr-FR"/>
        </w:rPr>
        <w:t xml:space="preserve"> par.</w:t>
      </w:r>
      <w:r w:rsidR="00FE02AA" w:rsidRPr="009E690C">
        <w:rPr>
          <w:szCs w:val="18"/>
        </w:rPr>
        <w:t> </w:t>
      </w:r>
      <w:r>
        <w:rPr>
          <w:lang w:val="fr-FR"/>
        </w:rPr>
        <w:t>10.</w:t>
      </w:r>
      <w:r w:rsidRPr="009E690C">
        <w:t xml:space="preserve"> </w:t>
      </w:r>
    </w:p>
  </w:footnote>
  <w:footnote w:id="10">
    <w:p w:rsidR="000B0FA8" w:rsidRPr="009E690C" w:rsidRDefault="000B0FA8" w:rsidP="000B0FA8">
      <w:pPr>
        <w:pStyle w:val="FootnoteText"/>
      </w:pPr>
      <w:r w:rsidRPr="009E690C">
        <w:tab/>
      </w:r>
      <w:r w:rsidRPr="00EE4A62">
        <w:rPr>
          <w:rStyle w:val="FootnoteReference"/>
        </w:rPr>
        <w:footnoteRef/>
      </w:r>
      <w:r w:rsidRPr="009E690C">
        <w:tab/>
      </w:r>
      <w:r w:rsidRPr="00932D11">
        <w:rPr>
          <w:szCs w:val="18"/>
        </w:rPr>
        <w:t>« Réactions du Gouvernement haïtien sur le rapport de l’</w:t>
      </w:r>
      <w:r>
        <w:rPr>
          <w:szCs w:val="18"/>
        </w:rPr>
        <w:t>E</w:t>
      </w:r>
      <w:r w:rsidRPr="00932D11">
        <w:rPr>
          <w:szCs w:val="18"/>
        </w:rPr>
        <w:t xml:space="preserve">xpert indépendant sur la situation des droits de l’homme en Haïti », </w:t>
      </w:r>
      <w:r>
        <w:rPr>
          <w:lang w:val="fr-FR"/>
        </w:rPr>
        <w:t>par.</w:t>
      </w:r>
      <w:r w:rsidR="00FE02AA" w:rsidRPr="009E690C">
        <w:rPr>
          <w:szCs w:val="18"/>
        </w:rPr>
        <w:t> </w:t>
      </w:r>
      <w:r>
        <w:rPr>
          <w:lang w:val="fr-FR"/>
        </w:rPr>
        <w:t>12.</w:t>
      </w:r>
      <w:r w:rsidRPr="009E690C">
        <w:t xml:space="preserve"> </w:t>
      </w:r>
    </w:p>
  </w:footnote>
  <w:footnote w:id="11">
    <w:p w:rsidR="000B0FA8" w:rsidRPr="009E690C" w:rsidRDefault="000B0FA8" w:rsidP="000B0FA8">
      <w:pPr>
        <w:pStyle w:val="FootnoteText"/>
      </w:pPr>
      <w:r w:rsidRPr="009E690C">
        <w:tab/>
      </w:r>
      <w:r w:rsidRPr="00EE4A62">
        <w:rPr>
          <w:rStyle w:val="FootnoteReference"/>
        </w:rPr>
        <w:footnoteRef/>
      </w:r>
      <w:r w:rsidRPr="009E690C">
        <w:tab/>
      </w:r>
      <w:r>
        <w:t xml:space="preserve">Voir </w:t>
      </w:r>
      <w:r w:rsidRPr="005C15B3">
        <w:rPr>
          <w:szCs w:val="18"/>
          <w:lang w:val="fr-FR"/>
        </w:rPr>
        <w:t>A/HRC/31/77, par.</w:t>
      </w:r>
      <w:r w:rsidR="00FE02AA" w:rsidRPr="009E690C">
        <w:rPr>
          <w:szCs w:val="18"/>
        </w:rPr>
        <w:t> </w:t>
      </w:r>
      <w:r w:rsidRPr="005C15B3">
        <w:rPr>
          <w:szCs w:val="18"/>
          <w:lang w:val="fr-FR"/>
        </w:rPr>
        <w:t>27.</w:t>
      </w:r>
      <w:r w:rsidRPr="009E690C">
        <w:t xml:space="preserve"> </w:t>
      </w:r>
    </w:p>
  </w:footnote>
  <w:footnote w:id="12">
    <w:p w:rsidR="000B0FA8" w:rsidRPr="009E690C" w:rsidRDefault="000B0FA8" w:rsidP="000B0FA8">
      <w:pPr>
        <w:pStyle w:val="FootnoteText"/>
      </w:pPr>
      <w:r w:rsidRPr="009E690C">
        <w:tab/>
      </w:r>
      <w:r w:rsidRPr="00EE4A62">
        <w:rPr>
          <w:rStyle w:val="FootnoteReference"/>
        </w:rPr>
        <w:footnoteRef/>
      </w:r>
      <w:r w:rsidRPr="009E690C">
        <w:tab/>
      </w:r>
      <w:r>
        <w:t xml:space="preserve">Voir </w:t>
      </w:r>
      <w:hyperlink r:id="rId1" w:history="1">
        <w:r w:rsidRPr="0015395F">
          <w:t>www.undp.org/content/dam/undp/library/corporate/HDR/HDR%202015/</w:t>
        </w:r>
        <w:r w:rsidR="00222E0A">
          <w:t xml:space="preserve"> </w:t>
        </w:r>
        <w:r w:rsidRPr="0015395F">
          <w:t>HumanDevelopmentReport_EN.pdf</w:t>
        </w:r>
      </w:hyperlink>
      <w:r w:rsidRPr="00401BB7">
        <w:t xml:space="preserve"> (table</w:t>
      </w:r>
      <w:r>
        <w:t>au</w:t>
      </w:r>
      <w:r w:rsidRPr="00401BB7">
        <w:t xml:space="preserve"> 1</w:t>
      </w:r>
      <w:r>
        <w:t>,</w:t>
      </w:r>
      <w:r w:rsidRPr="00401BB7">
        <w:t xml:space="preserve"> p. 210</w:t>
      </w:r>
      <w:r>
        <w:t>,</w:t>
      </w:r>
      <w:r w:rsidRPr="00401BB7">
        <w:t xml:space="preserve"> et </w:t>
      </w:r>
      <w:r>
        <w:t xml:space="preserve">tableau 2, p. </w:t>
      </w:r>
      <w:r w:rsidRPr="00401BB7">
        <w:t>214)</w:t>
      </w:r>
      <w:r>
        <w:rPr>
          <w:szCs w:val="18"/>
          <w:lang w:val="fr-FR"/>
        </w:rPr>
        <w:t>.</w:t>
      </w:r>
    </w:p>
  </w:footnote>
  <w:footnote w:id="13">
    <w:p w:rsidR="000B0FA8" w:rsidRPr="009E690C" w:rsidRDefault="000B0FA8" w:rsidP="000B0FA8">
      <w:pPr>
        <w:pStyle w:val="FootnoteText"/>
      </w:pPr>
      <w:r w:rsidRPr="009E690C">
        <w:tab/>
      </w:r>
      <w:r w:rsidRPr="00EE4A62">
        <w:rPr>
          <w:rStyle w:val="FootnoteReference"/>
        </w:rPr>
        <w:footnoteRef/>
      </w:r>
      <w:r w:rsidRPr="009E690C">
        <w:tab/>
      </w:r>
      <w:r>
        <w:t xml:space="preserve">Voir </w:t>
      </w:r>
      <w:r w:rsidRPr="00A26AAF">
        <w:rPr>
          <w:szCs w:val="18"/>
          <w:lang w:val="fr-FR"/>
        </w:rPr>
        <w:t>http://hdr.undp.org/en/countries/profiles/HTI</w:t>
      </w:r>
      <w:r>
        <w:t>.</w:t>
      </w:r>
    </w:p>
  </w:footnote>
  <w:footnote w:id="14">
    <w:p w:rsidR="000B0FA8" w:rsidRPr="009E690C" w:rsidRDefault="000B0FA8" w:rsidP="000B0FA8">
      <w:pPr>
        <w:pStyle w:val="FootnoteText"/>
      </w:pPr>
      <w:r w:rsidRPr="009E690C">
        <w:tab/>
      </w:r>
      <w:r w:rsidRPr="00EE4A62">
        <w:rPr>
          <w:rStyle w:val="FootnoteReference"/>
        </w:rPr>
        <w:footnoteRef/>
      </w:r>
      <w:r w:rsidRPr="009E690C">
        <w:tab/>
      </w:r>
      <w:r>
        <w:t xml:space="preserve">Voir </w:t>
      </w:r>
      <w:r w:rsidRPr="001A5EA3">
        <w:t>http://hdr.undp.org/en/indicators/67106</w:t>
      </w:r>
      <w:r>
        <w:t>.</w:t>
      </w:r>
    </w:p>
  </w:footnote>
  <w:footnote w:id="15">
    <w:p w:rsidR="000B0FA8" w:rsidRPr="00EE4A62" w:rsidRDefault="000B0FA8" w:rsidP="000B0FA8">
      <w:pPr>
        <w:pStyle w:val="FootnoteText"/>
        <w:rPr>
          <w:lang w:val="fr-FR"/>
        </w:rPr>
      </w:pPr>
      <w:r>
        <w:rPr>
          <w:lang w:val="fr-FR"/>
        </w:rPr>
        <w:tab/>
      </w:r>
      <w:r w:rsidRPr="00EE4A62">
        <w:rPr>
          <w:rStyle w:val="FootnoteReference"/>
        </w:rPr>
        <w:footnoteRef/>
      </w:r>
      <w:r>
        <w:rPr>
          <w:lang w:val="fr-FR"/>
        </w:rPr>
        <w:tab/>
      </w:r>
      <w:r w:rsidRPr="00EE4A62">
        <w:rPr>
          <w:lang w:val="fr-FR"/>
        </w:rPr>
        <w:t xml:space="preserve">Selon </w:t>
      </w:r>
      <w:r>
        <w:rPr>
          <w:lang w:val="fr-FR"/>
        </w:rPr>
        <w:t xml:space="preserve">des </w:t>
      </w:r>
      <w:r w:rsidRPr="00EE4A62">
        <w:rPr>
          <w:lang w:val="fr-FR"/>
        </w:rPr>
        <w:t>information</w:t>
      </w:r>
      <w:r>
        <w:rPr>
          <w:lang w:val="fr-FR"/>
        </w:rPr>
        <w:t>s</w:t>
      </w:r>
      <w:r w:rsidRPr="00EE4A62">
        <w:rPr>
          <w:lang w:val="fr-FR"/>
        </w:rPr>
        <w:t xml:space="preserve"> verbale</w:t>
      </w:r>
      <w:r>
        <w:rPr>
          <w:lang w:val="fr-FR"/>
        </w:rPr>
        <w:t>s</w:t>
      </w:r>
      <w:r w:rsidRPr="00EE4A62">
        <w:rPr>
          <w:lang w:val="fr-FR"/>
        </w:rPr>
        <w:t xml:space="preserve"> de la Direction de l’administration pénitentiaire. Ce bureau s’est donné comme objectif de fournir à chaque détenu 2,5 mètres carrés. Dans ce cas, la capacité des prisons du pays serait de 2 383 personnes. Selon les Nations Unies, l’objectif devrait être de 4,5 mètres carrés par personne, ce qui ferait une capacité de 1 324 personnes.</w:t>
      </w:r>
    </w:p>
  </w:footnote>
  <w:footnote w:id="16">
    <w:p w:rsidR="000B0FA8" w:rsidRPr="009E690C" w:rsidRDefault="000B0FA8" w:rsidP="000B0FA8">
      <w:pPr>
        <w:pStyle w:val="FootnoteText"/>
      </w:pPr>
      <w:r w:rsidRPr="009E690C">
        <w:tab/>
      </w:r>
      <w:r w:rsidRPr="00EE4A62">
        <w:rPr>
          <w:rStyle w:val="FootnoteReference"/>
        </w:rPr>
        <w:footnoteRef/>
      </w:r>
      <w:r w:rsidRPr="009E690C">
        <w:tab/>
      </w:r>
      <w:r w:rsidRPr="00401BB7">
        <w:t xml:space="preserve">Rapport de la Commission </w:t>
      </w:r>
      <w:r>
        <w:t xml:space="preserve">nationale </w:t>
      </w:r>
      <w:r w:rsidRPr="00401BB7">
        <w:t>d’évaluation électorale, 3</w:t>
      </w:r>
      <w:r w:rsidR="00597DF4" w:rsidRPr="009E690C">
        <w:rPr>
          <w:szCs w:val="18"/>
        </w:rPr>
        <w:t> </w:t>
      </w:r>
      <w:r w:rsidRPr="00401BB7">
        <w:t>janvier 2016, p.</w:t>
      </w:r>
      <w:r w:rsidR="00597DF4" w:rsidRPr="009E690C">
        <w:rPr>
          <w:szCs w:val="18"/>
        </w:rPr>
        <w:t> </w:t>
      </w:r>
      <w:r w:rsidRPr="00401BB7">
        <w:t>12.</w:t>
      </w:r>
      <w:r w:rsidRPr="009E690C">
        <w:t xml:space="preserve"> </w:t>
      </w:r>
    </w:p>
  </w:footnote>
  <w:footnote w:id="17">
    <w:p w:rsidR="000B0FA8" w:rsidRPr="00EE4A62" w:rsidRDefault="000B0FA8" w:rsidP="000B0FA8">
      <w:pPr>
        <w:pStyle w:val="FootnoteText"/>
        <w:rPr>
          <w:lang w:val="en-US"/>
        </w:rPr>
      </w:pPr>
      <w:r w:rsidRPr="009E690C">
        <w:tab/>
      </w:r>
      <w:r w:rsidRPr="00EE4A62">
        <w:rPr>
          <w:rStyle w:val="FootnoteReference"/>
        </w:rPr>
        <w:footnoteRef/>
      </w:r>
      <w:r w:rsidRPr="009E690C">
        <w:tab/>
      </w:r>
      <w:r w:rsidRPr="009B3514">
        <w:rPr>
          <w:iCs/>
          <w:szCs w:val="18"/>
        </w:rPr>
        <w:t>Accord politique pour la continuité institutionnelle à la fin du mandat du Président de la République en l</w:t>
      </w:r>
      <w:r w:rsidRPr="00BD43A2">
        <w:rPr>
          <w:iCs/>
          <w:szCs w:val="18"/>
        </w:rPr>
        <w:t>’</w:t>
      </w:r>
      <w:r w:rsidRPr="009B3514">
        <w:rPr>
          <w:iCs/>
          <w:szCs w:val="18"/>
        </w:rPr>
        <w:t>absence d</w:t>
      </w:r>
      <w:r w:rsidRPr="00BD43A2">
        <w:rPr>
          <w:iCs/>
          <w:szCs w:val="18"/>
        </w:rPr>
        <w:t>’</w:t>
      </w:r>
      <w:r w:rsidRPr="009B3514">
        <w:rPr>
          <w:iCs/>
          <w:szCs w:val="18"/>
        </w:rPr>
        <w:t>un président élu et pour la poursuite du processus électoral entamé en 2015</w:t>
      </w:r>
      <w:r>
        <w:rPr>
          <w:iCs/>
          <w:szCs w:val="18"/>
        </w:rPr>
        <w:t xml:space="preserve">, 5 février 2016, par. </w:t>
      </w:r>
      <w:proofErr w:type="gramStart"/>
      <w:r w:rsidRPr="00EE4A62">
        <w:rPr>
          <w:iCs/>
          <w:szCs w:val="18"/>
          <w:lang w:val="en-US"/>
        </w:rPr>
        <w:t>I (1).</w:t>
      </w:r>
      <w:proofErr w:type="gramEnd"/>
      <w:r w:rsidRPr="00EE4A62">
        <w:rPr>
          <w:lang w:val="en-US"/>
        </w:rPr>
        <w:t xml:space="preserve"> </w:t>
      </w:r>
    </w:p>
  </w:footnote>
  <w:footnote w:id="18">
    <w:p w:rsidR="000B0FA8" w:rsidRPr="00EE4A62" w:rsidRDefault="000B0FA8" w:rsidP="000B0FA8">
      <w:pPr>
        <w:pStyle w:val="FootnoteText"/>
        <w:rPr>
          <w:lang w:val="en-US"/>
        </w:rPr>
      </w:pPr>
      <w:r w:rsidRPr="00EE4A62">
        <w:rPr>
          <w:lang w:val="en-US"/>
        </w:rPr>
        <w:tab/>
      </w:r>
      <w:r w:rsidRPr="00EE4A62">
        <w:rPr>
          <w:rStyle w:val="FootnoteReference"/>
        </w:rPr>
        <w:footnoteRef/>
      </w:r>
      <w:r w:rsidRPr="00EE4A62">
        <w:rPr>
          <w:lang w:val="en-US"/>
        </w:rPr>
        <w:tab/>
      </w:r>
      <w:proofErr w:type="gramStart"/>
      <w:r w:rsidRPr="00EE4A62">
        <w:rPr>
          <w:lang w:val="en-US"/>
        </w:rPr>
        <w:t>Ibid.,</w:t>
      </w:r>
      <w:proofErr w:type="gramEnd"/>
      <w:r w:rsidRPr="00EE4A62">
        <w:rPr>
          <w:lang w:val="en-US"/>
        </w:rPr>
        <w:t xml:space="preserve"> par. I (4). </w:t>
      </w:r>
    </w:p>
  </w:footnote>
  <w:footnote w:id="19">
    <w:p w:rsidR="000B0FA8" w:rsidRPr="00EE4A62" w:rsidRDefault="000B0FA8" w:rsidP="000B0FA8">
      <w:pPr>
        <w:pStyle w:val="FootnoteText"/>
        <w:rPr>
          <w:lang w:val="en-US"/>
        </w:rPr>
      </w:pPr>
      <w:r w:rsidRPr="00EE4A62">
        <w:rPr>
          <w:lang w:val="en-US"/>
        </w:rPr>
        <w:tab/>
      </w:r>
      <w:r w:rsidRPr="00EE4A62">
        <w:rPr>
          <w:rStyle w:val="FootnoteReference"/>
        </w:rPr>
        <w:footnoteRef/>
      </w:r>
      <w:r w:rsidRPr="00EE4A62">
        <w:rPr>
          <w:lang w:val="en-US"/>
        </w:rPr>
        <w:tab/>
      </w:r>
      <w:proofErr w:type="gramStart"/>
      <w:r w:rsidRPr="00EE4A62">
        <w:rPr>
          <w:lang w:val="en-US"/>
        </w:rPr>
        <w:t>Ibid.,</w:t>
      </w:r>
      <w:proofErr w:type="gramEnd"/>
      <w:r w:rsidRPr="00EE4A62">
        <w:rPr>
          <w:lang w:val="en-US"/>
        </w:rPr>
        <w:t xml:space="preserve"> par. V (1) (a). </w:t>
      </w:r>
    </w:p>
  </w:footnote>
  <w:footnote w:id="20">
    <w:p w:rsidR="000B0FA8" w:rsidRPr="00FD0765" w:rsidRDefault="000B0FA8" w:rsidP="000B0FA8">
      <w:pPr>
        <w:pStyle w:val="FootnoteText"/>
        <w:rPr>
          <w:lang w:val="en-GB"/>
        </w:rPr>
      </w:pPr>
      <w:r w:rsidRPr="00EE4A62">
        <w:rPr>
          <w:lang w:val="en-US"/>
        </w:rPr>
        <w:tab/>
      </w:r>
      <w:r w:rsidRPr="00EE4A62">
        <w:rPr>
          <w:rStyle w:val="FootnoteReference"/>
        </w:rPr>
        <w:footnoteRef/>
      </w:r>
      <w:r w:rsidRPr="00EE4A62">
        <w:rPr>
          <w:lang w:val="en-US"/>
        </w:rPr>
        <w:tab/>
      </w:r>
      <w:proofErr w:type="gramStart"/>
      <w:r w:rsidRPr="00EE4A62">
        <w:rPr>
          <w:lang w:val="en-US"/>
        </w:rPr>
        <w:t>Ibid.,</w:t>
      </w:r>
      <w:proofErr w:type="gramEnd"/>
      <w:r w:rsidRPr="00EE4A62">
        <w:rPr>
          <w:lang w:val="en-US"/>
        </w:rPr>
        <w:t xml:space="preserve"> par. </w:t>
      </w:r>
      <w:r w:rsidRPr="00FD0765">
        <w:rPr>
          <w:lang w:val="en-GB"/>
        </w:rPr>
        <w:t xml:space="preserve">I (7). </w:t>
      </w:r>
    </w:p>
  </w:footnote>
  <w:footnote w:id="21">
    <w:p w:rsidR="000B0FA8" w:rsidRPr="009E690C" w:rsidRDefault="000B0FA8" w:rsidP="000B0FA8">
      <w:pPr>
        <w:pStyle w:val="FootnoteText"/>
      </w:pPr>
      <w:r w:rsidRPr="00FD0765">
        <w:rPr>
          <w:lang w:val="en-GB"/>
        </w:rPr>
        <w:tab/>
      </w:r>
      <w:r w:rsidRPr="00EE4A62">
        <w:rPr>
          <w:rStyle w:val="FootnoteReference"/>
        </w:rPr>
        <w:footnoteRef/>
      </w:r>
      <w:r w:rsidRPr="009E690C">
        <w:tab/>
        <w:t xml:space="preserve">Rapport de la Commission </w:t>
      </w:r>
      <w:r>
        <w:t>i</w:t>
      </w:r>
      <w:r w:rsidRPr="009E690C">
        <w:t>ndépendante d’</w:t>
      </w:r>
      <w:r>
        <w:t>é</w:t>
      </w:r>
      <w:r w:rsidRPr="009E690C">
        <w:t xml:space="preserve">valuation et de </w:t>
      </w:r>
      <w:r>
        <w:t>v</w:t>
      </w:r>
      <w:r w:rsidRPr="009E690C">
        <w:t xml:space="preserve">érification </w:t>
      </w:r>
      <w:r>
        <w:t>é</w:t>
      </w:r>
      <w:r w:rsidRPr="009E690C">
        <w:t xml:space="preserve">lectorale, </w:t>
      </w:r>
      <w:r>
        <w:t xml:space="preserve">29 mai 2016, p. </w:t>
      </w:r>
      <w:r w:rsidRPr="009E690C">
        <w:t>8</w:t>
      </w:r>
      <w:r>
        <w:t>.</w:t>
      </w:r>
      <w:r w:rsidRPr="009E690C">
        <w:t xml:space="preserve"> </w:t>
      </w:r>
    </w:p>
  </w:footnote>
  <w:footnote w:id="22">
    <w:p w:rsidR="000B0FA8" w:rsidRPr="00EE4A62" w:rsidRDefault="000B0FA8" w:rsidP="000B0FA8">
      <w:pPr>
        <w:pStyle w:val="FootnoteText"/>
        <w:rPr>
          <w:lang w:val="fr-FR"/>
        </w:rPr>
      </w:pPr>
      <w:r w:rsidRPr="009E690C">
        <w:tab/>
      </w:r>
      <w:r w:rsidRPr="00EE4A62">
        <w:rPr>
          <w:rStyle w:val="FootnoteReference"/>
        </w:rPr>
        <w:footnoteRef/>
      </w:r>
      <w:r w:rsidRPr="00EE4A62">
        <w:rPr>
          <w:lang w:val="fr-FR"/>
        </w:rPr>
        <w:tab/>
        <w:t xml:space="preserve">Ibid., p. 30. </w:t>
      </w:r>
    </w:p>
  </w:footnote>
  <w:footnote w:id="23">
    <w:p w:rsidR="000B0FA8" w:rsidRPr="00EE4A62" w:rsidRDefault="000B0FA8" w:rsidP="000B0FA8">
      <w:pPr>
        <w:pStyle w:val="FootnoteText"/>
        <w:rPr>
          <w:lang w:val="fr-FR"/>
        </w:rPr>
      </w:pPr>
      <w:r w:rsidRPr="00EE4A62">
        <w:rPr>
          <w:lang w:val="fr-FR"/>
        </w:rPr>
        <w:tab/>
      </w:r>
      <w:r w:rsidRPr="00EE4A62">
        <w:rPr>
          <w:rStyle w:val="FootnoteReference"/>
        </w:rPr>
        <w:footnoteRef/>
      </w:r>
      <w:r w:rsidRPr="00EE4A62">
        <w:rPr>
          <w:lang w:val="fr-FR"/>
        </w:rPr>
        <w:tab/>
      </w:r>
      <w:r w:rsidRPr="00EE4A62">
        <w:rPr>
          <w:szCs w:val="18"/>
          <w:lang w:val="fr-FR"/>
        </w:rPr>
        <w:t>A/HRC/34/14, par.</w:t>
      </w:r>
      <w:r w:rsidR="00B0740B" w:rsidRPr="009E690C">
        <w:rPr>
          <w:szCs w:val="18"/>
        </w:rPr>
        <w:t> </w:t>
      </w:r>
      <w:r w:rsidRPr="00EE4A62">
        <w:rPr>
          <w:szCs w:val="18"/>
          <w:lang w:val="fr-FR"/>
        </w:rPr>
        <w:t>117.</w:t>
      </w:r>
      <w:r w:rsidRPr="00EE4A62">
        <w:rPr>
          <w:lang w:val="fr-FR"/>
        </w:rPr>
        <w:t xml:space="preserve"> </w:t>
      </w:r>
    </w:p>
  </w:footnote>
  <w:footnote w:id="24">
    <w:p w:rsidR="000B0FA8" w:rsidRPr="00EE4A62" w:rsidRDefault="000B0FA8" w:rsidP="000B0FA8">
      <w:pPr>
        <w:pStyle w:val="FootnoteText"/>
        <w:rPr>
          <w:lang w:val="fr-FR"/>
        </w:rPr>
      </w:pPr>
      <w:r w:rsidRPr="00EE4A62">
        <w:rPr>
          <w:lang w:val="fr-FR"/>
        </w:rPr>
        <w:tab/>
      </w:r>
      <w:r w:rsidRPr="00EE4A62">
        <w:rPr>
          <w:rStyle w:val="FootnoteReference"/>
        </w:rPr>
        <w:footnoteRef/>
      </w:r>
      <w:r w:rsidRPr="00EE4A62">
        <w:rPr>
          <w:lang w:val="fr-FR"/>
        </w:rPr>
        <w:tab/>
        <w:t xml:space="preserve">Voir </w:t>
      </w:r>
      <w:r w:rsidRPr="00EE4A62">
        <w:rPr>
          <w:rFonts w:eastAsiaTheme="minorEastAsia"/>
          <w:bCs/>
          <w:szCs w:val="18"/>
          <w:lang w:val="fr-FR" w:eastAsia="es-ES"/>
        </w:rPr>
        <w:t>CCPR/C/HTI/CO/1, par.</w:t>
      </w:r>
      <w:r w:rsidR="007C3752" w:rsidRPr="009E690C">
        <w:rPr>
          <w:szCs w:val="18"/>
        </w:rPr>
        <w:t> </w:t>
      </w:r>
      <w:r w:rsidRPr="00EE4A62">
        <w:rPr>
          <w:rFonts w:eastAsiaTheme="minorEastAsia"/>
          <w:bCs/>
          <w:szCs w:val="18"/>
          <w:lang w:val="fr-FR" w:eastAsia="es-ES"/>
        </w:rPr>
        <w:t>7.</w:t>
      </w:r>
    </w:p>
  </w:footnote>
  <w:footnote w:id="25">
    <w:p w:rsidR="000B0FA8" w:rsidRPr="00EE4A62" w:rsidRDefault="000B0FA8" w:rsidP="000B0FA8">
      <w:pPr>
        <w:pStyle w:val="FootnoteText"/>
        <w:rPr>
          <w:lang w:val="fr-FR"/>
        </w:rPr>
      </w:pPr>
      <w:r w:rsidRPr="00EE4A62">
        <w:rPr>
          <w:lang w:val="fr-FR"/>
        </w:rPr>
        <w:tab/>
      </w:r>
      <w:r w:rsidRPr="00EE4A62">
        <w:rPr>
          <w:rStyle w:val="FootnoteReference"/>
        </w:rPr>
        <w:footnoteRef/>
      </w:r>
      <w:r w:rsidRPr="00EE4A62">
        <w:rPr>
          <w:lang w:val="fr-FR"/>
        </w:rPr>
        <w:tab/>
      </w:r>
      <w:r w:rsidRPr="008804C7">
        <w:rPr>
          <w:szCs w:val="18"/>
          <w:lang w:val="fr-FR"/>
        </w:rPr>
        <w:t>Ibid.</w:t>
      </w:r>
    </w:p>
  </w:footnote>
  <w:footnote w:id="26">
    <w:p w:rsidR="000B0FA8" w:rsidRPr="009E690C" w:rsidRDefault="000B0FA8" w:rsidP="000B0FA8">
      <w:pPr>
        <w:pStyle w:val="FootnoteText"/>
      </w:pPr>
      <w:r w:rsidRPr="00EE4A62">
        <w:rPr>
          <w:lang w:val="fr-FR"/>
        </w:rPr>
        <w:tab/>
      </w:r>
      <w:r w:rsidRPr="00EE4A62">
        <w:rPr>
          <w:rStyle w:val="FootnoteReference"/>
        </w:rPr>
        <w:footnoteRef/>
      </w:r>
      <w:r w:rsidRPr="009E690C">
        <w:tab/>
      </w:r>
      <w:r w:rsidRPr="005C15B3">
        <w:rPr>
          <w:szCs w:val="18"/>
          <w:lang w:val="fr-FR"/>
        </w:rPr>
        <w:t>Ibid., par.</w:t>
      </w:r>
      <w:r w:rsidR="007C3752" w:rsidRPr="009E690C">
        <w:rPr>
          <w:szCs w:val="18"/>
        </w:rPr>
        <w:t> </w:t>
      </w:r>
      <w:r w:rsidRPr="005C15B3">
        <w:rPr>
          <w:szCs w:val="18"/>
          <w:lang w:val="fr-FR"/>
        </w:rPr>
        <w:t>16 et 17.</w:t>
      </w:r>
    </w:p>
  </w:footnote>
  <w:footnote w:id="27">
    <w:p w:rsidR="000B0FA8" w:rsidRPr="009E690C" w:rsidRDefault="000B0FA8" w:rsidP="000B0FA8">
      <w:pPr>
        <w:pStyle w:val="FootnoteText"/>
      </w:pPr>
      <w:r w:rsidRPr="009E690C">
        <w:tab/>
      </w:r>
      <w:r w:rsidRPr="00EE4A62">
        <w:rPr>
          <w:rStyle w:val="FootnoteReference"/>
        </w:rPr>
        <w:footnoteRef/>
      </w:r>
      <w:r w:rsidRPr="009E690C">
        <w:tab/>
      </w:r>
      <w:r>
        <w:t xml:space="preserve">Voir </w:t>
      </w:r>
      <w:r w:rsidRPr="009E690C">
        <w:t>www.ohchr.org/FR/NewsEvents/Pages/DisplayNews.aspx?NewsID=20760&amp;LangID=F</w:t>
      </w:r>
      <w:r>
        <w:t>.</w:t>
      </w:r>
    </w:p>
  </w:footnote>
  <w:footnote w:id="28">
    <w:p w:rsidR="000B0FA8" w:rsidRPr="009E690C" w:rsidRDefault="000B0FA8" w:rsidP="000B0FA8">
      <w:pPr>
        <w:pStyle w:val="FootnoteText"/>
      </w:pPr>
      <w:r w:rsidRPr="009E690C">
        <w:tab/>
      </w:r>
      <w:r w:rsidRPr="00EE4A62">
        <w:rPr>
          <w:rStyle w:val="FootnoteReference"/>
        </w:rPr>
        <w:footnoteRef/>
      </w:r>
      <w:r w:rsidRPr="009E690C">
        <w:tab/>
      </w:r>
      <w:r w:rsidRPr="005C15B3">
        <w:rPr>
          <w:szCs w:val="18"/>
          <w:lang w:val="fr-FR"/>
        </w:rPr>
        <w:t xml:space="preserve">Centre d’opérations d’urgence départemental </w:t>
      </w:r>
      <w:proofErr w:type="spellStart"/>
      <w:r w:rsidRPr="005C15B3">
        <w:rPr>
          <w:szCs w:val="18"/>
          <w:lang w:val="fr-FR"/>
        </w:rPr>
        <w:t>Grand’Anse</w:t>
      </w:r>
      <w:proofErr w:type="spellEnd"/>
      <w:r w:rsidRPr="005C15B3">
        <w:rPr>
          <w:szCs w:val="18"/>
          <w:lang w:val="fr-FR"/>
        </w:rPr>
        <w:t xml:space="preserve">, </w:t>
      </w:r>
      <w:r>
        <w:rPr>
          <w:szCs w:val="18"/>
          <w:lang w:val="fr-FR"/>
        </w:rPr>
        <w:t>o</w:t>
      </w:r>
      <w:r w:rsidRPr="005C15B3">
        <w:rPr>
          <w:szCs w:val="18"/>
          <w:lang w:val="fr-FR"/>
        </w:rPr>
        <w:t>uragan Matthew. Rapport de situation, mémo, Jérémie, 20</w:t>
      </w:r>
      <w:r w:rsidR="002D70F6" w:rsidRPr="009E690C">
        <w:rPr>
          <w:szCs w:val="18"/>
        </w:rPr>
        <w:t> </w:t>
      </w:r>
      <w:r w:rsidRPr="005C15B3">
        <w:rPr>
          <w:szCs w:val="18"/>
          <w:lang w:val="fr-FR"/>
        </w:rPr>
        <w:t>octobre 2016.</w:t>
      </w:r>
      <w:r w:rsidRPr="009E690C">
        <w:t xml:space="preserve"> </w:t>
      </w:r>
    </w:p>
  </w:footnote>
  <w:footnote w:id="29">
    <w:p w:rsidR="000B0FA8" w:rsidRPr="009E690C" w:rsidRDefault="000B0FA8" w:rsidP="000B0FA8">
      <w:pPr>
        <w:pStyle w:val="FootnoteText"/>
      </w:pPr>
      <w:r w:rsidRPr="009E690C">
        <w:tab/>
      </w:r>
      <w:r w:rsidRPr="00EE4A62">
        <w:rPr>
          <w:rStyle w:val="FootnoteReference"/>
        </w:rPr>
        <w:footnoteRef/>
      </w:r>
      <w:r w:rsidRPr="009E690C">
        <w:tab/>
        <w:t>«</w:t>
      </w:r>
      <w:r>
        <w:t> </w:t>
      </w:r>
      <w:r w:rsidRPr="009E690C">
        <w:t>Passage de l’ouragan Matthew sur Haïti</w:t>
      </w:r>
      <w:r>
        <w:t> </w:t>
      </w:r>
      <w:r w:rsidRPr="009E690C">
        <w:t xml:space="preserve">: le RNDDH exige le respect de la dignité humaine par le </w:t>
      </w:r>
      <w:r>
        <w:t>G</w:t>
      </w:r>
      <w:r w:rsidRPr="009E690C">
        <w:t>ouvernement haïtien, les partis politiques et les agences humanitaires</w:t>
      </w:r>
      <w:r>
        <w:t> </w:t>
      </w:r>
      <w:r w:rsidRPr="009E690C">
        <w:t>», 21</w:t>
      </w:r>
      <w:r w:rsidR="002D70F6" w:rsidRPr="009E690C">
        <w:rPr>
          <w:szCs w:val="18"/>
        </w:rPr>
        <w:t> </w:t>
      </w:r>
      <w:r w:rsidRPr="009E690C">
        <w:t>octobre 2016, p.</w:t>
      </w:r>
      <w:r w:rsidR="002D70F6" w:rsidRPr="009E690C">
        <w:rPr>
          <w:szCs w:val="18"/>
        </w:rPr>
        <w:t> </w:t>
      </w:r>
      <w:r w:rsidRPr="009E690C">
        <w:t xml:space="preserve">4. </w:t>
      </w:r>
    </w:p>
  </w:footnote>
  <w:footnote w:id="30">
    <w:p w:rsidR="000B0FA8" w:rsidRPr="009E690C" w:rsidRDefault="000B0FA8" w:rsidP="000B0FA8">
      <w:pPr>
        <w:pStyle w:val="FootnoteText"/>
      </w:pPr>
      <w:r w:rsidRPr="009E690C">
        <w:tab/>
      </w:r>
      <w:r w:rsidRPr="00EE4A62">
        <w:rPr>
          <w:rStyle w:val="FootnoteReference"/>
        </w:rPr>
        <w:footnoteRef/>
      </w:r>
      <w:r w:rsidRPr="009E690C">
        <w:tab/>
        <w:t>A/HRC/</w:t>
      </w:r>
      <w:r>
        <w:t>34/14</w:t>
      </w:r>
      <w:r w:rsidRPr="009E690C">
        <w:t>, par.</w:t>
      </w:r>
      <w:r w:rsidR="005E27E7" w:rsidRPr="009E690C">
        <w:rPr>
          <w:szCs w:val="18"/>
        </w:rPr>
        <w:t> </w:t>
      </w:r>
      <w:r w:rsidRPr="009E690C">
        <w:t xml:space="preserve">117. </w:t>
      </w:r>
    </w:p>
  </w:footnote>
  <w:footnote w:id="31">
    <w:p w:rsidR="000B0FA8" w:rsidRPr="009E690C" w:rsidRDefault="000B0FA8" w:rsidP="000B0FA8">
      <w:pPr>
        <w:pStyle w:val="FootnoteText"/>
      </w:pPr>
      <w:r w:rsidRPr="009E690C">
        <w:tab/>
      </w:r>
      <w:r w:rsidRPr="00EE4A62">
        <w:rPr>
          <w:rStyle w:val="FootnoteReference"/>
        </w:rPr>
        <w:footnoteRef/>
      </w:r>
      <w:r w:rsidRPr="009E690C">
        <w:tab/>
      </w:r>
      <w:r>
        <w:t xml:space="preserve">Voir </w:t>
      </w:r>
      <w:r w:rsidRPr="009E690C">
        <w:t>CCPR/C/HTI/CO/1, par.</w:t>
      </w:r>
      <w:r w:rsidR="005E27E7" w:rsidRPr="009E690C">
        <w:rPr>
          <w:szCs w:val="18"/>
        </w:rPr>
        <w:t> </w:t>
      </w:r>
      <w:r w:rsidRPr="009E690C">
        <w:t>18.</w:t>
      </w:r>
    </w:p>
  </w:footnote>
  <w:footnote w:id="32">
    <w:p w:rsidR="000B0FA8" w:rsidRPr="009E690C" w:rsidRDefault="000B0FA8" w:rsidP="000B0FA8">
      <w:pPr>
        <w:pStyle w:val="FootnoteText"/>
      </w:pPr>
      <w:r w:rsidRPr="009E690C">
        <w:tab/>
      </w:r>
      <w:r w:rsidRPr="00EE4A62">
        <w:rPr>
          <w:rStyle w:val="FootnoteReference"/>
        </w:rPr>
        <w:footnoteRef/>
      </w:r>
      <w:r w:rsidRPr="009E690C">
        <w:tab/>
        <w:t>«</w:t>
      </w:r>
      <w:r>
        <w:t> </w:t>
      </w:r>
      <w:r w:rsidRPr="009E690C">
        <w:t>Réactions du Gouvernement haïtien sur le rapport de l’</w:t>
      </w:r>
      <w:r>
        <w:t>E</w:t>
      </w:r>
      <w:r w:rsidRPr="009E690C">
        <w:t>xpert indépendant sur la situation des droits de l’homme en Haïti</w:t>
      </w:r>
      <w:r>
        <w:t> </w:t>
      </w:r>
      <w:r w:rsidRPr="009E690C">
        <w:t>», par.</w:t>
      </w:r>
      <w:r w:rsidR="005E27E7" w:rsidRPr="009E690C">
        <w:rPr>
          <w:szCs w:val="18"/>
        </w:rPr>
        <w:t> </w:t>
      </w:r>
      <w:r w:rsidRPr="009E690C">
        <w:t>4.</w:t>
      </w:r>
    </w:p>
  </w:footnote>
  <w:footnote w:id="33">
    <w:p w:rsidR="000B0FA8" w:rsidRPr="009E690C" w:rsidRDefault="000B0FA8" w:rsidP="000B0FA8">
      <w:pPr>
        <w:pStyle w:val="FootnoteText"/>
      </w:pPr>
      <w:r w:rsidRPr="009E690C">
        <w:tab/>
      </w:r>
      <w:r w:rsidRPr="00EE4A62">
        <w:rPr>
          <w:rStyle w:val="FootnoteReference"/>
        </w:rPr>
        <w:footnoteRef/>
      </w:r>
      <w:r w:rsidRPr="009E690C">
        <w:tab/>
        <w:t>A/HRC/</w:t>
      </w:r>
      <w:r>
        <w:t>34/14</w:t>
      </w:r>
      <w:r w:rsidRPr="009E690C">
        <w:t>, par.</w:t>
      </w:r>
      <w:r w:rsidR="00DF2BDB">
        <w:t> </w:t>
      </w:r>
      <w:r w:rsidRPr="009E690C">
        <w:t>116 et 117.</w:t>
      </w:r>
    </w:p>
  </w:footnote>
  <w:footnote w:id="34">
    <w:p w:rsidR="000B0FA8" w:rsidRPr="009E690C" w:rsidRDefault="000B0FA8" w:rsidP="000B0FA8">
      <w:pPr>
        <w:pStyle w:val="FootnoteText"/>
      </w:pPr>
      <w:r w:rsidRPr="009E690C">
        <w:tab/>
      </w:r>
      <w:r w:rsidRPr="00EE4A62">
        <w:rPr>
          <w:rStyle w:val="FootnoteReference"/>
        </w:rPr>
        <w:footnoteRef/>
      </w:r>
      <w:r w:rsidRPr="009E690C">
        <w:tab/>
        <w:t xml:space="preserve">Ministère de la </w:t>
      </w:r>
      <w:r>
        <w:t>s</w:t>
      </w:r>
      <w:r w:rsidRPr="009E690C">
        <w:t xml:space="preserve">anté publique et de la population, </w:t>
      </w:r>
      <w:r>
        <w:t>r</w:t>
      </w:r>
      <w:r w:rsidRPr="009E690C">
        <w:t>apport de cas, 1</w:t>
      </w:r>
      <w:r w:rsidRPr="00EE4A62">
        <w:rPr>
          <w:vertAlign w:val="superscript"/>
        </w:rPr>
        <w:t>er</w:t>
      </w:r>
      <w:r w:rsidR="00DF2BDB">
        <w:t> </w:t>
      </w:r>
      <w:r w:rsidRPr="009E690C">
        <w:t>septembre 2016</w:t>
      </w:r>
      <w:r>
        <w:t xml:space="preserve">, voir </w:t>
      </w:r>
      <w:r w:rsidRPr="009E690C">
        <w:t>http://mspp.gouv.ht/site/downloads/Rapport%20Web%2001.09.2016_Avec_Courbes_Departementales(1).pdf</w:t>
      </w:r>
      <w:r>
        <w:t>.</w:t>
      </w:r>
    </w:p>
  </w:footnote>
  <w:footnote w:id="35">
    <w:p w:rsidR="000B0FA8" w:rsidRPr="009E690C" w:rsidRDefault="000B0FA8" w:rsidP="000B0FA8">
      <w:pPr>
        <w:pStyle w:val="FootnoteText"/>
      </w:pPr>
      <w:r w:rsidRPr="009E690C">
        <w:tab/>
      </w:r>
      <w:r w:rsidRPr="00EE4A62">
        <w:rPr>
          <w:rStyle w:val="FootnoteReference"/>
        </w:rPr>
        <w:footnoteRef/>
      </w:r>
      <w:r w:rsidRPr="009E690C">
        <w:tab/>
        <w:t xml:space="preserve">A/71/367, </w:t>
      </w:r>
      <w:proofErr w:type="spellStart"/>
      <w:r w:rsidRPr="009E690C">
        <w:t>resumé</w:t>
      </w:r>
      <w:proofErr w:type="spellEnd"/>
      <w:r w:rsidRPr="009E690C">
        <w:t>.</w:t>
      </w:r>
    </w:p>
  </w:footnote>
  <w:footnote w:id="36">
    <w:p w:rsidR="000B0FA8" w:rsidRPr="00EE4A62" w:rsidRDefault="000B0FA8" w:rsidP="000B0FA8">
      <w:pPr>
        <w:pStyle w:val="FootnoteText"/>
        <w:rPr>
          <w:lang w:val="fr-FR"/>
        </w:rPr>
      </w:pPr>
      <w:r w:rsidRPr="009E690C">
        <w:tab/>
      </w:r>
      <w:r w:rsidRPr="00EE4A62">
        <w:rPr>
          <w:rStyle w:val="FootnoteReference"/>
        </w:rPr>
        <w:footnoteRef/>
      </w:r>
      <w:r w:rsidRPr="00EE4A62">
        <w:rPr>
          <w:lang w:val="fr-FR"/>
        </w:rPr>
        <w:tab/>
        <w:t xml:space="preserve">Ibid. </w:t>
      </w:r>
    </w:p>
  </w:footnote>
  <w:footnote w:id="37">
    <w:p w:rsidR="000B0FA8" w:rsidRPr="00EE4A62" w:rsidRDefault="000B0FA8" w:rsidP="000B0FA8">
      <w:pPr>
        <w:pStyle w:val="FootnoteText"/>
        <w:rPr>
          <w:lang w:val="fr-FR"/>
        </w:rPr>
      </w:pPr>
      <w:r w:rsidRPr="00EE4A62">
        <w:rPr>
          <w:lang w:val="fr-FR"/>
        </w:rPr>
        <w:tab/>
      </w:r>
      <w:r w:rsidRPr="00EE4A62">
        <w:rPr>
          <w:rStyle w:val="FootnoteReference"/>
        </w:rPr>
        <w:footnoteRef/>
      </w:r>
      <w:r w:rsidRPr="00EE4A62">
        <w:rPr>
          <w:lang w:val="fr-FR"/>
        </w:rPr>
        <w:tab/>
        <w:t>Voir http://un.org/apps/news/story.asp?NewsID=55694#.WIob2032bcs</w:t>
      </w:r>
      <w:r>
        <w:rPr>
          <w:lang w:val="fr-FR"/>
        </w:rPr>
        <w:t>.</w:t>
      </w:r>
    </w:p>
  </w:footnote>
  <w:footnote w:id="38">
    <w:p w:rsidR="000B0FA8" w:rsidRPr="00EE4A62" w:rsidRDefault="000B0FA8" w:rsidP="000B0FA8">
      <w:pPr>
        <w:pStyle w:val="FootnoteText"/>
        <w:rPr>
          <w:lang w:val="fr-FR"/>
        </w:rPr>
      </w:pPr>
      <w:r w:rsidRPr="00EE4A62">
        <w:rPr>
          <w:lang w:val="fr-FR"/>
        </w:rPr>
        <w:tab/>
      </w:r>
      <w:r w:rsidRPr="00EE4A62">
        <w:rPr>
          <w:rStyle w:val="FootnoteReference"/>
        </w:rPr>
        <w:footnoteRef/>
      </w:r>
      <w:r w:rsidRPr="00EE4A62">
        <w:rPr>
          <w:lang w:val="fr-FR"/>
        </w:rPr>
        <w:tab/>
        <w:t>Ibid.</w:t>
      </w:r>
    </w:p>
  </w:footnote>
  <w:footnote w:id="39">
    <w:p w:rsidR="000B0FA8" w:rsidRPr="00EE4A62" w:rsidRDefault="000B0FA8" w:rsidP="000B0FA8">
      <w:pPr>
        <w:pStyle w:val="FootnoteText"/>
        <w:rPr>
          <w:lang w:val="fr-FR"/>
        </w:rPr>
      </w:pPr>
      <w:r w:rsidRPr="00EE4A62">
        <w:rPr>
          <w:lang w:val="fr-FR"/>
        </w:rPr>
        <w:tab/>
      </w:r>
      <w:r w:rsidRPr="00EE4A62">
        <w:rPr>
          <w:rStyle w:val="FootnoteReference"/>
        </w:rPr>
        <w:footnoteRef/>
      </w:r>
      <w:r w:rsidRPr="00EE4A62">
        <w:rPr>
          <w:lang w:val="fr-FR"/>
        </w:rPr>
        <w:tab/>
        <w:t>A/71/620, résumé.</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FA8" w:rsidRPr="000B0FA8" w:rsidRDefault="000A6B23">
    <w:pPr>
      <w:pStyle w:val="Header"/>
    </w:pPr>
    <w:r>
      <w:fldChar w:fldCharType="begin"/>
    </w:r>
    <w:r>
      <w:instrText xml:space="preserve"> TITLE  \* MERGEFORMAT </w:instrText>
    </w:r>
    <w:r>
      <w:fldChar w:fldCharType="separate"/>
    </w:r>
    <w:r w:rsidR="000B0FA8">
      <w:t>A/HRC/34/73</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FA8" w:rsidRPr="000B0FA8" w:rsidRDefault="000A6B23" w:rsidP="000B0FA8">
    <w:pPr>
      <w:pStyle w:val="Header"/>
      <w:jc w:val="right"/>
    </w:pPr>
    <w:r>
      <w:fldChar w:fldCharType="begin"/>
    </w:r>
    <w:r>
      <w:instrText xml:space="preserve"> TITLE  \* MERGEFORMAT </w:instrText>
    </w:r>
    <w:r>
      <w:fldChar w:fldCharType="separate"/>
    </w:r>
    <w:r w:rsidR="000B0FA8">
      <w:t>A/HRC/34/73</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34EEA80"/>
    <w:lvl w:ilvl="0">
      <w:start w:val="1"/>
      <w:numFmt w:val="decimal"/>
      <w:lvlText w:val="%1."/>
      <w:lvlJc w:val="left"/>
      <w:pPr>
        <w:tabs>
          <w:tab w:val="num" w:pos="1492"/>
        </w:tabs>
        <w:ind w:left="1492" w:hanging="360"/>
      </w:pPr>
    </w:lvl>
  </w:abstractNum>
  <w:abstractNum w:abstractNumId="1">
    <w:nsid w:val="FFFFFF7D"/>
    <w:multiLevelType w:val="singleLevel"/>
    <w:tmpl w:val="8B08445C"/>
    <w:lvl w:ilvl="0">
      <w:start w:val="1"/>
      <w:numFmt w:val="decimal"/>
      <w:lvlText w:val="%1."/>
      <w:lvlJc w:val="left"/>
      <w:pPr>
        <w:tabs>
          <w:tab w:val="num" w:pos="1209"/>
        </w:tabs>
        <w:ind w:left="1209" w:hanging="360"/>
      </w:pPr>
    </w:lvl>
  </w:abstractNum>
  <w:abstractNum w:abstractNumId="2">
    <w:nsid w:val="FFFFFF7E"/>
    <w:multiLevelType w:val="singleLevel"/>
    <w:tmpl w:val="7D50032A"/>
    <w:lvl w:ilvl="0">
      <w:start w:val="1"/>
      <w:numFmt w:val="decimal"/>
      <w:lvlText w:val="%1."/>
      <w:lvlJc w:val="left"/>
      <w:pPr>
        <w:tabs>
          <w:tab w:val="num" w:pos="926"/>
        </w:tabs>
        <w:ind w:left="926" w:hanging="360"/>
      </w:pPr>
    </w:lvl>
  </w:abstractNum>
  <w:abstractNum w:abstractNumId="3">
    <w:nsid w:val="FFFFFF7F"/>
    <w:multiLevelType w:val="singleLevel"/>
    <w:tmpl w:val="844CBCBC"/>
    <w:lvl w:ilvl="0">
      <w:start w:val="1"/>
      <w:numFmt w:val="decimal"/>
      <w:lvlText w:val="%1."/>
      <w:lvlJc w:val="left"/>
      <w:pPr>
        <w:tabs>
          <w:tab w:val="num" w:pos="643"/>
        </w:tabs>
        <w:ind w:left="643" w:hanging="360"/>
      </w:pPr>
    </w:lvl>
  </w:abstractNum>
  <w:abstractNum w:abstractNumId="4">
    <w:nsid w:val="FFFFFF80"/>
    <w:multiLevelType w:val="singleLevel"/>
    <w:tmpl w:val="F4A6243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F9AED4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A9AA6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E1AE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45C69F2"/>
    <w:lvl w:ilvl="0">
      <w:start w:val="1"/>
      <w:numFmt w:val="decimal"/>
      <w:lvlText w:val="%1."/>
      <w:lvlJc w:val="left"/>
      <w:pPr>
        <w:tabs>
          <w:tab w:val="num" w:pos="360"/>
        </w:tabs>
        <w:ind w:left="360" w:hanging="360"/>
      </w:pPr>
    </w:lvl>
  </w:abstractNum>
  <w:abstractNum w:abstractNumId="9">
    <w:nsid w:val="FFFFFF89"/>
    <w:multiLevelType w:val="singleLevel"/>
    <w:tmpl w:val="CB0402C4"/>
    <w:lvl w:ilvl="0">
      <w:start w:val="1"/>
      <w:numFmt w:val="bullet"/>
      <w:lvlText w:val=""/>
      <w:lvlJc w:val="left"/>
      <w:pPr>
        <w:tabs>
          <w:tab w:val="num" w:pos="360"/>
        </w:tabs>
        <w:ind w:left="360" w:hanging="360"/>
      </w:pPr>
      <w:rPr>
        <w:rFonts w:ascii="Symbol" w:hAnsi="Symbol" w:hint="default"/>
      </w:rPr>
    </w:lvl>
  </w:abstractNum>
  <w:abstractNum w:abstractNumId="10">
    <w:nsid w:val="03F2036B"/>
    <w:multiLevelType w:val="hybridMultilevel"/>
    <w:tmpl w:val="B22E0BFA"/>
    <w:lvl w:ilvl="0" w:tplc="9008FA9E">
      <w:start w:val="1"/>
      <w:numFmt w:val="bullet"/>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nsid w:val="2B3F49C6"/>
    <w:multiLevelType w:val="singleLevel"/>
    <w:tmpl w:val="720CB540"/>
    <w:lvl w:ilvl="0">
      <w:start w:val="1"/>
      <w:numFmt w:val="lowerRoman"/>
      <w:lvlText w:val="(%1)"/>
      <w:lvlJc w:val="right"/>
      <w:pPr>
        <w:tabs>
          <w:tab w:val="num" w:pos="2160"/>
        </w:tabs>
        <w:ind w:left="2160" w:hanging="516"/>
      </w:pPr>
    </w:lvl>
  </w:abstractNum>
  <w:abstractNum w:abstractNumId="13">
    <w:nsid w:val="2EA77B50"/>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4">
    <w:nsid w:val="3A271C22"/>
    <w:multiLevelType w:val="hybridMultilevel"/>
    <w:tmpl w:val="D07CAD92"/>
    <w:lvl w:ilvl="0" w:tplc="E73A4920">
      <w:start w:val="1"/>
      <w:numFmt w:val="upperLetter"/>
      <w:lvlText w:val="%1."/>
      <w:lvlJc w:val="left"/>
      <w:pPr>
        <w:ind w:left="1140" w:hanging="525"/>
      </w:pPr>
      <w:rPr>
        <w:rFonts w:hint="default"/>
      </w:rPr>
    </w:lvl>
    <w:lvl w:ilvl="1" w:tplc="08090019" w:tentative="1">
      <w:start w:val="1"/>
      <w:numFmt w:val="lowerLetter"/>
      <w:lvlText w:val="%2."/>
      <w:lvlJc w:val="left"/>
      <w:pPr>
        <w:ind w:left="1695" w:hanging="360"/>
      </w:pPr>
    </w:lvl>
    <w:lvl w:ilvl="2" w:tplc="0809001B" w:tentative="1">
      <w:start w:val="1"/>
      <w:numFmt w:val="lowerRoman"/>
      <w:lvlText w:val="%3."/>
      <w:lvlJc w:val="right"/>
      <w:pPr>
        <w:ind w:left="2415" w:hanging="180"/>
      </w:pPr>
    </w:lvl>
    <w:lvl w:ilvl="3" w:tplc="0809000F" w:tentative="1">
      <w:start w:val="1"/>
      <w:numFmt w:val="decimal"/>
      <w:lvlText w:val="%4."/>
      <w:lvlJc w:val="left"/>
      <w:pPr>
        <w:ind w:left="3135" w:hanging="360"/>
      </w:pPr>
    </w:lvl>
    <w:lvl w:ilvl="4" w:tplc="08090019" w:tentative="1">
      <w:start w:val="1"/>
      <w:numFmt w:val="lowerLetter"/>
      <w:lvlText w:val="%5."/>
      <w:lvlJc w:val="left"/>
      <w:pPr>
        <w:ind w:left="3855" w:hanging="360"/>
      </w:pPr>
    </w:lvl>
    <w:lvl w:ilvl="5" w:tplc="0809001B" w:tentative="1">
      <w:start w:val="1"/>
      <w:numFmt w:val="lowerRoman"/>
      <w:lvlText w:val="%6."/>
      <w:lvlJc w:val="right"/>
      <w:pPr>
        <w:ind w:left="4575" w:hanging="180"/>
      </w:pPr>
    </w:lvl>
    <w:lvl w:ilvl="6" w:tplc="0809000F" w:tentative="1">
      <w:start w:val="1"/>
      <w:numFmt w:val="decimal"/>
      <w:lvlText w:val="%7."/>
      <w:lvlJc w:val="left"/>
      <w:pPr>
        <w:ind w:left="5295" w:hanging="360"/>
      </w:pPr>
    </w:lvl>
    <w:lvl w:ilvl="7" w:tplc="08090019" w:tentative="1">
      <w:start w:val="1"/>
      <w:numFmt w:val="lowerLetter"/>
      <w:lvlText w:val="%8."/>
      <w:lvlJc w:val="left"/>
      <w:pPr>
        <w:ind w:left="6015" w:hanging="360"/>
      </w:pPr>
    </w:lvl>
    <w:lvl w:ilvl="8" w:tplc="0809001B" w:tentative="1">
      <w:start w:val="1"/>
      <w:numFmt w:val="lowerRoman"/>
      <w:lvlText w:val="%9."/>
      <w:lvlJc w:val="right"/>
      <w:pPr>
        <w:ind w:left="6735" w:hanging="180"/>
      </w:pPr>
    </w:lvl>
  </w:abstractNum>
  <w:abstractNum w:abstractNumId="15">
    <w:nsid w:val="3ACF4EB2"/>
    <w:multiLevelType w:val="hybridMultilevel"/>
    <w:tmpl w:val="3F2CCC0E"/>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16">
    <w:nsid w:val="68862366"/>
    <w:multiLevelType w:val="hybridMultilevel"/>
    <w:tmpl w:val="523E6D94"/>
    <w:lvl w:ilvl="0" w:tplc="E24C15DA">
      <w:start w:val="1"/>
      <w:numFmt w:val="bullet"/>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nsid w:val="68AD07B2"/>
    <w:multiLevelType w:val="hybridMultilevel"/>
    <w:tmpl w:val="D7D47906"/>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abstractNum w:abstractNumId="18">
    <w:nsid w:val="695106FB"/>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nsid w:val="7BD73A9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7CF349BD"/>
    <w:multiLevelType w:val="singleLevel"/>
    <w:tmpl w:val="51D4BF5A"/>
    <w:lvl w:ilvl="0">
      <w:start w:val="1"/>
      <w:numFmt w:val="lowerRoman"/>
      <w:lvlText w:val="(%1)"/>
      <w:lvlJc w:val="right"/>
      <w:pPr>
        <w:tabs>
          <w:tab w:val="num" w:pos="1440"/>
        </w:tabs>
        <w:ind w:left="1440" w:hanging="589"/>
      </w:pPr>
      <w:rPr>
        <w:rFonts w:hint="default"/>
      </w:rPr>
    </w:lvl>
  </w:abstractNum>
  <w:num w:numId="1">
    <w:abstractNumId w:val="17"/>
  </w:num>
  <w:num w:numId="2">
    <w:abstractNumId w:val="15"/>
  </w:num>
  <w:num w:numId="3">
    <w:abstractNumId w:val="11"/>
  </w:num>
  <w:num w:numId="4">
    <w:abstractNumId w:val="8"/>
  </w:num>
  <w:num w:numId="5">
    <w:abstractNumId w:val="3"/>
  </w:num>
  <w:num w:numId="6">
    <w:abstractNumId w:val="2"/>
  </w:num>
  <w:num w:numId="7">
    <w:abstractNumId w:val="1"/>
  </w:num>
  <w:num w:numId="8">
    <w:abstractNumId w:val="0"/>
  </w:num>
  <w:num w:numId="9">
    <w:abstractNumId w:val="9"/>
  </w:num>
  <w:num w:numId="10">
    <w:abstractNumId w:val="7"/>
  </w:num>
  <w:num w:numId="11">
    <w:abstractNumId w:val="6"/>
  </w:num>
  <w:num w:numId="12">
    <w:abstractNumId w:val="5"/>
  </w:num>
  <w:num w:numId="13">
    <w:abstractNumId w:val="4"/>
  </w:num>
  <w:num w:numId="14">
    <w:abstractNumId w:val="20"/>
  </w:num>
  <w:num w:numId="15">
    <w:abstractNumId w:val="12"/>
  </w:num>
  <w:num w:numId="16">
    <w:abstractNumId w:val="13"/>
  </w:num>
  <w:num w:numId="17">
    <w:abstractNumId w:val="19"/>
  </w:num>
  <w:num w:numId="18">
    <w:abstractNumId w:val="18"/>
  </w:num>
  <w:num w:numId="19">
    <w:abstractNumId w:val="10"/>
  </w:num>
  <w:num w:numId="20">
    <w:abstractNumId w:val="16"/>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567"/>
  <w:hyphenationZone w:val="425"/>
  <w:evenAndOddHeaders/>
  <w:characterSpacingControl w:val="doNotCompress"/>
  <w:hdrShapeDefaults>
    <o:shapedefaults v:ext="edit" spidmax="16385"/>
  </w:hdrShapeDefaults>
  <w:footnotePr>
    <w:footnote w:id="-1"/>
    <w:footnote w:id="0"/>
    <w:footnote w:id="1"/>
  </w:footnotePr>
  <w:endnotePr>
    <w:numFmt w:val="decimal"/>
    <w:endnote w:id="-1"/>
    <w:endnote w:id="0"/>
    <w:endnote w:id="1"/>
  </w:endnotePr>
  <w:compat>
    <w:useFELayout/>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715F"/>
    <w:rsid w:val="00023842"/>
    <w:rsid w:val="000765C3"/>
    <w:rsid w:val="0007796D"/>
    <w:rsid w:val="000A36E9"/>
    <w:rsid w:val="000A6B23"/>
    <w:rsid w:val="000B0FA8"/>
    <w:rsid w:val="000E21B6"/>
    <w:rsid w:val="000E5ADA"/>
    <w:rsid w:val="000F2457"/>
    <w:rsid w:val="00111F2F"/>
    <w:rsid w:val="00131E73"/>
    <w:rsid w:val="0014365E"/>
    <w:rsid w:val="00176178"/>
    <w:rsid w:val="001F525A"/>
    <w:rsid w:val="00212168"/>
    <w:rsid w:val="00222E0A"/>
    <w:rsid w:val="00260711"/>
    <w:rsid w:val="0028715F"/>
    <w:rsid w:val="002D70F6"/>
    <w:rsid w:val="002E0D9C"/>
    <w:rsid w:val="00352ECE"/>
    <w:rsid w:val="003547BE"/>
    <w:rsid w:val="00446FE5"/>
    <w:rsid w:val="004C5BF5"/>
    <w:rsid w:val="00552797"/>
    <w:rsid w:val="00573BE5"/>
    <w:rsid w:val="00586ED3"/>
    <w:rsid w:val="00587A52"/>
    <w:rsid w:val="00597DF4"/>
    <w:rsid w:val="005B4E23"/>
    <w:rsid w:val="005E27E7"/>
    <w:rsid w:val="00615C8F"/>
    <w:rsid w:val="00617B29"/>
    <w:rsid w:val="00620BC7"/>
    <w:rsid w:val="0063431A"/>
    <w:rsid w:val="0068446C"/>
    <w:rsid w:val="00695AED"/>
    <w:rsid w:val="00703450"/>
    <w:rsid w:val="00710BD6"/>
    <w:rsid w:val="0071601D"/>
    <w:rsid w:val="00721020"/>
    <w:rsid w:val="00731589"/>
    <w:rsid w:val="007C3752"/>
    <w:rsid w:val="0080684C"/>
    <w:rsid w:val="00871C75"/>
    <w:rsid w:val="008776DC"/>
    <w:rsid w:val="008B386A"/>
    <w:rsid w:val="0094352E"/>
    <w:rsid w:val="00962015"/>
    <w:rsid w:val="009705C8"/>
    <w:rsid w:val="009A47AB"/>
    <w:rsid w:val="00A12E20"/>
    <w:rsid w:val="00A63102"/>
    <w:rsid w:val="00AC7BEB"/>
    <w:rsid w:val="00AE323C"/>
    <w:rsid w:val="00B0740B"/>
    <w:rsid w:val="00B16AAF"/>
    <w:rsid w:val="00B22A9E"/>
    <w:rsid w:val="00B24C75"/>
    <w:rsid w:val="00B528BF"/>
    <w:rsid w:val="00BA5A20"/>
    <w:rsid w:val="00C02897"/>
    <w:rsid w:val="00C12613"/>
    <w:rsid w:val="00C9077C"/>
    <w:rsid w:val="00D45432"/>
    <w:rsid w:val="00D46547"/>
    <w:rsid w:val="00DB1831"/>
    <w:rsid w:val="00DD3BFD"/>
    <w:rsid w:val="00DF2BDB"/>
    <w:rsid w:val="00E21C2F"/>
    <w:rsid w:val="00E228A8"/>
    <w:rsid w:val="00E3734C"/>
    <w:rsid w:val="00E6618E"/>
    <w:rsid w:val="00EA5C2F"/>
    <w:rsid w:val="00EF7F30"/>
    <w:rsid w:val="00F660DF"/>
    <w:rsid w:val="00F95C08"/>
    <w:rsid w:val="00FD0765"/>
    <w:rsid w:val="00FE02AA"/>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CH"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qFormat="1"/>
    <w:lsdException w:name="footer" w:uiPriority="0" w:qFormat="1"/>
    <w:lsdException w:name="caption" w:uiPriority="35" w:qFormat="1"/>
    <w:lsdException w:name="footnote reference" w:uiPriority="0" w:qFormat="1"/>
    <w:lsdException w:name="annotation reference" w:uiPriority="0"/>
    <w:lsdException w:name="page number" w:uiPriority="0" w:qFormat="1"/>
    <w:lsdException w:name="endnote reference" w:uiPriority="0" w:qFormat="1"/>
    <w:lsdException w:name="endnote text" w:uiPriority="0" w:qFormat="1"/>
    <w:lsdException w:name="Title" w:uiPriority="10" w:unhideWhenUsed="0" w:qFormat="1"/>
    <w:lsdException w:name="Default Paragraph Font" w:uiPriority="0"/>
    <w:lsdException w:name="Subtitle" w:uiPriority="11" w:unhideWhenUsed="0" w:qFormat="1"/>
    <w:lsdException w:name="Hyperlink" w:uiPriority="0"/>
    <w:lsdException w:name="FollowedHyperlink" w:uiPriority="0"/>
    <w:lsdException w:name="Strong" w:uiPriority="22" w:unhideWhenUsed="0" w:qFormat="1"/>
    <w:lsdException w:name="Emphasis" w:uiPriority="20" w:unhideWhenUsed="0" w:qFormat="1"/>
    <w:lsdException w:name="Balloon Text" w:uiPriority="0"/>
    <w:lsdException w:name="Table Grid" w:semiHidden="0" w:uiPriority="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71601D"/>
    <w:pPr>
      <w:suppressAutoHyphens/>
      <w:kinsoku w:val="0"/>
      <w:overflowPunct w:val="0"/>
      <w:autoSpaceDE w:val="0"/>
      <w:autoSpaceDN w:val="0"/>
      <w:adjustRightInd w:val="0"/>
      <w:snapToGrid w:val="0"/>
      <w:spacing w:after="0" w:line="240" w:lineRule="atLeast"/>
    </w:pPr>
    <w:rPr>
      <w:rFonts w:ascii="Times New Roman" w:eastAsia="Times New Roman" w:hAnsi="Times New Roman" w:cs="Times New Roman"/>
      <w:sz w:val="20"/>
      <w:szCs w:val="20"/>
      <w:lang w:eastAsia="en-US"/>
    </w:rPr>
  </w:style>
  <w:style w:type="paragraph" w:styleId="Heading1">
    <w:name w:val="heading 1"/>
    <w:aliases w:val="Table_G"/>
    <w:basedOn w:val="SingleTxtG"/>
    <w:next w:val="SingleTxtG"/>
    <w:link w:val="Heading1Char"/>
    <w:qFormat/>
    <w:rsid w:val="0080684C"/>
    <w:pPr>
      <w:keepNext/>
      <w:keepLines/>
      <w:spacing w:after="0" w:line="240" w:lineRule="auto"/>
      <w:ind w:right="0"/>
      <w:jc w:val="left"/>
      <w:outlineLvl w:val="0"/>
    </w:pPr>
  </w:style>
  <w:style w:type="paragraph" w:styleId="Heading2">
    <w:name w:val="heading 2"/>
    <w:basedOn w:val="Normal"/>
    <w:next w:val="Normal"/>
    <w:link w:val="Heading2Char"/>
    <w:qFormat/>
    <w:rsid w:val="00023842"/>
    <w:pPr>
      <w:outlineLvl w:val="1"/>
    </w:pPr>
  </w:style>
  <w:style w:type="paragraph" w:styleId="Heading3">
    <w:name w:val="heading 3"/>
    <w:basedOn w:val="Normal"/>
    <w:next w:val="Normal"/>
    <w:link w:val="Heading3Char"/>
    <w:qFormat/>
    <w:rsid w:val="00023842"/>
    <w:pPr>
      <w:outlineLvl w:val="2"/>
    </w:pPr>
  </w:style>
  <w:style w:type="paragraph" w:styleId="Heading4">
    <w:name w:val="heading 4"/>
    <w:basedOn w:val="Normal"/>
    <w:next w:val="Normal"/>
    <w:link w:val="Heading4Char"/>
    <w:qFormat/>
    <w:rsid w:val="00023842"/>
    <w:pPr>
      <w:outlineLvl w:val="3"/>
    </w:pPr>
  </w:style>
  <w:style w:type="paragraph" w:styleId="Heading5">
    <w:name w:val="heading 5"/>
    <w:basedOn w:val="Normal"/>
    <w:next w:val="Normal"/>
    <w:link w:val="Heading5Char"/>
    <w:qFormat/>
    <w:rsid w:val="00023842"/>
    <w:pPr>
      <w:outlineLvl w:val="4"/>
    </w:pPr>
  </w:style>
  <w:style w:type="paragraph" w:styleId="Heading6">
    <w:name w:val="heading 6"/>
    <w:basedOn w:val="Normal"/>
    <w:next w:val="Normal"/>
    <w:link w:val="Heading6Char"/>
    <w:qFormat/>
    <w:rsid w:val="00023842"/>
    <w:pPr>
      <w:outlineLvl w:val="5"/>
    </w:pPr>
  </w:style>
  <w:style w:type="paragraph" w:styleId="Heading7">
    <w:name w:val="heading 7"/>
    <w:basedOn w:val="Normal"/>
    <w:next w:val="Normal"/>
    <w:link w:val="Heading7Char"/>
    <w:qFormat/>
    <w:rsid w:val="00023842"/>
    <w:pPr>
      <w:outlineLvl w:val="6"/>
    </w:pPr>
  </w:style>
  <w:style w:type="paragraph" w:styleId="Heading8">
    <w:name w:val="heading 8"/>
    <w:basedOn w:val="Normal"/>
    <w:next w:val="Normal"/>
    <w:link w:val="Heading8Char"/>
    <w:qFormat/>
    <w:rsid w:val="00023842"/>
    <w:pPr>
      <w:outlineLvl w:val="7"/>
    </w:pPr>
  </w:style>
  <w:style w:type="paragraph" w:styleId="Heading9">
    <w:name w:val="heading 9"/>
    <w:basedOn w:val="Normal"/>
    <w:next w:val="Normal"/>
    <w:link w:val="Heading9Char"/>
    <w:qFormat/>
    <w:rsid w:val="0002384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qFormat/>
    <w:rsid w:val="0080684C"/>
    <w:pPr>
      <w:spacing w:after="120"/>
      <w:ind w:left="1134" w:right="1134"/>
      <w:jc w:val="both"/>
    </w:pPr>
  </w:style>
  <w:style w:type="character" w:customStyle="1" w:styleId="Heading1Char">
    <w:name w:val="Heading 1 Char"/>
    <w:aliases w:val="Table_G Char"/>
    <w:basedOn w:val="DefaultParagraphFont"/>
    <w:link w:val="Heading1"/>
    <w:rsid w:val="0080684C"/>
    <w:rPr>
      <w:rFonts w:ascii="Times New Roman" w:eastAsia="Times New Roman" w:hAnsi="Times New Roman" w:cs="Times New Roman"/>
      <w:sz w:val="20"/>
      <w:szCs w:val="20"/>
      <w:lang w:eastAsia="en-US"/>
    </w:rPr>
  </w:style>
  <w:style w:type="character" w:customStyle="1" w:styleId="Heading2Char">
    <w:name w:val="Heading 2 Char"/>
    <w:basedOn w:val="DefaultParagraphFont"/>
    <w:link w:val="Heading2"/>
    <w:rsid w:val="00023842"/>
    <w:rPr>
      <w:rFonts w:ascii="Times New Roman" w:eastAsia="Times New Roman" w:hAnsi="Times New Roman" w:cs="Times New Roman"/>
      <w:sz w:val="20"/>
      <w:szCs w:val="20"/>
      <w:lang w:eastAsia="en-US"/>
    </w:rPr>
  </w:style>
  <w:style w:type="character" w:customStyle="1" w:styleId="Heading3Char">
    <w:name w:val="Heading 3 Char"/>
    <w:basedOn w:val="DefaultParagraphFont"/>
    <w:link w:val="Heading3"/>
    <w:rsid w:val="00023842"/>
    <w:rPr>
      <w:rFonts w:ascii="Times New Roman" w:eastAsia="Times New Roman" w:hAnsi="Times New Roman" w:cs="Times New Roman"/>
      <w:sz w:val="20"/>
      <w:szCs w:val="20"/>
      <w:lang w:eastAsia="en-US"/>
    </w:rPr>
  </w:style>
  <w:style w:type="character" w:customStyle="1" w:styleId="Heading4Char">
    <w:name w:val="Heading 4 Char"/>
    <w:basedOn w:val="DefaultParagraphFont"/>
    <w:link w:val="Heading4"/>
    <w:rsid w:val="00023842"/>
    <w:rPr>
      <w:rFonts w:ascii="Times New Roman" w:eastAsia="Times New Roman" w:hAnsi="Times New Roman" w:cs="Times New Roman"/>
      <w:sz w:val="20"/>
      <w:szCs w:val="20"/>
      <w:lang w:eastAsia="en-US"/>
    </w:rPr>
  </w:style>
  <w:style w:type="character" w:customStyle="1" w:styleId="Heading5Char">
    <w:name w:val="Heading 5 Char"/>
    <w:basedOn w:val="DefaultParagraphFont"/>
    <w:link w:val="Heading5"/>
    <w:rsid w:val="00023842"/>
    <w:rPr>
      <w:rFonts w:ascii="Times New Roman" w:eastAsia="Times New Roman" w:hAnsi="Times New Roman" w:cs="Times New Roman"/>
      <w:sz w:val="20"/>
      <w:szCs w:val="20"/>
      <w:lang w:eastAsia="en-US"/>
    </w:rPr>
  </w:style>
  <w:style w:type="character" w:customStyle="1" w:styleId="Heading6Char">
    <w:name w:val="Heading 6 Char"/>
    <w:basedOn w:val="DefaultParagraphFont"/>
    <w:link w:val="Heading6"/>
    <w:rsid w:val="00023842"/>
    <w:rPr>
      <w:rFonts w:ascii="Times New Roman" w:eastAsia="Times New Roman" w:hAnsi="Times New Roman" w:cs="Times New Roman"/>
      <w:sz w:val="20"/>
      <w:szCs w:val="20"/>
      <w:lang w:eastAsia="en-US"/>
    </w:rPr>
  </w:style>
  <w:style w:type="character" w:customStyle="1" w:styleId="Heading7Char">
    <w:name w:val="Heading 7 Char"/>
    <w:basedOn w:val="DefaultParagraphFont"/>
    <w:link w:val="Heading7"/>
    <w:rsid w:val="00023842"/>
    <w:rPr>
      <w:rFonts w:ascii="Times New Roman" w:eastAsia="Times New Roman" w:hAnsi="Times New Roman" w:cs="Times New Roman"/>
      <w:sz w:val="20"/>
      <w:szCs w:val="20"/>
      <w:lang w:eastAsia="en-US"/>
    </w:rPr>
  </w:style>
  <w:style w:type="character" w:customStyle="1" w:styleId="Heading8Char">
    <w:name w:val="Heading 8 Char"/>
    <w:basedOn w:val="DefaultParagraphFont"/>
    <w:link w:val="Heading8"/>
    <w:rsid w:val="00023842"/>
    <w:rPr>
      <w:rFonts w:ascii="Times New Roman" w:eastAsia="Times New Roman" w:hAnsi="Times New Roman" w:cs="Times New Roman"/>
      <w:sz w:val="20"/>
      <w:szCs w:val="20"/>
      <w:lang w:eastAsia="en-US"/>
    </w:rPr>
  </w:style>
  <w:style w:type="character" w:customStyle="1" w:styleId="Heading9Char">
    <w:name w:val="Heading 9 Char"/>
    <w:basedOn w:val="DefaultParagraphFont"/>
    <w:link w:val="Heading9"/>
    <w:rsid w:val="00023842"/>
    <w:rPr>
      <w:rFonts w:ascii="Times New Roman" w:eastAsia="Times New Roman" w:hAnsi="Times New Roman" w:cs="Times New Roman"/>
      <w:sz w:val="20"/>
      <w:szCs w:val="20"/>
      <w:lang w:eastAsia="en-US"/>
    </w:rPr>
  </w:style>
  <w:style w:type="paragraph" w:styleId="Header">
    <w:name w:val="header"/>
    <w:aliases w:val="6_G"/>
    <w:basedOn w:val="Normal"/>
    <w:next w:val="Normal"/>
    <w:link w:val="HeaderChar"/>
    <w:qFormat/>
    <w:rsid w:val="0080684C"/>
    <w:pPr>
      <w:pBdr>
        <w:bottom w:val="single" w:sz="4" w:space="4" w:color="auto"/>
      </w:pBdr>
      <w:spacing w:line="240" w:lineRule="auto"/>
    </w:pPr>
    <w:rPr>
      <w:b/>
      <w:sz w:val="18"/>
    </w:rPr>
  </w:style>
  <w:style w:type="character" w:customStyle="1" w:styleId="HeaderChar">
    <w:name w:val="Header Char"/>
    <w:aliases w:val="6_G Char"/>
    <w:basedOn w:val="DefaultParagraphFont"/>
    <w:link w:val="Header"/>
    <w:rsid w:val="0080684C"/>
    <w:rPr>
      <w:rFonts w:ascii="Times New Roman" w:eastAsia="Times New Roman" w:hAnsi="Times New Roman" w:cs="Times New Roman"/>
      <w:b/>
      <w:sz w:val="18"/>
      <w:szCs w:val="20"/>
      <w:lang w:eastAsia="en-US"/>
    </w:rPr>
  </w:style>
  <w:style w:type="paragraph" w:styleId="Footer">
    <w:name w:val="footer"/>
    <w:aliases w:val="3_G"/>
    <w:basedOn w:val="Normal"/>
    <w:next w:val="Normal"/>
    <w:link w:val="FooterChar"/>
    <w:qFormat/>
    <w:rsid w:val="0080684C"/>
    <w:pPr>
      <w:spacing w:line="240" w:lineRule="auto"/>
    </w:pPr>
    <w:rPr>
      <w:sz w:val="16"/>
    </w:rPr>
  </w:style>
  <w:style w:type="character" w:customStyle="1" w:styleId="FooterChar">
    <w:name w:val="Footer Char"/>
    <w:aliases w:val="3_G Char"/>
    <w:basedOn w:val="DefaultParagraphFont"/>
    <w:link w:val="Footer"/>
    <w:rsid w:val="0080684C"/>
    <w:rPr>
      <w:rFonts w:ascii="Times New Roman" w:eastAsia="Times New Roman" w:hAnsi="Times New Roman" w:cs="Times New Roman"/>
      <w:sz w:val="16"/>
      <w:szCs w:val="20"/>
      <w:lang w:eastAsia="en-US"/>
    </w:rPr>
  </w:style>
  <w:style w:type="paragraph" w:customStyle="1" w:styleId="HMG">
    <w:name w:val="_ H __M_G"/>
    <w:basedOn w:val="Normal"/>
    <w:next w:val="Normal"/>
    <w:qFormat/>
    <w:rsid w:val="0080684C"/>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80684C"/>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qFormat/>
    <w:rsid w:val="0080684C"/>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80684C"/>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80684C"/>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871C75"/>
    <w:pPr>
      <w:keepNext/>
      <w:keepLines/>
      <w:tabs>
        <w:tab w:val="right" w:pos="851"/>
      </w:tabs>
      <w:spacing w:before="240" w:after="120" w:line="240" w:lineRule="exact"/>
      <w:ind w:left="1134" w:right="1134" w:hanging="1134"/>
    </w:pPr>
  </w:style>
  <w:style w:type="paragraph" w:customStyle="1" w:styleId="SLG">
    <w:name w:val="__S_L_G"/>
    <w:basedOn w:val="Normal"/>
    <w:next w:val="Normal"/>
    <w:rsid w:val="0080684C"/>
    <w:pPr>
      <w:keepNext/>
      <w:keepLines/>
      <w:spacing w:before="240" w:after="240" w:line="580" w:lineRule="exact"/>
      <w:ind w:left="1134" w:right="1134"/>
    </w:pPr>
    <w:rPr>
      <w:b/>
      <w:sz w:val="56"/>
    </w:rPr>
  </w:style>
  <w:style w:type="paragraph" w:customStyle="1" w:styleId="SMG">
    <w:name w:val="__S_M_G"/>
    <w:basedOn w:val="Normal"/>
    <w:next w:val="Normal"/>
    <w:rsid w:val="0080684C"/>
    <w:pPr>
      <w:keepNext/>
      <w:keepLines/>
      <w:spacing w:before="240" w:after="240" w:line="420" w:lineRule="exact"/>
      <w:ind w:left="1134" w:right="1134"/>
    </w:pPr>
    <w:rPr>
      <w:b/>
      <w:sz w:val="40"/>
    </w:rPr>
  </w:style>
  <w:style w:type="paragraph" w:customStyle="1" w:styleId="SSG">
    <w:name w:val="__S_S_G"/>
    <w:basedOn w:val="Normal"/>
    <w:next w:val="Normal"/>
    <w:rsid w:val="0080684C"/>
    <w:pPr>
      <w:keepNext/>
      <w:keepLines/>
      <w:spacing w:before="240" w:after="240" w:line="300" w:lineRule="exact"/>
      <w:ind w:left="1134" w:right="1134"/>
    </w:pPr>
    <w:rPr>
      <w:b/>
      <w:sz w:val="28"/>
    </w:rPr>
  </w:style>
  <w:style w:type="paragraph" w:customStyle="1" w:styleId="XLargeG">
    <w:name w:val="__XLarge_G"/>
    <w:basedOn w:val="Normal"/>
    <w:next w:val="Normal"/>
    <w:rsid w:val="00871C75"/>
    <w:pPr>
      <w:keepNext/>
      <w:keepLines/>
      <w:spacing w:before="240" w:after="240" w:line="420" w:lineRule="exact"/>
      <w:ind w:left="1134" w:right="1134"/>
    </w:pPr>
    <w:rPr>
      <w:b/>
      <w:sz w:val="40"/>
    </w:rPr>
  </w:style>
  <w:style w:type="paragraph" w:customStyle="1" w:styleId="Bullet1G">
    <w:name w:val="_Bullet 1_G"/>
    <w:basedOn w:val="Normal"/>
    <w:qFormat/>
    <w:rsid w:val="0080684C"/>
    <w:pPr>
      <w:numPr>
        <w:numId w:val="1"/>
      </w:numPr>
      <w:spacing w:after="120"/>
      <w:ind w:right="1134"/>
      <w:jc w:val="both"/>
    </w:pPr>
  </w:style>
  <w:style w:type="paragraph" w:customStyle="1" w:styleId="Bullet2G">
    <w:name w:val="_Bullet 2_G"/>
    <w:basedOn w:val="Normal"/>
    <w:qFormat/>
    <w:rsid w:val="0080684C"/>
    <w:pPr>
      <w:numPr>
        <w:numId w:val="2"/>
      </w:numPr>
      <w:spacing w:after="120"/>
      <w:ind w:right="1134"/>
      <w:jc w:val="both"/>
    </w:pPr>
  </w:style>
  <w:style w:type="paragraph" w:customStyle="1" w:styleId="ParNoG">
    <w:name w:val="_ParNo_G"/>
    <w:basedOn w:val="SingleTxtG"/>
    <w:qFormat/>
    <w:rsid w:val="0080684C"/>
    <w:pPr>
      <w:numPr>
        <w:numId w:val="3"/>
      </w:numPr>
    </w:pPr>
  </w:style>
  <w:style w:type="character" w:styleId="FootnoteReference">
    <w:name w:val="footnote reference"/>
    <w:aliases w:val="4_G"/>
    <w:basedOn w:val="DefaultParagraphFont"/>
    <w:qFormat/>
    <w:rsid w:val="00023842"/>
    <w:rPr>
      <w:rFonts w:ascii="Times New Roman" w:hAnsi="Times New Roman"/>
      <w:sz w:val="18"/>
      <w:vertAlign w:val="superscript"/>
      <w:lang w:val="fr-CH"/>
    </w:rPr>
  </w:style>
  <w:style w:type="character" w:styleId="EndnoteReference">
    <w:name w:val="endnote reference"/>
    <w:aliases w:val="1_G"/>
    <w:basedOn w:val="FootnoteReference"/>
    <w:qFormat/>
    <w:rsid w:val="00023842"/>
    <w:rPr>
      <w:rFonts w:ascii="Times New Roman" w:hAnsi="Times New Roman"/>
      <w:sz w:val="18"/>
      <w:vertAlign w:val="superscript"/>
      <w:lang w:val="fr-CH"/>
    </w:rPr>
  </w:style>
  <w:style w:type="table" w:styleId="TableGrid">
    <w:name w:val="Table Grid"/>
    <w:basedOn w:val="TableNormal"/>
    <w:rsid w:val="00587A52"/>
    <w:pPr>
      <w:suppressAutoHyphens/>
      <w:spacing w:after="0" w:line="240" w:lineRule="atLeas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unhideWhenUsed/>
    <w:rsid w:val="00212168"/>
    <w:rPr>
      <w:color w:val="0000FF"/>
      <w:u w:val="none"/>
    </w:rPr>
  </w:style>
  <w:style w:type="character" w:styleId="FollowedHyperlink">
    <w:name w:val="FollowedHyperlink"/>
    <w:basedOn w:val="DefaultParagraphFont"/>
    <w:unhideWhenUsed/>
    <w:rsid w:val="00212168"/>
    <w:rPr>
      <w:color w:val="0000FF"/>
      <w:u w:val="none"/>
    </w:rPr>
  </w:style>
  <w:style w:type="paragraph" w:styleId="FootnoteText">
    <w:name w:val="footnote text"/>
    <w:aliases w:val="5_G"/>
    <w:basedOn w:val="Normal"/>
    <w:link w:val="FootnoteTextChar"/>
    <w:qFormat/>
    <w:rsid w:val="0080684C"/>
    <w:pPr>
      <w:tabs>
        <w:tab w:val="right" w:pos="1021"/>
      </w:tabs>
      <w:spacing w:line="220" w:lineRule="exact"/>
      <w:ind w:left="1134" w:right="1134" w:hanging="1134"/>
    </w:pPr>
    <w:rPr>
      <w:sz w:val="18"/>
    </w:rPr>
  </w:style>
  <w:style w:type="character" w:customStyle="1" w:styleId="FootnoteTextChar">
    <w:name w:val="Footnote Text Char"/>
    <w:aliases w:val="5_G Char"/>
    <w:basedOn w:val="DefaultParagraphFont"/>
    <w:link w:val="FootnoteText"/>
    <w:rsid w:val="0080684C"/>
    <w:rPr>
      <w:rFonts w:ascii="Times New Roman" w:eastAsia="Times New Roman" w:hAnsi="Times New Roman" w:cs="Times New Roman"/>
      <w:sz w:val="18"/>
      <w:szCs w:val="20"/>
      <w:lang w:eastAsia="en-US"/>
    </w:rPr>
  </w:style>
  <w:style w:type="paragraph" w:styleId="EndnoteText">
    <w:name w:val="endnote text"/>
    <w:aliases w:val="2_G"/>
    <w:basedOn w:val="FootnoteText"/>
    <w:link w:val="EndnoteTextChar"/>
    <w:qFormat/>
    <w:rsid w:val="0080684C"/>
  </w:style>
  <w:style w:type="character" w:customStyle="1" w:styleId="EndnoteTextChar">
    <w:name w:val="Endnote Text Char"/>
    <w:aliases w:val="2_G Char"/>
    <w:basedOn w:val="DefaultParagraphFont"/>
    <w:link w:val="EndnoteText"/>
    <w:rsid w:val="0080684C"/>
    <w:rPr>
      <w:rFonts w:ascii="Times New Roman" w:eastAsia="Times New Roman" w:hAnsi="Times New Roman" w:cs="Times New Roman"/>
      <w:sz w:val="18"/>
      <w:szCs w:val="20"/>
      <w:lang w:eastAsia="en-US"/>
    </w:rPr>
  </w:style>
  <w:style w:type="character" w:styleId="PageNumber">
    <w:name w:val="page number"/>
    <w:aliases w:val="7_G"/>
    <w:basedOn w:val="DefaultParagraphFont"/>
    <w:qFormat/>
    <w:rsid w:val="00023842"/>
    <w:rPr>
      <w:rFonts w:ascii="Times New Roman" w:hAnsi="Times New Roman"/>
      <w:b/>
      <w:sz w:val="18"/>
      <w:lang w:val="fr-CH"/>
    </w:rPr>
  </w:style>
  <w:style w:type="paragraph" w:styleId="BalloonText">
    <w:name w:val="Balloon Text"/>
    <w:basedOn w:val="Normal"/>
    <w:link w:val="BalloonTextChar"/>
    <w:semiHidden/>
    <w:unhideWhenUsed/>
    <w:rsid w:val="00A12E20"/>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A12E20"/>
    <w:rPr>
      <w:rFonts w:ascii="Tahoma" w:eastAsia="Times New Roman"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CH"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qFormat="1"/>
    <w:lsdException w:name="footer" w:uiPriority="0" w:qFormat="1"/>
    <w:lsdException w:name="caption" w:uiPriority="35" w:qFormat="1"/>
    <w:lsdException w:name="footnote reference" w:uiPriority="0" w:qFormat="1"/>
    <w:lsdException w:name="annotation reference" w:uiPriority="0"/>
    <w:lsdException w:name="page number" w:uiPriority="0" w:qFormat="1"/>
    <w:lsdException w:name="endnote reference" w:uiPriority="0" w:qFormat="1"/>
    <w:lsdException w:name="endnote text" w:uiPriority="0" w:qFormat="1"/>
    <w:lsdException w:name="Title" w:uiPriority="10" w:unhideWhenUsed="0" w:qFormat="1"/>
    <w:lsdException w:name="Default Paragraph Font" w:uiPriority="0"/>
    <w:lsdException w:name="Subtitle" w:uiPriority="11" w:unhideWhenUsed="0" w:qFormat="1"/>
    <w:lsdException w:name="Hyperlink" w:uiPriority="0"/>
    <w:lsdException w:name="FollowedHyperlink" w:uiPriority="0"/>
    <w:lsdException w:name="Strong" w:uiPriority="22" w:unhideWhenUsed="0" w:qFormat="1"/>
    <w:lsdException w:name="Emphasis" w:uiPriority="20" w:unhideWhenUsed="0" w:qFormat="1"/>
    <w:lsdException w:name="Balloon Text" w:uiPriority="0"/>
    <w:lsdException w:name="Table Grid" w:semiHidden="0" w:uiPriority="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71601D"/>
    <w:pPr>
      <w:suppressAutoHyphens/>
      <w:kinsoku w:val="0"/>
      <w:overflowPunct w:val="0"/>
      <w:autoSpaceDE w:val="0"/>
      <w:autoSpaceDN w:val="0"/>
      <w:adjustRightInd w:val="0"/>
      <w:snapToGrid w:val="0"/>
      <w:spacing w:after="0" w:line="240" w:lineRule="atLeast"/>
    </w:pPr>
    <w:rPr>
      <w:rFonts w:ascii="Times New Roman" w:eastAsia="Times New Roman" w:hAnsi="Times New Roman" w:cs="Times New Roman"/>
      <w:sz w:val="20"/>
      <w:szCs w:val="20"/>
      <w:lang w:eastAsia="en-US"/>
    </w:rPr>
  </w:style>
  <w:style w:type="paragraph" w:styleId="Heading1">
    <w:name w:val="heading 1"/>
    <w:aliases w:val="Table_G"/>
    <w:basedOn w:val="SingleTxtG"/>
    <w:next w:val="SingleTxtG"/>
    <w:link w:val="Heading1Char"/>
    <w:qFormat/>
    <w:rsid w:val="0080684C"/>
    <w:pPr>
      <w:keepNext/>
      <w:keepLines/>
      <w:spacing w:after="0" w:line="240" w:lineRule="auto"/>
      <w:ind w:right="0"/>
      <w:jc w:val="left"/>
      <w:outlineLvl w:val="0"/>
    </w:pPr>
  </w:style>
  <w:style w:type="paragraph" w:styleId="Heading2">
    <w:name w:val="heading 2"/>
    <w:basedOn w:val="Normal"/>
    <w:next w:val="Normal"/>
    <w:link w:val="Heading2Char"/>
    <w:qFormat/>
    <w:rsid w:val="00023842"/>
    <w:pPr>
      <w:outlineLvl w:val="1"/>
    </w:pPr>
  </w:style>
  <w:style w:type="paragraph" w:styleId="Heading3">
    <w:name w:val="heading 3"/>
    <w:basedOn w:val="Normal"/>
    <w:next w:val="Normal"/>
    <w:link w:val="Heading3Char"/>
    <w:qFormat/>
    <w:rsid w:val="00023842"/>
    <w:pPr>
      <w:outlineLvl w:val="2"/>
    </w:pPr>
  </w:style>
  <w:style w:type="paragraph" w:styleId="Heading4">
    <w:name w:val="heading 4"/>
    <w:basedOn w:val="Normal"/>
    <w:next w:val="Normal"/>
    <w:link w:val="Heading4Char"/>
    <w:qFormat/>
    <w:rsid w:val="00023842"/>
    <w:pPr>
      <w:outlineLvl w:val="3"/>
    </w:pPr>
  </w:style>
  <w:style w:type="paragraph" w:styleId="Heading5">
    <w:name w:val="heading 5"/>
    <w:basedOn w:val="Normal"/>
    <w:next w:val="Normal"/>
    <w:link w:val="Heading5Char"/>
    <w:qFormat/>
    <w:rsid w:val="00023842"/>
    <w:pPr>
      <w:outlineLvl w:val="4"/>
    </w:pPr>
  </w:style>
  <w:style w:type="paragraph" w:styleId="Heading6">
    <w:name w:val="heading 6"/>
    <w:basedOn w:val="Normal"/>
    <w:next w:val="Normal"/>
    <w:link w:val="Heading6Char"/>
    <w:qFormat/>
    <w:rsid w:val="00023842"/>
    <w:pPr>
      <w:outlineLvl w:val="5"/>
    </w:pPr>
  </w:style>
  <w:style w:type="paragraph" w:styleId="Heading7">
    <w:name w:val="heading 7"/>
    <w:basedOn w:val="Normal"/>
    <w:next w:val="Normal"/>
    <w:link w:val="Heading7Char"/>
    <w:qFormat/>
    <w:rsid w:val="00023842"/>
    <w:pPr>
      <w:outlineLvl w:val="6"/>
    </w:pPr>
  </w:style>
  <w:style w:type="paragraph" w:styleId="Heading8">
    <w:name w:val="heading 8"/>
    <w:basedOn w:val="Normal"/>
    <w:next w:val="Normal"/>
    <w:link w:val="Heading8Char"/>
    <w:qFormat/>
    <w:rsid w:val="00023842"/>
    <w:pPr>
      <w:outlineLvl w:val="7"/>
    </w:pPr>
  </w:style>
  <w:style w:type="paragraph" w:styleId="Heading9">
    <w:name w:val="heading 9"/>
    <w:basedOn w:val="Normal"/>
    <w:next w:val="Normal"/>
    <w:link w:val="Heading9Char"/>
    <w:qFormat/>
    <w:rsid w:val="0002384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qFormat/>
    <w:rsid w:val="0080684C"/>
    <w:pPr>
      <w:spacing w:after="120"/>
      <w:ind w:left="1134" w:right="1134"/>
      <w:jc w:val="both"/>
    </w:pPr>
  </w:style>
  <w:style w:type="character" w:customStyle="1" w:styleId="Heading1Char">
    <w:name w:val="Heading 1 Char"/>
    <w:aliases w:val="Table_G Char"/>
    <w:basedOn w:val="DefaultParagraphFont"/>
    <w:link w:val="Heading1"/>
    <w:rsid w:val="0080684C"/>
    <w:rPr>
      <w:rFonts w:ascii="Times New Roman" w:eastAsia="Times New Roman" w:hAnsi="Times New Roman" w:cs="Times New Roman"/>
      <w:sz w:val="20"/>
      <w:szCs w:val="20"/>
      <w:lang w:eastAsia="en-US"/>
    </w:rPr>
  </w:style>
  <w:style w:type="character" w:customStyle="1" w:styleId="Heading2Char">
    <w:name w:val="Heading 2 Char"/>
    <w:basedOn w:val="DefaultParagraphFont"/>
    <w:link w:val="Heading2"/>
    <w:rsid w:val="00023842"/>
    <w:rPr>
      <w:rFonts w:ascii="Times New Roman" w:eastAsia="Times New Roman" w:hAnsi="Times New Roman" w:cs="Times New Roman"/>
      <w:sz w:val="20"/>
      <w:szCs w:val="20"/>
      <w:lang w:eastAsia="en-US"/>
    </w:rPr>
  </w:style>
  <w:style w:type="character" w:customStyle="1" w:styleId="Heading3Char">
    <w:name w:val="Heading 3 Char"/>
    <w:basedOn w:val="DefaultParagraphFont"/>
    <w:link w:val="Heading3"/>
    <w:rsid w:val="00023842"/>
    <w:rPr>
      <w:rFonts w:ascii="Times New Roman" w:eastAsia="Times New Roman" w:hAnsi="Times New Roman" w:cs="Times New Roman"/>
      <w:sz w:val="20"/>
      <w:szCs w:val="20"/>
      <w:lang w:eastAsia="en-US"/>
    </w:rPr>
  </w:style>
  <w:style w:type="character" w:customStyle="1" w:styleId="Heading4Char">
    <w:name w:val="Heading 4 Char"/>
    <w:basedOn w:val="DefaultParagraphFont"/>
    <w:link w:val="Heading4"/>
    <w:rsid w:val="00023842"/>
    <w:rPr>
      <w:rFonts w:ascii="Times New Roman" w:eastAsia="Times New Roman" w:hAnsi="Times New Roman" w:cs="Times New Roman"/>
      <w:sz w:val="20"/>
      <w:szCs w:val="20"/>
      <w:lang w:eastAsia="en-US"/>
    </w:rPr>
  </w:style>
  <w:style w:type="character" w:customStyle="1" w:styleId="Heading5Char">
    <w:name w:val="Heading 5 Char"/>
    <w:basedOn w:val="DefaultParagraphFont"/>
    <w:link w:val="Heading5"/>
    <w:rsid w:val="00023842"/>
    <w:rPr>
      <w:rFonts w:ascii="Times New Roman" w:eastAsia="Times New Roman" w:hAnsi="Times New Roman" w:cs="Times New Roman"/>
      <w:sz w:val="20"/>
      <w:szCs w:val="20"/>
      <w:lang w:eastAsia="en-US"/>
    </w:rPr>
  </w:style>
  <w:style w:type="character" w:customStyle="1" w:styleId="Heading6Char">
    <w:name w:val="Heading 6 Char"/>
    <w:basedOn w:val="DefaultParagraphFont"/>
    <w:link w:val="Heading6"/>
    <w:rsid w:val="00023842"/>
    <w:rPr>
      <w:rFonts w:ascii="Times New Roman" w:eastAsia="Times New Roman" w:hAnsi="Times New Roman" w:cs="Times New Roman"/>
      <w:sz w:val="20"/>
      <w:szCs w:val="20"/>
      <w:lang w:eastAsia="en-US"/>
    </w:rPr>
  </w:style>
  <w:style w:type="character" w:customStyle="1" w:styleId="Heading7Char">
    <w:name w:val="Heading 7 Char"/>
    <w:basedOn w:val="DefaultParagraphFont"/>
    <w:link w:val="Heading7"/>
    <w:rsid w:val="00023842"/>
    <w:rPr>
      <w:rFonts w:ascii="Times New Roman" w:eastAsia="Times New Roman" w:hAnsi="Times New Roman" w:cs="Times New Roman"/>
      <w:sz w:val="20"/>
      <w:szCs w:val="20"/>
      <w:lang w:eastAsia="en-US"/>
    </w:rPr>
  </w:style>
  <w:style w:type="character" w:customStyle="1" w:styleId="Heading8Char">
    <w:name w:val="Heading 8 Char"/>
    <w:basedOn w:val="DefaultParagraphFont"/>
    <w:link w:val="Heading8"/>
    <w:rsid w:val="00023842"/>
    <w:rPr>
      <w:rFonts w:ascii="Times New Roman" w:eastAsia="Times New Roman" w:hAnsi="Times New Roman" w:cs="Times New Roman"/>
      <w:sz w:val="20"/>
      <w:szCs w:val="20"/>
      <w:lang w:eastAsia="en-US"/>
    </w:rPr>
  </w:style>
  <w:style w:type="character" w:customStyle="1" w:styleId="Heading9Char">
    <w:name w:val="Heading 9 Char"/>
    <w:basedOn w:val="DefaultParagraphFont"/>
    <w:link w:val="Heading9"/>
    <w:rsid w:val="00023842"/>
    <w:rPr>
      <w:rFonts w:ascii="Times New Roman" w:eastAsia="Times New Roman" w:hAnsi="Times New Roman" w:cs="Times New Roman"/>
      <w:sz w:val="20"/>
      <w:szCs w:val="20"/>
      <w:lang w:eastAsia="en-US"/>
    </w:rPr>
  </w:style>
  <w:style w:type="paragraph" w:styleId="Header">
    <w:name w:val="header"/>
    <w:aliases w:val="6_G"/>
    <w:basedOn w:val="Normal"/>
    <w:next w:val="Normal"/>
    <w:link w:val="HeaderChar"/>
    <w:qFormat/>
    <w:rsid w:val="0080684C"/>
    <w:pPr>
      <w:pBdr>
        <w:bottom w:val="single" w:sz="4" w:space="4" w:color="auto"/>
      </w:pBdr>
      <w:spacing w:line="240" w:lineRule="auto"/>
    </w:pPr>
    <w:rPr>
      <w:b/>
      <w:sz w:val="18"/>
    </w:rPr>
  </w:style>
  <w:style w:type="character" w:customStyle="1" w:styleId="HeaderChar">
    <w:name w:val="Header Char"/>
    <w:aliases w:val="6_G Char"/>
    <w:basedOn w:val="DefaultParagraphFont"/>
    <w:link w:val="Header"/>
    <w:rsid w:val="0080684C"/>
    <w:rPr>
      <w:rFonts w:ascii="Times New Roman" w:eastAsia="Times New Roman" w:hAnsi="Times New Roman" w:cs="Times New Roman"/>
      <w:b/>
      <w:sz w:val="18"/>
      <w:szCs w:val="20"/>
      <w:lang w:eastAsia="en-US"/>
    </w:rPr>
  </w:style>
  <w:style w:type="paragraph" w:styleId="Footer">
    <w:name w:val="footer"/>
    <w:aliases w:val="3_G"/>
    <w:basedOn w:val="Normal"/>
    <w:next w:val="Normal"/>
    <w:link w:val="FooterChar"/>
    <w:qFormat/>
    <w:rsid w:val="0080684C"/>
    <w:pPr>
      <w:spacing w:line="240" w:lineRule="auto"/>
    </w:pPr>
    <w:rPr>
      <w:sz w:val="16"/>
    </w:rPr>
  </w:style>
  <w:style w:type="character" w:customStyle="1" w:styleId="FooterChar">
    <w:name w:val="Footer Char"/>
    <w:aliases w:val="3_G Char"/>
    <w:basedOn w:val="DefaultParagraphFont"/>
    <w:link w:val="Footer"/>
    <w:rsid w:val="0080684C"/>
    <w:rPr>
      <w:rFonts w:ascii="Times New Roman" w:eastAsia="Times New Roman" w:hAnsi="Times New Roman" w:cs="Times New Roman"/>
      <w:sz w:val="16"/>
      <w:szCs w:val="20"/>
      <w:lang w:eastAsia="en-US"/>
    </w:rPr>
  </w:style>
  <w:style w:type="paragraph" w:customStyle="1" w:styleId="HMG">
    <w:name w:val="_ H __M_G"/>
    <w:basedOn w:val="Normal"/>
    <w:next w:val="Normal"/>
    <w:qFormat/>
    <w:rsid w:val="0080684C"/>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80684C"/>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qFormat/>
    <w:rsid w:val="0080684C"/>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80684C"/>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80684C"/>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871C75"/>
    <w:pPr>
      <w:keepNext/>
      <w:keepLines/>
      <w:tabs>
        <w:tab w:val="right" w:pos="851"/>
      </w:tabs>
      <w:spacing w:before="240" w:after="120" w:line="240" w:lineRule="exact"/>
      <w:ind w:left="1134" w:right="1134" w:hanging="1134"/>
    </w:pPr>
  </w:style>
  <w:style w:type="paragraph" w:customStyle="1" w:styleId="SLG">
    <w:name w:val="__S_L_G"/>
    <w:basedOn w:val="Normal"/>
    <w:next w:val="Normal"/>
    <w:rsid w:val="0080684C"/>
    <w:pPr>
      <w:keepNext/>
      <w:keepLines/>
      <w:spacing w:before="240" w:after="240" w:line="580" w:lineRule="exact"/>
      <w:ind w:left="1134" w:right="1134"/>
    </w:pPr>
    <w:rPr>
      <w:b/>
      <w:sz w:val="56"/>
    </w:rPr>
  </w:style>
  <w:style w:type="paragraph" w:customStyle="1" w:styleId="SMG">
    <w:name w:val="__S_M_G"/>
    <w:basedOn w:val="Normal"/>
    <w:next w:val="Normal"/>
    <w:rsid w:val="0080684C"/>
    <w:pPr>
      <w:keepNext/>
      <w:keepLines/>
      <w:spacing w:before="240" w:after="240" w:line="420" w:lineRule="exact"/>
      <w:ind w:left="1134" w:right="1134"/>
    </w:pPr>
    <w:rPr>
      <w:b/>
      <w:sz w:val="40"/>
    </w:rPr>
  </w:style>
  <w:style w:type="paragraph" w:customStyle="1" w:styleId="SSG">
    <w:name w:val="__S_S_G"/>
    <w:basedOn w:val="Normal"/>
    <w:next w:val="Normal"/>
    <w:rsid w:val="0080684C"/>
    <w:pPr>
      <w:keepNext/>
      <w:keepLines/>
      <w:spacing w:before="240" w:after="240" w:line="300" w:lineRule="exact"/>
      <w:ind w:left="1134" w:right="1134"/>
    </w:pPr>
    <w:rPr>
      <w:b/>
      <w:sz w:val="28"/>
    </w:rPr>
  </w:style>
  <w:style w:type="paragraph" w:customStyle="1" w:styleId="XLargeG">
    <w:name w:val="__XLarge_G"/>
    <w:basedOn w:val="Normal"/>
    <w:next w:val="Normal"/>
    <w:rsid w:val="00871C75"/>
    <w:pPr>
      <w:keepNext/>
      <w:keepLines/>
      <w:spacing w:before="240" w:after="240" w:line="420" w:lineRule="exact"/>
      <w:ind w:left="1134" w:right="1134"/>
    </w:pPr>
    <w:rPr>
      <w:b/>
      <w:sz w:val="40"/>
    </w:rPr>
  </w:style>
  <w:style w:type="paragraph" w:customStyle="1" w:styleId="Bullet1G">
    <w:name w:val="_Bullet 1_G"/>
    <w:basedOn w:val="Normal"/>
    <w:qFormat/>
    <w:rsid w:val="0080684C"/>
    <w:pPr>
      <w:numPr>
        <w:numId w:val="1"/>
      </w:numPr>
      <w:spacing w:after="120"/>
      <w:ind w:right="1134"/>
      <w:jc w:val="both"/>
    </w:pPr>
  </w:style>
  <w:style w:type="paragraph" w:customStyle="1" w:styleId="Bullet2G">
    <w:name w:val="_Bullet 2_G"/>
    <w:basedOn w:val="Normal"/>
    <w:qFormat/>
    <w:rsid w:val="0080684C"/>
    <w:pPr>
      <w:numPr>
        <w:numId w:val="2"/>
      </w:numPr>
      <w:spacing w:after="120"/>
      <w:ind w:right="1134"/>
      <w:jc w:val="both"/>
    </w:pPr>
  </w:style>
  <w:style w:type="paragraph" w:customStyle="1" w:styleId="ParNoG">
    <w:name w:val="_ParNo_G"/>
    <w:basedOn w:val="SingleTxtG"/>
    <w:qFormat/>
    <w:rsid w:val="0080684C"/>
    <w:pPr>
      <w:numPr>
        <w:numId w:val="3"/>
      </w:numPr>
    </w:pPr>
  </w:style>
  <w:style w:type="character" w:styleId="FootnoteReference">
    <w:name w:val="footnote reference"/>
    <w:aliases w:val="4_G"/>
    <w:basedOn w:val="DefaultParagraphFont"/>
    <w:qFormat/>
    <w:rsid w:val="00023842"/>
    <w:rPr>
      <w:rFonts w:ascii="Times New Roman" w:hAnsi="Times New Roman"/>
      <w:sz w:val="18"/>
      <w:vertAlign w:val="superscript"/>
      <w:lang w:val="fr-CH"/>
    </w:rPr>
  </w:style>
  <w:style w:type="character" w:styleId="EndnoteReference">
    <w:name w:val="endnote reference"/>
    <w:aliases w:val="1_G"/>
    <w:basedOn w:val="FootnoteReference"/>
    <w:qFormat/>
    <w:rsid w:val="00023842"/>
    <w:rPr>
      <w:rFonts w:ascii="Times New Roman" w:hAnsi="Times New Roman"/>
      <w:sz w:val="18"/>
      <w:vertAlign w:val="superscript"/>
      <w:lang w:val="fr-CH"/>
    </w:rPr>
  </w:style>
  <w:style w:type="table" w:styleId="TableGrid">
    <w:name w:val="Table Grid"/>
    <w:basedOn w:val="TableNormal"/>
    <w:rsid w:val="00587A52"/>
    <w:pPr>
      <w:suppressAutoHyphens/>
      <w:spacing w:after="0" w:line="240" w:lineRule="atLeas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unhideWhenUsed/>
    <w:rsid w:val="00212168"/>
    <w:rPr>
      <w:color w:val="0000FF"/>
      <w:u w:val="none"/>
    </w:rPr>
  </w:style>
  <w:style w:type="character" w:styleId="FollowedHyperlink">
    <w:name w:val="FollowedHyperlink"/>
    <w:basedOn w:val="DefaultParagraphFont"/>
    <w:unhideWhenUsed/>
    <w:rsid w:val="00212168"/>
    <w:rPr>
      <w:color w:val="0000FF"/>
      <w:u w:val="none"/>
    </w:rPr>
  </w:style>
  <w:style w:type="paragraph" w:styleId="FootnoteText">
    <w:name w:val="footnote text"/>
    <w:aliases w:val="5_G"/>
    <w:basedOn w:val="Normal"/>
    <w:link w:val="FootnoteTextChar"/>
    <w:qFormat/>
    <w:rsid w:val="0080684C"/>
    <w:pPr>
      <w:tabs>
        <w:tab w:val="right" w:pos="1021"/>
      </w:tabs>
      <w:spacing w:line="220" w:lineRule="exact"/>
      <w:ind w:left="1134" w:right="1134" w:hanging="1134"/>
    </w:pPr>
    <w:rPr>
      <w:sz w:val="18"/>
    </w:rPr>
  </w:style>
  <w:style w:type="character" w:customStyle="1" w:styleId="FootnoteTextChar">
    <w:name w:val="Footnote Text Char"/>
    <w:aliases w:val="5_G Char"/>
    <w:basedOn w:val="DefaultParagraphFont"/>
    <w:link w:val="FootnoteText"/>
    <w:rsid w:val="0080684C"/>
    <w:rPr>
      <w:rFonts w:ascii="Times New Roman" w:eastAsia="Times New Roman" w:hAnsi="Times New Roman" w:cs="Times New Roman"/>
      <w:sz w:val="18"/>
      <w:szCs w:val="20"/>
      <w:lang w:eastAsia="en-US"/>
    </w:rPr>
  </w:style>
  <w:style w:type="paragraph" w:styleId="EndnoteText">
    <w:name w:val="endnote text"/>
    <w:aliases w:val="2_G"/>
    <w:basedOn w:val="FootnoteText"/>
    <w:link w:val="EndnoteTextChar"/>
    <w:qFormat/>
    <w:rsid w:val="0080684C"/>
  </w:style>
  <w:style w:type="character" w:customStyle="1" w:styleId="EndnoteTextChar">
    <w:name w:val="Endnote Text Char"/>
    <w:aliases w:val="2_G Char"/>
    <w:basedOn w:val="DefaultParagraphFont"/>
    <w:link w:val="EndnoteText"/>
    <w:rsid w:val="0080684C"/>
    <w:rPr>
      <w:rFonts w:ascii="Times New Roman" w:eastAsia="Times New Roman" w:hAnsi="Times New Roman" w:cs="Times New Roman"/>
      <w:sz w:val="18"/>
      <w:szCs w:val="20"/>
      <w:lang w:eastAsia="en-US"/>
    </w:rPr>
  </w:style>
  <w:style w:type="character" w:styleId="PageNumber">
    <w:name w:val="page number"/>
    <w:aliases w:val="7_G"/>
    <w:basedOn w:val="DefaultParagraphFont"/>
    <w:qFormat/>
    <w:rsid w:val="00023842"/>
    <w:rPr>
      <w:rFonts w:ascii="Times New Roman" w:hAnsi="Times New Roman"/>
      <w:b/>
      <w:sz w:val="18"/>
      <w:lang w:val="fr-CH"/>
    </w:rPr>
  </w:style>
  <w:style w:type="paragraph" w:styleId="BalloonText">
    <w:name w:val="Balloon Text"/>
    <w:basedOn w:val="Normal"/>
    <w:link w:val="BalloonTextChar"/>
    <w:semiHidden/>
    <w:unhideWhenUsed/>
    <w:rsid w:val="00A12E20"/>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A12E20"/>
    <w:rPr>
      <w:rFonts w:ascii="Tahoma" w:eastAsia="Times New Roman"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www.undp.org/content/dam/undp/library/corporate/HDR/HDR%202015/HumanDevelopmentReport_EN.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Templates\A_HR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71642A7CC5F6245ACA3FF0368802392" ma:contentTypeVersion="1" ma:contentTypeDescription="Create a new document." ma:contentTypeScope="" ma:versionID="3cc5c0ec787c8d209a030485571ab702">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833425E-B2EB-4856-B41E-38E3C5C847C9}"/>
</file>

<file path=customXml/itemProps2.xml><?xml version="1.0" encoding="utf-8"?>
<ds:datastoreItem xmlns:ds="http://schemas.openxmlformats.org/officeDocument/2006/customXml" ds:itemID="{664E11FB-B836-4CF1-8553-3DAD8D689DDD}"/>
</file>

<file path=customXml/itemProps3.xml><?xml version="1.0" encoding="utf-8"?>
<ds:datastoreItem xmlns:ds="http://schemas.openxmlformats.org/officeDocument/2006/customXml" ds:itemID="{FE063D04-48E7-4E9B-9690-E015446A15AD}"/>
</file>

<file path=customXml/itemProps4.xml><?xml version="1.0" encoding="utf-8"?>
<ds:datastoreItem xmlns:ds="http://schemas.openxmlformats.org/officeDocument/2006/customXml" ds:itemID="{05576150-7A23-4E21-AE59-78D974B7D18A}"/>
</file>

<file path=docProps/app.xml><?xml version="1.0" encoding="utf-8"?>
<Properties xmlns="http://schemas.openxmlformats.org/officeDocument/2006/extended-properties" xmlns:vt="http://schemas.openxmlformats.org/officeDocument/2006/docPropsVTypes">
  <Template>A_HRC.dotm</Template>
  <TotalTime>0</TotalTime>
  <Pages>20</Pages>
  <Words>9943</Words>
  <Characters>56680</Characters>
  <Application>Microsoft Office Word</Application>
  <DocSecurity>0</DocSecurity>
  <Lines>472</Lines>
  <Paragraphs>132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A/HRC/34/73</vt:lpstr>
      <vt:lpstr>A/HRC/34/73</vt:lpstr>
    </vt:vector>
  </TitlesOfParts>
  <Company>DCM</Company>
  <LinksUpToDate>false</LinksUpToDate>
  <CharactersWithSpaces>66491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Independent Expert on the situation of human rights in Haiti in English</dc:title>
  <dc:creator>Nath V.</dc:creator>
  <cp:lastModifiedBy>Iuliia Somova</cp:lastModifiedBy>
  <cp:revision>2</cp:revision>
  <dcterms:created xsi:type="dcterms:W3CDTF">2017-03-08T09:27:00Z</dcterms:created>
  <dcterms:modified xsi:type="dcterms:W3CDTF">2017-03-08T09:27:00Z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0x010100271642A7CC5F6245ACA3FF0368802392</vt:lpwstr>
  </property>
  <property fmtid="{D5CDD505-2E9C-101B-9397-08002B2CF9AE}" pid="3" name="Order">
    <vt:r8>6500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