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2568F4" w:rsidP="002568F4">
            <w:pPr>
              <w:spacing w:after="20" w:line="240" w:lineRule="atLeast"/>
              <w:jc w:val="right"/>
            </w:pPr>
            <w:r w:rsidRPr="002568F4">
              <w:rPr>
                <w:sz w:val="40"/>
              </w:rPr>
              <w:t>A</w:t>
            </w:r>
            <w:r>
              <w:t>/HRC/35/19</w:t>
            </w:r>
          </w:p>
        </w:tc>
      </w:tr>
      <w:tr w:rsidR="00E52109">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D771D1"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2568F4" w:rsidP="002568F4">
            <w:pPr>
              <w:spacing w:before="240" w:line="240" w:lineRule="exact"/>
            </w:pPr>
            <w:r>
              <w:t>Distr.: General</w:t>
            </w:r>
          </w:p>
          <w:p w:rsidR="002568F4" w:rsidRDefault="00F07140" w:rsidP="002568F4">
            <w:r>
              <w:t>12</w:t>
            </w:r>
            <w:r w:rsidR="009C6977">
              <w:t xml:space="preserve"> </w:t>
            </w:r>
            <w:r w:rsidR="002568F4">
              <w:t>June 2017</w:t>
            </w:r>
          </w:p>
          <w:p w:rsidR="002568F4" w:rsidRDefault="002568F4" w:rsidP="002568F4"/>
          <w:p w:rsidR="002568F4" w:rsidRDefault="002568F4" w:rsidP="002568F4">
            <w:pPr>
              <w:spacing w:line="240" w:lineRule="atLeast"/>
            </w:pPr>
            <w:r>
              <w:t>Original: English</w:t>
            </w:r>
          </w:p>
        </w:tc>
      </w:tr>
    </w:tbl>
    <w:p w:rsidR="008479F5" w:rsidRPr="00AC5D9B" w:rsidRDefault="008479F5">
      <w:pPr>
        <w:spacing w:before="120"/>
        <w:rPr>
          <w:b/>
          <w:sz w:val="24"/>
          <w:szCs w:val="24"/>
        </w:rPr>
      </w:pPr>
      <w:r>
        <w:rPr>
          <w:b/>
          <w:sz w:val="24"/>
          <w:szCs w:val="24"/>
        </w:rPr>
        <w:t>Human Rights Council</w:t>
      </w:r>
    </w:p>
    <w:p w:rsidR="00D92CFD" w:rsidRPr="00D92CFD" w:rsidRDefault="00D92CFD" w:rsidP="00D92CFD">
      <w:pPr>
        <w:rPr>
          <w:b/>
        </w:rPr>
      </w:pPr>
      <w:r w:rsidRPr="00D92CFD">
        <w:rPr>
          <w:b/>
        </w:rPr>
        <w:t xml:space="preserve">Thirty-fifth </w:t>
      </w:r>
      <w:proofErr w:type="gramStart"/>
      <w:r w:rsidRPr="00D92CFD">
        <w:rPr>
          <w:b/>
        </w:rPr>
        <w:t>session</w:t>
      </w:r>
      <w:proofErr w:type="gramEnd"/>
      <w:r w:rsidRPr="00D92CFD">
        <w:rPr>
          <w:b/>
        </w:rPr>
        <w:t xml:space="preserve"> </w:t>
      </w:r>
    </w:p>
    <w:p w:rsidR="00D92CFD" w:rsidRPr="00437DBA" w:rsidRDefault="00D92CFD" w:rsidP="00D92CFD">
      <w:r w:rsidRPr="00437DBA">
        <w:t>6-23 June 2017</w:t>
      </w:r>
    </w:p>
    <w:p w:rsidR="00D92CFD" w:rsidRPr="00437DBA" w:rsidRDefault="00D92CFD" w:rsidP="00D92CFD">
      <w:r w:rsidRPr="00437DBA">
        <w:t>Agenda items 2 and 7</w:t>
      </w:r>
    </w:p>
    <w:p w:rsidR="00D92CFD" w:rsidRPr="00D92CFD" w:rsidRDefault="00D92CFD" w:rsidP="00D92CFD">
      <w:pPr>
        <w:rPr>
          <w:b/>
        </w:rPr>
      </w:pPr>
      <w:r w:rsidRPr="00D92CFD">
        <w:rPr>
          <w:b/>
        </w:rPr>
        <w:t xml:space="preserve">Annual report of the United Nations High Commissioner </w:t>
      </w:r>
    </w:p>
    <w:p w:rsidR="00D92CFD" w:rsidRPr="00D92CFD" w:rsidRDefault="00D92CFD" w:rsidP="00D92CFD">
      <w:pPr>
        <w:rPr>
          <w:b/>
        </w:rPr>
      </w:pPr>
      <w:proofErr w:type="gramStart"/>
      <w:r w:rsidRPr="00D92CFD">
        <w:rPr>
          <w:b/>
        </w:rPr>
        <w:t>for</w:t>
      </w:r>
      <w:proofErr w:type="gramEnd"/>
      <w:r w:rsidRPr="00D92CFD">
        <w:rPr>
          <w:b/>
        </w:rPr>
        <w:t xml:space="preserve"> Human Rights and reports of the Office of the</w:t>
      </w:r>
    </w:p>
    <w:p w:rsidR="00D92CFD" w:rsidRPr="00D92CFD" w:rsidRDefault="00D92CFD" w:rsidP="00D92CFD">
      <w:pPr>
        <w:rPr>
          <w:b/>
        </w:rPr>
      </w:pPr>
      <w:r w:rsidRPr="00D92CFD">
        <w:rPr>
          <w:b/>
        </w:rPr>
        <w:t xml:space="preserve">High Commissioner and the Secretary-General </w:t>
      </w:r>
    </w:p>
    <w:p w:rsidR="00D92CFD" w:rsidRPr="00D92CFD" w:rsidRDefault="00D92CFD" w:rsidP="00D92CFD">
      <w:pPr>
        <w:spacing w:before="120"/>
        <w:rPr>
          <w:b/>
        </w:rPr>
      </w:pPr>
      <w:r w:rsidRPr="00D92CFD">
        <w:rPr>
          <w:b/>
        </w:rPr>
        <w:t xml:space="preserve">Human rights situation in Palestine and other </w:t>
      </w:r>
      <w:r w:rsidR="00E309BD">
        <w:rPr>
          <w:b/>
        </w:rPr>
        <w:br/>
      </w:r>
      <w:r w:rsidRPr="00D92CFD">
        <w:rPr>
          <w:b/>
        </w:rPr>
        <w:t>occupied Arab territories</w:t>
      </w:r>
    </w:p>
    <w:p w:rsidR="00D92CFD" w:rsidRPr="00437DBA" w:rsidRDefault="00D92CFD" w:rsidP="00D92CFD">
      <w:pPr>
        <w:pStyle w:val="HChG"/>
      </w:pPr>
      <w:r w:rsidRPr="00437DBA">
        <w:tab/>
      </w:r>
      <w:r w:rsidRPr="00437DBA">
        <w:tab/>
      </w:r>
      <w:bookmarkStart w:id="1" w:name="_Toc484690563"/>
      <w:bookmarkStart w:id="2" w:name="_Toc484792626"/>
      <w:r w:rsidRPr="00437DBA">
        <w:t>Ensuring accountability and justice for all violations of international law in the Occupied Palestinian Territory, including East Jerusalem: comprehensive review on the status of recommendations addressed to all parties since 2009</w:t>
      </w:r>
      <w:bookmarkEnd w:id="1"/>
      <w:bookmarkEnd w:id="2"/>
    </w:p>
    <w:p w:rsidR="00D92CFD" w:rsidRPr="00437DBA" w:rsidRDefault="00D92CFD" w:rsidP="00D92CFD">
      <w:pPr>
        <w:pStyle w:val="H1G"/>
      </w:pPr>
      <w:r w:rsidRPr="00437DBA">
        <w:tab/>
      </w:r>
      <w:r w:rsidRPr="00437DBA">
        <w:tab/>
      </w:r>
      <w:bookmarkStart w:id="3" w:name="_Toc484690564"/>
      <w:bookmarkStart w:id="4" w:name="_Toc484792627"/>
      <w:r w:rsidRPr="00437DBA">
        <w:t xml:space="preserve">Report of the United Nations High Commissioner </w:t>
      </w:r>
      <w:r w:rsidR="00E309BD">
        <w:br/>
      </w:r>
      <w:r w:rsidRPr="00437DBA">
        <w:t>for Human Rights</w:t>
      </w:r>
      <w:r w:rsidRPr="00B13294">
        <w:rPr>
          <w:rStyle w:val="FootnoteReference"/>
          <w:b w:val="0"/>
          <w:sz w:val="20"/>
          <w:vertAlign w:val="baseline"/>
        </w:rPr>
        <w:footnoteReference w:customMarkFollows="1" w:id="2"/>
        <w:t>*</w:t>
      </w:r>
      <w:r w:rsidR="00B13294" w:rsidRPr="00B13294">
        <w:rPr>
          <w:b w:val="0"/>
          <w:position w:val="8"/>
          <w:sz w:val="20"/>
        </w:rPr>
        <w:t>,</w:t>
      </w:r>
      <w:r w:rsidR="00D32E5E">
        <w:rPr>
          <w:b w:val="0"/>
          <w:position w:val="8"/>
          <w:sz w:val="20"/>
        </w:rPr>
        <w:t xml:space="preserve"> </w:t>
      </w:r>
      <w:r w:rsidRPr="00B13294">
        <w:rPr>
          <w:rStyle w:val="FootnoteReference"/>
          <w:b w:val="0"/>
          <w:sz w:val="20"/>
          <w:vertAlign w:val="baseline"/>
        </w:rPr>
        <w:footnoteReference w:customMarkFollows="1" w:id="3"/>
        <w:t>**</w:t>
      </w:r>
      <w:bookmarkEnd w:id="3"/>
      <w:bookmarkEnd w:id="4"/>
    </w:p>
    <w:tbl>
      <w:tblPr>
        <w:tblStyle w:val="TableGrid"/>
        <w:tblW w:w="0" w:type="auto"/>
        <w:jc w:val="center"/>
        <w:tblLook w:val="05E0" w:firstRow="1" w:lastRow="1" w:firstColumn="1" w:lastColumn="1" w:noHBand="0" w:noVBand="1"/>
      </w:tblPr>
      <w:tblGrid>
        <w:gridCol w:w="9637"/>
      </w:tblGrid>
      <w:tr w:rsidR="00D92CFD">
        <w:trPr>
          <w:jc w:val="center"/>
        </w:trPr>
        <w:tc>
          <w:tcPr>
            <w:tcW w:w="9637" w:type="dxa"/>
            <w:tcBorders>
              <w:bottom w:val="nil"/>
            </w:tcBorders>
          </w:tcPr>
          <w:p w:rsidR="00D92CFD" w:rsidRPr="00D92CFD" w:rsidRDefault="00D92CFD" w:rsidP="00D92CFD">
            <w:pPr>
              <w:tabs>
                <w:tab w:val="left" w:pos="255"/>
              </w:tabs>
              <w:suppressAutoHyphens w:val="0"/>
              <w:spacing w:before="240" w:after="120" w:line="240" w:lineRule="atLeast"/>
              <w:rPr>
                <w:sz w:val="24"/>
              </w:rPr>
            </w:pPr>
            <w:r>
              <w:tab/>
            </w:r>
            <w:r>
              <w:rPr>
                <w:i/>
                <w:sz w:val="24"/>
              </w:rPr>
              <w:t>Summary</w:t>
            </w:r>
          </w:p>
        </w:tc>
      </w:tr>
      <w:tr w:rsidR="00D92CFD">
        <w:trPr>
          <w:jc w:val="center"/>
        </w:trPr>
        <w:tc>
          <w:tcPr>
            <w:tcW w:w="9637" w:type="dxa"/>
            <w:tcBorders>
              <w:top w:val="nil"/>
              <w:bottom w:val="nil"/>
            </w:tcBorders>
            <w:shd w:val="clear" w:color="auto" w:fill="auto"/>
          </w:tcPr>
          <w:p w:rsidR="00D92CFD" w:rsidRDefault="009C6977" w:rsidP="00D92CFD">
            <w:pPr>
              <w:pStyle w:val="SingleTxtG"/>
            </w:pPr>
            <w:r>
              <w:tab/>
            </w:r>
            <w:r w:rsidRPr="009C6977">
              <w:t>The present report is submitted pursuant to Human Rights Council resolution 31/35, and details the status of implementation of the recommendations addressed to all parties since 2009 by the relevant Human Rights Council mechanisms, namely previous fact-finding missions, the commission of inquiry and special procedures, and by United Nations treaty bodies, the Office of the United Nations High Commissioner for Human Rights and the Secretary-General in their reports to the Human Rights Council. The report identifies patterns of cooperation, compliance and implementation, and proposes follow-up measures to ensure implementation.</w:t>
            </w:r>
          </w:p>
        </w:tc>
      </w:tr>
      <w:tr w:rsidR="00D92CFD">
        <w:trPr>
          <w:jc w:val="center"/>
        </w:trPr>
        <w:tc>
          <w:tcPr>
            <w:tcW w:w="9637" w:type="dxa"/>
            <w:tcBorders>
              <w:top w:val="nil"/>
            </w:tcBorders>
          </w:tcPr>
          <w:p w:rsidR="00D92CFD" w:rsidRDefault="00D92CFD" w:rsidP="00D92CFD">
            <w:pPr>
              <w:suppressAutoHyphens w:val="0"/>
              <w:spacing w:line="240" w:lineRule="atLeast"/>
            </w:pPr>
          </w:p>
        </w:tc>
      </w:tr>
    </w:tbl>
    <w:p w:rsidR="009C6977" w:rsidRPr="002D136D" w:rsidRDefault="009C6977" w:rsidP="002D136D">
      <w:pPr>
        <w:pStyle w:val="HChG"/>
      </w:pPr>
      <w:r w:rsidRPr="00890D67">
        <w:br w:type="page"/>
      </w:r>
      <w:r w:rsidRPr="002D136D">
        <w:lastRenderedPageBreak/>
        <w:tab/>
      </w:r>
      <w:bookmarkStart w:id="5" w:name="_Toc484690565"/>
      <w:bookmarkStart w:id="6" w:name="_Toc484792628"/>
      <w:r w:rsidRPr="002D136D">
        <w:t>I.</w:t>
      </w:r>
      <w:r w:rsidRPr="002D136D">
        <w:tab/>
        <w:t>Introduction</w:t>
      </w:r>
      <w:bookmarkEnd w:id="5"/>
      <w:bookmarkEnd w:id="6"/>
    </w:p>
    <w:p w:rsidR="009C6977" w:rsidRPr="00437DBA" w:rsidRDefault="009C6977" w:rsidP="00B13294">
      <w:pPr>
        <w:pStyle w:val="SingleTxtG"/>
      </w:pPr>
      <w:r w:rsidRPr="00437DBA">
        <w:t>1.</w:t>
      </w:r>
      <w:r w:rsidRPr="00437DBA">
        <w:tab/>
        <w:t xml:space="preserve">The present report of the United Nations High Commissioner for Human Rights is submitted pursuant to resolution 31/35, adopted by the Human Rights Council on 24 March 2016. In operative paragraph 8, the Council requested the High Commissioner to conduct </w:t>
      </w:r>
      <w:r>
        <w:t>“</w:t>
      </w:r>
      <w:r w:rsidRPr="00437DBA">
        <w:t>a comprehensive review detailing the status of implementation of the recommendations addressed to all parties since 2009 by the relevant Human Rights Council mechanisms, namely previous fact-finding missions, the commission of inquiry and special procedures, and by United Nations treaty bodies, the Office of the High Commissioner and the Secretary-General in his reports to the Human Rights Council, and to identify patterns of non-compliance, non-implementation and non-cooperation, to propose follow-up measures to ensure implementation</w:t>
      </w:r>
      <w:r w:rsidR="00B13294">
        <w:t xml:space="preserve"> </w:t>
      </w:r>
      <w:r w:rsidRPr="00437DBA">
        <w:t>…</w:t>
      </w:r>
      <w:r>
        <w:t>”</w:t>
      </w:r>
    </w:p>
    <w:p w:rsidR="009C6977" w:rsidRPr="00437DBA" w:rsidRDefault="009C6977" w:rsidP="00B13294">
      <w:pPr>
        <w:pStyle w:val="SingleTxtG"/>
      </w:pPr>
      <w:r w:rsidRPr="00437DBA">
        <w:t>2.</w:t>
      </w:r>
      <w:r w:rsidRPr="00437DBA">
        <w:tab/>
        <w:t>During the thirty-fourth session of the Human Rights Council, the High Commissioner provided an oral update on the progress that had been made on the review. Since 2009, over 900 recommendations have been formulated to improve the human rights situation in the Occupied Palestinian Territory. Most of the recommendations have been addressed to Israel, but some have been addressed to the Government of the State of Palestine and other Palestinian duty bearers,</w:t>
      </w:r>
      <w:r w:rsidRPr="009C6977">
        <w:rPr>
          <w:rStyle w:val="FootnoteReference"/>
        </w:rPr>
        <w:footnoteReference w:id="4"/>
      </w:r>
      <w:r w:rsidRPr="00437DBA">
        <w:t xml:space="preserve"> as well as to the United Nations, States members of the United Nations, businesses, civil society and the international community. </w:t>
      </w:r>
    </w:p>
    <w:p w:rsidR="009C6977" w:rsidRPr="00437DBA" w:rsidRDefault="009C6977" w:rsidP="00B13294">
      <w:pPr>
        <w:pStyle w:val="SingleTxtG"/>
      </w:pPr>
      <w:r w:rsidRPr="00437DBA">
        <w:t>3.</w:t>
      </w:r>
      <w:r w:rsidRPr="00437DBA">
        <w:tab/>
        <w:t xml:space="preserve">In accordance with Human Rights Council resolution 31/35, the present review attempts to illustrate the extent of implementation of these recommendations, including compliance with international law and cooperation with human rights mechanisms. The concluding sections identify patterns and propose measures to help implementation. </w:t>
      </w:r>
    </w:p>
    <w:p w:rsidR="009C6977" w:rsidRPr="00437DBA" w:rsidRDefault="009C6977" w:rsidP="00B13294">
      <w:pPr>
        <w:pStyle w:val="SingleTxtG"/>
      </w:pPr>
      <w:r w:rsidRPr="00437DBA">
        <w:t>4.</w:t>
      </w:r>
      <w:r w:rsidRPr="00437DBA">
        <w:tab/>
        <w:t>The presentation of the report coincides with the fiftieth year of Israeli occupation and the long-standing denial of the Palestinian people</w:t>
      </w:r>
      <w:r>
        <w:t>’</w:t>
      </w:r>
      <w:r w:rsidRPr="00437DBA">
        <w:t xml:space="preserve">s right to self-determination. In its 2004 advisory opinion on the legal consequences on the construction of a wall in the Occupied Palestinian Territory, the International Court of Justice recalled that </w:t>
      </w:r>
      <w:r>
        <w:t>“</w:t>
      </w:r>
      <w:r w:rsidRPr="00E03ABF">
        <w:t>the principle of self-determination of peoples has been enshrined in the United Nations Charter</w:t>
      </w:r>
      <w:r>
        <w:t>”</w:t>
      </w:r>
      <w:r w:rsidRPr="00437DBA">
        <w:t>.</w:t>
      </w:r>
      <w:r w:rsidRPr="009C6977">
        <w:rPr>
          <w:rStyle w:val="FootnoteReference"/>
        </w:rPr>
        <w:footnoteReference w:id="5"/>
      </w:r>
      <w:r w:rsidRPr="00437DBA">
        <w:t xml:space="preserve"> It referred to General Assembly resolution 2625 (XXV), in which it was noted that </w:t>
      </w:r>
      <w:r>
        <w:t>“</w:t>
      </w:r>
      <w:r w:rsidRPr="00E03ABF">
        <w:t>every State has the duty to refrain from any forcible action which deprives peoples</w:t>
      </w:r>
      <w:r w:rsidR="0068200A">
        <w:t xml:space="preserve"> </w:t>
      </w:r>
      <w:r w:rsidRPr="00E03ABF">
        <w:t xml:space="preserve">… of their right </w:t>
      </w:r>
      <w:r w:rsidRPr="00437DBA">
        <w:t>to</w:t>
      </w:r>
      <w:r w:rsidRPr="00E03ABF">
        <w:t xml:space="preserve"> self-determination</w:t>
      </w:r>
      <w:r>
        <w:t>”</w:t>
      </w:r>
      <w:r w:rsidRPr="00437DBA">
        <w:t>.</w:t>
      </w:r>
      <w:r w:rsidRPr="009C6977">
        <w:rPr>
          <w:rStyle w:val="FootnoteReference"/>
        </w:rPr>
        <w:footnoteReference w:id="6"/>
      </w:r>
      <w:r w:rsidRPr="00437DBA">
        <w:t xml:space="preserve"> The Court also referred to the article 1 that is common both to the International Covenant on Economic, Social and Cultural Rights and to the International Covenant on Civil and Political Rights, which reaffirms the right of all peoples to self-determination.</w:t>
      </w:r>
      <w:r w:rsidRPr="009C6977">
        <w:rPr>
          <w:rStyle w:val="FootnoteReference"/>
        </w:rPr>
        <w:footnoteReference w:id="7"/>
      </w:r>
      <w:r w:rsidRPr="00437DBA">
        <w:t xml:space="preserve"> The Court reiterated that </w:t>
      </w:r>
      <w:r>
        <w:t>“</w:t>
      </w:r>
      <w:r w:rsidRPr="00E03ABF">
        <w:t>the right of peoples to self-determination is</w:t>
      </w:r>
      <w:r w:rsidR="00B13294">
        <w:t xml:space="preserve"> </w:t>
      </w:r>
      <w:r w:rsidRPr="00E03ABF">
        <w:t xml:space="preserve">… </w:t>
      </w:r>
      <w:proofErr w:type="spellStart"/>
      <w:r w:rsidRPr="00467B84">
        <w:rPr>
          <w:i/>
        </w:rPr>
        <w:t>erga</w:t>
      </w:r>
      <w:proofErr w:type="spellEnd"/>
      <w:r w:rsidRPr="00467B84">
        <w:rPr>
          <w:i/>
        </w:rPr>
        <w:t xml:space="preserve"> </w:t>
      </w:r>
      <w:proofErr w:type="spellStart"/>
      <w:r w:rsidRPr="00467B84">
        <w:rPr>
          <w:i/>
        </w:rPr>
        <w:t>omnes</w:t>
      </w:r>
      <w:proofErr w:type="spellEnd"/>
      <w:r>
        <w:t>”</w:t>
      </w:r>
      <w:r w:rsidRPr="00437DBA">
        <w:t>.</w:t>
      </w:r>
      <w:r w:rsidRPr="009C6977">
        <w:rPr>
          <w:rStyle w:val="FootnoteReference"/>
        </w:rPr>
        <w:footnoteReference w:id="8"/>
      </w:r>
    </w:p>
    <w:p w:rsidR="009C6977" w:rsidRPr="00437DBA" w:rsidRDefault="009C6977" w:rsidP="00B13294">
      <w:pPr>
        <w:pStyle w:val="HChG"/>
      </w:pPr>
      <w:r w:rsidRPr="00437DBA">
        <w:tab/>
      </w:r>
      <w:bookmarkStart w:id="7" w:name="_Toc484690566"/>
      <w:bookmarkStart w:id="8" w:name="_Toc484792629"/>
      <w:r w:rsidRPr="00437DBA">
        <w:t>II.</w:t>
      </w:r>
      <w:r w:rsidRPr="00437DBA">
        <w:tab/>
        <w:t>Scope of the review and methodology used</w:t>
      </w:r>
      <w:bookmarkEnd w:id="7"/>
      <w:bookmarkEnd w:id="8"/>
    </w:p>
    <w:p w:rsidR="009C6977" w:rsidRPr="00437DBA" w:rsidRDefault="009C6977" w:rsidP="00B13294">
      <w:pPr>
        <w:pStyle w:val="SingleTxtG"/>
      </w:pPr>
      <w:r w:rsidRPr="00437DBA">
        <w:t>5.</w:t>
      </w:r>
      <w:r w:rsidRPr="00437DBA">
        <w:tab/>
        <w:t>The present report reviews recommendations made between 2009 and 2016 by human rights mechanisms and offices enumerated in resolution 31/35.</w:t>
      </w:r>
      <w:r w:rsidRPr="009C6977">
        <w:rPr>
          <w:rStyle w:val="FootnoteReference"/>
        </w:rPr>
        <w:footnoteReference w:id="9"/>
      </w:r>
      <w:r w:rsidRPr="00437DBA">
        <w:t xml:space="preserve"> To fulfil the requirement of a comprehensive review, requested in the resolution, the reports on the universal periodic reviews of Israel, issued in 2009 and 2013,</w:t>
      </w:r>
      <w:r w:rsidRPr="009C6977">
        <w:rPr>
          <w:rStyle w:val="FootnoteReference"/>
        </w:rPr>
        <w:footnoteReference w:id="10"/>
      </w:r>
      <w:r w:rsidRPr="00437DBA">
        <w:t xml:space="preserve"> have been referenced.</w:t>
      </w:r>
      <w:r w:rsidRPr="009C6977">
        <w:rPr>
          <w:rStyle w:val="FootnoteReference"/>
        </w:rPr>
        <w:footnoteReference w:id="11"/>
      </w:r>
    </w:p>
    <w:p w:rsidR="009C6977" w:rsidRPr="00437DBA" w:rsidRDefault="009C6977" w:rsidP="00B13294">
      <w:pPr>
        <w:pStyle w:val="SingleTxtG"/>
      </w:pPr>
      <w:r w:rsidRPr="00437DBA">
        <w:t>6.</w:t>
      </w:r>
      <w:r w:rsidRPr="00437DBA">
        <w:tab/>
        <w:t>Most of the reports containing the recommendations under review have been presented before the Human Rights Council. However, where a body specified in paragraph</w:t>
      </w:r>
      <w:r w:rsidR="007040E9">
        <w:t xml:space="preserve"> </w:t>
      </w:r>
      <w:r w:rsidRPr="00437DBA">
        <w:t>8 of resolution 31/35 also reports to the General Assembly,</w:t>
      </w:r>
      <w:r w:rsidRPr="009C6977">
        <w:rPr>
          <w:rStyle w:val="FootnoteReference"/>
        </w:rPr>
        <w:footnoteReference w:id="12"/>
      </w:r>
      <w:r w:rsidRPr="00437DBA">
        <w:t xml:space="preserve"> these have also been included in the review. Similarly, as reports of the Secretary-General to the Human Rights Council typically stipulate that they are to be read in conjunction with reports to the General Assembly, these have also been reflected.</w:t>
      </w:r>
    </w:p>
    <w:p w:rsidR="009C6977" w:rsidRPr="00437DBA" w:rsidRDefault="009C6977" w:rsidP="00B13294">
      <w:pPr>
        <w:pStyle w:val="SingleTxtG"/>
      </w:pPr>
      <w:r w:rsidRPr="00437DBA">
        <w:t>7.</w:t>
      </w:r>
      <w:r w:rsidRPr="00437DBA">
        <w:tab/>
        <w:t>The individual assessment of the implementation of each recommendation is based on the most recent information</w:t>
      </w:r>
      <w:r w:rsidRPr="009C6977">
        <w:rPr>
          <w:rStyle w:val="FootnoteReference"/>
        </w:rPr>
        <w:footnoteReference w:id="13"/>
      </w:r>
      <w:r w:rsidRPr="00437DBA">
        <w:t xml:space="preserve"> found in United Nations reports and from official domestic sources, civil society information and other credible sources. </w:t>
      </w:r>
    </w:p>
    <w:p w:rsidR="009C6977" w:rsidRPr="00437DBA" w:rsidRDefault="009C6977" w:rsidP="00B13294">
      <w:pPr>
        <w:pStyle w:val="SingleTxtG"/>
      </w:pPr>
      <w:r w:rsidRPr="00437DBA">
        <w:t>8.</w:t>
      </w:r>
      <w:r w:rsidRPr="00437DBA">
        <w:tab/>
        <w:t xml:space="preserve">On 20 December 2016, the Office of the United Nations High Commissioner for Human Rights (OHCHR) addressed </w:t>
      </w:r>
      <w:r w:rsidRPr="00E03ABF">
        <w:t xml:space="preserve">notes </w:t>
      </w:r>
      <w:proofErr w:type="spellStart"/>
      <w:r w:rsidRPr="00E03ABF">
        <w:t>verbales</w:t>
      </w:r>
      <w:proofErr w:type="spellEnd"/>
      <w:r w:rsidRPr="00437DBA">
        <w:t xml:space="preserve"> to the Permanent Mission of Israel, and to the Permanent Observer Mission of the State of Palestine. The State of Palestine responded through n</w:t>
      </w:r>
      <w:r w:rsidRPr="00E03ABF">
        <w:t>ote</w:t>
      </w:r>
      <w:r w:rsidRPr="00437DBA">
        <w:t>s</w:t>
      </w:r>
      <w:r w:rsidRPr="00E03ABF">
        <w:t xml:space="preserve"> </w:t>
      </w:r>
      <w:proofErr w:type="spellStart"/>
      <w:r w:rsidRPr="00E03ABF">
        <w:t>verbale</w:t>
      </w:r>
      <w:r w:rsidRPr="00437DBA">
        <w:t>s</w:t>
      </w:r>
      <w:proofErr w:type="spellEnd"/>
      <w:r w:rsidRPr="00437DBA">
        <w:t xml:space="preserve"> on 21 December 2016 and 24 January 2017. To date, Israel has not officially responded. </w:t>
      </w:r>
    </w:p>
    <w:p w:rsidR="009C6977" w:rsidRPr="00437DBA" w:rsidRDefault="009C6977" w:rsidP="00B13294">
      <w:pPr>
        <w:pStyle w:val="SingleTxtG"/>
      </w:pPr>
      <w:r w:rsidRPr="00437DBA">
        <w:t>9.</w:t>
      </w:r>
      <w:r w:rsidRPr="00437DBA">
        <w:tab/>
        <w:t xml:space="preserve">The status of implementation of recommendations has been assessed in five categories: </w:t>
      </w:r>
      <w:r>
        <w:t>“</w:t>
      </w:r>
      <w:r w:rsidRPr="00437DBA">
        <w:t>implemented</w:t>
      </w:r>
      <w:r>
        <w:t>”</w:t>
      </w:r>
      <w:r w:rsidRPr="00437DBA">
        <w:t xml:space="preserve">, </w:t>
      </w:r>
      <w:r>
        <w:t>“</w:t>
      </w:r>
      <w:r w:rsidRPr="00437DBA">
        <w:t>partially implemented</w:t>
      </w:r>
      <w:r>
        <w:t>”</w:t>
      </w:r>
      <w:r w:rsidRPr="00437DBA">
        <w:t xml:space="preserve">, </w:t>
      </w:r>
      <w:r>
        <w:t>“</w:t>
      </w:r>
      <w:r w:rsidRPr="00437DBA">
        <w:t>unimplemented</w:t>
      </w:r>
      <w:r>
        <w:t>”</w:t>
      </w:r>
      <w:r w:rsidRPr="00437DBA">
        <w:t xml:space="preserve">, </w:t>
      </w:r>
      <w:r>
        <w:t>“</w:t>
      </w:r>
      <w:r w:rsidRPr="00437DBA">
        <w:t>closed or no longer applicable</w:t>
      </w:r>
      <w:r>
        <w:t>”</w:t>
      </w:r>
      <w:r w:rsidRPr="00437DBA">
        <w:t xml:space="preserve"> and </w:t>
      </w:r>
      <w:r>
        <w:t>“</w:t>
      </w:r>
      <w:r w:rsidRPr="00437DBA">
        <w:t>insufficient information</w:t>
      </w:r>
      <w:r>
        <w:t>”</w:t>
      </w:r>
      <w:r w:rsidRPr="00437DBA">
        <w:t>.</w:t>
      </w:r>
      <w:r w:rsidRPr="009C6977">
        <w:rPr>
          <w:rStyle w:val="FootnoteReference"/>
        </w:rPr>
        <w:footnoteReference w:id="14"/>
      </w:r>
    </w:p>
    <w:p w:rsidR="009C6977" w:rsidRPr="00437DBA" w:rsidRDefault="009C6977" w:rsidP="00B13294">
      <w:pPr>
        <w:pStyle w:val="SingleTxtG"/>
      </w:pPr>
      <w:r w:rsidRPr="00437DBA">
        <w:t>10.</w:t>
      </w:r>
      <w:r w:rsidRPr="00437DBA">
        <w:tab/>
        <w:t xml:space="preserve">Most recommendations are addressed to Israeli and Palestinian authorities, some to the United Nations and the international community, and a relatively small number to other stakeholders such as civil society and businesses. To ensure comprehensiveness, the analysis covers recommendations to all parties, including those that relate to the duties of Member States and High Contracting Parties to the Fourth Geneva Convention and those that relate to </w:t>
      </w:r>
      <w:proofErr w:type="spellStart"/>
      <w:r w:rsidRPr="001A2177">
        <w:rPr>
          <w:i/>
        </w:rPr>
        <w:t>erga</w:t>
      </w:r>
      <w:proofErr w:type="spellEnd"/>
      <w:r w:rsidRPr="00437DBA">
        <w:t xml:space="preserve"> </w:t>
      </w:r>
      <w:proofErr w:type="spellStart"/>
      <w:r w:rsidRPr="001A2177">
        <w:rPr>
          <w:i/>
        </w:rPr>
        <w:t>omnes</w:t>
      </w:r>
      <w:proofErr w:type="spellEnd"/>
      <w:r w:rsidRPr="00437DBA">
        <w:t xml:space="preserve"> obligations.</w:t>
      </w:r>
    </w:p>
    <w:p w:rsidR="009C6977" w:rsidRPr="00437DBA" w:rsidRDefault="009C6977" w:rsidP="00B13294">
      <w:pPr>
        <w:pStyle w:val="SingleTxtG"/>
      </w:pPr>
      <w:r w:rsidRPr="00437DBA">
        <w:t>11.</w:t>
      </w:r>
      <w:r w:rsidRPr="00437DBA">
        <w:tab/>
        <w:t xml:space="preserve">The review is limited to recommendations applicable to the Occupied Palestinian Territory, grouped under seven thematic areas, ordered according to the total number of recommendations dedicated to each, as follows: </w:t>
      </w:r>
    </w:p>
    <w:p w:rsidR="009C6977" w:rsidRPr="00437DBA" w:rsidRDefault="009C6977" w:rsidP="00202F66">
      <w:pPr>
        <w:pStyle w:val="Bullet1G"/>
      </w:pPr>
      <w:r w:rsidRPr="00437DBA">
        <w:t xml:space="preserve">Accountability and access to justice </w:t>
      </w:r>
    </w:p>
    <w:p w:rsidR="009C6977" w:rsidRPr="00437DBA" w:rsidRDefault="009C6977" w:rsidP="00202F66">
      <w:pPr>
        <w:pStyle w:val="Bullet1G"/>
      </w:pPr>
      <w:r w:rsidRPr="00437DBA">
        <w:t xml:space="preserve">International engagement </w:t>
      </w:r>
    </w:p>
    <w:p w:rsidR="009C6977" w:rsidRPr="00437DBA" w:rsidRDefault="009C6977" w:rsidP="00202F66">
      <w:pPr>
        <w:pStyle w:val="Bullet1G"/>
      </w:pPr>
      <w:r w:rsidRPr="00437DBA">
        <w:t>Arrest and detention</w:t>
      </w:r>
    </w:p>
    <w:p w:rsidR="009C6977" w:rsidRPr="00437DBA" w:rsidRDefault="009C6977" w:rsidP="00202F66">
      <w:pPr>
        <w:pStyle w:val="Bullet1G"/>
      </w:pPr>
      <w:r w:rsidRPr="00437DBA">
        <w:t xml:space="preserve">Settlements </w:t>
      </w:r>
    </w:p>
    <w:p w:rsidR="009C6977" w:rsidRPr="00437DBA" w:rsidRDefault="009C6977" w:rsidP="00202F66">
      <w:pPr>
        <w:pStyle w:val="Bullet1G"/>
      </w:pPr>
      <w:r w:rsidRPr="00437DBA">
        <w:t xml:space="preserve">Freedom of movement </w:t>
      </w:r>
    </w:p>
    <w:p w:rsidR="009C6977" w:rsidRPr="00437DBA" w:rsidRDefault="009C6977" w:rsidP="00202F66">
      <w:pPr>
        <w:pStyle w:val="Bullet1G"/>
      </w:pPr>
      <w:r w:rsidRPr="00437DBA">
        <w:t>Other civil and political rights</w:t>
      </w:r>
    </w:p>
    <w:p w:rsidR="009C6977" w:rsidRPr="00437DBA" w:rsidRDefault="009C6977" w:rsidP="00202F66">
      <w:pPr>
        <w:pStyle w:val="Bullet1G"/>
      </w:pPr>
      <w:r w:rsidRPr="00437DBA">
        <w:t xml:space="preserve">Economic, social and cultural rights </w:t>
      </w:r>
    </w:p>
    <w:p w:rsidR="009C6977" w:rsidRPr="00437DBA" w:rsidRDefault="009C6977" w:rsidP="00202F66">
      <w:pPr>
        <w:pStyle w:val="HChG"/>
      </w:pPr>
      <w:r w:rsidRPr="00437DBA">
        <w:tab/>
      </w:r>
      <w:bookmarkStart w:id="9" w:name="_Toc484690567"/>
      <w:bookmarkStart w:id="10" w:name="_Toc484792630"/>
      <w:r w:rsidRPr="00437DBA">
        <w:t>III.</w:t>
      </w:r>
      <w:r w:rsidRPr="00437DBA">
        <w:tab/>
        <w:t>Recommendations by type of mechanism or office</w:t>
      </w:r>
      <w:bookmarkEnd w:id="9"/>
      <w:bookmarkEnd w:id="10"/>
    </w:p>
    <w:p w:rsidR="009C6977" w:rsidRPr="00437DBA" w:rsidRDefault="009C6977" w:rsidP="00B13294">
      <w:pPr>
        <w:pStyle w:val="SingleTxtG"/>
      </w:pPr>
      <w:r w:rsidRPr="00437DBA">
        <w:t>12.</w:t>
      </w:r>
      <w:r w:rsidRPr="00437DBA">
        <w:tab/>
        <w:t>Out of the 929 recommendations reviewed,</w:t>
      </w:r>
      <w:r w:rsidRPr="009C6977">
        <w:rPr>
          <w:rStyle w:val="FootnoteReference"/>
        </w:rPr>
        <w:footnoteReference w:id="15"/>
      </w:r>
      <w:r w:rsidRPr="00437DBA">
        <w:t xml:space="preserve"> 773 fall within the mandated scope of the report and had their status of implementation appraised. Tables have been used throughout the report to provide an overview of the recommendations by report and by addressee and to illustrate their level of implementation. Where a certain category of implementation has not been applicable for the addressee (e.g. where none of the recommendations has been implemented or partially implemented), the corresponding column has been omitted from the table.</w:t>
      </w:r>
    </w:p>
    <w:p w:rsidR="009C6977" w:rsidRPr="00437DBA" w:rsidRDefault="009C6977" w:rsidP="00202F66">
      <w:pPr>
        <w:pStyle w:val="Heading1"/>
      </w:pPr>
      <w:bookmarkStart w:id="11" w:name="_Toc484690568"/>
      <w:bookmarkStart w:id="12" w:name="_Toc484792631"/>
      <w:r w:rsidRPr="00E03ABF">
        <w:t>Table 1</w:t>
      </w:r>
      <w:bookmarkEnd w:id="11"/>
      <w:bookmarkEnd w:id="12"/>
    </w:p>
    <w:p w:rsidR="009C6977" w:rsidRPr="00202F66" w:rsidRDefault="009C6977" w:rsidP="00B13294">
      <w:pPr>
        <w:pStyle w:val="SingleTxtG"/>
        <w:rPr>
          <w:b/>
        </w:rPr>
      </w:pPr>
      <w:r w:rsidRPr="00202F66">
        <w:rPr>
          <w:b/>
        </w:rPr>
        <w:t>Sources of recommendations</w:t>
      </w:r>
    </w:p>
    <w:tbl>
      <w:tblPr>
        <w:tblW w:w="8505"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435"/>
        <w:gridCol w:w="1178"/>
        <w:gridCol w:w="1178"/>
        <w:gridCol w:w="1179"/>
        <w:gridCol w:w="1178"/>
        <w:gridCol w:w="1178"/>
        <w:gridCol w:w="1179"/>
      </w:tblGrid>
      <w:tr w:rsidR="00606B9B" w:rsidRPr="00606B9B">
        <w:trPr>
          <w:trHeight w:val="240"/>
          <w:tblHeader/>
        </w:trPr>
        <w:tc>
          <w:tcPr>
            <w:tcW w:w="1435" w:type="dxa"/>
            <w:tcBorders>
              <w:top w:val="single" w:sz="4" w:space="0" w:color="auto"/>
              <w:bottom w:val="single" w:sz="12" w:space="0" w:color="auto"/>
            </w:tcBorders>
            <w:shd w:val="clear" w:color="auto" w:fill="auto"/>
            <w:vAlign w:val="bottom"/>
          </w:tcPr>
          <w:p w:rsidR="009C6977" w:rsidRPr="00606B9B" w:rsidRDefault="009C6977" w:rsidP="00606B9B">
            <w:pPr>
              <w:pStyle w:val="SingleTxtG"/>
              <w:spacing w:before="80" w:after="80" w:line="200" w:lineRule="exact"/>
              <w:ind w:left="0" w:right="113"/>
              <w:jc w:val="left"/>
              <w:rPr>
                <w:i/>
                <w:sz w:val="16"/>
              </w:rPr>
            </w:pPr>
          </w:p>
        </w:tc>
        <w:tc>
          <w:tcPr>
            <w:tcW w:w="1178" w:type="dxa"/>
            <w:tcBorders>
              <w:top w:val="single" w:sz="4" w:space="0" w:color="auto"/>
              <w:bottom w:val="single" w:sz="12" w:space="0" w:color="auto"/>
            </w:tcBorders>
            <w:shd w:val="clear" w:color="auto" w:fill="auto"/>
            <w:vAlign w:val="bottom"/>
          </w:tcPr>
          <w:p w:rsidR="009C6977" w:rsidRPr="00606B9B" w:rsidRDefault="009C6977" w:rsidP="00606B9B">
            <w:pPr>
              <w:pStyle w:val="SingleTxtG"/>
              <w:spacing w:before="80" w:after="80" w:line="200" w:lineRule="exact"/>
              <w:ind w:left="0" w:right="113"/>
              <w:jc w:val="right"/>
              <w:rPr>
                <w:i/>
                <w:sz w:val="16"/>
              </w:rPr>
            </w:pPr>
            <w:r w:rsidRPr="00606B9B">
              <w:rPr>
                <w:i/>
                <w:sz w:val="16"/>
              </w:rPr>
              <w:t>Secretary-General</w:t>
            </w:r>
          </w:p>
        </w:tc>
        <w:tc>
          <w:tcPr>
            <w:tcW w:w="1178" w:type="dxa"/>
            <w:tcBorders>
              <w:top w:val="single" w:sz="4" w:space="0" w:color="auto"/>
              <w:bottom w:val="single" w:sz="12" w:space="0" w:color="auto"/>
            </w:tcBorders>
            <w:shd w:val="clear" w:color="auto" w:fill="auto"/>
            <w:vAlign w:val="bottom"/>
          </w:tcPr>
          <w:p w:rsidR="009C6977" w:rsidRPr="00606B9B" w:rsidRDefault="009C6977" w:rsidP="00606B9B">
            <w:pPr>
              <w:pStyle w:val="SingleTxtG"/>
              <w:spacing w:before="80" w:after="80" w:line="200" w:lineRule="exact"/>
              <w:ind w:left="0" w:right="113"/>
              <w:jc w:val="right"/>
              <w:rPr>
                <w:i/>
                <w:sz w:val="16"/>
              </w:rPr>
            </w:pPr>
            <w:r w:rsidRPr="00606B9B">
              <w:rPr>
                <w:i/>
                <w:sz w:val="16"/>
              </w:rPr>
              <w:t>High Commissioner</w:t>
            </w:r>
          </w:p>
        </w:tc>
        <w:tc>
          <w:tcPr>
            <w:tcW w:w="1179" w:type="dxa"/>
            <w:tcBorders>
              <w:top w:val="single" w:sz="4" w:space="0" w:color="auto"/>
              <w:bottom w:val="single" w:sz="12" w:space="0" w:color="auto"/>
            </w:tcBorders>
            <w:shd w:val="clear" w:color="auto" w:fill="auto"/>
            <w:vAlign w:val="bottom"/>
          </w:tcPr>
          <w:p w:rsidR="009C6977" w:rsidRPr="00606B9B" w:rsidRDefault="009C6977" w:rsidP="00202F66">
            <w:pPr>
              <w:pStyle w:val="SingleTxtG"/>
              <w:spacing w:before="80" w:after="80" w:line="200" w:lineRule="exact"/>
              <w:ind w:left="0" w:right="113"/>
              <w:jc w:val="right"/>
              <w:rPr>
                <w:i/>
                <w:sz w:val="16"/>
              </w:rPr>
            </w:pPr>
            <w:r w:rsidRPr="00606B9B">
              <w:rPr>
                <w:i/>
                <w:sz w:val="16"/>
              </w:rPr>
              <w:t>Fact-finding missions/</w:t>
            </w:r>
            <w:r w:rsidR="003C0A49">
              <w:rPr>
                <w:i/>
                <w:sz w:val="16"/>
              </w:rPr>
              <w:br/>
            </w:r>
            <w:r w:rsidRPr="00606B9B">
              <w:rPr>
                <w:i/>
                <w:sz w:val="16"/>
              </w:rPr>
              <w:t>commissions of inquiry</w:t>
            </w:r>
          </w:p>
        </w:tc>
        <w:tc>
          <w:tcPr>
            <w:tcW w:w="1178" w:type="dxa"/>
            <w:tcBorders>
              <w:top w:val="single" w:sz="4" w:space="0" w:color="auto"/>
              <w:bottom w:val="single" w:sz="12" w:space="0" w:color="auto"/>
            </w:tcBorders>
            <w:shd w:val="clear" w:color="auto" w:fill="auto"/>
            <w:vAlign w:val="bottom"/>
          </w:tcPr>
          <w:p w:rsidR="009C6977" w:rsidRPr="00606B9B" w:rsidRDefault="009C6977" w:rsidP="00606B9B">
            <w:pPr>
              <w:pStyle w:val="SingleTxtG"/>
              <w:spacing w:before="80" w:after="80" w:line="200" w:lineRule="exact"/>
              <w:ind w:left="0" w:right="113"/>
              <w:jc w:val="right"/>
              <w:rPr>
                <w:i/>
                <w:sz w:val="16"/>
              </w:rPr>
            </w:pPr>
            <w:r w:rsidRPr="00606B9B">
              <w:rPr>
                <w:i/>
                <w:sz w:val="16"/>
              </w:rPr>
              <w:t>Special procedures</w:t>
            </w:r>
          </w:p>
        </w:tc>
        <w:tc>
          <w:tcPr>
            <w:tcW w:w="1178" w:type="dxa"/>
            <w:tcBorders>
              <w:top w:val="single" w:sz="4" w:space="0" w:color="auto"/>
              <w:bottom w:val="single" w:sz="12" w:space="0" w:color="auto"/>
            </w:tcBorders>
            <w:shd w:val="clear" w:color="auto" w:fill="auto"/>
            <w:vAlign w:val="bottom"/>
          </w:tcPr>
          <w:p w:rsidR="009C6977" w:rsidRPr="00606B9B" w:rsidRDefault="009C6977" w:rsidP="00606B9B">
            <w:pPr>
              <w:pStyle w:val="SingleTxtG"/>
              <w:spacing w:before="80" w:after="80" w:line="200" w:lineRule="exact"/>
              <w:ind w:left="0" w:right="113"/>
              <w:jc w:val="right"/>
              <w:rPr>
                <w:i/>
                <w:sz w:val="16"/>
              </w:rPr>
            </w:pPr>
            <w:r w:rsidRPr="00606B9B">
              <w:rPr>
                <w:i/>
                <w:sz w:val="16"/>
              </w:rPr>
              <w:t>Treaty bodies</w:t>
            </w:r>
          </w:p>
        </w:tc>
        <w:tc>
          <w:tcPr>
            <w:tcW w:w="1179" w:type="dxa"/>
            <w:tcBorders>
              <w:top w:val="single" w:sz="4" w:space="0" w:color="auto"/>
              <w:bottom w:val="single" w:sz="12" w:space="0" w:color="auto"/>
            </w:tcBorders>
            <w:shd w:val="clear" w:color="auto" w:fill="auto"/>
            <w:vAlign w:val="bottom"/>
          </w:tcPr>
          <w:p w:rsidR="009C6977" w:rsidRPr="00606B9B" w:rsidRDefault="009C6977" w:rsidP="00606B9B">
            <w:pPr>
              <w:pStyle w:val="SingleTxtG"/>
              <w:spacing w:before="80" w:after="80" w:line="200" w:lineRule="exact"/>
              <w:ind w:left="0" w:right="113"/>
              <w:jc w:val="right"/>
              <w:rPr>
                <w:i/>
                <w:sz w:val="16"/>
              </w:rPr>
            </w:pPr>
            <w:r w:rsidRPr="00606B9B">
              <w:rPr>
                <w:i/>
                <w:sz w:val="16"/>
              </w:rPr>
              <w:t>Total</w:t>
            </w:r>
          </w:p>
        </w:tc>
      </w:tr>
      <w:tr w:rsidR="00606B9B" w:rsidRPr="00606B9B">
        <w:trPr>
          <w:trHeight w:val="240"/>
        </w:trPr>
        <w:tc>
          <w:tcPr>
            <w:tcW w:w="1435" w:type="dxa"/>
            <w:tcBorders>
              <w:top w:val="single" w:sz="12" w:space="0" w:color="auto"/>
            </w:tcBorders>
            <w:shd w:val="clear" w:color="auto" w:fill="auto"/>
          </w:tcPr>
          <w:p w:rsidR="009C6977" w:rsidRPr="00606B9B" w:rsidRDefault="009C6977" w:rsidP="00606B9B">
            <w:pPr>
              <w:pStyle w:val="SingleTxtG"/>
              <w:spacing w:before="40" w:after="40" w:line="220" w:lineRule="exact"/>
              <w:ind w:left="0" w:right="113"/>
              <w:jc w:val="left"/>
              <w:rPr>
                <w:sz w:val="18"/>
              </w:rPr>
            </w:pPr>
            <w:r w:rsidRPr="00606B9B">
              <w:rPr>
                <w:sz w:val="18"/>
              </w:rPr>
              <w:t>Number of reports</w:t>
            </w:r>
          </w:p>
        </w:tc>
        <w:tc>
          <w:tcPr>
            <w:tcW w:w="1178"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22</w:t>
            </w:r>
          </w:p>
        </w:tc>
        <w:tc>
          <w:tcPr>
            <w:tcW w:w="1178"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8</w:t>
            </w:r>
          </w:p>
        </w:tc>
        <w:tc>
          <w:tcPr>
            <w:tcW w:w="1179"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3</w:t>
            </w:r>
          </w:p>
        </w:tc>
        <w:tc>
          <w:tcPr>
            <w:tcW w:w="1178"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21</w:t>
            </w:r>
          </w:p>
        </w:tc>
        <w:tc>
          <w:tcPr>
            <w:tcW w:w="1178"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10</w:t>
            </w:r>
          </w:p>
        </w:tc>
        <w:tc>
          <w:tcPr>
            <w:tcW w:w="1179"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64</w:t>
            </w:r>
          </w:p>
        </w:tc>
      </w:tr>
      <w:tr w:rsidR="00606B9B" w:rsidRPr="00606B9B">
        <w:trPr>
          <w:trHeight w:val="486"/>
        </w:trPr>
        <w:tc>
          <w:tcPr>
            <w:tcW w:w="1435" w:type="dxa"/>
            <w:shd w:val="clear" w:color="auto" w:fill="auto"/>
          </w:tcPr>
          <w:p w:rsidR="009C6977" w:rsidRPr="00606B9B" w:rsidRDefault="009C6977" w:rsidP="00606B9B">
            <w:pPr>
              <w:pStyle w:val="SingleTxtG"/>
              <w:spacing w:before="40" w:after="40" w:line="220" w:lineRule="exact"/>
              <w:ind w:left="0" w:right="113"/>
              <w:jc w:val="left"/>
              <w:rPr>
                <w:sz w:val="18"/>
              </w:rPr>
            </w:pPr>
            <w:r w:rsidRPr="00606B9B">
              <w:rPr>
                <w:sz w:val="18"/>
              </w:rPr>
              <w:t>Number of recommendations</w:t>
            </w:r>
          </w:p>
        </w:tc>
        <w:tc>
          <w:tcPr>
            <w:tcW w:w="1178"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143 (15%)</w:t>
            </w:r>
          </w:p>
        </w:tc>
        <w:tc>
          <w:tcPr>
            <w:tcW w:w="1178"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119 (13%)</w:t>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65 (7%)</w:t>
            </w:r>
          </w:p>
        </w:tc>
        <w:tc>
          <w:tcPr>
            <w:tcW w:w="1178"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191 (21%)</w:t>
            </w:r>
          </w:p>
        </w:tc>
        <w:tc>
          <w:tcPr>
            <w:tcW w:w="1178"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411 (44%)</w:t>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929</w:t>
            </w:r>
          </w:p>
        </w:tc>
      </w:tr>
    </w:tbl>
    <w:p w:rsidR="003C0A49" w:rsidRDefault="009C6977" w:rsidP="003C0A49">
      <w:pPr>
        <w:pStyle w:val="Heading1"/>
        <w:spacing w:before="240"/>
      </w:pPr>
      <w:bookmarkStart w:id="13" w:name="_Toc484792632"/>
      <w:bookmarkStart w:id="14" w:name="_Toc484690569"/>
      <w:r w:rsidRPr="00E03ABF">
        <w:t>Table 2</w:t>
      </w:r>
      <w:bookmarkEnd w:id="13"/>
    </w:p>
    <w:p w:rsidR="009C6977" w:rsidRPr="003C0A49" w:rsidRDefault="009C6977" w:rsidP="003C0A49">
      <w:pPr>
        <w:pStyle w:val="SingleTxtG"/>
        <w:rPr>
          <w:b/>
        </w:rPr>
      </w:pPr>
      <w:r w:rsidRPr="003C0A49">
        <w:rPr>
          <w:b/>
        </w:rPr>
        <w:t>Analysis of recommendations by party</w:t>
      </w:r>
      <w:bookmarkEnd w:id="14"/>
    </w:p>
    <w:tbl>
      <w:tblPr>
        <w:tblW w:w="8505"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428"/>
        <w:gridCol w:w="1179"/>
        <w:gridCol w:w="1180"/>
        <w:gridCol w:w="1179"/>
        <w:gridCol w:w="1180"/>
        <w:gridCol w:w="1179"/>
        <w:gridCol w:w="1180"/>
      </w:tblGrid>
      <w:tr w:rsidR="00606B9B" w:rsidRPr="00606B9B">
        <w:trPr>
          <w:tblHeader/>
        </w:trPr>
        <w:tc>
          <w:tcPr>
            <w:tcW w:w="1428" w:type="dxa"/>
            <w:tcBorders>
              <w:top w:val="single" w:sz="4" w:space="0" w:color="auto"/>
              <w:bottom w:val="single" w:sz="12" w:space="0" w:color="auto"/>
            </w:tcBorders>
            <w:shd w:val="clear" w:color="auto" w:fill="auto"/>
            <w:vAlign w:val="bottom"/>
          </w:tcPr>
          <w:p w:rsidR="009C6977" w:rsidRPr="00606B9B" w:rsidRDefault="009C6977" w:rsidP="00606B9B">
            <w:pPr>
              <w:pStyle w:val="SingleTxtG"/>
              <w:spacing w:before="80" w:after="80" w:line="200" w:lineRule="exact"/>
              <w:ind w:left="0" w:right="113"/>
              <w:jc w:val="left"/>
              <w:rPr>
                <w:i/>
                <w:sz w:val="16"/>
              </w:rPr>
            </w:pPr>
          </w:p>
        </w:tc>
        <w:tc>
          <w:tcPr>
            <w:tcW w:w="1179" w:type="dxa"/>
            <w:tcBorders>
              <w:top w:val="single" w:sz="4" w:space="0" w:color="auto"/>
              <w:bottom w:val="single" w:sz="12" w:space="0" w:color="auto"/>
            </w:tcBorders>
            <w:shd w:val="clear" w:color="auto" w:fill="auto"/>
            <w:vAlign w:val="bottom"/>
          </w:tcPr>
          <w:p w:rsidR="009C6977" w:rsidRPr="00606B9B" w:rsidRDefault="009C6977" w:rsidP="00606B9B">
            <w:pPr>
              <w:pStyle w:val="SingleTxtG"/>
              <w:spacing w:before="80" w:after="80" w:line="200" w:lineRule="exact"/>
              <w:ind w:left="0" w:right="113"/>
              <w:jc w:val="right"/>
              <w:rPr>
                <w:i/>
                <w:sz w:val="16"/>
              </w:rPr>
            </w:pPr>
            <w:r w:rsidRPr="00606B9B">
              <w:rPr>
                <w:i/>
                <w:sz w:val="16"/>
              </w:rPr>
              <w:t>Secretary-General</w:t>
            </w:r>
          </w:p>
        </w:tc>
        <w:tc>
          <w:tcPr>
            <w:tcW w:w="1180" w:type="dxa"/>
            <w:tcBorders>
              <w:top w:val="single" w:sz="4" w:space="0" w:color="auto"/>
              <w:bottom w:val="single" w:sz="12" w:space="0" w:color="auto"/>
            </w:tcBorders>
            <w:shd w:val="clear" w:color="auto" w:fill="auto"/>
            <w:vAlign w:val="bottom"/>
          </w:tcPr>
          <w:p w:rsidR="009C6977" w:rsidRPr="00606B9B" w:rsidRDefault="009C6977" w:rsidP="00606B9B">
            <w:pPr>
              <w:pStyle w:val="SingleTxtG"/>
              <w:spacing w:before="80" w:after="80" w:line="200" w:lineRule="exact"/>
              <w:ind w:left="0" w:right="113"/>
              <w:jc w:val="right"/>
              <w:rPr>
                <w:i/>
                <w:sz w:val="16"/>
              </w:rPr>
            </w:pPr>
            <w:r w:rsidRPr="00606B9B">
              <w:rPr>
                <w:i/>
                <w:sz w:val="16"/>
              </w:rPr>
              <w:t>High Commissioner</w:t>
            </w:r>
          </w:p>
        </w:tc>
        <w:tc>
          <w:tcPr>
            <w:tcW w:w="1179" w:type="dxa"/>
            <w:tcBorders>
              <w:top w:val="single" w:sz="4" w:space="0" w:color="auto"/>
              <w:bottom w:val="single" w:sz="12" w:space="0" w:color="auto"/>
            </w:tcBorders>
            <w:shd w:val="clear" w:color="auto" w:fill="auto"/>
            <w:vAlign w:val="bottom"/>
          </w:tcPr>
          <w:p w:rsidR="009C6977" w:rsidRPr="00606B9B" w:rsidRDefault="009C6977" w:rsidP="004604F3">
            <w:pPr>
              <w:pStyle w:val="SingleTxtG"/>
              <w:spacing w:before="80" w:after="80" w:line="200" w:lineRule="exact"/>
              <w:ind w:left="0" w:right="113"/>
              <w:jc w:val="right"/>
              <w:rPr>
                <w:i/>
                <w:sz w:val="16"/>
              </w:rPr>
            </w:pPr>
            <w:r w:rsidRPr="00606B9B">
              <w:rPr>
                <w:i/>
                <w:sz w:val="16"/>
              </w:rPr>
              <w:t>Fact-finding missions/</w:t>
            </w:r>
            <w:r w:rsidR="009118C1">
              <w:rPr>
                <w:i/>
                <w:sz w:val="16"/>
              </w:rPr>
              <w:br/>
            </w:r>
            <w:r w:rsidRPr="00606B9B">
              <w:rPr>
                <w:i/>
                <w:sz w:val="16"/>
              </w:rPr>
              <w:t>commissions of inquiry</w:t>
            </w:r>
          </w:p>
        </w:tc>
        <w:tc>
          <w:tcPr>
            <w:tcW w:w="1180" w:type="dxa"/>
            <w:tcBorders>
              <w:top w:val="single" w:sz="4" w:space="0" w:color="auto"/>
              <w:bottom w:val="single" w:sz="12" w:space="0" w:color="auto"/>
            </w:tcBorders>
            <w:shd w:val="clear" w:color="auto" w:fill="auto"/>
            <w:vAlign w:val="bottom"/>
          </w:tcPr>
          <w:p w:rsidR="009C6977" w:rsidRPr="00606B9B" w:rsidRDefault="009C6977" w:rsidP="00606B9B">
            <w:pPr>
              <w:pStyle w:val="SingleTxtG"/>
              <w:spacing w:before="80" w:after="80" w:line="200" w:lineRule="exact"/>
              <w:ind w:left="0" w:right="113"/>
              <w:jc w:val="right"/>
              <w:rPr>
                <w:i/>
                <w:sz w:val="16"/>
              </w:rPr>
            </w:pPr>
            <w:r w:rsidRPr="00606B9B">
              <w:rPr>
                <w:i/>
                <w:sz w:val="16"/>
              </w:rPr>
              <w:t>Special procedures</w:t>
            </w:r>
          </w:p>
        </w:tc>
        <w:tc>
          <w:tcPr>
            <w:tcW w:w="1179" w:type="dxa"/>
            <w:tcBorders>
              <w:top w:val="single" w:sz="4" w:space="0" w:color="auto"/>
              <w:bottom w:val="single" w:sz="12" w:space="0" w:color="auto"/>
            </w:tcBorders>
            <w:shd w:val="clear" w:color="auto" w:fill="auto"/>
            <w:vAlign w:val="bottom"/>
          </w:tcPr>
          <w:p w:rsidR="009C6977" w:rsidRPr="00606B9B" w:rsidRDefault="009C6977" w:rsidP="00606B9B">
            <w:pPr>
              <w:pStyle w:val="SingleTxtG"/>
              <w:spacing w:before="80" w:after="80" w:line="200" w:lineRule="exact"/>
              <w:ind w:left="0" w:right="113"/>
              <w:jc w:val="right"/>
              <w:rPr>
                <w:i/>
                <w:sz w:val="16"/>
              </w:rPr>
            </w:pPr>
            <w:r w:rsidRPr="00606B9B">
              <w:rPr>
                <w:i/>
                <w:sz w:val="16"/>
              </w:rPr>
              <w:t>Treaty bodies</w:t>
            </w:r>
          </w:p>
        </w:tc>
        <w:tc>
          <w:tcPr>
            <w:tcW w:w="1180" w:type="dxa"/>
            <w:tcBorders>
              <w:top w:val="single" w:sz="4" w:space="0" w:color="auto"/>
              <w:bottom w:val="single" w:sz="12" w:space="0" w:color="auto"/>
            </w:tcBorders>
            <w:shd w:val="clear" w:color="auto" w:fill="auto"/>
            <w:vAlign w:val="bottom"/>
          </w:tcPr>
          <w:p w:rsidR="009C6977" w:rsidRPr="00606B9B" w:rsidRDefault="009C6977" w:rsidP="00606B9B">
            <w:pPr>
              <w:pStyle w:val="SingleTxtG"/>
              <w:spacing w:before="80" w:after="80" w:line="200" w:lineRule="exact"/>
              <w:ind w:left="0" w:right="113"/>
              <w:jc w:val="right"/>
              <w:rPr>
                <w:i/>
                <w:sz w:val="16"/>
              </w:rPr>
            </w:pPr>
            <w:r w:rsidRPr="00606B9B">
              <w:rPr>
                <w:i/>
                <w:sz w:val="16"/>
              </w:rPr>
              <w:t>Total</w:t>
            </w:r>
          </w:p>
        </w:tc>
      </w:tr>
      <w:tr w:rsidR="00606B9B" w:rsidRPr="00606B9B">
        <w:tc>
          <w:tcPr>
            <w:tcW w:w="1428" w:type="dxa"/>
            <w:tcBorders>
              <w:top w:val="single" w:sz="12" w:space="0" w:color="auto"/>
            </w:tcBorders>
            <w:shd w:val="clear" w:color="auto" w:fill="auto"/>
          </w:tcPr>
          <w:p w:rsidR="009C6977" w:rsidRPr="00606B9B" w:rsidRDefault="009C6977" w:rsidP="00606B9B">
            <w:pPr>
              <w:pStyle w:val="SingleTxtG"/>
              <w:spacing w:before="40" w:after="40" w:line="220" w:lineRule="exact"/>
              <w:ind w:left="0" w:right="113"/>
              <w:jc w:val="left"/>
              <w:rPr>
                <w:sz w:val="18"/>
              </w:rPr>
            </w:pPr>
            <w:r w:rsidRPr="00606B9B">
              <w:rPr>
                <w:sz w:val="18"/>
              </w:rPr>
              <w:t>Israel</w:t>
            </w:r>
          </w:p>
        </w:tc>
        <w:tc>
          <w:tcPr>
            <w:tcW w:w="1179"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113</w:t>
            </w:r>
          </w:p>
        </w:tc>
        <w:tc>
          <w:tcPr>
            <w:tcW w:w="1180"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64</w:t>
            </w:r>
          </w:p>
        </w:tc>
        <w:tc>
          <w:tcPr>
            <w:tcW w:w="1179"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20</w:t>
            </w:r>
          </w:p>
        </w:tc>
        <w:tc>
          <w:tcPr>
            <w:tcW w:w="1180"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87</w:t>
            </w:r>
          </w:p>
        </w:tc>
        <w:tc>
          <w:tcPr>
            <w:tcW w:w="1179"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267</w:t>
            </w:r>
          </w:p>
        </w:tc>
        <w:tc>
          <w:tcPr>
            <w:tcW w:w="1180"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551</w:t>
            </w:r>
          </w:p>
        </w:tc>
      </w:tr>
      <w:tr w:rsidR="009C6977" w:rsidRPr="00606B9B">
        <w:tc>
          <w:tcPr>
            <w:tcW w:w="1428" w:type="dxa"/>
            <w:shd w:val="clear" w:color="auto" w:fill="auto"/>
          </w:tcPr>
          <w:p w:rsidR="009C6977" w:rsidRPr="00606B9B" w:rsidRDefault="009C6977" w:rsidP="00606B9B">
            <w:pPr>
              <w:pStyle w:val="SingleTxtG"/>
              <w:spacing w:before="40" w:after="40" w:line="220" w:lineRule="exact"/>
              <w:ind w:left="0" w:right="113"/>
              <w:jc w:val="left"/>
              <w:rPr>
                <w:sz w:val="18"/>
              </w:rPr>
            </w:pPr>
            <w:r w:rsidRPr="00606B9B">
              <w:rPr>
                <w:sz w:val="18"/>
              </w:rPr>
              <w:t>Palestinian authorities</w:t>
            </w:r>
            <w:r w:rsidRPr="00606B9B">
              <w:rPr>
                <w:rStyle w:val="FootnoteReference"/>
              </w:rPr>
              <w:footnoteReference w:id="16"/>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11</w:t>
            </w:r>
          </w:p>
        </w:tc>
        <w:tc>
          <w:tcPr>
            <w:tcW w:w="118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46</w:t>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5</w:t>
            </w:r>
          </w:p>
        </w:tc>
        <w:tc>
          <w:tcPr>
            <w:tcW w:w="118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12</w:t>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w:t>
            </w:r>
          </w:p>
        </w:tc>
        <w:tc>
          <w:tcPr>
            <w:tcW w:w="118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75</w:t>
            </w:r>
          </w:p>
        </w:tc>
      </w:tr>
      <w:tr w:rsidR="009C6977" w:rsidRPr="00606B9B">
        <w:tc>
          <w:tcPr>
            <w:tcW w:w="1428" w:type="dxa"/>
            <w:shd w:val="clear" w:color="auto" w:fill="auto"/>
          </w:tcPr>
          <w:p w:rsidR="009C6977" w:rsidRPr="00606B9B" w:rsidRDefault="009C6977" w:rsidP="00606B9B">
            <w:pPr>
              <w:pStyle w:val="SingleTxtG"/>
              <w:spacing w:before="40" w:after="40" w:line="220" w:lineRule="exact"/>
              <w:ind w:left="0" w:right="113"/>
              <w:jc w:val="left"/>
              <w:rPr>
                <w:sz w:val="18"/>
              </w:rPr>
            </w:pPr>
            <w:r w:rsidRPr="00606B9B">
              <w:rPr>
                <w:sz w:val="18"/>
              </w:rPr>
              <w:t>Palestinian armed groups</w:t>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9</w:t>
            </w:r>
          </w:p>
        </w:tc>
        <w:tc>
          <w:tcPr>
            <w:tcW w:w="118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9</w:t>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4</w:t>
            </w:r>
          </w:p>
        </w:tc>
        <w:tc>
          <w:tcPr>
            <w:tcW w:w="118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118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22</w:t>
            </w:r>
          </w:p>
        </w:tc>
      </w:tr>
      <w:tr w:rsidR="009C6977" w:rsidRPr="00606B9B">
        <w:tc>
          <w:tcPr>
            <w:tcW w:w="1428" w:type="dxa"/>
            <w:shd w:val="clear" w:color="auto" w:fill="auto"/>
          </w:tcPr>
          <w:p w:rsidR="009C6977" w:rsidRPr="00606B9B" w:rsidRDefault="009C6977" w:rsidP="00606B9B">
            <w:pPr>
              <w:pStyle w:val="SingleTxtG"/>
              <w:spacing w:before="40" w:after="40" w:line="220" w:lineRule="exact"/>
              <w:ind w:left="0" w:right="113"/>
              <w:jc w:val="left"/>
              <w:rPr>
                <w:sz w:val="18"/>
              </w:rPr>
            </w:pPr>
            <w:r w:rsidRPr="00606B9B">
              <w:rPr>
                <w:sz w:val="18"/>
              </w:rPr>
              <w:t>Parties to the conflict</w:t>
            </w:r>
            <w:r w:rsidRPr="00606B9B">
              <w:rPr>
                <w:rStyle w:val="FootnoteReference"/>
              </w:rPr>
              <w:footnoteReference w:id="17"/>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2</w:t>
            </w:r>
          </w:p>
        </w:tc>
        <w:tc>
          <w:tcPr>
            <w:tcW w:w="118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4</w:t>
            </w:r>
          </w:p>
        </w:tc>
        <w:tc>
          <w:tcPr>
            <w:tcW w:w="118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23</w:t>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118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29</w:t>
            </w:r>
          </w:p>
        </w:tc>
      </w:tr>
      <w:tr w:rsidR="009C6977" w:rsidRPr="00606B9B">
        <w:tc>
          <w:tcPr>
            <w:tcW w:w="1428" w:type="dxa"/>
            <w:shd w:val="clear" w:color="auto" w:fill="auto"/>
          </w:tcPr>
          <w:p w:rsidR="009C6977" w:rsidRPr="00606B9B" w:rsidRDefault="009C6977" w:rsidP="00606B9B">
            <w:pPr>
              <w:pStyle w:val="SingleTxtG"/>
              <w:spacing w:before="40" w:after="40" w:line="220" w:lineRule="exact"/>
              <w:ind w:left="0" w:right="113"/>
              <w:jc w:val="left"/>
              <w:rPr>
                <w:sz w:val="18"/>
              </w:rPr>
            </w:pPr>
            <w:r w:rsidRPr="00606B9B">
              <w:rPr>
                <w:sz w:val="18"/>
              </w:rPr>
              <w:t xml:space="preserve">United Nations </w:t>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4</w:t>
            </w:r>
          </w:p>
        </w:tc>
        <w:tc>
          <w:tcPr>
            <w:tcW w:w="118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20</w:t>
            </w:r>
          </w:p>
        </w:tc>
        <w:tc>
          <w:tcPr>
            <w:tcW w:w="118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32</w:t>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118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56</w:t>
            </w:r>
          </w:p>
        </w:tc>
      </w:tr>
      <w:tr w:rsidR="009C6977" w:rsidRPr="00606B9B">
        <w:tc>
          <w:tcPr>
            <w:tcW w:w="1428" w:type="dxa"/>
            <w:shd w:val="clear" w:color="auto" w:fill="auto"/>
          </w:tcPr>
          <w:p w:rsidR="009C6977" w:rsidRPr="00606B9B" w:rsidRDefault="009C6977" w:rsidP="00606B9B">
            <w:pPr>
              <w:pStyle w:val="SingleTxtG"/>
              <w:spacing w:before="40" w:after="40" w:line="220" w:lineRule="exact"/>
              <w:ind w:left="0" w:right="113"/>
              <w:jc w:val="left"/>
              <w:rPr>
                <w:sz w:val="18"/>
              </w:rPr>
            </w:pPr>
            <w:r w:rsidRPr="00606B9B">
              <w:rPr>
                <w:sz w:val="18"/>
              </w:rPr>
              <w:t xml:space="preserve">International community </w:t>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118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11</w:t>
            </w:r>
          </w:p>
        </w:tc>
        <w:tc>
          <w:tcPr>
            <w:tcW w:w="118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16</w:t>
            </w:r>
          </w:p>
        </w:tc>
        <w:tc>
          <w:tcPr>
            <w:tcW w:w="117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118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27</w:t>
            </w:r>
          </w:p>
        </w:tc>
      </w:tr>
      <w:tr w:rsidR="009C6977" w:rsidRPr="00606B9B">
        <w:tc>
          <w:tcPr>
            <w:tcW w:w="1428" w:type="dxa"/>
            <w:tcBorders>
              <w:bottom w:val="single" w:sz="4" w:space="0" w:color="auto"/>
            </w:tcBorders>
            <w:shd w:val="clear" w:color="auto" w:fill="auto"/>
          </w:tcPr>
          <w:p w:rsidR="009C6977" w:rsidRPr="00606B9B" w:rsidRDefault="009C6977" w:rsidP="00606B9B">
            <w:pPr>
              <w:pStyle w:val="SingleTxtG"/>
              <w:spacing w:before="40" w:after="40" w:line="220" w:lineRule="exact"/>
              <w:ind w:left="0" w:right="113"/>
              <w:jc w:val="left"/>
              <w:rPr>
                <w:sz w:val="18"/>
              </w:rPr>
            </w:pPr>
            <w:r w:rsidRPr="00606B9B">
              <w:rPr>
                <w:sz w:val="18"/>
              </w:rPr>
              <w:t>Civil society and businesses</w:t>
            </w:r>
          </w:p>
        </w:tc>
        <w:tc>
          <w:tcPr>
            <w:tcW w:w="1179"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2</w:t>
            </w:r>
          </w:p>
        </w:tc>
        <w:tc>
          <w:tcPr>
            <w:tcW w:w="1180"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1179"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w:t>
            </w:r>
          </w:p>
        </w:tc>
        <w:tc>
          <w:tcPr>
            <w:tcW w:w="1180"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10</w:t>
            </w:r>
          </w:p>
        </w:tc>
        <w:tc>
          <w:tcPr>
            <w:tcW w:w="1179"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1180"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13</w:t>
            </w:r>
          </w:p>
        </w:tc>
      </w:tr>
      <w:tr w:rsidR="00606B9B" w:rsidRPr="004604F3">
        <w:tc>
          <w:tcPr>
            <w:tcW w:w="1428" w:type="dxa"/>
            <w:tcBorders>
              <w:top w:val="single" w:sz="4" w:space="0" w:color="auto"/>
              <w:bottom w:val="single" w:sz="12" w:space="0" w:color="auto"/>
            </w:tcBorders>
            <w:shd w:val="clear" w:color="auto" w:fill="auto"/>
          </w:tcPr>
          <w:p w:rsidR="009C6977" w:rsidRPr="004604F3" w:rsidRDefault="009C6977" w:rsidP="004604F3">
            <w:pPr>
              <w:pStyle w:val="SingleTxtG"/>
              <w:spacing w:before="80" w:after="80" w:line="220" w:lineRule="exact"/>
              <w:ind w:left="283" w:right="0"/>
              <w:jc w:val="left"/>
              <w:rPr>
                <w:b/>
                <w:sz w:val="18"/>
              </w:rPr>
            </w:pPr>
            <w:r w:rsidRPr="004604F3">
              <w:rPr>
                <w:b/>
                <w:sz w:val="18"/>
              </w:rPr>
              <w:t>Total</w:t>
            </w:r>
          </w:p>
        </w:tc>
        <w:tc>
          <w:tcPr>
            <w:tcW w:w="1179" w:type="dxa"/>
            <w:tcBorders>
              <w:top w:val="single" w:sz="4" w:space="0" w:color="auto"/>
              <w:bottom w:val="single" w:sz="12" w:space="0" w:color="auto"/>
            </w:tcBorders>
            <w:shd w:val="clear" w:color="auto" w:fill="auto"/>
            <w:vAlign w:val="bottom"/>
          </w:tcPr>
          <w:p w:rsidR="009C6977" w:rsidRPr="004604F3" w:rsidRDefault="009C6977" w:rsidP="004604F3">
            <w:pPr>
              <w:pStyle w:val="SingleTxtG"/>
              <w:spacing w:before="80" w:after="80" w:line="220" w:lineRule="exact"/>
              <w:ind w:left="0" w:right="113"/>
              <w:jc w:val="right"/>
              <w:rPr>
                <w:b/>
                <w:sz w:val="18"/>
              </w:rPr>
            </w:pPr>
            <w:r w:rsidRPr="004604F3">
              <w:rPr>
                <w:b/>
                <w:sz w:val="18"/>
              </w:rPr>
              <w:t>141</w:t>
            </w:r>
          </w:p>
        </w:tc>
        <w:tc>
          <w:tcPr>
            <w:tcW w:w="1180" w:type="dxa"/>
            <w:tcBorders>
              <w:top w:val="single" w:sz="4" w:space="0" w:color="auto"/>
              <w:bottom w:val="single" w:sz="12" w:space="0" w:color="auto"/>
            </w:tcBorders>
            <w:shd w:val="clear" w:color="auto" w:fill="auto"/>
            <w:vAlign w:val="bottom"/>
          </w:tcPr>
          <w:p w:rsidR="009C6977" w:rsidRPr="004604F3" w:rsidRDefault="009C6977" w:rsidP="004604F3">
            <w:pPr>
              <w:pStyle w:val="SingleTxtG"/>
              <w:spacing w:before="80" w:after="80" w:line="220" w:lineRule="exact"/>
              <w:ind w:left="0" w:right="113"/>
              <w:jc w:val="right"/>
              <w:rPr>
                <w:b/>
                <w:sz w:val="18"/>
              </w:rPr>
            </w:pPr>
            <w:r w:rsidRPr="004604F3">
              <w:rPr>
                <w:b/>
                <w:sz w:val="18"/>
              </w:rPr>
              <w:t>119</w:t>
            </w:r>
          </w:p>
        </w:tc>
        <w:tc>
          <w:tcPr>
            <w:tcW w:w="1179" w:type="dxa"/>
            <w:tcBorders>
              <w:top w:val="single" w:sz="4" w:space="0" w:color="auto"/>
              <w:bottom w:val="single" w:sz="12" w:space="0" w:color="auto"/>
            </w:tcBorders>
            <w:shd w:val="clear" w:color="auto" w:fill="auto"/>
            <w:vAlign w:val="bottom"/>
          </w:tcPr>
          <w:p w:rsidR="009C6977" w:rsidRPr="004604F3" w:rsidRDefault="009C6977" w:rsidP="004604F3">
            <w:pPr>
              <w:pStyle w:val="SingleTxtG"/>
              <w:spacing w:before="80" w:after="80" w:line="220" w:lineRule="exact"/>
              <w:ind w:left="0" w:right="113"/>
              <w:jc w:val="right"/>
              <w:rPr>
                <w:b/>
                <w:sz w:val="18"/>
              </w:rPr>
            </w:pPr>
            <w:r w:rsidRPr="004604F3">
              <w:rPr>
                <w:b/>
                <w:sz w:val="18"/>
              </w:rPr>
              <w:t>65</w:t>
            </w:r>
          </w:p>
        </w:tc>
        <w:tc>
          <w:tcPr>
            <w:tcW w:w="1180" w:type="dxa"/>
            <w:tcBorders>
              <w:top w:val="single" w:sz="4" w:space="0" w:color="auto"/>
              <w:bottom w:val="single" w:sz="12" w:space="0" w:color="auto"/>
            </w:tcBorders>
            <w:shd w:val="clear" w:color="auto" w:fill="auto"/>
            <w:vAlign w:val="bottom"/>
          </w:tcPr>
          <w:p w:rsidR="009C6977" w:rsidRPr="004604F3" w:rsidRDefault="009C6977" w:rsidP="004604F3">
            <w:pPr>
              <w:pStyle w:val="SingleTxtG"/>
              <w:spacing w:before="80" w:after="80" w:line="220" w:lineRule="exact"/>
              <w:ind w:left="0" w:right="113"/>
              <w:jc w:val="right"/>
              <w:rPr>
                <w:b/>
                <w:sz w:val="18"/>
              </w:rPr>
            </w:pPr>
            <w:r w:rsidRPr="004604F3">
              <w:rPr>
                <w:b/>
                <w:sz w:val="18"/>
              </w:rPr>
              <w:t>180</w:t>
            </w:r>
          </w:p>
        </w:tc>
        <w:tc>
          <w:tcPr>
            <w:tcW w:w="1179" w:type="dxa"/>
            <w:tcBorders>
              <w:top w:val="single" w:sz="4" w:space="0" w:color="auto"/>
              <w:bottom w:val="single" w:sz="12" w:space="0" w:color="auto"/>
            </w:tcBorders>
            <w:shd w:val="clear" w:color="auto" w:fill="auto"/>
            <w:vAlign w:val="bottom"/>
          </w:tcPr>
          <w:p w:rsidR="009C6977" w:rsidRPr="004604F3" w:rsidRDefault="009C6977" w:rsidP="004604F3">
            <w:pPr>
              <w:pStyle w:val="SingleTxtG"/>
              <w:spacing w:before="80" w:after="80" w:line="220" w:lineRule="exact"/>
              <w:ind w:left="0" w:right="113"/>
              <w:jc w:val="right"/>
              <w:rPr>
                <w:b/>
                <w:sz w:val="18"/>
              </w:rPr>
            </w:pPr>
            <w:r w:rsidRPr="004604F3">
              <w:rPr>
                <w:b/>
                <w:sz w:val="18"/>
              </w:rPr>
              <w:t>268</w:t>
            </w:r>
          </w:p>
        </w:tc>
        <w:tc>
          <w:tcPr>
            <w:tcW w:w="1180" w:type="dxa"/>
            <w:tcBorders>
              <w:top w:val="single" w:sz="4" w:space="0" w:color="auto"/>
              <w:bottom w:val="single" w:sz="12" w:space="0" w:color="auto"/>
            </w:tcBorders>
            <w:shd w:val="clear" w:color="auto" w:fill="auto"/>
            <w:vAlign w:val="bottom"/>
          </w:tcPr>
          <w:p w:rsidR="009C6977" w:rsidRPr="004604F3" w:rsidRDefault="009C6977" w:rsidP="004604F3">
            <w:pPr>
              <w:pStyle w:val="SingleTxtG"/>
              <w:spacing w:before="80" w:after="80" w:line="220" w:lineRule="exact"/>
              <w:ind w:left="0" w:right="113"/>
              <w:jc w:val="right"/>
              <w:rPr>
                <w:b/>
                <w:sz w:val="18"/>
              </w:rPr>
            </w:pPr>
            <w:r w:rsidRPr="004604F3">
              <w:rPr>
                <w:b/>
                <w:sz w:val="18"/>
              </w:rPr>
              <w:t>773</w:t>
            </w:r>
          </w:p>
        </w:tc>
      </w:tr>
    </w:tbl>
    <w:p w:rsidR="009C6977" w:rsidRPr="00437DBA" w:rsidRDefault="009C6977" w:rsidP="00606B9B">
      <w:pPr>
        <w:pStyle w:val="HChG"/>
      </w:pPr>
      <w:r w:rsidRPr="00437DBA">
        <w:tab/>
      </w:r>
      <w:bookmarkStart w:id="15" w:name="_Toc484690570"/>
      <w:bookmarkStart w:id="16" w:name="_Toc484792633"/>
      <w:r w:rsidRPr="00437DBA">
        <w:t>IV.</w:t>
      </w:r>
      <w:r w:rsidRPr="00437DBA">
        <w:tab/>
        <w:t>Thematic areas</w:t>
      </w:r>
      <w:bookmarkEnd w:id="15"/>
      <w:bookmarkEnd w:id="16"/>
    </w:p>
    <w:p w:rsidR="009C6977" w:rsidRPr="00437DBA" w:rsidRDefault="009C6977" w:rsidP="00B13294">
      <w:pPr>
        <w:pStyle w:val="SingleTxtG"/>
      </w:pPr>
      <w:r w:rsidRPr="00437DBA">
        <w:t>13.</w:t>
      </w:r>
      <w:r w:rsidRPr="00437DBA">
        <w:tab/>
        <w:t xml:space="preserve">Just as human rights are indivisible, interdependent and interrelated, the recommendations that form the subject matter of the present review are interconnected. Additional analysis on each thematic area has been included in the forthcoming addendum to the present report, which includes key recommendations highlighting the method for assessing their implementation. Recommendations made to Israel in both rounds of the universal periodic review fall into the above-mentioned seven broad thematic areas. </w:t>
      </w:r>
    </w:p>
    <w:p w:rsidR="009C6977" w:rsidRPr="00437DBA" w:rsidRDefault="00606B9B" w:rsidP="00606B9B">
      <w:pPr>
        <w:pStyle w:val="H1G"/>
      </w:pPr>
      <w:r>
        <w:tab/>
      </w:r>
      <w:bookmarkStart w:id="17" w:name="_Toc484690571"/>
      <w:bookmarkStart w:id="18" w:name="_Toc484792634"/>
      <w:r w:rsidR="009C6977" w:rsidRPr="00437DBA">
        <w:t>A.</w:t>
      </w:r>
      <w:r w:rsidR="009C6977" w:rsidRPr="00437DBA">
        <w:tab/>
        <w:t>Accountability and access to justice</w:t>
      </w:r>
      <w:bookmarkEnd w:id="17"/>
      <w:bookmarkEnd w:id="18"/>
    </w:p>
    <w:p w:rsidR="009C6977" w:rsidRPr="00437DBA" w:rsidRDefault="009C6977" w:rsidP="00B13294">
      <w:pPr>
        <w:pStyle w:val="SingleTxtG"/>
      </w:pPr>
      <w:r w:rsidRPr="00437DBA">
        <w:t>14.</w:t>
      </w:r>
      <w:r w:rsidRPr="00437DBA">
        <w:tab/>
        <w:t xml:space="preserve">Accountability and access to justice, representing 27 per cent of the recommendations (253), is the largest thematic area under review. </w:t>
      </w:r>
    </w:p>
    <w:p w:rsidR="00C74743" w:rsidRDefault="009C6977" w:rsidP="00C74743">
      <w:pPr>
        <w:pStyle w:val="Heading1"/>
      </w:pPr>
      <w:bookmarkStart w:id="19" w:name="_Toc484690572"/>
      <w:bookmarkStart w:id="20" w:name="_Toc484792635"/>
      <w:r w:rsidRPr="00437DBA">
        <w:t>Table 3</w:t>
      </w:r>
      <w:bookmarkEnd w:id="19"/>
      <w:bookmarkEnd w:id="20"/>
    </w:p>
    <w:p w:rsidR="009C6977" w:rsidRPr="00C74743" w:rsidRDefault="009C6977" w:rsidP="00C74743">
      <w:pPr>
        <w:pStyle w:val="SingleTxtG"/>
        <w:rPr>
          <w:b/>
        </w:rPr>
      </w:pPr>
      <w:r w:rsidRPr="00C74743">
        <w:rPr>
          <w:b/>
        </w:rPr>
        <w:t>Implementation of recommendations related to accountability and access to justice</w:t>
      </w:r>
    </w:p>
    <w:tbl>
      <w:tblPr>
        <w:tblW w:w="9639"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276"/>
        <w:gridCol w:w="709"/>
        <w:gridCol w:w="709"/>
        <w:gridCol w:w="1071"/>
        <w:gridCol w:w="840"/>
        <w:gridCol w:w="839"/>
        <w:gridCol w:w="839"/>
        <w:gridCol w:w="839"/>
        <w:gridCol w:w="839"/>
        <w:gridCol w:w="839"/>
        <w:gridCol w:w="839"/>
      </w:tblGrid>
      <w:tr w:rsidR="00606B9B" w:rsidRPr="00606B9B">
        <w:trPr>
          <w:tblHeader/>
        </w:trPr>
        <w:tc>
          <w:tcPr>
            <w:tcW w:w="1276" w:type="dxa"/>
            <w:tcBorders>
              <w:top w:val="single" w:sz="4" w:space="0" w:color="auto"/>
              <w:bottom w:val="nil"/>
            </w:tcBorders>
            <w:shd w:val="clear" w:color="auto" w:fill="auto"/>
            <w:vAlign w:val="bottom"/>
          </w:tcPr>
          <w:p w:rsidR="009C6977" w:rsidRPr="00606B9B" w:rsidRDefault="009C6977" w:rsidP="00606B9B">
            <w:pPr>
              <w:pStyle w:val="SingleTxtG"/>
              <w:spacing w:before="80" w:after="80" w:line="200" w:lineRule="exact"/>
              <w:ind w:left="0" w:right="113"/>
              <w:jc w:val="left"/>
              <w:rPr>
                <w:i/>
                <w:sz w:val="16"/>
              </w:rPr>
            </w:pPr>
          </w:p>
        </w:tc>
        <w:tc>
          <w:tcPr>
            <w:tcW w:w="3329" w:type="dxa"/>
            <w:gridSpan w:val="4"/>
            <w:tcBorders>
              <w:top w:val="single" w:sz="4" w:space="0" w:color="auto"/>
              <w:bottom w:val="single" w:sz="4" w:space="0" w:color="auto"/>
              <w:right w:val="single" w:sz="24" w:space="0" w:color="FFFFFF" w:themeColor="background1"/>
            </w:tcBorders>
            <w:shd w:val="clear" w:color="auto" w:fill="auto"/>
            <w:vAlign w:val="bottom"/>
          </w:tcPr>
          <w:p w:rsidR="009C6977" w:rsidRPr="00606B9B" w:rsidRDefault="009C6977" w:rsidP="008E1E53">
            <w:pPr>
              <w:pStyle w:val="SingleTxtG"/>
              <w:spacing w:before="80" w:after="80" w:line="200" w:lineRule="exact"/>
              <w:ind w:left="0" w:right="113"/>
              <w:jc w:val="center"/>
              <w:rPr>
                <w:i/>
                <w:sz w:val="16"/>
              </w:rPr>
            </w:pPr>
            <w:r w:rsidRPr="00606B9B">
              <w:rPr>
                <w:i/>
                <w:sz w:val="16"/>
              </w:rPr>
              <w:t>Israel</w:t>
            </w:r>
          </w:p>
        </w:tc>
        <w:tc>
          <w:tcPr>
            <w:tcW w:w="2517"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tcPr>
          <w:p w:rsidR="009C6977" w:rsidRPr="00606B9B" w:rsidRDefault="009C6977" w:rsidP="008E1E53">
            <w:pPr>
              <w:pStyle w:val="SingleTxtG"/>
              <w:spacing w:before="80" w:after="80" w:line="200" w:lineRule="exact"/>
              <w:ind w:left="0" w:right="113"/>
              <w:jc w:val="center"/>
              <w:rPr>
                <w:i/>
                <w:sz w:val="16"/>
              </w:rPr>
            </w:pPr>
            <w:r w:rsidRPr="00606B9B">
              <w:rPr>
                <w:i/>
                <w:sz w:val="16"/>
              </w:rPr>
              <w:t>Palestinian authorities</w:t>
            </w:r>
          </w:p>
        </w:tc>
        <w:tc>
          <w:tcPr>
            <w:tcW w:w="2517" w:type="dxa"/>
            <w:gridSpan w:val="3"/>
            <w:tcBorders>
              <w:top w:val="single" w:sz="4" w:space="0" w:color="auto"/>
              <w:left w:val="single" w:sz="24" w:space="0" w:color="FFFFFF" w:themeColor="background1"/>
              <w:bottom w:val="single" w:sz="4" w:space="0" w:color="auto"/>
            </w:tcBorders>
            <w:shd w:val="clear" w:color="auto" w:fill="auto"/>
            <w:vAlign w:val="bottom"/>
          </w:tcPr>
          <w:p w:rsidR="009C6977" w:rsidRPr="00606B9B" w:rsidRDefault="009C6977" w:rsidP="008E1E53">
            <w:pPr>
              <w:pStyle w:val="SingleTxtG"/>
              <w:spacing w:before="80" w:after="80" w:line="200" w:lineRule="exact"/>
              <w:ind w:left="0" w:right="113"/>
              <w:jc w:val="center"/>
              <w:rPr>
                <w:i/>
                <w:sz w:val="16"/>
              </w:rPr>
            </w:pPr>
            <w:r w:rsidRPr="00606B9B">
              <w:rPr>
                <w:i/>
                <w:sz w:val="16"/>
              </w:rPr>
              <w:t>United Nations, international community, civil society</w:t>
            </w:r>
          </w:p>
        </w:tc>
      </w:tr>
      <w:tr w:rsidR="00606B9B" w:rsidRPr="00C74743">
        <w:trPr>
          <w:cantSplit/>
          <w:trHeight w:val="1134"/>
        </w:trPr>
        <w:tc>
          <w:tcPr>
            <w:tcW w:w="1276" w:type="dxa"/>
            <w:tcBorders>
              <w:top w:val="nil"/>
              <w:bottom w:val="single" w:sz="12" w:space="0" w:color="auto"/>
            </w:tcBorders>
            <w:shd w:val="clear" w:color="auto" w:fill="auto"/>
          </w:tcPr>
          <w:p w:rsidR="009C6977" w:rsidRPr="00C74743" w:rsidRDefault="009C6977" w:rsidP="008E1E53">
            <w:pPr>
              <w:pStyle w:val="SingleTxtG"/>
              <w:spacing w:before="80" w:after="80" w:line="200" w:lineRule="exact"/>
              <w:ind w:left="0" w:right="113"/>
              <w:jc w:val="center"/>
              <w:rPr>
                <w:i/>
                <w:sz w:val="16"/>
              </w:rPr>
            </w:pPr>
          </w:p>
        </w:tc>
        <w:tc>
          <w:tcPr>
            <w:tcW w:w="709" w:type="dxa"/>
            <w:tcBorders>
              <w:top w:val="single" w:sz="4" w:space="0" w:color="auto"/>
              <w:bottom w:val="single" w:sz="12" w:space="0" w:color="auto"/>
            </w:tcBorders>
            <w:shd w:val="clear" w:color="auto" w:fill="auto"/>
            <w:textDirection w:val="btLr"/>
            <w:vAlign w:val="bottom"/>
          </w:tcPr>
          <w:p w:rsidR="009C6977" w:rsidRPr="00C74743" w:rsidRDefault="009C6977" w:rsidP="00C56B5C">
            <w:pPr>
              <w:pStyle w:val="SingleTxtG"/>
              <w:spacing w:before="80" w:after="80" w:line="200" w:lineRule="exact"/>
              <w:ind w:left="113" w:right="113"/>
              <w:jc w:val="center"/>
              <w:rPr>
                <w:i/>
                <w:sz w:val="16"/>
              </w:rPr>
            </w:pPr>
            <w:r w:rsidRPr="00C74743">
              <w:rPr>
                <w:i/>
                <w:sz w:val="16"/>
              </w:rPr>
              <w:t>Implemented</w:t>
            </w:r>
          </w:p>
        </w:tc>
        <w:tc>
          <w:tcPr>
            <w:tcW w:w="709" w:type="dxa"/>
            <w:tcBorders>
              <w:top w:val="single" w:sz="4" w:space="0" w:color="auto"/>
              <w:bottom w:val="single" w:sz="12" w:space="0" w:color="auto"/>
            </w:tcBorders>
            <w:shd w:val="clear" w:color="auto" w:fill="auto"/>
            <w:textDirection w:val="btLr"/>
            <w:vAlign w:val="bottom"/>
          </w:tcPr>
          <w:p w:rsidR="009C6977" w:rsidRPr="00C74743" w:rsidRDefault="009C6977" w:rsidP="00C56B5C">
            <w:pPr>
              <w:pStyle w:val="SingleTxtG"/>
              <w:spacing w:before="80" w:after="80" w:line="200" w:lineRule="exact"/>
              <w:ind w:left="113" w:right="113"/>
              <w:jc w:val="center"/>
              <w:rPr>
                <w:i/>
                <w:sz w:val="16"/>
              </w:rPr>
            </w:pPr>
            <w:r w:rsidRPr="00C74743">
              <w:rPr>
                <w:i/>
                <w:sz w:val="16"/>
              </w:rPr>
              <w:t>Partially implemented</w:t>
            </w:r>
          </w:p>
        </w:tc>
        <w:tc>
          <w:tcPr>
            <w:tcW w:w="1071" w:type="dxa"/>
            <w:tcBorders>
              <w:top w:val="single" w:sz="4" w:space="0" w:color="auto"/>
              <w:bottom w:val="single" w:sz="12" w:space="0" w:color="auto"/>
            </w:tcBorders>
            <w:shd w:val="clear" w:color="auto" w:fill="auto"/>
            <w:textDirection w:val="btLr"/>
            <w:vAlign w:val="bottom"/>
          </w:tcPr>
          <w:p w:rsidR="009C6977" w:rsidRPr="00C74743" w:rsidRDefault="009C6977" w:rsidP="00C56B5C">
            <w:pPr>
              <w:pStyle w:val="SingleTxtG"/>
              <w:spacing w:before="80" w:after="80" w:line="200" w:lineRule="exact"/>
              <w:ind w:left="113" w:right="113"/>
              <w:jc w:val="center"/>
              <w:rPr>
                <w:i/>
                <w:sz w:val="16"/>
              </w:rPr>
            </w:pPr>
            <w:r w:rsidRPr="00C74743">
              <w:rPr>
                <w:i/>
                <w:sz w:val="16"/>
              </w:rPr>
              <w:t>Not implemented</w:t>
            </w:r>
          </w:p>
        </w:tc>
        <w:tc>
          <w:tcPr>
            <w:tcW w:w="840" w:type="dxa"/>
            <w:tcBorders>
              <w:top w:val="single" w:sz="4" w:space="0" w:color="auto"/>
              <w:bottom w:val="single" w:sz="12" w:space="0" w:color="auto"/>
              <w:right w:val="single" w:sz="24" w:space="0" w:color="FFFFFF" w:themeColor="background1"/>
            </w:tcBorders>
            <w:shd w:val="clear" w:color="auto" w:fill="auto"/>
            <w:textDirection w:val="btLr"/>
            <w:vAlign w:val="bottom"/>
          </w:tcPr>
          <w:p w:rsidR="009C6977" w:rsidRPr="00C74743" w:rsidRDefault="009C6977" w:rsidP="00C56B5C">
            <w:pPr>
              <w:pStyle w:val="SingleTxtG"/>
              <w:spacing w:before="80" w:after="80" w:line="200" w:lineRule="exact"/>
              <w:ind w:left="113" w:right="113"/>
              <w:jc w:val="center"/>
              <w:rPr>
                <w:i/>
                <w:sz w:val="16"/>
              </w:rPr>
            </w:pPr>
            <w:r w:rsidRPr="00C74743">
              <w:rPr>
                <w:i/>
                <w:sz w:val="16"/>
              </w:rPr>
              <w:t>No longer relevant or insufficient information</w:t>
            </w:r>
          </w:p>
        </w:tc>
        <w:tc>
          <w:tcPr>
            <w:tcW w:w="839" w:type="dxa"/>
            <w:tcBorders>
              <w:top w:val="single" w:sz="4" w:space="0" w:color="auto"/>
              <w:left w:val="single" w:sz="24" w:space="0" w:color="FFFFFF" w:themeColor="background1"/>
              <w:bottom w:val="single" w:sz="12" w:space="0" w:color="auto"/>
            </w:tcBorders>
            <w:shd w:val="clear" w:color="auto" w:fill="auto"/>
            <w:textDirection w:val="btLr"/>
            <w:vAlign w:val="bottom"/>
          </w:tcPr>
          <w:p w:rsidR="009C6977" w:rsidRPr="00C74743" w:rsidRDefault="009C6977" w:rsidP="00C56B5C">
            <w:pPr>
              <w:pStyle w:val="SingleTxtG"/>
              <w:spacing w:before="80" w:after="80" w:line="200" w:lineRule="exact"/>
              <w:ind w:left="113" w:right="113"/>
              <w:jc w:val="center"/>
              <w:rPr>
                <w:i/>
                <w:sz w:val="16"/>
              </w:rPr>
            </w:pPr>
            <w:r w:rsidRPr="00C74743">
              <w:rPr>
                <w:i/>
                <w:sz w:val="16"/>
              </w:rPr>
              <w:t>Partially implemented</w:t>
            </w:r>
          </w:p>
        </w:tc>
        <w:tc>
          <w:tcPr>
            <w:tcW w:w="839" w:type="dxa"/>
            <w:tcBorders>
              <w:top w:val="single" w:sz="4" w:space="0" w:color="auto"/>
              <w:bottom w:val="single" w:sz="12" w:space="0" w:color="auto"/>
            </w:tcBorders>
            <w:shd w:val="clear" w:color="auto" w:fill="auto"/>
            <w:textDirection w:val="btLr"/>
            <w:vAlign w:val="bottom"/>
          </w:tcPr>
          <w:p w:rsidR="009C6977" w:rsidRPr="00C74743" w:rsidRDefault="009C6977" w:rsidP="00C56B5C">
            <w:pPr>
              <w:pStyle w:val="SingleTxtG"/>
              <w:spacing w:before="80" w:after="80" w:line="200" w:lineRule="exact"/>
              <w:ind w:left="113" w:right="113"/>
              <w:jc w:val="center"/>
              <w:rPr>
                <w:i/>
                <w:sz w:val="16"/>
              </w:rPr>
            </w:pPr>
            <w:r w:rsidRPr="00C74743">
              <w:rPr>
                <w:i/>
                <w:sz w:val="16"/>
              </w:rPr>
              <w:t>Not implemented</w:t>
            </w:r>
          </w:p>
        </w:tc>
        <w:tc>
          <w:tcPr>
            <w:tcW w:w="839" w:type="dxa"/>
            <w:tcBorders>
              <w:top w:val="single" w:sz="4" w:space="0" w:color="auto"/>
              <w:bottom w:val="single" w:sz="12" w:space="0" w:color="auto"/>
              <w:right w:val="single" w:sz="24" w:space="0" w:color="FFFFFF" w:themeColor="background1"/>
            </w:tcBorders>
            <w:shd w:val="clear" w:color="auto" w:fill="auto"/>
            <w:textDirection w:val="btLr"/>
            <w:vAlign w:val="bottom"/>
          </w:tcPr>
          <w:p w:rsidR="009C6977" w:rsidRPr="00C74743" w:rsidRDefault="009C6977" w:rsidP="00C56B5C">
            <w:pPr>
              <w:pStyle w:val="SingleTxtG"/>
              <w:spacing w:before="80" w:after="80" w:line="200" w:lineRule="exact"/>
              <w:ind w:left="113" w:right="113"/>
              <w:jc w:val="center"/>
              <w:rPr>
                <w:i/>
                <w:sz w:val="16"/>
              </w:rPr>
            </w:pPr>
            <w:r w:rsidRPr="00C74743">
              <w:rPr>
                <w:i/>
                <w:sz w:val="16"/>
              </w:rPr>
              <w:t>No longer relevant</w:t>
            </w:r>
          </w:p>
        </w:tc>
        <w:tc>
          <w:tcPr>
            <w:tcW w:w="839" w:type="dxa"/>
            <w:tcBorders>
              <w:top w:val="single" w:sz="4" w:space="0" w:color="auto"/>
              <w:left w:val="single" w:sz="24" w:space="0" w:color="FFFFFF" w:themeColor="background1"/>
              <w:bottom w:val="single" w:sz="12" w:space="0" w:color="auto"/>
            </w:tcBorders>
            <w:shd w:val="clear" w:color="auto" w:fill="auto"/>
            <w:textDirection w:val="btLr"/>
            <w:vAlign w:val="bottom"/>
          </w:tcPr>
          <w:p w:rsidR="009C6977" w:rsidRPr="00C74743" w:rsidRDefault="009C6977" w:rsidP="00C56B5C">
            <w:pPr>
              <w:pStyle w:val="SingleTxtG"/>
              <w:spacing w:before="80" w:after="80" w:line="200" w:lineRule="exact"/>
              <w:ind w:left="113" w:right="113"/>
              <w:jc w:val="center"/>
              <w:rPr>
                <w:i/>
                <w:sz w:val="16"/>
              </w:rPr>
            </w:pPr>
            <w:r w:rsidRPr="00C74743">
              <w:rPr>
                <w:i/>
                <w:sz w:val="16"/>
              </w:rPr>
              <w:t>Implemented</w:t>
            </w:r>
          </w:p>
        </w:tc>
        <w:tc>
          <w:tcPr>
            <w:tcW w:w="839" w:type="dxa"/>
            <w:tcBorders>
              <w:top w:val="single" w:sz="4" w:space="0" w:color="auto"/>
              <w:bottom w:val="single" w:sz="12" w:space="0" w:color="auto"/>
            </w:tcBorders>
            <w:shd w:val="clear" w:color="auto" w:fill="auto"/>
            <w:textDirection w:val="btLr"/>
            <w:vAlign w:val="bottom"/>
          </w:tcPr>
          <w:p w:rsidR="009C6977" w:rsidRPr="00C74743" w:rsidRDefault="009C6977" w:rsidP="00C56B5C">
            <w:pPr>
              <w:pStyle w:val="SingleTxtG"/>
              <w:spacing w:before="80" w:after="80" w:line="200" w:lineRule="exact"/>
              <w:ind w:left="113" w:right="113"/>
              <w:jc w:val="center"/>
              <w:rPr>
                <w:i/>
                <w:sz w:val="16"/>
              </w:rPr>
            </w:pPr>
            <w:r w:rsidRPr="00C74743">
              <w:rPr>
                <w:i/>
                <w:sz w:val="16"/>
              </w:rPr>
              <w:t>Partially implemented</w:t>
            </w:r>
          </w:p>
        </w:tc>
        <w:tc>
          <w:tcPr>
            <w:tcW w:w="839" w:type="dxa"/>
            <w:tcBorders>
              <w:top w:val="single" w:sz="4" w:space="0" w:color="auto"/>
              <w:bottom w:val="single" w:sz="12" w:space="0" w:color="auto"/>
            </w:tcBorders>
            <w:shd w:val="clear" w:color="auto" w:fill="auto"/>
            <w:textDirection w:val="btLr"/>
            <w:vAlign w:val="bottom"/>
          </w:tcPr>
          <w:p w:rsidR="009C6977" w:rsidRPr="00C74743" w:rsidRDefault="009C6977" w:rsidP="00C56B5C">
            <w:pPr>
              <w:pStyle w:val="SingleTxtG"/>
              <w:spacing w:before="80" w:after="80" w:line="200" w:lineRule="exact"/>
              <w:ind w:left="113" w:right="113"/>
              <w:jc w:val="center"/>
              <w:rPr>
                <w:i/>
                <w:sz w:val="16"/>
              </w:rPr>
            </w:pPr>
            <w:r w:rsidRPr="00C74743">
              <w:rPr>
                <w:i/>
                <w:sz w:val="16"/>
              </w:rPr>
              <w:t>Not implemented</w:t>
            </w:r>
          </w:p>
        </w:tc>
      </w:tr>
      <w:tr w:rsidR="009C6977" w:rsidRPr="00606B9B">
        <w:tc>
          <w:tcPr>
            <w:tcW w:w="1276" w:type="dxa"/>
            <w:tcBorders>
              <w:top w:val="single" w:sz="12" w:space="0" w:color="auto"/>
            </w:tcBorders>
            <w:shd w:val="clear" w:color="auto" w:fill="auto"/>
          </w:tcPr>
          <w:p w:rsidR="009C6977" w:rsidRPr="00606B9B" w:rsidRDefault="009C6977" w:rsidP="00606B9B">
            <w:pPr>
              <w:pStyle w:val="SingleTxtG"/>
              <w:spacing w:before="40" w:after="40" w:line="220" w:lineRule="exact"/>
              <w:ind w:left="0" w:right="113"/>
              <w:jc w:val="left"/>
              <w:rPr>
                <w:sz w:val="18"/>
              </w:rPr>
            </w:pPr>
            <w:r w:rsidRPr="00606B9B">
              <w:rPr>
                <w:sz w:val="18"/>
              </w:rPr>
              <w:t>Accountability and investigations for violations of IHL and IHRL</w:t>
            </w:r>
          </w:p>
        </w:tc>
        <w:tc>
          <w:tcPr>
            <w:tcW w:w="709"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w:t>
            </w:r>
          </w:p>
        </w:tc>
        <w:tc>
          <w:tcPr>
            <w:tcW w:w="709"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 xml:space="preserve"> 4 (1)</w:t>
            </w:r>
            <w:r w:rsidRPr="00606B9B">
              <w:rPr>
                <w:rStyle w:val="FootnoteReference"/>
              </w:rPr>
              <w:footnoteReference w:id="18"/>
            </w:r>
          </w:p>
        </w:tc>
        <w:tc>
          <w:tcPr>
            <w:tcW w:w="1071"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99 (9)</w:t>
            </w:r>
          </w:p>
        </w:tc>
        <w:tc>
          <w:tcPr>
            <w:tcW w:w="840"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w:t>
            </w:r>
          </w:p>
        </w:tc>
        <w:tc>
          <w:tcPr>
            <w:tcW w:w="839"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9 (1)</w:t>
            </w:r>
          </w:p>
        </w:tc>
        <w:tc>
          <w:tcPr>
            <w:tcW w:w="839"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35 (9)</w:t>
            </w:r>
          </w:p>
        </w:tc>
        <w:tc>
          <w:tcPr>
            <w:tcW w:w="839"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39"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w:t>
            </w:r>
          </w:p>
        </w:tc>
        <w:tc>
          <w:tcPr>
            <w:tcW w:w="839"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3</w:t>
            </w:r>
          </w:p>
        </w:tc>
        <w:tc>
          <w:tcPr>
            <w:tcW w:w="839" w:type="dxa"/>
            <w:tcBorders>
              <w:top w:val="single" w:sz="12"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2</w:t>
            </w:r>
          </w:p>
        </w:tc>
      </w:tr>
      <w:tr w:rsidR="009C6977" w:rsidRPr="00606B9B">
        <w:tc>
          <w:tcPr>
            <w:tcW w:w="1276" w:type="dxa"/>
            <w:shd w:val="clear" w:color="auto" w:fill="auto"/>
          </w:tcPr>
          <w:p w:rsidR="009C6977" w:rsidRPr="00606B9B" w:rsidRDefault="009C6977" w:rsidP="00606B9B">
            <w:pPr>
              <w:pStyle w:val="SingleTxtG"/>
              <w:spacing w:before="40" w:after="40" w:line="220" w:lineRule="exact"/>
              <w:ind w:left="0" w:right="113"/>
              <w:jc w:val="left"/>
              <w:rPr>
                <w:sz w:val="18"/>
              </w:rPr>
            </w:pPr>
            <w:r w:rsidRPr="00606B9B">
              <w:rPr>
                <w:sz w:val="18"/>
              </w:rPr>
              <w:t>Compliance with IHL and IHRL</w:t>
            </w:r>
          </w:p>
        </w:tc>
        <w:tc>
          <w:tcPr>
            <w:tcW w:w="70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w:t>
            </w:r>
          </w:p>
        </w:tc>
        <w:tc>
          <w:tcPr>
            <w:tcW w:w="70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4</w:t>
            </w:r>
          </w:p>
        </w:tc>
        <w:tc>
          <w:tcPr>
            <w:tcW w:w="1071"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66 (3)</w:t>
            </w:r>
          </w:p>
        </w:tc>
        <w:tc>
          <w:tcPr>
            <w:tcW w:w="84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6 (1)</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15 (2)</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3</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w:t>
            </w:r>
          </w:p>
        </w:tc>
      </w:tr>
      <w:tr w:rsidR="009C6977" w:rsidRPr="00606B9B">
        <w:tc>
          <w:tcPr>
            <w:tcW w:w="1276" w:type="dxa"/>
            <w:shd w:val="clear" w:color="auto" w:fill="auto"/>
          </w:tcPr>
          <w:p w:rsidR="009C6977" w:rsidRPr="00606B9B" w:rsidRDefault="009C6977" w:rsidP="00606B9B">
            <w:pPr>
              <w:pStyle w:val="SingleTxtG"/>
              <w:spacing w:before="40" w:after="40" w:line="220" w:lineRule="exact"/>
              <w:ind w:left="0" w:right="113"/>
              <w:jc w:val="left"/>
              <w:rPr>
                <w:sz w:val="18"/>
              </w:rPr>
            </w:pPr>
            <w:r w:rsidRPr="00606B9B">
              <w:rPr>
                <w:sz w:val="18"/>
              </w:rPr>
              <w:t>Death penalty</w:t>
            </w:r>
          </w:p>
        </w:tc>
        <w:tc>
          <w:tcPr>
            <w:tcW w:w="70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70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1071"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4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4</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r>
      <w:tr w:rsidR="009C6977" w:rsidRPr="00606B9B">
        <w:tc>
          <w:tcPr>
            <w:tcW w:w="1276" w:type="dxa"/>
            <w:shd w:val="clear" w:color="auto" w:fill="auto"/>
          </w:tcPr>
          <w:p w:rsidR="009C6977" w:rsidRPr="00606B9B" w:rsidRDefault="009C6977" w:rsidP="00606B9B">
            <w:pPr>
              <w:pStyle w:val="SingleTxtG"/>
              <w:spacing w:before="40" w:after="40" w:line="220" w:lineRule="exact"/>
              <w:ind w:left="0" w:right="113"/>
              <w:jc w:val="left"/>
              <w:rPr>
                <w:sz w:val="18"/>
              </w:rPr>
            </w:pPr>
            <w:r w:rsidRPr="00606B9B">
              <w:rPr>
                <w:sz w:val="18"/>
              </w:rPr>
              <w:t>Cooperation with international mechanisms</w:t>
            </w:r>
          </w:p>
        </w:tc>
        <w:tc>
          <w:tcPr>
            <w:tcW w:w="70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70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1071"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40"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1</w:t>
            </w:r>
          </w:p>
        </w:tc>
        <w:tc>
          <w:tcPr>
            <w:tcW w:w="839" w:type="dxa"/>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2</w:t>
            </w:r>
          </w:p>
        </w:tc>
      </w:tr>
      <w:tr w:rsidR="009C6977" w:rsidRPr="00606B9B">
        <w:tc>
          <w:tcPr>
            <w:tcW w:w="1276" w:type="dxa"/>
            <w:tcBorders>
              <w:bottom w:val="single" w:sz="4" w:space="0" w:color="auto"/>
            </w:tcBorders>
            <w:shd w:val="clear" w:color="auto" w:fill="auto"/>
          </w:tcPr>
          <w:p w:rsidR="009C6977" w:rsidRPr="00606B9B" w:rsidRDefault="009C6977" w:rsidP="00606B9B">
            <w:pPr>
              <w:pStyle w:val="SingleTxtG"/>
              <w:spacing w:before="40" w:after="40" w:line="220" w:lineRule="exact"/>
              <w:ind w:left="0" w:right="113"/>
              <w:jc w:val="left"/>
              <w:rPr>
                <w:sz w:val="18"/>
              </w:rPr>
            </w:pPr>
            <w:r w:rsidRPr="00606B9B">
              <w:rPr>
                <w:sz w:val="18"/>
              </w:rPr>
              <w:t>Other</w:t>
            </w:r>
          </w:p>
        </w:tc>
        <w:tc>
          <w:tcPr>
            <w:tcW w:w="709"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709"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1071"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3 (1)</w:t>
            </w:r>
          </w:p>
        </w:tc>
        <w:tc>
          <w:tcPr>
            <w:tcW w:w="840"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2 (2)</w:t>
            </w:r>
          </w:p>
        </w:tc>
        <w:tc>
          <w:tcPr>
            <w:tcW w:w="839"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39"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3 (1)</w:t>
            </w:r>
          </w:p>
        </w:tc>
        <w:tc>
          <w:tcPr>
            <w:tcW w:w="839"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2 (2)</w:t>
            </w:r>
          </w:p>
        </w:tc>
        <w:tc>
          <w:tcPr>
            <w:tcW w:w="839"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39"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c>
          <w:tcPr>
            <w:tcW w:w="839" w:type="dxa"/>
            <w:tcBorders>
              <w:bottom w:val="single" w:sz="4" w:space="0" w:color="auto"/>
            </w:tcBorders>
            <w:shd w:val="clear" w:color="auto" w:fill="auto"/>
            <w:vAlign w:val="bottom"/>
          </w:tcPr>
          <w:p w:rsidR="009C6977" w:rsidRPr="00606B9B" w:rsidRDefault="009C6977" w:rsidP="00606B9B">
            <w:pPr>
              <w:pStyle w:val="SingleTxtG"/>
              <w:spacing w:before="40" w:after="40" w:line="220" w:lineRule="exact"/>
              <w:ind w:left="0" w:right="113"/>
              <w:jc w:val="right"/>
              <w:rPr>
                <w:sz w:val="18"/>
              </w:rPr>
            </w:pPr>
            <w:r w:rsidRPr="00606B9B">
              <w:rPr>
                <w:sz w:val="18"/>
              </w:rPr>
              <w:t>0</w:t>
            </w:r>
          </w:p>
        </w:tc>
      </w:tr>
      <w:tr w:rsidR="00606B9B" w:rsidRPr="00AA2D1B">
        <w:tc>
          <w:tcPr>
            <w:tcW w:w="1276" w:type="dxa"/>
            <w:tcBorders>
              <w:top w:val="single" w:sz="4" w:space="0" w:color="auto"/>
              <w:bottom w:val="single" w:sz="12" w:space="0" w:color="auto"/>
            </w:tcBorders>
            <w:shd w:val="clear" w:color="auto" w:fill="auto"/>
            <w:vAlign w:val="bottom"/>
          </w:tcPr>
          <w:p w:rsidR="009C6977" w:rsidRPr="00AA2D1B" w:rsidRDefault="009C6977" w:rsidP="00AA2D1B">
            <w:pPr>
              <w:pStyle w:val="SingleTxtG"/>
              <w:spacing w:before="80" w:after="80" w:line="220" w:lineRule="exact"/>
              <w:ind w:left="283" w:right="0"/>
              <w:jc w:val="left"/>
              <w:rPr>
                <w:b/>
                <w:sz w:val="18"/>
              </w:rPr>
            </w:pPr>
            <w:r w:rsidRPr="00AA2D1B">
              <w:rPr>
                <w:b/>
                <w:sz w:val="18"/>
              </w:rPr>
              <w:t>Total</w:t>
            </w:r>
          </w:p>
        </w:tc>
        <w:tc>
          <w:tcPr>
            <w:tcW w:w="709" w:type="dxa"/>
            <w:tcBorders>
              <w:top w:val="single" w:sz="4" w:space="0" w:color="auto"/>
              <w:bottom w:val="single" w:sz="12" w:space="0" w:color="auto"/>
            </w:tcBorders>
            <w:shd w:val="clear" w:color="auto" w:fill="auto"/>
            <w:vAlign w:val="bottom"/>
          </w:tcPr>
          <w:p w:rsidR="009C6977" w:rsidRPr="00AA2D1B" w:rsidRDefault="009C6977" w:rsidP="00AA2D1B">
            <w:pPr>
              <w:pStyle w:val="SingleTxtG"/>
              <w:spacing w:before="80" w:after="80" w:line="220" w:lineRule="exact"/>
              <w:ind w:left="0" w:right="113"/>
              <w:jc w:val="right"/>
              <w:rPr>
                <w:b/>
                <w:sz w:val="18"/>
              </w:rPr>
            </w:pPr>
            <w:r w:rsidRPr="00AA2D1B">
              <w:rPr>
                <w:b/>
                <w:sz w:val="18"/>
              </w:rPr>
              <w:t>2 (1%)</w:t>
            </w:r>
          </w:p>
        </w:tc>
        <w:tc>
          <w:tcPr>
            <w:tcW w:w="709" w:type="dxa"/>
            <w:tcBorders>
              <w:top w:val="single" w:sz="4" w:space="0" w:color="auto"/>
              <w:bottom w:val="single" w:sz="12" w:space="0" w:color="auto"/>
            </w:tcBorders>
            <w:shd w:val="clear" w:color="auto" w:fill="auto"/>
            <w:vAlign w:val="bottom"/>
          </w:tcPr>
          <w:p w:rsidR="009C6977" w:rsidRPr="00AA2D1B" w:rsidRDefault="009C6977" w:rsidP="00AA2D1B">
            <w:pPr>
              <w:pStyle w:val="SingleTxtG"/>
              <w:spacing w:before="80" w:after="80" w:line="220" w:lineRule="exact"/>
              <w:ind w:left="0" w:right="113"/>
              <w:jc w:val="right"/>
              <w:rPr>
                <w:b/>
                <w:sz w:val="18"/>
              </w:rPr>
            </w:pPr>
            <w:r w:rsidRPr="00AA2D1B">
              <w:rPr>
                <w:b/>
                <w:sz w:val="18"/>
              </w:rPr>
              <w:t>8 (4%)</w:t>
            </w:r>
          </w:p>
        </w:tc>
        <w:tc>
          <w:tcPr>
            <w:tcW w:w="1071" w:type="dxa"/>
            <w:tcBorders>
              <w:top w:val="single" w:sz="4" w:space="0" w:color="auto"/>
              <w:bottom w:val="single" w:sz="12" w:space="0" w:color="auto"/>
            </w:tcBorders>
            <w:shd w:val="clear" w:color="auto" w:fill="auto"/>
            <w:vAlign w:val="bottom"/>
          </w:tcPr>
          <w:p w:rsidR="009C6977" w:rsidRPr="00AA2D1B" w:rsidRDefault="009C6977" w:rsidP="00AA2D1B">
            <w:pPr>
              <w:pStyle w:val="SingleTxtG"/>
              <w:spacing w:before="80" w:after="80" w:line="220" w:lineRule="exact"/>
              <w:ind w:left="0" w:right="113"/>
              <w:jc w:val="right"/>
              <w:rPr>
                <w:b/>
                <w:sz w:val="18"/>
              </w:rPr>
            </w:pPr>
            <w:r w:rsidRPr="00AA2D1B">
              <w:rPr>
                <w:b/>
                <w:sz w:val="18"/>
              </w:rPr>
              <w:t>168 (90%)</w:t>
            </w:r>
          </w:p>
        </w:tc>
        <w:tc>
          <w:tcPr>
            <w:tcW w:w="840" w:type="dxa"/>
            <w:tcBorders>
              <w:top w:val="single" w:sz="4" w:space="0" w:color="auto"/>
              <w:bottom w:val="single" w:sz="12" w:space="0" w:color="auto"/>
            </w:tcBorders>
            <w:shd w:val="clear" w:color="auto" w:fill="auto"/>
            <w:vAlign w:val="bottom"/>
          </w:tcPr>
          <w:p w:rsidR="009C6977" w:rsidRPr="00AA2D1B" w:rsidRDefault="009C6977" w:rsidP="00AA2D1B">
            <w:pPr>
              <w:pStyle w:val="SingleTxtG"/>
              <w:spacing w:before="80" w:after="80" w:line="220" w:lineRule="exact"/>
              <w:ind w:left="0" w:right="113"/>
              <w:jc w:val="right"/>
              <w:rPr>
                <w:b/>
                <w:sz w:val="18"/>
              </w:rPr>
            </w:pPr>
            <w:r w:rsidRPr="00AA2D1B">
              <w:rPr>
                <w:b/>
                <w:sz w:val="18"/>
              </w:rPr>
              <w:t>9 (5%)</w:t>
            </w:r>
          </w:p>
        </w:tc>
        <w:tc>
          <w:tcPr>
            <w:tcW w:w="839" w:type="dxa"/>
            <w:tcBorders>
              <w:top w:val="single" w:sz="4" w:space="0" w:color="auto"/>
              <w:bottom w:val="single" w:sz="12" w:space="0" w:color="auto"/>
            </w:tcBorders>
            <w:shd w:val="clear" w:color="auto" w:fill="auto"/>
            <w:vAlign w:val="bottom"/>
          </w:tcPr>
          <w:p w:rsidR="009C6977" w:rsidRPr="00AA2D1B" w:rsidRDefault="009C6977" w:rsidP="00AA2D1B">
            <w:pPr>
              <w:pStyle w:val="SingleTxtG"/>
              <w:spacing w:before="80" w:after="80" w:line="220" w:lineRule="exact"/>
              <w:ind w:left="0" w:right="113"/>
              <w:jc w:val="right"/>
              <w:rPr>
                <w:b/>
                <w:sz w:val="18"/>
              </w:rPr>
            </w:pPr>
            <w:r w:rsidRPr="00AA2D1B">
              <w:rPr>
                <w:b/>
                <w:sz w:val="18"/>
              </w:rPr>
              <w:t>9 (13%)</w:t>
            </w:r>
          </w:p>
        </w:tc>
        <w:tc>
          <w:tcPr>
            <w:tcW w:w="839" w:type="dxa"/>
            <w:tcBorders>
              <w:top w:val="single" w:sz="4" w:space="0" w:color="auto"/>
              <w:bottom w:val="single" w:sz="12" w:space="0" w:color="auto"/>
            </w:tcBorders>
            <w:shd w:val="clear" w:color="auto" w:fill="auto"/>
            <w:vAlign w:val="bottom"/>
          </w:tcPr>
          <w:p w:rsidR="009C6977" w:rsidRPr="00AA2D1B" w:rsidRDefault="009C6977" w:rsidP="00AA2D1B">
            <w:pPr>
              <w:pStyle w:val="SingleTxtG"/>
              <w:spacing w:before="80" w:after="80" w:line="220" w:lineRule="exact"/>
              <w:ind w:left="0" w:right="113"/>
              <w:jc w:val="right"/>
              <w:rPr>
                <w:b/>
                <w:sz w:val="18"/>
              </w:rPr>
            </w:pPr>
            <w:r w:rsidRPr="00AA2D1B">
              <w:rPr>
                <w:b/>
                <w:sz w:val="18"/>
              </w:rPr>
              <w:t>56 (82%)</w:t>
            </w:r>
          </w:p>
        </w:tc>
        <w:tc>
          <w:tcPr>
            <w:tcW w:w="839" w:type="dxa"/>
            <w:tcBorders>
              <w:top w:val="single" w:sz="4" w:space="0" w:color="auto"/>
              <w:bottom w:val="single" w:sz="12" w:space="0" w:color="auto"/>
            </w:tcBorders>
            <w:shd w:val="clear" w:color="auto" w:fill="auto"/>
            <w:vAlign w:val="bottom"/>
          </w:tcPr>
          <w:p w:rsidR="009C6977" w:rsidRPr="00AA2D1B" w:rsidRDefault="009C6977" w:rsidP="00AA2D1B">
            <w:pPr>
              <w:pStyle w:val="SingleTxtG"/>
              <w:spacing w:before="80" w:after="80" w:line="220" w:lineRule="exact"/>
              <w:ind w:left="0" w:right="113"/>
              <w:jc w:val="right"/>
              <w:rPr>
                <w:b/>
                <w:sz w:val="18"/>
              </w:rPr>
            </w:pPr>
            <w:r w:rsidRPr="00AA2D1B">
              <w:rPr>
                <w:b/>
                <w:sz w:val="18"/>
              </w:rPr>
              <w:t>3 (4%)</w:t>
            </w:r>
          </w:p>
        </w:tc>
        <w:tc>
          <w:tcPr>
            <w:tcW w:w="839" w:type="dxa"/>
            <w:tcBorders>
              <w:top w:val="single" w:sz="4" w:space="0" w:color="auto"/>
              <w:bottom w:val="single" w:sz="12" w:space="0" w:color="auto"/>
            </w:tcBorders>
            <w:shd w:val="clear" w:color="auto" w:fill="auto"/>
            <w:vAlign w:val="bottom"/>
          </w:tcPr>
          <w:p w:rsidR="009C6977" w:rsidRPr="00AA2D1B" w:rsidRDefault="009C6977" w:rsidP="00AA2D1B">
            <w:pPr>
              <w:pStyle w:val="SingleTxtG"/>
              <w:spacing w:before="80" w:after="80" w:line="220" w:lineRule="exact"/>
              <w:ind w:left="0" w:right="113"/>
              <w:jc w:val="right"/>
              <w:rPr>
                <w:b/>
                <w:sz w:val="18"/>
              </w:rPr>
            </w:pPr>
            <w:r w:rsidRPr="00AA2D1B">
              <w:rPr>
                <w:b/>
                <w:sz w:val="18"/>
              </w:rPr>
              <w:t>1 (8%)</w:t>
            </w:r>
          </w:p>
        </w:tc>
        <w:tc>
          <w:tcPr>
            <w:tcW w:w="839" w:type="dxa"/>
            <w:tcBorders>
              <w:top w:val="single" w:sz="4" w:space="0" w:color="auto"/>
              <w:bottom w:val="single" w:sz="12" w:space="0" w:color="auto"/>
            </w:tcBorders>
            <w:shd w:val="clear" w:color="auto" w:fill="auto"/>
            <w:vAlign w:val="bottom"/>
          </w:tcPr>
          <w:p w:rsidR="009C6977" w:rsidRPr="00AA2D1B" w:rsidRDefault="009C6977" w:rsidP="00AA2D1B">
            <w:pPr>
              <w:pStyle w:val="SingleTxtG"/>
              <w:spacing w:before="80" w:after="80" w:line="220" w:lineRule="exact"/>
              <w:ind w:left="0" w:right="113"/>
              <w:jc w:val="right"/>
              <w:rPr>
                <w:b/>
                <w:sz w:val="18"/>
              </w:rPr>
            </w:pPr>
            <w:r w:rsidRPr="00AA2D1B">
              <w:rPr>
                <w:b/>
                <w:sz w:val="18"/>
              </w:rPr>
              <w:t>7 (54%)</w:t>
            </w:r>
          </w:p>
        </w:tc>
        <w:tc>
          <w:tcPr>
            <w:tcW w:w="839" w:type="dxa"/>
            <w:tcBorders>
              <w:top w:val="single" w:sz="4" w:space="0" w:color="auto"/>
              <w:bottom w:val="single" w:sz="12" w:space="0" w:color="auto"/>
            </w:tcBorders>
            <w:shd w:val="clear" w:color="auto" w:fill="auto"/>
            <w:vAlign w:val="bottom"/>
          </w:tcPr>
          <w:p w:rsidR="009C6977" w:rsidRPr="00AA2D1B" w:rsidRDefault="009C6977" w:rsidP="00AA2D1B">
            <w:pPr>
              <w:pStyle w:val="SingleTxtG"/>
              <w:spacing w:before="80" w:after="80" w:line="220" w:lineRule="exact"/>
              <w:ind w:left="0" w:right="113"/>
              <w:jc w:val="right"/>
              <w:rPr>
                <w:b/>
                <w:sz w:val="18"/>
              </w:rPr>
            </w:pPr>
            <w:r w:rsidRPr="00AA2D1B">
              <w:rPr>
                <w:b/>
                <w:sz w:val="18"/>
              </w:rPr>
              <w:t>5 (38%)</w:t>
            </w:r>
          </w:p>
        </w:tc>
      </w:tr>
    </w:tbl>
    <w:p w:rsidR="009C6977" w:rsidRPr="00074CFE" w:rsidRDefault="009C6977" w:rsidP="00074CFE">
      <w:pPr>
        <w:spacing w:before="120" w:line="240" w:lineRule="atLeast"/>
        <w:ind w:right="1134" w:firstLine="170"/>
        <w:rPr>
          <w:sz w:val="18"/>
        </w:rPr>
      </w:pPr>
      <w:r w:rsidRPr="00BA3813">
        <w:rPr>
          <w:i/>
          <w:sz w:val="18"/>
        </w:rPr>
        <w:t>Abbreviations</w:t>
      </w:r>
      <w:r w:rsidRPr="00074CFE">
        <w:rPr>
          <w:sz w:val="18"/>
        </w:rPr>
        <w:t>: IHL, international humanitarian law; IHRL, international human rights law.</w:t>
      </w:r>
    </w:p>
    <w:p w:rsidR="009C6977" w:rsidRPr="00437DBA" w:rsidRDefault="009C6977" w:rsidP="00074CFE">
      <w:pPr>
        <w:pStyle w:val="SingleTxtG"/>
        <w:spacing w:before="240"/>
      </w:pPr>
      <w:r w:rsidRPr="00437DBA">
        <w:t>15.</w:t>
      </w:r>
      <w:r w:rsidRPr="00437DBA">
        <w:tab/>
        <w:t>Impunity for violations of international humanitarian law and international human rights law in the Occupied Palestinian Territory has been a long-standing concern articulated by the United Nations and civil society.</w:t>
      </w:r>
      <w:r w:rsidRPr="009C6977">
        <w:rPr>
          <w:rStyle w:val="FootnoteReference"/>
        </w:rPr>
        <w:footnoteReference w:id="19"/>
      </w:r>
      <w:r w:rsidRPr="00437DBA">
        <w:t xml:space="preserve"> The High Commissioner has expressed on several occasions </w:t>
      </w:r>
      <w:r>
        <w:t>“</w:t>
      </w:r>
      <w:r w:rsidRPr="00E03ABF">
        <w:t>serious concerns regarding the lack of accountability related to past cycles of violence and escalation in Gaza and to incidents in the West Bank, including East Jerusalem, and in the access-restricted areas of the Gaza Strip</w:t>
      </w:r>
      <w:r>
        <w:t>”</w:t>
      </w:r>
      <w:r w:rsidRPr="00437DBA">
        <w:t>.</w:t>
      </w:r>
      <w:r w:rsidRPr="009C6977">
        <w:rPr>
          <w:rStyle w:val="FootnoteReference"/>
        </w:rPr>
        <w:footnoteReference w:id="20"/>
      </w:r>
    </w:p>
    <w:p w:rsidR="009C6977" w:rsidRPr="00437DBA" w:rsidRDefault="009C6977" w:rsidP="00B13294">
      <w:pPr>
        <w:pStyle w:val="SingleTxtG"/>
      </w:pPr>
      <w:r w:rsidRPr="00437DBA">
        <w:t>16.</w:t>
      </w:r>
      <w:r w:rsidRPr="00437DBA">
        <w:tab/>
        <w:t xml:space="preserve">Over the years, successive reports have detailed serious failings of accountability at all levels, and by all duty bearers. The independent commission of inquiry established pursuant to Human Rights Council resolution S-21/1 stated that </w:t>
      </w:r>
      <w:r>
        <w:t>“</w:t>
      </w:r>
      <w:r w:rsidRPr="00437DBA">
        <w:t>i</w:t>
      </w:r>
      <w:r w:rsidRPr="00E03ABF">
        <w:t>mpunity prevails across the board for violations allegedly committed by Israeli forces, both in Gaza and the West Bank</w:t>
      </w:r>
      <w:r>
        <w:t>”</w:t>
      </w:r>
      <w:r w:rsidRPr="00437DBA">
        <w:t>.</w:t>
      </w:r>
      <w:r w:rsidRPr="00E03ABF">
        <w:t xml:space="preserve"> </w:t>
      </w:r>
      <w:r w:rsidRPr="00437DBA">
        <w:t>It noted that</w:t>
      </w:r>
      <w:r w:rsidRPr="00E03ABF">
        <w:t xml:space="preserve"> </w:t>
      </w:r>
      <w:r>
        <w:t>“</w:t>
      </w:r>
      <w:r w:rsidRPr="00E03ABF">
        <w:t>Israel must break with its lamentable track record in holding wrongdoers accountable</w:t>
      </w:r>
      <w:r>
        <w:t>”</w:t>
      </w:r>
      <w:r w:rsidRPr="00E03ABF">
        <w:t xml:space="preserve"> </w:t>
      </w:r>
      <w:r w:rsidRPr="00437DBA">
        <w:t xml:space="preserve">and that </w:t>
      </w:r>
      <w:r>
        <w:t>“</w:t>
      </w:r>
      <w:r w:rsidRPr="00E03ABF">
        <w:t>accountability on the Palestinian side is also woefully inadequate</w:t>
      </w:r>
      <w:r>
        <w:t>”</w:t>
      </w:r>
      <w:r w:rsidRPr="00437DBA">
        <w:t>.</w:t>
      </w:r>
      <w:r w:rsidRPr="009C6977">
        <w:rPr>
          <w:rStyle w:val="FootnoteReference"/>
        </w:rPr>
        <w:footnoteReference w:id="21"/>
      </w:r>
      <w:r w:rsidRPr="00E03ABF">
        <w:t xml:space="preserve"> </w:t>
      </w:r>
      <w:r w:rsidRPr="00437DBA">
        <w:t>Two years</w:t>
      </w:r>
      <w:r w:rsidRPr="00E03ABF">
        <w:t xml:space="preserve"> </w:t>
      </w:r>
      <w:r w:rsidRPr="00437DBA">
        <w:t xml:space="preserve">after the 2014 escalation, the Office for the Coordination of Humanitarian Affairs (OCHA) expressed serious concerns regarding the persistent </w:t>
      </w:r>
      <w:r>
        <w:t>“</w:t>
      </w:r>
      <w:r w:rsidRPr="00E03ABF">
        <w:t>lack of investigations and accountability by both the Israeli and Palestinian authorities into alleged violations of international humanitarian law and international human rights law, including allegations of war crimes, as well as lack of civil remedies and compensation to victims</w:t>
      </w:r>
      <w:r>
        <w:t>”</w:t>
      </w:r>
      <w:r w:rsidRPr="00437DBA">
        <w:t>.</w:t>
      </w:r>
      <w:r w:rsidRPr="009C6977">
        <w:rPr>
          <w:rStyle w:val="FootnoteReference"/>
        </w:rPr>
        <w:footnoteReference w:id="22"/>
      </w:r>
    </w:p>
    <w:p w:rsidR="009C6977" w:rsidRPr="00437DBA" w:rsidRDefault="009C6977" w:rsidP="00B13294">
      <w:pPr>
        <w:pStyle w:val="SingleTxtG"/>
      </w:pPr>
      <w:r w:rsidRPr="00437DBA">
        <w:t>17.</w:t>
      </w:r>
      <w:r w:rsidRPr="00437DBA">
        <w:tab/>
        <w:t xml:space="preserve">The Israeli investigation system for examining complaints and claims of violations of international humanitarian law includes civilian oversight of the military justice system, as well as reviews by public commissions of inquiry and fact-finding assessments. The public reports of the </w:t>
      </w:r>
      <w:proofErr w:type="spellStart"/>
      <w:r w:rsidRPr="00437DBA">
        <w:t>Turkel</w:t>
      </w:r>
      <w:proofErr w:type="spellEnd"/>
      <w:r w:rsidRPr="00437DBA">
        <w:t xml:space="preserve"> Commission and the </w:t>
      </w:r>
      <w:proofErr w:type="spellStart"/>
      <w:r w:rsidRPr="00437DBA">
        <w:t>Ciechanover</w:t>
      </w:r>
      <w:proofErr w:type="spellEnd"/>
      <w:r w:rsidRPr="00437DBA">
        <w:t xml:space="preserve"> review illustrate the efforts of Israel to strengthen its investigation system. The independent commission of inquiry established pursuant to Human Rights Council resolution S-21/1 recognized the above and referred to the safeguards in place to preserve the independence of the Military Advocate-General.</w:t>
      </w:r>
      <w:r>
        <w:t xml:space="preserve"> </w:t>
      </w:r>
    </w:p>
    <w:p w:rsidR="009C6977" w:rsidRPr="00437DBA" w:rsidRDefault="009C6977" w:rsidP="00B13294">
      <w:pPr>
        <w:pStyle w:val="SingleTxtG"/>
      </w:pPr>
      <w:r w:rsidRPr="00437DBA">
        <w:t>18.</w:t>
      </w:r>
      <w:r w:rsidRPr="00437DBA">
        <w:tab/>
        <w:t xml:space="preserve">This accountability system remains limited for violations in the Occupied Palestinian Territory on account of two sets of shortcomings: </w:t>
      </w:r>
      <w:r>
        <w:t>“</w:t>
      </w:r>
      <w:r w:rsidRPr="00E03ABF">
        <w:t xml:space="preserve">physical, financial, legal and procedural barriers </w:t>
      </w:r>
      <w:r w:rsidRPr="00437DBA">
        <w:t>that</w:t>
      </w:r>
      <w:r w:rsidRPr="00E03ABF">
        <w:t xml:space="preserve"> restrict the ability of Palestinians, particularly those living in Gaza, to </w:t>
      </w:r>
      <w:r w:rsidRPr="00437DBA">
        <w:t xml:space="preserve">gain </w:t>
      </w:r>
      <w:r w:rsidRPr="00E03ABF">
        <w:t>access</w:t>
      </w:r>
      <w:r w:rsidRPr="00437DBA">
        <w:t xml:space="preserve"> to</w:t>
      </w:r>
      <w:r w:rsidRPr="00E03ABF">
        <w:t xml:space="preserve"> justice</w:t>
      </w:r>
      <w:r>
        <w:t>”</w:t>
      </w:r>
      <w:r w:rsidRPr="00437DBA">
        <w:t>,</w:t>
      </w:r>
      <w:r w:rsidRPr="009C6977">
        <w:rPr>
          <w:rStyle w:val="FootnoteReference"/>
        </w:rPr>
        <w:footnoteReference w:id="23"/>
      </w:r>
      <w:r w:rsidRPr="00E03ABF">
        <w:t xml:space="preserve"> </w:t>
      </w:r>
      <w:r w:rsidRPr="00437DBA">
        <w:t>and the failure to investigate all allegations. The Secretary-General underlined that</w:t>
      </w:r>
      <w:r w:rsidRPr="00E03ABF">
        <w:t xml:space="preserve"> </w:t>
      </w:r>
      <w:r>
        <w:t>“</w:t>
      </w:r>
      <w:r w:rsidRPr="00E03ABF">
        <w:t>findings suggest a consistent failure by the Military Advocate</w:t>
      </w:r>
      <w:r w:rsidRPr="00437DBA">
        <w:t xml:space="preserve"> </w:t>
      </w:r>
      <w:r w:rsidRPr="00E03ABF">
        <w:t>General</w:t>
      </w:r>
      <w:r w:rsidRPr="00437DBA">
        <w:t>,</w:t>
      </w:r>
      <w:r w:rsidRPr="00E03ABF">
        <w:t xml:space="preserve"> who heads the military justice system</w:t>
      </w:r>
      <w:r w:rsidRPr="00437DBA">
        <w:t>,</w:t>
      </w:r>
      <w:r w:rsidRPr="00E03ABF">
        <w:t xml:space="preserve"> and the Attorney General to open investigations in cases where </w:t>
      </w:r>
      <w:r w:rsidRPr="00437DBA">
        <w:t xml:space="preserve">there is </w:t>
      </w:r>
      <w:r w:rsidRPr="00E03ABF">
        <w:t xml:space="preserve">prima facie evidence, including eyewitness testimony, medical reports </w:t>
      </w:r>
      <w:r w:rsidRPr="00437DBA">
        <w:t>and</w:t>
      </w:r>
      <w:r w:rsidRPr="00E03ABF">
        <w:t xml:space="preserve"> </w:t>
      </w:r>
      <w:proofErr w:type="spellStart"/>
      <w:r w:rsidRPr="00E03ABF">
        <w:t>audiovisual</w:t>
      </w:r>
      <w:proofErr w:type="spellEnd"/>
      <w:r w:rsidRPr="00E03ABF">
        <w:t xml:space="preserve"> materials indicat</w:t>
      </w:r>
      <w:r w:rsidRPr="00437DBA">
        <w:t>ing</w:t>
      </w:r>
      <w:r w:rsidRPr="00E03ABF">
        <w:t xml:space="preserve"> that actions by State agents were unlawful</w:t>
      </w:r>
      <w:r>
        <w:t>”</w:t>
      </w:r>
      <w:r w:rsidRPr="00437DBA">
        <w:t>.</w:t>
      </w:r>
      <w:r w:rsidRPr="009C6977">
        <w:rPr>
          <w:rStyle w:val="FootnoteReference"/>
        </w:rPr>
        <w:footnoteReference w:id="24"/>
      </w:r>
      <w:r w:rsidRPr="00437DBA">
        <w:t xml:space="preserve"> The dual role of the Military Advocate General, as both legal adviser to the Chief of General Staff and other military authorities and supervisor of disciplinary and criminal investigations, compromises the independence and impartiality of the investigative system, since the Military Advocate General is responsible for investigating violations carried out in operations for which he provided legal advice.</w:t>
      </w:r>
    </w:p>
    <w:p w:rsidR="009C6977" w:rsidRPr="00437DBA" w:rsidRDefault="009C6977" w:rsidP="00B13294">
      <w:pPr>
        <w:pStyle w:val="SingleTxtG"/>
      </w:pPr>
      <w:r w:rsidRPr="00437DBA">
        <w:t>19.</w:t>
      </w:r>
      <w:r w:rsidRPr="00437DBA">
        <w:tab/>
        <w:t>Israel has published information on its investigative structure and on selected investigations, including those related to allegations of violations by Israeli forces in the context of the 2014 Gaza conflict.</w:t>
      </w:r>
      <w:r w:rsidRPr="009C6977">
        <w:rPr>
          <w:rStyle w:val="FootnoteReference"/>
        </w:rPr>
        <w:footnoteReference w:id="25"/>
      </w:r>
      <w:r w:rsidRPr="00437DBA">
        <w:t xml:space="preserve"> However, the noted failure to open investigations into all credible allegations and the lack of access to justice result in unimplemented recommendations related to investigations and to redress for victims. The shortcomings identified above</w:t>
      </w:r>
      <w:r w:rsidRPr="00437DBA" w:rsidDel="0073608D">
        <w:t xml:space="preserve"> </w:t>
      </w:r>
      <w:r w:rsidRPr="00437DBA">
        <w:t xml:space="preserve">compromise the ability of Israel to comply with international standards of independence, impartiality, promptness, thoroughness and effectiveness. </w:t>
      </w:r>
    </w:p>
    <w:p w:rsidR="009C6977" w:rsidRPr="00437DBA" w:rsidRDefault="009C6977" w:rsidP="00B13294">
      <w:pPr>
        <w:pStyle w:val="SingleTxtG"/>
      </w:pPr>
      <w:r w:rsidRPr="00437DBA">
        <w:t>20.</w:t>
      </w:r>
      <w:r w:rsidRPr="00437DBA">
        <w:tab/>
        <w:t>Lack of accountability by Israel is illustrated by the general absence of higher-level responsibility for violations of international humanitarian law in the 2008/09, 2012 and 2014 conflicts in Gaza, with only a handful of convictions, if any, issued for minor violations, such as theft and looting.</w:t>
      </w:r>
      <w:r w:rsidRPr="009C6977">
        <w:rPr>
          <w:rStyle w:val="FootnoteReference"/>
        </w:rPr>
        <w:footnoteReference w:id="26"/>
      </w:r>
      <w:r w:rsidRPr="00437DBA">
        <w:t xml:space="preserve"> According to </w:t>
      </w:r>
      <w:proofErr w:type="spellStart"/>
      <w:r w:rsidRPr="00437DBA">
        <w:t>B</w:t>
      </w:r>
      <w:r>
        <w:t>’</w:t>
      </w:r>
      <w:r w:rsidRPr="00437DBA">
        <w:t>Tselem</w:t>
      </w:r>
      <w:proofErr w:type="spellEnd"/>
      <w:r w:rsidRPr="00437DBA">
        <w:t>, the military law enforcement system is oriented towards soldiers and ignores the responsibility of high-level military commanders and policymakers.</w:t>
      </w:r>
      <w:r w:rsidRPr="009C6977">
        <w:rPr>
          <w:rStyle w:val="FootnoteReference"/>
        </w:rPr>
        <w:footnoteReference w:id="27"/>
      </w:r>
      <w:r w:rsidRPr="00437DBA">
        <w:t xml:space="preserve"> Despite constructive recommendations by the </w:t>
      </w:r>
      <w:proofErr w:type="spellStart"/>
      <w:r w:rsidRPr="00437DBA">
        <w:t>Turkel</w:t>
      </w:r>
      <w:proofErr w:type="spellEnd"/>
      <w:r w:rsidRPr="00437DBA">
        <w:t xml:space="preserve"> Commission, mandated to examine the mechanisms used by Israel for investigating violations of the laws of armed conflict,</w:t>
      </w:r>
      <w:r w:rsidRPr="009C6977">
        <w:rPr>
          <w:rStyle w:val="FootnoteReference"/>
        </w:rPr>
        <w:footnoteReference w:id="28"/>
      </w:r>
      <w:r w:rsidRPr="00437DBA">
        <w:t xml:space="preserve"> and follow-up by the </w:t>
      </w:r>
      <w:proofErr w:type="spellStart"/>
      <w:r w:rsidRPr="00437DBA">
        <w:t>Ciechanover</w:t>
      </w:r>
      <w:proofErr w:type="spellEnd"/>
      <w:r w:rsidRPr="00437DBA">
        <w:t xml:space="preserve"> Commission, the Secretary-General noted the lack of </w:t>
      </w:r>
      <w:r>
        <w:t>“</w:t>
      </w:r>
      <w:r w:rsidRPr="00E03ABF">
        <w:t>significant improvements in accountability</w:t>
      </w:r>
      <w:r>
        <w:t>”</w:t>
      </w:r>
      <w:r w:rsidRPr="00437DBA">
        <w:t>.</w:t>
      </w:r>
      <w:r w:rsidRPr="009C6977">
        <w:rPr>
          <w:rStyle w:val="FootnoteReference"/>
        </w:rPr>
        <w:footnoteReference w:id="29"/>
      </w:r>
      <w:r w:rsidRPr="00437DBA">
        <w:t xml:space="preserve"> There is little available information, including in documents issued by the Government of Israel about the 2014 Gaza hostilities,</w:t>
      </w:r>
      <w:r w:rsidRPr="009C6977">
        <w:rPr>
          <w:rStyle w:val="FootnoteReference"/>
        </w:rPr>
        <w:footnoteReference w:id="30"/>
      </w:r>
      <w:r w:rsidRPr="00437DBA">
        <w:t xml:space="preserve"> about reviews undertaken in any of the areas mentioned by the independent commission of inquiry established pursuant to Human Rights Council resolution S-21/1 (e.g. the definition of military objectives, targeting residential buildings and the effectiveness of precautionary measures).</w:t>
      </w:r>
      <w:r w:rsidRPr="009C6977">
        <w:rPr>
          <w:rStyle w:val="FootnoteReference"/>
        </w:rPr>
        <w:footnoteReference w:id="31"/>
      </w:r>
      <w:r w:rsidRPr="00437DBA">
        <w:t xml:space="preserve"> </w:t>
      </w:r>
    </w:p>
    <w:p w:rsidR="009C6977" w:rsidRPr="00437DBA" w:rsidRDefault="009C6977" w:rsidP="00B13294">
      <w:pPr>
        <w:pStyle w:val="SingleTxtG"/>
      </w:pPr>
      <w:r w:rsidRPr="00437DBA">
        <w:t>21.</w:t>
      </w:r>
      <w:r w:rsidRPr="00437DBA">
        <w:tab/>
        <w:t xml:space="preserve">Regarding allegations of acts perpetrated outside active hostilities, the 2017 conviction of Sergeant </w:t>
      </w:r>
      <w:proofErr w:type="spellStart"/>
      <w:r w:rsidRPr="00437DBA">
        <w:t>Elor</w:t>
      </w:r>
      <w:proofErr w:type="spellEnd"/>
      <w:r w:rsidRPr="00437DBA">
        <w:t xml:space="preserve"> Azaria to 18 months</w:t>
      </w:r>
      <w:r>
        <w:t>’</w:t>
      </w:r>
      <w:r w:rsidRPr="00437DBA">
        <w:t xml:space="preserve"> imprisonment for the manslaughter of Abdelfattah al-Sharif, a Palestinian who was incapacitated after being shot for allegedly stabbing an Israeli soldier, has been highlighted as exceptional for even reaching trial</w:t>
      </w:r>
      <w:r w:rsidRPr="009C6977">
        <w:rPr>
          <w:rStyle w:val="FootnoteReference"/>
        </w:rPr>
        <w:footnoteReference w:id="32"/>
      </w:r>
      <w:r w:rsidRPr="00437DBA">
        <w:t xml:space="preserve"> but referred to as excessively lenient.</w:t>
      </w:r>
      <w:r w:rsidRPr="009C6977">
        <w:rPr>
          <w:rStyle w:val="FootnoteReference"/>
        </w:rPr>
        <w:footnoteReference w:id="33"/>
      </w:r>
      <w:r w:rsidRPr="00437DBA">
        <w:t xml:space="preserve"> The Military Advocate General had asked for a sentence of 30 months</w:t>
      </w:r>
      <w:r>
        <w:t>’</w:t>
      </w:r>
      <w:r w:rsidRPr="00437DBA">
        <w:t xml:space="preserve"> to </w:t>
      </w:r>
      <w:r w:rsidR="003513A5">
        <w:t>5</w:t>
      </w:r>
      <w:r w:rsidRPr="00437DBA">
        <w:t xml:space="preserve"> years</w:t>
      </w:r>
      <w:r>
        <w:t>’</w:t>
      </w:r>
      <w:r w:rsidRPr="00437DBA">
        <w:t xml:space="preserve"> imprisonment.</w:t>
      </w:r>
      <w:r w:rsidRPr="009C6977">
        <w:rPr>
          <w:rStyle w:val="FootnoteReference"/>
        </w:rPr>
        <w:footnoteReference w:id="34"/>
      </w:r>
      <w:r w:rsidRPr="00437DBA">
        <w:t xml:space="preserve"> The period following October 2015 saw an alarming rise in allegations of excessive use of force and extrajudicial killings by Israeli security forces.</w:t>
      </w:r>
      <w:r w:rsidRPr="009C6977">
        <w:rPr>
          <w:rStyle w:val="FootnoteReference"/>
        </w:rPr>
        <w:footnoteReference w:id="35"/>
      </w:r>
      <w:r w:rsidRPr="00437DBA">
        <w:t xml:space="preserve"> The Government has taken steps to address crimes by Israeli settlers against Palestinians, including through intensified law enforcement,</w:t>
      </w:r>
      <w:r w:rsidRPr="009C6977">
        <w:rPr>
          <w:rStyle w:val="FootnoteReference"/>
        </w:rPr>
        <w:footnoteReference w:id="36"/>
      </w:r>
      <w:r w:rsidRPr="00437DBA">
        <w:t xml:space="preserve"> which resulted in a decrease in reported incidents of settler violence. The need to investigate cases of settler violence and prosecute perpetrators remains.</w:t>
      </w:r>
      <w:r w:rsidRPr="009C6977">
        <w:rPr>
          <w:rStyle w:val="FootnoteReference"/>
        </w:rPr>
        <w:footnoteReference w:id="37"/>
      </w:r>
    </w:p>
    <w:p w:rsidR="009C6977" w:rsidRPr="00437DBA" w:rsidRDefault="009C6977" w:rsidP="00B13294">
      <w:pPr>
        <w:pStyle w:val="SingleTxtG"/>
      </w:pPr>
      <w:r w:rsidRPr="00437DBA">
        <w:t>22.</w:t>
      </w:r>
      <w:r w:rsidRPr="00437DBA">
        <w:tab/>
        <w:t>In 2016 and 2017, the High Commissioner expressed concern about the lack of progress in Palestinian accountability for violations of international humanitarian law and international human rights law,</w:t>
      </w:r>
      <w:r w:rsidRPr="009C6977">
        <w:rPr>
          <w:rStyle w:val="FootnoteReference"/>
        </w:rPr>
        <w:footnoteReference w:id="38"/>
      </w:r>
      <w:r w:rsidRPr="00437DBA">
        <w:t xml:space="preserve"> and called for the expedited implementation of recommendations made to Palestinian authorities by the independent commission of inquiry established pursuant to Human Rights Council resolution S-21/1. </w:t>
      </w:r>
    </w:p>
    <w:p w:rsidR="009C6977" w:rsidRPr="00437DBA" w:rsidRDefault="009C6977" w:rsidP="00B13294">
      <w:pPr>
        <w:pStyle w:val="SingleTxtG"/>
      </w:pPr>
      <w:r w:rsidRPr="00437DBA">
        <w:t>23.</w:t>
      </w:r>
      <w:r w:rsidRPr="00437DBA">
        <w:tab/>
        <w:t xml:space="preserve">The Committee of independent experts in international humanitarian and human rights law established pursuant to Council resolution 13/9, established following the report of the United Nations Fact-Finding Mission on the Gaza Conflict, found that the Palestinian Independent Investigation Commission, mandated to follow up on the recommendations of the Mission, had </w:t>
      </w:r>
      <w:r>
        <w:t>“</w:t>
      </w:r>
      <w:r w:rsidRPr="00E03ABF">
        <w:t>undertaken independent and impartial investigations in a comprehensive manner</w:t>
      </w:r>
      <w:r>
        <w:t>”</w:t>
      </w:r>
      <w:r w:rsidRPr="00437DBA">
        <w:t>.</w:t>
      </w:r>
      <w:r w:rsidRPr="009C6977">
        <w:rPr>
          <w:rStyle w:val="FootnoteReference"/>
        </w:rPr>
        <w:footnoteReference w:id="39"/>
      </w:r>
      <w:r w:rsidRPr="00437DBA">
        <w:t xml:space="preserve"> It noted obstacles to accountability stemming from the intra-Palestinian divide and from restricted access to Gaza. The Secretary-General reported the absence of meaningful investigations into alleged violations by Palestinian authorities regarding the hostilities in Gaza in 2014.</w:t>
      </w:r>
      <w:r w:rsidRPr="009C6977">
        <w:rPr>
          <w:rStyle w:val="FootnoteReference"/>
        </w:rPr>
        <w:footnoteReference w:id="40"/>
      </w:r>
      <w:r w:rsidRPr="00437DBA">
        <w:t xml:space="preserve"> </w:t>
      </w:r>
    </w:p>
    <w:p w:rsidR="009C6977" w:rsidRPr="00437DBA" w:rsidRDefault="009C6977" w:rsidP="00B13294">
      <w:pPr>
        <w:pStyle w:val="SingleTxtG"/>
      </w:pPr>
      <w:r w:rsidRPr="00437DBA">
        <w:t>24.</w:t>
      </w:r>
      <w:r w:rsidRPr="00437DBA">
        <w:tab/>
        <w:t>In addition to lack of accountability for violations of international humanitarian law by Palestinian armed groups,</w:t>
      </w:r>
      <w:r w:rsidRPr="009C6977">
        <w:rPr>
          <w:rStyle w:val="FootnoteReference"/>
        </w:rPr>
        <w:footnoteReference w:id="41"/>
      </w:r>
      <w:r w:rsidRPr="00437DBA">
        <w:t xml:space="preserve"> there are continuing concerns over accountability for alleged human rights violations by Palestinian authorities.</w:t>
      </w:r>
      <w:r w:rsidRPr="009C6977">
        <w:rPr>
          <w:rStyle w:val="FootnoteReference"/>
        </w:rPr>
        <w:footnoteReference w:id="42"/>
      </w:r>
      <w:r w:rsidRPr="00437DBA">
        <w:t xml:space="preserve"> In 2015, the Government of the State of Palestine established the Independent National Committee of Investigation, mandated to evaluate investigations by Israeli and Palestinian authorities into allegations of serious violations of international humanitarian law and international human rights law. In January 2017, its first report was presented to the Government of the State of Palestine and shared with OHCHR.</w:t>
      </w:r>
      <w:r w:rsidRPr="009C6977">
        <w:rPr>
          <w:rStyle w:val="FootnoteReference"/>
        </w:rPr>
        <w:footnoteReference w:id="43"/>
      </w:r>
    </w:p>
    <w:p w:rsidR="009C6977" w:rsidRPr="00437DBA" w:rsidRDefault="009C6977" w:rsidP="00B13294">
      <w:pPr>
        <w:pStyle w:val="SingleTxtG"/>
      </w:pPr>
      <w:r w:rsidRPr="00437DBA">
        <w:t>25.</w:t>
      </w:r>
      <w:r w:rsidRPr="00437DBA">
        <w:tab/>
        <w:t>In 2016, the Secretary-General stated that</w:t>
      </w:r>
      <w:r w:rsidRPr="00E03ABF">
        <w:t xml:space="preserve"> </w:t>
      </w:r>
      <w:r>
        <w:t>“</w:t>
      </w:r>
      <w:r w:rsidRPr="00437DBA">
        <w:t>t</w:t>
      </w:r>
      <w:r w:rsidRPr="00E03ABF">
        <w:t>he lack of any significant movement towards a political resolution and ongoing violations of international human rights and humanitarian law are exacerbated by the lack of accountability for previous violations. That feeds the cycle of violence and compromises chances for sustainable peace and security. Tackling impunity must be the highest priority</w:t>
      </w:r>
      <w:r>
        <w:t>”</w:t>
      </w:r>
      <w:r w:rsidRPr="00437DBA">
        <w:t>.</w:t>
      </w:r>
      <w:r w:rsidRPr="009C6977">
        <w:rPr>
          <w:rStyle w:val="FootnoteReference"/>
        </w:rPr>
        <w:footnoteReference w:id="44"/>
      </w:r>
    </w:p>
    <w:p w:rsidR="009C6977" w:rsidRPr="00437DBA" w:rsidRDefault="001208AF" w:rsidP="001208AF">
      <w:pPr>
        <w:pStyle w:val="H1G"/>
      </w:pPr>
      <w:r>
        <w:tab/>
      </w:r>
      <w:bookmarkStart w:id="21" w:name="_Toc484690573"/>
      <w:bookmarkStart w:id="22" w:name="_Toc484792636"/>
      <w:r w:rsidR="009C6977" w:rsidRPr="00437DBA">
        <w:t>B.</w:t>
      </w:r>
      <w:r w:rsidR="009C6977" w:rsidRPr="00437DBA">
        <w:tab/>
        <w:t>International engagement</w:t>
      </w:r>
      <w:bookmarkEnd w:id="21"/>
      <w:bookmarkEnd w:id="22"/>
    </w:p>
    <w:p w:rsidR="009C6977" w:rsidRPr="00437DBA" w:rsidRDefault="009C6977" w:rsidP="00B13294">
      <w:pPr>
        <w:pStyle w:val="SingleTxtG"/>
      </w:pPr>
      <w:r w:rsidRPr="00437DBA">
        <w:t>26.</w:t>
      </w:r>
      <w:r w:rsidRPr="00437DBA">
        <w:tab/>
        <w:t>A total of 141 recommendations (15 per cent) called for engagement with international human rights mechanisms and for general implementation and compliance with international law.</w:t>
      </w:r>
    </w:p>
    <w:p w:rsidR="0063682B" w:rsidRDefault="009C6977" w:rsidP="0063682B">
      <w:pPr>
        <w:pStyle w:val="Heading1"/>
      </w:pPr>
      <w:bookmarkStart w:id="23" w:name="_Toc484690574"/>
      <w:bookmarkStart w:id="24" w:name="_Toc484792637"/>
      <w:r w:rsidRPr="00E03ABF">
        <w:t>Table 4</w:t>
      </w:r>
      <w:bookmarkEnd w:id="23"/>
      <w:bookmarkEnd w:id="24"/>
    </w:p>
    <w:p w:rsidR="009C6977" w:rsidRPr="0063682B" w:rsidRDefault="009C6977" w:rsidP="0063682B">
      <w:pPr>
        <w:pStyle w:val="SingleTxtG"/>
        <w:rPr>
          <w:b/>
        </w:rPr>
      </w:pPr>
      <w:r w:rsidRPr="0063682B">
        <w:rPr>
          <w:b/>
        </w:rPr>
        <w:t>Implementation of recommendations related to international engagement</w:t>
      </w:r>
    </w:p>
    <w:tbl>
      <w:tblPr>
        <w:tblW w:w="9639"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417"/>
        <w:gridCol w:w="746"/>
        <w:gridCol w:w="746"/>
        <w:gridCol w:w="748"/>
        <w:gridCol w:w="750"/>
        <w:gridCol w:w="747"/>
        <w:gridCol w:w="748"/>
        <w:gridCol w:w="902"/>
        <w:gridCol w:w="709"/>
        <w:gridCol w:w="603"/>
        <w:gridCol w:w="761"/>
        <w:gridCol w:w="762"/>
      </w:tblGrid>
      <w:tr w:rsidR="000C002C" w:rsidRPr="001208AF">
        <w:trPr>
          <w:tblHeader/>
        </w:trPr>
        <w:tc>
          <w:tcPr>
            <w:tcW w:w="1417" w:type="dxa"/>
            <w:tcBorders>
              <w:top w:val="single" w:sz="4" w:space="0" w:color="auto"/>
              <w:bottom w:val="nil"/>
            </w:tcBorders>
            <w:shd w:val="clear" w:color="auto" w:fill="auto"/>
            <w:vAlign w:val="bottom"/>
          </w:tcPr>
          <w:p w:rsidR="000C002C" w:rsidRPr="001208AF" w:rsidRDefault="000C002C" w:rsidP="001208AF">
            <w:pPr>
              <w:pStyle w:val="SingleTxtG"/>
              <w:spacing w:before="80" w:after="80" w:line="200" w:lineRule="exact"/>
              <w:ind w:left="0" w:right="113"/>
              <w:jc w:val="left"/>
              <w:rPr>
                <w:i/>
                <w:sz w:val="16"/>
              </w:rPr>
            </w:pPr>
          </w:p>
        </w:tc>
        <w:tc>
          <w:tcPr>
            <w:tcW w:w="2240" w:type="dxa"/>
            <w:gridSpan w:val="3"/>
            <w:tcBorders>
              <w:top w:val="single" w:sz="4" w:space="0" w:color="auto"/>
              <w:bottom w:val="single" w:sz="4" w:space="0" w:color="auto"/>
              <w:right w:val="single" w:sz="24" w:space="0" w:color="FFFFFF" w:themeColor="background1"/>
            </w:tcBorders>
            <w:shd w:val="clear" w:color="auto" w:fill="auto"/>
            <w:vAlign w:val="bottom"/>
          </w:tcPr>
          <w:p w:rsidR="000C002C" w:rsidRPr="001208AF" w:rsidRDefault="000C002C" w:rsidP="0063682B">
            <w:pPr>
              <w:pStyle w:val="SingleTxtG"/>
              <w:spacing w:before="80" w:after="80" w:line="200" w:lineRule="exact"/>
              <w:ind w:left="0" w:right="113"/>
              <w:jc w:val="center"/>
              <w:rPr>
                <w:i/>
                <w:sz w:val="16"/>
              </w:rPr>
            </w:pPr>
            <w:r w:rsidRPr="001208AF">
              <w:rPr>
                <w:i/>
                <w:sz w:val="16"/>
              </w:rPr>
              <w:t>Israel</w:t>
            </w:r>
          </w:p>
        </w:tc>
        <w:tc>
          <w:tcPr>
            <w:tcW w:w="3147" w:type="dxa"/>
            <w:gridSpan w:val="4"/>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tcPr>
          <w:p w:rsidR="000C002C" w:rsidRPr="001208AF" w:rsidRDefault="000C002C" w:rsidP="0063682B">
            <w:pPr>
              <w:pStyle w:val="SingleTxtG"/>
              <w:spacing w:before="80" w:after="80" w:line="200" w:lineRule="exact"/>
              <w:ind w:left="0" w:right="113"/>
              <w:jc w:val="center"/>
              <w:rPr>
                <w:i/>
                <w:sz w:val="16"/>
              </w:rPr>
            </w:pPr>
            <w:r w:rsidRPr="001208AF">
              <w:rPr>
                <w:i/>
                <w:sz w:val="16"/>
              </w:rPr>
              <w:t>Palestinian authorities</w:t>
            </w:r>
          </w:p>
        </w:tc>
        <w:tc>
          <w:tcPr>
            <w:tcW w:w="2835" w:type="dxa"/>
            <w:gridSpan w:val="4"/>
            <w:tcBorders>
              <w:top w:val="single" w:sz="4" w:space="0" w:color="auto"/>
              <w:left w:val="single" w:sz="24" w:space="0" w:color="FFFFFF" w:themeColor="background1"/>
              <w:bottom w:val="single" w:sz="4" w:space="0" w:color="auto"/>
            </w:tcBorders>
            <w:shd w:val="clear" w:color="auto" w:fill="auto"/>
            <w:vAlign w:val="bottom"/>
          </w:tcPr>
          <w:p w:rsidR="000C002C" w:rsidRPr="001208AF" w:rsidRDefault="000C002C" w:rsidP="0063682B">
            <w:pPr>
              <w:pStyle w:val="SingleTxtG"/>
              <w:spacing w:before="80" w:after="80" w:line="200" w:lineRule="exact"/>
              <w:ind w:left="0" w:right="113"/>
              <w:jc w:val="center"/>
              <w:rPr>
                <w:i/>
                <w:sz w:val="16"/>
              </w:rPr>
            </w:pPr>
            <w:r w:rsidRPr="001208AF">
              <w:rPr>
                <w:i/>
                <w:sz w:val="16"/>
              </w:rPr>
              <w:t>International community</w:t>
            </w:r>
          </w:p>
        </w:tc>
      </w:tr>
      <w:tr w:rsidR="002712E3" w:rsidRPr="0063682B">
        <w:trPr>
          <w:cantSplit/>
          <w:trHeight w:val="1134"/>
        </w:trPr>
        <w:tc>
          <w:tcPr>
            <w:tcW w:w="1417" w:type="dxa"/>
            <w:tcBorders>
              <w:top w:val="nil"/>
              <w:bottom w:val="single" w:sz="12" w:space="0" w:color="auto"/>
            </w:tcBorders>
            <w:shd w:val="clear" w:color="auto" w:fill="auto"/>
            <w:textDirection w:val="btLr"/>
          </w:tcPr>
          <w:p w:rsidR="009C6977" w:rsidRPr="0063682B" w:rsidRDefault="009C6977" w:rsidP="0063682B">
            <w:pPr>
              <w:pStyle w:val="SingleTxtG"/>
              <w:spacing w:before="80" w:after="80" w:line="200" w:lineRule="exact"/>
              <w:ind w:left="113" w:right="113"/>
              <w:jc w:val="right"/>
              <w:rPr>
                <w:i/>
                <w:sz w:val="16"/>
              </w:rPr>
            </w:pPr>
          </w:p>
        </w:tc>
        <w:tc>
          <w:tcPr>
            <w:tcW w:w="746" w:type="dxa"/>
            <w:tcBorders>
              <w:top w:val="single" w:sz="4" w:space="0" w:color="auto"/>
              <w:bottom w:val="single" w:sz="12" w:space="0" w:color="auto"/>
            </w:tcBorders>
            <w:shd w:val="clear" w:color="auto" w:fill="auto"/>
            <w:textDirection w:val="btLr"/>
            <w:vAlign w:val="bottom"/>
          </w:tcPr>
          <w:p w:rsidR="009C6977" w:rsidRPr="0063682B" w:rsidRDefault="009C6977" w:rsidP="0063682B">
            <w:pPr>
              <w:pStyle w:val="SingleTxtG"/>
              <w:spacing w:before="80" w:after="80" w:line="200" w:lineRule="exact"/>
              <w:ind w:left="113" w:right="113"/>
              <w:jc w:val="right"/>
              <w:rPr>
                <w:i/>
                <w:sz w:val="16"/>
              </w:rPr>
            </w:pPr>
            <w:r w:rsidRPr="0063682B">
              <w:rPr>
                <w:i/>
                <w:sz w:val="16"/>
              </w:rPr>
              <w:t xml:space="preserve">Partially </w:t>
            </w:r>
            <w:proofErr w:type="spellStart"/>
            <w:r w:rsidRPr="0063682B">
              <w:rPr>
                <w:i/>
                <w:sz w:val="16"/>
              </w:rPr>
              <w:t>implem</w:t>
            </w:r>
            <w:proofErr w:type="spellEnd"/>
            <w:r w:rsidRPr="0063682B">
              <w:rPr>
                <w:i/>
                <w:sz w:val="16"/>
              </w:rPr>
              <w:t>.</w:t>
            </w:r>
          </w:p>
        </w:tc>
        <w:tc>
          <w:tcPr>
            <w:tcW w:w="746" w:type="dxa"/>
            <w:tcBorders>
              <w:top w:val="single" w:sz="4" w:space="0" w:color="auto"/>
              <w:bottom w:val="single" w:sz="12" w:space="0" w:color="auto"/>
            </w:tcBorders>
            <w:shd w:val="clear" w:color="auto" w:fill="auto"/>
            <w:textDirection w:val="btLr"/>
            <w:vAlign w:val="bottom"/>
          </w:tcPr>
          <w:p w:rsidR="009C6977" w:rsidRPr="0063682B" w:rsidRDefault="009C6977" w:rsidP="0063682B">
            <w:pPr>
              <w:pStyle w:val="SingleTxtG"/>
              <w:spacing w:before="80" w:after="80" w:line="200" w:lineRule="exact"/>
              <w:ind w:left="113" w:right="113"/>
              <w:jc w:val="right"/>
              <w:rPr>
                <w:i/>
                <w:sz w:val="16"/>
              </w:rPr>
            </w:pPr>
            <w:r w:rsidRPr="0063682B">
              <w:rPr>
                <w:i/>
                <w:sz w:val="16"/>
              </w:rPr>
              <w:t xml:space="preserve">Not </w:t>
            </w:r>
            <w:proofErr w:type="spellStart"/>
            <w:r w:rsidRPr="0063682B">
              <w:rPr>
                <w:i/>
                <w:sz w:val="16"/>
              </w:rPr>
              <w:t>implem</w:t>
            </w:r>
            <w:proofErr w:type="spellEnd"/>
            <w:r w:rsidRPr="0063682B">
              <w:rPr>
                <w:i/>
                <w:sz w:val="16"/>
              </w:rPr>
              <w:t>.</w:t>
            </w:r>
          </w:p>
        </w:tc>
        <w:tc>
          <w:tcPr>
            <w:tcW w:w="748" w:type="dxa"/>
            <w:tcBorders>
              <w:top w:val="single" w:sz="4" w:space="0" w:color="auto"/>
              <w:bottom w:val="single" w:sz="12" w:space="0" w:color="auto"/>
              <w:right w:val="single" w:sz="24" w:space="0" w:color="FFFFFF" w:themeColor="background1"/>
            </w:tcBorders>
            <w:shd w:val="clear" w:color="auto" w:fill="auto"/>
            <w:textDirection w:val="btLr"/>
            <w:vAlign w:val="bottom"/>
          </w:tcPr>
          <w:p w:rsidR="009C6977" w:rsidRPr="0063682B" w:rsidRDefault="009C6977" w:rsidP="0063682B">
            <w:pPr>
              <w:pStyle w:val="SingleTxtG"/>
              <w:spacing w:before="80" w:after="80" w:line="200" w:lineRule="exact"/>
              <w:ind w:left="113" w:right="113"/>
              <w:jc w:val="right"/>
              <w:rPr>
                <w:i/>
                <w:sz w:val="16"/>
              </w:rPr>
            </w:pPr>
            <w:r w:rsidRPr="0063682B">
              <w:rPr>
                <w:i/>
                <w:sz w:val="16"/>
              </w:rPr>
              <w:t>Insufficient information</w:t>
            </w:r>
          </w:p>
        </w:tc>
        <w:tc>
          <w:tcPr>
            <w:tcW w:w="750" w:type="dxa"/>
            <w:tcBorders>
              <w:top w:val="single" w:sz="4" w:space="0" w:color="auto"/>
              <w:left w:val="single" w:sz="24" w:space="0" w:color="FFFFFF" w:themeColor="background1"/>
              <w:bottom w:val="single" w:sz="12" w:space="0" w:color="auto"/>
              <w:right w:val="single" w:sz="24" w:space="0" w:color="FFFFFF" w:themeColor="background1"/>
            </w:tcBorders>
            <w:shd w:val="clear" w:color="auto" w:fill="auto"/>
            <w:textDirection w:val="btLr"/>
            <w:vAlign w:val="bottom"/>
          </w:tcPr>
          <w:p w:rsidR="009C6977" w:rsidRPr="0063682B" w:rsidRDefault="009C6977" w:rsidP="0063682B">
            <w:pPr>
              <w:pStyle w:val="SingleTxtG"/>
              <w:spacing w:before="80" w:after="80" w:line="200" w:lineRule="exact"/>
              <w:ind w:left="113" w:right="113"/>
              <w:jc w:val="right"/>
              <w:rPr>
                <w:i/>
                <w:sz w:val="16"/>
              </w:rPr>
            </w:pPr>
            <w:proofErr w:type="spellStart"/>
            <w:r w:rsidRPr="0063682B">
              <w:rPr>
                <w:i/>
                <w:sz w:val="16"/>
              </w:rPr>
              <w:t>Implem</w:t>
            </w:r>
            <w:proofErr w:type="spellEnd"/>
            <w:r w:rsidRPr="0063682B">
              <w:rPr>
                <w:i/>
                <w:sz w:val="16"/>
              </w:rPr>
              <w:t>.</w:t>
            </w:r>
          </w:p>
        </w:tc>
        <w:tc>
          <w:tcPr>
            <w:tcW w:w="747" w:type="dxa"/>
            <w:tcBorders>
              <w:top w:val="single" w:sz="4" w:space="0" w:color="auto"/>
              <w:left w:val="single" w:sz="24" w:space="0" w:color="FFFFFF" w:themeColor="background1"/>
              <w:bottom w:val="single" w:sz="12" w:space="0" w:color="auto"/>
            </w:tcBorders>
            <w:shd w:val="clear" w:color="auto" w:fill="auto"/>
            <w:textDirection w:val="btLr"/>
            <w:vAlign w:val="bottom"/>
          </w:tcPr>
          <w:p w:rsidR="009C6977" w:rsidRPr="0063682B" w:rsidRDefault="009C6977" w:rsidP="0063682B">
            <w:pPr>
              <w:pStyle w:val="SingleTxtG"/>
              <w:spacing w:before="80" w:after="80" w:line="200" w:lineRule="exact"/>
              <w:ind w:left="113" w:right="113"/>
              <w:jc w:val="right"/>
              <w:rPr>
                <w:i/>
                <w:sz w:val="16"/>
              </w:rPr>
            </w:pPr>
            <w:r w:rsidRPr="0063682B">
              <w:rPr>
                <w:i/>
                <w:sz w:val="16"/>
              </w:rPr>
              <w:t xml:space="preserve">Partially </w:t>
            </w:r>
            <w:proofErr w:type="spellStart"/>
            <w:r w:rsidRPr="0063682B">
              <w:rPr>
                <w:i/>
                <w:sz w:val="16"/>
              </w:rPr>
              <w:t>implem</w:t>
            </w:r>
            <w:proofErr w:type="spellEnd"/>
            <w:r w:rsidRPr="0063682B">
              <w:rPr>
                <w:i/>
                <w:sz w:val="16"/>
              </w:rPr>
              <w:t>.</w:t>
            </w:r>
          </w:p>
        </w:tc>
        <w:tc>
          <w:tcPr>
            <w:tcW w:w="748" w:type="dxa"/>
            <w:tcBorders>
              <w:top w:val="single" w:sz="4" w:space="0" w:color="auto"/>
              <w:bottom w:val="single" w:sz="12" w:space="0" w:color="auto"/>
            </w:tcBorders>
            <w:shd w:val="clear" w:color="auto" w:fill="auto"/>
            <w:textDirection w:val="btLr"/>
            <w:vAlign w:val="bottom"/>
          </w:tcPr>
          <w:p w:rsidR="009C6977" w:rsidRPr="0063682B" w:rsidRDefault="009C6977" w:rsidP="0063682B">
            <w:pPr>
              <w:pStyle w:val="SingleTxtG"/>
              <w:spacing w:before="80" w:after="80" w:line="200" w:lineRule="exact"/>
              <w:ind w:left="113" w:right="113"/>
              <w:jc w:val="right"/>
              <w:rPr>
                <w:i/>
                <w:sz w:val="16"/>
              </w:rPr>
            </w:pPr>
            <w:r w:rsidRPr="0063682B">
              <w:rPr>
                <w:i/>
                <w:sz w:val="16"/>
              </w:rPr>
              <w:t xml:space="preserve">Not </w:t>
            </w:r>
            <w:proofErr w:type="spellStart"/>
            <w:r w:rsidRPr="0063682B">
              <w:rPr>
                <w:i/>
                <w:sz w:val="16"/>
              </w:rPr>
              <w:t>implem</w:t>
            </w:r>
            <w:proofErr w:type="spellEnd"/>
            <w:r w:rsidRPr="0063682B">
              <w:rPr>
                <w:i/>
                <w:sz w:val="16"/>
              </w:rPr>
              <w:t>.</w:t>
            </w:r>
          </w:p>
        </w:tc>
        <w:tc>
          <w:tcPr>
            <w:tcW w:w="902" w:type="dxa"/>
            <w:tcBorders>
              <w:top w:val="single" w:sz="4" w:space="0" w:color="auto"/>
              <w:bottom w:val="single" w:sz="12" w:space="0" w:color="auto"/>
              <w:right w:val="single" w:sz="24" w:space="0" w:color="FFFFFF" w:themeColor="background1"/>
            </w:tcBorders>
            <w:shd w:val="clear" w:color="auto" w:fill="auto"/>
            <w:textDirection w:val="btLr"/>
            <w:vAlign w:val="bottom"/>
          </w:tcPr>
          <w:p w:rsidR="009C6977" w:rsidRPr="00890D67" w:rsidRDefault="00035680" w:rsidP="0063682B">
            <w:pPr>
              <w:pStyle w:val="SingleTxtG"/>
              <w:spacing w:before="80" w:after="80" w:line="200" w:lineRule="exact"/>
              <w:ind w:left="113" w:right="113"/>
              <w:jc w:val="right"/>
              <w:rPr>
                <w:i/>
                <w:sz w:val="16"/>
                <w:lang w:val="fr-CH"/>
              </w:rPr>
            </w:pPr>
            <w:r>
              <w:rPr>
                <w:i/>
                <w:sz w:val="16"/>
                <w:lang w:val="fr-CH"/>
              </w:rPr>
              <w:t>No longer relevant</w:t>
            </w:r>
            <w:r w:rsidR="009C6977" w:rsidRPr="00890D67">
              <w:rPr>
                <w:i/>
                <w:sz w:val="16"/>
                <w:lang w:val="fr-CH"/>
              </w:rPr>
              <w:t xml:space="preserve">/ </w:t>
            </w:r>
            <w:proofErr w:type="spellStart"/>
            <w:r w:rsidR="009C6977" w:rsidRPr="00890D67">
              <w:rPr>
                <w:i/>
                <w:sz w:val="16"/>
                <w:lang w:val="fr-CH"/>
              </w:rPr>
              <w:t>insufficient</w:t>
            </w:r>
            <w:proofErr w:type="spellEnd"/>
            <w:r w:rsidR="009C6977" w:rsidRPr="00890D67">
              <w:rPr>
                <w:i/>
                <w:sz w:val="16"/>
                <w:lang w:val="fr-CH"/>
              </w:rPr>
              <w:t xml:space="preserve"> information</w:t>
            </w:r>
          </w:p>
        </w:tc>
        <w:tc>
          <w:tcPr>
            <w:tcW w:w="709" w:type="dxa"/>
            <w:tcBorders>
              <w:top w:val="single" w:sz="4" w:space="0" w:color="auto"/>
              <w:left w:val="single" w:sz="24" w:space="0" w:color="FFFFFF" w:themeColor="background1"/>
              <w:bottom w:val="single" w:sz="12" w:space="0" w:color="auto"/>
            </w:tcBorders>
            <w:shd w:val="clear" w:color="auto" w:fill="auto"/>
            <w:textDirection w:val="btLr"/>
            <w:vAlign w:val="bottom"/>
          </w:tcPr>
          <w:p w:rsidR="009C6977" w:rsidRPr="0063682B" w:rsidRDefault="009C6977" w:rsidP="0063682B">
            <w:pPr>
              <w:pStyle w:val="SingleTxtG"/>
              <w:spacing w:before="80" w:after="80" w:line="200" w:lineRule="exact"/>
              <w:ind w:left="113" w:right="113"/>
              <w:jc w:val="right"/>
              <w:rPr>
                <w:i/>
                <w:sz w:val="16"/>
              </w:rPr>
            </w:pPr>
            <w:proofErr w:type="spellStart"/>
            <w:r w:rsidRPr="0063682B">
              <w:rPr>
                <w:i/>
                <w:sz w:val="16"/>
              </w:rPr>
              <w:t>Implem</w:t>
            </w:r>
            <w:proofErr w:type="spellEnd"/>
            <w:r w:rsidRPr="0063682B">
              <w:rPr>
                <w:i/>
                <w:sz w:val="16"/>
              </w:rPr>
              <w:t>.</w:t>
            </w:r>
          </w:p>
        </w:tc>
        <w:tc>
          <w:tcPr>
            <w:tcW w:w="603" w:type="dxa"/>
            <w:tcBorders>
              <w:top w:val="single" w:sz="4" w:space="0" w:color="auto"/>
              <w:bottom w:val="single" w:sz="12" w:space="0" w:color="auto"/>
            </w:tcBorders>
            <w:shd w:val="clear" w:color="auto" w:fill="auto"/>
            <w:textDirection w:val="btLr"/>
            <w:vAlign w:val="bottom"/>
          </w:tcPr>
          <w:p w:rsidR="009C6977" w:rsidRPr="0063682B" w:rsidRDefault="009C6977" w:rsidP="0063682B">
            <w:pPr>
              <w:pStyle w:val="SingleTxtG"/>
              <w:spacing w:before="80" w:after="80" w:line="200" w:lineRule="exact"/>
              <w:ind w:left="113" w:right="113"/>
              <w:jc w:val="right"/>
              <w:rPr>
                <w:i/>
                <w:sz w:val="16"/>
              </w:rPr>
            </w:pPr>
            <w:r w:rsidRPr="0063682B">
              <w:rPr>
                <w:i/>
                <w:sz w:val="16"/>
              </w:rPr>
              <w:t xml:space="preserve">Partially </w:t>
            </w:r>
            <w:proofErr w:type="spellStart"/>
            <w:r w:rsidRPr="0063682B">
              <w:rPr>
                <w:i/>
                <w:sz w:val="16"/>
              </w:rPr>
              <w:t>implem</w:t>
            </w:r>
            <w:proofErr w:type="spellEnd"/>
            <w:r w:rsidRPr="0063682B">
              <w:rPr>
                <w:i/>
                <w:sz w:val="16"/>
              </w:rPr>
              <w:t>.</w:t>
            </w:r>
          </w:p>
        </w:tc>
        <w:tc>
          <w:tcPr>
            <w:tcW w:w="761" w:type="dxa"/>
            <w:tcBorders>
              <w:top w:val="single" w:sz="4" w:space="0" w:color="auto"/>
              <w:bottom w:val="single" w:sz="12" w:space="0" w:color="auto"/>
            </w:tcBorders>
            <w:shd w:val="clear" w:color="auto" w:fill="auto"/>
            <w:textDirection w:val="btLr"/>
            <w:vAlign w:val="bottom"/>
          </w:tcPr>
          <w:p w:rsidR="009C6977" w:rsidRPr="0063682B" w:rsidRDefault="009C6977" w:rsidP="0063682B">
            <w:pPr>
              <w:pStyle w:val="SingleTxtG"/>
              <w:spacing w:before="80" w:after="80" w:line="200" w:lineRule="exact"/>
              <w:ind w:left="113" w:right="113"/>
              <w:jc w:val="right"/>
              <w:rPr>
                <w:i/>
                <w:sz w:val="16"/>
              </w:rPr>
            </w:pPr>
            <w:r w:rsidRPr="0063682B">
              <w:rPr>
                <w:i/>
                <w:sz w:val="16"/>
              </w:rPr>
              <w:t xml:space="preserve">Not </w:t>
            </w:r>
            <w:proofErr w:type="spellStart"/>
            <w:r w:rsidRPr="0063682B">
              <w:rPr>
                <w:i/>
                <w:sz w:val="16"/>
              </w:rPr>
              <w:t>implem</w:t>
            </w:r>
            <w:proofErr w:type="spellEnd"/>
            <w:r w:rsidRPr="0063682B">
              <w:rPr>
                <w:i/>
                <w:sz w:val="16"/>
              </w:rPr>
              <w:t>.</w:t>
            </w:r>
          </w:p>
        </w:tc>
        <w:tc>
          <w:tcPr>
            <w:tcW w:w="762" w:type="dxa"/>
            <w:tcBorders>
              <w:top w:val="single" w:sz="4" w:space="0" w:color="auto"/>
              <w:bottom w:val="single" w:sz="12" w:space="0" w:color="auto"/>
            </w:tcBorders>
            <w:shd w:val="clear" w:color="auto" w:fill="auto"/>
            <w:textDirection w:val="btLr"/>
            <w:vAlign w:val="bottom"/>
          </w:tcPr>
          <w:p w:rsidR="009C6977" w:rsidRPr="0063682B" w:rsidRDefault="009C6977" w:rsidP="0063682B">
            <w:pPr>
              <w:pStyle w:val="SingleTxtG"/>
              <w:spacing w:before="80" w:after="80" w:line="200" w:lineRule="exact"/>
              <w:ind w:left="113" w:right="113"/>
              <w:jc w:val="right"/>
              <w:rPr>
                <w:i/>
                <w:sz w:val="16"/>
              </w:rPr>
            </w:pPr>
            <w:r w:rsidRPr="0063682B">
              <w:rPr>
                <w:i/>
                <w:sz w:val="16"/>
              </w:rPr>
              <w:t>Insufficient information</w:t>
            </w:r>
          </w:p>
        </w:tc>
      </w:tr>
      <w:tr w:rsidR="001208AF" w:rsidRPr="001208AF">
        <w:tc>
          <w:tcPr>
            <w:tcW w:w="1417" w:type="dxa"/>
            <w:tcBorders>
              <w:top w:val="single" w:sz="12" w:space="0" w:color="auto"/>
            </w:tcBorders>
            <w:shd w:val="clear" w:color="auto" w:fill="auto"/>
          </w:tcPr>
          <w:p w:rsidR="009C6977" w:rsidRPr="001208AF" w:rsidRDefault="009C6977" w:rsidP="001208AF">
            <w:pPr>
              <w:pStyle w:val="SingleTxtG"/>
              <w:spacing w:before="40" w:after="40" w:line="220" w:lineRule="exact"/>
              <w:ind w:left="0" w:right="113"/>
              <w:jc w:val="left"/>
              <w:rPr>
                <w:sz w:val="18"/>
              </w:rPr>
            </w:pPr>
            <w:r w:rsidRPr="001208AF">
              <w:rPr>
                <w:sz w:val="18"/>
              </w:rPr>
              <w:t>General implementation of international standards and recommendations</w:t>
            </w:r>
          </w:p>
        </w:tc>
        <w:tc>
          <w:tcPr>
            <w:tcW w:w="746" w:type="dxa"/>
            <w:tcBorders>
              <w:top w:val="single" w:sz="12"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2</w:t>
            </w:r>
          </w:p>
        </w:tc>
        <w:tc>
          <w:tcPr>
            <w:tcW w:w="746" w:type="dxa"/>
            <w:tcBorders>
              <w:top w:val="single" w:sz="12"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26</w:t>
            </w:r>
          </w:p>
        </w:tc>
        <w:tc>
          <w:tcPr>
            <w:tcW w:w="748" w:type="dxa"/>
            <w:tcBorders>
              <w:top w:val="single" w:sz="12"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2</w:t>
            </w:r>
          </w:p>
        </w:tc>
        <w:tc>
          <w:tcPr>
            <w:tcW w:w="750" w:type="dxa"/>
            <w:tcBorders>
              <w:top w:val="single" w:sz="12"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0</w:t>
            </w:r>
          </w:p>
        </w:tc>
        <w:tc>
          <w:tcPr>
            <w:tcW w:w="747" w:type="dxa"/>
            <w:tcBorders>
              <w:top w:val="single" w:sz="12"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2</w:t>
            </w:r>
          </w:p>
        </w:tc>
        <w:tc>
          <w:tcPr>
            <w:tcW w:w="748" w:type="dxa"/>
            <w:tcBorders>
              <w:top w:val="single" w:sz="12"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0</w:t>
            </w:r>
          </w:p>
        </w:tc>
        <w:tc>
          <w:tcPr>
            <w:tcW w:w="902" w:type="dxa"/>
            <w:tcBorders>
              <w:top w:val="single" w:sz="12"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1</w:t>
            </w:r>
          </w:p>
        </w:tc>
        <w:tc>
          <w:tcPr>
            <w:tcW w:w="709" w:type="dxa"/>
            <w:tcBorders>
              <w:top w:val="single" w:sz="12"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8</w:t>
            </w:r>
          </w:p>
        </w:tc>
        <w:tc>
          <w:tcPr>
            <w:tcW w:w="603" w:type="dxa"/>
            <w:tcBorders>
              <w:top w:val="single" w:sz="12"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8</w:t>
            </w:r>
          </w:p>
        </w:tc>
        <w:tc>
          <w:tcPr>
            <w:tcW w:w="761" w:type="dxa"/>
            <w:tcBorders>
              <w:top w:val="single" w:sz="12"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10</w:t>
            </w:r>
          </w:p>
        </w:tc>
        <w:tc>
          <w:tcPr>
            <w:tcW w:w="762" w:type="dxa"/>
            <w:tcBorders>
              <w:top w:val="single" w:sz="12"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6</w:t>
            </w:r>
          </w:p>
        </w:tc>
      </w:tr>
      <w:tr w:rsidR="001208AF" w:rsidRPr="001208AF">
        <w:tc>
          <w:tcPr>
            <w:tcW w:w="1417" w:type="dxa"/>
            <w:shd w:val="clear" w:color="auto" w:fill="auto"/>
          </w:tcPr>
          <w:p w:rsidR="009C6977" w:rsidRPr="001208AF" w:rsidRDefault="009C6977" w:rsidP="001208AF">
            <w:pPr>
              <w:pStyle w:val="SingleTxtG"/>
              <w:spacing w:before="40" w:after="40" w:line="220" w:lineRule="exact"/>
              <w:ind w:left="0" w:right="113"/>
              <w:jc w:val="left"/>
              <w:rPr>
                <w:sz w:val="18"/>
              </w:rPr>
            </w:pPr>
            <w:r w:rsidRPr="001208AF">
              <w:rPr>
                <w:sz w:val="18"/>
              </w:rPr>
              <w:t>Cooperation with international mechanisms</w:t>
            </w:r>
          </w:p>
        </w:tc>
        <w:tc>
          <w:tcPr>
            <w:tcW w:w="746"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3</w:t>
            </w:r>
          </w:p>
        </w:tc>
        <w:tc>
          <w:tcPr>
            <w:tcW w:w="746"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2</w:t>
            </w:r>
          </w:p>
        </w:tc>
        <w:tc>
          <w:tcPr>
            <w:tcW w:w="748"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0</w:t>
            </w:r>
          </w:p>
        </w:tc>
        <w:tc>
          <w:tcPr>
            <w:tcW w:w="750"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0</w:t>
            </w:r>
          </w:p>
        </w:tc>
        <w:tc>
          <w:tcPr>
            <w:tcW w:w="747"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0</w:t>
            </w:r>
          </w:p>
        </w:tc>
        <w:tc>
          <w:tcPr>
            <w:tcW w:w="748"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0</w:t>
            </w:r>
          </w:p>
        </w:tc>
        <w:tc>
          <w:tcPr>
            <w:tcW w:w="902"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0</w:t>
            </w:r>
          </w:p>
        </w:tc>
        <w:tc>
          <w:tcPr>
            <w:tcW w:w="709"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0</w:t>
            </w:r>
          </w:p>
        </w:tc>
        <w:tc>
          <w:tcPr>
            <w:tcW w:w="603"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1</w:t>
            </w:r>
          </w:p>
        </w:tc>
        <w:tc>
          <w:tcPr>
            <w:tcW w:w="761"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3</w:t>
            </w:r>
          </w:p>
        </w:tc>
        <w:tc>
          <w:tcPr>
            <w:tcW w:w="762"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1</w:t>
            </w:r>
          </w:p>
        </w:tc>
      </w:tr>
      <w:tr w:rsidR="001208AF" w:rsidRPr="001208AF">
        <w:tc>
          <w:tcPr>
            <w:tcW w:w="1417" w:type="dxa"/>
            <w:shd w:val="clear" w:color="auto" w:fill="auto"/>
          </w:tcPr>
          <w:p w:rsidR="009C6977" w:rsidRPr="001208AF" w:rsidRDefault="009C6977" w:rsidP="001208AF">
            <w:pPr>
              <w:pStyle w:val="SingleTxtG"/>
              <w:spacing w:before="40" w:after="40" w:line="220" w:lineRule="exact"/>
              <w:ind w:left="0" w:right="113"/>
              <w:jc w:val="left"/>
              <w:rPr>
                <w:sz w:val="18"/>
              </w:rPr>
            </w:pPr>
            <w:r w:rsidRPr="001208AF">
              <w:rPr>
                <w:sz w:val="18"/>
              </w:rPr>
              <w:t>Actions conducive to peace</w:t>
            </w:r>
          </w:p>
        </w:tc>
        <w:tc>
          <w:tcPr>
            <w:tcW w:w="746"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2</w:t>
            </w:r>
          </w:p>
        </w:tc>
        <w:tc>
          <w:tcPr>
            <w:tcW w:w="746"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4</w:t>
            </w:r>
          </w:p>
        </w:tc>
        <w:tc>
          <w:tcPr>
            <w:tcW w:w="748"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2</w:t>
            </w:r>
          </w:p>
        </w:tc>
        <w:tc>
          <w:tcPr>
            <w:tcW w:w="750"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0</w:t>
            </w:r>
          </w:p>
        </w:tc>
        <w:tc>
          <w:tcPr>
            <w:tcW w:w="747"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1</w:t>
            </w:r>
          </w:p>
        </w:tc>
        <w:tc>
          <w:tcPr>
            <w:tcW w:w="748"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2</w:t>
            </w:r>
          </w:p>
        </w:tc>
        <w:tc>
          <w:tcPr>
            <w:tcW w:w="902"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0</w:t>
            </w:r>
          </w:p>
        </w:tc>
        <w:tc>
          <w:tcPr>
            <w:tcW w:w="709"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2</w:t>
            </w:r>
          </w:p>
        </w:tc>
        <w:tc>
          <w:tcPr>
            <w:tcW w:w="603"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6</w:t>
            </w:r>
          </w:p>
        </w:tc>
        <w:tc>
          <w:tcPr>
            <w:tcW w:w="761"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12</w:t>
            </w:r>
          </w:p>
        </w:tc>
        <w:tc>
          <w:tcPr>
            <w:tcW w:w="762" w:type="dxa"/>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6</w:t>
            </w:r>
          </w:p>
        </w:tc>
      </w:tr>
      <w:tr w:rsidR="001208AF" w:rsidRPr="001208AF">
        <w:tc>
          <w:tcPr>
            <w:tcW w:w="1417" w:type="dxa"/>
            <w:tcBorders>
              <w:bottom w:val="single" w:sz="4" w:space="0" w:color="auto"/>
            </w:tcBorders>
            <w:shd w:val="clear" w:color="auto" w:fill="auto"/>
          </w:tcPr>
          <w:p w:rsidR="009C6977" w:rsidRPr="001208AF" w:rsidRDefault="009C6977" w:rsidP="001208AF">
            <w:pPr>
              <w:pStyle w:val="SingleTxtG"/>
              <w:spacing w:before="40" w:after="40" w:line="220" w:lineRule="exact"/>
              <w:ind w:left="0" w:right="113"/>
              <w:jc w:val="left"/>
              <w:rPr>
                <w:sz w:val="18"/>
              </w:rPr>
            </w:pPr>
            <w:r w:rsidRPr="001208AF">
              <w:rPr>
                <w:sz w:val="18"/>
              </w:rPr>
              <w:t>Other</w:t>
            </w:r>
          </w:p>
        </w:tc>
        <w:tc>
          <w:tcPr>
            <w:tcW w:w="746" w:type="dxa"/>
            <w:tcBorders>
              <w:bottom w:val="single" w:sz="4"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0</w:t>
            </w:r>
          </w:p>
        </w:tc>
        <w:tc>
          <w:tcPr>
            <w:tcW w:w="746" w:type="dxa"/>
            <w:tcBorders>
              <w:bottom w:val="single" w:sz="4"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13</w:t>
            </w:r>
          </w:p>
        </w:tc>
        <w:tc>
          <w:tcPr>
            <w:tcW w:w="748" w:type="dxa"/>
            <w:tcBorders>
              <w:bottom w:val="single" w:sz="4"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8</w:t>
            </w:r>
          </w:p>
        </w:tc>
        <w:tc>
          <w:tcPr>
            <w:tcW w:w="750" w:type="dxa"/>
            <w:tcBorders>
              <w:bottom w:val="single" w:sz="4"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1</w:t>
            </w:r>
          </w:p>
        </w:tc>
        <w:tc>
          <w:tcPr>
            <w:tcW w:w="747" w:type="dxa"/>
            <w:tcBorders>
              <w:bottom w:val="single" w:sz="4"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1</w:t>
            </w:r>
          </w:p>
        </w:tc>
        <w:tc>
          <w:tcPr>
            <w:tcW w:w="748" w:type="dxa"/>
            <w:tcBorders>
              <w:bottom w:val="single" w:sz="4"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0</w:t>
            </w:r>
          </w:p>
        </w:tc>
        <w:tc>
          <w:tcPr>
            <w:tcW w:w="902" w:type="dxa"/>
            <w:tcBorders>
              <w:bottom w:val="single" w:sz="4"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1</w:t>
            </w:r>
          </w:p>
        </w:tc>
        <w:tc>
          <w:tcPr>
            <w:tcW w:w="709" w:type="dxa"/>
            <w:tcBorders>
              <w:bottom w:val="single" w:sz="4"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0</w:t>
            </w:r>
          </w:p>
        </w:tc>
        <w:tc>
          <w:tcPr>
            <w:tcW w:w="603" w:type="dxa"/>
            <w:tcBorders>
              <w:bottom w:val="single" w:sz="4"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2</w:t>
            </w:r>
          </w:p>
        </w:tc>
        <w:tc>
          <w:tcPr>
            <w:tcW w:w="761" w:type="dxa"/>
            <w:tcBorders>
              <w:bottom w:val="single" w:sz="4"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1</w:t>
            </w:r>
          </w:p>
        </w:tc>
        <w:tc>
          <w:tcPr>
            <w:tcW w:w="762" w:type="dxa"/>
            <w:tcBorders>
              <w:bottom w:val="single" w:sz="4" w:space="0" w:color="auto"/>
            </w:tcBorders>
            <w:shd w:val="clear" w:color="auto" w:fill="auto"/>
            <w:vAlign w:val="bottom"/>
          </w:tcPr>
          <w:p w:rsidR="009C6977" w:rsidRPr="001208AF" w:rsidRDefault="009C6977" w:rsidP="001208AF">
            <w:pPr>
              <w:pStyle w:val="SingleTxtG"/>
              <w:spacing w:before="40" w:after="40" w:line="220" w:lineRule="exact"/>
              <w:ind w:left="0" w:right="113"/>
              <w:jc w:val="right"/>
              <w:rPr>
                <w:sz w:val="18"/>
              </w:rPr>
            </w:pPr>
            <w:r w:rsidRPr="001208AF">
              <w:rPr>
                <w:sz w:val="18"/>
              </w:rPr>
              <w:t>2</w:t>
            </w:r>
          </w:p>
        </w:tc>
      </w:tr>
      <w:tr w:rsidR="001208AF" w:rsidRPr="00E2531D">
        <w:tc>
          <w:tcPr>
            <w:tcW w:w="1417" w:type="dxa"/>
            <w:tcBorders>
              <w:top w:val="single" w:sz="4" w:space="0" w:color="auto"/>
              <w:bottom w:val="single" w:sz="12" w:space="0" w:color="auto"/>
            </w:tcBorders>
            <w:shd w:val="clear" w:color="auto" w:fill="auto"/>
            <w:vAlign w:val="bottom"/>
          </w:tcPr>
          <w:p w:rsidR="009C6977" w:rsidRPr="00E2531D" w:rsidRDefault="009C6977" w:rsidP="00E2531D">
            <w:pPr>
              <w:pStyle w:val="SingleTxtG"/>
              <w:spacing w:before="80" w:after="80" w:line="220" w:lineRule="exact"/>
              <w:ind w:left="283" w:right="0"/>
              <w:jc w:val="left"/>
              <w:rPr>
                <w:b/>
                <w:sz w:val="18"/>
              </w:rPr>
            </w:pPr>
            <w:r w:rsidRPr="00E2531D">
              <w:rPr>
                <w:b/>
                <w:sz w:val="18"/>
              </w:rPr>
              <w:t>Total</w:t>
            </w:r>
          </w:p>
        </w:tc>
        <w:tc>
          <w:tcPr>
            <w:tcW w:w="746" w:type="dxa"/>
            <w:tcBorders>
              <w:top w:val="single" w:sz="4" w:space="0" w:color="auto"/>
              <w:bottom w:val="single" w:sz="12" w:space="0" w:color="auto"/>
            </w:tcBorders>
            <w:shd w:val="clear" w:color="auto" w:fill="auto"/>
            <w:vAlign w:val="bottom"/>
          </w:tcPr>
          <w:p w:rsidR="009C6977" w:rsidRPr="00E2531D" w:rsidRDefault="009C6977" w:rsidP="00E2531D">
            <w:pPr>
              <w:pStyle w:val="SingleTxtG"/>
              <w:spacing w:before="80" w:after="80" w:line="220" w:lineRule="exact"/>
              <w:ind w:left="0" w:right="113"/>
              <w:jc w:val="right"/>
              <w:rPr>
                <w:b/>
                <w:sz w:val="18"/>
              </w:rPr>
            </w:pPr>
            <w:r w:rsidRPr="00E2531D">
              <w:rPr>
                <w:b/>
                <w:sz w:val="18"/>
              </w:rPr>
              <w:t xml:space="preserve">7 </w:t>
            </w:r>
            <w:r w:rsidR="00C1787E">
              <w:rPr>
                <w:b/>
                <w:sz w:val="18"/>
              </w:rPr>
              <w:br/>
            </w:r>
            <w:r w:rsidRPr="00E2531D">
              <w:rPr>
                <w:b/>
                <w:sz w:val="18"/>
              </w:rPr>
              <w:t>(13%)</w:t>
            </w:r>
          </w:p>
        </w:tc>
        <w:tc>
          <w:tcPr>
            <w:tcW w:w="746" w:type="dxa"/>
            <w:tcBorders>
              <w:top w:val="single" w:sz="4" w:space="0" w:color="auto"/>
              <w:bottom w:val="single" w:sz="12" w:space="0" w:color="auto"/>
            </w:tcBorders>
            <w:shd w:val="clear" w:color="auto" w:fill="auto"/>
            <w:vAlign w:val="bottom"/>
          </w:tcPr>
          <w:p w:rsidR="009C6977" w:rsidRPr="00E2531D" w:rsidRDefault="009C6977" w:rsidP="00E2531D">
            <w:pPr>
              <w:pStyle w:val="SingleTxtG"/>
              <w:spacing w:before="80" w:after="80" w:line="220" w:lineRule="exact"/>
              <w:ind w:left="0" w:right="113"/>
              <w:jc w:val="right"/>
              <w:rPr>
                <w:b/>
                <w:sz w:val="18"/>
              </w:rPr>
            </w:pPr>
            <w:r w:rsidRPr="00E2531D">
              <w:rPr>
                <w:b/>
                <w:sz w:val="18"/>
              </w:rPr>
              <w:t>45 (80%)</w:t>
            </w:r>
          </w:p>
        </w:tc>
        <w:tc>
          <w:tcPr>
            <w:tcW w:w="748" w:type="dxa"/>
            <w:tcBorders>
              <w:top w:val="single" w:sz="4" w:space="0" w:color="auto"/>
              <w:bottom w:val="single" w:sz="12" w:space="0" w:color="auto"/>
            </w:tcBorders>
            <w:shd w:val="clear" w:color="auto" w:fill="auto"/>
            <w:vAlign w:val="bottom"/>
          </w:tcPr>
          <w:p w:rsidR="009C6977" w:rsidRPr="00E2531D" w:rsidRDefault="009C6977" w:rsidP="00E2531D">
            <w:pPr>
              <w:pStyle w:val="SingleTxtG"/>
              <w:spacing w:before="80" w:after="80" w:line="220" w:lineRule="exact"/>
              <w:ind w:left="0" w:right="113"/>
              <w:jc w:val="right"/>
              <w:rPr>
                <w:b/>
                <w:sz w:val="18"/>
              </w:rPr>
            </w:pPr>
            <w:r w:rsidRPr="00E2531D">
              <w:rPr>
                <w:b/>
                <w:sz w:val="18"/>
              </w:rPr>
              <w:t xml:space="preserve">4 </w:t>
            </w:r>
            <w:r w:rsidR="00C1787E">
              <w:rPr>
                <w:b/>
                <w:sz w:val="18"/>
              </w:rPr>
              <w:br/>
            </w:r>
            <w:r w:rsidRPr="00E2531D">
              <w:rPr>
                <w:b/>
                <w:sz w:val="18"/>
              </w:rPr>
              <w:t>(7%)</w:t>
            </w:r>
          </w:p>
        </w:tc>
        <w:tc>
          <w:tcPr>
            <w:tcW w:w="750" w:type="dxa"/>
            <w:tcBorders>
              <w:top w:val="single" w:sz="4" w:space="0" w:color="auto"/>
              <w:bottom w:val="single" w:sz="12" w:space="0" w:color="auto"/>
            </w:tcBorders>
            <w:shd w:val="clear" w:color="auto" w:fill="auto"/>
            <w:vAlign w:val="bottom"/>
          </w:tcPr>
          <w:p w:rsidR="009C6977" w:rsidRPr="00E2531D" w:rsidRDefault="009C6977" w:rsidP="00E2531D">
            <w:pPr>
              <w:pStyle w:val="SingleTxtG"/>
              <w:spacing w:before="80" w:after="80" w:line="220" w:lineRule="exact"/>
              <w:ind w:left="0" w:right="113"/>
              <w:jc w:val="right"/>
              <w:rPr>
                <w:b/>
                <w:sz w:val="18"/>
              </w:rPr>
            </w:pPr>
            <w:r w:rsidRPr="00E2531D">
              <w:rPr>
                <w:b/>
                <w:sz w:val="18"/>
              </w:rPr>
              <w:t xml:space="preserve">1 </w:t>
            </w:r>
            <w:r w:rsidR="00C1787E">
              <w:rPr>
                <w:b/>
                <w:sz w:val="18"/>
              </w:rPr>
              <w:br/>
            </w:r>
            <w:r w:rsidRPr="00E2531D">
              <w:rPr>
                <w:b/>
                <w:sz w:val="18"/>
              </w:rPr>
              <w:t>(11%)</w:t>
            </w:r>
          </w:p>
        </w:tc>
        <w:tc>
          <w:tcPr>
            <w:tcW w:w="747" w:type="dxa"/>
            <w:tcBorders>
              <w:top w:val="single" w:sz="4" w:space="0" w:color="auto"/>
              <w:bottom w:val="single" w:sz="12" w:space="0" w:color="auto"/>
            </w:tcBorders>
            <w:shd w:val="clear" w:color="auto" w:fill="auto"/>
            <w:vAlign w:val="bottom"/>
          </w:tcPr>
          <w:p w:rsidR="009C6977" w:rsidRPr="00E2531D" w:rsidRDefault="009C6977" w:rsidP="00E2531D">
            <w:pPr>
              <w:pStyle w:val="SingleTxtG"/>
              <w:spacing w:before="80" w:after="80" w:line="220" w:lineRule="exact"/>
              <w:ind w:left="0" w:right="113"/>
              <w:jc w:val="right"/>
              <w:rPr>
                <w:b/>
                <w:sz w:val="18"/>
              </w:rPr>
            </w:pPr>
            <w:r w:rsidRPr="00E2531D">
              <w:rPr>
                <w:b/>
                <w:sz w:val="18"/>
              </w:rPr>
              <w:t xml:space="preserve">4 </w:t>
            </w:r>
            <w:r w:rsidR="00C1787E">
              <w:rPr>
                <w:b/>
                <w:sz w:val="18"/>
              </w:rPr>
              <w:br/>
            </w:r>
            <w:r w:rsidRPr="00E2531D">
              <w:rPr>
                <w:b/>
                <w:sz w:val="18"/>
              </w:rPr>
              <w:t>(44%)</w:t>
            </w:r>
          </w:p>
        </w:tc>
        <w:tc>
          <w:tcPr>
            <w:tcW w:w="748" w:type="dxa"/>
            <w:tcBorders>
              <w:top w:val="single" w:sz="4" w:space="0" w:color="auto"/>
              <w:bottom w:val="single" w:sz="12" w:space="0" w:color="auto"/>
            </w:tcBorders>
            <w:shd w:val="clear" w:color="auto" w:fill="auto"/>
            <w:vAlign w:val="bottom"/>
          </w:tcPr>
          <w:p w:rsidR="009C6977" w:rsidRPr="00E2531D" w:rsidRDefault="009C6977" w:rsidP="00E2531D">
            <w:pPr>
              <w:pStyle w:val="SingleTxtG"/>
              <w:spacing w:before="80" w:after="80" w:line="220" w:lineRule="exact"/>
              <w:ind w:left="0" w:right="113"/>
              <w:jc w:val="right"/>
              <w:rPr>
                <w:b/>
                <w:sz w:val="18"/>
              </w:rPr>
            </w:pPr>
            <w:r w:rsidRPr="00E2531D">
              <w:rPr>
                <w:b/>
                <w:sz w:val="18"/>
              </w:rPr>
              <w:t xml:space="preserve">2 </w:t>
            </w:r>
            <w:r w:rsidR="00C1787E">
              <w:rPr>
                <w:b/>
                <w:sz w:val="18"/>
              </w:rPr>
              <w:br/>
            </w:r>
            <w:r w:rsidRPr="00E2531D">
              <w:rPr>
                <w:b/>
                <w:sz w:val="18"/>
              </w:rPr>
              <w:t>(22%)</w:t>
            </w:r>
          </w:p>
        </w:tc>
        <w:tc>
          <w:tcPr>
            <w:tcW w:w="902" w:type="dxa"/>
            <w:tcBorders>
              <w:top w:val="single" w:sz="4" w:space="0" w:color="auto"/>
              <w:bottom w:val="single" w:sz="12" w:space="0" w:color="auto"/>
            </w:tcBorders>
            <w:shd w:val="clear" w:color="auto" w:fill="auto"/>
            <w:vAlign w:val="bottom"/>
          </w:tcPr>
          <w:p w:rsidR="009C6977" w:rsidRPr="00E2531D" w:rsidRDefault="009C6977" w:rsidP="00E2531D">
            <w:pPr>
              <w:pStyle w:val="SingleTxtG"/>
              <w:spacing w:before="80" w:after="80" w:line="220" w:lineRule="exact"/>
              <w:ind w:left="0" w:right="113"/>
              <w:jc w:val="right"/>
              <w:rPr>
                <w:b/>
                <w:sz w:val="18"/>
              </w:rPr>
            </w:pPr>
            <w:r w:rsidRPr="00E2531D">
              <w:rPr>
                <w:b/>
                <w:sz w:val="18"/>
              </w:rPr>
              <w:t xml:space="preserve">2 </w:t>
            </w:r>
            <w:r w:rsidR="00C1787E">
              <w:rPr>
                <w:b/>
                <w:sz w:val="18"/>
              </w:rPr>
              <w:br/>
            </w:r>
            <w:r w:rsidRPr="00E2531D">
              <w:rPr>
                <w:b/>
                <w:sz w:val="18"/>
              </w:rPr>
              <w:t>(22%)</w:t>
            </w:r>
          </w:p>
        </w:tc>
        <w:tc>
          <w:tcPr>
            <w:tcW w:w="709" w:type="dxa"/>
            <w:tcBorders>
              <w:top w:val="single" w:sz="4" w:space="0" w:color="auto"/>
              <w:bottom w:val="single" w:sz="12" w:space="0" w:color="auto"/>
            </w:tcBorders>
            <w:shd w:val="clear" w:color="auto" w:fill="auto"/>
            <w:vAlign w:val="bottom"/>
          </w:tcPr>
          <w:p w:rsidR="009C6977" w:rsidRPr="00E2531D" w:rsidRDefault="009C6977" w:rsidP="00E2531D">
            <w:pPr>
              <w:pStyle w:val="SingleTxtG"/>
              <w:spacing w:before="80" w:after="80" w:line="220" w:lineRule="exact"/>
              <w:ind w:left="0" w:right="113"/>
              <w:jc w:val="right"/>
              <w:rPr>
                <w:b/>
                <w:sz w:val="18"/>
              </w:rPr>
            </w:pPr>
            <w:r w:rsidRPr="00E2531D">
              <w:rPr>
                <w:b/>
                <w:sz w:val="18"/>
              </w:rPr>
              <w:t>10 (15%)</w:t>
            </w:r>
          </w:p>
        </w:tc>
        <w:tc>
          <w:tcPr>
            <w:tcW w:w="603" w:type="dxa"/>
            <w:tcBorders>
              <w:top w:val="single" w:sz="4" w:space="0" w:color="auto"/>
              <w:bottom w:val="single" w:sz="12" w:space="0" w:color="auto"/>
            </w:tcBorders>
            <w:shd w:val="clear" w:color="auto" w:fill="auto"/>
            <w:vAlign w:val="bottom"/>
          </w:tcPr>
          <w:p w:rsidR="009C6977" w:rsidRPr="00E2531D" w:rsidRDefault="009C6977" w:rsidP="00E2531D">
            <w:pPr>
              <w:pStyle w:val="SingleTxtG"/>
              <w:spacing w:before="80" w:after="80" w:line="220" w:lineRule="exact"/>
              <w:ind w:left="0" w:right="113"/>
              <w:jc w:val="right"/>
              <w:rPr>
                <w:b/>
                <w:sz w:val="18"/>
              </w:rPr>
            </w:pPr>
            <w:r w:rsidRPr="00E2531D">
              <w:rPr>
                <w:b/>
                <w:sz w:val="18"/>
              </w:rPr>
              <w:t>17 (25%)</w:t>
            </w:r>
          </w:p>
        </w:tc>
        <w:tc>
          <w:tcPr>
            <w:tcW w:w="761" w:type="dxa"/>
            <w:tcBorders>
              <w:top w:val="single" w:sz="4" w:space="0" w:color="auto"/>
              <w:bottom w:val="single" w:sz="12" w:space="0" w:color="auto"/>
            </w:tcBorders>
            <w:shd w:val="clear" w:color="auto" w:fill="auto"/>
            <w:vAlign w:val="bottom"/>
          </w:tcPr>
          <w:p w:rsidR="009C6977" w:rsidRPr="00E2531D" w:rsidRDefault="009C6977" w:rsidP="00E2531D">
            <w:pPr>
              <w:pStyle w:val="SingleTxtG"/>
              <w:spacing w:before="80" w:after="80" w:line="220" w:lineRule="exact"/>
              <w:ind w:left="0" w:right="113"/>
              <w:jc w:val="right"/>
              <w:rPr>
                <w:b/>
                <w:sz w:val="18"/>
              </w:rPr>
            </w:pPr>
            <w:r w:rsidRPr="00E2531D">
              <w:rPr>
                <w:b/>
                <w:sz w:val="18"/>
              </w:rPr>
              <w:t>26 (38%)</w:t>
            </w:r>
          </w:p>
        </w:tc>
        <w:tc>
          <w:tcPr>
            <w:tcW w:w="762" w:type="dxa"/>
            <w:tcBorders>
              <w:top w:val="single" w:sz="4" w:space="0" w:color="auto"/>
              <w:bottom w:val="single" w:sz="12" w:space="0" w:color="auto"/>
            </w:tcBorders>
            <w:shd w:val="clear" w:color="auto" w:fill="auto"/>
            <w:vAlign w:val="bottom"/>
          </w:tcPr>
          <w:p w:rsidR="009C6977" w:rsidRPr="00E2531D" w:rsidRDefault="009C6977" w:rsidP="00E2531D">
            <w:pPr>
              <w:pStyle w:val="SingleTxtG"/>
              <w:spacing w:before="80" w:after="80" w:line="220" w:lineRule="exact"/>
              <w:ind w:left="0" w:right="113"/>
              <w:jc w:val="right"/>
              <w:rPr>
                <w:b/>
                <w:sz w:val="18"/>
              </w:rPr>
            </w:pPr>
            <w:r w:rsidRPr="00E2531D">
              <w:rPr>
                <w:b/>
                <w:sz w:val="18"/>
              </w:rPr>
              <w:t>15 (22%)</w:t>
            </w:r>
          </w:p>
        </w:tc>
      </w:tr>
    </w:tbl>
    <w:p w:rsidR="009C6977" w:rsidRPr="00437DBA" w:rsidRDefault="009C6977" w:rsidP="001208AF">
      <w:pPr>
        <w:pStyle w:val="SingleTxtG"/>
        <w:spacing w:before="240"/>
      </w:pPr>
      <w:r w:rsidRPr="00437DBA">
        <w:t>27.</w:t>
      </w:r>
      <w:r w:rsidRPr="00437DBA">
        <w:tab/>
        <w:t>While the United Nations, including OHCHR,</w:t>
      </w:r>
      <w:r w:rsidRPr="009C6977">
        <w:rPr>
          <w:rStyle w:val="FootnoteReference"/>
        </w:rPr>
        <w:footnoteReference w:id="45"/>
      </w:r>
      <w:r w:rsidRPr="00437DBA">
        <w:t xml:space="preserve"> continues to systematically document the human rights situation in the Occupied Palestinian Territory and to promote implementation of its own resolutions, decisions and recommendations, </w:t>
      </w:r>
      <w:r>
        <w:t>“</w:t>
      </w:r>
      <w:r w:rsidRPr="00E03ABF">
        <w:t xml:space="preserve">resolutions and communiqués alone are not enough. What is required is action. </w:t>
      </w:r>
      <w:proofErr w:type="gramStart"/>
      <w:r w:rsidRPr="00E03ABF">
        <w:t>Action by the leaders themselves.</w:t>
      </w:r>
      <w:proofErr w:type="gramEnd"/>
      <w:r w:rsidRPr="00E03ABF">
        <w:t xml:space="preserve"> Action by the international community and the region</w:t>
      </w:r>
      <w:r>
        <w:t>”</w:t>
      </w:r>
      <w:r w:rsidR="002D136D">
        <w:t xml:space="preserve"> </w:t>
      </w:r>
      <w:r w:rsidR="002D136D" w:rsidRPr="00437DBA">
        <w:t>— as noted by the United Nations Special Coordinator for the Middle East Peace Process and Personal Representative of the Secretary-General to the Palestine Liberation Organization and the Palestinian Authority</w:t>
      </w:r>
      <w:r w:rsidR="002D136D">
        <w:t xml:space="preserve"> (</w:t>
      </w:r>
      <w:r w:rsidR="002D136D">
        <w:rPr>
          <w:rStyle w:val="englishspan10"/>
        </w:rPr>
        <w:t>Special Coordinator for the Middle East Peace Process</w:t>
      </w:r>
      <w:r w:rsidR="002D136D">
        <w:t>).</w:t>
      </w:r>
      <w:r w:rsidRPr="009C6977">
        <w:rPr>
          <w:rStyle w:val="FootnoteReference"/>
        </w:rPr>
        <w:footnoteReference w:id="46"/>
      </w:r>
      <w:r w:rsidRPr="00437DBA">
        <w:t xml:space="preserve"> </w:t>
      </w:r>
    </w:p>
    <w:p w:rsidR="009C6977" w:rsidRPr="00437DBA" w:rsidRDefault="009C6977" w:rsidP="00B13294">
      <w:pPr>
        <w:pStyle w:val="SingleTxtG"/>
      </w:pPr>
      <w:r w:rsidRPr="00437DBA">
        <w:t>28.</w:t>
      </w:r>
      <w:r w:rsidRPr="00437DBA">
        <w:tab/>
        <w:t xml:space="preserve">Recommendations calling for the implementation of international human rights standards and previous recommendations made by the United Nations remain largely unimplemented by Israel and by Palestinian authorities. As noted by the Secretary-General, </w:t>
      </w:r>
      <w:r>
        <w:t>“</w:t>
      </w:r>
      <w:r w:rsidRPr="00E03ABF">
        <w:t>all previous recommendations of the United Nations human rights treaty bodies and other mechanisms</w:t>
      </w:r>
      <w:r w:rsidR="00B558FB">
        <w:t xml:space="preserve"> </w:t>
      </w:r>
      <w:r w:rsidRPr="00E03ABF">
        <w:t xml:space="preserve">… which remain </w:t>
      </w:r>
      <w:proofErr w:type="gramStart"/>
      <w:r w:rsidRPr="00E03ABF">
        <w:t>valid,</w:t>
      </w:r>
      <w:proofErr w:type="gramEnd"/>
      <w:r w:rsidRPr="00E03ABF">
        <w:t xml:space="preserve"> must be fully and promptly implemented</w:t>
      </w:r>
      <w:r>
        <w:t>”</w:t>
      </w:r>
      <w:r w:rsidRPr="00437DBA">
        <w:t>.</w:t>
      </w:r>
      <w:r w:rsidRPr="009C6977">
        <w:rPr>
          <w:rStyle w:val="FootnoteReference"/>
        </w:rPr>
        <w:footnoteReference w:id="47"/>
      </w:r>
    </w:p>
    <w:p w:rsidR="009C6977" w:rsidRPr="00437DBA" w:rsidRDefault="009C6977" w:rsidP="00B13294">
      <w:pPr>
        <w:pStyle w:val="SingleTxtG"/>
      </w:pPr>
      <w:r w:rsidRPr="00437DBA">
        <w:t>29.</w:t>
      </w:r>
      <w:r w:rsidRPr="00437DBA">
        <w:tab/>
        <w:t xml:space="preserve">Several Member States have recommended to Israel in the universal periodic review process to respect the right of Palestinians to self-determination, end the occupation and desist from measures seeking </w:t>
      </w:r>
      <w:proofErr w:type="gramStart"/>
      <w:r w:rsidRPr="00437DBA">
        <w:t>to change</w:t>
      </w:r>
      <w:proofErr w:type="gramEnd"/>
      <w:r w:rsidRPr="00437DBA">
        <w:t xml:space="preserve"> the character or legal status of East Jerusalem.</w:t>
      </w:r>
    </w:p>
    <w:p w:rsidR="009C6977" w:rsidRPr="00437DBA" w:rsidRDefault="001208AF" w:rsidP="001208AF">
      <w:pPr>
        <w:pStyle w:val="H1G"/>
      </w:pPr>
      <w:r>
        <w:tab/>
      </w:r>
      <w:bookmarkStart w:id="25" w:name="_Toc484690575"/>
      <w:bookmarkStart w:id="26" w:name="_Toc484792638"/>
      <w:r w:rsidR="009C6977" w:rsidRPr="00437DBA">
        <w:t>C.</w:t>
      </w:r>
      <w:r w:rsidR="009C6977" w:rsidRPr="00437DBA">
        <w:tab/>
        <w:t>Arrest and detention</w:t>
      </w:r>
      <w:bookmarkEnd w:id="25"/>
      <w:bookmarkEnd w:id="26"/>
      <w:r w:rsidR="009C6977" w:rsidRPr="00437DBA" w:rsidDel="00497B77">
        <w:t xml:space="preserve"> </w:t>
      </w:r>
    </w:p>
    <w:p w:rsidR="009C6977" w:rsidRPr="00437DBA" w:rsidRDefault="009C6977" w:rsidP="00B13294">
      <w:pPr>
        <w:pStyle w:val="SingleTxtG"/>
      </w:pPr>
      <w:r w:rsidRPr="00437DBA">
        <w:t>30.</w:t>
      </w:r>
      <w:r w:rsidRPr="00437DBA">
        <w:tab/>
        <w:t xml:space="preserve">The analysis includes 106 recommendations that concern arrest and detention — these constitute 11 per cent of the total. </w:t>
      </w:r>
    </w:p>
    <w:p w:rsidR="005E52E5" w:rsidRDefault="009C6977" w:rsidP="00683D3C">
      <w:pPr>
        <w:pStyle w:val="Heading1"/>
      </w:pPr>
      <w:bookmarkStart w:id="27" w:name="_Toc484690576"/>
      <w:bookmarkStart w:id="28" w:name="_Toc484792639"/>
      <w:r w:rsidRPr="00E03ABF">
        <w:t>Table 5</w:t>
      </w:r>
      <w:bookmarkEnd w:id="27"/>
      <w:bookmarkEnd w:id="28"/>
    </w:p>
    <w:p w:rsidR="009C6977" w:rsidRPr="005E52E5" w:rsidRDefault="009C6977" w:rsidP="005E52E5">
      <w:pPr>
        <w:pStyle w:val="SingleTxtG"/>
        <w:rPr>
          <w:b/>
        </w:rPr>
      </w:pPr>
      <w:r w:rsidRPr="005E52E5">
        <w:rPr>
          <w:b/>
        </w:rPr>
        <w:t>Implementation of recommendations related to conditions of detention</w:t>
      </w:r>
    </w:p>
    <w:tbl>
      <w:tblPr>
        <w:tblW w:w="8505"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985"/>
        <w:gridCol w:w="1276"/>
        <w:gridCol w:w="1275"/>
        <w:gridCol w:w="1276"/>
        <w:gridCol w:w="1275"/>
        <w:gridCol w:w="1418"/>
      </w:tblGrid>
      <w:tr w:rsidR="00C205C0" w:rsidRPr="00683D3C">
        <w:trPr>
          <w:tblHeader/>
        </w:trPr>
        <w:tc>
          <w:tcPr>
            <w:tcW w:w="1985" w:type="dxa"/>
            <w:tcBorders>
              <w:top w:val="single" w:sz="4" w:space="0" w:color="auto"/>
              <w:bottom w:val="nil"/>
            </w:tcBorders>
            <w:shd w:val="clear" w:color="auto" w:fill="auto"/>
            <w:vAlign w:val="bottom"/>
          </w:tcPr>
          <w:p w:rsidR="009C6977" w:rsidRPr="00683D3C" w:rsidRDefault="009C6977" w:rsidP="00683D3C">
            <w:pPr>
              <w:pStyle w:val="SingleTxtG"/>
              <w:spacing w:before="80" w:after="80" w:line="200" w:lineRule="exact"/>
              <w:ind w:left="0" w:right="113"/>
              <w:jc w:val="left"/>
              <w:rPr>
                <w:i/>
                <w:sz w:val="16"/>
              </w:rPr>
            </w:pPr>
          </w:p>
        </w:tc>
        <w:tc>
          <w:tcPr>
            <w:tcW w:w="2551" w:type="dxa"/>
            <w:gridSpan w:val="2"/>
            <w:tcBorders>
              <w:top w:val="single" w:sz="4" w:space="0" w:color="auto"/>
              <w:bottom w:val="single" w:sz="4" w:space="0" w:color="auto"/>
              <w:right w:val="single" w:sz="24" w:space="0" w:color="FFFFFF" w:themeColor="background1"/>
            </w:tcBorders>
            <w:shd w:val="clear" w:color="auto" w:fill="auto"/>
            <w:vAlign w:val="bottom"/>
          </w:tcPr>
          <w:p w:rsidR="009C6977" w:rsidRPr="00683D3C" w:rsidRDefault="009C6977" w:rsidP="004355F0">
            <w:pPr>
              <w:pStyle w:val="SingleTxtG"/>
              <w:spacing w:before="80" w:after="80" w:line="200" w:lineRule="exact"/>
              <w:ind w:left="0" w:right="113"/>
              <w:jc w:val="center"/>
              <w:rPr>
                <w:i/>
                <w:sz w:val="16"/>
              </w:rPr>
            </w:pPr>
            <w:r w:rsidRPr="00683D3C">
              <w:rPr>
                <w:i/>
                <w:sz w:val="16"/>
              </w:rPr>
              <w:t>Israel</w:t>
            </w:r>
          </w:p>
        </w:tc>
        <w:tc>
          <w:tcPr>
            <w:tcW w:w="2551"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tcPr>
          <w:p w:rsidR="009C6977" w:rsidRPr="00683D3C" w:rsidRDefault="009C6977" w:rsidP="004355F0">
            <w:pPr>
              <w:pStyle w:val="SingleTxtG"/>
              <w:spacing w:before="80" w:after="80" w:line="200" w:lineRule="exact"/>
              <w:ind w:left="0" w:right="113"/>
              <w:jc w:val="center"/>
              <w:rPr>
                <w:i/>
                <w:sz w:val="16"/>
              </w:rPr>
            </w:pPr>
            <w:r w:rsidRPr="00683D3C">
              <w:rPr>
                <w:i/>
                <w:sz w:val="16"/>
              </w:rPr>
              <w:t>Palestinian authorities</w:t>
            </w:r>
          </w:p>
        </w:tc>
        <w:tc>
          <w:tcPr>
            <w:tcW w:w="1418" w:type="dxa"/>
            <w:tcBorders>
              <w:top w:val="single" w:sz="4" w:space="0" w:color="auto"/>
              <w:left w:val="single" w:sz="24" w:space="0" w:color="FFFFFF" w:themeColor="background1"/>
              <w:bottom w:val="single" w:sz="4" w:space="0" w:color="auto"/>
            </w:tcBorders>
            <w:shd w:val="clear" w:color="auto" w:fill="auto"/>
            <w:vAlign w:val="bottom"/>
          </w:tcPr>
          <w:p w:rsidR="009C6977" w:rsidRPr="00683D3C" w:rsidRDefault="009C6977" w:rsidP="004355F0">
            <w:pPr>
              <w:pStyle w:val="SingleTxtG"/>
              <w:spacing w:before="80" w:after="80" w:line="200" w:lineRule="exact"/>
              <w:ind w:left="0" w:right="113"/>
              <w:jc w:val="center"/>
              <w:rPr>
                <w:i/>
                <w:sz w:val="16"/>
              </w:rPr>
            </w:pPr>
            <w:r w:rsidRPr="00683D3C">
              <w:rPr>
                <w:i/>
                <w:sz w:val="16"/>
              </w:rPr>
              <w:t>Human Rights Council</w:t>
            </w:r>
          </w:p>
        </w:tc>
      </w:tr>
      <w:tr w:rsidR="00C205C0" w:rsidRPr="004355F0">
        <w:tc>
          <w:tcPr>
            <w:tcW w:w="1985" w:type="dxa"/>
            <w:tcBorders>
              <w:top w:val="nil"/>
              <w:bottom w:val="single" w:sz="12" w:space="0" w:color="auto"/>
            </w:tcBorders>
            <w:shd w:val="clear" w:color="auto" w:fill="auto"/>
          </w:tcPr>
          <w:p w:rsidR="009C6977" w:rsidRPr="004355F0" w:rsidRDefault="009C6977" w:rsidP="004355F0">
            <w:pPr>
              <w:pStyle w:val="SingleTxtG"/>
              <w:spacing w:before="80" w:after="80" w:line="200" w:lineRule="exact"/>
              <w:ind w:left="0" w:right="113"/>
              <w:jc w:val="right"/>
              <w:rPr>
                <w:i/>
                <w:sz w:val="16"/>
              </w:rPr>
            </w:pPr>
          </w:p>
        </w:tc>
        <w:tc>
          <w:tcPr>
            <w:tcW w:w="1276" w:type="dxa"/>
            <w:tcBorders>
              <w:top w:val="nil"/>
              <w:bottom w:val="single" w:sz="12" w:space="0" w:color="auto"/>
            </w:tcBorders>
            <w:shd w:val="clear" w:color="auto" w:fill="auto"/>
            <w:vAlign w:val="bottom"/>
          </w:tcPr>
          <w:p w:rsidR="009C6977" w:rsidRPr="004355F0" w:rsidRDefault="009C6977" w:rsidP="004355F0">
            <w:pPr>
              <w:pStyle w:val="SingleTxtG"/>
              <w:spacing w:before="80" w:after="80" w:line="200" w:lineRule="exact"/>
              <w:ind w:left="0" w:right="113"/>
              <w:jc w:val="right"/>
              <w:rPr>
                <w:i/>
                <w:sz w:val="16"/>
              </w:rPr>
            </w:pPr>
            <w:r w:rsidRPr="004355F0">
              <w:rPr>
                <w:i/>
                <w:sz w:val="16"/>
              </w:rPr>
              <w:t>Partially implemented</w:t>
            </w:r>
          </w:p>
        </w:tc>
        <w:tc>
          <w:tcPr>
            <w:tcW w:w="1275" w:type="dxa"/>
            <w:tcBorders>
              <w:top w:val="single" w:sz="4" w:space="0" w:color="auto"/>
              <w:bottom w:val="single" w:sz="12" w:space="0" w:color="auto"/>
              <w:right w:val="single" w:sz="24" w:space="0" w:color="FFFFFF" w:themeColor="background1"/>
            </w:tcBorders>
            <w:shd w:val="clear" w:color="auto" w:fill="auto"/>
            <w:vAlign w:val="bottom"/>
          </w:tcPr>
          <w:p w:rsidR="009C6977" w:rsidRPr="004355F0" w:rsidRDefault="009C6977" w:rsidP="004355F0">
            <w:pPr>
              <w:pStyle w:val="SingleTxtG"/>
              <w:spacing w:before="80" w:after="80" w:line="200" w:lineRule="exact"/>
              <w:ind w:left="0" w:right="113"/>
              <w:jc w:val="right"/>
              <w:rPr>
                <w:i/>
                <w:sz w:val="16"/>
              </w:rPr>
            </w:pPr>
            <w:r w:rsidRPr="004355F0">
              <w:rPr>
                <w:i/>
                <w:sz w:val="16"/>
              </w:rPr>
              <w:t>Not implemented</w:t>
            </w:r>
          </w:p>
        </w:tc>
        <w:tc>
          <w:tcPr>
            <w:tcW w:w="1276" w:type="dxa"/>
            <w:tcBorders>
              <w:top w:val="single" w:sz="4" w:space="0" w:color="auto"/>
              <w:left w:val="single" w:sz="24" w:space="0" w:color="FFFFFF" w:themeColor="background1"/>
              <w:bottom w:val="single" w:sz="12" w:space="0" w:color="auto"/>
            </w:tcBorders>
            <w:shd w:val="clear" w:color="auto" w:fill="auto"/>
            <w:vAlign w:val="bottom"/>
          </w:tcPr>
          <w:p w:rsidR="009C6977" w:rsidRPr="004355F0" w:rsidRDefault="009C6977" w:rsidP="004355F0">
            <w:pPr>
              <w:pStyle w:val="SingleTxtG"/>
              <w:spacing w:before="80" w:after="80" w:line="200" w:lineRule="exact"/>
              <w:ind w:left="0" w:right="113"/>
              <w:jc w:val="right"/>
              <w:rPr>
                <w:i/>
                <w:sz w:val="16"/>
              </w:rPr>
            </w:pPr>
            <w:r w:rsidRPr="004355F0">
              <w:rPr>
                <w:i/>
                <w:sz w:val="16"/>
              </w:rPr>
              <w:t>Partially implemented</w:t>
            </w:r>
          </w:p>
        </w:tc>
        <w:tc>
          <w:tcPr>
            <w:tcW w:w="1275" w:type="dxa"/>
            <w:tcBorders>
              <w:top w:val="single" w:sz="4" w:space="0" w:color="auto"/>
              <w:bottom w:val="single" w:sz="12" w:space="0" w:color="auto"/>
              <w:right w:val="single" w:sz="24" w:space="0" w:color="FFFFFF" w:themeColor="background1"/>
            </w:tcBorders>
            <w:shd w:val="clear" w:color="auto" w:fill="auto"/>
            <w:vAlign w:val="bottom"/>
          </w:tcPr>
          <w:p w:rsidR="009C6977" w:rsidRPr="004355F0" w:rsidRDefault="009C6977" w:rsidP="004355F0">
            <w:pPr>
              <w:pStyle w:val="SingleTxtG"/>
              <w:spacing w:before="80" w:after="80" w:line="200" w:lineRule="exact"/>
              <w:ind w:left="0" w:right="113"/>
              <w:jc w:val="right"/>
              <w:rPr>
                <w:i/>
                <w:sz w:val="16"/>
              </w:rPr>
            </w:pPr>
            <w:r w:rsidRPr="004355F0">
              <w:rPr>
                <w:i/>
                <w:sz w:val="16"/>
              </w:rPr>
              <w:t>Not implemented</w:t>
            </w:r>
          </w:p>
        </w:tc>
        <w:tc>
          <w:tcPr>
            <w:tcW w:w="1418" w:type="dxa"/>
            <w:tcBorders>
              <w:top w:val="single" w:sz="4" w:space="0" w:color="auto"/>
              <w:left w:val="single" w:sz="24" w:space="0" w:color="FFFFFF" w:themeColor="background1"/>
              <w:bottom w:val="single" w:sz="12" w:space="0" w:color="auto"/>
            </w:tcBorders>
            <w:shd w:val="clear" w:color="auto" w:fill="auto"/>
            <w:vAlign w:val="bottom"/>
          </w:tcPr>
          <w:p w:rsidR="009C6977" w:rsidRPr="004355F0" w:rsidRDefault="009C6977" w:rsidP="004355F0">
            <w:pPr>
              <w:pStyle w:val="SingleTxtG"/>
              <w:spacing w:before="80" w:after="80" w:line="200" w:lineRule="exact"/>
              <w:ind w:left="0" w:right="113"/>
              <w:jc w:val="right"/>
              <w:rPr>
                <w:i/>
                <w:sz w:val="16"/>
              </w:rPr>
            </w:pPr>
            <w:r w:rsidRPr="004355F0">
              <w:rPr>
                <w:i/>
                <w:sz w:val="16"/>
              </w:rPr>
              <w:t>Not implemented</w:t>
            </w:r>
          </w:p>
        </w:tc>
      </w:tr>
      <w:tr w:rsidR="009C6977" w:rsidRPr="00683D3C">
        <w:tc>
          <w:tcPr>
            <w:tcW w:w="1985" w:type="dxa"/>
            <w:tcBorders>
              <w:top w:val="single" w:sz="12" w:space="0" w:color="auto"/>
            </w:tcBorders>
            <w:shd w:val="clear" w:color="auto" w:fill="auto"/>
          </w:tcPr>
          <w:p w:rsidR="009C6977" w:rsidRPr="00683D3C" w:rsidRDefault="009C6977" w:rsidP="00683D3C">
            <w:pPr>
              <w:pStyle w:val="SingleTxtG"/>
              <w:spacing w:before="40" w:after="40" w:line="220" w:lineRule="exact"/>
              <w:ind w:left="0" w:right="113"/>
              <w:jc w:val="left"/>
              <w:rPr>
                <w:sz w:val="18"/>
              </w:rPr>
            </w:pPr>
            <w:r w:rsidRPr="00683D3C">
              <w:rPr>
                <w:sz w:val="18"/>
              </w:rPr>
              <w:t>Treatment of children</w:t>
            </w:r>
          </w:p>
        </w:tc>
        <w:tc>
          <w:tcPr>
            <w:tcW w:w="1276" w:type="dxa"/>
            <w:tcBorders>
              <w:top w:val="single" w:sz="12"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6</w:t>
            </w:r>
          </w:p>
        </w:tc>
        <w:tc>
          <w:tcPr>
            <w:tcW w:w="1275" w:type="dxa"/>
            <w:tcBorders>
              <w:top w:val="single" w:sz="12"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46</w:t>
            </w:r>
          </w:p>
        </w:tc>
        <w:tc>
          <w:tcPr>
            <w:tcW w:w="1276" w:type="dxa"/>
            <w:tcBorders>
              <w:top w:val="single" w:sz="12"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1275" w:type="dxa"/>
            <w:tcBorders>
              <w:top w:val="single" w:sz="12"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1418" w:type="dxa"/>
            <w:tcBorders>
              <w:top w:val="single" w:sz="12"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r>
      <w:tr w:rsidR="009C6977" w:rsidRPr="00683D3C">
        <w:tc>
          <w:tcPr>
            <w:tcW w:w="1985" w:type="dxa"/>
            <w:shd w:val="clear" w:color="auto" w:fill="auto"/>
          </w:tcPr>
          <w:p w:rsidR="009C6977" w:rsidRPr="00683D3C" w:rsidRDefault="009C6977" w:rsidP="00683D3C">
            <w:pPr>
              <w:pStyle w:val="SingleTxtG"/>
              <w:spacing w:before="40" w:after="40" w:line="220" w:lineRule="exact"/>
              <w:ind w:left="0" w:right="113"/>
              <w:jc w:val="left"/>
              <w:rPr>
                <w:sz w:val="18"/>
              </w:rPr>
            </w:pPr>
            <w:r w:rsidRPr="00683D3C">
              <w:rPr>
                <w:sz w:val="18"/>
              </w:rPr>
              <w:t>Treatment of adults</w:t>
            </w:r>
          </w:p>
        </w:tc>
        <w:tc>
          <w:tcPr>
            <w:tcW w:w="1276"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1</w:t>
            </w:r>
          </w:p>
        </w:tc>
        <w:tc>
          <w:tcPr>
            <w:tcW w:w="1275"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19</w:t>
            </w:r>
          </w:p>
        </w:tc>
        <w:tc>
          <w:tcPr>
            <w:tcW w:w="1276"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1</w:t>
            </w:r>
          </w:p>
        </w:tc>
        <w:tc>
          <w:tcPr>
            <w:tcW w:w="1275"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4</w:t>
            </w:r>
          </w:p>
        </w:tc>
        <w:tc>
          <w:tcPr>
            <w:tcW w:w="1418"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r>
      <w:tr w:rsidR="009C6977" w:rsidRPr="00683D3C">
        <w:tc>
          <w:tcPr>
            <w:tcW w:w="1985" w:type="dxa"/>
            <w:shd w:val="clear" w:color="auto" w:fill="auto"/>
          </w:tcPr>
          <w:p w:rsidR="009C6977" w:rsidRPr="00683D3C" w:rsidRDefault="009C6977" w:rsidP="00683D3C">
            <w:pPr>
              <w:pStyle w:val="SingleTxtG"/>
              <w:spacing w:before="40" w:after="40" w:line="220" w:lineRule="exact"/>
              <w:ind w:left="0" w:right="113"/>
              <w:jc w:val="left"/>
              <w:rPr>
                <w:sz w:val="18"/>
              </w:rPr>
            </w:pPr>
            <w:r w:rsidRPr="00683D3C">
              <w:rPr>
                <w:sz w:val="18"/>
              </w:rPr>
              <w:t>Administrative detention</w:t>
            </w:r>
          </w:p>
        </w:tc>
        <w:tc>
          <w:tcPr>
            <w:tcW w:w="1276"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1275"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13</w:t>
            </w:r>
          </w:p>
        </w:tc>
        <w:tc>
          <w:tcPr>
            <w:tcW w:w="1276"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1275"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1</w:t>
            </w:r>
          </w:p>
        </w:tc>
        <w:tc>
          <w:tcPr>
            <w:tcW w:w="1418"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1</w:t>
            </w:r>
          </w:p>
        </w:tc>
      </w:tr>
      <w:tr w:rsidR="009C6977" w:rsidRPr="00683D3C">
        <w:tc>
          <w:tcPr>
            <w:tcW w:w="1985" w:type="dxa"/>
            <w:tcBorders>
              <w:bottom w:val="single" w:sz="4" w:space="0" w:color="auto"/>
            </w:tcBorders>
            <w:shd w:val="clear" w:color="auto" w:fill="auto"/>
          </w:tcPr>
          <w:p w:rsidR="009C6977" w:rsidRPr="00683D3C" w:rsidRDefault="009C6977" w:rsidP="00683D3C">
            <w:pPr>
              <w:pStyle w:val="SingleTxtG"/>
              <w:spacing w:before="40" w:after="40" w:line="220" w:lineRule="exact"/>
              <w:ind w:left="0" w:right="113"/>
              <w:jc w:val="left"/>
              <w:rPr>
                <w:sz w:val="18"/>
              </w:rPr>
            </w:pPr>
            <w:r w:rsidRPr="00683D3C">
              <w:rPr>
                <w:sz w:val="18"/>
              </w:rPr>
              <w:t>Judicial guarantees</w:t>
            </w:r>
          </w:p>
        </w:tc>
        <w:tc>
          <w:tcPr>
            <w:tcW w:w="1276" w:type="dxa"/>
            <w:tcBorders>
              <w:bottom w:val="single" w:sz="4"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1275" w:type="dxa"/>
            <w:tcBorders>
              <w:bottom w:val="single" w:sz="4"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5</w:t>
            </w:r>
          </w:p>
        </w:tc>
        <w:tc>
          <w:tcPr>
            <w:tcW w:w="1276" w:type="dxa"/>
            <w:tcBorders>
              <w:bottom w:val="single" w:sz="4"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1275" w:type="dxa"/>
            <w:tcBorders>
              <w:bottom w:val="single" w:sz="4"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8</w:t>
            </w:r>
          </w:p>
        </w:tc>
        <w:tc>
          <w:tcPr>
            <w:tcW w:w="1418" w:type="dxa"/>
            <w:tcBorders>
              <w:bottom w:val="single" w:sz="4"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1</w:t>
            </w:r>
          </w:p>
        </w:tc>
      </w:tr>
      <w:tr w:rsidR="009C6977" w:rsidRPr="006E7308">
        <w:tc>
          <w:tcPr>
            <w:tcW w:w="1985" w:type="dxa"/>
            <w:tcBorders>
              <w:top w:val="single" w:sz="4" w:space="0" w:color="auto"/>
              <w:bottom w:val="single" w:sz="12" w:space="0" w:color="auto"/>
            </w:tcBorders>
            <w:shd w:val="clear" w:color="auto" w:fill="auto"/>
          </w:tcPr>
          <w:p w:rsidR="009C6977" w:rsidRPr="006E7308" w:rsidRDefault="009C6977" w:rsidP="006E7308">
            <w:pPr>
              <w:pStyle w:val="SingleTxtG"/>
              <w:spacing w:before="80" w:after="80" w:line="220" w:lineRule="exact"/>
              <w:ind w:left="283" w:right="0"/>
              <w:jc w:val="left"/>
              <w:rPr>
                <w:b/>
                <w:sz w:val="18"/>
              </w:rPr>
            </w:pPr>
            <w:r w:rsidRPr="006E7308">
              <w:rPr>
                <w:b/>
                <w:sz w:val="18"/>
              </w:rPr>
              <w:t>Total</w:t>
            </w:r>
          </w:p>
        </w:tc>
        <w:tc>
          <w:tcPr>
            <w:tcW w:w="1276" w:type="dxa"/>
            <w:tcBorders>
              <w:top w:val="single" w:sz="4" w:space="0" w:color="auto"/>
              <w:bottom w:val="single" w:sz="12" w:space="0" w:color="auto"/>
            </w:tcBorders>
            <w:shd w:val="clear" w:color="auto" w:fill="auto"/>
            <w:vAlign w:val="bottom"/>
          </w:tcPr>
          <w:p w:rsidR="009C6977" w:rsidRPr="006E7308" w:rsidRDefault="009C6977" w:rsidP="006E7308">
            <w:pPr>
              <w:pStyle w:val="SingleTxtG"/>
              <w:spacing w:before="80" w:after="80" w:line="220" w:lineRule="exact"/>
              <w:ind w:left="0" w:right="113"/>
              <w:jc w:val="right"/>
              <w:rPr>
                <w:b/>
                <w:sz w:val="18"/>
              </w:rPr>
            </w:pPr>
            <w:r w:rsidRPr="006E7308">
              <w:rPr>
                <w:b/>
                <w:sz w:val="18"/>
              </w:rPr>
              <w:t>7 (8%)</w:t>
            </w:r>
          </w:p>
        </w:tc>
        <w:tc>
          <w:tcPr>
            <w:tcW w:w="1275" w:type="dxa"/>
            <w:tcBorders>
              <w:top w:val="single" w:sz="4" w:space="0" w:color="auto"/>
              <w:bottom w:val="single" w:sz="12" w:space="0" w:color="auto"/>
            </w:tcBorders>
            <w:shd w:val="clear" w:color="auto" w:fill="auto"/>
            <w:vAlign w:val="bottom"/>
          </w:tcPr>
          <w:p w:rsidR="009C6977" w:rsidRPr="006E7308" w:rsidRDefault="009C6977" w:rsidP="006E7308">
            <w:pPr>
              <w:pStyle w:val="SingleTxtG"/>
              <w:spacing w:before="80" w:after="80" w:line="220" w:lineRule="exact"/>
              <w:ind w:left="0" w:right="113"/>
              <w:jc w:val="right"/>
              <w:rPr>
                <w:b/>
                <w:sz w:val="18"/>
              </w:rPr>
            </w:pPr>
            <w:r w:rsidRPr="006E7308">
              <w:rPr>
                <w:b/>
                <w:sz w:val="18"/>
              </w:rPr>
              <w:t>83 (91%)</w:t>
            </w:r>
          </w:p>
        </w:tc>
        <w:tc>
          <w:tcPr>
            <w:tcW w:w="1276" w:type="dxa"/>
            <w:tcBorders>
              <w:top w:val="single" w:sz="4" w:space="0" w:color="auto"/>
              <w:bottom w:val="single" w:sz="12" w:space="0" w:color="auto"/>
            </w:tcBorders>
            <w:shd w:val="clear" w:color="auto" w:fill="auto"/>
            <w:vAlign w:val="bottom"/>
          </w:tcPr>
          <w:p w:rsidR="009C6977" w:rsidRPr="006E7308" w:rsidRDefault="009C6977" w:rsidP="006E7308">
            <w:pPr>
              <w:pStyle w:val="SingleTxtG"/>
              <w:spacing w:before="80" w:after="80" w:line="220" w:lineRule="exact"/>
              <w:ind w:left="0" w:right="113"/>
              <w:jc w:val="right"/>
              <w:rPr>
                <w:b/>
                <w:sz w:val="18"/>
              </w:rPr>
            </w:pPr>
            <w:r w:rsidRPr="006E7308">
              <w:rPr>
                <w:b/>
                <w:sz w:val="18"/>
              </w:rPr>
              <w:t>1 (1%)</w:t>
            </w:r>
          </w:p>
        </w:tc>
        <w:tc>
          <w:tcPr>
            <w:tcW w:w="1275" w:type="dxa"/>
            <w:tcBorders>
              <w:top w:val="single" w:sz="4" w:space="0" w:color="auto"/>
              <w:bottom w:val="single" w:sz="12" w:space="0" w:color="auto"/>
            </w:tcBorders>
            <w:shd w:val="clear" w:color="auto" w:fill="auto"/>
            <w:vAlign w:val="bottom"/>
          </w:tcPr>
          <w:p w:rsidR="009C6977" w:rsidRPr="006E7308" w:rsidRDefault="009C6977" w:rsidP="006E7308">
            <w:pPr>
              <w:pStyle w:val="SingleTxtG"/>
              <w:spacing w:before="80" w:after="80" w:line="220" w:lineRule="exact"/>
              <w:ind w:left="0" w:right="113"/>
              <w:jc w:val="right"/>
              <w:rPr>
                <w:b/>
                <w:sz w:val="18"/>
              </w:rPr>
            </w:pPr>
            <w:r w:rsidRPr="006E7308">
              <w:rPr>
                <w:b/>
                <w:sz w:val="18"/>
              </w:rPr>
              <w:t>13 (100%)</w:t>
            </w:r>
          </w:p>
        </w:tc>
        <w:tc>
          <w:tcPr>
            <w:tcW w:w="1418" w:type="dxa"/>
            <w:tcBorders>
              <w:top w:val="single" w:sz="4" w:space="0" w:color="auto"/>
              <w:bottom w:val="single" w:sz="12" w:space="0" w:color="auto"/>
            </w:tcBorders>
            <w:shd w:val="clear" w:color="auto" w:fill="auto"/>
            <w:vAlign w:val="bottom"/>
          </w:tcPr>
          <w:p w:rsidR="009C6977" w:rsidRPr="006E7308" w:rsidRDefault="009C6977" w:rsidP="006E7308">
            <w:pPr>
              <w:pStyle w:val="SingleTxtG"/>
              <w:spacing w:before="80" w:after="80" w:line="220" w:lineRule="exact"/>
              <w:ind w:left="0" w:right="113"/>
              <w:jc w:val="right"/>
              <w:rPr>
                <w:b/>
                <w:sz w:val="18"/>
              </w:rPr>
            </w:pPr>
            <w:r w:rsidRPr="006E7308">
              <w:rPr>
                <w:b/>
                <w:sz w:val="18"/>
              </w:rPr>
              <w:t>2 (100%)</w:t>
            </w:r>
          </w:p>
        </w:tc>
      </w:tr>
    </w:tbl>
    <w:p w:rsidR="009C6977" w:rsidRPr="00437DBA" w:rsidRDefault="009C6977" w:rsidP="00E50E74">
      <w:pPr>
        <w:pStyle w:val="SingleTxtG"/>
        <w:spacing w:before="240"/>
      </w:pPr>
      <w:r w:rsidRPr="00437DBA">
        <w:t>31.</w:t>
      </w:r>
      <w:r w:rsidRPr="00437DBA">
        <w:tab/>
        <w:t>The recommendations call on Israel to bring its policies and practices relating to the treatment of children in line with international standards, including using detention as a last resort, conducting arrests during daylight hours only, providing legal counsel before interrogation and ending administrative detention. Since the establishment of juvenile military courts in 2009, Israel has adopted some relevant measures, such as increasing the age of majority from 16 to 18 years for the purposes of adjudication and providing other safeguards for minors.</w:t>
      </w:r>
      <w:r w:rsidRPr="009C6977">
        <w:rPr>
          <w:rStyle w:val="FootnoteReference"/>
        </w:rPr>
        <w:footnoteReference w:id="48"/>
      </w:r>
      <w:r w:rsidRPr="00437DBA">
        <w:t xml:space="preserve"> In 2013, the United Nations Children</w:t>
      </w:r>
      <w:r>
        <w:t>’</w:t>
      </w:r>
      <w:r w:rsidRPr="00437DBA">
        <w:t xml:space="preserve">s Fund (UNICEF) noted that </w:t>
      </w:r>
      <w:r>
        <w:t>“</w:t>
      </w:r>
      <w:r w:rsidRPr="00437DBA">
        <w:t xml:space="preserve">the </w:t>
      </w:r>
      <w:r w:rsidRPr="00E03ABF">
        <w:t>ill-treatment of children who come in contact with the military detention system appears to be widespread, systematic and institutionalized throughout the process</w:t>
      </w:r>
      <w:r>
        <w:t>”</w:t>
      </w:r>
      <w:r w:rsidRPr="00437DBA">
        <w:t>.</w:t>
      </w:r>
      <w:r w:rsidRPr="009C6977">
        <w:rPr>
          <w:rStyle w:val="FootnoteReference"/>
        </w:rPr>
        <w:footnoteReference w:id="49"/>
      </w:r>
      <w:r w:rsidRPr="00437DBA">
        <w:t xml:space="preserve"> In 2015, UNICEF indicated the need for </w:t>
      </w:r>
      <w:r>
        <w:t>“</w:t>
      </w:r>
      <w:r w:rsidRPr="00E03ABF">
        <w:t>further actions to improve the protection of children in military detention, as reports of alleged ill-treatment of children during arrest, transfer, interrogation and detention have not significantly decreased</w:t>
      </w:r>
      <w:r>
        <w:t>”</w:t>
      </w:r>
      <w:r w:rsidRPr="00437DBA">
        <w:t>.</w:t>
      </w:r>
      <w:r w:rsidRPr="009C6977">
        <w:rPr>
          <w:rStyle w:val="FootnoteReference"/>
        </w:rPr>
        <w:footnoteReference w:id="50"/>
      </w:r>
    </w:p>
    <w:p w:rsidR="009C6977" w:rsidRPr="00437DBA" w:rsidRDefault="009C6977" w:rsidP="00B13294">
      <w:pPr>
        <w:pStyle w:val="SingleTxtG"/>
      </w:pPr>
      <w:r w:rsidRPr="00437DBA">
        <w:t>32.</w:t>
      </w:r>
      <w:r w:rsidRPr="00437DBA">
        <w:tab/>
        <w:t xml:space="preserve">As at August 2016, Israel held 319 Palestinian children as </w:t>
      </w:r>
      <w:r>
        <w:t>“</w:t>
      </w:r>
      <w:r w:rsidRPr="00437DBA">
        <w:t>security detainees and prisoners</w:t>
      </w:r>
      <w:r>
        <w:t>”</w:t>
      </w:r>
      <w:r w:rsidRPr="00437DBA">
        <w:t xml:space="preserve"> — an 82 per cent increase compared to 2015.</w:t>
      </w:r>
      <w:r w:rsidRPr="009C6977">
        <w:rPr>
          <w:rStyle w:val="FootnoteReference"/>
        </w:rPr>
        <w:footnoteReference w:id="51"/>
      </w:r>
      <w:r w:rsidRPr="00437DBA">
        <w:t xml:space="preserve"> Several organizations continue to document night arrests, lack of access to lawyers, lack of information about their rights and systematic violence.</w:t>
      </w:r>
      <w:r w:rsidRPr="009C6977">
        <w:rPr>
          <w:rStyle w:val="FootnoteReference"/>
        </w:rPr>
        <w:footnoteReference w:id="52"/>
      </w:r>
      <w:r w:rsidRPr="00437DBA">
        <w:t xml:space="preserve"> In 2016, the Secretary-General stated that the number of children detained </w:t>
      </w:r>
      <w:r>
        <w:t>“</w:t>
      </w:r>
      <w:r w:rsidRPr="00E03ABF">
        <w:t>raises concerns about meeting international law requirements that children be arrested and detained only as a last resort</w:t>
      </w:r>
      <w:r>
        <w:t>”</w:t>
      </w:r>
      <w:r w:rsidRPr="009C6977">
        <w:rPr>
          <w:rStyle w:val="FootnoteReference"/>
        </w:rPr>
        <w:footnoteReference w:id="53"/>
      </w:r>
      <w:r w:rsidRPr="00437DBA">
        <w:t xml:space="preserve"> and noted with concern the reinstating of administrative detention of children, unused since 2011.</w:t>
      </w:r>
      <w:r w:rsidRPr="009C6977">
        <w:rPr>
          <w:rStyle w:val="FootnoteReference"/>
        </w:rPr>
        <w:footnoteReference w:id="54"/>
      </w:r>
      <w:r w:rsidRPr="00437DBA">
        <w:t xml:space="preserve"> Despite legal reforms undertaken by Israel, human rights treaty bodies have expressed concern that they have not been consistently applied, noting a gap between policy and practice.</w:t>
      </w:r>
      <w:r w:rsidRPr="009C6977">
        <w:rPr>
          <w:rStyle w:val="FootnoteReference"/>
        </w:rPr>
        <w:footnoteReference w:id="55"/>
      </w:r>
    </w:p>
    <w:p w:rsidR="009C6977" w:rsidRPr="00437DBA" w:rsidRDefault="009C6977" w:rsidP="00B13294">
      <w:pPr>
        <w:pStyle w:val="SingleTxtG"/>
      </w:pPr>
      <w:r w:rsidRPr="00437DBA">
        <w:t>33.</w:t>
      </w:r>
      <w:r w:rsidRPr="00437DBA">
        <w:tab/>
        <w:t>Other recommendations urge Israel to ensure that detainees are not subjected to force-feeding or forced medical treatment, otherwise subjected to ill-treatment or punished for engaging in hunger strikes. In September 2016, the Supreme Court of Israel ruled that the legislative amendment allowing such forced treatment meets the constitutionality test.</w:t>
      </w:r>
      <w:r w:rsidRPr="009C6977">
        <w:rPr>
          <w:rStyle w:val="FootnoteReference"/>
        </w:rPr>
        <w:footnoteReference w:id="56"/>
      </w:r>
      <w:r w:rsidRPr="00437DBA">
        <w:t xml:space="preserve"> </w:t>
      </w:r>
    </w:p>
    <w:p w:rsidR="009C6977" w:rsidRPr="00437DBA" w:rsidRDefault="009C6977" w:rsidP="00B13294">
      <w:pPr>
        <w:pStyle w:val="SingleTxtG"/>
      </w:pPr>
      <w:r w:rsidRPr="00437DBA">
        <w:t>34.</w:t>
      </w:r>
      <w:r w:rsidRPr="00437DBA">
        <w:tab/>
        <w:t xml:space="preserve">Recommendations to Palestinian authorities in the West Bank and in Gaza have called for ending arbitrary arrests, administrative detention, torture and ill-treatment and for compliance with international standards to be ensured. In 2016, arbitrary arrests and detention by Palestinian security forces continued. In 2015, the Independent Commission </w:t>
      </w:r>
      <w:r w:rsidRPr="00E03ABF">
        <w:t>for</w:t>
      </w:r>
      <w:r w:rsidRPr="00437DBA">
        <w:t xml:space="preserve"> Human Rights</w:t>
      </w:r>
      <w:r w:rsidRPr="009C6977">
        <w:rPr>
          <w:rStyle w:val="FootnoteReference"/>
        </w:rPr>
        <w:footnoteReference w:id="57"/>
      </w:r>
      <w:r w:rsidRPr="00437DBA">
        <w:t xml:space="preserve"> received 1,700 complaints (782 in the West Bank and 918 in Gaza) on violations of due process of law, including arbitrary detention on political grounds.</w:t>
      </w:r>
      <w:r w:rsidRPr="009C6977">
        <w:rPr>
          <w:rStyle w:val="FootnoteReference"/>
        </w:rPr>
        <w:footnoteReference w:id="58"/>
      </w:r>
      <w:r w:rsidRPr="00437DBA">
        <w:t xml:space="preserve"> In March 2017, OHCHR documented ongoing allegations of torture and ill-treatment of Palestinian detainees in the West Bank and in Gaza.</w:t>
      </w:r>
      <w:r w:rsidRPr="009C6977">
        <w:rPr>
          <w:rStyle w:val="FootnoteReference"/>
        </w:rPr>
        <w:footnoteReference w:id="59"/>
      </w:r>
    </w:p>
    <w:p w:rsidR="009C6977" w:rsidRPr="00437DBA" w:rsidRDefault="00683D3C" w:rsidP="00683D3C">
      <w:pPr>
        <w:pStyle w:val="H1G"/>
      </w:pPr>
      <w:r>
        <w:tab/>
      </w:r>
      <w:bookmarkStart w:id="29" w:name="_Toc484690577"/>
      <w:bookmarkStart w:id="30" w:name="_Toc484792640"/>
      <w:r w:rsidR="009C6977" w:rsidRPr="00437DBA">
        <w:t>D.</w:t>
      </w:r>
      <w:r w:rsidR="009C6977" w:rsidRPr="00437DBA">
        <w:tab/>
        <w:t>Settlements</w:t>
      </w:r>
      <w:bookmarkEnd w:id="29"/>
      <w:bookmarkEnd w:id="30"/>
      <w:r w:rsidR="009C6977" w:rsidRPr="00437DBA">
        <w:t xml:space="preserve"> </w:t>
      </w:r>
    </w:p>
    <w:p w:rsidR="009C6977" w:rsidRPr="00437DBA" w:rsidRDefault="009C6977" w:rsidP="00B13294">
      <w:pPr>
        <w:pStyle w:val="SingleTxtG"/>
      </w:pPr>
      <w:r w:rsidRPr="00437DBA">
        <w:t>35.</w:t>
      </w:r>
      <w:r w:rsidRPr="00437DBA">
        <w:tab/>
        <w:t xml:space="preserve">Ninety-three recommendations, or 10 per cent of all recommendations, address the presence of Israeli settlements in the West Bank, including East Jerusalem, and their impact on human rights. </w:t>
      </w:r>
    </w:p>
    <w:p w:rsidR="001B646C" w:rsidRDefault="009C6977" w:rsidP="00683D3C">
      <w:pPr>
        <w:pStyle w:val="Heading1"/>
      </w:pPr>
      <w:bookmarkStart w:id="31" w:name="_Toc484690578"/>
      <w:bookmarkStart w:id="32" w:name="_Toc484792641"/>
      <w:r w:rsidRPr="00E03ABF">
        <w:t>Table 6</w:t>
      </w:r>
      <w:bookmarkEnd w:id="31"/>
      <w:bookmarkEnd w:id="32"/>
    </w:p>
    <w:p w:rsidR="009C6977" w:rsidRPr="001B646C" w:rsidRDefault="009C6977" w:rsidP="001B646C">
      <w:pPr>
        <w:pStyle w:val="SingleTxtG"/>
        <w:rPr>
          <w:b/>
        </w:rPr>
      </w:pPr>
      <w:r w:rsidRPr="001B646C">
        <w:rPr>
          <w:b/>
        </w:rPr>
        <w:t>Implementation of recommendations related to settlements</w:t>
      </w:r>
    </w:p>
    <w:tbl>
      <w:tblPr>
        <w:tblW w:w="9639"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204"/>
        <w:gridCol w:w="1055"/>
        <w:gridCol w:w="1054"/>
        <w:gridCol w:w="1054"/>
        <w:gridCol w:w="1054"/>
        <w:gridCol w:w="1055"/>
        <w:gridCol w:w="1055"/>
        <w:gridCol w:w="1054"/>
        <w:gridCol w:w="1054"/>
      </w:tblGrid>
      <w:tr w:rsidR="0090601B" w:rsidRPr="00683D3C">
        <w:trPr>
          <w:trHeight w:val="292"/>
          <w:tblHeader/>
        </w:trPr>
        <w:tc>
          <w:tcPr>
            <w:tcW w:w="1134" w:type="dxa"/>
            <w:vMerge w:val="restart"/>
            <w:tcBorders>
              <w:top w:val="single" w:sz="4" w:space="0" w:color="auto"/>
              <w:bottom w:val="single" w:sz="12" w:space="0" w:color="auto"/>
            </w:tcBorders>
            <w:shd w:val="clear" w:color="auto" w:fill="auto"/>
            <w:vAlign w:val="bottom"/>
          </w:tcPr>
          <w:p w:rsidR="009C6977" w:rsidRPr="00683D3C" w:rsidRDefault="009C6977" w:rsidP="00683D3C">
            <w:pPr>
              <w:pStyle w:val="SingleTxtG"/>
              <w:spacing w:before="80" w:after="80" w:line="200" w:lineRule="exact"/>
              <w:ind w:left="0" w:right="113"/>
              <w:jc w:val="left"/>
              <w:rPr>
                <w:i/>
                <w:sz w:val="16"/>
              </w:rPr>
            </w:pPr>
          </w:p>
        </w:tc>
        <w:tc>
          <w:tcPr>
            <w:tcW w:w="993" w:type="dxa"/>
            <w:tcBorders>
              <w:top w:val="single" w:sz="4" w:space="0" w:color="auto"/>
              <w:bottom w:val="single" w:sz="4" w:space="0" w:color="auto"/>
              <w:right w:val="single" w:sz="24" w:space="0" w:color="FFFFFF" w:themeColor="background1"/>
            </w:tcBorders>
            <w:shd w:val="clear" w:color="auto" w:fill="auto"/>
            <w:vAlign w:val="bottom"/>
          </w:tcPr>
          <w:p w:rsidR="009C6977" w:rsidRPr="00683D3C" w:rsidRDefault="009C6977" w:rsidP="0090601B">
            <w:pPr>
              <w:pStyle w:val="SingleTxtG"/>
              <w:spacing w:before="80" w:after="80" w:line="200" w:lineRule="exact"/>
              <w:ind w:left="0" w:right="113"/>
              <w:jc w:val="center"/>
              <w:rPr>
                <w:i/>
                <w:sz w:val="16"/>
              </w:rPr>
            </w:pPr>
            <w:r w:rsidRPr="00683D3C">
              <w:rPr>
                <w:i/>
                <w:sz w:val="16"/>
              </w:rPr>
              <w:t>Israel</w:t>
            </w:r>
          </w:p>
        </w:tc>
        <w:tc>
          <w:tcPr>
            <w:tcW w:w="1984"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tcPr>
          <w:p w:rsidR="009C6977" w:rsidRPr="00683D3C" w:rsidRDefault="009C6977" w:rsidP="0090601B">
            <w:pPr>
              <w:pStyle w:val="SingleTxtG"/>
              <w:spacing w:before="80" w:after="80" w:line="200" w:lineRule="exact"/>
              <w:ind w:left="0" w:right="113"/>
              <w:jc w:val="center"/>
              <w:rPr>
                <w:i/>
                <w:sz w:val="16"/>
              </w:rPr>
            </w:pPr>
            <w:r w:rsidRPr="00683D3C">
              <w:rPr>
                <w:i/>
                <w:sz w:val="16"/>
              </w:rPr>
              <w:t>International community/ Member States</w:t>
            </w:r>
          </w:p>
        </w:tc>
        <w:tc>
          <w:tcPr>
            <w:tcW w:w="1985"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tcPr>
          <w:p w:rsidR="009C6977" w:rsidRPr="00683D3C" w:rsidRDefault="009C6977" w:rsidP="0090601B">
            <w:pPr>
              <w:pStyle w:val="SingleTxtG"/>
              <w:spacing w:before="80" w:after="80" w:line="200" w:lineRule="exact"/>
              <w:ind w:left="0" w:right="113"/>
              <w:jc w:val="center"/>
              <w:rPr>
                <w:i/>
                <w:sz w:val="16"/>
              </w:rPr>
            </w:pPr>
            <w:r w:rsidRPr="00683D3C">
              <w:rPr>
                <w:i/>
                <w:sz w:val="16"/>
              </w:rPr>
              <w:t>Civil society</w:t>
            </w:r>
          </w:p>
        </w:tc>
        <w:tc>
          <w:tcPr>
            <w:tcW w:w="1985"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tcPr>
          <w:p w:rsidR="009C6977" w:rsidRPr="00683D3C" w:rsidRDefault="009C6977" w:rsidP="0090601B">
            <w:pPr>
              <w:pStyle w:val="SingleTxtG"/>
              <w:spacing w:before="80" w:after="80" w:line="200" w:lineRule="exact"/>
              <w:ind w:left="0" w:right="113"/>
              <w:jc w:val="center"/>
              <w:rPr>
                <w:i/>
                <w:sz w:val="16"/>
              </w:rPr>
            </w:pPr>
            <w:r w:rsidRPr="00683D3C">
              <w:rPr>
                <w:i/>
                <w:sz w:val="16"/>
              </w:rPr>
              <w:t>Businesses</w:t>
            </w:r>
          </w:p>
        </w:tc>
        <w:tc>
          <w:tcPr>
            <w:tcW w:w="992" w:type="dxa"/>
            <w:tcBorders>
              <w:top w:val="single" w:sz="4" w:space="0" w:color="auto"/>
              <w:left w:val="single" w:sz="24" w:space="0" w:color="FFFFFF" w:themeColor="background1"/>
              <w:bottom w:val="single" w:sz="4" w:space="0" w:color="auto"/>
            </w:tcBorders>
            <w:shd w:val="clear" w:color="auto" w:fill="auto"/>
            <w:vAlign w:val="bottom"/>
          </w:tcPr>
          <w:p w:rsidR="009C6977" w:rsidRPr="00683D3C" w:rsidRDefault="009C6977" w:rsidP="0090601B">
            <w:pPr>
              <w:pStyle w:val="SingleTxtG"/>
              <w:spacing w:before="80" w:after="80" w:line="200" w:lineRule="exact"/>
              <w:ind w:left="0" w:right="113"/>
              <w:jc w:val="center"/>
              <w:rPr>
                <w:i/>
                <w:sz w:val="16"/>
              </w:rPr>
            </w:pPr>
            <w:r w:rsidRPr="00683D3C">
              <w:rPr>
                <w:i/>
                <w:sz w:val="16"/>
              </w:rPr>
              <w:t>Human Rights Council</w:t>
            </w:r>
          </w:p>
        </w:tc>
      </w:tr>
      <w:tr w:rsidR="0090601B" w:rsidRPr="00683D3C">
        <w:trPr>
          <w:cantSplit/>
          <w:trHeight w:val="1134"/>
          <w:tblHeader/>
        </w:trPr>
        <w:tc>
          <w:tcPr>
            <w:tcW w:w="1134" w:type="dxa"/>
            <w:vMerge/>
            <w:tcBorders>
              <w:top w:val="single" w:sz="12" w:space="0" w:color="auto"/>
              <w:bottom w:val="single" w:sz="12" w:space="0" w:color="auto"/>
            </w:tcBorders>
            <w:shd w:val="clear" w:color="auto" w:fill="auto"/>
            <w:vAlign w:val="bottom"/>
          </w:tcPr>
          <w:p w:rsidR="009C6977" w:rsidRPr="00683D3C" w:rsidRDefault="009C6977" w:rsidP="00683D3C">
            <w:pPr>
              <w:pStyle w:val="SingleTxtG"/>
              <w:spacing w:before="40" w:after="40" w:line="220" w:lineRule="exact"/>
              <w:ind w:left="0" w:right="113"/>
              <w:jc w:val="left"/>
              <w:rPr>
                <w:sz w:val="18"/>
              </w:rPr>
            </w:pPr>
          </w:p>
        </w:tc>
        <w:tc>
          <w:tcPr>
            <w:tcW w:w="993" w:type="dxa"/>
            <w:tcBorders>
              <w:top w:val="single" w:sz="4" w:space="0" w:color="auto"/>
              <w:bottom w:val="single" w:sz="12" w:space="0" w:color="auto"/>
              <w:right w:val="single" w:sz="24" w:space="0" w:color="FFFFFF" w:themeColor="background1"/>
            </w:tcBorders>
            <w:shd w:val="clear" w:color="auto" w:fill="auto"/>
            <w:textDirection w:val="btLr"/>
            <w:vAlign w:val="bottom"/>
          </w:tcPr>
          <w:p w:rsidR="009C6977" w:rsidRPr="005E52E5" w:rsidRDefault="009C6977" w:rsidP="001B646C">
            <w:pPr>
              <w:pStyle w:val="SingleTxtG"/>
              <w:spacing w:before="80" w:after="80" w:line="200" w:lineRule="exact"/>
              <w:ind w:left="113" w:right="113"/>
              <w:jc w:val="right"/>
              <w:rPr>
                <w:i/>
                <w:sz w:val="16"/>
              </w:rPr>
            </w:pPr>
            <w:r w:rsidRPr="005E52E5">
              <w:rPr>
                <w:i/>
                <w:sz w:val="16"/>
              </w:rPr>
              <w:t>Not implemented</w:t>
            </w:r>
          </w:p>
        </w:tc>
        <w:tc>
          <w:tcPr>
            <w:tcW w:w="992" w:type="dxa"/>
            <w:tcBorders>
              <w:top w:val="single" w:sz="4" w:space="0" w:color="auto"/>
              <w:left w:val="single" w:sz="24" w:space="0" w:color="FFFFFF" w:themeColor="background1"/>
              <w:bottom w:val="single" w:sz="12" w:space="0" w:color="auto"/>
            </w:tcBorders>
            <w:shd w:val="clear" w:color="auto" w:fill="auto"/>
            <w:textDirection w:val="btLr"/>
            <w:vAlign w:val="bottom"/>
          </w:tcPr>
          <w:p w:rsidR="009C6977" w:rsidRPr="005E52E5" w:rsidRDefault="009C6977" w:rsidP="001B646C">
            <w:pPr>
              <w:pStyle w:val="SingleTxtG"/>
              <w:spacing w:before="80" w:after="80" w:line="200" w:lineRule="exact"/>
              <w:ind w:left="113" w:right="113"/>
              <w:jc w:val="right"/>
              <w:rPr>
                <w:i/>
                <w:sz w:val="16"/>
              </w:rPr>
            </w:pPr>
            <w:r w:rsidRPr="005E52E5">
              <w:rPr>
                <w:i/>
                <w:sz w:val="16"/>
              </w:rPr>
              <w:t>Partially implemented</w:t>
            </w:r>
          </w:p>
        </w:tc>
        <w:tc>
          <w:tcPr>
            <w:tcW w:w="992" w:type="dxa"/>
            <w:tcBorders>
              <w:top w:val="single" w:sz="4" w:space="0" w:color="auto"/>
              <w:bottom w:val="single" w:sz="12" w:space="0" w:color="auto"/>
              <w:right w:val="single" w:sz="24" w:space="0" w:color="FFFFFF" w:themeColor="background1"/>
            </w:tcBorders>
            <w:shd w:val="clear" w:color="auto" w:fill="auto"/>
            <w:textDirection w:val="btLr"/>
            <w:vAlign w:val="bottom"/>
          </w:tcPr>
          <w:p w:rsidR="009C6977" w:rsidRPr="005E52E5" w:rsidRDefault="009C6977" w:rsidP="001B646C">
            <w:pPr>
              <w:pStyle w:val="SingleTxtG"/>
              <w:spacing w:before="80" w:after="80" w:line="200" w:lineRule="exact"/>
              <w:ind w:left="113" w:right="113"/>
              <w:jc w:val="right"/>
              <w:rPr>
                <w:i/>
                <w:sz w:val="16"/>
              </w:rPr>
            </w:pPr>
            <w:r w:rsidRPr="005E52E5">
              <w:rPr>
                <w:i/>
                <w:sz w:val="16"/>
              </w:rPr>
              <w:t>Not implemented</w:t>
            </w:r>
          </w:p>
        </w:tc>
        <w:tc>
          <w:tcPr>
            <w:tcW w:w="992" w:type="dxa"/>
            <w:tcBorders>
              <w:top w:val="single" w:sz="4" w:space="0" w:color="auto"/>
              <w:left w:val="single" w:sz="24" w:space="0" w:color="FFFFFF" w:themeColor="background1"/>
              <w:bottom w:val="single" w:sz="12" w:space="0" w:color="auto"/>
            </w:tcBorders>
            <w:shd w:val="clear" w:color="auto" w:fill="auto"/>
            <w:textDirection w:val="btLr"/>
            <w:vAlign w:val="bottom"/>
          </w:tcPr>
          <w:p w:rsidR="009C6977" w:rsidRPr="005E52E5" w:rsidRDefault="009C6977" w:rsidP="001B646C">
            <w:pPr>
              <w:pStyle w:val="SingleTxtG"/>
              <w:spacing w:before="80" w:after="80" w:line="200" w:lineRule="exact"/>
              <w:ind w:left="113" w:right="113"/>
              <w:jc w:val="right"/>
              <w:rPr>
                <w:i/>
                <w:sz w:val="16"/>
              </w:rPr>
            </w:pPr>
            <w:r w:rsidRPr="005E52E5">
              <w:rPr>
                <w:i/>
                <w:sz w:val="16"/>
              </w:rPr>
              <w:t>Partially implemented</w:t>
            </w:r>
          </w:p>
        </w:tc>
        <w:tc>
          <w:tcPr>
            <w:tcW w:w="993" w:type="dxa"/>
            <w:tcBorders>
              <w:top w:val="single" w:sz="4" w:space="0" w:color="auto"/>
              <w:bottom w:val="single" w:sz="12" w:space="0" w:color="auto"/>
              <w:right w:val="single" w:sz="24" w:space="0" w:color="FFFFFF" w:themeColor="background1"/>
            </w:tcBorders>
            <w:shd w:val="clear" w:color="auto" w:fill="auto"/>
            <w:textDirection w:val="btLr"/>
            <w:vAlign w:val="bottom"/>
          </w:tcPr>
          <w:p w:rsidR="009C6977" w:rsidRPr="005E52E5" w:rsidRDefault="009C6977" w:rsidP="001B646C">
            <w:pPr>
              <w:pStyle w:val="SingleTxtG"/>
              <w:spacing w:before="80" w:after="80" w:line="200" w:lineRule="exact"/>
              <w:ind w:left="113" w:right="113"/>
              <w:jc w:val="right"/>
              <w:rPr>
                <w:i/>
                <w:sz w:val="16"/>
              </w:rPr>
            </w:pPr>
            <w:r w:rsidRPr="005E52E5">
              <w:rPr>
                <w:i/>
                <w:sz w:val="16"/>
              </w:rPr>
              <w:t>Insufficient information</w:t>
            </w:r>
          </w:p>
        </w:tc>
        <w:tc>
          <w:tcPr>
            <w:tcW w:w="993" w:type="dxa"/>
            <w:tcBorders>
              <w:top w:val="single" w:sz="4" w:space="0" w:color="auto"/>
              <w:left w:val="single" w:sz="24" w:space="0" w:color="FFFFFF" w:themeColor="background1"/>
              <w:bottom w:val="single" w:sz="12" w:space="0" w:color="auto"/>
            </w:tcBorders>
            <w:shd w:val="clear" w:color="auto" w:fill="auto"/>
            <w:textDirection w:val="btLr"/>
            <w:vAlign w:val="bottom"/>
          </w:tcPr>
          <w:p w:rsidR="009C6977" w:rsidRPr="005E52E5" w:rsidRDefault="009C6977" w:rsidP="001B646C">
            <w:pPr>
              <w:pStyle w:val="SingleTxtG"/>
              <w:spacing w:before="80" w:after="80" w:line="200" w:lineRule="exact"/>
              <w:ind w:left="113" w:right="113"/>
              <w:jc w:val="right"/>
              <w:rPr>
                <w:i/>
                <w:sz w:val="16"/>
              </w:rPr>
            </w:pPr>
            <w:r w:rsidRPr="005E52E5">
              <w:rPr>
                <w:i/>
                <w:sz w:val="16"/>
              </w:rPr>
              <w:t>Not implemented</w:t>
            </w:r>
          </w:p>
        </w:tc>
        <w:tc>
          <w:tcPr>
            <w:tcW w:w="992" w:type="dxa"/>
            <w:tcBorders>
              <w:top w:val="single" w:sz="4" w:space="0" w:color="auto"/>
              <w:bottom w:val="single" w:sz="12" w:space="0" w:color="auto"/>
              <w:right w:val="single" w:sz="24" w:space="0" w:color="FFFFFF" w:themeColor="background1"/>
            </w:tcBorders>
            <w:shd w:val="clear" w:color="auto" w:fill="auto"/>
            <w:textDirection w:val="btLr"/>
            <w:vAlign w:val="bottom"/>
          </w:tcPr>
          <w:p w:rsidR="009C6977" w:rsidRPr="005E52E5" w:rsidRDefault="009C6977" w:rsidP="001B646C">
            <w:pPr>
              <w:pStyle w:val="SingleTxtG"/>
              <w:spacing w:before="80" w:after="80" w:line="200" w:lineRule="exact"/>
              <w:ind w:left="113" w:right="113"/>
              <w:jc w:val="right"/>
              <w:rPr>
                <w:i/>
                <w:sz w:val="16"/>
              </w:rPr>
            </w:pPr>
            <w:r w:rsidRPr="005E52E5">
              <w:rPr>
                <w:i/>
                <w:sz w:val="16"/>
              </w:rPr>
              <w:t>Insufficient information</w:t>
            </w:r>
          </w:p>
        </w:tc>
        <w:tc>
          <w:tcPr>
            <w:tcW w:w="992" w:type="dxa"/>
            <w:tcBorders>
              <w:top w:val="single" w:sz="4" w:space="0" w:color="auto"/>
              <w:left w:val="single" w:sz="24" w:space="0" w:color="FFFFFF" w:themeColor="background1"/>
              <w:bottom w:val="single" w:sz="12" w:space="0" w:color="auto"/>
            </w:tcBorders>
            <w:shd w:val="clear" w:color="auto" w:fill="auto"/>
            <w:textDirection w:val="btLr"/>
            <w:vAlign w:val="bottom"/>
          </w:tcPr>
          <w:p w:rsidR="009C6977" w:rsidRPr="005E52E5" w:rsidRDefault="009C6977" w:rsidP="001B646C">
            <w:pPr>
              <w:pStyle w:val="SingleTxtG"/>
              <w:spacing w:before="80" w:after="80" w:line="200" w:lineRule="exact"/>
              <w:ind w:left="113" w:right="113"/>
              <w:jc w:val="right"/>
              <w:rPr>
                <w:i/>
                <w:sz w:val="16"/>
              </w:rPr>
            </w:pPr>
            <w:r w:rsidRPr="005E52E5">
              <w:rPr>
                <w:i/>
                <w:sz w:val="16"/>
              </w:rPr>
              <w:t>Not implemented</w:t>
            </w:r>
          </w:p>
        </w:tc>
      </w:tr>
      <w:tr w:rsidR="009C6977" w:rsidRPr="00683D3C">
        <w:tc>
          <w:tcPr>
            <w:tcW w:w="1134" w:type="dxa"/>
            <w:tcBorders>
              <w:top w:val="single" w:sz="12" w:space="0" w:color="auto"/>
            </w:tcBorders>
            <w:shd w:val="clear" w:color="auto" w:fill="auto"/>
          </w:tcPr>
          <w:p w:rsidR="009C6977" w:rsidRPr="00683D3C" w:rsidRDefault="009C6977" w:rsidP="00683D3C">
            <w:pPr>
              <w:pStyle w:val="SingleTxtG"/>
              <w:spacing w:before="40" w:after="40" w:line="220" w:lineRule="exact"/>
              <w:ind w:left="0" w:right="113"/>
              <w:jc w:val="left"/>
              <w:rPr>
                <w:sz w:val="18"/>
              </w:rPr>
            </w:pPr>
            <w:r w:rsidRPr="00683D3C">
              <w:rPr>
                <w:sz w:val="18"/>
              </w:rPr>
              <w:t>Settlement expansion</w:t>
            </w:r>
          </w:p>
        </w:tc>
        <w:tc>
          <w:tcPr>
            <w:tcW w:w="993" w:type="dxa"/>
            <w:tcBorders>
              <w:top w:val="single" w:sz="12"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20</w:t>
            </w:r>
          </w:p>
        </w:tc>
        <w:tc>
          <w:tcPr>
            <w:tcW w:w="992" w:type="dxa"/>
            <w:tcBorders>
              <w:top w:val="single" w:sz="12"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top w:val="single" w:sz="12"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top w:val="single" w:sz="12"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3" w:type="dxa"/>
            <w:tcBorders>
              <w:top w:val="single" w:sz="12"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3" w:type="dxa"/>
            <w:tcBorders>
              <w:top w:val="single" w:sz="12"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top w:val="single" w:sz="12"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top w:val="single" w:sz="12"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1</w:t>
            </w:r>
          </w:p>
        </w:tc>
      </w:tr>
      <w:tr w:rsidR="009C6977" w:rsidRPr="00683D3C">
        <w:tc>
          <w:tcPr>
            <w:tcW w:w="1134" w:type="dxa"/>
            <w:tcBorders>
              <w:bottom w:val="nil"/>
            </w:tcBorders>
            <w:shd w:val="clear" w:color="auto" w:fill="auto"/>
          </w:tcPr>
          <w:p w:rsidR="009C6977" w:rsidRPr="00683D3C" w:rsidRDefault="009C6977" w:rsidP="00683D3C">
            <w:pPr>
              <w:pStyle w:val="SingleTxtG"/>
              <w:spacing w:before="40" w:after="40" w:line="220" w:lineRule="exact"/>
              <w:ind w:left="0" w:right="113"/>
              <w:jc w:val="left"/>
              <w:rPr>
                <w:sz w:val="18"/>
              </w:rPr>
            </w:pPr>
            <w:r w:rsidRPr="00683D3C">
              <w:rPr>
                <w:sz w:val="18"/>
              </w:rPr>
              <w:t xml:space="preserve">Zoning and building permits </w:t>
            </w:r>
          </w:p>
        </w:tc>
        <w:tc>
          <w:tcPr>
            <w:tcW w:w="993" w:type="dxa"/>
            <w:tcBorders>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18</w:t>
            </w:r>
          </w:p>
        </w:tc>
        <w:tc>
          <w:tcPr>
            <w:tcW w:w="992" w:type="dxa"/>
            <w:tcBorders>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3" w:type="dxa"/>
            <w:tcBorders>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3" w:type="dxa"/>
            <w:tcBorders>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r>
      <w:tr w:rsidR="009C6977" w:rsidRPr="00683D3C">
        <w:tc>
          <w:tcPr>
            <w:tcW w:w="1134" w:type="dxa"/>
            <w:tcBorders>
              <w:top w:val="nil"/>
              <w:bottom w:val="nil"/>
            </w:tcBorders>
            <w:shd w:val="clear" w:color="auto" w:fill="auto"/>
          </w:tcPr>
          <w:p w:rsidR="009C6977" w:rsidRPr="00683D3C" w:rsidRDefault="009C6977" w:rsidP="00683D3C">
            <w:pPr>
              <w:pStyle w:val="SingleTxtG"/>
              <w:spacing w:before="40" w:after="40" w:line="220" w:lineRule="exact"/>
              <w:ind w:left="0" w:right="113"/>
              <w:jc w:val="left"/>
              <w:rPr>
                <w:sz w:val="18"/>
              </w:rPr>
            </w:pPr>
            <w:r w:rsidRPr="00683D3C">
              <w:rPr>
                <w:sz w:val="18"/>
              </w:rPr>
              <w:t>Forced transfer</w:t>
            </w:r>
          </w:p>
        </w:tc>
        <w:tc>
          <w:tcPr>
            <w:tcW w:w="993" w:type="dxa"/>
            <w:tcBorders>
              <w:top w:val="nil"/>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20</w:t>
            </w:r>
          </w:p>
        </w:tc>
        <w:tc>
          <w:tcPr>
            <w:tcW w:w="992" w:type="dxa"/>
            <w:tcBorders>
              <w:top w:val="nil"/>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top w:val="nil"/>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top w:val="nil"/>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3" w:type="dxa"/>
            <w:tcBorders>
              <w:top w:val="nil"/>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3" w:type="dxa"/>
            <w:tcBorders>
              <w:top w:val="nil"/>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top w:val="nil"/>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top w:val="nil"/>
              <w:bottom w:val="nil"/>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r>
      <w:tr w:rsidR="009C6977" w:rsidRPr="00683D3C">
        <w:tc>
          <w:tcPr>
            <w:tcW w:w="1134" w:type="dxa"/>
            <w:tcBorders>
              <w:top w:val="nil"/>
            </w:tcBorders>
            <w:shd w:val="clear" w:color="auto" w:fill="auto"/>
          </w:tcPr>
          <w:p w:rsidR="009C6977" w:rsidRPr="00683D3C" w:rsidRDefault="009C6977" w:rsidP="00676B4B">
            <w:pPr>
              <w:pStyle w:val="SingleTxtG"/>
              <w:keepNext/>
              <w:keepLines/>
              <w:spacing w:before="40" w:after="40" w:line="220" w:lineRule="exact"/>
              <w:ind w:left="0" w:right="113"/>
              <w:jc w:val="left"/>
              <w:rPr>
                <w:sz w:val="18"/>
              </w:rPr>
            </w:pPr>
            <w:r w:rsidRPr="00683D3C">
              <w:rPr>
                <w:sz w:val="18"/>
              </w:rPr>
              <w:t xml:space="preserve">Demolitions and displacement </w:t>
            </w:r>
          </w:p>
        </w:tc>
        <w:tc>
          <w:tcPr>
            <w:tcW w:w="993" w:type="dxa"/>
            <w:tcBorders>
              <w:top w:val="nil"/>
            </w:tcBorders>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16</w:t>
            </w:r>
          </w:p>
        </w:tc>
        <w:tc>
          <w:tcPr>
            <w:tcW w:w="992" w:type="dxa"/>
            <w:tcBorders>
              <w:top w:val="nil"/>
            </w:tcBorders>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0</w:t>
            </w:r>
          </w:p>
        </w:tc>
        <w:tc>
          <w:tcPr>
            <w:tcW w:w="992" w:type="dxa"/>
            <w:tcBorders>
              <w:top w:val="nil"/>
            </w:tcBorders>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0</w:t>
            </w:r>
          </w:p>
        </w:tc>
        <w:tc>
          <w:tcPr>
            <w:tcW w:w="992" w:type="dxa"/>
            <w:tcBorders>
              <w:top w:val="nil"/>
            </w:tcBorders>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0</w:t>
            </w:r>
          </w:p>
        </w:tc>
        <w:tc>
          <w:tcPr>
            <w:tcW w:w="993" w:type="dxa"/>
            <w:tcBorders>
              <w:top w:val="nil"/>
            </w:tcBorders>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0</w:t>
            </w:r>
          </w:p>
        </w:tc>
        <w:tc>
          <w:tcPr>
            <w:tcW w:w="993" w:type="dxa"/>
            <w:tcBorders>
              <w:top w:val="nil"/>
            </w:tcBorders>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0</w:t>
            </w:r>
          </w:p>
        </w:tc>
        <w:tc>
          <w:tcPr>
            <w:tcW w:w="992" w:type="dxa"/>
            <w:tcBorders>
              <w:top w:val="nil"/>
            </w:tcBorders>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0</w:t>
            </w:r>
          </w:p>
        </w:tc>
        <w:tc>
          <w:tcPr>
            <w:tcW w:w="992" w:type="dxa"/>
            <w:tcBorders>
              <w:top w:val="nil"/>
            </w:tcBorders>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0</w:t>
            </w:r>
          </w:p>
        </w:tc>
      </w:tr>
      <w:tr w:rsidR="009C6977" w:rsidRPr="00683D3C">
        <w:tc>
          <w:tcPr>
            <w:tcW w:w="1134" w:type="dxa"/>
            <w:shd w:val="clear" w:color="auto" w:fill="auto"/>
          </w:tcPr>
          <w:p w:rsidR="009C6977" w:rsidRPr="00683D3C" w:rsidRDefault="009C6977" w:rsidP="00676B4B">
            <w:pPr>
              <w:pStyle w:val="SingleTxtG"/>
              <w:keepNext/>
              <w:keepLines/>
              <w:spacing w:before="40" w:after="40" w:line="220" w:lineRule="exact"/>
              <w:ind w:left="0" w:right="113"/>
              <w:jc w:val="left"/>
              <w:rPr>
                <w:sz w:val="18"/>
              </w:rPr>
            </w:pPr>
            <w:r w:rsidRPr="00683D3C">
              <w:rPr>
                <w:sz w:val="18"/>
              </w:rPr>
              <w:t>Businesses’ engagement in settlements</w:t>
            </w:r>
          </w:p>
        </w:tc>
        <w:tc>
          <w:tcPr>
            <w:tcW w:w="993" w:type="dxa"/>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3</w:t>
            </w:r>
          </w:p>
        </w:tc>
        <w:tc>
          <w:tcPr>
            <w:tcW w:w="992" w:type="dxa"/>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2</w:t>
            </w:r>
          </w:p>
        </w:tc>
        <w:tc>
          <w:tcPr>
            <w:tcW w:w="992" w:type="dxa"/>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1</w:t>
            </w:r>
          </w:p>
        </w:tc>
        <w:tc>
          <w:tcPr>
            <w:tcW w:w="992" w:type="dxa"/>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1</w:t>
            </w:r>
          </w:p>
        </w:tc>
        <w:tc>
          <w:tcPr>
            <w:tcW w:w="993" w:type="dxa"/>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1</w:t>
            </w:r>
          </w:p>
        </w:tc>
        <w:tc>
          <w:tcPr>
            <w:tcW w:w="993" w:type="dxa"/>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4</w:t>
            </w:r>
          </w:p>
        </w:tc>
        <w:tc>
          <w:tcPr>
            <w:tcW w:w="992" w:type="dxa"/>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2</w:t>
            </w:r>
          </w:p>
        </w:tc>
        <w:tc>
          <w:tcPr>
            <w:tcW w:w="992" w:type="dxa"/>
            <w:shd w:val="clear" w:color="auto" w:fill="auto"/>
            <w:vAlign w:val="bottom"/>
          </w:tcPr>
          <w:p w:rsidR="009C6977" w:rsidRPr="00683D3C" w:rsidRDefault="009C6977" w:rsidP="00676B4B">
            <w:pPr>
              <w:pStyle w:val="SingleTxtG"/>
              <w:keepNext/>
              <w:keepLines/>
              <w:spacing w:before="40" w:after="40" w:line="220" w:lineRule="exact"/>
              <w:ind w:left="0" w:right="113"/>
              <w:jc w:val="right"/>
              <w:rPr>
                <w:sz w:val="18"/>
              </w:rPr>
            </w:pPr>
            <w:r w:rsidRPr="00683D3C">
              <w:rPr>
                <w:sz w:val="18"/>
              </w:rPr>
              <w:t>0</w:t>
            </w:r>
          </w:p>
        </w:tc>
      </w:tr>
      <w:tr w:rsidR="009C6977" w:rsidRPr="00683D3C">
        <w:tc>
          <w:tcPr>
            <w:tcW w:w="1134" w:type="dxa"/>
            <w:shd w:val="clear" w:color="auto" w:fill="auto"/>
          </w:tcPr>
          <w:p w:rsidR="009C6977" w:rsidRPr="00683D3C" w:rsidRDefault="009C6977" w:rsidP="00683D3C">
            <w:pPr>
              <w:pStyle w:val="SingleTxtG"/>
              <w:spacing w:before="40" w:after="40" w:line="220" w:lineRule="exact"/>
              <w:ind w:left="0" w:right="113"/>
              <w:jc w:val="left"/>
              <w:rPr>
                <w:sz w:val="18"/>
              </w:rPr>
            </w:pPr>
            <w:r w:rsidRPr="00683D3C">
              <w:rPr>
                <w:sz w:val="18"/>
              </w:rPr>
              <w:t xml:space="preserve">Exploitation of natural resources </w:t>
            </w:r>
          </w:p>
        </w:tc>
        <w:tc>
          <w:tcPr>
            <w:tcW w:w="993"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1</w:t>
            </w:r>
          </w:p>
        </w:tc>
        <w:tc>
          <w:tcPr>
            <w:tcW w:w="992"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3"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3"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r>
      <w:tr w:rsidR="009C6977" w:rsidRPr="00683D3C">
        <w:tc>
          <w:tcPr>
            <w:tcW w:w="1134" w:type="dxa"/>
            <w:tcBorders>
              <w:bottom w:val="single" w:sz="4" w:space="0" w:color="auto"/>
            </w:tcBorders>
            <w:shd w:val="clear" w:color="auto" w:fill="auto"/>
          </w:tcPr>
          <w:p w:rsidR="009C6977" w:rsidRPr="00683D3C" w:rsidRDefault="009C6977" w:rsidP="00683D3C">
            <w:pPr>
              <w:pStyle w:val="SingleTxtG"/>
              <w:spacing w:before="40" w:after="40" w:line="220" w:lineRule="exact"/>
              <w:ind w:left="0" w:right="113"/>
              <w:jc w:val="left"/>
              <w:rPr>
                <w:sz w:val="18"/>
              </w:rPr>
            </w:pPr>
            <w:r w:rsidRPr="00683D3C">
              <w:rPr>
                <w:sz w:val="18"/>
              </w:rPr>
              <w:t xml:space="preserve">Human rights violations linked to settlements </w:t>
            </w:r>
          </w:p>
        </w:tc>
        <w:tc>
          <w:tcPr>
            <w:tcW w:w="993" w:type="dxa"/>
            <w:tcBorders>
              <w:bottom w:val="single" w:sz="4"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3</w:t>
            </w:r>
          </w:p>
        </w:tc>
        <w:tc>
          <w:tcPr>
            <w:tcW w:w="992" w:type="dxa"/>
            <w:tcBorders>
              <w:bottom w:val="single" w:sz="4"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bottom w:val="single" w:sz="4"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bottom w:val="single" w:sz="4"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3" w:type="dxa"/>
            <w:tcBorders>
              <w:bottom w:val="single" w:sz="4"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3" w:type="dxa"/>
            <w:tcBorders>
              <w:bottom w:val="single" w:sz="4"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bottom w:val="single" w:sz="4"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c>
          <w:tcPr>
            <w:tcW w:w="992" w:type="dxa"/>
            <w:tcBorders>
              <w:bottom w:val="single" w:sz="4" w:space="0" w:color="auto"/>
            </w:tcBorders>
            <w:shd w:val="clear" w:color="auto" w:fill="auto"/>
            <w:vAlign w:val="bottom"/>
          </w:tcPr>
          <w:p w:rsidR="009C6977" w:rsidRPr="00683D3C" w:rsidRDefault="009C6977" w:rsidP="00683D3C">
            <w:pPr>
              <w:pStyle w:val="SingleTxtG"/>
              <w:spacing w:before="40" w:after="40" w:line="220" w:lineRule="exact"/>
              <w:ind w:left="0" w:right="113"/>
              <w:jc w:val="right"/>
              <w:rPr>
                <w:sz w:val="18"/>
              </w:rPr>
            </w:pPr>
            <w:r w:rsidRPr="00683D3C">
              <w:rPr>
                <w:sz w:val="18"/>
              </w:rPr>
              <w:t>0</w:t>
            </w:r>
          </w:p>
        </w:tc>
      </w:tr>
      <w:tr w:rsidR="009C6977" w:rsidRPr="00676B4B">
        <w:tc>
          <w:tcPr>
            <w:tcW w:w="1134" w:type="dxa"/>
            <w:tcBorders>
              <w:top w:val="single" w:sz="4" w:space="0" w:color="auto"/>
              <w:bottom w:val="single" w:sz="12" w:space="0" w:color="auto"/>
            </w:tcBorders>
            <w:shd w:val="clear" w:color="auto" w:fill="auto"/>
          </w:tcPr>
          <w:p w:rsidR="009C6977" w:rsidRPr="00676B4B" w:rsidRDefault="009C6977" w:rsidP="00676B4B">
            <w:pPr>
              <w:pStyle w:val="SingleTxtG"/>
              <w:spacing w:before="80" w:after="80" w:line="220" w:lineRule="exact"/>
              <w:ind w:left="283" w:right="0"/>
              <w:jc w:val="left"/>
              <w:rPr>
                <w:b/>
                <w:sz w:val="18"/>
              </w:rPr>
            </w:pPr>
            <w:r w:rsidRPr="00676B4B">
              <w:rPr>
                <w:b/>
                <w:sz w:val="18"/>
              </w:rPr>
              <w:t>Total</w:t>
            </w:r>
          </w:p>
        </w:tc>
        <w:tc>
          <w:tcPr>
            <w:tcW w:w="993" w:type="dxa"/>
            <w:tcBorders>
              <w:top w:val="single" w:sz="4" w:space="0" w:color="auto"/>
              <w:bottom w:val="single" w:sz="12" w:space="0" w:color="auto"/>
            </w:tcBorders>
            <w:shd w:val="clear" w:color="auto" w:fill="auto"/>
            <w:vAlign w:val="bottom"/>
          </w:tcPr>
          <w:p w:rsidR="009C6977" w:rsidRPr="00676B4B" w:rsidRDefault="009C6977" w:rsidP="00676B4B">
            <w:pPr>
              <w:pStyle w:val="SingleTxtG"/>
              <w:spacing w:before="80" w:after="80" w:line="220" w:lineRule="exact"/>
              <w:ind w:left="0" w:right="113"/>
              <w:jc w:val="right"/>
              <w:rPr>
                <w:b/>
                <w:sz w:val="18"/>
              </w:rPr>
            </w:pPr>
            <w:r w:rsidRPr="00676B4B">
              <w:rPr>
                <w:b/>
                <w:sz w:val="18"/>
              </w:rPr>
              <w:t>81 (100%)</w:t>
            </w:r>
          </w:p>
        </w:tc>
        <w:tc>
          <w:tcPr>
            <w:tcW w:w="992" w:type="dxa"/>
            <w:tcBorders>
              <w:top w:val="single" w:sz="4" w:space="0" w:color="auto"/>
              <w:bottom w:val="single" w:sz="12" w:space="0" w:color="auto"/>
            </w:tcBorders>
            <w:shd w:val="clear" w:color="auto" w:fill="auto"/>
            <w:vAlign w:val="bottom"/>
          </w:tcPr>
          <w:p w:rsidR="009C6977" w:rsidRPr="00676B4B" w:rsidRDefault="009C6977" w:rsidP="00676B4B">
            <w:pPr>
              <w:pStyle w:val="SingleTxtG"/>
              <w:spacing w:before="80" w:after="80" w:line="220" w:lineRule="exact"/>
              <w:ind w:left="0" w:right="113"/>
              <w:jc w:val="right"/>
              <w:rPr>
                <w:b/>
                <w:sz w:val="18"/>
              </w:rPr>
            </w:pPr>
            <w:r w:rsidRPr="00676B4B">
              <w:rPr>
                <w:b/>
                <w:sz w:val="18"/>
              </w:rPr>
              <w:t>2 (67%)</w:t>
            </w:r>
          </w:p>
        </w:tc>
        <w:tc>
          <w:tcPr>
            <w:tcW w:w="992" w:type="dxa"/>
            <w:tcBorders>
              <w:top w:val="single" w:sz="4" w:space="0" w:color="auto"/>
              <w:bottom w:val="single" w:sz="12" w:space="0" w:color="auto"/>
            </w:tcBorders>
            <w:shd w:val="clear" w:color="auto" w:fill="auto"/>
            <w:vAlign w:val="bottom"/>
          </w:tcPr>
          <w:p w:rsidR="009C6977" w:rsidRPr="00676B4B" w:rsidRDefault="009C6977" w:rsidP="00676B4B">
            <w:pPr>
              <w:pStyle w:val="SingleTxtG"/>
              <w:spacing w:before="80" w:after="80" w:line="220" w:lineRule="exact"/>
              <w:ind w:left="0" w:right="113"/>
              <w:jc w:val="right"/>
              <w:rPr>
                <w:b/>
                <w:sz w:val="18"/>
              </w:rPr>
            </w:pPr>
            <w:r w:rsidRPr="00676B4B">
              <w:rPr>
                <w:b/>
                <w:sz w:val="18"/>
              </w:rPr>
              <w:t>1 (33%)</w:t>
            </w:r>
          </w:p>
        </w:tc>
        <w:tc>
          <w:tcPr>
            <w:tcW w:w="992" w:type="dxa"/>
            <w:tcBorders>
              <w:top w:val="single" w:sz="4" w:space="0" w:color="auto"/>
              <w:bottom w:val="single" w:sz="12" w:space="0" w:color="auto"/>
            </w:tcBorders>
            <w:shd w:val="clear" w:color="auto" w:fill="auto"/>
            <w:vAlign w:val="bottom"/>
          </w:tcPr>
          <w:p w:rsidR="009C6977" w:rsidRPr="00676B4B" w:rsidRDefault="009C6977" w:rsidP="00676B4B">
            <w:pPr>
              <w:pStyle w:val="SingleTxtG"/>
              <w:spacing w:before="80" w:after="80" w:line="220" w:lineRule="exact"/>
              <w:ind w:left="0" w:right="113"/>
              <w:jc w:val="right"/>
              <w:rPr>
                <w:b/>
                <w:sz w:val="18"/>
              </w:rPr>
            </w:pPr>
            <w:r w:rsidRPr="00676B4B">
              <w:rPr>
                <w:b/>
                <w:sz w:val="18"/>
              </w:rPr>
              <w:t>1 (50%)</w:t>
            </w:r>
          </w:p>
        </w:tc>
        <w:tc>
          <w:tcPr>
            <w:tcW w:w="993" w:type="dxa"/>
            <w:tcBorders>
              <w:top w:val="single" w:sz="4" w:space="0" w:color="auto"/>
              <w:bottom w:val="single" w:sz="12" w:space="0" w:color="auto"/>
            </w:tcBorders>
            <w:shd w:val="clear" w:color="auto" w:fill="auto"/>
            <w:vAlign w:val="bottom"/>
          </w:tcPr>
          <w:p w:rsidR="009C6977" w:rsidRPr="00676B4B" w:rsidRDefault="009C6977" w:rsidP="00676B4B">
            <w:pPr>
              <w:pStyle w:val="SingleTxtG"/>
              <w:spacing w:before="80" w:after="80" w:line="220" w:lineRule="exact"/>
              <w:ind w:left="0" w:right="113"/>
              <w:jc w:val="right"/>
              <w:rPr>
                <w:b/>
                <w:sz w:val="18"/>
              </w:rPr>
            </w:pPr>
            <w:r w:rsidRPr="00676B4B">
              <w:rPr>
                <w:b/>
                <w:sz w:val="18"/>
              </w:rPr>
              <w:t>1 (50%)</w:t>
            </w:r>
          </w:p>
        </w:tc>
        <w:tc>
          <w:tcPr>
            <w:tcW w:w="993" w:type="dxa"/>
            <w:tcBorders>
              <w:top w:val="single" w:sz="4" w:space="0" w:color="auto"/>
              <w:bottom w:val="single" w:sz="12" w:space="0" w:color="auto"/>
            </w:tcBorders>
            <w:shd w:val="clear" w:color="auto" w:fill="auto"/>
            <w:vAlign w:val="bottom"/>
          </w:tcPr>
          <w:p w:rsidR="009C6977" w:rsidRPr="00676B4B" w:rsidRDefault="009C6977" w:rsidP="00676B4B">
            <w:pPr>
              <w:pStyle w:val="SingleTxtG"/>
              <w:spacing w:before="80" w:after="80" w:line="220" w:lineRule="exact"/>
              <w:ind w:left="0" w:right="113"/>
              <w:jc w:val="right"/>
              <w:rPr>
                <w:b/>
                <w:sz w:val="18"/>
              </w:rPr>
            </w:pPr>
            <w:r w:rsidRPr="00676B4B">
              <w:rPr>
                <w:b/>
                <w:sz w:val="18"/>
              </w:rPr>
              <w:t>4 (67%)</w:t>
            </w:r>
          </w:p>
        </w:tc>
        <w:tc>
          <w:tcPr>
            <w:tcW w:w="992" w:type="dxa"/>
            <w:tcBorders>
              <w:top w:val="single" w:sz="4" w:space="0" w:color="auto"/>
              <w:bottom w:val="single" w:sz="12" w:space="0" w:color="auto"/>
            </w:tcBorders>
            <w:shd w:val="clear" w:color="auto" w:fill="auto"/>
            <w:vAlign w:val="bottom"/>
          </w:tcPr>
          <w:p w:rsidR="009C6977" w:rsidRPr="00676B4B" w:rsidRDefault="009C6977" w:rsidP="00676B4B">
            <w:pPr>
              <w:pStyle w:val="SingleTxtG"/>
              <w:spacing w:before="80" w:after="80" w:line="220" w:lineRule="exact"/>
              <w:ind w:left="0" w:right="113"/>
              <w:jc w:val="right"/>
              <w:rPr>
                <w:b/>
                <w:sz w:val="18"/>
              </w:rPr>
            </w:pPr>
            <w:r w:rsidRPr="00676B4B">
              <w:rPr>
                <w:b/>
                <w:sz w:val="18"/>
              </w:rPr>
              <w:t>2 (33%)</w:t>
            </w:r>
          </w:p>
        </w:tc>
        <w:tc>
          <w:tcPr>
            <w:tcW w:w="992" w:type="dxa"/>
            <w:tcBorders>
              <w:top w:val="single" w:sz="4" w:space="0" w:color="auto"/>
              <w:bottom w:val="single" w:sz="12" w:space="0" w:color="auto"/>
            </w:tcBorders>
            <w:shd w:val="clear" w:color="auto" w:fill="auto"/>
            <w:vAlign w:val="bottom"/>
          </w:tcPr>
          <w:p w:rsidR="009C6977" w:rsidRPr="00676B4B" w:rsidRDefault="009C6977" w:rsidP="00676B4B">
            <w:pPr>
              <w:pStyle w:val="SingleTxtG"/>
              <w:spacing w:before="80" w:after="80" w:line="220" w:lineRule="exact"/>
              <w:ind w:left="0" w:right="113"/>
              <w:jc w:val="right"/>
              <w:rPr>
                <w:b/>
                <w:sz w:val="18"/>
              </w:rPr>
            </w:pPr>
            <w:r w:rsidRPr="00676B4B">
              <w:rPr>
                <w:b/>
                <w:sz w:val="18"/>
              </w:rPr>
              <w:t>1 (100%)</w:t>
            </w:r>
          </w:p>
        </w:tc>
      </w:tr>
    </w:tbl>
    <w:p w:rsidR="009C6977" w:rsidRPr="00437DBA" w:rsidRDefault="009C6977" w:rsidP="00683D3C">
      <w:pPr>
        <w:pStyle w:val="SingleTxtG"/>
        <w:spacing w:before="240"/>
      </w:pPr>
      <w:r w:rsidRPr="00437DBA">
        <w:t>36.</w:t>
      </w:r>
      <w:r w:rsidRPr="00437DBA">
        <w:tab/>
        <w:t xml:space="preserve">Despite recurring recommendations to Israel to cease maintaining and expanding settlements and to address their human rights impact, the construction of settlements continues: in March 2017, Israel approved the establishment of a new settlement and declared some 240 acres as </w:t>
      </w:r>
      <w:r>
        <w:t>“</w:t>
      </w:r>
      <w:r w:rsidRPr="00437DBA">
        <w:t>State land</w:t>
      </w:r>
      <w:r>
        <w:t>”</w:t>
      </w:r>
      <w:r w:rsidRPr="00437DBA">
        <w:t xml:space="preserve"> inside the Occupied Palestinian Territory and issued tenders for approximately 2,000 housing units.</w:t>
      </w:r>
      <w:r w:rsidRPr="009C6977">
        <w:rPr>
          <w:rStyle w:val="FootnoteReference"/>
        </w:rPr>
        <w:footnoteReference w:id="60"/>
      </w:r>
      <w:r w:rsidRPr="00437DBA">
        <w:t xml:space="preserve"> By the end of 2014, there were approximately 570,700 Israeli settlers, including 200,000 in East Jerusalem.</w:t>
      </w:r>
      <w:r w:rsidRPr="009C6977">
        <w:rPr>
          <w:rStyle w:val="FootnoteReference"/>
        </w:rPr>
        <w:footnoteReference w:id="61"/>
      </w:r>
    </w:p>
    <w:p w:rsidR="009C6977" w:rsidRPr="00437DBA" w:rsidRDefault="009C6977" w:rsidP="00B13294">
      <w:pPr>
        <w:pStyle w:val="SingleTxtG"/>
      </w:pPr>
      <w:r w:rsidRPr="00437DBA">
        <w:t>37.</w:t>
      </w:r>
      <w:r w:rsidRPr="00437DBA">
        <w:tab/>
        <w:t xml:space="preserve">The planning and zoning regime is the main strategy used by Israel to prevent Palestinians from building in the West Bank, including East Jerusalem. Several recommendations focus on discriminatory policies and practices that make it </w:t>
      </w:r>
      <w:r>
        <w:t>“</w:t>
      </w:r>
      <w:r w:rsidRPr="00E03ABF">
        <w:t>almost impossible for Palestinians to obtain building permits in the vast majority of Area C and East Jerusalem</w:t>
      </w:r>
      <w:r>
        <w:t>”</w:t>
      </w:r>
      <w:r w:rsidRPr="00437DBA">
        <w:t>.</w:t>
      </w:r>
      <w:r w:rsidRPr="009C6977">
        <w:rPr>
          <w:rStyle w:val="FootnoteReference"/>
        </w:rPr>
        <w:footnoteReference w:id="62"/>
      </w:r>
      <w:r w:rsidR="007040E9">
        <w:t xml:space="preserve"> </w:t>
      </w:r>
      <w:r w:rsidRPr="00437DBA">
        <w:t>In 2016, Israeli authorities demolished or seized 1,093 Palestinian-owned structures, displacing over 1,600 Palestinians and affecting the livelihoods of more than 7,000 others — the highest figures since OCHA started documenting them in 2009.</w:t>
      </w:r>
      <w:r w:rsidRPr="009C6977">
        <w:rPr>
          <w:rStyle w:val="FootnoteReference"/>
        </w:rPr>
        <w:footnoteReference w:id="63"/>
      </w:r>
      <w:r w:rsidRPr="00437DBA">
        <w:t xml:space="preserve"> The United Nations has documented that hundreds of families remain at risk of forcible transfer, linked to demolitions and settlement expansion.</w:t>
      </w:r>
      <w:r w:rsidRPr="009C6977">
        <w:rPr>
          <w:rStyle w:val="FootnoteReference"/>
        </w:rPr>
        <w:footnoteReference w:id="64"/>
      </w:r>
    </w:p>
    <w:p w:rsidR="009C6977" w:rsidRPr="00437DBA" w:rsidRDefault="009C6977" w:rsidP="00B13294">
      <w:pPr>
        <w:pStyle w:val="SingleTxtG"/>
      </w:pPr>
      <w:r w:rsidRPr="00437DBA">
        <w:t>38.</w:t>
      </w:r>
      <w:r w:rsidRPr="00437DBA">
        <w:tab/>
        <w:t>Physically detached from the West Bank, East Jerusalem has ceased to be the economic and social centre for the Occupied Palestinian Territory due to the wall and the presence and expansion of 12 Israeli settlements.</w:t>
      </w:r>
      <w:r w:rsidRPr="009C6977">
        <w:rPr>
          <w:rStyle w:val="FootnoteReference"/>
        </w:rPr>
        <w:footnoteReference w:id="65"/>
      </w:r>
      <w:r w:rsidRPr="00437DBA">
        <w:t xml:space="preserve"> Israeli settlers are appropriating properties in Palestinian neighbourhoods through ownership claims and the Absentees</w:t>
      </w:r>
      <w:r>
        <w:t>’</w:t>
      </w:r>
      <w:r w:rsidRPr="00437DBA">
        <w:t xml:space="preserve"> Property Law,</w:t>
      </w:r>
      <w:r w:rsidRPr="009C6977">
        <w:rPr>
          <w:rStyle w:val="FootnoteReference"/>
        </w:rPr>
        <w:footnoteReference w:id="66"/>
      </w:r>
      <w:r w:rsidRPr="00437DBA">
        <w:t xml:space="preserve"> restricting public space, residential growth and freedom of movement.</w:t>
      </w:r>
      <w:r w:rsidRPr="009C6977">
        <w:rPr>
          <w:rStyle w:val="FootnoteReference"/>
        </w:rPr>
        <w:footnoteReference w:id="67"/>
      </w:r>
      <w:r w:rsidRPr="00437DBA">
        <w:t xml:space="preserve"> </w:t>
      </w:r>
    </w:p>
    <w:p w:rsidR="009C6977" w:rsidRPr="00437DBA" w:rsidRDefault="009C6977" w:rsidP="00B13294">
      <w:pPr>
        <w:pStyle w:val="SingleTxtG"/>
      </w:pPr>
      <w:r w:rsidRPr="00437DBA">
        <w:t>39.</w:t>
      </w:r>
      <w:r w:rsidRPr="00437DBA">
        <w:tab/>
        <w:t xml:space="preserve">In December 2016, Security Council resolution 2334 (2016) explicitly condemned </w:t>
      </w:r>
      <w:r>
        <w:t>“</w:t>
      </w:r>
      <w:r w:rsidRPr="00E03ABF">
        <w:t>measures aimed at altering the demographic composition, character and status of the Palestinian Territory</w:t>
      </w:r>
      <w:r w:rsidR="002E5DE8">
        <w:t xml:space="preserve"> </w:t>
      </w:r>
      <w:r w:rsidRPr="00E03ABF">
        <w:t>… including</w:t>
      </w:r>
      <w:r w:rsidR="002E5DE8">
        <w:t xml:space="preserve"> </w:t>
      </w:r>
      <w:r w:rsidRPr="00E03ABF">
        <w:t>… construction and expansion of settlements, transfer of Israeli settlers, confiscation of land, demolition of homes and displacement of Palestinian civilians</w:t>
      </w:r>
      <w:r>
        <w:t>”</w:t>
      </w:r>
      <w:r w:rsidRPr="00437DBA">
        <w:t xml:space="preserve"> and stated that the </w:t>
      </w:r>
      <w:r>
        <w:t>“</w:t>
      </w:r>
      <w:r w:rsidRPr="00E03ABF">
        <w:t>establishment by Israel of settlements in the Palestinian territory occupied since 1967, including East Jerusalem, ha</w:t>
      </w:r>
      <w:r w:rsidRPr="00437DBA">
        <w:t>s</w:t>
      </w:r>
      <w:r w:rsidRPr="00E03ABF">
        <w:t xml:space="preserve"> no legal validity and constitute</w:t>
      </w:r>
      <w:r w:rsidRPr="00437DBA">
        <w:t>s</w:t>
      </w:r>
      <w:r w:rsidRPr="00E03ABF">
        <w:t xml:space="preserve"> a flagrant violation under international law and a major obstacle to the achievement of the two-State solution and a just, lasting and comprehensive peace</w:t>
      </w:r>
      <w:r>
        <w:t>”</w:t>
      </w:r>
      <w:r w:rsidRPr="00437DBA">
        <w:t xml:space="preserve">. The Security Council stressed that </w:t>
      </w:r>
      <w:r>
        <w:t>“</w:t>
      </w:r>
      <w:r w:rsidRPr="00E03ABF">
        <w:t xml:space="preserve">the cessation of all Israeli settlement activities </w:t>
      </w:r>
      <w:r w:rsidRPr="00437DBA">
        <w:t>i</w:t>
      </w:r>
      <w:r w:rsidRPr="00E03ABF">
        <w:t>s essential for salvaging the two-State solution</w:t>
      </w:r>
      <w:r>
        <w:t>”</w:t>
      </w:r>
      <w:r w:rsidRPr="00437DBA">
        <w:t>.</w:t>
      </w:r>
    </w:p>
    <w:p w:rsidR="009C6977" w:rsidRPr="00437DBA" w:rsidRDefault="009C6977" w:rsidP="00B13294">
      <w:pPr>
        <w:pStyle w:val="SingleTxtG"/>
      </w:pPr>
      <w:r w:rsidRPr="00437DBA">
        <w:t>40.</w:t>
      </w:r>
      <w:r w:rsidRPr="00437DBA">
        <w:tab/>
        <w:t>Eleven recommendations concern businesses, civil society and Member States, and call for investigations of the activities of companies and financial institutions profiting from Israeli settlements, and for such practices to be ended and for reparation to be provided to Palestinians affected.</w:t>
      </w:r>
    </w:p>
    <w:p w:rsidR="009C6977" w:rsidRPr="00437DBA" w:rsidRDefault="00337538" w:rsidP="00337538">
      <w:pPr>
        <w:pStyle w:val="H1G"/>
      </w:pPr>
      <w:r>
        <w:tab/>
      </w:r>
      <w:bookmarkStart w:id="33" w:name="_Toc484690579"/>
      <w:bookmarkStart w:id="34" w:name="_Toc484792642"/>
      <w:r w:rsidR="009C6977" w:rsidRPr="00437DBA">
        <w:t>E.</w:t>
      </w:r>
      <w:r w:rsidR="009C6977" w:rsidRPr="00437DBA">
        <w:tab/>
        <w:t>Freedom of movement</w:t>
      </w:r>
      <w:bookmarkEnd w:id="33"/>
      <w:bookmarkEnd w:id="34"/>
    </w:p>
    <w:p w:rsidR="009C6977" w:rsidRPr="00437DBA" w:rsidRDefault="009C6977" w:rsidP="00B13294">
      <w:pPr>
        <w:pStyle w:val="SingleTxtG"/>
      </w:pPr>
      <w:r w:rsidRPr="00437DBA">
        <w:t>41.</w:t>
      </w:r>
      <w:r w:rsidRPr="00437DBA">
        <w:tab/>
        <w:t>The reports contain 79 recommendations on freedom of movement, constituting 9</w:t>
      </w:r>
      <w:r w:rsidR="007040E9">
        <w:t xml:space="preserve"> </w:t>
      </w:r>
      <w:r w:rsidRPr="00437DBA">
        <w:t xml:space="preserve">per cent of all the recommendations. </w:t>
      </w:r>
    </w:p>
    <w:p w:rsidR="00DA6F6A" w:rsidRDefault="009C6977" w:rsidP="00337538">
      <w:pPr>
        <w:pStyle w:val="Heading1"/>
      </w:pPr>
      <w:bookmarkStart w:id="35" w:name="_Toc484690580"/>
      <w:bookmarkStart w:id="36" w:name="_Toc484792643"/>
      <w:r w:rsidRPr="00E03ABF">
        <w:t>Table 7</w:t>
      </w:r>
      <w:bookmarkEnd w:id="35"/>
      <w:bookmarkEnd w:id="36"/>
    </w:p>
    <w:p w:rsidR="009C6977" w:rsidRPr="00DA6F6A" w:rsidRDefault="009C6977" w:rsidP="00DA6F6A">
      <w:pPr>
        <w:pStyle w:val="SingleTxtG"/>
        <w:rPr>
          <w:b/>
        </w:rPr>
      </w:pPr>
      <w:r w:rsidRPr="00DA6F6A">
        <w:rPr>
          <w:b/>
        </w:rPr>
        <w:t>Implementation of recommendations related to freedom of movement</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435"/>
        <w:gridCol w:w="1148"/>
        <w:gridCol w:w="1244"/>
        <w:gridCol w:w="1053"/>
        <w:gridCol w:w="1245"/>
        <w:gridCol w:w="1245"/>
      </w:tblGrid>
      <w:tr w:rsidR="009C6977" w:rsidRPr="00337538">
        <w:trPr>
          <w:trHeight w:val="390"/>
          <w:tblHeader/>
        </w:trPr>
        <w:tc>
          <w:tcPr>
            <w:tcW w:w="1418" w:type="dxa"/>
            <w:tcBorders>
              <w:top w:val="single" w:sz="4" w:space="0" w:color="auto"/>
              <w:bottom w:val="nil"/>
            </w:tcBorders>
            <w:shd w:val="clear" w:color="auto" w:fill="auto"/>
            <w:vAlign w:val="bottom"/>
          </w:tcPr>
          <w:p w:rsidR="009C6977" w:rsidRPr="00337538" w:rsidRDefault="009C6977" w:rsidP="00337538">
            <w:pPr>
              <w:pStyle w:val="SingleTxtG"/>
              <w:spacing w:before="80" w:after="80" w:line="200" w:lineRule="exact"/>
              <w:ind w:left="0" w:right="113"/>
              <w:jc w:val="left"/>
              <w:rPr>
                <w:i/>
                <w:sz w:val="16"/>
              </w:rPr>
            </w:pPr>
          </w:p>
        </w:tc>
        <w:tc>
          <w:tcPr>
            <w:tcW w:w="3402" w:type="dxa"/>
            <w:gridSpan w:val="3"/>
            <w:tcBorders>
              <w:top w:val="single" w:sz="4" w:space="0" w:color="auto"/>
              <w:bottom w:val="single" w:sz="4" w:space="0" w:color="auto"/>
              <w:right w:val="single" w:sz="24" w:space="0" w:color="FFFFFF" w:themeColor="background1"/>
            </w:tcBorders>
            <w:shd w:val="clear" w:color="auto" w:fill="auto"/>
            <w:vAlign w:val="bottom"/>
          </w:tcPr>
          <w:p w:rsidR="009C6977" w:rsidRPr="00337538" w:rsidRDefault="009C6977" w:rsidP="005574E3">
            <w:pPr>
              <w:pStyle w:val="SingleTxtG"/>
              <w:spacing w:before="80" w:after="80" w:line="200" w:lineRule="exact"/>
              <w:ind w:left="0" w:right="113"/>
              <w:jc w:val="center"/>
              <w:rPr>
                <w:i/>
                <w:sz w:val="16"/>
              </w:rPr>
            </w:pPr>
            <w:r w:rsidRPr="00337538">
              <w:rPr>
                <w:i/>
                <w:sz w:val="16"/>
              </w:rPr>
              <w:t>Israel</w:t>
            </w:r>
          </w:p>
        </w:tc>
        <w:tc>
          <w:tcPr>
            <w:tcW w:w="1229"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tcPr>
          <w:p w:rsidR="009C6977" w:rsidRPr="00337538" w:rsidRDefault="009C6977" w:rsidP="005574E3">
            <w:pPr>
              <w:pStyle w:val="SingleTxtG"/>
              <w:spacing w:before="80" w:after="80" w:line="200" w:lineRule="exact"/>
              <w:ind w:left="0" w:right="113"/>
              <w:jc w:val="center"/>
              <w:rPr>
                <w:i/>
                <w:sz w:val="16"/>
              </w:rPr>
            </w:pPr>
            <w:r w:rsidRPr="00337538">
              <w:rPr>
                <w:i/>
                <w:sz w:val="16"/>
              </w:rPr>
              <w:t>Gaza authorities</w:t>
            </w:r>
          </w:p>
        </w:tc>
        <w:tc>
          <w:tcPr>
            <w:tcW w:w="1229" w:type="dxa"/>
            <w:tcBorders>
              <w:top w:val="single" w:sz="4" w:space="0" w:color="auto"/>
              <w:left w:val="single" w:sz="24" w:space="0" w:color="FFFFFF" w:themeColor="background1"/>
              <w:bottom w:val="single" w:sz="4" w:space="0" w:color="auto"/>
            </w:tcBorders>
            <w:shd w:val="clear" w:color="auto" w:fill="auto"/>
            <w:vAlign w:val="bottom"/>
          </w:tcPr>
          <w:p w:rsidR="009C6977" w:rsidRPr="00337538" w:rsidRDefault="009C6977" w:rsidP="005574E3">
            <w:pPr>
              <w:pStyle w:val="SingleTxtG"/>
              <w:spacing w:before="80" w:after="80" w:line="200" w:lineRule="exact"/>
              <w:ind w:left="0" w:right="113"/>
              <w:jc w:val="center"/>
              <w:rPr>
                <w:i/>
                <w:sz w:val="16"/>
              </w:rPr>
            </w:pPr>
            <w:r w:rsidRPr="00337538">
              <w:rPr>
                <w:i/>
                <w:sz w:val="16"/>
              </w:rPr>
              <w:t>Human Rights Council</w:t>
            </w:r>
          </w:p>
        </w:tc>
      </w:tr>
      <w:tr w:rsidR="009C6977" w:rsidRPr="005574E3">
        <w:tc>
          <w:tcPr>
            <w:tcW w:w="1418" w:type="dxa"/>
            <w:tcBorders>
              <w:top w:val="nil"/>
              <w:bottom w:val="single" w:sz="12" w:space="0" w:color="auto"/>
            </w:tcBorders>
            <w:shd w:val="clear" w:color="auto" w:fill="auto"/>
          </w:tcPr>
          <w:p w:rsidR="009C6977" w:rsidRPr="005574E3" w:rsidRDefault="009C6977" w:rsidP="005574E3">
            <w:pPr>
              <w:pStyle w:val="SingleTxtG"/>
              <w:spacing w:before="80" w:after="80" w:line="200" w:lineRule="exact"/>
              <w:ind w:left="0" w:right="113"/>
              <w:jc w:val="right"/>
              <w:rPr>
                <w:i/>
                <w:sz w:val="16"/>
              </w:rPr>
            </w:pPr>
          </w:p>
        </w:tc>
        <w:tc>
          <w:tcPr>
            <w:tcW w:w="1134" w:type="dxa"/>
            <w:tcBorders>
              <w:top w:val="single" w:sz="4" w:space="0" w:color="auto"/>
              <w:bottom w:val="single" w:sz="12" w:space="0" w:color="auto"/>
            </w:tcBorders>
            <w:shd w:val="clear" w:color="auto" w:fill="auto"/>
            <w:vAlign w:val="bottom"/>
          </w:tcPr>
          <w:p w:rsidR="009C6977" w:rsidRPr="005574E3" w:rsidRDefault="009C6977" w:rsidP="005574E3">
            <w:pPr>
              <w:pStyle w:val="SingleTxtG"/>
              <w:spacing w:before="80" w:after="80" w:line="200" w:lineRule="exact"/>
              <w:ind w:left="0" w:right="113"/>
              <w:jc w:val="right"/>
              <w:rPr>
                <w:i/>
                <w:sz w:val="16"/>
              </w:rPr>
            </w:pPr>
            <w:r w:rsidRPr="005574E3">
              <w:rPr>
                <w:i/>
                <w:sz w:val="16"/>
              </w:rPr>
              <w:t>Partially implemented</w:t>
            </w:r>
          </w:p>
        </w:tc>
        <w:tc>
          <w:tcPr>
            <w:tcW w:w="1228" w:type="dxa"/>
            <w:tcBorders>
              <w:top w:val="single" w:sz="4" w:space="0" w:color="auto"/>
              <w:bottom w:val="single" w:sz="12" w:space="0" w:color="auto"/>
            </w:tcBorders>
            <w:shd w:val="clear" w:color="auto" w:fill="auto"/>
            <w:vAlign w:val="bottom"/>
          </w:tcPr>
          <w:p w:rsidR="009C6977" w:rsidRPr="005574E3" w:rsidRDefault="009C6977" w:rsidP="005574E3">
            <w:pPr>
              <w:pStyle w:val="SingleTxtG"/>
              <w:spacing w:before="80" w:after="80" w:line="200" w:lineRule="exact"/>
              <w:ind w:left="0" w:right="113"/>
              <w:jc w:val="right"/>
              <w:rPr>
                <w:i/>
                <w:sz w:val="16"/>
              </w:rPr>
            </w:pPr>
            <w:r w:rsidRPr="005574E3">
              <w:rPr>
                <w:i/>
                <w:sz w:val="16"/>
              </w:rPr>
              <w:t>Not implemented</w:t>
            </w:r>
          </w:p>
        </w:tc>
        <w:tc>
          <w:tcPr>
            <w:tcW w:w="1040" w:type="dxa"/>
            <w:tcBorders>
              <w:top w:val="single" w:sz="4" w:space="0" w:color="auto"/>
              <w:bottom w:val="single" w:sz="12" w:space="0" w:color="auto"/>
              <w:right w:val="single" w:sz="24" w:space="0" w:color="FFFFFF" w:themeColor="background1"/>
            </w:tcBorders>
            <w:shd w:val="clear" w:color="auto" w:fill="auto"/>
            <w:vAlign w:val="bottom"/>
          </w:tcPr>
          <w:p w:rsidR="009C6977" w:rsidRPr="005574E3" w:rsidRDefault="009C6977" w:rsidP="005574E3">
            <w:pPr>
              <w:pStyle w:val="SingleTxtG"/>
              <w:spacing w:before="80" w:after="80" w:line="200" w:lineRule="exact"/>
              <w:ind w:left="0" w:right="113"/>
              <w:jc w:val="right"/>
              <w:rPr>
                <w:i/>
                <w:sz w:val="16"/>
              </w:rPr>
            </w:pPr>
            <w:r w:rsidRPr="005574E3">
              <w:rPr>
                <w:i/>
                <w:sz w:val="16"/>
              </w:rPr>
              <w:t>Insufficient information</w:t>
            </w:r>
          </w:p>
        </w:tc>
        <w:tc>
          <w:tcPr>
            <w:tcW w:w="1229" w:type="dxa"/>
            <w:tcBorders>
              <w:top w:val="single" w:sz="4" w:space="0" w:color="auto"/>
              <w:left w:val="single" w:sz="24" w:space="0" w:color="FFFFFF" w:themeColor="background1"/>
              <w:bottom w:val="single" w:sz="12" w:space="0" w:color="auto"/>
              <w:right w:val="single" w:sz="24" w:space="0" w:color="FFFFFF" w:themeColor="background1"/>
            </w:tcBorders>
            <w:shd w:val="clear" w:color="auto" w:fill="auto"/>
            <w:vAlign w:val="bottom"/>
          </w:tcPr>
          <w:p w:rsidR="009C6977" w:rsidRPr="005574E3" w:rsidRDefault="009C6977" w:rsidP="005574E3">
            <w:pPr>
              <w:pStyle w:val="SingleTxtG"/>
              <w:spacing w:before="80" w:after="80" w:line="200" w:lineRule="exact"/>
              <w:ind w:left="0" w:right="113"/>
              <w:jc w:val="right"/>
              <w:rPr>
                <w:i/>
                <w:sz w:val="16"/>
              </w:rPr>
            </w:pPr>
            <w:r w:rsidRPr="005574E3">
              <w:rPr>
                <w:i/>
                <w:sz w:val="16"/>
              </w:rPr>
              <w:t>Not implemented</w:t>
            </w:r>
          </w:p>
        </w:tc>
        <w:tc>
          <w:tcPr>
            <w:tcW w:w="1229" w:type="dxa"/>
            <w:tcBorders>
              <w:top w:val="single" w:sz="4" w:space="0" w:color="auto"/>
              <w:left w:val="single" w:sz="24" w:space="0" w:color="FFFFFF" w:themeColor="background1"/>
              <w:bottom w:val="single" w:sz="12" w:space="0" w:color="auto"/>
            </w:tcBorders>
            <w:shd w:val="clear" w:color="auto" w:fill="auto"/>
            <w:vAlign w:val="bottom"/>
          </w:tcPr>
          <w:p w:rsidR="009C6977" w:rsidRPr="005574E3" w:rsidRDefault="009C6977" w:rsidP="005574E3">
            <w:pPr>
              <w:pStyle w:val="SingleTxtG"/>
              <w:spacing w:before="80" w:after="80" w:line="200" w:lineRule="exact"/>
              <w:ind w:left="0" w:right="113"/>
              <w:jc w:val="right"/>
              <w:rPr>
                <w:i/>
                <w:sz w:val="16"/>
              </w:rPr>
            </w:pPr>
            <w:r w:rsidRPr="005574E3">
              <w:rPr>
                <w:i/>
                <w:sz w:val="16"/>
              </w:rPr>
              <w:t>Not implemented</w:t>
            </w:r>
          </w:p>
        </w:tc>
      </w:tr>
      <w:tr w:rsidR="009C6977" w:rsidRPr="00337538">
        <w:tc>
          <w:tcPr>
            <w:tcW w:w="1418" w:type="dxa"/>
            <w:tcBorders>
              <w:top w:val="single" w:sz="12" w:space="0" w:color="auto"/>
            </w:tcBorders>
            <w:shd w:val="clear" w:color="auto" w:fill="auto"/>
          </w:tcPr>
          <w:p w:rsidR="009C6977" w:rsidRPr="00337538" w:rsidRDefault="009C6977" w:rsidP="00337538">
            <w:pPr>
              <w:pStyle w:val="SingleTxtG"/>
              <w:spacing w:before="40" w:after="40" w:line="220" w:lineRule="exact"/>
              <w:ind w:left="0" w:right="113"/>
              <w:jc w:val="left"/>
              <w:rPr>
                <w:sz w:val="18"/>
              </w:rPr>
            </w:pPr>
            <w:r w:rsidRPr="00337538">
              <w:rPr>
                <w:sz w:val="18"/>
              </w:rPr>
              <w:t>Blockade</w:t>
            </w:r>
          </w:p>
        </w:tc>
        <w:tc>
          <w:tcPr>
            <w:tcW w:w="1134" w:type="dxa"/>
            <w:tcBorders>
              <w:top w:val="single" w:sz="12"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8" w:type="dxa"/>
            <w:tcBorders>
              <w:top w:val="single" w:sz="12"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28</w:t>
            </w:r>
          </w:p>
        </w:tc>
        <w:tc>
          <w:tcPr>
            <w:tcW w:w="1040" w:type="dxa"/>
            <w:tcBorders>
              <w:top w:val="single" w:sz="12"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9" w:type="dxa"/>
            <w:tcBorders>
              <w:top w:val="single" w:sz="12"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9" w:type="dxa"/>
            <w:tcBorders>
              <w:top w:val="single" w:sz="12"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1</w:t>
            </w:r>
          </w:p>
        </w:tc>
      </w:tr>
      <w:tr w:rsidR="009C6977" w:rsidRPr="00337538">
        <w:tc>
          <w:tcPr>
            <w:tcW w:w="1418" w:type="dxa"/>
            <w:shd w:val="clear" w:color="auto" w:fill="auto"/>
          </w:tcPr>
          <w:p w:rsidR="009C6977" w:rsidRPr="00337538" w:rsidRDefault="009C6977" w:rsidP="00337538">
            <w:pPr>
              <w:pStyle w:val="SingleTxtG"/>
              <w:spacing w:before="40" w:after="40" w:line="220" w:lineRule="exact"/>
              <w:ind w:left="0" w:right="113"/>
              <w:jc w:val="left"/>
              <w:rPr>
                <w:sz w:val="18"/>
              </w:rPr>
            </w:pPr>
            <w:r w:rsidRPr="00337538">
              <w:rPr>
                <w:sz w:val="18"/>
              </w:rPr>
              <w:t>Wall</w:t>
            </w:r>
          </w:p>
        </w:tc>
        <w:tc>
          <w:tcPr>
            <w:tcW w:w="1134"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8"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5</w:t>
            </w:r>
          </w:p>
        </w:tc>
        <w:tc>
          <w:tcPr>
            <w:tcW w:w="1040"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9"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9"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r>
      <w:tr w:rsidR="009C6977" w:rsidRPr="00337538">
        <w:tc>
          <w:tcPr>
            <w:tcW w:w="1418" w:type="dxa"/>
            <w:shd w:val="clear" w:color="auto" w:fill="auto"/>
          </w:tcPr>
          <w:p w:rsidR="009C6977" w:rsidRPr="00337538" w:rsidRDefault="009C6977" w:rsidP="00337538">
            <w:pPr>
              <w:pStyle w:val="SingleTxtG"/>
              <w:spacing w:before="40" w:after="40" w:line="220" w:lineRule="exact"/>
              <w:ind w:left="0" w:right="113"/>
              <w:jc w:val="left"/>
              <w:rPr>
                <w:sz w:val="18"/>
              </w:rPr>
            </w:pPr>
            <w:r w:rsidRPr="00337538">
              <w:rPr>
                <w:sz w:val="18"/>
              </w:rPr>
              <w:t>Freedom of movement between Gaza and West Bank</w:t>
            </w:r>
          </w:p>
        </w:tc>
        <w:tc>
          <w:tcPr>
            <w:tcW w:w="1134"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1</w:t>
            </w:r>
          </w:p>
        </w:tc>
        <w:tc>
          <w:tcPr>
            <w:tcW w:w="1228"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19</w:t>
            </w:r>
          </w:p>
        </w:tc>
        <w:tc>
          <w:tcPr>
            <w:tcW w:w="1040"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9"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9"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r>
      <w:tr w:rsidR="009C6977" w:rsidRPr="00337538">
        <w:tc>
          <w:tcPr>
            <w:tcW w:w="1418" w:type="dxa"/>
            <w:shd w:val="clear" w:color="auto" w:fill="auto"/>
          </w:tcPr>
          <w:p w:rsidR="009C6977" w:rsidRPr="00337538" w:rsidRDefault="009C6977" w:rsidP="00337538">
            <w:pPr>
              <w:pStyle w:val="SingleTxtG"/>
              <w:spacing w:before="40" w:after="40" w:line="220" w:lineRule="exact"/>
              <w:ind w:left="0" w:right="113"/>
              <w:jc w:val="left"/>
              <w:rPr>
                <w:sz w:val="18"/>
              </w:rPr>
            </w:pPr>
            <w:r w:rsidRPr="00337538">
              <w:rPr>
                <w:sz w:val="18"/>
              </w:rPr>
              <w:t>Restrictions impacting on humanitarian aid</w:t>
            </w:r>
          </w:p>
        </w:tc>
        <w:tc>
          <w:tcPr>
            <w:tcW w:w="1134"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8"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14 (2)</w:t>
            </w:r>
          </w:p>
        </w:tc>
        <w:tc>
          <w:tcPr>
            <w:tcW w:w="1040"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9"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2 (2)</w:t>
            </w:r>
          </w:p>
        </w:tc>
        <w:tc>
          <w:tcPr>
            <w:tcW w:w="1229"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r>
      <w:tr w:rsidR="009C6977" w:rsidRPr="00337538">
        <w:tc>
          <w:tcPr>
            <w:tcW w:w="1418" w:type="dxa"/>
            <w:shd w:val="clear" w:color="auto" w:fill="auto"/>
          </w:tcPr>
          <w:p w:rsidR="009C6977" w:rsidRPr="00337538" w:rsidRDefault="009C6977" w:rsidP="00337538">
            <w:pPr>
              <w:pStyle w:val="SingleTxtG"/>
              <w:spacing w:before="40" w:after="40" w:line="220" w:lineRule="exact"/>
              <w:ind w:left="0" w:right="113"/>
              <w:jc w:val="left"/>
              <w:rPr>
                <w:sz w:val="18"/>
              </w:rPr>
            </w:pPr>
            <w:r w:rsidRPr="00337538">
              <w:rPr>
                <w:sz w:val="18"/>
              </w:rPr>
              <w:t>Restrictions impacting on economic development</w:t>
            </w:r>
          </w:p>
        </w:tc>
        <w:tc>
          <w:tcPr>
            <w:tcW w:w="1134"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8"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5</w:t>
            </w:r>
          </w:p>
        </w:tc>
        <w:tc>
          <w:tcPr>
            <w:tcW w:w="1040"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9"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9"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r>
      <w:tr w:rsidR="009C6977" w:rsidRPr="00337538">
        <w:tc>
          <w:tcPr>
            <w:tcW w:w="1418" w:type="dxa"/>
            <w:shd w:val="clear" w:color="auto" w:fill="auto"/>
          </w:tcPr>
          <w:p w:rsidR="009C6977" w:rsidRPr="00337538" w:rsidRDefault="009C6977" w:rsidP="00337538">
            <w:pPr>
              <w:pStyle w:val="SingleTxtG"/>
              <w:spacing w:before="40" w:after="40" w:line="220" w:lineRule="exact"/>
              <w:ind w:left="0" w:right="113"/>
              <w:jc w:val="left"/>
              <w:rPr>
                <w:sz w:val="18"/>
              </w:rPr>
            </w:pPr>
            <w:r w:rsidRPr="00337538">
              <w:rPr>
                <w:sz w:val="18"/>
              </w:rPr>
              <w:t>Enforcement of access restrictions</w:t>
            </w:r>
          </w:p>
        </w:tc>
        <w:tc>
          <w:tcPr>
            <w:tcW w:w="1134"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8"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4</w:t>
            </w:r>
          </w:p>
        </w:tc>
        <w:tc>
          <w:tcPr>
            <w:tcW w:w="1040"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9"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9"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r>
      <w:tr w:rsidR="009C6977" w:rsidRPr="00337538">
        <w:tc>
          <w:tcPr>
            <w:tcW w:w="1418" w:type="dxa"/>
            <w:tcBorders>
              <w:bottom w:val="single" w:sz="4" w:space="0" w:color="auto"/>
            </w:tcBorders>
            <w:shd w:val="clear" w:color="auto" w:fill="auto"/>
          </w:tcPr>
          <w:p w:rsidR="009C6977" w:rsidRPr="00337538" w:rsidRDefault="009C6977" w:rsidP="00337538">
            <w:pPr>
              <w:pStyle w:val="SingleTxtG"/>
              <w:spacing w:before="40" w:after="40" w:line="220" w:lineRule="exact"/>
              <w:ind w:left="0" w:right="113"/>
              <w:jc w:val="left"/>
              <w:rPr>
                <w:sz w:val="18"/>
              </w:rPr>
            </w:pPr>
            <w:r w:rsidRPr="00337538">
              <w:rPr>
                <w:sz w:val="18"/>
              </w:rPr>
              <w:t>Residency rights</w:t>
            </w:r>
          </w:p>
        </w:tc>
        <w:tc>
          <w:tcPr>
            <w:tcW w:w="1134" w:type="dxa"/>
            <w:tcBorders>
              <w:bottom w:val="single" w:sz="4"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8" w:type="dxa"/>
            <w:tcBorders>
              <w:bottom w:val="single" w:sz="4"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1</w:t>
            </w:r>
          </w:p>
        </w:tc>
        <w:tc>
          <w:tcPr>
            <w:tcW w:w="1040" w:type="dxa"/>
            <w:tcBorders>
              <w:bottom w:val="single" w:sz="4"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1</w:t>
            </w:r>
          </w:p>
        </w:tc>
        <w:tc>
          <w:tcPr>
            <w:tcW w:w="1229" w:type="dxa"/>
            <w:tcBorders>
              <w:bottom w:val="single" w:sz="4"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229" w:type="dxa"/>
            <w:tcBorders>
              <w:bottom w:val="single" w:sz="4"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r>
      <w:tr w:rsidR="009C6977" w:rsidRPr="005574E3">
        <w:tc>
          <w:tcPr>
            <w:tcW w:w="1418" w:type="dxa"/>
            <w:tcBorders>
              <w:top w:val="single" w:sz="4" w:space="0" w:color="auto"/>
              <w:bottom w:val="single" w:sz="12" w:space="0" w:color="auto"/>
            </w:tcBorders>
            <w:shd w:val="clear" w:color="auto" w:fill="auto"/>
          </w:tcPr>
          <w:p w:rsidR="009C6977" w:rsidRPr="005574E3" w:rsidRDefault="009C6977" w:rsidP="005574E3">
            <w:pPr>
              <w:pStyle w:val="SingleTxtG"/>
              <w:spacing w:before="80" w:after="80" w:line="220" w:lineRule="exact"/>
              <w:ind w:left="283" w:right="0"/>
              <w:jc w:val="left"/>
              <w:rPr>
                <w:b/>
                <w:sz w:val="18"/>
              </w:rPr>
            </w:pPr>
            <w:r w:rsidRPr="005574E3">
              <w:rPr>
                <w:b/>
                <w:sz w:val="18"/>
              </w:rPr>
              <w:t>Total</w:t>
            </w:r>
          </w:p>
        </w:tc>
        <w:tc>
          <w:tcPr>
            <w:tcW w:w="1134" w:type="dxa"/>
            <w:tcBorders>
              <w:top w:val="single" w:sz="4" w:space="0" w:color="auto"/>
              <w:bottom w:val="single" w:sz="12" w:space="0" w:color="auto"/>
            </w:tcBorders>
            <w:shd w:val="clear" w:color="auto" w:fill="auto"/>
            <w:vAlign w:val="bottom"/>
          </w:tcPr>
          <w:p w:rsidR="009C6977" w:rsidRPr="005574E3" w:rsidRDefault="009C6977" w:rsidP="005574E3">
            <w:pPr>
              <w:pStyle w:val="SingleTxtG"/>
              <w:spacing w:before="80" w:after="80" w:line="220" w:lineRule="exact"/>
              <w:ind w:left="0" w:right="113"/>
              <w:jc w:val="right"/>
              <w:rPr>
                <w:b/>
                <w:sz w:val="18"/>
              </w:rPr>
            </w:pPr>
            <w:r w:rsidRPr="005574E3">
              <w:rPr>
                <w:b/>
                <w:sz w:val="18"/>
              </w:rPr>
              <w:t>1 (1%)</w:t>
            </w:r>
          </w:p>
        </w:tc>
        <w:tc>
          <w:tcPr>
            <w:tcW w:w="1228" w:type="dxa"/>
            <w:tcBorders>
              <w:top w:val="single" w:sz="4" w:space="0" w:color="auto"/>
              <w:bottom w:val="single" w:sz="12" w:space="0" w:color="auto"/>
            </w:tcBorders>
            <w:shd w:val="clear" w:color="auto" w:fill="auto"/>
            <w:vAlign w:val="bottom"/>
          </w:tcPr>
          <w:p w:rsidR="009C6977" w:rsidRPr="005574E3" w:rsidRDefault="009C6977" w:rsidP="005574E3">
            <w:pPr>
              <w:pStyle w:val="SingleTxtG"/>
              <w:spacing w:before="80" w:after="80" w:line="220" w:lineRule="exact"/>
              <w:ind w:left="0" w:right="113"/>
              <w:jc w:val="right"/>
              <w:rPr>
                <w:b/>
                <w:sz w:val="18"/>
              </w:rPr>
            </w:pPr>
            <w:r w:rsidRPr="005574E3">
              <w:rPr>
                <w:b/>
                <w:sz w:val="18"/>
              </w:rPr>
              <w:t>76 (97%)</w:t>
            </w:r>
          </w:p>
        </w:tc>
        <w:tc>
          <w:tcPr>
            <w:tcW w:w="1040" w:type="dxa"/>
            <w:tcBorders>
              <w:top w:val="single" w:sz="4" w:space="0" w:color="auto"/>
              <w:bottom w:val="single" w:sz="12" w:space="0" w:color="auto"/>
            </w:tcBorders>
            <w:shd w:val="clear" w:color="auto" w:fill="auto"/>
            <w:vAlign w:val="bottom"/>
          </w:tcPr>
          <w:p w:rsidR="009C6977" w:rsidRPr="005574E3" w:rsidRDefault="009C6977" w:rsidP="005574E3">
            <w:pPr>
              <w:pStyle w:val="SingleTxtG"/>
              <w:spacing w:before="80" w:after="80" w:line="220" w:lineRule="exact"/>
              <w:ind w:left="0" w:right="113"/>
              <w:jc w:val="right"/>
              <w:rPr>
                <w:b/>
                <w:sz w:val="18"/>
              </w:rPr>
            </w:pPr>
            <w:r w:rsidRPr="005574E3">
              <w:rPr>
                <w:b/>
                <w:sz w:val="18"/>
              </w:rPr>
              <w:t>1 (1%)</w:t>
            </w:r>
          </w:p>
        </w:tc>
        <w:tc>
          <w:tcPr>
            <w:tcW w:w="1229" w:type="dxa"/>
            <w:tcBorders>
              <w:top w:val="single" w:sz="4" w:space="0" w:color="auto"/>
              <w:bottom w:val="single" w:sz="12" w:space="0" w:color="auto"/>
            </w:tcBorders>
            <w:shd w:val="clear" w:color="auto" w:fill="auto"/>
            <w:vAlign w:val="bottom"/>
          </w:tcPr>
          <w:p w:rsidR="009C6977" w:rsidRPr="005574E3" w:rsidRDefault="009C6977" w:rsidP="005574E3">
            <w:pPr>
              <w:pStyle w:val="SingleTxtG"/>
              <w:spacing w:before="80" w:after="80" w:line="220" w:lineRule="exact"/>
              <w:ind w:left="0" w:right="113"/>
              <w:jc w:val="right"/>
              <w:rPr>
                <w:b/>
                <w:sz w:val="18"/>
              </w:rPr>
            </w:pPr>
            <w:r w:rsidRPr="005574E3">
              <w:rPr>
                <w:b/>
                <w:sz w:val="18"/>
              </w:rPr>
              <w:t>2 (100%)</w:t>
            </w:r>
          </w:p>
        </w:tc>
        <w:tc>
          <w:tcPr>
            <w:tcW w:w="1229" w:type="dxa"/>
            <w:tcBorders>
              <w:top w:val="single" w:sz="4" w:space="0" w:color="auto"/>
              <w:bottom w:val="single" w:sz="12" w:space="0" w:color="auto"/>
            </w:tcBorders>
            <w:shd w:val="clear" w:color="auto" w:fill="auto"/>
            <w:vAlign w:val="bottom"/>
          </w:tcPr>
          <w:p w:rsidR="009C6977" w:rsidRPr="005574E3" w:rsidRDefault="009C6977" w:rsidP="005574E3">
            <w:pPr>
              <w:pStyle w:val="SingleTxtG"/>
              <w:spacing w:before="80" w:after="80" w:line="220" w:lineRule="exact"/>
              <w:ind w:left="0" w:right="113"/>
              <w:jc w:val="right"/>
              <w:rPr>
                <w:b/>
                <w:sz w:val="18"/>
              </w:rPr>
            </w:pPr>
            <w:r w:rsidRPr="005574E3">
              <w:rPr>
                <w:b/>
                <w:sz w:val="18"/>
              </w:rPr>
              <w:t>1 (100%)</w:t>
            </w:r>
          </w:p>
        </w:tc>
      </w:tr>
    </w:tbl>
    <w:p w:rsidR="009C6977" w:rsidRPr="00437DBA" w:rsidRDefault="009C6977" w:rsidP="005574E3">
      <w:pPr>
        <w:pStyle w:val="SingleTxtG"/>
        <w:spacing w:before="240"/>
      </w:pPr>
      <w:r w:rsidRPr="00437DBA">
        <w:t>42.</w:t>
      </w:r>
      <w:r w:rsidRPr="00437DBA">
        <w:tab/>
        <w:t>Israel has failed to dismantle the wall and has pursued construction in the Occupied Palestinian Territory in breach of its international law obligations.</w:t>
      </w:r>
      <w:r w:rsidRPr="009C6977">
        <w:rPr>
          <w:rStyle w:val="FootnoteReference"/>
        </w:rPr>
        <w:footnoteReference w:id="68"/>
      </w:r>
      <w:r w:rsidRPr="00437DBA">
        <w:t xml:space="preserve"> Eighty-five per cent of the planned route of the wall of over 700 kilometres runs within the West Bank.</w:t>
      </w:r>
      <w:r w:rsidRPr="009C6977">
        <w:rPr>
          <w:rStyle w:val="FootnoteReference"/>
        </w:rPr>
        <w:footnoteReference w:id="69"/>
      </w:r>
      <w:r w:rsidRPr="00437DBA">
        <w:t xml:space="preserve"> The International Court of Justice found that </w:t>
      </w:r>
      <w:r>
        <w:t>“</w:t>
      </w:r>
      <w:r w:rsidRPr="00E03ABF">
        <w:t>the wall</w:t>
      </w:r>
      <w:r>
        <w:t>’</w:t>
      </w:r>
      <w:r w:rsidRPr="00E03ABF">
        <w:t>s sinuous route has been traced in such a way as to include within that area the great majority of</w:t>
      </w:r>
      <w:r w:rsidR="00BB6765">
        <w:t xml:space="preserve"> </w:t>
      </w:r>
      <w:r w:rsidRPr="00437DBA">
        <w:t>…</w:t>
      </w:r>
      <w:r w:rsidRPr="00E03ABF">
        <w:t xml:space="preserve"> settlements</w:t>
      </w:r>
      <w:r>
        <w:t>”</w:t>
      </w:r>
      <w:r w:rsidRPr="009C6977">
        <w:rPr>
          <w:rStyle w:val="FootnoteReference"/>
        </w:rPr>
        <w:footnoteReference w:id="70"/>
      </w:r>
      <w:r w:rsidRPr="00437DBA">
        <w:t xml:space="preserve"> and stated that </w:t>
      </w:r>
      <w:r>
        <w:t>“</w:t>
      </w:r>
      <w:r w:rsidRPr="00437DBA">
        <w:t>t</w:t>
      </w:r>
      <w:r w:rsidRPr="00E03ABF">
        <w:t>he wall</w:t>
      </w:r>
      <w:r w:rsidR="008C1BFD">
        <w:t xml:space="preserve"> </w:t>
      </w:r>
      <w:r w:rsidRPr="00E03ABF">
        <w:t>… and its associated regime gravely infringe a number of rights of Palestinians</w:t>
      </w:r>
      <w:r w:rsidR="00976AA4">
        <w:t xml:space="preserve"> </w:t>
      </w:r>
      <w:r w:rsidRPr="00E03ABF">
        <w:t>… and the infringements resulting from that route cannot be justified by military exigencies or by the requirements of national security or public order</w:t>
      </w:r>
      <w:r>
        <w:t>”</w:t>
      </w:r>
      <w:r w:rsidRPr="00437DBA">
        <w:t>.</w:t>
      </w:r>
      <w:r w:rsidRPr="009C6977">
        <w:rPr>
          <w:rStyle w:val="FootnoteReference"/>
        </w:rPr>
        <w:footnoteReference w:id="71"/>
      </w:r>
      <w:r w:rsidRPr="00437DBA">
        <w:t xml:space="preserve"> According to the United Nations Conference on Trade and Development, </w:t>
      </w:r>
      <w:r>
        <w:t>“</w:t>
      </w:r>
      <w:r w:rsidRPr="00E03ABF">
        <w:t>at least 10 per cent of the most fertile land in the West Bank has been lost due to construction of the Separation Barrier</w:t>
      </w:r>
      <w:r>
        <w:t>”</w:t>
      </w:r>
      <w:r w:rsidRPr="00437DBA">
        <w:t>.</w:t>
      </w:r>
      <w:r w:rsidRPr="009C6977">
        <w:rPr>
          <w:rStyle w:val="FootnoteReference"/>
        </w:rPr>
        <w:footnoteReference w:id="72"/>
      </w:r>
      <w:r w:rsidRPr="00437DBA">
        <w:t xml:space="preserve"> </w:t>
      </w:r>
    </w:p>
    <w:p w:rsidR="009C6977" w:rsidRPr="00437DBA" w:rsidRDefault="009C6977" w:rsidP="00B13294">
      <w:pPr>
        <w:pStyle w:val="SingleTxtG"/>
      </w:pPr>
      <w:r w:rsidRPr="00437DBA">
        <w:t>43.</w:t>
      </w:r>
      <w:r w:rsidRPr="00437DBA">
        <w:tab/>
        <w:t>Further restrictions in the form of checkpoints, where violence frequently erupts,</w:t>
      </w:r>
      <w:r w:rsidRPr="009C6977">
        <w:rPr>
          <w:rStyle w:val="FootnoteReference"/>
        </w:rPr>
        <w:footnoteReference w:id="73"/>
      </w:r>
      <w:r w:rsidRPr="00437DBA">
        <w:t xml:space="preserve"> permit requirements, and settlement infrastructure, have continued to negatively affect Palestinians</w:t>
      </w:r>
      <w:r>
        <w:t>’</w:t>
      </w:r>
      <w:r w:rsidRPr="00437DBA">
        <w:t xml:space="preserve"> daily lives in the West Bank, including access within and into East Jerusalem.</w:t>
      </w:r>
      <w:r w:rsidRPr="009C6977">
        <w:rPr>
          <w:rStyle w:val="FootnoteReference"/>
        </w:rPr>
        <w:footnoteReference w:id="74"/>
      </w:r>
      <w:r w:rsidRPr="00437DBA">
        <w:t xml:space="preserve"> The Special Rapporteur on the situation of human rights in the Palestinian territories occupied since 1967 described the situation as one where </w:t>
      </w:r>
      <w:r>
        <w:t>“</w:t>
      </w:r>
      <w:r w:rsidRPr="00E03ABF">
        <w:t>the West Bank has been divided by Israel into an archipelago of small islands of densely</w:t>
      </w:r>
      <w:r w:rsidRPr="00437DBA">
        <w:t xml:space="preserve"> </w:t>
      </w:r>
      <w:r w:rsidRPr="00E03ABF">
        <w:t>populated areas disconnected from one another</w:t>
      </w:r>
      <w:r>
        <w:t>”</w:t>
      </w:r>
      <w:r w:rsidRPr="00437DBA">
        <w:t>.</w:t>
      </w:r>
      <w:r w:rsidRPr="009C6977">
        <w:rPr>
          <w:rStyle w:val="FootnoteReference"/>
        </w:rPr>
        <w:footnoteReference w:id="75"/>
      </w:r>
      <w:r w:rsidRPr="00437DBA">
        <w:t xml:space="preserve"> </w:t>
      </w:r>
    </w:p>
    <w:p w:rsidR="009C6977" w:rsidRPr="00437DBA" w:rsidRDefault="009C6977" w:rsidP="00B13294">
      <w:pPr>
        <w:pStyle w:val="SingleTxtG"/>
      </w:pPr>
      <w:r w:rsidRPr="00437DBA">
        <w:t>44.</w:t>
      </w:r>
      <w:r w:rsidRPr="00437DBA">
        <w:tab/>
        <w:t>Following the gaining of control in Gaza in 2007 by Hamas, Israel established a blockade</w:t>
      </w:r>
      <w:r w:rsidRPr="009C6977">
        <w:rPr>
          <w:rStyle w:val="FootnoteReference"/>
        </w:rPr>
        <w:footnoteReference w:id="76"/>
      </w:r>
      <w:r w:rsidRPr="00437DBA">
        <w:t xml:space="preserve"> in breach of international humanitarian law.</w:t>
      </w:r>
      <w:r w:rsidRPr="009C6977">
        <w:rPr>
          <w:rStyle w:val="FootnoteReference"/>
        </w:rPr>
        <w:footnoteReference w:id="77"/>
      </w:r>
      <w:r w:rsidRPr="00437DBA">
        <w:t xml:space="preserve"> This measure severely curtails freedom of movement of goods and people to and from Gaza,</w:t>
      </w:r>
      <w:r w:rsidRPr="009C6977">
        <w:rPr>
          <w:rStyle w:val="FootnoteReference"/>
        </w:rPr>
        <w:footnoteReference w:id="78"/>
      </w:r>
      <w:r w:rsidRPr="00437DBA">
        <w:t xml:space="preserve"> and violates a broad spectrum of other human rights, including access to health, water and sanitation, work, housing, food and education.</w:t>
      </w:r>
      <w:r w:rsidRPr="009C6977">
        <w:rPr>
          <w:rStyle w:val="FootnoteReference"/>
        </w:rPr>
        <w:footnoteReference w:id="79"/>
      </w:r>
      <w:r w:rsidRPr="00437DBA">
        <w:t xml:space="preserve"> While there are fluctuations in the extent of the restrictions, the blockade has remained firmly in place.</w:t>
      </w:r>
      <w:r w:rsidRPr="009C6977">
        <w:rPr>
          <w:rStyle w:val="FootnoteReference"/>
        </w:rPr>
        <w:footnoteReference w:id="80"/>
      </w:r>
      <w:r w:rsidRPr="00437DBA">
        <w:t xml:space="preserve"> In his most recent report, the Secretary-General indicated that it may amount to collective punishment.</w:t>
      </w:r>
      <w:r w:rsidRPr="009C6977">
        <w:rPr>
          <w:rStyle w:val="FootnoteReference"/>
        </w:rPr>
        <w:footnoteReference w:id="81"/>
      </w:r>
      <w:r w:rsidRPr="00437DBA">
        <w:t xml:space="preserve"> Massive needs for reconstruction of infrastructure, health facilities and housing stem from the destruction and injuries that have followed successive rounds of hostilities in Gaza, most recently in 2014.</w:t>
      </w:r>
      <w:r w:rsidRPr="009C6977">
        <w:rPr>
          <w:rStyle w:val="FootnoteReference"/>
        </w:rPr>
        <w:footnoteReference w:id="82"/>
      </w:r>
      <w:r w:rsidRPr="00437DBA">
        <w:t xml:space="preserve"> While the 2016 report of the United Nations country team showed progress since 2014, it described long delays for approval of reconstruction materials due to Israel</w:t>
      </w:r>
      <w:r>
        <w:t>’</w:t>
      </w:r>
      <w:r w:rsidRPr="00437DBA">
        <w:t xml:space="preserve">s dual-use list. The report also noted the negative impact of the Palestinian political divide on the humanitarian situation. </w:t>
      </w:r>
    </w:p>
    <w:p w:rsidR="009C6977" w:rsidRPr="00437DBA" w:rsidRDefault="00337538" w:rsidP="00337538">
      <w:pPr>
        <w:pStyle w:val="H1G"/>
      </w:pPr>
      <w:r>
        <w:tab/>
      </w:r>
      <w:bookmarkStart w:id="37" w:name="_Toc484690581"/>
      <w:bookmarkStart w:id="38" w:name="_Toc484792644"/>
      <w:r w:rsidR="009C6977" w:rsidRPr="00437DBA">
        <w:t>F.</w:t>
      </w:r>
      <w:r w:rsidR="009C6977" w:rsidRPr="00437DBA">
        <w:tab/>
        <w:t>O</w:t>
      </w:r>
      <w:r>
        <w:t>ther civil and political rights</w:t>
      </w:r>
      <w:bookmarkEnd w:id="37"/>
      <w:bookmarkEnd w:id="38"/>
    </w:p>
    <w:p w:rsidR="009C6977" w:rsidRDefault="009C6977" w:rsidP="00B13294">
      <w:pPr>
        <w:pStyle w:val="SingleTxtG"/>
      </w:pPr>
      <w:r w:rsidRPr="00437DBA">
        <w:t>45.</w:t>
      </w:r>
      <w:r w:rsidRPr="00437DBA">
        <w:tab/>
        <w:t xml:space="preserve">Fifty-eight recommendations, 6 per cent of the total, address issues related to other civil and political rights. </w:t>
      </w:r>
    </w:p>
    <w:p w:rsidR="00091B6D" w:rsidRDefault="00091B6D" w:rsidP="00B13294">
      <w:pPr>
        <w:pStyle w:val="SingleTxtG"/>
      </w:pPr>
    </w:p>
    <w:p w:rsidR="00091B6D" w:rsidRPr="00437DBA" w:rsidRDefault="00091B6D" w:rsidP="00B13294">
      <w:pPr>
        <w:pStyle w:val="SingleTxtG"/>
      </w:pPr>
    </w:p>
    <w:p w:rsidR="009C6977" w:rsidRDefault="009C6977" w:rsidP="00891B86">
      <w:pPr>
        <w:pStyle w:val="Heading1"/>
        <w:keepNext/>
        <w:keepLines/>
      </w:pPr>
      <w:bookmarkStart w:id="39" w:name="_Toc484690582"/>
      <w:bookmarkStart w:id="40" w:name="_Toc484792645"/>
      <w:r w:rsidRPr="00E03ABF">
        <w:t>Table 8</w:t>
      </w:r>
      <w:bookmarkEnd w:id="39"/>
      <w:bookmarkEnd w:id="40"/>
    </w:p>
    <w:p w:rsidR="00891B86" w:rsidRPr="00891B86" w:rsidRDefault="00891B86" w:rsidP="00891B86">
      <w:pPr>
        <w:pStyle w:val="SingleTxtG"/>
        <w:keepNext/>
        <w:keepLines/>
        <w:rPr>
          <w:b/>
        </w:rPr>
      </w:pPr>
      <w:r w:rsidRPr="00891B86">
        <w:rPr>
          <w:b/>
        </w:rPr>
        <w:t>Implementation of recommendations related to other civil and political rights</w:t>
      </w:r>
    </w:p>
    <w:tbl>
      <w:tblPr>
        <w:tblW w:w="9639"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377"/>
        <w:gridCol w:w="1377"/>
        <w:gridCol w:w="1377"/>
        <w:gridCol w:w="1377"/>
        <w:gridCol w:w="1377"/>
        <w:gridCol w:w="1377"/>
        <w:gridCol w:w="1377"/>
      </w:tblGrid>
      <w:tr w:rsidR="009C6977" w:rsidRPr="00337538">
        <w:trPr>
          <w:tblHeader/>
        </w:trPr>
        <w:tc>
          <w:tcPr>
            <w:tcW w:w="1377" w:type="dxa"/>
            <w:tcBorders>
              <w:top w:val="single" w:sz="4" w:space="0" w:color="auto"/>
              <w:bottom w:val="nil"/>
            </w:tcBorders>
            <w:shd w:val="clear" w:color="auto" w:fill="auto"/>
            <w:vAlign w:val="bottom"/>
          </w:tcPr>
          <w:p w:rsidR="009C6977" w:rsidRPr="00337538" w:rsidRDefault="009C6977" w:rsidP="00337538">
            <w:pPr>
              <w:pStyle w:val="SingleTxtG"/>
              <w:spacing w:before="80" w:after="80" w:line="200" w:lineRule="exact"/>
              <w:ind w:left="0" w:right="113"/>
              <w:jc w:val="left"/>
              <w:rPr>
                <w:i/>
                <w:sz w:val="16"/>
              </w:rPr>
            </w:pPr>
          </w:p>
        </w:tc>
        <w:tc>
          <w:tcPr>
            <w:tcW w:w="4131" w:type="dxa"/>
            <w:gridSpan w:val="3"/>
            <w:tcBorders>
              <w:top w:val="single" w:sz="4" w:space="0" w:color="auto"/>
              <w:bottom w:val="single" w:sz="4" w:space="0" w:color="auto"/>
              <w:right w:val="single" w:sz="24" w:space="0" w:color="FFFFFF" w:themeColor="background1"/>
            </w:tcBorders>
            <w:shd w:val="clear" w:color="auto" w:fill="auto"/>
            <w:vAlign w:val="bottom"/>
          </w:tcPr>
          <w:p w:rsidR="009C6977" w:rsidRPr="00337538" w:rsidRDefault="009C6977" w:rsidP="00152A05">
            <w:pPr>
              <w:pStyle w:val="SingleTxtG"/>
              <w:spacing w:before="80" w:after="80" w:line="200" w:lineRule="exact"/>
              <w:ind w:left="0" w:right="113"/>
              <w:jc w:val="center"/>
              <w:rPr>
                <w:i/>
                <w:sz w:val="16"/>
              </w:rPr>
            </w:pPr>
            <w:r w:rsidRPr="00337538">
              <w:rPr>
                <w:i/>
                <w:sz w:val="16"/>
              </w:rPr>
              <w:t>Israel</w:t>
            </w:r>
          </w:p>
        </w:tc>
        <w:tc>
          <w:tcPr>
            <w:tcW w:w="4131" w:type="dxa"/>
            <w:gridSpan w:val="3"/>
            <w:tcBorders>
              <w:top w:val="single" w:sz="4" w:space="0" w:color="auto"/>
              <w:left w:val="single" w:sz="24" w:space="0" w:color="FFFFFF" w:themeColor="background1"/>
              <w:bottom w:val="single" w:sz="4" w:space="0" w:color="auto"/>
            </w:tcBorders>
            <w:shd w:val="clear" w:color="auto" w:fill="auto"/>
            <w:vAlign w:val="bottom"/>
          </w:tcPr>
          <w:p w:rsidR="009C6977" w:rsidRPr="00337538" w:rsidRDefault="009C6977" w:rsidP="00152A05">
            <w:pPr>
              <w:pStyle w:val="SingleTxtG"/>
              <w:spacing w:before="80" w:after="80" w:line="200" w:lineRule="exact"/>
              <w:ind w:left="0" w:right="113"/>
              <w:jc w:val="center"/>
              <w:rPr>
                <w:i/>
                <w:sz w:val="16"/>
              </w:rPr>
            </w:pPr>
            <w:r w:rsidRPr="00337538">
              <w:rPr>
                <w:i/>
                <w:sz w:val="16"/>
              </w:rPr>
              <w:t>Palestinian authorities</w:t>
            </w:r>
          </w:p>
        </w:tc>
      </w:tr>
      <w:tr w:rsidR="009C6977" w:rsidRPr="00E15B60">
        <w:tc>
          <w:tcPr>
            <w:tcW w:w="1377" w:type="dxa"/>
            <w:tcBorders>
              <w:top w:val="nil"/>
              <w:bottom w:val="single" w:sz="12" w:space="0" w:color="auto"/>
            </w:tcBorders>
            <w:shd w:val="clear" w:color="auto" w:fill="auto"/>
          </w:tcPr>
          <w:p w:rsidR="009C6977" w:rsidRPr="00E15B60" w:rsidRDefault="009C6977" w:rsidP="00E15B60">
            <w:pPr>
              <w:pStyle w:val="SingleTxtG"/>
              <w:spacing w:before="80" w:after="80" w:line="200" w:lineRule="exact"/>
              <w:ind w:left="0" w:right="113"/>
              <w:jc w:val="left"/>
              <w:rPr>
                <w:i/>
                <w:sz w:val="16"/>
              </w:rPr>
            </w:pPr>
          </w:p>
        </w:tc>
        <w:tc>
          <w:tcPr>
            <w:tcW w:w="1377" w:type="dxa"/>
            <w:tcBorders>
              <w:top w:val="single" w:sz="4" w:space="0" w:color="auto"/>
              <w:bottom w:val="single" w:sz="12" w:space="0" w:color="auto"/>
            </w:tcBorders>
            <w:shd w:val="clear" w:color="auto" w:fill="auto"/>
            <w:vAlign w:val="bottom"/>
          </w:tcPr>
          <w:p w:rsidR="009C6977" w:rsidRPr="00E15B60" w:rsidRDefault="009C6977" w:rsidP="00E15B60">
            <w:pPr>
              <w:pStyle w:val="SingleTxtG"/>
              <w:spacing w:before="80" w:after="80" w:line="200" w:lineRule="exact"/>
              <w:ind w:left="0" w:right="113"/>
              <w:jc w:val="left"/>
              <w:rPr>
                <w:i/>
                <w:sz w:val="16"/>
              </w:rPr>
            </w:pPr>
            <w:r w:rsidRPr="00E15B60">
              <w:rPr>
                <w:i/>
                <w:sz w:val="16"/>
              </w:rPr>
              <w:t>Partially implemented</w:t>
            </w:r>
          </w:p>
        </w:tc>
        <w:tc>
          <w:tcPr>
            <w:tcW w:w="1377" w:type="dxa"/>
            <w:tcBorders>
              <w:top w:val="single" w:sz="4" w:space="0" w:color="auto"/>
              <w:bottom w:val="single" w:sz="12" w:space="0" w:color="auto"/>
            </w:tcBorders>
            <w:shd w:val="clear" w:color="auto" w:fill="auto"/>
            <w:vAlign w:val="bottom"/>
          </w:tcPr>
          <w:p w:rsidR="009C6977" w:rsidRPr="00E15B60" w:rsidRDefault="009C6977" w:rsidP="00E15B60">
            <w:pPr>
              <w:pStyle w:val="SingleTxtG"/>
              <w:spacing w:before="80" w:after="80" w:line="200" w:lineRule="exact"/>
              <w:ind w:left="0" w:right="113"/>
              <w:jc w:val="left"/>
              <w:rPr>
                <w:i/>
                <w:sz w:val="16"/>
              </w:rPr>
            </w:pPr>
            <w:r w:rsidRPr="00E15B60">
              <w:rPr>
                <w:i/>
                <w:sz w:val="16"/>
              </w:rPr>
              <w:t>Not implemented</w:t>
            </w:r>
          </w:p>
        </w:tc>
        <w:tc>
          <w:tcPr>
            <w:tcW w:w="1377" w:type="dxa"/>
            <w:tcBorders>
              <w:top w:val="single" w:sz="4" w:space="0" w:color="auto"/>
              <w:bottom w:val="single" w:sz="12" w:space="0" w:color="auto"/>
              <w:right w:val="single" w:sz="24" w:space="0" w:color="FFFFFF" w:themeColor="background1"/>
            </w:tcBorders>
            <w:shd w:val="clear" w:color="auto" w:fill="auto"/>
            <w:vAlign w:val="bottom"/>
          </w:tcPr>
          <w:p w:rsidR="009C6977" w:rsidRPr="00E15B60" w:rsidRDefault="009C6977" w:rsidP="00E15B60">
            <w:pPr>
              <w:pStyle w:val="SingleTxtG"/>
              <w:spacing w:before="80" w:after="80" w:line="200" w:lineRule="exact"/>
              <w:ind w:left="0" w:right="113"/>
              <w:jc w:val="left"/>
              <w:rPr>
                <w:i/>
                <w:sz w:val="16"/>
              </w:rPr>
            </w:pPr>
            <w:r w:rsidRPr="00E15B60">
              <w:rPr>
                <w:i/>
                <w:sz w:val="16"/>
              </w:rPr>
              <w:t>Insufficient information</w:t>
            </w:r>
          </w:p>
        </w:tc>
        <w:tc>
          <w:tcPr>
            <w:tcW w:w="1377" w:type="dxa"/>
            <w:tcBorders>
              <w:top w:val="single" w:sz="4" w:space="0" w:color="auto"/>
              <w:left w:val="single" w:sz="24" w:space="0" w:color="FFFFFF" w:themeColor="background1"/>
              <w:bottom w:val="single" w:sz="12" w:space="0" w:color="auto"/>
            </w:tcBorders>
            <w:shd w:val="clear" w:color="auto" w:fill="auto"/>
            <w:vAlign w:val="bottom"/>
          </w:tcPr>
          <w:p w:rsidR="009C6977" w:rsidRPr="00E15B60" w:rsidRDefault="009C6977" w:rsidP="00E15B60">
            <w:pPr>
              <w:pStyle w:val="SingleTxtG"/>
              <w:spacing w:before="80" w:after="80" w:line="200" w:lineRule="exact"/>
              <w:ind w:left="0" w:right="113"/>
              <w:jc w:val="left"/>
              <w:rPr>
                <w:i/>
                <w:sz w:val="16"/>
              </w:rPr>
            </w:pPr>
            <w:r w:rsidRPr="00E15B60">
              <w:rPr>
                <w:i/>
                <w:sz w:val="16"/>
              </w:rPr>
              <w:t>Partially implemented</w:t>
            </w:r>
          </w:p>
        </w:tc>
        <w:tc>
          <w:tcPr>
            <w:tcW w:w="1377" w:type="dxa"/>
            <w:tcBorders>
              <w:top w:val="single" w:sz="4" w:space="0" w:color="auto"/>
              <w:bottom w:val="single" w:sz="12" w:space="0" w:color="auto"/>
            </w:tcBorders>
            <w:shd w:val="clear" w:color="auto" w:fill="auto"/>
            <w:vAlign w:val="bottom"/>
          </w:tcPr>
          <w:p w:rsidR="009C6977" w:rsidRPr="00E15B60" w:rsidRDefault="009C6977" w:rsidP="00E15B60">
            <w:pPr>
              <w:pStyle w:val="SingleTxtG"/>
              <w:spacing w:before="80" w:after="80" w:line="200" w:lineRule="exact"/>
              <w:ind w:left="0" w:right="113"/>
              <w:jc w:val="left"/>
              <w:rPr>
                <w:i/>
                <w:sz w:val="16"/>
              </w:rPr>
            </w:pPr>
            <w:r w:rsidRPr="00E15B60">
              <w:rPr>
                <w:i/>
                <w:sz w:val="16"/>
              </w:rPr>
              <w:t>Not implemented</w:t>
            </w:r>
          </w:p>
        </w:tc>
        <w:tc>
          <w:tcPr>
            <w:tcW w:w="1377" w:type="dxa"/>
            <w:tcBorders>
              <w:top w:val="single" w:sz="4" w:space="0" w:color="auto"/>
              <w:bottom w:val="single" w:sz="12" w:space="0" w:color="auto"/>
            </w:tcBorders>
            <w:shd w:val="clear" w:color="auto" w:fill="auto"/>
            <w:vAlign w:val="bottom"/>
          </w:tcPr>
          <w:p w:rsidR="009C6977" w:rsidRPr="00E15B60" w:rsidRDefault="009C6977" w:rsidP="00E15B60">
            <w:pPr>
              <w:pStyle w:val="SingleTxtG"/>
              <w:spacing w:before="80" w:after="80" w:line="200" w:lineRule="exact"/>
              <w:ind w:left="0" w:right="113"/>
              <w:jc w:val="left"/>
              <w:rPr>
                <w:i/>
                <w:sz w:val="16"/>
              </w:rPr>
            </w:pPr>
            <w:r w:rsidRPr="00E15B60">
              <w:rPr>
                <w:i/>
                <w:sz w:val="16"/>
              </w:rPr>
              <w:t>Insufficient information</w:t>
            </w:r>
          </w:p>
        </w:tc>
      </w:tr>
      <w:tr w:rsidR="009C6977" w:rsidRPr="00337538">
        <w:tc>
          <w:tcPr>
            <w:tcW w:w="1377" w:type="dxa"/>
            <w:tcBorders>
              <w:top w:val="single" w:sz="12" w:space="0" w:color="auto"/>
            </w:tcBorders>
            <w:shd w:val="clear" w:color="auto" w:fill="auto"/>
          </w:tcPr>
          <w:p w:rsidR="009C6977" w:rsidRPr="00337538" w:rsidRDefault="009C6977" w:rsidP="00337538">
            <w:pPr>
              <w:pStyle w:val="SingleTxtG"/>
              <w:spacing w:before="40" w:after="40" w:line="220" w:lineRule="exact"/>
              <w:ind w:left="0" w:right="113"/>
              <w:jc w:val="left"/>
              <w:rPr>
                <w:sz w:val="18"/>
              </w:rPr>
            </w:pPr>
            <w:r w:rsidRPr="00337538">
              <w:rPr>
                <w:sz w:val="18"/>
              </w:rPr>
              <w:t>Freedom of expression, assembly and association</w:t>
            </w:r>
          </w:p>
        </w:tc>
        <w:tc>
          <w:tcPr>
            <w:tcW w:w="1377" w:type="dxa"/>
            <w:tcBorders>
              <w:top w:val="single" w:sz="12"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377" w:type="dxa"/>
            <w:tcBorders>
              <w:top w:val="single" w:sz="12"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12</w:t>
            </w:r>
          </w:p>
        </w:tc>
        <w:tc>
          <w:tcPr>
            <w:tcW w:w="1377" w:type="dxa"/>
            <w:tcBorders>
              <w:top w:val="single" w:sz="12"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1</w:t>
            </w:r>
          </w:p>
        </w:tc>
        <w:tc>
          <w:tcPr>
            <w:tcW w:w="1377" w:type="dxa"/>
            <w:tcBorders>
              <w:top w:val="single" w:sz="12"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377" w:type="dxa"/>
            <w:tcBorders>
              <w:top w:val="single" w:sz="12"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17</w:t>
            </w:r>
          </w:p>
        </w:tc>
        <w:tc>
          <w:tcPr>
            <w:tcW w:w="1377" w:type="dxa"/>
            <w:tcBorders>
              <w:top w:val="single" w:sz="12"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4</w:t>
            </w:r>
          </w:p>
        </w:tc>
      </w:tr>
      <w:tr w:rsidR="009C6977" w:rsidRPr="00337538">
        <w:tc>
          <w:tcPr>
            <w:tcW w:w="1377" w:type="dxa"/>
            <w:shd w:val="clear" w:color="auto" w:fill="auto"/>
          </w:tcPr>
          <w:p w:rsidR="009C6977" w:rsidRPr="00337538" w:rsidRDefault="009C6977" w:rsidP="00337538">
            <w:pPr>
              <w:pStyle w:val="SingleTxtG"/>
              <w:spacing w:before="40" w:after="40" w:line="220" w:lineRule="exact"/>
              <w:ind w:left="0" w:right="113"/>
              <w:jc w:val="left"/>
              <w:rPr>
                <w:sz w:val="18"/>
              </w:rPr>
            </w:pPr>
            <w:r w:rsidRPr="00337538">
              <w:rPr>
                <w:sz w:val="18"/>
              </w:rPr>
              <w:t>Freedom of thought, conscience and religion</w:t>
            </w:r>
          </w:p>
        </w:tc>
        <w:tc>
          <w:tcPr>
            <w:tcW w:w="1377"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2 (1)</w:t>
            </w:r>
          </w:p>
        </w:tc>
        <w:tc>
          <w:tcPr>
            <w:tcW w:w="1377"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8</w:t>
            </w:r>
            <w:r w:rsidR="00B05585">
              <w:rPr>
                <w:sz w:val="18"/>
              </w:rPr>
              <w:t xml:space="preserve"> </w:t>
            </w:r>
            <w:r w:rsidRPr="00337538">
              <w:rPr>
                <w:sz w:val="18"/>
              </w:rPr>
              <w:t>(1)</w:t>
            </w:r>
          </w:p>
        </w:tc>
        <w:tc>
          <w:tcPr>
            <w:tcW w:w="1377"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377"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1</w:t>
            </w:r>
            <w:r w:rsidR="00B05585">
              <w:rPr>
                <w:sz w:val="18"/>
              </w:rPr>
              <w:t xml:space="preserve"> </w:t>
            </w:r>
            <w:r w:rsidRPr="00337538">
              <w:rPr>
                <w:sz w:val="18"/>
              </w:rPr>
              <w:t>(1)</w:t>
            </w:r>
          </w:p>
        </w:tc>
        <w:tc>
          <w:tcPr>
            <w:tcW w:w="1377"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1</w:t>
            </w:r>
            <w:r w:rsidR="00B05585">
              <w:rPr>
                <w:sz w:val="18"/>
              </w:rPr>
              <w:t xml:space="preserve"> </w:t>
            </w:r>
            <w:r w:rsidRPr="00337538">
              <w:rPr>
                <w:sz w:val="18"/>
              </w:rPr>
              <w:t>(1)</w:t>
            </w:r>
          </w:p>
        </w:tc>
        <w:tc>
          <w:tcPr>
            <w:tcW w:w="1377"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r>
      <w:tr w:rsidR="009C6977" w:rsidRPr="00337538">
        <w:tc>
          <w:tcPr>
            <w:tcW w:w="1377" w:type="dxa"/>
            <w:shd w:val="clear" w:color="auto" w:fill="auto"/>
          </w:tcPr>
          <w:p w:rsidR="009C6977" w:rsidRPr="00337538" w:rsidRDefault="009C6977" w:rsidP="00337538">
            <w:pPr>
              <w:pStyle w:val="SingleTxtG"/>
              <w:spacing w:before="40" w:after="40" w:line="220" w:lineRule="exact"/>
              <w:ind w:left="0" w:right="113"/>
              <w:jc w:val="left"/>
              <w:rPr>
                <w:sz w:val="18"/>
              </w:rPr>
            </w:pPr>
            <w:r w:rsidRPr="00337538">
              <w:rPr>
                <w:sz w:val="18"/>
              </w:rPr>
              <w:t>Right to protection of family</w:t>
            </w:r>
          </w:p>
        </w:tc>
        <w:tc>
          <w:tcPr>
            <w:tcW w:w="1377"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377"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10</w:t>
            </w:r>
          </w:p>
        </w:tc>
        <w:tc>
          <w:tcPr>
            <w:tcW w:w="1377"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2</w:t>
            </w:r>
          </w:p>
        </w:tc>
        <w:tc>
          <w:tcPr>
            <w:tcW w:w="1377"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377"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377" w:type="dxa"/>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r>
      <w:tr w:rsidR="009C6977" w:rsidRPr="00337538">
        <w:tc>
          <w:tcPr>
            <w:tcW w:w="1377" w:type="dxa"/>
            <w:tcBorders>
              <w:bottom w:val="single" w:sz="4" w:space="0" w:color="auto"/>
            </w:tcBorders>
            <w:shd w:val="clear" w:color="auto" w:fill="auto"/>
          </w:tcPr>
          <w:p w:rsidR="009C6977" w:rsidRPr="00337538" w:rsidRDefault="009C6977" w:rsidP="00337538">
            <w:pPr>
              <w:pStyle w:val="SingleTxtG"/>
              <w:spacing w:before="40" w:after="40" w:line="220" w:lineRule="exact"/>
              <w:ind w:left="0" w:right="113"/>
              <w:jc w:val="left"/>
              <w:rPr>
                <w:sz w:val="18"/>
              </w:rPr>
            </w:pPr>
            <w:r w:rsidRPr="00337538">
              <w:rPr>
                <w:sz w:val="18"/>
              </w:rPr>
              <w:t>Palestinian political unity</w:t>
            </w:r>
          </w:p>
        </w:tc>
        <w:tc>
          <w:tcPr>
            <w:tcW w:w="1377" w:type="dxa"/>
            <w:tcBorders>
              <w:bottom w:val="single" w:sz="4"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377" w:type="dxa"/>
            <w:tcBorders>
              <w:bottom w:val="single" w:sz="4"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377" w:type="dxa"/>
            <w:tcBorders>
              <w:bottom w:val="single" w:sz="4"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377" w:type="dxa"/>
            <w:tcBorders>
              <w:bottom w:val="single" w:sz="4"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c>
          <w:tcPr>
            <w:tcW w:w="1377" w:type="dxa"/>
            <w:tcBorders>
              <w:bottom w:val="single" w:sz="4"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2</w:t>
            </w:r>
          </w:p>
        </w:tc>
        <w:tc>
          <w:tcPr>
            <w:tcW w:w="1377" w:type="dxa"/>
            <w:tcBorders>
              <w:bottom w:val="single" w:sz="4" w:space="0" w:color="auto"/>
            </w:tcBorders>
            <w:shd w:val="clear" w:color="auto" w:fill="auto"/>
            <w:vAlign w:val="bottom"/>
          </w:tcPr>
          <w:p w:rsidR="009C6977" w:rsidRPr="00337538" w:rsidRDefault="009C6977" w:rsidP="00337538">
            <w:pPr>
              <w:pStyle w:val="SingleTxtG"/>
              <w:spacing w:before="40" w:after="40" w:line="220" w:lineRule="exact"/>
              <w:ind w:left="0" w:right="113"/>
              <w:jc w:val="right"/>
              <w:rPr>
                <w:sz w:val="18"/>
              </w:rPr>
            </w:pPr>
            <w:r w:rsidRPr="00337538">
              <w:rPr>
                <w:sz w:val="18"/>
              </w:rPr>
              <w:t>0</w:t>
            </w:r>
          </w:p>
        </w:tc>
      </w:tr>
      <w:tr w:rsidR="009C6977" w:rsidRPr="0088192F">
        <w:tc>
          <w:tcPr>
            <w:tcW w:w="1377" w:type="dxa"/>
            <w:tcBorders>
              <w:top w:val="single" w:sz="4" w:space="0" w:color="auto"/>
              <w:bottom w:val="single" w:sz="12" w:space="0" w:color="auto"/>
            </w:tcBorders>
            <w:shd w:val="clear" w:color="auto" w:fill="auto"/>
          </w:tcPr>
          <w:p w:rsidR="009C6977" w:rsidRPr="0088192F" w:rsidRDefault="009C6977" w:rsidP="0088192F">
            <w:pPr>
              <w:pStyle w:val="SingleTxtG"/>
              <w:spacing w:before="80" w:after="80" w:line="220" w:lineRule="exact"/>
              <w:ind w:left="283" w:right="0"/>
              <w:jc w:val="left"/>
              <w:rPr>
                <w:b/>
                <w:sz w:val="18"/>
              </w:rPr>
            </w:pPr>
            <w:r w:rsidRPr="0088192F">
              <w:rPr>
                <w:b/>
                <w:sz w:val="18"/>
              </w:rPr>
              <w:t>Total</w:t>
            </w:r>
          </w:p>
        </w:tc>
        <w:tc>
          <w:tcPr>
            <w:tcW w:w="1377" w:type="dxa"/>
            <w:tcBorders>
              <w:top w:val="single" w:sz="4" w:space="0" w:color="auto"/>
              <w:bottom w:val="single" w:sz="12" w:space="0" w:color="auto"/>
            </w:tcBorders>
            <w:shd w:val="clear" w:color="auto" w:fill="auto"/>
            <w:vAlign w:val="bottom"/>
          </w:tcPr>
          <w:p w:rsidR="009C6977" w:rsidRPr="0088192F" w:rsidRDefault="009C6977" w:rsidP="0088192F">
            <w:pPr>
              <w:pStyle w:val="SingleTxtG"/>
              <w:spacing w:before="80" w:after="80" w:line="220" w:lineRule="exact"/>
              <w:ind w:left="0" w:right="113"/>
              <w:jc w:val="right"/>
              <w:rPr>
                <w:b/>
                <w:sz w:val="18"/>
              </w:rPr>
            </w:pPr>
            <w:r w:rsidRPr="0088192F">
              <w:rPr>
                <w:b/>
                <w:sz w:val="18"/>
              </w:rPr>
              <w:t>1 (3%)</w:t>
            </w:r>
          </w:p>
        </w:tc>
        <w:tc>
          <w:tcPr>
            <w:tcW w:w="1377" w:type="dxa"/>
            <w:tcBorders>
              <w:top w:val="single" w:sz="4" w:space="0" w:color="auto"/>
              <w:bottom w:val="single" w:sz="12" w:space="0" w:color="auto"/>
            </w:tcBorders>
            <w:shd w:val="clear" w:color="auto" w:fill="auto"/>
            <w:vAlign w:val="bottom"/>
          </w:tcPr>
          <w:p w:rsidR="009C6977" w:rsidRPr="0088192F" w:rsidRDefault="009C6977" w:rsidP="0088192F">
            <w:pPr>
              <w:pStyle w:val="SingleTxtG"/>
              <w:spacing w:before="80" w:after="80" w:line="220" w:lineRule="exact"/>
              <w:ind w:left="0" w:right="113"/>
              <w:jc w:val="right"/>
              <w:rPr>
                <w:b/>
                <w:sz w:val="18"/>
              </w:rPr>
            </w:pPr>
            <w:r w:rsidRPr="0088192F">
              <w:rPr>
                <w:b/>
                <w:sz w:val="18"/>
              </w:rPr>
              <w:t>29 (88%)</w:t>
            </w:r>
          </w:p>
        </w:tc>
        <w:tc>
          <w:tcPr>
            <w:tcW w:w="1377" w:type="dxa"/>
            <w:tcBorders>
              <w:top w:val="single" w:sz="4" w:space="0" w:color="auto"/>
              <w:bottom w:val="single" w:sz="12" w:space="0" w:color="auto"/>
            </w:tcBorders>
            <w:shd w:val="clear" w:color="auto" w:fill="auto"/>
            <w:vAlign w:val="bottom"/>
          </w:tcPr>
          <w:p w:rsidR="009C6977" w:rsidRPr="0088192F" w:rsidRDefault="009C6977" w:rsidP="0088192F">
            <w:pPr>
              <w:pStyle w:val="SingleTxtG"/>
              <w:spacing w:before="80" w:after="80" w:line="220" w:lineRule="exact"/>
              <w:ind w:left="0" w:right="113"/>
              <w:jc w:val="right"/>
              <w:rPr>
                <w:b/>
                <w:sz w:val="18"/>
              </w:rPr>
            </w:pPr>
            <w:r w:rsidRPr="0088192F">
              <w:rPr>
                <w:b/>
                <w:sz w:val="18"/>
              </w:rPr>
              <w:t>3 (9%)</w:t>
            </w:r>
          </w:p>
        </w:tc>
        <w:tc>
          <w:tcPr>
            <w:tcW w:w="1377" w:type="dxa"/>
            <w:tcBorders>
              <w:top w:val="single" w:sz="4" w:space="0" w:color="auto"/>
              <w:bottom w:val="single" w:sz="12" w:space="0" w:color="auto"/>
            </w:tcBorders>
            <w:shd w:val="clear" w:color="auto" w:fill="auto"/>
            <w:vAlign w:val="bottom"/>
          </w:tcPr>
          <w:p w:rsidR="009C6977" w:rsidRPr="0088192F" w:rsidRDefault="009C6977" w:rsidP="0088192F">
            <w:pPr>
              <w:pStyle w:val="SingleTxtG"/>
              <w:spacing w:before="80" w:after="80" w:line="220" w:lineRule="exact"/>
              <w:ind w:left="0" w:right="113"/>
              <w:jc w:val="right"/>
              <w:rPr>
                <w:b/>
                <w:sz w:val="18"/>
              </w:rPr>
            </w:pPr>
            <w:r w:rsidRPr="0088192F">
              <w:rPr>
                <w:b/>
                <w:sz w:val="18"/>
              </w:rPr>
              <w:t>1 (8%)</w:t>
            </w:r>
          </w:p>
        </w:tc>
        <w:tc>
          <w:tcPr>
            <w:tcW w:w="1377" w:type="dxa"/>
            <w:tcBorders>
              <w:top w:val="single" w:sz="4" w:space="0" w:color="auto"/>
              <w:bottom w:val="single" w:sz="12" w:space="0" w:color="auto"/>
            </w:tcBorders>
            <w:shd w:val="clear" w:color="auto" w:fill="auto"/>
            <w:vAlign w:val="bottom"/>
          </w:tcPr>
          <w:p w:rsidR="009C6977" w:rsidRPr="0088192F" w:rsidRDefault="009C6977" w:rsidP="0088192F">
            <w:pPr>
              <w:pStyle w:val="SingleTxtG"/>
              <w:spacing w:before="80" w:after="80" w:line="220" w:lineRule="exact"/>
              <w:ind w:left="0" w:right="113"/>
              <w:jc w:val="right"/>
              <w:rPr>
                <w:b/>
                <w:sz w:val="18"/>
              </w:rPr>
            </w:pPr>
            <w:r w:rsidRPr="0088192F">
              <w:rPr>
                <w:b/>
                <w:sz w:val="18"/>
              </w:rPr>
              <w:t>9 (69%)</w:t>
            </w:r>
          </w:p>
        </w:tc>
        <w:tc>
          <w:tcPr>
            <w:tcW w:w="1377" w:type="dxa"/>
            <w:tcBorders>
              <w:top w:val="single" w:sz="4" w:space="0" w:color="auto"/>
              <w:bottom w:val="single" w:sz="12" w:space="0" w:color="auto"/>
            </w:tcBorders>
            <w:shd w:val="clear" w:color="auto" w:fill="auto"/>
            <w:vAlign w:val="bottom"/>
          </w:tcPr>
          <w:p w:rsidR="009C6977" w:rsidRPr="0088192F" w:rsidRDefault="009C6977" w:rsidP="0088192F">
            <w:pPr>
              <w:pStyle w:val="SingleTxtG"/>
              <w:spacing w:before="80" w:after="80" w:line="220" w:lineRule="exact"/>
              <w:ind w:left="0" w:right="113"/>
              <w:jc w:val="right"/>
              <w:rPr>
                <w:b/>
                <w:sz w:val="18"/>
              </w:rPr>
            </w:pPr>
            <w:r w:rsidRPr="0088192F">
              <w:rPr>
                <w:b/>
                <w:sz w:val="18"/>
              </w:rPr>
              <w:t>3 (23%)</w:t>
            </w:r>
          </w:p>
        </w:tc>
      </w:tr>
    </w:tbl>
    <w:p w:rsidR="009C6977" w:rsidRPr="00437DBA" w:rsidRDefault="009C6977" w:rsidP="005102F5">
      <w:pPr>
        <w:pStyle w:val="SingleTxtG"/>
        <w:spacing w:before="240"/>
      </w:pPr>
      <w:r w:rsidRPr="00437DBA">
        <w:t>46.</w:t>
      </w:r>
      <w:r w:rsidRPr="00437DBA">
        <w:tab/>
        <w:t xml:space="preserve">Over 25 per cent of the recommendations urge Palestinian authorities to ensure that civil society organizations, human rights defenders and local and foreign journalists can perform their work in a safe and free environment, without intimidation, harassment or interference. The recommendations also call on Israel to cease actions that limit criticism by journalists, other individuals and civil society organizations, both Israeli and Palestinian. The latest report by OHCHR shows that </w:t>
      </w:r>
      <w:r>
        <w:t>“</w:t>
      </w:r>
      <w:r w:rsidRPr="00E03ABF">
        <w:t>significant concerns remain regarding violations and abuses by all duty</w:t>
      </w:r>
      <w:r w:rsidRPr="00437DBA">
        <w:t xml:space="preserve"> </w:t>
      </w:r>
      <w:r w:rsidRPr="00E03ABF">
        <w:t>bearers of the rights to freedom of expression, peaceful assembly and association. Israeli and Palestinian authorities impose restrictions and subject both Israeli and Palestinian human rights defenders focusing on the Occupied Palestinian Territory to pressure and harassment</w:t>
      </w:r>
      <w:r w:rsidRPr="00437DBA">
        <w:t>.</w:t>
      </w:r>
      <w:r>
        <w:t>”</w:t>
      </w:r>
      <w:r w:rsidRPr="009C6977">
        <w:rPr>
          <w:rStyle w:val="FootnoteReference"/>
        </w:rPr>
        <w:footnoteReference w:id="83"/>
      </w:r>
      <w:r w:rsidRPr="00437DBA">
        <w:t xml:space="preserve"> </w:t>
      </w:r>
    </w:p>
    <w:p w:rsidR="009C6977" w:rsidRPr="00437DBA" w:rsidRDefault="009C6977" w:rsidP="00B13294">
      <w:pPr>
        <w:pStyle w:val="SingleTxtG"/>
      </w:pPr>
      <w:r w:rsidRPr="00437DBA">
        <w:t>47.</w:t>
      </w:r>
      <w:r w:rsidRPr="00437DBA">
        <w:tab/>
        <w:t>The recommendations related to the right to freedom of thought, conscience and religion refer to the right of Palestinians to participate in religious life without restrictions and call on Israel to facilitate access to places of worship and ensure their protection without discrimination. Israeli and Palestinian authorities are called upon to discontinue the indication of religious affiliation on identity cards. The Israeli and West Bank authorities have complied with this recommendation but the Gaza authorities have not. Some recommendations have also called on all parties to legally bind themselves to protect religious minorities, in the framework of a possible peace agreement. Limitations on access to religious sites, including the Al-Aqsa Mosque in East Jerusalem,</w:t>
      </w:r>
      <w:r w:rsidRPr="009C6977">
        <w:rPr>
          <w:rStyle w:val="FootnoteReference"/>
        </w:rPr>
        <w:footnoteReference w:id="84"/>
      </w:r>
      <w:r w:rsidRPr="00437DBA">
        <w:t xml:space="preserve"> have remained of concern.</w:t>
      </w:r>
      <w:r w:rsidRPr="009C6977">
        <w:rPr>
          <w:rStyle w:val="FootnoteReference"/>
        </w:rPr>
        <w:footnoteReference w:id="85"/>
      </w:r>
      <w:r w:rsidRPr="00437DBA">
        <w:t xml:space="preserve"> </w:t>
      </w:r>
    </w:p>
    <w:p w:rsidR="009C6977" w:rsidRPr="00437DBA" w:rsidRDefault="005102F5" w:rsidP="005102F5">
      <w:pPr>
        <w:pStyle w:val="H1G"/>
      </w:pPr>
      <w:r>
        <w:tab/>
      </w:r>
      <w:bookmarkStart w:id="41" w:name="_Toc484690583"/>
      <w:bookmarkStart w:id="42" w:name="_Toc484792646"/>
      <w:r w:rsidR="009C6977" w:rsidRPr="00437DBA">
        <w:t>G.</w:t>
      </w:r>
      <w:r w:rsidR="009C6977" w:rsidRPr="00437DBA">
        <w:tab/>
        <w:t>Economic, social and cultural rights</w:t>
      </w:r>
      <w:bookmarkEnd w:id="41"/>
      <w:bookmarkEnd w:id="42"/>
    </w:p>
    <w:p w:rsidR="009C6977" w:rsidRPr="00437DBA" w:rsidRDefault="009C6977" w:rsidP="00B13294">
      <w:pPr>
        <w:pStyle w:val="SingleTxtG"/>
      </w:pPr>
      <w:r w:rsidRPr="00437DBA">
        <w:t>48.</w:t>
      </w:r>
      <w:r w:rsidRPr="00437DBA">
        <w:tab/>
        <w:t>The reports contain 63 recommendations (7 per cent of the total) related to economic, social and cultural rights.</w:t>
      </w:r>
    </w:p>
    <w:p w:rsidR="002E6E8B" w:rsidRDefault="002E6E8B" w:rsidP="002E6E8B">
      <w:pPr>
        <w:pStyle w:val="Heading1"/>
        <w:keepNext/>
        <w:keepLines/>
      </w:pPr>
      <w:bookmarkStart w:id="43" w:name="_Toc484690584"/>
      <w:r>
        <w:br w:type="page"/>
      </w:r>
      <w:bookmarkStart w:id="44" w:name="_Toc484792647"/>
      <w:r w:rsidR="009C6977" w:rsidRPr="00E03ABF">
        <w:t>Table 9</w:t>
      </w:r>
      <w:bookmarkEnd w:id="44"/>
    </w:p>
    <w:p w:rsidR="009C6977" w:rsidRPr="002E6E8B" w:rsidRDefault="009C6977" w:rsidP="002E6E8B">
      <w:pPr>
        <w:pStyle w:val="SingleTxtG"/>
        <w:rPr>
          <w:b/>
        </w:rPr>
      </w:pPr>
      <w:r w:rsidRPr="002E6E8B">
        <w:rPr>
          <w:b/>
        </w:rPr>
        <w:t>Implementation of recommendations related to economic, social and cultural rights</w:t>
      </w:r>
      <w:bookmarkEnd w:id="43"/>
    </w:p>
    <w:tbl>
      <w:tblPr>
        <w:tblW w:w="9639"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124"/>
        <w:gridCol w:w="1000"/>
        <w:gridCol w:w="1122"/>
        <w:gridCol w:w="926"/>
        <w:gridCol w:w="837"/>
        <w:gridCol w:w="926"/>
        <w:gridCol w:w="926"/>
        <w:gridCol w:w="926"/>
        <w:gridCol w:w="926"/>
        <w:gridCol w:w="926"/>
      </w:tblGrid>
      <w:tr w:rsidR="009C6977" w:rsidRPr="0058798A">
        <w:trPr>
          <w:tblHeader/>
        </w:trPr>
        <w:tc>
          <w:tcPr>
            <w:tcW w:w="993" w:type="dxa"/>
            <w:tcBorders>
              <w:top w:val="single" w:sz="4" w:space="0" w:color="auto"/>
              <w:bottom w:val="nil"/>
            </w:tcBorders>
            <w:shd w:val="clear" w:color="auto" w:fill="auto"/>
            <w:vAlign w:val="bottom"/>
          </w:tcPr>
          <w:p w:rsidR="009C6977" w:rsidRPr="0058798A" w:rsidRDefault="009C6977" w:rsidP="0058798A">
            <w:pPr>
              <w:pStyle w:val="SingleTxtG"/>
              <w:spacing w:before="80" w:after="80" w:line="200" w:lineRule="exact"/>
              <w:ind w:left="0" w:right="113"/>
              <w:jc w:val="left"/>
              <w:rPr>
                <w:i/>
                <w:sz w:val="16"/>
              </w:rPr>
            </w:pPr>
          </w:p>
        </w:tc>
        <w:tc>
          <w:tcPr>
            <w:tcW w:w="2694" w:type="dxa"/>
            <w:gridSpan w:val="3"/>
            <w:tcBorders>
              <w:top w:val="single" w:sz="4" w:space="0" w:color="auto"/>
              <w:bottom w:val="single" w:sz="4" w:space="0" w:color="auto"/>
              <w:right w:val="single" w:sz="24" w:space="0" w:color="FFFFFF" w:themeColor="background1"/>
            </w:tcBorders>
            <w:shd w:val="clear" w:color="auto" w:fill="auto"/>
            <w:vAlign w:val="bottom"/>
          </w:tcPr>
          <w:p w:rsidR="009C6977" w:rsidRPr="0058798A" w:rsidRDefault="009C6977" w:rsidP="00182699">
            <w:pPr>
              <w:pStyle w:val="SingleTxtG"/>
              <w:spacing w:before="80" w:after="80" w:line="200" w:lineRule="exact"/>
              <w:ind w:left="0" w:right="113"/>
              <w:jc w:val="center"/>
              <w:rPr>
                <w:i/>
                <w:sz w:val="16"/>
              </w:rPr>
            </w:pPr>
            <w:r w:rsidRPr="0058798A">
              <w:rPr>
                <w:i/>
                <w:sz w:val="16"/>
              </w:rPr>
              <w:t>Israel</w:t>
            </w:r>
          </w:p>
        </w:tc>
        <w:tc>
          <w:tcPr>
            <w:tcW w:w="2378"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tcPr>
          <w:p w:rsidR="009C6977" w:rsidRPr="0058798A" w:rsidRDefault="009C6977" w:rsidP="00182699">
            <w:pPr>
              <w:pStyle w:val="SingleTxtG"/>
              <w:spacing w:before="80" w:after="80" w:line="200" w:lineRule="exact"/>
              <w:ind w:left="0" w:right="113"/>
              <w:jc w:val="center"/>
              <w:rPr>
                <w:i/>
                <w:sz w:val="16"/>
              </w:rPr>
            </w:pPr>
            <w:r w:rsidRPr="0058798A">
              <w:rPr>
                <w:i/>
                <w:sz w:val="16"/>
              </w:rPr>
              <w:t>Palestinian authorities</w:t>
            </w:r>
          </w:p>
        </w:tc>
        <w:tc>
          <w:tcPr>
            <w:tcW w:w="2457" w:type="dxa"/>
            <w:gridSpan w:val="3"/>
            <w:tcBorders>
              <w:top w:val="single" w:sz="4" w:space="0" w:color="auto"/>
              <w:left w:val="single" w:sz="24" w:space="0" w:color="FFFFFF" w:themeColor="background1"/>
              <w:bottom w:val="single" w:sz="4" w:space="0" w:color="auto"/>
            </w:tcBorders>
            <w:shd w:val="clear" w:color="auto" w:fill="auto"/>
            <w:vAlign w:val="bottom"/>
          </w:tcPr>
          <w:p w:rsidR="009C6977" w:rsidRPr="0058798A" w:rsidRDefault="009C6977" w:rsidP="00182699">
            <w:pPr>
              <w:pStyle w:val="SingleTxtG"/>
              <w:spacing w:before="80" w:after="80" w:line="200" w:lineRule="exact"/>
              <w:ind w:left="0" w:right="113"/>
              <w:jc w:val="center"/>
              <w:rPr>
                <w:i/>
                <w:sz w:val="16"/>
              </w:rPr>
            </w:pPr>
            <w:r w:rsidRPr="0058798A">
              <w:rPr>
                <w:i/>
                <w:sz w:val="16"/>
              </w:rPr>
              <w:t>International community</w:t>
            </w:r>
          </w:p>
        </w:tc>
      </w:tr>
      <w:tr w:rsidR="005E6F85" w:rsidRPr="00182699">
        <w:trPr>
          <w:cantSplit/>
          <w:trHeight w:val="1134"/>
        </w:trPr>
        <w:tc>
          <w:tcPr>
            <w:tcW w:w="993" w:type="dxa"/>
            <w:tcBorders>
              <w:top w:val="nil"/>
              <w:bottom w:val="single" w:sz="12" w:space="0" w:color="auto"/>
            </w:tcBorders>
            <w:shd w:val="clear" w:color="auto" w:fill="auto"/>
            <w:textDirection w:val="btLr"/>
          </w:tcPr>
          <w:p w:rsidR="009C6977" w:rsidRPr="00182699" w:rsidRDefault="009C6977" w:rsidP="00182699">
            <w:pPr>
              <w:pStyle w:val="SingleTxtG"/>
              <w:spacing w:before="80" w:after="80" w:line="200" w:lineRule="exact"/>
              <w:ind w:left="113" w:right="113"/>
              <w:jc w:val="right"/>
              <w:rPr>
                <w:i/>
                <w:sz w:val="16"/>
              </w:rPr>
            </w:pPr>
          </w:p>
        </w:tc>
        <w:tc>
          <w:tcPr>
            <w:tcW w:w="883" w:type="dxa"/>
            <w:tcBorders>
              <w:top w:val="single" w:sz="4" w:space="0" w:color="auto"/>
              <w:bottom w:val="single" w:sz="12" w:space="0" w:color="auto"/>
            </w:tcBorders>
            <w:shd w:val="clear" w:color="auto" w:fill="auto"/>
            <w:textDirection w:val="btLr"/>
            <w:vAlign w:val="bottom"/>
          </w:tcPr>
          <w:p w:rsidR="009C6977" w:rsidRPr="00182699" w:rsidRDefault="009C6977" w:rsidP="00182699">
            <w:pPr>
              <w:pStyle w:val="SingleTxtG"/>
              <w:spacing w:before="80" w:after="80" w:line="200" w:lineRule="exact"/>
              <w:ind w:left="113" w:right="113"/>
              <w:jc w:val="right"/>
              <w:rPr>
                <w:i/>
                <w:sz w:val="16"/>
              </w:rPr>
            </w:pPr>
            <w:r w:rsidRPr="00182699">
              <w:rPr>
                <w:i/>
                <w:sz w:val="16"/>
              </w:rPr>
              <w:t>Partially implemented</w:t>
            </w:r>
          </w:p>
        </w:tc>
        <w:tc>
          <w:tcPr>
            <w:tcW w:w="992" w:type="dxa"/>
            <w:tcBorders>
              <w:top w:val="single" w:sz="4" w:space="0" w:color="auto"/>
              <w:bottom w:val="single" w:sz="12" w:space="0" w:color="auto"/>
            </w:tcBorders>
            <w:shd w:val="clear" w:color="auto" w:fill="auto"/>
            <w:textDirection w:val="btLr"/>
            <w:vAlign w:val="bottom"/>
          </w:tcPr>
          <w:p w:rsidR="009C6977" w:rsidRPr="00182699" w:rsidRDefault="009C6977" w:rsidP="00182699">
            <w:pPr>
              <w:pStyle w:val="SingleTxtG"/>
              <w:spacing w:before="80" w:after="80" w:line="200" w:lineRule="exact"/>
              <w:ind w:left="113" w:right="113"/>
              <w:jc w:val="right"/>
              <w:rPr>
                <w:i/>
                <w:sz w:val="16"/>
              </w:rPr>
            </w:pPr>
            <w:r w:rsidRPr="00182699">
              <w:rPr>
                <w:i/>
                <w:sz w:val="16"/>
              </w:rPr>
              <w:t>Not implemented</w:t>
            </w:r>
          </w:p>
        </w:tc>
        <w:tc>
          <w:tcPr>
            <w:tcW w:w="819" w:type="dxa"/>
            <w:tcBorders>
              <w:top w:val="single" w:sz="4" w:space="0" w:color="auto"/>
              <w:bottom w:val="single" w:sz="12" w:space="0" w:color="auto"/>
              <w:right w:val="single" w:sz="24" w:space="0" w:color="FFFFFF" w:themeColor="background1"/>
            </w:tcBorders>
            <w:shd w:val="clear" w:color="auto" w:fill="auto"/>
            <w:textDirection w:val="btLr"/>
            <w:vAlign w:val="bottom"/>
          </w:tcPr>
          <w:p w:rsidR="009C6977" w:rsidRPr="00182699" w:rsidRDefault="009C6977" w:rsidP="00182699">
            <w:pPr>
              <w:pStyle w:val="SingleTxtG"/>
              <w:spacing w:before="80" w:after="80" w:line="200" w:lineRule="exact"/>
              <w:ind w:left="113" w:right="113"/>
              <w:jc w:val="right"/>
              <w:rPr>
                <w:i/>
                <w:sz w:val="16"/>
              </w:rPr>
            </w:pPr>
            <w:r w:rsidRPr="00182699">
              <w:rPr>
                <w:i/>
                <w:sz w:val="16"/>
              </w:rPr>
              <w:t>Insufficient information</w:t>
            </w:r>
          </w:p>
        </w:tc>
        <w:tc>
          <w:tcPr>
            <w:tcW w:w="740" w:type="dxa"/>
            <w:tcBorders>
              <w:top w:val="single" w:sz="4" w:space="0" w:color="auto"/>
              <w:left w:val="single" w:sz="24" w:space="0" w:color="FFFFFF" w:themeColor="background1"/>
              <w:bottom w:val="single" w:sz="12" w:space="0" w:color="auto"/>
            </w:tcBorders>
            <w:shd w:val="clear" w:color="auto" w:fill="auto"/>
            <w:textDirection w:val="btLr"/>
            <w:vAlign w:val="bottom"/>
          </w:tcPr>
          <w:p w:rsidR="009C6977" w:rsidRPr="00182699" w:rsidRDefault="009C6977" w:rsidP="00182699">
            <w:pPr>
              <w:pStyle w:val="SingleTxtG"/>
              <w:spacing w:before="80" w:after="80" w:line="200" w:lineRule="exact"/>
              <w:ind w:left="113" w:right="113"/>
              <w:jc w:val="right"/>
              <w:rPr>
                <w:i/>
                <w:sz w:val="16"/>
              </w:rPr>
            </w:pPr>
            <w:r w:rsidRPr="00182699">
              <w:rPr>
                <w:i/>
                <w:sz w:val="16"/>
              </w:rPr>
              <w:t>Partially implemented</w:t>
            </w:r>
          </w:p>
        </w:tc>
        <w:tc>
          <w:tcPr>
            <w:tcW w:w="819" w:type="dxa"/>
            <w:tcBorders>
              <w:top w:val="single" w:sz="4" w:space="0" w:color="auto"/>
              <w:bottom w:val="single" w:sz="12" w:space="0" w:color="auto"/>
            </w:tcBorders>
            <w:shd w:val="clear" w:color="auto" w:fill="auto"/>
            <w:textDirection w:val="btLr"/>
            <w:vAlign w:val="bottom"/>
          </w:tcPr>
          <w:p w:rsidR="009C6977" w:rsidRPr="00182699" w:rsidRDefault="009C6977" w:rsidP="00182699">
            <w:pPr>
              <w:pStyle w:val="SingleTxtG"/>
              <w:spacing w:before="80" w:after="80" w:line="200" w:lineRule="exact"/>
              <w:ind w:left="113" w:right="113"/>
              <w:jc w:val="right"/>
              <w:rPr>
                <w:i/>
                <w:sz w:val="16"/>
              </w:rPr>
            </w:pPr>
            <w:r w:rsidRPr="00182699">
              <w:rPr>
                <w:i/>
                <w:sz w:val="16"/>
              </w:rPr>
              <w:t>Not implemented</w:t>
            </w:r>
          </w:p>
        </w:tc>
        <w:tc>
          <w:tcPr>
            <w:tcW w:w="819" w:type="dxa"/>
            <w:tcBorders>
              <w:top w:val="single" w:sz="4" w:space="0" w:color="auto"/>
              <w:bottom w:val="single" w:sz="12" w:space="0" w:color="auto"/>
              <w:right w:val="single" w:sz="24" w:space="0" w:color="FFFFFF" w:themeColor="background1"/>
            </w:tcBorders>
            <w:shd w:val="clear" w:color="auto" w:fill="auto"/>
            <w:textDirection w:val="btLr"/>
            <w:vAlign w:val="bottom"/>
          </w:tcPr>
          <w:p w:rsidR="009C6977" w:rsidRPr="00182699" w:rsidRDefault="009C6977" w:rsidP="00182699">
            <w:pPr>
              <w:pStyle w:val="SingleTxtG"/>
              <w:spacing w:before="80" w:after="80" w:line="200" w:lineRule="exact"/>
              <w:ind w:left="113" w:right="113"/>
              <w:jc w:val="right"/>
              <w:rPr>
                <w:i/>
                <w:sz w:val="16"/>
              </w:rPr>
            </w:pPr>
            <w:r w:rsidRPr="00182699">
              <w:rPr>
                <w:i/>
                <w:sz w:val="16"/>
              </w:rPr>
              <w:t>Insufficient information</w:t>
            </w:r>
          </w:p>
        </w:tc>
        <w:tc>
          <w:tcPr>
            <w:tcW w:w="819" w:type="dxa"/>
            <w:tcBorders>
              <w:top w:val="single" w:sz="4" w:space="0" w:color="auto"/>
              <w:left w:val="single" w:sz="24" w:space="0" w:color="FFFFFF" w:themeColor="background1"/>
              <w:bottom w:val="single" w:sz="12" w:space="0" w:color="auto"/>
            </w:tcBorders>
            <w:shd w:val="clear" w:color="auto" w:fill="auto"/>
            <w:textDirection w:val="btLr"/>
            <w:vAlign w:val="bottom"/>
          </w:tcPr>
          <w:p w:rsidR="009C6977" w:rsidRPr="00182699" w:rsidRDefault="009C6977" w:rsidP="00182699">
            <w:pPr>
              <w:pStyle w:val="SingleTxtG"/>
              <w:spacing w:before="80" w:after="80" w:line="200" w:lineRule="exact"/>
              <w:ind w:left="113" w:right="113"/>
              <w:jc w:val="right"/>
              <w:rPr>
                <w:i/>
                <w:sz w:val="16"/>
              </w:rPr>
            </w:pPr>
            <w:r w:rsidRPr="00182699">
              <w:rPr>
                <w:i/>
                <w:sz w:val="16"/>
              </w:rPr>
              <w:t>Partially implemented</w:t>
            </w:r>
          </w:p>
        </w:tc>
        <w:tc>
          <w:tcPr>
            <w:tcW w:w="819" w:type="dxa"/>
            <w:tcBorders>
              <w:top w:val="single" w:sz="4" w:space="0" w:color="auto"/>
              <w:bottom w:val="single" w:sz="12" w:space="0" w:color="auto"/>
            </w:tcBorders>
            <w:shd w:val="clear" w:color="auto" w:fill="auto"/>
            <w:textDirection w:val="btLr"/>
            <w:vAlign w:val="bottom"/>
          </w:tcPr>
          <w:p w:rsidR="009C6977" w:rsidRPr="00182699" w:rsidRDefault="009C6977" w:rsidP="00182699">
            <w:pPr>
              <w:pStyle w:val="SingleTxtG"/>
              <w:spacing w:before="80" w:after="80" w:line="200" w:lineRule="exact"/>
              <w:ind w:left="113" w:right="113"/>
              <w:jc w:val="right"/>
              <w:rPr>
                <w:i/>
                <w:sz w:val="16"/>
              </w:rPr>
            </w:pPr>
            <w:r w:rsidRPr="00182699">
              <w:rPr>
                <w:i/>
                <w:sz w:val="16"/>
              </w:rPr>
              <w:t>Not implemented</w:t>
            </w:r>
          </w:p>
        </w:tc>
        <w:tc>
          <w:tcPr>
            <w:tcW w:w="819" w:type="dxa"/>
            <w:tcBorders>
              <w:top w:val="single" w:sz="4" w:space="0" w:color="auto"/>
              <w:bottom w:val="single" w:sz="12" w:space="0" w:color="auto"/>
            </w:tcBorders>
            <w:shd w:val="clear" w:color="auto" w:fill="auto"/>
            <w:textDirection w:val="btLr"/>
            <w:vAlign w:val="bottom"/>
          </w:tcPr>
          <w:p w:rsidR="009C6977" w:rsidRPr="00182699" w:rsidRDefault="009C6977" w:rsidP="00182699">
            <w:pPr>
              <w:pStyle w:val="SingleTxtG"/>
              <w:spacing w:before="80" w:after="80" w:line="200" w:lineRule="exact"/>
              <w:ind w:left="113" w:right="113"/>
              <w:jc w:val="right"/>
              <w:rPr>
                <w:i/>
                <w:sz w:val="16"/>
              </w:rPr>
            </w:pPr>
            <w:r w:rsidRPr="00182699">
              <w:rPr>
                <w:i/>
                <w:sz w:val="16"/>
              </w:rPr>
              <w:t>Insufficient information</w:t>
            </w:r>
          </w:p>
        </w:tc>
      </w:tr>
      <w:tr w:rsidR="009C6977" w:rsidRPr="0058798A">
        <w:tc>
          <w:tcPr>
            <w:tcW w:w="993" w:type="dxa"/>
            <w:tcBorders>
              <w:top w:val="single" w:sz="12" w:space="0" w:color="auto"/>
            </w:tcBorders>
            <w:shd w:val="clear" w:color="auto" w:fill="auto"/>
          </w:tcPr>
          <w:p w:rsidR="009C6977" w:rsidRPr="0058798A" w:rsidRDefault="009C6977" w:rsidP="0058798A">
            <w:pPr>
              <w:pStyle w:val="SingleTxtG"/>
              <w:spacing w:before="40" w:after="40" w:line="220" w:lineRule="exact"/>
              <w:ind w:left="0" w:right="113"/>
              <w:jc w:val="left"/>
              <w:rPr>
                <w:sz w:val="18"/>
              </w:rPr>
            </w:pPr>
            <w:r w:rsidRPr="0058798A">
              <w:rPr>
                <w:sz w:val="18"/>
              </w:rPr>
              <w:t>Right to health</w:t>
            </w:r>
          </w:p>
        </w:tc>
        <w:tc>
          <w:tcPr>
            <w:tcW w:w="883" w:type="dxa"/>
            <w:tcBorders>
              <w:top w:val="single" w:sz="12"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992" w:type="dxa"/>
            <w:tcBorders>
              <w:top w:val="single" w:sz="12"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11</w:t>
            </w:r>
          </w:p>
        </w:tc>
        <w:tc>
          <w:tcPr>
            <w:tcW w:w="819" w:type="dxa"/>
            <w:tcBorders>
              <w:top w:val="single" w:sz="12"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2</w:t>
            </w:r>
          </w:p>
        </w:tc>
        <w:tc>
          <w:tcPr>
            <w:tcW w:w="740" w:type="dxa"/>
            <w:tcBorders>
              <w:top w:val="single" w:sz="12"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tcBorders>
              <w:top w:val="single" w:sz="12"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1</w:t>
            </w:r>
          </w:p>
        </w:tc>
        <w:tc>
          <w:tcPr>
            <w:tcW w:w="819" w:type="dxa"/>
            <w:tcBorders>
              <w:top w:val="single" w:sz="12"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tcBorders>
              <w:top w:val="single" w:sz="12"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1</w:t>
            </w:r>
          </w:p>
        </w:tc>
        <w:tc>
          <w:tcPr>
            <w:tcW w:w="819" w:type="dxa"/>
            <w:tcBorders>
              <w:top w:val="single" w:sz="12"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1</w:t>
            </w:r>
          </w:p>
        </w:tc>
        <w:tc>
          <w:tcPr>
            <w:tcW w:w="819" w:type="dxa"/>
            <w:tcBorders>
              <w:top w:val="single" w:sz="12"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r>
      <w:tr w:rsidR="009C6977" w:rsidRPr="0058798A">
        <w:tc>
          <w:tcPr>
            <w:tcW w:w="993" w:type="dxa"/>
            <w:shd w:val="clear" w:color="auto" w:fill="auto"/>
          </w:tcPr>
          <w:p w:rsidR="009C6977" w:rsidRPr="0058798A" w:rsidRDefault="009C6977" w:rsidP="0058798A">
            <w:pPr>
              <w:pStyle w:val="SingleTxtG"/>
              <w:spacing w:before="40" w:after="40" w:line="220" w:lineRule="exact"/>
              <w:ind w:left="0" w:right="113"/>
              <w:jc w:val="left"/>
              <w:rPr>
                <w:sz w:val="18"/>
              </w:rPr>
            </w:pPr>
            <w:r w:rsidRPr="0058798A">
              <w:rPr>
                <w:sz w:val="18"/>
              </w:rPr>
              <w:t>Right to education</w:t>
            </w:r>
          </w:p>
        </w:tc>
        <w:tc>
          <w:tcPr>
            <w:tcW w:w="883"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1</w:t>
            </w:r>
          </w:p>
        </w:tc>
        <w:tc>
          <w:tcPr>
            <w:tcW w:w="992"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12</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3</w:t>
            </w:r>
          </w:p>
        </w:tc>
        <w:tc>
          <w:tcPr>
            <w:tcW w:w="740"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2</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r>
      <w:tr w:rsidR="009C6977" w:rsidRPr="0058798A">
        <w:tc>
          <w:tcPr>
            <w:tcW w:w="993" w:type="dxa"/>
            <w:shd w:val="clear" w:color="auto" w:fill="auto"/>
          </w:tcPr>
          <w:p w:rsidR="009C6977" w:rsidRPr="0058798A" w:rsidRDefault="009C6977" w:rsidP="0058798A">
            <w:pPr>
              <w:pStyle w:val="SingleTxtG"/>
              <w:spacing w:before="40" w:after="40" w:line="220" w:lineRule="exact"/>
              <w:ind w:left="0" w:right="113"/>
              <w:jc w:val="left"/>
              <w:rPr>
                <w:sz w:val="18"/>
              </w:rPr>
            </w:pPr>
            <w:r w:rsidRPr="0058798A">
              <w:rPr>
                <w:sz w:val="18"/>
              </w:rPr>
              <w:t>Right to water</w:t>
            </w:r>
          </w:p>
        </w:tc>
        <w:tc>
          <w:tcPr>
            <w:tcW w:w="883"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1</w:t>
            </w:r>
          </w:p>
        </w:tc>
        <w:tc>
          <w:tcPr>
            <w:tcW w:w="992"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5</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740"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1</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r>
      <w:tr w:rsidR="009C6977" w:rsidRPr="0058798A">
        <w:tc>
          <w:tcPr>
            <w:tcW w:w="993" w:type="dxa"/>
            <w:shd w:val="clear" w:color="auto" w:fill="auto"/>
          </w:tcPr>
          <w:p w:rsidR="009C6977" w:rsidRPr="0058798A" w:rsidRDefault="009C6977" w:rsidP="0058798A">
            <w:pPr>
              <w:pStyle w:val="SingleTxtG"/>
              <w:spacing w:before="40" w:after="40" w:line="220" w:lineRule="exact"/>
              <w:ind w:left="0" w:right="113"/>
              <w:jc w:val="left"/>
              <w:rPr>
                <w:sz w:val="18"/>
              </w:rPr>
            </w:pPr>
            <w:r w:rsidRPr="0058798A">
              <w:rPr>
                <w:sz w:val="18"/>
              </w:rPr>
              <w:t xml:space="preserve">Right to adequate standard of living, food, clothing, housing </w:t>
            </w:r>
          </w:p>
        </w:tc>
        <w:tc>
          <w:tcPr>
            <w:tcW w:w="883"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(1)</w:t>
            </w:r>
          </w:p>
        </w:tc>
        <w:tc>
          <w:tcPr>
            <w:tcW w:w="992"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6</w:t>
            </w:r>
            <w:r w:rsidR="00222389">
              <w:rPr>
                <w:sz w:val="18"/>
              </w:rPr>
              <w:t xml:space="preserve"> </w:t>
            </w:r>
            <w:r w:rsidRPr="0058798A">
              <w:rPr>
                <w:sz w:val="18"/>
              </w:rPr>
              <w:t>(1)</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2</w:t>
            </w:r>
          </w:p>
        </w:tc>
        <w:tc>
          <w:tcPr>
            <w:tcW w:w="740"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2</w:t>
            </w:r>
            <w:r w:rsidR="00222389">
              <w:rPr>
                <w:sz w:val="18"/>
              </w:rPr>
              <w:t xml:space="preserve"> </w:t>
            </w:r>
            <w:r w:rsidRPr="0058798A">
              <w:rPr>
                <w:sz w:val="18"/>
              </w:rPr>
              <w:t>(1)</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1</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r>
      <w:tr w:rsidR="009C6977" w:rsidRPr="0058798A">
        <w:tc>
          <w:tcPr>
            <w:tcW w:w="993" w:type="dxa"/>
            <w:tcBorders>
              <w:bottom w:val="single" w:sz="4" w:space="0" w:color="auto"/>
            </w:tcBorders>
            <w:shd w:val="clear" w:color="auto" w:fill="auto"/>
          </w:tcPr>
          <w:p w:rsidR="009C6977" w:rsidRPr="0058798A" w:rsidRDefault="009C6977" w:rsidP="0058798A">
            <w:pPr>
              <w:pStyle w:val="SingleTxtG"/>
              <w:spacing w:before="40" w:after="40" w:line="220" w:lineRule="exact"/>
              <w:ind w:left="0" w:right="113"/>
              <w:jc w:val="left"/>
              <w:rPr>
                <w:sz w:val="18"/>
              </w:rPr>
            </w:pPr>
            <w:r w:rsidRPr="0058798A">
              <w:rPr>
                <w:sz w:val="18"/>
              </w:rPr>
              <w:t>Right to development</w:t>
            </w:r>
          </w:p>
        </w:tc>
        <w:tc>
          <w:tcPr>
            <w:tcW w:w="883" w:type="dxa"/>
            <w:tcBorders>
              <w:bottom w:val="single" w:sz="4"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992" w:type="dxa"/>
            <w:tcBorders>
              <w:bottom w:val="single" w:sz="4"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2</w:t>
            </w:r>
          </w:p>
        </w:tc>
        <w:tc>
          <w:tcPr>
            <w:tcW w:w="819" w:type="dxa"/>
            <w:tcBorders>
              <w:bottom w:val="single" w:sz="4"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2</w:t>
            </w:r>
          </w:p>
        </w:tc>
        <w:tc>
          <w:tcPr>
            <w:tcW w:w="740" w:type="dxa"/>
            <w:tcBorders>
              <w:bottom w:val="single" w:sz="4"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tcBorders>
              <w:bottom w:val="single" w:sz="4"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tcBorders>
              <w:bottom w:val="single" w:sz="4"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2</w:t>
            </w:r>
          </w:p>
        </w:tc>
        <w:tc>
          <w:tcPr>
            <w:tcW w:w="819" w:type="dxa"/>
            <w:tcBorders>
              <w:bottom w:val="single" w:sz="4"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tcBorders>
              <w:bottom w:val="single" w:sz="4"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0</w:t>
            </w:r>
          </w:p>
        </w:tc>
        <w:tc>
          <w:tcPr>
            <w:tcW w:w="819" w:type="dxa"/>
            <w:tcBorders>
              <w:bottom w:val="single" w:sz="4" w:space="0" w:color="auto"/>
            </w:tcBorders>
            <w:shd w:val="clear" w:color="auto" w:fill="auto"/>
            <w:vAlign w:val="bottom"/>
          </w:tcPr>
          <w:p w:rsidR="009C6977" w:rsidRPr="0058798A" w:rsidRDefault="009C6977" w:rsidP="0058798A">
            <w:pPr>
              <w:pStyle w:val="SingleTxtG"/>
              <w:spacing w:before="40" w:after="40" w:line="220" w:lineRule="exact"/>
              <w:ind w:left="0" w:right="113"/>
              <w:jc w:val="right"/>
              <w:rPr>
                <w:sz w:val="18"/>
              </w:rPr>
            </w:pPr>
            <w:r w:rsidRPr="0058798A">
              <w:rPr>
                <w:sz w:val="18"/>
              </w:rPr>
              <w:t>1</w:t>
            </w:r>
          </w:p>
        </w:tc>
      </w:tr>
      <w:tr w:rsidR="009C6977" w:rsidRPr="005E6F85">
        <w:tc>
          <w:tcPr>
            <w:tcW w:w="993" w:type="dxa"/>
            <w:tcBorders>
              <w:top w:val="single" w:sz="4" w:space="0" w:color="auto"/>
              <w:bottom w:val="single" w:sz="12" w:space="0" w:color="auto"/>
            </w:tcBorders>
            <w:shd w:val="clear" w:color="auto" w:fill="auto"/>
          </w:tcPr>
          <w:p w:rsidR="009C6977" w:rsidRPr="005E6F85" w:rsidRDefault="009C6977" w:rsidP="005E6F85">
            <w:pPr>
              <w:pStyle w:val="SingleTxtG"/>
              <w:spacing w:before="80" w:after="80" w:line="220" w:lineRule="exact"/>
              <w:ind w:left="283" w:right="0"/>
              <w:jc w:val="left"/>
              <w:rPr>
                <w:b/>
                <w:sz w:val="18"/>
              </w:rPr>
            </w:pPr>
            <w:r w:rsidRPr="005E6F85">
              <w:rPr>
                <w:b/>
                <w:sz w:val="18"/>
              </w:rPr>
              <w:t>Total</w:t>
            </w:r>
          </w:p>
        </w:tc>
        <w:tc>
          <w:tcPr>
            <w:tcW w:w="883" w:type="dxa"/>
            <w:tcBorders>
              <w:top w:val="single" w:sz="4" w:space="0" w:color="auto"/>
              <w:bottom w:val="single" w:sz="12" w:space="0" w:color="auto"/>
            </w:tcBorders>
            <w:shd w:val="clear" w:color="auto" w:fill="auto"/>
            <w:vAlign w:val="bottom"/>
          </w:tcPr>
          <w:p w:rsidR="009C6977" w:rsidRPr="005E6F85" w:rsidRDefault="009C6977" w:rsidP="005E6F85">
            <w:pPr>
              <w:pStyle w:val="SingleTxtG"/>
              <w:spacing w:before="80" w:after="80" w:line="220" w:lineRule="exact"/>
              <w:ind w:left="0" w:right="113"/>
              <w:jc w:val="right"/>
              <w:rPr>
                <w:b/>
                <w:sz w:val="18"/>
              </w:rPr>
            </w:pPr>
            <w:r w:rsidRPr="005E6F85">
              <w:rPr>
                <w:b/>
                <w:sz w:val="18"/>
              </w:rPr>
              <w:t>3 (6%)</w:t>
            </w:r>
          </w:p>
        </w:tc>
        <w:tc>
          <w:tcPr>
            <w:tcW w:w="992" w:type="dxa"/>
            <w:tcBorders>
              <w:top w:val="single" w:sz="4" w:space="0" w:color="auto"/>
              <w:bottom w:val="single" w:sz="12" w:space="0" w:color="auto"/>
            </w:tcBorders>
            <w:shd w:val="clear" w:color="auto" w:fill="auto"/>
            <w:vAlign w:val="bottom"/>
          </w:tcPr>
          <w:p w:rsidR="009C6977" w:rsidRPr="005E6F85" w:rsidRDefault="009C6977" w:rsidP="005E6F85">
            <w:pPr>
              <w:pStyle w:val="SingleTxtG"/>
              <w:spacing w:before="80" w:after="80" w:line="220" w:lineRule="exact"/>
              <w:ind w:left="0" w:right="113"/>
              <w:jc w:val="right"/>
              <w:rPr>
                <w:b/>
                <w:sz w:val="18"/>
              </w:rPr>
            </w:pPr>
            <w:r w:rsidRPr="005E6F85">
              <w:rPr>
                <w:b/>
                <w:sz w:val="18"/>
              </w:rPr>
              <w:t>37 (76%)</w:t>
            </w:r>
          </w:p>
        </w:tc>
        <w:tc>
          <w:tcPr>
            <w:tcW w:w="819" w:type="dxa"/>
            <w:tcBorders>
              <w:top w:val="single" w:sz="4" w:space="0" w:color="auto"/>
              <w:bottom w:val="single" w:sz="12" w:space="0" w:color="auto"/>
            </w:tcBorders>
            <w:shd w:val="clear" w:color="auto" w:fill="auto"/>
            <w:vAlign w:val="bottom"/>
          </w:tcPr>
          <w:p w:rsidR="009C6977" w:rsidRPr="005E6F85" w:rsidRDefault="009C6977" w:rsidP="005E6F85">
            <w:pPr>
              <w:pStyle w:val="SingleTxtG"/>
              <w:spacing w:before="80" w:after="80" w:line="220" w:lineRule="exact"/>
              <w:ind w:left="0" w:right="113"/>
              <w:jc w:val="right"/>
              <w:rPr>
                <w:b/>
                <w:sz w:val="18"/>
              </w:rPr>
            </w:pPr>
            <w:r w:rsidRPr="005E6F85">
              <w:rPr>
                <w:b/>
                <w:sz w:val="18"/>
              </w:rPr>
              <w:t>9 (18%)</w:t>
            </w:r>
          </w:p>
        </w:tc>
        <w:tc>
          <w:tcPr>
            <w:tcW w:w="740" w:type="dxa"/>
            <w:tcBorders>
              <w:top w:val="single" w:sz="4" w:space="0" w:color="auto"/>
              <w:bottom w:val="single" w:sz="12" w:space="0" w:color="auto"/>
            </w:tcBorders>
            <w:shd w:val="clear" w:color="auto" w:fill="auto"/>
            <w:vAlign w:val="bottom"/>
          </w:tcPr>
          <w:p w:rsidR="009C6977" w:rsidRPr="005E6F85" w:rsidRDefault="009C6977" w:rsidP="005E6F85">
            <w:pPr>
              <w:pStyle w:val="SingleTxtG"/>
              <w:spacing w:before="80" w:after="80" w:line="220" w:lineRule="exact"/>
              <w:ind w:left="0" w:right="113"/>
              <w:jc w:val="right"/>
              <w:rPr>
                <w:b/>
                <w:sz w:val="18"/>
              </w:rPr>
            </w:pPr>
            <w:r w:rsidRPr="005E6F85">
              <w:rPr>
                <w:b/>
                <w:sz w:val="18"/>
              </w:rPr>
              <w:t>4 (40%)</w:t>
            </w:r>
          </w:p>
        </w:tc>
        <w:tc>
          <w:tcPr>
            <w:tcW w:w="819" w:type="dxa"/>
            <w:tcBorders>
              <w:top w:val="single" w:sz="4" w:space="0" w:color="auto"/>
              <w:bottom w:val="single" w:sz="12" w:space="0" w:color="auto"/>
            </w:tcBorders>
            <w:shd w:val="clear" w:color="auto" w:fill="auto"/>
            <w:vAlign w:val="bottom"/>
          </w:tcPr>
          <w:p w:rsidR="009C6977" w:rsidRPr="005E6F85" w:rsidRDefault="009C6977" w:rsidP="005E6F85">
            <w:pPr>
              <w:pStyle w:val="SingleTxtG"/>
              <w:spacing w:before="80" w:after="80" w:line="220" w:lineRule="exact"/>
              <w:ind w:left="0" w:right="113"/>
              <w:jc w:val="right"/>
              <w:rPr>
                <w:b/>
                <w:sz w:val="18"/>
              </w:rPr>
            </w:pPr>
            <w:r w:rsidRPr="005E6F85">
              <w:rPr>
                <w:b/>
                <w:sz w:val="18"/>
              </w:rPr>
              <w:t>4 (40%)</w:t>
            </w:r>
          </w:p>
        </w:tc>
        <w:tc>
          <w:tcPr>
            <w:tcW w:w="819" w:type="dxa"/>
            <w:tcBorders>
              <w:top w:val="single" w:sz="4" w:space="0" w:color="auto"/>
              <w:bottom w:val="single" w:sz="12" w:space="0" w:color="auto"/>
            </w:tcBorders>
            <w:shd w:val="clear" w:color="auto" w:fill="auto"/>
            <w:vAlign w:val="bottom"/>
          </w:tcPr>
          <w:p w:rsidR="009C6977" w:rsidRPr="005E6F85" w:rsidRDefault="009C6977" w:rsidP="005E6F85">
            <w:pPr>
              <w:pStyle w:val="SingleTxtG"/>
              <w:spacing w:before="80" w:after="80" w:line="220" w:lineRule="exact"/>
              <w:ind w:left="0" w:right="113"/>
              <w:jc w:val="right"/>
              <w:rPr>
                <w:b/>
                <w:sz w:val="18"/>
              </w:rPr>
            </w:pPr>
            <w:r w:rsidRPr="005E6F85">
              <w:rPr>
                <w:b/>
                <w:sz w:val="18"/>
              </w:rPr>
              <w:t>2 (20%)</w:t>
            </w:r>
          </w:p>
        </w:tc>
        <w:tc>
          <w:tcPr>
            <w:tcW w:w="819" w:type="dxa"/>
            <w:tcBorders>
              <w:top w:val="single" w:sz="4" w:space="0" w:color="auto"/>
              <w:bottom w:val="single" w:sz="12" w:space="0" w:color="auto"/>
            </w:tcBorders>
            <w:shd w:val="clear" w:color="auto" w:fill="auto"/>
            <w:vAlign w:val="bottom"/>
          </w:tcPr>
          <w:p w:rsidR="009C6977" w:rsidRPr="005E6F85" w:rsidRDefault="009C6977" w:rsidP="005E6F85">
            <w:pPr>
              <w:pStyle w:val="SingleTxtG"/>
              <w:spacing w:before="80" w:after="80" w:line="220" w:lineRule="exact"/>
              <w:ind w:left="0" w:right="113"/>
              <w:jc w:val="right"/>
              <w:rPr>
                <w:b/>
                <w:sz w:val="18"/>
              </w:rPr>
            </w:pPr>
            <w:r w:rsidRPr="005E6F85">
              <w:rPr>
                <w:b/>
                <w:sz w:val="18"/>
              </w:rPr>
              <w:t>2 (67%)</w:t>
            </w:r>
          </w:p>
        </w:tc>
        <w:tc>
          <w:tcPr>
            <w:tcW w:w="819" w:type="dxa"/>
            <w:tcBorders>
              <w:top w:val="single" w:sz="4" w:space="0" w:color="auto"/>
              <w:bottom w:val="single" w:sz="12" w:space="0" w:color="auto"/>
            </w:tcBorders>
            <w:shd w:val="clear" w:color="auto" w:fill="auto"/>
            <w:vAlign w:val="bottom"/>
          </w:tcPr>
          <w:p w:rsidR="009C6977" w:rsidRPr="005E6F85" w:rsidRDefault="009C6977" w:rsidP="005E6F85">
            <w:pPr>
              <w:pStyle w:val="SingleTxtG"/>
              <w:spacing w:before="80" w:after="80" w:line="220" w:lineRule="exact"/>
              <w:ind w:left="0" w:right="113"/>
              <w:jc w:val="right"/>
              <w:rPr>
                <w:b/>
                <w:sz w:val="18"/>
              </w:rPr>
            </w:pPr>
            <w:r w:rsidRPr="005E6F85">
              <w:rPr>
                <w:b/>
                <w:sz w:val="18"/>
              </w:rPr>
              <w:t>1 (33%)</w:t>
            </w:r>
          </w:p>
        </w:tc>
        <w:tc>
          <w:tcPr>
            <w:tcW w:w="819" w:type="dxa"/>
            <w:tcBorders>
              <w:top w:val="single" w:sz="4" w:space="0" w:color="auto"/>
              <w:bottom w:val="single" w:sz="12" w:space="0" w:color="auto"/>
            </w:tcBorders>
            <w:shd w:val="clear" w:color="auto" w:fill="auto"/>
            <w:vAlign w:val="bottom"/>
          </w:tcPr>
          <w:p w:rsidR="009C6977" w:rsidRPr="005E6F85" w:rsidRDefault="009C6977" w:rsidP="005E6F85">
            <w:pPr>
              <w:pStyle w:val="SingleTxtG"/>
              <w:spacing w:before="80" w:after="80" w:line="220" w:lineRule="exact"/>
              <w:ind w:left="0" w:right="113"/>
              <w:jc w:val="right"/>
              <w:rPr>
                <w:b/>
                <w:sz w:val="18"/>
              </w:rPr>
            </w:pPr>
            <w:r w:rsidRPr="005E6F85">
              <w:rPr>
                <w:b/>
                <w:sz w:val="18"/>
              </w:rPr>
              <w:t>3 (33%)</w:t>
            </w:r>
          </w:p>
        </w:tc>
      </w:tr>
    </w:tbl>
    <w:p w:rsidR="009C6977" w:rsidRPr="00437DBA" w:rsidRDefault="009C6977" w:rsidP="003F2492">
      <w:pPr>
        <w:pStyle w:val="SingleTxtG"/>
        <w:spacing w:before="240"/>
      </w:pPr>
      <w:r w:rsidRPr="00437DBA">
        <w:t>49.</w:t>
      </w:r>
      <w:r w:rsidRPr="00437DBA">
        <w:tab/>
        <w:t>Almost one third of the recommendations address the right to health, including the physical and psychological recovery of persons affected by violence. Many recommendations call on Israel to promptly grant permissions for patients with medical referrals for treatment outside Gaza, and to ensure unimpeded access for medical personnel so that assistance is promptly provided to individuals wounded by Israeli security forces. The World Health Organization has noted that only 41.7 per cent of patients obtained permits in December 2016 — the lowest approval rate since 2009.</w:t>
      </w:r>
      <w:r w:rsidRPr="009C6977">
        <w:rPr>
          <w:rStyle w:val="FootnoteReference"/>
        </w:rPr>
        <w:footnoteReference w:id="86"/>
      </w:r>
      <w:r w:rsidRPr="00437DBA">
        <w:t xml:space="preserve"> The Secretary-General has raised concern over reports of arbitrary deprivation of life as a result of Israel</w:t>
      </w:r>
      <w:r>
        <w:t>’</w:t>
      </w:r>
      <w:r w:rsidRPr="00437DBA">
        <w:t>s practice of preventing Palestinian first responders from treating wounded Palestinians suspected of attacks,</w:t>
      </w:r>
      <w:r w:rsidRPr="009C6977">
        <w:rPr>
          <w:rStyle w:val="FootnoteReference"/>
        </w:rPr>
        <w:footnoteReference w:id="87"/>
      </w:r>
      <w:r w:rsidRPr="00437DBA">
        <w:t xml:space="preserve"> which violates international standards prohibiting the obstruction of prompt medical assistance.</w:t>
      </w:r>
    </w:p>
    <w:p w:rsidR="009C6977" w:rsidRPr="00437DBA" w:rsidRDefault="009C6977" w:rsidP="00B13294">
      <w:pPr>
        <w:pStyle w:val="SingleTxtG"/>
      </w:pPr>
      <w:r w:rsidRPr="00437DBA">
        <w:t>50.</w:t>
      </w:r>
      <w:r w:rsidRPr="00437DBA">
        <w:tab/>
        <w:t>Another third of the recommendations address access to education, and call for the protection of children from harassment, intimidation and violence by Israeli settlers on the way to and from school, which are still ongoing.</w:t>
      </w:r>
      <w:r w:rsidRPr="009C6977">
        <w:rPr>
          <w:rStyle w:val="FootnoteReference"/>
        </w:rPr>
        <w:footnoteReference w:id="88"/>
      </w:r>
      <w:r w:rsidRPr="00437DBA">
        <w:t xml:space="preserve"> Recommendations also urge parties to protect schools from attacks, and to ensure they are not used as military bases or as detention, storage or recruitment centres. Recommendations also call for more classrooms in East Jerusalem and Gaza.</w:t>
      </w:r>
    </w:p>
    <w:p w:rsidR="009C6977" w:rsidRPr="00437DBA" w:rsidRDefault="009C6977" w:rsidP="00B13294">
      <w:pPr>
        <w:pStyle w:val="SingleTxtG"/>
      </w:pPr>
      <w:r w:rsidRPr="00437DBA">
        <w:t>51.</w:t>
      </w:r>
      <w:r w:rsidRPr="00437DBA">
        <w:tab/>
        <w:t>The 2016 Humanitarian Response Plan indicated that access to education was impeded by checkpoints, the wall, military and armed group activities, settler-related incidents and lack of infrastructure.</w:t>
      </w:r>
      <w:r w:rsidRPr="009C6977">
        <w:rPr>
          <w:rStyle w:val="FootnoteReference"/>
        </w:rPr>
        <w:footnoteReference w:id="89"/>
      </w:r>
      <w:r w:rsidRPr="00437DBA">
        <w:t xml:space="preserve"> The Secretary-General reported on attacks on schools and protected education personnel in the West Bank during military-led operations</w:t>
      </w:r>
      <w:r w:rsidRPr="009C6977">
        <w:rPr>
          <w:rStyle w:val="FootnoteReference"/>
        </w:rPr>
        <w:footnoteReference w:id="90"/>
      </w:r>
      <w:r w:rsidRPr="00437DBA">
        <w:t xml:space="preserve"> and on the storage of weapons in three United Nations Relief and Works Agency for Palestine Refugees in the Near East (UNRWA) schools by Palestinian armed groups and the 21 instances of use of school premises by Israeli security forces.</w:t>
      </w:r>
      <w:r w:rsidRPr="009C6977">
        <w:rPr>
          <w:rStyle w:val="FootnoteReference"/>
        </w:rPr>
        <w:footnoteReference w:id="91"/>
      </w:r>
    </w:p>
    <w:p w:rsidR="009C6977" w:rsidRPr="00437DBA" w:rsidRDefault="009C6977" w:rsidP="00B13294">
      <w:pPr>
        <w:pStyle w:val="SingleTxtG"/>
      </w:pPr>
      <w:r w:rsidRPr="00437DBA">
        <w:t>52.</w:t>
      </w:r>
      <w:r w:rsidRPr="00437DBA">
        <w:tab/>
        <w:t>Some recommendations urge Israel to facilitate the entrance into Gaza of all material and equipment necessary for the construction and repair of water and sanitation facilities, and to ensure that all residents of the West Bank have equal access to water, in accordance with World Health Organization quality and quantity standards. In 2016, Israel designated over 70 per cent of the materials needed for water, sanitation and hygiene projects as dual-use items, placing at least 30 water and wastewater projects in Gaza at risk of cancellation.</w:t>
      </w:r>
      <w:r w:rsidRPr="009C6977">
        <w:rPr>
          <w:rStyle w:val="FootnoteReference"/>
        </w:rPr>
        <w:footnoteReference w:id="92"/>
      </w:r>
      <w:r w:rsidRPr="00437DBA">
        <w:t xml:space="preserve"> Israel</w:t>
      </w:r>
      <w:r>
        <w:t>’</w:t>
      </w:r>
      <w:r w:rsidRPr="00437DBA">
        <w:t>s discriminatory allocation of water also results in unequal water consumption in the West Bank: Palestinian consumption is limited to 40 litres per capita per day, while Israeli settlers use 183 litres.</w:t>
      </w:r>
      <w:r w:rsidRPr="009C6977">
        <w:rPr>
          <w:rStyle w:val="FootnoteReference"/>
        </w:rPr>
        <w:footnoteReference w:id="93"/>
      </w:r>
      <w:r w:rsidRPr="00437DBA">
        <w:t xml:space="preserve"> The 2016 Humanitarian Response Plan indicated that 732,000 people lacked access to safe drinking water in the Occupied Palestinian Territory.</w:t>
      </w:r>
    </w:p>
    <w:p w:rsidR="009C6977" w:rsidRPr="00437DBA" w:rsidRDefault="009C6977" w:rsidP="008C00C4">
      <w:pPr>
        <w:pStyle w:val="HChG"/>
      </w:pPr>
      <w:r w:rsidRPr="00437DBA">
        <w:tab/>
      </w:r>
      <w:bookmarkStart w:id="45" w:name="_Toc484690585"/>
      <w:bookmarkStart w:id="46" w:name="_Toc484792648"/>
      <w:r w:rsidRPr="00437DBA">
        <w:t>V.</w:t>
      </w:r>
      <w:r w:rsidRPr="00437DBA">
        <w:tab/>
        <w:t>Patterns of cooperation, compliance and implementation</w:t>
      </w:r>
      <w:bookmarkEnd w:id="45"/>
      <w:bookmarkEnd w:id="46"/>
      <w:r w:rsidRPr="00437DBA">
        <w:t xml:space="preserve"> </w:t>
      </w:r>
    </w:p>
    <w:p w:rsidR="009C6977" w:rsidRPr="00437DBA" w:rsidRDefault="008C00C4" w:rsidP="008C00C4">
      <w:pPr>
        <w:pStyle w:val="H23G"/>
      </w:pPr>
      <w:r>
        <w:tab/>
      </w:r>
      <w:r>
        <w:tab/>
      </w:r>
      <w:bookmarkStart w:id="47" w:name="_Toc484690586"/>
      <w:bookmarkStart w:id="48" w:name="_Toc484792649"/>
      <w:r w:rsidR="009C6977" w:rsidRPr="00437DBA">
        <w:t>Cooperation</w:t>
      </w:r>
      <w:bookmarkEnd w:id="47"/>
      <w:bookmarkEnd w:id="48"/>
    </w:p>
    <w:p w:rsidR="009C6977" w:rsidRPr="00437DBA" w:rsidRDefault="009C6977" w:rsidP="00B13294">
      <w:pPr>
        <w:pStyle w:val="SingleTxtG"/>
      </w:pPr>
      <w:r w:rsidRPr="00437DBA">
        <w:t>53.</w:t>
      </w:r>
      <w:r w:rsidRPr="00437DBA">
        <w:tab/>
        <w:t>In March 2012, the Government of Israel suspended relations with the Human Rights Council and OHCHR.</w:t>
      </w:r>
      <w:r w:rsidRPr="00437DBA" w:rsidDel="00FE3E27">
        <w:t xml:space="preserve"> </w:t>
      </w:r>
      <w:r w:rsidRPr="00437DBA">
        <w:t>In October 2013, Israel renewed contacts with both bodies with a view to re-establishing full relations.</w:t>
      </w:r>
      <w:r w:rsidRPr="009C6977">
        <w:rPr>
          <w:rStyle w:val="FootnoteReference"/>
        </w:rPr>
        <w:footnoteReference w:id="94"/>
      </w:r>
      <w:r w:rsidRPr="00437DBA">
        <w:t xml:space="preserve"> During the suspension, OHCHR continued working in the Occupied Palestinian Territory.</w:t>
      </w:r>
    </w:p>
    <w:p w:rsidR="009C6977" w:rsidRPr="00437DBA" w:rsidRDefault="009C6977" w:rsidP="00B13294">
      <w:pPr>
        <w:pStyle w:val="SingleTxtG"/>
      </w:pPr>
      <w:r w:rsidRPr="00437DBA">
        <w:t>54.</w:t>
      </w:r>
      <w:r w:rsidRPr="00437DBA">
        <w:tab/>
        <w:t>Two special rapporteurs with thematic mandates conducted official visits to Israel and the Occupied Palestinian Territory between 2009 and 2012.</w:t>
      </w:r>
      <w:r w:rsidRPr="009C6977">
        <w:rPr>
          <w:rStyle w:val="FootnoteReference"/>
        </w:rPr>
        <w:footnoteReference w:id="95"/>
      </w:r>
      <w:r w:rsidRPr="00437DBA">
        <w:t xml:space="preserve"> Thereafter, no mission took place until the Special Rapporteur on violence against women, its causes and consequences visited in September 2016.</w:t>
      </w:r>
      <w:r w:rsidRPr="009C6977">
        <w:rPr>
          <w:rStyle w:val="FootnoteReference"/>
        </w:rPr>
        <w:footnoteReference w:id="96"/>
      </w:r>
      <w:r w:rsidRPr="00437DBA">
        <w:t xml:space="preserve"> The Special Rapporteur remarked upon the </w:t>
      </w:r>
      <w:r>
        <w:t>“</w:t>
      </w:r>
      <w:r w:rsidRPr="00437DBA">
        <w:t>excellent cooperation</w:t>
      </w:r>
      <w:r>
        <w:t>”</w:t>
      </w:r>
      <w:r w:rsidRPr="00437DBA">
        <w:t xml:space="preserve"> that she had received from Israel and the State of Palestine. The State of Palestine issued a standing invitation to all special procedure mandate holders in 2014. Israel has not issued a standing invitation. </w:t>
      </w:r>
    </w:p>
    <w:p w:rsidR="009C6977" w:rsidRPr="00437DBA" w:rsidRDefault="009C6977" w:rsidP="00B13294">
      <w:pPr>
        <w:pStyle w:val="SingleTxtG"/>
      </w:pPr>
      <w:r w:rsidRPr="00437DBA">
        <w:t>55.</w:t>
      </w:r>
      <w:r w:rsidRPr="00437DBA">
        <w:tab/>
        <w:t>In the past, Israel cooperated with the mandate of the Special Rapporteur on the situation of human rights in the Palestinian territories occupied since 1967.</w:t>
      </w:r>
      <w:r w:rsidRPr="009C6977">
        <w:rPr>
          <w:rStyle w:val="FootnoteReference"/>
        </w:rPr>
        <w:footnoteReference w:id="97"/>
      </w:r>
      <w:r w:rsidRPr="00437DBA">
        <w:t xml:space="preserve"> However since 2008, Israel has refused to cooperate with, and denied access to, three successive mandate holders, stating its objections to the Special Rapporteur</w:t>
      </w:r>
      <w:r>
        <w:t>’</w:t>
      </w:r>
      <w:r w:rsidRPr="00437DBA">
        <w:t>s mandate</w:t>
      </w:r>
      <w:r w:rsidRPr="009C6977">
        <w:rPr>
          <w:rStyle w:val="FootnoteReference"/>
        </w:rPr>
        <w:footnoteReference w:id="98"/>
      </w:r>
      <w:r w:rsidRPr="00437DBA">
        <w:t xml:space="preserve"> which it considers politically biased. The serving Special Rapporteur has unsuccessfully sought to meet with the Permanent Missions of Israel to the United Nations in Geneva and in New York. The Palestinian National Authority and, upon its establishment in 2012, the State of Palestine have continued to extend full cooperation to the mandate. Between 2006 and 2016, Israel responded to one third of the letters of allegation and urgent appeals sent by the Special Rapporteur.</w:t>
      </w:r>
      <w:r w:rsidRPr="009C6977">
        <w:rPr>
          <w:rStyle w:val="FootnoteReference"/>
        </w:rPr>
        <w:footnoteReference w:id="99"/>
      </w:r>
    </w:p>
    <w:p w:rsidR="009C6977" w:rsidRPr="00437DBA" w:rsidRDefault="009C6977" w:rsidP="00B13294">
      <w:pPr>
        <w:pStyle w:val="SingleTxtG"/>
      </w:pPr>
      <w:r w:rsidRPr="00437DBA">
        <w:t>56.</w:t>
      </w:r>
      <w:r w:rsidRPr="00437DBA">
        <w:tab/>
        <w:t xml:space="preserve">In his statement to the Human Rights Council in September 2016, the High Commissioner stressed that </w:t>
      </w:r>
      <w:r>
        <w:t>“</w:t>
      </w:r>
      <w:r w:rsidRPr="00437DBA">
        <w:t>human rights violations will not disappear if a government blocks access to international observers</w:t>
      </w:r>
      <w:r>
        <w:t>”</w:t>
      </w:r>
      <w:r w:rsidRPr="00437DBA">
        <w:t xml:space="preserve"> and that </w:t>
      </w:r>
      <w:r>
        <w:t>“</w:t>
      </w:r>
      <w:r w:rsidRPr="00437DBA">
        <w:t>efforts to duck or refuse legitimate scrutiny</w:t>
      </w:r>
      <w:r>
        <w:t>”</w:t>
      </w:r>
      <w:r w:rsidRPr="00437DBA">
        <w:t xml:space="preserve"> only raise obvious questions. Israel failed to cooperate with any of the fact-finding missions or commissions of inquiry established by the Human Rights Council between 2009 and 2016. The Palestinian National Authority and, upon its establishment in 2012, the State of Palestine have cooperated fully with these mechanisms. </w:t>
      </w:r>
    </w:p>
    <w:p w:rsidR="009C6977" w:rsidRPr="00437DBA" w:rsidRDefault="009C6977" w:rsidP="00B13294">
      <w:pPr>
        <w:pStyle w:val="SingleTxtG"/>
      </w:pPr>
      <w:r w:rsidRPr="00437DBA">
        <w:t>57.</w:t>
      </w:r>
      <w:r w:rsidRPr="00437DBA">
        <w:tab/>
        <w:t>Israel regularly cooperates with human rights treaty bodies, providing reports and engaging in dialogue with the relevant committees. Israel does not include information related to the implementation of human rights treaties in the Occupied Palestinian Territory, claiming their non-applicability. In 2014, the State of Palestine acceded to seven core human rights treaties and one optional protocol,</w:t>
      </w:r>
      <w:r w:rsidRPr="009C6977">
        <w:rPr>
          <w:rStyle w:val="FootnoteReference"/>
        </w:rPr>
        <w:footnoteReference w:id="100"/>
      </w:r>
      <w:r w:rsidRPr="00437DBA">
        <w:t xml:space="preserve"> and has requested technical assistance from OHCHR on reporting under those treaties. At the time of drafting, the State of Palestine had seven overdue reports, which were overdue by less than five years.</w:t>
      </w:r>
      <w:r w:rsidRPr="009C6977">
        <w:rPr>
          <w:rStyle w:val="FootnoteReference"/>
        </w:rPr>
        <w:footnoteReference w:id="101"/>
      </w:r>
      <w:r w:rsidRPr="00437DBA">
        <w:t xml:space="preserve"> In 2016, OHCHR and the Independent Commission for Human Rights supported the organization of national consultations on the report to the Committee on the Elimination of Discrimination against Women, which was then submitted on 10 March 2017. </w:t>
      </w:r>
    </w:p>
    <w:p w:rsidR="009C6977" w:rsidRPr="00437DBA" w:rsidRDefault="009C6977" w:rsidP="00B13294">
      <w:pPr>
        <w:pStyle w:val="SingleTxtG"/>
      </w:pPr>
      <w:r w:rsidRPr="00437DBA">
        <w:t>58.</w:t>
      </w:r>
      <w:r w:rsidRPr="00437DBA">
        <w:tab/>
        <w:t>Thus, between 2009 and 2016, Israel only engaged selectively with the international human rights system. The Government of the State of Palestine has generally cooperated with the system, although it has reports outstanding to human rights treaty bodies.</w:t>
      </w:r>
    </w:p>
    <w:p w:rsidR="009C6977" w:rsidRPr="00437DBA" w:rsidRDefault="00857113" w:rsidP="00857113">
      <w:pPr>
        <w:pStyle w:val="H23G"/>
      </w:pPr>
      <w:r>
        <w:tab/>
      </w:r>
      <w:r>
        <w:tab/>
      </w:r>
      <w:bookmarkStart w:id="49" w:name="_Toc484792650"/>
      <w:r w:rsidR="009C6977" w:rsidRPr="00437DBA">
        <w:t>Compliance and implementation</w:t>
      </w:r>
      <w:bookmarkEnd w:id="49"/>
    </w:p>
    <w:p w:rsidR="009C6977" w:rsidRPr="00437DBA" w:rsidRDefault="009C6977" w:rsidP="00B13294">
      <w:pPr>
        <w:pStyle w:val="SingleTxtG"/>
      </w:pPr>
      <w:r w:rsidRPr="00437DBA">
        <w:t>59.</w:t>
      </w:r>
      <w:r w:rsidRPr="00437DBA">
        <w:tab/>
        <w:t>The International Court of Justice has ruled on the applicability of international humanitarian law and international human rights law in the Occupied Palestinian Territory.</w:t>
      </w:r>
      <w:r w:rsidRPr="009C6977">
        <w:rPr>
          <w:rStyle w:val="FootnoteReference"/>
        </w:rPr>
        <w:footnoteReference w:id="102"/>
      </w:r>
      <w:r w:rsidRPr="00437DBA">
        <w:t xml:space="preserve"> Human rights treaty bodies consistently affirm that the human rights obligations of Israel extend to the Occupied Palestinian Territory,</w:t>
      </w:r>
      <w:r w:rsidRPr="009C6977">
        <w:rPr>
          <w:rStyle w:val="FootnoteReference"/>
        </w:rPr>
        <w:footnoteReference w:id="103"/>
      </w:r>
      <w:r w:rsidRPr="00437DBA">
        <w:t xml:space="preserve"> and both the Secretary-General</w:t>
      </w:r>
      <w:r w:rsidRPr="009C6977">
        <w:rPr>
          <w:rStyle w:val="FootnoteReference"/>
        </w:rPr>
        <w:footnoteReference w:id="104"/>
      </w:r>
      <w:r w:rsidRPr="00437DBA">
        <w:t xml:space="preserve"> and the High Commissioner</w:t>
      </w:r>
      <w:r w:rsidRPr="009C6977">
        <w:rPr>
          <w:rStyle w:val="FootnoteReference"/>
        </w:rPr>
        <w:footnoteReference w:id="105"/>
      </w:r>
      <w:r w:rsidRPr="00437DBA">
        <w:t xml:space="preserve"> have regularly articulated the applicable legal framework.</w:t>
      </w:r>
    </w:p>
    <w:p w:rsidR="009C6977" w:rsidRPr="00437DBA" w:rsidRDefault="009C6977" w:rsidP="00B13294">
      <w:pPr>
        <w:pStyle w:val="SingleTxtG"/>
      </w:pPr>
      <w:r w:rsidRPr="00437DBA">
        <w:t>60.</w:t>
      </w:r>
      <w:r w:rsidRPr="00437DBA">
        <w:tab/>
        <w:t xml:space="preserve">The overall rate of </w:t>
      </w:r>
      <w:r>
        <w:t>“</w:t>
      </w:r>
      <w:r w:rsidRPr="00437DBA">
        <w:t>full implementation</w:t>
      </w:r>
      <w:r>
        <w:t>”</w:t>
      </w:r>
      <w:r w:rsidRPr="00437DBA">
        <w:t xml:space="preserve"> by Israel is 0.4 per cent.</w:t>
      </w:r>
      <w:r w:rsidRPr="009C6977">
        <w:rPr>
          <w:rStyle w:val="FootnoteReference"/>
        </w:rPr>
        <w:footnoteReference w:id="106"/>
      </w:r>
      <w:r w:rsidRPr="00437DBA">
        <w:t xml:space="preserve"> The lack of implementation correlates with Israel</w:t>
      </w:r>
      <w:r>
        <w:t>’</w:t>
      </w:r>
      <w:r w:rsidRPr="00437DBA">
        <w:t>s continued rejection of the applicable legal framework and of its obligations in the Occupied Palestinian Territory. During its second universal periodic review, Israel provided an unofficial annex regarding recommendations pertaining to the West Bank</w:t>
      </w:r>
      <w:r w:rsidRPr="009C6977">
        <w:rPr>
          <w:rStyle w:val="FootnoteReference"/>
        </w:rPr>
        <w:footnoteReference w:id="107"/>
      </w:r>
      <w:r w:rsidRPr="00437DBA">
        <w:t xml:space="preserve"> and Gaza, reiterating that it did not consider itself bound by human rights instruments beyond the borders of Israel. Formally, Israel did not support the majority of the recommendations referred to in the document.</w:t>
      </w:r>
      <w:r w:rsidRPr="009C6977">
        <w:rPr>
          <w:rStyle w:val="FootnoteReference"/>
        </w:rPr>
        <w:footnoteReference w:id="108"/>
      </w:r>
      <w:r w:rsidRPr="00437DBA">
        <w:t xml:space="preserve"> While Israel denies the applicability of the Geneva Convention relative to the Protection of Civilian Persons in Time of War (Fourth Geneva Convention) in the Occupied Palestinian Territory, it accepts its application </w:t>
      </w:r>
      <w:r w:rsidRPr="00E03ABF">
        <w:t>de facto.</w:t>
      </w:r>
      <w:r w:rsidRPr="009C6977">
        <w:rPr>
          <w:rStyle w:val="FootnoteReference"/>
        </w:rPr>
        <w:footnoteReference w:id="109"/>
      </w:r>
    </w:p>
    <w:p w:rsidR="009C6977" w:rsidRPr="00437DBA" w:rsidRDefault="009C6977" w:rsidP="00B13294">
      <w:pPr>
        <w:pStyle w:val="SingleTxtG"/>
      </w:pPr>
      <w:r w:rsidRPr="00437DBA">
        <w:t>61.</w:t>
      </w:r>
      <w:r w:rsidRPr="00437DBA">
        <w:tab/>
        <w:t xml:space="preserve">The overall rate of </w:t>
      </w:r>
      <w:r>
        <w:t>“</w:t>
      </w:r>
      <w:r w:rsidRPr="00437DBA">
        <w:t>full implementation</w:t>
      </w:r>
      <w:r>
        <w:t>”</w:t>
      </w:r>
      <w:r w:rsidRPr="00437DBA">
        <w:t xml:space="preserve"> by Palestinian duty bearers is 1.3 per cent.</w:t>
      </w:r>
      <w:r w:rsidRPr="009C6977">
        <w:rPr>
          <w:rStyle w:val="FootnoteReference"/>
        </w:rPr>
        <w:footnoteReference w:id="110"/>
      </w:r>
      <w:r w:rsidRPr="00437DBA">
        <w:t xml:space="preserve"> By acceding to seven core human rights treaties, one protocol and the Geneva Conventions, all without reservations,</w:t>
      </w:r>
      <w:r w:rsidRPr="009C6977">
        <w:rPr>
          <w:rStyle w:val="FootnoteReference"/>
        </w:rPr>
        <w:footnoteReference w:id="111"/>
      </w:r>
      <w:r w:rsidRPr="00437DBA">
        <w:t xml:space="preserve"> the State of Palestine has expressed its commitment to protecting human rights. While the occupation and the intra-Palestinian political divide present challenges to the fulfilment of the obligations of the State of Palestine, greater efforts are required to increase implementation by all Palestinian duty bearers.</w:t>
      </w:r>
    </w:p>
    <w:p w:rsidR="009C6977" w:rsidRPr="00437DBA" w:rsidRDefault="009C6977" w:rsidP="00B13294">
      <w:pPr>
        <w:pStyle w:val="SingleTxtG"/>
      </w:pPr>
      <w:r w:rsidRPr="00437DBA">
        <w:t>62.</w:t>
      </w:r>
      <w:r w:rsidRPr="00437DBA">
        <w:tab/>
        <w:t xml:space="preserve">The overall rate of </w:t>
      </w:r>
      <w:r>
        <w:t>“</w:t>
      </w:r>
      <w:r w:rsidRPr="00437DBA">
        <w:t>full implementation</w:t>
      </w:r>
      <w:r>
        <w:t>”</w:t>
      </w:r>
      <w:r w:rsidRPr="00437DBA">
        <w:t xml:space="preserve"> by the United Nations and the international community is 17.9 per cent.</w:t>
      </w:r>
      <w:r w:rsidRPr="009C6977">
        <w:rPr>
          <w:rStyle w:val="FootnoteReference"/>
        </w:rPr>
        <w:footnoteReference w:id="112"/>
      </w:r>
      <w:r w:rsidRPr="00437DBA">
        <w:t xml:space="preserve"> Since 1967, the international community has repeatedly reminded parties to the conflict of their obligations under international law. United Nations bodies have consistently reported on the persistent violations in the Occupied Palestinian Territory and identified their long-term impact and risks for Palestinians, Israelis and the whole region. Despite these incessant calls and the support provided to Palestinian and Israeli authorities in their peace efforts, not enough has been done by the international community to that effect. It was stressed in Security Council resolution 2334 (2016) that </w:t>
      </w:r>
      <w:r>
        <w:t>“</w:t>
      </w:r>
      <w:r w:rsidRPr="00E03ABF">
        <w:t>the status quo is not sustainable</w:t>
      </w:r>
      <w:r>
        <w:t>”</w:t>
      </w:r>
      <w:r w:rsidRPr="00E03ABF">
        <w:t xml:space="preserve"> and that </w:t>
      </w:r>
      <w:r>
        <w:t>“</w:t>
      </w:r>
      <w:r w:rsidRPr="00E03ABF">
        <w:t>significant steps</w:t>
      </w:r>
      <w:r w:rsidR="00660474">
        <w:t xml:space="preserve"> </w:t>
      </w:r>
      <w:r w:rsidRPr="00E03ABF">
        <w:t>… are urgently needed in order to (</w:t>
      </w:r>
      <w:proofErr w:type="spellStart"/>
      <w:r w:rsidRPr="00E03ABF">
        <w:t>i</w:t>
      </w:r>
      <w:proofErr w:type="spellEnd"/>
      <w:r w:rsidRPr="00E03ABF">
        <w:t>) stabilize the situation and to reverse negative trends on the ground, which are steadily eroding the two-State solution and entrenching a one-State reality, and (ii) to create the conditions</w:t>
      </w:r>
      <w:r w:rsidR="00660474">
        <w:t xml:space="preserve"> </w:t>
      </w:r>
      <w:r w:rsidRPr="00E03ABF">
        <w:t>… for advancing the two-State solution through</w:t>
      </w:r>
      <w:r w:rsidR="00660474">
        <w:t xml:space="preserve"> </w:t>
      </w:r>
      <w:r w:rsidRPr="00E03ABF">
        <w:t>… negotiations and on the ground</w:t>
      </w:r>
      <w:r>
        <w:t>”</w:t>
      </w:r>
      <w:r w:rsidRPr="00437DBA">
        <w:t xml:space="preserve">. </w:t>
      </w:r>
    </w:p>
    <w:p w:rsidR="009C6977" w:rsidRPr="00437DBA" w:rsidRDefault="009C6977" w:rsidP="006E7359">
      <w:pPr>
        <w:pStyle w:val="HChG"/>
      </w:pPr>
      <w:r w:rsidRPr="00437DBA">
        <w:tab/>
      </w:r>
      <w:bookmarkStart w:id="50" w:name="_Toc484690587"/>
      <w:bookmarkStart w:id="51" w:name="_Toc484792651"/>
      <w:r w:rsidRPr="00437DBA">
        <w:t>VI.</w:t>
      </w:r>
      <w:r w:rsidRPr="00437DBA">
        <w:tab/>
        <w:t>Follow-up measures</w:t>
      </w:r>
      <w:bookmarkEnd w:id="50"/>
      <w:bookmarkEnd w:id="51"/>
    </w:p>
    <w:p w:rsidR="009C6977" w:rsidRPr="00437DBA" w:rsidRDefault="009C6977" w:rsidP="00B13294">
      <w:pPr>
        <w:pStyle w:val="SingleTxtG"/>
      </w:pPr>
      <w:r w:rsidRPr="00437DBA">
        <w:t>63.</w:t>
      </w:r>
      <w:r w:rsidRPr="00437DBA">
        <w:tab/>
        <w:t>The recommendations by human rights mechanisms and by the Secretary-General and the High Commissioner show a general consensus on the measures that parties must take in order to further compliance with international humanitarian law and international human rights law: the ending of practices that continue to violate international law (such as the blockade, the construction of the wall and the expansion of settlements), and ensuring accountability for past violations, including war crimes.</w:t>
      </w:r>
    </w:p>
    <w:p w:rsidR="009C6977" w:rsidRPr="00437DBA" w:rsidRDefault="009C6977" w:rsidP="00B13294">
      <w:pPr>
        <w:pStyle w:val="SingleTxtG"/>
      </w:pPr>
      <w:r w:rsidRPr="00437DBA">
        <w:t>64.</w:t>
      </w:r>
      <w:r w:rsidRPr="00437DBA">
        <w:tab/>
        <w:t>Given the non-implementation of most recommendations on accountability, both sides are urged to intensify efforts to investigate all allegations of violations of international human rights law and international humanitarian law, in line with international standards.</w:t>
      </w:r>
    </w:p>
    <w:p w:rsidR="009C6977" w:rsidRPr="00437DBA" w:rsidRDefault="006E7359" w:rsidP="006E7359">
      <w:pPr>
        <w:pStyle w:val="H1G"/>
      </w:pPr>
      <w:r>
        <w:tab/>
      </w:r>
      <w:bookmarkStart w:id="52" w:name="_Toc484690588"/>
      <w:bookmarkStart w:id="53" w:name="_Toc484792652"/>
      <w:r w:rsidR="009C6977" w:rsidRPr="00437DBA">
        <w:t>A.</w:t>
      </w:r>
      <w:r w:rsidR="009C6977" w:rsidRPr="00437DBA">
        <w:tab/>
        <w:t>Israel</w:t>
      </w:r>
      <w:bookmarkEnd w:id="52"/>
      <w:bookmarkEnd w:id="53"/>
    </w:p>
    <w:p w:rsidR="009C6977" w:rsidRPr="00437DBA" w:rsidRDefault="009C6977" w:rsidP="00B13294">
      <w:pPr>
        <w:pStyle w:val="SingleTxtG"/>
      </w:pPr>
      <w:r w:rsidRPr="00437DBA">
        <w:t>65.</w:t>
      </w:r>
      <w:r w:rsidRPr="00437DBA">
        <w:tab/>
        <w:t>Israel bears primary responsibility for the implementation of recommendations addressed to it and is bound by international human rights law and international humanitarian law obligations, including the Fourth Geneva Convention, in the Occupied Palestinian Territory.</w:t>
      </w:r>
      <w:r w:rsidRPr="009C6977">
        <w:rPr>
          <w:rStyle w:val="FootnoteReference"/>
        </w:rPr>
        <w:footnoteReference w:id="113"/>
      </w:r>
    </w:p>
    <w:p w:rsidR="009C6977" w:rsidRPr="00437DBA" w:rsidRDefault="009C6977" w:rsidP="00B13294">
      <w:pPr>
        <w:pStyle w:val="SingleTxtG"/>
      </w:pPr>
      <w:r w:rsidRPr="00437DBA">
        <w:t>66.</w:t>
      </w:r>
      <w:r w:rsidRPr="00437DBA">
        <w:tab/>
        <w:t xml:space="preserve">OHCHR has published </w:t>
      </w:r>
      <w:r w:rsidRPr="00DC6D5D">
        <w:rPr>
          <w:i/>
        </w:rPr>
        <w:t>National Mechanisms for Reporting and Follow-up</w:t>
      </w:r>
      <w:proofErr w:type="gramStart"/>
      <w:r w:rsidRPr="00DC6D5D">
        <w:rPr>
          <w:i/>
        </w:rPr>
        <w:t>:</w:t>
      </w:r>
      <w:proofErr w:type="gramEnd"/>
      <w:r w:rsidRPr="00DC6D5D">
        <w:rPr>
          <w:i/>
        </w:rPr>
        <w:br/>
        <w:t>A Practical Guide to Effective State Engagement with International Human Rights Mechanisms</w:t>
      </w:r>
      <w:r w:rsidRPr="00437DBA">
        <w:t>, on how a Government can enhance its institutions to better engage with international and regional human rights mechanisms. OHCHR continues to stand ready to support Israel to fulfil the recommendations addressed to it.</w:t>
      </w:r>
    </w:p>
    <w:p w:rsidR="009C6977" w:rsidRPr="009E1BED" w:rsidRDefault="009C6977" w:rsidP="00B13294">
      <w:pPr>
        <w:pStyle w:val="SingleTxtG"/>
        <w:rPr>
          <w:b/>
        </w:rPr>
      </w:pPr>
      <w:r w:rsidRPr="00437DBA">
        <w:t>67.</w:t>
      </w:r>
      <w:r w:rsidRPr="00437DBA">
        <w:tab/>
      </w:r>
      <w:r w:rsidRPr="009E1BED">
        <w:rPr>
          <w:b/>
        </w:rPr>
        <w:t xml:space="preserve">The High Commissioner proposes that Israel make full use of OHCHR technical assistance to help with the implementation of the relevant recommendations, which includes the development of national mechanisms for reporting and following up on recommendations. The High Commissioner reminds Israel of its obligations under the international human rights instruments that it has ratified, and under the Geneva Conventions, to which it is a High Contracting Party, and calls on Israel to fully comply with them in the Occupied Palestinian Territory. </w:t>
      </w:r>
    </w:p>
    <w:p w:rsidR="009C6977" w:rsidRPr="00437DBA" w:rsidRDefault="009C6977" w:rsidP="00B13294">
      <w:pPr>
        <w:pStyle w:val="SingleTxtG"/>
      </w:pPr>
      <w:r w:rsidRPr="00437DBA">
        <w:t>68.</w:t>
      </w:r>
      <w:r w:rsidRPr="00437DBA">
        <w:tab/>
        <w:t>The High Commissioner takes note of the preliminary examination launched by the Prosecutor of the International Criminal Court in January 2015 into the situation in Palestine to establish whether the Rome Statute criteria for opening an investigation are met.</w:t>
      </w:r>
      <w:r w:rsidRPr="009C6977">
        <w:rPr>
          <w:rStyle w:val="FootnoteReference"/>
        </w:rPr>
        <w:footnoteReference w:id="114"/>
      </w:r>
      <w:r w:rsidRPr="00437DBA">
        <w:t xml:space="preserve"> The High Commissioner is encouraged by Israel</w:t>
      </w:r>
      <w:r>
        <w:t>’</w:t>
      </w:r>
      <w:r w:rsidRPr="00437DBA">
        <w:t>s dialogue with the Office of the Prosecutor.</w:t>
      </w:r>
      <w:r w:rsidRPr="009C6977">
        <w:rPr>
          <w:rStyle w:val="FootnoteReference"/>
        </w:rPr>
        <w:footnoteReference w:id="115"/>
      </w:r>
      <w:r w:rsidRPr="00437DBA">
        <w:t xml:space="preserve"> </w:t>
      </w:r>
    </w:p>
    <w:p w:rsidR="009C6977" w:rsidRPr="004B26BB" w:rsidRDefault="009C6977" w:rsidP="00B13294">
      <w:pPr>
        <w:pStyle w:val="SingleTxtG"/>
        <w:rPr>
          <w:b/>
        </w:rPr>
      </w:pPr>
      <w:r w:rsidRPr="00437DBA">
        <w:t>69.</w:t>
      </w:r>
      <w:r w:rsidRPr="00437DBA">
        <w:tab/>
      </w:r>
      <w:r w:rsidRPr="004B26BB">
        <w:rPr>
          <w:b/>
        </w:rPr>
        <w:t>The High Commissioner notes the repeated failure to comply with the calls for accountability made by the entire human rights system and urges Israel to conduct prompt, impartial and independent investigations of all alleged violations of international human rights law and all allegations of international crimes. Furthermore, the High Commissioner calls upon Israel to ensure that all victims have access to remedies and reparation.</w:t>
      </w:r>
    </w:p>
    <w:p w:rsidR="009C6977" w:rsidRPr="00437DBA" w:rsidRDefault="006E7359" w:rsidP="006E7359">
      <w:pPr>
        <w:pStyle w:val="H1G"/>
      </w:pPr>
      <w:r>
        <w:tab/>
      </w:r>
      <w:bookmarkStart w:id="54" w:name="_Toc484690589"/>
      <w:bookmarkStart w:id="55" w:name="_Toc484792653"/>
      <w:r w:rsidR="009C6977" w:rsidRPr="00437DBA">
        <w:t>B.</w:t>
      </w:r>
      <w:r w:rsidR="009C6977" w:rsidRPr="00437DBA">
        <w:tab/>
        <w:t>State of Palestine</w:t>
      </w:r>
      <w:bookmarkEnd w:id="54"/>
      <w:bookmarkEnd w:id="55"/>
    </w:p>
    <w:p w:rsidR="009C6977" w:rsidRPr="00437DBA" w:rsidRDefault="009C6977" w:rsidP="00B13294">
      <w:pPr>
        <w:pStyle w:val="SingleTxtG"/>
      </w:pPr>
      <w:r w:rsidRPr="00437DBA">
        <w:t>70.</w:t>
      </w:r>
      <w:r w:rsidRPr="00437DBA">
        <w:tab/>
        <w:t>The State of Palestine is bound by international human rights and international humanitarian law instruments and bears primary responsibility for the implementation of recommendations addressed to it. The cooperation of the State of Palestine with the Office of the Prosecutor of the International Criminal Court is encouraging.</w:t>
      </w:r>
    </w:p>
    <w:p w:rsidR="009C6977" w:rsidRPr="004B26BB" w:rsidRDefault="009C6977" w:rsidP="00B13294">
      <w:pPr>
        <w:pStyle w:val="SingleTxtG"/>
        <w:rPr>
          <w:b/>
        </w:rPr>
      </w:pPr>
      <w:r w:rsidRPr="00437DBA">
        <w:t>71.</w:t>
      </w:r>
      <w:r w:rsidRPr="00437DBA">
        <w:tab/>
      </w:r>
      <w:r w:rsidRPr="004B26BB">
        <w:rPr>
          <w:b/>
        </w:rPr>
        <w:t>The High Commissioner notes the State of Palestine’s non-compliance with the calls for accountability and urges the State of Palestine to conduct prompt, impartial and independent investigations of all alleged violations of international human rights law and all allegations of international crimes. Furthermore, the High Commissioner calls upon the State of Palestine to ensure that all victims have access to remedies and reparation.</w:t>
      </w:r>
    </w:p>
    <w:p w:rsidR="009C6977" w:rsidRPr="00437DBA" w:rsidRDefault="009C6977" w:rsidP="00B13294">
      <w:pPr>
        <w:pStyle w:val="SingleTxtG"/>
      </w:pPr>
      <w:r w:rsidRPr="00437DBA">
        <w:t>72.</w:t>
      </w:r>
      <w:r w:rsidRPr="00437DBA">
        <w:tab/>
        <w:t>The cooperation by the State of Palestine with the human rights system provides scope for enhanced engagement for the implementation of recommendations. The OHCHR practical guide on national mechanisms for reporting and follow-up provides concrete support on how to better engage with international and regional human rights mechanisms. OHCHR is encouraged that the State of Palestine is working towards the establishment of national mechanisms for reporting and follow-up and stands ready to support the State of Palestine to fulfil the recommendations addressed to it.</w:t>
      </w:r>
    </w:p>
    <w:p w:rsidR="009C6977" w:rsidRPr="004B26BB" w:rsidRDefault="009C6977" w:rsidP="00B13294">
      <w:pPr>
        <w:pStyle w:val="SingleTxtG"/>
        <w:rPr>
          <w:b/>
        </w:rPr>
      </w:pPr>
      <w:r w:rsidRPr="00437DBA">
        <w:t>73.</w:t>
      </w:r>
      <w:r w:rsidRPr="00437DBA">
        <w:tab/>
      </w:r>
      <w:r w:rsidRPr="004B26BB">
        <w:rPr>
          <w:b/>
        </w:rPr>
        <w:t>The High Commissioner proposes that the State of Palestine make full use of the technical assistance available through OHCHR to help with the implementation of recommendations addressed to it, including the development of national mechanisms for reporting and following up on recommendations.</w:t>
      </w:r>
    </w:p>
    <w:p w:rsidR="009C6977" w:rsidRPr="00437DBA" w:rsidRDefault="004649CF" w:rsidP="004649CF">
      <w:pPr>
        <w:pStyle w:val="H1G"/>
      </w:pPr>
      <w:r>
        <w:tab/>
      </w:r>
      <w:bookmarkStart w:id="56" w:name="_Toc484690590"/>
      <w:bookmarkStart w:id="57" w:name="_Toc484792654"/>
      <w:r w:rsidR="009C6977" w:rsidRPr="00437DBA">
        <w:t>C.</w:t>
      </w:r>
      <w:r w:rsidR="009C6977" w:rsidRPr="00437DBA">
        <w:tab/>
        <w:t>The international community</w:t>
      </w:r>
      <w:bookmarkEnd w:id="56"/>
      <w:bookmarkEnd w:id="57"/>
    </w:p>
    <w:p w:rsidR="009C6977" w:rsidRPr="00437DBA" w:rsidRDefault="009C6977" w:rsidP="00B13294">
      <w:pPr>
        <w:pStyle w:val="SingleTxtG"/>
      </w:pPr>
      <w:r w:rsidRPr="00437DBA">
        <w:t>74.</w:t>
      </w:r>
      <w:r w:rsidRPr="00437DBA">
        <w:tab/>
        <w:t xml:space="preserve">In 2004, the International Court of Justice concluded that all States had the obligation </w:t>
      </w:r>
      <w:r>
        <w:t>“</w:t>
      </w:r>
      <w:r w:rsidRPr="00E03ABF">
        <w:t>not to recognize the illegal situation resulting from the construction of the wall in the Occupied Palestinian Territory, including in and around East Jerusalem</w:t>
      </w:r>
      <w:r>
        <w:t>”</w:t>
      </w:r>
      <w:r w:rsidRPr="009C6977">
        <w:rPr>
          <w:rStyle w:val="FootnoteReference"/>
        </w:rPr>
        <w:footnoteReference w:id="116"/>
      </w:r>
      <w:r w:rsidRPr="00437DBA">
        <w:t xml:space="preserve"> and to ensure that any impediment to the right </w:t>
      </w:r>
      <w:r w:rsidR="009533E6">
        <w:t xml:space="preserve">to </w:t>
      </w:r>
      <w:r w:rsidRPr="00437DBA">
        <w:t>self-determination of the Palestinian people was brought to an end. The Court also referred to the obligation of the High Contracting Parties to the Fourth Geneva Convention to ensure Israel</w:t>
      </w:r>
      <w:r>
        <w:t>’</w:t>
      </w:r>
      <w:r w:rsidRPr="00437DBA">
        <w:t>s compliance with international humanitarian law. In 2009, several special procedure mandate holders</w:t>
      </w:r>
      <w:r w:rsidRPr="009C6977">
        <w:rPr>
          <w:rStyle w:val="FootnoteReference"/>
        </w:rPr>
        <w:footnoteReference w:id="117"/>
      </w:r>
      <w:r w:rsidRPr="00437DBA">
        <w:t xml:space="preserve"> recalled the obligation of all States to cooperate </w:t>
      </w:r>
      <w:r>
        <w:t>“</w:t>
      </w:r>
      <w:r w:rsidRPr="00E03ABF">
        <w:t>to bring to an end through lawful means</w:t>
      </w:r>
      <w:r>
        <w:t>”</w:t>
      </w:r>
      <w:r w:rsidRPr="00437DBA">
        <w:t xml:space="preserve"> any serious breach of a peremptory norm of international law, and to ensure respect for international humanitarian law. In his 2017 report,</w:t>
      </w:r>
      <w:r w:rsidRPr="009C6977">
        <w:rPr>
          <w:rStyle w:val="FootnoteReference"/>
        </w:rPr>
        <w:footnoteReference w:id="118"/>
      </w:r>
      <w:r w:rsidRPr="00437DBA">
        <w:t xml:space="preserve"> the Secretary-General recalls the illegality of settlements and the wall in the Occupied Palestinian Territory, and that measures that may amount to collective punishment, such as the blockade on Gaza, are contrary to international humanitarian law.</w:t>
      </w:r>
    </w:p>
    <w:p w:rsidR="009C6977" w:rsidRPr="00100815" w:rsidRDefault="009C6977" w:rsidP="00B13294">
      <w:pPr>
        <w:pStyle w:val="SingleTxtG"/>
        <w:rPr>
          <w:b/>
        </w:rPr>
      </w:pPr>
      <w:r w:rsidRPr="00437DBA">
        <w:t>75.</w:t>
      </w:r>
      <w:r w:rsidRPr="00437DBA">
        <w:tab/>
      </w:r>
      <w:r w:rsidRPr="00100815">
        <w:rPr>
          <w:b/>
        </w:rPr>
        <w:t>The High Commissioner suggests the Human Rights Council consider recommending to the General Assembly that it make use of its powers under Article</w:t>
      </w:r>
      <w:r w:rsidR="007040E9" w:rsidRPr="00100815">
        <w:rPr>
          <w:b/>
        </w:rPr>
        <w:t xml:space="preserve"> </w:t>
      </w:r>
      <w:r w:rsidRPr="00100815">
        <w:rPr>
          <w:b/>
        </w:rPr>
        <w:t>96 (a) of the Charter of the United Nations in order to specify how all parties can fulfil their obligations in implementing the recommendations reviewed in the present report.</w:t>
      </w:r>
    </w:p>
    <w:p w:rsidR="009C6977" w:rsidRPr="00437DBA" w:rsidRDefault="009C6977" w:rsidP="00B13294">
      <w:pPr>
        <w:pStyle w:val="SingleTxtG"/>
      </w:pPr>
      <w:r w:rsidRPr="00437DBA">
        <w:t>76.</w:t>
      </w:r>
      <w:r w:rsidRPr="00437DBA">
        <w:tab/>
        <w:t>The role of States and businesses in addressing the human rights impact of businesses in the Occupied Palestinian Territory has been the subject of increasing attention.</w:t>
      </w:r>
      <w:r w:rsidRPr="009C6977">
        <w:rPr>
          <w:rStyle w:val="FootnoteReference"/>
        </w:rPr>
        <w:footnoteReference w:id="119"/>
      </w:r>
      <w:r w:rsidRPr="00437DBA">
        <w:t xml:space="preserve"> Under the Guiding Principles on Business and Human Rights, </w:t>
      </w:r>
      <w:r>
        <w:t>“</w:t>
      </w:r>
      <w:r w:rsidRPr="00E03ABF">
        <w:t>business enterprises should respect human rights. This means that they should avoid infringing on the human rights of others and should address adverse human rights impacts with which they are involved</w:t>
      </w:r>
      <w:r>
        <w:t>”</w:t>
      </w:r>
      <w:r w:rsidRPr="00437DBA">
        <w:t xml:space="preserve"> (principle 11). In 2014, the Working Group on the issue of human rights and transnational corporations and other business enterprises stated in the context of Israeli settlements that </w:t>
      </w:r>
      <w:r>
        <w:t>“</w:t>
      </w:r>
      <w:r w:rsidRPr="00E03ABF">
        <w:t>where an enterprise cannot effectively prevent or mitigate an adverse human rights impact</w:t>
      </w:r>
      <w:r w:rsidR="009D2E0F">
        <w:t xml:space="preserve"> </w:t>
      </w:r>
      <w:r w:rsidRPr="00E03ABF">
        <w:t>… it should consider whether its continued operation can be reconciled with its responsibility to respect human rights and act accordingly</w:t>
      </w:r>
      <w:r>
        <w:t>”</w:t>
      </w:r>
      <w:r w:rsidRPr="00437DBA">
        <w:t>.</w:t>
      </w:r>
      <w:r w:rsidRPr="009C6977">
        <w:rPr>
          <w:rStyle w:val="FootnoteReference"/>
        </w:rPr>
        <w:footnoteReference w:id="120"/>
      </w:r>
      <w:r w:rsidRPr="00437DBA">
        <w:t xml:space="preserve"> The Working Group also noted that: </w:t>
      </w:r>
      <w:r>
        <w:t>“</w:t>
      </w:r>
      <w:r w:rsidRPr="00E03ABF">
        <w:t xml:space="preserve">States that are </w:t>
      </w:r>
      <w:r>
        <w:t>‘</w:t>
      </w:r>
      <w:r w:rsidRPr="00E03ABF">
        <w:t>home State</w:t>
      </w:r>
      <w:r>
        <w:t>’</w:t>
      </w:r>
      <w:r w:rsidRPr="00E03ABF">
        <w:t xml:space="preserve"> of business enterprises operating in or connected with settlements in the OPT should engage with such enterprises at the earliest possible stage to provide advice and guidance, and should make clear the State</w:t>
      </w:r>
      <w:r>
        <w:t>’</w:t>
      </w:r>
      <w:r w:rsidRPr="00E03ABF">
        <w:t>s policy in regard to the settlements</w:t>
      </w:r>
      <w:r w:rsidRPr="00437DBA">
        <w:t>.</w:t>
      </w:r>
      <w:r>
        <w:t>”</w:t>
      </w:r>
      <w:r w:rsidRPr="009C6977">
        <w:rPr>
          <w:rStyle w:val="FootnoteReference"/>
        </w:rPr>
        <w:footnoteReference w:id="121"/>
      </w:r>
    </w:p>
    <w:p w:rsidR="009C6977" w:rsidRPr="00D15418" w:rsidRDefault="009C6977" w:rsidP="00B13294">
      <w:pPr>
        <w:pStyle w:val="SingleTxtG"/>
        <w:rPr>
          <w:b/>
        </w:rPr>
      </w:pPr>
      <w:r w:rsidRPr="00437DBA">
        <w:t>77.</w:t>
      </w:r>
      <w:r w:rsidRPr="00437DBA">
        <w:tab/>
      </w:r>
      <w:r w:rsidRPr="00D15418">
        <w:rPr>
          <w:b/>
        </w:rPr>
        <w:t xml:space="preserve">OHCHR stands ready to advise and support States, companies and relevant bodies of the United Nations on the implementation of the Guiding Principles on Business and Human Rights, including in the context of Human Rights Council resolution 31/36. </w:t>
      </w:r>
    </w:p>
    <w:p w:rsidR="009C6977" w:rsidRPr="00437DBA" w:rsidRDefault="009C6977" w:rsidP="00B13294">
      <w:pPr>
        <w:pStyle w:val="SingleTxtG"/>
      </w:pPr>
      <w:r w:rsidRPr="00437DBA">
        <w:t>78.</w:t>
      </w:r>
      <w:r w:rsidRPr="00437DBA">
        <w:tab/>
        <w:t xml:space="preserve">In 2004, the International Court of Justice emphasized </w:t>
      </w:r>
      <w:r>
        <w:t>“</w:t>
      </w:r>
      <w:r w:rsidRPr="00E03ABF">
        <w:t>the urgent necessity for the United Nations as a whole to redouble its efforts to bring the Israeli-Palestinian conflict, which continues to pose a threat to international peace and security, to a speedy conclusion</w:t>
      </w:r>
      <w:r>
        <w:t>”</w:t>
      </w:r>
      <w:r w:rsidRPr="00437DBA">
        <w:t>.</w:t>
      </w:r>
      <w:r w:rsidRPr="009C6977">
        <w:rPr>
          <w:rStyle w:val="FootnoteReference"/>
        </w:rPr>
        <w:footnoteReference w:id="122"/>
      </w:r>
      <w:r w:rsidRPr="00437DBA">
        <w:t xml:space="preserve"> However, successive rounds of hostilities, and ongoing violence and violations, including those linked to Israeli settlement expansion, show that the occupation and the conflict are deepening.</w:t>
      </w:r>
    </w:p>
    <w:p w:rsidR="009C6977" w:rsidRPr="00437DBA" w:rsidRDefault="009C6977" w:rsidP="00B13294">
      <w:pPr>
        <w:pStyle w:val="SingleTxtG"/>
      </w:pPr>
      <w:r w:rsidRPr="00437DBA">
        <w:t>79.</w:t>
      </w:r>
      <w:r w:rsidRPr="00437DBA">
        <w:tab/>
        <w:t>The Human Rights Up Front initiative</w:t>
      </w:r>
      <w:r w:rsidRPr="009C6977">
        <w:rPr>
          <w:rStyle w:val="FootnoteReference"/>
        </w:rPr>
        <w:footnoteReference w:id="123"/>
      </w:r>
      <w:r w:rsidRPr="00437DBA">
        <w:t xml:space="preserve"> and action plan are aimed at strengthening the ability of the United Nations to prevent and respond to serious human rights violations and complex crises. Human Rights Up Front cuts across the three indivisible pillars of the United Nations: peace and security, development, and human rights. For the sustainable success of any negotiated political endeavour, it is imperative to bring the parties together in mutual recognition that respect for international human rights law and international humanitarian law must be at the forefront of peace efforts. </w:t>
      </w:r>
    </w:p>
    <w:p w:rsidR="009C6977" w:rsidRPr="00D15418" w:rsidRDefault="009C6977" w:rsidP="00B13294">
      <w:pPr>
        <w:pStyle w:val="SingleTxtG"/>
        <w:rPr>
          <w:b/>
        </w:rPr>
      </w:pPr>
      <w:r w:rsidRPr="00437DBA">
        <w:t>80.</w:t>
      </w:r>
      <w:r w:rsidRPr="00437DBA">
        <w:tab/>
      </w:r>
      <w:r w:rsidRPr="00D15418">
        <w:rPr>
          <w:b/>
        </w:rPr>
        <w:t>The High Commissioner reiterates the calls to all States and to relevant United Nations bodies to take all measures necessary to ensure full respect of and compliance</w:t>
      </w:r>
      <w:r w:rsidR="007040E9" w:rsidRPr="00D15418">
        <w:rPr>
          <w:b/>
        </w:rPr>
        <w:t xml:space="preserve"> </w:t>
      </w:r>
      <w:r w:rsidRPr="00D15418">
        <w:rPr>
          <w:b/>
        </w:rPr>
        <w:t>with the relevant resolutions of the Human Rights Council, the General Assembly and the Security Council, including Security Council resolution 2334 (2016).</w:t>
      </w:r>
    </w:p>
    <w:p w:rsidR="0091306B" w:rsidRDefault="009C6977" w:rsidP="00B13294">
      <w:pPr>
        <w:pStyle w:val="SingleTxtG"/>
      </w:pPr>
      <w:r w:rsidRPr="00437DBA">
        <w:t>81.</w:t>
      </w:r>
      <w:r w:rsidRPr="00437DBA">
        <w:tab/>
        <w:t>All stakeholders must recognize that compliance with international law is a sine qua non condition for peace. Reports analysed in the present review indicate that the general patterns of human rights violations and non-implementation of recommendations are not just symptoms of the conflict but further fuel the cycle of violence. To break this cycle, the root causes must be addressed: these include bringing the occupation to an end and addressing the security concerns of Israel. Creating the space for peace demands the recognition that respect for human rights is the path out of the conflict. This requires the political will and commitment of all stakeholders.</w:t>
      </w:r>
    </w:p>
    <w:p w:rsidR="004649CF" w:rsidRDefault="004649CF" w:rsidP="00B13294">
      <w:pPr>
        <w:pStyle w:val="SingleTxtG"/>
        <w:sectPr w:rsidR="004649CF">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pPr>
    </w:p>
    <w:p w:rsidR="009C6977" w:rsidRPr="00437DBA" w:rsidRDefault="009C6977" w:rsidP="0091306B">
      <w:pPr>
        <w:pStyle w:val="HChG"/>
      </w:pPr>
      <w:bookmarkStart w:id="58" w:name="_Toc484690591"/>
      <w:bookmarkStart w:id="59" w:name="_Toc484792655"/>
      <w:r w:rsidRPr="00437DBA">
        <w:t>Annex</w:t>
      </w:r>
      <w:bookmarkEnd w:id="58"/>
      <w:bookmarkEnd w:id="59"/>
    </w:p>
    <w:p w:rsidR="009C6977" w:rsidRPr="00437DBA" w:rsidRDefault="009C6977" w:rsidP="0091306B">
      <w:pPr>
        <w:pStyle w:val="HChG"/>
      </w:pPr>
      <w:r w:rsidRPr="00437DBA">
        <w:tab/>
      </w:r>
      <w:r w:rsidRPr="00437DBA">
        <w:tab/>
      </w:r>
      <w:bookmarkStart w:id="60" w:name="_Toc484690592"/>
      <w:bookmarkStart w:id="61" w:name="_Toc484792656"/>
      <w:r w:rsidRPr="00437DBA">
        <w:t>List of reports included in the review</w:t>
      </w:r>
      <w:r w:rsidRPr="00B67B86">
        <w:rPr>
          <w:rStyle w:val="FootnoteReference"/>
          <w:b w:val="0"/>
        </w:rPr>
        <w:footnoteReference w:id="124"/>
      </w:r>
      <w:bookmarkEnd w:id="60"/>
      <w:bookmarkEnd w:id="61"/>
    </w:p>
    <w:p w:rsidR="009C6977" w:rsidRPr="00437DBA" w:rsidRDefault="009C6977" w:rsidP="00614074">
      <w:pPr>
        <w:pStyle w:val="H1G"/>
      </w:pPr>
      <w:r w:rsidRPr="00437DBA">
        <w:tab/>
      </w:r>
      <w:r w:rsidRPr="00437DBA">
        <w:tab/>
      </w:r>
      <w:bookmarkStart w:id="62" w:name="_Toc484690593"/>
      <w:bookmarkStart w:id="63" w:name="_Toc484792657"/>
      <w:r w:rsidRPr="00437DBA">
        <w:t>Fact-finding missions and commissions of inquiry</w:t>
      </w:r>
      <w:bookmarkEnd w:id="62"/>
      <w:bookmarkEnd w:id="63"/>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957"/>
        <w:gridCol w:w="5413"/>
      </w:tblGrid>
      <w:tr w:rsidR="009C6977" w:rsidRPr="0091306B">
        <w:trPr>
          <w:tblHeader/>
        </w:trPr>
        <w:tc>
          <w:tcPr>
            <w:tcW w:w="2457" w:type="dxa"/>
            <w:tcBorders>
              <w:top w:val="single" w:sz="4" w:space="0" w:color="auto"/>
              <w:bottom w:val="single" w:sz="12" w:space="0" w:color="auto"/>
            </w:tcBorders>
            <w:shd w:val="clear" w:color="auto" w:fill="auto"/>
            <w:vAlign w:val="bottom"/>
          </w:tcPr>
          <w:p w:rsidR="009C6977" w:rsidRPr="0091306B" w:rsidRDefault="009C6977" w:rsidP="0091306B">
            <w:pPr>
              <w:pStyle w:val="SingleTxtG"/>
              <w:spacing w:before="80" w:after="80" w:line="200" w:lineRule="exact"/>
              <w:ind w:left="0" w:right="113"/>
              <w:jc w:val="left"/>
              <w:rPr>
                <w:i/>
                <w:sz w:val="16"/>
              </w:rPr>
            </w:pPr>
            <w:r w:rsidRPr="0091306B">
              <w:rPr>
                <w:i/>
                <w:sz w:val="16"/>
              </w:rPr>
              <w:t>Symbol</w:t>
            </w:r>
          </w:p>
        </w:tc>
        <w:tc>
          <w:tcPr>
            <w:tcW w:w="6804" w:type="dxa"/>
            <w:tcBorders>
              <w:top w:val="single" w:sz="4" w:space="0" w:color="auto"/>
              <w:bottom w:val="single" w:sz="12" w:space="0" w:color="auto"/>
            </w:tcBorders>
            <w:shd w:val="clear" w:color="auto" w:fill="auto"/>
            <w:vAlign w:val="bottom"/>
          </w:tcPr>
          <w:p w:rsidR="009C6977" w:rsidRPr="0091306B" w:rsidRDefault="009C6977" w:rsidP="0091306B">
            <w:pPr>
              <w:pStyle w:val="SingleTxtG"/>
              <w:spacing w:before="80" w:after="80" w:line="200" w:lineRule="exact"/>
              <w:ind w:left="0" w:right="113"/>
              <w:jc w:val="left"/>
              <w:rPr>
                <w:i/>
                <w:sz w:val="16"/>
              </w:rPr>
            </w:pPr>
            <w:r w:rsidRPr="0091306B">
              <w:rPr>
                <w:i/>
                <w:sz w:val="16"/>
              </w:rPr>
              <w:t>Title of report</w:t>
            </w:r>
          </w:p>
        </w:tc>
      </w:tr>
      <w:tr w:rsidR="009C6977" w:rsidRPr="0091306B">
        <w:tc>
          <w:tcPr>
            <w:tcW w:w="2457" w:type="dxa"/>
            <w:tcBorders>
              <w:top w:val="single" w:sz="12" w:space="0" w:color="auto"/>
            </w:tcBorders>
            <w:shd w:val="clear" w:color="auto" w:fill="auto"/>
          </w:tcPr>
          <w:p w:rsidR="009C6977" w:rsidRPr="0091306B" w:rsidRDefault="009C6977" w:rsidP="0091306B">
            <w:pPr>
              <w:pStyle w:val="SingleTxtG"/>
              <w:spacing w:before="40" w:line="220" w:lineRule="exact"/>
              <w:ind w:left="0" w:right="113"/>
              <w:jc w:val="left"/>
            </w:pPr>
            <w:r w:rsidRPr="0091306B">
              <w:t>A/HRC/12/48</w:t>
            </w:r>
          </w:p>
        </w:tc>
        <w:tc>
          <w:tcPr>
            <w:tcW w:w="6804" w:type="dxa"/>
            <w:tcBorders>
              <w:top w:val="single" w:sz="12" w:space="0" w:color="auto"/>
            </w:tcBorders>
            <w:shd w:val="clear" w:color="auto" w:fill="auto"/>
          </w:tcPr>
          <w:p w:rsidR="009C6977" w:rsidRPr="0091306B" w:rsidRDefault="009C6977" w:rsidP="0091306B">
            <w:pPr>
              <w:pStyle w:val="SingleTxtG"/>
              <w:spacing w:before="40" w:line="220" w:lineRule="exact"/>
              <w:ind w:left="0" w:right="113"/>
              <w:jc w:val="left"/>
            </w:pPr>
            <w:r w:rsidRPr="0091306B">
              <w:t>Human rights situation in Palestine and other occupied Arab territories: report of the United Nations Fact-Finding Mission on the Gaza Conflict</w:t>
            </w:r>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A/HRC/22/63</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Report of the independent international fact-finding mission to investigate the implications of the Israeli settlements on the civil, political, economic, social and cultural rights of the Palestinian people throughout the Occupied Palestinian Territory, including East Jerusalem</w:t>
            </w:r>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A/HRC/29/52</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Report of the independent commission of inquiry established pursuant to Human Rights Council resolution S-21/1</w:t>
            </w:r>
          </w:p>
        </w:tc>
      </w:tr>
    </w:tbl>
    <w:p w:rsidR="009C6977" w:rsidRPr="00437DBA" w:rsidRDefault="009C6977" w:rsidP="00614074">
      <w:pPr>
        <w:pStyle w:val="H1G"/>
      </w:pPr>
      <w:r w:rsidRPr="00437DBA">
        <w:tab/>
      </w:r>
      <w:r w:rsidRPr="00437DBA">
        <w:tab/>
      </w:r>
      <w:bookmarkStart w:id="64" w:name="_Toc484690594"/>
      <w:bookmarkStart w:id="65" w:name="_Toc484792658"/>
      <w:r w:rsidRPr="00437DBA">
        <w:t>Special procedure mandate holders</w:t>
      </w:r>
      <w:bookmarkEnd w:id="64"/>
      <w:bookmarkEnd w:id="65"/>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957"/>
        <w:gridCol w:w="5413"/>
      </w:tblGrid>
      <w:tr w:rsidR="009C6977" w:rsidRPr="0091306B">
        <w:trPr>
          <w:tblHeader/>
        </w:trPr>
        <w:tc>
          <w:tcPr>
            <w:tcW w:w="2457" w:type="dxa"/>
            <w:tcBorders>
              <w:top w:val="single" w:sz="4" w:space="0" w:color="auto"/>
              <w:bottom w:val="single" w:sz="12" w:space="0" w:color="auto"/>
            </w:tcBorders>
            <w:shd w:val="clear" w:color="auto" w:fill="auto"/>
            <w:vAlign w:val="bottom"/>
          </w:tcPr>
          <w:p w:rsidR="009C6977" w:rsidRPr="0091306B" w:rsidRDefault="009C6977" w:rsidP="0091306B">
            <w:pPr>
              <w:pStyle w:val="SingleTxtG"/>
              <w:spacing w:before="80" w:after="80" w:line="200" w:lineRule="exact"/>
              <w:ind w:left="0" w:right="113"/>
              <w:jc w:val="left"/>
              <w:rPr>
                <w:i/>
                <w:sz w:val="16"/>
              </w:rPr>
            </w:pPr>
            <w:r w:rsidRPr="0091306B">
              <w:rPr>
                <w:i/>
                <w:sz w:val="16"/>
              </w:rPr>
              <w:t>Symbol</w:t>
            </w:r>
          </w:p>
        </w:tc>
        <w:tc>
          <w:tcPr>
            <w:tcW w:w="6804" w:type="dxa"/>
            <w:tcBorders>
              <w:top w:val="single" w:sz="4" w:space="0" w:color="auto"/>
              <w:bottom w:val="single" w:sz="12" w:space="0" w:color="auto"/>
            </w:tcBorders>
            <w:shd w:val="clear" w:color="auto" w:fill="auto"/>
            <w:vAlign w:val="bottom"/>
          </w:tcPr>
          <w:p w:rsidR="009C6977" w:rsidRPr="0091306B" w:rsidRDefault="009C6977" w:rsidP="0091306B">
            <w:pPr>
              <w:pStyle w:val="SingleTxtG"/>
              <w:spacing w:before="80" w:after="80" w:line="200" w:lineRule="exact"/>
              <w:ind w:left="0" w:right="113"/>
              <w:jc w:val="left"/>
              <w:rPr>
                <w:i/>
                <w:sz w:val="16"/>
              </w:rPr>
            </w:pPr>
            <w:r w:rsidRPr="0091306B">
              <w:rPr>
                <w:i/>
                <w:sz w:val="16"/>
              </w:rPr>
              <w:t>Title of report</w:t>
            </w:r>
          </w:p>
        </w:tc>
      </w:tr>
      <w:tr w:rsidR="009C6977" w:rsidRPr="0091306B">
        <w:tc>
          <w:tcPr>
            <w:tcW w:w="2457" w:type="dxa"/>
            <w:tcBorders>
              <w:top w:val="single" w:sz="12" w:space="0" w:color="auto"/>
            </w:tcBorders>
            <w:shd w:val="clear" w:color="auto" w:fill="auto"/>
          </w:tcPr>
          <w:p w:rsidR="009C6977" w:rsidRPr="0091306B" w:rsidRDefault="009C6977" w:rsidP="0091306B">
            <w:pPr>
              <w:pStyle w:val="SingleTxtG"/>
              <w:spacing w:before="40" w:line="220" w:lineRule="exact"/>
              <w:ind w:left="0" w:right="113"/>
              <w:jc w:val="left"/>
            </w:pPr>
            <w:r w:rsidRPr="0091306B">
              <w:t>A/HRC/10/8/Add.2</w:t>
            </w:r>
          </w:p>
        </w:tc>
        <w:tc>
          <w:tcPr>
            <w:tcW w:w="6804" w:type="dxa"/>
            <w:tcBorders>
              <w:top w:val="single" w:sz="12" w:space="0" w:color="auto"/>
            </w:tcBorders>
            <w:shd w:val="clear" w:color="auto" w:fill="auto"/>
          </w:tcPr>
          <w:p w:rsidR="009C6977" w:rsidRPr="0091306B" w:rsidRDefault="009C6977" w:rsidP="0091306B">
            <w:pPr>
              <w:pStyle w:val="SingleTxtG"/>
              <w:spacing w:before="40" w:line="220" w:lineRule="exact"/>
              <w:ind w:left="0" w:right="113"/>
              <w:jc w:val="left"/>
            </w:pPr>
            <w:r w:rsidRPr="0091306B">
              <w:t xml:space="preserve">Report of the Special Rapporteur on freedom of religion or belief, </w:t>
            </w:r>
            <w:proofErr w:type="spellStart"/>
            <w:r w:rsidRPr="0091306B">
              <w:t>Asma</w:t>
            </w:r>
            <w:proofErr w:type="spellEnd"/>
            <w:r w:rsidRPr="0091306B">
              <w:t xml:space="preserve"> Jahangir </w:t>
            </w:r>
          </w:p>
          <w:p w:rsidR="009C6977" w:rsidRPr="0091306B" w:rsidRDefault="009C6977" w:rsidP="0091306B">
            <w:pPr>
              <w:pStyle w:val="SingleTxtG"/>
              <w:spacing w:before="40" w:line="220" w:lineRule="exact"/>
              <w:ind w:left="0" w:right="113"/>
              <w:jc w:val="left"/>
            </w:pPr>
            <w:r w:rsidRPr="0091306B">
              <w:t xml:space="preserve">Addendum: mission to Israel and the occupied Palestinian territory </w:t>
            </w:r>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A/HRC/10/20</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Human rights situation in Palestine and other occupied Arab territories: report of the Special Rapporteur on the situation of human rights in the Palestinian territories occupied since 1967, Richard Falk</w:t>
            </w:r>
          </w:p>
        </w:tc>
      </w:tr>
      <w:tr w:rsidR="009C6977" w:rsidRPr="0091306B">
        <w:tc>
          <w:tcPr>
            <w:tcW w:w="2457" w:type="dxa"/>
            <w:tcBorders>
              <w:bottom w:val="nil"/>
            </w:tcBorders>
            <w:shd w:val="clear" w:color="auto" w:fill="auto"/>
          </w:tcPr>
          <w:p w:rsidR="009C6977" w:rsidRPr="0091306B" w:rsidRDefault="009C6977" w:rsidP="0091306B">
            <w:pPr>
              <w:pStyle w:val="SingleTxtG"/>
              <w:spacing w:before="40" w:line="220" w:lineRule="exact"/>
              <w:ind w:left="0" w:right="113"/>
              <w:jc w:val="left"/>
            </w:pPr>
            <w:r w:rsidRPr="0091306B">
              <w:t>A/HRC/10/21</w:t>
            </w:r>
          </w:p>
        </w:tc>
        <w:tc>
          <w:tcPr>
            <w:tcW w:w="6804" w:type="dxa"/>
            <w:tcBorders>
              <w:bottom w:val="nil"/>
            </w:tcBorders>
            <w:shd w:val="clear" w:color="auto" w:fill="auto"/>
          </w:tcPr>
          <w:p w:rsidR="009C6977" w:rsidRPr="0091306B" w:rsidRDefault="009C6977" w:rsidP="0091306B">
            <w:pPr>
              <w:pStyle w:val="SingleTxtG"/>
              <w:spacing w:before="40" w:line="220" w:lineRule="exact"/>
              <w:ind w:left="0" w:right="113"/>
              <w:jc w:val="left"/>
            </w:pPr>
            <w:r w:rsidRPr="0091306B">
              <w:t xml:space="preserve">Promotion and protection of all human rights, civil, political, economic, social and cultural rights, including the right to development: report of the Working Group on Arbitrary Detention </w:t>
            </w:r>
          </w:p>
        </w:tc>
      </w:tr>
      <w:tr w:rsidR="009C6977" w:rsidRPr="0091306B">
        <w:tc>
          <w:tcPr>
            <w:tcW w:w="2457" w:type="dxa"/>
            <w:tcBorders>
              <w:top w:val="nil"/>
              <w:bottom w:val="nil"/>
            </w:tcBorders>
            <w:shd w:val="clear" w:color="auto" w:fill="auto"/>
          </w:tcPr>
          <w:p w:rsidR="009C6977" w:rsidRPr="0091306B" w:rsidRDefault="009C6977" w:rsidP="0091306B">
            <w:pPr>
              <w:pStyle w:val="SingleTxtG"/>
              <w:spacing w:before="40" w:line="220" w:lineRule="exact"/>
              <w:ind w:left="0" w:right="113"/>
              <w:jc w:val="left"/>
            </w:pPr>
            <w:r w:rsidRPr="0091306B">
              <w:t>A/HRC/10/22</w:t>
            </w:r>
          </w:p>
        </w:tc>
        <w:tc>
          <w:tcPr>
            <w:tcW w:w="6804" w:type="dxa"/>
            <w:tcBorders>
              <w:top w:val="nil"/>
              <w:bottom w:val="nil"/>
            </w:tcBorders>
            <w:shd w:val="clear" w:color="auto" w:fill="auto"/>
          </w:tcPr>
          <w:p w:rsidR="009C6977" w:rsidRPr="0091306B" w:rsidRDefault="009C6977" w:rsidP="0091306B">
            <w:pPr>
              <w:pStyle w:val="SingleTxtG"/>
              <w:spacing w:before="40" w:line="220" w:lineRule="exact"/>
              <w:ind w:left="0" w:right="113"/>
              <w:jc w:val="left"/>
            </w:pPr>
            <w:r w:rsidRPr="0091306B">
              <w:t xml:space="preserve">Human rights situation in Palestine and other occupied Arab territories: combined report of the Special Rapporteur on the right of everyone to the enjoyment of the highest attainable standard of physical and mental health, the Special Representative of the Secretary-General for Children and Armed Conflict, the Special Rapporteur on violence against women, its causes and consequences, the Representative of the Secretary-General on the human rights of internally displaced persons, the Special Rapporteur on adequate housing as a component of the right to an adequate standard of living, and on the right to non-discrimination in this context, the Special Rapporteur on the right to food, the Special Rapporteur on extrajudicial, summary or arbitrary executions, the Special Rapporteur on the right to education and the independent expert on the question of human rights and extreme poverty </w:t>
            </w:r>
          </w:p>
        </w:tc>
      </w:tr>
      <w:tr w:rsidR="009C6977" w:rsidRPr="0091306B">
        <w:tc>
          <w:tcPr>
            <w:tcW w:w="2457" w:type="dxa"/>
            <w:tcBorders>
              <w:top w:val="nil"/>
            </w:tcBorders>
            <w:shd w:val="clear" w:color="auto" w:fill="auto"/>
          </w:tcPr>
          <w:p w:rsidR="009C6977" w:rsidRPr="0091306B" w:rsidRDefault="009C6977" w:rsidP="0091306B">
            <w:pPr>
              <w:pStyle w:val="SingleTxtG"/>
              <w:spacing w:before="40" w:line="220" w:lineRule="exact"/>
              <w:ind w:left="0" w:right="113"/>
              <w:jc w:val="left"/>
            </w:pPr>
            <w:r w:rsidRPr="0091306B">
              <w:t>A/64/328</w:t>
            </w:r>
          </w:p>
        </w:tc>
        <w:tc>
          <w:tcPr>
            <w:tcW w:w="6804" w:type="dxa"/>
            <w:tcBorders>
              <w:top w:val="nil"/>
            </w:tcBorders>
            <w:shd w:val="clear" w:color="auto" w:fill="auto"/>
          </w:tcPr>
          <w:p w:rsidR="009C6977" w:rsidRPr="0091306B" w:rsidRDefault="009C6977" w:rsidP="0091306B">
            <w:pPr>
              <w:pStyle w:val="SingleTxtG"/>
              <w:spacing w:before="40" w:line="220" w:lineRule="exact"/>
              <w:ind w:left="0" w:right="113"/>
              <w:jc w:val="left"/>
            </w:pPr>
            <w:r w:rsidRPr="0091306B">
              <w:t>Situation of human rights in the Palestinian territories occupied since 1967</w:t>
            </w:r>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A/HRC/13/53/Rev.1</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Report of the Special Rapporteur on the situation of human rights in the Palestinian territories occupied since 1967, Richard Falk</w:t>
            </w:r>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A/65/331</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Situation of human rights in the Palestinian territories occupied since 1967</w:t>
            </w:r>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A/HRC/16/72</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Report of the Special Rapporteur on the situation of human rights in the Palestinian territories occupied since 1967, Richard Falk</w:t>
            </w:r>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A/66/358</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Situation of human rights in the Palestinian territories occupied since 1967</w:t>
            </w:r>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A/HRC/20/17/Add.2</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 xml:space="preserve">Report of the Special Rapporteur on the promotion and protection of the right to freedom of opinion and expression, Frank La Rue </w:t>
            </w:r>
          </w:p>
          <w:p w:rsidR="009C6977" w:rsidRPr="0091306B" w:rsidRDefault="009C6977" w:rsidP="0091306B">
            <w:pPr>
              <w:pStyle w:val="SingleTxtG"/>
              <w:spacing w:before="40" w:line="220" w:lineRule="exact"/>
              <w:ind w:left="0" w:right="113"/>
              <w:jc w:val="left"/>
            </w:pPr>
            <w:r w:rsidRPr="0091306B">
              <w:t>Addendum: mission to Israel and the occupied Palestinian territory</w:t>
            </w:r>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A/HRC/20/32</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Report of the Special Rapporteur on the situation of human rights in the Palestinian territories occupied since 1967, Richard Falk</w:t>
            </w:r>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A/67/379</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Situation of human rights in the Palestinian territories occupied since 1967</w:t>
            </w:r>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A/HRC/23/21</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Report of the Special Rapporteur on the situation of human rights in the Palestinian territories occupied since 1967, Richard Falk</w:t>
            </w:r>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A/HRC/25/67</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Report of the Special Rapporteur on the situation of human rights in the Palestinian territories occupied since 1967, Richard Falk</w:t>
            </w:r>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A/HRC/28/78</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 xml:space="preserve">Report of the Special Rapporteur on the situation of human rights in the Palestinian territories occupied since 1967, </w:t>
            </w:r>
            <w:proofErr w:type="spellStart"/>
            <w:r w:rsidRPr="0091306B">
              <w:t>Makarim</w:t>
            </w:r>
            <w:proofErr w:type="spellEnd"/>
            <w:r w:rsidRPr="0091306B">
              <w:t xml:space="preserve"> </w:t>
            </w:r>
            <w:proofErr w:type="spellStart"/>
            <w:r w:rsidRPr="0091306B">
              <w:t>Wibisono</w:t>
            </w:r>
            <w:proofErr w:type="spellEnd"/>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A/70/392</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Situation of human rights in the Palestinian territories occupied since 1967</w:t>
            </w:r>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A/HRC/31/73</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Report of the Special Rapporteur on the situation of human rights in the Palestinian territories occupied since 1967</w:t>
            </w:r>
          </w:p>
        </w:tc>
      </w:tr>
      <w:tr w:rsidR="009C6977" w:rsidRPr="0091306B">
        <w:tc>
          <w:tcPr>
            <w:tcW w:w="2457" w:type="dxa"/>
            <w:shd w:val="clear" w:color="auto" w:fill="auto"/>
          </w:tcPr>
          <w:p w:rsidR="009C6977" w:rsidRPr="0091306B" w:rsidRDefault="009C6977" w:rsidP="0091306B">
            <w:pPr>
              <w:pStyle w:val="SingleTxtG"/>
              <w:spacing w:before="40" w:line="220" w:lineRule="exact"/>
              <w:ind w:left="0" w:right="113"/>
              <w:jc w:val="left"/>
            </w:pPr>
            <w:r w:rsidRPr="0091306B">
              <w:t>A/71/554</w:t>
            </w:r>
          </w:p>
        </w:tc>
        <w:tc>
          <w:tcPr>
            <w:tcW w:w="6804" w:type="dxa"/>
            <w:shd w:val="clear" w:color="auto" w:fill="auto"/>
          </w:tcPr>
          <w:p w:rsidR="009C6977" w:rsidRPr="0091306B" w:rsidRDefault="009C6977" w:rsidP="0091306B">
            <w:pPr>
              <w:pStyle w:val="SingleTxtG"/>
              <w:spacing w:before="40" w:line="220" w:lineRule="exact"/>
              <w:ind w:left="0" w:right="113"/>
              <w:jc w:val="left"/>
            </w:pPr>
            <w:r w:rsidRPr="0091306B">
              <w:t xml:space="preserve">Situation of human rights in the Palestinian territories occupied since 1967 </w:t>
            </w:r>
          </w:p>
        </w:tc>
      </w:tr>
    </w:tbl>
    <w:p w:rsidR="009C6977" w:rsidRPr="00437DBA" w:rsidRDefault="009C6977" w:rsidP="00376F96">
      <w:pPr>
        <w:pStyle w:val="H1G"/>
      </w:pPr>
      <w:r w:rsidRPr="00437DBA">
        <w:tab/>
      </w:r>
      <w:r w:rsidRPr="00437DBA">
        <w:tab/>
      </w:r>
      <w:bookmarkStart w:id="66" w:name="_Toc484690595"/>
      <w:bookmarkStart w:id="67" w:name="_Toc484792659"/>
      <w:r w:rsidRPr="00437DBA">
        <w:t>Reports by the Secretary-General</w:t>
      </w:r>
      <w:bookmarkEnd w:id="66"/>
      <w:bookmarkEnd w:id="67"/>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957"/>
        <w:gridCol w:w="5413"/>
      </w:tblGrid>
      <w:tr w:rsidR="009C6977" w:rsidRPr="00376F96">
        <w:trPr>
          <w:tblHeader/>
        </w:trPr>
        <w:tc>
          <w:tcPr>
            <w:tcW w:w="2457" w:type="dxa"/>
            <w:tcBorders>
              <w:top w:val="single" w:sz="4" w:space="0" w:color="auto"/>
              <w:bottom w:val="single" w:sz="12" w:space="0" w:color="auto"/>
            </w:tcBorders>
            <w:shd w:val="clear" w:color="auto" w:fill="auto"/>
            <w:vAlign w:val="bottom"/>
          </w:tcPr>
          <w:p w:rsidR="009C6977" w:rsidRPr="00376F96" w:rsidRDefault="009C6977" w:rsidP="00376F96">
            <w:pPr>
              <w:pStyle w:val="SingleTxtG"/>
              <w:spacing w:before="80" w:after="80" w:line="200" w:lineRule="exact"/>
              <w:ind w:left="0" w:right="113"/>
              <w:jc w:val="left"/>
              <w:rPr>
                <w:i/>
                <w:sz w:val="16"/>
              </w:rPr>
            </w:pPr>
            <w:r w:rsidRPr="00376F96">
              <w:rPr>
                <w:i/>
                <w:sz w:val="16"/>
              </w:rPr>
              <w:t>Symbol</w:t>
            </w:r>
          </w:p>
        </w:tc>
        <w:tc>
          <w:tcPr>
            <w:tcW w:w="6804" w:type="dxa"/>
            <w:tcBorders>
              <w:top w:val="single" w:sz="4" w:space="0" w:color="auto"/>
              <w:bottom w:val="single" w:sz="12" w:space="0" w:color="auto"/>
            </w:tcBorders>
            <w:shd w:val="clear" w:color="auto" w:fill="auto"/>
            <w:vAlign w:val="bottom"/>
          </w:tcPr>
          <w:p w:rsidR="009C6977" w:rsidRPr="00376F96" w:rsidRDefault="009C6977" w:rsidP="00376F96">
            <w:pPr>
              <w:pStyle w:val="SingleTxtG"/>
              <w:spacing w:before="80" w:after="80" w:line="200" w:lineRule="exact"/>
              <w:ind w:left="0" w:right="113"/>
              <w:jc w:val="left"/>
              <w:rPr>
                <w:i/>
                <w:sz w:val="16"/>
              </w:rPr>
            </w:pPr>
            <w:r w:rsidRPr="00376F96">
              <w:rPr>
                <w:i/>
                <w:sz w:val="16"/>
              </w:rPr>
              <w:t>Title of report</w:t>
            </w:r>
          </w:p>
        </w:tc>
      </w:tr>
      <w:tr w:rsidR="009C6977" w:rsidRPr="00376F96">
        <w:tc>
          <w:tcPr>
            <w:tcW w:w="2457" w:type="dxa"/>
            <w:tcBorders>
              <w:top w:val="single" w:sz="12" w:space="0" w:color="auto"/>
            </w:tcBorders>
            <w:shd w:val="clear" w:color="auto" w:fill="auto"/>
          </w:tcPr>
          <w:p w:rsidR="009C6977" w:rsidRPr="00376F96" w:rsidRDefault="009C6977" w:rsidP="00376F96">
            <w:pPr>
              <w:pStyle w:val="SingleTxtG"/>
              <w:spacing w:before="40" w:line="220" w:lineRule="exact"/>
              <w:ind w:left="0" w:right="113"/>
              <w:jc w:val="left"/>
            </w:pPr>
            <w:r w:rsidRPr="00376F96">
              <w:t xml:space="preserve">A/64/516 </w:t>
            </w:r>
          </w:p>
        </w:tc>
        <w:tc>
          <w:tcPr>
            <w:tcW w:w="6804" w:type="dxa"/>
            <w:tcBorders>
              <w:top w:val="single" w:sz="12" w:space="0" w:color="auto"/>
            </w:tcBorders>
            <w:shd w:val="clear" w:color="auto" w:fill="auto"/>
          </w:tcPr>
          <w:p w:rsidR="009C6977" w:rsidRPr="00376F96" w:rsidRDefault="009C6977" w:rsidP="00376F96">
            <w:pPr>
              <w:pStyle w:val="SingleTxtG"/>
              <w:spacing w:before="40" w:line="220" w:lineRule="exact"/>
              <w:ind w:left="0" w:right="113"/>
              <w:jc w:val="left"/>
            </w:pPr>
            <w:r w:rsidRPr="00376F96">
              <w:t>Israeli practices affecting the human rights of the Palestinian people in the Occupied Palestinian Territory, including East Jerusalem: report by the Secretary-General</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 xml:space="preserve">A/64/517 </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Israeli practices affecting the human rights of the Palestinian people in the Occupied Palestinian Territory, including East Jerusalem: report by the Secretary-General</w:t>
            </w:r>
          </w:p>
        </w:tc>
      </w:tr>
      <w:tr w:rsidR="009C6977" w:rsidRPr="00376F96">
        <w:tc>
          <w:tcPr>
            <w:tcW w:w="2457" w:type="dxa"/>
            <w:tcBorders>
              <w:bottom w:val="nil"/>
            </w:tcBorders>
            <w:shd w:val="clear" w:color="auto" w:fill="auto"/>
          </w:tcPr>
          <w:p w:rsidR="009C6977" w:rsidRPr="00376F96" w:rsidRDefault="009C6977" w:rsidP="00376F96">
            <w:pPr>
              <w:pStyle w:val="SingleTxtG"/>
              <w:spacing w:before="40" w:line="220" w:lineRule="exact"/>
              <w:ind w:left="0" w:right="113"/>
              <w:jc w:val="left"/>
            </w:pPr>
            <w:r w:rsidRPr="00376F96">
              <w:t xml:space="preserve">A/65/366 </w:t>
            </w:r>
          </w:p>
        </w:tc>
        <w:tc>
          <w:tcPr>
            <w:tcW w:w="6804" w:type="dxa"/>
            <w:tcBorders>
              <w:bottom w:val="nil"/>
            </w:tcBorders>
            <w:shd w:val="clear" w:color="auto" w:fill="auto"/>
          </w:tcPr>
          <w:p w:rsidR="009C6977" w:rsidRPr="00376F96" w:rsidRDefault="009C6977" w:rsidP="00376F96">
            <w:pPr>
              <w:pStyle w:val="SingleTxtG"/>
              <w:spacing w:before="40" w:line="220" w:lineRule="exact"/>
              <w:ind w:left="0" w:right="113"/>
              <w:jc w:val="left"/>
            </w:pPr>
            <w:r w:rsidRPr="00376F96">
              <w:t>Israeli practices affecting the human rights of the Palestinian people in the Occupied Palestinian Territory, including East Jerusalem: report by the Secretary-General</w:t>
            </w:r>
          </w:p>
        </w:tc>
      </w:tr>
      <w:tr w:rsidR="009C6977" w:rsidRPr="00376F96">
        <w:tc>
          <w:tcPr>
            <w:tcW w:w="2457" w:type="dxa"/>
            <w:tcBorders>
              <w:top w:val="nil"/>
              <w:bottom w:val="nil"/>
            </w:tcBorders>
            <w:shd w:val="clear" w:color="auto" w:fill="auto"/>
          </w:tcPr>
          <w:p w:rsidR="009C6977" w:rsidRPr="00376F96" w:rsidRDefault="009C6977" w:rsidP="00376F96">
            <w:pPr>
              <w:pStyle w:val="SingleTxtG"/>
              <w:spacing w:before="40" w:line="220" w:lineRule="exact"/>
              <w:ind w:left="0" w:right="113"/>
              <w:jc w:val="left"/>
            </w:pPr>
            <w:r w:rsidRPr="00376F96">
              <w:t xml:space="preserve">A/66/356 </w:t>
            </w:r>
          </w:p>
        </w:tc>
        <w:tc>
          <w:tcPr>
            <w:tcW w:w="6804" w:type="dxa"/>
            <w:tcBorders>
              <w:top w:val="nil"/>
              <w:bottom w:val="nil"/>
            </w:tcBorders>
            <w:shd w:val="clear" w:color="auto" w:fill="auto"/>
          </w:tcPr>
          <w:p w:rsidR="009C6977" w:rsidRPr="00376F96" w:rsidRDefault="009C6977" w:rsidP="00376F96">
            <w:pPr>
              <w:pStyle w:val="SingleTxtG"/>
              <w:spacing w:before="40" w:line="220" w:lineRule="exact"/>
              <w:ind w:left="0" w:right="113"/>
              <w:jc w:val="left"/>
            </w:pPr>
            <w:r w:rsidRPr="00376F96">
              <w:t>Israeli practices affecting the human rights of the Palestinian people in the Occupied Palestinian Territory, including East Jerusalem: report by the Secretary-General</w:t>
            </w:r>
          </w:p>
        </w:tc>
      </w:tr>
      <w:tr w:rsidR="009C6977" w:rsidRPr="00376F96">
        <w:tc>
          <w:tcPr>
            <w:tcW w:w="2457" w:type="dxa"/>
            <w:tcBorders>
              <w:top w:val="nil"/>
            </w:tcBorders>
            <w:shd w:val="clear" w:color="auto" w:fill="auto"/>
          </w:tcPr>
          <w:p w:rsidR="009C6977" w:rsidRPr="00376F96" w:rsidRDefault="009C6977" w:rsidP="00376F96">
            <w:pPr>
              <w:pStyle w:val="SingleTxtG"/>
              <w:spacing w:before="40" w:line="220" w:lineRule="exact"/>
              <w:ind w:left="0" w:right="113"/>
              <w:jc w:val="left"/>
            </w:pPr>
            <w:r w:rsidRPr="00376F96">
              <w:t xml:space="preserve">A/67/372 </w:t>
            </w:r>
          </w:p>
        </w:tc>
        <w:tc>
          <w:tcPr>
            <w:tcW w:w="6804" w:type="dxa"/>
            <w:tcBorders>
              <w:top w:val="nil"/>
            </w:tcBorders>
            <w:shd w:val="clear" w:color="auto" w:fill="auto"/>
          </w:tcPr>
          <w:p w:rsidR="009C6977" w:rsidRPr="00376F96" w:rsidRDefault="009C6977" w:rsidP="00376F96">
            <w:pPr>
              <w:pStyle w:val="SingleTxtG"/>
              <w:spacing w:before="40" w:line="220" w:lineRule="exact"/>
              <w:ind w:left="0" w:right="113"/>
              <w:jc w:val="left"/>
            </w:pPr>
            <w:r w:rsidRPr="00376F96">
              <w:t>Israeli practices affecting the human rights of the Palestinian people in the Occupied Palestinian Territory, including East Jerusalem: report by the Secretary-General</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 xml:space="preserve">A/68/502 </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Israeli practices affecting the human rights of the Palestinian people in the Occupied Palestinian Territory, including East Jerusalem: report by the Secretary-General</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 xml:space="preserve">A/69/347 </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Israeli practices affecting the human rights of the Palestinian people in the Occupied Palestinian Territory, including East Jerusalem: report by the Secretary-General</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 xml:space="preserve">A/70/421 </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Israeli practices affecting the human rights of the Palestinian people in the Occupied Palestinian Territory, including East Jerusalem: report by the Secretary-General</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 xml:space="preserve">A/65/365 </w:t>
            </w:r>
          </w:p>
          <w:p w:rsidR="009C6977" w:rsidRPr="00376F96" w:rsidRDefault="009C6977" w:rsidP="00376F96">
            <w:pPr>
              <w:pStyle w:val="SingleTxtG"/>
              <w:spacing w:before="40" w:line="220" w:lineRule="exact"/>
              <w:ind w:left="0" w:right="113"/>
              <w:jc w:val="left"/>
            </w:pP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Israeli settlements in the Occupied Palestinian Territory, including East Jerusalem, and the occupied Syrian Golan: report of the Secretary-General</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 xml:space="preserve">A/66/364 </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 xml:space="preserve">Israeli settlements in the Occupied Palestinian Territory, including East Jerusalem, and the occupied Syrian Golan: report of the Secretary-General </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 xml:space="preserve">A/67/375 </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Israeli settlements in the Occupied Palestinian Territory, including East Jerusalem, and the occupied Syrian Golan: report of the Secretary-General</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A/HRC/24/30</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Human rights situation in the Occupied Palestinian Territory, including East Jerusalem: report by the Secretary-General</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 xml:space="preserve">A/68/513 </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Israeli settlements in the Occupied Palestinian Territory, including East Jerusalem, and the occupied Syrian Golan: report of the Secretary-General</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A/HRC/25/38</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Israeli settlements in the Occupied Palestinian Territory, including East Jerusalem, and the occupied Syrian Golan: report of the Secretary-General</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 xml:space="preserve">A/69/348 </w:t>
            </w:r>
          </w:p>
        </w:tc>
        <w:tc>
          <w:tcPr>
            <w:tcW w:w="6804" w:type="dxa"/>
            <w:shd w:val="clear" w:color="auto" w:fill="auto"/>
          </w:tcPr>
          <w:p w:rsidR="009C6977" w:rsidRPr="00376F96" w:rsidRDefault="009C6977" w:rsidP="001C2973">
            <w:pPr>
              <w:pStyle w:val="SingleTxtG"/>
              <w:spacing w:before="40" w:line="220" w:lineRule="exact"/>
              <w:ind w:left="0" w:right="113"/>
              <w:jc w:val="left"/>
            </w:pPr>
            <w:r w:rsidRPr="00376F96">
              <w:t>Israeli settlements in the Occupied Palestinian Territory, including East Jerusalem, and the occupied Syrian Golan: report of the Secretary-General</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A/70/351</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Israeli settlements in the Occupied Palestinian Territory, including East Jerusalem, and the occupied Syrian Golan: report of the Secretary-General</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A/HRC/28/44</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Israeli settlements in the Occupied Palestinian Territory, including East Jerusalem, and the occupied Syrian Golan: report of the Secretary-General</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A/HRC/28/45</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Human rights situation in the Occupied Palestinian Territory, including East Jerusalem: report by the Secretary-General</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A/71/355</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Israeli settlements in the Occupied Palestinian Territory, including East Jerusalem, and the occupied Syrian Golan: report of the Secretary-General</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A/HRC/31/43</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Israeli settlements in the Occupied Palestinian Territory, including East Jerusalem, and the occupied Syrian Golan: report of the Secretary-General</w:t>
            </w:r>
          </w:p>
        </w:tc>
      </w:tr>
      <w:tr w:rsidR="009C6977" w:rsidRPr="00376F96">
        <w:tc>
          <w:tcPr>
            <w:tcW w:w="2457" w:type="dxa"/>
            <w:tcBorders>
              <w:bottom w:val="nil"/>
            </w:tcBorders>
            <w:shd w:val="clear" w:color="auto" w:fill="auto"/>
          </w:tcPr>
          <w:p w:rsidR="009C6977" w:rsidRPr="00376F96" w:rsidRDefault="009C6977" w:rsidP="00376F96">
            <w:pPr>
              <w:pStyle w:val="SingleTxtG"/>
              <w:spacing w:before="40" w:line="220" w:lineRule="exact"/>
              <w:ind w:left="0" w:right="113"/>
              <w:jc w:val="left"/>
            </w:pPr>
            <w:r w:rsidRPr="00376F96">
              <w:t>A/HRC/31/44</w:t>
            </w:r>
          </w:p>
        </w:tc>
        <w:tc>
          <w:tcPr>
            <w:tcW w:w="6804" w:type="dxa"/>
            <w:tcBorders>
              <w:bottom w:val="nil"/>
            </w:tcBorders>
            <w:shd w:val="clear" w:color="auto" w:fill="auto"/>
          </w:tcPr>
          <w:p w:rsidR="009C6977" w:rsidRPr="00376F96" w:rsidRDefault="009C6977" w:rsidP="00376F96">
            <w:pPr>
              <w:pStyle w:val="SingleTxtG"/>
              <w:spacing w:before="40" w:line="220" w:lineRule="exact"/>
              <w:ind w:left="0" w:right="113"/>
              <w:jc w:val="left"/>
            </w:pPr>
            <w:r w:rsidRPr="00376F96">
              <w:t>Human rights situation in the Occupied Palestinian Territory, including East Jerusalem: report by the Secretary-General</w:t>
            </w:r>
          </w:p>
        </w:tc>
      </w:tr>
      <w:tr w:rsidR="009C6977" w:rsidRPr="00376F96">
        <w:tc>
          <w:tcPr>
            <w:tcW w:w="2457" w:type="dxa"/>
            <w:tcBorders>
              <w:top w:val="nil"/>
              <w:bottom w:val="single" w:sz="4" w:space="0" w:color="auto"/>
            </w:tcBorders>
            <w:shd w:val="clear" w:color="auto" w:fill="auto"/>
          </w:tcPr>
          <w:p w:rsidR="009C6977" w:rsidRPr="00376F96" w:rsidRDefault="009C6977" w:rsidP="000144EC">
            <w:pPr>
              <w:pStyle w:val="SingleTxtG"/>
              <w:keepNext/>
              <w:keepLines/>
              <w:spacing w:before="40" w:line="220" w:lineRule="exact"/>
              <w:ind w:left="0" w:right="113"/>
              <w:jc w:val="left"/>
            </w:pPr>
            <w:r w:rsidRPr="00376F96">
              <w:t>A/71/364</w:t>
            </w:r>
          </w:p>
        </w:tc>
        <w:tc>
          <w:tcPr>
            <w:tcW w:w="6804" w:type="dxa"/>
            <w:tcBorders>
              <w:top w:val="nil"/>
              <w:bottom w:val="single" w:sz="4" w:space="0" w:color="auto"/>
            </w:tcBorders>
            <w:shd w:val="clear" w:color="auto" w:fill="auto"/>
          </w:tcPr>
          <w:p w:rsidR="009C6977" w:rsidRPr="00376F96" w:rsidRDefault="009C6977" w:rsidP="000144EC">
            <w:pPr>
              <w:pStyle w:val="SingleTxtG"/>
              <w:keepNext/>
              <w:keepLines/>
              <w:spacing w:before="40" w:line="220" w:lineRule="exact"/>
              <w:ind w:left="0" w:right="113"/>
              <w:jc w:val="left"/>
            </w:pPr>
            <w:r w:rsidRPr="00376F96">
              <w:t>Israeli practices affecting the human rights of the Palestinian people in the Occupied Palestinian Territory, including East Jerusalem: report of the Secretary-General</w:t>
            </w:r>
          </w:p>
        </w:tc>
      </w:tr>
    </w:tbl>
    <w:p w:rsidR="009C6977" w:rsidRPr="00437DBA" w:rsidRDefault="009C6977" w:rsidP="00376F96">
      <w:pPr>
        <w:pStyle w:val="H1G"/>
      </w:pPr>
      <w:r w:rsidRPr="00437DBA">
        <w:tab/>
      </w:r>
      <w:r w:rsidRPr="00437DBA">
        <w:tab/>
      </w:r>
      <w:bookmarkStart w:id="68" w:name="_Toc484690596"/>
      <w:bookmarkStart w:id="69" w:name="_Toc484792660"/>
      <w:r w:rsidRPr="00437DBA">
        <w:t>Reports by the United Nations High Commissioner for Human Rights</w:t>
      </w:r>
      <w:bookmarkEnd w:id="68"/>
      <w:bookmarkEnd w:id="69"/>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957"/>
        <w:gridCol w:w="5413"/>
      </w:tblGrid>
      <w:tr w:rsidR="009C6977" w:rsidRPr="00376F96">
        <w:trPr>
          <w:tblHeader/>
        </w:trPr>
        <w:tc>
          <w:tcPr>
            <w:tcW w:w="2457" w:type="dxa"/>
            <w:tcBorders>
              <w:top w:val="single" w:sz="4" w:space="0" w:color="auto"/>
              <w:bottom w:val="single" w:sz="12" w:space="0" w:color="auto"/>
            </w:tcBorders>
            <w:shd w:val="clear" w:color="auto" w:fill="auto"/>
            <w:vAlign w:val="bottom"/>
          </w:tcPr>
          <w:p w:rsidR="009C6977" w:rsidRPr="00376F96" w:rsidRDefault="009C6977" w:rsidP="00376F96">
            <w:pPr>
              <w:pStyle w:val="SingleTxtG"/>
              <w:spacing w:before="80" w:after="80" w:line="200" w:lineRule="exact"/>
              <w:ind w:left="0" w:right="113"/>
              <w:jc w:val="left"/>
              <w:rPr>
                <w:i/>
                <w:sz w:val="16"/>
              </w:rPr>
            </w:pPr>
            <w:r w:rsidRPr="00376F96">
              <w:rPr>
                <w:i/>
                <w:sz w:val="16"/>
              </w:rPr>
              <w:t>Symbol</w:t>
            </w:r>
          </w:p>
        </w:tc>
        <w:tc>
          <w:tcPr>
            <w:tcW w:w="6804" w:type="dxa"/>
            <w:tcBorders>
              <w:top w:val="single" w:sz="4" w:space="0" w:color="auto"/>
              <w:bottom w:val="single" w:sz="12" w:space="0" w:color="auto"/>
            </w:tcBorders>
            <w:shd w:val="clear" w:color="auto" w:fill="auto"/>
            <w:vAlign w:val="bottom"/>
          </w:tcPr>
          <w:p w:rsidR="009C6977" w:rsidRPr="00376F96" w:rsidRDefault="009C6977" w:rsidP="00376F96">
            <w:pPr>
              <w:pStyle w:val="SingleTxtG"/>
              <w:spacing w:before="80" w:after="80" w:line="200" w:lineRule="exact"/>
              <w:ind w:left="0" w:right="113"/>
              <w:jc w:val="left"/>
              <w:rPr>
                <w:i/>
                <w:sz w:val="16"/>
              </w:rPr>
            </w:pPr>
            <w:r w:rsidRPr="00376F96">
              <w:rPr>
                <w:i/>
                <w:sz w:val="16"/>
              </w:rPr>
              <w:t>Title of report</w:t>
            </w:r>
          </w:p>
        </w:tc>
      </w:tr>
      <w:tr w:rsidR="009C6977" w:rsidRPr="00376F96">
        <w:tc>
          <w:tcPr>
            <w:tcW w:w="2457" w:type="dxa"/>
            <w:tcBorders>
              <w:top w:val="single" w:sz="12" w:space="0" w:color="auto"/>
            </w:tcBorders>
            <w:shd w:val="clear" w:color="auto" w:fill="auto"/>
          </w:tcPr>
          <w:p w:rsidR="009C6977" w:rsidRPr="00376F96" w:rsidRDefault="009C6977" w:rsidP="00376F96">
            <w:pPr>
              <w:pStyle w:val="SingleTxtG"/>
              <w:spacing w:before="40" w:line="220" w:lineRule="exact"/>
              <w:ind w:left="0" w:right="113"/>
              <w:jc w:val="left"/>
            </w:pPr>
            <w:r w:rsidRPr="00376F96">
              <w:t>A/HRC/12/37</w:t>
            </w:r>
          </w:p>
        </w:tc>
        <w:tc>
          <w:tcPr>
            <w:tcW w:w="6804" w:type="dxa"/>
            <w:tcBorders>
              <w:top w:val="single" w:sz="12" w:space="0" w:color="auto"/>
            </w:tcBorders>
            <w:shd w:val="clear" w:color="auto" w:fill="auto"/>
          </w:tcPr>
          <w:p w:rsidR="009C6977" w:rsidRPr="00376F96" w:rsidRDefault="009C6977" w:rsidP="00376F96">
            <w:pPr>
              <w:pStyle w:val="SingleTxtG"/>
              <w:spacing w:before="40" w:line="220" w:lineRule="exact"/>
              <w:ind w:left="0" w:right="113"/>
              <w:jc w:val="left"/>
            </w:pPr>
            <w:r w:rsidRPr="00376F96">
              <w:t>Human rights situation in Palestine and other occupied Arab territories: the grave violations of human rights in the Occupied Palestinian Territory, particularly due to the recent Israeli military attacks against the occupied Gaza Strip: report of the United Nations High Commissioner for Human Rights on the implementation of Human Rights Council resolution S-9/1</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A/HRC/13/54</w:t>
            </w:r>
          </w:p>
        </w:tc>
        <w:tc>
          <w:tcPr>
            <w:tcW w:w="6804" w:type="dxa"/>
            <w:shd w:val="clear" w:color="auto" w:fill="auto"/>
          </w:tcPr>
          <w:p w:rsidR="009C6977" w:rsidRPr="00376F96" w:rsidRDefault="009C6977" w:rsidP="001C2973">
            <w:pPr>
              <w:pStyle w:val="SingleTxtG"/>
              <w:spacing w:before="40" w:line="220" w:lineRule="exact"/>
              <w:ind w:left="0" w:right="113"/>
              <w:jc w:val="left"/>
            </w:pPr>
            <w:r w:rsidRPr="00376F96">
              <w:t>The grave violations of human rights in the Occupied Palestinian Territory, particularly due to the recent Israeli military attacks against the occupied Gaza strip</w:t>
            </w:r>
            <w:r w:rsidR="001C2973">
              <w:t>:</w:t>
            </w:r>
            <w:r w:rsidRPr="00376F96">
              <w:t xml:space="preserve"> </w:t>
            </w:r>
            <w:r w:rsidR="001C2973" w:rsidRPr="00376F96">
              <w:t xml:space="preserve">report </w:t>
            </w:r>
            <w:r w:rsidRPr="00376F96">
              <w:t>of the United Nations High Commissioner for Human Rights on the implementation of Human Rights Council resolutions S-9/1 and S-12/1</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A/HRC/16/71</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Report of the United Nations High Commissioner for Human Rights on the implementation of Human Rights Council resolutions S-9/1 and S-12/1</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A/HRC/19/20</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Report of the United Nations High Commissioner for Human Rights on the implementation of Human Rights Council resolutions S-9/1 and S-12/1</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A/HRC/22/35</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Report of the United Nations High Commissioner for Human Rights on the implementation of Human Rights Council resolutions S-9/1 and S-12/1</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A/HRC/22/46/Add.1</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 xml:space="preserve">Report of the Special Rapporteur on adequate housing as a component of the right to an adequate standard of living, and on the right to non-discrimination in this context, Raquel </w:t>
            </w:r>
            <w:proofErr w:type="spellStart"/>
            <w:r w:rsidRPr="00376F96">
              <w:t>Rolnik</w:t>
            </w:r>
            <w:proofErr w:type="spellEnd"/>
          </w:p>
          <w:p w:rsidR="009C6977" w:rsidRPr="00376F96" w:rsidRDefault="009C6977" w:rsidP="00376F96">
            <w:pPr>
              <w:pStyle w:val="SingleTxtG"/>
              <w:spacing w:before="40" w:line="220" w:lineRule="exact"/>
              <w:ind w:left="0" w:right="113"/>
              <w:jc w:val="left"/>
            </w:pPr>
            <w:r w:rsidRPr="00376F96">
              <w:t>Addendum: mission to Israel and the Occupied Palestinian Territory</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A/HRC/25/40</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Report of the United Nations High Commissioner for Human Rights on the implementation of Human Rights Council resolutions S-9/1 and S-12/1</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A/HRC/28/80</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Report of the United Nations High Commissioner for Human Rights on the implementation of Human Rights Council resolutions S-9/1 and S-12/1</w:t>
            </w:r>
          </w:p>
        </w:tc>
      </w:tr>
      <w:tr w:rsidR="009C6977" w:rsidRPr="00376F96">
        <w:tc>
          <w:tcPr>
            <w:tcW w:w="2457" w:type="dxa"/>
            <w:shd w:val="clear" w:color="auto" w:fill="auto"/>
          </w:tcPr>
          <w:p w:rsidR="009C6977" w:rsidRPr="00376F96" w:rsidRDefault="009C6977" w:rsidP="00376F96">
            <w:pPr>
              <w:pStyle w:val="SingleTxtG"/>
              <w:spacing w:before="40" w:line="220" w:lineRule="exact"/>
              <w:ind w:left="0" w:right="113"/>
              <w:jc w:val="left"/>
            </w:pPr>
            <w:r w:rsidRPr="00376F96">
              <w:t>A/HRC/31/40</w:t>
            </w:r>
          </w:p>
        </w:tc>
        <w:tc>
          <w:tcPr>
            <w:tcW w:w="6804" w:type="dxa"/>
            <w:shd w:val="clear" w:color="auto" w:fill="auto"/>
          </w:tcPr>
          <w:p w:rsidR="009C6977" w:rsidRPr="00376F96" w:rsidRDefault="009C6977" w:rsidP="00376F96">
            <w:pPr>
              <w:pStyle w:val="SingleTxtG"/>
              <w:spacing w:before="40" w:line="220" w:lineRule="exact"/>
              <w:ind w:left="0" w:right="113"/>
              <w:jc w:val="left"/>
            </w:pPr>
            <w:r w:rsidRPr="00376F96">
              <w:t>Report of the United Nations High Commissioner for Human Rights on the implementation of Human Rights Council resolutions S-9/1 and S-12/1</w:t>
            </w:r>
          </w:p>
        </w:tc>
      </w:tr>
    </w:tbl>
    <w:p w:rsidR="009C6977" w:rsidRPr="00437DBA" w:rsidRDefault="00613BEF" w:rsidP="00613BEF">
      <w:pPr>
        <w:pStyle w:val="H1G"/>
      </w:pPr>
      <w:r>
        <w:br w:type="page"/>
      </w:r>
      <w:r w:rsidR="009C6977" w:rsidRPr="00437DBA">
        <w:tab/>
      </w:r>
      <w:r w:rsidR="009C6977" w:rsidRPr="00437DBA">
        <w:tab/>
      </w:r>
      <w:bookmarkStart w:id="70" w:name="_Toc484690597"/>
      <w:bookmarkStart w:id="71" w:name="_Toc484792661"/>
      <w:r w:rsidR="009C6977" w:rsidRPr="00437DBA">
        <w:t>Reports by human rights treaty bodies</w:t>
      </w:r>
      <w:bookmarkEnd w:id="70"/>
      <w:bookmarkEnd w:id="71"/>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268"/>
        <w:gridCol w:w="5102"/>
      </w:tblGrid>
      <w:tr w:rsidR="009C6977" w:rsidRPr="00376F96">
        <w:trPr>
          <w:tblHeader/>
        </w:trPr>
        <w:tc>
          <w:tcPr>
            <w:tcW w:w="2268" w:type="dxa"/>
            <w:tcBorders>
              <w:top w:val="single" w:sz="4" w:space="0" w:color="auto"/>
              <w:bottom w:val="single" w:sz="12" w:space="0" w:color="auto"/>
            </w:tcBorders>
            <w:shd w:val="clear" w:color="auto" w:fill="auto"/>
            <w:vAlign w:val="bottom"/>
          </w:tcPr>
          <w:p w:rsidR="009C6977" w:rsidRPr="00376F96" w:rsidRDefault="009C6977" w:rsidP="00376F96">
            <w:pPr>
              <w:pStyle w:val="SingleTxtG"/>
              <w:spacing w:before="80" w:after="80" w:line="200" w:lineRule="exact"/>
              <w:ind w:left="0" w:right="113"/>
              <w:jc w:val="left"/>
              <w:rPr>
                <w:i/>
                <w:sz w:val="16"/>
              </w:rPr>
            </w:pPr>
            <w:r w:rsidRPr="00376F96">
              <w:rPr>
                <w:i/>
                <w:sz w:val="16"/>
              </w:rPr>
              <w:t>Symbol</w:t>
            </w:r>
          </w:p>
        </w:tc>
        <w:tc>
          <w:tcPr>
            <w:tcW w:w="5102" w:type="dxa"/>
            <w:tcBorders>
              <w:top w:val="single" w:sz="4" w:space="0" w:color="auto"/>
              <w:bottom w:val="single" w:sz="12" w:space="0" w:color="auto"/>
            </w:tcBorders>
            <w:shd w:val="clear" w:color="auto" w:fill="auto"/>
            <w:vAlign w:val="bottom"/>
          </w:tcPr>
          <w:p w:rsidR="009C6977" w:rsidRPr="00376F96" w:rsidRDefault="009C6977" w:rsidP="00376F96">
            <w:pPr>
              <w:pStyle w:val="SingleTxtG"/>
              <w:spacing w:before="80" w:after="80" w:line="200" w:lineRule="exact"/>
              <w:ind w:left="0" w:right="113"/>
              <w:jc w:val="left"/>
              <w:rPr>
                <w:i/>
                <w:sz w:val="16"/>
              </w:rPr>
            </w:pPr>
            <w:r w:rsidRPr="00376F96">
              <w:rPr>
                <w:i/>
                <w:sz w:val="16"/>
              </w:rPr>
              <w:t>Title of report</w:t>
            </w:r>
          </w:p>
        </w:tc>
      </w:tr>
      <w:tr w:rsidR="009C6977" w:rsidRPr="00376F96">
        <w:tc>
          <w:tcPr>
            <w:tcW w:w="2268" w:type="dxa"/>
            <w:tcBorders>
              <w:top w:val="single" w:sz="12" w:space="0" w:color="auto"/>
            </w:tcBorders>
            <w:shd w:val="clear" w:color="auto" w:fill="auto"/>
          </w:tcPr>
          <w:p w:rsidR="009C6977" w:rsidRPr="00376F96" w:rsidRDefault="009C6977" w:rsidP="00376F96">
            <w:pPr>
              <w:pStyle w:val="SingleTxtG"/>
              <w:spacing w:before="40" w:line="220" w:lineRule="exact"/>
              <w:ind w:left="0" w:right="113"/>
              <w:jc w:val="left"/>
            </w:pPr>
            <w:r w:rsidRPr="00376F96">
              <w:t>CAT/C/ISR/CO/4</w:t>
            </w:r>
          </w:p>
        </w:tc>
        <w:tc>
          <w:tcPr>
            <w:tcW w:w="5102" w:type="dxa"/>
            <w:tcBorders>
              <w:top w:val="single" w:sz="12" w:space="0" w:color="auto"/>
            </w:tcBorders>
            <w:shd w:val="clear" w:color="auto" w:fill="auto"/>
          </w:tcPr>
          <w:p w:rsidR="009C6977" w:rsidRPr="00376F96" w:rsidRDefault="009C6977" w:rsidP="00376F96">
            <w:pPr>
              <w:pStyle w:val="SingleTxtG"/>
              <w:spacing w:before="40" w:line="220" w:lineRule="exact"/>
              <w:ind w:left="0" w:right="113"/>
              <w:jc w:val="left"/>
            </w:pPr>
            <w:r w:rsidRPr="00376F96">
              <w:t xml:space="preserve">Consideration of reports submitted by States </w:t>
            </w:r>
            <w:r w:rsidR="0032149D" w:rsidRPr="00376F96">
              <w:t xml:space="preserve">parties </w:t>
            </w:r>
            <w:r w:rsidRPr="00376F96">
              <w:t>under article 19 of the Convention: concluding observations of the Committee against Torture</w:t>
            </w:r>
          </w:p>
        </w:tc>
      </w:tr>
      <w:tr w:rsidR="009C6977" w:rsidRPr="00376F96">
        <w:tc>
          <w:tcPr>
            <w:tcW w:w="2268" w:type="dxa"/>
            <w:shd w:val="clear" w:color="auto" w:fill="auto"/>
          </w:tcPr>
          <w:p w:rsidR="009C6977" w:rsidRPr="00376F96" w:rsidRDefault="009C6977" w:rsidP="00376F96">
            <w:pPr>
              <w:pStyle w:val="SingleTxtG"/>
              <w:spacing w:before="40" w:line="220" w:lineRule="exact"/>
              <w:ind w:left="0" w:right="113"/>
              <w:jc w:val="left"/>
            </w:pPr>
            <w:r w:rsidRPr="00376F96">
              <w:t>CRC/C/OPAC/ISR/CO/1</w:t>
            </w:r>
          </w:p>
        </w:tc>
        <w:tc>
          <w:tcPr>
            <w:tcW w:w="5102" w:type="dxa"/>
            <w:shd w:val="clear" w:color="auto" w:fill="auto"/>
          </w:tcPr>
          <w:p w:rsidR="009C6977" w:rsidRPr="00376F96" w:rsidRDefault="009C6977" w:rsidP="00376F96">
            <w:pPr>
              <w:pStyle w:val="SingleTxtG"/>
              <w:spacing w:before="40" w:line="220" w:lineRule="exact"/>
              <w:ind w:left="0" w:right="113"/>
              <w:jc w:val="left"/>
            </w:pPr>
            <w:r w:rsidRPr="00376F96">
              <w:t>Consideration of reports submitted by States parties under article 8 of the Optional Protocol to the Convention on the Rights of the Child on the involvement of children in armed conflict: concluding observations: Israel</w:t>
            </w:r>
          </w:p>
        </w:tc>
      </w:tr>
      <w:tr w:rsidR="009C6977" w:rsidRPr="00376F96">
        <w:tc>
          <w:tcPr>
            <w:tcW w:w="2268" w:type="dxa"/>
            <w:shd w:val="clear" w:color="auto" w:fill="auto"/>
          </w:tcPr>
          <w:p w:rsidR="009C6977" w:rsidRPr="00376F96" w:rsidRDefault="009C6977" w:rsidP="00376F96">
            <w:pPr>
              <w:pStyle w:val="SingleTxtG"/>
              <w:spacing w:before="40" w:line="220" w:lineRule="exact"/>
              <w:ind w:left="0" w:right="113"/>
              <w:jc w:val="left"/>
            </w:pPr>
            <w:r w:rsidRPr="00376F96">
              <w:t>CCPR/C/ISR/CO/3</w:t>
            </w:r>
          </w:p>
        </w:tc>
        <w:tc>
          <w:tcPr>
            <w:tcW w:w="5102" w:type="dxa"/>
            <w:shd w:val="clear" w:color="auto" w:fill="auto"/>
          </w:tcPr>
          <w:p w:rsidR="009C6977" w:rsidRPr="00376F96" w:rsidRDefault="009C6977" w:rsidP="00376F96">
            <w:pPr>
              <w:pStyle w:val="SingleTxtG"/>
              <w:spacing w:before="40" w:line="220" w:lineRule="exact"/>
              <w:ind w:left="0" w:right="113"/>
              <w:jc w:val="left"/>
            </w:pPr>
            <w:r w:rsidRPr="00376F96">
              <w:t>Consideration of reports submitted by States parties under article 40 of the Covenant: concluding observations of the Human Rights Committee: Israel</w:t>
            </w:r>
          </w:p>
        </w:tc>
      </w:tr>
      <w:tr w:rsidR="009C6977" w:rsidRPr="00376F96">
        <w:tc>
          <w:tcPr>
            <w:tcW w:w="2268" w:type="dxa"/>
            <w:shd w:val="clear" w:color="auto" w:fill="auto"/>
          </w:tcPr>
          <w:p w:rsidR="009C6977" w:rsidRPr="00376F96" w:rsidRDefault="009C6977" w:rsidP="00376F96">
            <w:pPr>
              <w:pStyle w:val="SingleTxtG"/>
              <w:spacing w:before="40" w:line="220" w:lineRule="exact"/>
              <w:ind w:left="0" w:right="113"/>
              <w:jc w:val="left"/>
            </w:pPr>
            <w:r w:rsidRPr="00376F96">
              <w:t>CEDAW/C/ISR/CO/5</w:t>
            </w:r>
          </w:p>
        </w:tc>
        <w:tc>
          <w:tcPr>
            <w:tcW w:w="5102" w:type="dxa"/>
            <w:shd w:val="clear" w:color="auto" w:fill="auto"/>
          </w:tcPr>
          <w:p w:rsidR="009C6977" w:rsidRPr="00376F96" w:rsidRDefault="009C6977" w:rsidP="00376F96">
            <w:pPr>
              <w:pStyle w:val="SingleTxtG"/>
              <w:spacing w:before="40" w:line="220" w:lineRule="exact"/>
              <w:ind w:left="0" w:right="113"/>
              <w:jc w:val="left"/>
            </w:pPr>
            <w:r w:rsidRPr="00376F96">
              <w:t>Concluding observations of the Committee on the Elimination of Discrimination against Women: Israel</w:t>
            </w:r>
          </w:p>
        </w:tc>
      </w:tr>
      <w:tr w:rsidR="009C6977" w:rsidRPr="00376F96">
        <w:tc>
          <w:tcPr>
            <w:tcW w:w="2268" w:type="dxa"/>
            <w:shd w:val="clear" w:color="auto" w:fill="auto"/>
          </w:tcPr>
          <w:p w:rsidR="009C6977" w:rsidRPr="00376F96" w:rsidRDefault="009C6977" w:rsidP="00376F96">
            <w:pPr>
              <w:pStyle w:val="SingleTxtG"/>
              <w:spacing w:before="40" w:line="220" w:lineRule="exact"/>
              <w:ind w:left="0" w:right="113"/>
              <w:jc w:val="left"/>
            </w:pPr>
            <w:r w:rsidRPr="00376F96">
              <w:t>E/C.12/ISR/CO/3</w:t>
            </w:r>
          </w:p>
        </w:tc>
        <w:tc>
          <w:tcPr>
            <w:tcW w:w="5102" w:type="dxa"/>
            <w:shd w:val="clear" w:color="auto" w:fill="auto"/>
          </w:tcPr>
          <w:p w:rsidR="009C6977" w:rsidRPr="00376F96" w:rsidRDefault="009C6977" w:rsidP="00376F96">
            <w:pPr>
              <w:pStyle w:val="SingleTxtG"/>
              <w:spacing w:before="40" w:line="220" w:lineRule="exact"/>
              <w:ind w:left="0" w:right="113"/>
              <w:jc w:val="left"/>
            </w:pPr>
            <w:r w:rsidRPr="00376F96">
              <w:t>Consideration of reports submitted by States parties under articles 16 and 17 of the Covenant: concluding observations of the Committee on Economic, Social and Cultural Rights: Israel</w:t>
            </w:r>
          </w:p>
        </w:tc>
      </w:tr>
      <w:tr w:rsidR="009C6977" w:rsidRPr="00376F96">
        <w:tc>
          <w:tcPr>
            <w:tcW w:w="2268" w:type="dxa"/>
            <w:shd w:val="clear" w:color="auto" w:fill="auto"/>
          </w:tcPr>
          <w:p w:rsidR="009C6977" w:rsidRPr="00376F96" w:rsidRDefault="009C6977" w:rsidP="00376F96">
            <w:pPr>
              <w:pStyle w:val="SingleTxtG"/>
              <w:spacing w:before="40" w:line="220" w:lineRule="exact"/>
              <w:ind w:left="0" w:right="113"/>
              <w:jc w:val="left"/>
            </w:pPr>
            <w:r w:rsidRPr="00376F96">
              <w:t>CERD/C/ISR/CO/14-16</w:t>
            </w:r>
          </w:p>
        </w:tc>
        <w:tc>
          <w:tcPr>
            <w:tcW w:w="5102" w:type="dxa"/>
            <w:shd w:val="clear" w:color="auto" w:fill="auto"/>
          </w:tcPr>
          <w:p w:rsidR="009C6977" w:rsidRPr="00376F96" w:rsidRDefault="009C6977" w:rsidP="00376F96">
            <w:pPr>
              <w:pStyle w:val="SingleTxtG"/>
              <w:spacing w:before="40" w:line="220" w:lineRule="exact"/>
              <w:ind w:left="0" w:right="113"/>
              <w:jc w:val="left"/>
            </w:pPr>
            <w:r w:rsidRPr="00376F96">
              <w:t xml:space="preserve">Consideration of reports submitted by States parties under article 9 of the Convention: concluding observations of the Committee on the Elimination of Racial Discrimination: Israel </w:t>
            </w:r>
          </w:p>
        </w:tc>
      </w:tr>
      <w:tr w:rsidR="009C6977" w:rsidRPr="00376F96">
        <w:tc>
          <w:tcPr>
            <w:tcW w:w="2268" w:type="dxa"/>
            <w:shd w:val="clear" w:color="auto" w:fill="auto"/>
          </w:tcPr>
          <w:p w:rsidR="009C6977" w:rsidRPr="00376F96" w:rsidRDefault="009C6977" w:rsidP="00376F96">
            <w:pPr>
              <w:pStyle w:val="SingleTxtG"/>
              <w:spacing w:before="40" w:line="220" w:lineRule="exact"/>
              <w:ind w:left="0" w:right="113"/>
              <w:jc w:val="left"/>
            </w:pPr>
            <w:r w:rsidRPr="00376F96">
              <w:t>CRC/C/ISR/CO/2-4</w:t>
            </w:r>
          </w:p>
        </w:tc>
        <w:tc>
          <w:tcPr>
            <w:tcW w:w="5102" w:type="dxa"/>
            <w:shd w:val="clear" w:color="auto" w:fill="auto"/>
          </w:tcPr>
          <w:p w:rsidR="009C6977" w:rsidRPr="00376F96" w:rsidRDefault="009C6977" w:rsidP="007040E9">
            <w:pPr>
              <w:pStyle w:val="SingleTxtG"/>
              <w:spacing w:before="40" w:line="220" w:lineRule="exact"/>
              <w:ind w:left="0" w:right="113"/>
              <w:jc w:val="left"/>
            </w:pPr>
            <w:r w:rsidRPr="00376F96">
              <w:t>Concluding observations on the second to fourth periodic reports of Israel, adopted by the Committee at its sixty-third session (27 May</w:t>
            </w:r>
            <w:r w:rsidR="007040E9">
              <w:t>-</w:t>
            </w:r>
            <w:r w:rsidRPr="00376F96">
              <w:t>14 June 2013)</w:t>
            </w:r>
          </w:p>
        </w:tc>
      </w:tr>
      <w:tr w:rsidR="009C6977" w:rsidRPr="00376F96">
        <w:tc>
          <w:tcPr>
            <w:tcW w:w="2268" w:type="dxa"/>
            <w:shd w:val="clear" w:color="auto" w:fill="auto"/>
          </w:tcPr>
          <w:p w:rsidR="009C6977" w:rsidRPr="00376F96" w:rsidRDefault="009C6977" w:rsidP="00376F96">
            <w:pPr>
              <w:pStyle w:val="SingleTxtG"/>
              <w:spacing w:before="40" w:line="220" w:lineRule="exact"/>
              <w:ind w:left="0" w:right="113"/>
              <w:jc w:val="left"/>
            </w:pPr>
            <w:r w:rsidRPr="00376F96">
              <w:t>CCPR/C/ISR/CO/4</w:t>
            </w:r>
          </w:p>
        </w:tc>
        <w:tc>
          <w:tcPr>
            <w:tcW w:w="5102" w:type="dxa"/>
            <w:shd w:val="clear" w:color="auto" w:fill="auto"/>
          </w:tcPr>
          <w:p w:rsidR="009C6977" w:rsidRPr="00376F96" w:rsidRDefault="009C6977" w:rsidP="00376F96">
            <w:pPr>
              <w:pStyle w:val="SingleTxtG"/>
              <w:spacing w:before="40" w:line="220" w:lineRule="exact"/>
              <w:ind w:left="0" w:right="113"/>
              <w:jc w:val="left"/>
            </w:pPr>
            <w:r w:rsidRPr="00376F96">
              <w:t>Concluding observations on the fourth periodic report of Israel</w:t>
            </w:r>
          </w:p>
        </w:tc>
      </w:tr>
      <w:tr w:rsidR="009C6977" w:rsidRPr="00376F96">
        <w:tc>
          <w:tcPr>
            <w:tcW w:w="2268" w:type="dxa"/>
            <w:shd w:val="clear" w:color="auto" w:fill="auto"/>
          </w:tcPr>
          <w:p w:rsidR="009C6977" w:rsidRPr="00376F96" w:rsidRDefault="009C6977" w:rsidP="00376F96">
            <w:pPr>
              <w:pStyle w:val="SingleTxtG"/>
              <w:spacing w:before="40" w:line="220" w:lineRule="exact"/>
              <w:ind w:left="0" w:right="113"/>
              <w:jc w:val="left"/>
            </w:pPr>
            <w:r w:rsidRPr="00376F96">
              <w:t>CRC/C/OPSC/ISR/CO/1</w:t>
            </w:r>
          </w:p>
        </w:tc>
        <w:tc>
          <w:tcPr>
            <w:tcW w:w="5102" w:type="dxa"/>
            <w:shd w:val="clear" w:color="auto" w:fill="auto"/>
          </w:tcPr>
          <w:p w:rsidR="009C6977" w:rsidRPr="00376F96" w:rsidRDefault="009C6977" w:rsidP="00376F96">
            <w:pPr>
              <w:pStyle w:val="SingleTxtG"/>
              <w:spacing w:before="40" w:line="220" w:lineRule="exact"/>
              <w:ind w:left="0" w:right="113"/>
              <w:jc w:val="left"/>
            </w:pPr>
            <w:r w:rsidRPr="00376F96">
              <w:t>Concluding observations on the report submitted by Israel under article12</w:t>
            </w:r>
            <w:r w:rsidR="00071163">
              <w:t xml:space="preserve"> </w:t>
            </w:r>
            <w:r w:rsidRPr="00376F96">
              <w:t>(1) of the Optional Protocol to the Convention on the Rights of the Child on the sale of children, child prostitution and child pornography</w:t>
            </w:r>
          </w:p>
        </w:tc>
      </w:tr>
      <w:tr w:rsidR="009C6977" w:rsidRPr="00376F96">
        <w:tc>
          <w:tcPr>
            <w:tcW w:w="2268" w:type="dxa"/>
            <w:shd w:val="clear" w:color="auto" w:fill="auto"/>
          </w:tcPr>
          <w:p w:rsidR="009C6977" w:rsidRPr="00376F96" w:rsidRDefault="009C6977" w:rsidP="00376F96">
            <w:pPr>
              <w:pStyle w:val="SingleTxtG"/>
              <w:spacing w:before="40" w:line="220" w:lineRule="exact"/>
              <w:ind w:left="0" w:right="113"/>
              <w:jc w:val="left"/>
            </w:pPr>
            <w:r w:rsidRPr="00376F96">
              <w:t>CAT/C/ISR/CO/5</w:t>
            </w:r>
          </w:p>
        </w:tc>
        <w:tc>
          <w:tcPr>
            <w:tcW w:w="5102" w:type="dxa"/>
            <w:shd w:val="clear" w:color="auto" w:fill="auto"/>
          </w:tcPr>
          <w:p w:rsidR="009C6977" w:rsidRPr="00376F96" w:rsidRDefault="009C6977" w:rsidP="00376F96">
            <w:pPr>
              <w:pStyle w:val="SingleTxtG"/>
              <w:spacing w:before="40" w:line="220" w:lineRule="exact"/>
              <w:ind w:left="0" w:right="113"/>
              <w:jc w:val="left"/>
            </w:pPr>
            <w:r w:rsidRPr="00376F96">
              <w:t>Concluding observations on the fifth periodic report of Israel</w:t>
            </w:r>
          </w:p>
        </w:tc>
      </w:tr>
    </w:tbl>
    <w:p w:rsidR="009C6977" w:rsidRPr="00437DBA" w:rsidRDefault="00376F96" w:rsidP="00376F96">
      <w:pPr>
        <w:pStyle w:val="H1G"/>
      </w:pPr>
      <w:r>
        <w:tab/>
      </w:r>
      <w:r>
        <w:tab/>
      </w:r>
      <w:bookmarkStart w:id="72" w:name="_Toc484690598"/>
      <w:bookmarkStart w:id="73" w:name="_Toc484792662"/>
      <w:r w:rsidR="009C6977" w:rsidRPr="00437DBA">
        <w:t>Universal periodic review</w:t>
      </w:r>
      <w:bookmarkEnd w:id="72"/>
      <w:bookmarkEnd w:id="73"/>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957"/>
        <w:gridCol w:w="5413"/>
      </w:tblGrid>
      <w:tr w:rsidR="009C6977" w:rsidRPr="00376F96">
        <w:trPr>
          <w:tblHeader/>
        </w:trPr>
        <w:tc>
          <w:tcPr>
            <w:tcW w:w="2458" w:type="dxa"/>
            <w:tcBorders>
              <w:top w:val="single" w:sz="4" w:space="0" w:color="auto"/>
              <w:bottom w:val="single" w:sz="12" w:space="0" w:color="auto"/>
            </w:tcBorders>
            <w:shd w:val="clear" w:color="auto" w:fill="auto"/>
            <w:vAlign w:val="bottom"/>
          </w:tcPr>
          <w:p w:rsidR="009C6977" w:rsidRPr="00376F96" w:rsidRDefault="009C6977" w:rsidP="00376F96">
            <w:pPr>
              <w:pStyle w:val="SingleTxtG"/>
              <w:spacing w:before="80" w:after="80" w:line="200" w:lineRule="exact"/>
              <w:ind w:left="0" w:right="113"/>
              <w:jc w:val="left"/>
              <w:rPr>
                <w:i/>
                <w:sz w:val="16"/>
              </w:rPr>
            </w:pPr>
            <w:r w:rsidRPr="00376F96">
              <w:rPr>
                <w:i/>
                <w:sz w:val="16"/>
              </w:rPr>
              <w:t>Symbol</w:t>
            </w:r>
          </w:p>
        </w:tc>
        <w:tc>
          <w:tcPr>
            <w:tcW w:w="6808" w:type="dxa"/>
            <w:tcBorders>
              <w:top w:val="single" w:sz="4" w:space="0" w:color="auto"/>
              <w:bottom w:val="single" w:sz="12" w:space="0" w:color="auto"/>
            </w:tcBorders>
            <w:shd w:val="clear" w:color="auto" w:fill="auto"/>
            <w:vAlign w:val="bottom"/>
          </w:tcPr>
          <w:p w:rsidR="009C6977" w:rsidRPr="00376F96" w:rsidRDefault="009C6977" w:rsidP="005468DC">
            <w:pPr>
              <w:pStyle w:val="SingleTxtG"/>
              <w:spacing w:before="80" w:after="80" w:line="200" w:lineRule="exact"/>
              <w:ind w:left="0" w:right="113"/>
              <w:jc w:val="left"/>
              <w:rPr>
                <w:i/>
                <w:sz w:val="16"/>
              </w:rPr>
            </w:pPr>
            <w:r w:rsidRPr="00376F96">
              <w:rPr>
                <w:i/>
                <w:sz w:val="16"/>
              </w:rPr>
              <w:t>Title of report</w:t>
            </w:r>
          </w:p>
        </w:tc>
      </w:tr>
      <w:tr w:rsidR="009C6977" w:rsidRPr="00376F96">
        <w:tc>
          <w:tcPr>
            <w:tcW w:w="2458" w:type="dxa"/>
            <w:tcBorders>
              <w:top w:val="single" w:sz="12" w:space="0" w:color="auto"/>
            </w:tcBorders>
            <w:shd w:val="clear" w:color="auto" w:fill="auto"/>
          </w:tcPr>
          <w:p w:rsidR="009C6977" w:rsidRPr="00376F96" w:rsidRDefault="009C6977" w:rsidP="00376F96">
            <w:pPr>
              <w:pStyle w:val="SingleTxtG"/>
              <w:spacing w:before="40" w:line="220" w:lineRule="exact"/>
              <w:ind w:left="0" w:right="113"/>
              <w:jc w:val="left"/>
            </w:pPr>
            <w:r w:rsidRPr="00376F96">
              <w:t>A/HRC/10/76</w:t>
            </w:r>
          </w:p>
        </w:tc>
        <w:tc>
          <w:tcPr>
            <w:tcW w:w="6808" w:type="dxa"/>
            <w:tcBorders>
              <w:top w:val="single" w:sz="12" w:space="0" w:color="auto"/>
            </w:tcBorders>
            <w:shd w:val="clear" w:color="auto" w:fill="auto"/>
          </w:tcPr>
          <w:p w:rsidR="009C6977" w:rsidRPr="00376F96" w:rsidRDefault="009C6977" w:rsidP="00376F96">
            <w:pPr>
              <w:pStyle w:val="SingleTxtG"/>
              <w:spacing w:before="40" w:line="220" w:lineRule="exact"/>
              <w:ind w:left="0" w:right="113"/>
              <w:jc w:val="left"/>
            </w:pPr>
            <w:r w:rsidRPr="00376F96">
              <w:t>Report of the Working Group on the Universal Periodic Review: Israel</w:t>
            </w:r>
          </w:p>
        </w:tc>
      </w:tr>
      <w:tr w:rsidR="009C6977" w:rsidRPr="00376F96">
        <w:tc>
          <w:tcPr>
            <w:tcW w:w="2458" w:type="dxa"/>
            <w:shd w:val="clear" w:color="auto" w:fill="auto"/>
          </w:tcPr>
          <w:p w:rsidR="009C6977" w:rsidRPr="00376F96" w:rsidRDefault="009C6977" w:rsidP="00376F96">
            <w:pPr>
              <w:pStyle w:val="SingleTxtG"/>
              <w:spacing w:before="40" w:line="220" w:lineRule="exact"/>
              <w:ind w:left="0" w:right="113"/>
              <w:jc w:val="left"/>
            </w:pPr>
            <w:r w:rsidRPr="00376F96">
              <w:t>A/HRC/25/15</w:t>
            </w:r>
          </w:p>
        </w:tc>
        <w:tc>
          <w:tcPr>
            <w:tcW w:w="6808" w:type="dxa"/>
            <w:shd w:val="clear" w:color="auto" w:fill="auto"/>
          </w:tcPr>
          <w:p w:rsidR="009C6977" w:rsidRPr="00376F96" w:rsidRDefault="009C6977" w:rsidP="00376F96">
            <w:pPr>
              <w:pStyle w:val="SingleTxtG"/>
              <w:spacing w:before="40" w:line="220" w:lineRule="exact"/>
              <w:ind w:left="0" w:right="113"/>
              <w:jc w:val="left"/>
            </w:pPr>
            <w:r w:rsidRPr="00376F96">
              <w:t>Report of the Working Group on the Universal Periodic Review: Israel</w:t>
            </w:r>
          </w:p>
        </w:tc>
      </w:tr>
    </w:tbl>
    <w:p w:rsidR="00632253" w:rsidRDefault="00376F96">
      <w:pPr>
        <w:spacing w:before="240"/>
        <w:jc w:val="center"/>
        <w:rPr>
          <w:u w:val="single"/>
        </w:rPr>
      </w:pPr>
      <w:r>
        <w:rPr>
          <w:u w:val="single"/>
        </w:rPr>
        <w:tab/>
      </w:r>
      <w:r>
        <w:rPr>
          <w:u w:val="single"/>
        </w:rPr>
        <w:tab/>
      </w:r>
      <w:r>
        <w:rPr>
          <w:u w:val="single"/>
        </w:rPr>
        <w:tab/>
      </w:r>
    </w:p>
    <w:sectPr w:rsidR="00632253" w:rsidSect="00376F96">
      <w:footnotePr>
        <w:numFmt w:val="lowerLette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EE" w:rsidRPr="00C47B2E" w:rsidRDefault="002C48EE" w:rsidP="00C47B2E">
      <w:pPr>
        <w:pStyle w:val="Footer"/>
      </w:pPr>
    </w:p>
  </w:endnote>
  <w:endnote w:type="continuationSeparator" w:id="0">
    <w:p w:rsidR="002C48EE" w:rsidRPr="00C47B2E" w:rsidRDefault="002C48EE" w:rsidP="00C47B2E">
      <w:pPr>
        <w:pStyle w:val="Footer"/>
      </w:pPr>
    </w:p>
  </w:endnote>
  <w:endnote w:type="continuationNotice" w:id="1">
    <w:p w:rsidR="002C48EE" w:rsidRPr="00C47B2E" w:rsidRDefault="002C48E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EE" w:rsidRPr="002568F4" w:rsidRDefault="00770675" w:rsidP="002568F4">
    <w:pPr>
      <w:pStyle w:val="Footer"/>
      <w:tabs>
        <w:tab w:val="right" w:pos="9598"/>
      </w:tabs>
    </w:pPr>
    <w:r>
      <w:fldChar w:fldCharType="begin"/>
    </w:r>
    <w:r>
      <w:instrText xml:space="preserve"> PAGE  \* MERGEFORMAT </w:instrText>
    </w:r>
    <w:r>
      <w:fldChar w:fldCharType="separate"/>
    </w:r>
    <w:r w:rsidR="00D771D1" w:rsidRPr="00D771D1">
      <w:rPr>
        <w:b/>
        <w:noProof/>
        <w:sz w:val="18"/>
      </w:rPr>
      <w:t>26</w:t>
    </w:r>
    <w:r>
      <w:rPr>
        <w:b/>
        <w:noProof/>
        <w:sz w:val="18"/>
      </w:rPr>
      <w:fldChar w:fldCharType="end"/>
    </w:r>
    <w:r w:rsidR="002C48EE">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EE" w:rsidRPr="002568F4" w:rsidRDefault="002C48EE" w:rsidP="002568F4">
    <w:pPr>
      <w:pStyle w:val="Footer"/>
      <w:tabs>
        <w:tab w:val="right" w:pos="9598"/>
      </w:tabs>
      <w:rPr>
        <w:b/>
        <w:sz w:val="18"/>
      </w:rPr>
    </w:pPr>
    <w:r>
      <w:tab/>
    </w:r>
    <w:r w:rsidR="00770675">
      <w:fldChar w:fldCharType="begin"/>
    </w:r>
    <w:r w:rsidR="00770675">
      <w:instrText xml:space="preserve"> PAGE  \* MERGEFORMAT </w:instrText>
    </w:r>
    <w:r w:rsidR="00770675">
      <w:fldChar w:fldCharType="separate"/>
    </w:r>
    <w:r w:rsidR="00D771D1" w:rsidRPr="00D771D1">
      <w:rPr>
        <w:b/>
        <w:noProof/>
        <w:sz w:val="18"/>
      </w:rPr>
      <w:t>25</w:t>
    </w:r>
    <w:r w:rsidR="00770675">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EE" w:rsidRPr="00C47B2E" w:rsidRDefault="002C48EE" w:rsidP="00C47B2E">
      <w:pPr>
        <w:tabs>
          <w:tab w:val="right" w:pos="2155"/>
        </w:tabs>
        <w:spacing w:after="80"/>
        <w:ind w:left="680"/>
      </w:pPr>
      <w:r>
        <w:rPr>
          <w:u w:val="single"/>
        </w:rPr>
        <w:tab/>
      </w:r>
    </w:p>
  </w:footnote>
  <w:footnote w:type="continuationSeparator" w:id="0">
    <w:p w:rsidR="002C48EE" w:rsidRPr="00C47B2E" w:rsidRDefault="002C48EE" w:rsidP="005E716E">
      <w:pPr>
        <w:tabs>
          <w:tab w:val="right" w:pos="2155"/>
        </w:tabs>
        <w:spacing w:after="80"/>
        <w:ind w:left="680"/>
      </w:pPr>
      <w:r>
        <w:rPr>
          <w:u w:val="single"/>
        </w:rPr>
        <w:tab/>
      </w:r>
    </w:p>
  </w:footnote>
  <w:footnote w:type="continuationNotice" w:id="1">
    <w:p w:rsidR="002C48EE" w:rsidRPr="00C47B2E" w:rsidRDefault="002C48EE" w:rsidP="00C47B2E">
      <w:pPr>
        <w:pStyle w:val="Footer"/>
      </w:pPr>
    </w:p>
  </w:footnote>
  <w:footnote w:id="2">
    <w:p w:rsidR="002C48EE" w:rsidRPr="000A63E7" w:rsidRDefault="002C48EE" w:rsidP="00D92CFD">
      <w:pPr>
        <w:pStyle w:val="FootnoteText"/>
        <w:kinsoku w:val="0"/>
        <w:overflowPunct w:val="0"/>
        <w:autoSpaceDE w:val="0"/>
        <w:autoSpaceDN w:val="0"/>
        <w:adjustRightInd w:val="0"/>
        <w:snapToGrid w:val="0"/>
      </w:pPr>
      <w:r>
        <w:tab/>
      </w:r>
      <w:r w:rsidRPr="00E309BD">
        <w:rPr>
          <w:sz w:val="20"/>
        </w:rPr>
        <w:t>*</w:t>
      </w:r>
      <w:r>
        <w:tab/>
      </w:r>
      <w:r w:rsidRPr="000A63E7">
        <w:t>The report was submitted after the deadline in order to reflect the most recent developments.</w:t>
      </w:r>
    </w:p>
  </w:footnote>
  <w:footnote w:id="3">
    <w:p w:rsidR="002C48EE" w:rsidRPr="000A63E7" w:rsidRDefault="002C48EE" w:rsidP="00D92CFD">
      <w:pPr>
        <w:pStyle w:val="FootnoteText"/>
        <w:kinsoku w:val="0"/>
        <w:overflowPunct w:val="0"/>
        <w:autoSpaceDE w:val="0"/>
        <w:autoSpaceDN w:val="0"/>
        <w:adjustRightInd w:val="0"/>
        <w:snapToGrid w:val="0"/>
      </w:pPr>
      <w:r>
        <w:tab/>
      </w:r>
      <w:r w:rsidRPr="00E309BD">
        <w:rPr>
          <w:sz w:val="20"/>
        </w:rPr>
        <w:t>**</w:t>
      </w:r>
      <w:r w:rsidRPr="00AD19A9">
        <w:t xml:space="preserve"> </w:t>
      </w:r>
      <w:r w:rsidRPr="00AD19A9">
        <w:tab/>
        <w:t xml:space="preserve">The annex to the report is </w:t>
      </w:r>
      <w:r w:rsidRPr="00E03ABF">
        <w:t>being circulated</w:t>
      </w:r>
      <w:r w:rsidR="00024E63">
        <w:t xml:space="preserve"> as received</w:t>
      </w:r>
      <w:r w:rsidR="00936B45">
        <w:t>.</w:t>
      </w:r>
    </w:p>
  </w:footnote>
  <w:footnote w:id="4">
    <w:p w:rsidR="002C48EE" w:rsidRPr="00DA51DA" w:rsidRDefault="002C48EE" w:rsidP="00C51318">
      <w:pPr>
        <w:pStyle w:val="FootnoteText"/>
      </w:pPr>
      <w:r>
        <w:tab/>
      </w:r>
      <w:r w:rsidRPr="009C6977">
        <w:rPr>
          <w:rStyle w:val="FootnoteReference"/>
        </w:rPr>
        <w:footnoteRef/>
      </w:r>
      <w:r>
        <w:tab/>
      </w:r>
      <w:proofErr w:type="gramStart"/>
      <w:r w:rsidRPr="001479FA">
        <w:t xml:space="preserve">Includes the Palestinian </w:t>
      </w:r>
      <w:r w:rsidRPr="00C51318">
        <w:t>National</w:t>
      </w:r>
      <w:r>
        <w:t xml:space="preserve"> A</w:t>
      </w:r>
      <w:r w:rsidRPr="001479FA">
        <w:t>uthority and the</w:t>
      </w:r>
      <w:r w:rsidRPr="00003DDA">
        <w:t xml:space="preserve"> Gaza authorities</w:t>
      </w:r>
      <w:r>
        <w:t>.</w:t>
      </w:r>
      <w:proofErr w:type="gramEnd"/>
      <w:r w:rsidRPr="00DA51DA">
        <w:t xml:space="preserve"> </w:t>
      </w:r>
    </w:p>
  </w:footnote>
  <w:footnote w:id="5">
    <w:p w:rsidR="002C48EE" w:rsidRPr="00C51318" w:rsidRDefault="002C48EE" w:rsidP="00C51318">
      <w:pPr>
        <w:pStyle w:val="FootnoteText"/>
      </w:pPr>
      <w:r>
        <w:tab/>
      </w:r>
      <w:r w:rsidRPr="009C6977">
        <w:rPr>
          <w:rStyle w:val="FootnoteReference"/>
        </w:rPr>
        <w:footnoteRef/>
      </w:r>
      <w:r>
        <w:tab/>
      </w:r>
      <w:r w:rsidRPr="006A266D">
        <w:t>See A/ES-10/273, para. 88.</w:t>
      </w:r>
    </w:p>
  </w:footnote>
  <w:footnote w:id="6">
    <w:p w:rsidR="002C48EE" w:rsidRPr="00DA51DA" w:rsidRDefault="002C48EE" w:rsidP="00C51318">
      <w:pPr>
        <w:pStyle w:val="FootnoteText"/>
      </w:pPr>
      <w:r>
        <w:tab/>
      </w:r>
      <w:r w:rsidRPr="009C6977">
        <w:rPr>
          <w:rStyle w:val="FootnoteReference"/>
        </w:rPr>
        <w:footnoteRef/>
      </w:r>
      <w:r>
        <w:tab/>
      </w:r>
      <w:r w:rsidRPr="006A266D">
        <w:t>See General Assembly resolution 2625 (XXV), annex.</w:t>
      </w:r>
    </w:p>
  </w:footnote>
  <w:footnote w:id="7">
    <w:p w:rsidR="002C48EE" w:rsidRPr="00DA51DA" w:rsidRDefault="002C48EE" w:rsidP="00C51318">
      <w:pPr>
        <w:pStyle w:val="FootnoteText"/>
      </w:pPr>
      <w:r>
        <w:tab/>
      </w:r>
      <w:r w:rsidRPr="009C6977">
        <w:rPr>
          <w:rStyle w:val="FootnoteReference"/>
        </w:rPr>
        <w:footnoteRef/>
      </w:r>
      <w:r>
        <w:tab/>
      </w:r>
      <w:proofErr w:type="gramStart"/>
      <w:r w:rsidRPr="006A266D">
        <w:t xml:space="preserve">In </w:t>
      </w:r>
      <w:r w:rsidRPr="00E03ABF">
        <w:t>A/ES-10/273</w:t>
      </w:r>
      <w:r w:rsidRPr="006A266D">
        <w:t>, para.</w:t>
      </w:r>
      <w:proofErr w:type="gramEnd"/>
      <w:r w:rsidRPr="006A266D">
        <w:t xml:space="preserve"> 111, the Court confirms the applicability of the International Covenant on Civil and Political Rights in respect of acts</w:t>
      </w:r>
      <w:r>
        <w:t xml:space="preserve"> done by a State</w:t>
      </w:r>
      <w:r w:rsidRPr="001479FA">
        <w:t xml:space="preserve"> in th</w:t>
      </w:r>
      <w:r w:rsidRPr="006A266D">
        <w:t>e exercise of its jurisdiction outside its own territory.</w:t>
      </w:r>
    </w:p>
  </w:footnote>
  <w:footnote w:id="8">
    <w:p w:rsidR="002C48EE" w:rsidRPr="00DA51DA" w:rsidRDefault="002C48EE" w:rsidP="00C51318">
      <w:pPr>
        <w:pStyle w:val="FootnoteText"/>
      </w:pPr>
      <w:r>
        <w:tab/>
      </w:r>
      <w:r w:rsidRPr="009C6977">
        <w:rPr>
          <w:rStyle w:val="FootnoteReference"/>
        </w:rPr>
        <w:footnoteRef/>
      </w:r>
      <w:r>
        <w:tab/>
      </w:r>
      <w:r w:rsidRPr="00F1160E">
        <w:t>See A/ES-10/273, para. 88.</w:t>
      </w:r>
    </w:p>
  </w:footnote>
  <w:footnote w:id="9">
    <w:p w:rsidR="002C48EE" w:rsidRPr="006A266D" w:rsidRDefault="002C48EE" w:rsidP="00C51318">
      <w:pPr>
        <w:pStyle w:val="FootnoteText"/>
      </w:pPr>
      <w:r>
        <w:tab/>
      </w:r>
      <w:r w:rsidRPr="009C6977">
        <w:rPr>
          <w:rStyle w:val="FootnoteReference"/>
        </w:rPr>
        <w:footnoteRef/>
      </w:r>
      <w:r>
        <w:tab/>
      </w:r>
      <w:r w:rsidRPr="006A266D">
        <w:t>See the annex to the present report for the full list of reports reviewed. The resolution did not encompass the reports of the Special Committee to Investigate Israeli Practices Affecting the Human Rights of the Palestinian People and Other Arabs of the Occupied Territories, nor the 2009 and 2014 boards of inquiry established by the Secretary-General.</w:t>
      </w:r>
    </w:p>
  </w:footnote>
  <w:footnote w:id="10">
    <w:p w:rsidR="002C48EE" w:rsidRPr="00DA51DA" w:rsidRDefault="002C48EE" w:rsidP="00C51318">
      <w:pPr>
        <w:pStyle w:val="FootnoteText"/>
      </w:pPr>
      <w:r>
        <w:tab/>
      </w:r>
      <w:r w:rsidRPr="009C6977">
        <w:rPr>
          <w:rStyle w:val="FootnoteReference"/>
        </w:rPr>
        <w:footnoteRef/>
      </w:r>
      <w:r>
        <w:tab/>
      </w:r>
      <w:r w:rsidRPr="006A266D">
        <w:t xml:space="preserve">See </w:t>
      </w:r>
      <w:r w:rsidRPr="006A266D">
        <w:rPr>
          <w:rFonts w:eastAsia="Calibri"/>
        </w:rPr>
        <w:t>A/HRC/10/76 and A/HRC/25/15.</w:t>
      </w:r>
    </w:p>
  </w:footnote>
  <w:footnote w:id="11">
    <w:p w:rsidR="002C48EE" w:rsidRPr="006A266D" w:rsidRDefault="002C48EE" w:rsidP="00C51318">
      <w:pPr>
        <w:pStyle w:val="FootnoteText"/>
      </w:pPr>
      <w:r>
        <w:tab/>
      </w:r>
      <w:r w:rsidRPr="009C6977">
        <w:rPr>
          <w:rStyle w:val="FootnoteReference"/>
        </w:rPr>
        <w:footnoteRef/>
      </w:r>
      <w:r>
        <w:tab/>
        <w:t xml:space="preserve">The State of </w:t>
      </w:r>
      <w:r w:rsidRPr="001479FA">
        <w:t>Palestine</w:t>
      </w:r>
      <w:r w:rsidRPr="00003DDA">
        <w:t xml:space="preserve"> </w:t>
      </w:r>
      <w:r w:rsidRPr="006A266D">
        <w:t xml:space="preserve">has not undergone the universal periodic review process as it holds non-member observer State status in the United Nations (see </w:t>
      </w:r>
      <w:r w:rsidRPr="00E03ABF">
        <w:t xml:space="preserve">General Assembly resolution </w:t>
      </w:r>
      <w:r w:rsidRPr="006A266D">
        <w:t>67/19).</w:t>
      </w:r>
    </w:p>
  </w:footnote>
  <w:footnote w:id="12">
    <w:p w:rsidR="002C48EE" w:rsidRPr="006A266D" w:rsidRDefault="002C48EE" w:rsidP="00C51318">
      <w:pPr>
        <w:pStyle w:val="FootnoteText"/>
      </w:pPr>
      <w:r>
        <w:tab/>
      </w:r>
      <w:r w:rsidRPr="009C6977">
        <w:rPr>
          <w:rStyle w:val="FootnoteReference"/>
        </w:rPr>
        <w:footnoteRef/>
      </w:r>
      <w:r>
        <w:tab/>
      </w:r>
      <w:r w:rsidRPr="006A266D">
        <w:t>For instance, the Special Rapporteur on the situation of human rights in the Palestinian territories occupied since 1967.</w:t>
      </w:r>
    </w:p>
  </w:footnote>
  <w:footnote w:id="13">
    <w:p w:rsidR="002C48EE" w:rsidRPr="006A266D" w:rsidRDefault="002C48EE" w:rsidP="00C51318">
      <w:pPr>
        <w:pStyle w:val="FootnoteText"/>
      </w:pPr>
      <w:r>
        <w:tab/>
      </w:r>
      <w:r w:rsidRPr="009C6977">
        <w:rPr>
          <w:rStyle w:val="FootnoteReference"/>
        </w:rPr>
        <w:footnoteRef/>
      </w:r>
      <w:r>
        <w:tab/>
      </w:r>
      <w:r w:rsidRPr="006A266D">
        <w:t>Up until 30 March 2017.</w:t>
      </w:r>
    </w:p>
  </w:footnote>
  <w:footnote w:id="14">
    <w:p w:rsidR="002C48EE" w:rsidRPr="006A266D" w:rsidRDefault="002C48EE" w:rsidP="00C51318">
      <w:pPr>
        <w:pStyle w:val="FootnoteText"/>
      </w:pPr>
      <w:r>
        <w:rPr>
          <w:vertAlign w:val="superscript"/>
        </w:rPr>
        <w:tab/>
      </w:r>
      <w:r w:rsidRPr="009C6977">
        <w:rPr>
          <w:rStyle w:val="FootnoteReference"/>
        </w:rPr>
        <w:footnoteRef/>
      </w:r>
      <w:r>
        <w:rPr>
          <w:vertAlign w:val="superscript"/>
        </w:rPr>
        <w:tab/>
      </w:r>
      <w:r w:rsidRPr="006A266D">
        <w:t xml:space="preserve">Implemented: signifies that the necessary action has been taken to implement the recommendation and, where applicable, the violations or abuses have ceased. </w:t>
      </w:r>
    </w:p>
    <w:p w:rsidR="002C48EE" w:rsidRPr="006A266D" w:rsidRDefault="002C48EE" w:rsidP="00C51318">
      <w:pPr>
        <w:pStyle w:val="FootnoteText"/>
        <w:spacing w:before="60"/>
      </w:pPr>
      <w:r>
        <w:tab/>
      </w:r>
      <w:r>
        <w:tab/>
      </w:r>
      <w:proofErr w:type="gramStart"/>
      <w:r w:rsidRPr="006A266D">
        <w:t>Partially implemented: signifies that some relevant action aimed at implementing the recommendation has been taken or is ongoing, but that the recommendation has not been fully realized and, in some cases, the violations or abuses have not ceased.</w:t>
      </w:r>
      <w:proofErr w:type="gramEnd"/>
    </w:p>
    <w:p w:rsidR="002C48EE" w:rsidRPr="006A266D" w:rsidRDefault="002C48EE" w:rsidP="00C51318">
      <w:pPr>
        <w:pStyle w:val="FootnoteText"/>
        <w:spacing w:before="60"/>
      </w:pPr>
      <w:r>
        <w:tab/>
      </w:r>
      <w:r>
        <w:tab/>
      </w:r>
      <w:r w:rsidRPr="006A266D">
        <w:t>Not implemented: signifies that no meaningful action or insufficient action has been taken to implement the recommendation, and may also refer to situations where measures were directly counterproductive to the implementation of the recommendations.</w:t>
      </w:r>
    </w:p>
    <w:p w:rsidR="002C48EE" w:rsidRPr="006A266D" w:rsidRDefault="002C48EE" w:rsidP="00C51318">
      <w:pPr>
        <w:pStyle w:val="FootnoteText"/>
        <w:spacing w:before="60"/>
      </w:pPr>
      <w:r>
        <w:tab/>
      </w:r>
      <w:r>
        <w:tab/>
      </w:r>
      <w:r w:rsidRPr="006A266D">
        <w:t>Closed or no longer applicable: refers to recommendations that are no longer relevant because the situation has changed.</w:t>
      </w:r>
    </w:p>
    <w:p w:rsidR="002C48EE" w:rsidRPr="00DA51DA" w:rsidRDefault="002C48EE" w:rsidP="00C51318">
      <w:pPr>
        <w:pStyle w:val="FootnoteText"/>
        <w:spacing w:before="60"/>
      </w:pPr>
      <w:r>
        <w:tab/>
      </w:r>
      <w:r>
        <w:tab/>
      </w:r>
      <w:r w:rsidRPr="006A266D">
        <w:t>Insufficient information: refers to the inability to make a determination due to inadequate or conflicting information available. It may also refer to recommendations that are so broadly stated as to render the question of their status of implementation open to interpretation and unsuitable for a firm and objective determination.</w:t>
      </w:r>
      <w:r w:rsidRPr="00DA51DA">
        <w:t xml:space="preserve"> </w:t>
      </w:r>
    </w:p>
  </w:footnote>
  <w:footnote w:id="15">
    <w:p w:rsidR="002C48EE" w:rsidRPr="00C74743" w:rsidRDefault="002C48EE" w:rsidP="00C74743">
      <w:pPr>
        <w:pStyle w:val="FootnoteText"/>
      </w:pPr>
      <w:r w:rsidRPr="00C74743">
        <w:tab/>
      </w:r>
      <w:r w:rsidRPr="00C74743">
        <w:rPr>
          <w:rStyle w:val="FootnoteReference"/>
        </w:rPr>
        <w:footnoteRef/>
      </w:r>
      <w:r w:rsidRPr="00C74743">
        <w:tab/>
        <w:t>Does not include</w:t>
      </w:r>
      <w:r w:rsidRPr="00C74743">
        <w:rPr>
          <w:rStyle w:val="FootnoteReference"/>
          <w:vertAlign w:val="baseline"/>
        </w:rPr>
        <w:t xml:space="preserve"> </w:t>
      </w:r>
      <w:r w:rsidRPr="00C74743">
        <w:t>u</w:t>
      </w:r>
      <w:r w:rsidRPr="00C74743">
        <w:rPr>
          <w:rStyle w:val="FootnoteReference"/>
          <w:vertAlign w:val="baseline"/>
        </w:rPr>
        <w:t xml:space="preserve">niversal </w:t>
      </w:r>
      <w:r w:rsidRPr="00C74743">
        <w:t>p</w:t>
      </w:r>
      <w:r w:rsidRPr="00C74743">
        <w:rPr>
          <w:rStyle w:val="FootnoteReference"/>
          <w:vertAlign w:val="baseline"/>
        </w:rPr>
        <w:t xml:space="preserve">eriodic </w:t>
      </w:r>
      <w:r w:rsidRPr="00C74743">
        <w:t>r</w:t>
      </w:r>
      <w:r w:rsidRPr="00C74743">
        <w:rPr>
          <w:rStyle w:val="FootnoteReference"/>
          <w:vertAlign w:val="baseline"/>
        </w:rPr>
        <w:t>eview recommendations.</w:t>
      </w:r>
    </w:p>
  </w:footnote>
  <w:footnote w:id="16">
    <w:p w:rsidR="002C48EE" w:rsidRPr="006A266D" w:rsidRDefault="002C48EE" w:rsidP="00C51318">
      <w:pPr>
        <w:pStyle w:val="FootnoteText"/>
      </w:pPr>
      <w:r>
        <w:tab/>
      </w:r>
      <w:r w:rsidRPr="009C6977">
        <w:rPr>
          <w:rStyle w:val="FootnoteReference"/>
        </w:rPr>
        <w:footnoteRef/>
      </w:r>
      <w:r>
        <w:tab/>
      </w:r>
      <w:proofErr w:type="gramStart"/>
      <w:r w:rsidRPr="006A266D">
        <w:t>Includes the authorities in the West Bank and Gaza and the Government of the State of Palestine.</w:t>
      </w:r>
      <w:proofErr w:type="gramEnd"/>
    </w:p>
  </w:footnote>
  <w:footnote w:id="17">
    <w:p w:rsidR="002C48EE" w:rsidRPr="00EF697F" w:rsidRDefault="002C48EE" w:rsidP="00C51318">
      <w:pPr>
        <w:pStyle w:val="FootnoteText"/>
      </w:pPr>
      <w:r>
        <w:tab/>
      </w:r>
      <w:r w:rsidRPr="009C6977">
        <w:rPr>
          <w:rStyle w:val="FootnoteReference"/>
        </w:rPr>
        <w:footnoteRef/>
      </w:r>
      <w:r>
        <w:tab/>
      </w:r>
      <w:r w:rsidRPr="006A266D">
        <w:t>Comprises recommendations addressed jointly to all parties to the conflict.</w:t>
      </w:r>
    </w:p>
  </w:footnote>
  <w:footnote w:id="18">
    <w:p w:rsidR="002C48EE" w:rsidRPr="00562B49" w:rsidRDefault="002C48EE" w:rsidP="00C51318">
      <w:pPr>
        <w:pStyle w:val="FootnoteText"/>
      </w:pPr>
      <w:r>
        <w:tab/>
      </w:r>
      <w:r w:rsidRPr="009C6977">
        <w:rPr>
          <w:rStyle w:val="FootnoteReference"/>
        </w:rPr>
        <w:footnoteRef/>
      </w:r>
      <w:r>
        <w:tab/>
      </w:r>
      <w:r w:rsidRPr="0099740C">
        <w:t xml:space="preserve">The </w:t>
      </w:r>
      <w:r w:rsidRPr="0099740C">
        <w:rPr>
          <w:lang w:val="en-US"/>
        </w:rPr>
        <w:t>n</w:t>
      </w:r>
      <w:r>
        <w:rPr>
          <w:lang w:val="en-US"/>
        </w:rPr>
        <w:t>umbers</w:t>
      </w:r>
      <w:r w:rsidRPr="0099740C">
        <w:t xml:space="preserve"> in parentheses indicate the number of recommendations addressed to all parties.</w:t>
      </w:r>
    </w:p>
  </w:footnote>
  <w:footnote w:id="19">
    <w:p w:rsidR="002C48EE" w:rsidRPr="006A266D" w:rsidRDefault="002C48EE" w:rsidP="00C51318">
      <w:pPr>
        <w:pStyle w:val="FootnoteText"/>
      </w:pPr>
      <w:r>
        <w:tab/>
      </w:r>
      <w:r w:rsidRPr="009C6977">
        <w:rPr>
          <w:rStyle w:val="FootnoteReference"/>
        </w:rPr>
        <w:footnoteRef/>
      </w:r>
      <w:r w:rsidRPr="006A266D">
        <w:t xml:space="preserve"> </w:t>
      </w:r>
      <w:r>
        <w:tab/>
        <w:t>S</w:t>
      </w:r>
      <w:r w:rsidRPr="006A266D">
        <w:t>ee, for example, A/68/502, section II, D; A/69/347, section III, E and F; and A/HRC/25/40, paras. 50-60. See also, for example, www.btselem.org/download/201605_occupations_fig_leaf_eng.pdf.</w:t>
      </w:r>
    </w:p>
  </w:footnote>
  <w:footnote w:id="20">
    <w:p w:rsidR="002C48EE" w:rsidRPr="00E03ABF" w:rsidRDefault="002C48EE" w:rsidP="00C51318">
      <w:pPr>
        <w:pStyle w:val="FootnoteText"/>
      </w:pPr>
      <w:r>
        <w:tab/>
      </w:r>
      <w:r w:rsidRPr="009C6977">
        <w:rPr>
          <w:rStyle w:val="FootnoteReference"/>
        </w:rPr>
        <w:footnoteRef/>
      </w:r>
      <w:r>
        <w:tab/>
      </w:r>
      <w:r w:rsidRPr="00E03ABF">
        <w:t>See A/HRC/31/40/Add.1, para. 39.</w:t>
      </w:r>
    </w:p>
  </w:footnote>
  <w:footnote w:id="21">
    <w:p w:rsidR="002C48EE" w:rsidRPr="00606B9B" w:rsidRDefault="002C48EE" w:rsidP="00C51318">
      <w:pPr>
        <w:pStyle w:val="FootnoteText"/>
      </w:pPr>
      <w:r>
        <w:tab/>
      </w:r>
      <w:r w:rsidRPr="009C6977">
        <w:rPr>
          <w:rStyle w:val="FootnoteReference"/>
        </w:rPr>
        <w:footnoteRef/>
      </w:r>
      <w:r>
        <w:tab/>
      </w:r>
      <w:r w:rsidRPr="00E03ABF">
        <w:t>S</w:t>
      </w:r>
      <w:r w:rsidRPr="00606B9B">
        <w:t>ee www.ohchr.org/EN/NewsEvents/Pages/DisplayNews.aspx?NewsID=16119&amp;LangID=E.</w:t>
      </w:r>
    </w:p>
  </w:footnote>
  <w:footnote w:id="22">
    <w:p w:rsidR="002C48EE" w:rsidRPr="00E03ABF" w:rsidRDefault="002C48EE" w:rsidP="00C51318">
      <w:pPr>
        <w:pStyle w:val="FootnoteText"/>
      </w:pPr>
      <w:r>
        <w:tab/>
      </w:r>
      <w:r w:rsidRPr="009C6977">
        <w:rPr>
          <w:rStyle w:val="FootnoteReference"/>
        </w:rPr>
        <w:footnoteRef/>
      </w:r>
      <w:r>
        <w:tab/>
      </w:r>
      <w:r w:rsidRPr="00E03ABF">
        <w:t>See www.ochaopt.org/content/gaza-two-years-less-nine-cent-referred-incidents-have-led-criminal-investigation.</w:t>
      </w:r>
    </w:p>
  </w:footnote>
  <w:footnote w:id="23">
    <w:p w:rsidR="002C48EE" w:rsidRPr="00E03ABF" w:rsidRDefault="002C48EE" w:rsidP="00C51318">
      <w:pPr>
        <w:pStyle w:val="FootnoteText"/>
      </w:pPr>
      <w:r>
        <w:tab/>
      </w:r>
      <w:r w:rsidRPr="009C6977">
        <w:rPr>
          <w:rStyle w:val="FootnoteReference"/>
        </w:rPr>
        <w:footnoteRef/>
      </w:r>
      <w:r>
        <w:tab/>
      </w:r>
      <w:r w:rsidRPr="00E03ABF">
        <w:t>See A/71/364, para. 40.</w:t>
      </w:r>
    </w:p>
  </w:footnote>
  <w:footnote w:id="24">
    <w:p w:rsidR="002C48EE" w:rsidRPr="00E03ABF" w:rsidRDefault="002C48EE" w:rsidP="00C51318">
      <w:pPr>
        <w:pStyle w:val="FootnoteText"/>
      </w:pPr>
      <w:r>
        <w:tab/>
      </w:r>
      <w:r w:rsidRPr="009C6977">
        <w:rPr>
          <w:rStyle w:val="FootnoteReference"/>
        </w:rPr>
        <w:footnoteRef/>
      </w:r>
      <w:r>
        <w:tab/>
      </w:r>
      <w:r w:rsidRPr="00E03ABF">
        <w:t>Ibid.</w:t>
      </w:r>
    </w:p>
  </w:footnote>
  <w:footnote w:id="25">
    <w:p w:rsidR="002C48EE" w:rsidRPr="006A266D" w:rsidRDefault="002C48EE" w:rsidP="00C51318">
      <w:pPr>
        <w:pStyle w:val="FootnoteText"/>
      </w:pPr>
      <w:r>
        <w:tab/>
      </w:r>
      <w:r w:rsidRPr="009C6977">
        <w:rPr>
          <w:rStyle w:val="FootnoteReference"/>
        </w:rPr>
        <w:footnoteRef/>
      </w:r>
      <w:r>
        <w:tab/>
      </w:r>
      <w:r w:rsidRPr="006A266D">
        <w:t xml:space="preserve">For example, update No. 5 of the Military Advocate General. </w:t>
      </w:r>
    </w:p>
  </w:footnote>
  <w:footnote w:id="26">
    <w:p w:rsidR="002C48EE" w:rsidRPr="00E03ABF" w:rsidRDefault="002C48EE" w:rsidP="00C51318">
      <w:pPr>
        <w:pStyle w:val="FootnoteText"/>
      </w:pPr>
      <w:r>
        <w:tab/>
      </w:r>
      <w:r w:rsidRPr="009C6977">
        <w:rPr>
          <w:rStyle w:val="FootnoteReference"/>
        </w:rPr>
        <w:footnoteRef/>
      </w:r>
      <w:r>
        <w:tab/>
      </w:r>
      <w:r w:rsidRPr="00E03ABF">
        <w:t xml:space="preserve">See A/HRC/28/80/Add.1, para. </w:t>
      </w:r>
      <w:proofErr w:type="gramStart"/>
      <w:r w:rsidRPr="00E03ABF">
        <w:t>79; and A/HRC/34/36, para.</w:t>
      </w:r>
      <w:proofErr w:type="gramEnd"/>
      <w:r w:rsidRPr="00E03ABF">
        <w:t xml:space="preserve"> 78.</w:t>
      </w:r>
    </w:p>
  </w:footnote>
  <w:footnote w:id="27">
    <w:p w:rsidR="002C48EE" w:rsidRPr="00E03ABF" w:rsidRDefault="002C48EE" w:rsidP="00C51318">
      <w:pPr>
        <w:pStyle w:val="FootnoteText"/>
      </w:pPr>
      <w:r>
        <w:tab/>
      </w:r>
      <w:r w:rsidRPr="009C6977">
        <w:rPr>
          <w:rStyle w:val="FootnoteReference"/>
        </w:rPr>
        <w:footnoteRef/>
      </w:r>
      <w:r>
        <w:tab/>
      </w:r>
      <w:r w:rsidRPr="00E03ABF">
        <w:t>See www.btselem.org/download/201605_occupations_fig_leaf_eng.pdf, p. 36.</w:t>
      </w:r>
    </w:p>
  </w:footnote>
  <w:footnote w:id="28">
    <w:p w:rsidR="002C48EE" w:rsidRPr="00E03ABF" w:rsidRDefault="002C48EE" w:rsidP="00C51318">
      <w:pPr>
        <w:pStyle w:val="FootnoteText"/>
      </w:pPr>
      <w:r>
        <w:tab/>
      </w:r>
      <w:r w:rsidRPr="009C6977">
        <w:rPr>
          <w:rStyle w:val="FootnoteReference"/>
        </w:rPr>
        <w:footnoteRef/>
      </w:r>
      <w:r>
        <w:tab/>
      </w:r>
      <w:r w:rsidRPr="00E03ABF">
        <w:t xml:space="preserve">See A/68/502, para. </w:t>
      </w:r>
      <w:proofErr w:type="gramStart"/>
      <w:r w:rsidRPr="00E03ABF">
        <w:t>29; and A/HRC/25/40, para.</w:t>
      </w:r>
      <w:proofErr w:type="gramEnd"/>
      <w:r w:rsidRPr="00E03ABF">
        <w:t xml:space="preserve"> 77.</w:t>
      </w:r>
    </w:p>
  </w:footnote>
  <w:footnote w:id="29">
    <w:p w:rsidR="002C48EE" w:rsidRPr="00E03ABF" w:rsidRDefault="002C48EE" w:rsidP="00C51318">
      <w:pPr>
        <w:pStyle w:val="FootnoteText"/>
      </w:pPr>
      <w:r>
        <w:tab/>
      </w:r>
      <w:r w:rsidRPr="009C6977">
        <w:rPr>
          <w:rStyle w:val="FootnoteReference"/>
        </w:rPr>
        <w:footnoteRef/>
      </w:r>
      <w:r>
        <w:tab/>
      </w:r>
      <w:r w:rsidRPr="00E03ABF">
        <w:t>See A/71/364, paras. 61-69.</w:t>
      </w:r>
    </w:p>
  </w:footnote>
  <w:footnote w:id="30">
    <w:p w:rsidR="002C48EE" w:rsidRPr="00E03ABF" w:rsidRDefault="002C48EE" w:rsidP="00C51318">
      <w:pPr>
        <w:pStyle w:val="FootnoteText"/>
      </w:pPr>
      <w:r>
        <w:tab/>
      </w:r>
      <w:r w:rsidRPr="009C6977">
        <w:rPr>
          <w:rStyle w:val="FootnoteReference"/>
        </w:rPr>
        <w:footnoteRef/>
      </w:r>
      <w:r>
        <w:tab/>
      </w:r>
      <w:r w:rsidRPr="00E03ABF">
        <w:t xml:space="preserve">See </w:t>
      </w:r>
      <w:hyperlink r:id="rId1" w:history="1">
        <w:r w:rsidRPr="00E03ABF">
          <w:t>http://mfa.gov.il/MFA/ForeignPolicy/IsraelGaza2014/Pages/2014-Gaza-Conflict-Factual-and-Legal-Aspects.aspx</w:t>
        </w:r>
      </w:hyperlink>
      <w:r w:rsidRPr="00E03ABF">
        <w:t>.</w:t>
      </w:r>
    </w:p>
  </w:footnote>
  <w:footnote w:id="31">
    <w:p w:rsidR="002C48EE" w:rsidRPr="00E03ABF" w:rsidRDefault="002C48EE" w:rsidP="00C51318">
      <w:pPr>
        <w:pStyle w:val="FootnoteText"/>
      </w:pPr>
      <w:r>
        <w:tab/>
      </w:r>
      <w:r w:rsidRPr="009C6977">
        <w:rPr>
          <w:rStyle w:val="FootnoteReference"/>
        </w:rPr>
        <w:footnoteRef/>
      </w:r>
      <w:r>
        <w:tab/>
      </w:r>
      <w:r w:rsidRPr="00E03ABF">
        <w:t>See A/HRC/29/52, paras. 85-87.</w:t>
      </w:r>
    </w:p>
  </w:footnote>
  <w:footnote w:id="32">
    <w:p w:rsidR="002C48EE" w:rsidRPr="00E03ABF" w:rsidRDefault="002C48EE" w:rsidP="00C51318">
      <w:pPr>
        <w:pStyle w:val="FootnoteText"/>
      </w:pPr>
      <w:r>
        <w:tab/>
      </w:r>
      <w:r w:rsidRPr="009C6977">
        <w:rPr>
          <w:rStyle w:val="FootnoteReference"/>
        </w:rPr>
        <w:footnoteRef/>
      </w:r>
      <w:r>
        <w:tab/>
      </w:r>
      <w:r w:rsidRPr="00E03ABF">
        <w:t xml:space="preserve">See </w:t>
      </w:r>
      <w:r w:rsidRPr="00E03ABF">
        <w:rPr>
          <w:bCs/>
        </w:rPr>
        <w:t xml:space="preserve">A/71/364, para. </w:t>
      </w:r>
      <w:proofErr w:type="gramStart"/>
      <w:r w:rsidRPr="00E03ABF">
        <w:rPr>
          <w:bCs/>
        </w:rPr>
        <w:t>9;</w:t>
      </w:r>
      <w:r w:rsidRPr="00E03ABF">
        <w:t xml:space="preserve"> and A/HRC/34/36, para.</w:t>
      </w:r>
      <w:proofErr w:type="gramEnd"/>
      <w:r w:rsidRPr="00E03ABF">
        <w:t xml:space="preserve"> 7.</w:t>
      </w:r>
    </w:p>
  </w:footnote>
  <w:footnote w:id="33">
    <w:p w:rsidR="002C48EE" w:rsidRPr="00E03ABF" w:rsidRDefault="002C48EE" w:rsidP="00C51318">
      <w:pPr>
        <w:pStyle w:val="FootnoteText"/>
      </w:pPr>
      <w:r>
        <w:tab/>
      </w:r>
      <w:r w:rsidRPr="009C6977">
        <w:rPr>
          <w:rStyle w:val="FootnoteReference"/>
        </w:rPr>
        <w:footnoteRef/>
      </w:r>
      <w:r>
        <w:tab/>
      </w:r>
      <w:r w:rsidRPr="00E03ABF">
        <w:t>See www.ohchr.org/EN/NewsEvents/Pages/DisplayNews.aspx?NewsID=21221&amp;LangID=E.</w:t>
      </w:r>
    </w:p>
  </w:footnote>
  <w:footnote w:id="34">
    <w:p w:rsidR="002C48EE" w:rsidRPr="00E03ABF" w:rsidRDefault="002C48EE" w:rsidP="00C51318">
      <w:pPr>
        <w:pStyle w:val="FootnoteText"/>
      </w:pPr>
      <w:r>
        <w:tab/>
      </w:r>
      <w:r w:rsidRPr="009C6977">
        <w:rPr>
          <w:rStyle w:val="FootnoteReference"/>
        </w:rPr>
        <w:footnoteRef/>
      </w:r>
      <w:r>
        <w:tab/>
      </w:r>
      <w:r w:rsidRPr="00E03ABF">
        <w:t>See www.i24news.tv/en/news/israel/139360-170306-israeli-army-prosecutors-may-seek-longer-sentence-for-hebron-shooter-report.</w:t>
      </w:r>
    </w:p>
  </w:footnote>
  <w:footnote w:id="35">
    <w:p w:rsidR="002C48EE" w:rsidRPr="006A266D" w:rsidRDefault="002C48EE" w:rsidP="00C51318">
      <w:pPr>
        <w:pStyle w:val="FootnoteText"/>
      </w:pPr>
      <w:r>
        <w:tab/>
      </w:r>
      <w:r w:rsidRPr="009C6977">
        <w:rPr>
          <w:rStyle w:val="FootnoteReference"/>
        </w:rPr>
        <w:footnoteRef/>
      </w:r>
      <w:r>
        <w:tab/>
        <w:t>“</w:t>
      </w:r>
      <w:r w:rsidRPr="006A266D">
        <w:t>Cases of excessive use of force by Israeli forces against Palestinians, including some which appear to amount to summary executions, continue to be reported and some have been captured on video</w:t>
      </w:r>
      <w:r>
        <w:t>”:</w:t>
      </w:r>
      <w:r w:rsidRPr="006A266D">
        <w:t xml:space="preserve"> </w:t>
      </w:r>
      <w:r>
        <w:t>s</w:t>
      </w:r>
      <w:r w:rsidRPr="006A266D">
        <w:t>ee www.ohchr.org/en/NewsEvents/Pages/DisplayNews.aspx?NewsID=16759&amp;LangID=E.</w:t>
      </w:r>
    </w:p>
  </w:footnote>
  <w:footnote w:id="36">
    <w:p w:rsidR="002C48EE" w:rsidRPr="00E03ABF" w:rsidRDefault="002C48EE" w:rsidP="00C51318">
      <w:pPr>
        <w:pStyle w:val="FootnoteText"/>
      </w:pPr>
      <w:r>
        <w:tab/>
      </w:r>
      <w:r w:rsidRPr="009C6977">
        <w:rPr>
          <w:rStyle w:val="FootnoteReference"/>
        </w:rPr>
        <w:footnoteRef/>
      </w:r>
      <w:r>
        <w:tab/>
      </w:r>
      <w:r w:rsidRPr="00E03ABF">
        <w:t xml:space="preserve">See </w:t>
      </w:r>
      <w:r w:rsidRPr="00E03ABF">
        <w:rPr>
          <w:szCs w:val="18"/>
        </w:rPr>
        <w:t xml:space="preserve">A/71/355, para. </w:t>
      </w:r>
      <w:proofErr w:type="gramStart"/>
      <w:r w:rsidRPr="00E03ABF">
        <w:rPr>
          <w:szCs w:val="18"/>
        </w:rPr>
        <w:t>20; and A/HRC/31/43, paras.</w:t>
      </w:r>
      <w:proofErr w:type="gramEnd"/>
      <w:r w:rsidRPr="00E03ABF">
        <w:rPr>
          <w:szCs w:val="18"/>
        </w:rPr>
        <w:t xml:space="preserve"> 40-43.</w:t>
      </w:r>
    </w:p>
  </w:footnote>
  <w:footnote w:id="37">
    <w:p w:rsidR="002C48EE" w:rsidRPr="00E03ABF" w:rsidRDefault="002C48EE" w:rsidP="00C51318">
      <w:pPr>
        <w:pStyle w:val="FootnoteText"/>
      </w:pPr>
      <w:r>
        <w:tab/>
      </w:r>
      <w:r w:rsidRPr="009C6977">
        <w:rPr>
          <w:rStyle w:val="FootnoteReference"/>
        </w:rPr>
        <w:footnoteRef/>
      </w:r>
      <w:r>
        <w:tab/>
      </w:r>
      <w:r w:rsidRPr="00E03ABF">
        <w:t xml:space="preserve">See </w:t>
      </w:r>
      <w:r w:rsidRPr="00E03ABF">
        <w:rPr>
          <w:szCs w:val="22"/>
        </w:rPr>
        <w:t>A/71/355, para. 50.</w:t>
      </w:r>
    </w:p>
  </w:footnote>
  <w:footnote w:id="38">
    <w:p w:rsidR="002C48EE" w:rsidRPr="00E03ABF" w:rsidRDefault="002C48EE" w:rsidP="00C51318">
      <w:pPr>
        <w:pStyle w:val="FootnoteText"/>
      </w:pPr>
      <w:r>
        <w:tab/>
      </w:r>
      <w:r w:rsidRPr="009C6977">
        <w:rPr>
          <w:rStyle w:val="FootnoteReference"/>
        </w:rPr>
        <w:footnoteRef/>
      </w:r>
      <w:r>
        <w:tab/>
      </w:r>
      <w:r w:rsidRPr="00E03ABF">
        <w:t xml:space="preserve">See A/HRC/31/40/Add.1, para. </w:t>
      </w:r>
      <w:proofErr w:type="gramStart"/>
      <w:r w:rsidRPr="00E03ABF">
        <w:t>65</w:t>
      </w:r>
      <w:r w:rsidRPr="00E03ABF">
        <w:rPr>
          <w:bCs/>
        </w:rPr>
        <w:t>; A/HRC/34/36, para.</w:t>
      </w:r>
      <w:proofErr w:type="gramEnd"/>
      <w:r w:rsidRPr="00E03ABF">
        <w:rPr>
          <w:bCs/>
        </w:rPr>
        <w:t xml:space="preserve"> </w:t>
      </w:r>
      <w:proofErr w:type="gramStart"/>
      <w:r w:rsidRPr="00E03ABF">
        <w:rPr>
          <w:bCs/>
        </w:rPr>
        <w:t xml:space="preserve">79; and </w:t>
      </w:r>
      <w:r w:rsidRPr="00E03ABF">
        <w:t>www.ochaopt.org/sites/default/files/gaza_war_2_years_after_english.pdf.</w:t>
      </w:r>
      <w:proofErr w:type="gramEnd"/>
    </w:p>
  </w:footnote>
  <w:footnote w:id="39">
    <w:p w:rsidR="002C48EE" w:rsidRPr="00E03ABF" w:rsidRDefault="002C48EE" w:rsidP="00C51318">
      <w:pPr>
        <w:pStyle w:val="FootnoteText"/>
      </w:pPr>
      <w:r>
        <w:tab/>
      </w:r>
      <w:r w:rsidRPr="009C6977">
        <w:rPr>
          <w:rStyle w:val="FootnoteReference"/>
        </w:rPr>
        <w:footnoteRef/>
      </w:r>
      <w:r>
        <w:tab/>
      </w:r>
      <w:r w:rsidRPr="00E03ABF">
        <w:t>See A/HRC/16/24, para. 53.</w:t>
      </w:r>
    </w:p>
  </w:footnote>
  <w:footnote w:id="40">
    <w:p w:rsidR="002C48EE" w:rsidRPr="00E03ABF" w:rsidRDefault="002C48EE" w:rsidP="00C51318">
      <w:pPr>
        <w:pStyle w:val="FootnoteText"/>
      </w:pPr>
      <w:r>
        <w:tab/>
      </w:r>
      <w:r w:rsidRPr="009C6977">
        <w:rPr>
          <w:rStyle w:val="FootnoteReference"/>
        </w:rPr>
        <w:footnoteRef/>
      </w:r>
      <w:r>
        <w:tab/>
      </w:r>
      <w:r w:rsidRPr="00E03ABF">
        <w:t>See the report of the Secretary-General on the human rights situation in the Occupied Palestinian Territory, including East Jerusalem, available from www.ohchr.org/EN/HRBodies/HRC/</w:t>
      </w:r>
      <w:r>
        <w:br/>
      </w:r>
      <w:proofErr w:type="spellStart"/>
      <w:r w:rsidRPr="00E03ABF">
        <w:t>RegularSessions</w:t>
      </w:r>
      <w:proofErr w:type="spellEnd"/>
      <w:r w:rsidRPr="00E03ABF">
        <w:t>/Session34/Pages/ListReports.aspx, para. 41.</w:t>
      </w:r>
    </w:p>
  </w:footnote>
  <w:footnote w:id="41">
    <w:p w:rsidR="002C48EE" w:rsidRPr="006A266D" w:rsidRDefault="002C48EE" w:rsidP="00C51318">
      <w:pPr>
        <w:pStyle w:val="FootnoteText"/>
      </w:pPr>
      <w:r>
        <w:tab/>
      </w:r>
      <w:r w:rsidRPr="009C6977">
        <w:rPr>
          <w:rStyle w:val="FootnoteReference"/>
        </w:rPr>
        <w:footnoteRef/>
      </w:r>
      <w:r>
        <w:tab/>
      </w:r>
      <w:proofErr w:type="gramStart"/>
      <w:r w:rsidRPr="006A266D">
        <w:t>Briefings to the Security Council given on 29 August 2016 and 16 February 2017 by the Special Coordinator for the Middle East Peace Process.</w:t>
      </w:r>
      <w:proofErr w:type="gramEnd"/>
    </w:p>
  </w:footnote>
  <w:footnote w:id="42">
    <w:p w:rsidR="002C48EE" w:rsidRPr="00003DDA" w:rsidRDefault="002C48EE" w:rsidP="00C51318">
      <w:pPr>
        <w:pStyle w:val="FootnoteText"/>
      </w:pPr>
      <w:r>
        <w:tab/>
      </w:r>
      <w:r w:rsidRPr="009C6977">
        <w:rPr>
          <w:rStyle w:val="FootnoteReference"/>
        </w:rPr>
        <w:footnoteRef/>
      </w:r>
      <w:r>
        <w:tab/>
      </w:r>
      <w:r w:rsidRPr="00E03ABF">
        <w:t>See report on the human rights situation available from www.ohchr.org/EN/HRBodies/HRC/RegularSessions/Session34/Pages/ListReports.aspx</w:t>
      </w:r>
      <w:r w:rsidRPr="006A266D">
        <w:t>, para. 51.</w:t>
      </w:r>
    </w:p>
  </w:footnote>
  <w:footnote w:id="43">
    <w:p w:rsidR="002C48EE" w:rsidRPr="00DA51DA" w:rsidRDefault="002C48EE" w:rsidP="00C51318">
      <w:pPr>
        <w:pStyle w:val="FootnoteText"/>
      </w:pPr>
      <w:r>
        <w:tab/>
      </w:r>
      <w:r w:rsidRPr="009C6977">
        <w:rPr>
          <w:rStyle w:val="FootnoteReference"/>
        </w:rPr>
        <w:footnoteRef/>
      </w:r>
      <w:r>
        <w:tab/>
      </w:r>
      <w:r w:rsidRPr="00E03ABF">
        <w:t xml:space="preserve">Note </w:t>
      </w:r>
      <w:proofErr w:type="spellStart"/>
      <w:r w:rsidRPr="00E03ABF">
        <w:t>verbale</w:t>
      </w:r>
      <w:proofErr w:type="spellEnd"/>
      <w:r w:rsidRPr="00E03ABF">
        <w:t xml:space="preserve"> from the </w:t>
      </w:r>
      <w:r w:rsidRPr="001479FA">
        <w:t>State of Palestine, 21 December 2016.</w:t>
      </w:r>
    </w:p>
  </w:footnote>
  <w:footnote w:id="44">
    <w:p w:rsidR="002C48EE" w:rsidRPr="00E03ABF" w:rsidRDefault="002C48EE" w:rsidP="00C51318">
      <w:pPr>
        <w:pStyle w:val="FootnoteText"/>
      </w:pPr>
      <w:r>
        <w:tab/>
      </w:r>
      <w:r w:rsidRPr="009C6977">
        <w:rPr>
          <w:rStyle w:val="FootnoteReference"/>
        </w:rPr>
        <w:footnoteRef/>
      </w:r>
      <w:r>
        <w:tab/>
      </w:r>
      <w:r w:rsidRPr="00E03ABF">
        <w:t>See A/71/364, para. 6.</w:t>
      </w:r>
    </w:p>
  </w:footnote>
  <w:footnote w:id="45">
    <w:p w:rsidR="002C48EE" w:rsidRPr="00E03ABF" w:rsidRDefault="002C48EE" w:rsidP="00C51318">
      <w:pPr>
        <w:pStyle w:val="FootnoteText"/>
        <w:rPr>
          <w:lang w:val="en-US"/>
        </w:rPr>
      </w:pPr>
      <w:r>
        <w:tab/>
      </w:r>
      <w:r w:rsidRPr="009C6977">
        <w:rPr>
          <w:rStyle w:val="FootnoteReference"/>
        </w:rPr>
        <w:footnoteRef/>
      </w:r>
      <w:r>
        <w:tab/>
      </w:r>
      <w:r w:rsidRPr="00E03ABF">
        <w:t xml:space="preserve">See, for example, </w:t>
      </w:r>
      <w:r w:rsidRPr="00E03ABF">
        <w:rPr>
          <w:szCs w:val="18"/>
        </w:rPr>
        <w:t xml:space="preserve">A/71/364; A/71/355; A/HRC/34/36; and the report </w:t>
      </w:r>
      <w:r w:rsidRPr="00E579E5">
        <w:t xml:space="preserve">of the Secretary-General </w:t>
      </w:r>
      <w:r w:rsidRPr="00E579E5">
        <w:rPr>
          <w:lang w:val="en-US"/>
        </w:rPr>
        <w:t xml:space="preserve">on </w:t>
      </w:r>
      <w:r w:rsidRPr="00E579E5">
        <w:t xml:space="preserve">Israeli settlements in the Occupied Palestinian Territory, including East Jerusalem, </w:t>
      </w:r>
      <w:r w:rsidRPr="00E03ABF">
        <w:rPr>
          <w:lang w:val="en-US"/>
        </w:rPr>
        <w:t xml:space="preserve">and the occupied Syrian Golan, </w:t>
      </w:r>
      <w:r w:rsidRPr="00E579E5">
        <w:t>available from www.ohchr.org/EN/HRBodies/HRC/RegularSessions/</w:t>
      </w:r>
      <w:r>
        <w:br/>
      </w:r>
      <w:r w:rsidRPr="00E579E5">
        <w:t>Session34/Pages/ListReports.aspx</w:t>
      </w:r>
      <w:r w:rsidRPr="00E579E5">
        <w:rPr>
          <w:lang w:val="en-US"/>
        </w:rPr>
        <w:t>.</w:t>
      </w:r>
    </w:p>
  </w:footnote>
  <w:footnote w:id="46">
    <w:p w:rsidR="002C48EE" w:rsidRPr="00E579E5" w:rsidRDefault="002C48EE" w:rsidP="00C51318">
      <w:pPr>
        <w:pStyle w:val="FootnoteText"/>
      </w:pPr>
      <w:r>
        <w:tab/>
      </w:r>
      <w:r w:rsidRPr="009C6977">
        <w:rPr>
          <w:rStyle w:val="FootnoteReference"/>
        </w:rPr>
        <w:footnoteRef/>
      </w:r>
      <w:r>
        <w:tab/>
        <w:t>A</w:t>
      </w:r>
      <w:r w:rsidRPr="00E579E5">
        <w:t>t the Ministerial Council of the League of Arab States on 7 March 2017 in Cairo.</w:t>
      </w:r>
    </w:p>
  </w:footnote>
  <w:footnote w:id="47">
    <w:p w:rsidR="002C48EE" w:rsidRPr="00E03ABF" w:rsidRDefault="002C48EE" w:rsidP="00C51318">
      <w:pPr>
        <w:pStyle w:val="FootnoteText"/>
      </w:pPr>
      <w:r>
        <w:tab/>
      </w:r>
      <w:r w:rsidRPr="009C6977">
        <w:rPr>
          <w:rStyle w:val="FootnoteReference"/>
        </w:rPr>
        <w:footnoteRef/>
      </w:r>
      <w:r>
        <w:tab/>
      </w:r>
      <w:r w:rsidRPr="00E03ABF">
        <w:t>See report on the human rights situation available from www.ohchr.org/EN/HRBodies/HRC/RegularSessions/Session34/Pages/ListReports.aspx,</w:t>
      </w:r>
      <w:r w:rsidRPr="00E579E5">
        <w:rPr>
          <w:lang w:val="en-US"/>
        </w:rPr>
        <w:t xml:space="preserve"> </w:t>
      </w:r>
      <w:r w:rsidRPr="00E03ABF">
        <w:rPr>
          <w:rFonts w:eastAsia="Calibri"/>
        </w:rPr>
        <w:t>para. 78.</w:t>
      </w:r>
    </w:p>
  </w:footnote>
  <w:footnote w:id="48">
    <w:p w:rsidR="002C48EE" w:rsidRPr="00E03ABF" w:rsidRDefault="002C48EE" w:rsidP="00C51318">
      <w:pPr>
        <w:pStyle w:val="FootnoteText"/>
      </w:pPr>
      <w:r>
        <w:tab/>
      </w:r>
      <w:r w:rsidRPr="009C6977">
        <w:rPr>
          <w:rStyle w:val="FootnoteReference"/>
        </w:rPr>
        <w:footnoteRef/>
      </w:r>
      <w:r>
        <w:tab/>
      </w:r>
      <w:r w:rsidRPr="00E03ABF">
        <w:t>See www.unicef.org/oPt/Children_in_Israeli_Military_Detention_-_Observations_and_Recommendations_-_Bulletin_No._2_-_February_2015.pdf.</w:t>
      </w:r>
    </w:p>
  </w:footnote>
  <w:footnote w:id="49">
    <w:p w:rsidR="002C48EE" w:rsidRPr="00E03ABF" w:rsidRDefault="002C48EE" w:rsidP="00C51318">
      <w:pPr>
        <w:pStyle w:val="FootnoteText"/>
      </w:pPr>
      <w:r>
        <w:tab/>
      </w:r>
      <w:r w:rsidRPr="009C6977">
        <w:rPr>
          <w:rStyle w:val="FootnoteReference"/>
        </w:rPr>
        <w:footnoteRef/>
      </w:r>
      <w:r>
        <w:tab/>
      </w:r>
      <w:r w:rsidRPr="00E03ABF">
        <w:t>See www.unicef.org/oPt/UNICEF_oPt_Children_in_Israeli_</w:t>
      </w:r>
      <w:r>
        <w:br/>
      </w:r>
      <w:r w:rsidRPr="00E03ABF">
        <w:t>Military_Detention_Observations_and_Recommendations_-_6_March_2013.pdf.</w:t>
      </w:r>
    </w:p>
  </w:footnote>
  <w:footnote w:id="50">
    <w:p w:rsidR="002C48EE" w:rsidRPr="00E03ABF" w:rsidRDefault="002C48EE" w:rsidP="00C51318">
      <w:pPr>
        <w:pStyle w:val="FootnoteText"/>
      </w:pPr>
      <w:r>
        <w:tab/>
      </w:r>
      <w:r w:rsidRPr="009C6977">
        <w:rPr>
          <w:rStyle w:val="FootnoteReference"/>
        </w:rPr>
        <w:footnoteRef/>
      </w:r>
      <w:r>
        <w:tab/>
      </w:r>
      <w:r w:rsidRPr="00E03ABF">
        <w:t>See www.unicef.org/oPt/Children_in_Israeli_Military_Detention_-_Observations_and_Recommendations_-_Bulletin_No._2_-_February_2015.pdf.</w:t>
      </w:r>
    </w:p>
  </w:footnote>
  <w:footnote w:id="51">
    <w:p w:rsidR="002C48EE" w:rsidRPr="00E579E5" w:rsidRDefault="002C48EE" w:rsidP="00C51318">
      <w:pPr>
        <w:pStyle w:val="FootnoteText"/>
      </w:pPr>
      <w:r>
        <w:tab/>
      </w:r>
      <w:r w:rsidRPr="009C6977">
        <w:rPr>
          <w:rStyle w:val="FootnoteReference"/>
        </w:rPr>
        <w:footnoteRef/>
      </w:r>
      <w:r>
        <w:tab/>
      </w:r>
      <w:r w:rsidRPr="00E579E5">
        <w:t xml:space="preserve">Official data provided to </w:t>
      </w:r>
      <w:proofErr w:type="spellStart"/>
      <w:r w:rsidRPr="00E579E5">
        <w:t>B</w:t>
      </w:r>
      <w:r>
        <w:t>’</w:t>
      </w:r>
      <w:r w:rsidRPr="00E579E5">
        <w:t>Tselem</w:t>
      </w:r>
      <w:proofErr w:type="spellEnd"/>
      <w:r w:rsidRPr="00E579E5">
        <w:t>, available from www.btselem.org/statistics/minors_in_custody.</w:t>
      </w:r>
    </w:p>
  </w:footnote>
  <w:footnote w:id="52">
    <w:p w:rsidR="002C48EE" w:rsidRPr="00E579E5" w:rsidRDefault="002C48EE" w:rsidP="00C51318">
      <w:pPr>
        <w:pStyle w:val="FootnoteText"/>
      </w:pPr>
      <w:r>
        <w:tab/>
      </w:r>
      <w:r w:rsidRPr="009C6977">
        <w:rPr>
          <w:rStyle w:val="FootnoteReference"/>
        </w:rPr>
        <w:footnoteRef/>
      </w:r>
      <w:r>
        <w:tab/>
      </w:r>
      <w:r w:rsidRPr="00E579E5">
        <w:t xml:space="preserve">See </w:t>
      </w:r>
      <w:hyperlink r:id="rId2" w:history="1">
        <w:r w:rsidRPr="00E579E5">
          <w:t>www.btselem.org/detainees_and_prisoners/minors_in_custody</w:t>
        </w:r>
      </w:hyperlink>
      <w:r w:rsidRPr="00E579E5">
        <w:t>,</w:t>
      </w:r>
      <w:r>
        <w:t xml:space="preserve"> </w:t>
      </w:r>
      <w:hyperlink r:id="rId3" w:history="1">
        <w:r w:rsidRPr="00E579E5">
          <w:t>www.unicef.org/oPt/Children_in_Israeli_Military_Detention_-_Observations_and_Recommendations_-_Bulletin_No._2_-_February_2015.pdf</w:t>
        </w:r>
      </w:hyperlink>
      <w:r w:rsidRPr="00E579E5">
        <w:t xml:space="preserve"> and www.militarycourtwatch.org/page.php?id=MmNuAkpGrsa613395AWw2bO0pT3K.</w:t>
      </w:r>
    </w:p>
  </w:footnote>
  <w:footnote w:id="53">
    <w:p w:rsidR="002C48EE" w:rsidRPr="00E03ABF" w:rsidRDefault="002C48EE" w:rsidP="00C51318">
      <w:pPr>
        <w:pStyle w:val="FootnoteText"/>
      </w:pPr>
      <w:r>
        <w:tab/>
      </w:r>
      <w:r w:rsidRPr="009C6977">
        <w:rPr>
          <w:rStyle w:val="FootnoteReference"/>
        </w:rPr>
        <w:footnoteRef/>
      </w:r>
      <w:r>
        <w:tab/>
      </w:r>
      <w:r w:rsidRPr="00E03ABF">
        <w:t>See A/71/86</w:t>
      </w:r>
      <w:r>
        <w:t>-</w:t>
      </w:r>
      <w:r w:rsidRPr="00E03ABF">
        <w:t xml:space="preserve">E/2016/13, para. </w:t>
      </w:r>
      <w:proofErr w:type="gramStart"/>
      <w:r w:rsidRPr="00E03ABF">
        <w:t>24, available from www.un.org/ga/search/view_doc.asp?symbol=A/71/86&amp;Lang=E&amp;Area=UNDOC.</w:t>
      </w:r>
      <w:proofErr w:type="gramEnd"/>
    </w:p>
  </w:footnote>
  <w:footnote w:id="54">
    <w:p w:rsidR="002C48EE" w:rsidRPr="00E03ABF" w:rsidRDefault="002C48EE" w:rsidP="00C51318">
      <w:pPr>
        <w:pStyle w:val="FootnoteText"/>
      </w:pPr>
      <w:r>
        <w:tab/>
      </w:r>
      <w:r w:rsidRPr="009C6977">
        <w:rPr>
          <w:rStyle w:val="FootnoteReference"/>
        </w:rPr>
        <w:footnoteRef/>
      </w:r>
      <w:r>
        <w:tab/>
      </w:r>
      <w:r w:rsidRPr="00E03ABF">
        <w:t>See A/70/836</w:t>
      </w:r>
      <w:r>
        <w:t>-</w:t>
      </w:r>
      <w:r w:rsidRPr="00E03ABF">
        <w:t xml:space="preserve">S/2016/360, para. </w:t>
      </w:r>
      <w:proofErr w:type="gramStart"/>
      <w:r w:rsidRPr="00E03ABF">
        <w:t>75, available from www.un.org/ga/search/view_doc.asp?symbol=A/70/836&amp;Lang=E&amp;Area=UNDOC.</w:t>
      </w:r>
      <w:proofErr w:type="gramEnd"/>
    </w:p>
  </w:footnote>
  <w:footnote w:id="55">
    <w:p w:rsidR="002C48EE" w:rsidRPr="00E03ABF" w:rsidRDefault="002C48EE" w:rsidP="00C51318">
      <w:pPr>
        <w:pStyle w:val="FootnoteText"/>
      </w:pPr>
      <w:r>
        <w:tab/>
      </w:r>
      <w:r w:rsidRPr="009C6977">
        <w:rPr>
          <w:rStyle w:val="FootnoteReference"/>
        </w:rPr>
        <w:footnoteRef/>
      </w:r>
      <w:r>
        <w:tab/>
      </w:r>
      <w:r w:rsidRPr="00E03ABF">
        <w:t xml:space="preserve">See CCPR/C/ISR/CO/4, para. </w:t>
      </w:r>
      <w:proofErr w:type="gramStart"/>
      <w:r w:rsidRPr="00E03ABF">
        <w:t>19; and CAT/C/ISR/CO/5, para.</w:t>
      </w:r>
      <w:proofErr w:type="gramEnd"/>
      <w:r w:rsidRPr="00E03ABF">
        <w:t xml:space="preserve"> 28.</w:t>
      </w:r>
    </w:p>
  </w:footnote>
  <w:footnote w:id="56">
    <w:p w:rsidR="002C48EE" w:rsidRPr="00E03ABF" w:rsidRDefault="002C48EE" w:rsidP="00C51318">
      <w:pPr>
        <w:pStyle w:val="FootnoteText"/>
      </w:pPr>
      <w:r>
        <w:tab/>
      </w:r>
      <w:r w:rsidRPr="009C6977">
        <w:rPr>
          <w:rStyle w:val="FootnoteReference"/>
        </w:rPr>
        <w:footnoteRef/>
      </w:r>
      <w:r>
        <w:tab/>
      </w:r>
      <w:r w:rsidRPr="00E03ABF">
        <w:t xml:space="preserve">See </w:t>
      </w:r>
      <w:hyperlink r:id="rId4" w:history="1">
        <w:r w:rsidRPr="00E03ABF">
          <w:t>www.loc.gov/law/foreign-news/article/israel-law-authorizing-force-feeding-of-prisoners-held-constitutional/</w:t>
        </w:r>
      </w:hyperlink>
      <w:r w:rsidRPr="00E03ABF">
        <w:t xml:space="preserve">. </w:t>
      </w:r>
    </w:p>
  </w:footnote>
  <w:footnote w:id="57">
    <w:p w:rsidR="002C48EE" w:rsidRPr="00E03ABF" w:rsidRDefault="002C48EE" w:rsidP="00C51318">
      <w:pPr>
        <w:pStyle w:val="FootnoteText"/>
        <w:rPr>
          <w:lang w:val="en-US"/>
        </w:rPr>
      </w:pPr>
      <w:r>
        <w:tab/>
      </w:r>
      <w:r w:rsidRPr="009C6977">
        <w:rPr>
          <w:rStyle w:val="FootnoteReference"/>
        </w:rPr>
        <w:footnoteRef/>
      </w:r>
      <w:r>
        <w:tab/>
      </w:r>
      <w:proofErr w:type="gramStart"/>
      <w:r w:rsidRPr="00E03ABF">
        <w:t xml:space="preserve">The national human rights </w:t>
      </w:r>
      <w:r w:rsidRPr="00E03ABF">
        <w:rPr>
          <w:rFonts w:eastAsia="Calibri"/>
        </w:rPr>
        <w:t>institution</w:t>
      </w:r>
      <w:r w:rsidRPr="00E579E5">
        <w:rPr>
          <w:rFonts w:eastAsia="Calibri"/>
        </w:rPr>
        <w:t>.</w:t>
      </w:r>
      <w:proofErr w:type="gramEnd"/>
    </w:p>
  </w:footnote>
  <w:footnote w:id="58">
    <w:p w:rsidR="002C48EE" w:rsidRPr="00E579E5" w:rsidRDefault="002C48EE" w:rsidP="00C51318">
      <w:pPr>
        <w:pStyle w:val="FootnoteText"/>
      </w:pPr>
      <w:r>
        <w:tab/>
      </w:r>
      <w:r w:rsidRPr="009C6977">
        <w:rPr>
          <w:rStyle w:val="FootnoteReference"/>
        </w:rPr>
        <w:footnoteRef/>
      </w:r>
      <w:r>
        <w:tab/>
      </w:r>
      <w:r w:rsidRPr="00E579E5">
        <w:t xml:space="preserve">Independent Commission for Human Rights, </w:t>
      </w:r>
      <w:r w:rsidRPr="00E03ABF">
        <w:rPr>
          <w:i/>
        </w:rPr>
        <w:t>The Status of Human Rights in Palestine: Twenty-First Annual Report, 2015</w:t>
      </w:r>
      <w:r w:rsidRPr="00E579E5">
        <w:t xml:space="preserve"> (issued in 2016), pp. 186 and 187.</w:t>
      </w:r>
    </w:p>
  </w:footnote>
  <w:footnote w:id="59">
    <w:p w:rsidR="002C48EE" w:rsidRPr="00E579E5" w:rsidRDefault="002C48EE" w:rsidP="00C51318">
      <w:pPr>
        <w:pStyle w:val="FootnoteText"/>
      </w:pPr>
      <w:r>
        <w:tab/>
      </w:r>
      <w:r w:rsidRPr="009C6977">
        <w:rPr>
          <w:rStyle w:val="FootnoteReference"/>
        </w:rPr>
        <w:footnoteRef/>
      </w:r>
      <w:r>
        <w:tab/>
      </w:r>
      <w:r w:rsidRPr="00E03ABF">
        <w:t>See report on the human rights situation available from</w:t>
      </w:r>
      <w:r>
        <w:br/>
      </w:r>
      <w:r w:rsidRPr="00E03ABF">
        <w:t>www.ohchr.org/EN/HRBodies/HRC/RegularSessions/Session34/Pages/ListReports.aspx,</w:t>
      </w:r>
      <w:r w:rsidRPr="00E579E5">
        <w:t xml:space="preserve"> para. 69.</w:t>
      </w:r>
    </w:p>
  </w:footnote>
  <w:footnote w:id="60">
    <w:p w:rsidR="002C48EE" w:rsidRPr="00E579E5" w:rsidRDefault="002C48EE" w:rsidP="00C51318">
      <w:pPr>
        <w:pStyle w:val="FootnoteText"/>
      </w:pPr>
      <w:r>
        <w:tab/>
      </w:r>
      <w:r w:rsidRPr="009C6977">
        <w:rPr>
          <w:rStyle w:val="FootnoteReference"/>
        </w:rPr>
        <w:footnoteRef/>
      </w:r>
      <w:r>
        <w:tab/>
      </w:r>
      <w:proofErr w:type="gramStart"/>
      <w:r w:rsidRPr="00E579E5">
        <w:t xml:space="preserve">Briefing to the Security Council given on 20 April 2017 </w:t>
      </w:r>
      <w:r w:rsidRPr="00E03ABF">
        <w:t>by the Special Coordinator for the Middle East Peace Process.</w:t>
      </w:r>
      <w:proofErr w:type="gramEnd"/>
    </w:p>
  </w:footnote>
  <w:footnote w:id="61">
    <w:p w:rsidR="002C48EE" w:rsidRPr="00E03ABF" w:rsidRDefault="002C48EE" w:rsidP="00C51318">
      <w:pPr>
        <w:pStyle w:val="FootnoteText"/>
        <w:rPr>
          <w:lang w:val="en-US"/>
        </w:rPr>
      </w:pPr>
      <w:r>
        <w:tab/>
      </w:r>
      <w:r w:rsidRPr="009C6977">
        <w:rPr>
          <w:rStyle w:val="FootnoteReference"/>
        </w:rPr>
        <w:footnoteRef/>
      </w:r>
      <w:r>
        <w:tab/>
      </w:r>
      <w:r w:rsidRPr="00E579E5">
        <w:rPr>
          <w:lang w:val="en-US"/>
        </w:rPr>
        <w:t xml:space="preserve">See </w:t>
      </w:r>
      <w:r w:rsidRPr="00E579E5">
        <w:t>A/HRC/31/43</w:t>
      </w:r>
      <w:r w:rsidRPr="00E03ABF">
        <w:t>,</w:t>
      </w:r>
      <w:r w:rsidRPr="00E579E5">
        <w:t xml:space="preserve"> par</w:t>
      </w:r>
      <w:r w:rsidRPr="00E03ABF">
        <w:t xml:space="preserve">a. </w:t>
      </w:r>
      <w:r w:rsidRPr="00E579E5">
        <w:t>9</w:t>
      </w:r>
      <w:r w:rsidRPr="00E579E5">
        <w:rPr>
          <w:lang w:val="en-US"/>
        </w:rPr>
        <w:t>.</w:t>
      </w:r>
    </w:p>
  </w:footnote>
  <w:footnote w:id="62">
    <w:p w:rsidR="002C48EE" w:rsidRPr="00E03ABF" w:rsidRDefault="002C48EE" w:rsidP="00C51318">
      <w:pPr>
        <w:pStyle w:val="FootnoteText"/>
      </w:pPr>
      <w:r>
        <w:tab/>
      </w:r>
      <w:r w:rsidRPr="009C6977">
        <w:rPr>
          <w:rStyle w:val="FootnoteReference"/>
        </w:rPr>
        <w:footnoteRef/>
      </w:r>
      <w:r>
        <w:tab/>
      </w:r>
      <w:r w:rsidRPr="00E03ABF">
        <w:t>See www.ochaopt.org/content/33-structures-demolished-past-three-days-multiple-incidents.</w:t>
      </w:r>
    </w:p>
  </w:footnote>
  <w:footnote w:id="63">
    <w:p w:rsidR="002C48EE" w:rsidRPr="00E03ABF" w:rsidRDefault="002C48EE" w:rsidP="00C51318">
      <w:pPr>
        <w:pStyle w:val="FootnoteText"/>
        <w:rPr>
          <w:lang w:val="en-US"/>
        </w:rPr>
      </w:pPr>
      <w:r>
        <w:tab/>
      </w:r>
      <w:r w:rsidRPr="009C6977">
        <w:rPr>
          <w:rStyle w:val="FootnoteReference"/>
        </w:rPr>
        <w:footnoteRef/>
      </w:r>
      <w:r>
        <w:tab/>
      </w:r>
      <w:r>
        <w:rPr>
          <w:lang w:val="en-US"/>
        </w:rPr>
        <w:t xml:space="preserve">See </w:t>
      </w:r>
      <w:r w:rsidRPr="00DD010A">
        <w:t>www.ochaopt.org/content/record-number-demolitions-and-displacements-west-bank-during-2016</w:t>
      </w:r>
      <w:r>
        <w:rPr>
          <w:lang w:val="en-US"/>
        </w:rPr>
        <w:t>.</w:t>
      </w:r>
    </w:p>
  </w:footnote>
  <w:footnote w:id="64">
    <w:p w:rsidR="002C48EE" w:rsidRPr="00E03ABF" w:rsidRDefault="002C48EE" w:rsidP="00C51318">
      <w:pPr>
        <w:pStyle w:val="FootnoteText"/>
      </w:pPr>
      <w:r>
        <w:tab/>
      </w:r>
      <w:r w:rsidRPr="009C6977">
        <w:rPr>
          <w:rStyle w:val="FootnoteReference"/>
        </w:rPr>
        <w:footnoteRef/>
      </w:r>
      <w:r>
        <w:tab/>
      </w:r>
      <w:r w:rsidRPr="00E03ABF">
        <w:t xml:space="preserve">See </w:t>
      </w:r>
      <w:r w:rsidRPr="00E03ABF">
        <w:rPr>
          <w:bCs/>
        </w:rPr>
        <w:t>A/71/355.</w:t>
      </w:r>
    </w:p>
  </w:footnote>
  <w:footnote w:id="65">
    <w:p w:rsidR="002C48EE" w:rsidRPr="00E03ABF" w:rsidRDefault="002C48EE" w:rsidP="00C51318">
      <w:pPr>
        <w:pStyle w:val="FootnoteText"/>
      </w:pPr>
      <w:r>
        <w:tab/>
      </w:r>
      <w:r w:rsidRPr="009C6977">
        <w:rPr>
          <w:rStyle w:val="FootnoteReference"/>
        </w:rPr>
        <w:footnoteRef/>
      </w:r>
      <w:r>
        <w:tab/>
      </w:r>
      <w:r w:rsidRPr="00E03ABF">
        <w:t>See A/</w:t>
      </w:r>
      <w:r w:rsidRPr="00E03ABF">
        <w:rPr>
          <w:bCs/>
        </w:rPr>
        <w:t>71</w:t>
      </w:r>
      <w:r w:rsidRPr="00E03ABF">
        <w:t>/554.</w:t>
      </w:r>
    </w:p>
  </w:footnote>
  <w:footnote w:id="66">
    <w:p w:rsidR="002C48EE" w:rsidRPr="00E03ABF" w:rsidRDefault="002C48EE" w:rsidP="00C51318">
      <w:pPr>
        <w:pStyle w:val="FootnoteText"/>
      </w:pPr>
      <w:r>
        <w:tab/>
      </w:r>
      <w:r w:rsidRPr="009C6977">
        <w:rPr>
          <w:rStyle w:val="FootnoteReference"/>
        </w:rPr>
        <w:footnoteRef/>
      </w:r>
      <w:r>
        <w:tab/>
      </w:r>
      <w:r w:rsidRPr="00E03ABF">
        <w:t xml:space="preserve">See </w:t>
      </w:r>
      <w:hyperlink r:id="rId5" w:history="1">
        <w:r w:rsidRPr="00E03ABF">
          <w:t>https://unispal.un.org/DPA/DPR/unispal.nsf/0/E0B719E95E3B494885256F9A005AB90A</w:t>
        </w:r>
      </w:hyperlink>
      <w:r w:rsidRPr="00E03ABF">
        <w:t xml:space="preserve"> and </w:t>
      </w:r>
      <w:hyperlink r:id="rId6" w:history="1">
        <w:r w:rsidRPr="00E03ABF">
          <w:t>www.nevo.co.il/law_html/Law01/313_001.htm</w:t>
        </w:r>
      </w:hyperlink>
      <w:r w:rsidRPr="00E03ABF">
        <w:t>.</w:t>
      </w:r>
    </w:p>
  </w:footnote>
  <w:footnote w:id="67">
    <w:p w:rsidR="002C48EE" w:rsidRPr="00E03ABF" w:rsidRDefault="002C48EE" w:rsidP="00C51318">
      <w:pPr>
        <w:pStyle w:val="FootnoteText"/>
      </w:pPr>
      <w:r>
        <w:tab/>
      </w:r>
      <w:r w:rsidRPr="009C6977">
        <w:rPr>
          <w:rStyle w:val="FootnoteReference"/>
        </w:rPr>
        <w:footnoteRef/>
      </w:r>
      <w:r>
        <w:tab/>
      </w:r>
      <w:r w:rsidRPr="00E03ABF">
        <w:t>See www.</w:t>
      </w:r>
      <w:r w:rsidRPr="00E579E5">
        <w:t>ochaopt</w:t>
      </w:r>
      <w:r w:rsidRPr="00E03ABF">
        <w:t>.org/content/east-jerusalem-palestinians-risk-eviction.</w:t>
      </w:r>
    </w:p>
  </w:footnote>
  <w:footnote w:id="68">
    <w:p w:rsidR="002C48EE" w:rsidRPr="0099740C" w:rsidRDefault="002C48EE" w:rsidP="00C51318">
      <w:pPr>
        <w:pStyle w:val="FootnoteText"/>
      </w:pPr>
      <w:r>
        <w:tab/>
      </w:r>
      <w:r w:rsidRPr="009C6977">
        <w:rPr>
          <w:rStyle w:val="FootnoteReference"/>
        </w:rPr>
        <w:footnoteRef/>
      </w:r>
      <w:r>
        <w:tab/>
      </w:r>
      <w:r w:rsidRPr="0099740C">
        <w:rPr>
          <w:i/>
        </w:rPr>
        <w:t xml:space="preserve">Legal Consequences of the Construction of a Wall in the Occupied Palestinian Territory, Advisory Opinion, I.C.J. Reports </w:t>
      </w:r>
      <w:r w:rsidRPr="00E03ABF">
        <w:rPr>
          <w:i/>
        </w:rPr>
        <w:t>(</w:t>
      </w:r>
      <w:r w:rsidRPr="0099740C">
        <w:rPr>
          <w:i/>
        </w:rPr>
        <w:t>200</w:t>
      </w:r>
      <w:r w:rsidRPr="00E03ABF">
        <w:rPr>
          <w:i/>
        </w:rPr>
        <w:t>4)</w:t>
      </w:r>
      <w:r w:rsidRPr="00E03ABF">
        <w:t>, p.</w:t>
      </w:r>
      <w:r w:rsidRPr="0099740C">
        <w:t xml:space="preserve"> </w:t>
      </w:r>
      <w:r w:rsidRPr="00E03ABF">
        <w:t>136;</w:t>
      </w:r>
      <w:r w:rsidRPr="0099740C">
        <w:rPr>
          <w:i/>
        </w:rPr>
        <w:t xml:space="preserve"> </w:t>
      </w:r>
      <w:r w:rsidRPr="0099740C">
        <w:t xml:space="preserve">and </w:t>
      </w:r>
      <w:r w:rsidRPr="0099740C">
        <w:rPr>
          <w:szCs w:val="22"/>
        </w:rPr>
        <w:t>www.ochaopt.org/content/2015-overview-movement-and-access-restrictions.</w:t>
      </w:r>
    </w:p>
  </w:footnote>
  <w:footnote w:id="69">
    <w:p w:rsidR="002C48EE" w:rsidRPr="00E03ABF" w:rsidRDefault="002C48EE" w:rsidP="00C51318">
      <w:pPr>
        <w:pStyle w:val="FootnoteText"/>
      </w:pPr>
      <w:r>
        <w:tab/>
      </w:r>
      <w:r w:rsidRPr="009C6977">
        <w:rPr>
          <w:rStyle w:val="FootnoteReference"/>
        </w:rPr>
        <w:footnoteRef/>
      </w:r>
      <w:r>
        <w:tab/>
      </w:r>
      <w:r w:rsidRPr="00E03ABF">
        <w:t>See A/71/86</w:t>
      </w:r>
      <w:r>
        <w:t>-</w:t>
      </w:r>
      <w:r w:rsidRPr="00E03ABF">
        <w:t xml:space="preserve">E/2016/13, para. </w:t>
      </w:r>
      <w:proofErr w:type="gramStart"/>
      <w:r w:rsidRPr="00E03ABF">
        <w:t>63, available from www.un.org/ga/search/view_doc.asp?symbol=A/71/86&amp;Lang=E&amp;Area=UNDOC.</w:t>
      </w:r>
      <w:proofErr w:type="gramEnd"/>
    </w:p>
  </w:footnote>
  <w:footnote w:id="70">
    <w:p w:rsidR="002C48EE" w:rsidRPr="00E03ABF" w:rsidRDefault="002C48EE" w:rsidP="00C51318">
      <w:pPr>
        <w:pStyle w:val="FootnoteText"/>
        <w:rPr>
          <w:lang w:val="en-US"/>
        </w:rPr>
      </w:pPr>
      <w:r>
        <w:tab/>
      </w:r>
      <w:r w:rsidRPr="009C6977">
        <w:rPr>
          <w:rStyle w:val="FootnoteReference"/>
        </w:rPr>
        <w:footnoteRef/>
      </w:r>
      <w:r>
        <w:tab/>
      </w:r>
      <w:r w:rsidRPr="00E03ABF">
        <w:rPr>
          <w:i/>
        </w:rPr>
        <w:t>Legal Consequences of the Construction of a Wall in the Occupied Palestinian Territory</w:t>
      </w:r>
      <w:r w:rsidRPr="00E03ABF">
        <w:t>, p. 183</w:t>
      </w:r>
      <w:r w:rsidRPr="0099740C">
        <w:t>.</w:t>
      </w:r>
    </w:p>
  </w:footnote>
  <w:footnote w:id="71">
    <w:p w:rsidR="002C48EE" w:rsidRPr="00E03ABF" w:rsidRDefault="002C48EE" w:rsidP="00C51318">
      <w:pPr>
        <w:pStyle w:val="FootnoteText"/>
      </w:pPr>
      <w:r>
        <w:tab/>
      </w:r>
      <w:r w:rsidRPr="009C6977">
        <w:rPr>
          <w:rStyle w:val="FootnoteReference"/>
        </w:rPr>
        <w:footnoteRef/>
      </w:r>
      <w:r>
        <w:tab/>
      </w:r>
      <w:proofErr w:type="gramStart"/>
      <w:r w:rsidRPr="00E03ABF">
        <w:t>Ibid.,</w:t>
      </w:r>
      <w:proofErr w:type="gramEnd"/>
      <w:r w:rsidRPr="00E03ABF">
        <w:t xml:space="preserve"> p. 1</w:t>
      </w:r>
      <w:r w:rsidRPr="0099740C">
        <w:t>93</w:t>
      </w:r>
      <w:r w:rsidRPr="00E03ABF">
        <w:t>.</w:t>
      </w:r>
    </w:p>
  </w:footnote>
  <w:footnote w:id="72">
    <w:p w:rsidR="002C48EE" w:rsidRPr="00DA51DA" w:rsidRDefault="002C48EE" w:rsidP="00C51318">
      <w:pPr>
        <w:pStyle w:val="FootnoteText"/>
      </w:pPr>
      <w:r>
        <w:tab/>
      </w:r>
      <w:r w:rsidRPr="009C6977">
        <w:rPr>
          <w:rStyle w:val="FootnoteReference"/>
        </w:rPr>
        <w:footnoteRef/>
      </w:r>
      <w:r>
        <w:tab/>
      </w:r>
      <w:r w:rsidRPr="0099740C">
        <w:t xml:space="preserve">See TD/B/63/3, para. </w:t>
      </w:r>
      <w:proofErr w:type="gramStart"/>
      <w:r w:rsidRPr="0099740C">
        <w:t>42 (f).</w:t>
      </w:r>
      <w:proofErr w:type="gramEnd"/>
    </w:p>
  </w:footnote>
  <w:footnote w:id="73">
    <w:p w:rsidR="002C48EE" w:rsidRPr="0099740C" w:rsidRDefault="002C48EE" w:rsidP="00C51318">
      <w:pPr>
        <w:pStyle w:val="FootnoteText"/>
      </w:pPr>
      <w:r>
        <w:tab/>
      </w:r>
      <w:r w:rsidRPr="009C6977">
        <w:rPr>
          <w:rStyle w:val="FootnoteReference"/>
        </w:rPr>
        <w:footnoteRef/>
      </w:r>
      <w:r>
        <w:tab/>
      </w:r>
      <w:r w:rsidRPr="0099740C">
        <w:t>See, for example, A/70/836</w:t>
      </w:r>
      <w:r>
        <w:t>-</w:t>
      </w:r>
      <w:r w:rsidRPr="0099740C">
        <w:t xml:space="preserve">S/2016/360, available from </w:t>
      </w:r>
      <w:hyperlink r:id="rId7" w:history="1">
        <w:r w:rsidRPr="0099740C">
          <w:t>www.un.org/ga/search/view_doc.asp?symbol=A/70/836&amp;Lang=E&amp;Area=UNDOC</w:t>
        </w:r>
      </w:hyperlink>
      <w:r w:rsidRPr="0099740C">
        <w:t xml:space="preserve">, and </w:t>
      </w:r>
      <w:hyperlink r:id="rId8" w:history="1">
        <w:r w:rsidRPr="0099740C">
          <w:t>www.unrwa.org/sites/default/files/content/resources/children_in_distress_briefing_note.pdf</w:t>
        </w:r>
      </w:hyperlink>
      <w:r w:rsidRPr="0099740C">
        <w:t xml:space="preserve">. </w:t>
      </w:r>
    </w:p>
  </w:footnote>
  <w:footnote w:id="74">
    <w:p w:rsidR="002C48EE" w:rsidRPr="00E03ABF" w:rsidRDefault="002C48EE" w:rsidP="00C51318">
      <w:pPr>
        <w:pStyle w:val="FootnoteText"/>
      </w:pPr>
      <w:r>
        <w:tab/>
      </w:r>
      <w:r w:rsidRPr="009C6977">
        <w:rPr>
          <w:rStyle w:val="FootnoteReference"/>
        </w:rPr>
        <w:footnoteRef/>
      </w:r>
      <w:r>
        <w:tab/>
      </w:r>
      <w:r w:rsidRPr="00E03ABF">
        <w:t xml:space="preserve">See A/HRC/31/44, </w:t>
      </w:r>
      <w:r w:rsidRPr="0099740C">
        <w:t xml:space="preserve">paras. </w:t>
      </w:r>
      <w:proofErr w:type="gramStart"/>
      <w:r w:rsidRPr="0099740C">
        <w:t>21 and 34</w:t>
      </w:r>
      <w:r w:rsidRPr="00E03ABF">
        <w:t>.</w:t>
      </w:r>
      <w:proofErr w:type="gramEnd"/>
    </w:p>
  </w:footnote>
  <w:footnote w:id="75">
    <w:p w:rsidR="002C48EE" w:rsidRPr="00E03ABF" w:rsidRDefault="002C48EE" w:rsidP="00C51318">
      <w:pPr>
        <w:pStyle w:val="FootnoteText"/>
        <w:rPr>
          <w:b/>
        </w:rPr>
      </w:pPr>
      <w:r>
        <w:tab/>
      </w:r>
      <w:r w:rsidRPr="009C6977">
        <w:rPr>
          <w:rStyle w:val="FootnoteReference"/>
        </w:rPr>
        <w:footnoteRef/>
      </w:r>
      <w:r>
        <w:tab/>
      </w:r>
      <w:r w:rsidRPr="00E03ABF">
        <w:t xml:space="preserve">See A/71/554, paras. </w:t>
      </w:r>
      <w:proofErr w:type="gramStart"/>
      <w:r w:rsidRPr="00E03ABF">
        <w:t>41 and 49; and the report on the human rights situation available from www.ohchr.org/EN/HRBodies/HRC/RegularSessions/Session34/Pages/ListReports.aspx, para.</w:t>
      </w:r>
      <w:proofErr w:type="gramEnd"/>
      <w:r w:rsidRPr="00E03ABF">
        <w:t xml:space="preserve"> 28.</w:t>
      </w:r>
    </w:p>
  </w:footnote>
  <w:footnote w:id="76">
    <w:p w:rsidR="002C48EE" w:rsidRPr="00337538" w:rsidRDefault="002C48EE" w:rsidP="00C51318">
      <w:pPr>
        <w:pStyle w:val="FootnoteText"/>
      </w:pPr>
      <w:r>
        <w:tab/>
      </w:r>
      <w:r w:rsidRPr="009C6977">
        <w:rPr>
          <w:rStyle w:val="FootnoteReference"/>
        </w:rPr>
        <w:footnoteRef/>
      </w:r>
      <w:r>
        <w:tab/>
      </w:r>
      <w:r w:rsidRPr="00E03ABF">
        <w:t>S</w:t>
      </w:r>
      <w:r w:rsidRPr="00337538">
        <w:t>ee www.mfa.gov.il/mfa/pressroom/2007/pages/security%20cabinet%</w:t>
      </w:r>
      <w:r w:rsidRPr="00337538">
        <w:br/>
        <w:t>20declares%20gaza%20hostile%20territory%2019-sep-2007.aspx.</w:t>
      </w:r>
    </w:p>
  </w:footnote>
  <w:footnote w:id="77">
    <w:p w:rsidR="002C48EE" w:rsidRPr="0099740C" w:rsidRDefault="002C48EE" w:rsidP="00C51318">
      <w:pPr>
        <w:pStyle w:val="FootnoteText"/>
      </w:pPr>
      <w:r>
        <w:tab/>
      </w:r>
      <w:r w:rsidRPr="009C6977">
        <w:rPr>
          <w:rStyle w:val="FootnoteReference"/>
        </w:rPr>
        <w:footnoteRef/>
      </w:r>
      <w:r>
        <w:tab/>
      </w:r>
      <w:r w:rsidRPr="00E03ABF">
        <w:t>See report on the human rights situation available from www.ohchr.org/EN/HRBodies/HRC/RegularSessions/Session34/Pages/ListReports.aspx</w:t>
      </w:r>
      <w:proofErr w:type="gramStart"/>
      <w:r w:rsidRPr="00E03ABF">
        <w:t>,</w:t>
      </w:r>
      <w:proofErr w:type="gramEnd"/>
      <w:r w:rsidRPr="00E03ABF">
        <w:br/>
      </w:r>
      <w:r w:rsidRPr="0099740C">
        <w:t>paras. 30-32.</w:t>
      </w:r>
      <w:r>
        <w:t xml:space="preserve"> </w:t>
      </w:r>
    </w:p>
  </w:footnote>
  <w:footnote w:id="78">
    <w:p w:rsidR="002C48EE" w:rsidRPr="0099740C" w:rsidRDefault="002C48EE" w:rsidP="00C51318">
      <w:pPr>
        <w:pStyle w:val="FootnoteText"/>
        <w:rPr>
          <w:szCs w:val="18"/>
        </w:rPr>
      </w:pPr>
      <w:r>
        <w:tab/>
      </w:r>
      <w:r w:rsidRPr="009C6977">
        <w:rPr>
          <w:rStyle w:val="FootnoteReference"/>
        </w:rPr>
        <w:footnoteRef/>
      </w:r>
      <w:r>
        <w:tab/>
      </w:r>
      <w:r w:rsidRPr="0099740C">
        <w:t>See A/HRC/31/</w:t>
      </w:r>
      <w:r w:rsidRPr="0099740C">
        <w:rPr>
          <w:szCs w:val="18"/>
        </w:rPr>
        <w:t>73 and A/HRC/31/40.</w:t>
      </w:r>
    </w:p>
  </w:footnote>
  <w:footnote w:id="79">
    <w:p w:rsidR="002C48EE" w:rsidRPr="0099740C" w:rsidRDefault="002C48EE" w:rsidP="00C51318">
      <w:pPr>
        <w:pStyle w:val="FootnoteText"/>
        <w:rPr>
          <w:szCs w:val="18"/>
        </w:rPr>
      </w:pPr>
      <w:r>
        <w:rPr>
          <w:szCs w:val="18"/>
        </w:rPr>
        <w:tab/>
      </w:r>
      <w:r w:rsidRPr="009C6977">
        <w:rPr>
          <w:rStyle w:val="FootnoteReference"/>
        </w:rPr>
        <w:footnoteRef/>
      </w:r>
      <w:r>
        <w:rPr>
          <w:szCs w:val="18"/>
        </w:rPr>
        <w:tab/>
      </w:r>
      <w:r w:rsidRPr="0099740C">
        <w:rPr>
          <w:szCs w:val="18"/>
        </w:rPr>
        <w:t>See www.ochaopt.org/content/gaza-strip-humanitarian-impact-blockade-november-2016.</w:t>
      </w:r>
    </w:p>
  </w:footnote>
  <w:footnote w:id="80">
    <w:p w:rsidR="002C48EE" w:rsidRPr="0099740C" w:rsidRDefault="002C48EE" w:rsidP="00C51318">
      <w:pPr>
        <w:pStyle w:val="FootnoteText"/>
        <w:rPr>
          <w:szCs w:val="18"/>
        </w:rPr>
      </w:pPr>
      <w:r>
        <w:rPr>
          <w:szCs w:val="18"/>
        </w:rPr>
        <w:tab/>
      </w:r>
      <w:r w:rsidRPr="009C6977">
        <w:rPr>
          <w:rStyle w:val="FootnoteReference"/>
        </w:rPr>
        <w:footnoteRef/>
      </w:r>
      <w:r>
        <w:rPr>
          <w:szCs w:val="18"/>
        </w:rPr>
        <w:tab/>
      </w:r>
      <w:r w:rsidRPr="0099740C">
        <w:rPr>
          <w:szCs w:val="18"/>
        </w:rPr>
        <w:t xml:space="preserve">See </w:t>
      </w:r>
      <w:hyperlink r:id="rId9" w:history="1">
        <w:r w:rsidRPr="0099740C">
          <w:rPr>
            <w:szCs w:val="18"/>
          </w:rPr>
          <w:t>www.ochaopt.org/sites/default/files/gaza_war_2_years_after_english.pdf</w:t>
        </w:r>
      </w:hyperlink>
      <w:r w:rsidRPr="0099740C">
        <w:rPr>
          <w:szCs w:val="18"/>
        </w:rPr>
        <w:t>, p. 11.</w:t>
      </w:r>
    </w:p>
  </w:footnote>
  <w:footnote w:id="81">
    <w:p w:rsidR="002C48EE" w:rsidRPr="00985DA8" w:rsidRDefault="002C48EE" w:rsidP="00985DA8">
      <w:pPr>
        <w:pStyle w:val="FootnoteText"/>
        <w:rPr>
          <w:rStyle w:val="FootnoteReference"/>
        </w:rPr>
      </w:pPr>
      <w:r>
        <w:rPr>
          <w:rStyle w:val="FootnoteReference"/>
        </w:rPr>
        <w:tab/>
      </w:r>
      <w:r w:rsidRPr="009C6977">
        <w:rPr>
          <w:rStyle w:val="FootnoteReference"/>
        </w:rPr>
        <w:footnoteRef/>
      </w:r>
      <w:r>
        <w:tab/>
      </w:r>
      <w:r w:rsidRPr="00E03ABF">
        <w:t>See report on the human rights situation available from www.ohchr.org/EN/HRBodies/HRC/RegularSessions/Session34/Pages/ListReports.aspx</w:t>
      </w:r>
      <w:r w:rsidRPr="00985DA8">
        <w:t>, para. 30.</w:t>
      </w:r>
    </w:p>
  </w:footnote>
  <w:footnote w:id="82">
    <w:p w:rsidR="002C48EE" w:rsidRPr="00DA51DA" w:rsidRDefault="002C48EE" w:rsidP="00C51318">
      <w:pPr>
        <w:pStyle w:val="FootnoteText"/>
      </w:pPr>
      <w:r>
        <w:rPr>
          <w:szCs w:val="18"/>
        </w:rPr>
        <w:tab/>
      </w:r>
      <w:r w:rsidRPr="009C6977">
        <w:rPr>
          <w:rStyle w:val="FootnoteReference"/>
        </w:rPr>
        <w:footnoteRef/>
      </w:r>
      <w:r>
        <w:rPr>
          <w:szCs w:val="18"/>
        </w:rPr>
        <w:tab/>
      </w:r>
      <w:r w:rsidRPr="0099740C">
        <w:rPr>
          <w:szCs w:val="18"/>
        </w:rPr>
        <w:t xml:space="preserve">See </w:t>
      </w:r>
      <w:hyperlink r:id="rId10" w:history="1">
        <w:r w:rsidRPr="0099740C">
          <w:rPr>
            <w:szCs w:val="18"/>
          </w:rPr>
          <w:t>www.ochaopt.org/sites/default/files/gaza_war_2_years_after_english.pdf</w:t>
        </w:r>
      </w:hyperlink>
      <w:r w:rsidRPr="0099740C">
        <w:rPr>
          <w:szCs w:val="18"/>
        </w:rPr>
        <w:t>.</w:t>
      </w:r>
      <w:r w:rsidRPr="00DA51DA">
        <w:rPr>
          <w:szCs w:val="18"/>
        </w:rPr>
        <w:t xml:space="preserve"> </w:t>
      </w:r>
    </w:p>
  </w:footnote>
  <w:footnote w:id="83">
    <w:p w:rsidR="002C48EE" w:rsidRDefault="002C48EE" w:rsidP="00C51318">
      <w:pPr>
        <w:pStyle w:val="FootnoteText"/>
      </w:pPr>
      <w:r>
        <w:tab/>
      </w:r>
      <w:r w:rsidRPr="009C6977">
        <w:rPr>
          <w:rStyle w:val="FootnoteReference"/>
        </w:rPr>
        <w:footnoteRef/>
      </w:r>
      <w:r>
        <w:tab/>
      </w:r>
      <w:r w:rsidRPr="00E03ABF">
        <w:t>See report on the human rights situation available from</w:t>
      </w:r>
    </w:p>
    <w:p w:rsidR="002C48EE" w:rsidRPr="00E03ABF" w:rsidRDefault="002C48EE" w:rsidP="00C51318">
      <w:pPr>
        <w:pStyle w:val="FootnoteText"/>
      </w:pPr>
      <w:r>
        <w:tab/>
      </w:r>
      <w:r>
        <w:tab/>
      </w:r>
      <w:r w:rsidRPr="00F07140">
        <w:rPr>
          <w:lang w:val="es-ES"/>
        </w:rPr>
        <w:t xml:space="preserve">www.ohchr.org/EN/HRBodies/HRC/RegularSessions/Session34/Pages/ListReports.aspx, </w:t>
      </w:r>
      <w:r w:rsidRPr="00F07140">
        <w:rPr>
          <w:lang w:val="es-ES"/>
        </w:rPr>
        <w:t xml:space="preserve">para. </w:t>
      </w:r>
      <w:r w:rsidRPr="00E03ABF">
        <w:t>68.</w:t>
      </w:r>
    </w:p>
  </w:footnote>
  <w:footnote w:id="84">
    <w:p w:rsidR="002C48EE" w:rsidRPr="00E03ABF" w:rsidRDefault="002C48EE" w:rsidP="00C51318">
      <w:pPr>
        <w:pStyle w:val="FootnoteText"/>
      </w:pPr>
      <w:r>
        <w:tab/>
      </w:r>
      <w:r w:rsidRPr="009C6977">
        <w:rPr>
          <w:rStyle w:val="FootnoteReference"/>
        </w:rPr>
        <w:footnoteRef/>
      </w:r>
      <w:r>
        <w:tab/>
      </w:r>
      <w:r w:rsidRPr="00E03ABF">
        <w:t>See also the United Nations Educational, Scientific and Cultural Organization (UNESCO) 200</w:t>
      </w:r>
      <w:r>
        <w:t xml:space="preserve"> </w:t>
      </w:r>
      <w:r w:rsidRPr="00E03ABF">
        <w:t>EX/Decisions (200</w:t>
      </w:r>
      <w:r>
        <w:t xml:space="preserve"> </w:t>
      </w:r>
      <w:r w:rsidRPr="00E03ABF">
        <w:t>EX/25), of 2016.</w:t>
      </w:r>
    </w:p>
  </w:footnote>
  <w:footnote w:id="85">
    <w:p w:rsidR="002C48EE" w:rsidRPr="00E03ABF" w:rsidRDefault="002C48EE" w:rsidP="00C51318">
      <w:pPr>
        <w:pStyle w:val="FootnoteText"/>
      </w:pPr>
      <w:r>
        <w:tab/>
      </w:r>
      <w:r w:rsidRPr="009C6977">
        <w:rPr>
          <w:rStyle w:val="FootnoteReference"/>
        </w:rPr>
        <w:footnoteRef/>
      </w:r>
      <w:r>
        <w:tab/>
      </w:r>
      <w:r w:rsidRPr="00E03ABF">
        <w:t>See A/71/355, para. 29.</w:t>
      </w:r>
    </w:p>
  </w:footnote>
  <w:footnote w:id="86">
    <w:p w:rsidR="002C48EE" w:rsidRPr="00E03ABF" w:rsidRDefault="002C48EE" w:rsidP="00C51318">
      <w:pPr>
        <w:pStyle w:val="FootnoteText"/>
      </w:pPr>
      <w:r>
        <w:tab/>
      </w:r>
      <w:r w:rsidRPr="009C6977">
        <w:rPr>
          <w:rStyle w:val="FootnoteReference"/>
        </w:rPr>
        <w:footnoteRef/>
      </w:r>
      <w:r>
        <w:tab/>
      </w:r>
      <w:r w:rsidRPr="00E03ABF">
        <w:t>See www.emro.who.int/images/stories/palestine/WHO_monthly_Gaza_access_report-Dec_2016-Final.pdf?ua=1.</w:t>
      </w:r>
    </w:p>
  </w:footnote>
  <w:footnote w:id="87">
    <w:p w:rsidR="002C48EE" w:rsidRPr="00E03ABF" w:rsidRDefault="002C48EE" w:rsidP="00C51318">
      <w:pPr>
        <w:pStyle w:val="FootnoteText"/>
      </w:pPr>
      <w:r>
        <w:tab/>
      </w:r>
      <w:r w:rsidRPr="009C6977">
        <w:rPr>
          <w:rStyle w:val="FootnoteReference"/>
        </w:rPr>
        <w:footnoteRef/>
      </w:r>
      <w:r>
        <w:tab/>
      </w:r>
      <w:r w:rsidRPr="00E03ABF">
        <w:t xml:space="preserve">See </w:t>
      </w:r>
      <w:r w:rsidRPr="00E03ABF">
        <w:rPr>
          <w:rFonts w:eastAsia="Calibri"/>
        </w:rPr>
        <w:t>A/71/364, para. 11.</w:t>
      </w:r>
    </w:p>
  </w:footnote>
  <w:footnote w:id="88">
    <w:p w:rsidR="002C48EE" w:rsidRPr="00E03ABF" w:rsidRDefault="002C48EE" w:rsidP="00C51318">
      <w:pPr>
        <w:pStyle w:val="FootnoteText"/>
      </w:pPr>
      <w:r>
        <w:tab/>
      </w:r>
      <w:r w:rsidRPr="009C6977">
        <w:rPr>
          <w:rStyle w:val="FootnoteReference"/>
        </w:rPr>
        <w:footnoteRef/>
      </w:r>
      <w:r>
        <w:tab/>
      </w:r>
      <w:r w:rsidRPr="00E03ABF">
        <w:t>See www.ohchr.org/EN/NewsEvents/Pages/DisplayNews.aspx?NewsID=20565&amp;LangID=E.</w:t>
      </w:r>
    </w:p>
  </w:footnote>
  <w:footnote w:id="89">
    <w:p w:rsidR="002C48EE" w:rsidRPr="00E03ABF" w:rsidRDefault="002C48EE" w:rsidP="00C51318">
      <w:pPr>
        <w:pStyle w:val="FootnoteText"/>
      </w:pPr>
      <w:r>
        <w:tab/>
      </w:r>
      <w:r w:rsidRPr="009C6977">
        <w:rPr>
          <w:rStyle w:val="FootnoteReference"/>
        </w:rPr>
        <w:footnoteRef/>
      </w:r>
      <w:r>
        <w:tab/>
      </w:r>
      <w:r w:rsidRPr="00E03ABF">
        <w:t xml:space="preserve">See </w:t>
      </w:r>
      <w:hyperlink r:id="rId11" w:history="1">
        <w:r w:rsidRPr="00E03ABF">
          <w:t>https://www.ochaopt.org/documents/2016_hrp_22_january%202016.pdf</w:t>
        </w:r>
      </w:hyperlink>
      <w:r w:rsidRPr="00E03ABF">
        <w:t>, p. 29.</w:t>
      </w:r>
    </w:p>
  </w:footnote>
  <w:footnote w:id="90">
    <w:p w:rsidR="002C48EE" w:rsidRPr="00E03ABF" w:rsidRDefault="002C48EE" w:rsidP="00C51318">
      <w:pPr>
        <w:pStyle w:val="FootnoteText"/>
      </w:pPr>
      <w:r>
        <w:tab/>
      </w:r>
      <w:r w:rsidRPr="009C6977">
        <w:rPr>
          <w:rStyle w:val="FootnoteReference"/>
        </w:rPr>
        <w:footnoteRef/>
      </w:r>
      <w:r>
        <w:tab/>
      </w:r>
      <w:r w:rsidRPr="00E03ABF">
        <w:t>See A/70/836</w:t>
      </w:r>
      <w:r>
        <w:t>-</w:t>
      </w:r>
      <w:r w:rsidRPr="00E03ABF">
        <w:t xml:space="preserve">S/2016/360, para. </w:t>
      </w:r>
      <w:proofErr w:type="gramStart"/>
      <w:r w:rsidRPr="00E03ABF">
        <w:t>76, available from www.un.org/ga/search/view_doc.asp?symbol=A/70/836&amp;Lang=E&amp;Area=UNDOC.</w:t>
      </w:r>
      <w:proofErr w:type="gramEnd"/>
    </w:p>
  </w:footnote>
  <w:footnote w:id="91">
    <w:p w:rsidR="002C48EE" w:rsidRPr="00E03ABF" w:rsidRDefault="002C48EE" w:rsidP="00C51318">
      <w:pPr>
        <w:pStyle w:val="FootnoteText"/>
      </w:pPr>
      <w:r>
        <w:tab/>
      </w:r>
      <w:r w:rsidRPr="009C6977">
        <w:rPr>
          <w:rStyle w:val="FootnoteReference"/>
        </w:rPr>
        <w:footnoteRef/>
      </w:r>
      <w:r>
        <w:tab/>
      </w:r>
      <w:r w:rsidRPr="00E03ABF">
        <w:t>See A/69/926</w:t>
      </w:r>
      <w:r>
        <w:t>-</w:t>
      </w:r>
      <w:r w:rsidRPr="00E03ABF">
        <w:t xml:space="preserve">S/2015/409, paras. </w:t>
      </w:r>
      <w:proofErr w:type="gramStart"/>
      <w:r w:rsidRPr="00E03ABF">
        <w:rPr>
          <w:rFonts w:eastAsia="Calibri"/>
        </w:rPr>
        <w:t>102 and 103, available from www.un.org/ga/search/</w:t>
      </w:r>
      <w:r>
        <w:rPr>
          <w:rFonts w:eastAsia="Calibri"/>
        </w:rPr>
        <w:br/>
      </w:r>
      <w:proofErr w:type="spellStart"/>
      <w:r w:rsidRPr="00E03ABF">
        <w:rPr>
          <w:rFonts w:eastAsia="Calibri"/>
        </w:rPr>
        <w:t>view_doc.asp?symbol</w:t>
      </w:r>
      <w:proofErr w:type="spellEnd"/>
      <w:r w:rsidRPr="00E03ABF">
        <w:rPr>
          <w:rFonts w:eastAsia="Calibri"/>
        </w:rPr>
        <w:t>=A/69/926.</w:t>
      </w:r>
      <w:proofErr w:type="gramEnd"/>
    </w:p>
  </w:footnote>
  <w:footnote w:id="92">
    <w:p w:rsidR="002C48EE" w:rsidRPr="0099740C" w:rsidRDefault="002C48EE" w:rsidP="00C51318">
      <w:pPr>
        <w:pStyle w:val="FootnoteText"/>
      </w:pPr>
      <w:r>
        <w:tab/>
      </w:r>
      <w:r w:rsidRPr="009C6977">
        <w:rPr>
          <w:rStyle w:val="FootnoteReference"/>
        </w:rPr>
        <w:footnoteRef/>
      </w:r>
      <w:r>
        <w:tab/>
      </w:r>
      <w:r w:rsidRPr="0099740C">
        <w:rPr>
          <w:lang w:val="en-US"/>
        </w:rPr>
        <w:t xml:space="preserve">See </w:t>
      </w:r>
      <w:r w:rsidRPr="0099740C">
        <w:t>A/71/86</w:t>
      </w:r>
      <w:r>
        <w:rPr>
          <w:lang w:val="en-US"/>
        </w:rPr>
        <w:t>-</w:t>
      </w:r>
      <w:r w:rsidRPr="0099740C">
        <w:t>E/2016/13, para.</w:t>
      </w:r>
      <w:r w:rsidRPr="0099740C">
        <w:rPr>
          <w:lang w:val="en-US"/>
        </w:rPr>
        <w:t xml:space="preserve"> </w:t>
      </w:r>
      <w:proofErr w:type="gramStart"/>
      <w:r w:rsidRPr="0099740C">
        <w:t>69</w:t>
      </w:r>
      <w:r w:rsidRPr="0099740C">
        <w:rPr>
          <w:lang w:val="en-US"/>
        </w:rPr>
        <w:t>, available from www.un.org/ga/search/view_doc.asp?symbol=A/71/86.</w:t>
      </w:r>
      <w:proofErr w:type="gramEnd"/>
    </w:p>
  </w:footnote>
  <w:footnote w:id="93">
    <w:p w:rsidR="002C48EE" w:rsidRPr="00DA51DA" w:rsidRDefault="002C48EE" w:rsidP="00C51318">
      <w:pPr>
        <w:pStyle w:val="FootnoteText"/>
      </w:pPr>
      <w:r>
        <w:tab/>
      </w:r>
      <w:r w:rsidRPr="009C6977">
        <w:rPr>
          <w:rStyle w:val="FootnoteReference"/>
        </w:rPr>
        <w:footnoteRef/>
      </w:r>
      <w:r>
        <w:tab/>
      </w:r>
      <w:proofErr w:type="gramStart"/>
      <w:r w:rsidRPr="0099740C">
        <w:t>Ibid.,</w:t>
      </w:r>
      <w:proofErr w:type="gramEnd"/>
      <w:r w:rsidRPr="0099740C">
        <w:t xml:space="preserve"> para. 71.</w:t>
      </w:r>
      <w:r w:rsidRPr="00DA51DA">
        <w:t xml:space="preserve"> </w:t>
      </w:r>
    </w:p>
  </w:footnote>
  <w:footnote w:id="94">
    <w:p w:rsidR="002C48EE" w:rsidRPr="00DA51DA" w:rsidRDefault="002C48EE" w:rsidP="00C51318">
      <w:pPr>
        <w:pStyle w:val="FootnoteText"/>
      </w:pPr>
      <w:r>
        <w:tab/>
      </w:r>
      <w:r w:rsidRPr="009C6977">
        <w:rPr>
          <w:rStyle w:val="FootnoteReference"/>
        </w:rPr>
        <w:footnoteRef/>
      </w:r>
      <w:r>
        <w:tab/>
      </w:r>
      <w:r w:rsidRPr="0099740C">
        <w:t>See http://mfa.gov.il/MFA/InternatlOrgs/Speeches/Pages/Israel-UPR-UN-Human-Rights-Council-29-Oct-2013.aspx.</w:t>
      </w:r>
    </w:p>
  </w:footnote>
  <w:footnote w:id="95">
    <w:p w:rsidR="002C48EE" w:rsidRPr="00DA51DA" w:rsidRDefault="002C48EE" w:rsidP="00C51318">
      <w:pPr>
        <w:pStyle w:val="FootnoteText"/>
      </w:pPr>
      <w:r>
        <w:tab/>
      </w:r>
      <w:r w:rsidRPr="009C6977">
        <w:rPr>
          <w:rStyle w:val="FootnoteReference"/>
        </w:rPr>
        <w:footnoteRef/>
      </w:r>
      <w:r>
        <w:tab/>
      </w:r>
      <w:r w:rsidRPr="007724CB">
        <w:t xml:space="preserve">See </w:t>
      </w:r>
      <w:hyperlink r:id="rId12" w:history="1">
        <w:r w:rsidRPr="007724CB">
          <w:t>www.ohchr.org/EN/HRBodies/SP/Pages/CountryvisitsF-M.aspx</w:t>
        </w:r>
      </w:hyperlink>
      <w:r w:rsidRPr="007724CB">
        <w:t>.</w:t>
      </w:r>
    </w:p>
  </w:footnote>
  <w:footnote w:id="96">
    <w:p w:rsidR="002C48EE" w:rsidRPr="00DA51DA" w:rsidRDefault="002C48EE" w:rsidP="00C51318">
      <w:pPr>
        <w:pStyle w:val="FootnoteText"/>
      </w:pPr>
      <w:r>
        <w:tab/>
      </w:r>
      <w:r w:rsidRPr="009C6977">
        <w:rPr>
          <w:rStyle w:val="FootnoteReference"/>
        </w:rPr>
        <w:footnoteRef/>
      </w:r>
      <w:r>
        <w:tab/>
      </w:r>
      <w:r w:rsidRPr="007724CB">
        <w:t xml:space="preserve">See </w:t>
      </w:r>
      <w:hyperlink r:id="rId13" w:history="1">
        <w:r w:rsidRPr="007724CB">
          <w:t>www.ohchr.org/EN/NewsEvents/Pages/DisplayNews.aspx?NewsID=20565&amp;LangID=E</w:t>
        </w:r>
      </w:hyperlink>
      <w:r w:rsidRPr="007724CB">
        <w:t>; A/HRC/10/8/Add.2; A/HRC/20/17/Add.2; and A/HRC/22/46/Add.1.</w:t>
      </w:r>
    </w:p>
  </w:footnote>
  <w:footnote w:id="97">
    <w:p w:rsidR="002C48EE" w:rsidRPr="0099740C" w:rsidRDefault="002C48EE" w:rsidP="00C51318">
      <w:pPr>
        <w:pStyle w:val="FootnoteText"/>
      </w:pPr>
      <w:r>
        <w:tab/>
      </w:r>
      <w:r w:rsidRPr="009C6977">
        <w:rPr>
          <w:rStyle w:val="FootnoteReference"/>
        </w:rPr>
        <w:footnoteRef/>
      </w:r>
      <w:r>
        <w:tab/>
      </w:r>
      <w:r w:rsidRPr="0099740C">
        <w:t xml:space="preserve">See </w:t>
      </w:r>
      <w:r w:rsidRPr="0099740C">
        <w:rPr>
          <w:rFonts w:eastAsia="Calibri"/>
        </w:rPr>
        <w:t xml:space="preserve">A/69/301, </w:t>
      </w:r>
      <w:r w:rsidRPr="0099740C">
        <w:t>section</w:t>
      </w:r>
      <w:r w:rsidRPr="0099740C">
        <w:rPr>
          <w:rFonts w:eastAsia="Calibri"/>
        </w:rPr>
        <w:t xml:space="preserve"> III.</w:t>
      </w:r>
    </w:p>
  </w:footnote>
  <w:footnote w:id="98">
    <w:p w:rsidR="002C48EE" w:rsidRPr="00DA51DA" w:rsidRDefault="002C48EE" w:rsidP="00C51318">
      <w:pPr>
        <w:pStyle w:val="FootnoteText"/>
      </w:pPr>
      <w:r>
        <w:tab/>
      </w:r>
      <w:r w:rsidRPr="009C6977">
        <w:rPr>
          <w:rStyle w:val="FootnoteReference"/>
        </w:rPr>
        <w:footnoteRef/>
      </w:r>
      <w:r>
        <w:tab/>
      </w:r>
      <w:r w:rsidRPr="0099740C">
        <w:t xml:space="preserve">See Commission on Human Rights resolution </w:t>
      </w:r>
      <w:r w:rsidRPr="0099740C">
        <w:rPr>
          <w:rFonts w:eastAsia="Calibri"/>
        </w:rPr>
        <w:t xml:space="preserve">1993/2 and </w:t>
      </w:r>
      <w:r w:rsidRPr="00E03ABF">
        <w:rPr>
          <w:rFonts w:eastAsia="Calibri"/>
        </w:rPr>
        <w:t xml:space="preserve">Human Rights Council resolution </w:t>
      </w:r>
      <w:r w:rsidRPr="0099740C">
        <w:rPr>
          <w:rFonts w:eastAsia="Calibri"/>
        </w:rPr>
        <w:t>5/1.</w:t>
      </w:r>
    </w:p>
  </w:footnote>
  <w:footnote w:id="99">
    <w:p w:rsidR="002C48EE" w:rsidRPr="00DA51DA" w:rsidRDefault="002C48EE" w:rsidP="00C51318">
      <w:pPr>
        <w:pStyle w:val="FootnoteText"/>
      </w:pPr>
      <w:r>
        <w:tab/>
      </w:r>
      <w:r w:rsidRPr="009C6977">
        <w:rPr>
          <w:rStyle w:val="FootnoteReference"/>
        </w:rPr>
        <w:footnoteRef/>
      </w:r>
      <w:r>
        <w:tab/>
      </w:r>
      <w:r w:rsidRPr="0099740C">
        <w:t xml:space="preserve">See the special </w:t>
      </w:r>
      <w:r w:rsidRPr="0099740C">
        <w:rPr>
          <w:lang w:val="en-US"/>
        </w:rPr>
        <w:t>p</w:t>
      </w:r>
      <w:proofErr w:type="spellStart"/>
      <w:r w:rsidRPr="0099740C">
        <w:t>rocedures</w:t>
      </w:r>
      <w:proofErr w:type="spellEnd"/>
      <w:r w:rsidRPr="0099740C">
        <w:t xml:space="preserve"> database at https://spcommreports.ohchr.org/Tmsearch/TMDocuments.</w:t>
      </w:r>
    </w:p>
  </w:footnote>
  <w:footnote w:id="100">
    <w:p w:rsidR="002C48EE" w:rsidRPr="0035587D" w:rsidRDefault="002C48EE" w:rsidP="00C51318">
      <w:pPr>
        <w:pStyle w:val="FootnoteText"/>
      </w:pPr>
      <w:r>
        <w:tab/>
      </w:r>
      <w:r w:rsidRPr="009C6977">
        <w:rPr>
          <w:rStyle w:val="FootnoteReference"/>
        </w:rPr>
        <w:footnoteRef/>
      </w:r>
      <w:r>
        <w:tab/>
      </w:r>
      <w:r w:rsidRPr="0035587D">
        <w:t>See www.ohchr.org/EN/NewsEvents/Pages/DisplayNews.aspx?NewsID=14556&amp;.</w:t>
      </w:r>
    </w:p>
  </w:footnote>
  <w:footnote w:id="101">
    <w:p w:rsidR="002C48EE" w:rsidRPr="00DA51DA" w:rsidRDefault="002C48EE" w:rsidP="00C51318">
      <w:pPr>
        <w:pStyle w:val="FootnoteText"/>
      </w:pPr>
      <w:r>
        <w:tab/>
      </w:r>
      <w:r w:rsidRPr="009C6977">
        <w:rPr>
          <w:rStyle w:val="FootnoteReference"/>
        </w:rPr>
        <w:footnoteRef/>
      </w:r>
      <w:r>
        <w:tab/>
      </w:r>
      <w:r w:rsidRPr="0035587D">
        <w:t xml:space="preserve">See </w:t>
      </w:r>
      <w:r w:rsidRPr="0035587D">
        <w:rPr>
          <w:rFonts w:eastAsia="Calibri"/>
        </w:rPr>
        <w:t>http://tbinternet.ohchr.org/_layouts/TreatyBodyExternal/LateReporting.aspx.</w:t>
      </w:r>
    </w:p>
  </w:footnote>
  <w:footnote w:id="102">
    <w:p w:rsidR="002C48EE" w:rsidRPr="00DA51DA" w:rsidRDefault="002C48EE" w:rsidP="00C51318">
      <w:pPr>
        <w:pStyle w:val="FootnoteText"/>
      </w:pPr>
      <w:r>
        <w:tab/>
      </w:r>
      <w:r w:rsidRPr="009C6977">
        <w:rPr>
          <w:rStyle w:val="FootnoteReference"/>
        </w:rPr>
        <w:footnoteRef/>
      </w:r>
      <w:r>
        <w:tab/>
      </w:r>
      <w:r w:rsidRPr="00E03ABF">
        <w:rPr>
          <w:i/>
        </w:rPr>
        <w:t>Legal Consequences of the Construction of a Wall in the Occupied Palestinian Territory</w:t>
      </w:r>
      <w:r w:rsidRPr="00E03ABF">
        <w:t>,</w:t>
      </w:r>
      <w:r w:rsidRPr="0005602D">
        <w:t xml:space="preserve"> p. 136. </w:t>
      </w:r>
      <w:r>
        <w:t>Within t</w:t>
      </w:r>
      <w:r w:rsidRPr="001C5036">
        <w:t xml:space="preserve">he </w:t>
      </w:r>
      <w:r w:rsidRPr="00A71EFB">
        <w:t>Advisory Opinion</w:t>
      </w:r>
      <w:r w:rsidRPr="001C5036">
        <w:t xml:space="preserve">, see </w:t>
      </w:r>
      <w:r w:rsidRPr="0005602D">
        <w:t>the applicability of the Geneva Convention relative to the Protection of Civilian Persons in Time of War (Fourth Geneva Convention), at para</w:t>
      </w:r>
      <w:r>
        <w:t xml:space="preserve">. 101; of the Convention (IV) respecting the Laws and Customs of War on Land and its annex: Regulations concerning the Laws and Customs of War on </w:t>
      </w:r>
      <w:r w:rsidRPr="0005602D">
        <w:t>Land</w:t>
      </w:r>
      <w:r>
        <w:rPr>
          <w:lang w:val="en-US"/>
        </w:rPr>
        <w:t xml:space="preserve"> (The Hague, 18 October 1907)</w:t>
      </w:r>
      <w:r w:rsidRPr="0005602D">
        <w:rPr>
          <w:lang w:val="en-US"/>
        </w:rPr>
        <w:t>,</w:t>
      </w:r>
      <w:r w:rsidRPr="00E03ABF">
        <w:t xml:space="preserve"> </w:t>
      </w:r>
      <w:r w:rsidRPr="0005602D">
        <w:t>at para. 124; and</w:t>
      </w:r>
      <w:r>
        <w:t xml:space="preserve"> of </w:t>
      </w:r>
      <w:r w:rsidRPr="0099740C">
        <w:t xml:space="preserve">the International Covenant on Civil and Political Rights, the </w:t>
      </w:r>
      <w:r w:rsidRPr="0005602D">
        <w:t>International Covenant on Economic, Social and Cultural Rights and the Convention on the Rights of the Child</w:t>
      </w:r>
      <w:r w:rsidRPr="00E03ABF">
        <w:t>,</w:t>
      </w:r>
      <w:r w:rsidRPr="0005602D">
        <w:t xml:space="preserve"> </w:t>
      </w:r>
      <w:r w:rsidRPr="00E03ABF">
        <w:t xml:space="preserve">at </w:t>
      </w:r>
      <w:r w:rsidRPr="0005602D">
        <w:t>paras.</w:t>
      </w:r>
      <w:r w:rsidRPr="00E03ABF">
        <w:t xml:space="preserve"> </w:t>
      </w:r>
      <w:r w:rsidRPr="0005602D">
        <w:t>106</w:t>
      </w:r>
      <w:r w:rsidRPr="00E03ABF">
        <w:t xml:space="preserve"> and</w:t>
      </w:r>
      <w:r w:rsidRPr="0005602D">
        <w:t xml:space="preserve"> 111-113.</w:t>
      </w:r>
    </w:p>
  </w:footnote>
  <w:footnote w:id="103">
    <w:p w:rsidR="002C48EE" w:rsidRPr="0099740C" w:rsidRDefault="002C48EE" w:rsidP="00C51318">
      <w:pPr>
        <w:pStyle w:val="FootnoteText"/>
      </w:pPr>
      <w:r>
        <w:tab/>
      </w:r>
      <w:r w:rsidRPr="009C6977">
        <w:rPr>
          <w:rStyle w:val="FootnoteReference"/>
        </w:rPr>
        <w:footnoteRef/>
      </w:r>
      <w:r>
        <w:tab/>
      </w:r>
      <w:r w:rsidRPr="0099740C">
        <w:t xml:space="preserve">See, for example, CRC/C/ISR/CO/2-4, para. </w:t>
      </w:r>
      <w:proofErr w:type="gramStart"/>
      <w:r w:rsidRPr="0099740C">
        <w:t>3; and CAT/C/ISR/CO/5, para.</w:t>
      </w:r>
      <w:proofErr w:type="gramEnd"/>
      <w:r w:rsidRPr="0099740C">
        <w:t xml:space="preserve"> 8.</w:t>
      </w:r>
    </w:p>
  </w:footnote>
  <w:footnote w:id="104">
    <w:p w:rsidR="002C48EE" w:rsidRPr="00E03ABF" w:rsidRDefault="002C48EE" w:rsidP="00C51318">
      <w:pPr>
        <w:pStyle w:val="FootnoteText"/>
      </w:pPr>
      <w:r>
        <w:tab/>
      </w:r>
      <w:r w:rsidRPr="009C6977">
        <w:rPr>
          <w:rStyle w:val="FootnoteReference"/>
        </w:rPr>
        <w:footnoteRef/>
      </w:r>
      <w:r>
        <w:tab/>
      </w:r>
      <w:r w:rsidRPr="00E03ABF">
        <w:t>See, for example,</w:t>
      </w:r>
      <w:r w:rsidRPr="00E03ABF">
        <w:rPr>
          <w:rFonts w:eastAsia="Calibri"/>
        </w:rPr>
        <w:t xml:space="preserve"> A/69/</w:t>
      </w:r>
      <w:r w:rsidRPr="0099740C">
        <w:t>347</w:t>
      </w:r>
      <w:r w:rsidRPr="00E03ABF">
        <w:rPr>
          <w:rFonts w:eastAsia="Calibri"/>
        </w:rPr>
        <w:t>, paras. 3-6.</w:t>
      </w:r>
    </w:p>
  </w:footnote>
  <w:footnote w:id="105">
    <w:p w:rsidR="002C48EE" w:rsidRPr="00E03ABF" w:rsidRDefault="002C48EE" w:rsidP="00C51318">
      <w:pPr>
        <w:pStyle w:val="FootnoteText"/>
      </w:pPr>
      <w:r>
        <w:tab/>
      </w:r>
      <w:r w:rsidRPr="009C6977">
        <w:rPr>
          <w:rStyle w:val="FootnoteReference"/>
        </w:rPr>
        <w:footnoteRef/>
      </w:r>
      <w:r>
        <w:tab/>
      </w:r>
      <w:r w:rsidRPr="00E03ABF">
        <w:t xml:space="preserve">See </w:t>
      </w:r>
      <w:r w:rsidRPr="00E03ABF">
        <w:rPr>
          <w:rFonts w:eastAsia="Calibri"/>
        </w:rPr>
        <w:t>A/HRC/12/37, paras. 5-9.</w:t>
      </w:r>
    </w:p>
  </w:footnote>
  <w:footnote w:id="106">
    <w:p w:rsidR="002C48EE" w:rsidRPr="0099740C" w:rsidRDefault="002C48EE" w:rsidP="00C51318">
      <w:pPr>
        <w:pStyle w:val="FootnoteText"/>
      </w:pPr>
      <w:r>
        <w:tab/>
      </w:r>
      <w:r w:rsidRPr="009C6977">
        <w:rPr>
          <w:rStyle w:val="FootnoteReference"/>
        </w:rPr>
        <w:footnoteRef/>
      </w:r>
      <w:r>
        <w:tab/>
      </w:r>
      <w:r w:rsidRPr="0099740C">
        <w:t xml:space="preserve">Two </w:t>
      </w:r>
      <w:r w:rsidRPr="0099740C">
        <w:rPr>
          <w:rFonts w:eastAsia="Calibri"/>
        </w:rPr>
        <w:t>recommendations</w:t>
      </w:r>
      <w:r w:rsidRPr="0099740C">
        <w:t xml:space="preserve"> fully implemented and 20 partially implemented, out of 550.</w:t>
      </w:r>
    </w:p>
  </w:footnote>
  <w:footnote w:id="107">
    <w:p w:rsidR="002C48EE" w:rsidRPr="0098686B" w:rsidRDefault="002C48EE" w:rsidP="00C51318">
      <w:pPr>
        <w:pStyle w:val="FootnoteText"/>
      </w:pPr>
      <w:r>
        <w:tab/>
      </w:r>
      <w:r w:rsidRPr="009C6977">
        <w:rPr>
          <w:rStyle w:val="FootnoteReference"/>
        </w:rPr>
        <w:footnoteRef/>
      </w:r>
      <w:r>
        <w:tab/>
      </w:r>
      <w:r w:rsidRPr="0098686B">
        <w:t xml:space="preserve">The </w:t>
      </w:r>
      <w:r w:rsidRPr="0098686B">
        <w:rPr>
          <w:rFonts w:eastAsia="Calibri"/>
        </w:rPr>
        <w:t>document</w:t>
      </w:r>
      <w:r w:rsidRPr="0098686B">
        <w:t xml:space="preserve"> did not reference East Jerusalem.</w:t>
      </w:r>
    </w:p>
  </w:footnote>
  <w:footnote w:id="108">
    <w:p w:rsidR="002C48EE" w:rsidRPr="00DA51DA" w:rsidRDefault="002C48EE" w:rsidP="00C51318">
      <w:pPr>
        <w:pStyle w:val="FootnoteText"/>
      </w:pPr>
      <w:r>
        <w:tab/>
      </w:r>
      <w:r w:rsidRPr="009C6977">
        <w:rPr>
          <w:rStyle w:val="FootnoteReference"/>
        </w:rPr>
        <w:footnoteRef/>
      </w:r>
      <w:r>
        <w:tab/>
      </w:r>
      <w:r w:rsidRPr="0098686B">
        <w:t>See www.ohchr.org/EN/HRBodies/UPR/Pages/ILIndex.aspx.</w:t>
      </w:r>
    </w:p>
  </w:footnote>
  <w:footnote w:id="109">
    <w:p w:rsidR="002C48EE" w:rsidRPr="0099740C" w:rsidRDefault="002C48EE" w:rsidP="00C51318">
      <w:pPr>
        <w:pStyle w:val="FootnoteText"/>
      </w:pPr>
      <w:r>
        <w:tab/>
      </w:r>
      <w:r w:rsidRPr="009C6977">
        <w:rPr>
          <w:rStyle w:val="FootnoteReference"/>
        </w:rPr>
        <w:footnoteRef/>
      </w:r>
      <w:r w:rsidRPr="0058798A">
        <w:rPr>
          <w:lang w:val="es-ES"/>
        </w:rPr>
        <w:tab/>
      </w:r>
      <w:proofErr w:type="spellStart"/>
      <w:r w:rsidRPr="0058798A">
        <w:rPr>
          <w:lang w:val="es-ES"/>
        </w:rPr>
        <w:t>See</w:t>
      </w:r>
      <w:proofErr w:type="spellEnd"/>
      <w:r w:rsidRPr="0058798A">
        <w:rPr>
          <w:lang w:val="es-ES"/>
        </w:rPr>
        <w:t xml:space="preserve"> A/ES-</w:t>
      </w:r>
      <w:r w:rsidRPr="0058798A">
        <w:rPr>
          <w:rFonts w:eastAsia="Calibri"/>
          <w:lang w:val="es-ES"/>
        </w:rPr>
        <w:t>10</w:t>
      </w:r>
      <w:r w:rsidRPr="0058798A">
        <w:rPr>
          <w:lang w:val="es-ES"/>
        </w:rPr>
        <w:t xml:space="preserve">/248, </w:t>
      </w:r>
      <w:proofErr w:type="spellStart"/>
      <w:r w:rsidRPr="0058798A">
        <w:rPr>
          <w:lang w:val="es-ES"/>
        </w:rPr>
        <w:t>annex</w:t>
      </w:r>
      <w:proofErr w:type="spellEnd"/>
      <w:r w:rsidRPr="0058798A">
        <w:rPr>
          <w:lang w:val="es-ES"/>
        </w:rPr>
        <w:t xml:space="preserve"> 1, para. </w:t>
      </w:r>
      <w:proofErr w:type="gramStart"/>
      <w:r w:rsidRPr="0099740C">
        <w:t xml:space="preserve">3; and </w:t>
      </w:r>
      <w:hyperlink r:id="rId14" w:history="1">
        <w:r w:rsidRPr="0099740C">
          <w:t>www.icrc.org/eng/assets/files/review/2013/irrc-888-maurer.pdf</w:t>
        </w:r>
      </w:hyperlink>
      <w:r w:rsidRPr="0099740C">
        <w:t>, p. 1506.</w:t>
      </w:r>
      <w:proofErr w:type="gramEnd"/>
    </w:p>
  </w:footnote>
  <w:footnote w:id="110">
    <w:p w:rsidR="002C48EE" w:rsidRPr="0099740C" w:rsidRDefault="002C48EE" w:rsidP="00C51318">
      <w:pPr>
        <w:pStyle w:val="FootnoteText"/>
      </w:pPr>
      <w:r>
        <w:tab/>
      </w:r>
      <w:r w:rsidRPr="009C6977">
        <w:rPr>
          <w:rStyle w:val="FootnoteReference"/>
        </w:rPr>
        <w:footnoteRef/>
      </w:r>
      <w:r>
        <w:tab/>
      </w:r>
      <w:r w:rsidRPr="0099740C">
        <w:t xml:space="preserve">One </w:t>
      </w:r>
      <w:r w:rsidRPr="0099740C">
        <w:rPr>
          <w:rFonts w:eastAsia="Calibri"/>
        </w:rPr>
        <w:t>recommendation</w:t>
      </w:r>
      <w:r w:rsidRPr="0099740C">
        <w:t xml:space="preserve"> fully implemented and 12 partially implemented, out of 75.</w:t>
      </w:r>
    </w:p>
  </w:footnote>
  <w:footnote w:id="111">
    <w:p w:rsidR="002C48EE" w:rsidRPr="0099740C" w:rsidRDefault="002C48EE" w:rsidP="00C51318">
      <w:pPr>
        <w:pStyle w:val="FootnoteText"/>
      </w:pPr>
      <w:r>
        <w:tab/>
      </w:r>
      <w:r w:rsidRPr="009C6977">
        <w:rPr>
          <w:rStyle w:val="FootnoteReference"/>
        </w:rPr>
        <w:footnoteRef/>
      </w:r>
      <w:r>
        <w:tab/>
      </w:r>
      <w:r w:rsidRPr="0099740C">
        <w:t>See https://ihl-databases.icrc.org/applic/ihl/ihl.nsf/vwTreatiesByCountrySelected.xsp?</w:t>
      </w:r>
      <w:r>
        <w:br/>
      </w:r>
      <w:proofErr w:type="spellStart"/>
      <w:r w:rsidRPr="0099740C">
        <w:t>xp_countrySelected</w:t>
      </w:r>
      <w:proofErr w:type="spellEnd"/>
      <w:r w:rsidRPr="0099740C">
        <w:t>=</w:t>
      </w:r>
      <w:proofErr w:type="spellStart"/>
      <w:r w:rsidRPr="0099740C">
        <w:t>PS&amp;</w:t>
      </w:r>
      <w:proofErr w:type="gramStart"/>
      <w:r w:rsidRPr="0099740C">
        <w:t>nv</w:t>
      </w:r>
      <w:proofErr w:type="spellEnd"/>
      <w:r w:rsidRPr="0099740C">
        <w:t>=</w:t>
      </w:r>
      <w:proofErr w:type="gramEnd"/>
      <w:r w:rsidRPr="0099740C">
        <w:t>4.</w:t>
      </w:r>
    </w:p>
  </w:footnote>
  <w:footnote w:id="112">
    <w:p w:rsidR="002C48EE" w:rsidRPr="00E50483" w:rsidRDefault="002C48EE" w:rsidP="00C51318">
      <w:pPr>
        <w:pStyle w:val="FootnoteText"/>
      </w:pPr>
      <w:r>
        <w:tab/>
      </w:r>
      <w:r w:rsidRPr="009C6977">
        <w:rPr>
          <w:rStyle w:val="FootnoteReference"/>
        </w:rPr>
        <w:footnoteRef/>
      </w:r>
      <w:r>
        <w:tab/>
      </w:r>
      <w:r w:rsidRPr="0099740C">
        <w:t xml:space="preserve">Ten recommendations fully implemented and </w:t>
      </w:r>
      <w:r>
        <w:t>10</w:t>
      </w:r>
      <w:r w:rsidRPr="0099740C">
        <w:t xml:space="preserve"> partially implemented, out of 56.</w:t>
      </w:r>
    </w:p>
  </w:footnote>
  <w:footnote w:id="113">
    <w:p w:rsidR="002C48EE" w:rsidRPr="0099740C" w:rsidRDefault="002C48EE" w:rsidP="00C51318">
      <w:pPr>
        <w:pStyle w:val="FootnoteText"/>
      </w:pPr>
      <w:r>
        <w:tab/>
      </w:r>
      <w:r w:rsidRPr="009C6977">
        <w:rPr>
          <w:rStyle w:val="FootnoteReference"/>
        </w:rPr>
        <w:footnoteRef/>
      </w:r>
      <w:r>
        <w:tab/>
      </w:r>
      <w:proofErr w:type="gramStart"/>
      <w:r w:rsidRPr="00E03ABF">
        <w:rPr>
          <w:i/>
        </w:rPr>
        <w:t>Legal Consequences of the Construction of a Wall in the Occupied Palestinian Territory</w:t>
      </w:r>
      <w:r w:rsidRPr="0099740C">
        <w:t>, para.</w:t>
      </w:r>
      <w:proofErr w:type="gramEnd"/>
      <w:r w:rsidRPr="00E03ABF">
        <w:t xml:space="preserve"> </w:t>
      </w:r>
      <w:r w:rsidRPr="0099740C">
        <w:t>101.</w:t>
      </w:r>
    </w:p>
  </w:footnote>
  <w:footnote w:id="114">
    <w:p w:rsidR="002C48EE" w:rsidRPr="0099740C" w:rsidRDefault="002C48EE" w:rsidP="00C51318">
      <w:pPr>
        <w:pStyle w:val="FootnoteText"/>
        <w:rPr>
          <w:sz w:val="24"/>
          <w:szCs w:val="24"/>
        </w:rPr>
      </w:pPr>
      <w:r>
        <w:tab/>
      </w:r>
      <w:r w:rsidRPr="009C6977">
        <w:rPr>
          <w:rStyle w:val="FootnoteReference"/>
        </w:rPr>
        <w:footnoteRef/>
      </w:r>
      <w:r>
        <w:tab/>
      </w:r>
      <w:r w:rsidRPr="0099740C">
        <w:t xml:space="preserve">This followed the lodging by the Government of the State of Palestine of a declaration under article 12 (3) of the Rome </w:t>
      </w:r>
      <w:r w:rsidRPr="005167A3">
        <w:t xml:space="preserve">Statute accepting </w:t>
      </w:r>
      <w:r w:rsidRPr="00E03ABF">
        <w:t xml:space="preserve">the jurisdiction </w:t>
      </w:r>
      <w:r w:rsidRPr="005167A3">
        <w:t xml:space="preserve">of the International Criminal Court </w:t>
      </w:r>
      <w:r>
        <w:t>“</w:t>
      </w:r>
      <w:r w:rsidRPr="005167A3">
        <w:t xml:space="preserve">over </w:t>
      </w:r>
      <w:r w:rsidRPr="0099740C">
        <w:t xml:space="preserve">alleged crimes committed </w:t>
      </w:r>
      <w:r>
        <w:t>‘</w:t>
      </w:r>
      <w:r w:rsidRPr="0099740C">
        <w:t>in the occupied Palestinian territory, including East Jerusalem, since June 13, 2014</w:t>
      </w:r>
      <w:r>
        <w:t>’”</w:t>
      </w:r>
      <w:r w:rsidRPr="0099740C">
        <w:t xml:space="preserve">, and its accession to the Rome Statute in January 2015: see </w:t>
      </w:r>
      <w:hyperlink r:id="rId15" w:history="1">
        <w:r w:rsidRPr="0099740C">
          <w:t>www.icc-cpi.int/palestine</w:t>
        </w:r>
      </w:hyperlink>
      <w:r w:rsidRPr="0099740C">
        <w:t>.</w:t>
      </w:r>
    </w:p>
  </w:footnote>
  <w:footnote w:id="115">
    <w:p w:rsidR="002C48EE" w:rsidRPr="00DA51DA" w:rsidRDefault="002C48EE" w:rsidP="00C51318">
      <w:pPr>
        <w:pStyle w:val="FootnoteText"/>
      </w:pPr>
      <w:r>
        <w:tab/>
      </w:r>
      <w:r w:rsidRPr="009C6977">
        <w:rPr>
          <w:rStyle w:val="FootnoteReference"/>
        </w:rPr>
        <w:footnoteRef/>
      </w:r>
      <w:r>
        <w:tab/>
      </w:r>
      <w:r w:rsidRPr="00E03ABF">
        <w:t xml:space="preserve">See </w:t>
      </w:r>
      <w:r w:rsidRPr="0099740C">
        <w:t>www.icc-cpi.int/iccdocs/otp/OTP-PE-rep-2015-Eng.pdf</w:t>
      </w:r>
      <w:r w:rsidRPr="00E03ABF">
        <w:t>.</w:t>
      </w:r>
      <w:r w:rsidRPr="0099740C">
        <w:t xml:space="preserve"> </w:t>
      </w:r>
      <w:r w:rsidRPr="00E03ABF">
        <w:t>S</w:t>
      </w:r>
      <w:r w:rsidRPr="0099740C">
        <w:t>ee also https://www.icc-cpi.int/iccdocs/otp/161114-otp-rep-PE_ENG.pdf.</w:t>
      </w:r>
    </w:p>
  </w:footnote>
  <w:footnote w:id="116">
    <w:p w:rsidR="002C48EE" w:rsidRPr="0099740C" w:rsidRDefault="002C48EE" w:rsidP="00C51318">
      <w:pPr>
        <w:pStyle w:val="FootnoteText"/>
      </w:pPr>
      <w:r>
        <w:tab/>
      </w:r>
      <w:r w:rsidRPr="009C6977">
        <w:rPr>
          <w:rStyle w:val="FootnoteReference"/>
        </w:rPr>
        <w:footnoteRef/>
      </w:r>
      <w:r>
        <w:tab/>
      </w:r>
      <w:r w:rsidRPr="00E03ABF">
        <w:rPr>
          <w:i/>
        </w:rPr>
        <w:t>Legal Consequences of the Construction of a Wall in the Occupied Palestinian Territory</w:t>
      </w:r>
      <w:r w:rsidRPr="0099740C">
        <w:t>, p.</w:t>
      </w:r>
      <w:r w:rsidRPr="00E03ABF">
        <w:t xml:space="preserve"> 200</w:t>
      </w:r>
      <w:r w:rsidRPr="0099740C">
        <w:t>.</w:t>
      </w:r>
    </w:p>
  </w:footnote>
  <w:footnote w:id="117">
    <w:p w:rsidR="002C48EE" w:rsidRPr="0099740C" w:rsidRDefault="002C48EE" w:rsidP="00C51318">
      <w:pPr>
        <w:pStyle w:val="FootnoteText"/>
      </w:pPr>
      <w:r>
        <w:tab/>
      </w:r>
      <w:r w:rsidRPr="009C6977">
        <w:rPr>
          <w:rStyle w:val="FootnoteReference"/>
        </w:rPr>
        <w:footnoteRef/>
      </w:r>
      <w:r>
        <w:tab/>
      </w:r>
      <w:r w:rsidRPr="0099740C">
        <w:t>See A/HRC/10/22, para. 105.</w:t>
      </w:r>
    </w:p>
  </w:footnote>
  <w:footnote w:id="118">
    <w:p w:rsidR="002C48EE" w:rsidRPr="00003DDA" w:rsidRDefault="002C48EE" w:rsidP="00C51318">
      <w:pPr>
        <w:pStyle w:val="FootnoteText"/>
      </w:pPr>
      <w:r>
        <w:tab/>
      </w:r>
      <w:r w:rsidRPr="009C6977">
        <w:rPr>
          <w:rStyle w:val="FootnoteReference"/>
        </w:rPr>
        <w:footnoteRef/>
      </w:r>
      <w:r>
        <w:tab/>
      </w:r>
      <w:r w:rsidRPr="00E03ABF">
        <w:t>See report on the human rights situation available from www.ohchr.org/EN/HRBodies/HRC/RegularSessions/Session34/Pages/ListReports.aspx.</w:t>
      </w:r>
    </w:p>
  </w:footnote>
  <w:footnote w:id="119">
    <w:p w:rsidR="002C48EE" w:rsidRPr="00003DDA" w:rsidRDefault="002C48EE" w:rsidP="00C51318">
      <w:pPr>
        <w:pStyle w:val="FootnoteText"/>
      </w:pPr>
      <w:r>
        <w:tab/>
      </w:r>
      <w:r w:rsidRPr="009C6977">
        <w:rPr>
          <w:rStyle w:val="FootnoteReference"/>
        </w:rPr>
        <w:footnoteRef/>
      </w:r>
      <w:r>
        <w:tab/>
      </w:r>
      <w:r w:rsidRPr="009423FB">
        <w:t>See A/</w:t>
      </w:r>
      <w:r>
        <w:t>HRC/22/63</w:t>
      </w:r>
      <w:r w:rsidRPr="00E03ABF">
        <w:t xml:space="preserve"> and A/HRC/34/39</w:t>
      </w:r>
      <w:r>
        <w:t>.</w:t>
      </w:r>
      <w:r w:rsidRPr="0086534E">
        <w:rPr>
          <w:highlight w:val="yellow"/>
        </w:rPr>
        <w:t xml:space="preserve"> </w:t>
      </w:r>
    </w:p>
  </w:footnote>
  <w:footnote w:id="120">
    <w:p w:rsidR="002C48EE" w:rsidRPr="00003DDA" w:rsidRDefault="002C48EE" w:rsidP="00C51318">
      <w:pPr>
        <w:pStyle w:val="FootnoteText"/>
      </w:pPr>
      <w:r>
        <w:tab/>
      </w:r>
      <w:r w:rsidRPr="009C6977">
        <w:rPr>
          <w:rStyle w:val="FootnoteReference"/>
        </w:rPr>
        <w:footnoteRef/>
      </w:r>
      <w:r>
        <w:tab/>
      </w:r>
      <w:r w:rsidRPr="0099740C">
        <w:t xml:space="preserve">See </w:t>
      </w:r>
      <w:hyperlink r:id="rId16" w:history="1">
        <w:r w:rsidRPr="0099740C">
          <w:t>www.ohchr.org/Documents/Issues/Business/OPTStatement6June2014.pdf</w:t>
        </w:r>
      </w:hyperlink>
      <w:r w:rsidRPr="0099740C">
        <w:t>, p.</w:t>
      </w:r>
      <w:r w:rsidRPr="00E03ABF">
        <w:t xml:space="preserve"> </w:t>
      </w:r>
      <w:r w:rsidRPr="0099740C">
        <w:t>14.</w:t>
      </w:r>
    </w:p>
  </w:footnote>
  <w:footnote w:id="121">
    <w:p w:rsidR="002C48EE" w:rsidRPr="00E03ABF" w:rsidRDefault="002C48EE" w:rsidP="00C51318">
      <w:pPr>
        <w:pStyle w:val="FootnoteText"/>
        <w:rPr>
          <w:lang w:val="en-US"/>
        </w:rPr>
      </w:pPr>
      <w:r>
        <w:tab/>
      </w:r>
      <w:r w:rsidRPr="009C6977">
        <w:rPr>
          <w:rStyle w:val="FootnoteReference"/>
        </w:rPr>
        <w:footnoteRef/>
      </w:r>
      <w:r>
        <w:tab/>
      </w:r>
      <w:r w:rsidRPr="0099740C">
        <w:t>Ibid</w:t>
      </w:r>
      <w:r w:rsidRPr="0099740C">
        <w:rPr>
          <w:lang w:val="en-US"/>
        </w:rPr>
        <w:t>.</w:t>
      </w:r>
    </w:p>
  </w:footnote>
  <w:footnote w:id="122">
    <w:p w:rsidR="002C48EE" w:rsidRPr="0099740C" w:rsidRDefault="002C48EE" w:rsidP="00C51318">
      <w:pPr>
        <w:pStyle w:val="FootnoteText"/>
      </w:pPr>
      <w:r>
        <w:tab/>
      </w:r>
      <w:r w:rsidRPr="009C6977">
        <w:rPr>
          <w:rStyle w:val="FootnoteReference"/>
        </w:rPr>
        <w:footnoteRef/>
      </w:r>
      <w:r>
        <w:tab/>
      </w:r>
      <w:r w:rsidRPr="00E03ABF">
        <w:rPr>
          <w:i/>
        </w:rPr>
        <w:t>Legal Consequences of the Construction of a Wall in the Occupied Palestinian Territory</w:t>
      </w:r>
      <w:r w:rsidRPr="0099740C">
        <w:t>, p. 200.</w:t>
      </w:r>
    </w:p>
  </w:footnote>
  <w:footnote w:id="123">
    <w:p w:rsidR="002C48EE" w:rsidRPr="00DA51DA" w:rsidRDefault="002C48EE" w:rsidP="00C51318">
      <w:pPr>
        <w:pStyle w:val="FootnoteText"/>
      </w:pPr>
      <w:r>
        <w:tab/>
      </w:r>
      <w:r w:rsidRPr="009C6977">
        <w:rPr>
          <w:rStyle w:val="FootnoteReference"/>
        </w:rPr>
        <w:footnoteRef/>
      </w:r>
      <w:r>
        <w:tab/>
      </w:r>
      <w:r w:rsidRPr="0099740C">
        <w:t>See www.un.org/sg/en/content/ban-ki-moon/human-rights-front-initiative.</w:t>
      </w:r>
    </w:p>
  </w:footnote>
  <w:footnote w:id="124">
    <w:p w:rsidR="002C48EE" w:rsidRPr="00DA51DA" w:rsidRDefault="002C48EE" w:rsidP="00C51318">
      <w:pPr>
        <w:pStyle w:val="FootnoteText"/>
      </w:pPr>
      <w:r>
        <w:tab/>
      </w:r>
      <w:r w:rsidRPr="009C6977">
        <w:rPr>
          <w:rStyle w:val="FootnoteReference"/>
        </w:rPr>
        <w:footnoteRef/>
      </w:r>
      <w:r>
        <w:tab/>
      </w:r>
      <w:r w:rsidRPr="00DA51DA">
        <w:t>List includes reports 2009-2016 from which recommendations have been drawn or which are reflected in the review.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EE" w:rsidRPr="002568F4" w:rsidRDefault="002C48EE" w:rsidP="002568F4">
    <w:pPr>
      <w:pStyle w:val="Header"/>
    </w:pPr>
    <w:r w:rsidRPr="002568F4">
      <w:t>A/HRC/35/19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EE" w:rsidRPr="002568F4" w:rsidRDefault="002C48EE" w:rsidP="002568F4">
    <w:pPr>
      <w:pStyle w:val="Header"/>
      <w:jc w:val="right"/>
    </w:pPr>
    <w:r w:rsidRPr="002568F4">
      <w:t>A/HRC/35/19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7E"/>
    <w:rsid w:val="000144EC"/>
    <w:rsid w:val="00024E63"/>
    <w:rsid w:val="00035680"/>
    <w:rsid w:val="00046E92"/>
    <w:rsid w:val="00057E5F"/>
    <w:rsid w:val="00063C90"/>
    <w:rsid w:val="00066D4E"/>
    <w:rsid w:val="00071163"/>
    <w:rsid w:val="00072607"/>
    <w:rsid w:val="00074CFE"/>
    <w:rsid w:val="00091B6D"/>
    <w:rsid w:val="000A253F"/>
    <w:rsid w:val="000C002C"/>
    <w:rsid w:val="000D5485"/>
    <w:rsid w:val="00100815"/>
    <w:rsid w:val="00101B98"/>
    <w:rsid w:val="00117C34"/>
    <w:rsid w:val="001208AF"/>
    <w:rsid w:val="00147E26"/>
    <w:rsid w:val="00152A05"/>
    <w:rsid w:val="001603A4"/>
    <w:rsid w:val="00173994"/>
    <w:rsid w:val="00182699"/>
    <w:rsid w:val="001902A9"/>
    <w:rsid w:val="001A2177"/>
    <w:rsid w:val="001B646C"/>
    <w:rsid w:val="001C2973"/>
    <w:rsid w:val="001C5036"/>
    <w:rsid w:val="001E5449"/>
    <w:rsid w:val="001F585E"/>
    <w:rsid w:val="001F6535"/>
    <w:rsid w:val="00202F66"/>
    <w:rsid w:val="0021473C"/>
    <w:rsid w:val="00222389"/>
    <w:rsid w:val="00227865"/>
    <w:rsid w:val="00247E2C"/>
    <w:rsid w:val="002568F4"/>
    <w:rsid w:val="00260448"/>
    <w:rsid w:val="002712E3"/>
    <w:rsid w:val="002A32CB"/>
    <w:rsid w:val="002A3D45"/>
    <w:rsid w:val="002C0EC8"/>
    <w:rsid w:val="002C48EE"/>
    <w:rsid w:val="002D136D"/>
    <w:rsid w:val="002D6C53"/>
    <w:rsid w:val="002E5DE8"/>
    <w:rsid w:val="002E6E8B"/>
    <w:rsid w:val="002F5595"/>
    <w:rsid w:val="0031356E"/>
    <w:rsid w:val="0032149D"/>
    <w:rsid w:val="00334F6A"/>
    <w:rsid w:val="00337538"/>
    <w:rsid w:val="00342AC8"/>
    <w:rsid w:val="003513A5"/>
    <w:rsid w:val="00376F96"/>
    <w:rsid w:val="003B4550"/>
    <w:rsid w:val="003C0911"/>
    <w:rsid w:val="003C0A49"/>
    <w:rsid w:val="003F2492"/>
    <w:rsid w:val="003F3A2B"/>
    <w:rsid w:val="003F78D9"/>
    <w:rsid w:val="0040017C"/>
    <w:rsid w:val="004355F0"/>
    <w:rsid w:val="00440B6A"/>
    <w:rsid w:val="004524DA"/>
    <w:rsid w:val="004604F3"/>
    <w:rsid w:val="00461253"/>
    <w:rsid w:val="004649CF"/>
    <w:rsid w:val="00467B84"/>
    <w:rsid w:val="004A0269"/>
    <w:rsid w:val="004A2814"/>
    <w:rsid w:val="004A5C00"/>
    <w:rsid w:val="004B26BB"/>
    <w:rsid w:val="004C0622"/>
    <w:rsid w:val="004D10F9"/>
    <w:rsid w:val="004E3BBA"/>
    <w:rsid w:val="005042C2"/>
    <w:rsid w:val="005102F5"/>
    <w:rsid w:val="005114A9"/>
    <w:rsid w:val="00521C8D"/>
    <w:rsid w:val="005238B1"/>
    <w:rsid w:val="005468DC"/>
    <w:rsid w:val="005574E3"/>
    <w:rsid w:val="0058798A"/>
    <w:rsid w:val="00595BA6"/>
    <w:rsid w:val="005A614F"/>
    <w:rsid w:val="005B6110"/>
    <w:rsid w:val="005E4EB3"/>
    <w:rsid w:val="005E52E5"/>
    <w:rsid w:val="005E6F85"/>
    <w:rsid w:val="005E716E"/>
    <w:rsid w:val="00606B9B"/>
    <w:rsid w:val="00613BEF"/>
    <w:rsid w:val="00614074"/>
    <w:rsid w:val="00632253"/>
    <w:rsid w:val="0063682B"/>
    <w:rsid w:val="006578D2"/>
    <w:rsid w:val="00660474"/>
    <w:rsid w:val="00671529"/>
    <w:rsid w:val="0067172D"/>
    <w:rsid w:val="00676B4B"/>
    <w:rsid w:val="0068200A"/>
    <w:rsid w:val="00683D3C"/>
    <w:rsid w:val="006A7B7E"/>
    <w:rsid w:val="006B325E"/>
    <w:rsid w:val="006B5591"/>
    <w:rsid w:val="006E7308"/>
    <w:rsid w:val="006E7359"/>
    <w:rsid w:val="00700CE3"/>
    <w:rsid w:val="007040E9"/>
    <w:rsid w:val="0070489D"/>
    <w:rsid w:val="007268F9"/>
    <w:rsid w:val="0076190A"/>
    <w:rsid w:val="00767370"/>
    <w:rsid w:val="00770675"/>
    <w:rsid w:val="00771D73"/>
    <w:rsid w:val="0078302F"/>
    <w:rsid w:val="007B6A50"/>
    <w:rsid w:val="007C13BD"/>
    <w:rsid w:val="007C52B0"/>
    <w:rsid w:val="007E209C"/>
    <w:rsid w:val="00801CD1"/>
    <w:rsid w:val="0083737F"/>
    <w:rsid w:val="00847890"/>
    <w:rsid w:val="008479F5"/>
    <w:rsid w:val="00857113"/>
    <w:rsid w:val="00876958"/>
    <w:rsid w:val="0088192F"/>
    <w:rsid w:val="00890D67"/>
    <w:rsid w:val="00891B86"/>
    <w:rsid w:val="008A75D1"/>
    <w:rsid w:val="008B4316"/>
    <w:rsid w:val="008C00C4"/>
    <w:rsid w:val="008C1BFD"/>
    <w:rsid w:val="008E1E53"/>
    <w:rsid w:val="008F509D"/>
    <w:rsid w:val="0090601B"/>
    <w:rsid w:val="009118C1"/>
    <w:rsid w:val="0091306B"/>
    <w:rsid w:val="0092409F"/>
    <w:rsid w:val="00936B45"/>
    <w:rsid w:val="009411B4"/>
    <w:rsid w:val="009533E6"/>
    <w:rsid w:val="00964C8C"/>
    <w:rsid w:val="00976AA4"/>
    <w:rsid w:val="00983ECB"/>
    <w:rsid w:val="00984E28"/>
    <w:rsid w:val="00985DA8"/>
    <w:rsid w:val="00986567"/>
    <w:rsid w:val="009C6977"/>
    <w:rsid w:val="009D0139"/>
    <w:rsid w:val="009D2E0F"/>
    <w:rsid w:val="009D717D"/>
    <w:rsid w:val="009E1BED"/>
    <w:rsid w:val="009F5CDC"/>
    <w:rsid w:val="00A05334"/>
    <w:rsid w:val="00A165A1"/>
    <w:rsid w:val="00A6610D"/>
    <w:rsid w:val="00A71EFB"/>
    <w:rsid w:val="00A74100"/>
    <w:rsid w:val="00A775CF"/>
    <w:rsid w:val="00AA2D1B"/>
    <w:rsid w:val="00AB6B43"/>
    <w:rsid w:val="00AF1CD7"/>
    <w:rsid w:val="00B05585"/>
    <w:rsid w:val="00B06045"/>
    <w:rsid w:val="00B13294"/>
    <w:rsid w:val="00B17EE3"/>
    <w:rsid w:val="00B358AF"/>
    <w:rsid w:val="00B43152"/>
    <w:rsid w:val="00B52EF4"/>
    <w:rsid w:val="00B558FB"/>
    <w:rsid w:val="00B665B8"/>
    <w:rsid w:val="00B67B86"/>
    <w:rsid w:val="00B87F74"/>
    <w:rsid w:val="00BA3813"/>
    <w:rsid w:val="00BA4878"/>
    <w:rsid w:val="00BB6765"/>
    <w:rsid w:val="00BC348C"/>
    <w:rsid w:val="00BC410F"/>
    <w:rsid w:val="00BF3668"/>
    <w:rsid w:val="00C03015"/>
    <w:rsid w:val="00C0358D"/>
    <w:rsid w:val="00C1787E"/>
    <w:rsid w:val="00C205C0"/>
    <w:rsid w:val="00C35A27"/>
    <w:rsid w:val="00C47B2E"/>
    <w:rsid w:val="00C51318"/>
    <w:rsid w:val="00C56B5C"/>
    <w:rsid w:val="00C74743"/>
    <w:rsid w:val="00CA1B04"/>
    <w:rsid w:val="00D11E60"/>
    <w:rsid w:val="00D15418"/>
    <w:rsid w:val="00D20B64"/>
    <w:rsid w:val="00D218EE"/>
    <w:rsid w:val="00D32E5E"/>
    <w:rsid w:val="00D53DA5"/>
    <w:rsid w:val="00D771D1"/>
    <w:rsid w:val="00D92CFD"/>
    <w:rsid w:val="00DA6F6A"/>
    <w:rsid w:val="00DB313A"/>
    <w:rsid w:val="00DC6D5D"/>
    <w:rsid w:val="00DE439D"/>
    <w:rsid w:val="00E02C2B"/>
    <w:rsid w:val="00E15B60"/>
    <w:rsid w:val="00E2531D"/>
    <w:rsid w:val="00E27AE6"/>
    <w:rsid w:val="00E309BD"/>
    <w:rsid w:val="00E50E74"/>
    <w:rsid w:val="00E52109"/>
    <w:rsid w:val="00E75317"/>
    <w:rsid w:val="00E76FDC"/>
    <w:rsid w:val="00ED6C48"/>
    <w:rsid w:val="00F07140"/>
    <w:rsid w:val="00F3159D"/>
    <w:rsid w:val="00F43CBA"/>
    <w:rsid w:val="00F54B89"/>
    <w:rsid w:val="00F569D1"/>
    <w:rsid w:val="00F65F5D"/>
    <w:rsid w:val="00F86A3A"/>
    <w:rsid w:val="00F91106"/>
    <w:rsid w:val="00FF7340"/>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Hyperlink"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C6977"/>
    <w:pPr>
      <w:spacing w:after="0" w:line="240" w:lineRule="auto"/>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rsid w:val="009C6977"/>
    <w:pPr>
      <w:spacing w:after="0"/>
      <w:ind w:right="0"/>
      <w:jc w:val="left"/>
      <w:outlineLvl w:val="0"/>
    </w:pPr>
  </w:style>
  <w:style w:type="paragraph" w:styleId="Heading2">
    <w:name w:val="heading 2"/>
    <w:basedOn w:val="Normal"/>
    <w:next w:val="Normal"/>
    <w:link w:val="Heading2Char"/>
    <w:semiHidden/>
    <w:rsid w:val="009C6977"/>
    <w:pPr>
      <w:outlineLvl w:val="1"/>
    </w:pPr>
  </w:style>
  <w:style w:type="paragraph" w:styleId="Heading3">
    <w:name w:val="heading 3"/>
    <w:basedOn w:val="Normal"/>
    <w:next w:val="Normal"/>
    <w:link w:val="Heading3Char"/>
    <w:semiHidden/>
    <w:rsid w:val="009C6977"/>
    <w:pPr>
      <w:outlineLvl w:val="2"/>
    </w:pPr>
  </w:style>
  <w:style w:type="paragraph" w:styleId="Heading4">
    <w:name w:val="heading 4"/>
    <w:basedOn w:val="Normal"/>
    <w:next w:val="Normal"/>
    <w:link w:val="Heading4Char"/>
    <w:semiHidden/>
    <w:rsid w:val="009C6977"/>
    <w:pPr>
      <w:outlineLvl w:val="3"/>
    </w:pPr>
  </w:style>
  <w:style w:type="paragraph" w:styleId="Heading5">
    <w:name w:val="heading 5"/>
    <w:basedOn w:val="Normal"/>
    <w:next w:val="Normal"/>
    <w:link w:val="Heading5Char"/>
    <w:semiHidden/>
    <w:rsid w:val="009C6977"/>
    <w:pPr>
      <w:outlineLvl w:val="4"/>
    </w:pPr>
  </w:style>
  <w:style w:type="paragraph" w:styleId="Heading6">
    <w:name w:val="heading 6"/>
    <w:basedOn w:val="Normal"/>
    <w:next w:val="Normal"/>
    <w:link w:val="Heading6Char"/>
    <w:semiHidden/>
    <w:rsid w:val="009C6977"/>
    <w:pPr>
      <w:outlineLvl w:val="5"/>
    </w:pPr>
  </w:style>
  <w:style w:type="paragraph" w:styleId="Heading7">
    <w:name w:val="heading 7"/>
    <w:basedOn w:val="Normal"/>
    <w:next w:val="Normal"/>
    <w:link w:val="Heading7Char"/>
    <w:semiHidden/>
    <w:rsid w:val="009C6977"/>
    <w:pPr>
      <w:outlineLvl w:val="6"/>
    </w:pPr>
  </w:style>
  <w:style w:type="paragraph" w:styleId="Heading8">
    <w:name w:val="heading 8"/>
    <w:basedOn w:val="Normal"/>
    <w:next w:val="Normal"/>
    <w:link w:val="Heading8Char"/>
    <w:semiHidden/>
    <w:rsid w:val="009C6977"/>
    <w:pPr>
      <w:outlineLvl w:val="7"/>
    </w:pPr>
  </w:style>
  <w:style w:type="paragraph" w:styleId="Heading9">
    <w:name w:val="heading 9"/>
    <w:basedOn w:val="Normal"/>
    <w:next w:val="Normal"/>
    <w:link w:val="Heading9Char"/>
    <w:semiHidden/>
    <w:rsid w:val="009C69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9C6977"/>
    <w:pPr>
      <w:pBdr>
        <w:bottom w:val="single" w:sz="4" w:space="4" w:color="auto"/>
      </w:pBdr>
    </w:pPr>
    <w:rPr>
      <w:b/>
      <w:sz w:val="18"/>
    </w:rPr>
  </w:style>
  <w:style w:type="character" w:customStyle="1" w:styleId="HeaderChar">
    <w:name w:val="Header Char"/>
    <w:aliases w:val="6_G Char"/>
    <w:basedOn w:val="DefaultParagraphFont"/>
    <w:link w:val="Header"/>
    <w:rsid w:val="009C6977"/>
    <w:rPr>
      <w:rFonts w:ascii="Times New Roman" w:eastAsiaTheme="minorHAnsi" w:hAnsi="Times New Roman" w:cs="Times New Roman"/>
      <w:b/>
      <w:sz w:val="18"/>
      <w:szCs w:val="20"/>
      <w:lang w:eastAsia="en-US"/>
    </w:rPr>
  </w:style>
  <w:style w:type="paragraph" w:styleId="Footer">
    <w:name w:val="footer"/>
    <w:aliases w:val="3_G"/>
    <w:basedOn w:val="Normal"/>
    <w:link w:val="FooterChar"/>
    <w:rsid w:val="009C6977"/>
    <w:rPr>
      <w:sz w:val="16"/>
    </w:rPr>
  </w:style>
  <w:style w:type="character" w:customStyle="1" w:styleId="FooterChar">
    <w:name w:val="Footer Char"/>
    <w:aliases w:val="3_G Char"/>
    <w:basedOn w:val="DefaultParagraphFont"/>
    <w:link w:val="Footer"/>
    <w:rsid w:val="009C6977"/>
    <w:rPr>
      <w:rFonts w:ascii="Times New Roman" w:eastAsiaTheme="minorHAnsi" w:hAnsi="Times New Roman" w:cs="Times New Roman"/>
      <w:sz w:val="16"/>
      <w:szCs w:val="20"/>
      <w:lang w:eastAsia="en-US"/>
    </w:rPr>
  </w:style>
  <w:style w:type="paragraph" w:customStyle="1" w:styleId="HMG">
    <w:name w:val="_ H __M_G"/>
    <w:basedOn w:val="Normal"/>
    <w:next w:val="Normal"/>
    <w:rsid w:val="009C697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9C697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9C697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9C697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9C697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9C6977"/>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9C6977"/>
    <w:pPr>
      <w:spacing w:after="120" w:line="240" w:lineRule="atLeast"/>
      <w:ind w:left="1134" w:right="1134"/>
      <w:jc w:val="both"/>
    </w:pPr>
  </w:style>
  <w:style w:type="paragraph" w:customStyle="1" w:styleId="SLG">
    <w:name w:val="__S_L_G"/>
    <w:basedOn w:val="Normal"/>
    <w:next w:val="Normal"/>
    <w:rsid w:val="009C6977"/>
    <w:pPr>
      <w:keepNext/>
      <w:keepLines/>
      <w:spacing w:before="240" w:after="240" w:line="580" w:lineRule="exact"/>
      <w:ind w:left="1134" w:right="1134"/>
    </w:pPr>
    <w:rPr>
      <w:b/>
      <w:sz w:val="56"/>
    </w:rPr>
  </w:style>
  <w:style w:type="paragraph" w:customStyle="1" w:styleId="SMG">
    <w:name w:val="__S_M_G"/>
    <w:basedOn w:val="Normal"/>
    <w:next w:val="Normal"/>
    <w:rsid w:val="009C6977"/>
    <w:pPr>
      <w:keepNext/>
      <w:keepLines/>
      <w:spacing w:before="240" w:after="240" w:line="420" w:lineRule="exact"/>
      <w:ind w:left="1134" w:right="1134"/>
    </w:pPr>
    <w:rPr>
      <w:b/>
      <w:sz w:val="40"/>
    </w:rPr>
  </w:style>
  <w:style w:type="paragraph" w:customStyle="1" w:styleId="SSG">
    <w:name w:val="__S_S_G"/>
    <w:basedOn w:val="Normal"/>
    <w:next w:val="Normal"/>
    <w:rsid w:val="009C6977"/>
    <w:pPr>
      <w:keepNext/>
      <w:keepLines/>
      <w:spacing w:before="240" w:after="240" w:line="300" w:lineRule="exact"/>
      <w:ind w:left="1134" w:right="1134"/>
    </w:pPr>
    <w:rPr>
      <w:b/>
      <w:sz w:val="28"/>
    </w:rPr>
  </w:style>
  <w:style w:type="paragraph" w:customStyle="1" w:styleId="XLargeG">
    <w:name w:val="__XLarge_G"/>
    <w:basedOn w:val="Normal"/>
    <w:next w:val="Normal"/>
    <w:rsid w:val="009C6977"/>
    <w:pPr>
      <w:keepNext/>
      <w:keepLines/>
      <w:spacing w:before="240" w:after="240" w:line="420" w:lineRule="exact"/>
      <w:ind w:left="1134" w:right="1134"/>
    </w:pPr>
    <w:rPr>
      <w:b/>
      <w:sz w:val="40"/>
    </w:rPr>
  </w:style>
  <w:style w:type="paragraph" w:customStyle="1" w:styleId="Bullet1G">
    <w:name w:val="_Bullet 1_G"/>
    <w:basedOn w:val="Normal"/>
    <w:qFormat/>
    <w:rsid w:val="009C6977"/>
    <w:pPr>
      <w:numPr>
        <w:numId w:val="17"/>
      </w:numPr>
      <w:spacing w:after="120"/>
      <w:ind w:right="1134"/>
      <w:jc w:val="both"/>
    </w:pPr>
  </w:style>
  <w:style w:type="paragraph" w:customStyle="1" w:styleId="Bullet2G">
    <w:name w:val="_Bullet 2_G"/>
    <w:basedOn w:val="Normal"/>
    <w:qFormat/>
    <w:rsid w:val="009C6977"/>
    <w:pPr>
      <w:numPr>
        <w:numId w:val="18"/>
      </w:numPr>
      <w:spacing w:after="120"/>
      <w:ind w:right="1134"/>
      <w:jc w:val="both"/>
    </w:pPr>
  </w:style>
  <w:style w:type="paragraph" w:customStyle="1" w:styleId="ParaNoG">
    <w:name w:val="_ParaNo._G"/>
    <w:basedOn w:val="SingleTxtG"/>
    <w:rsid w:val="009C6977"/>
    <w:pPr>
      <w:numPr>
        <w:numId w:val="19"/>
      </w:numPr>
    </w:pPr>
  </w:style>
  <w:style w:type="numbering" w:styleId="111111">
    <w:name w:val="Outline List 2"/>
    <w:basedOn w:val="NoList"/>
    <w:semiHidden/>
    <w:rsid w:val="009C6977"/>
    <w:pPr>
      <w:numPr>
        <w:numId w:val="15"/>
      </w:numPr>
    </w:pPr>
  </w:style>
  <w:style w:type="numbering" w:styleId="1ai">
    <w:name w:val="Outline List 1"/>
    <w:basedOn w:val="NoList"/>
    <w:semiHidden/>
    <w:rsid w:val="009C6977"/>
    <w:pPr>
      <w:numPr>
        <w:numId w:val="6"/>
      </w:numPr>
    </w:pPr>
  </w:style>
  <w:style w:type="character" w:styleId="EndnoteReference">
    <w:name w:val="endnote reference"/>
    <w:aliases w:val="1_G"/>
    <w:rsid w:val="009C6977"/>
    <w:rPr>
      <w:rFonts w:ascii="Times New Roman" w:hAnsi="Times New Roman"/>
      <w:sz w:val="18"/>
      <w:vertAlign w:val="superscript"/>
    </w:rPr>
  </w:style>
  <w:style w:type="paragraph" w:styleId="FootnoteText">
    <w:name w:val="footnote text"/>
    <w:aliases w:val="5_G"/>
    <w:basedOn w:val="Normal"/>
    <w:link w:val="FootnoteTextChar"/>
    <w:rsid w:val="009C6977"/>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9C6977"/>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9C6977"/>
  </w:style>
  <w:style w:type="character" w:customStyle="1" w:styleId="EndnoteTextChar">
    <w:name w:val="Endnote Text Char"/>
    <w:aliases w:val="2_G Char"/>
    <w:basedOn w:val="DefaultParagraphFont"/>
    <w:link w:val="EndnoteText"/>
    <w:rsid w:val="009C6977"/>
    <w:rPr>
      <w:rFonts w:ascii="Times New Roman" w:eastAsiaTheme="minorHAnsi" w:hAnsi="Times New Roman" w:cs="Times New Roman"/>
      <w:sz w:val="18"/>
      <w:szCs w:val="20"/>
      <w:lang w:eastAsia="en-US"/>
    </w:rPr>
  </w:style>
  <w:style w:type="character" w:styleId="FootnoteReference">
    <w:name w:val="footnote reference"/>
    <w:aliases w:val="4_G"/>
    <w:link w:val="CharChar1CharCharCharChar1CharCharCharCharCharCharCharCharCharCharCharCharCharCharCharChar"/>
    <w:rsid w:val="009C6977"/>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9C6977"/>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9C6977"/>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9C6977"/>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9C6977"/>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9C6977"/>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9C6977"/>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9C6977"/>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9C6977"/>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9C6977"/>
    <w:rPr>
      <w:rFonts w:ascii="Times New Roman" w:eastAsiaTheme="minorHAnsi" w:hAnsi="Times New Roman" w:cs="Times New Roman"/>
      <w:sz w:val="20"/>
      <w:szCs w:val="20"/>
      <w:lang w:eastAsia="en-US"/>
    </w:rPr>
  </w:style>
  <w:style w:type="character" w:styleId="PageNumber">
    <w:name w:val="page number"/>
    <w:aliases w:val="7_G"/>
    <w:rsid w:val="009C6977"/>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9C6977"/>
    <w:rPr>
      <w:rFonts w:ascii="Tahoma" w:hAnsi="Tahoma" w:cs="Tahoma"/>
      <w:sz w:val="16"/>
      <w:szCs w:val="16"/>
    </w:rPr>
  </w:style>
  <w:style w:type="character" w:customStyle="1" w:styleId="BalloonTextChar">
    <w:name w:val="Balloon Text Char"/>
    <w:basedOn w:val="DefaultParagraphFont"/>
    <w:link w:val="BalloonText"/>
    <w:uiPriority w:val="99"/>
    <w:semiHidden/>
    <w:rsid w:val="009C6977"/>
    <w:rPr>
      <w:rFonts w:ascii="Tahoma" w:eastAsiaTheme="minorHAnsi"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9C6977"/>
    <w:pPr>
      <w:suppressAutoHyphens/>
      <w:spacing w:after="0" w:line="240" w:lineRule="atLeas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rsid w:val="009C6977"/>
    <w:pPr>
      <w:spacing w:after="160" w:line="240" w:lineRule="exact"/>
    </w:pPr>
    <w:rPr>
      <w:rFonts w:eastAsia="SimSun" w:cstheme="minorBidi"/>
      <w:sz w:val="18"/>
      <w:szCs w:val="22"/>
      <w:vertAlign w:val="superscript"/>
      <w:lang w:eastAsia="zh-CN"/>
    </w:rPr>
  </w:style>
  <w:style w:type="paragraph" w:styleId="TOC1">
    <w:name w:val="toc 1"/>
    <w:basedOn w:val="Normal"/>
    <w:next w:val="Normal"/>
    <w:autoRedefine/>
    <w:uiPriority w:val="39"/>
    <w:unhideWhenUsed/>
    <w:rsid w:val="00890D67"/>
    <w:pPr>
      <w:spacing w:after="100"/>
    </w:pPr>
  </w:style>
  <w:style w:type="paragraph" w:styleId="TOC2">
    <w:name w:val="toc 2"/>
    <w:basedOn w:val="Normal"/>
    <w:next w:val="Normal"/>
    <w:autoRedefine/>
    <w:uiPriority w:val="39"/>
    <w:unhideWhenUsed/>
    <w:rsid w:val="00890D67"/>
    <w:pPr>
      <w:spacing w:after="100"/>
      <w:ind w:left="200"/>
    </w:pPr>
  </w:style>
  <w:style w:type="paragraph" w:styleId="TOC3">
    <w:name w:val="toc 3"/>
    <w:basedOn w:val="Normal"/>
    <w:next w:val="Normal"/>
    <w:autoRedefine/>
    <w:uiPriority w:val="39"/>
    <w:unhideWhenUsed/>
    <w:rsid w:val="00890D67"/>
    <w:pPr>
      <w:spacing w:after="100"/>
      <w:ind w:left="400"/>
    </w:pPr>
  </w:style>
  <w:style w:type="character" w:styleId="CommentReference">
    <w:name w:val="annotation reference"/>
    <w:basedOn w:val="DefaultParagraphFont"/>
    <w:uiPriority w:val="99"/>
    <w:semiHidden/>
    <w:unhideWhenUsed/>
    <w:rsid w:val="002D136D"/>
    <w:rPr>
      <w:sz w:val="18"/>
      <w:szCs w:val="18"/>
    </w:rPr>
  </w:style>
  <w:style w:type="paragraph" w:styleId="CommentText">
    <w:name w:val="annotation text"/>
    <w:basedOn w:val="Normal"/>
    <w:link w:val="CommentTextChar"/>
    <w:uiPriority w:val="99"/>
    <w:semiHidden/>
    <w:unhideWhenUsed/>
    <w:rsid w:val="002D136D"/>
    <w:rPr>
      <w:sz w:val="24"/>
      <w:szCs w:val="24"/>
    </w:rPr>
  </w:style>
  <w:style w:type="character" w:customStyle="1" w:styleId="CommentTextChar">
    <w:name w:val="Comment Text Char"/>
    <w:basedOn w:val="DefaultParagraphFont"/>
    <w:link w:val="CommentText"/>
    <w:uiPriority w:val="99"/>
    <w:semiHidden/>
    <w:rsid w:val="002D136D"/>
    <w:rPr>
      <w:rFonts w:ascii="Times New Roman" w:eastAsiaTheme="minorHAns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D136D"/>
    <w:rPr>
      <w:b/>
      <w:bCs/>
      <w:sz w:val="20"/>
      <w:szCs w:val="20"/>
    </w:rPr>
  </w:style>
  <w:style w:type="character" w:customStyle="1" w:styleId="CommentSubjectChar">
    <w:name w:val="Comment Subject Char"/>
    <w:basedOn w:val="CommentTextChar"/>
    <w:link w:val="CommentSubject"/>
    <w:uiPriority w:val="99"/>
    <w:semiHidden/>
    <w:rsid w:val="002D136D"/>
    <w:rPr>
      <w:rFonts w:ascii="Times New Roman" w:eastAsiaTheme="minorHAnsi" w:hAnsi="Times New Roman" w:cs="Times New Roman"/>
      <w:b/>
      <w:bCs/>
      <w:sz w:val="20"/>
      <w:szCs w:val="20"/>
      <w:lang w:eastAsia="en-US"/>
    </w:rPr>
  </w:style>
  <w:style w:type="character" w:customStyle="1" w:styleId="englishspan10">
    <w:name w:val="english span10"/>
    <w:basedOn w:val="DefaultParagraphFont"/>
    <w:rsid w:val="002D1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Hyperlink"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C6977"/>
    <w:pPr>
      <w:spacing w:after="0" w:line="240" w:lineRule="auto"/>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rsid w:val="009C6977"/>
    <w:pPr>
      <w:spacing w:after="0"/>
      <w:ind w:right="0"/>
      <w:jc w:val="left"/>
      <w:outlineLvl w:val="0"/>
    </w:pPr>
  </w:style>
  <w:style w:type="paragraph" w:styleId="Heading2">
    <w:name w:val="heading 2"/>
    <w:basedOn w:val="Normal"/>
    <w:next w:val="Normal"/>
    <w:link w:val="Heading2Char"/>
    <w:semiHidden/>
    <w:rsid w:val="009C6977"/>
    <w:pPr>
      <w:outlineLvl w:val="1"/>
    </w:pPr>
  </w:style>
  <w:style w:type="paragraph" w:styleId="Heading3">
    <w:name w:val="heading 3"/>
    <w:basedOn w:val="Normal"/>
    <w:next w:val="Normal"/>
    <w:link w:val="Heading3Char"/>
    <w:semiHidden/>
    <w:rsid w:val="009C6977"/>
    <w:pPr>
      <w:outlineLvl w:val="2"/>
    </w:pPr>
  </w:style>
  <w:style w:type="paragraph" w:styleId="Heading4">
    <w:name w:val="heading 4"/>
    <w:basedOn w:val="Normal"/>
    <w:next w:val="Normal"/>
    <w:link w:val="Heading4Char"/>
    <w:semiHidden/>
    <w:rsid w:val="009C6977"/>
    <w:pPr>
      <w:outlineLvl w:val="3"/>
    </w:pPr>
  </w:style>
  <w:style w:type="paragraph" w:styleId="Heading5">
    <w:name w:val="heading 5"/>
    <w:basedOn w:val="Normal"/>
    <w:next w:val="Normal"/>
    <w:link w:val="Heading5Char"/>
    <w:semiHidden/>
    <w:rsid w:val="009C6977"/>
    <w:pPr>
      <w:outlineLvl w:val="4"/>
    </w:pPr>
  </w:style>
  <w:style w:type="paragraph" w:styleId="Heading6">
    <w:name w:val="heading 6"/>
    <w:basedOn w:val="Normal"/>
    <w:next w:val="Normal"/>
    <w:link w:val="Heading6Char"/>
    <w:semiHidden/>
    <w:rsid w:val="009C6977"/>
    <w:pPr>
      <w:outlineLvl w:val="5"/>
    </w:pPr>
  </w:style>
  <w:style w:type="paragraph" w:styleId="Heading7">
    <w:name w:val="heading 7"/>
    <w:basedOn w:val="Normal"/>
    <w:next w:val="Normal"/>
    <w:link w:val="Heading7Char"/>
    <w:semiHidden/>
    <w:rsid w:val="009C6977"/>
    <w:pPr>
      <w:outlineLvl w:val="6"/>
    </w:pPr>
  </w:style>
  <w:style w:type="paragraph" w:styleId="Heading8">
    <w:name w:val="heading 8"/>
    <w:basedOn w:val="Normal"/>
    <w:next w:val="Normal"/>
    <w:link w:val="Heading8Char"/>
    <w:semiHidden/>
    <w:rsid w:val="009C6977"/>
    <w:pPr>
      <w:outlineLvl w:val="7"/>
    </w:pPr>
  </w:style>
  <w:style w:type="paragraph" w:styleId="Heading9">
    <w:name w:val="heading 9"/>
    <w:basedOn w:val="Normal"/>
    <w:next w:val="Normal"/>
    <w:link w:val="Heading9Char"/>
    <w:semiHidden/>
    <w:rsid w:val="009C69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9C6977"/>
    <w:pPr>
      <w:pBdr>
        <w:bottom w:val="single" w:sz="4" w:space="4" w:color="auto"/>
      </w:pBdr>
    </w:pPr>
    <w:rPr>
      <w:b/>
      <w:sz w:val="18"/>
    </w:rPr>
  </w:style>
  <w:style w:type="character" w:customStyle="1" w:styleId="HeaderChar">
    <w:name w:val="Header Char"/>
    <w:aliases w:val="6_G Char"/>
    <w:basedOn w:val="DefaultParagraphFont"/>
    <w:link w:val="Header"/>
    <w:rsid w:val="009C6977"/>
    <w:rPr>
      <w:rFonts w:ascii="Times New Roman" w:eastAsiaTheme="minorHAnsi" w:hAnsi="Times New Roman" w:cs="Times New Roman"/>
      <w:b/>
      <w:sz w:val="18"/>
      <w:szCs w:val="20"/>
      <w:lang w:eastAsia="en-US"/>
    </w:rPr>
  </w:style>
  <w:style w:type="paragraph" w:styleId="Footer">
    <w:name w:val="footer"/>
    <w:aliases w:val="3_G"/>
    <w:basedOn w:val="Normal"/>
    <w:link w:val="FooterChar"/>
    <w:rsid w:val="009C6977"/>
    <w:rPr>
      <w:sz w:val="16"/>
    </w:rPr>
  </w:style>
  <w:style w:type="character" w:customStyle="1" w:styleId="FooterChar">
    <w:name w:val="Footer Char"/>
    <w:aliases w:val="3_G Char"/>
    <w:basedOn w:val="DefaultParagraphFont"/>
    <w:link w:val="Footer"/>
    <w:rsid w:val="009C6977"/>
    <w:rPr>
      <w:rFonts w:ascii="Times New Roman" w:eastAsiaTheme="minorHAnsi" w:hAnsi="Times New Roman" w:cs="Times New Roman"/>
      <w:sz w:val="16"/>
      <w:szCs w:val="20"/>
      <w:lang w:eastAsia="en-US"/>
    </w:rPr>
  </w:style>
  <w:style w:type="paragraph" w:customStyle="1" w:styleId="HMG">
    <w:name w:val="_ H __M_G"/>
    <w:basedOn w:val="Normal"/>
    <w:next w:val="Normal"/>
    <w:rsid w:val="009C697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9C697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9C697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9C697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9C697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9C6977"/>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9C6977"/>
    <w:pPr>
      <w:spacing w:after="120" w:line="240" w:lineRule="atLeast"/>
      <w:ind w:left="1134" w:right="1134"/>
      <w:jc w:val="both"/>
    </w:pPr>
  </w:style>
  <w:style w:type="paragraph" w:customStyle="1" w:styleId="SLG">
    <w:name w:val="__S_L_G"/>
    <w:basedOn w:val="Normal"/>
    <w:next w:val="Normal"/>
    <w:rsid w:val="009C6977"/>
    <w:pPr>
      <w:keepNext/>
      <w:keepLines/>
      <w:spacing w:before="240" w:after="240" w:line="580" w:lineRule="exact"/>
      <w:ind w:left="1134" w:right="1134"/>
    </w:pPr>
    <w:rPr>
      <w:b/>
      <w:sz w:val="56"/>
    </w:rPr>
  </w:style>
  <w:style w:type="paragraph" w:customStyle="1" w:styleId="SMG">
    <w:name w:val="__S_M_G"/>
    <w:basedOn w:val="Normal"/>
    <w:next w:val="Normal"/>
    <w:rsid w:val="009C6977"/>
    <w:pPr>
      <w:keepNext/>
      <w:keepLines/>
      <w:spacing w:before="240" w:after="240" w:line="420" w:lineRule="exact"/>
      <w:ind w:left="1134" w:right="1134"/>
    </w:pPr>
    <w:rPr>
      <w:b/>
      <w:sz w:val="40"/>
    </w:rPr>
  </w:style>
  <w:style w:type="paragraph" w:customStyle="1" w:styleId="SSG">
    <w:name w:val="__S_S_G"/>
    <w:basedOn w:val="Normal"/>
    <w:next w:val="Normal"/>
    <w:rsid w:val="009C6977"/>
    <w:pPr>
      <w:keepNext/>
      <w:keepLines/>
      <w:spacing w:before="240" w:after="240" w:line="300" w:lineRule="exact"/>
      <w:ind w:left="1134" w:right="1134"/>
    </w:pPr>
    <w:rPr>
      <w:b/>
      <w:sz w:val="28"/>
    </w:rPr>
  </w:style>
  <w:style w:type="paragraph" w:customStyle="1" w:styleId="XLargeG">
    <w:name w:val="__XLarge_G"/>
    <w:basedOn w:val="Normal"/>
    <w:next w:val="Normal"/>
    <w:rsid w:val="009C6977"/>
    <w:pPr>
      <w:keepNext/>
      <w:keepLines/>
      <w:spacing w:before="240" w:after="240" w:line="420" w:lineRule="exact"/>
      <w:ind w:left="1134" w:right="1134"/>
    </w:pPr>
    <w:rPr>
      <w:b/>
      <w:sz w:val="40"/>
    </w:rPr>
  </w:style>
  <w:style w:type="paragraph" w:customStyle="1" w:styleId="Bullet1G">
    <w:name w:val="_Bullet 1_G"/>
    <w:basedOn w:val="Normal"/>
    <w:qFormat/>
    <w:rsid w:val="009C6977"/>
    <w:pPr>
      <w:numPr>
        <w:numId w:val="17"/>
      </w:numPr>
      <w:spacing w:after="120"/>
      <w:ind w:right="1134"/>
      <w:jc w:val="both"/>
    </w:pPr>
  </w:style>
  <w:style w:type="paragraph" w:customStyle="1" w:styleId="Bullet2G">
    <w:name w:val="_Bullet 2_G"/>
    <w:basedOn w:val="Normal"/>
    <w:qFormat/>
    <w:rsid w:val="009C6977"/>
    <w:pPr>
      <w:numPr>
        <w:numId w:val="18"/>
      </w:numPr>
      <w:spacing w:after="120"/>
      <w:ind w:right="1134"/>
      <w:jc w:val="both"/>
    </w:pPr>
  </w:style>
  <w:style w:type="paragraph" w:customStyle="1" w:styleId="ParaNoG">
    <w:name w:val="_ParaNo._G"/>
    <w:basedOn w:val="SingleTxtG"/>
    <w:rsid w:val="009C6977"/>
    <w:pPr>
      <w:numPr>
        <w:numId w:val="19"/>
      </w:numPr>
    </w:pPr>
  </w:style>
  <w:style w:type="numbering" w:styleId="111111">
    <w:name w:val="Outline List 2"/>
    <w:basedOn w:val="NoList"/>
    <w:semiHidden/>
    <w:rsid w:val="009C6977"/>
    <w:pPr>
      <w:numPr>
        <w:numId w:val="15"/>
      </w:numPr>
    </w:pPr>
  </w:style>
  <w:style w:type="numbering" w:styleId="1ai">
    <w:name w:val="Outline List 1"/>
    <w:basedOn w:val="NoList"/>
    <w:semiHidden/>
    <w:rsid w:val="009C6977"/>
    <w:pPr>
      <w:numPr>
        <w:numId w:val="6"/>
      </w:numPr>
    </w:pPr>
  </w:style>
  <w:style w:type="character" w:styleId="EndnoteReference">
    <w:name w:val="endnote reference"/>
    <w:aliases w:val="1_G"/>
    <w:rsid w:val="009C6977"/>
    <w:rPr>
      <w:rFonts w:ascii="Times New Roman" w:hAnsi="Times New Roman"/>
      <w:sz w:val="18"/>
      <w:vertAlign w:val="superscript"/>
    </w:rPr>
  </w:style>
  <w:style w:type="paragraph" w:styleId="FootnoteText">
    <w:name w:val="footnote text"/>
    <w:aliases w:val="5_G"/>
    <w:basedOn w:val="Normal"/>
    <w:link w:val="FootnoteTextChar"/>
    <w:rsid w:val="009C6977"/>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9C6977"/>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9C6977"/>
  </w:style>
  <w:style w:type="character" w:customStyle="1" w:styleId="EndnoteTextChar">
    <w:name w:val="Endnote Text Char"/>
    <w:aliases w:val="2_G Char"/>
    <w:basedOn w:val="DefaultParagraphFont"/>
    <w:link w:val="EndnoteText"/>
    <w:rsid w:val="009C6977"/>
    <w:rPr>
      <w:rFonts w:ascii="Times New Roman" w:eastAsiaTheme="minorHAnsi" w:hAnsi="Times New Roman" w:cs="Times New Roman"/>
      <w:sz w:val="18"/>
      <w:szCs w:val="20"/>
      <w:lang w:eastAsia="en-US"/>
    </w:rPr>
  </w:style>
  <w:style w:type="character" w:styleId="FootnoteReference">
    <w:name w:val="footnote reference"/>
    <w:aliases w:val="4_G"/>
    <w:link w:val="CharChar1CharCharCharChar1CharCharCharCharCharCharCharCharCharCharCharCharCharCharCharChar"/>
    <w:rsid w:val="009C6977"/>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9C6977"/>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9C6977"/>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9C6977"/>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9C6977"/>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9C6977"/>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9C6977"/>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9C6977"/>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9C6977"/>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9C6977"/>
    <w:rPr>
      <w:rFonts w:ascii="Times New Roman" w:eastAsiaTheme="minorHAnsi" w:hAnsi="Times New Roman" w:cs="Times New Roman"/>
      <w:sz w:val="20"/>
      <w:szCs w:val="20"/>
      <w:lang w:eastAsia="en-US"/>
    </w:rPr>
  </w:style>
  <w:style w:type="character" w:styleId="PageNumber">
    <w:name w:val="page number"/>
    <w:aliases w:val="7_G"/>
    <w:rsid w:val="009C6977"/>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9C6977"/>
    <w:rPr>
      <w:rFonts w:ascii="Tahoma" w:hAnsi="Tahoma" w:cs="Tahoma"/>
      <w:sz w:val="16"/>
      <w:szCs w:val="16"/>
    </w:rPr>
  </w:style>
  <w:style w:type="character" w:customStyle="1" w:styleId="BalloonTextChar">
    <w:name w:val="Balloon Text Char"/>
    <w:basedOn w:val="DefaultParagraphFont"/>
    <w:link w:val="BalloonText"/>
    <w:uiPriority w:val="99"/>
    <w:semiHidden/>
    <w:rsid w:val="009C6977"/>
    <w:rPr>
      <w:rFonts w:ascii="Tahoma" w:eastAsiaTheme="minorHAnsi"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9C6977"/>
    <w:pPr>
      <w:suppressAutoHyphens/>
      <w:spacing w:after="0" w:line="240" w:lineRule="atLeas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rsid w:val="009C6977"/>
    <w:pPr>
      <w:spacing w:after="160" w:line="240" w:lineRule="exact"/>
    </w:pPr>
    <w:rPr>
      <w:rFonts w:eastAsia="SimSun" w:cstheme="minorBidi"/>
      <w:sz w:val="18"/>
      <w:szCs w:val="22"/>
      <w:vertAlign w:val="superscript"/>
      <w:lang w:eastAsia="zh-CN"/>
    </w:rPr>
  </w:style>
  <w:style w:type="paragraph" w:styleId="TOC1">
    <w:name w:val="toc 1"/>
    <w:basedOn w:val="Normal"/>
    <w:next w:val="Normal"/>
    <w:autoRedefine/>
    <w:uiPriority w:val="39"/>
    <w:unhideWhenUsed/>
    <w:rsid w:val="00890D67"/>
    <w:pPr>
      <w:spacing w:after="100"/>
    </w:pPr>
  </w:style>
  <w:style w:type="paragraph" w:styleId="TOC2">
    <w:name w:val="toc 2"/>
    <w:basedOn w:val="Normal"/>
    <w:next w:val="Normal"/>
    <w:autoRedefine/>
    <w:uiPriority w:val="39"/>
    <w:unhideWhenUsed/>
    <w:rsid w:val="00890D67"/>
    <w:pPr>
      <w:spacing w:after="100"/>
      <w:ind w:left="200"/>
    </w:pPr>
  </w:style>
  <w:style w:type="paragraph" w:styleId="TOC3">
    <w:name w:val="toc 3"/>
    <w:basedOn w:val="Normal"/>
    <w:next w:val="Normal"/>
    <w:autoRedefine/>
    <w:uiPriority w:val="39"/>
    <w:unhideWhenUsed/>
    <w:rsid w:val="00890D67"/>
    <w:pPr>
      <w:spacing w:after="100"/>
      <w:ind w:left="400"/>
    </w:pPr>
  </w:style>
  <w:style w:type="character" w:styleId="CommentReference">
    <w:name w:val="annotation reference"/>
    <w:basedOn w:val="DefaultParagraphFont"/>
    <w:uiPriority w:val="99"/>
    <w:semiHidden/>
    <w:unhideWhenUsed/>
    <w:rsid w:val="002D136D"/>
    <w:rPr>
      <w:sz w:val="18"/>
      <w:szCs w:val="18"/>
    </w:rPr>
  </w:style>
  <w:style w:type="paragraph" w:styleId="CommentText">
    <w:name w:val="annotation text"/>
    <w:basedOn w:val="Normal"/>
    <w:link w:val="CommentTextChar"/>
    <w:uiPriority w:val="99"/>
    <w:semiHidden/>
    <w:unhideWhenUsed/>
    <w:rsid w:val="002D136D"/>
    <w:rPr>
      <w:sz w:val="24"/>
      <w:szCs w:val="24"/>
    </w:rPr>
  </w:style>
  <w:style w:type="character" w:customStyle="1" w:styleId="CommentTextChar">
    <w:name w:val="Comment Text Char"/>
    <w:basedOn w:val="DefaultParagraphFont"/>
    <w:link w:val="CommentText"/>
    <w:uiPriority w:val="99"/>
    <w:semiHidden/>
    <w:rsid w:val="002D136D"/>
    <w:rPr>
      <w:rFonts w:ascii="Times New Roman" w:eastAsiaTheme="minorHAns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D136D"/>
    <w:rPr>
      <w:b/>
      <w:bCs/>
      <w:sz w:val="20"/>
      <w:szCs w:val="20"/>
    </w:rPr>
  </w:style>
  <w:style w:type="character" w:customStyle="1" w:styleId="CommentSubjectChar">
    <w:name w:val="Comment Subject Char"/>
    <w:basedOn w:val="CommentTextChar"/>
    <w:link w:val="CommentSubject"/>
    <w:uiPriority w:val="99"/>
    <w:semiHidden/>
    <w:rsid w:val="002D136D"/>
    <w:rPr>
      <w:rFonts w:ascii="Times New Roman" w:eastAsiaTheme="minorHAnsi" w:hAnsi="Times New Roman" w:cs="Times New Roman"/>
      <w:b/>
      <w:bCs/>
      <w:sz w:val="20"/>
      <w:szCs w:val="20"/>
      <w:lang w:eastAsia="en-US"/>
    </w:rPr>
  </w:style>
  <w:style w:type="character" w:customStyle="1" w:styleId="englishspan10">
    <w:name w:val="english span10"/>
    <w:basedOn w:val="DefaultParagraphFont"/>
    <w:rsid w:val="002D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nrwa.org/sites/default/files/content/resources/children_in_distress_briefing_note.pdf" TargetMode="External"/><Relationship Id="rId13" Type="http://schemas.openxmlformats.org/officeDocument/2006/relationships/hyperlink" Target="file:///C:/Users/mPellado/AppData/Local/Temp/notesB01B9A/AppData/Local/Temp/notes8D876F/www.ohchr.org/EN/NewsEvents/Pages/DisplayNews.aspx?NewsID=20565&amp;LangID=E" TargetMode="External"/><Relationship Id="rId3" Type="http://schemas.openxmlformats.org/officeDocument/2006/relationships/hyperlink" Target="http://www.unicef.org/oPt/Children_in_Israeli_Military_Detention_-_Observations_and_Recommendations_-_Bulletin_No._2_-_February_2015.pdf" TargetMode="External"/><Relationship Id="rId7" Type="http://schemas.openxmlformats.org/officeDocument/2006/relationships/hyperlink" Target="http://www.un.org/ga/search/view_doc.asp?symbol=A/70/836&amp;Lang=E&amp;Area=UNDOC" TargetMode="External"/><Relationship Id="rId12" Type="http://schemas.openxmlformats.org/officeDocument/2006/relationships/hyperlink" Target="https://www.ohchr.org/EN/HRBodies/SP/Pages/CountryvisitsF-M.aspx" TargetMode="External"/><Relationship Id="rId2" Type="http://schemas.openxmlformats.org/officeDocument/2006/relationships/hyperlink" Target="http://www.btselem.org/detainees_and_prisoners/minors_in_custody" TargetMode="External"/><Relationship Id="rId16" Type="http://schemas.openxmlformats.org/officeDocument/2006/relationships/hyperlink" Target="https://www.ohchr.org/Documents/Issues/Business/OPTStatement6June2014.pdf" TargetMode="External"/><Relationship Id="rId1" Type="http://schemas.openxmlformats.org/officeDocument/2006/relationships/hyperlink" Target="http://mfa.gov.il/MFA/ForeignPolicy/IsraelGaza2014/Pages/2014-Gaza-Conflict-Factual-and-Legal-Aspects.aspx" TargetMode="External"/><Relationship Id="rId6" Type="http://schemas.openxmlformats.org/officeDocument/2006/relationships/hyperlink" Target="http://www.nevo.co.il/law_html/Law01/313_001.htm" TargetMode="External"/><Relationship Id="rId11" Type="http://schemas.openxmlformats.org/officeDocument/2006/relationships/hyperlink" Target="https://www.ochaopt.org/documents/2016_hrp_22_january%202016.pdf" TargetMode="External"/><Relationship Id="rId5" Type="http://schemas.openxmlformats.org/officeDocument/2006/relationships/hyperlink" Target="https://unispal.un.org/DPA/DPR/unispal.nsf/0/E0B719E95E3B494885256F9A005AB90A" TargetMode="External"/><Relationship Id="rId15" Type="http://schemas.openxmlformats.org/officeDocument/2006/relationships/hyperlink" Target="http://www.icc-cpi.int/palestine" TargetMode="External"/><Relationship Id="rId10" Type="http://schemas.openxmlformats.org/officeDocument/2006/relationships/hyperlink" Target="http://www.ochaopt.org/sites/default/files/gaza_war_2_years_after_english.pdf" TargetMode="External"/><Relationship Id="rId4" Type="http://schemas.openxmlformats.org/officeDocument/2006/relationships/hyperlink" Target="file:///C:/Users/mPellado/AppData/Local/Temp/notesB01B9A/AppData/Local/Temp/notes8D876F/www.loc.gov/law/foreign-news/article/israel-law-authorizing-force-feeding-of-prisoners-held-constitutional/" TargetMode="External"/><Relationship Id="rId9" Type="http://schemas.openxmlformats.org/officeDocument/2006/relationships/hyperlink" Target="http://www.ochaopt.org/sites/default/files/gaza_war_2_years_after_english.pdf" TargetMode="External"/><Relationship Id="rId14" Type="http://schemas.openxmlformats.org/officeDocument/2006/relationships/hyperlink" Target="http://www.icrc.org/eng/assets/files/review/2013/irrc-888-maur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671F0A-CADA-4B16-AE5E-DB68F0E9CBFE}"/>
</file>

<file path=customXml/itemProps2.xml><?xml version="1.0" encoding="utf-8"?>
<ds:datastoreItem xmlns:ds="http://schemas.openxmlformats.org/officeDocument/2006/customXml" ds:itemID="{D8BC4867-97FF-4D02-8AB5-BB6A1BE2FD0F}"/>
</file>

<file path=customXml/itemProps3.xml><?xml version="1.0" encoding="utf-8"?>
<ds:datastoreItem xmlns:ds="http://schemas.openxmlformats.org/officeDocument/2006/customXml" ds:itemID="{958211B9-70D1-47B2-B90F-BC41B7BD0B9E}"/>
</file>

<file path=customXml/itemProps4.xml><?xml version="1.0" encoding="utf-8"?>
<ds:datastoreItem xmlns:ds="http://schemas.openxmlformats.org/officeDocument/2006/customXml" ds:itemID="{0A419B07-0228-49FD-8BAF-ED1EFB9B3AA8}"/>
</file>

<file path=docProps/app.xml><?xml version="1.0" encoding="utf-8"?>
<Properties xmlns="http://schemas.openxmlformats.org/officeDocument/2006/extended-properties" xmlns:vt="http://schemas.openxmlformats.org/officeDocument/2006/docPropsVTypes">
  <Template>A.dotm</Template>
  <TotalTime>0</TotalTime>
  <Pages>26</Pages>
  <Words>9518</Words>
  <Characters>54253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DCM</Company>
  <LinksUpToDate>false</LinksUpToDate>
  <CharactersWithSpaces>63644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High Commissioner for Human Rights on ensuring accountability and justice for all violations of international law in the Occupied Palestinian Territory, including East Jerusalem in English</dc:title>
  <dc:creator>ESCALANTE</dc:creator>
  <cp:lastModifiedBy>Iuliia Somova</cp:lastModifiedBy>
  <cp:revision>2</cp:revision>
  <cp:lastPrinted>2017-06-08T10:35:00Z</cp:lastPrinted>
  <dcterms:created xsi:type="dcterms:W3CDTF">2017-06-12T10:13:00Z</dcterms:created>
  <dcterms:modified xsi:type="dcterms:W3CDTF">2017-06-12T10:13:00Z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14600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