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EF0" w:rsidRPr="00890BC9" w:rsidRDefault="00FC1EF0" w:rsidP="00FC1EF0">
      <w:pPr>
        <w:spacing w:line="240" w:lineRule="auto"/>
        <w:jc w:val="left"/>
        <w:rPr>
          <w:szCs w:val="6"/>
          <w:rtl/>
        </w:rPr>
        <w:sectPr w:rsidR="00FC1EF0" w:rsidRPr="00890BC9" w:rsidSect="00FC1EF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FC1EF0" w:rsidRPr="00890BC9" w:rsidRDefault="00FC1EF0" w:rsidP="00FC1EF0">
      <w:pPr>
        <w:pStyle w:val="H1"/>
        <w:rPr>
          <w:rtl/>
        </w:rPr>
      </w:pPr>
      <w:r w:rsidRPr="00890BC9">
        <w:rPr>
          <w:rFonts w:hint="cs"/>
          <w:rtl/>
        </w:rPr>
        <w:lastRenderedPageBreak/>
        <w:t>مجلس</w:t>
      </w:r>
      <w:r w:rsidRPr="00890BC9">
        <w:rPr>
          <w:rtl/>
        </w:rPr>
        <w:t xml:space="preserve"> حقوق الإنسان</w:t>
      </w:r>
    </w:p>
    <w:p w:rsidR="00890BC9" w:rsidRPr="00890BC9" w:rsidRDefault="00C81CAF" w:rsidP="00890BC9">
      <w:pPr>
        <w:spacing w:line="380" w:lineRule="exact"/>
        <w:rPr>
          <w:b/>
          <w:bCs/>
          <w:rtl/>
        </w:rPr>
      </w:pPr>
      <w:r w:rsidRPr="00C81CAF">
        <w:rPr>
          <w:b/>
          <w:bCs/>
          <w:rtl/>
        </w:rPr>
        <w:t>الدورة السادسة والثلاثون</w:t>
      </w:r>
    </w:p>
    <w:p w:rsidR="00890BC9" w:rsidRPr="00890BC9" w:rsidRDefault="00890BC9" w:rsidP="00890BC9">
      <w:pPr>
        <w:spacing w:line="380" w:lineRule="exact"/>
        <w:rPr>
          <w:rtl/>
        </w:rPr>
      </w:pPr>
      <w:r w:rsidRPr="00890BC9">
        <w:rPr>
          <w:rFonts w:hint="cs"/>
          <w:rtl/>
        </w:rPr>
        <w:t>البند 6 من جدول الأعمال</w:t>
      </w:r>
    </w:p>
    <w:p w:rsidR="00890BC9" w:rsidRPr="00890BC9" w:rsidRDefault="00890BC9" w:rsidP="00890BC9">
      <w:pPr>
        <w:spacing w:after="240" w:line="380" w:lineRule="exact"/>
        <w:rPr>
          <w:b/>
          <w:bCs/>
          <w:rtl/>
        </w:rPr>
      </w:pPr>
      <w:r w:rsidRPr="00890BC9">
        <w:rPr>
          <w:rFonts w:hint="cs"/>
          <w:b/>
          <w:bCs/>
          <w:rtl/>
        </w:rPr>
        <w:t>الاستعراض الدوري الشامل</w:t>
      </w:r>
    </w:p>
    <w:p w:rsidR="00890BC9" w:rsidRPr="00507A65" w:rsidRDefault="00890BC9" w:rsidP="00890BC9">
      <w:pPr>
        <w:framePr w:w="9792" w:h="432" w:hSpace="187" w:wrap="around" w:hAnchor="page" w:x="1196" w:yAlign="bottom"/>
        <w:spacing w:line="240" w:lineRule="auto"/>
        <w:rPr>
          <w:szCs w:val="10"/>
          <w:rtl/>
        </w:rPr>
      </w:pPr>
    </w:p>
    <w:p w:rsidR="00890BC9" w:rsidRPr="00507A65" w:rsidRDefault="00890BC9" w:rsidP="00890BC9">
      <w:pPr>
        <w:framePr w:w="9792" w:h="432" w:hSpace="187" w:wrap="around" w:hAnchor="page" w:x="1196" w:yAlign="bottom"/>
        <w:spacing w:line="240" w:lineRule="auto"/>
        <w:rPr>
          <w:szCs w:val="6"/>
          <w:rtl/>
        </w:rPr>
      </w:pPr>
      <w:r w:rsidRPr="00507A65">
        <w:rPr>
          <w:noProof/>
          <w:w w:val="100"/>
          <w:szCs w:val="6"/>
          <w:rtl/>
          <w:lang w:val="en-GB" w:eastAsia="ja-JP"/>
        </w:rPr>
        <mc:AlternateContent>
          <mc:Choice Requires="wps">
            <w:drawing>
              <wp:anchor distT="0" distB="0" distL="114300" distR="114300" simplePos="0" relativeHeight="251661312" behindDoc="0" locked="0" layoutInCell="1" allowOverlap="1" wp14:anchorId="4DABF3B9" wp14:editId="58B1DAA5">
                <wp:simplePos x="0" y="0"/>
                <wp:positionH relativeFrom="column">
                  <wp:posOffset>5029327</wp:posOffset>
                </wp:positionH>
                <wp:positionV relativeFrom="paragraph">
                  <wp:posOffset>-12700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" strokecolor="#010000"/>
            </w:pict>
          </mc:Fallback>
        </mc:AlternateContent>
      </w:r>
    </w:p>
    <w:p w:rsidR="00890BC9" w:rsidRPr="00507A65" w:rsidRDefault="00890BC9" w:rsidP="00890BC9">
      <w:pPr>
        <w:framePr w:w="9792" w:h="432" w:hSpace="187" w:wrap="around" w:hAnchor="page" w:x="1196" w:yAlign="bottom"/>
        <w:tabs>
          <w:tab w:val="right" w:pos="996"/>
          <w:tab w:val="left" w:pos="1267"/>
        </w:tabs>
        <w:spacing w:after="80" w:line="300" w:lineRule="exact"/>
        <w:ind w:left="1267" w:right="1267" w:hanging="547"/>
        <w:rPr>
          <w:sz w:val="17"/>
          <w:szCs w:val="26"/>
        </w:rPr>
      </w:pPr>
      <w:r>
        <w:rPr>
          <w:rFonts w:hint="cs"/>
          <w:sz w:val="17"/>
          <w:szCs w:val="26"/>
          <w:rtl/>
        </w:rPr>
        <w:tab/>
        <w:t>*</w:t>
      </w:r>
      <w:r>
        <w:rPr>
          <w:sz w:val="17"/>
          <w:szCs w:val="26"/>
          <w:rtl/>
        </w:rPr>
        <w:tab/>
      </w:r>
      <w:r w:rsidRPr="00890BC9">
        <w:rPr>
          <w:sz w:val="17"/>
          <w:szCs w:val="26"/>
          <w:rtl/>
        </w:rPr>
        <w:t>لم تحرر هذه الوثيقة قبل إرسالها إلى دوائر الترجمة بالأمم المتحدة.</w:t>
      </w:r>
    </w:p>
    <w:p w:rsidR="00890BC9" w:rsidRPr="00890BC9" w:rsidRDefault="00890BC9" w:rsidP="00890BC9">
      <w:pPr>
        <w:pStyle w:val="HMGA"/>
        <w:spacing w:before="360"/>
        <w:rPr>
          <w:rtl/>
        </w:rPr>
      </w:pPr>
      <w:r w:rsidRPr="00890BC9">
        <w:rPr>
          <w:rtl/>
        </w:rPr>
        <w:tab/>
      </w:r>
      <w:r w:rsidRPr="00890BC9">
        <w:rPr>
          <w:rFonts w:hint="cs"/>
          <w:rtl/>
        </w:rPr>
        <w:tab/>
        <w:t>تقرير الفريق العامل المعني بالاستعراض الدوري الشامل</w:t>
      </w:r>
      <w:r>
        <w:rPr>
          <w:rFonts w:hint="cs"/>
          <w:rtl/>
        </w:rPr>
        <w:t>*</w:t>
      </w:r>
    </w:p>
    <w:p w:rsidR="00890BC9" w:rsidRPr="00890BC9" w:rsidRDefault="00890BC9" w:rsidP="00890BC9">
      <w:pPr>
        <w:pStyle w:val="HMGA"/>
        <w:rPr>
          <w:rtl/>
        </w:rPr>
      </w:pPr>
      <w:r w:rsidRPr="00890BC9">
        <w:rPr>
          <w:rtl/>
        </w:rPr>
        <w:tab/>
      </w:r>
      <w:r w:rsidRPr="00890BC9">
        <w:rPr>
          <w:rFonts w:hint="cs"/>
          <w:rtl/>
        </w:rPr>
        <w:tab/>
      </w:r>
      <w:r w:rsidR="00A12D56" w:rsidRPr="00A12D56">
        <w:rPr>
          <w:rtl/>
        </w:rPr>
        <w:t>البحرين</w:t>
      </w:r>
    </w:p>
    <w:p w:rsidR="00890BC9" w:rsidRPr="00890BC9" w:rsidRDefault="00890BC9" w:rsidP="00890BC9">
      <w:pPr>
        <w:pStyle w:val="H23GA"/>
        <w:rPr>
          <w:rtl/>
        </w:rPr>
      </w:pPr>
      <w:r w:rsidRPr="00890BC9">
        <w:rPr>
          <w:rtl/>
        </w:rPr>
        <w:tab/>
      </w:r>
      <w:r w:rsidRPr="00890BC9">
        <w:rPr>
          <w:rFonts w:hint="cs"/>
          <w:rtl/>
        </w:rPr>
        <w:tab/>
        <w:t>إضافة</w:t>
      </w:r>
    </w:p>
    <w:p w:rsidR="006B6DDF" w:rsidRDefault="00890BC9" w:rsidP="00890BC9">
      <w:pPr>
        <w:pStyle w:val="HChGA"/>
        <w:rPr>
          <w:rtl/>
        </w:rPr>
      </w:pPr>
      <w:r w:rsidRPr="00890BC9">
        <w:rPr>
          <w:rtl/>
        </w:rPr>
        <w:tab/>
      </w:r>
      <w:r w:rsidRPr="00890BC9">
        <w:rPr>
          <w:rFonts w:hint="cs"/>
          <w:rtl/>
        </w:rPr>
        <w:tab/>
        <w:t>آراء بشأن الاستنتاجات و/أو التوصيات، والالتزامات الطوعية والردود المقدمة من الدولة موضع الاستعراض</w:t>
      </w:r>
    </w:p>
    <w:p w:rsidR="006B6DDF" w:rsidRDefault="006B6DDF">
      <w:pPr>
        <w:bidi w:val="0"/>
        <w:spacing w:line="240" w:lineRule="auto"/>
        <w:jc w:val="left"/>
        <w:rPr>
          <w:rFonts w:eastAsia="Times New Roman"/>
          <w:b/>
          <w:bCs/>
          <w:w w:val="100"/>
          <w:kern w:val="0"/>
          <w:sz w:val="28"/>
          <w:szCs w:val="38"/>
          <w:rtl/>
        </w:rPr>
      </w:pPr>
      <w:r>
        <w:rPr>
          <w:rtl/>
        </w:rPr>
        <w:br w:type="page"/>
      </w:r>
    </w:p>
    <w:p w:rsidR="006B6DDF" w:rsidRPr="00FF4AE3" w:rsidRDefault="006B6DDF" w:rsidP="006B6DDF">
      <w:pPr>
        <w:pStyle w:val="SingleTxtGA"/>
        <w:rPr>
          <w:lang w:val="fr-FR"/>
        </w:rPr>
      </w:pPr>
      <w:r w:rsidRPr="00890BC9">
        <w:rPr>
          <w:rtl/>
          <w:lang w:val="fr-FR" w:bidi="ar-EG"/>
        </w:rPr>
        <w:lastRenderedPageBreak/>
        <w:t>1-</w:t>
      </w:r>
      <w:r w:rsidRPr="00890BC9">
        <w:rPr>
          <w:rtl/>
          <w:lang w:val="fr-FR" w:bidi="ar-EG"/>
        </w:rPr>
        <w:tab/>
      </w:r>
      <w:r w:rsidR="005D602C" w:rsidRPr="005D602C">
        <w:rPr>
          <w:rtl/>
          <w:lang w:val="fr-FR" w:bidi="ar-BH"/>
        </w:rPr>
        <w:t>تعبر مملكة البحرين عن حرصها في تعزيز ومواصلة جهودها من أجل النهوض بحقوق الإنسان وصون كرامته من خلال التعاون مع الشركاء وأصحاب المصلحة على المستوى الوطني، والتعاون البناء مع مجلس حقوق الإنسان وآلية الاستعراض الدوري الشامل والمفوضية السامية لحقوق الإنسان والآليات والمنظمات الأخرى الدولية ذات العلاقة على المستوى الدولي.</w:t>
      </w:r>
    </w:p>
    <w:p w:rsidR="006B6DDF" w:rsidRPr="00FF4AE3" w:rsidRDefault="00890BC9" w:rsidP="006B6DDF">
      <w:pPr>
        <w:pStyle w:val="SingleTxtGA"/>
        <w:rPr>
          <w:lang w:val="fr-FR" w:bidi="ar-EG"/>
        </w:rPr>
      </w:pPr>
      <w:r w:rsidRPr="00890BC9">
        <w:rPr>
          <w:rtl/>
          <w:lang w:val="fr-FR" w:bidi="ar-EG"/>
        </w:rPr>
        <w:t>2-</w:t>
      </w:r>
      <w:r w:rsidRPr="00890BC9">
        <w:rPr>
          <w:rtl/>
          <w:lang w:val="fr-FR" w:bidi="ar-EG"/>
        </w:rPr>
        <w:tab/>
      </w:r>
      <w:r w:rsidR="005D602C" w:rsidRPr="005D602C">
        <w:rPr>
          <w:rtl/>
          <w:lang w:val="fr-FR" w:bidi="ar-BH"/>
        </w:rPr>
        <w:t>إن آلية الاستعراض الدوري الشامل، تستحق الدعم لتحقق أهدافها على أساس المبادئ التي تحكم عمل المجلس وهي مبادئ الحوار والموضوعية واللا انتقائية.</w:t>
      </w:r>
    </w:p>
    <w:p w:rsidR="006B6DDF" w:rsidRPr="006B6DDF" w:rsidRDefault="00890BC9" w:rsidP="006B6DDF">
      <w:pPr>
        <w:pStyle w:val="SingleTxtGA"/>
        <w:rPr>
          <w:lang w:val="fr-FR" w:bidi="ar-EG"/>
        </w:rPr>
      </w:pPr>
      <w:r w:rsidRPr="00890BC9">
        <w:rPr>
          <w:rtl/>
          <w:lang w:val="fr-FR" w:bidi="ar-EG"/>
        </w:rPr>
        <w:t>3-</w:t>
      </w:r>
      <w:r w:rsidRPr="00890BC9">
        <w:rPr>
          <w:rtl/>
          <w:lang w:val="fr-FR" w:bidi="ar-EG"/>
        </w:rPr>
        <w:tab/>
      </w:r>
      <w:r w:rsidR="00BB07B8" w:rsidRPr="00BB07B8">
        <w:rPr>
          <w:rtl/>
          <w:lang w:val="fr-FR" w:bidi="ar-BH"/>
        </w:rPr>
        <w:t>استعرضت البحرين بدقة التوصيات المقدمة أثناء الاستعراض الدوري الشامل الثالث في مايو 2017، والبالغ عددها 175 توصية.</w:t>
      </w:r>
    </w:p>
    <w:p w:rsidR="006B6DDF" w:rsidRPr="006B6DDF" w:rsidRDefault="00655D33" w:rsidP="006B6DDF">
      <w:pPr>
        <w:pStyle w:val="SingleTxtGA"/>
        <w:rPr>
          <w:lang w:val="fr-FR" w:bidi="ar-EG"/>
        </w:rPr>
      </w:pPr>
      <w:r w:rsidRPr="00890BC9">
        <w:rPr>
          <w:sz w:val="18"/>
          <w:szCs w:val="28"/>
          <w:rtl/>
          <w:lang w:val="en-GB" w:bidi="ar-LY"/>
        </w:rPr>
        <w:t>4</w:t>
      </w:r>
      <w:r w:rsidRPr="00890BC9">
        <w:rPr>
          <w:rtl/>
          <w:lang w:val="fr-FR" w:bidi="ar-EG"/>
        </w:rPr>
        <w:t>-</w:t>
      </w:r>
      <w:r w:rsidRPr="00890BC9">
        <w:rPr>
          <w:rtl/>
          <w:lang w:val="fr-FR" w:bidi="ar-EG"/>
        </w:rPr>
        <w:tab/>
      </w:r>
      <w:r w:rsidR="00BB07B8" w:rsidRPr="00BB07B8">
        <w:rPr>
          <w:rtl/>
          <w:lang w:val="fr-FR" w:bidi="ar-BH"/>
        </w:rPr>
        <w:t>بشأن التوصيات، يعني أن تحظى توصية بالدعم، أنها نُفّذت أو انها قيد التنفيذ أو يمكن البدء في تنفيذها. علماً بأن الكثير من تلك التوصيات قد تم إنجازها على أرض الواقع، وستعمل البحرين على تحقيق ما تبقى منها.</w:t>
      </w:r>
    </w:p>
    <w:p w:rsidR="006B6DDF" w:rsidRPr="006B6DDF" w:rsidRDefault="00FF4AE3" w:rsidP="006B6DDF">
      <w:pPr>
        <w:pStyle w:val="SingleTxtGA"/>
        <w:rPr>
          <w:lang w:val="fr-FR" w:bidi="ar-EG"/>
        </w:rPr>
      </w:pPr>
      <w:r>
        <w:rPr>
          <w:rtl/>
          <w:lang w:val="fr-FR" w:bidi="ar-EG"/>
        </w:rPr>
        <w:t>5</w:t>
      </w:r>
      <w:r w:rsidRPr="00890BC9">
        <w:rPr>
          <w:rtl/>
          <w:lang w:val="fr-FR" w:bidi="ar-EG"/>
        </w:rPr>
        <w:t>-</w:t>
      </w:r>
      <w:r w:rsidRPr="00890BC9">
        <w:rPr>
          <w:rtl/>
          <w:lang w:val="fr-FR" w:bidi="ar-EG"/>
        </w:rPr>
        <w:tab/>
      </w:r>
      <w:r w:rsidR="00BB07B8" w:rsidRPr="00BB07B8">
        <w:rPr>
          <w:rtl/>
          <w:lang w:val="fr-FR" w:bidi="ar-BH"/>
        </w:rPr>
        <w:t>ويعني أخذ العلم بالتوصية، أنها قد تتعارض مع تطبيق الشريعة الإسلامية، أو لا تتوافق مع القوانين والتشريعات الوطنية، أو تقتضي مزيداً من الدراسة. علماً بأن عدداً منها كان من الممكن القبول بها جزئياً.</w:t>
      </w:r>
    </w:p>
    <w:p w:rsidR="006B6DDF" w:rsidRDefault="00FF4AE3" w:rsidP="006B6DDF">
      <w:pPr>
        <w:pStyle w:val="SingleTxtGA"/>
        <w:rPr>
          <w:rtl/>
          <w:lang w:val="fr-FR" w:bidi="ar-BH"/>
        </w:rPr>
      </w:pPr>
      <w:r>
        <w:rPr>
          <w:rtl/>
          <w:lang w:val="fr-FR" w:bidi="ar-EG"/>
        </w:rPr>
        <w:t>6</w:t>
      </w:r>
      <w:r w:rsidRPr="00890BC9">
        <w:rPr>
          <w:rtl/>
          <w:lang w:val="fr-FR" w:bidi="ar-EG"/>
        </w:rPr>
        <w:t>-</w:t>
      </w:r>
      <w:r w:rsidRPr="00890BC9">
        <w:rPr>
          <w:rtl/>
          <w:lang w:val="fr-FR" w:bidi="ar-EG"/>
        </w:rPr>
        <w:tab/>
      </w:r>
      <w:r w:rsidR="00BB07B8" w:rsidRPr="00BB07B8">
        <w:rPr>
          <w:rtl/>
          <w:lang w:val="fr-FR" w:bidi="ar-BH"/>
        </w:rPr>
        <w:t>وتحظى (139) توصية بالدعم، في حين تم أخذ العلم بعدد (36) توصية.</w:t>
      </w:r>
    </w:p>
    <w:p w:rsidR="00697012" w:rsidRDefault="00697012" w:rsidP="00697012">
      <w:pPr>
        <w:pStyle w:val="H23GA"/>
        <w:rPr>
          <w:b w:val="0"/>
          <w:lang w:val="en-GB"/>
        </w:rPr>
      </w:pPr>
      <w:r w:rsidRPr="00082126">
        <w:rPr>
          <w:rFonts w:hint="cs"/>
          <w:b w:val="0"/>
          <w:rtl/>
        </w:rPr>
        <w:tab/>
      </w:r>
      <w:r w:rsidRPr="00082126">
        <w:rPr>
          <w:rFonts w:hint="cs"/>
          <w:b w:val="0"/>
          <w:rtl/>
        </w:rPr>
        <w:tab/>
      </w:r>
      <w:r w:rsidRPr="00697012">
        <w:rPr>
          <w:b w:val="0"/>
          <w:rtl/>
          <w:lang w:bidi="ar-BH"/>
        </w:rPr>
        <w:t>المسائل المتعلقة بالعدالة الجنائية</w:t>
      </w:r>
    </w:p>
    <w:p w:rsidR="006B6DDF" w:rsidRDefault="00FF4AE3" w:rsidP="006B6DDF">
      <w:pPr>
        <w:pStyle w:val="SingleTxtGA"/>
        <w:rPr>
          <w:rtl/>
          <w:lang w:val="fr-FR" w:bidi="ar-BH"/>
        </w:rPr>
      </w:pPr>
      <w:r>
        <w:rPr>
          <w:rtl/>
          <w:lang w:val="fr-FR" w:bidi="ar-EG"/>
        </w:rPr>
        <w:t>7</w:t>
      </w:r>
      <w:r w:rsidRPr="00890BC9">
        <w:rPr>
          <w:rtl/>
          <w:lang w:val="fr-FR" w:bidi="ar-EG"/>
        </w:rPr>
        <w:t>-</w:t>
      </w:r>
      <w:r w:rsidRPr="00890BC9">
        <w:rPr>
          <w:rtl/>
          <w:lang w:val="fr-FR" w:bidi="ar-EG"/>
        </w:rPr>
        <w:tab/>
      </w:r>
      <w:r w:rsidR="00697012" w:rsidRPr="00697012">
        <w:rPr>
          <w:rtl/>
          <w:lang w:val="fr-FR" w:bidi="ar-BH"/>
        </w:rPr>
        <w:t>تحظى التوصيات التالية بالدعم:</w:t>
      </w:r>
    </w:p>
    <w:p w:rsidR="00697012" w:rsidRDefault="00697012" w:rsidP="00697012">
      <w:pPr>
        <w:pStyle w:val="SingleTxtGA"/>
        <w:spacing w:line="360" w:lineRule="exact"/>
        <w:rPr>
          <w:rtl/>
          <w:lang w:val="fr-FR" w:bidi="ar-BH"/>
        </w:rPr>
      </w:pPr>
      <w:r w:rsidRPr="00923D56">
        <w:rPr>
          <w:rFonts w:hint="cs"/>
          <w:rtl/>
          <w:lang w:val="fr-FR"/>
        </w:rPr>
        <w:tab/>
        <w:t>(أ)</w:t>
      </w:r>
      <w:r w:rsidRPr="00923D56">
        <w:rPr>
          <w:rFonts w:hint="cs"/>
          <w:rtl/>
          <w:lang w:val="fr-FR"/>
        </w:rPr>
        <w:tab/>
      </w:r>
      <w:r w:rsidRPr="00697012">
        <w:rPr>
          <w:rtl/>
          <w:lang w:val="fr-FR" w:bidi="ar-BH"/>
        </w:rPr>
        <w:t>114-79، 114-80، 114-81، 114-82، 114-87، 114-94، 114-130، 114-167</w:t>
      </w:r>
      <w:r>
        <w:rPr>
          <w:rtl/>
          <w:lang w:val="fr-FR" w:bidi="ar-BH"/>
        </w:rPr>
        <w:t>.</w:t>
      </w:r>
    </w:p>
    <w:p w:rsidR="00697012" w:rsidRDefault="00BF23EE" w:rsidP="00697012">
      <w:pPr>
        <w:pStyle w:val="SingleTxtGA"/>
        <w:spacing w:line="360" w:lineRule="exact"/>
        <w:rPr>
          <w:rtl/>
          <w:lang w:val="fr-FR"/>
        </w:rPr>
      </w:pPr>
      <w:r>
        <w:rPr>
          <w:rtl/>
          <w:lang w:val="fr-FR" w:bidi="ar-BH"/>
        </w:rPr>
        <w:tab/>
      </w:r>
      <w:r w:rsidR="00697012" w:rsidRPr="00697012">
        <w:rPr>
          <w:rtl/>
          <w:lang w:val="fr-FR" w:bidi="ar-BH"/>
        </w:rPr>
        <w:t>تحقق وحدة التحقيق الخاصة</w:t>
      </w:r>
      <w:r w:rsidR="00697012" w:rsidRPr="00697012">
        <w:rPr>
          <w:lang w:val="en-GB"/>
        </w:rPr>
        <w:t xml:space="preserve"> </w:t>
      </w:r>
      <w:r w:rsidR="00697012" w:rsidRPr="00697012">
        <w:rPr>
          <w:rtl/>
          <w:lang w:val="fr-FR" w:bidi="ar-BH"/>
        </w:rPr>
        <w:t>في البحرين بموجب قرار النائب العام رقم (8) لسنة 2012 في الشكاوي الجسيمة المقدمة إليها بما فيها مزاعم التعذيب، لتحديد المسؤولية الجنائية ضد مرتكبي هذه الانتهاكات في حالات الوفاة والتعذيب أو المعاملة اللاإنسانية أو المهينة وفقاً لبروتوكول اسطنبول.</w:t>
      </w:r>
    </w:p>
    <w:p w:rsidR="00697012" w:rsidRDefault="00697012" w:rsidP="00697012">
      <w:pPr>
        <w:pStyle w:val="SingleTxtGA"/>
        <w:spacing w:line="360" w:lineRule="exact"/>
        <w:rPr>
          <w:lang w:val="en-GB" w:bidi="ar-BH"/>
        </w:rPr>
      </w:pPr>
      <w:r>
        <w:rPr>
          <w:rFonts w:hint="cs"/>
          <w:rtl/>
        </w:rPr>
        <w:tab/>
        <w:t>(ب)</w:t>
      </w:r>
      <w:r>
        <w:rPr>
          <w:rFonts w:hint="cs"/>
          <w:rtl/>
        </w:rPr>
        <w:tab/>
      </w:r>
      <w:r w:rsidRPr="00697012">
        <w:rPr>
          <w:rtl/>
          <w:lang w:bidi="ar-BH"/>
        </w:rPr>
        <w:t>114-100، 114-102، 114-112، 114-127، 114-128.</w:t>
      </w:r>
    </w:p>
    <w:p w:rsidR="00697012" w:rsidRPr="00697012" w:rsidRDefault="00BF23EE" w:rsidP="00697012">
      <w:pPr>
        <w:pStyle w:val="SingleTxtGA"/>
        <w:spacing w:line="360" w:lineRule="exact"/>
        <w:rPr>
          <w:lang w:val="en-GB"/>
        </w:rPr>
      </w:pPr>
      <w:r>
        <w:rPr>
          <w:rtl/>
          <w:lang w:val="en-GB" w:bidi="ar-BH"/>
        </w:rPr>
        <w:tab/>
      </w:r>
      <w:r w:rsidR="00697012" w:rsidRPr="00697012">
        <w:rPr>
          <w:rtl/>
          <w:lang w:val="en-GB" w:bidi="ar-BH"/>
        </w:rPr>
        <w:t>يكفل دستور البحرين في المادتين 19 و 20 الحرية الشخصية وفقاً للقانون وأنه لا جريمة ولا عقوبة إلا بناء على القانون، ولا عقاب إلا على الأفعال اللاحقة للعمل بالقانون الذي ينص عليها. حيث بادرت البحرين بإسقاط جميع الاتهامات التي يتداخل معها الحق في إبداء الرأي وممارسة الحرية في التعبير، وهي تهم تحرض على الكراهية وبث الأخبار الكاذبة والشائعات التي من شانها الاضرار بالأمن والنظام العام. واستفاد من اسقاط تلك الاتهامات 334 متهماً بينما بقيت بعض القضايا قائمة نظراً لاشتمالها على جرائم أخرى من طبيعة مختلفة تحرض على العنف والتخريب المتمثل في الاعتداء على الأشخاص والأموال.</w:t>
      </w:r>
    </w:p>
    <w:p w:rsidR="006B6DDF" w:rsidRDefault="00FF4AE3" w:rsidP="006B6DDF">
      <w:pPr>
        <w:pStyle w:val="SingleTxtGA"/>
        <w:rPr>
          <w:rtl/>
          <w:lang w:val="fr-FR" w:bidi="ar-BH"/>
        </w:rPr>
      </w:pPr>
      <w:r>
        <w:rPr>
          <w:rtl/>
          <w:lang w:val="fr-FR" w:bidi="ar-EG"/>
        </w:rPr>
        <w:t>8</w:t>
      </w:r>
      <w:r w:rsidRPr="00890BC9">
        <w:rPr>
          <w:rtl/>
          <w:lang w:val="fr-FR" w:bidi="ar-EG"/>
        </w:rPr>
        <w:t>-</w:t>
      </w:r>
      <w:r w:rsidRPr="00890BC9">
        <w:rPr>
          <w:rtl/>
          <w:lang w:val="fr-FR" w:bidi="ar-EG"/>
        </w:rPr>
        <w:tab/>
      </w:r>
      <w:r w:rsidR="00697012" w:rsidRPr="00697012">
        <w:rPr>
          <w:rtl/>
          <w:lang w:val="fr-FR" w:bidi="ar-BH"/>
        </w:rPr>
        <w:t>تم الأخذ بالعلم بالتوصيات التالية:</w:t>
      </w:r>
    </w:p>
    <w:p w:rsidR="00697012" w:rsidRDefault="00697012" w:rsidP="006B6DDF">
      <w:pPr>
        <w:pStyle w:val="SingleTxtGA"/>
        <w:rPr>
          <w:rtl/>
          <w:lang w:val="fr-FR" w:bidi="ar-BH"/>
        </w:rPr>
      </w:pPr>
      <w:r w:rsidRPr="00697012">
        <w:rPr>
          <w:rFonts w:hint="cs"/>
          <w:rtl/>
          <w:lang w:val="fr-FR"/>
        </w:rPr>
        <w:lastRenderedPageBreak/>
        <w:tab/>
      </w:r>
      <w:r w:rsidRPr="00697012">
        <w:rPr>
          <w:rtl/>
          <w:lang w:val="fr-FR" w:bidi="ar-BH"/>
        </w:rPr>
        <w:t>114-95، 114-103.</w:t>
      </w:r>
    </w:p>
    <w:p w:rsidR="00697012" w:rsidRDefault="00697012" w:rsidP="00697012">
      <w:pPr>
        <w:pStyle w:val="H23GA"/>
        <w:rPr>
          <w:b w:val="0"/>
          <w:lang w:val="en-GB"/>
        </w:rPr>
      </w:pPr>
      <w:r w:rsidRPr="00082126">
        <w:rPr>
          <w:rFonts w:hint="cs"/>
          <w:b w:val="0"/>
          <w:rtl/>
        </w:rPr>
        <w:tab/>
      </w:r>
      <w:r w:rsidRPr="00082126">
        <w:rPr>
          <w:rFonts w:hint="cs"/>
          <w:b w:val="0"/>
          <w:rtl/>
        </w:rPr>
        <w:tab/>
      </w:r>
      <w:r w:rsidRPr="00697012">
        <w:rPr>
          <w:b w:val="0"/>
          <w:rtl/>
          <w:lang w:bidi="ar-BH"/>
        </w:rPr>
        <w:t>الجنسية</w:t>
      </w:r>
    </w:p>
    <w:p w:rsidR="006B6DDF" w:rsidRDefault="00FF4AE3" w:rsidP="006B6DDF">
      <w:pPr>
        <w:pStyle w:val="SingleTxtGA"/>
        <w:rPr>
          <w:rtl/>
          <w:lang w:val="fr-FR" w:bidi="ar-BH"/>
        </w:rPr>
      </w:pPr>
      <w:r>
        <w:rPr>
          <w:rtl/>
          <w:lang w:val="fr-FR" w:bidi="ar-EG"/>
        </w:rPr>
        <w:t>9</w:t>
      </w:r>
      <w:r w:rsidRPr="00890BC9">
        <w:rPr>
          <w:rtl/>
          <w:lang w:val="fr-FR" w:bidi="ar-EG"/>
        </w:rPr>
        <w:t>-</w:t>
      </w:r>
      <w:r w:rsidRPr="00890BC9">
        <w:rPr>
          <w:rtl/>
          <w:lang w:val="fr-FR" w:bidi="ar-EG"/>
        </w:rPr>
        <w:tab/>
      </w:r>
      <w:r w:rsidR="00697012" w:rsidRPr="00697012">
        <w:rPr>
          <w:rtl/>
          <w:lang w:val="fr-FR" w:bidi="ar-BH"/>
        </w:rPr>
        <w:t>تحظى التوصيات التالية بالدعم:</w:t>
      </w:r>
    </w:p>
    <w:p w:rsidR="00697012" w:rsidRDefault="00697012" w:rsidP="006B6DDF">
      <w:pPr>
        <w:pStyle w:val="SingleTxtGA"/>
        <w:rPr>
          <w:rtl/>
          <w:lang w:val="fr-FR" w:bidi="ar-BH"/>
        </w:rPr>
      </w:pPr>
      <w:r w:rsidRPr="00923D56">
        <w:rPr>
          <w:rFonts w:hint="cs"/>
          <w:rtl/>
          <w:lang w:val="fr-FR"/>
        </w:rPr>
        <w:tab/>
        <w:t>(أ)</w:t>
      </w:r>
      <w:r w:rsidRPr="00923D56">
        <w:rPr>
          <w:rFonts w:hint="cs"/>
          <w:rtl/>
          <w:lang w:val="fr-FR"/>
        </w:rPr>
        <w:tab/>
      </w:r>
      <w:r w:rsidRPr="00697012">
        <w:rPr>
          <w:rtl/>
          <w:lang w:val="fr-FR" w:bidi="ar-BH"/>
        </w:rPr>
        <w:t>114-149، 114-150، 114-151، 114-152.</w:t>
      </w:r>
    </w:p>
    <w:p w:rsidR="00697012" w:rsidRDefault="00BF23EE" w:rsidP="006B6DDF">
      <w:pPr>
        <w:pStyle w:val="SingleTxtGA"/>
        <w:rPr>
          <w:rtl/>
          <w:lang w:val="fr-FR" w:bidi="ar-BH"/>
        </w:rPr>
      </w:pPr>
      <w:r>
        <w:rPr>
          <w:rtl/>
          <w:lang w:val="fr-FR" w:bidi="ar-BH"/>
        </w:rPr>
        <w:tab/>
      </w:r>
      <w:r w:rsidR="00697012" w:rsidRPr="00697012">
        <w:rPr>
          <w:rtl/>
          <w:lang w:val="fr-FR" w:bidi="ar-BH"/>
        </w:rPr>
        <w:t>مُنحت الجنسية لأطفال بحرينيات متزوجات من غير بحرينيين بموجب أمر ملكي صدر في 2011، وشمل هذا الإجراء 335 طفلاً. ويعفي القانون رقم (35) لسنة 2009 أطفال البحرينيات المتزوجات من غير بحرينيين من الرسوم العامة والضرائب بأنواعها.</w:t>
      </w:r>
    </w:p>
    <w:p w:rsidR="00697012" w:rsidRDefault="00697012" w:rsidP="006B6DDF">
      <w:pPr>
        <w:pStyle w:val="SingleTxtGA"/>
        <w:rPr>
          <w:lang w:val="en-GB" w:bidi="ar-BH"/>
        </w:rPr>
      </w:pPr>
      <w:r>
        <w:rPr>
          <w:rFonts w:hint="cs"/>
          <w:rtl/>
        </w:rPr>
        <w:tab/>
        <w:t>(ب)</w:t>
      </w:r>
      <w:r>
        <w:rPr>
          <w:rFonts w:hint="cs"/>
          <w:rtl/>
        </w:rPr>
        <w:tab/>
      </w:r>
      <w:r w:rsidRPr="00697012">
        <w:rPr>
          <w:rtl/>
          <w:lang w:bidi="ar-BH"/>
        </w:rPr>
        <w:t>114-174</w:t>
      </w:r>
      <w:r>
        <w:rPr>
          <w:lang w:val="en-GB" w:bidi="ar-BH"/>
        </w:rPr>
        <w:t>.</w:t>
      </w:r>
    </w:p>
    <w:p w:rsidR="00697012" w:rsidRPr="00697012" w:rsidRDefault="00BF23EE" w:rsidP="006B6DDF">
      <w:pPr>
        <w:pStyle w:val="SingleTxtGA"/>
        <w:rPr>
          <w:lang w:val="en-GB" w:bidi="ar-BH"/>
        </w:rPr>
      </w:pPr>
      <w:r>
        <w:rPr>
          <w:rtl/>
          <w:lang w:val="en-GB" w:bidi="ar-BH"/>
        </w:rPr>
        <w:tab/>
      </w:r>
      <w:r w:rsidR="00697012" w:rsidRPr="00697012">
        <w:rPr>
          <w:rtl/>
          <w:lang w:val="en-GB" w:bidi="ar-BH"/>
        </w:rPr>
        <w:t>إن قانون الجنسية البحريني يتوافق مع المعايير الدولية، ذلك أن سحب واسقاط الجنسية يتم وفقاً لما جاء في المرسوم بقانون رقم (20) لسنة 2013 الصادر بتعديل أحكام قانون حماية المجتمع من الاعمال الإرهابية رقم (58) لسنة 2006. والذي نص على أنه بالإضافة إلى العقوبة المقررة، يحكم بإسقاط الجنسية عن المحكوم عليه في بعض الجرائم المنصوص عليها في قانون الارهاب، وفيما يتعلق بإعادة النظر فإن باب القضاء مفتوح بكافة درجاته.</w:t>
      </w:r>
    </w:p>
    <w:p w:rsidR="006B6DDF" w:rsidRDefault="00FF4AE3" w:rsidP="006B6DDF">
      <w:pPr>
        <w:pStyle w:val="SingleTxtGA"/>
        <w:rPr>
          <w:rtl/>
          <w:lang w:val="fr-FR" w:bidi="ar-BH"/>
        </w:rPr>
      </w:pPr>
      <w:r>
        <w:rPr>
          <w:rtl/>
          <w:lang w:val="fr-FR" w:bidi="ar-EG"/>
        </w:rPr>
        <w:t>10</w:t>
      </w:r>
      <w:r w:rsidRPr="00890BC9">
        <w:rPr>
          <w:rtl/>
          <w:lang w:val="fr-FR" w:bidi="ar-EG"/>
        </w:rPr>
        <w:t>-</w:t>
      </w:r>
      <w:r w:rsidRPr="00890BC9">
        <w:rPr>
          <w:rtl/>
          <w:lang w:val="fr-FR" w:bidi="ar-EG"/>
        </w:rPr>
        <w:tab/>
      </w:r>
      <w:r w:rsidR="00894FA8" w:rsidRPr="00894FA8">
        <w:rPr>
          <w:rtl/>
          <w:lang w:val="fr-FR" w:bidi="ar-BH"/>
        </w:rPr>
        <w:t>ونأخذ علماً بالتوصيات التالية:</w:t>
      </w:r>
    </w:p>
    <w:p w:rsidR="00894FA8" w:rsidRDefault="00894FA8" w:rsidP="00894FA8">
      <w:pPr>
        <w:pStyle w:val="SingleTxtGA"/>
        <w:rPr>
          <w:rtl/>
          <w:lang w:val="fr-FR" w:bidi="ar-BH"/>
        </w:rPr>
      </w:pPr>
      <w:r w:rsidRPr="00697012">
        <w:rPr>
          <w:rFonts w:hint="cs"/>
          <w:rtl/>
          <w:lang w:val="fr-FR"/>
        </w:rPr>
        <w:tab/>
      </w:r>
      <w:r w:rsidRPr="00894FA8">
        <w:rPr>
          <w:rtl/>
          <w:lang w:val="fr-FR" w:bidi="ar-BH"/>
        </w:rPr>
        <w:t>114-71، 114-173، 114-175، 114-176.</w:t>
      </w:r>
    </w:p>
    <w:p w:rsidR="00894FA8" w:rsidRDefault="00894FA8" w:rsidP="00894FA8">
      <w:pPr>
        <w:pStyle w:val="H23GA"/>
        <w:rPr>
          <w:b w:val="0"/>
          <w:lang w:val="en-GB"/>
        </w:rPr>
      </w:pPr>
      <w:r w:rsidRPr="00082126">
        <w:rPr>
          <w:rFonts w:hint="cs"/>
          <w:b w:val="0"/>
          <w:rtl/>
        </w:rPr>
        <w:tab/>
      </w:r>
      <w:r w:rsidRPr="00082126">
        <w:rPr>
          <w:rFonts w:hint="cs"/>
          <w:b w:val="0"/>
          <w:rtl/>
        </w:rPr>
        <w:tab/>
      </w:r>
      <w:r w:rsidRPr="00894FA8">
        <w:rPr>
          <w:b w:val="0"/>
          <w:rtl/>
          <w:lang w:bidi="ar-BH"/>
        </w:rPr>
        <w:t>حقوق الطفل</w:t>
      </w:r>
    </w:p>
    <w:p w:rsidR="00FF4AE3" w:rsidRDefault="00FF4AE3" w:rsidP="00890BC9">
      <w:pPr>
        <w:pStyle w:val="SingleTxt"/>
        <w:spacing w:after="0" w:line="240" w:lineRule="auto"/>
        <w:rPr>
          <w:lang w:val="en-GB" w:bidi="ar-BH"/>
        </w:rPr>
      </w:pPr>
      <w:r w:rsidRPr="00FF4AE3">
        <w:rPr>
          <w:rtl/>
          <w:lang w:bidi="ar-EG"/>
        </w:rPr>
        <w:t>11-</w:t>
      </w:r>
      <w:r w:rsidRPr="00FF4AE3">
        <w:rPr>
          <w:rtl/>
          <w:lang w:bidi="ar-EG"/>
        </w:rPr>
        <w:tab/>
      </w:r>
      <w:r w:rsidR="00894FA8" w:rsidRPr="00894FA8">
        <w:rPr>
          <w:rtl/>
          <w:lang w:bidi="ar-BH"/>
        </w:rPr>
        <w:t>تحظى التوصيات التالية بدعمنا:</w:t>
      </w:r>
    </w:p>
    <w:p w:rsidR="00894FA8" w:rsidRDefault="00894FA8" w:rsidP="00894FA8">
      <w:pPr>
        <w:pStyle w:val="SingleTxtGA"/>
        <w:rPr>
          <w:rtl/>
          <w:lang w:val="fr-FR" w:bidi="ar-BH"/>
        </w:rPr>
      </w:pPr>
      <w:r w:rsidRPr="00697012">
        <w:rPr>
          <w:rFonts w:hint="cs"/>
          <w:rtl/>
          <w:lang w:val="fr-FR"/>
        </w:rPr>
        <w:tab/>
      </w:r>
      <w:r w:rsidRPr="00894FA8">
        <w:rPr>
          <w:rtl/>
          <w:lang w:val="fr-FR" w:bidi="ar-BH"/>
        </w:rPr>
        <w:t>114-44، 114-159، 114-160.</w:t>
      </w:r>
    </w:p>
    <w:p w:rsidR="00894FA8" w:rsidRDefault="00BF23EE" w:rsidP="00894FA8">
      <w:pPr>
        <w:pStyle w:val="SingleTxtGA"/>
        <w:rPr>
          <w:rtl/>
          <w:lang w:val="fr-FR" w:bidi="ar-BH"/>
        </w:rPr>
      </w:pPr>
      <w:r>
        <w:rPr>
          <w:rtl/>
          <w:lang w:val="fr-FR" w:bidi="ar-BH"/>
        </w:rPr>
        <w:tab/>
      </w:r>
      <w:r w:rsidR="00894FA8" w:rsidRPr="00894FA8">
        <w:rPr>
          <w:rtl/>
          <w:lang w:val="fr-FR" w:bidi="ar-BH"/>
        </w:rPr>
        <w:t>صدر في 2012 قانون رقم (37) لسنة 2012 والذي يكفل حماية الطفل من سوء المعاملة الجسدية أو النفسية أو الجنسية أو الإهمال أو الاستغلال الاقتصادي والقيام بالمحافظة على حياة وسلامة الطفل. كما تشكلت اللجنة الوطنية للطفولة والمعنية بوضع استراتيجيات وطنية ترصد احتياجات ومشاكل</w:t>
      </w:r>
      <w:r w:rsidR="00894FA8" w:rsidRPr="00894FA8">
        <w:rPr>
          <w:lang w:val="en-GB" w:bidi="ar-BH"/>
        </w:rPr>
        <w:t xml:space="preserve"> </w:t>
      </w:r>
      <w:r w:rsidR="00894FA8" w:rsidRPr="00894FA8">
        <w:rPr>
          <w:rtl/>
          <w:lang w:val="fr-FR" w:bidi="ar-BH"/>
        </w:rPr>
        <w:t>الطفل بالتعاون مع كافة الجهات الرسمية والمختصة.</w:t>
      </w:r>
    </w:p>
    <w:p w:rsidR="0019476F" w:rsidRDefault="0019476F" w:rsidP="0019476F">
      <w:pPr>
        <w:pStyle w:val="H23GA"/>
        <w:rPr>
          <w:b w:val="0"/>
          <w:lang w:val="en-GB"/>
        </w:rPr>
      </w:pPr>
      <w:r w:rsidRPr="00082126">
        <w:rPr>
          <w:rFonts w:hint="cs"/>
          <w:b w:val="0"/>
          <w:rtl/>
        </w:rPr>
        <w:tab/>
      </w:r>
      <w:r w:rsidRPr="00082126">
        <w:rPr>
          <w:rFonts w:hint="cs"/>
          <w:b w:val="0"/>
          <w:rtl/>
        </w:rPr>
        <w:tab/>
      </w:r>
      <w:r w:rsidRPr="0019476F">
        <w:rPr>
          <w:b w:val="0"/>
          <w:rtl/>
          <w:lang w:bidi="ar-BH"/>
        </w:rPr>
        <w:t>ذوي الإعاقة والفئات المستضعفة</w:t>
      </w:r>
    </w:p>
    <w:p w:rsidR="0019476F" w:rsidRPr="0019476F" w:rsidRDefault="0019476F" w:rsidP="0019476F">
      <w:pPr>
        <w:pStyle w:val="SingleTxtGA"/>
        <w:rPr>
          <w:lang w:val="en-GB" w:bidi="ar-BH"/>
        </w:rPr>
      </w:pPr>
      <w:r w:rsidRPr="0019476F">
        <w:rPr>
          <w:rtl/>
          <w:lang w:val="fr-FR" w:bidi="ar-EG"/>
        </w:rPr>
        <w:t>1</w:t>
      </w:r>
      <w:r>
        <w:rPr>
          <w:rtl/>
          <w:lang w:val="fr-FR" w:bidi="ar-EG"/>
        </w:rPr>
        <w:t>2</w:t>
      </w:r>
      <w:r w:rsidRPr="0019476F">
        <w:rPr>
          <w:rtl/>
          <w:lang w:val="fr-FR" w:bidi="ar-EG"/>
        </w:rPr>
        <w:t>-</w:t>
      </w:r>
      <w:r w:rsidRPr="0019476F">
        <w:rPr>
          <w:rtl/>
          <w:lang w:val="fr-FR" w:bidi="ar-EG"/>
        </w:rPr>
        <w:tab/>
      </w:r>
      <w:r w:rsidRPr="0019476F">
        <w:rPr>
          <w:rtl/>
          <w:lang w:val="fr-FR" w:bidi="ar-BH"/>
        </w:rPr>
        <w:t>تحظى التوصيات التالية بدعمنا:</w:t>
      </w:r>
    </w:p>
    <w:p w:rsidR="0019476F" w:rsidRDefault="0019476F" w:rsidP="0019476F">
      <w:pPr>
        <w:pStyle w:val="SingleTxtGA"/>
        <w:rPr>
          <w:rtl/>
          <w:lang w:val="fr-FR" w:bidi="ar-BH"/>
        </w:rPr>
      </w:pPr>
      <w:r w:rsidRPr="00923D56">
        <w:rPr>
          <w:rFonts w:hint="cs"/>
          <w:rtl/>
          <w:lang w:val="fr-FR"/>
        </w:rPr>
        <w:tab/>
        <w:t>(أ)</w:t>
      </w:r>
      <w:r w:rsidRPr="00923D56">
        <w:rPr>
          <w:rFonts w:hint="cs"/>
          <w:rtl/>
          <w:lang w:val="fr-FR"/>
        </w:rPr>
        <w:tab/>
      </w:r>
      <w:r w:rsidRPr="0019476F">
        <w:rPr>
          <w:rtl/>
          <w:lang w:val="fr-FR" w:bidi="ar-BH"/>
        </w:rPr>
        <w:t>114-132، 114-163، 114-164، 114-169.</w:t>
      </w:r>
    </w:p>
    <w:p w:rsidR="00894FA8" w:rsidRDefault="00BF23EE" w:rsidP="00894FA8">
      <w:pPr>
        <w:pStyle w:val="SingleTxtGA"/>
        <w:rPr>
          <w:rtl/>
          <w:lang w:val="fr-FR" w:bidi="ar-BH"/>
        </w:rPr>
      </w:pPr>
      <w:r>
        <w:rPr>
          <w:rtl/>
          <w:lang w:val="fr-FR" w:bidi="ar-BH"/>
        </w:rPr>
        <w:tab/>
      </w:r>
      <w:r w:rsidR="0019476F" w:rsidRPr="0019476F">
        <w:rPr>
          <w:rtl/>
          <w:lang w:val="fr-FR" w:bidi="ar-BH"/>
        </w:rPr>
        <w:t>يتم تطبيق قانون الضمان الاجتماعي رقم (18) لسنة 2006 بتقديم المساعدات النقدية للأرامل والمطلقات والمهجورات وأسر المسجونين والأيتام والأشخاص ذوي الإعاقة والمسنين. كما توجد برامج تشرف عليها وزارة الصحة، تهدف لتوفير الرعاية الصحية والوقائية والنفسية لفئة الأشخاص ذوي الإعاقة.</w:t>
      </w:r>
    </w:p>
    <w:p w:rsidR="0019476F" w:rsidRDefault="0019476F" w:rsidP="0019476F">
      <w:pPr>
        <w:pStyle w:val="SingleTxtGA"/>
        <w:rPr>
          <w:lang w:val="en-GB" w:bidi="ar-BH"/>
        </w:rPr>
      </w:pPr>
      <w:r>
        <w:rPr>
          <w:rFonts w:hint="cs"/>
          <w:rtl/>
        </w:rPr>
        <w:tab/>
        <w:t>(ب)</w:t>
      </w:r>
      <w:r>
        <w:rPr>
          <w:rFonts w:hint="cs"/>
          <w:rtl/>
        </w:rPr>
        <w:tab/>
      </w:r>
      <w:r w:rsidRPr="0019476F">
        <w:rPr>
          <w:rtl/>
          <w:lang w:bidi="ar-BH"/>
        </w:rPr>
        <w:t>114-43، 114-162، 114-165، 114-166، 114-168.</w:t>
      </w:r>
    </w:p>
    <w:p w:rsidR="0019476F" w:rsidRDefault="00BF23EE" w:rsidP="0019476F">
      <w:pPr>
        <w:pStyle w:val="SingleTxtGA"/>
        <w:rPr>
          <w:rtl/>
          <w:lang w:val="en-GB" w:bidi="ar-BH"/>
        </w:rPr>
      </w:pPr>
      <w:r>
        <w:rPr>
          <w:rtl/>
          <w:lang w:val="en-GB" w:bidi="ar-BH"/>
        </w:rPr>
        <w:tab/>
      </w:r>
      <w:r w:rsidR="0019476F" w:rsidRPr="0019476F">
        <w:rPr>
          <w:rtl/>
          <w:lang w:val="en-GB" w:bidi="ar-BH"/>
        </w:rPr>
        <w:t>فيما يخص الاستراتيجية الوطنية للأشخاص ذوي الاعاقة، يتم متابعة تحقيق الاهداف الاستراتيجية بزيادة عدد المستفيدين من هذه الفئة للخدمات التي تقدمها البحرين عن طريق تقديم الخدمات المالية والعينية وغيرها. كما تقوم اللجنة العليا لرعاية شؤون ذوي الإعاقة بإدماج هذه الفئة ورعايتها وتأهيلها وتشغيلها للمساهمة الفاعلة في العملية التنموية.</w:t>
      </w:r>
    </w:p>
    <w:p w:rsidR="0019476F" w:rsidRDefault="0019476F" w:rsidP="0019476F">
      <w:pPr>
        <w:pStyle w:val="H23GA"/>
        <w:rPr>
          <w:b w:val="0"/>
          <w:lang w:val="en-GB"/>
        </w:rPr>
      </w:pPr>
      <w:r w:rsidRPr="00082126">
        <w:rPr>
          <w:rFonts w:hint="cs"/>
          <w:b w:val="0"/>
          <w:rtl/>
        </w:rPr>
        <w:tab/>
      </w:r>
      <w:r w:rsidRPr="00082126">
        <w:rPr>
          <w:rFonts w:hint="cs"/>
          <w:b w:val="0"/>
          <w:rtl/>
        </w:rPr>
        <w:tab/>
      </w:r>
      <w:r w:rsidRPr="0019476F">
        <w:rPr>
          <w:b w:val="0"/>
          <w:rtl/>
          <w:lang w:bidi="ar-BH"/>
        </w:rPr>
        <w:t>قانون الأسرة</w:t>
      </w:r>
    </w:p>
    <w:p w:rsidR="0019476F" w:rsidRDefault="0019476F" w:rsidP="0019476F">
      <w:pPr>
        <w:pStyle w:val="SingleTxtGA"/>
        <w:rPr>
          <w:rtl/>
          <w:lang w:val="fr-FR" w:bidi="ar-BH"/>
        </w:rPr>
      </w:pPr>
      <w:r w:rsidRPr="0019476F">
        <w:rPr>
          <w:rtl/>
          <w:lang w:val="fr-FR" w:bidi="ar-EG"/>
        </w:rPr>
        <w:t>1</w:t>
      </w:r>
      <w:r>
        <w:rPr>
          <w:rtl/>
          <w:lang w:val="fr-FR" w:bidi="ar-EG"/>
        </w:rPr>
        <w:t>3</w:t>
      </w:r>
      <w:r w:rsidRPr="0019476F">
        <w:rPr>
          <w:rtl/>
          <w:lang w:val="fr-FR" w:bidi="ar-EG"/>
        </w:rPr>
        <w:t>-</w:t>
      </w:r>
      <w:r w:rsidRPr="0019476F">
        <w:rPr>
          <w:rtl/>
          <w:lang w:val="fr-FR" w:bidi="ar-EG"/>
        </w:rPr>
        <w:tab/>
      </w:r>
      <w:r w:rsidRPr="0019476F">
        <w:rPr>
          <w:rtl/>
          <w:lang w:val="fr-FR" w:bidi="ar-BH"/>
        </w:rPr>
        <w:t>تحظى التوصيات التالية بدعمنا:</w:t>
      </w:r>
    </w:p>
    <w:p w:rsidR="0019476F" w:rsidRDefault="0019476F" w:rsidP="0019476F">
      <w:pPr>
        <w:pStyle w:val="SingleTxtGA"/>
        <w:rPr>
          <w:rtl/>
          <w:lang w:val="fr-FR" w:bidi="ar-BH"/>
        </w:rPr>
      </w:pPr>
      <w:r w:rsidRPr="00697012">
        <w:rPr>
          <w:rFonts w:hint="cs"/>
          <w:rtl/>
          <w:lang w:val="fr-FR"/>
        </w:rPr>
        <w:tab/>
      </w:r>
      <w:r w:rsidRPr="0019476F">
        <w:rPr>
          <w:rtl/>
          <w:lang w:val="fr-FR" w:bidi="ar-BH"/>
        </w:rPr>
        <w:t>114-133، 114-153.</w:t>
      </w:r>
    </w:p>
    <w:p w:rsidR="0019476F" w:rsidRDefault="00BF23EE" w:rsidP="0019476F">
      <w:pPr>
        <w:pStyle w:val="SingleTxtGA"/>
        <w:rPr>
          <w:rtl/>
          <w:lang w:val="en-GB" w:bidi="ar-BH"/>
        </w:rPr>
      </w:pPr>
      <w:r>
        <w:rPr>
          <w:rtl/>
          <w:lang w:val="en-GB" w:bidi="ar-BH"/>
        </w:rPr>
        <w:tab/>
      </w:r>
      <w:r w:rsidR="000114FF" w:rsidRPr="000114FF">
        <w:rPr>
          <w:rtl/>
          <w:lang w:val="en-GB" w:bidi="ar-BH"/>
        </w:rPr>
        <w:t>صدر بتاريخ 19 يوليو 2017 قانون الاسرة رقم (19) لسنة 2017، والذي دخل حيز التنفيذ في الأول من أغسطس 2017، ولاقى صدى إيجابي واسع بين فئات المجتمع البحريني حيث يتوافق مع التزامات المملكة باتفاقية السيداو ويشكل نقلة نوعية مجتمعية على صعيد تمكين الشعب من معرفة حقوقه وواجباته المتعلقة بشؤون الأسرة.</w:t>
      </w:r>
    </w:p>
    <w:p w:rsidR="000114FF" w:rsidRDefault="000114FF" w:rsidP="000114FF">
      <w:pPr>
        <w:pStyle w:val="H23GA"/>
        <w:rPr>
          <w:b w:val="0"/>
          <w:lang w:val="en-GB"/>
        </w:rPr>
      </w:pPr>
      <w:r w:rsidRPr="00082126">
        <w:rPr>
          <w:rFonts w:hint="cs"/>
          <w:b w:val="0"/>
          <w:rtl/>
        </w:rPr>
        <w:tab/>
      </w:r>
      <w:r w:rsidRPr="00082126">
        <w:rPr>
          <w:rFonts w:hint="cs"/>
          <w:b w:val="0"/>
          <w:rtl/>
        </w:rPr>
        <w:tab/>
      </w:r>
      <w:r w:rsidRPr="000114FF">
        <w:rPr>
          <w:b w:val="0"/>
          <w:rtl/>
          <w:lang w:bidi="ar-BH"/>
        </w:rPr>
        <w:t>تنفيذ جميع توصيات اللجنة البحرينية المستقلة لتقصي الحقائق</w:t>
      </w:r>
    </w:p>
    <w:p w:rsidR="0019476F" w:rsidRDefault="0019476F" w:rsidP="0019476F">
      <w:pPr>
        <w:pStyle w:val="SingleTxtGA"/>
        <w:rPr>
          <w:rtl/>
          <w:lang w:val="fr-FR" w:bidi="ar-BH"/>
        </w:rPr>
      </w:pPr>
      <w:r w:rsidRPr="0019476F">
        <w:rPr>
          <w:rtl/>
          <w:lang w:val="fr-FR" w:bidi="ar-EG"/>
        </w:rPr>
        <w:t>1</w:t>
      </w:r>
      <w:r>
        <w:rPr>
          <w:rtl/>
          <w:lang w:val="fr-FR" w:bidi="ar-EG"/>
        </w:rPr>
        <w:t>4</w:t>
      </w:r>
      <w:r w:rsidRPr="0019476F">
        <w:rPr>
          <w:rtl/>
          <w:lang w:val="fr-FR" w:bidi="ar-EG"/>
        </w:rPr>
        <w:t>-</w:t>
      </w:r>
      <w:r w:rsidRPr="0019476F">
        <w:rPr>
          <w:rtl/>
          <w:lang w:val="fr-FR" w:bidi="ar-EG"/>
        </w:rPr>
        <w:tab/>
      </w:r>
      <w:r w:rsidR="000114FF" w:rsidRPr="000114FF">
        <w:rPr>
          <w:rtl/>
          <w:lang w:val="fr-FR" w:bidi="ar-BH"/>
        </w:rPr>
        <w:t>تحظى التوصيات التالية بدعمنا:</w:t>
      </w:r>
    </w:p>
    <w:p w:rsidR="000114FF" w:rsidRDefault="000114FF" w:rsidP="000114FF">
      <w:pPr>
        <w:pStyle w:val="SingleTxtGA"/>
        <w:rPr>
          <w:rtl/>
          <w:lang w:val="fr-FR" w:bidi="ar-BH"/>
        </w:rPr>
      </w:pPr>
      <w:r w:rsidRPr="00697012">
        <w:rPr>
          <w:rFonts w:hint="cs"/>
          <w:rtl/>
          <w:lang w:val="fr-FR"/>
        </w:rPr>
        <w:tab/>
      </w:r>
      <w:r w:rsidRPr="000114FF">
        <w:rPr>
          <w:rtl/>
          <w:lang w:val="fr-FR" w:bidi="ar-BH"/>
        </w:rPr>
        <w:t>114-37، 114-58، 114-59.</w:t>
      </w:r>
    </w:p>
    <w:p w:rsidR="000114FF" w:rsidRDefault="00BF23EE" w:rsidP="0019476F">
      <w:pPr>
        <w:pStyle w:val="SingleTxtGA"/>
        <w:rPr>
          <w:rtl/>
          <w:lang w:val="en-GB" w:bidi="ar-BH"/>
        </w:rPr>
      </w:pPr>
      <w:r>
        <w:rPr>
          <w:rtl/>
          <w:lang w:val="en-GB" w:bidi="ar-BH"/>
        </w:rPr>
        <w:tab/>
      </w:r>
      <w:r w:rsidR="000114FF" w:rsidRPr="000114FF">
        <w:rPr>
          <w:rtl/>
          <w:lang w:val="en-GB" w:bidi="ar-BH"/>
        </w:rPr>
        <w:t>أولت البحرين اهتماما بالغاً بتقرير اللجنة البحرينية المستقلة لتقصي الحقائق وإتمام كافة توصياته، حيث أصدرت تقارير شاملة تم نشرها تضمنت كافة الخطوات المتخذة من قبل البحرين، حتى تم الإعلان في 9 مايو 2016 عن الانتهاء من تنفيذ توصيات اللجنة المستقلة لتقصي الحقائق.</w:t>
      </w:r>
    </w:p>
    <w:p w:rsidR="000114FF" w:rsidRDefault="000114FF" w:rsidP="000114FF">
      <w:pPr>
        <w:pStyle w:val="H23GA"/>
        <w:rPr>
          <w:b w:val="0"/>
          <w:lang w:val="en-GB"/>
        </w:rPr>
      </w:pPr>
      <w:r w:rsidRPr="00082126">
        <w:rPr>
          <w:rFonts w:hint="cs"/>
          <w:b w:val="0"/>
          <w:rtl/>
        </w:rPr>
        <w:tab/>
      </w:r>
      <w:r w:rsidRPr="00082126">
        <w:rPr>
          <w:rFonts w:hint="cs"/>
          <w:b w:val="0"/>
          <w:rtl/>
        </w:rPr>
        <w:tab/>
      </w:r>
      <w:r w:rsidRPr="000114FF">
        <w:rPr>
          <w:b w:val="0"/>
          <w:rtl/>
          <w:lang w:bidi="ar-BH"/>
        </w:rPr>
        <w:t>الآليات والمؤسسات الوطنية لحماية وتعزيز حقوق الإنسان</w:t>
      </w:r>
    </w:p>
    <w:p w:rsidR="0019476F" w:rsidRDefault="0019476F" w:rsidP="0019476F">
      <w:pPr>
        <w:pStyle w:val="SingleTxtGA"/>
        <w:rPr>
          <w:rtl/>
          <w:lang w:val="fr-FR" w:bidi="ar-BH"/>
        </w:rPr>
      </w:pPr>
      <w:r w:rsidRPr="0019476F">
        <w:rPr>
          <w:rtl/>
          <w:lang w:val="fr-FR" w:bidi="ar-EG"/>
        </w:rPr>
        <w:t>1</w:t>
      </w:r>
      <w:r>
        <w:rPr>
          <w:rtl/>
          <w:lang w:val="fr-FR" w:bidi="ar-EG"/>
        </w:rPr>
        <w:t>5</w:t>
      </w:r>
      <w:r w:rsidRPr="0019476F">
        <w:rPr>
          <w:rtl/>
          <w:lang w:val="fr-FR" w:bidi="ar-EG"/>
        </w:rPr>
        <w:t>-</w:t>
      </w:r>
      <w:r w:rsidRPr="0019476F">
        <w:rPr>
          <w:rtl/>
          <w:lang w:val="fr-FR" w:bidi="ar-EG"/>
        </w:rPr>
        <w:tab/>
      </w:r>
      <w:r w:rsidR="000114FF" w:rsidRPr="000114FF">
        <w:rPr>
          <w:rtl/>
          <w:lang w:val="fr-FR" w:bidi="ar-BH"/>
        </w:rPr>
        <w:t>تحظى التوصيات التالية بدعمنا:</w:t>
      </w:r>
    </w:p>
    <w:p w:rsidR="000114FF" w:rsidRDefault="000114FF" w:rsidP="000114FF">
      <w:pPr>
        <w:pStyle w:val="SingleTxtGA"/>
        <w:rPr>
          <w:rtl/>
          <w:lang w:val="fr-FR" w:bidi="ar-BH"/>
        </w:rPr>
      </w:pPr>
      <w:r w:rsidRPr="00697012">
        <w:rPr>
          <w:rFonts w:hint="cs"/>
          <w:rtl/>
          <w:lang w:val="fr-FR"/>
        </w:rPr>
        <w:tab/>
      </w:r>
      <w:r w:rsidRPr="000114FF">
        <w:rPr>
          <w:rtl/>
          <w:lang w:val="fr-FR" w:bidi="ar-BH"/>
        </w:rPr>
        <w:t>114-38، 114-39، 114-40، 114-41، 114-42، 114-83، 114-126، 114-129.</w:t>
      </w:r>
    </w:p>
    <w:p w:rsidR="000114FF" w:rsidRDefault="00BF23EE" w:rsidP="0019476F">
      <w:pPr>
        <w:pStyle w:val="SingleTxtGA"/>
        <w:rPr>
          <w:rtl/>
          <w:lang w:val="en-GB" w:bidi="ar-BH"/>
        </w:rPr>
      </w:pPr>
      <w:r>
        <w:rPr>
          <w:rtl/>
          <w:lang w:val="en-GB" w:bidi="ar-BH"/>
        </w:rPr>
        <w:tab/>
      </w:r>
      <w:r w:rsidR="000114FF" w:rsidRPr="000114FF">
        <w:rPr>
          <w:rtl/>
          <w:lang w:val="en-GB" w:bidi="ar-BH"/>
        </w:rPr>
        <w:t>صدر المرسوم بقانون رقم (20) لسنة 2016 بتعديل أحكام القانون رقم (26) لسنة 2014 بإنشاء المؤسسة الوطنية لحقوق الإنسان لتتطابق بشكل كامل مع مبادئ باريس والذي أعطاها المزيد من الصلاحيات تأكيداً على استقلاليتها مالياً وإدارياً وممارسة مهامها بحرية وحيادية واستقلالية تامة. كما أنشأت وحدة التحقيق الخاصة بقرار النائب العام رقم (8) لسنة 2012 كآلية مستقلة ومحايدة لمسائلة المسؤولين الحكوميين الذين ارتكبوا أعمالاً مخالفة للقانون أو تسببوا بإهمالهم في حالات القتل والتعذيب وسوء معاملة المدنيين في ضوء الالتزام بالتنفيذ التام لتوصيات تقرير اللجنة البحرينية المستقلة لتقصي الحقائق. كما تتمتع الأمانة العامة للتظلمات بالاستقلالية التامة مالياً وإدارياً والذي أكد عليها المرسوم رقم (27) لسنة 2012 والمرسوم المعدل رقم (35) لسنة 2013.</w:t>
      </w:r>
    </w:p>
    <w:p w:rsidR="00C0719C" w:rsidRDefault="00C0719C" w:rsidP="00C0719C">
      <w:pPr>
        <w:pStyle w:val="H23GA"/>
        <w:rPr>
          <w:b w:val="0"/>
          <w:lang w:val="en-GB"/>
        </w:rPr>
      </w:pPr>
      <w:r w:rsidRPr="00082126">
        <w:rPr>
          <w:rFonts w:hint="cs"/>
          <w:b w:val="0"/>
          <w:rtl/>
        </w:rPr>
        <w:tab/>
      </w:r>
      <w:r w:rsidRPr="00082126">
        <w:rPr>
          <w:rFonts w:hint="cs"/>
          <w:b w:val="0"/>
          <w:rtl/>
        </w:rPr>
        <w:tab/>
      </w:r>
      <w:r w:rsidRPr="00C0719C">
        <w:rPr>
          <w:b w:val="0"/>
          <w:rtl/>
          <w:lang w:bidi="ar-BH"/>
        </w:rPr>
        <w:t>تعزيز الوحدة الوطنية</w:t>
      </w:r>
    </w:p>
    <w:p w:rsidR="0019476F" w:rsidRDefault="0019476F" w:rsidP="0019476F">
      <w:pPr>
        <w:pStyle w:val="SingleTxtGA"/>
        <w:rPr>
          <w:rtl/>
          <w:lang w:val="fr-FR" w:bidi="ar-BH"/>
        </w:rPr>
      </w:pPr>
      <w:r w:rsidRPr="0019476F">
        <w:rPr>
          <w:rtl/>
          <w:lang w:val="fr-FR" w:bidi="ar-EG"/>
        </w:rPr>
        <w:t>1</w:t>
      </w:r>
      <w:r>
        <w:rPr>
          <w:rtl/>
          <w:lang w:val="fr-FR" w:bidi="ar-EG"/>
        </w:rPr>
        <w:t>6</w:t>
      </w:r>
      <w:r w:rsidRPr="0019476F">
        <w:rPr>
          <w:rtl/>
          <w:lang w:val="fr-FR" w:bidi="ar-EG"/>
        </w:rPr>
        <w:t>-</w:t>
      </w:r>
      <w:r w:rsidRPr="0019476F">
        <w:rPr>
          <w:rtl/>
          <w:lang w:val="fr-FR" w:bidi="ar-EG"/>
        </w:rPr>
        <w:tab/>
      </w:r>
      <w:r w:rsidR="00C0719C" w:rsidRPr="00C0719C">
        <w:rPr>
          <w:rtl/>
          <w:lang w:val="fr-FR" w:bidi="ar-BH"/>
        </w:rPr>
        <w:t>تحظى التوصيات التالية بدعمنا:</w:t>
      </w:r>
    </w:p>
    <w:p w:rsidR="00C0719C" w:rsidRDefault="00C0719C" w:rsidP="00C0719C">
      <w:pPr>
        <w:pStyle w:val="SingleTxtGA"/>
        <w:rPr>
          <w:rtl/>
          <w:lang w:val="fr-FR" w:bidi="ar-BH"/>
        </w:rPr>
      </w:pPr>
      <w:r w:rsidRPr="00923D56">
        <w:rPr>
          <w:rFonts w:hint="cs"/>
          <w:rtl/>
          <w:lang w:val="fr-FR"/>
        </w:rPr>
        <w:tab/>
        <w:t>(أ)</w:t>
      </w:r>
      <w:r w:rsidRPr="00923D56">
        <w:rPr>
          <w:rFonts w:hint="cs"/>
          <w:rtl/>
          <w:lang w:val="fr-FR"/>
        </w:rPr>
        <w:tab/>
      </w:r>
      <w:r w:rsidRPr="00C0719C">
        <w:rPr>
          <w:rtl/>
          <w:lang w:val="fr-FR" w:bidi="ar-BH"/>
        </w:rPr>
        <w:t>114-56</w:t>
      </w:r>
      <w:r>
        <w:rPr>
          <w:rtl/>
          <w:lang w:val="fr-FR" w:bidi="ar-BH"/>
        </w:rPr>
        <w:t>.</w:t>
      </w:r>
    </w:p>
    <w:p w:rsidR="00C0719C" w:rsidRDefault="00BF23EE" w:rsidP="00C0719C">
      <w:pPr>
        <w:pStyle w:val="SingleTxtGA"/>
        <w:rPr>
          <w:rtl/>
          <w:lang w:val="fr-FR" w:bidi="ar-BH"/>
        </w:rPr>
      </w:pPr>
      <w:r>
        <w:rPr>
          <w:rtl/>
          <w:lang w:val="fr-FR" w:bidi="ar-BH"/>
        </w:rPr>
        <w:tab/>
      </w:r>
      <w:r w:rsidR="00C0719C" w:rsidRPr="00C0719C">
        <w:rPr>
          <w:rtl/>
          <w:lang w:val="fr-FR" w:bidi="ar-BH"/>
        </w:rPr>
        <w:t>انعقد مؤتمر الحوار الوطني في يوليو 2011 حيث جاء الحوار الوطني اتساقاً مع النهج الحكومي والمجتمعي الذي تؤكد عليه الحكومة بصفة مستمرة من حيث مشاركة جميع أطياف المجتمع البحريني. وقد تم استكماله بالتوافق على مبادئ أساسية أسفرت عن مشاركة شعبية واسعة.</w:t>
      </w:r>
    </w:p>
    <w:p w:rsidR="00C0719C" w:rsidRDefault="00C0719C" w:rsidP="0019476F">
      <w:pPr>
        <w:pStyle w:val="SingleTxtGA"/>
        <w:rPr>
          <w:lang w:val="en-GB" w:bidi="ar-BH"/>
        </w:rPr>
      </w:pPr>
      <w:r>
        <w:rPr>
          <w:rFonts w:hint="cs"/>
          <w:rtl/>
        </w:rPr>
        <w:tab/>
        <w:t>(ب)</w:t>
      </w:r>
      <w:r>
        <w:rPr>
          <w:rFonts w:hint="cs"/>
          <w:rtl/>
        </w:rPr>
        <w:tab/>
      </w:r>
      <w:r w:rsidRPr="00C0719C">
        <w:rPr>
          <w:rtl/>
          <w:lang w:bidi="ar-BH"/>
        </w:rPr>
        <w:t>114-60، 114-61.</w:t>
      </w:r>
    </w:p>
    <w:p w:rsidR="00C0719C" w:rsidRDefault="00BF23EE" w:rsidP="0019476F">
      <w:pPr>
        <w:pStyle w:val="SingleTxtGA"/>
        <w:rPr>
          <w:rtl/>
          <w:lang w:val="en-GB" w:bidi="ar-BH"/>
        </w:rPr>
      </w:pPr>
      <w:r>
        <w:rPr>
          <w:rtl/>
          <w:lang w:val="en-GB" w:bidi="ar-BH"/>
        </w:rPr>
        <w:tab/>
      </w:r>
      <w:r w:rsidR="00C0719C" w:rsidRPr="00C0719C">
        <w:rPr>
          <w:rtl/>
          <w:lang w:val="en-GB" w:bidi="ar-BH"/>
        </w:rPr>
        <w:t>قامت البحرين بتنظيم عدة فعاليات لتعزيز اللحمة الوطنية وترسيخ مبادئ التعايش السلمي ومن بينها الحملة الوطنية لتعزيز اللحمة الوطنية والمواطنة بين أفراد المجتمع تحت شعار "وِحدة وَحدة".</w:t>
      </w:r>
    </w:p>
    <w:p w:rsidR="00C0719C" w:rsidRDefault="00C0719C" w:rsidP="00C0719C">
      <w:pPr>
        <w:pStyle w:val="H23GA"/>
        <w:rPr>
          <w:b w:val="0"/>
          <w:lang w:val="en-GB"/>
        </w:rPr>
      </w:pPr>
      <w:r w:rsidRPr="00082126">
        <w:rPr>
          <w:rFonts w:hint="cs"/>
          <w:b w:val="0"/>
          <w:rtl/>
        </w:rPr>
        <w:tab/>
      </w:r>
      <w:r w:rsidRPr="00082126">
        <w:rPr>
          <w:rFonts w:hint="cs"/>
          <w:b w:val="0"/>
          <w:rtl/>
        </w:rPr>
        <w:tab/>
      </w:r>
      <w:r w:rsidRPr="00C0719C">
        <w:rPr>
          <w:b w:val="0"/>
          <w:rtl/>
          <w:lang w:bidi="ar-BH"/>
        </w:rPr>
        <w:t>مكافحة الاتجار بالبشر</w:t>
      </w:r>
    </w:p>
    <w:p w:rsidR="0019476F" w:rsidRDefault="0019476F" w:rsidP="0019476F">
      <w:pPr>
        <w:pStyle w:val="SingleTxtGA"/>
        <w:rPr>
          <w:rtl/>
          <w:lang w:val="fr-FR" w:bidi="ar-BH"/>
        </w:rPr>
      </w:pPr>
      <w:r w:rsidRPr="0019476F">
        <w:rPr>
          <w:rtl/>
          <w:lang w:val="fr-FR" w:bidi="ar-EG"/>
        </w:rPr>
        <w:t>1</w:t>
      </w:r>
      <w:r>
        <w:rPr>
          <w:rtl/>
          <w:lang w:val="fr-FR" w:bidi="ar-EG"/>
        </w:rPr>
        <w:t>7</w:t>
      </w:r>
      <w:r w:rsidRPr="0019476F">
        <w:rPr>
          <w:rtl/>
          <w:lang w:val="fr-FR" w:bidi="ar-EG"/>
        </w:rPr>
        <w:t>-</w:t>
      </w:r>
      <w:r w:rsidRPr="0019476F">
        <w:rPr>
          <w:rtl/>
          <w:lang w:val="fr-FR" w:bidi="ar-EG"/>
        </w:rPr>
        <w:tab/>
      </w:r>
      <w:r w:rsidR="00C0719C" w:rsidRPr="00C0719C">
        <w:rPr>
          <w:rtl/>
          <w:lang w:val="fr-FR" w:bidi="ar-BH"/>
        </w:rPr>
        <w:t>تحظى التوصيات التالية بدعمنا:</w:t>
      </w:r>
    </w:p>
    <w:p w:rsidR="00C0719C" w:rsidRDefault="00C0719C" w:rsidP="0019476F">
      <w:pPr>
        <w:pStyle w:val="SingleTxtGA"/>
        <w:rPr>
          <w:rtl/>
          <w:lang w:val="fr-FR" w:bidi="ar-BH"/>
        </w:rPr>
      </w:pPr>
      <w:r>
        <w:rPr>
          <w:rtl/>
          <w:lang w:val="fr-FR" w:bidi="ar-BH"/>
        </w:rPr>
        <w:tab/>
      </w:r>
      <w:r w:rsidRPr="00C0719C">
        <w:rPr>
          <w:rtl/>
          <w:lang w:val="fr-FR" w:bidi="ar-BH"/>
        </w:rPr>
        <w:t>114-85، 114-86، 114-88، 114-89، 114-90، 114-91، 114-92، 114-93.</w:t>
      </w:r>
    </w:p>
    <w:p w:rsidR="00C0719C" w:rsidRDefault="00BF23EE" w:rsidP="0019476F">
      <w:pPr>
        <w:pStyle w:val="SingleTxtGA"/>
        <w:rPr>
          <w:rtl/>
          <w:lang w:val="en-GB" w:bidi="ar-BH"/>
        </w:rPr>
      </w:pPr>
      <w:r>
        <w:rPr>
          <w:rtl/>
          <w:lang w:val="en-GB" w:bidi="ar-BH"/>
        </w:rPr>
        <w:tab/>
      </w:r>
      <w:r w:rsidR="00C0719C" w:rsidRPr="00C0719C">
        <w:rPr>
          <w:rtl/>
          <w:lang w:val="en-GB" w:bidi="ar-BH"/>
        </w:rPr>
        <w:t>تم إنشاء اللجنة الوطنية لمكافحة الاتجار بالأشخاص وفقاً لقرار رقم (1) لسنة 2008 والتي تعمل بالتنسيق مع الجهات المعنية على وضع خطط وبرامج بشأن منع ومكافحة الاتجار بالأشخاص ومساعدة الضحايا.</w:t>
      </w:r>
    </w:p>
    <w:p w:rsidR="00C0719C" w:rsidRDefault="00C0719C" w:rsidP="00C0719C">
      <w:pPr>
        <w:pStyle w:val="H23GA"/>
        <w:rPr>
          <w:b w:val="0"/>
          <w:lang w:val="en-GB"/>
        </w:rPr>
      </w:pPr>
      <w:r w:rsidRPr="00082126">
        <w:rPr>
          <w:rFonts w:hint="cs"/>
          <w:b w:val="0"/>
          <w:rtl/>
        </w:rPr>
        <w:tab/>
      </w:r>
      <w:r w:rsidRPr="00082126">
        <w:rPr>
          <w:rFonts w:hint="cs"/>
          <w:b w:val="0"/>
          <w:rtl/>
        </w:rPr>
        <w:tab/>
      </w:r>
      <w:r w:rsidRPr="00C0719C">
        <w:rPr>
          <w:b w:val="0"/>
          <w:rtl/>
          <w:lang w:bidi="ar-BH"/>
        </w:rPr>
        <w:t>المساواة في التوظيف والعمل</w:t>
      </w:r>
    </w:p>
    <w:p w:rsidR="0019476F" w:rsidRDefault="0019476F" w:rsidP="0019476F">
      <w:pPr>
        <w:pStyle w:val="SingleTxtGA"/>
        <w:rPr>
          <w:rtl/>
          <w:lang w:val="fr-FR" w:bidi="ar-BH"/>
        </w:rPr>
      </w:pPr>
      <w:r w:rsidRPr="0019476F">
        <w:rPr>
          <w:rtl/>
          <w:lang w:val="fr-FR" w:bidi="ar-EG"/>
        </w:rPr>
        <w:t>1</w:t>
      </w:r>
      <w:r>
        <w:rPr>
          <w:rtl/>
          <w:lang w:val="fr-FR" w:bidi="ar-EG"/>
        </w:rPr>
        <w:t>8</w:t>
      </w:r>
      <w:r w:rsidRPr="0019476F">
        <w:rPr>
          <w:rtl/>
          <w:lang w:val="fr-FR" w:bidi="ar-EG"/>
        </w:rPr>
        <w:t>-</w:t>
      </w:r>
      <w:r w:rsidRPr="0019476F">
        <w:rPr>
          <w:rtl/>
          <w:lang w:val="fr-FR" w:bidi="ar-EG"/>
        </w:rPr>
        <w:tab/>
      </w:r>
      <w:r w:rsidR="00C0719C" w:rsidRPr="00C0719C">
        <w:rPr>
          <w:rtl/>
          <w:lang w:val="fr-FR" w:bidi="ar-BH"/>
        </w:rPr>
        <w:t>تحظى التوصية التالية بدعمنا:</w:t>
      </w:r>
    </w:p>
    <w:p w:rsidR="00C0719C" w:rsidRDefault="00C0719C" w:rsidP="0019476F">
      <w:pPr>
        <w:pStyle w:val="SingleTxtGA"/>
        <w:rPr>
          <w:rtl/>
          <w:lang w:val="fr-FR" w:bidi="ar-BH"/>
        </w:rPr>
      </w:pPr>
      <w:r>
        <w:rPr>
          <w:rtl/>
          <w:lang w:val="fr-FR" w:bidi="ar-BH"/>
        </w:rPr>
        <w:tab/>
      </w:r>
      <w:r w:rsidRPr="00C0719C">
        <w:rPr>
          <w:rtl/>
          <w:lang w:val="fr-FR" w:bidi="ar-BH"/>
        </w:rPr>
        <w:t>114-131.</w:t>
      </w:r>
    </w:p>
    <w:p w:rsidR="00C0719C" w:rsidRDefault="00BF23EE" w:rsidP="0019476F">
      <w:pPr>
        <w:pStyle w:val="SingleTxtGA"/>
        <w:rPr>
          <w:rtl/>
          <w:lang w:val="en-GB" w:bidi="ar-BH"/>
        </w:rPr>
      </w:pPr>
      <w:r>
        <w:rPr>
          <w:rtl/>
          <w:lang w:val="en-GB" w:bidi="ar-BH"/>
        </w:rPr>
        <w:tab/>
      </w:r>
      <w:r w:rsidR="00C0719C" w:rsidRPr="00C0719C">
        <w:rPr>
          <w:rtl/>
          <w:lang w:val="en-GB" w:bidi="ar-BH"/>
        </w:rPr>
        <w:t>أنشأ مركز لمعلومات الوظائف يعنى بتلقي طلبات الباحثين عن عمل في الجهات الحكومية، ويقوم بترشيحهم في حال طلبت الجهات شغل إحدى الوظائف الشاغرة لديها وذلك حتى يضمن المساواة بين جميع الباحثين عن العمل في فرصة تقلد إحدى الوظائف العامة.</w:t>
      </w:r>
    </w:p>
    <w:p w:rsidR="00BF23EE" w:rsidRDefault="00BF23EE" w:rsidP="00BF23EE">
      <w:pPr>
        <w:pStyle w:val="H23GA"/>
        <w:rPr>
          <w:b w:val="0"/>
          <w:lang w:val="en-GB"/>
        </w:rPr>
      </w:pPr>
      <w:r w:rsidRPr="00082126">
        <w:rPr>
          <w:rFonts w:hint="cs"/>
          <w:b w:val="0"/>
          <w:rtl/>
        </w:rPr>
        <w:tab/>
      </w:r>
      <w:r w:rsidRPr="00082126">
        <w:rPr>
          <w:rFonts w:hint="cs"/>
          <w:b w:val="0"/>
          <w:rtl/>
        </w:rPr>
        <w:tab/>
      </w:r>
      <w:r w:rsidRPr="00BF23EE">
        <w:rPr>
          <w:b w:val="0"/>
          <w:rtl/>
          <w:lang w:bidi="ar-BH"/>
        </w:rPr>
        <w:t>تعزيز حماية العمالة الوافدة</w:t>
      </w:r>
    </w:p>
    <w:p w:rsidR="0019476F" w:rsidRDefault="0019476F" w:rsidP="0019476F">
      <w:pPr>
        <w:pStyle w:val="SingleTxtGA"/>
        <w:rPr>
          <w:rtl/>
          <w:lang w:val="fr-FR" w:bidi="ar-BH"/>
        </w:rPr>
      </w:pPr>
      <w:r w:rsidRPr="0019476F">
        <w:rPr>
          <w:rtl/>
          <w:lang w:val="fr-FR" w:bidi="ar-EG"/>
        </w:rPr>
        <w:t>1</w:t>
      </w:r>
      <w:r>
        <w:rPr>
          <w:rtl/>
          <w:lang w:val="fr-FR" w:bidi="ar-EG"/>
        </w:rPr>
        <w:t>9</w:t>
      </w:r>
      <w:r w:rsidRPr="0019476F">
        <w:rPr>
          <w:rtl/>
          <w:lang w:val="fr-FR" w:bidi="ar-EG"/>
        </w:rPr>
        <w:t>-</w:t>
      </w:r>
      <w:r w:rsidRPr="0019476F">
        <w:rPr>
          <w:rtl/>
          <w:lang w:val="fr-FR" w:bidi="ar-EG"/>
        </w:rPr>
        <w:tab/>
      </w:r>
      <w:r w:rsidR="00BF23EE" w:rsidRPr="00BF23EE">
        <w:rPr>
          <w:rtl/>
          <w:lang w:val="fr-FR" w:bidi="ar-BH"/>
        </w:rPr>
        <w:t>تحظى التوصيات التالية بدعمنا:</w:t>
      </w:r>
    </w:p>
    <w:p w:rsidR="00BF23EE" w:rsidRDefault="00BF23EE" w:rsidP="0019476F">
      <w:pPr>
        <w:pStyle w:val="SingleTxtGA"/>
        <w:rPr>
          <w:rtl/>
          <w:lang w:val="fr-FR" w:bidi="ar-BH"/>
        </w:rPr>
      </w:pPr>
      <w:r>
        <w:rPr>
          <w:rtl/>
          <w:lang w:val="fr-FR" w:bidi="ar-BH"/>
        </w:rPr>
        <w:tab/>
      </w:r>
      <w:r w:rsidRPr="00BF23EE">
        <w:rPr>
          <w:rtl/>
          <w:lang w:val="fr-FR" w:bidi="ar-BH"/>
        </w:rPr>
        <w:t>114-154، 114-170، 114-171، 114-172.</w:t>
      </w:r>
    </w:p>
    <w:p w:rsidR="00BF23EE" w:rsidRDefault="00BF23EE" w:rsidP="0019476F">
      <w:pPr>
        <w:pStyle w:val="SingleTxtGA"/>
        <w:rPr>
          <w:rtl/>
          <w:lang w:val="en-GB" w:bidi="ar-BH"/>
        </w:rPr>
      </w:pPr>
      <w:r>
        <w:rPr>
          <w:rtl/>
          <w:lang w:val="en-GB" w:bidi="ar-BH"/>
        </w:rPr>
        <w:tab/>
      </w:r>
      <w:r w:rsidRPr="00BF23EE">
        <w:rPr>
          <w:rtl/>
          <w:lang w:val="en-GB" w:bidi="ar-BH"/>
        </w:rPr>
        <w:t>وضعت البحرين خطة وطنية تتضمن الاستراتيجية والسياسة العامة بشأن تشغيل العمالة الاجنبية مما يتطابق مع المعاهدات والاتفاقيات الدولية، حيث تم إنشاء هيئة تنظيم سوق العمل بموجب قانون رقم (19) لسنة 2006 والذي يختص بحماية حقوق العمالة الوافدة وتنظيم تصاريح مزاولة أصحاب العمل الأجانب للعمل، والعمل على توعية وتوجيه العمال وأصحاب العمل بشأن حقوقهم وواجبات وقيم وأخلاقيات العمل والسلامة المهنية والبيئية.</w:t>
      </w:r>
    </w:p>
    <w:p w:rsidR="00BF23EE" w:rsidRDefault="00BF23EE" w:rsidP="00BF23EE">
      <w:pPr>
        <w:pStyle w:val="H23GA"/>
        <w:rPr>
          <w:b w:val="0"/>
          <w:lang w:val="en-GB"/>
        </w:rPr>
      </w:pPr>
      <w:r w:rsidRPr="00082126">
        <w:rPr>
          <w:rFonts w:hint="cs"/>
          <w:b w:val="0"/>
          <w:rtl/>
        </w:rPr>
        <w:tab/>
      </w:r>
      <w:r w:rsidRPr="00082126">
        <w:rPr>
          <w:rFonts w:hint="cs"/>
          <w:b w:val="0"/>
          <w:rtl/>
        </w:rPr>
        <w:tab/>
      </w:r>
      <w:r w:rsidRPr="00BF23EE">
        <w:rPr>
          <w:b w:val="0"/>
          <w:rtl/>
          <w:lang w:bidi="ar-BH"/>
        </w:rPr>
        <w:t>المعاهدات والآليات الدولية لحقوق الإنسان</w:t>
      </w:r>
    </w:p>
    <w:p w:rsidR="0019476F" w:rsidRDefault="0019476F" w:rsidP="0019476F">
      <w:pPr>
        <w:pStyle w:val="SingleTxtGA"/>
        <w:rPr>
          <w:rtl/>
          <w:lang w:val="fr-FR" w:bidi="ar-BH"/>
        </w:rPr>
      </w:pPr>
      <w:r>
        <w:rPr>
          <w:rtl/>
          <w:lang w:val="fr-FR" w:bidi="ar-EG"/>
        </w:rPr>
        <w:t>20</w:t>
      </w:r>
      <w:r w:rsidRPr="0019476F">
        <w:rPr>
          <w:rtl/>
          <w:lang w:val="fr-FR" w:bidi="ar-EG"/>
        </w:rPr>
        <w:t>-</w:t>
      </w:r>
      <w:r w:rsidRPr="0019476F">
        <w:rPr>
          <w:rtl/>
          <w:lang w:val="fr-FR" w:bidi="ar-EG"/>
        </w:rPr>
        <w:tab/>
      </w:r>
      <w:r w:rsidR="00BF23EE" w:rsidRPr="00BF23EE">
        <w:rPr>
          <w:rtl/>
          <w:lang w:val="fr-FR" w:bidi="ar-BH"/>
        </w:rPr>
        <w:t>تحظى التوصيات التالية بدعمنا:</w:t>
      </w:r>
    </w:p>
    <w:p w:rsidR="00BF23EE" w:rsidRDefault="00BF23EE" w:rsidP="0019476F">
      <w:pPr>
        <w:pStyle w:val="SingleTxtGA"/>
        <w:rPr>
          <w:rtl/>
          <w:lang w:val="fr-FR" w:bidi="ar-BH"/>
        </w:rPr>
      </w:pPr>
      <w:r>
        <w:rPr>
          <w:rtl/>
          <w:lang w:val="fr-FR" w:bidi="ar-BH"/>
        </w:rPr>
        <w:tab/>
      </w:r>
      <w:r w:rsidRPr="00BF23EE">
        <w:rPr>
          <w:rtl/>
          <w:lang w:val="fr-FR" w:bidi="ar-BH"/>
        </w:rPr>
        <w:t>114-4، 114-17.</w:t>
      </w:r>
    </w:p>
    <w:p w:rsidR="00BF23EE" w:rsidRDefault="00BF23EE" w:rsidP="0019476F">
      <w:pPr>
        <w:pStyle w:val="SingleTxtGA"/>
        <w:rPr>
          <w:rtl/>
          <w:lang w:val="fr-FR" w:bidi="ar-BH"/>
        </w:rPr>
      </w:pPr>
      <w:r>
        <w:rPr>
          <w:rtl/>
          <w:lang w:val="fr-FR" w:bidi="ar-BH"/>
        </w:rPr>
        <w:tab/>
      </w:r>
      <w:r w:rsidRPr="00BF23EE">
        <w:rPr>
          <w:rtl/>
          <w:lang w:val="fr-FR" w:bidi="ar-BH"/>
        </w:rPr>
        <w:t>أُنشأت مفوضية حقوق السجناء والمحتجزين في البحرين بموجب المرسوم الملكي رقم (61) لسنة 2013، حيث أُخذ في الاعتبار بمبادئ البروتوكول الاختياري لاتفاقية مناهضة التعذيب وغيره من ضروب العقوبة القاسية أو اللاإنسانية أو المهينة. وهي بمثابة آلية وقائية وطنية فعالة، تمارس مهامها بحرية وحيادية وشفافية واستقلالية تامة.</w:t>
      </w:r>
    </w:p>
    <w:p w:rsidR="0019476F" w:rsidRDefault="0019476F" w:rsidP="0019476F">
      <w:pPr>
        <w:pStyle w:val="SingleTxtGA"/>
        <w:rPr>
          <w:rtl/>
          <w:lang w:val="fr-FR" w:bidi="ar-BH"/>
        </w:rPr>
      </w:pPr>
      <w:r>
        <w:rPr>
          <w:rtl/>
          <w:lang w:val="fr-FR" w:bidi="ar-EG"/>
        </w:rPr>
        <w:t>21</w:t>
      </w:r>
      <w:r w:rsidRPr="0019476F">
        <w:rPr>
          <w:rtl/>
          <w:lang w:val="fr-FR" w:bidi="ar-EG"/>
        </w:rPr>
        <w:t>-</w:t>
      </w:r>
      <w:r w:rsidRPr="0019476F">
        <w:rPr>
          <w:rtl/>
          <w:lang w:val="fr-FR" w:bidi="ar-EG"/>
        </w:rPr>
        <w:tab/>
      </w:r>
      <w:r w:rsidR="00BF23EE" w:rsidRPr="00BF23EE">
        <w:rPr>
          <w:rtl/>
          <w:lang w:val="fr-FR" w:bidi="ar-BH"/>
        </w:rPr>
        <w:t>وتحظى التوصيات التالية بأخذ العلم:</w:t>
      </w:r>
    </w:p>
    <w:p w:rsidR="00BF23EE" w:rsidRDefault="00BF23EE" w:rsidP="00095A30">
      <w:pPr>
        <w:pStyle w:val="SingleTxtGA"/>
        <w:tabs>
          <w:tab w:val="left" w:pos="2460"/>
        </w:tabs>
        <w:rPr>
          <w:rtl/>
          <w:lang w:val="fr-FR" w:bidi="ar-BH"/>
        </w:rPr>
      </w:pPr>
      <w:r w:rsidRPr="00923D56">
        <w:rPr>
          <w:rFonts w:hint="cs"/>
          <w:rtl/>
          <w:lang w:val="fr-FR"/>
        </w:rPr>
        <w:tab/>
        <w:t>(أ)</w:t>
      </w:r>
      <w:r w:rsidR="00095A30">
        <w:rPr>
          <w:rtl/>
          <w:lang w:val="fr-FR"/>
        </w:rPr>
        <w:tab/>
      </w:r>
      <w:r w:rsidR="00095A30" w:rsidRPr="00095A30">
        <w:rPr>
          <w:rtl/>
          <w:lang w:val="fr-FR" w:bidi="ar-BH"/>
        </w:rPr>
        <w:t>114-1، 114-8.</w:t>
      </w:r>
    </w:p>
    <w:p w:rsidR="00095A30" w:rsidRDefault="00095A30" w:rsidP="00095A30">
      <w:pPr>
        <w:pStyle w:val="SingleTxtGA"/>
        <w:tabs>
          <w:tab w:val="left" w:pos="2460"/>
        </w:tabs>
        <w:rPr>
          <w:rtl/>
          <w:lang w:val="fr-FR"/>
        </w:rPr>
      </w:pPr>
      <w:r>
        <w:rPr>
          <w:rtl/>
          <w:lang w:val="fr-FR" w:bidi="ar-BH"/>
        </w:rPr>
        <w:tab/>
      </w:r>
      <w:r w:rsidRPr="00095A30">
        <w:rPr>
          <w:rtl/>
          <w:lang w:val="fr-FR" w:bidi="ar-BH"/>
        </w:rPr>
        <w:t>تؤكد البحرين حرصها في تنفيذ اتفاقية سيداو حيث صدر المرسوم بقانون رقم (70) لسنة 2014 بتعديل بعض أحكام المرسوم بقانون رقم (5) لسنة 2002 والذي تضمن إعادة صياغة بعض تحفظات البحرين على الاتفاقية، ونص على أن البحرين ملتزمة بتنفيذ أحكام المواد (2) و(15) فقرة (4) و(16) من الاتفاقية دون إخلال بأحكام الشريعة الإسلامية.</w:t>
      </w:r>
    </w:p>
    <w:p w:rsidR="00BF23EE" w:rsidRDefault="00BF23EE" w:rsidP="0019476F">
      <w:pPr>
        <w:pStyle w:val="SingleTxtGA"/>
        <w:rPr>
          <w:lang w:val="en-GB" w:bidi="ar-BH"/>
        </w:rPr>
      </w:pPr>
      <w:r>
        <w:rPr>
          <w:rFonts w:hint="cs"/>
          <w:rtl/>
        </w:rPr>
        <w:tab/>
        <w:t>(ب)</w:t>
      </w:r>
      <w:r>
        <w:rPr>
          <w:rFonts w:hint="cs"/>
          <w:rtl/>
        </w:rPr>
        <w:tab/>
      </w:r>
      <w:r w:rsidR="00095A30" w:rsidRPr="00095A30">
        <w:rPr>
          <w:rtl/>
          <w:lang w:bidi="ar-BH"/>
        </w:rPr>
        <w:t>114-2، 114-3.</w:t>
      </w:r>
    </w:p>
    <w:p w:rsidR="00095A30" w:rsidRPr="00095A30" w:rsidRDefault="00095A30" w:rsidP="0019476F">
      <w:pPr>
        <w:pStyle w:val="SingleTxtGA"/>
        <w:rPr>
          <w:lang w:val="en-GB"/>
        </w:rPr>
      </w:pPr>
      <w:r>
        <w:rPr>
          <w:rtl/>
          <w:lang w:val="en-GB" w:bidi="ar-BH"/>
        </w:rPr>
        <w:tab/>
      </w:r>
      <w:r w:rsidRPr="00095A30">
        <w:rPr>
          <w:rtl/>
          <w:lang w:val="en-GB" w:bidi="ar-BH"/>
        </w:rPr>
        <w:t>لا يوجد أي تغيير في موقف البحرين من هذا الشأن، ويراعى في هذا الصدد أن عقوبة الاعدام لا تفرض إلا في حالات محدودة جنائية جسيمة وخطيرة، وينص قانون العقوبات على إمكانية تخفيف عقوبة الإعدام في حالة الحكم بها إلى الحكم بالسجن المؤبد أو السجن لفترة أقل إذا ارتُكبت الجريمة في ظروف تستحق تخفيف العقوبة.</w:t>
      </w:r>
    </w:p>
    <w:p w:rsidR="00BF23EE" w:rsidRDefault="00BF23EE" w:rsidP="0019476F">
      <w:pPr>
        <w:pStyle w:val="SingleTxtGA"/>
        <w:rPr>
          <w:rtl/>
          <w:lang w:val="en-GB" w:bidi="ar-BH"/>
        </w:rPr>
      </w:pPr>
      <w:r w:rsidRPr="00BF23EE">
        <w:rPr>
          <w:rFonts w:hint="cs"/>
          <w:rtl/>
          <w:lang w:val="en-GB"/>
        </w:rPr>
        <w:tab/>
        <w:t>(ج)</w:t>
      </w:r>
      <w:r w:rsidRPr="00BF23EE">
        <w:rPr>
          <w:rFonts w:hint="cs"/>
          <w:rtl/>
          <w:lang w:val="en-GB"/>
        </w:rPr>
        <w:tab/>
      </w:r>
      <w:r w:rsidR="00095A30" w:rsidRPr="00095A30">
        <w:rPr>
          <w:rtl/>
          <w:lang w:val="en-GB" w:bidi="ar-BH"/>
        </w:rPr>
        <w:t>114-5، 114-6.</w:t>
      </w:r>
    </w:p>
    <w:p w:rsidR="00095A30" w:rsidRDefault="00095A30" w:rsidP="0019476F">
      <w:pPr>
        <w:pStyle w:val="SingleTxtGA"/>
        <w:rPr>
          <w:rtl/>
          <w:lang w:val="en-GB"/>
        </w:rPr>
      </w:pPr>
      <w:r>
        <w:rPr>
          <w:rtl/>
          <w:lang w:val="en-GB" w:bidi="ar-BH"/>
        </w:rPr>
        <w:tab/>
      </w:r>
      <w:r w:rsidRPr="00095A30">
        <w:rPr>
          <w:rtl/>
          <w:lang w:val="en-GB" w:bidi="ar-BH"/>
        </w:rPr>
        <w:t>م إنشاء مفوضية حقوق السجناء والمحتجزين كما هو مبين في الرد على التوصيتين 114-4 و114-17.</w:t>
      </w:r>
    </w:p>
    <w:p w:rsidR="00BF23EE" w:rsidRDefault="00BF23EE" w:rsidP="0019476F">
      <w:pPr>
        <w:pStyle w:val="SingleTxtGA"/>
        <w:rPr>
          <w:rtl/>
          <w:lang w:val="en-GB"/>
        </w:rPr>
      </w:pPr>
      <w:r w:rsidRPr="00BF23EE">
        <w:rPr>
          <w:rFonts w:hint="cs"/>
          <w:rtl/>
          <w:lang w:val="en-GB"/>
        </w:rPr>
        <w:tab/>
        <w:t>(د)</w:t>
      </w:r>
      <w:r w:rsidRPr="00BF23EE">
        <w:rPr>
          <w:rFonts w:hint="cs"/>
          <w:rtl/>
          <w:lang w:val="en-GB"/>
        </w:rPr>
        <w:tab/>
      </w:r>
      <w:r w:rsidR="00095A30" w:rsidRPr="00095A30">
        <w:rPr>
          <w:rtl/>
          <w:lang w:val="en-GB" w:bidi="ar-BH"/>
        </w:rPr>
        <w:t>114-7، 114-9، 114-10، 114-11، 114-15، 114-16.</w:t>
      </w:r>
    </w:p>
    <w:p w:rsidR="00BF23EE" w:rsidRDefault="00BF23EE" w:rsidP="0019476F">
      <w:pPr>
        <w:pStyle w:val="SingleTxtGA"/>
        <w:rPr>
          <w:rtl/>
          <w:lang w:val="en-GB" w:bidi="ar-BH"/>
        </w:rPr>
      </w:pPr>
      <w:r w:rsidRPr="00BF23EE">
        <w:rPr>
          <w:lang w:val="en-GB" w:bidi="ar-BH"/>
        </w:rPr>
        <w:tab/>
      </w:r>
      <w:r w:rsidRPr="00BF23EE">
        <w:rPr>
          <w:rFonts w:hint="cs"/>
          <w:rtl/>
          <w:lang w:val="en-GB"/>
        </w:rPr>
        <w:t>(ه)</w:t>
      </w:r>
      <w:r w:rsidRPr="00BF23EE">
        <w:rPr>
          <w:rFonts w:hint="cs"/>
          <w:rtl/>
          <w:lang w:val="en-GB"/>
        </w:rPr>
        <w:tab/>
      </w:r>
      <w:r w:rsidR="00095A30" w:rsidRPr="00095A30">
        <w:rPr>
          <w:rtl/>
          <w:lang w:val="en-GB" w:bidi="ar-BH"/>
        </w:rPr>
        <w:t>114-12، 114-13، 114-14، 114-18.</w:t>
      </w:r>
    </w:p>
    <w:p w:rsidR="00095A30" w:rsidRDefault="00095A30" w:rsidP="0019476F">
      <w:pPr>
        <w:pStyle w:val="SingleTxtGA"/>
        <w:rPr>
          <w:rtl/>
          <w:lang w:val="en-GB" w:bidi="ar-BH"/>
        </w:rPr>
      </w:pPr>
      <w:r>
        <w:rPr>
          <w:rtl/>
          <w:lang w:val="en-GB" w:bidi="ar-BH"/>
        </w:rPr>
        <w:tab/>
      </w:r>
      <w:r w:rsidRPr="00095A30">
        <w:rPr>
          <w:rtl/>
          <w:lang w:val="en-GB" w:bidi="ar-BH"/>
        </w:rPr>
        <w:t>إن البحرين تشارك كمراقب في جمعية الدول الأطراف في المحكمة الجنائية الدولية وقد حضرت جميع مؤتمرات جمعية الدول الأطراف منذ مؤتمر كمبالا الذي عقد في 2010.</w:t>
      </w:r>
    </w:p>
    <w:p w:rsidR="00095A30" w:rsidRDefault="00095A30" w:rsidP="00095A30">
      <w:pPr>
        <w:pStyle w:val="H23GA"/>
        <w:rPr>
          <w:b w:val="0"/>
          <w:lang w:val="en-GB"/>
        </w:rPr>
      </w:pPr>
      <w:r w:rsidRPr="00082126">
        <w:rPr>
          <w:rFonts w:hint="cs"/>
          <w:b w:val="0"/>
          <w:rtl/>
        </w:rPr>
        <w:tab/>
      </w:r>
      <w:r w:rsidRPr="00082126">
        <w:rPr>
          <w:rFonts w:hint="cs"/>
          <w:b w:val="0"/>
          <w:rtl/>
        </w:rPr>
        <w:tab/>
      </w:r>
      <w:r w:rsidRPr="00095A30">
        <w:rPr>
          <w:b w:val="0"/>
          <w:rtl/>
          <w:lang w:bidi="ar-BH"/>
        </w:rPr>
        <w:t>التعاون مع الامم المتحدة والمجتمع الدولي</w:t>
      </w:r>
    </w:p>
    <w:p w:rsidR="0019476F" w:rsidRDefault="0019476F" w:rsidP="0019476F">
      <w:pPr>
        <w:pStyle w:val="SingleTxtGA"/>
        <w:rPr>
          <w:rtl/>
          <w:lang w:val="fr-FR" w:bidi="ar-BH"/>
        </w:rPr>
      </w:pPr>
      <w:r>
        <w:rPr>
          <w:rtl/>
          <w:lang w:val="fr-FR" w:bidi="ar-EG"/>
        </w:rPr>
        <w:t>22</w:t>
      </w:r>
      <w:r w:rsidRPr="0019476F">
        <w:rPr>
          <w:rtl/>
          <w:lang w:val="fr-FR" w:bidi="ar-EG"/>
        </w:rPr>
        <w:t>-</w:t>
      </w:r>
      <w:r w:rsidRPr="0019476F">
        <w:rPr>
          <w:rtl/>
          <w:lang w:val="fr-FR" w:bidi="ar-EG"/>
        </w:rPr>
        <w:tab/>
      </w:r>
      <w:r w:rsidR="006E1055" w:rsidRPr="006E1055">
        <w:rPr>
          <w:rtl/>
          <w:lang w:val="fr-FR" w:bidi="ar-BH"/>
        </w:rPr>
        <w:t>تحظى التوصيات التالية بدعمنا:</w:t>
      </w:r>
    </w:p>
    <w:p w:rsidR="006E1055" w:rsidRDefault="006E1055" w:rsidP="0019476F">
      <w:pPr>
        <w:pStyle w:val="SingleTxtGA"/>
        <w:rPr>
          <w:rtl/>
          <w:lang w:val="fr-FR" w:bidi="ar-BH"/>
        </w:rPr>
      </w:pPr>
      <w:r>
        <w:rPr>
          <w:rtl/>
          <w:lang w:val="fr-FR" w:bidi="ar-BH"/>
        </w:rPr>
        <w:tab/>
      </w:r>
      <w:r w:rsidRPr="006E1055">
        <w:rPr>
          <w:rtl/>
          <w:lang w:val="fr-FR" w:bidi="ar-BH"/>
        </w:rPr>
        <w:t>114-19، 114-20، 114-21، 114-22، 114-23، 114-26، 114-27، 114-31، 114-32، 114-33، 114-55.</w:t>
      </w:r>
    </w:p>
    <w:p w:rsidR="006E1055" w:rsidRPr="0019476F" w:rsidRDefault="006E1055" w:rsidP="0019476F">
      <w:pPr>
        <w:pStyle w:val="SingleTxtGA"/>
        <w:rPr>
          <w:lang w:val="en-GB" w:bidi="ar-BH"/>
        </w:rPr>
      </w:pPr>
      <w:r>
        <w:rPr>
          <w:rtl/>
          <w:lang w:val="en-GB" w:bidi="ar-BH"/>
        </w:rPr>
        <w:tab/>
      </w:r>
      <w:r w:rsidRPr="006E1055">
        <w:rPr>
          <w:rtl/>
          <w:lang w:val="en-GB" w:bidi="ar-BH"/>
        </w:rPr>
        <w:t>إن البحرين ملتزمة بمبادئ التعاون والحوار مع أجهزة الأمم المتحدة وذلك بروح من الشفافية والانفتاح لتعزيز حقوق الإنسان والحريات الأساسية وتعمل على حمايتها على الصعيدين الوطني والدولي وذلك من خلال تقديمها المساعدات الانسانية والمشاركة في المؤتمرات الدولية ذات الصلة. وتستمر البحرين في التعاون مع المفوضية السامية وترد على النداءات العاجلة واستفسارات وتساؤلات الاجراءات الخاصة وتقوم بتقديم التقارير الدورية لهيئات المعاهدات، وتتعاون مع العديد من المنظمات الدولية غير الحكومية بغية التواصل وحماية حقوق الإنسان.</w:t>
      </w:r>
    </w:p>
    <w:p w:rsidR="0019476F" w:rsidRDefault="0019476F" w:rsidP="0019476F">
      <w:pPr>
        <w:pStyle w:val="SingleTxtGA"/>
        <w:rPr>
          <w:rtl/>
          <w:lang w:val="fr-FR" w:bidi="ar-BH"/>
        </w:rPr>
      </w:pPr>
      <w:r>
        <w:rPr>
          <w:rtl/>
          <w:lang w:val="fr-FR" w:bidi="ar-EG"/>
        </w:rPr>
        <w:t>23</w:t>
      </w:r>
      <w:r w:rsidRPr="0019476F">
        <w:rPr>
          <w:rtl/>
          <w:lang w:val="fr-FR" w:bidi="ar-EG"/>
        </w:rPr>
        <w:t>-</w:t>
      </w:r>
      <w:r w:rsidRPr="0019476F">
        <w:rPr>
          <w:rtl/>
          <w:lang w:val="fr-FR" w:bidi="ar-EG"/>
        </w:rPr>
        <w:tab/>
      </w:r>
      <w:r w:rsidR="0001042B" w:rsidRPr="0001042B">
        <w:rPr>
          <w:rtl/>
          <w:lang w:val="fr-FR" w:bidi="ar-BH"/>
        </w:rPr>
        <w:t>تم أخذ العلم بالتوصيات التالية:</w:t>
      </w:r>
    </w:p>
    <w:p w:rsidR="0001042B" w:rsidRDefault="0001042B" w:rsidP="0019476F">
      <w:pPr>
        <w:pStyle w:val="SingleTxtGA"/>
        <w:rPr>
          <w:rtl/>
          <w:lang w:val="fr-FR" w:bidi="ar-BH"/>
        </w:rPr>
      </w:pPr>
      <w:r w:rsidRPr="00923D56">
        <w:rPr>
          <w:rFonts w:hint="cs"/>
          <w:rtl/>
          <w:lang w:val="fr-FR"/>
        </w:rPr>
        <w:tab/>
        <w:t>(أ)</w:t>
      </w:r>
      <w:r>
        <w:rPr>
          <w:rtl/>
          <w:lang w:val="fr-FR"/>
        </w:rPr>
        <w:tab/>
      </w:r>
      <w:r w:rsidRPr="0001042B">
        <w:rPr>
          <w:rtl/>
          <w:lang w:val="fr-FR" w:bidi="ar-BH"/>
        </w:rPr>
        <w:t>114-24، 114-25، 114-28، 114-29، 114-34.</w:t>
      </w:r>
    </w:p>
    <w:p w:rsidR="0001042B" w:rsidRDefault="0001042B" w:rsidP="0019476F">
      <w:pPr>
        <w:pStyle w:val="SingleTxtGA"/>
        <w:rPr>
          <w:rtl/>
          <w:lang w:val="fr-FR"/>
        </w:rPr>
      </w:pPr>
      <w:r>
        <w:rPr>
          <w:rtl/>
          <w:lang w:val="fr-FR" w:bidi="ar-BH"/>
        </w:rPr>
        <w:tab/>
      </w:r>
      <w:r w:rsidRPr="0001042B">
        <w:rPr>
          <w:rtl/>
          <w:lang w:val="fr-FR" w:bidi="ar-BH"/>
        </w:rPr>
        <w:t>تم الاشاره الى موضوع التعاون في الفقرة 22.</w:t>
      </w:r>
    </w:p>
    <w:p w:rsidR="0001042B" w:rsidRDefault="0001042B" w:rsidP="0019476F">
      <w:pPr>
        <w:pStyle w:val="SingleTxtGA"/>
        <w:rPr>
          <w:lang w:val="en-GB" w:bidi="ar-BH"/>
        </w:rPr>
      </w:pPr>
      <w:r>
        <w:rPr>
          <w:rFonts w:hint="cs"/>
          <w:rtl/>
        </w:rPr>
        <w:tab/>
        <w:t>(ب)</w:t>
      </w:r>
      <w:r>
        <w:rPr>
          <w:rFonts w:hint="cs"/>
          <w:rtl/>
        </w:rPr>
        <w:tab/>
      </w:r>
      <w:r w:rsidR="00BD1F09" w:rsidRPr="00BD1F09">
        <w:rPr>
          <w:rtl/>
          <w:lang w:bidi="ar-BH"/>
        </w:rPr>
        <w:t>114-30.</w:t>
      </w:r>
    </w:p>
    <w:p w:rsidR="00BD1F09" w:rsidRDefault="00BD1F09" w:rsidP="0019476F">
      <w:pPr>
        <w:pStyle w:val="SingleTxtGA"/>
        <w:rPr>
          <w:rtl/>
          <w:lang w:val="en-GB" w:bidi="ar-BH"/>
        </w:rPr>
      </w:pPr>
      <w:r>
        <w:rPr>
          <w:lang w:val="en-GB" w:bidi="ar-BH"/>
        </w:rPr>
        <w:tab/>
      </w:r>
      <w:r w:rsidRPr="00BD1F09">
        <w:rPr>
          <w:rtl/>
          <w:lang w:val="en-GB" w:bidi="ar-BH"/>
        </w:rPr>
        <w:t>تحرص البحرين على توفير الوسائل القانونية لضمان المساءلة الجنائية والتأديبية في حق كل من ينسب إليه ارتكاب وقائع تعذيب أو معاملة قاسية أو مهينة، والتزاماً بتوصيات اللجنة البحرينية المستقلة لتقصي الحقائق، فقد أكدت النيابة العامة حرصها على مواجهة أي وقائع للتعذيب أو المعاملة القاسية أو المهينة بما أتاحه لها القانون وبما وفرته من آليات مادية ومعنوية تسمح بالتحقيق فيها بشكل مستقل ووفقاً للمعايير الدولية.</w:t>
      </w:r>
    </w:p>
    <w:p w:rsidR="00BD1F09" w:rsidRDefault="00BD1F09" w:rsidP="00BD1F09">
      <w:pPr>
        <w:pStyle w:val="H23GA"/>
        <w:rPr>
          <w:b w:val="0"/>
          <w:lang w:val="en-GB"/>
        </w:rPr>
      </w:pPr>
      <w:r w:rsidRPr="00082126">
        <w:rPr>
          <w:rFonts w:hint="cs"/>
          <w:b w:val="0"/>
          <w:rtl/>
        </w:rPr>
        <w:tab/>
      </w:r>
      <w:r w:rsidRPr="00082126">
        <w:rPr>
          <w:rFonts w:hint="cs"/>
          <w:b w:val="0"/>
          <w:rtl/>
        </w:rPr>
        <w:tab/>
      </w:r>
      <w:r w:rsidRPr="00BD1F09">
        <w:rPr>
          <w:b w:val="0"/>
          <w:rtl/>
          <w:lang w:bidi="ar-BH"/>
        </w:rPr>
        <w:t>الدستور والتشريعات الوطنية</w:t>
      </w:r>
    </w:p>
    <w:p w:rsidR="0019476F" w:rsidRDefault="0019476F" w:rsidP="0019476F">
      <w:pPr>
        <w:pStyle w:val="SingleTxtGA"/>
        <w:rPr>
          <w:rtl/>
          <w:lang w:val="fr-FR" w:bidi="ar-BH"/>
        </w:rPr>
      </w:pPr>
      <w:r>
        <w:rPr>
          <w:rtl/>
          <w:lang w:val="fr-FR" w:bidi="ar-EG"/>
        </w:rPr>
        <w:t>24</w:t>
      </w:r>
      <w:r w:rsidRPr="0019476F">
        <w:rPr>
          <w:rtl/>
          <w:lang w:val="fr-FR" w:bidi="ar-EG"/>
        </w:rPr>
        <w:t>-</w:t>
      </w:r>
      <w:r w:rsidRPr="0019476F">
        <w:rPr>
          <w:rtl/>
          <w:lang w:val="fr-FR" w:bidi="ar-EG"/>
        </w:rPr>
        <w:tab/>
      </w:r>
      <w:r w:rsidR="00BD1F09" w:rsidRPr="00BD1F09">
        <w:rPr>
          <w:rtl/>
          <w:lang w:val="fr-FR" w:bidi="ar-BH"/>
        </w:rPr>
        <w:t>تحظى التوصيات التالية بدعمنا:</w:t>
      </w:r>
    </w:p>
    <w:p w:rsidR="00BD1F09" w:rsidRDefault="00BD1F09" w:rsidP="0019476F">
      <w:pPr>
        <w:pStyle w:val="SingleTxtGA"/>
        <w:rPr>
          <w:rtl/>
          <w:lang w:val="fr-FR" w:bidi="ar-BH"/>
        </w:rPr>
      </w:pPr>
      <w:r w:rsidRPr="00923D56">
        <w:rPr>
          <w:rFonts w:hint="cs"/>
          <w:rtl/>
          <w:lang w:val="fr-FR"/>
        </w:rPr>
        <w:tab/>
        <w:t>(أ)</w:t>
      </w:r>
      <w:r>
        <w:rPr>
          <w:rtl/>
          <w:lang w:val="fr-FR"/>
        </w:rPr>
        <w:tab/>
      </w:r>
      <w:r w:rsidRPr="00BD1F09">
        <w:rPr>
          <w:rtl/>
          <w:lang w:val="fr-FR" w:bidi="ar-BH"/>
        </w:rPr>
        <w:t>114-35.</w:t>
      </w:r>
    </w:p>
    <w:p w:rsidR="00BD1F09" w:rsidRDefault="00BD1F09" w:rsidP="0019476F">
      <w:pPr>
        <w:pStyle w:val="SingleTxtGA"/>
        <w:rPr>
          <w:rtl/>
          <w:lang w:val="fr-FR"/>
        </w:rPr>
      </w:pPr>
      <w:r>
        <w:rPr>
          <w:rtl/>
          <w:lang w:val="fr-FR" w:bidi="ar-BH"/>
        </w:rPr>
        <w:tab/>
      </w:r>
      <w:r w:rsidRPr="00BD1F09">
        <w:rPr>
          <w:rtl/>
          <w:lang w:val="fr-FR" w:bidi="ar-BH"/>
        </w:rPr>
        <w:t>تحرص البحرين على تبني مجموعة من التشريعات التي تهدف إلى موائمة تشريعاتها مع المعايير الدولية ومن ابرزها ما هو متعلق بحقوق الانسان والعدالة.</w:t>
      </w:r>
    </w:p>
    <w:p w:rsidR="00BD1F09" w:rsidRDefault="00BD1F09" w:rsidP="0019476F">
      <w:pPr>
        <w:pStyle w:val="SingleTxtGA"/>
        <w:rPr>
          <w:lang w:val="en-GB" w:bidi="ar-BH"/>
        </w:rPr>
      </w:pPr>
      <w:r>
        <w:rPr>
          <w:rFonts w:hint="cs"/>
          <w:rtl/>
        </w:rPr>
        <w:tab/>
        <w:t>(ب)</w:t>
      </w:r>
      <w:r>
        <w:rPr>
          <w:rFonts w:hint="cs"/>
          <w:rtl/>
        </w:rPr>
        <w:tab/>
      </w:r>
      <w:r w:rsidRPr="00BD1F09">
        <w:rPr>
          <w:rtl/>
          <w:lang w:bidi="ar-BH"/>
        </w:rPr>
        <w:t>114-105، 114-106، 114-108، 114-110، 114-120.</w:t>
      </w:r>
    </w:p>
    <w:p w:rsidR="00BD1F09" w:rsidRPr="00BD1F09" w:rsidRDefault="00BD1F09" w:rsidP="0019476F">
      <w:pPr>
        <w:pStyle w:val="SingleTxtGA"/>
        <w:rPr>
          <w:lang w:val="en-GB"/>
        </w:rPr>
      </w:pPr>
      <w:r>
        <w:rPr>
          <w:rtl/>
          <w:lang w:val="en-GB" w:bidi="ar-BH"/>
        </w:rPr>
        <w:tab/>
      </w:r>
      <w:r w:rsidRPr="00BD1F09">
        <w:rPr>
          <w:rtl/>
          <w:lang w:val="en-GB" w:bidi="ar-BH"/>
        </w:rPr>
        <w:t>كفل المرسوم بقانون رقم (47) لسنة 2002 بشأن تنظيم الصحافة والطباعة والنشر حق التعبير عن الرأي ونشره بالقول أو الكتابة أو غيرهما وفقاً لمحددات قانونية تتلخص في عدم المساس بالعقيدة الإسلامية ووحدة الشعب، وبما لا يثير الفرقة أو الطائفية في المجتمع، على أن يتم خلال ممارسة هذا الحق كفالة الاحترام للآخرين وسمعتهم، وكذلك عدم المساس بالأمن القومي أو النظام العام أو المصلحة والآداب العامة وبما يتوائم مع المادة (19) من العهد الدولي الخاص بالحقوق المدنية والسياسية.</w:t>
      </w:r>
    </w:p>
    <w:p w:rsidR="00BD1F09" w:rsidRDefault="00BD1F09" w:rsidP="0019476F">
      <w:pPr>
        <w:pStyle w:val="SingleTxtGA"/>
        <w:rPr>
          <w:rtl/>
          <w:lang w:val="en-GB" w:bidi="ar-BH"/>
        </w:rPr>
      </w:pPr>
      <w:r w:rsidRPr="00BF23EE">
        <w:rPr>
          <w:rFonts w:hint="cs"/>
          <w:rtl/>
          <w:lang w:val="en-GB"/>
        </w:rPr>
        <w:tab/>
        <w:t>(ج)</w:t>
      </w:r>
      <w:r w:rsidRPr="00BF23EE">
        <w:rPr>
          <w:rFonts w:hint="cs"/>
          <w:rtl/>
          <w:lang w:val="en-GB"/>
        </w:rPr>
        <w:tab/>
      </w:r>
      <w:r w:rsidRPr="00BD1F09">
        <w:rPr>
          <w:rtl/>
          <w:lang w:val="en-GB" w:bidi="ar-BH"/>
        </w:rPr>
        <w:t>114-161.</w:t>
      </w:r>
    </w:p>
    <w:p w:rsidR="00BD1F09" w:rsidRPr="00BD1F09" w:rsidRDefault="00BD1F09" w:rsidP="0019476F">
      <w:pPr>
        <w:pStyle w:val="SingleTxtGA"/>
        <w:rPr>
          <w:lang w:val="en-GB" w:bidi="ar-BH"/>
        </w:rPr>
      </w:pPr>
      <w:r>
        <w:rPr>
          <w:rtl/>
          <w:lang w:val="en-GB" w:bidi="ar-BH"/>
        </w:rPr>
        <w:tab/>
      </w:r>
      <w:r w:rsidRPr="00BD1F09">
        <w:rPr>
          <w:rtl/>
          <w:lang w:val="en-GB" w:bidi="ar-BH"/>
        </w:rPr>
        <w:t>وجود مشروع بقانون متكامل عن الأحداث بصدد الانتهاء منه من قبل السلطة التنفيذية. وفي ضوئه سيتم معالجة الكثير من المواضيع، منها رفع سن الحدث ليكون من 15 سنة إلى 18 سنة، بالإضافة إلى وضع تدابير للتعامل مع الأحداث مراعاةً لصغر سنهم. فبذلك يكون سن الحدث متماشياً لسن الطفل في القانون البحريني (المادة (4) من القانون رقم (37) لسنة 2012)، ومع اتفاقية الأمم المتحدة لحقوق الطفل (المادة (1)).</w:t>
      </w:r>
    </w:p>
    <w:p w:rsidR="0019476F" w:rsidRDefault="0019476F" w:rsidP="0019476F">
      <w:pPr>
        <w:pStyle w:val="SingleTxtGA"/>
        <w:rPr>
          <w:rtl/>
          <w:lang w:val="fr-FR" w:bidi="ar-BH"/>
        </w:rPr>
      </w:pPr>
      <w:r>
        <w:rPr>
          <w:rtl/>
          <w:lang w:val="fr-FR" w:bidi="ar-EG"/>
        </w:rPr>
        <w:t>25</w:t>
      </w:r>
      <w:r w:rsidRPr="0019476F">
        <w:rPr>
          <w:rtl/>
          <w:lang w:val="fr-FR" w:bidi="ar-EG"/>
        </w:rPr>
        <w:t>-</w:t>
      </w:r>
      <w:r w:rsidRPr="0019476F">
        <w:rPr>
          <w:rtl/>
          <w:lang w:val="fr-FR" w:bidi="ar-EG"/>
        </w:rPr>
        <w:tab/>
      </w:r>
      <w:r w:rsidR="00BD1F09" w:rsidRPr="00BD1F09">
        <w:rPr>
          <w:rtl/>
          <w:lang w:val="fr-FR" w:bidi="ar-BH"/>
        </w:rPr>
        <w:t>وتحظى التوصية التالية بأخذ العلم:</w:t>
      </w:r>
    </w:p>
    <w:p w:rsidR="00BD1F09" w:rsidRDefault="00BD1F09" w:rsidP="0019476F">
      <w:pPr>
        <w:pStyle w:val="SingleTxtGA"/>
        <w:rPr>
          <w:rtl/>
          <w:lang w:val="fr-FR" w:bidi="ar-BH"/>
        </w:rPr>
      </w:pPr>
      <w:r>
        <w:rPr>
          <w:rtl/>
          <w:lang w:val="fr-FR" w:bidi="ar-BH"/>
        </w:rPr>
        <w:tab/>
      </w:r>
      <w:r w:rsidRPr="00BD1F09">
        <w:rPr>
          <w:rtl/>
          <w:lang w:val="fr-FR" w:bidi="ar-BH"/>
        </w:rPr>
        <w:t>114-36، 114-111.</w:t>
      </w:r>
    </w:p>
    <w:p w:rsidR="009512B2" w:rsidRDefault="009512B2" w:rsidP="009512B2">
      <w:pPr>
        <w:pStyle w:val="H23GA"/>
        <w:rPr>
          <w:b w:val="0"/>
          <w:lang w:val="en-GB"/>
        </w:rPr>
      </w:pPr>
      <w:r w:rsidRPr="00082126">
        <w:rPr>
          <w:rFonts w:hint="cs"/>
          <w:b w:val="0"/>
          <w:rtl/>
        </w:rPr>
        <w:tab/>
      </w:r>
      <w:r w:rsidRPr="00082126">
        <w:rPr>
          <w:rFonts w:hint="cs"/>
          <w:b w:val="0"/>
          <w:rtl/>
        </w:rPr>
        <w:tab/>
      </w:r>
      <w:r w:rsidRPr="009512B2">
        <w:rPr>
          <w:b w:val="0"/>
          <w:rtl/>
          <w:lang w:bidi="ar-BH"/>
        </w:rPr>
        <w:t>التثقيف والتدريب وزيادة الوعي في مجال حقوق الإنسان</w:t>
      </w:r>
    </w:p>
    <w:p w:rsidR="0019476F" w:rsidRDefault="0019476F" w:rsidP="0019476F">
      <w:pPr>
        <w:pStyle w:val="SingleTxtGA"/>
        <w:rPr>
          <w:rtl/>
          <w:lang w:val="fr-FR" w:bidi="ar-BH"/>
        </w:rPr>
      </w:pPr>
      <w:r>
        <w:rPr>
          <w:rtl/>
          <w:lang w:val="fr-FR" w:bidi="ar-EG"/>
        </w:rPr>
        <w:t>26</w:t>
      </w:r>
      <w:r w:rsidRPr="0019476F">
        <w:rPr>
          <w:rtl/>
          <w:lang w:val="fr-FR" w:bidi="ar-EG"/>
        </w:rPr>
        <w:t>-</w:t>
      </w:r>
      <w:r w:rsidRPr="0019476F">
        <w:rPr>
          <w:rtl/>
          <w:lang w:val="fr-FR" w:bidi="ar-EG"/>
        </w:rPr>
        <w:tab/>
      </w:r>
      <w:r w:rsidR="009512B2" w:rsidRPr="009512B2">
        <w:rPr>
          <w:rtl/>
          <w:lang w:val="fr-FR" w:bidi="ar-BH"/>
        </w:rPr>
        <w:t>تحظى التوصيات التالية بدعمنا:</w:t>
      </w:r>
    </w:p>
    <w:p w:rsidR="009512B2" w:rsidRDefault="009512B2" w:rsidP="0019476F">
      <w:pPr>
        <w:pStyle w:val="SingleTxtGA"/>
        <w:rPr>
          <w:rtl/>
          <w:lang w:val="fr-FR" w:bidi="ar-BH"/>
        </w:rPr>
      </w:pPr>
      <w:r w:rsidRPr="00923D56">
        <w:rPr>
          <w:rFonts w:hint="cs"/>
          <w:rtl/>
          <w:lang w:val="fr-FR"/>
        </w:rPr>
        <w:tab/>
        <w:t>(أ)</w:t>
      </w:r>
      <w:r>
        <w:rPr>
          <w:rtl/>
          <w:lang w:val="fr-FR"/>
        </w:rPr>
        <w:tab/>
      </w:r>
      <w:r w:rsidRPr="009512B2">
        <w:rPr>
          <w:rtl/>
          <w:lang w:val="fr-FR" w:bidi="ar-BH"/>
        </w:rPr>
        <w:t>114-45، 114-46، 114-47، 114-48، 114-53، 114-54.</w:t>
      </w:r>
    </w:p>
    <w:p w:rsidR="009512B2" w:rsidRDefault="009512B2" w:rsidP="0019476F">
      <w:pPr>
        <w:pStyle w:val="SingleTxtGA"/>
        <w:rPr>
          <w:rtl/>
          <w:lang w:val="fr-FR"/>
        </w:rPr>
      </w:pPr>
      <w:r>
        <w:rPr>
          <w:rtl/>
          <w:lang w:val="fr-FR" w:bidi="ar-BH"/>
        </w:rPr>
        <w:tab/>
      </w:r>
      <w:r w:rsidRPr="009512B2">
        <w:rPr>
          <w:rtl/>
          <w:lang w:val="fr-FR" w:bidi="ar-BH"/>
        </w:rPr>
        <w:t>تواصل البحرين نشر ثقافة المواطنة وحقوق الإنسان من خلال نشر الوعي الثقافي عبر وسائل الإعلام والمناهج التعليمية التي تتضمن قيماً ومفاهيم ومهارات ترتكز على الحرية واحترام التعددية والتعايش وتقبل الآخر والتسامح وغيرها. وفيما يخص مؤسسات التعليم العالي، فقد صدر قرار في سنة 2013 بإلزام المؤسسات التعليمية باعتماد مقرر حقوق الإنسان كمقرر إجباري في الخطط الدراسية كمتطلب لمرحلة البكالوريوس.</w:t>
      </w:r>
    </w:p>
    <w:p w:rsidR="009512B2" w:rsidRDefault="009512B2" w:rsidP="0019476F">
      <w:pPr>
        <w:pStyle w:val="SingleTxtGA"/>
        <w:rPr>
          <w:lang w:val="en-GB" w:bidi="ar-BH"/>
        </w:rPr>
      </w:pPr>
      <w:r>
        <w:rPr>
          <w:rFonts w:hint="cs"/>
          <w:rtl/>
        </w:rPr>
        <w:tab/>
        <w:t>(ب)</w:t>
      </w:r>
      <w:r>
        <w:rPr>
          <w:rFonts w:hint="cs"/>
          <w:rtl/>
        </w:rPr>
        <w:tab/>
      </w:r>
      <w:r w:rsidRPr="009512B2">
        <w:rPr>
          <w:rtl/>
          <w:lang w:bidi="ar-BH"/>
        </w:rPr>
        <w:t>114-49، 114-50، 114-51، 114-52، 114-125.</w:t>
      </w:r>
    </w:p>
    <w:p w:rsidR="009512B2" w:rsidRDefault="009512B2" w:rsidP="0019476F">
      <w:pPr>
        <w:pStyle w:val="SingleTxtGA"/>
        <w:rPr>
          <w:rtl/>
          <w:lang w:val="en-GB" w:bidi="ar-BH"/>
        </w:rPr>
      </w:pPr>
      <w:r>
        <w:rPr>
          <w:lang w:val="en-GB" w:bidi="ar-BH"/>
        </w:rPr>
        <w:tab/>
      </w:r>
      <w:r w:rsidRPr="009512B2">
        <w:rPr>
          <w:rtl/>
          <w:lang w:val="en-GB" w:bidi="ar-BH"/>
        </w:rPr>
        <w:t>تمتلك وزارة الداخلية سجلاً حافلاً بالإنجازات التدريبية لكافة منتسبيها فيما يتعلق باحترام حقوق الإنسان. كما تولي وزارة العدل بالتنسيق مع المجلس الأعلى للقضاء اهتماماً خاصاً لبرامج التدريب المتصلة بالمعايير الدولية لحقوق الانسان وكيفية تطبيقها وكيفية المحافظة على حقوق الانسان، وذلك بهدف الارتقاء بمهارات كافة أعضاء السلطة القضائية بما يضمن أفضل ممارسات العدالة.</w:t>
      </w:r>
    </w:p>
    <w:p w:rsidR="009512B2" w:rsidRDefault="009512B2" w:rsidP="009512B2">
      <w:pPr>
        <w:pStyle w:val="H23GA"/>
        <w:rPr>
          <w:b w:val="0"/>
          <w:lang w:val="en-GB"/>
        </w:rPr>
      </w:pPr>
      <w:r w:rsidRPr="00082126">
        <w:rPr>
          <w:rFonts w:hint="cs"/>
          <w:b w:val="0"/>
          <w:rtl/>
        </w:rPr>
        <w:tab/>
      </w:r>
      <w:r w:rsidRPr="00082126">
        <w:rPr>
          <w:rFonts w:hint="cs"/>
          <w:b w:val="0"/>
          <w:rtl/>
        </w:rPr>
        <w:tab/>
      </w:r>
      <w:r w:rsidRPr="009512B2">
        <w:rPr>
          <w:b w:val="0"/>
          <w:rtl/>
          <w:lang w:bidi="ar-BH"/>
        </w:rPr>
        <w:t>المرأة والمساواة بين الجنسين</w:t>
      </w:r>
    </w:p>
    <w:p w:rsidR="0019476F" w:rsidRDefault="0019476F" w:rsidP="0019476F">
      <w:pPr>
        <w:pStyle w:val="SingleTxtGA"/>
        <w:rPr>
          <w:rtl/>
          <w:lang w:val="fr-FR" w:bidi="ar-BH"/>
        </w:rPr>
      </w:pPr>
      <w:r>
        <w:rPr>
          <w:rtl/>
          <w:lang w:val="fr-FR" w:bidi="ar-EG"/>
        </w:rPr>
        <w:t>27</w:t>
      </w:r>
      <w:r w:rsidRPr="0019476F">
        <w:rPr>
          <w:rtl/>
          <w:lang w:val="fr-FR" w:bidi="ar-EG"/>
        </w:rPr>
        <w:t>-</w:t>
      </w:r>
      <w:r w:rsidRPr="0019476F">
        <w:rPr>
          <w:rtl/>
          <w:lang w:val="fr-FR" w:bidi="ar-EG"/>
        </w:rPr>
        <w:tab/>
      </w:r>
      <w:r w:rsidR="009512B2" w:rsidRPr="009512B2">
        <w:rPr>
          <w:rtl/>
          <w:lang w:val="fr-FR" w:bidi="ar-BH"/>
        </w:rPr>
        <w:t>تحظى التوصيات التالية بدعمنا:</w:t>
      </w:r>
    </w:p>
    <w:p w:rsidR="009512B2" w:rsidRDefault="009512B2" w:rsidP="0019476F">
      <w:pPr>
        <w:pStyle w:val="SingleTxtGA"/>
        <w:rPr>
          <w:rtl/>
          <w:lang w:val="fr-FR" w:bidi="ar-BH"/>
        </w:rPr>
      </w:pPr>
      <w:r>
        <w:rPr>
          <w:rtl/>
          <w:lang w:val="fr-FR" w:bidi="ar-BH"/>
        </w:rPr>
        <w:tab/>
      </w:r>
      <w:r w:rsidRPr="009512B2">
        <w:rPr>
          <w:rtl/>
          <w:lang w:val="fr-FR" w:bidi="ar-BH"/>
        </w:rPr>
        <w:t>114-73، 114-134، 114-135، 114-136، 114-137، 114-138، 114-139، 114-140، 114-141، 114-142، 114-143، 114-144، 114-145، 114-146، 114-147، 114-148، 114-155، 114-156، 114-157، 114-158.</w:t>
      </w:r>
    </w:p>
    <w:p w:rsidR="009512B2" w:rsidRDefault="009512B2" w:rsidP="0019476F">
      <w:pPr>
        <w:pStyle w:val="SingleTxtGA"/>
        <w:rPr>
          <w:rtl/>
          <w:lang w:val="fr-FR" w:bidi="ar-BH"/>
        </w:rPr>
      </w:pPr>
      <w:r>
        <w:rPr>
          <w:rtl/>
          <w:lang w:val="fr-FR" w:bidi="ar-BH"/>
        </w:rPr>
        <w:tab/>
      </w:r>
      <w:r w:rsidRPr="009512B2">
        <w:rPr>
          <w:rtl/>
          <w:lang w:val="fr-FR" w:bidi="ar-BH"/>
        </w:rPr>
        <w:t>الميادين السياسية والاجتماعية والثقافية والاقتصادية كما أوردتها المادة (5) فقرة (ب) من دستور مملكة البحرين. ويعمل المجلس الأعلى للمرأة منذ انشائه في سنة 2001 في إطار مؤسسي منظم وفقاً لاختصاصاته التي نص عليها الأمر السامي ومن أهمها تقديم الاقتراحات بتعديل التشريعات الحالية المتعلقة بالمرأة، وإبداء الرأي في مشروعات القوانين واللوائح والقرارات المتعلقة بها قبل عرضها على السلطة المختصة، والتوصية باقتراح مشروعات القوانين والقرارات اللازمة للنهوض بأوضاع المرأة و متابعة تطبيق القوانين والقرارات والاتفاقيات الدولية ذات الصلة بالمرأة.</w:t>
      </w:r>
    </w:p>
    <w:p w:rsidR="009512B2" w:rsidRDefault="009512B2" w:rsidP="009512B2">
      <w:pPr>
        <w:pStyle w:val="H23GA"/>
        <w:rPr>
          <w:b w:val="0"/>
          <w:lang w:val="en-GB"/>
        </w:rPr>
      </w:pPr>
      <w:r w:rsidRPr="00082126">
        <w:rPr>
          <w:rFonts w:hint="cs"/>
          <w:b w:val="0"/>
          <w:rtl/>
        </w:rPr>
        <w:tab/>
      </w:r>
      <w:r w:rsidRPr="00082126">
        <w:rPr>
          <w:rFonts w:hint="cs"/>
          <w:b w:val="0"/>
          <w:rtl/>
        </w:rPr>
        <w:tab/>
      </w:r>
      <w:r w:rsidRPr="009512B2">
        <w:rPr>
          <w:b w:val="0"/>
          <w:rtl/>
          <w:lang w:bidi="ar-BH"/>
        </w:rPr>
        <w:t>مكافحة التمييز العنصري والتعصب</w:t>
      </w:r>
    </w:p>
    <w:p w:rsidR="0019476F" w:rsidRDefault="0019476F" w:rsidP="0019476F">
      <w:pPr>
        <w:pStyle w:val="SingleTxtGA"/>
        <w:rPr>
          <w:rtl/>
          <w:lang w:val="fr-FR" w:bidi="ar-BH"/>
        </w:rPr>
      </w:pPr>
      <w:r>
        <w:rPr>
          <w:rtl/>
          <w:lang w:val="fr-FR" w:bidi="ar-EG"/>
        </w:rPr>
        <w:t>28</w:t>
      </w:r>
      <w:r w:rsidRPr="0019476F">
        <w:rPr>
          <w:rtl/>
          <w:lang w:val="fr-FR" w:bidi="ar-EG"/>
        </w:rPr>
        <w:t>-</w:t>
      </w:r>
      <w:r w:rsidRPr="0019476F">
        <w:rPr>
          <w:rtl/>
          <w:lang w:val="fr-FR" w:bidi="ar-EG"/>
        </w:rPr>
        <w:tab/>
      </w:r>
      <w:r w:rsidR="009512B2" w:rsidRPr="009512B2">
        <w:rPr>
          <w:rtl/>
          <w:lang w:val="fr-FR" w:bidi="ar-BH"/>
        </w:rPr>
        <w:t>تحظى التوصيات التالية بدعمنا:</w:t>
      </w:r>
    </w:p>
    <w:p w:rsidR="009512B2" w:rsidRDefault="009512B2" w:rsidP="0019476F">
      <w:pPr>
        <w:pStyle w:val="SingleTxtGA"/>
        <w:rPr>
          <w:rtl/>
          <w:lang w:val="fr-FR" w:bidi="ar-BH"/>
        </w:rPr>
      </w:pPr>
      <w:r>
        <w:rPr>
          <w:rtl/>
          <w:lang w:val="fr-FR" w:bidi="ar-BH"/>
        </w:rPr>
        <w:tab/>
      </w:r>
      <w:r w:rsidRPr="009512B2">
        <w:rPr>
          <w:rtl/>
          <w:lang w:val="fr-FR" w:bidi="ar-BH"/>
        </w:rPr>
        <w:t>114-62، 114-63.</w:t>
      </w:r>
    </w:p>
    <w:p w:rsidR="009512B2" w:rsidRDefault="009512B2" w:rsidP="0019476F">
      <w:pPr>
        <w:pStyle w:val="SingleTxtGA"/>
        <w:rPr>
          <w:rtl/>
          <w:lang w:val="fr-FR" w:bidi="ar-BH"/>
        </w:rPr>
      </w:pPr>
      <w:r>
        <w:rPr>
          <w:rtl/>
          <w:lang w:val="fr-FR" w:bidi="ar-BH"/>
        </w:rPr>
        <w:tab/>
      </w:r>
      <w:r w:rsidRPr="009512B2">
        <w:rPr>
          <w:rtl/>
          <w:lang w:val="fr-FR" w:bidi="ar-BH"/>
        </w:rPr>
        <w:t>تقوم البحرين على اتخاذ اجراءات تنفيذية وقضائية تحضر أي دعوات تحريضية على الطائفية والعنف والكراهية القومية أو الدينية أو العنصرية في شتى المجالات.</w:t>
      </w:r>
    </w:p>
    <w:p w:rsidR="009512B2" w:rsidRDefault="009512B2" w:rsidP="009512B2">
      <w:pPr>
        <w:pStyle w:val="H23GA"/>
        <w:rPr>
          <w:b w:val="0"/>
          <w:lang w:val="en-GB"/>
        </w:rPr>
      </w:pPr>
      <w:r w:rsidRPr="00082126">
        <w:rPr>
          <w:rFonts w:hint="cs"/>
          <w:b w:val="0"/>
          <w:rtl/>
        </w:rPr>
        <w:tab/>
      </w:r>
      <w:r w:rsidRPr="00082126">
        <w:rPr>
          <w:rFonts w:hint="cs"/>
          <w:b w:val="0"/>
          <w:rtl/>
        </w:rPr>
        <w:tab/>
      </w:r>
      <w:r w:rsidRPr="009512B2">
        <w:rPr>
          <w:b w:val="0"/>
          <w:rtl/>
          <w:lang w:bidi="ar-BH"/>
        </w:rPr>
        <w:t>التنمية المستدامة</w:t>
      </w:r>
    </w:p>
    <w:p w:rsidR="0019476F" w:rsidRDefault="0019476F" w:rsidP="0019476F">
      <w:pPr>
        <w:pStyle w:val="SingleTxtGA"/>
        <w:rPr>
          <w:rtl/>
          <w:lang w:val="fr-FR" w:bidi="ar-BH"/>
        </w:rPr>
      </w:pPr>
      <w:r>
        <w:rPr>
          <w:rtl/>
          <w:lang w:val="fr-FR" w:bidi="ar-EG"/>
        </w:rPr>
        <w:t>29</w:t>
      </w:r>
      <w:r w:rsidRPr="0019476F">
        <w:rPr>
          <w:rtl/>
          <w:lang w:val="fr-FR" w:bidi="ar-EG"/>
        </w:rPr>
        <w:t>-</w:t>
      </w:r>
      <w:r w:rsidRPr="0019476F">
        <w:rPr>
          <w:rtl/>
          <w:lang w:val="fr-FR" w:bidi="ar-EG"/>
        </w:rPr>
        <w:tab/>
      </w:r>
      <w:r w:rsidR="009512B2" w:rsidRPr="009512B2">
        <w:rPr>
          <w:rtl/>
          <w:lang w:val="fr-FR" w:bidi="ar-BH"/>
        </w:rPr>
        <w:t>تحظى التوصيات التالية بدعمنا:</w:t>
      </w:r>
    </w:p>
    <w:p w:rsidR="009512B2" w:rsidRDefault="009512B2" w:rsidP="0019476F">
      <w:pPr>
        <w:pStyle w:val="SingleTxtGA"/>
        <w:rPr>
          <w:rtl/>
          <w:lang w:val="en-GB" w:bidi="ar-BH"/>
        </w:rPr>
      </w:pPr>
      <w:r>
        <w:rPr>
          <w:rtl/>
          <w:lang w:val="en-GB" w:bidi="ar-BH"/>
        </w:rPr>
        <w:tab/>
      </w:r>
      <w:r w:rsidRPr="009512B2">
        <w:rPr>
          <w:rtl/>
          <w:lang w:val="en-GB" w:bidi="ar-BH"/>
        </w:rPr>
        <w:t>114-64، 114-65، 114-66، 114-67.</w:t>
      </w:r>
    </w:p>
    <w:p w:rsidR="009512B2" w:rsidRDefault="009512B2" w:rsidP="0019476F">
      <w:pPr>
        <w:pStyle w:val="SingleTxtGA"/>
        <w:rPr>
          <w:rtl/>
          <w:lang w:val="en-GB" w:bidi="ar-BH"/>
        </w:rPr>
      </w:pPr>
      <w:r>
        <w:rPr>
          <w:rtl/>
          <w:lang w:val="en-GB" w:bidi="ar-BH"/>
        </w:rPr>
        <w:tab/>
      </w:r>
      <w:r w:rsidRPr="009512B2">
        <w:rPr>
          <w:rtl/>
          <w:lang w:val="en-GB" w:bidi="ar-BH"/>
        </w:rPr>
        <w:t>تتخذ البحرين العديد من الخطوات لتبني أهداف التنمية المستدامة 2030 منها القيام بخطوات هامة لتنويع اقتصادها لزيادة الانتاجية ورفع مستويات المعيشة وتوفير فرص العمل للمواطنين.</w:t>
      </w:r>
    </w:p>
    <w:p w:rsidR="009512B2" w:rsidRDefault="009512B2" w:rsidP="009512B2">
      <w:pPr>
        <w:pStyle w:val="H23GA"/>
        <w:rPr>
          <w:b w:val="0"/>
          <w:lang w:val="en-GB"/>
        </w:rPr>
      </w:pPr>
      <w:r w:rsidRPr="00082126">
        <w:rPr>
          <w:rFonts w:hint="cs"/>
          <w:b w:val="0"/>
          <w:rtl/>
        </w:rPr>
        <w:tab/>
      </w:r>
      <w:r w:rsidRPr="00082126">
        <w:rPr>
          <w:rFonts w:hint="cs"/>
          <w:b w:val="0"/>
          <w:rtl/>
        </w:rPr>
        <w:tab/>
      </w:r>
      <w:r w:rsidRPr="009512B2">
        <w:rPr>
          <w:b w:val="0"/>
          <w:rtl/>
          <w:lang w:bidi="ar-BH"/>
        </w:rPr>
        <w:t>مكافحة الارهاب</w:t>
      </w:r>
    </w:p>
    <w:p w:rsidR="0019476F" w:rsidRDefault="0019476F" w:rsidP="0019476F">
      <w:pPr>
        <w:pStyle w:val="SingleTxtGA"/>
        <w:rPr>
          <w:rtl/>
          <w:lang w:val="fr-FR" w:bidi="ar-BH"/>
        </w:rPr>
      </w:pPr>
      <w:r>
        <w:rPr>
          <w:rtl/>
          <w:lang w:val="fr-FR" w:bidi="ar-EG"/>
        </w:rPr>
        <w:t>30</w:t>
      </w:r>
      <w:r w:rsidRPr="0019476F">
        <w:rPr>
          <w:rtl/>
          <w:lang w:val="fr-FR" w:bidi="ar-EG"/>
        </w:rPr>
        <w:t>-</w:t>
      </w:r>
      <w:r w:rsidRPr="0019476F">
        <w:rPr>
          <w:rtl/>
          <w:lang w:val="fr-FR" w:bidi="ar-EG"/>
        </w:rPr>
        <w:tab/>
      </w:r>
      <w:r w:rsidR="009512B2" w:rsidRPr="009512B2">
        <w:rPr>
          <w:rtl/>
          <w:lang w:val="fr-FR" w:bidi="ar-BH"/>
        </w:rPr>
        <w:t>تحظى التوصيات التالية بدعمنا:</w:t>
      </w:r>
    </w:p>
    <w:p w:rsidR="009512B2" w:rsidRPr="0019476F" w:rsidRDefault="009512B2" w:rsidP="0019476F">
      <w:pPr>
        <w:pStyle w:val="SingleTxtGA"/>
        <w:rPr>
          <w:lang w:val="en-GB" w:bidi="ar-BH"/>
        </w:rPr>
      </w:pPr>
      <w:r>
        <w:rPr>
          <w:rtl/>
          <w:lang w:val="en-GB" w:bidi="ar-BH"/>
        </w:rPr>
        <w:tab/>
      </w:r>
      <w:r w:rsidRPr="009512B2">
        <w:rPr>
          <w:rtl/>
          <w:lang w:val="en-GB" w:bidi="ar-BH"/>
        </w:rPr>
        <w:t>114-69، 114-72.</w:t>
      </w:r>
    </w:p>
    <w:p w:rsidR="0019476F" w:rsidRDefault="0019476F" w:rsidP="0019476F">
      <w:pPr>
        <w:pStyle w:val="SingleTxtGA"/>
        <w:rPr>
          <w:rtl/>
          <w:lang w:val="fr-FR" w:bidi="ar-BH"/>
        </w:rPr>
      </w:pPr>
      <w:r>
        <w:rPr>
          <w:rtl/>
          <w:lang w:val="fr-FR" w:bidi="ar-EG"/>
        </w:rPr>
        <w:t>31</w:t>
      </w:r>
      <w:r w:rsidRPr="0019476F">
        <w:rPr>
          <w:rtl/>
          <w:lang w:val="fr-FR" w:bidi="ar-EG"/>
        </w:rPr>
        <w:t>-</w:t>
      </w:r>
      <w:r w:rsidRPr="0019476F">
        <w:rPr>
          <w:rtl/>
          <w:lang w:val="fr-FR" w:bidi="ar-EG"/>
        </w:rPr>
        <w:tab/>
      </w:r>
      <w:r w:rsidR="00ED2F89" w:rsidRPr="00ED2F89">
        <w:rPr>
          <w:rtl/>
          <w:lang w:val="fr-FR" w:bidi="ar-BH"/>
        </w:rPr>
        <w:t>وتحظى التوصيات التالية بأخذ العلم:</w:t>
      </w:r>
    </w:p>
    <w:p w:rsidR="00ED2F89" w:rsidRDefault="00ED2F89" w:rsidP="0019476F">
      <w:pPr>
        <w:pStyle w:val="SingleTxtGA"/>
        <w:rPr>
          <w:rtl/>
          <w:lang w:val="fr-FR" w:bidi="ar-BH"/>
        </w:rPr>
      </w:pPr>
      <w:r>
        <w:rPr>
          <w:rtl/>
          <w:lang w:val="fr-FR" w:bidi="ar-BH"/>
        </w:rPr>
        <w:tab/>
      </w:r>
      <w:r w:rsidRPr="00ED2F89">
        <w:rPr>
          <w:rtl/>
          <w:lang w:val="fr-FR" w:bidi="ar-BH"/>
        </w:rPr>
        <w:t>114-68.</w:t>
      </w:r>
    </w:p>
    <w:p w:rsidR="00ED2F89" w:rsidRDefault="00ED2F89" w:rsidP="0019476F">
      <w:pPr>
        <w:pStyle w:val="SingleTxtGA"/>
        <w:rPr>
          <w:rtl/>
          <w:lang w:val="fr-FR" w:bidi="ar-BH"/>
        </w:rPr>
      </w:pPr>
      <w:r>
        <w:rPr>
          <w:rtl/>
          <w:lang w:val="fr-FR" w:bidi="ar-BH"/>
        </w:rPr>
        <w:tab/>
      </w:r>
      <w:r w:rsidRPr="00ED2F89">
        <w:rPr>
          <w:rtl/>
          <w:lang w:val="fr-FR" w:bidi="ar-BH"/>
        </w:rPr>
        <w:t>إن جميع المحاكم المدنية منها والعسكرية جلساتها علنية، ولديها محاكم استئناف ومحاكم تمييز فضلاً عن ان جميع ضمانات المتهمين مصانة وفقاً للتشريعات الوطنية والدستور. إن التوسع في العمليات العسكرية داخل وخارج البلاد والتهديد المتزايد للإرهاب الذي أصبح خطراً بارزاً على استقرار المنطقة بأسرها، يستلزم التوسع في نطاق الولاية القضائية للمحاكم العسكرية، ولكون المادة (105) من الدستور تسمح بهذا التوسع فقط عند إعلان الأحكام العرفية، الأمر الذي بناء عليه تم تعديل هذه المادة لتسمح بتوسيع هذه الولاية بقانون، ودون اللجوء إلى إعلان الأحكام العرفية ووقف العمل بالدستور، وهذا التوسع في نطاق الاختصاص يتيح محاكمة الميليشيات المقاتلة غير المشروعة والذين يرتكبون أعمال العنف المسلح ضد أمتنا.</w:t>
      </w:r>
    </w:p>
    <w:p w:rsidR="00ED2F89" w:rsidRDefault="00ED2F89" w:rsidP="00ED2F89">
      <w:pPr>
        <w:pStyle w:val="H23GA"/>
        <w:rPr>
          <w:b w:val="0"/>
          <w:lang w:val="en-GB"/>
        </w:rPr>
      </w:pPr>
      <w:r w:rsidRPr="00082126">
        <w:rPr>
          <w:rFonts w:hint="cs"/>
          <w:b w:val="0"/>
          <w:rtl/>
        </w:rPr>
        <w:tab/>
      </w:r>
      <w:r w:rsidRPr="00082126">
        <w:rPr>
          <w:rFonts w:hint="cs"/>
          <w:b w:val="0"/>
          <w:rtl/>
        </w:rPr>
        <w:tab/>
      </w:r>
      <w:r w:rsidRPr="00ED2F89">
        <w:rPr>
          <w:b w:val="0"/>
          <w:rtl/>
          <w:lang w:bidi="ar-BH"/>
        </w:rPr>
        <w:t>المدافعين عن حقوق الإنسان والمنظمات الغير حكومية</w:t>
      </w:r>
    </w:p>
    <w:p w:rsidR="0019476F" w:rsidRDefault="0019476F" w:rsidP="0019476F">
      <w:pPr>
        <w:pStyle w:val="SingleTxtGA"/>
        <w:rPr>
          <w:rtl/>
          <w:lang w:val="fr-FR" w:bidi="ar-BH"/>
        </w:rPr>
      </w:pPr>
      <w:r>
        <w:rPr>
          <w:rtl/>
          <w:lang w:val="fr-FR" w:bidi="ar-EG"/>
        </w:rPr>
        <w:t>32</w:t>
      </w:r>
      <w:r w:rsidRPr="0019476F">
        <w:rPr>
          <w:rtl/>
          <w:lang w:val="fr-FR" w:bidi="ar-EG"/>
        </w:rPr>
        <w:t>-</w:t>
      </w:r>
      <w:r w:rsidRPr="0019476F">
        <w:rPr>
          <w:rtl/>
          <w:lang w:val="fr-FR" w:bidi="ar-EG"/>
        </w:rPr>
        <w:tab/>
      </w:r>
      <w:r w:rsidR="00ED2F89" w:rsidRPr="00ED2F89">
        <w:rPr>
          <w:rtl/>
          <w:lang w:val="fr-FR" w:bidi="ar-BH"/>
        </w:rPr>
        <w:t>تحظى التوصيات التالية بدعمنا:</w:t>
      </w:r>
    </w:p>
    <w:p w:rsidR="00ED2F89" w:rsidRDefault="00ED2F89" w:rsidP="0019476F">
      <w:pPr>
        <w:pStyle w:val="SingleTxtGA"/>
        <w:rPr>
          <w:rtl/>
          <w:lang w:val="fr-FR" w:bidi="ar-BH"/>
        </w:rPr>
      </w:pPr>
      <w:r>
        <w:rPr>
          <w:rtl/>
          <w:lang w:val="fr-FR" w:bidi="ar-BH"/>
        </w:rPr>
        <w:tab/>
      </w:r>
      <w:r w:rsidRPr="00ED2F89">
        <w:rPr>
          <w:rtl/>
          <w:lang w:val="fr-FR" w:bidi="ar-BH"/>
        </w:rPr>
        <w:t>114-57، 114-70، 114-97، 114-98، 114-99، 114-119، 114-124.</w:t>
      </w:r>
    </w:p>
    <w:p w:rsidR="00ED2F89" w:rsidRDefault="00ED2F89" w:rsidP="0019476F">
      <w:pPr>
        <w:pStyle w:val="SingleTxtGA"/>
        <w:rPr>
          <w:rtl/>
          <w:lang w:val="fr-FR" w:bidi="ar-BH"/>
        </w:rPr>
      </w:pPr>
      <w:r>
        <w:rPr>
          <w:rtl/>
          <w:lang w:val="fr-FR" w:bidi="ar-BH"/>
        </w:rPr>
        <w:tab/>
      </w:r>
      <w:r w:rsidRPr="00ED2F89">
        <w:rPr>
          <w:rtl/>
          <w:lang w:val="fr-FR" w:bidi="ar-BH"/>
        </w:rPr>
        <w:t>إن حرية الرأي والتعبير مكفولة في الدستور والتشريعات الوطنية وفي جميع وسائل الإعلام دون قيود سوى الضوابط المهنية والأخلاقية المنصوص عليها في الدستور والقانون والمواثيق الصحفية والإعلامية المحلية والدولية والتي تحظر أي دعوات مثيرة للطائفية أو الكراهية الدينية أو العرقية أو المذهبية أو من شأنها تهديد الأمن القومي والنظام العام أو التعدي على حقوق الآخرين وسمعتهم وكرامتهم أو مخالفة الآداب العامة أو انتهاك أي من مبادئ حقوق الإنسان. كما لم تتخذ الجهات المعنية في البحرين أية إجراءات جنائية ضد أي شخص طبيعي أو اعتباري بسبب ممارسة نشاطاً سياسياً أو حقوقياً أو اجتماعياً عاماً، ويتم التقيد في مجال المساءلة الجنائية بأحكام القانون ومن ثم لا تسند لأحد اتهام إلا إذا وقع منه ما يشكل صراحة جريمة في القانون.</w:t>
      </w:r>
    </w:p>
    <w:p w:rsidR="00216B5C" w:rsidRDefault="00216B5C" w:rsidP="00216B5C">
      <w:pPr>
        <w:pStyle w:val="H23GA"/>
        <w:rPr>
          <w:b w:val="0"/>
          <w:lang w:val="en-GB"/>
        </w:rPr>
      </w:pPr>
      <w:r w:rsidRPr="00082126">
        <w:rPr>
          <w:rFonts w:hint="cs"/>
          <w:b w:val="0"/>
          <w:rtl/>
        </w:rPr>
        <w:tab/>
      </w:r>
      <w:r w:rsidRPr="00082126">
        <w:rPr>
          <w:rFonts w:hint="cs"/>
          <w:b w:val="0"/>
          <w:rtl/>
        </w:rPr>
        <w:tab/>
      </w:r>
      <w:r w:rsidRPr="00216B5C">
        <w:rPr>
          <w:b w:val="0"/>
          <w:rtl/>
          <w:lang w:bidi="ar-BH"/>
        </w:rPr>
        <w:t>حرية الرأي والتعبير وتكوين الجمعيات السياسية</w:t>
      </w:r>
    </w:p>
    <w:p w:rsidR="0019476F" w:rsidRDefault="0019476F" w:rsidP="0019476F">
      <w:pPr>
        <w:pStyle w:val="SingleTxtGA"/>
        <w:rPr>
          <w:rtl/>
          <w:lang w:val="fr-FR" w:bidi="ar-BH"/>
        </w:rPr>
      </w:pPr>
      <w:r>
        <w:rPr>
          <w:rtl/>
          <w:lang w:val="fr-FR" w:bidi="ar-EG"/>
        </w:rPr>
        <w:t>33</w:t>
      </w:r>
      <w:r w:rsidRPr="0019476F">
        <w:rPr>
          <w:rtl/>
          <w:lang w:val="fr-FR" w:bidi="ar-EG"/>
        </w:rPr>
        <w:t>-</w:t>
      </w:r>
      <w:r w:rsidRPr="0019476F">
        <w:rPr>
          <w:rtl/>
          <w:lang w:val="fr-FR" w:bidi="ar-EG"/>
        </w:rPr>
        <w:tab/>
      </w:r>
      <w:r w:rsidR="00216B5C" w:rsidRPr="00216B5C">
        <w:rPr>
          <w:rtl/>
          <w:lang w:val="fr-FR" w:bidi="ar-BH"/>
        </w:rPr>
        <w:t>تحظى التوصيات التالية بدعمنا:</w:t>
      </w:r>
    </w:p>
    <w:p w:rsidR="00216B5C" w:rsidRDefault="00216B5C" w:rsidP="0019476F">
      <w:pPr>
        <w:pStyle w:val="SingleTxtGA"/>
        <w:rPr>
          <w:rtl/>
          <w:lang w:val="fr-FR" w:bidi="ar-BH"/>
        </w:rPr>
      </w:pPr>
      <w:r w:rsidRPr="00923D56">
        <w:rPr>
          <w:rFonts w:hint="cs"/>
          <w:rtl/>
          <w:lang w:val="fr-FR"/>
        </w:rPr>
        <w:tab/>
        <w:t>(أ)</w:t>
      </w:r>
      <w:r>
        <w:rPr>
          <w:rtl/>
          <w:lang w:val="fr-FR"/>
        </w:rPr>
        <w:tab/>
      </w:r>
      <w:r w:rsidRPr="00216B5C">
        <w:rPr>
          <w:rtl/>
          <w:lang w:val="fr-FR" w:bidi="ar-BH"/>
        </w:rPr>
        <w:t>114-96، 114-101، 114-109، 114-115، 114-116، 114-122، 114-123.</w:t>
      </w:r>
    </w:p>
    <w:p w:rsidR="00216B5C" w:rsidRDefault="00216B5C" w:rsidP="0019476F">
      <w:pPr>
        <w:pStyle w:val="SingleTxtGA"/>
        <w:rPr>
          <w:rtl/>
          <w:lang w:val="fr-FR"/>
        </w:rPr>
      </w:pPr>
      <w:r>
        <w:rPr>
          <w:rtl/>
          <w:lang w:val="fr-FR" w:bidi="ar-BH"/>
        </w:rPr>
        <w:tab/>
      </w:r>
      <w:r w:rsidRPr="00216B5C">
        <w:rPr>
          <w:rtl/>
          <w:lang w:val="fr-FR" w:bidi="ar-BH"/>
        </w:rPr>
        <w:t>تتخذ البحرين كافة السبل والامكانيات لتعزيز مبدأ احترام القانون والمحافظة على أسس المواطنة المبنية على التعايش والتسامح واحترام الآخر، وتوفير بيئة ديمقراطية ملائمة للعمل السياسي، وأن حل الجمعيات السياسية لا يتم إلا من خلال القضاء والأحكام القضائية، وإن ما تقوم به هذه الجهات من ممارسات تستهدف المبادئ والاسس الراسخة بالدولة وهو ما بينته الأحكام الصادرة بحق الجهات التي تم حلها، حيث جاء فيها بأن تلك الجهات دأبت على الطعن في شرعية الدستور، وقامت بتأييد العنف وتضامنت مع محكومين في قضايا تحريض على كراهية نظام الحكم والدعوة إلى اسقاطه وإهانة القضاء، كما قامت أخرى بدعم الإرهاب وتغطية العنف من خلال تمجيدها محكومين في قضايا تفجيرات وقتل إرهابي نتج عنها استشهاد رجال أمن، وتأييد جهات أُدينت قضائياً بالتحريض على العنف.</w:t>
      </w:r>
    </w:p>
    <w:p w:rsidR="00216B5C" w:rsidRDefault="00216B5C" w:rsidP="0019476F">
      <w:pPr>
        <w:pStyle w:val="SingleTxtGA"/>
        <w:rPr>
          <w:lang w:val="en-GB" w:bidi="ar-BH"/>
        </w:rPr>
      </w:pPr>
      <w:r>
        <w:rPr>
          <w:rFonts w:hint="cs"/>
          <w:rtl/>
        </w:rPr>
        <w:tab/>
        <w:t>(ب)</w:t>
      </w:r>
      <w:r>
        <w:rPr>
          <w:rFonts w:hint="cs"/>
          <w:rtl/>
        </w:rPr>
        <w:tab/>
      </w:r>
      <w:r w:rsidRPr="00216B5C">
        <w:rPr>
          <w:rtl/>
          <w:lang w:bidi="ar-BH"/>
        </w:rPr>
        <w:t>114-104، 114-107.</w:t>
      </w:r>
    </w:p>
    <w:p w:rsidR="00216B5C" w:rsidRPr="00216B5C" w:rsidRDefault="00216B5C" w:rsidP="0019476F">
      <w:pPr>
        <w:pStyle w:val="SingleTxtGA"/>
        <w:rPr>
          <w:lang w:val="en-GB"/>
        </w:rPr>
      </w:pPr>
      <w:r>
        <w:rPr>
          <w:lang w:val="en-GB" w:bidi="ar-BH"/>
        </w:rPr>
        <w:tab/>
      </w:r>
      <w:r w:rsidRPr="00216B5C">
        <w:rPr>
          <w:rtl/>
          <w:lang w:val="en-GB" w:bidi="ar-BH"/>
        </w:rPr>
        <w:t>جار الانتهاء من المراحل الأخيرة لصياغة مشروع قانون الصحافة والإعلام الإلكتروني، بمشاركة الشركاء المحلين من المؤسسات الصحفية ومؤسسات المجتمع المدني ذات العلاقة، ويعزز حرية واستقلالية الصحف ومؤسسات الإعلام الإلكتروني، بما يتوافق مع القواعد الدولية، لاسيما العهد الدولي الخاص بالحقوق المدنية والسياسية، ويحظر أي دعوات إلى العنف أو الكراهية أو تهديد الأمن القومي والنظام العام أو التعدي على حقوق الآخرين وسمعتهم وكرامتهم أو مخالفة الآداب العامة.</w:t>
      </w:r>
    </w:p>
    <w:p w:rsidR="00216B5C" w:rsidRDefault="00216B5C" w:rsidP="0019476F">
      <w:pPr>
        <w:pStyle w:val="SingleTxtGA"/>
        <w:rPr>
          <w:rtl/>
          <w:lang w:val="en-GB" w:bidi="ar-BH"/>
        </w:rPr>
      </w:pPr>
      <w:r w:rsidRPr="00BF23EE">
        <w:rPr>
          <w:rFonts w:hint="cs"/>
          <w:rtl/>
          <w:lang w:val="en-GB"/>
        </w:rPr>
        <w:tab/>
        <w:t>(ج)</w:t>
      </w:r>
      <w:r w:rsidRPr="00BF23EE">
        <w:rPr>
          <w:rFonts w:hint="cs"/>
          <w:rtl/>
          <w:lang w:val="en-GB"/>
        </w:rPr>
        <w:tab/>
      </w:r>
      <w:r w:rsidRPr="00216B5C">
        <w:rPr>
          <w:rtl/>
          <w:lang w:val="en-GB" w:bidi="ar-BH"/>
        </w:rPr>
        <w:t>114-</w:t>
      </w:r>
      <w:r w:rsidRPr="00ED2F89">
        <w:rPr>
          <w:rtl/>
          <w:lang w:val="fr-FR" w:bidi="ar-BH"/>
        </w:rPr>
        <w:t>11</w:t>
      </w:r>
      <w:r>
        <w:rPr>
          <w:rtl/>
          <w:lang w:val="fr-FR" w:bidi="ar-BH"/>
        </w:rPr>
        <w:t>3</w:t>
      </w:r>
      <w:r w:rsidRPr="00216B5C">
        <w:rPr>
          <w:rtl/>
          <w:lang w:val="en-GB" w:bidi="ar-BH"/>
        </w:rPr>
        <w:t>، 114-114،114-117، 114-118.</w:t>
      </w:r>
    </w:p>
    <w:p w:rsidR="00216B5C" w:rsidRPr="00216B5C" w:rsidRDefault="00216B5C" w:rsidP="00216B5C">
      <w:pPr>
        <w:pStyle w:val="SingleTxtGA"/>
        <w:rPr>
          <w:rtl/>
          <w:lang w:val="en-GB" w:bidi="ar-BH"/>
        </w:rPr>
      </w:pPr>
      <w:r>
        <w:rPr>
          <w:rtl/>
          <w:lang w:val="en-GB" w:bidi="ar-BH"/>
        </w:rPr>
        <w:tab/>
      </w:r>
      <w:r w:rsidRPr="00216B5C">
        <w:rPr>
          <w:rtl/>
          <w:lang w:val="en-GB" w:bidi="ar-BH"/>
        </w:rPr>
        <w:t>يضمن المرسوم بقانون رقم (47) لسنة 2002 حق الصحفيين في ممارسة دورهم دون رقابة مسبقة ويضمن تكافؤ الفرص والحصول على المعلومات والأخبار من مصادرها ونشرها ويحظر فرض أي قيود على تدفق هذه المعلومات أو إجبار الصحفي على الإفشاء عن مصادر معلوماته ويجرم التعرض الشخصي بالسب أو بالقذف وتشويه السمعة أو التحريض على ارتكاب الجرائم. وتجدر الإشارة الى أنه لم يتم حبس أو سجن أي صحفي يمارس دوره في إطار القانون والتشريعات ذات العلاقة.</w:t>
      </w:r>
    </w:p>
    <w:p w:rsidR="0019476F" w:rsidRDefault="0019476F" w:rsidP="0019476F">
      <w:pPr>
        <w:pStyle w:val="SingleTxtGA"/>
        <w:rPr>
          <w:rtl/>
          <w:lang w:val="fr-FR" w:bidi="ar-BH"/>
        </w:rPr>
      </w:pPr>
      <w:r>
        <w:rPr>
          <w:rtl/>
          <w:lang w:val="fr-FR" w:bidi="ar-EG"/>
        </w:rPr>
        <w:t>34</w:t>
      </w:r>
      <w:r w:rsidRPr="0019476F">
        <w:rPr>
          <w:rtl/>
          <w:lang w:val="fr-FR" w:bidi="ar-EG"/>
        </w:rPr>
        <w:t>-</w:t>
      </w:r>
      <w:r w:rsidRPr="0019476F">
        <w:rPr>
          <w:rtl/>
          <w:lang w:val="fr-FR" w:bidi="ar-EG"/>
        </w:rPr>
        <w:tab/>
      </w:r>
      <w:r w:rsidR="00216B5C" w:rsidRPr="00216B5C">
        <w:rPr>
          <w:rtl/>
          <w:lang w:val="fr-FR" w:bidi="ar-BH"/>
        </w:rPr>
        <w:t>ونأخذ العلم بالتوصية التالية:</w:t>
      </w:r>
    </w:p>
    <w:p w:rsidR="00216B5C" w:rsidRDefault="00216B5C" w:rsidP="0019476F">
      <w:pPr>
        <w:pStyle w:val="SingleTxtGA"/>
        <w:rPr>
          <w:rtl/>
          <w:lang w:val="fr-FR" w:bidi="ar-BH"/>
        </w:rPr>
      </w:pPr>
      <w:r>
        <w:rPr>
          <w:rtl/>
          <w:lang w:val="fr-FR" w:bidi="ar-BH"/>
        </w:rPr>
        <w:tab/>
      </w:r>
      <w:r w:rsidRPr="00216B5C">
        <w:rPr>
          <w:rtl/>
          <w:lang w:val="fr-FR" w:bidi="ar-BH"/>
        </w:rPr>
        <w:t>114-121.</w:t>
      </w:r>
    </w:p>
    <w:p w:rsidR="00216B5C" w:rsidRDefault="00216B5C" w:rsidP="00216B5C">
      <w:pPr>
        <w:pStyle w:val="H23GA"/>
        <w:rPr>
          <w:b w:val="0"/>
          <w:lang w:val="en-GB"/>
        </w:rPr>
      </w:pPr>
      <w:r w:rsidRPr="00082126">
        <w:rPr>
          <w:rFonts w:hint="cs"/>
          <w:b w:val="0"/>
          <w:rtl/>
        </w:rPr>
        <w:tab/>
      </w:r>
      <w:r w:rsidRPr="00082126">
        <w:rPr>
          <w:rFonts w:hint="cs"/>
          <w:b w:val="0"/>
          <w:rtl/>
        </w:rPr>
        <w:tab/>
      </w:r>
      <w:r w:rsidRPr="00216B5C">
        <w:rPr>
          <w:b w:val="0"/>
          <w:rtl/>
          <w:lang w:bidi="ar-BH"/>
        </w:rPr>
        <w:t>عقوبة الإعدام</w:t>
      </w:r>
    </w:p>
    <w:p w:rsidR="0019476F" w:rsidRDefault="0019476F" w:rsidP="0019476F">
      <w:pPr>
        <w:pStyle w:val="SingleTxtGA"/>
        <w:rPr>
          <w:rtl/>
          <w:lang w:val="fr-FR" w:bidi="ar-BH"/>
        </w:rPr>
      </w:pPr>
      <w:r>
        <w:rPr>
          <w:rtl/>
          <w:lang w:val="fr-FR" w:bidi="ar-EG"/>
        </w:rPr>
        <w:t>35</w:t>
      </w:r>
      <w:r w:rsidRPr="0019476F">
        <w:rPr>
          <w:rtl/>
          <w:lang w:val="fr-FR" w:bidi="ar-EG"/>
        </w:rPr>
        <w:t>-</w:t>
      </w:r>
      <w:r w:rsidRPr="0019476F">
        <w:rPr>
          <w:rtl/>
          <w:lang w:val="fr-FR" w:bidi="ar-EG"/>
        </w:rPr>
        <w:tab/>
      </w:r>
      <w:r w:rsidR="00216B5C" w:rsidRPr="00216B5C">
        <w:rPr>
          <w:rtl/>
          <w:lang w:val="fr-FR" w:bidi="ar-BH"/>
        </w:rPr>
        <w:t>تحظى التوصية التالية بدعمنا:</w:t>
      </w:r>
    </w:p>
    <w:p w:rsidR="00216B5C" w:rsidRDefault="00216B5C" w:rsidP="0019476F">
      <w:pPr>
        <w:pStyle w:val="SingleTxtGA"/>
        <w:rPr>
          <w:rtl/>
          <w:lang w:val="fr-FR" w:bidi="ar-BH"/>
        </w:rPr>
      </w:pPr>
      <w:r>
        <w:rPr>
          <w:rtl/>
          <w:lang w:val="fr-FR" w:bidi="ar-BH"/>
        </w:rPr>
        <w:tab/>
      </w:r>
      <w:r w:rsidRPr="00216B5C">
        <w:rPr>
          <w:rtl/>
          <w:lang w:val="fr-FR" w:bidi="ar-BH"/>
        </w:rPr>
        <w:t>114-78.</w:t>
      </w:r>
    </w:p>
    <w:p w:rsidR="00216B5C" w:rsidRPr="0019476F" w:rsidRDefault="00216B5C" w:rsidP="0019476F">
      <w:pPr>
        <w:pStyle w:val="SingleTxtGA"/>
        <w:rPr>
          <w:lang w:val="en-GB" w:bidi="ar-BH"/>
        </w:rPr>
      </w:pPr>
      <w:r>
        <w:rPr>
          <w:rtl/>
          <w:lang w:val="fr-FR" w:bidi="ar-BH"/>
        </w:rPr>
        <w:tab/>
      </w:r>
      <w:r w:rsidRPr="00216B5C">
        <w:rPr>
          <w:rtl/>
          <w:lang w:val="fr-FR" w:bidi="ar-BH"/>
        </w:rPr>
        <w:t>تُفرض هذه العقوبة على عدد صغير ومحدود من الجرائم الجنائية، وينص قانون العقوبات على إمكانية تخفيف عقوبة الإعدام في حالة الحكم بها إلى الحكم بالسجن المؤبد أو السجن لفترة أقل إذا ارتُكبت الجريمة في ظروف تستحق تخفيف العقوبة.</w:t>
      </w:r>
    </w:p>
    <w:p w:rsidR="0019476F" w:rsidRDefault="00216B5C" w:rsidP="0019476F">
      <w:pPr>
        <w:pStyle w:val="SingleTxtGA"/>
        <w:rPr>
          <w:rtl/>
          <w:lang w:val="fr-FR" w:bidi="ar-BH"/>
        </w:rPr>
      </w:pPr>
      <w:r>
        <w:rPr>
          <w:rtl/>
          <w:lang w:val="fr-FR" w:bidi="ar-EG"/>
        </w:rPr>
        <w:t>36</w:t>
      </w:r>
      <w:r w:rsidRPr="0019476F">
        <w:rPr>
          <w:rtl/>
          <w:lang w:val="fr-FR" w:bidi="ar-EG"/>
        </w:rPr>
        <w:t>-</w:t>
      </w:r>
      <w:r w:rsidRPr="0019476F">
        <w:rPr>
          <w:rtl/>
          <w:lang w:val="fr-FR" w:bidi="ar-EG"/>
        </w:rPr>
        <w:tab/>
      </w:r>
      <w:r w:rsidRPr="00216B5C">
        <w:rPr>
          <w:rtl/>
          <w:lang w:val="fr-FR" w:bidi="ar-BH"/>
        </w:rPr>
        <w:t>ونأخذ العلم بالتوصيات التالية:</w:t>
      </w:r>
    </w:p>
    <w:p w:rsidR="00216B5C" w:rsidRDefault="00216B5C" w:rsidP="0019476F">
      <w:pPr>
        <w:pStyle w:val="SingleTxtGA"/>
        <w:rPr>
          <w:rtl/>
          <w:lang w:val="fr-FR" w:bidi="ar-BH"/>
        </w:rPr>
      </w:pPr>
      <w:r>
        <w:rPr>
          <w:rtl/>
          <w:lang w:val="fr-FR" w:bidi="ar-BH"/>
        </w:rPr>
        <w:tab/>
      </w:r>
      <w:r w:rsidRPr="00216B5C">
        <w:rPr>
          <w:rtl/>
          <w:lang w:val="fr-FR" w:bidi="ar-BH"/>
        </w:rPr>
        <w:t>114-74، 114-75، 114-76، 114-77.</w:t>
      </w:r>
    </w:p>
    <w:p w:rsidR="00216B5C" w:rsidRPr="0019476F" w:rsidRDefault="00216B5C" w:rsidP="0019476F">
      <w:pPr>
        <w:pStyle w:val="SingleTxtGA"/>
        <w:rPr>
          <w:lang w:val="en-GB" w:bidi="ar-BH"/>
        </w:rPr>
      </w:pPr>
      <w:r>
        <w:rPr>
          <w:rtl/>
          <w:lang w:val="fr-FR" w:bidi="ar-BH"/>
        </w:rPr>
        <w:tab/>
      </w:r>
      <w:r w:rsidRPr="00216B5C">
        <w:rPr>
          <w:rtl/>
          <w:lang w:val="fr-FR" w:bidi="ar-BH"/>
        </w:rPr>
        <w:t>يرجى الرجوع للرد على التوصيات 114-2، 114-3.</w:t>
      </w:r>
    </w:p>
    <w:p w:rsidR="006B6DDF" w:rsidRPr="006B6DDF" w:rsidRDefault="006B6DDF" w:rsidP="006B6DDF">
      <w:pPr>
        <w:pStyle w:val="SingleTxt"/>
        <w:suppressAutoHyphens/>
        <w:spacing w:before="240" w:after="0" w:line="240" w:lineRule="atLeast"/>
        <w:ind w:left="1134" w:right="1134"/>
        <w:jc w:val="center"/>
        <w:rPr>
          <w:u w:val="single"/>
          <w:lang w:val="en-GB"/>
        </w:rPr>
      </w:pPr>
      <w:r>
        <w:rPr>
          <w:u w:val="single"/>
          <w:lang w:val="en-GB" w:bidi="ar-EG"/>
        </w:rPr>
        <w:tab/>
      </w:r>
      <w:r>
        <w:rPr>
          <w:u w:val="single"/>
          <w:lang w:val="en-GB" w:bidi="ar-EG"/>
        </w:rPr>
        <w:tab/>
      </w:r>
      <w:r>
        <w:rPr>
          <w:u w:val="single"/>
          <w:lang w:val="en-GB" w:bidi="ar-EG"/>
        </w:rPr>
        <w:tab/>
      </w:r>
    </w:p>
    <w:sectPr w:rsidR="006B6DDF" w:rsidRPr="006B6DDF" w:rsidSect="00FC1EF0">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774" w:rsidRDefault="00646774" w:rsidP="00693CF9">
      <w:pPr>
        <w:spacing w:line="240" w:lineRule="auto"/>
      </w:pPr>
      <w:r>
        <w:separator/>
      </w:r>
    </w:p>
  </w:endnote>
  <w:endnote w:type="continuationSeparator" w:id="0">
    <w:p w:rsidR="00646774" w:rsidRDefault="00646774"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46774" w:rsidTr="00FC1EF0">
      <w:trPr>
        <w:jc w:val="center"/>
      </w:trPr>
      <w:tc>
        <w:tcPr>
          <w:tcW w:w="5126" w:type="dxa"/>
          <w:shd w:val="clear" w:color="auto" w:fill="auto"/>
        </w:tcPr>
        <w:p w:rsidR="00646774" w:rsidRPr="00FC1EF0" w:rsidRDefault="00646774" w:rsidP="00FC3C7F">
          <w:pPr>
            <w:pStyle w:val="Footer"/>
            <w:rPr>
              <w:w w:val="103"/>
            </w:rPr>
          </w:pPr>
          <w:r>
            <w:rPr>
              <w:w w:val="103"/>
            </w:rPr>
            <w:fldChar w:fldCharType="begin"/>
          </w:r>
          <w:r>
            <w:rPr>
              <w:w w:val="103"/>
            </w:rPr>
            <w:instrText xml:space="preserve"> PAGE  \* Arabic  \* MERGEFORMAT </w:instrText>
          </w:r>
          <w:r>
            <w:rPr>
              <w:w w:val="103"/>
            </w:rPr>
            <w:fldChar w:fldCharType="separate"/>
          </w:r>
          <w:r w:rsidR="007F3232">
            <w:rPr>
              <w:noProof/>
              <w:w w:val="103"/>
            </w:rPr>
            <w:t>10</w:t>
          </w:r>
          <w:r>
            <w:rPr>
              <w:w w:val="103"/>
            </w:rPr>
            <w:fldChar w:fldCharType="end"/>
          </w:r>
        </w:p>
      </w:tc>
      <w:tc>
        <w:tcPr>
          <w:tcW w:w="5127" w:type="dxa"/>
          <w:shd w:val="clear" w:color="auto" w:fill="auto"/>
        </w:tcPr>
        <w:p w:rsidR="00646774" w:rsidRPr="00FC1EF0" w:rsidRDefault="00646774" w:rsidP="00C81CAF">
          <w:pPr>
            <w:pStyle w:val="Footer"/>
            <w:jc w:val="left"/>
            <w:rPr>
              <w:b w:val="0"/>
              <w:w w:val="103"/>
            </w:rPr>
          </w:pPr>
        </w:p>
      </w:tc>
    </w:tr>
  </w:tbl>
  <w:p w:rsidR="00646774" w:rsidRPr="00FC1EF0" w:rsidRDefault="00646774" w:rsidP="00FC1E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46774" w:rsidTr="00FC1EF0">
      <w:trPr>
        <w:jc w:val="center"/>
      </w:trPr>
      <w:tc>
        <w:tcPr>
          <w:tcW w:w="5126" w:type="dxa"/>
          <w:shd w:val="clear" w:color="auto" w:fill="auto"/>
        </w:tcPr>
        <w:p w:rsidR="00646774" w:rsidRPr="00FC1EF0" w:rsidRDefault="00646774" w:rsidP="001658E1">
          <w:pPr>
            <w:pStyle w:val="Footer"/>
            <w:rPr>
              <w:b w:val="0"/>
              <w:w w:val="103"/>
            </w:rPr>
          </w:pPr>
        </w:p>
      </w:tc>
      <w:tc>
        <w:tcPr>
          <w:tcW w:w="5127" w:type="dxa"/>
          <w:shd w:val="clear" w:color="auto" w:fill="auto"/>
        </w:tcPr>
        <w:p w:rsidR="00646774" w:rsidRPr="00FC1EF0" w:rsidRDefault="00646774" w:rsidP="00FC3C7F">
          <w:pPr>
            <w:pStyle w:val="Footer"/>
            <w:jc w:val="left"/>
            <w:rPr>
              <w:w w:val="103"/>
            </w:rPr>
          </w:pPr>
          <w:r>
            <w:rPr>
              <w:w w:val="103"/>
            </w:rPr>
            <w:fldChar w:fldCharType="begin"/>
          </w:r>
          <w:r>
            <w:rPr>
              <w:w w:val="103"/>
            </w:rPr>
            <w:instrText xml:space="preserve"> PAGE  \* Arabic  \* MERGEFORMAT </w:instrText>
          </w:r>
          <w:r>
            <w:rPr>
              <w:w w:val="103"/>
            </w:rPr>
            <w:fldChar w:fldCharType="separate"/>
          </w:r>
          <w:r w:rsidR="007F3232">
            <w:rPr>
              <w:noProof/>
              <w:w w:val="103"/>
            </w:rPr>
            <w:t>11</w:t>
          </w:r>
          <w:r>
            <w:rPr>
              <w:w w:val="103"/>
            </w:rPr>
            <w:fldChar w:fldCharType="end"/>
          </w:r>
        </w:p>
      </w:tc>
    </w:tr>
  </w:tbl>
  <w:p w:rsidR="00646774" w:rsidRPr="00FC1EF0" w:rsidRDefault="00646774" w:rsidP="00FC1E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646774" w:rsidTr="00FC1EF0">
      <w:trPr>
        <w:jc w:val="right"/>
      </w:trPr>
      <w:tc>
        <w:tcPr>
          <w:tcW w:w="4046" w:type="dxa"/>
        </w:tcPr>
        <w:p w:rsidR="00646774" w:rsidRDefault="00646774" w:rsidP="00FC1EF0">
          <w:pPr>
            <w:pStyle w:val="Footer"/>
            <w:spacing w:line="240" w:lineRule="atLeast"/>
            <w:jc w:val="left"/>
            <w:rPr>
              <w:rFonts w:cs="Times New Roman"/>
              <w:b w:val="0"/>
              <w:w w:val="103"/>
              <w:sz w:val="20"/>
            </w:rPr>
          </w:pPr>
        </w:p>
      </w:tc>
      <w:tc>
        <w:tcPr>
          <w:tcW w:w="5127" w:type="dxa"/>
        </w:tcPr>
        <w:p w:rsidR="00646774" w:rsidRDefault="00646774" w:rsidP="00FC1EF0">
          <w:pPr>
            <w:pStyle w:val="ReleaseDate"/>
          </w:pPr>
        </w:p>
        <w:p w:rsidR="00646774" w:rsidRPr="00FC1EF0" w:rsidRDefault="00646774" w:rsidP="001658E1">
          <w:pPr>
            <w:pStyle w:val="Footer"/>
            <w:spacing w:before="80"/>
            <w:rPr>
              <w:rFonts w:ascii="Barcode 3 of 9 by request" w:hAnsi="Barcode 3 of 9 by request"/>
              <w:sz w:val="24"/>
            </w:rPr>
          </w:pPr>
        </w:p>
      </w:tc>
    </w:tr>
  </w:tbl>
  <w:p w:rsidR="00646774" w:rsidRPr="00FC1EF0" w:rsidRDefault="00646774" w:rsidP="00FC1EF0">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774" w:rsidRDefault="00646774" w:rsidP="00693CF9">
      <w:pPr>
        <w:spacing w:line="240" w:lineRule="auto"/>
      </w:pPr>
      <w:r>
        <w:separator/>
      </w:r>
    </w:p>
  </w:footnote>
  <w:footnote w:type="continuationSeparator" w:id="0">
    <w:p w:rsidR="00646774" w:rsidRDefault="00646774" w:rsidP="00693C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646774" w:rsidTr="00FC1EF0">
      <w:trPr>
        <w:trHeight w:hRule="exact" w:val="864"/>
        <w:jc w:val="center"/>
      </w:trPr>
      <w:tc>
        <w:tcPr>
          <w:tcW w:w="4882" w:type="dxa"/>
          <w:shd w:val="clear" w:color="auto" w:fill="auto"/>
          <w:vAlign w:val="bottom"/>
        </w:tcPr>
        <w:p w:rsidR="00646774" w:rsidRDefault="00646774" w:rsidP="00FC1EF0">
          <w:pPr>
            <w:pStyle w:val="Header"/>
            <w:bidi/>
          </w:pPr>
        </w:p>
      </w:tc>
      <w:tc>
        <w:tcPr>
          <w:tcW w:w="5127" w:type="dxa"/>
          <w:shd w:val="clear" w:color="auto" w:fill="auto"/>
          <w:vAlign w:val="bottom"/>
        </w:tcPr>
        <w:p w:rsidR="00646774" w:rsidRPr="00FC1EF0" w:rsidRDefault="00C81CAF" w:rsidP="00795F4D">
          <w:pPr>
            <w:pStyle w:val="Header"/>
            <w:spacing w:after="80"/>
            <w:rPr>
              <w:w w:val="103"/>
            </w:rPr>
          </w:pPr>
          <w:r>
            <w:rPr>
              <w:w w:val="103"/>
            </w:rPr>
            <w:t>A/HRC/36/</w:t>
          </w:r>
          <w:r w:rsidR="00A12D56">
            <w:rPr>
              <w:w w:val="103"/>
            </w:rPr>
            <w:t>3</w:t>
          </w:r>
          <w:r>
            <w:rPr>
              <w:w w:val="103"/>
            </w:rPr>
            <w:t>/Add.1</w:t>
          </w:r>
        </w:p>
      </w:tc>
    </w:tr>
  </w:tbl>
  <w:p w:rsidR="00646774" w:rsidRPr="00FC1EF0" w:rsidRDefault="00646774" w:rsidP="00FC1E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646774" w:rsidTr="00FC1EF0">
      <w:trPr>
        <w:trHeight w:hRule="exact" w:val="864"/>
        <w:jc w:val="center"/>
      </w:trPr>
      <w:tc>
        <w:tcPr>
          <w:tcW w:w="4882" w:type="dxa"/>
          <w:shd w:val="clear" w:color="auto" w:fill="auto"/>
          <w:vAlign w:val="bottom"/>
        </w:tcPr>
        <w:p w:rsidR="00646774" w:rsidRPr="00FC1EF0" w:rsidRDefault="00C81CAF" w:rsidP="00795F4D">
          <w:pPr>
            <w:pStyle w:val="Header"/>
            <w:spacing w:after="80"/>
            <w:jc w:val="left"/>
            <w:rPr>
              <w:w w:val="103"/>
            </w:rPr>
          </w:pPr>
          <w:r>
            <w:rPr>
              <w:w w:val="103"/>
            </w:rPr>
            <w:t>A/HRC/36/</w:t>
          </w:r>
          <w:r w:rsidR="00A12D56">
            <w:rPr>
              <w:w w:val="103"/>
            </w:rPr>
            <w:t>3</w:t>
          </w:r>
          <w:r>
            <w:rPr>
              <w:w w:val="103"/>
            </w:rPr>
            <w:t>/Add.1</w:t>
          </w:r>
        </w:p>
      </w:tc>
      <w:tc>
        <w:tcPr>
          <w:tcW w:w="5127" w:type="dxa"/>
          <w:shd w:val="clear" w:color="auto" w:fill="auto"/>
          <w:vAlign w:val="bottom"/>
        </w:tcPr>
        <w:p w:rsidR="00646774" w:rsidRDefault="00646774" w:rsidP="00FC1EF0">
          <w:pPr>
            <w:pStyle w:val="Header"/>
          </w:pPr>
        </w:p>
      </w:tc>
    </w:tr>
  </w:tbl>
  <w:p w:rsidR="00646774" w:rsidRPr="00FC1EF0" w:rsidRDefault="00646774" w:rsidP="00FC1E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646774" w:rsidTr="00FC1EF0">
      <w:trPr>
        <w:gridAfter w:val="1"/>
        <w:wAfter w:w="25" w:type="dxa"/>
        <w:trHeight w:hRule="exact" w:val="864"/>
      </w:trPr>
      <w:tc>
        <w:tcPr>
          <w:tcW w:w="1282" w:type="dxa"/>
          <w:tcBorders>
            <w:bottom w:val="single" w:sz="4" w:space="0" w:color="auto"/>
          </w:tcBorders>
          <w:shd w:val="clear" w:color="auto" w:fill="auto"/>
          <w:vAlign w:val="bottom"/>
        </w:tcPr>
        <w:p w:rsidR="00646774" w:rsidRDefault="00646774" w:rsidP="00FC1EF0">
          <w:pPr>
            <w:pStyle w:val="Header"/>
            <w:spacing w:after="120"/>
          </w:pPr>
        </w:p>
      </w:tc>
      <w:tc>
        <w:tcPr>
          <w:tcW w:w="1786" w:type="dxa"/>
          <w:tcBorders>
            <w:bottom w:val="single" w:sz="4" w:space="0" w:color="auto"/>
          </w:tcBorders>
          <w:shd w:val="clear" w:color="auto" w:fill="auto"/>
          <w:vAlign w:val="bottom"/>
        </w:tcPr>
        <w:p w:rsidR="00646774" w:rsidRPr="00FC1EF0" w:rsidRDefault="00646774" w:rsidP="00FC1EF0">
          <w:pPr>
            <w:pStyle w:val="HCh"/>
            <w:spacing w:after="80"/>
            <w:ind w:left="14"/>
            <w:jc w:val="left"/>
            <w:rPr>
              <w:bCs w:val="0"/>
              <w:spacing w:val="2"/>
              <w:w w:val="96"/>
            </w:rPr>
          </w:pPr>
        </w:p>
      </w:tc>
      <w:tc>
        <w:tcPr>
          <w:tcW w:w="245" w:type="dxa"/>
          <w:tcBorders>
            <w:bottom w:val="single" w:sz="4" w:space="0" w:color="auto"/>
          </w:tcBorders>
          <w:shd w:val="clear" w:color="auto" w:fill="auto"/>
          <w:vAlign w:val="bottom"/>
        </w:tcPr>
        <w:p w:rsidR="00646774" w:rsidRDefault="00646774" w:rsidP="00FC1EF0">
          <w:pPr>
            <w:pStyle w:val="Header"/>
            <w:spacing w:after="120"/>
          </w:pPr>
        </w:p>
      </w:tc>
      <w:tc>
        <w:tcPr>
          <w:tcW w:w="6696" w:type="dxa"/>
          <w:gridSpan w:val="3"/>
          <w:tcBorders>
            <w:bottom w:val="single" w:sz="4" w:space="0" w:color="auto"/>
          </w:tcBorders>
          <w:shd w:val="clear" w:color="auto" w:fill="auto"/>
          <w:vAlign w:val="bottom"/>
        </w:tcPr>
        <w:p w:rsidR="00646774" w:rsidRPr="00FC1EF0" w:rsidRDefault="00646774" w:rsidP="00A12D56">
          <w:pPr>
            <w:spacing w:line="380" w:lineRule="exact"/>
            <w:jc w:val="right"/>
          </w:pPr>
          <w:r>
            <w:rPr>
              <w:sz w:val="40"/>
            </w:rPr>
            <w:t>A</w:t>
          </w:r>
          <w:r>
            <w:t>/HRC/3</w:t>
          </w:r>
          <w:r w:rsidR="00C81CAF">
            <w:t>6</w:t>
          </w:r>
          <w:r>
            <w:t>/</w:t>
          </w:r>
          <w:r w:rsidR="00A12D56">
            <w:t>3</w:t>
          </w:r>
          <w:r>
            <w:t>/Add.1</w:t>
          </w:r>
        </w:p>
      </w:tc>
    </w:tr>
    <w:tr w:rsidR="00646774" w:rsidRPr="00FC1EF0" w:rsidTr="00FC1EF0">
      <w:trPr>
        <w:trHeight w:hRule="exact" w:val="2880"/>
      </w:trPr>
      <w:tc>
        <w:tcPr>
          <w:tcW w:w="1282" w:type="dxa"/>
          <w:tcBorders>
            <w:top w:val="single" w:sz="4" w:space="0" w:color="auto"/>
            <w:bottom w:val="single" w:sz="12" w:space="0" w:color="auto"/>
          </w:tcBorders>
          <w:shd w:val="clear" w:color="auto" w:fill="auto"/>
        </w:tcPr>
        <w:p w:rsidR="00646774" w:rsidRDefault="00646774" w:rsidP="00FC1EF0">
          <w:pPr>
            <w:pStyle w:val="Header"/>
            <w:spacing w:before="120"/>
            <w:jc w:val="center"/>
          </w:pPr>
          <w:r>
            <w:t xml:space="preserve"> </w:t>
          </w:r>
        </w:p>
        <w:p w:rsidR="00646774" w:rsidRPr="00FC1EF0" w:rsidRDefault="00646774" w:rsidP="00FC1EF0">
          <w:pPr>
            <w:pStyle w:val="Header"/>
            <w:spacing w:before="120"/>
            <w:jc w:val="center"/>
          </w:pPr>
        </w:p>
      </w:tc>
      <w:tc>
        <w:tcPr>
          <w:tcW w:w="5227" w:type="dxa"/>
          <w:gridSpan w:val="3"/>
          <w:tcBorders>
            <w:top w:val="single" w:sz="4" w:space="0" w:color="auto"/>
            <w:bottom w:val="single" w:sz="12" w:space="0" w:color="auto"/>
          </w:tcBorders>
          <w:shd w:val="clear" w:color="auto" w:fill="auto"/>
        </w:tcPr>
        <w:p w:rsidR="00646774" w:rsidRPr="00D16D27" w:rsidRDefault="00D16D27" w:rsidP="00D16D27">
          <w:pPr>
            <w:pStyle w:val="XLarge"/>
            <w:spacing w:before="109" w:line="590" w:lineRule="exact"/>
            <w:ind w:left="14" w:right="14"/>
            <w:jc w:val="left"/>
            <w:rPr>
              <w:sz w:val="44"/>
              <w:szCs w:val="44"/>
            </w:rPr>
          </w:pPr>
          <w:r w:rsidRPr="00D16D27">
            <w:rPr>
              <w:sz w:val="44"/>
              <w:szCs w:val="44"/>
              <w:rtl/>
            </w:rPr>
            <w:t>Advance version</w:t>
          </w:r>
        </w:p>
      </w:tc>
      <w:tc>
        <w:tcPr>
          <w:tcW w:w="245" w:type="dxa"/>
          <w:tcBorders>
            <w:top w:val="single" w:sz="4" w:space="0" w:color="auto"/>
            <w:bottom w:val="single" w:sz="12" w:space="0" w:color="auto"/>
          </w:tcBorders>
          <w:shd w:val="clear" w:color="auto" w:fill="auto"/>
        </w:tcPr>
        <w:p w:rsidR="00646774" w:rsidRPr="00FC1EF0" w:rsidRDefault="00646774" w:rsidP="00D16D27">
          <w:pPr>
            <w:pStyle w:val="Header"/>
            <w:spacing w:before="109"/>
            <w:jc w:val="center"/>
          </w:pPr>
        </w:p>
      </w:tc>
      <w:tc>
        <w:tcPr>
          <w:tcW w:w="3280" w:type="dxa"/>
          <w:gridSpan w:val="2"/>
          <w:tcBorders>
            <w:top w:val="single" w:sz="4" w:space="0" w:color="auto"/>
            <w:bottom w:val="single" w:sz="12" w:space="0" w:color="auto"/>
          </w:tcBorders>
          <w:shd w:val="clear" w:color="auto" w:fill="auto"/>
        </w:tcPr>
        <w:p w:rsidR="00646774" w:rsidRDefault="00646774" w:rsidP="00FC1EF0">
          <w:pPr>
            <w:pStyle w:val="Distribution"/>
            <w:bidi w:val="0"/>
            <w:spacing w:before="240"/>
          </w:pPr>
          <w:r>
            <w:t>Distr.: General</w:t>
          </w:r>
        </w:p>
        <w:p w:rsidR="00646774" w:rsidRDefault="00C81CAF" w:rsidP="00890BC9">
          <w:pPr>
            <w:pStyle w:val="Publication"/>
            <w:bidi w:val="0"/>
          </w:pPr>
          <w:r>
            <w:t>1</w:t>
          </w:r>
          <w:r w:rsidR="00A12D56">
            <w:t>5</w:t>
          </w:r>
          <w:r>
            <w:t xml:space="preserve"> September</w:t>
          </w:r>
          <w:r w:rsidR="00646774">
            <w:t xml:space="preserve"> 2017</w:t>
          </w:r>
        </w:p>
        <w:p w:rsidR="00646774" w:rsidRDefault="00646774" w:rsidP="00FC1EF0">
          <w:pPr>
            <w:bidi w:val="0"/>
            <w:spacing w:line="240" w:lineRule="exact"/>
            <w:jc w:val="left"/>
          </w:pPr>
        </w:p>
        <w:p w:rsidR="00646774" w:rsidRDefault="00646774" w:rsidP="00FC1EF0">
          <w:pPr>
            <w:pStyle w:val="Original"/>
            <w:bidi w:val="0"/>
          </w:pPr>
          <w:r>
            <w:t>Original: Arabic</w:t>
          </w:r>
        </w:p>
        <w:p w:rsidR="00646774" w:rsidRPr="00FC1EF0" w:rsidRDefault="00646774" w:rsidP="00FC1EF0">
          <w:pPr>
            <w:bidi w:val="0"/>
            <w:spacing w:line="240" w:lineRule="exact"/>
            <w:jc w:val="left"/>
          </w:pPr>
        </w:p>
      </w:tc>
    </w:tr>
  </w:tbl>
  <w:p w:rsidR="00646774" w:rsidRPr="00FC1EF0" w:rsidRDefault="00646774" w:rsidP="00FC1EF0">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492CCA"/>
    <w:multiLevelType w:val="hybridMultilevel"/>
    <w:tmpl w:val="C0980630"/>
    <w:lvl w:ilvl="0" w:tplc="6D48EB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C336E4"/>
    <w:multiLevelType w:val="hybridMultilevel"/>
    <w:tmpl w:val="D45EBFB6"/>
    <w:lvl w:ilvl="0" w:tplc="D5B2A57C">
      <w:start w:val="1"/>
      <w:numFmt w:val="arabicAbjad"/>
      <w:lvlText w:val="(%1)"/>
      <w:lvlJc w:val="left"/>
      <w:pPr>
        <w:ind w:left="720"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4">
    <w:nsid w:val="6C6939E2"/>
    <w:multiLevelType w:val="hybridMultilevel"/>
    <w:tmpl w:val="36FE17BA"/>
    <w:lvl w:ilvl="0" w:tplc="14DC85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5563*"/>
    <w:docVar w:name="CreationDt" w:val="9/15/2015 9:18: AM"/>
    <w:docVar w:name="DocCategory" w:val="Doc"/>
    <w:docVar w:name="DocType" w:val="Final"/>
    <w:docVar w:name="DutyStation" w:val="Geneva"/>
    <w:docVar w:name="FooterJN" w:val="GE.15-15563"/>
    <w:docVar w:name="jobn" w:val="GE.15-15563 (A)"/>
    <w:docVar w:name="jobnDT" w:val="GE.15-15563 (A)   150915"/>
    <w:docVar w:name="jobnDTDT" w:val="GE.15-15563 (A)   150915   150915"/>
    <w:docVar w:name="JobNo" w:val="GE.1515563A"/>
    <w:docVar w:name="LocalDrive" w:val="0"/>
    <w:docVar w:name="OandT" w:val=" "/>
    <w:docVar w:name="PaperSize" w:val="A4"/>
    <w:docVar w:name="sss1" w:val="A/HRC/30/16/Add.1"/>
    <w:docVar w:name="sss2" w:val="-"/>
    <w:docVar w:name="Symbol1" w:val="A/HRC/30/16/Add.1"/>
    <w:docVar w:name="Symbol2" w:val="-"/>
  </w:docVars>
  <w:rsids>
    <w:rsidRoot w:val="00D32839"/>
    <w:rsid w:val="000020C4"/>
    <w:rsid w:val="0000693B"/>
    <w:rsid w:val="0001042B"/>
    <w:rsid w:val="000114FF"/>
    <w:rsid w:val="000170D3"/>
    <w:rsid w:val="0002744A"/>
    <w:rsid w:val="000311C9"/>
    <w:rsid w:val="00042425"/>
    <w:rsid w:val="00047F6A"/>
    <w:rsid w:val="0005137B"/>
    <w:rsid w:val="00056AA7"/>
    <w:rsid w:val="0006648F"/>
    <w:rsid w:val="00070E09"/>
    <w:rsid w:val="00087310"/>
    <w:rsid w:val="000927B5"/>
    <w:rsid w:val="000944CB"/>
    <w:rsid w:val="00095A30"/>
    <w:rsid w:val="0009732C"/>
    <w:rsid w:val="000974BE"/>
    <w:rsid w:val="000B640C"/>
    <w:rsid w:val="000C4EED"/>
    <w:rsid w:val="000D2CEC"/>
    <w:rsid w:val="000F3F48"/>
    <w:rsid w:val="00100A90"/>
    <w:rsid w:val="00101EE8"/>
    <w:rsid w:val="00102521"/>
    <w:rsid w:val="0010461F"/>
    <w:rsid w:val="00113349"/>
    <w:rsid w:val="0012522B"/>
    <w:rsid w:val="00132672"/>
    <w:rsid w:val="00143096"/>
    <w:rsid w:val="001519A9"/>
    <w:rsid w:val="001568A8"/>
    <w:rsid w:val="001658E1"/>
    <w:rsid w:val="00165F18"/>
    <w:rsid w:val="00170A5E"/>
    <w:rsid w:val="001737F8"/>
    <w:rsid w:val="001775EA"/>
    <w:rsid w:val="0018030C"/>
    <w:rsid w:val="00182D99"/>
    <w:rsid w:val="00187870"/>
    <w:rsid w:val="0019476F"/>
    <w:rsid w:val="00194C85"/>
    <w:rsid w:val="001A0D70"/>
    <w:rsid w:val="001A5B00"/>
    <w:rsid w:val="001B59EE"/>
    <w:rsid w:val="001C6531"/>
    <w:rsid w:val="001D1606"/>
    <w:rsid w:val="001E2BD4"/>
    <w:rsid w:val="001E5A5A"/>
    <w:rsid w:val="001E5A7A"/>
    <w:rsid w:val="001F130D"/>
    <w:rsid w:val="001F2F66"/>
    <w:rsid w:val="001F6786"/>
    <w:rsid w:val="00212285"/>
    <w:rsid w:val="002141DD"/>
    <w:rsid w:val="00216B5C"/>
    <w:rsid w:val="00233D9C"/>
    <w:rsid w:val="00233E2A"/>
    <w:rsid w:val="00236A29"/>
    <w:rsid w:val="00237A82"/>
    <w:rsid w:val="002414C4"/>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49F1"/>
    <w:rsid w:val="002A6916"/>
    <w:rsid w:val="002B0A3E"/>
    <w:rsid w:val="002B120A"/>
    <w:rsid w:val="002B4F37"/>
    <w:rsid w:val="002C2AF2"/>
    <w:rsid w:val="002C3561"/>
    <w:rsid w:val="002C4866"/>
    <w:rsid w:val="002C4E1B"/>
    <w:rsid w:val="002D58BC"/>
    <w:rsid w:val="002E1490"/>
    <w:rsid w:val="002E750A"/>
    <w:rsid w:val="002F0398"/>
    <w:rsid w:val="002F0573"/>
    <w:rsid w:val="002F0ADA"/>
    <w:rsid w:val="002F1211"/>
    <w:rsid w:val="002F7737"/>
    <w:rsid w:val="003022DE"/>
    <w:rsid w:val="00307CFF"/>
    <w:rsid w:val="00310FA5"/>
    <w:rsid w:val="00312162"/>
    <w:rsid w:val="00312525"/>
    <w:rsid w:val="003501D5"/>
    <w:rsid w:val="00351324"/>
    <w:rsid w:val="0036512C"/>
    <w:rsid w:val="00365F37"/>
    <w:rsid w:val="00366E5B"/>
    <w:rsid w:val="003676A8"/>
    <w:rsid w:val="00371AC4"/>
    <w:rsid w:val="003769FD"/>
    <w:rsid w:val="00376CFA"/>
    <w:rsid w:val="003772FC"/>
    <w:rsid w:val="00383A67"/>
    <w:rsid w:val="00383CA8"/>
    <w:rsid w:val="00383EF3"/>
    <w:rsid w:val="00385F27"/>
    <w:rsid w:val="003A4002"/>
    <w:rsid w:val="003A65ED"/>
    <w:rsid w:val="003C4B86"/>
    <w:rsid w:val="003D0494"/>
    <w:rsid w:val="003D4612"/>
    <w:rsid w:val="003E1BB9"/>
    <w:rsid w:val="003E26D7"/>
    <w:rsid w:val="003E4110"/>
    <w:rsid w:val="003E4647"/>
    <w:rsid w:val="003E6DF8"/>
    <w:rsid w:val="003F4B8C"/>
    <w:rsid w:val="00401BDF"/>
    <w:rsid w:val="004053F7"/>
    <w:rsid w:val="00411BBD"/>
    <w:rsid w:val="00415922"/>
    <w:rsid w:val="00421658"/>
    <w:rsid w:val="00423BD7"/>
    <w:rsid w:val="0042757D"/>
    <w:rsid w:val="00433A0B"/>
    <w:rsid w:val="00437C14"/>
    <w:rsid w:val="00445C58"/>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33CC"/>
    <w:rsid w:val="004F59EC"/>
    <w:rsid w:val="004F75CD"/>
    <w:rsid w:val="0050659B"/>
    <w:rsid w:val="00520086"/>
    <w:rsid w:val="00521CAC"/>
    <w:rsid w:val="00522F77"/>
    <w:rsid w:val="005243A0"/>
    <w:rsid w:val="00524A2E"/>
    <w:rsid w:val="005279DE"/>
    <w:rsid w:val="00534772"/>
    <w:rsid w:val="00537FCD"/>
    <w:rsid w:val="00542632"/>
    <w:rsid w:val="00545F76"/>
    <w:rsid w:val="00551E87"/>
    <w:rsid w:val="005545BB"/>
    <w:rsid w:val="005551EF"/>
    <w:rsid w:val="00556882"/>
    <w:rsid w:val="00561E43"/>
    <w:rsid w:val="0057078E"/>
    <w:rsid w:val="00571C2C"/>
    <w:rsid w:val="00582B0A"/>
    <w:rsid w:val="005838F5"/>
    <w:rsid w:val="00590CD4"/>
    <w:rsid w:val="00591B45"/>
    <w:rsid w:val="005943EA"/>
    <w:rsid w:val="005956D2"/>
    <w:rsid w:val="00596606"/>
    <w:rsid w:val="005A0F27"/>
    <w:rsid w:val="005A0F73"/>
    <w:rsid w:val="005A2EA3"/>
    <w:rsid w:val="005A6DC0"/>
    <w:rsid w:val="005B2267"/>
    <w:rsid w:val="005B4C28"/>
    <w:rsid w:val="005C07BD"/>
    <w:rsid w:val="005C2ECE"/>
    <w:rsid w:val="005C46A7"/>
    <w:rsid w:val="005C7ED8"/>
    <w:rsid w:val="005D5B76"/>
    <w:rsid w:val="005D602C"/>
    <w:rsid w:val="005E46BF"/>
    <w:rsid w:val="006007BD"/>
    <w:rsid w:val="006046A6"/>
    <w:rsid w:val="00616E82"/>
    <w:rsid w:val="006218A3"/>
    <w:rsid w:val="00631D41"/>
    <w:rsid w:val="00646774"/>
    <w:rsid w:val="00655D33"/>
    <w:rsid w:val="006564CE"/>
    <w:rsid w:val="00663F64"/>
    <w:rsid w:val="00683F41"/>
    <w:rsid w:val="0068436E"/>
    <w:rsid w:val="00685439"/>
    <w:rsid w:val="006905A9"/>
    <w:rsid w:val="00692B46"/>
    <w:rsid w:val="00692C45"/>
    <w:rsid w:val="00692FDB"/>
    <w:rsid w:val="00693CF9"/>
    <w:rsid w:val="00696B7A"/>
    <w:rsid w:val="00697012"/>
    <w:rsid w:val="006A1E4E"/>
    <w:rsid w:val="006B6DDF"/>
    <w:rsid w:val="006C1E40"/>
    <w:rsid w:val="006C38EE"/>
    <w:rsid w:val="006D1A46"/>
    <w:rsid w:val="006D3170"/>
    <w:rsid w:val="006E1055"/>
    <w:rsid w:val="006E7E51"/>
    <w:rsid w:val="007006FC"/>
    <w:rsid w:val="00700F06"/>
    <w:rsid w:val="00714319"/>
    <w:rsid w:val="0071531E"/>
    <w:rsid w:val="0071645B"/>
    <w:rsid w:val="00716E9D"/>
    <w:rsid w:val="00740D62"/>
    <w:rsid w:val="00747B9E"/>
    <w:rsid w:val="007524BE"/>
    <w:rsid w:val="007525FA"/>
    <w:rsid w:val="007668E3"/>
    <w:rsid w:val="00766B3B"/>
    <w:rsid w:val="00767151"/>
    <w:rsid w:val="00770CF8"/>
    <w:rsid w:val="00774FF0"/>
    <w:rsid w:val="0078262F"/>
    <w:rsid w:val="00784325"/>
    <w:rsid w:val="00784F2B"/>
    <w:rsid w:val="00786F0C"/>
    <w:rsid w:val="0079046D"/>
    <w:rsid w:val="007925B2"/>
    <w:rsid w:val="00795F4D"/>
    <w:rsid w:val="0079753A"/>
    <w:rsid w:val="007A296C"/>
    <w:rsid w:val="007A6DD9"/>
    <w:rsid w:val="007B3DC8"/>
    <w:rsid w:val="007B5729"/>
    <w:rsid w:val="007C7274"/>
    <w:rsid w:val="007D489C"/>
    <w:rsid w:val="007D60E0"/>
    <w:rsid w:val="007D6B8D"/>
    <w:rsid w:val="007E32B9"/>
    <w:rsid w:val="007F3232"/>
    <w:rsid w:val="0081284F"/>
    <w:rsid w:val="00814843"/>
    <w:rsid w:val="008170DE"/>
    <w:rsid w:val="00820B87"/>
    <w:rsid w:val="00830E32"/>
    <w:rsid w:val="00845A14"/>
    <w:rsid w:val="0085331D"/>
    <w:rsid w:val="00853F0F"/>
    <w:rsid w:val="008569BB"/>
    <w:rsid w:val="008624AF"/>
    <w:rsid w:val="00873A11"/>
    <w:rsid w:val="00873AF9"/>
    <w:rsid w:val="00881022"/>
    <w:rsid w:val="0088317F"/>
    <w:rsid w:val="00890BC9"/>
    <w:rsid w:val="008913BC"/>
    <w:rsid w:val="00894FA8"/>
    <w:rsid w:val="008A3FCA"/>
    <w:rsid w:val="008D1C04"/>
    <w:rsid w:val="008E739A"/>
    <w:rsid w:val="008F04A0"/>
    <w:rsid w:val="008F3D2C"/>
    <w:rsid w:val="008F419C"/>
    <w:rsid w:val="008F5850"/>
    <w:rsid w:val="008F64A7"/>
    <w:rsid w:val="0090012B"/>
    <w:rsid w:val="00901C88"/>
    <w:rsid w:val="0090351F"/>
    <w:rsid w:val="00906649"/>
    <w:rsid w:val="009124C9"/>
    <w:rsid w:val="00914215"/>
    <w:rsid w:val="009512B2"/>
    <w:rsid w:val="009532EE"/>
    <w:rsid w:val="00956E02"/>
    <w:rsid w:val="00964FA8"/>
    <w:rsid w:val="0096681E"/>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015D0"/>
    <w:rsid w:val="00A03113"/>
    <w:rsid w:val="00A1243C"/>
    <w:rsid w:val="00A12D56"/>
    <w:rsid w:val="00A140D9"/>
    <w:rsid w:val="00A14A6C"/>
    <w:rsid w:val="00A25CE3"/>
    <w:rsid w:val="00A37C4B"/>
    <w:rsid w:val="00A47282"/>
    <w:rsid w:val="00A4762F"/>
    <w:rsid w:val="00A50991"/>
    <w:rsid w:val="00A56F63"/>
    <w:rsid w:val="00A6077A"/>
    <w:rsid w:val="00A66F66"/>
    <w:rsid w:val="00A71AE5"/>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5AE2"/>
    <w:rsid w:val="00AF1A53"/>
    <w:rsid w:val="00AF43A0"/>
    <w:rsid w:val="00AF7AC7"/>
    <w:rsid w:val="00B05ADC"/>
    <w:rsid w:val="00B272BE"/>
    <w:rsid w:val="00B32671"/>
    <w:rsid w:val="00B3471A"/>
    <w:rsid w:val="00B36AFF"/>
    <w:rsid w:val="00B37A36"/>
    <w:rsid w:val="00B424BC"/>
    <w:rsid w:val="00B5784C"/>
    <w:rsid w:val="00B66B1A"/>
    <w:rsid w:val="00B9542C"/>
    <w:rsid w:val="00B95560"/>
    <w:rsid w:val="00B9745D"/>
    <w:rsid w:val="00BA7FAB"/>
    <w:rsid w:val="00BB07B8"/>
    <w:rsid w:val="00BB6B6E"/>
    <w:rsid w:val="00BC2F4C"/>
    <w:rsid w:val="00BC43AD"/>
    <w:rsid w:val="00BC4A05"/>
    <w:rsid w:val="00BC567D"/>
    <w:rsid w:val="00BC6BA6"/>
    <w:rsid w:val="00BD1F09"/>
    <w:rsid w:val="00BE15C1"/>
    <w:rsid w:val="00BF0B15"/>
    <w:rsid w:val="00BF23EE"/>
    <w:rsid w:val="00C0719C"/>
    <w:rsid w:val="00C12CBB"/>
    <w:rsid w:val="00C16F77"/>
    <w:rsid w:val="00C25A2D"/>
    <w:rsid w:val="00C260F8"/>
    <w:rsid w:val="00C3050C"/>
    <w:rsid w:val="00C32889"/>
    <w:rsid w:val="00C34B99"/>
    <w:rsid w:val="00C40CC8"/>
    <w:rsid w:val="00C43FBE"/>
    <w:rsid w:val="00C449C6"/>
    <w:rsid w:val="00C52142"/>
    <w:rsid w:val="00C564B0"/>
    <w:rsid w:val="00C61F0B"/>
    <w:rsid w:val="00C6283F"/>
    <w:rsid w:val="00C71487"/>
    <w:rsid w:val="00C7606D"/>
    <w:rsid w:val="00C814A5"/>
    <w:rsid w:val="00C81CAF"/>
    <w:rsid w:val="00C84B2B"/>
    <w:rsid w:val="00C855F6"/>
    <w:rsid w:val="00C96573"/>
    <w:rsid w:val="00CA286A"/>
    <w:rsid w:val="00CA3716"/>
    <w:rsid w:val="00CA4791"/>
    <w:rsid w:val="00CC04B5"/>
    <w:rsid w:val="00CD03C6"/>
    <w:rsid w:val="00CD0BB8"/>
    <w:rsid w:val="00CD3849"/>
    <w:rsid w:val="00CE0509"/>
    <w:rsid w:val="00CF4D77"/>
    <w:rsid w:val="00CF7384"/>
    <w:rsid w:val="00D00717"/>
    <w:rsid w:val="00D0526B"/>
    <w:rsid w:val="00D16D27"/>
    <w:rsid w:val="00D2343D"/>
    <w:rsid w:val="00D30EAE"/>
    <w:rsid w:val="00D318F1"/>
    <w:rsid w:val="00D32839"/>
    <w:rsid w:val="00D40B0E"/>
    <w:rsid w:val="00D416C2"/>
    <w:rsid w:val="00D44FE0"/>
    <w:rsid w:val="00D4694F"/>
    <w:rsid w:val="00D5423E"/>
    <w:rsid w:val="00D60282"/>
    <w:rsid w:val="00D66413"/>
    <w:rsid w:val="00D7737B"/>
    <w:rsid w:val="00DA66B7"/>
    <w:rsid w:val="00DB0865"/>
    <w:rsid w:val="00DB0C91"/>
    <w:rsid w:val="00DB7206"/>
    <w:rsid w:val="00DC5C1E"/>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29A3"/>
    <w:rsid w:val="00E9114A"/>
    <w:rsid w:val="00EA0D5B"/>
    <w:rsid w:val="00EA3948"/>
    <w:rsid w:val="00EA489C"/>
    <w:rsid w:val="00EA4999"/>
    <w:rsid w:val="00EA5F81"/>
    <w:rsid w:val="00EA7B59"/>
    <w:rsid w:val="00EB0CA7"/>
    <w:rsid w:val="00EB4992"/>
    <w:rsid w:val="00EC2B29"/>
    <w:rsid w:val="00ED251D"/>
    <w:rsid w:val="00ED2F89"/>
    <w:rsid w:val="00ED3C2E"/>
    <w:rsid w:val="00EF0947"/>
    <w:rsid w:val="00EF2E52"/>
    <w:rsid w:val="00EF4F85"/>
    <w:rsid w:val="00F031FB"/>
    <w:rsid w:val="00F247BA"/>
    <w:rsid w:val="00F32228"/>
    <w:rsid w:val="00F32E4A"/>
    <w:rsid w:val="00F36D8C"/>
    <w:rsid w:val="00F4710F"/>
    <w:rsid w:val="00F53DA5"/>
    <w:rsid w:val="00F57DED"/>
    <w:rsid w:val="00F90A71"/>
    <w:rsid w:val="00F923A5"/>
    <w:rsid w:val="00F93545"/>
    <w:rsid w:val="00F96337"/>
    <w:rsid w:val="00F96FBA"/>
    <w:rsid w:val="00FB0C1B"/>
    <w:rsid w:val="00FB2B5B"/>
    <w:rsid w:val="00FB4E06"/>
    <w:rsid w:val="00FC1EF0"/>
    <w:rsid w:val="00FC3483"/>
    <w:rsid w:val="00FC3C7F"/>
    <w:rsid w:val="00FC4D68"/>
    <w:rsid w:val="00FC56D7"/>
    <w:rsid w:val="00FD2ADA"/>
    <w:rsid w:val="00FD5AB0"/>
    <w:rsid w:val="00FD675B"/>
    <w:rsid w:val="00FE4594"/>
    <w:rsid w:val="00FE5D1E"/>
    <w:rsid w:val="00FF4AE3"/>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FC1EF0"/>
    <w:pPr>
      <w:spacing w:line="240" w:lineRule="auto"/>
    </w:pPr>
    <w:rPr>
      <w:szCs w:val="20"/>
    </w:rPr>
  </w:style>
  <w:style w:type="character" w:customStyle="1" w:styleId="CommentTextChar">
    <w:name w:val="Comment Text Char"/>
    <w:basedOn w:val="DefaultParagraphFont"/>
    <w:link w:val="CommentText"/>
    <w:rsid w:val="00FC1EF0"/>
    <w:rPr>
      <w:w w:val="103"/>
      <w:kern w:val="14"/>
    </w:rPr>
  </w:style>
  <w:style w:type="paragraph" w:styleId="CommentSubject">
    <w:name w:val="annotation subject"/>
    <w:basedOn w:val="CommentText"/>
    <w:next w:val="CommentText"/>
    <w:link w:val="CommentSubjectChar"/>
    <w:rsid w:val="00FC1EF0"/>
    <w:rPr>
      <w:b/>
      <w:bCs/>
    </w:rPr>
  </w:style>
  <w:style w:type="character" w:customStyle="1" w:styleId="CommentSubjectChar">
    <w:name w:val="Comment Subject Char"/>
    <w:basedOn w:val="CommentTextChar"/>
    <w:link w:val="CommentSubject"/>
    <w:rsid w:val="00FC1EF0"/>
    <w:rPr>
      <w:b/>
      <w:bCs/>
      <w:w w:val="103"/>
      <w:kern w:val="14"/>
    </w:rPr>
  </w:style>
  <w:style w:type="paragraph" w:customStyle="1" w:styleId="HMGA">
    <w:name w:val="_ H __M_GA"/>
    <w:basedOn w:val="Normal"/>
    <w:next w:val="Normal"/>
    <w:rsid w:val="00890BC9"/>
    <w:pPr>
      <w:keepNext/>
      <w:keepLines/>
      <w:tabs>
        <w:tab w:val="right" w:pos="1021"/>
      </w:tabs>
      <w:suppressAutoHyphens/>
      <w:spacing w:before="24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rsid w:val="00890BC9"/>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23GA">
    <w:name w:val="_ H_2/3_GA"/>
    <w:basedOn w:val="Normal"/>
    <w:next w:val="Normal"/>
    <w:link w:val="H23GAChar"/>
    <w:rsid w:val="00890BC9"/>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SingleTxtGA">
    <w:name w:val="_ Single Txt_GA"/>
    <w:basedOn w:val="Normal"/>
    <w:link w:val="SingleTxtGAChar"/>
    <w:rsid w:val="00890BC9"/>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FootnoteText1">
    <w:name w:val="Footnote Text1"/>
    <w:aliases w:val="5_GA"/>
    <w:basedOn w:val="Normal"/>
    <w:rsid w:val="00890BC9"/>
    <w:pPr>
      <w:tabs>
        <w:tab w:val="right" w:pos="1021"/>
      </w:tabs>
      <w:spacing w:after="60" w:line="300" w:lineRule="exact"/>
      <w:ind w:left="1247" w:right="1247" w:hanging="1247"/>
    </w:pPr>
    <w:rPr>
      <w:rFonts w:eastAsia="Times New Roman"/>
      <w:w w:val="100"/>
      <w:kern w:val="0"/>
      <w:sz w:val="18"/>
      <w:szCs w:val="26"/>
    </w:rPr>
  </w:style>
  <w:style w:type="character" w:customStyle="1" w:styleId="SingleTxtGAChar">
    <w:name w:val="_ Single Txt_GA Char"/>
    <w:link w:val="SingleTxtGA"/>
    <w:rsid w:val="00890BC9"/>
    <w:rPr>
      <w:rFonts w:eastAsia="Times New Roman"/>
      <w:szCs w:val="30"/>
    </w:rPr>
  </w:style>
  <w:style w:type="paragraph" w:styleId="ListParagraph">
    <w:name w:val="List Paragraph"/>
    <w:basedOn w:val="Normal"/>
    <w:uiPriority w:val="34"/>
    <w:qFormat/>
    <w:rsid w:val="00FF4AE3"/>
    <w:pPr>
      <w:bidi w:val="0"/>
      <w:spacing w:after="200" w:line="276" w:lineRule="auto"/>
      <w:ind w:left="720"/>
      <w:contextualSpacing/>
      <w:jc w:val="left"/>
    </w:pPr>
    <w:rPr>
      <w:rFonts w:asciiTheme="minorHAnsi" w:hAnsiTheme="minorHAnsi" w:cstheme="minorBidi"/>
      <w:w w:val="100"/>
      <w:kern w:val="0"/>
      <w:sz w:val="22"/>
      <w:szCs w:val="22"/>
      <w:lang w:val="fr-FR"/>
    </w:rPr>
  </w:style>
  <w:style w:type="character" w:customStyle="1" w:styleId="H23GAChar">
    <w:name w:val="_ H_2/3_GA Char"/>
    <w:basedOn w:val="DefaultParagraphFont"/>
    <w:link w:val="H23GA"/>
    <w:rsid w:val="00697012"/>
    <w:rPr>
      <w:rFonts w:eastAsia="Times New Roman"/>
      <w:b/>
      <w:bCs/>
      <w:szCs w:val="3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FC1EF0"/>
    <w:pPr>
      <w:spacing w:line="240" w:lineRule="auto"/>
    </w:pPr>
    <w:rPr>
      <w:szCs w:val="20"/>
    </w:rPr>
  </w:style>
  <w:style w:type="character" w:customStyle="1" w:styleId="CommentTextChar">
    <w:name w:val="Comment Text Char"/>
    <w:basedOn w:val="DefaultParagraphFont"/>
    <w:link w:val="CommentText"/>
    <w:rsid w:val="00FC1EF0"/>
    <w:rPr>
      <w:w w:val="103"/>
      <w:kern w:val="14"/>
    </w:rPr>
  </w:style>
  <w:style w:type="paragraph" w:styleId="CommentSubject">
    <w:name w:val="annotation subject"/>
    <w:basedOn w:val="CommentText"/>
    <w:next w:val="CommentText"/>
    <w:link w:val="CommentSubjectChar"/>
    <w:rsid w:val="00FC1EF0"/>
    <w:rPr>
      <w:b/>
      <w:bCs/>
    </w:rPr>
  </w:style>
  <w:style w:type="character" w:customStyle="1" w:styleId="CommentSubjectChar">
    <w:name w:val="Comment Subject Char"/>
    <w:basedOn w:val="CommentTextChar"/>
    <w:link w:val="CommentSubject"/>
    <w:rsid w:val="00FC1EF0"/>
    <w:rPr>
      <w:b/>
      <w:bCs/>
      <w:w w:val="103"/>
      <w:kern w:val="14"/>
    </w:rPr>
  </w:style>
  <w:style w:type="paragraph" w:customStyle="1" w:styleId="HMGA">
    <w:name w:val="_ H __M_GA"/>
    <w:basedOn w:val="Normal"/>
    <w:next w:val="Normal"/>
    <w:rsid w:val="00890BC9"/>
    <w:pPr>
      <w:keepNext/>
      <w:keepLines/>
      <w:tabs>
        <w:tab w:val="right" w:pos="1021"/>
      </w:tabs>
      <w:suppressAutoHyphens/>
      <w:spacing w:before="24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rsid w:val="00890BC9"/>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23GA">
    <w:name w:val="_ H_2/3_GA"/>
    <w:basedOn w:val="Normal"/>
    <w:next w:val="Normal"/>
    <w:link w:val="H23GAChar"/>
    <w:rsid w:val="00890BC9"/>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SingleTxtGA">
    <w:name w:val="_ Single Txt_GA"/>
    <w:basedOn w:val="Normal"/>
    <w:link w:val="SingleTxtGAChar"/>
    <w:rsid w:val="00890BC9"/>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FootnoteText1">
    <w:name w:val="Footnote Text1"/>
    <w:aliases w:val="5_GA"/>
    <w:basedOn w:val="Normal"/>
    <w:rsid w:val="00890BC9"/>
    <w:pPr>
      <w:tabs>
        <w:tab w:val="right" w:pos="1021"/>
      </w:tabs>
      <w:spacing w:after="60" w:line="300" w:lineRule="exact"/>
      <w:ind w:left="1247" w:right="1247" w:hanging="1247"/>
    </w:pPr>
    <w:rPr>
      <w:rFonts w:eastAsia="Times New Roman"/>
      <w:w w:val="100"/>
      <w:kern w:val="0"/>
      <w:sz w:val="18"/>
      <w:szCs w:val="26"/>
    </w:rPr>
  </w:style>
  <w:style w:type="character" w:customStyle="1" w:styleId="SingleTxtGAChar">
    <w:name w:val="_ Single Txt_GA Char"/>
    <w:link w:val="SingleTxtGA"/>
    <w:rsid w:val="00890BC9"/>
    <w:rPr>
      <w:rFonts w:eastAsia="Times New Roman"/>
      <w:szCs w:val="30"/>
    </w:rPr>
  </w:style>
  <w:style w:type="paragraph" w:styleId="ListParagraph">
    <w:name w:val="List Paragraph"/>
    <w:basedOn w:val="Normal"/>
    <w:uiPriority w:val="34"/>
    <w:qFormat/>
    <w:rsid w:val="00FF4AE3"/>
    <w:pPr>
      <w:bidi w:val="0"/>
      <w:spacing w:after="200" w:line="276" w:lineRule="auto"/>
      <w:ind w:left="720"/>
      <w:contextualSpacing/>
      <w:jc w:val="left"/>
    </w:pPr>
    <w:rPr>
      <w:rFonts w:asciiTheme="minorHAnsi" w:hAnsiTheme="minorHAnsi" w:cstheme="minorBidi"/>
      <w:w w:val="100"/>
      <w:kern w:val="0"/>
      <w:sz w:val="22"/>
      <w:szCs w:val="22"/>
      <w:lang w:val="fr-FR"/>
    </w:rPr>
  </w:style>
  <w:style w:type="character" w:customStyle="1" w:styleId="H23GAChar">
    <w:name w:val="_ H_2/3_GA Char"/>
    <w:basedOn w:val="DefaultParagraphFont"/>
    <w:link w:val="H23GA"/>
    <w:rsid w:val="00697012"/>
    <w:rPr>
      <w:rFonts w:eastAsia="Times New Roman"/>
      <w:b/>
      <w:bCs/>
      <w:szCs w:val="3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98C7B3B7B0D647A7F07F5EF5E03F8C" ma:contentTypeVersion="1" ma:contentTypeDescription="Create a new document." ma:contentTypeScope="" ma:versionID="2d584731b45ee6e38bdb878d68c00ae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2CE9A6-4458-4DA3-A5C5-55A63B08254C}">
  <ds:schemaRefs>
    <ds:schemaRef ds:uri="http://schemas.openxmlformats.org/officeDocument/2006/bibliography"/>
  </ds:schemaRefs>
</ds:datastoreItem>
</file>

<file path=customXml/itemProps2.xml><?xml version="1.0" encoding="utf-8"?>
<ds:datastoreItem xmlns:ds="http://schemas.openxmlformats.org/officeDocument/2006/customXml" ds:itemID="{09452BF0-DCDB-493B-AA01-E446BE856A6F}"/>
</file>

<file path=customXml/itemProps3.xml><?xml version="1.0" encoding="utf-8"?>
<ds:datastoreItem xmlns:ds="http://schemas.openxmlformats.org/officeDocument/2006/customXml" ds:itemID="{85D82D1D-5A2D-4A6C-BD68-1BF57BE74FB8}"/>
</file>

<file path=customXml/itemProps4.xml><?xml version="1.0" encoding="utf-8"?>
<ds:datastoreItem xmlns:ds="http://schemas.openxmlformats.org/officeDocument/2006/customXml" ds:itemID="{F6727B31-C18E-480B-80FF-07A1649FB73F}"/>
</file>

<file path=docProps/app.xml><?xml version="1.0" encoding="utf-8"?>
<Properties xmlns="http://schemas.openxmlformats.org/officeDocument/2006/extended-properties" xmlns:vt="http://schemas.openxmlformats.org/officeDocument/2006/docPropsVTypes">
  <Template>Normal.dotm</Template>
  <TotalTime>0</TotalTime>
  <Pages>11</Pages>
  <Words>2621</Words>
  <Characters>14945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17531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Addedum of Report of the Working Group on the Universal Periodic Review - Bahrain in Arabic</dc:title>
  <dc:creator>riz</dc:creator>
  <cp:lastModifiedBy>Sumiko IHARA</cp:lastModifiedBy>
  <cp:revision>2</cp:revision>
  <cp:lastPrinted>2017-09-15T09:23:00Z</cp:lastPrinted>
  <dcterms:created xsi:type="dcterms:W3CDTF">2017-09-15T12:26:00Z</dcterms:created>
  <dcterms:modified xsi:type="dcterms:W3CDTF">2017-09-15T12:26:00Z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1515563</vt:lpwstr>
  </property>
  <property fmtid="{D5CDD505-2E9C-101B-9397-08002B2CF9AE}" pid="3" name="ODSRefJobNo">
    <vt:lpwstr>1520811A</vt:lpwstr>
  </property>
  <property fmtid="{D5CDD505-2E9C-101B-9397-08002B2CF9AE}" pid="4" name="Symbol1">
    <vt:lpwstr>A/HRC/30/16/Add.1</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15 August 2015</vt:lpwstr>
  </property>
  <property fmtid="{D5CDD505-2E9C-101B-9397-08002B2CF9AE}" pid="9" name="Original">
    <vt:lpwstr>English</vt:lpwstr>
  </property>
  <property fmtid="{D5CDD505-2E9C-101B-9397-08002B2CF9AE}" pid="10" name="Release Date">
    <vt:lpwstr>150915</vt:lpwstr>
  </property>
  <property fmtid="{D5CDD505-2E9C-101B-9397-08002B2CF9AE}" pid="11" name="Comment">
    <vt:lpwstr/>
  </property>
  <property fmtid="{D5CDD505-2E9C-101B-9397-08002B2CF9AE}" pid="12" name="DraftPages">
    <vt:lpwstr>9</vt:lpwstr>
  </property>
  <property fmtid="{D5CDD505-2E9C-101B-9397-08002B2CF9AE}" pid="13" name="Operator">
    <vt:lpwstr>RIZ</vt:lpwstr>
  </property>
  <property fmtid="{D5CDD505-2E9C-101B-9397-08002B2CF9AE}" pid="14" name="ContentTypeId">
    <vt:lpwstr>0x0101002F98C7B3B7B0D647A7F07F5EF5E03F8C</vt:lpwstr>
  </property>
  <property fmtid="{D5CDD505-2E9C-101B-9397-08002B2CF9AE}" pid="15" name="Order">
    <vt:r8>4300</vt:r8>
  </property>
  <property fmtid="{D5CDD505-2E9C-101B-9397-08002B2CF9AE}" pid="16" name="TemplateUrl">
    <vt:lpwstr/>
  </property>
  <property fmtid="{D5CDD505-2E9C-101B-9397-08002B2CF9AE}" pid="17" name="xd_Signature">
    <vt:bool>false</vt:bool>
  </property>
  <property fmtid="{D5CDD505-2E9C-101B-9397-08002B2CF9AE}" pid="18" name="xd_ProgID">
    <vt:lpwstr/>
  </property>
  <property fmtid="{D5CDD505-2E9C-101B-9397-08002B2CF9AE}" pid="19" name="_SourceUrl">
    <vt:lpwstr/>
  </property>
  <property fmtid="{D5CDD505-2E9C-101B-9397-08002B2CF9AE}" pid="20" name="_SharedFileIndex">
    <vt:lpwstr/>
  </property>
</Properties>
</file>