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44745" w14:paraId="236ED687" w14:textId="77777777" w:rsidTr="00562621">
        <w:trPr>
          <w:trHeight w:val="851"/>
        </w:trPr>
        <w:tc>
          <w:tcPr>
            <w:tcW w:w="1259" w:type="dxa"/>
            <w:tcBorders>
              <w:top w:val="nil"/>
              <w:left w:val="nil"/>
              <w:bottom w:val="single" w:sz="4" w:space="0" w:color="auto"/>
              <w:right w:val="nil"/>
            </w:tcBorders>
          </w:tcPr>
          <w:p w14:paraId="0D7A97D2" w14:textId="77777777" w:rsidR="00446DE4" w:rsidRPr="00044745" w:rsidRDefault="00446DE4" w:rsidP="00562621">
            <w:pPr>
              <w:tabs>
                <w:tab w:val="right" w:pos="850"/>
                <w:tab w:val="left" w:pos="1134"/>
                <w:tab w:val="right" w:leader="dot" w:pos="8504"/>
              </w:tabs>
              <w:spacing w:before="360" w:after="240"/>
              <w:rPr>
                <w:lang w:val="es-CO"/>
              </w:rPr>
            </w:pPr>
          </w:p>
        </w:tc>
        <w:tc>
          <w:tcPr>
            <w:tcW w:w="2236" w:type="dxa"/>
            <w:tcBorders>
              <w:top w:val="nil"/>
              <w:left w:val="nil"/>
              <w:bottom w:val="single" w:sz="4" w:space="0" w:color="auto"/>
              <w:right w:val="nil"/>
            </w:tcBorders>
            <w:vAlign w:val="bottom"/>
          </w:tcPr>
          <w:p w14:paraId="331F18C0" w14:textId="6EA7F635" w:rsidR="00446DE4" w:rsidRPr="00044745" w:rsidRDefault="00446DE4" w:rsidP="00562621">
            <w:pPr>
              <w:spacing w:after="80" w:line="300" w:lineRule="exact"/>
              <w:rPr>
                <w:sz w:val="28"/>
                <w:szCs w:val="28"/>
                <w:lang w:val="es-CO"/>
              </w:rPr>
            </w:pPr>
          </w:p>
        </w:tc>
        <w:tc>
          <w:tcPr>
            <w:tcW w:w="6144" w:type="dxa"/>
            <w:gridSpan w:val="2"/>
            <w:tcBorders>
              <w:top w:val="nil"/>
              <w:left w:val="nil"/>
              <w:bottom w:val="single" w:sz="4" w:space="0" w:color="auto"/>
              <w:right w:val="nil"/>
            </w:tcBorders>
            <w:vAlign w:val="bottom"/>
          </w:tcPr>
          <w:p w14:paraId="4B053FD6" w14:textId="77777777" w:rsidR="00446DE4" w:rsidRPr="00044745" w:rsidRDefault="006778C5" w:rsidP="006778C5">
            <w:pPr>
              <w:jc w:val="right"/>
              <w:rPr>
                <w:lang w:val="es-CO"/>
              </w:rPr>
            </w:pPr>
            <w:r w:rsidRPr="00044745">
              <w:rPr>
                <w:sz w:val="40"/>
                <w:lang w:val="es-CO"/>
              </w:rPr>
              <w:t>A</w:t>
            </w:r>
            <w:r w:rsidRPr="00044745">
              <w:rPr>
                <w:lang w:val="es-CO"/>
              </w:rPr>
              <w:t>/HRC/37/3/Add.3</w:t>
            </w:r>
          </w:p>
        </w:tc>
      </w:tr>
      <w:tr w:rsidR="003107FA" w:rsidRPr="00044745" w14:paraId="36686BB8" w14:textId="77777777" w:rsidTr="00562621">
        <w:trPr>
          <w:trHeight w:val="2835"/>
        </w:trPr>
        <w:tc>
          <w:tcPr>
            <w:tcW w:w="1259" w:type="dxa"/>
            <w:tcBorders>
              <w:top w:val="single" w:sz="4" w:space="0" w:color="auto"/>
              <w:left w:val="nil"/>
              <w:bottom w:val="single" w:sz="12" w:space="0" w:color="auto"/>
              <w:right w:val="nil"/>
            </w:tcBorders>
          </w:tcPr>
          <w:p w14:paraId="6E28AE17" w14:textId="23AA1FB4" w:rsidR="003107FA" w:rsidRPr="00044745" w:rsidRDefault="003107FA" w:rsidP="00562621">
            <w:pPr>
              <w:spacing w:before="120"/>
              <w:jc w:val="center"/>
              <w:rPr>
                <w:lang w:val="es-CO"/>
              </w:rPr>
            </w:pPr>
          </w:p>
        </w:tc>
        <w:tc>
          <w:tcPr>
            <w:tcW w:w="5450" w:type="dxa"/>
            <w:gridSpan w:val="2"/>
            <w:tcBorders>
              <w:top w:val="single" w:sz="4" w:space="0" w:color="auto"/>
              <w:left w:val="nil"/>
              <w:bottom w:val="single" w:sz="12" w:space="0" w:color="auto"/>
              <w:right w:val="nil"/>
            </w:tcBorders>
          </w:tcPr>
          <w:p w14:paraId="42AE220F" w14:textId="77777777" w:rsidR="003D5613" w:rsidRPr="003D5613" w:rsidRDefault="003D5613" w:rsidP="003D5613">
            <w:pPr>
              <w:rPr>
                <w:b/>
                <w:bCs/>
                <w:sz w:val="40"/>
                <w:szCs w:val="40"/>
                <w:lang w:val="es-CO"/>
              </w:rPr>
            </w:pPr>
            <w:r w:rsidRPr="003D5613">
              <w:rPr>
                <w:b/>
                <w:bCs/>
                <w:sz w:val="40"/>
                <w:szCs w:val="40"/>
                <w:lang w:val="es-CO"/>
              </w:rPr>
              <w:t>VERSIÓN NO EDITADA</w:t>
            </w:r>
          </w:p>
          <w:p w14:paraId="29AB9946" w14:textId="27923C9A" w:rsidR="003107FA" w:rsidRPr="00044745" w:rsidRDefault="009A6072" w:rsidP="00562621">
            <w:pPr>
              <w:spacing w:before="120" w:line="420" w:lineRule="exact"/>
              <w:rPr>
                <w:b/>
                <w:sz w:val="40"/>
                <w:szCs w:val="40"/>
                <w:lang w:val="es-CO"/>
              </w:rPr>
            </w:pPr>
            <w:r>
              <w:rPr>
                <w:b/>
                <w:sz w:val="40"/>
                <w:szCs w:val="40"/>
                <w:lang w:val="es-CO"/>
              </w:rPr>
              <w:t>Traducción no oficial</w:t>
            </w:r>
            <w:bookmarkStart w:id="0" w:name="_GoBack"/>
            <w:bookmarkEnd w:id="0"/>
          </w:p>
        </w:tc>
        <w:tc>
          <w:tcPr>
            <w:tcW w:w="2930" w:type="dxa"/>
            <w:tcBorders>
              <w:top w:val="single" w:sz="4" w:space="0" w:color="auto"/>
              <w:left w:val="nil"/>
              <w:bottom w:val="single" w:sz="12" w:space="0" w:color="auto"/>
              <w:right w:val="nil"/>
            </w:tcBorders>
          </w:tcPr>
          <w:p w14:paraId="3723E214" w14:textId="77777777" w:rsidR="003107FA" w:rsidRPr="00044745" w:rsidRDefault="006778C5" w:rsidP="006778C5">
            <w:pPr>
              <w:spacing w:before="240" w:line="240" w:lineRule="exact"/>
              <w:rPr>
                <w:lang w:val="es-CO"/>
              </w:rPr>
            </w:pPr>
            <w:proofErr w:type="spellStart"/>
            <w:r w:rsidRPr="00044745">
              <w:rPr>
                <w:lang w:val="es-CO"/>
              </w:rPr>
              <w:t>Distr</w:t>
            </w:r>
            <w:proofErr w:type="spellEnd"/>
            <w:r w:rsidRPr="00044745">
              <w:rPr>
                <w:lang w:val="es-CO"/>
              </w:rPr>
              <w:t>.: General</w:t>
            </w:r>
          </w:p>
          <w:p w14:paraId="76A4F653" w14:textId="58AB813C" w:rsidR="006778C5" w:rsidRPr="00044745" w:rsidRDefault="00B26536" w:rsidP="006778C5">
            <w:pPr>
              <w:spacing w:line="240" w:lineRule="exact"/>
              <w:rPr>
                <w:lang w:val="es-CO"/>
              </w:rPr>
            </w:pPr>
            <w:r>
              <w:rPr>
                <w:lang w:val="es-CO"/>
              </w:rPr>
              <w:t>2 de marzo</w:t>
            </w:r>
            <w:r w:rsidR="00124E0F" w:rsidRPr="00044745">
              <w:rPr>
                <w:lang w:val="es-CO"/>
              </w:rPr>
              <w:t xml:space="preserve"> de </w:t>
            </w:r>
            <w:r w:rsidR="006778C5" w:rsidRPr="00044745">
              <w:rPr>
                <w:lang w:val="es-CO"/>
              </w:rPr>
              <w:t>2018</w:t>
            </w:r>
          </w:p>
          <w:p w14:paraId="318ABEEC" w14:textId="77777777" w:rsidR="006778C5" w:rsidRPr="00044745" w:rsidRDefault="006778C5" w:rsidP="006778C5">
            <w:pPr>
              <w:spacing w:line="240" w:lineRule="exact"/>
              <w:rPr>
                <w:lang w:val="es-CO"/>
              </w:rPr>
            </w:pPr>
          </w:p>
          <w:p w14:paraId="32CB2573" w14:textId="77777777" w:rsidR="006778C5" w:rsidRPr="00044745" w:rsidRDefault="006778C5" w:rsidP="006778C5">
            <w:pPr>
              <w:spacing w:line="240" w:lineRule="exact"/>
              <w:rPr>
                <w:lang w:val="es-CO"/>
              </w:rPr>
            </w:pPr>
            <w:r w:rsidRPr="00044745">
              <w:rPr>
                <w:lang w:val="es-CO"/>
              </w:rPr>
              <w:t xml:space="preserve">Original: </w:t>
            </w:r>
            <w:r w:rsidR="00124E0F" w:rsidRPr="00044745">
              <w:rPr>
                <w:lang w:val="es-CO"/>
              </w:rPr>
              <w:t>inglés</w:t>
            </w:r>
          </w:p>
        </w:tc>
      </w:tr>
    </w:tbl>
    <w:p w14:paraId="5EF93B7F" w14:textId="77777777" w:rsidR="006778C5" w:rsidRPr="00044745" w:rsidRDefault="006778C5" w:rsidP="00CF586F">
      <w:pPr>
        <w:rPr>
          <w:lang w:val="es-CO"/>
        </w:rPr>
      </w:pPr>
    </w:p>
    <w:p w14:paraId="1A6C662F" w14:textId="77777777" w:rsidR="00EB7DB5" w:rsidRPr="00044745" w:rsidRDefault="00124E0F" w:rsidP="00EB7DB5">
      <w:pPr>
        <w:rPr>
          <w:b/>
          <w:sz w:val="24"/>
          <w:szCs w:val="24"/>
          <w:lang w:val="es-CO"/>
        </w:rPr>
      </w:pPr>
      <w:r w:rsidRPr="00044745">
        <w:rPr>
          <w:b/>
          <w:sz w:val="24"/>
          <w:szCs w:val="24"/>
          <w:lang w:val="es-CO"/>
        </w:rPr>
        <w:t>Consejo de Derechos Humanos</w:t>
      </w:r>
    </w:p>
    <w:p w14:paraId="4B98D3E4" w14:textId="75ABF845" w:rsidR="00EB7DB5" w:rsidRDefault="00124E0F" w:rsidP="00EB7DB5">
      <w:pPr>
        <w:rPr>
          <w:b/>
          <w:lang w:val="es-CO"/>
        </w:rPr>
      </w:pPr>
      <w:r w:rsidRPr="00044745">
        <w:rPr>
          <w:b/>
          <w:lang w:val="es-CO"/>
        </w:rPr>
        <w:t>3</w:t>
      </w:r>
      <w:r w:rsidR="0087609D" w:rsidRPr="00044745">
        <w:rPr>
          <w:b/>
          <w:lang w:val="es-CO"/>
        </w:rPr>
        <w:t>7</w:t>
      </w:r>
      <w:r w:rsidRPr="00044745">
        <w:rPr>
          <w:b/>
          <w:vertAlign w:val="superscript"/>
          <w:lang w:val="es-CO"/>
        </w:rPr>
        <w:t>o</w:t>
      </w:r>
      <w:r w:rsidRPr="00044745">
        <w:rPr>
          <w:b/>
          <w:lang w:val="es-CO"/>
        </w:rPr>
        <w:t xml:space="preserve"> período de sesiones</w:t>
      </w:r>
    </w:p>
    <w:p w14:paraId="61606560" w14:textId="323509AE" w:rsidR="00B26536" w:rsidRPr="00044745" w:rsidRDefault="00B26536" w:rsidP="00EB7DB5">
      <w:pPr>
        <w:rPr>
          <w:b/>
          <w:lang w:val="es-CO"/>
        </w:rPr>
      </w:pPr>
      <w:r>
        <w:rPr>
          <w:b/>
          <w:lang w:val="es-CO"/>
        </w:rPr>
        <w:t>26 febrero-23 marzo 2018</w:t>
      </w:r>
    </w:p>
    <w:p w14:paraId="4105C239" w14:textId="77777777" w:rsidR="00EB7DB5" w:rsidRPr="00044745" w:rsidRDefault="00124E0F" w:rsidP="00EB7DB5">
      <w:pPr>
        <w:rPr>
          <w:lang w:val="es-CO"/>
        </w:rPr>
      </w:pPr>
      <w:r w:rsidRPr="00044745">
        <w:rPr>
          <w:lang w:val="es-CO"/>
        </w:rPr>
        <w:t>Tema 2 de la a</w:t>
      </w:r>
      <w:r w:rsidR="00EB7DB5" w:rsidRPr="00044745">
        <w:rPr>
          <w:lang w:val="es-CO"/>
        </w:rPr>
        <w:t xml:space="preserve">genda </w:t>
      </w:r>
    </w:p>
    <w:p w14:paraId="14F8C9DE" w14:textId="5E2E533F" w:rsidR="00124E0F" w:rsidRDefault="00124E0F" w:rsidP="00124E0F">
      <w:pPr>
        <w:rPr>
          <w:b/>
          <w:bCs/>
          <w:lang w:val="es-CO"/>
        </w:rPr>
      </w:pPr>
      <w:r w:rsidRPr="00044745">
        <w:rPr>
          <w:b/>
          <w:bCs/>
          <w:lang w:val="es-CO"/>
        </w:rPr>
        <w:t>Informe anual del Alto Comisionado de las Naciones Unidas</w:t>
      </w:r>
      <w:r w:rsidRPr="00044745">
        <w:rPr>
          <w:b/>
          <w:bCs/>
          <w:lang w:val="es-CO"/>
        </w:rPr>
        <w:br/>
        <w:t xml:space="preserve">para los Derechos Humanos e informes de la Oficina </w:t>
      </w:r>
      <w:r w:rsidRPr="00044745">
        <w:rPr>
          <w:b/>
          <w:bCs/>
          <w:lang w:val="es-CO"/>
        </w:rPr>
        <w:br/>
        <w:t>del Alto Comisionado y del Secretario General</w:t>
      </w:r>
    </w:p>
    <w:p w14:paraId="323C777F" w14:textId="00BA86C6" w:rsidR="00C5079B" w:rsidRDefault="00C5079B" w:rsidP="00124E0F">
      <w:pPr>
        <w:rPr>
          <w:b/>
          <w:bCs/>
          <w:lang w:val="es-CO"/>
        </w:rPr>
      </w:pPr>
    </w:p>
    <w:p w14:paraId="0ED11281" w14:textId="15ACD2C9" w:rsidR="00C5079B" w:rsidRPr="00044745" w:rsidRDefault="00C5079B" w:rsidP="00124E0F">
      <w:pPr>
        <w:rPr>
          <w:b/>
          <w:bCs/>
          <w:lang w:val="es-CO"/>
        </w:rPr>
      </w:pPr>
      <w:r>
        <w:rPr>
          <w:b/>
          <w:bCs/>
          <w:lang w:val="es-CO"/>
        </w:rPr>
        <w:t>VERSIÓN NO EDITADA</w:t>
      </w:r>
    </w:p>
    <w:p w14:paraId="2765163A" w14:textId="77777777" w:rsidR="00CF586F" w:rsidRPr="00044745" w:rsidRDefault="00CF586F" w:rsidP="00EB7DB5">
      <w:pPr>
        <w:rPr>
          <w:b/>
          <w:lang w:val="es-CO"/>
        </w:rPr>
      </w:pPr>
    </w:p>
    <w:p w14:paraId="6C127AF8" w14:textId="77777777" w:rsidR="006012D1" w:rsidRPr="00044745" w:rsidRDefault="006012D1" w:rsidP="00EB7DB5">
      <w:pPr>
        <w:rPr>
          <w:b/>
          <w:lang w:val="es-CO"/>
        </w:rPr>
      </w:pPr>
    </w:p>
    <w:p w14:paraId="1C047C60" w14:textId="2744B721" w:rsidR="006012D1" w:rsidRPr="00044745" w:rsidRDefault="006012D1" w:rsidP="006012D1">
      <w:pPr>
        <w:pStyle w:val="HChG"/>
        <w:rPr>
          <w:lang w:val="es-CO"/>
        </w:rPr>
      </w:pPr>
      <w:r w:rsidRPr="00044745">
        <w:rPr>
          <w:lang w:val="es-CO"/>
        </w:rPr>
        <w:tab/>
      </w:r>
      <w:r w:rsidRPr="00044745">
        <w:rPr>
          <w:lang w:val="es-CO"/>
        </w:rPr>
        <w:tab/>
      </w:r>
      <w:r w:rsidR="00124E0F" w:rsidRPr="00044745">
        <w:rPr>
          <w:lang w:val="es-CO"/>
        </w:rPr>
        <w:t xml:space="preserve">Informe anual del Alto Comisionado de las Naciones Unidas para los Derechos Humanos </w:t>
      </w:r>
      <w:r w:rsidR="0087609D" w:rsidRPr="00044745">
        <w:rPr>
          <w:lang w:val="es-CO"/>
        </w:rPr>
        <w:t xml:space="preserve">sobre la situación de los derechos humanos </w:t>
      </w:r>
      <w:r w:rsidR="00124E0F" w:rsidRPr="00044745">
        <w:rPr>
          <w:lang w:val="es-CO"/>
        </w:rPr>
        <w:t>e</w:t>
      </w:r>
      <w:r w:rsidRPr="00044745">
        <w:rPr>
          <w:lang w:val="es-CO"/>
        </w:rPr>
        <w:t>n Colombia</w:t>
      </w:r>
      <w:r w:rsidR="00B26536">
        <w:rPr>
          <w:rStyle w:val="FootnoteReference"/>
          <w:lang w:val="es-CO"/>
        </w:rPr>
        <w:footnoteReference w:id="2"/>
      </w:r>
    </w:p>
    <w:p w14:paraId="73242126" w14:textId="77777777" w:rsidR="0067153E" w:rsidRPr="00044745" w:rsidRDefault="0067153E" w:rsidP="0067153E">
      <w:pPr>
        <w:rPr>
          <w:lang w:val="es-CO"/>
        </w:rPr>
      </w:pPr>
    </w:p>
    <w:p w14:paraId="4C18AA70" w14:textId="77777777" w:rsidR="0067153E" w:rsidRPr="00044745" w:rsidRDefault="0067153E" w:rsidP="0067153E">
      <w:pPr>
        <w:pStyle w:val="H1G"/>
        <w:rPr>
          <w:lang w:val="es-CO"/>
        </w:rPr>
      </w:pPr>
      <w:r w:rsidRPr="00044745">
        <w:rPr>
          <w:lang w:val="es-CO"/>
        </w:rPr>
        <w:tab/>
      </w:r>
      <w:r w:rsidRPr="00044745">
        <w:rPr>
          <w:lang w:val="es-CO"/>
        </w:rPr>
        <w:tab/>
        <w:t>Not</w:t>
      </w:r>
      <w:r w:rsidR="00124E0F" w:rsidRPr="00044745">
        <w:rPr>
          <w:lang w:val="es-CO"/>
        </w:rPr>
        <w:t>a de</w:t>
      </w:r>
      <w:r w:rsidR="0025114B" w:rsidRPr="00044745">
        <w:rPr>
          <w:lang w:val="es-CO"/>
        </w:rPr>
        <w:t xml:space="preserve"> </w:t>
      </w:r>
      <w:r w:rsidR="00124E0F" w:rsidRPr="00044745">
        <w:rPr>
          <w:lang w:val="es-CO"/>
        </w:rPr>
        <w:t>l</w:t>
      </w:r>
      <w:r w:rsidR="0025114B" w:rsidRPr="00044745">
        <w:rPr>
          <w:lang w:val="es-CO"/>
        </w:rPr>
        <w:t>a Secretaría</w:t>
      </w:r>
    </w:p>
    <w:p w14:paraId="694F596F" w14:textId="77777777" w:rsidR="009B5786" w:rsidRPr="00044745" w:rsidRDefault="009B5786" w:rsidP="009B5786">
      <w:pPr>
        <w:rPr>
          <w:lang w:val="es-CO"/>
        </w:rPr>
      </w:pPr>
    </w:p>
    <w:p w14:paraId="2426F3DB" w14:textId="47137F53" w:rsidR="00124E0F" w:rsidRPr="00044745" w:rsidRDefault="00124E0F" w:rsidP="009B5786">
      <w:pPr>
        <w:pStyle w:val="SingleTxtG"/>
        <w:ind w:firstLine="567"/>
        <w:rPr>
          <w:rFonts w:eastAsiaTheme="minorHAnsi"/>
          <w:lang w:val="es-CO"/>
        </w:rPr>
      </w:pPr>
      <w:r w:rsidRPr="00044745">
        <w:rPr>
          <w:rFonts w:eastAsiaTheme="minorHAnsi"/>
          <w:lang w:val="es-CO"/>
        </w:rPr>
        <w:t>El presente informe describe la situación de derechos humanos en Colombia en materia de paz, seguridad, desarrollo y democracia</w:t>
      </w:r>
      <w:r w:rsidR="000A6174">
        <w:rPr>
          <w:rFonts w:eastAsiaTheme="minorHAnsi"/>
          <w:lang w:val="es-CO"/>
        </w:rPr>
        <w:t xml:space="preserve"> en 2017</w:t>
      </w:r>
      <w:r w:rsidRPr="00044745">
        <w:rPr>
          <w:rFonts w:eastAsiaTheme="minorHAnsi"/>
          <w:lang w:val="es-CO"/>
        </w:rPr>
        <w:t>. También destaca algunas de las actividades de la Oficina del Alto Comisionado para los Derechos Humanos (</w:t>
      </w:r>
      <w:r w:rsidR="002F69F8">
        <w:rPr>
          <w:rFonts w:eastAsiaTheme="minorHAnsi"/>
          <w:lang w:val="es-CO"/>
        </w:rPr>
        <w:t>O</w:t>
      </w:r>
      <w:r w:rsidR="0087609D" w:rsidRPr="00044745">
        <w:rPr>
          <w:rFonts w:eastAsiaTheme="minorHAnsi"/>
          <w:lang w:val="es-CO"/>
        </w:rPr>
        <w:t>ACNUDH</w:t>
      </w:r>
      <w:r w:rsidRPr="00044745">
        <w:rPr>
          <w:rFonts w:eastAsiaTheme="minorHAnsi"/>
          <w:lang w:val="es-CO"/>
        </w:rPr>
        <w:t>) en el país. E</w:t>
      </w:r>
      <w:r w:rsidR="003F060C" w:rsidRPr="00044745">
        <w:rPr>
          <w:rFonts w:eastAsiaTheme="minorHAnsi"/>
          <w:lang w:val="es-CO"/>
        </w:rPr>
        <w:t>n particular, e</w:t>
      </w:r>
      <w:r w:rsidRPr="00044745">
        <w:rPr>
          <w:rFonts w:eastAsiaTheme="minorHAnsi"/>
          <w:lang w:val="es-CO"/>
        </w:rPr>
        <w:t xml:space="preserve">l informe </w:t>
      </w:r>
      <w:r w:rsidR="003F060C" w:rsidRPr="00044745">
        <w:rPr>
          <w:rFonts w:eastAsiaTheme="minorHAnsi"/>
          <w:lang w:val="es-CO"/>
        </w:rPr>
        <w:t xml:space="preserve">presenta el balance de </w:t>
      </w:r>
      <w:r w:rsidR="002F69F8">
        <w:rPr>
          <w:rFonts w:eastAsiaTheme="minorHAnsi"/>
          <w:lang w:val="es-CO"/>
        </w:rPr>
        <w:t>O</w:t>
      </w:r>
      <w:r w:rsidR="00A3110F" w:rsidRPr="00044745">
        <w:rPr>
          <w:rFonts w:eastAsiaTheme="minorHAnsi"/>
          <w:lang w:val="es-CO"/>
        </w:rPr>
        <w:t>ACNUDH</w:t>
      </w:r>
      <w:r w:rsidR="003F060C" w:rsidRPr="00044745">
        <w:rPr>
          <w:rFonts w:eastAsiaTheme="minorHAnsi"/>
          <w:lang w:val="es-CO"/>
        </w:rPr>
        <w:t xml:space="preserve"> del primer año de implementación de los aspectos de derechos humanos del acuerdo de paz. Destaca algunos desafíos, especialmente en </w:t>
      </w:r>
      <w:r w:rsidR="00A3110F">
        <w:rPr>
          <w:rFonts w:eastAsiaTheme="minorHAnsi"/>
          <w:lang w:val="es-CO"/>
        </w:rPr>
        <w:t xml:space="preserve">las zonas </w:t>
      </w:r>
      <w:r w:rsidR="003F060C" w:rsidRPr="00044745">
        <w:rPr>
          <w:rFonts w:eastAsiaTheme="minorHAnsi"/>
          <w:lang w:val="es-CO"/>
        </w:rPr>
        <w:t xml:space="preserve">rurales, </w:t>
      </w:r>
      <w:r w:rsidR="00A3110F">
        <w:rPr>
          <w:rFonts w:eastAsiaTheme="minorHAnsi"/>
          <w:lang w:val="es-CO"/>
        </w:rPr>
        <w:t xml:space="preserve">como </w:t>
      </w:r>
      <w:r w:rsidR="002F69F8" w:rsidRPr="00044745">
        <w:rPr>
          <w:rFonts w:eastAsiaTheme="minorHAnsi"/>
          <w:lang w:val="es-CO"/>
        </w:rPr>
        <w:t>la</w:t>
      </w:r>
      <w:r w:rsidR="002F69F8">
        <w:rPr>
          <w:rFonts w:eastAsiaTheme="minorHAnsi"/>
          <w:lang w:val="es-CO"/>
        </w:rPr>
        <w:t xml:space="preserve"> falta de seguridad</w:t>
      </w:r>
      <w:r w:rsidR="003F060C" w:rsidRPr="00044745">
        <w:rPr>
          <w:rFonts w:eastAsiaTheme="minorHAnsi"/>
          <w:lang w:val="es-CO"/>
        </w:rPr>
        <w:t xml:space="preserve">, la violencia vinculada a actividades económicas ilegales en </w:t>
      </w:r>
      <w:r w:rsidR="00A3110F">
        <w:rPr>
          <w:rFonts w:eastAsiaTheme="minorHAnsi"/>
          <w:lang w:val="es-CO"/>
        </w:rPr>
        <w:t>contextos de disputas</w:t>
      </w:r>
      <w:r w:rsidR="003F060C" w:rsidRPr="00044745">
        <w:rPr>
          <w:rFonts w:eastAsiaTheme="minorHAnsi"/>
          <w:lang w:val="es-CO"/>
        </w:rPr>
        <w:t xml:space="preserve"> entre grupos armados ilegales y el crimen organizado, en particular en las</w:t>
      </w:r>
      <w:r w:rsidR="002F69F8">
        <w:rPr>
          <w:rFonts w:eastAsiaTheme="minorHAnsi"/>
          <w:lang w:val="es-CO"/>
        </w:rPr>
        <w:t xml:space="preserve"> antiguas</w:t>
      </w:r>
      <w:r w:rsidR="003F060C" w:rsidRPr="00044745">
        <w:rPr>
          <w:rFonts w:eastAsiaTheme="minorHAnsi"/>
          <w:lang w:val="es-CO"/>
        </w:rPr>
        <w:t xml:space="preserve"> áreas de influencia</w:t>
      </w:r>
      <w:r w:rsidR="002F69F8">
        <w:rPr>
          <w:rFonts w:eastAsiaTheme="minorHAnsi"/>
          <w:lang w:val="es-CO"/>
        </w:rPr>
        <w:t xml:space="preserve"> de</w:t>
      </w:r>
      <w:r w:rsidR="003F060C" w:rsidRPr="00044745">
        <w:rPr>
          <w:rFonts w:eastAsiaTheme="minorHAnsi"/>
          <w:lang w:val="es-CO"/>
        </w:rPr>
        <w:t xml:space="preserve"> las Fuerzas Armadas Revolucionarias de Colombia – Ejército del Pueblo. </w:t>
      </w:r>
    </w:p>
    <w:p w14:paraId="0565EE0E" w14:textId="187AB042" w:rsidR="003F060C" w:rsidRPr="00044745" w:rsidRDefault="003F060C" w:rsidP="009B5786">
      <w:pPr>
        <w:pStyle w:val="SingleTxtG"/>
        <w:ind w:firstLine="567"/>
        <w:rPr>
          <w:rFonts w:eastAsiaTheme="minorHAnsi"/>
          <w:lang w:val="es-CO"/>
        </w:rPr>
      </w:pPr>
      <w:r w:rsidRPr="00044745">
        <w:rPr>
          <w:rFonts w:eastAsiaTheme="minorHAnsi"/>
          <w:lang w:val="es-CO"/>
        </w:rPr>
        <w:t xml:space="preserve">Este informe también resalta los crecientes ataques en contra de los </w:t>
      </w:r>
      <w:r w:rsidR="00D46C9C" w:rsidRPr="00044745">
        <w:rPr>
          <w:rFonts w:eastAsiaTheme="minorHAnsi"/>
          <w:lang w:val="es-CO"/>
        </w:rPr>
        <w:t xml:space="preserve">defensores de derechos humanos, la corrupción y su impacto en las desigualdades en el </w:t>
      </w:r>
      <w:r w:rsidR="00BA0DA8">
        <w:rPr>
          <w:rFonts w:eastAsiaTheme="minorHAnsi"/>
          <w:lang w:val="es-CO"/>
        </w:rPr>
        <w:t>disfrute</w:t>
      </w:r>
      <w:r w:rsidR="00A3110F">
        <w:rPr>
          <w:rFonts w:eastAsiaTheme="minorHAnsi"/>
          <w:lang w:val="es-CO"/>
        </w:rPr>
        <w:t xml:space="preserve"> </w:t>
      </w:r>
      <w:r w:rsidR="00D46C9C" w:rsidRPr="00044745">
        <w:rPr>
          <w:rFonts w:eastAsiaTheme="minorHAnsi"/>
          <w:lang w:val="es-CO"/>
        </w:rPr>
        <w:t xml:space="preserve">de los derechos económicos, sociales y culturales, así como las dificultades para abordar los problemas multidimensionales </w:t>
      </w:r>
      <w:r w:rsidR="0025114B" w:rsidRPr="00044745">
        <w:rPr>
          <w:rFonts w:eastAsiaTheme="minorHAnsi"/>
          <w:lang w:val="es-CO"/>
        </w:rPr>
        <w:t>que</w:t>
      </w:r>
      <w:r w:rsidR="00E43975">
        <w:rPr>
          <w:rFonts w:eastAsiaTheme="minorHAnsi"/>
          <w:lang w:val="es-CO"/>
        </w:rPr>
        <w:t xml:space="preserve"> desde</w:t>
      </w:r>
      <w:r w:rsidR="0025114B" w:rsidRPr="00044745">
        <w:rPr>
          <w:rFonts w:eastAsiaTheme="minorHAnsi"/>
          <w:lang w:val="es-CO"/>
        </w:rPr>
        <w:t xml:space="preserve"> hace décadas padecen las comunidades rurales. </w:t>
      </w:r>
    </w:p>
    <w:p w14:paraId="326A4C3B" w14:textId="77777777" w:rsidR="009B5786" w:rsidRPr="00044745" w:rsidRDefault="0025114B" w:rsidP="0025114B">
      <w:pPr>
        <w:pStyle w:val="SingleTxtG"/>
        <w:ind w:firstLine="567"/>
        <w:rPr>
          <w:lang w:val="es-CO"/>
        </w:rPr>
      </w:pPr>
      <w:r w:rsidRPr="00044745">
        <w:rPr>
          <w:lang w:val="es-CO"/>
        </w:rPr>
        <w:t>El informe contiene 19 recomendaciones</w:t>
      </w:r>
      <w:r w:rsidR="009B5786" w:rsidRPr="00044745">
        <w:rPr>
          <w:lang w:val="es-CO"/>
        </w:rPr>
        <w:t>.</w:t>
      </w:r>
      <w:r w:rsidR="00A3110F">
        <w:rPr>
          <w:lang w:val="es-CO"/>
        </w:rPr>
        <w:t xml:space="preserve"> </w:t>
      </w:r>
    </w:p>
    <w:p w14:paraId="645AA6E9" w14:textId="77777777" w:rsidR="00B26536" w:rsidRDefault="001C62B6" w:rsidP="004207AB">
      <w:pPr>
        <w:pStyle w:val="HChG"/>
        <w:ind w:hanging="567"/>
        <w:rPr>
          <w:lang w:val="es-CO"/>
        </w:rPr>
      </w:pPr>
      <w:r w:rsidRPr="00044745">
        <w:rPr>
          <w:lang w:val="es-CO"/>
        </w:rPr>
        <w:br w:type="page"/>
      </w:r>
    </w:p>
    <w:p w14:paraId="45DA49C6" w14:textId="335E3AC6" w:rsidR="00B26536" w:rsidRDefault="0038304F" w:rsidP="0038304F">
      <w:pPr>
        <w:pStyle w:val="HChG"/>
        <w:rPr>
          <w:lang w:val="es-CO"/>
        </w:rPr>
      </w:pPr>
      <w:r>
        <w:rPr>
          <w:lang w:val="es-CO"/>
        </w:rPr>
        <w:lastRenderedPageBreak/>
        <w:tab/>
      </w:r>
      <w:r>
        <w:rPr>
          <w:lang w:val="es-CO"/>
        </w:rPr>
        <w:tab/>
      </w:r>
      <w:r w:rsidR="00B26536">
        <w:rPr>
          <w:lang w:val="es-CO"/>
        </w:rPr>
        <w:t>Informe anual del Alto Comisionado de las Naciones Unidas para los Derechos Humanos sobre la situación de los derechos humanos en Colombia</w:t>
      </w:r>
      <w:r w:rsidR="00B26536" w:rsidRPr="0038304F">
        <w:rPr>
          <w:lang w:val="es-CO"/>
        </w:rPr>
        <w:footnoteReference w:id="3"/>
      </w:r>
    </w:p>
    <w:p w14:paraId="32FB2F4D" w14:textId="4E7A534B" w:rsidR="001544A7" w:rsidRPr="00044745" w:rsidRDefault="001544A7" w:rsidP="004207AB">
      <w:pPr>
        <w:pStyle w:val="HChG"/>
        <w:ind w:hanging="567"/>
        <w:rPr>
          <w:noProof/>
          <w:lang w:val="es-CO" w:eastAsia="en-GB"/>
        </w:rPr>
      </w:pPr>
      <w:r w:rsidRPr="00044745">
        <w:rPr>
          <w:noProof/>
          <w:lang w:val="es-CO" w:eastAsia="en-GB"/>
        </w:rPr>
        <w:t>I</w:t>
      </w:r>
      <w:r w:rsidR="00191119" w:rsidRPr="00044745">
        <w:rPr>
          <w:noProof/>
          <w:lang w:val="es-CO" w:eastAsia="en-GB"/>
        </w:rPr>
        <w:t>.</w:t>
      </w:r>
      <w:r w:rsidR="00191119" w:rsidRPr="00044745">
        <w:rPr>
          <w:noProof/>
          <w:lang w:val="es-CO" w:eastAsia="en-GB"/>
        </w:rPr>
        <w:tab/>
      </w:r>
      <w:r w:rsidR="00191119" w:rsidRPr="00044745">
        <w:rPr>
          <w:noProof/>
          <w:lang w:val="es-CO" w:eastAsia="en-GB"/>
        </w:rPr>
        <w:tab/>
        <w:t>I</w:t>
      </w:r>
      <w:r w:rsidRPr="00044745">
        <w:rPr>
          <w:noProof/>
          <w:lang w:val="es-CO" w:eastAsia="en-GB"/>
        </w:rPr>
        <w:t>ntroduc</w:t>
      </w:r>
      <w:r w:rsidR="0025114B" w:rsidRPr="00044745">
        <w:rPr>
          <w:noProof/>
          <w:lang w:val="es-CO" w:eastAsia="en-GB"/>
        </w:rPr>
        <w:t>ción</w:t>
      </w:r>
    </w:p>
    <w:p w14:paraId="69527BD4" w14:textId="3FB0C997" w:rsidR="00B331F8" w:rsidRPr="00044745" w:rsidRDefault="001544A7" w:rsidP="001544A7">
      <w:pPr>
        <w:pStyle w:val="SingleTxtG"/>
        <w:rPr>
          <w:noProof/>
          <w:lang w:val="es-CO" w:eastAsia="en-GB"/>
        </w:rPr>
      </w:pPr>
      <w:r w:rsidRPr="00044745">
        <w:rPr>
          <w:noProof/>
          <w:lang w:val="es-CO" w:eastAsia="en-GB"/>
        </w:rPr>
        <w:t>1.</w:t>
      </w:r>
      <w:r w:rsidRPr="00044745">
        <w:rPr>
          <w:noProof/>
          <w:lang w:val="es-CO" w:eastAsia="en-GB"/>
        </w:rPr>
        <w:tab/>
      </w:r>
      <w:r w:rsidR="00B331F8" w:rsidRPr="00044745">
        <w:rPr>
          <w:noProof/>
          <w:lang w:val="es-CO" w:eastAsia="en-GB"/>
        </w:rPr>
        <w:t xml:space="preserve">El presente informe </w:t>
      </w:r>
      <w:r w:rsidR="003064B8">
        <w:rPr>
          <w:noProof/>
          <w:lang w:val="es-CO" w:eastAsia="en-GB"/>
        </w:rPr>
        <w:t>se basa en</w:t>
      </w:r>
      <w:r w:rsidR="00596EE0" w:rsidRPr="00044745">
        <w:rPr>
          <w:noProof/>
          <w:lang w:val="es-CO" w:eastAsia="en-GB"/>
        </w:rPr>
        <w:t xml:space="preserve"> </w:t>
      </w:r>
      <w:r w:rsidR="00B331F8" w:rsidRPr="00044745">
        <w:rPr>
          <w:noProof/>
          <w:lang w:val="es-CO" w:eastAsia="en-GB"/>
        </w:rPr>
        <w:t>l</w:t>
      </w:r>
      <w:r w:rsidR="00596EE0" w:rsidRPr="00044745">
        <w:rPr>
          <w:noProof/>
          <w:lang w:val="es-CO" w:eastAsia="en-GB"/>
        </w:rPr>
        <w:t xml:space="preserve">a observación </w:t>
      </w:r>
      <w:r w:rsidR="00B331F8" w:rsidRPr="00044745">
        <w:rPr>
          <w:noProof/>
          <w:lang w:val="es-CO" w:eastAsia="en-GB"/>
        </w:rPr>
        <w:t xml:space="preserve">de la situación de derechos humanos en Colombia por parte </w:t>
      </w:r>
      <w:r w:rsidR="00596EE0" w:rsidRPr="00044745">
        <w:rPr>
          <w:noProof/>
          <w:lang w:val="es-CO" w:eastAsia="en-GB"/>
        </w:rPr>
        <w:t>de la Oficina del Alto Comisionado de las Naciones Unidas para los Derechos Humanos en Colombia (</w:t>
      </w:r>
      <w:r w:rsidR="002F69F8">
        <w:rPr>
          <w:noProof/>
          <w:lang w:val="es-CO" w:eastAsia="en-GB"/>
        </w:rPr>
        <w:t>O</w:t>
      </w:r>
      <w:r w:rsidR="0087609D" w:rsidRPr="00044745">
        <w:rPr>
          <w:noProof/>
          <w:lang w:val="es-CO" w:eastAsia="en-GB"/>
        </w:rPr>
        <w:t>ACNUDH</w:t>
      </w:r>
      <w:r w:rsidR="00596EE0" w:rsidRPr="00044745">
        <w:rPr>
          <w:noProof/>
          <w:lang w:val="es-CO" w:eastAsia="en-GB"/>
        </w:rPr>
        <w:t xml:space="preserve">) entre el 1 de enero y el 31 de diciembre de 2017. </w:t>
      </w:r>
    </w:p>
    <w:p w14:paraId="1C657292" w14:textId="58227D6A" w:rsidR="001544A7" w:rsidRPr="00044745" w:rsidRDefault="001544A7" w:rsidP="001544A7">
      <w:pPr>
        <w:pStyle w:val="SingleTxtG"/>
        <w:rPr>
          <w:noProof/>
          <w:lang w:val="es-CO" w:eastAsia="en-GB"/>
        </w:rPr>
      </w:pPr>
      <w:r w:rsidRPr="00044745">
        <w:rPr>
          <w:noProof/>
          <w:lang w:val="es-CO" w:eastAsia="en-GB"/>
        </w:rPr>
        <w:t>2.</w:t>
      </w:r>
      <w:r w:rsidRPr="00044745">
        <w:rPr>
          <w:noProof/>
          <w:lang w:val="es-CO" w:eastAsia="en-GB"/>
        </w:rPr>
        <w:tab/>
      </w:r>
      <w:r w:rsidR="00A0021B">
        <w:rPr>
          <w:noProof/>
          <w:lang w:val="es-CO" w:eastAsia="en-GB"/>
        </w:rPr>
        <w:t>El a</w:t>
      </w:r>
      <w:r w:rsidR="00596EE0" w:rsidRPr="00044745">
        <w:rPr>
          <w:noProof/>
          <w:lang w:val="es-CO" w:eastAsia="en-GB"/>
        </w:rPr>
        <w:t xml:space="preserve">cuerdo de </w:t>
      </w:r>
      <w:r w:rsidR="00A0021B">
        <w:rPr>
          <w:noProof/>
          <w:lang w:val="es-CO" w:eastAsia="en-GB"/>
        </w:rPr>
        <w:t>p</w:t>
      </w:r>
      <w:r w:rsidR="00596EE0" w:rsidRPr="00044745">
        <w:rPr>
          <w:noProof/>
          <w:lang w:val="es-CO" w:eastAsia="en-GB"/>
        </w:rPr>
        <w:t xml:space="preserve">az </w:t>
      </w:r>
      <w:r w:rsidRPr="00044745">
        <w:rPr>
          <w:noProof/>
          <w:lang w:val="es-CO" w:eastAsia="en-GB"/>
        </w:rPr>
        <w:t>(</w:t>
      </w:r>
      <w:r w:rsidR="00596EE0" w:rsidRPr="00044745">
        <w:rPr>
          <w:noProof/>
          <w:lang w:val="es-CO" w:eastAsia="en-GB"/>
        </w:rPr>
        <w:t xml:space="preserve">el </w:t>
      </w:r>
      <w:r w:rsidR="00C907AA">
        <w:rPr>
          <w:noProof/>
          <w:lang w:val="es-CO" w:eastAsia="en-GB"/>
        </w:rPr>
        <w:t>A</w:t>
      </w:r>
      <w:r w:rsidR="00596EE0" w:rsidRPr="00044745">
        <w:rPr>
          <w:noProof/>
          <w:lang w:val="es-CO" w:eastAsia="en-GB"/>
        </w:rPr>
        <w:t>cuerdo</w:t>
      </w:r>
      <w:r w:rsidRPr="00044745">
        <w:rPr>
          <w:noProof/>
          <w:lang w:val="es-CO" w:eastAsia="en-GB"/>
        </w:rPr>
        <w:t xml:space="preserve">) </w:t>
      </w:r>
      <w:r w:rsidR="00596EE0" w:rsidRPr="00044745">
        <w:rPr>
          <w:noProof/>
          <w:lang w:val="es-CO" w:eastAsia="en-GB"/>
        </w:rPr>
        <w:t xml:space="preserve">entre el Gobierno de Colombia y las </w:t>
      </w:r>
      <w:r w:rsidR="00596EE0" w:rsidRPr="00044745">
        <w:rPr>
          <w:lang w:val="es-CO"/>
        </w:rPr>
        <w:t xml:space="preserve">Fuerzas Armadas Revolucionarias de Colombia-Ejército del Pueblo (FARC-EP) </w:t>
      </w:r>
      <w:r w:rsidR="000C5CA6" w:rsidRPr="00044745">
        <w:rPr>
          <w:lang w:val="es-CO"/>
        </w:rPr>
        <w:t>estableció</w:t>
      </w:r>
      <w:r w:rsidR="00EE6457" w:rsidRPr="00044745">
        <w:rPr>
          <w:lang w:val="es-CO"/>
        </w:rPr>
        <w:t xml:space="preserve"> </w:t>
      </w:r>
      <w:r w:rsidR="005052E8" w:rsidRPr="00044745">
        <w:rPr>
          <w:lang w:val="es-CO"/>
        </w:rPr>
        <w:t>responsabilidades</w:t>
      </w:r>
      <w:r w:rsidR="00EE6457" w:rsidRPr="00044745">
        <w:rPr>
          <w:rStyle w:val="FootnoteReference"/>
          <w:noProof/>
          <w:lang w:val="es-CO" w:eastAsia="en-GB"/>
        </w:rPr>
        <w:footnoteReference w:id="4"/>
      </w:r>
      <w:r w:rsidR="00EE6457" w:rsidRPr="00044745">
        <w:rPr>
          <w:lang w:val="es-CO"/>
        </w:rPr>
        <w:t xml:space="preserve"> </w:t>
      </w:r>
      <w:r w:rsidR="00E41E78">
        <w:rPr>
          <w:lang w:val="es-CO"/>
        </w:rPr>
        <w:t xml:space="preserve">sustanciales </w:t>
      </w:r>
      <w:r w:rsidR="00EE6457" w:rsidRPr="00044745">
        <w:rPr>
          <w:lang w:val="es-CO"/>
        </w:rPr>
        <w:t>para la Oficina –</w:t>
      </w:r>
      <w:r w:rsidR="005052E8" w:rsidRPr="00044745">
        <w:rPr>
          <w:lang w:val="es-CO"/>
        </w:rPr>
        <w:t xml:space="preserve"> </w:t>
      </w:r>
      <w:r w:rsidR="00EE6457" w:rsidRPr="00044745">
        <w:rPr>
          <w:lang w:val="es-CO"/>
        </w:rPr>
        <w:t xml:space="preserve">adicionales a </w:t>
      </w:r>
      <w:r w:rsidR="005052E8" w:rsidRPr="00044745">
        <w:rPr>
          <w:lang w:val="es-CO"/>
        </w:rPr>
        <w:t>las contenidas en su acuerdo con el Gobierno de Colombia – sin recursos adicionales.</w:t>
      </w:r>
      <w:r w:rsidRPr="00044745">
        <w:rPr>
          <w:noProof/>
          <w:lang w:val="es-CO" w:eastAsia="en-GB"/>
        </w:rPr>
        <w:t xml:space="preserve"> </w:t>
      </w:r>
    </w:p>
    <w:p w14:paraId="7AE91CDC" w14:textId="2B0C1D61" w:rsidR="00EE6457" w:rsidRPr="00044745" w:rsidRDefault="001544A7" w:rsidP="001544A7">
      <w:pPr>
        <w:pStyle w:val="SingleTxtG"/>
        <w:rPr>
          <w:noProof/>
          <w:lang w:val="es-CO" w:eastAsia="en-GB"/>
        </w:rPr>
      </w:pPr>
      <w:r w:rsidRPr="00044745">
        <w:rPr>
          <w:noProof/>
          <w:lang w:val="es-CO" w:eastAsia="en-GB"/>
        </w:rPr>
        <w:t>3.</w:t>
      </w:r>
      <w:r w:rsidRPr="00044745">
        <w:rPr>
          <w:noProof/>
          <w:lang w:val="es-CO" w:eastAsia="en-GB"/>
        </w:rPr>
        <w:tab/>
      </w:r>
      <w:r w:rsidR="00EE6457" w:rsidRPr="00044745">
        <w:rPr>
          <w:noProof/>
          <w:lang w:val="es-CO" w:eastAsia="en-GB"/>
        </w:rPr>
        <w:t xml:space="preserve">Las partes solicitaron a </w:t>
      </w:r>
      <w:r w:rsidR="00982B49">
        <w:rPr>
          <w:noProof/>
          <w:lang w:val="es-CO" w:eastAsia="en-GB"/>
        </w:rPr>
        <w:t xml:space="preserve">la </w:t>
      </w:r>
      <w:r w:rsidR="002F69F8">
        <w:rPr>
          <w:noProof/>
          <w:lang w:val="es-CO" w:eastAsia="en-GB"/>
        </w:rPr>
        <w:t>O</w:t>
      </w:r>
      <w:r w:rsidR="00F51774" w:rsidRPr="00044745">
        <w:rPr>
          <w:noProof/>
          <w:lang w:val="es-CO" w:eastAsia="en-GB"/>
        </w:rPr>
        <w:t>ACNUDH</w:t>
      </w:r>
      <w:r w:rsidR="00EE6457" w:rsidRPr="00044745">
        <w:rPr>
          <w:noProof/>
          <w:lang w:val="es-CO" w:eastAsia="en-GB"/>
        </w:rPr>
        <w:t xml:space="preserve"> incluir en los informes anuales </w:t>
      </w:r>
      <w:r w:rsidR="00C907AA" w:rsidRPr="00044745">
        <w:rPr>
          <w:noProof/>
          <w:lang w:val="es-CO" w:eastAsia="en-GB"/>
        </w:rPr>
        <w:t xml:space="preserve">sobre Colombia </w:t>
      </w:r>
      <w:r w:rsidR="00EE6457" w:rsidRPr="00044745">
        <w:rPr>
          <w:noProof/>
          <w:lang w:val="es-CO" w:eastAsia="en-GB"/>
        </w:rPr>
        <w:t>de</w:t>
      </w:r>
      <w:r w:rsidR="00C907AA">
        <w:rPr>
          <w:noProof/>
          <w:lang w:val="es-CO" w:eastAsia="en-GB"/>
        </w:rPr>
        <w:t>l</w:t>
      </w:r>
      <w:r w:rsidR="00EE6457" w:rsidRPr="00044745">
        <w:rPr>
          <w:noProof/>
          <w:lang w:val="es-CO" w:eastAsia="en-GB"/>
        </w:rPr>
        <w:t xml:space="preserve"> Alto Comisionado al Consejo de Derechos Humanos sus hallazgos sobre </w:t>
      </w:r>
      <w:r w:rsidR="00C907AA">
        <w:rPr>
          <w:noProof/>
          <w:lang w:val="es-CO" w:eastAsia="en-GB"/>
        </w:rPr>
        <w:t xml:space="preserve">el </w:t>
      </w:r>
      <w:r w:rsidR="00EE6457" w:rsidRPr="00044745">
        <w:rPr>
          <w:noProof/>
          <w:lang w:val="es-CO" w:eastAsia="en-GB"/>
        </w:rPr>
        <w:t xml:space="preserve">impacto de la implementación del Acuerdo en </w:t>
      </w:r>
      <w:r w:rsidR="00E41E78">
        <w:rPr>
          <w:noProof/>
          <w:lang w:val="es-CO" w:eastAsia="en-GB"/>
        </w:rPr>
        <w:t xml:space="preserve">materia </w:t>
      </w:r>
      <w:r w:rsidR="00EE6457" w:rsidRPr="00044745">
        <w:rPr>
          <w:noProof/>
          <w:lang w:val="es-CO" w:eastAsia="en-GB"/>
        </w:rPr>
        <w:t>de derechos humanos. Mientras que varias organizaciones monitorean el Acuerdo desde una perspectiva cuantitativa o procedimental, como el número de leyes</w:t>
      </w:r>
      <w:r w:rsidR="00C907AA">
        <w:rPr>
          <w:noProof/>
          <w:lang w:val="es-CO" w:eastAsia="en-GB"/>
        </w:rPr>
        <w:t xml:space="preserve"> aprobadas</w:t>
      </w:r>
      <w:r w:rsidR="007457DA" w:rsidRPr="00044745">
        <w:rPr>
          <w:noProof/>
          <w:lang w:val="es-CO" w:eastAsia="en-GB"/>
        </w:rPr>
        <w:t xml:space="preserve"> y el número de actividades realizadas, </w:t>
      </w:r>
      <w:r w:rsidR="00E43975">
        <w:rPr>
          <w:noProof/>
          <w:lang w:val="es-CO" w:eastAsia="en-GB"/>
        </w:rPr>
        <w:t xml:space="preserve">la </w:t>
      </w:r>
      <w:r w:rsidR="002F69F8">
        <w:rPr>
          <w:noProof/>
          <w:lang w:val="es-CO" w:eastAsia="en-GB"/>
        </w:rPr>
        <w:t>O</w:t>
      </w:r>
      <w:r w:rsidR="00F51774" w:rsidRPr="00044745">
        <w:rPr>
          <w:noProof/>
          <w:lang w:val="es-CO" w:eastAsia="en-GB"/>
        </w:rPr>
        <w:t>ACNUDH</w:t>
      </w:r>
      <w:r w:rsidR="007457DA" w:rsidRPr="00044745">
        <w:rPr>
          <w:noProof/>
          <w:lang w:val="es-CO" w:eastAsia="en-GB"/>
        </w:rPr>
        <w:t xml:space="preserve"> </w:t>
      </w:r>
      <w:r w:rsidR="00C907AA">
        <w:rPr>
          <w:noProof/>
          <w:lang w:val="es-CO" w:eastAsia="en-GB"/>
        </w:rPr>
        <w:t>monitorea e</w:t>
      </w:r>
      <w:r w:rsidR="007457DA" w:rsidRPr="00044745">
        <w:rPr>
          <w:noProof/>
          <w:lang w:val="es-CO" w:eastAsia="en-GB"/>
        </w:rPr>
        <w:t>l imp</w:t>
      </w:r>
      <w:r w:rsidR="00C907AA">
        <w:rPr>
          <w:noProof/>
          <w:lang w:val="es-CO" w:eastAsia="en-GB"/>
        </w:rPr>
        <w:t>acto del Acuerdo en términos de</w:t>
      </w:r>
      <w:r w:rsidR="007457DA" w:rsidRPr="00044745">
        <w:rPr>
          <w:noProof/>
          <w:lang w:val="es-CO" w:eastAsia="en-GB"/>
        </w:rPr>
        <w:t xml:space="preserve"> </w:t>
      </w:r>
      <w:r w:rsidR="00BA0DA8">
        <w:rPr>
          <w:noProof/>
          <w:lang w:val="es-CO" w:eastAsia="en-GB"/>
        </w:rPr>
        <w:t>disfrute</w:t>
      </w:r>
      <w:r w:rsidR="00C907AA">
        <w:rPr>
          <w:noProof/>
          <w:lang w:val="es-CO" w:eastAsia="en-GB"/>
        </w:rPr>
        <w:t xml:space="preserve"> </w:t>
      </w:r>
      <w:r w:rsidR="007457DA" w:rsidRPr="00044745">
        <w:rPr>
          <w:noProof/>
          <w:lang w:val="es-CO" w:eastAsia="en-GB"/>
        </w:rPr>
        <w:t xml:space="preserve">efectivo de los derechos humanos de los habitantes de las áreas más afectadas por el conflicto. Esta labor de monitoreo fue realizada mediante 1.850 </w:t>
      </w:r>
      <w:r w:rsidR="00E43975">
        <w:rPr>
          <w:noProof/>
          <w:lang w:val="es-CO" w:eastAsia="en-GB"/>
        </w:rPr>
        <w:t>misones a</w:t>
      </w:r>
      <w:r w:rsidR="00982B49">
        <w:rPr>
          <w:noProof/>
          <w:lang w:val="es-CO" w:eastAsia="en-GB"/>
        </w:rPr>
        <w:t>l</w:t>
      </w:r>
      <w:r w:rsidR="00E43975">
        <w:rPr>
          <w:noProof/>
          <w:lang w:val="es-CO" w:eastAsia="en-GB"/>
        </w:rPr>
        <w:t xml:space="preserve"> terreno </w:t>
      </w:r>
      <w:r w:rsidR="007457DA" w:rsidRPr="00044745">
        <w:rPr>
          <w:noProof/>
          <w:lang w:val="es-CO" w:eastAsia="en-GB"/>
        </w:rPr>
        <w:t xml:space="preserve">en 2017. </w:t>
      </w:r>
      <w:r w:rsidR="00B14FAC" w:rsidRPr="00044745">
        <w:rPr>
          <w:noProof/>
          <w:lang w:val="es-CO" w:eastAsia="en-GB"/>
        </w:rPr>
        <w:t>Si b</w:t>
      </w:r>
      <w:r w:rsidR="00E41E78">
        <w:rPr>
          <w:noProof/>
          <w:lang w:val="es-CO" w:eastAsia="en-GB"/>
        </w:rPr>
        <w:t xml:space="preserve">ien </w:t>
      </w:r>
      <w:r w:rsidR="00C128F2">
        <w:rPr>
          <w:noProof/>
          <w:lang w:val="es-CO" w:eastAsia="en-GB"/>
        </w:rPr>
        <w:t xml:space="preserve">se observaron </w:t>
      </w:r>
      <w:r w:rsidR="00B14FAC" w:rsidRPr="00044745">
        <w:rPr>
          <w:noProof/>
          <w:lang w:val="es-CO" w:eastAsia="en-GB"/>
        </w:rPr>
        <w:t>efectos adversos durante el primer año de implementación, las transformaciones positivas requiere</w:t>
      </w:r>
      <w:r w:rsidR="00E41E78">
        <w:rPr>
          <w:noProof/>
          <w:lang w:val="es-CO" w:eastAsia="en-GB"/>
        </w:rPr>
        <w:t>n</w:t>
      </w:r>
      <w:r w:rsidR="00B14FAC" w:rsidRPr="00044745">
        <w:rPr>
          <w:noProof/>
          <w:lang w:val="es-CO" w:eastAsia="en-GB"/>
        </w:rPr>
        <w:t xml:space="preserve"> de más </w:t>
      </w:r>
      <w:r w:rsidR="00B14FAC" w:rsidRPr="00C128F2">
        <w:rPr>
          <w:noProof/>
          <w:lang w:val="es-CO" w:eastAsia="en-GB"/>
        </w:rPr>
        <w:t xml:space="preserve">tiempo, ya que resolver </w:t>
      </w:r>
      <w:r w:rsidR="00E43975">
        <w:rPr>
          <w:noProof/>
          <w:lang w:val="es-CO" w:eastAsia="en-GB"/>
        </w:rPr>
        <w:t xml:space="preserve">los </w:t>
      </w:r>
      <w:r w:rsidR="00B14FAC" w:rsidRPr="00C128F2">
        <w:rPr>
          <w:noProof/>
          <w:lang w:val="es-CO" w:eastAsia="en-GB"/>
        </w:rPr>
        <w:t>problemas</w:t>
      </w:r>
      <w:r w:rsidR="00E43975">
        <w:rPr>
          <w:noProof/>
          <w:lang w:val="es-CO" w:eastAsia="en-GB"/>
        </w:rPr>
        <w:t xml:space="preserve"> multidimensionales e interrelacionados</w:t>
      </w:r>
      <w:r w:rsidR="00C128F2" w:rsidRPr="00C128F2">
        <w:rPr>
          <w:noProof/>
          <w:lang w:val="es-CO" w:eastAsia="en-GB"/>
        </w:rPr>
        <w:t xml:space="preserve"> que han existido por </w:t>
      </w:r>
      <w:r w:rsidR="008760EC" w:rsidRPr="00C128F2">
        <w:rPr>
          <w:noProof/>
          <w:lang w:val="es-CO" w:eastAsia="en-GB"/>
        </w:rPr>
        <w:t>décadas es un proceso complejo.</w:t>
      </w:r>
      <w:r w:rsidR="008760EC" w:rsidRPr="00044745">
        <w:rPr>
          <w:noProof/>
          <w:lang w:val="es-CO" w:eastAsia="en-GB"/>
        </w:rPr>
        <w:t xml:space="preserve"> </w:t>
      </w:r>
    </w:p>
    <w:p w14:paraId="5C050B3F" w14:textId="2D7B5EF7" w:rsidR="008760EC" w:rsidRPr="00044745" w:rsidRDefault="001544A7" w:rsidP="001544A7">
      <w:pPr>
        <w:pStyle w:val="SingleTxtG"/>
        <w:rPr>
          <w:noProof/>
          <w:lang w:val="es-CO" w:eastAsia="en-GB"/>
        </w:rPr>
      </w:pPr>
      <w:r w:rsidRPr="00044745">
        <w:rPr>
          <w:noProof/>
          <w:lang w:val="es-CO" w:eastAsia="en-GB"/>
        </w:rPr>
        <w:t>4.</w:t>
      </w:r>
      <w:r w:rsidRPr="00044745">
        <w:rPr>
          <w:noProof/>
          <w:lang w:val="es-CO" w:eastAsia="en-GB"/>
        </w:rPr>
        <w:tab/>
      </w:r>
      <w:r w:rsidR="004229AE">
        <w:rPr>
          <w:noProof/>
          <w:lang w:val="es-CO" w:eastAsia="en-GB"/>
        </w:rPr>
        <w:t>E</w:t>
      </w:r>
      <w:r w:rsidR="008760EC" w:rsidRPr="00044745">
        <w:rPr>
          <w:noProof/>
          <w:lang w:val="es-CO" w:eastAsia="en-GB"/>
        </w:rPr>
        <w:t xml:space="preserve">l Acuerdo permitió el fin de </w:t>
      </w:r>
      <w:r w:rsidR="00C128F2">
        <w:rPr>
          <w:noProof/>
          <w:lang w:val="es-CO" w:eastAsia="en-GB"/>
        </w:rPr>
        <w:t xml:space="preserve">las </w:t>
      </w:r>
      <w:r w:rsidR="00BA3592">
        <w:rPr>
          <w:noProof/>
          <w:lang w:val="es-CO" w:eastAsia="en-GB"/>
        </w:rPr>
        <w:t>hostilidades entre las partes.</w:t>
      </w:r>
      <w:r w:rsidR="008760EC" w:rsidRPr="00044745">
        <w:rPr>
          <w:noProof/>
          <w:lang w:val="es-CO" w:eastAsia="en-GB"/>
        </w:rPr>
        <w:t xml:space="preserve"> </w:t>
      </w:r>
      <w:r w:rsidR="00BA3592">
        <w:rPr>
          <w:noProof/>
          <w:lang w:val="es-CO" w:eastAsia="en-GB"/>
        </w:rPr>
        <w:t>L</w:t>
      </w:r>
      <w:r w:rsidR="00E43975">
        <w:rPr>
          <w:noProof/>
          <w:lang w:val="es-CO" w:eastAsia="en-GB"/>
        </w:rPr>
        <w:t xml:space="preserve">a </w:t>
      </w:r>
      <w:r w:rsidR="00CB4564">
        <w:rPr>
          <w:noProof/>
          <w:lang w:val="es-CO" w:eastAsia="en-GB"/>
        </w:rPr>
        <w:t>O</w:t>
      </w:r>
      <w:r w:rsidR="00F51774" w:rsidRPr="00044745">
        <w:rPr>
          <w:noProof/>
          <w:lang w:val="es-CO" w:eastAsia="en-GB"/>
        </w:rPr>
        <w:t>ACNUDH</w:t>
      </w:r>
      <w:r w:rsidR="008760EC" w:rsidRPr="00044745">
        <w:rPr>
          <w:noProof/>
          <w:lang w:val="es-CO" w:eastAsia="en-GB"/>
        </w:rPr>
        <w:t xml:space="preserve"> reconoce los esfuerzos de las FARC-EP por cumplir con los compromisos relacionados con el proceso de desmovilización y reincorporación, así como el trabajo de miles de agentes del Estado en la implementación del Acuerdo. </w:t>
      </w:r>
      <w:r w:rsidR="006212E0" w:rsidRPr="00044745">
        <w:rPr>
          <w:noProof/>
          <w:lang w:val="es-CO" w:eastAsia="en-GB"/>
        </w:rPr>
        <w:t>El Acuerdo rei</w:t>
      </w:r>
      <w:r w:rsidR="008760EC" w:rsidRPr="00044745">
        <w:rPr>
          <w:noProof/>
          <w:lang w:val="es-CO" w:eastAsia="en-GB"/>
        </w:rPr>
        <w:t xml:space="preserve">tera </w:t>
      </w:r>
      <w:r w:rsidR="008760EC" w:rsidRPr="00C128F2">
        <w:rPr>
          <w:noProof/>
          <w:lang w:val="es-CO" w:eastAsia="en-GB"/>
        </w:rPr>
        <w:t xml:space="preserve">las obligaciones </w:t>
      </w:r>
      <w:r w:rsidR="00C128F2">
        <w:rPr>
          <w:noProof/>
          <w:lang w:val="es-CO" w:eastAsia="en-GB"/>
        </w:rPr>
        <w:t xml:space="preserve">preexistenes </w:t>
      </w:r>
      <w:r w:rsidR="008760EC" w:rsidRPr="00C128F2">
        <w:rPr>
          <w:noProof/>
          <w:lang w:val="es-CO" w:eastAsia="en-GB"/>
        </w:rPr>
        <w:t>del</w:t>
      </w:r>
      <w:r w:rsidR="008760EC" w:rsidRPr="00044745">
        <w:rPr>
          <w:noProof/>
          <w:lang w:val="es-CO" w:eastAsia="en-GB"/>
        </w:rPr>
        <w:t xml:space="preserve"> Estado</w:t>
      </w:r>
      <w:r w:rsidR="00E43975">
        <w:rPr>
          <w:noProof/>
          <w:lang w:val="es-CO" w:eastAsia="en-GB"/>
        </w:rPr>
        <w:t xml:space="preserve"> en materia de derechos humanos</w:t>
      </w:r>
      <w:r w:rsidR="008760EC" w:rsidRPr="00044745">
        <w:rPr>
          <w:noProof/>
          <w:lang w:val="es-CO" w:eastAsia="en-GB"/>
        </w:rPr>
        <w:t>. Su plena implementación también puede mejorar</w:t>
      </w:r>
      <w:r w:rsidR="00CB4564">
        <w:rPr>
          <w:noProof/>
          <w:lang w:val="es-CO" w:eastAsia="en-GB"/>
        </w:rPr>
        <w:t xml:space="preserve"> sustancialmente</w:t>
      </w:r>
      <w:r w:rsidR="008760EC" w:rsidRPr="00044745">
        <w:rPr>
          <w:noProof/>
          <w:lang w:val="es-CO" w:eastAsia="en-GB"/>
        </w:rPr>
        <w:t xml:space="preserve"> la situación de derechos humanos, especialmente en las </w:t>
      </w:r>
      <w:r w:rsidR="00C128F2">
        <w:rPr>
          <w:noProof/>
          <w:lang w:val="es-CO" w:eastAsia="en-GB"/>
        </w:rPr>
        <w:t xml:space="preserve">zonas </w:t>
      </w:r>
      <w:r w:rsidR="008760EC" w:rsidRPr="00044745">
        <w:rPr>
          <w:noProof/>
          <w:lang w:val="es-CO" w:eastAsia="en-GB"/>
        </w:rPr>
        <w:t xml:space="preserve">rurales. </w:t>
      </w:r>
    </w:p>
    <w:p w14:paraId="488D5C4F" w14:textId="0662C80D" w:rsidR="001A581C" w:rsidRPr="00044745" w:rsidRDefault="001544A7" w:rsidP="001544A7">
      <w:pPr>
        <w:pStyle w:val="SingleTxtG"/>
        <w:rPr>
          <w:noProof/>
          <w:lang w:val="es-CO" w:eastAsia="en-GB"/>
        </w:rPr>
      </w:pPr>
      <w:r w:rsidRPr="00044745">
        <w:rPr>
          <w:noProof/>
          <w:lang w:val="es-CO" w:eastAsia="en-GB"/>
        </w:rPr>
        <w:t>5.</w:t>
      </w:r>
      <w:r w:rsidRPr="00044745">
        <w:rPr>
          <w:noProof/>
          <w:lang w:val="es-CO" w:eastAsia="en-GB"/>
        </w:rPr>
        <w:tab/>
      </w:r>
      <w:r w:rsidR="001A581C" w:rsidRPr="00044745">
        <w:rPr>
          <w:noProof/>
          <w:lang w:val="es-CO" w:eastAsia="en-GB"/>
        </w:rPr>
        <w:t xml:space="preserve">Ha habido </w:t>
      </w:r>
      <w:r w:rsidR="00C128F2">
        <w:rPr>
          <w:noProof/>
          <w:lang w:val="es-CO" w:eastAsia="en-GB"/>
        </w:rPr>
        <w:t xml:space="preserve">mucha </w:t>
      </w:r>
      <w:r w:rsidR="001A581C" w:rsidRPr="00044745">
        <w:rPr>
          <w:noProof/>
          <w:lang w:val="es-CO" w:eastAsia="en-GB"/>
        </w:rPr>
        <w:t>resistencia a la implementación del Acuerdo en varios sectores de la sociedad, incluyendo actores políticos y económicos, instanci</w:t>
      </w:r>
      <w:r w:rsidR="004229AE">
        <w:rPr>
          <w:noProof/>
          <w:lang w:val="es-CO" w:eastAsia="en-GB"/>
        </w:rPr>
        <w:t>a</w:t>
      </w:r>
      <w:r w:rsidR="001A581C" w:rsidRPr="00044745">
        <w:rPr>
          <w:noProof/>
          <w:lang w:val="es-CO" w:eastAsia="en-GB"/>
        </w:rPr>
        <w:t>s legislativas y judiciales</w:t>
      </w:r>
      <w:r w:rsidR="004229AE">
        <w:rPr>
          <w:noProof/>
          <w:lang w:val="es-CO" w:eastAsia="en-GB"/>
        </w:rPr>
        <w:t>,</w:t>
      </w:r>
      <w:r w:rsidR="001A581C" w:rsidRPr="00044745">
        <w:rPr>
          <w:noProof/>
          <w:lang w:val="es-CO" w:eastAsia="en-GB"/>
        </w:rPr>
        <w:t xml:space="preserve"> así como funcionarios públicos. Por ejemplo, durante el pr</w:t>
      </w:r>
      <w:r w:rsidR="00C128F2">
        <w:rPr>
          <w:noProof/>
          <w:lang w:val="es-CO" w:eastAsia="en-GB"/>
        </w:rPr>
        <w:t>oceso del plebiscito, se utilizaron</w:t>
      </w:r>
      <w:r w:rsidR="001A581C" w:rsidRPr="00044745">
        <w:rPr>
          <w:noProof/>
          <w:lang w:val="es-CO" w:eastAsia="en-GB"/>
        </w:rPr>
        <w:t xml:space="preserve"> los avances en la realización de </w:t>
      </w:r>
      <w:r w:rsidR="00C128F2">
        <w:rPr>
          <w:noProof/>
          <w:lang w:val="es-CO" w:eastAsia="en-GB"/>
        </w:rPr>
        <w:t xml:space="preserve">los </w:t>
      </w:r>
      <w:r w:rsidR="001A581C" w:rsidRPr="00044745">
        <w:rPr>
          <w:noProof/>
          <w:lang w:val="es-CO" w:eastAsia="en-GB"/>
        </w:rPr>
        <w:t xml:space="preserve">derechos </w:t>
      </w:r>
      <w:r w:rsidR="00B93068">
        <w:rPr>
          <w:noProof/>
          <w:lang w:val="es-CO" w:eastAsia="en-GB"/>
        </w:rPr>
        <w:t xml:space="preserve">de las mujeres y de la población </w:t>
      </w:r>
      <w:r w:rsidR="001A581C" w:rsidRPr="00044745">
        <w:rPr>
          <w:noProof/>
          <w:lang w:val="es-CO" w:eastAsia="en-GB"/>
        </w:rPr>
        <w:t xml:space="preserve">LGBTI para apalancar la oposición al Acuerdo, lo que </w:t>
      </w:r>
      <w:r w:rsidR="00C128F2">
        <w:rPr>
          <w:noProof/>
          <w:lang w:val="es-CO" w:eastAsia="en-GB"/>
        </w:rPr>
        <w:t xml:space="preserve">tuvo </w:t>
      </w:r>
      <w:r w:rsidR="001A581C" w:rsidRPr="00044745">
        <w:rPr>
          <w:noProof/>
          <w:lang w:val="es-CO" w:eastAsia="en-GB"/>
        </w:rPr>
        <w:t>un fuert</w:t>
      </w:r>
      <w:r w:rsidR="00C128F2">
        <w:rPr>
          <w:noProof/>
          <w:lang w:val="es-CO" w:eastAsia="en-GB"/>
        </w:rPr>
        <w:t>e impacto en los avances previamente logrados</w:t>
      </w:r>
      <w:r w:rsidR="001A581C" w:rsidRPr="00044745">
        <w:rPr>
          <w:noProof/>
          <w:lang w:val="es-CO" w:eastAsia="en-GB"/>
        </w:rPr>
        <w:t xml:space="preserve"> en estos derechos. </w:t>
      </w:r>
    </w:p>
    <w:p w14:paraId="721B162B" w14:textId="2E44BD5F" w:rsidR="001A581C" w:rsidRPr="00044745" w:rsidRDefault="001544A7" w:rsidP="001544A7">
      <w:pPr>
        <w:pStyle w:val="SingleTxtG"/>
        <w:rPr>
          <w:noProof/>
          <w:lang w:val="es-CO" w:eastAsia="en-GB"/>
        </w:rPr>
      </w:pPr>
      <w:r w:rsidRPr="00044745">
        <w:rPr>
          <w:noProof/>
          <w:lang w:val="es-CO" w:eastAsia="en-GB"/>
        </w:rPr>
        <w:t>6.</w:t>
      </w:r>
      <w:r w:rsidRPr="00044745">
        <w:rPr>
          <w:noProof/>
          <w:lang w:val="es-CO" w:eastAsia="en-GB"/>
        </w:rPr>
        <w:tab/>
      </w:r>
      <w:r w:rsidR="00B93068">
        <w:rPr>
          <w:noProof/>
          <w:lang w:val="es-CO" w:eastAsia="en-GB"/>
        </w:rPr>
        <w:t xml:space="preserve">La </w:t>
      </w:r>
      <w:r w:rsidR="00CB4564">
        <w:rPr>
          <w:noProof/>
          <w:lang w:val="es-CO" w:eastAsia="en-GB"/>
        </w:rPr>
        <w:t>O</w:t>
      </w:r>
      <w:r w:rsidR="0087609D" w:rsidRPr="00044745">
        <w:rPr>
          <w:noProof/>
          <w:lang w:val="es-CO" w:eastAsia="en-GB"/>
        </w:rPr>
        <w:t xml:space="preserve">ACNUDH </w:t>
      </w:r>
      <w:r w:rsidR="001A581C" w:rsidRPr="00044745">
        <w:rPr>
          <w:noProof/>
          <w:lang w:val="es-CO" w:eastAsia="en-GB"/>
        </w:rPr>
        <w:t xml:space="preserve">ha observado que otros grupos armados, como el </w:t>
      </w:r>
      <w:r w:rsidR="00B80E09" w:rsidRPr="00044745">
        <w:rPr>
          <w:noProof/>
          <w:lang w:val="es-CO" w:eastAsia="en-GB"/>
        </w:rPr>
        <w:t>ELN</w:t>
      </w:r>
      <w:r w:rsidR="00B93068">
        <w:rPr>
          <w:noProof/>
          <w:lang w:val="es-CO" w:eastAsia="en-GB"/>
        </w:rPr>
        <w:t xml:space="preserve">, así como </w:t>
      </w:r>
      <w:r w:rsidR="00B80E09" w:rsidRPr="00044745">
        <w:rPr>
          <w:noProof/>
          <w:lang w:val="es-CO" w:eastAsia="en-GB"/>
        </w:rPr>
        <w:t xml:space="preserve"> </w:t>
      </w:r>
      <w:r w:rsidR="006D1FAD">
        <w:rPr>
          <w:noProof/>
          <w:lang w:val="es-CO" w:eastAsia="en-GB"/>
        </w:rPr>
        <w:t xml:space="preserve"> </w:t>
      </w:r>
      <w:r w:rsidR="000137C0" w:rsidRPr="00044745">
        <w:rPr>
          <w:noProof/>
          <w:lang w:val="es-CO" w:eastAsia="en-GB"/>
        </w:rPr>
        <w:t xml:space="preserve">organizaciones </w:t>
      </w:r>
      <w:r w:rsidR="00B93068">
        <w:rPr>
          <w:noProof/>
          <w:lang w:val="es-CO" w:eastAsia="en-GB"/>
        </w:rPr>
        <w:t>criminales</w:t>
      </w:r>
      <w:r w:rsidR="00B80E09" w:rsidRPr="00044745">
        <w:rPr>
          <w:noProof/>
          <w:lang w:val="es-CO" w:eastAsia="en-GB"/>
        </w:rPr>
        <w:t xml:space="preserve">, </w:t>
      </w:r>
      <w:r w:rsidR="001A581C" w:rsidRPr="00044745">
        <w:rPr>
          <w:noProof/>
          <w:lang w:val="es-CO" w:eastAsia="en-GB"/>
        </w:rPr>
        <w:t>han incursionado en las antigua</w:t>
      </w:r>
      <w:r w:rsidR="003E50D5" w:rsidRPr="00044745">
        <w:rPr>
          <w:noProof/>
          <w:lang w:val="es-CO" w:eastAsia="en-GB"/>
        </w:rPr>
        <w:t>s zonas de</w:t>
      </w:r>
      <w:r w:rsidR="001A581C" w:rsidRPr="00044745">
        <w:rPr>
          <w:noProof/>
          <w:lang w:val="es-CO" w:eastAsia="en-GB"/>
        </w:rPr>
        <w:t xml:space="preserve"> influencia de las FARC-EP, </w:t>
      </w:r>
      <w:r w:rsidR="00B80E09" w:rsidRPr="00044745">
        <w:rPr>
          <w:noProof/>
          <w:lang w:val="es-CO" w:eastAsia="en-GB"/>
        </w:rPr>
        <w:t xml:space="preserve">a menudo </w:t>
      </w:r>
      <w:r w:rsidR="001A581C" w:rsidRPr="00044745">
        <w:rPr>
          <w:noProof/>
          <w:lang w:val="es-CO" w:eastAsia="en-GB"/>
        </w:rPr>
        <w:t xml:space="preserve">buscando controlar las economías ilegales, </w:t>
      </w:r>
      <w:r w:rsidR="00B80E09" w:rsidRPr="00044745">
        <w:rPr>
          <w:noProof/>
          <w:lang w:val="es-CO" w:eastAsia="en-GB"/>
        </w:rPr>
        <w:t xml:space="preserve">lo que ha tenido un impacto negativo en los derechos de los </w:t>
      </w:r>
      <w:r w:rsidR="000137C0" w:rsidRPr="00044745">
        <w:rPr>
          <w:noProof/>
          <w:lang w:val="es-CO" w:eastAsia="en-GB"/>
        </w:rPr>
        <w:t xml:space="preserve">habitantes. La consolidación de grupos armados y organizaciones </w:t>
      </w:r>
      <w:r w:rsidR="00B93068">
        <w:rPr>
          <w:noProof/>
          <w:lang w:val="es-CO" w:eastAsia="en-GB"/>
        </w:rPr>
        <w:t xml:space="preserve">criminales </w:t>
      </w:r>
      <w:r w:rsidR="000137C0" w:rsidRPr="00044745">
        <w:rPr>
          <w:noProof/>
          <w:lang w:val="es-CO" w:eastAsia="en-GB"/>
        </w:rPr>
        <w:t>en estas áreas pued</w:t>
      </w:r>
      <w:r w:rsidR="006D1FAD">
        <w:rPr>
          <w:noProof/>
          <w:lang w:val="es-CO" w:eastAsia="en-GB"/>
        </w:rPr>
        <w:t>e</w:t>
      </w:r>
      <w:r w:rsidR="000137C0" w:rsidRPr="00044745">
        <w:rPr>
          <w:noProof/>
          <w:lang w:val="es-CO" w:eastAsia="en-GB"/>
        </w:rPr>
        <w:t xml:space="preserve"> impedir sustancialmente la implementación del Acuerdo y socavar los potenciales beneficios del proceso de paz en materia de derechos humanos. </w:t>
      </w:r>
      <w:r w:rsidR="0062734D">
        <w:rPr>
          <w:noProof/>
          <w:lang w:val="es-CO" w:eastAsia="en-GB"/>
        </w:rPr>
        <w:t xml:space="preserve">Tomando en cuenta </w:t>
      </w:r>
      <w:r w:rsidR="00B93068">
        <w:rPr>
          <w:noProof/>
          <w:lang w:val="es-CO" w:eastAsia="en-GB"/>
        </w:rPr>
        <w:t xml:space="preserve">lo anterior </w:t>
      </w:r>
      <w:r w:rsidR="000137C0" w:rsidRPr="00044745">
        <w:rPr>
          <w:noProof/>
          <w:lang w:val="es-CO" w:eastAsia="en-GB"/>
        </w:rPr>
        <w:t>,</w:t>
      </w:r>
      <w:r w:rsidR="00982B49">
        <w:rPr>
          <w:noProof/>
          <w:lang w:val="es-CO" w:eastAsia="en-GB"/>
        </w:rPr>
        <w:t xml:space="preserve"> en esos sitios</w:t>
      </w:r>
      <w:r w:rsidR="000137C0" w:rsidRPr="00044745">
        <w:rPr>
          <w:noProof/>
          <w:lang w:val="es-CO" w:eastAsia="en-GB"/>
        </w:rPr>
        <w:t xml:space="preserve"> hay apenas una pequeña ventana de oportunidad para mejorar la situación de derechos humanos. </w:t>
      </w:r>
    </w:p>
    <w:p w14:paraId="142E56CD" w14:textId="204BE4E0" w:rsidR="001544A7" w:rsidRPr="00044745" w:rsidRDefault="001544A7" w:rsidP="00CC2FBF">
      <w:pPr>
        <w:pStyle w:val="SingleTxtG"/>
        <w:rPr>
          <w:noProof/>
          <w:lang w:val="es-CO" w:eastAsia="en-GB"/>
        </w:rPr>
      </w:pPr>
      <w:r w:rsidRPr="00044745">
        <w:rPr>
          <w:noProof/>
          <w:lang w:val="es-CO" w:eastAsia="en-GB"/>
        </w:rPr>
        <w:t>7.</w:t>
      </w:r>
      <w:r w:rsidRPr="00044745">
        <w:rPr>
          <w:noProof/>
          <w:lang w:val="es-CO" w:eastAsia="en-GB"/>
        </w:rPr>
        <w:tab/>
      </w:r>
      <w:r w:rsidR="00B93068">
        <w:rPr>
          <w:noProof/>
          <w:lang w:val="es-CO" w:eastAsia="en-GB"/>
        </w:rPr>
        <w:t xml:space="preserve">La </w:t>
      </w:r>
      <w:r w:rsidR="00987ED2">
        <w:rPr>
          <w:noProof/>
          <w:lang w:val="es-CO" w:eastAsia="en-GB"/>
        </w:rPr>
        <w:t>O</w:t>
      </w:r>
      <w:r w:rsidR="0087609D" w:rsidRPr="00044745">
        <w:rPr>
          <w:noProof/>
          <w:lang w:val="es-CO" w:eastAsia="en-GB"/>
        </w:rPr>
        <w:t>ACNUDH re</w:t>
      </w:r>
      <w:r w:rsidR="00987ED2">
        <w:rPr>
          <w:noProof/>
          <w:lang w:val="es-CO" w:eastAsia="en-GB"/>
        </w:rPr>
        <w:t>a</w:t>
      </w:r>
      <w:r w:rsidR="0087609D" w:rsidRPr="00044745">
        <w:rPr>
          <w:noProof/>
          <w:lang w:val="es-CO" w:eastAsia="en-GB"/>
        </w:rPr>
        <w:t>firma su compromiso de seguir trabajando con el Estado y la sociedad civil para mejora</w:t>
      </w:r>
      <w:r w:rsidR="0062734D">
        <w:rPr>
          <w:noProof/>
          <w:lang w:val="es-CO" w:eastAsia="en-GB"/>
        </w:rPr>
        <w:t>r</w:t>
      </w:r>
      <w:r w:rsidR="0087609D" w:rsidRPr="00044745">
        <w:rPr>
          <w:noProof/>
          <w:lang w:val="es-CO" w:eastAsia="en-GB"/>
        </w:rPr>
        <w:t xml:space="preserve"> la situación de los derechos humanos en Colombia. </w:t>
      </w:r>
      <w:r w:rsidR="004229AE">
        <w:rPr>
          <w:noProof/>
          <w:lang w:val="es-CO" w:eastAsia="en-GB"/>
        </w:rPr>
        <w:t xml:space="preserve"> </w:t>
      </w:r>
      <w:r w:rsidR="00F51774" w:rsidRPr="00044745">
        <w:rPr>
          <w:noProof/>
          <w:lang w:val="es-CO" w:eastAsia="en-GB"/>
        </w:rPr>
        <w:t xml:space="preserve">Mediante su presencia en  terreno en las áreas más afectadas por el conflicto armado, </w:t>
      </w:r>
      <w:r w:rsidR="00B93068">
        <w:rPr>
          <w:noProof/>
          <w:lang w:val="es-CO" w:eastAsia="en-GB"/>
        </w:rPr>
        <w:t xml:space="preserve">la </w:t>
      </w:r>
      <w:r w:rsidR="00987ED2">
        <w:rPr>
          <w:noProof/>
          <w:lang w:val="es-CO" w:eastAsia="en-GB"/>
        </w:rPr>
        <w:t>O</w:t>
      </w:r>
      <w:r w:rsidR="00F51774" w:rsidRPr="00044745">
        <w:rPr>
          <w:noProof/>
          <w:lang w:val="es-CO" w:eastAsia="en-GB"/>
        </w:rPr>
        <w:t xml:space="preserve">ACNUDH contribuye a </w:t>
      </w:r>
      <w:r w:rsidR="0062734D">
        <w:rPr>
          <w:noProof/>
          <w:lang w:val="es-CO" w:eastAsia="en-GB"/>
        </w:rPr>
        <w:t xml:space="preserve">lograr </w:t>
      </w:r>
      <w:r w:rsidR="00F51774" w:rsidRPr="00044745">
        <w:rPr>
          <w:noProof/>
          <w:lang w:val="es-CO" w:eastAsia="en-GB"/>
        </w:rPr>
        <w:t>un cambio positivo en la situación de los derechos humanos</w:t>
      </w:r>
      <w:r w:rsidR="002D07E1" w:rsidRPr="00044745">
        <w:rPr>
          <w:noProof/>
          <w:lang w:val="es-CO" w:eastAsia="en-GB"/>
        </w:rPr>
        <w:t>, empoderando</w:t>
      </w:r>
      <w:r w:rsidR="00F51774" w:rsidRPr="00044745">
        <w:rPr>
          <w:noProof/>
          <w:lang w:val="es-CO" w:eastAsia="en-GB"/>
        </w:rPr>
        <w:t xml:space="preserve"> </w:t>
      </w:r>
      <w:r w:rsidR="00F51774" w:rsidRPr="0062734D">
        <w:rPr>
          <w:noProof/>
          <w:lang w:val="es-CO" w:eastAsia="en-GB"/>
        </w:rPr>
        <w:t>a</w:t>
      </w:r>
      <w:r w:rsidR="00F51774" w:rsidRPr="00044745">
        <w:rPr>
          <w:noProof/>
          <w:lang w:val="es-CO" w:eastAsia="en-GB"/>
        </w:rPr>
        <w:t xml:space="preserve"> las comunidades rurales; facilitando interacción entre </w:t>
      </w:r>
      <w:r w:rsidR="0062734D">
        <w:rPr>
          <w:noProof/>
          <w:lang w:val="es-CO" w:eastAsia="en-GB"/>
        </w:rPr>
        <w:t xml:space="preserve">las </w:t>
      </w:r>
      <w:r w:rsidR="00F51774" w:rsidRPr="00044745">
        <w:rPr>
          <w:noProof/>
          <w:lang w:val="es-CO" w:eastAsia="en-GB"/>
        </w:rPr>
        <w:t>comunidad</w:t>
      </w:r>
      <w:r w:rsidR="004229AE">
        <w:rPr>
          <w:noProof/>
          <w:lang w:val="es-CO" w:eastAsia="en-GB"/>
        </w:rPr>
        <w:t>es</w:t>
      </w:r>
      <w:r w:rsidR="00F51774" w:rsidRPr="00044745">
        <w:rPr>
          <w:noProof/>
          <w:lang w:val="es-CO" w:eastAsia="en-GB"/>
        </w:rPr>
        <w:t xml:space="preserve"> y </w:t>
      </w:r>
      <w:r w:rsidR="002D07E1" w:rsidRPr="00044745">
        <w:rPr>
          <w:noProof/>
          <w:lang w:val="es-CO" w:eastAsia="en-GB"/>
        </w:rPr>
        <w:t>l</w:t>
      </w:r>
      <w:r w:rsidR="00987ED2">
        <w:rPr>
          <w:noProof/>
          <w:lang w:val="es-CO" w:eastAsia="en-GB"/>
        </w:rPr>
        <w:t xml:space="preserve">as </w:t>
      </w:r>
      <w:r w:rsidR="00987ED2">
        <w:rPr>
          <w:noProof/>
          <w:lang w:val="es-CO" w:eastAsia="en-GB"/>
        </w:rPr>
        <w:lastRenderedPageBreak/>
        <w:t>instituciones del Estado</w:t>
      </w:r>
      <w:r w:rsidR="002D07E1" w:rsidRPr="00044745">
        <w:rPr>
          <w:noProof/>
          <w:lang w:val="es-CO" w:eastAsia="en-GB"/>
        </w:rPr>
        <w:t xml:space="preserve">; y </w:t>
      </w:r>
      <w:r w:rsidR="00CC2FBF" w:rsidRPr="00044745">
        <w:rPr>
          <w:noProof/>
          <w:lang w:val="es-CO" w:eastAsia="en-GB"/>
        </w:rPr>
        <w:t xml:space="preserve">fortaleciendo </w:t>
      </w:r>
      <w:r w:rsidR="002D07E1" w:rsidRPr="00044745">
        <w:rPr>
          <w:noProof/>
          <w:lang w:val="es-CO" w:eastAsia="en-GB"/>
        </w:rPr>
        <w:t xml:space="preserve">las capacidades de </w:t>
      </w:r>
      <w:r w:rsidR="00B93068">
        <w:rPr>
          <w:noProof/>
          <w:lang w:val="es-CO" w:eastAsia="en-GB"/>
        </w:rPr>
        <w:t xml:space="preserve">de estas últimas </w:t>
      </w:r>
      <w:r w:rsidR="002D07E1" w:rsidRPr="00044745">
        <w:rPr>
          <w:noProof/>
          <w:lang w:val="es-CO" w:eastAsia="en-GB"/>
        </w:rPr>
        <w:t>para re</w:t>
      </w:r>
      <w:r w:rsidR="0062734D">
        <w:rPr>
          <w:noProof/>
          <w:lang w:val="es-CO" w:eastAsia="en-GB"/>
        </w:rPr>
        <w:t>s</w:t>
      </w:r>
      <w:r w:rsidR="002D07E1" w:rsidRPr="00044745">
        <w:rPr>
          <w:noProof/>
          <w:lang w:val="es-CO" w:eastAsia="en-GB"/>
        </w:rPr>
        <w:t xml:space="preserve">ponder </w:t>
      </w:r>
      <w:r w:rsidR="00CC2FBF" w:rsidRPr="00044745">
        <w:rPr>
          <w:noProof/>
          <w:lang w:val="es-CO" w:eastAsia="en-GB"/>
        </w:rPr>
        <w:t xml:space="preserve">a los derechos de la comunidad. El Acuerdo </w:t>
      </w:r>
      <w:r w:rsidR="009427C9">
        <w:rPr>
          <w:noProof/>
          <w:lang w:val="es-CO" w:eastAsia="en-GB"/>
        </w:rPr>
        <w:t xml:space="preserve">en si mismo </w:t>
      </w:r>
      <w:r w:rsidR="00CC2FBF" w:rsidRPr="00044745">
        <w:rPr>
          <w:noProof/>
          <w:lang w:val="es-CO" w:eastAsia="en-GB"/>
        </w:rPr>
        <w:t>constituye otra herramienta para facilitar un cambio en la situación de los derechos human</w:t>
      </w:r>
      <w:r w:rsidR="0062734D">
        <w:rPr>
          <w:noProof/>
          <w:lang w:val="es-CO" w:eastAsia="en-GB"/>
        </w:rPr>
        <w:t>o</w:t>
      </w:r>
      <w:r w:rsidR="00CC2FBF" w:rsidRPr="00044745">
        <w:rPr>
          <w:noProof/>
          <w:lang w:val="es-CO" w:eastAsia="en-GB"/>
        </w:rPr>
        <w:t xml:space="preserve">s, ya que en su mayoría está diseñado para beneficiar a las comunidades rurales mediante la inclusión económica y política. </w:t>
      </w:r>
      <w:r w:rsidR="009427C9">
        <w:rPr>
          <w:noProof/>
          <w:lang w:val="es-CO" w:eastAsia="en-GB"/>
        </w:rPr>
        <w:t xml:space="preserve">La </w:t>
      </w:r>
      <w:r w:rsidR="00CC2FBF" w:rsidRPr="00044745">
        <w:rPr>
          <w:noProof/>
          <w:lang w:val="es-CO" w:eastAsia="en-GB"/>
        </w:rPr>
        <w:t xml:space="preserve"> </w:t>
      </w:r>
      <w:r w:rsidR="00987ED2">
        <w:rPr>
          <w:noProof/>
          <w:lang w:val="es-CO" w:eastAsia="en-GB"/>
        </w:rPr>
        <w:t>O</w:t>
      </w:r>
      <w:r w:rsidR="00CC2FBF" w:rsidRPr="00044745">
        <w:rPr>
          <w:noProof/>
          <w:lang w:val="es-CO" w:eastAsia="en-GB"/>
        </w:rPr>
        <w:t xml:space="preserve">ACNUDH también apoya la participación de </w:t>
      </w:r>
      <w:r w:rsidR="0062734D">
        <w:rPr>
          <w:noProof/>
          <w:lang w:val="es-CO" w:eastAsia="en-GB"/>
        </w:rPr>
        <w:t xml:space="preserve">las </w:t>
      </w:r>
      <w:r w:rsidR="00CC2FBF" w:rsidRPr="00044745">
        <w:rPr>
          <w:noProof/>
          <w:lang w:val="es-CO" w:eastAsia="en-GB"/>
        </w:rPr>
        <w:t xml:space="preserve">víctimas y la realización de sus derechos, para lo cual el Acuerdo ofrece nuevas posibilidades y desafíos. También brinda asistencia técnica y fortalece </w:t>
      </w:r>
      <w:r w:rsidR="009427C9">
        <w:rPr>
          <w:noProof/>
          <w:lang w:val="es-CO" w:eastAsia="en-GB"/>
        </w:rPr>
        <w:t xml:space="preserve">las </w:t>
      </w:r>
      <w:r w:rsidR="00CC2FBF" w:rsidRPr="00044745">
        <w:rPr>
          <w:noProof/>
          <w:lang w:val="es-CO" w:eastAsia="en-GB"/>
        </w:rPr>
        <w:t xml:space="preserve">capacidades </w:t>
      </w:r>
      <w:r w:rsidR="009427C9">
        <w:rPr>
          <w:noProof/>
          <w:lang w:val="es-CO" w:eastAsia="en-GB"/>
        </w:rPr>
        <w:t xml:space="preserve">del Estado </w:t>
      </w:r>
      <w:r w:rsidR="00CC2FBF" w:rsidRPr="00044745">
        <w:rPr>
          <w:noProof/>
          <w:lang w:val="es-CO" w:eastAsia="en-GB"/>
        </w:rPr>
        <w:t xml:space="preserve">para facilitar la investigación y sanción de las violaciones de los derechos humanos.  </w:t>
      </w:r>
      <w:r w:rsidRPr="00044745">
        <w:rPr>
          <w:noProof/>
          <w:lang w:val="es-CO" w:eastAsia="en-GB"/>
        </w:rPr>
        <w:t xml:space="preserve">    </w:t>
      </w:r>
    </w:p>
    <w:p w14:paraId="50C4AE98" w14:textId="1624DE40" w:rsidR="001544A7" w:rsidRPr="00044745" w:rsidRDefault="0012353E" w:rsidP="0012353E">
      <w:pPr>
        <w:pStyle w:val="HChG"/>
        <w:rPr>
          <w:noProof/>
          <w:lang w:val="es-CO" w:eastAsia="en-GB"/>
        </w:rPr>
      </w:pPr>
      <w:bookmarkStart w:id="1" w:name="_Toc503550643"/>
      <w:bookmarkStart w:id="2" w:name="_Toc499922843"/>
      <w:r w:rsidRPr="00044745">
        <w:rPr>
          <w:noProof/>
          <w:lang w:val="es-CO" w:eastAsia="en-GB"/>
        </w:rPr>
        <w:tab/>
      </w:r>
      <w:r w:rsidR="001544A7" w:rsidRPr="00044745">
        <w:rPr>
          <w:noProof/>
          <w:lang w:val="es-CO" w:eastAsia="en-GB"/>
        </w:rPr>
        <w:t>II.</w:t>
      </w:r>
      <w:r w:rsidRPr="00044745">
        <w:rPr>
          <w:noProof/>
          <w:lang w:val="es-CO" w:eastAsia="en-GB"/>
        </w:rPr>
        <w:tab/>
      </w:r>
      <w:r w:rsidR="000877C3" w:rsidRPr="00044745">
        <w:rPr>
          <w:noProof/>
          <w:lang w:val="es-CO" w:eastAsia="en-GB"/>
        </w:rPr>
        <w:t>Desaf</w:t>
      </w:r>
      <w:r w:rsidR="004229AE">
        <w:rPr>
          <w:noProof/>
          <w:lang w:val="es-CO" w:eastAsia="en-GB"/>
        </w:rPr>
        <w:t>ío</w:t>
      </w:r>
      <w:r w:rsidR="000877C3" w:rsidRPr="00044745">
        <w:rPr>
          <w:noProof/>
          <w:lang w:val="es-CO" w:eastAsia="en-GB"/>
        </w:rPr>
        <w:t xml:space="preserve">s </w:t>
      </w:r>
      <w:r w:rsidR="006A6C03" w:rsidRPr="00044745">
        <w:rPr>
          <w:noProof/>
          <w:lang w:val="es-CO" w:eastAsia="en-GB"/>
        </w:rPr>
        <w:t>para la implementaci</w:t>
      </w:r>
      <w:r w:rsidR="0062734D">
        <w:rPr>
          <w:noProof/>
          <w:lang w:val="es-CO" w:eastAsia="en-GB"/>
        </w:rPr>
        <w:t>ón del A</w:t>
      </w:r>
      <w:r w:rsidR="006A6C03" w:rsidRPr="00044745">
        <w:rPr>
          <w:noProof/>
          <w:lang w:val="es-CO" w:eastAsia="en-GB"/>
        </w:rPr>
        <w:t xml:space="preserve">cuerdo </w:t>
      </w:r>
      <w:r w:rsidR="00421067" w:rsidRPr="00044745">
        <w:rPr>
          <w:noProof/>
          <w:lang w:val="es-CO" w:eastAsia="en-GB"/>
        </w:rPr>
        <w:t>en materia de garantías de no repetición</w:t>
      </w:r>
      <w:bookmarkEnd w:id="1"/>
      <w:r w:rsidR="001544A7" w:rsidRPr="00044745">
        <w:rPr>
          <w:noProof/>
          <w:lang w:val="es-CO" w:eastAsia="en-GB"/>
        </w:rPr>
        <w:t xml:space="preserve"> </w:t>
      </w:r>
      <w:bookmarkEnd w:id="2"/>
    </w:p>
    <w:p w14:paraId="246AD8EF" w14:textId="439DF541" w:rsidR="001544A7" w:rsidRPr="00044745" w:rsidRDefault="009166EE" w:rsidP="009166EE">
      <w:pPr>
        <w:pStyle w:val="H1G"/>
        <w:rPr>
          <w:noProof/>
          <w:lang w:val="es-CO" w:eastAsia="en-GB"/>
        </w:rPr>
      </w:pPr>
      <w:bookmarkStart w:id="3" w:name="_Toc503550644"/>
      <w:r w:rsidRPr="00044745">
        <w:rPr>
          <w:noProof/>
          <w:lang w:val="es-CO" w:eastAsia="en-GB"/>
        </w:rPr>
        <w:tab/>
        <w:t>A</w:t>
      </w:r>
      <w:r w:rsidR="001544A7" w:rsidRPr="00044745">
        <w:rPr>
          <w:noProof/>
          <w:lang w:val="es-CO" w:eastAsia="en-GB"/>
        </w:rPr>
        <w:t>.</w:t>
      </w:r>
      <w:r w:rsidR="001544A7" w:rsidRPr="00044745">
        <w:rPr>
          <w:noProof/>
          <w:lang w:val="es-CO" w:eastAsia="en-GB"/>
        </w:rPr>
        <w:tab/>
        <w:t>At</w:t>
      </w:r>
      <w:r w:rsidR="00987ED2">
        <w:rPr>
          <w:noProof/>
          <w:lang w:val="es-CO" w:eastAsia="en-GB"/>
        </w:rPr>
        <w:t>aques</w:t>
      </w:r>
      <w:r w:rsidR="00421067" w:rsidRPr="00044745">
        <w:rPr>
          <w:noProof/>
          <w:lang w:val="es-CO" w:eastAsia="en-GB"/>
        </w:rPr>
        <w:t xml:space="preserve"> contra defensores de los derechos humanos </w:t>
      </w:r>
      <w:bookmarkEnd w:id="3"/>
    </w:p>
    <w:p w14:paraId="321108E4" w14:textId="4BEE2D65" w:rsidR="00421067" w:rsidRPr="00044745" w:rsidRDefault="00FD6616" w:rsidP="001544A7">
      <w:pPr>
        <w:pStyle w:val="SingleTxtG"/>
        <w:rPr>
          <w:noProof/>
          <w:lang w:val="es-CO" w:eastAsia="en-GB"/>
        </w:rPr>
      </w:pPr>
      <w:r w:rsidRPr="00044745">
        <w:rPr>
          <w:noProof/>
          <w:lang w:val="es-CO" w:eastAsia="en-GB"/>
        </w:rPr>
        <w:t>8</w:t>
      </w:r>
      <w:r w:rsidR="001544A7" w:rsidRPr="00044745">
        <w:rPr>
          <w:noProof/>
          <w:lang w:val="es-CO" w:eastAsia="en-GB"/>
        </w:rPr>
        <w:t>.</w:t>
      </w:r>
      <w:r w:rsidR="001544A7" w:rsidRPr="00044745">
        <w:rPr>
          <w:noProof/>
          <w:lang w:val="es-CO" w:eastAsia="en-GB"/>
        </w:rPr>
        <w:tab/>
      </w:r>
      <w:r w:rsidR="009427C9">
        <w:rPr>
          <w:noProof/>
          <w:lang w:val="es-CO" w:eastAsia="en-GB"/>
        </w:rPr>
        <w:t xml:space="preserve">La </w:t>
      </w:r>
      <w:r w:rsidR="00421067" w:rsidRPr="00044745">
        <w:rPr>
          <w:noProof/>
          <w:lang w:val="es-CO" w:eastAsia="en-GB"/>
        </w:rPr>
        <w:t xml:space="preserve"> </w:t>
      </w:r>
      <w:r w:rsidR="00987ED2">
        <w:rPr>
          <w:noProof/>
          <w:lang w:val="es-CO" w:eastAsia="en-GB"/>
        </w:rPr>
        <w:t>O</w:t>
      </w:r>
      <w:r w:rsidR="00421067" w:rsidRPr="00044745">
        <w:rPr>
          <w:noProof/>
          <w:lang w:val="es-CO" w:eastAsia="en-GB"/>
        </w:rPr>
        <w:t>ACNUDH está extremadamente preocupad</w:t>
      </w:r>
      <w:r w:rsidR="009427C9">
        <w:rPr>
          <w:noProof/>
          <w:lang w:val="es-CO" w:eastAsia="en-GB"/>
        </w:rPr>
        <w:t>a</w:t>
      </w:r>
      <w:r w:rsidR="00421067" w:rsidRPr="00044745">
        <w:rPr>
          <w:noProof/>
          <w:lang w:val="es-CO" w:eastAsia="en-GB"/>
        </w:rPr>
        <w:t xml:space="preserve"> por </w:t>
      </w:r>
      <w:r w:rsidR="00987ED2">
        <w:rPr>
          <w:noProof/>
          <w:lang w:val="es-CO" w:eastAsia="en-GB"/>
        </w:rPr>
        <w:t>e</w:t>
      </w:r>
      <w:r w:rsidR="00421067" w:rsidRPr="00044745">
        <w:rPr>
          <w:noProof/>
          <w:lang w:val="es-CO" w:eastAsia="en-GB"/>
        </w:rPr>
        <w:t xml:space="preserve">l aumento </w:t>
      </w:r>
      <w:r w:rsidR="00987ED2">
        <w:rPr>
          <w:noProof/>
          <w:lang w:val="es-CO" w:eastAsia="en-GB"/>
        </w:rPr>
        <w:t>de</w:t>
      </w:r>
      <w:r w:rsidR="00421067" w:rsidRPr="00044745">
        <w:rPr>
          <w:noProof/>
          <w:lang w:val="es-CO" w:eastAsia="en-GB"/>
        </w:rPr>
        <w:t xml:space="preserve"> asesinato</w:t>
      </w:r>
      <w:r w:rsidR="004229AE">
        <w:rPr>
          <w:noProof/>
          <w:lang w:val="es-CO" w:eastAsia="en-GB"/>
        </w:rPr>
        <w:t>s</w:t>
      </w:r>
      <w:r w:rsidR="00421067" w:rsidRPr="00044745">
        <w:rPr>
          <w:noProof/>
          <w:lang w:val="es-CO" w:eastAsia="en-GB"/>
        </w:rPr>
        <w:t xml:space="preserve"> de defensores de los derechos humanos, incluyendo a líderes sociales y comunitarios</w:t>
      </w:r>
      <w:r w:rsidR="002E52BB">
        <w:rPr>
          <w:noProof/>
          <w:lang w:val="es-CO" w:eastAsia="en-GB"/>
        </w:rPr>
        <w:t>, a pesar de los esfuerzos desplegados por el Estado</w:t>
      </w:r>
      <w:r w:rsidR="00513B41">
        <w:rPr>
          <w:noProof/>
          <w:lang w:val="es-CO" w:eastAsia="en-GB"/>
        </w:rPr>
        <w:t xml:space="preserve"> para reducir estos ataques</w:t>
      </w:r>
      <w:r w:rsidR="00421067" w:rsidRPr="00044745">
        <w:rPr>
          <w:noProof/>
          <w:lang w:val="es-CO" w:eastAsia="en-GB"/>
        </w:rPr>
        <w:t xml:space="preserve">. En 2017, </w:t>
      </w:r>
      <w:r w:rsidR="00B116BE">
        <w:rPr>
          <w:noProof/>
          <w:lang w:val="es-CO" w:eastAsia="en-GB"/>
        </w:rPr>
        <w:t>la</w:t>
      </w:r>
      <w:r w:rsidR="00421067" w:rsidRPr="00044745">
        <w:rPr>
          <w:noProof/>
          <w:lang w:val="es-CO" w:eastAsia="en-GB"/>
        </w:rPr>
        <w:t xml:space="preserve"> </w:t>
      </w:r>
      <w:r w:rsidR="00987ED2">
        <w:rPr>
          <w:noProof/>
          <w:lang w:val="es-CO" w:eastAsia="en-GB"/>
        </w:rPr>
        <w:t>O</w:t>
      </w:r>
      <w:r w:rsidR="00421067" w:rsidRPr="00044745">
        <w:rPr>
          <w:noProof/>
          <w:lang w:val="es-CO" w:eastAsia="en-GB"/>
        </w:rPr>
        <w:t>ACNUDH registró 4</w:t>
      </w:r>
      <w:r w:rsidR="006E54BD">
        <w:rPr>
          <w:noProof/>
          <w:lang w:val="es-CO" w:eastAsia="en-GB"/>
        </w:rPr>
        <w:t>41</w:t>
      </w:r>
      <w:r w:rsidR="00421067" w:rsidRPr="00044745">
        <w:rPr>
          <w:noProof/>
          <w:lang w:val="es-CO" w:eastAsia="en-GB"/>
        </w:rPr>
        <w:t xml:space="preserve"> </w:t>
      </w:r>
      <w:r w:rsidR="00EA224B">
        <w:rPr>
          <w:noProof/>
          <w:lang w:val="es-CO" w:eastAsia="en-GB"/>
        </w:rPr>
        <w:t>ataques</w:t>
      </w:r>
      <w:r w:rsidR="00421067" w:rsidRPr="00044745">
        <w:rPr>
          <w:noProof/>
          <w:lang w:val="es-CO" w:eastAsia="en-GB"/>
        </w:rPr>
        <w:t>, incluyendo 1</w:t>
      </w:r>
      <w:r w:rsidR="006E54BD">
        <w:rPr>
          <w:noProof/>
          <w:lang w:val="es-CO" w:eastAsia="en-GB"/>
        </w:rPr>
        <w:t>21</w:t>
      </w:r>
      <w:r w:rsidR="00421067" w:rsidRPr="00044745">
        <w:rPr>
          <w:noProof/>
          <w:lang w:val="es-CO" w:eastAsia="en-GB"/>
        </w:rPr>
        <w:t xml:space="preserve"> asesinatos. </w:t>
      </w:r>
      <w:r w:rsidR="009427C9">
        <w:rPr>
          <w:noProof/>
          <w:lang w:val="es-CO" w:eastAsia="en-GB"/>
        </w:rPr>
        <w:t xml:space="preserve">Estos últimos </w:t>
      </w:r>
      <w:r w:rsidR="000E018B" w:rsidRPr="00044745">
        <w:rPr>
          <w:noProof/>
          <w:lang w:val="es-CO" w:eastAsia="en-GB"/>
        </w:rPr>
        <w:t xml:space="preserve"> incluyen a 84 defensores de los derechos humanos </w:t>
      </w:r>
      <w:r w:rsidR="0062734D">
        <w:rPr>
          <w:noProof/>
          <w:lang w:val="es-CO" w:eastAsia="en-GB"/>
        </w:rPr>
        <w:t xml:space="preserve">que ejercían </w:t>
      </w:r>
      <w:r w:rsidR="000E018B" w:rsidRPr="0062734D">
        <w:rPr>
          <w:noProof/>
          <w:lang w:val="es-CO" w:eastAsia="en-GB"/>
        </w:rPr>
        <w:t>liderazgo, 2</w:t>
      </w:r>
      <w:r w:rsidR="006E54BD">
        <w:rPr>
          <w:noProof/>
          <w:lang w:val="es-CO" w:eastAsia="en-GB"/>
        </w:rPr>
        <w:t>3</w:t>
      </w:r>
      <w:r w:rsidR="000E018B" w:rsidRPr="00044745">
        <w:rPr>
          <w:noProof/>
          <w:lang w:val="es-CO" w:eastAsia="en-GB"/>
        </w:rPr>
        <w:t xml:space="preserve"> miembros de movimientos sociales y políticos y 14 personas muert</w:t>
      </w:r>
      <w:r w:rsidR="004229AE">
        <w:rPr>
          <w:noProof/>
          <w:lang w:val="es-CO" w:eastAsia="en-GB"/>
        </w:rPr>
        <w:t>a</w:t>
      </w:r>
      <w:r w:rsidR="000E018B" w:rsidRPr="00044745">
        <w:rPr>
          <w:noProof/>
          <w:lang w:val="es-CO" w:eastAsia="en-GB"/>
        </w:rPr>
        <w:t xml:space="preserve">s durante las protestas sociales. </w:t>
      </w:r>
      <w:r w:rsidR="009427C9">
        <w:rPr>
          <w:noProof/>
          <w:lang w:val="es-CO" w:eastAsia="en-GB"/>
        </w:rPr>
        <w:t xml:space="preserve">La </w:t>
      </w:r>
      <w:r w:rsidR="000E018B" w:rsidRPr="00044745">
        <w:rPr>
          <w:noProof/>
          <w:lang w:val="es-CO" w:eastAsia="en-GB"/>
        </w:rPr>
        <w:t xml:space="preserve"> </w:t>
      </w:r>
      <w:r w:rsidR="00A1784F">
        <w:rPr>
          <w:noProof/>
          <w:lang w:val="es-CO" w:eastAsia="en-GB"/>
        </w:rPr>
        <w:t>O</w:t>
      </w:r>
      <w:r w:rsidR="000E018B" w:rsidRPr="00044745">
        <w:rPr>
          <w:noProof/>
          <w:lang w:val="es-CO" w:eastAsia="en-GB"/>
        </w:rPr>
        <w:t xml:space="preserve">ACNUDH también registró 41 intentos de asesinato; 213 amenazas; 61 violaciones de los derechos a la intimidad y la propiedad (entre ellas </w:t>
      </w:r>
      <w:r w:rsidR="005A3566" w:rsidRPr="00044745">
        <w:rPr>
          <w:noProof/>
          <w:lang w:val="es-CO" w:eastAsia="en-GB"/>
        </w:rPr>
        <w:t xml:space="preserve">la toma no solicitada de fotografías </w:t>
      </w:r>
      <w:r w:rsidR="000E018B" w:rsidRPr="00044745">
        <w:rPr>
          <w:noProof/>
          <w:lang w:val="es-CO" w:eastAsia="en-GB"/>
        </w:rPr>
        <w:t xml:space="preserve">y </w:t>
      </w:r>
      <w:r w:rsidR="005A3566" w:rsidRPr="00044745">
        <w:rPr>
          <w:noProof/>
          <w:lang w:val="es-CO" w:eastAsia="en-GB"/>
        </w:rPr>
        <w:t xml:space="preserve">el </w:t>
      </w:r>
      <w:r w:rsidR="000E018B" w:rsidRPr="00044745">
        <w:rPr>
          <w:noProof/>
          <w:lang w:val="es-CO" w:eastAsia="en-GB"/>
        </w:rPr>
        <w:t>robo de informaci</w:t>
      </w:r>
      <w:r w:rsidR="005A3566" w:rsidRPr="00044745">
        <w:rPr>
          <w:noProof/>
          <w:lang w:val="es-CO" w:eastAsia="en-GB"/>
        </w:rPr>
        <w:t>ón); cuatro desapariciones forzadas; y la violación sexual de una m</w:t>
      </w:r>
      <w:r w:rsidR="00F91023">
        <w:rPr>
          <w:noProof/>
          <w:lang w:val="es-CO" w:eastAsia="en-GB"/>
        </w:rPr>
        <w:t>ujer</w:t>
      </w:r>
      <w:r w:rsidR="005A3566" w:rsidRPr="00044745">
        <w:rPr>
          <w:noProof/>
          <w:lang w:val="es-CO" w:eastAsia="en-GB"/>
        </w:rPr>
        <w:t xml:space="preserve"> activista. </w:t>
      </w:r>
    </w:p>
    <w:p w14:paraId="528ED1EB" w14:textId="457E297C" w:rsidR="005A3566" w:rsidRPr="00044745" w:rsidRDefault="00FD6616" w:rsidP="001544A7">
      <w:pPr>
        <w:pStyle w:val="SingleTxtG"/>
        <w:rPr>
          <w:noProof/>
          <w:lang w:val="es-CO" w:eastAsia="en-GB"/>
        </w:rPr>
      </w:pPr>
      <w:r w:rsidRPr="00044745">
        <w:rPr>
          <w:noProof/>
          <w:lang w:val="es-CO" w:eastAsia="en-GB"/>
        </w:rPr>
        <w:t>9</w:t>
      </w:r>
      <w:r w:rsidR="001544A7" w:rsidRPr="00044745">
        <w:rPr>
          <w:noProof/>
          <w:lang w:val="es-CO" w:eastAsia="en-GB"/>
        </w:rPr>
        <w:t>.</w:t>
      </w:r>
      <w:r w:rsidR="001544A7" w:rsidRPr="00044745">
        <w:rPr>
          <w:noProof/>
          <w:lang w:val="es-CO" w:eastAsia="en-GB"/>
        </w:rPr>
        <w:tab/>
      </w:r>
      <w:r w:rsidR="00B116BE">
        <w:rPr>
          <w:noProof/>
          <w:lang w:val="es-CO" w:eastAsia="en-GB"/>
        </w:rPr>
        <w:t>De</w:t>
      </w:r>
      <w:r w:rsidR="005A3566" w:rsidRPr="00044745">
        <w:rPr>
          <w:noProof/>
          <w:lang w:val="es-CO" w:eastAsia="en-GB"/>
        </w:rPr>
        <w:t xml:space="preserve"> los defensores asesinados </w:t>
      </w:r>
      <w:r w:rsidR="00B116BE">
        <w:rPr>
          <w:noProof/>
          <w:lang w:val="es-CO" w:eastAsia="en-GB"/>
        </w:rPr>
        <w:t xml:space="preserve">catorce </w:t>
      </w:r>
      <w:r w:rsidR="005A3566" w:rsidRPr="00044745">
        <w:rPr>
          <w:noProof/>
          <w:lang w:val="es-CO" w:eastAsia="en-GB"/>
        </w:rPr>
        <w:t xml:space="preserve">fueron mujeres, </w:t>
      </w:r>
      <w:r w:rsidR="00E84DEA">
        <w:rPr>
          <w:noProof/>
          <w:lang w:val="es-CO" w:eastAsia="en-GB"/>
        </w:rPr>
        <w:t>lo cual</w:t>
      </w:r>
      <w:r w:rsidR="005A3566" w:rsidRPr="00044745">
        <w:rPr>
          <w:noProof/>
          <w:lang w:val="es-CO" w:eastAsia="en-GB"/>
        </w:rPr>
        <w:t xml:space="preserve"> dobl</w:t>
      </w:r>
      <w:r w:rsidR="00E84DEA">
        <w:rPr>
          <w:noProof/>
          <w:lang w:val="es-CO" w:eastAsia="en-GB"/>
        </w:rPr>
        <w:t>a</w:t>
      </w:r>
      <w:r w:rsidR="005A3566" w:rsidRPr="00044745">
        <w:rPr>
          <w:noProof/>
          <w:lang w:val="es-CO" w:eastAsia="en-GB"/>
        </w:rPr>
        <w:t xml:space="preserve"> e</w:t>
      </w:r>
      <w:r w:rsidR="00E84DEA">
        <w:rPr>
          <w:noProof/>
          <w:lang w:val="es-CO" w:eastAsia="en-GB"/>
        </w:rPr>
        <w:t>l porcentaje de</w:t>
      </w:r>
      <w:r w:rsidR="005A3566" w:rsidRPr="00044745">
        <w:rPr>
          <w:noProof/>
          <w:lang w:val="es-CO" w:eastAsia="en-GB"/>
        </w:rPr>
        <w:t xml:space="preserve"> mujeres defensores asesinadas en comparación con el año pasado. Tres de las víctimas eran miembros de la población LGBTI. Las categorías de defensores más afectados por los atentados son líderes comunitarios, indígenas, campesinos, afro-colombianos y sindicales.  </w:t>
      </w:r>
    </w:p>
    <w:p w14:paraId="4C17FBF6" w14:textId="7A960AA4" w:rsidR="005A3566" w:rsidRPr="00044745" w:rsidRDefault="00FD6616" w:rsidP="001544A7">
      <w:pPr>
        <w:pStyle w:val="SingleTxtG"/>
        <w:rPr>
          <w:noProof/>
          <w:lang w:val="es-CO" w:eastAsia="en-GB"/>
        </w:rPr>
      </w:pPr>
      <w:r w:rsidRPr="00044745">
        <w:rPr>
          <w:noProof/>
          <w:lang w:val="es-CO" w:eastAsia="en-GB"/>
        </w:rPr>
        <w:t>10</w:t>
      </w:r>
      <w:r w:rsidR="001544A7" w:rsidRPr="00044745">
        <w:rPr>
          <w:noProof/>
          <w:lang w:val="es-CO" w:eastAsia="en-GB"/>
        </w:rPr>
        <w:t>.</w:t>
      </w:r>
      <w:r w:rsidR="001544A7" w:rsidRPr="00044745">
        <w:rPr>
          <w:noProof/>
          <w:lang w:val="es-CO" w:eastAsia="en-GB"/>
        </w:rPr>
        <w:tab/>
      </w:r>
      <w:r w:rsidR="005A3566" w:rsidRPr="00044745">
        <w:rPr>
          <w:noProof/>
          <w:lang w:val="es-CO" w:eastAsia="en-GB"/>
        </w:rPr>
        <w:t xml:space="preserve">Las regiones con mayor número de asesinatos </w:t>
      </w:r>
      <w:r w:rsidR="007B1026" w:rsidRPr="00044745">
        <w:rPr>
          <w:noProof/>
          <w:lang w:val="es-CO" w:eastAsia="en-GB"/>
        </w:rPr>
        <w:t>fueron Antioquia (13) y Cauca (11). El 62 por ciento de los asesinatos</w:t>
      </w:r>
      <w:r w:rsidR="009427C9">
        <w:rPr>
          <w:noProof/>
          <w:lang w:val="es-CO" w:eastAsia="en-GB"/>
        </w:rPr>
        <w:t xml:space="preserve"> ocurrieron </w:t>
      </w:r>
      <w:r w:rsidR="007B1026" w:rsidRPr="00044745">
        <w:rPr>
          <w:noProof/>
          <w:lang w:val="es-CO" w:eastAsia="en-GB"/>
        </w:rPr>
        <w:t xml:space="preserve"> en </w:t>
      </w:r>
      <w:r w:rsidR="00F91023">
        <w:rPr>
          <w:noProof/>
          <w:lang w:val="es-CO" w:eastAsia="en-GB"/>
        </w:rPr>
        <w:t>zonas rurales, el 24 por ciento</w:t>
      </w:r>
      <w:r w:rsidR="007B1026" w:rsidRPr="00044745">
        <w:rPr>
          <w:noProof/>
          <w:lang w:val="es-CO" w:eastAsia="en-GB"/>
        </w:rPr>
        <w:t xml:space="preserve"> en ciudades </w:t>
      </w:r>
      <w:r w:rsidR="00236F9D">
        <w:rPr>
          <w:noProof/>
          <w:lang w:val="es-CO" w:eastAsia="en-GB"/>
        </w:rPr>
        <w:t xml:space="preserve">cercanas a las anteriores zonas de conflicto </w:t>
      </w:r>
      <w:r w:rsidR="007B1026" w:rsidRPr="00044745">
        <w:rPr>
          <w:noProof/>
          <w:lang w:val="es-CO" w:eastAsia="en-GB"/>
        </w:rPr>
        <w:t xml:space="preserve">y el 14 por ciento en las ciudades principales.  </w:t>
      </w:r>
    </w:p>
    <w:p w14:paraId="4F29F32B" w14:textId="3901CE06" w:rsidR="001544A7" w:rsidRPr="00044745" w:rsidRDefault="00A816BB" w:rsidP="00911796">
      <w:pPr>
        <w:pStyle w:val="SingleTxtG"/>
        <w:rPr>
          <w:noProof/>
          <w:lang w:val="es-CO" w:eastAsia="en-GB"/>
        </w:rPr>
      </w:pPr>
      <w:r w:rsidRPr="00044745">
        <w:rPr>
          <w:noProof/>
          <w:lang w:val="es-CO" w:eastAsia="en-GB"/>
        </w:rPr>
        <w:t>1</w:t>
      </w:r>
      <w:r w:rsidR="00FD6616" w:rsidRPr="00044745">
        <w:rPr>
          <w:noProof/>
          <w:lang w:val="es-CO" w:eastAsia="en-GB"/>
        </w:rPr>
        <w:t>1</w:t>
      </w:r>
      <w:r w:rsidRPr="00044745">
        <w:rPr>
          <w:noProof/>
          <w:lang w:val="es-CO" w:eastAsia="en-GB"/>
        </w:rPr>
        <w:t>.</w:t>
      </w:r>
      <w:r w:rsidRPr="00044745">
        <w:rPr>
          <w:noProof/>
          <w:lang w:val="es-CO" w:eastAsia="en-GB"/>
        </w:rPr>
        <w:tab/>
      </w:r>
      <w:r w:rsidR="00EA5CCA">
        <w:rPr>
          <w:noProof/>
          <w:lang w:val="es-CO" w:eastAsia="en-GB"/>
        </w:rPr>
        <w:t>E</w:t>
      </w:r>
      <w:r w:rsidR="007B1026" w:rsidRPr="00044745">
        <w:rPr>
          <w:noProof/>
          <w:lang w:val="es-CO" w:eastAsia="en-GB"/>
        </w:rPr>
        <w:t>l 64 por ciento de</w:t>
      </w:r>
      <w:r w:rsidR="00EA224B">
        <w:rPr>
          <w:noProof/>
          <w:lang w:val="es-CO" w:eastAsia="en-GB"/>
        </w:rPr>
        <w:t xml:space="preserve"> los</w:t>
      </w:r>
      <w:r w:rsidR="007B1026" w:rsidRPr="00044745">
        <w:rPr>
          <w:noProof/>
          <w:lang w:val="es-CO" w:eastAsia="en-GB"/>
        </w:rPr>
        <w:t xml:space="preserve"> asesinatos ocurri</w:t>
      </w:r>
      <w:r w:rsidR="009916F1">
        <w:rPr>
          <w:noProof/>
          <w:lang w:val="es-CO" w:eastAsia="en-GB"/>
        </w:rPr>
        <w:t>eron</w:t>
      </w:r>
      <w:r w:rsidR="007B1026" w:rsidRPr="00044745">
        <w:rPr>
          <w:noProof/>
          <w:lang w:val="es-CO" w:eastAsia="en-GB"/>
        </w:rPr>
        <w:t xml:space="preserve"> en las Zonas más Afectadas por el Conflicto (ZOMAC)</w:t>
      </w:r>
      <w:r w:rsidR="007B1026" w:rsidRPr="00044745">
        <w:rPr>
          <w:rStyle w:val="FootnoteReference"/>
          <w:noProof/>
          <w:lang w:val="es-CO" w:eastAsia="en-GB"/>
        </w:rPr>
        <w:footnoteReference w:id="5"/>
      </w:r>
      <w:r w:rsidR="004A03FE" w:rsidRPr="00044745">
        <w:rPr>
          <w:noProof/>
          <w:lang w:val="es-CO" w:eastAsia="en-GB"/>
        </w:rPr>
        <w:t xml:space="preserve"> </w:t>
      </w:r>
      <w:r w:rsidR="009916F1">
        <w:rPr>
          <w:noProof/>
          <w:lang w:val="es-CO" w:eastAsia="en-GB"/>
        </w:rPr>
        <w:t xml:space="preserve"> y</w:t>
      </w:r>
      <w:r w:rsidR="004A03FE" w:rsidRPr="00044745">
        <w:rPr>
          <w:noProof/>
          <w:lang w:val="es-CO" w:eastAsia="en-GB"/>
        </w:rPr>
        <w:t xml:space="preserve"> en zonas con una presencia histórica de las FARC-EP. El vacío de poder que </w:t>
      </w:r>
      <w:r w:rsidR="00911796" w:rsidRPr="00044745">
        <w:rPr>
          <w:noProof/>
          <w:lang w:val="es-CO" w:eastAsia="en-GB"/>
        </w:rPr>
        <w:t>dejaron</w:t>
      </w:r>
      <w:r w:rsidR="004A03FE" w:rsidRPr="00044745">
        <w:rPr>
          <w:noProof/>
          <w:lang w:val="es-CO" w:eastAsia="en-GB"/>
        </w:rPr>
        <w:t xml:space="preserve"> las FARC-EP después de su desmovilización; la falta de una presencia estatal integral; y demoras en la implementación del </w:t>
      </w:r>
      <w:r w:rsidR="00F91023">
        <w:rPr>
          <w:noProof/>
          <w:lang w:val="es-CO" w:eastAsia="en-GB"/>
        </w:rPr>
        <w:t>A</w:t>
      </w:r>
      <w:r w:rsidR="004A03FE" w:rsidRPr="00044745">
        <w:rPr>
          <w:noProof/>
          <w:lang w:val="es-CO" w:eastAsia="en-GB"/>
        </w:rPr>
        <w:t xml:space="preserve">cuerdo permitieron </w:t>
      </w:r>
      <w:r w:rsidR="00911796" w:rsidRPr="00044745">
        <w:rPr>
          <w:noProof/>
          <w:lang w:val="es-CO" w:eastAsia="en-GB"/>
        </w:rPr>
        <w:t xml:space="preserve">el ingreso de </w:t>
      </w:r>
      <w:r w:rsidR="004A03FE" w:rsidRPr="00044745">
        <w:rPr>
          <w:noProof/>
          <w:lang w:val="es-CO" w:eastAsia="en-GB"/>
        </w:rPr>
        <w:t xml:space="preserve">grupos ilegales </w:t>
      </w:r>
      <w:r w:rsidR="007044DC">
        <w:rPr>
          <w:noProof/>
          <w:lang w:val="es-CO" w:eastAsia="en-GB"/>
        </w:rPr>
        <w:t xml:space="preserve">y </w:t>
      </w:r>
      <w:r w:rsidR="00CA6DD1">
        <w:rPr>
          <w:noProof/>
          <w:lang w:val="es-CO" w:eastAsia="en-GB"/>
        </w:rPr>
        <w:t xml:space="preserve">grupos </w:t>
      </w:r>
      <w:r w:rsidR="007044DC">
        <w:rPr>
          <w:noProof/>
          <w:lang w:val="es-CO" w:eastAsia="en-GB"/>
        </w:rPr>
        <w:t xml:space="preserve">criminales </w:t>
      </w:r>
      <w:r w:rsidR="00911796" w:rsidRPr="00044745">
        <w:rPr>
          <w:noProof/>
          <w:lang w:val="es-CO" w:eastAsia="en-GB"/>
        </w:rPr>
        <w:t xml:space="preserve">a </w:t>
      </w:r>
      <w:r w:rsidR="004A03FE" w:rsidRPr="00044745">
        <w:rPr>
          <w:noProof/>
          <w:lang w:val="es-CO" w:eastAsia="en-GB"/>
        </w:rPr>
        <w:t>las zonas</w:t>
      </w:r>
      <w:r w:rsidR="00EA224B">
        <w:rPr>
          <w:noProof/>
          <w:lang w:val="es-CO" w:eastAsia="en-GB"/>
        </w:rPr>
        <w:t>,</w:t>
      </w:r>
      <w:r w:rsidR="00F91023">
        <w:rPr>
          <w:noProof/>
          <w:lang w:val="es-CO" w:eastAsia="en-GB"/>
        </w:rPr>
        <w:t xml:space="preserve"> </w:t>
      </w:r>
      <w:r w:rsidR="007044DC">
        <w:rPr>
          <w:noProof/>
          <w:lang w:val="es-CO" w:eastAsia="en-GB"/>
        </w:rPr>
        <w:t xml:space="preserve">los cuales buscaban </w:t>
      </w:r>
      <w:r w:rsidR="00911796" w:rsidRPr="00044745">
        <w:rPr>
          <w:noProof/>
          <w:lang w:val="es-CO" w:eastAsia="en-GB"/>
        </w:rPr>
        <w:t>asumir</w:t>
      </w:r>
      <w:r w:rsidR="004A03FE" w:rsidRPr="00044745">
        <w:rPr>
          <w:noProof/>
          <w:lang w:val="es-CO" w:eastAsia="en-GB"/>
        </w:rPr>
        <w:t xml:space="preserve"> el control de las economías ilegales aún </w:t>
      </w:r>
      <w:r w:rsidR="007044DC">
        <w:rPr>
          <w:noProof/>
          <w:lang w:val="es-CO" w:eastAsia="en-GB"/>
        </w:rPr>
        <w:t>existentes</w:t>
      </w:r>
      <w:r w:rsidR="00911796" w:rsidRPr="00044745">
        <w:rPr>
          <w:noProof/>
          <w:lang w:val="es-CO" w:eastAsia="en-GB"/>
        </w:rPr>
        <w:t xml:space="preserve">, </w:t>
      </w:r>
      <w:r w:rsidR="00CA6DD1">
        <w:rPr>
          <w:noProof/>
          <w:lang w:val="es-CO" w:eastAsia="en-GB"/>
        </w:rPr>
        <w:t xml:space="preserve">provocando </w:t>
      </w:r>
      <w:r w:rsidR="00911796" w:rsidRPr="00044745">
        <w:rPr>
          <w:noProof/>
          <w:lang w:val="es-CO" w:eastAsia="en-GB"/>
        </w:rPr>
        <w:t xml:space="preserve"> un aumento de la violencia. Aparent</w:t>
      </w:r>
      <w:r w:rsidR="00EA224B">
        <w:rPr>
          <w:noProof/>
          <w:lang w:val="es-CO" w:eastAsia="en-GB"/>
        </w:rPr>
        <w:t>e</w:t>
      </w:r>
      <w:r w:rsidR="00911796" w:rsidRPr="00044745">
        <w:rPr>
          <w:noProof/>
          <w:lang w:val="es-CO" w:eastAsia="en-GB"/>
        </w:rPr>
        <w:t>mente, varias víctimas fueron asesinadas por apoy</w:t>
      </w:r>
      <w:r w:rsidR="00F91023">
        <w:rPr>
          <w:noProof/>
          <w:lang w:val="es-CO" w:eastAsia="en-GB"/>
        </w:rPr>
        <w:t>ar las políticas derivadas del A</w:t>
      </w:r>
      <w:r w:rsidR="00911796" w:rsidRPr="00044745">
        <w:rPr>
          <w:noProof/>
          <w:lang w:val="es-CO" w:eastAsia="en-GB"/>
        </w:rPr>
        <w:t xml:space="preserve">cuerdo, como la sustitución de cultivos ilícitos y la reforma rural integral. Esto constituye una nueva tendencia en </w:t>
      </w:r>
      <w:r w:rsidR="007E61ED">
        <w:rPr>
          <w:noProof/>
          <w:lang w:val="es-CO" w:eastAsia="en-GB"/>
        </w:rPr>
        <w:t xml:space="preserve">los móviles </w:t>
      </w:r>
      <w:r w:rsidR="00911796" w:rsidRPr="00044745">
        <w:rPr>
          <w:noProof/>
          <w:lang w:val="es-CO" w:eastAsia="en-GB"/>
        </w:rPr>
        <w:t>de los asesinatos</w:t>
      </w:r>
      <w:r w:rsidR="00B26536">
        <w:rPr>
          <w:noProof/>
          <w:lang w:val="es-CO" w:eastAsia="en-GB"/>
        </w:rPr>
        <w:t>. E</w:t>
      </w:r>
      <w:r w:rsidR="00911796" w:rsidRPr="00044745">
        <w:rPr>
          <w:noProof/>
          <w:lang w:val="es-CO" w:eastAsia="en-GB"/>
        </w:rPr>
        <w:t>n años anteriores la mayoría de los defensores de derechos humanos fue</w:t>
      </w:r>
      <w:r w:rsidR="0076219A">
        <w:rPr>
          <w:noProof/>
          <w:lang w:val="es-CO" w:eastAsia="en-GB"/>
        </w:rPr>
        <w:t>ron</w:t>
      </w:r>
      <w:r w:rsidR="00F91023">
        <w:rPr>
          <w:noProof/>
          <w:lang w:val="es-CO" w:eastAsia="en-GB"/>
        </w:rPr>
        <w:t xml:space="preserve"> asesinad</w:t>
      </w:r>
      <w:r w:rsidR="004145A2">
        <w:rPr>
          <w:noProof/>
          <w:lang w:val="es-CO" w:eastAsia="en-GB"/>
        </w:rPr>
        <w:t>os</w:t>
      </w:r>
      <w:r w:rsidR="00911796" w:rsidRPr="00044745">
        <w:rPr>
          <w:noProof/>
          <w:lang w:val="es-CO" w:eastAsia="en-GB"/>
        </w:rPr>
        <w:t xml:space="preserve"> por </w:t>
      </w:r>
      <w:r w:rsidR="00F91023">
        <w:rPr>
          <w:noProof/>
          <w:lang w:val="es-CO" w:eastAsia="en-GB"/>
        </w:rPr>
        <w:t xml:space="preserve">oponerse </w:t>
      </w:r>
      <w:r w:rsidR="00911796" w:rsidRPr="00044745">
        <w:rPr>
          <w:noProof/>
          <w:lang w:val="es-CO" w:eastAsia="en-GB"/>
        </w:rPr>
        <w:t>a las políticas de gobierno, no por ap</w:t>
      </w:r>
      <w:r w:rsidR="00F91023">
        <w:rPr>
          <w:noProof/>
          <w:lang w:val="es-CO" w:eastAsia="en-GB"/>
        </w:rPr>
        <w:t>o</w:t>
      </w:r>
      <w:r w:rsidR="00911796" w:rsidRPr="00044745">
        <w:rPr>
          <w:noProof/>
          <w:lang w:val="es-CO" w:eastAsia="en-GB"/>
        </w:rPr>
        <w:t>yarlas.</w:t>
      </w:r>
      <w:r w:rsidR="007E61ED">
        <w:rPr>
          <w:noProof/>
          <w:lang w:val="es-CO" w:eastAsia="en-GB"/>
        </w:rPr>
        <w:t xml:space="preserve"> </w:t>
      </w:r>
    </w:p>
    <w:p w14:paraId="17629A8E" w14:textId="502C4B41" w:rsidR="00911796" w:rsidRPr="00044745" w:rsidRDefault="00A816BB" w:rsidP="001544A7">
      <w:pPr>
        <w:pStyle w:val="SingleTxtG"/>
        <w:rPr>
          <w:noProof/>
          <w:lang w:val="es-CO" w:eastAsia="en-GB"/>
        </w:rPr>
      </w:pPr>
      <w:r w:rsidRPr="00044745">
        <w:rPr>
          <w:noProof/>
          <w:lang w:val="es-CO" w:eastAsia="en-GB"/>
        </w:rPr>
        <w:t>1</w:t>
      </w:r>
      <w:r w:rsidR="00FD6616" w:rsidRPr="00044745">
        <w:rPr>
          <w:noProof/>
          <w:lang w:val="es-CO" w:eastAsia="en-GB"/>
        </w:rPr>
        <w:t>2</w:t>
      </w:r>
      <w:r w:rsidRPr="00044745">
        <w:rPr>
          <w:noProof/>
          <w:lang w:val="es-CO" w:eastAsia="en-GB"/>
        </w:rPr>
        <w:t>.</w:t>
      </w:r>
      <w:r w:rsidRPr="00044745">
        <w:rPr>
          <w:noProof/>
          <w:lang w:val="es-CO" w:eastAsia="en-GB"/>
        </w:rPr>
        <w:tab/>
      </w:r>
      <w:r w:rsidR="00911796" w:rsidRPr="00044745">
        <w:rPr>
          <w:noProof/>
          <w:lang w:val="es-CO" w:eastAsia="en-GB"/>
        </w:rPr>
        <w:t>El 57 por ciento de los asesinatos aparentemente</w:t>
      </w:r>
      <w:r w:rsidR="00FA2B9C" w:rsidRPr="00044745">
        <w:rPr>
          <w:noProof/>
          <w:lang w:val="es-CO" w:eastAsia="en-GB"/>
        </w:rPr>
        <w:t xml:space="preserve"> </w:t>
      </w:r>
      <w:r w:rsidR="00F91023">
        <w:rPr>
          <w:noProof/>
          <w:lang w:val="es-CO" w:eastAsia="en-GB"/>
        </w:rPr>
        <w:t xml:space="preserve">fue </w:t>
      </w:r>
      <w:r w:rsidR="00ED33FA">
        <w:rPr>
          <w:noProof/>
          <w:lang w:val="es-CO" w:eastAsia="en-GB"/>
        </w:rPr>
        <w:t xml:space="preserve">cometido </w:t>
      </w:r>
      <w:r w:rsidR="00FA2B9C" w:rsidRPr="00044745">
        <w:rPr>
          <w:noProof/>
          <w:lang w:val="es-CO" w:eastAsia="en-GB"/>
        </w:rPr>
        <w:t xml:space="preserve">por sicarios, lo que dificulta la identificación del autor intelectual. </w:t>
      </w:r>
      <w:r w:rsidR="003178A9" w:rsidRPr="00044745">
        <w:rPr>
          <w:noProof/>
          <w:lang w:val="es-CO" w:eastAsia="en-GB"/>
        </w:rPr>
        <w:t xml:space="preserve">Los </w:t>
      </w:r>
      <w:r w:rsidR="00EB583D" w:rsidRPr="00044745">
        <w:rPr>
          <w:noProof/>
          <w:lang w:val="es-CO" w:eastAsia="en-GB"/>
        </w:rPr>
        <w:t>presuntos</w:t>
      </w:r>
      <w:r w:rsidR="003178A9" w:rsidRPr="00044745">
        <w:rPr>
          <w:noProof/>
          <w:lang w:val="es-CO" w:eastAsia="en-GB"/>
        </w:rPr>
        <w:t xml:space="preserve"> autores materiales de los asesinatos fueron </w:t>
      </w:r>
      <w:r w:rsidR="00EB583D" w:rsidRPr="00044745">
        <w:rPr>
          <w:noProof/>
          <w:lang w:val="es-CO" w:eastAsia="en-GB"/>
        </w:rPr>
        <w:t>principal</w:t>
      </w:r>
      <w:r w:rsidR="00ED33FA">
        <w:rPr>
          <w:noProof/>
          <w:lang w:val="es-CO" w:eastAsia="en-GB"/>
        </w:rPr>
        <w:t>mente</w:t>
      </w:r>
      <w:r w:rsidR="00EB583D" w:rsidRPr="00044745">
        <w:rPr>
          <w:noProof/>
          <w:lang w:val="es-CO" w:eastAsia="en-GB"/>
        </w:rPr>
        <w:t xml:space="preserve"> miembros de grupos</w:t>
      </w:r>
      <w:r w:rsidR="00195D94" w:rsidRPr="00044745">
        <w:rPr>
          <w:noProof/>
          <w:lang w:val="es-CO" w:eastAsia="en-GB"/>
        </w:rPr>
        <w:t xml:space="preserve"> </w:t>
      </w:r>
      <w:r w:rsidR="004145A2">
        <w:rPr>
          <w:noProof/>
          <w:lang w:val="es-CO" w:eastAsia="en-GB"/>
        </w:rPr>
        <w:t>criminales</w:t>
      </w:r>
      <w:r w:rsidR="00EB583D" w:rsidRPr="00044745">
        <w:rPr>
          <w:noProof/>
          <w:lang w:val="es-CO" w:eastAsia="en-GB"/>
        </w:rPr>
        <w:t xml:space="preserve"> que posiblemente incluyen </w:t>
      </w:r>
      <w:r w:rsidR="007044DC">
        <w:rPr>
          <w:noProof/>
          <w:lang w:val="es-CO" w:eastAsia="en-GB"/>
        </w:rPr>
        <w:t xml:space="preserve">a </w:t>
      </w:r>
      <w:r w:rsidR="00EB583D" w:rsidRPr="00044745">
        <w:rPr>
          <w:noProof/>
          <w:lang w:val="es-CO" w:eastAsia="en-GB"/>
        </w:rPr>
        <w:t xml:space="preserve">ex miembros o </w:t>
      </w:r>
      <w:r w:rsidR="007044DC">
        <w:rPr>
          <w:noProof/>
          <w:lang w:val="es-CO" w:eastAsia="en-GB"/>
        </w:rPr>
        <w:t xml:space="preserve">antiguas </w:t>
      </w:r>
      <w:r w:rsidR="00EB583D" w:rsidRPr="00044745">
        <w:rPr>
          <w:noProof/>
          <w:lang w:val="es-CO" w:eastAsia="en-GB"/>
        </w:rPr>
        <w:t>estructuras de organizaciones paramilitares (54 casos); grupos armados ilegales – ELN (cuatro casos)</w:t>
      </w:r>
      <w:r w:rsidR="007044DC">
        <w:rPr>
          <w:noProof/>
          <w:lang w:val="es-CO" w:eastAsia="en-GB"/>
        </w:rPr>
        <w:t>,</w:t>
      </w:r>
      <w:r w:rsidR="00EB583D" w:rsidRPr="00044745">
        <w:rPr>
          <w:noProof/>
          <w:lang w:val="es-CO" w:eastAsia="en-GB"/>
        </w:rPr>
        <w:t xml:space="preserve"> ex FARC-EP (tres casos)</w:t>
      </w:r>
      <w:r w:rsidR="007044DC">
        <w:rPr>
          <w:noProof/>
          <w:lang w:val="es-CO" w:eastAsia="en-GB"/>
        </w:rPr>
        <w:t>,</w:t>
      </w:r>
      <w:r w:rsidR="00EB583D" w:rsidRPr="00044745">
        <w:rPr>
          <w:noProof/>
          <w:lang w:val="es-CO" w:eastAsia="en-GB"/>
        </w:rPr>
        <w:t xml:space="preserve"> el Ejército Popular de Liberación (EPL) (un caso); individuos no afiliados a ningún grupo</w:t>
      </w:r>
      <w:r w:rsidR="00195D94" w:rsidRPr="00044745">
        <w:rPr>
          <w:noProof/>
          <w:lang w:val="es-CO" w:eastAsia="en-GB"/>
        </w:rPr>
        <w:t xml:space="preserve"> </w:t>
      </w:r>
      <w:r w:rsidR="00CA6DD1">
        <w:rPr>
          <w:noProof/>
          <w:lang w:val="es-CO" w:eastAsia="en-GB"/>
        </w:rPr>
        <w:t xml:space="preserve"> criminal</w:t>
      </w:r>
      <w:r w:rsidR="00EB583D" w:rsidRPr="00044745">
        <w:rPr>
          <w:noProof/>
          <w:lang w:val="es-CO" w:eastAsia="en-GB"/>
        </w:rPr>
        <w:t xml:space="preserve"> o grupo armado ilegal (19 casos); y miembros de la fuerza pública (tres casos).  </w:t>
      </w:r>
    </w:p>
    <w:p w14:paraId="3CCFFC93" w14:textId="4E4FDE78" w:rsidR="001544A7" w:rsidRPr="00044745" w:rsidRDefault="001544A7" w:rsidP="00137051">
      <w:pPr>
        <w:pStyle w:val="SingleTxtG"/>
        <w:rPr>
          <w:noProof/>
          <w:lang w:val="es-CO" w:eastAsia="en-GB"/>
        </w:rPr>
      </w:pPr>
      <w:r w:rsidRPr="00044745">
        <w:rPr>
          <w:noProof/>
          <w:lang w:val="es-CO" w:eastAsia="en-GB"/>
        </w:rPr>
        <w:t>1</w:t>
      </w:r>
      <w:r w:rsidR="00FD6616" w:rsidRPr="00044745">
        <w:rPr>
          <w:noProof/>
          <w:lang w:val="es-CO" w:eastAsia="en-GB"/>
        </w:rPr>
        <w:t>3</w:t>
      </w:r>
      <w:r w:rsidRPr="00044745">
        <w:rPr>
          <w:noProof/>
          <w:lang w:val="es-CO" w:eastAsia="en-GB"/>
        </w:rPr>
        <w:t>.</w:t>
      </w:r>
      <w:r w:rsidRPr="00044745">
        <w:rPr>
          <w:noProof/>
          <w:lang w:val="es-CO" w:eastAsia="en-GB"/>
        </w:rPr>
        <w:tab/>
      </w:r>
      <w:r w:rsidR="00ED33FA">
        <w:rPr>
          <w:noProof/>
          <w:lang w:val="es-CO" w:eastAsia="en-GB"/>
        </w:rPr>
        <w:t>M</w:t>
      </w:r>
      <w:r w:rsidR="00EB583D" w:rsidRPr="00044745">
        <w:rPr>
          <w:noProof/>
          <w:lang w:val="es-CO" w:eastAsia="en-GB"/>
        </w:rPr>
        <w:t xml:space="preserve">iembros de la </w:t>
      </w:r>
      <w:r w:rsidR="00ED33FA">
        <w:rPr>
          <w:noProof/>
          <w:lang w:val="es-CO" w:eastAsia="en-GB"/>
        </w:rPr>
        <w:t>P</w:t>
      </w:r>
      <w:r w:rsidR="00EB583D" w:rsidRPr="00044745">
        <w:rPr>
          <w:noProof/>
          <w:lang w:val="es-CO" w:eastAsia="en-GB"/>
        </w:rPr>
        <w:t xml:space="preserve">olicía y el Ejército </w:t>
      </w:r>
      <w:r w:rsidR="002D49E3" w:rsidRPr="00044745">
        <w:rPr>
          <w:noProof/>
          <w:lang w:val="es-CO" w:eastAsia="en-GB"/>
        </w:rPr>
        <w:t xml:space="preserve">están </w:t>
      </w:r>
      <w:r w:rsidR="00ED33FA">
        <w:rPr>
          <w:noProof/>
          <w:lang w:val="es-CO" w:eastAsia="en-GB"/>
        </w:rPr>
        <w:t>siendo investigados</w:t>
      </w:r>
      <w:r w:rsidR="002D49E3" w:rsidRPr="00044745">
        <w:rPr>
          <w:noProof/>
          <w:lang w:val="es-CO" w:eastAsia="en-GB"/>
        </w:rPr>
        <w:t xml:space="preserve"> por 14 asesinatos cometidos durante </w:t>
      </w:r>
      <w:r w:rsidR="00ED33FA">
        <w:rPr>
          <w:noProof/>
          <w:lang w:val="es-CO" w:eastAsia="en-GB"/>
        </w:rPr>
        <w:t xml:space="preserve">las </w:t>
      </w:r>
      <w:r w:rsidR="002D49E3" w:rsidRPr="00044745">
        <w:rPr>
          <w:noProof/>
          <w:lang w:val="es-CO" w:eastAsia="en-GB"/>
        </w:rPr>
        <w:t>protestas sociales. En octubre, siete manifestantes fueron asesinados en Tumaco, Nariño, en el marco de protestas en contra de la errad</w:t>
      </w:r>
      <w:r w:rsidR="00ED33FA">
        <w:rPr>
          <w:noProof/>
          <w:lang w:val="es-CO" w:eastAsia="en-GB"/>
        </w:rPr>
        <w:t>icación forzada de cultivos ilíc</w:t>
      </w:r>
      <w:r w:rsidR="002D49E3" w:rsidRPr="00044745">
        <w:rPr>
          <w:noProof/>
          <w:lang w:val="es-CO" w:eastAsia="en-GB"/>
        </w:rPr>
        <w:t>i</w:t>
      </w:r>
      <w:r w:rsidR="00ED33FA">
        <w:rPr>
          <w:noProof/>
          <w:lang w:val="es-CO" w:eastAsia="en-GB"/>
        </w:rPr>
        <w:t>t</w:t>
      </w:r>
      <w:r w:rsidR="002D49E3" w:rsidRPr="00044745">
        <w:rPr>
          <w:noProof/>
          <w:lang w:val="es-CO" w:eastAsia="en-GB"/>
        </w:rPr>
        <w:t>os. Antes de</w:t>
      </w:r>
      <w:r w:rsidR="00CA6DD1">
        <w:rPr>
          <w:noProof/>
          <w:lang w:val="es-CO" w:eastAsia="en-GB"/>
        </w:rPr>
        <w:t>l inicio de</w:t>
      </w:r>
      <w:r w:rsidR="00ED33FA">
        <w:rPr>
          <w:noProof/>
          <w:lang w:val="es-CO" w:eastAsia="en-GB"/>
        </w:rPr>
        <w:t xml:space="preserve"> la investigación formal, la P</w:t>
      </w:r>
      <w:r w:rsidR="002D49E3" w:rsidRPr="00044745">
        <w:rPr>
          <w:noProof/>
          <w:lang w:val="es-CO" w:eastAsia="en-GB"/>
        </w:rPr>
        <w:t xml:space="preserve">olicía alegó que había sido atacada con artefactos explosivos improvisados. </w:t>
      </w:r>
      <w:r w:rsidR="007044DC">
        <w:rPr>
          <w:noProof/>
          <w:lang w:val="es-CO" w:eastAsia="en-GB"/>
        </w:rPr>
        <w:t xml:space="preserve">La </w:t>
      </w:r>
      <w:r w:rsidR="002D49E3" w:rsidRPr="00044745">
        <w:rPr>
          <w:noProof/>
          <w:lang w:val="es-CO" w:eastAsia="en-GB"/>
        </w:rPr>
        <w:t xml:space="preserve"> </w:t>
      </w:r>
      <w:r w:rsidR="00DB5504">
        <w:rPr>
          <w:noProof/>
          <w:lang w:val="es-CO" w:eastAsia="en-GB"/>
        </w:rPr>
        <w:t>O</w:t>
      </w:r>
      <w:r w:rsidR="002D49E3" w:rsidRPr="00044745">
        <w:rPr>
          <w:noProof/>
          <w:lang w:val="es-CO" w:eastAsia="en-GB"/>
        </w:rPr>
        <w:t xml:space="preserve">ACNUDH no pudo confirmar esta </w:t>
      </w:r>
      <w:r w:rsidR="004145A2">
        <w:rPr>
          <w:noProof/>
          <w:lang w:val="es-CO" w:eastAsia="en-GB"/>
        </w:rPr>
        <w:t>alegación</w:t>
      </w:r>
      <w:r w:rsidR="002D49E3" w:rsidRPr="00044745">
        <w:rPr>
          <w:noProof/>
          <w:lang w:val="es-CO" w:eastAsia="en-GB"/>
        </w:rPr>
        <w:t xml:space="preserve"> </w:t>
      </w:r>
      <w:r w:rsidR="002D49E3" w:rsidRPr="00044745">
        <w:rPr>
          <w:noProof/>
          <w:lang w:val="es-CO" w:eastAsia="en-GB"/>
        </w:rPr>
        <w:lastRenderedPageBreak/>
        <w:t xml:space="preserve">en el terreno. </w:t>
      </w:r>
      <w:r w:rsidR="004145A2">
        <w:rPr>
          <w:noProof/>
          <w:lang w:val="es-CO" w:eastAsia="en-GB"/>
        </w:rPr>
        <w:t>La</w:t>
      </w:r>
      <w:r w:rsidR="002D49E3" w:rsidRPr="00044745">
        <w:rPr>
          <w:noProof/>
          <w:lang w:val="es-CO" w:eastAsia="en-GB"/>
        </w:rPr>
        <w:t xml:space="preserve"> </w:t>
      </w:r>
      <w:r w:rsidR="00DB5504">
        <w:rPr>
          <w:noProof/>
          <w:lang w:val="es-CO" w:eastAsia="en-GB"/>
        </w:rPr>
        <w:t>O</w:t>
      </w:r>
      <w:r w:rsidR="002D49E3" w:rsidRPr="00044745">
        <w:rPr>
          <w:noProof/>
          <w:lang w:val="es-CO" w:eastAsia="en-GB"/>
        </w:rPr>
        <w:t xml:space="preserve">ACNUDH está apoyando las investigaciones en curso </w:t>
      </w:r>
      <w:r w:rsidR="004145A2">
        <w:rPr>
          <w:noProof/>
          <w:lang w:val="es-CO" w:eastAsia="en-GB"/>
        </w:rPr>
        <w:t>sobre</w:t>
      </w:r>
      <w:r w:rsidR="004145A2" w:rsidRPr="00044745">
        <w:rPr>
          <w:noProof/>
          <w:lang w:val="es-CO" w:eastAsia="en-GB"/>
        </w:rPr>
        <w:t xml:space="preserve"> </w:t>
      </w:r>
      <w:r w:rsidR="002D49E3" w:rsidRPr="00044745">
        <w:rPr>
          <w:noProof/>
          <w:lang w:val="es-CO" w:eastAsia="en-GB"/>
        </w:rPr>
        <w:t xml:space="preserve">este incidente. </w:t>
      </w:r>
      <w:r w:rsidR="00137051" w:rsidRPr="00044745">
        <w:rPr>
          <w:noProof/>
          <w:lang w:val="es-CO" w:eastAsia="en-GB"/>
        </w:rPr>
        <w:t>Hasta el momento, dos comandantes han sido acusados.</w:t>
      </w:r>
      <w:r w:rsidRPr="00044745">
        <w:rPr>
          <w:noProof/>
          <w:lang w:val="es-CO" w:eastAsia="en-GB"/>
        </w:rPr>
        <w:t xml:space="preserve"> </w:t>
      </w:r>
    </w:p>
    <w:p w14:paraId="121955B8" w14:textId="19E57E51" w:rsidR="00137051" w:rsidRPr="00044745" w:rsidRDefault="001544A7" w:rsidP="001544A7">
      <w:pPr>
        <w:pStyle w:val="SingleTxtG"/>
        <w:rPr>
          <w:noProof/>
          <w:lang w:val="es-CO" w:eastAsia="en-GB"/>
        </w:rPr>
      </w:pPr>
      <w:r w:rsidRPr="00044745">
        <w:rPr>
          <w:noProof/>
          <w:lang w:val="es-CO" w:eastAsia="en-GB"/>
        </w:rPr>
        <w:t>1</w:t>
      </w:r>
      <w:r w:rsidR="00FD6616" w:rsidRPr="00044745">
        <w:rPr>
          <w:noProof/>
          <w:lang w:val="es-CO" w:eastAsia="en-GB"/>
        </w:rPr>
        <w:t>4</w:t>
      </w:r>
      <w:r w:rsidRPr="00044745">
        <w:rPr>
          <w:noProof/>
          <w:lang w:val="es-CO" w:eastAsia="en-GB"/>
        </w:rPr>
        <w:t>.</w:t>
      </w:r>
      <w:r w:rsidR="00137051" w:rsidRPr="00044745">
        <w:rPr>
          <w:noProof/>
          <w:lang w:val="es-CO" w:eastAsia="en-GB"/>
        </w:rPr>
        <w:tab/>
      </w:r>
      <w:r w:rsidR="00432DAB">
        <w:rPr>
          <w:noProof/>
          <w:lang w:val="es-CO" w:eastAsia="en-GB"/>
        </w:rPr>
        <w:t>A</w:t>
      </w:r>
      <w:r w:rsidR="00CB035B">
        <w:rPr>
          <w:noProof/>
          <w:lang w:val="es-CO" w:eastAsia="en-GB"/>
        </w:rPr>
        <w:t xml:space="preserve">lgunos </w:t>
      </w:r>
      <w:r w:rsidR="00137051" w:rsidRPr="00044745">
        <w:rPr>
          <w:noProof/>
          <w:lang w:val="es-CO" w:eastAsia="en-GB"/>
        </w:rPr>
        <w:t xml:space="preserve">de los asesinatos de defensores de derechos humanos, especialmente aquellos en </w:t>
      </w:r>
      <w:r w:rsidR="003E50D5" w:rsidRPr="00044745">
        <w:rPr>
          <w:noProof/>
          <w:lang w:val="es-CO" w:eastAsia="en-GB"/>
        </w:rPr>
        <w:t xml:space="preserve">antiguas </w:t>
      </w:r>
      <w:r w:rsidR="00137051" w:rsidRPr="00044745">
        <w:rPr>
          <w:noProof/>
          <w:lang w:val="es-CO" w:eastAsia="en-GB"/>
        </w:rPr>
        <w:t xml:space="preserve">zonas de influencia de las FARC-EP, </w:t>
      </w:r>
      <w:r w:rsidR="00ED33FA">
        <w:rPr>
          <w:noProof/>
          <w:lang w:val="es-CO" w:eastAsia="en-GB"/>
        </w:rPr>
        <w:t xml:space="preserve">se </w:t>
      </w:r>
      <w:r w:rsidR="00137051" w:rsidRPr="00044745">
        <w:rPr>
          <w:noProof/>
          <w:lang w:val="es-CO" w:eastAsia="en-GB"/>
        </w:rPr>
        <w:t>podr</w:t>
      </w:r>
      <w:r w:rsidR="00ED33FA">
        <w:rPr>
          <w:noProof/>
          <w:lang w:val="es-CO" w:eastAsia="en-GB"/>
        </w:rPr>
        <w:t>ían haber</w:t>
      </w:r>
      <w:r w:rsidR="00137051" w:rsidRPr="00044745">
        <w:rPr>
          <w:noProof/>
          <w:lang w:val="es-CO" w:eastAsia="en-GB"/>
        </w:rPr>
        <w:t xml:space="preserve"> evitado </w:t>
      </w:r>
      <w:r w:rsidR="00ED33FA">
        <w:rPr>
          <w:noProof/>
          <w:lang w:val="es-CO" w:eastAsia="en-GB"/>
        </w:rPr>
        <w:t xml:space="preserve">con </w:t>
      </w:r>
      <w:r w:rsidR="00137051" w:rsidRPr="00044745">
        <w:rPr>
          <w:noProof/>
          <w:lang w:val="es-CO" w:eastAsia="en-GB"/>
        </w:rPr>
        <w:t xml:space="preserve">una respuesta oportuna y coordinada del Estado a la implementación del Acuerdo, </w:t>
      </w:r>
      <w:r w:rsidR="008021A8">
        <w:rPr>
          <w:noProof/>
          <w:lang w:val="es-CO" w:eastAsia="en-GB"/>
        </w:rPr>
        <w:t xml:space="preserve">priorizando </w:t>
      </w:r>
      <w:r w:rsidR="00137051" w:rsidRPr="00044745">
        <w:rPr>
          <w:noProof/>
          <w:lang w:val="es-CO" w:eastAsia="en-GB"/>
        </w:rPr>
        <w:t xml:space="preserve"> los derechos de la población. La débil presencia estatal en estas zonas </w:t>
      </w:r>
      <w:r w:rsidR="00550071" w:rsidRPr="00044745">
        <w:rPr>
          <w:noProof/>
          <w:lang w:val="es-CO" w:eastAsia="en-GB"/>
        </w:rPr>
        <w:t>genera</w:t>
      </w:r>
      <w:r w:rsidR="00ED33FA">
        <w:rPr>
          <w:noProof/>
          <w:lang w:val="es-CO" w:eastAsia="en-GB"/>
        </w:rPr>
        <w:t xml:space="preserve"> la</w:t>
      </w:r>
      <w:r w:rsidR="00550071" w:rsidRPr="00044745">
        <w:rPr>
          <w:noProof/>
          <w:lang w:val="es-CO" w:eastAsia="en-GB"/>
        </w:rPr>
        <w:t xml:space="preserve"> </w:t>
      </w:r>
      <w:r w:rsidR="00137051" w:rsidRPr="00044745">
        <w:rPr>
          <w:noProof/>
          <w:lang w:val="es-CO" w:eastAsia="en-GB"/>
        </w:rPr>
        <w:t xml:space="preserve">falta de acceso de las comunidades a derechos y oportunidades </w:t>
      </w:r>
      <w:r w:rsidR="00550071" w:rsidRPr="00044745">
        <w:rPr>
          <w:noProof/>
          <w:lang w:val="es-CO" w:eastAsia="en-GB"/>
        </w:rPr>
        <w:t xml:space="preserve">para </w:t>
      </w:r>
      <w:r w:rsidR="008021A8">
        <w:rPr>
          <w:noProof/>
          <w:lang w:val="es-CO" w:eastAsia="en-GB"/>
        </w:rPr>
        <w:t>vincularse a esquemas económicos</w:t>
      </w:r>
      <w:r w:rsidR="00550071" w:rsidRPr="00044745">
        <w:rPr>
          <w:noProof/>
          <w:lang w:val="es-CO" w:eastAsia="en-GB"/>
        </w:rPr>
        <w:t xml:space="preserve"> legal</w:t>
      </w:r>
      <w:r w:rsidR="008021A8">
        <w:rPr>
          <w:noProof/>
          <w:lang w:val="es-CO" w:eastAsia="en-GB"/>
        </w:rPr>
        <w:t>es</w:t>
      </w:r>
      <w:r w:rsidR="00550071" w:rsidRPr="00044745">
        <w:rPr>
          <w:noProof/>
          <w:lang w:val="es-CO" w:eastAsia="en-GB"/>
        </w:rPr>
        <w:t xml:space="preserve">. Por lo tanto, aumenta la pobreza y contribuye al desarrollo o </w:t>
      </w:r>
      <w:r w:rsidR="00ED33FA">
        <w:rPr>
          <w:noProof/>
          <w:lang w:val="es-CO" w:eastAsia="en-GB"/>
        </w:rPr>
        <w:t xml:space="preserve">persistencia </w:t>
      </w:r>
      <w:r w:rsidR="00550071" w:rsidRPr="00044745">
        <w:rPr>
          <w:noProof/>
          <w:lang w:val="es-CO" w:eastAsia="en-GB"/>
        </w:rPr>
        <w:t>de econo</w:t>
      </w:r>
      <w:r w:rsidR="00ED33FA">
        <w:rPr>
          <w:noProof/>
          <w:lang w:val="es-CO" w:eastAsia="en-GB"/>
        </w:rPr>
        <w:t>mías ilícitas, lo cual facilita</w:t>
      </w:r>
      <w:r w:rsidR="00550071" w:rsidRPr="00044745">
        <w:rPr>
          <w:noProof/>
          <w:lang w:val="es-CO" w:eastAsia="en-GB"/>
        </w:rPr>
        <w:t xml:space="preserve"> la formación o entrada de organizaciones </w:t>
      </w:r>
      <w:r w:rsidR="00195D94" w:rsidRPr="00044745">
        <w:rPr>
          <w:noProof/>
          <w:lang w:val="es-CO" w:eastAsia="en-GB"/>
        </w:rPr>
        <w:t>delictivas</w:t>
      </w:r>
      <w:r w:rsidR="00550071" w:rsidRPr="00044745">
        <w:rPr>
          <w:noProof/>
          <w:lang w:val="es-CO" w:eastAsia="en-GB"/>
        </w:rPr>
        <w:t xml:space="preserve"> y de grupos armados ilegales que </w:t>
      </w:r>
      <w:r w:rsidR="00ED33FA">
        <w:rPr>
          <w:noProof/>
          <w:lang w:val="es-CO" w:eastAsia="en-GB"/>
        </w:rPr>
        <w:t xml:space="preserve">compiten </w:t>
      </w:r>
      <w:r w:rsidR="00550071" w:rsidRPr="00044745">
        <w:rPr>
          <w:noProof/>
          <w:lang w:val="es-CO" w:eastAsia="en-GB"/>
        </w:rPr>
        <w:t>por el control</w:t>
      </w:r>
      <w:r w:rsidR="008021A8">
        <w:rPr>
          <w:noProof/>
          <w:lang w:val="es-CO" w:eastAsia="en-GB"/>
        </w:rPr>
        <w:t xml:space="preserve"> de éstas</w:t>
      </w:r>
      <w:r w:rsidR="00550071" w:rsidRPr="00044745">
        <w:rPr>
          <w:noProof/>
          <w:lang w:val="es-CO" w:eastAsia="en-GB"/>
        </w:rPr>
        <w:t xml:space="preserve">, generando corrupción y niveles endémicos de violencia. </w:t>
      </w:r>
      <w:r w:rsidR="00AC631C" w:rsidRPr="00044745">
        <w:rPr>
          <w:noProof/>
          <w:lang w:val="es-CO" w:eastAsia="en-GB"/>
        </w:rPr>
        <w:t xml:space="preserve">En el último trimestre de 2017, </w:t>
      </w:r>
      <w:r w:rsidR="003B55C7">
        <w:rPr>
          <w:noProof/>
          <w:lang w:val="es-CO" w:eastAsia="en-GB"/>
        </w:rPr>
        <w:t>la</w:t>
      </w:r>
      <w:r w:rsidR="00AC631C" w:rsidRPr="00044745">
        <w:rPr>
          <w:noProof/>
          <w:lang w:val="es-CO" w:eastAsia="en-GB"/>
        </w:rPr>
        <w:t xml:space="preserve"> </w:t>
      </w:r>
      <w:r w:rsidR="00AB1104">
        <w:rPr>
          <w:noProof/>
          <w:lang w:val="es-CO" w:eastAsia="en-GB"/>
        </w:rPr>
        <w:t>O</w:t>
      </w:r>
      <w:r w:rsidR="00AC631C" w:rsidRPr="00044745">
        <w:rPr>
          <w:noProof/>
          <w:lang w:val="es-CO" w:eastAsia="en-GB"/>
        </w:rPr>
        <w:t xml:space="preserve">ACNUDH registró cuatro masacres en el contexto de disputas por el control de economías ilícitas en </w:t>
      </w:r>
      <w:r w:rsidR="003E50D5" w:rsidRPr="00044745">
        <w:rPr>
          <w:noProof/>
          <w:lang w:val="es-CO" w:eastAsia="en-GB"/>
        </w:rPr>
        <w:t xml:space="preserve">antiguas </w:t>
      </w:r>
      <w:r w:rsidR="00AC631C" w:rsidRPr="00044745">
        <w:rPr>
          <w:noProof/>
          <w:lang w:val="es-CO" w:eastAsia="en-GB"/>
        </w:rPr>
        <w:t xml:space="preserve">zonas </w:t>
      </w:r>
      <w:r w:rsidR="003E50D5" w:rsidRPr="00044745">
        <w:rPr>
          <w:noProof/>
          <w:lang w:val="es-CO" w:eastAsia="en-GB"/>
        </w:rPr>
        <w:t xml:space="preserve">de influencia de </w:t>
      </w:r>
      <w:r w:rsidR="00AC631C" w:rsidRPr="00044745">
        <w:rPr>
          <w:noProof/>
          <w:lang w:val="es-CO" w:eastAsia="en-GB"/>
        </w:rPr>
        <w:t xml:space="preserve">las FARC-EP (en Nariño y Cauca). </w:t>
      </w:r>
    </w:p>
    <w:p w14:paraId="70FA1DCD" w14:textId="691683F9" w:rsidR="00AC631C" w:rsidRPr="00044745" w:rsidRDefault="001544A7" w:rsidP="001544A7">
      <w:pPr>
        <w:pStyle w:val="SingleTxtG"/>
        <w:rPr>
          <w:noProof/>
          <w:lang w:val="es-CO" w:eastAsia="en-GB"/>
        </w:rPr>
      </w:pPr>
      <w:r w:rsidRPr="00044745">
        <w:rPr>
          <w:noProof/>
          <w:lang w:val="es-CO" w:eastAsia="en-GB"/>
        </w:rPr>
        <w:t>1</w:t>
      </w:r>
      <w:r w:rsidR="00FD6616" w:rsidRPr="00044745">
        <w:rPr>
          <w:noProof/>
          <w:lang w:val="es-CO" w:eastAsia="en-GB"/>
        </w:rPr>
        <w:t>5</w:t>
      </w:r>
      <w:r w:rsidRPr="00044745">
        <w:rPr>
          <w:noProof/>
          <w:lang w:val="es-CO" w:eastAsia="en-GB"/>
        </w:rPr>
        <w:t>.</w:t>
      </w:r>
      <w:r w:rsidRPr="00044745">
        <w:rPr>
          <w:noProof/>
          <w:lang w:val="es-CO" w:eastAsia="en-GB"/>
        </w:rPr>
        <w:tab/>
      </w:r>
      <w:r w:rsidR="00AC631C" w:rsidRPr="00044745">
        <w:rPr>
          <w:noProof/>
          <w:lang w:val="es-CO" w:eastAsia="en-GB"/>
        </w:rPr>
        <w:t>En</w:t>
      </w:r>
      <w:r w:rsidR="00CA6DD1">
        <w:rPr>
          <w:noProof/>
          <w:lang w:val="es-CO" w:eastAsia="en-GB"/>
        </w:rPr>
        <w:t xml:space="preserve"> la </w:t>
      </w:r>
      <w:r w:rsidR="00AC631C" w:rsidRPr="00044745">
        <w:rPr>
          <w:noProof/>
          <w:lang w:val="es-CO" w:eastAsia="en-GB"/>
        </w:rPr>
        <w:t xml:space="preserve"> gran mayoría de los asesinatos de def</w:t>
      </w:r>
      <w:r w:rsidR="003C5A58" w:rsidRPr="00044745">
        <w:rPr>
          <w:noProof/>
          <w:lang w:val="es-CO" w:eastAsia="en-GB"/>
        </w:rPr>
        <w:t>ensores de derechos humanos, el contexto tiene tres características</w:t>
      </w:r>
      <w:r w:rsidR="00CA6DD1">
        <w:rPr>
          <w:noProof/>
          <w:lang w:val="es-CO" w:eastAsia="en-GB"/>
        </w:rPr>
        <w:t xml:space="preserve"> comunes</w:t>
      </w:r>
      <w:r w:rsidR="003C5A58" w:rsidRPr="00044745">
        <w:rPr>
          <w:noProof/>
          <w:lang w:val="es-CO" w:eastAsia="en-GB"/>
        </w:rPr>
        <w:t xml:space="preserve">: la presencia de economías ilícitas (p.ej., el tráfico o </w:t>
      </w:r>
      <w:r w:rsidR="00D8633E">
        <w:rPr>
          <w:noProof/>
          <w:lang w:val="es-CO" w:eastAsia="en-GB"/>
        </w:rPr>
        <w:t xml:space="preserve">la </w:t>
      </w:r>
      <w:r w:rsidR="003C5A58" w:rsidRPr="00044745">
        <w:rPr>
          <w:noProof/>
          <w:lang w:val="es-CO" w:eastAsia="en-GB"/>
        </w:rPr>
        <w:t>producción de drogas, cultivos ilícitos, minería ilegal, micro-tráfico, extorsión); una tasa de homicidio en el municipio que supera los niveles de violencia endémica según el criterio establecido por la Organización Mundial de la Salud (OMS)</w:t>
      </w:r>
      <w:r w:rsidR="003C5A58" w:rsidRPr="00044745">
        <w:rPr>
          <w:noProof/>
          <w:vertAlign w:val="superscript"/>
          <w:lang w:val="es-CO" w:eastAsia="en-GB"/>
        </w:rPr>
        <w:footnoteReference w:id="6"/>
      </w:r>
      <w:r w:rsidR="003C5A58" w:rsidRPr="00044745">
        <w:rPr>
          <w:noProof/>
          <w:lang w:val="es-CO" w:eastAsia="en-GB"/>
        </w:rPr>
        <w:t>; y una tasa de pobreza multidimensional más alt</w:t>
      </w:r>
      <w:r w:rsidR="00D8633E">
        <w:rPr>
          <w:noProof/>
          <w:lang w:val="es-CO" w:eastAsia="en-GB"/>
        </w:rPr>
        <w:t>a</w:t>
      </w:r>
      <w:r w:rsidR="003C5A58" w:rsidRPr="00044745">
        <w:rPr>
          <w:noProof/>
          <w:lang w:val="es-CO" w:eastAsia="en-GB"/>
        </w:rPr>
        <w:t xml:space="preserve"> que el promedio nacional. </w:t>
      </w:r>
    </w:p>
    <w:p w14:paraId="465636E3" w14:textId="692337CD" w:rsidR="003C5A58" w:rsidRPr="00044745" w:rsidRDefault="001544A7" w:rsidP="001544A7">
      <w:pPr>
        <w:pStyle w:val="SingleTxtG"/>
        <w:rPr>
          <w:noProof/>
          <w:lang w:val="es-CO" w:eastAsia="en-GB"/>
        </w:rPr>
      </w:pPr>
      <w:r w:rsidRPr="00044745">
        <w:rPr>
          <w:noProof/>
          <w:lang w:val="es-CO" w:eastAsia="en-GB"/>
        </w:rPr>
        <w:t>1</w:t>
      </w:r>
      <w:r w:rsidR="00FD6616" w:rsidRPr="00044745">
        <w:rPr>
          <w:noProof/>
          <w:lang w:val="es-CO" w:eastAsia="en-GB"/>
        </w:rPr>
        <w:t>6</w:t>
      </w:r>
      <w:r w:rsidRPr="00044745">
        <w:rPr>
          <w:noProof/>
          <w:lang w:val="es-CO" w:eastAsia="en-GB"/>
        </w:rPr>
        <w:t>.</w:t>
      </w:r>
      <w:r w:rsidRPr="00044745">
        <w:rPr>
          <w:noProof/>
          <w:lang w:val="es-CO" w:eastAsia="en-GB"/>
        </w:rPr>
        <w:tab/>
      </w:r>
      <w:r w:rsidR="008021A8">
        <w:rPr>
          <w:noProof/>
          <w:lang w:val="es-CO" w:eastAsia="en-GB"/>
        </w:rPr>
        <w:t xml:space="preserve">La </w:t>
      </w:r>
      <w:r w:rsidR="003C5A58" w:rsidRPr="00044745">
        <w:rPr>
          <w:noProof/>
          <w:lang w:val="es-CO" w:eastAsia="en-GB"/>
        </w:rPr>
        <w:t xml:space="preserve"> </w:t>
      </w:r>
      <w:r w:rsidR="00AB1104">
        <w:rPr>
          <w:noProof/>
          <w:lang w:val="es-CO" w:eastAsia="en-GB"/>
        </w:rPr>
        <w:t>O</w:t>
      </w:r>
      <w:r w:rsidR="003C5A58" w:rsidRPr="00044745">
        <w:rPr>
          <w:noProof/>
          <w:lang w:val="es-CO" w:eastAsia="en-GB"/>
        </w:rPr>
        <w:t xml:space="preserve">ACNUDH </w:t>
      </w:r>
      <w:r w:rsidR="00316C6A" w:rsidRPr="00044745">
        <w:rPr>
          <w:noProof/>
          <w:lang w:val="es-CO" w:eastAsia="en-GB"/>
        </w:rPr>
        <w:t xml:space="preserve">acoge </w:t>
      </w:r>
      <w:r w:rsidR="00CA4D9C" w:rsidRPr="00044745">
        <w:rPr>
          <w:noProof/>
          <w:lang w:val="es-CO" w:eastAsia="en-GB"/>
        </w:rPr>
        <w:t xml:space="preserve">con satisfacción </w:t>
      </w:r>
      <w:r w:rsidR="00316C6A" w:rsidRPr="00044745">
        <w:rPr>
          <w:noProof/>
          <w:lang w:val="es-CO" w:eastAsia="en-GB"/>
        </w:rPr>
        <w:t>la decisión de la Fiscalía General de la Nación de priorizar sus investigaci</w:t>
      </w:r>
      <w:r w:rsidR="003B55C7">
        <w:rPr>
          <w:noProof/>
          <w:lang w:val="es-CO" w:eastAsia="en-GB"/>
        </w:rPr>
        <w:t>ones</w:t>
      </w:r>
      <w:r w:rsidR="00316C6A" w:rsidRPr="00044745">
        <w:rPr>
          <w:noProof/>
          <w:lang w:val="es-CO" w:eastAsia="en-GB"/>
        </w:rPr>
        <w:t xml:space="preserve"> de asesinatos de defensores de derechos humanos, y toma nota de las 15 sentencias emitidas desde 2015 relacionadas </w:t>
      </w:r>
      <w:r w:rsidR="003B55C7">
        <w:rPr>
          <w:noProof/>
          <w:lang w:val="es-CO" w:eastAsia="en-GB"/>
        </w:rPr>
        <w:t>con</w:t>
      </w:r>
      <w:r w:rsidR="00316C6A" w:rsidRPr="00044745">
        <w:rPr>
          <w:noProof/>
          <w:lang w:val="es-CO" w:eastAsia="en-GB"/>
        </w:rPr>
        <w:t xml:space="preserve"> estos delitos, incluyendo </w:t>
      </w:r>
      <w:r w:rsidR="00E631C4">
        <w:rPr>
          <w:noProof/>
          <w:lang w:val="es-CO" w:eastAsia="en-GB"/>
        </w:rPr>
        <w:t xml:space="preserve">cinco </w:t>
      </w:r>
      <w:r w:rsidR="00316C6A" w:rsidRPr="00044745">
        <w:rPr>
          <w:noProof/>
          <w:lang w:val="es-CO" w:eastAsia="en-GB"/>
        </w:rPr>
        <w:t xml:space="preserve"> en 2017. </w:t>
      </w:r>
      <w:r w:rsidR="008021A8">
        <w:rPr>
          <w:noProof/>
          <w:lang w:val="es-CO" w:eastAsia="en-GB"/>
        </w:rPr>
        <w:t xml:space="preserve">La </w:t>
      </w:r>
      <w:r w:rsidR="00316C6A" w:rsidRPr="00044745">
        <w:rPr>
          <w:noProof/>
          <w:lang w:val="es-CO" w:eastAsia="en-GB"/>
        </w:rPr>
        <w:t xml:space="preserve"> </w:t>
      </w:r>
      <w:r w:rsidR="00AB1104">
        <w:rPr>
          <w:noProof/>
          <w:lang w:val="es-CO" w:eastAsia="en-GB"/>
        </w:rPr>
        <w:t>O</w:t>
      </w:r>
      <w:r w:rsidR="00316C6A" w:rsidRPr="00044745">
        <w:rPr>
          <w:noProof/>
          <w:lang w:val="es-CO" w:eastAsia="en-GB"/>
        </w:rPr>
        <w:t xml:space="preserve">ACNUDH también acoge </w:t>
      </w:r>
      <w:r w:rsidR="00CA4D9C" w:rsidRPr="00044745">
        <w:rPr>
          <w:noProof/>
          <w:lang w:val="es-CO" w:eastAsia="en-GB"/>
        </w:rPr>
        <w:t xml:space="preserve">con satisfacción </w:t>
      </w:r>
      <w:r w:rsidR="00316C6A" w:rsidRPr="00044745">
        <w:rPr>
          <w:noProof/>
          <w:lang w:val="es-CO" w:eastAsia="en-GB"/>
        </w:rPr>
        <w:t>la estrategia adoptada por la Fiscalía General de la Nación de interv</w:t>
      </w:r>
      <w:r w:rsidR="00D8633E">
        <w:rPr>
          <w:noProof/>
          <w:lang w:val="es-CO" w:eastAsia="en-GB"/>
        </w:rPr>
        <w:t>enir</w:t>
      </w:r>
      <w:r w:rsidR="00316C6A" w:rsidRPr="00044745">
        <w:rPr>
          <w:noProof/>
          <w:lang w:val="es-CO" w:eastAsia="en-GB"/>
        </w:rPr>
        <w:t xml:space="preserve"> en 500 municipios priorizados, así como la adopción de la directiva 0002 de 2017, que establece directrices para la investigación de delitos cometidos contra defensores de derechos humanos, </w:t>
      </w:r>
      <w:r w:rsidR="008021A8">
        <w:rPr>
          <w:noProof/>
          <w:lang w:val="es-CO" w:eastAsia="en-GB"/>
        </w:rPr>
        <w:t xml:space="preserve">lo anterior </w:t>
      </w:r>
      <w:r w:rsidR="00316C6A" w:rsidRPr="00044745">
        <w:rPr>
          <w:noProof/>
          <w:lang w:val="es-CO" w:eastAsia="en-GB"/>
        </w:rPr>
        <w:t xml:space="preserve">a partir de un diálogo </w:t>
      </w:r>
      <w:r w:rsidR="008021A8">
        <w:rPr>
          <w:noProof/>
          <w:lang w:val="es-CO" w:eastAsia="en-GB"/>
        </w:rPr>
        <w:t xml:space="preserve">sostenido </w:t>
      </w:r>
      <w:r w:rsidR="00316C6A" w:rsidRPr="00044745">
        <w:rPr>
          <w:noProof/>
          <w:lang w:val="es-CO" w:eastAsia="en-GB"/>
        </w:rPr>
        <w:t>con la Comisión Interamericana de Derechos Humanos. A</w:t>
      </w:r>
      <w:r w:rsidR="00CB1B2A" w:rsidRPr="00044745">
        <w:rPr>
          <w:noProof/>
          <w:lang w:val="es-CO" w:eastAsia="en-GB"/>
        </w:rPr>
        <w:t>símismo</w:t>
      </w:r>
      <w:r w:rsidR="00316C6A" w:rsidRPr="00044745">
        <w:rPr>
          <w:noProof/>
          <w:lang w:val="es-CO" w:eastAsia="en-GB"/>
        </w:rPr>
        <w:t xml:space="preserve">, </w:t>
      </w:r>
      <w:r w:rsidR="003B55C7">
        <w:rPr>
          <w:noProof/>
          <w:lang w:val="es-CO" w:eastAsia="en-GB"/>
        </w:rPr>
        <w:t xml:space="preserve">la </w:t>
      </w:r>
      <w:r w:rsidR="003B55C7" w:rsidRPr="00044745">
        <w:rPr>
          <w:noProof/>
          <w:lang w:val="es-CO" w:eastAsia="en-GB"/>
        </w:rPr>
        <w:t xml:space="preserve"> </w:t>
      </w:r>
      <w:r w:rsidR="00AB1104">
        <w:rPr>
          <w:noProof/>
          <w:lang w:val="es-CO" w:eastAsia="en-GB"/>
        </w:rPr>
        <w:t>O</w:t>
      </w:r>
      <w:r w:rsidR="00316C6A" w:rsidRPr="00044745">
        <w:rPr>
          <w:noProof/>
          <w:lang w:val="es-CO" w:eastAsia="en-GB"/>
        </w:rPr>
        <w:t xml:space="preserve">ACNUDH toma nota del apoyo dado por los fiscales especializados </w:t>
      </w:r>
      <w:r w:rsidR="00CB1B2A" w:rsidRPr="00044745">
        <w:rPr>
          <w:noProof/>
          <w:lang w:val="es-CO" w:eastAsia="en-GB"/>
        </w:rPr>
        <w:t xml:space="preserve">a los fiscales regionales para fortalecer </w:t>
      </w:r>
      <w:r w:rsidR="00D8633E">
        <w:rPr>
          <w:noProof/>
          <w:lang w:val="es-CO" w:eastAsia="en-GB"/>
        </w:rPr>
        <w:t xml:space="preserve">su </w:t>
      </w:r>
      <w:r w:rsidR="00CB1B2A" w:rsidRPr="00044745">
        <w:rPr>
          <w:noProof/>
          <w:lang w:val="es-CO" w:eastAsia="en-GB"/>
        </w:rPr>
        <w:t xml:space="preserve">capacidad </w:t>
      </w:r>
      <w:r w:rsidR="003B55C7">
        <w:rPr>
          <w:noProof/>
          <w:lang w:val="es-CO" w:eastAsia="en-GB"/>
        </w:rPr>
        <w:t>en la</w:t>
      </w:r>
      <w:r w:rsidR="00CB1B2A" w:rsidRPr="00044745">
        <w:rPr>
          <w:noProof/>
          <w:lang w:val="es-CO" w:eastAsia="en-GB"/>
        </w:rPr>
        <w:t xml:space="preserve"> toma</w:t>
      </w:r>
      <w:r w:rsidR="008021A8">
        <w:rPr>
          <w:noProof/>
          <w:lang w:val="es-CO" w:eastAsia="en-GB"/>
        </w:rPr>
        <w:t xml:space="preserve"> de</w:t>
      </w:r>
      <w:r w:rsidR="00CB1B2A" w:rsidRPr="00044745">
        <w:rPr>
          <w:noProof/>
          <w:lang w:val="es-CO" w:eastAsia="en-GB"/>
        </w:rPr>
        <w:t xml:space="preserve"> acciones urgentes </w:t>
      </w:r>
      <w:r w:rsidR="008021A8">
        <w:rPr>
          <w:noProof/>
          <w:lang w:val="es-CO" w:eastAsia="en-GB"/>
        </w:rPr>
        <w:t xml:space="preserve">para </w:t>
      </w:r>
      <w:r w:rsidR="00CB1B2A" w:rsidRPr="00044745">
        <w:rPr>
          <w:noProof/>
          <w:lang w:val="es-CO" w:eastAsia="en-GB"/>
        </w:rPr>
        <w:t xml:space="preserve"> la investigación de delitos cometidos contra defensores de derechos humanos. </w:t>
      </w:r>
    </w:p>
    <w:p w14:paraId="74846E37" w14:textId="7079DDCA" w:rsidR="001544A7" w:rsidRPr="00044745" w:rsidRDefault="001544A7" w:rsidP="00EC3DAE">
      <w:pPr>
        <w:pStyle w:val="SingleTxtG"/>
        <w:rPr>
          <w:noProof/>
          <w:lang w:val="es-CO" w:eastAsia="en-GB"/>
        </w:rPr>
      </w:pPr>
      <w:r w:rsidRPr="00044745">
        <w:rPr>
          <w:noProof/>
          <w:lang w:val="es-CO" w:eastAsia="en-GB"/>
        </w:rPr>
        <w:t>1</w:t>
      </w:r>
      <w:r w:rsidR="00FD6616" w:rsidRPr="00044745">
        <w:rPr>
          <w:noProof/>
          <w:lang w:val="es-CO" w:eastAsia="en-GB"/>
        </w:rPr>
        <w:t>7</w:t>
      </w:r>
      <w:r w:rsidRPr="00044745">
        <w:rPr>
          <w:noProof/>
          <w:lang w:val="es-CO" w:eastAsia="en-GB"/>
        </w:rPr>
        <w:t>.</w:t>
      </w:r>
      <w:r w:rsidRPr="00044745">
        <w:rPr>
          <w:noProof/>
          <w:lang w:val="es-CO" w:eastAsia="en-GB"/>
        </w:rPr>
        <w:tab/>
      </w:r>
      <w:r w:rsidR="00CB1B2A" w:rsidRPr="00044745">
        <w:rPr>
          <w:noProof/>
          <w:lang w:val="es-CO" w:eastAsia="en-GB"/>
        </w:rPr>
        <w:t xml:space="preserve">Si bien la Fiscalía General de la Nación ha avanzado significativamente en la identificación del autor material de estos delitos, en la mayoría de los casos </w:t>
      </w:r>
      <w:r w:rsidR="00D8633E" w:rsidRPr="00044745">
        <w:rPr>
          <w:noProof/>
          <w:lang w:val="es-CO" w:eastAsia="en-GB"/>
        </w:rPr>
        <w:t xml:space="preserve">los autores intelectuales </w:t>
      </w:r>
      <w:r w:rsidR="00CB1B2A" w:rsidRPr="00044745">
        <w:rPr>
          <w:noProof/>
          <w:lang w:val="es-CO" w:eastAsia="en-GB"/>
        </w:rPr>
        <w:t xml:space="preserve">no han sido identificados. </w:t>
      </w:r>
      <w:r w:rsidR="00E26272">
        <w:rPr>
          <w:noProof/>
          <w:lang w:val="es-CO" w:eastAsia="en-GB"/>
        </w:rPr>
        <w:t xml:space="preserve">La </w:t>
      </w:r>
      <w:r w:rsidR="00CB1B2A" w:rsidRPr="00044745">
        <w:rPr>
          <w:noProof/>
          <w:lang w:val="es-CO" w:eastAsia="en-GB"/>
        </w:rPr>
        <w:t xml:space="preserve"> </w:t>
      </w:r>
      <w:r w:rsidR="00AB1104">
        <w:rPr>
          <w:noProof/>
          <w:lang w:val="es-CO" w:eastAsia="en-GB"/>
        </w:rPr>
        <w:t>O</w:t>
      </w:r>
      <w:r w:rsidR="00CB1B2A" w:rsidRPr="00044745">
        <w:rPr>
          <w:noProof/>
          <w:lang w:val="es-CO" w:eastAsia="en-GB"/>
        </w:rPr>
        <w:t xml:space="preserve">ACNUDH considera </w:t>
      </w:r>
      <w:r w:rsidR="00D8633E">
        <w:rPr>
          <w:noProof/>
          <w:lang w:val="es-CO" w:eastAsia="en-GB"/>
        </w:rPr>
        <w:t xml:space="preserve">que </w:t>
      </w:r>
      <w:r w:rsidR="00CB1B2A" w:rsidRPr="00044745">
        <w:rPr>
          <w:noProof/>
          <w:lang w:val="es-CO" w:eastAsia="en-GB"/>
        </w:rPr>
        <w:t>la plena</w:t>
      </w:r>
      <w:r w:rsidR="00E26272">
        <w:rPr>
          <w:noProof/>
          <w:lang w:val="es-CO" w:eastAsia="en-GB"/>
        </w:rPr>
        <w:t xml:space="preserve"> identificación de</w:t>
      </w:r>
      <w:r w:rsidR="004D68B5">
        <w:rPr>
          <w:noProof/>
          <w:lang w:val="es-CO" w:eastAsia="en-GB"/>
        </w:rPr>
        <w:t xml:space="preserve"> </w:t>
      </w:r>
      <w:r w:rsidR="00E26272">
        <w:rPr>
          <w:noProof/>
          <w:lang w:val="es-CO" w:eastAsia="en-GB"/>
        </w:rPr>
        <w:t xml:space="preserve">responsabilidad y </w:t>
      </w:r>
      <w:r w:rsidR="004D68B5">
        <w:rPr>
          <w:noProof/>
          <w:lang w:val="es-CO" w:eastAsia="en-GB"/>
        </w:rPr>
        <w:t>sanción</w:t>
      </w:r>
      <w:r w:rsidR="00A327B0">
        <w:rPr>
          <w:noProof/>
          <w:lang w:val="es-CO" w:eastAsia="en-GB"/>
        </w:rPr>
        <w:t xml:space="preserve"> penal</w:t>
      </w:r>
      <w:r w:rsidR="00850438">
        <w:rPr>
          <w:noProof/>
          <w:lang w:val="es-CO" w:eastAsia="en-GB"/>
        </w:rPr>
        <w:t xml:space="preserve"> de</w:t>
      </w:r>
      <w:r w:rsidR="00CB6181">
        <w:rPr>
          <w:noProof/>
          <w:lang w:val="es-CO" w:eastAsia="en-GB"/>
        </w:rPr>
        <w:t xml:space="preserve"> los</w:t>
      </w:r>
      <w:r w:rsidR="00850438">
        <w:rPr>
          <w:noProof/>
          <w:lang w:val="es-CO" w:eastAsia="en-GB"/>
        </w:rPr>
        <w:t xml:space="preserve"> implicados en </w:t>
      </w:r>
      <w:r w:rsidR="00CB1B2A" w:rsidRPr="00044745">
        <w:rPr>
          <w:noProof/>
          <w:lang w:val="es-CO" w:eastAsia="en-GB"/>
        </w:rPr>
        <w:t xml:space="preserve"> los </w:t>
      </w:r>
      <w:r w:rsidR="00A327B0">
        <w:rPr>
          <w:noProof/>
          <w:lang w:val="es-CO" w:eastAsia="en-GB"/>
        </w:rPr>
        <w:t>ataques</w:t>
      </w:r>
      <w:r w:rsidR="00EC3DAE" w:rsidRPr="00044745">
        <w:rPr>
          <w:noProof/>
          <w:lang w:val="es-CO" w:eastAsia="en-GB"/>
        </w:rPr>
        <w:t xml:space="preserve"> </w:t>
      </w:r>
      <w:r w:rsidR="00CB1B2A" w:rsidRPr="00044745">
        <w:rPr>
          <w:noProof/>
          <w:lang w:val="es-CO" w:eastAsia="en-GB"/>
        </w:rPr>
        <w:t>contra los def</w:t>
      </w:r>
      <w:r w:rsidR="00EC3DAE" w:rsidRPr="00044745">
        <w:rPr>
          <w:noProof/>
          <w:lang w:val="es-CO" w:eastAsia="en-GB"/>
        </w:rPr>
        <w:t>ensores de derechos humanos</w:t>
      </w:r>
      <w:r w:rsidR="00D8633E">
        <w:rPr>
          <w:noProof/>
          <w:lang w:val="es-CO" w:eastAsia="en-GB"/>
        </w:rPr>
        <w:t xml:space="preserve"> es crucial</w:t>
      </w:r>
      <w:r w:rsidR="00EC3DAE" w:rsidRPr="00044745">
        <w:rPr>
          <w:noProof/>
          <w:lang w:val="es-CO" w:eastAsia="en-GB"/>
        </w:rPr>
        <w:t>, ya que constituiría una salvaguardia para la protección y la no repetición.</w:t>
      </w:r>
      <w:r w:rsidR="00D8633E">
        <w:rPr>
          <w:noProof/>
          <w:lang w:val="es-CO" w:eastAsia="en-GB"/>
        </w:rPr>
        <w:t xml:space="preserve"> </w:t>
      </w:r>
    </w:p>
    <w:p w14:paraId="17852653" w14:textId="0AD399F5" w:rsidR="00EC3DAE" w:rsidRPr="00044745" w:rsidRDefault="00FD6616" w:rsidP="001544A7">
      <w:pPr>
        <w:pStyle w:val="SingleTxtG"/>
        <w:rPr>
          <w:noProof/>
          <w:lang w:val="es-CO" w:eastAsia="en-GB"/>
        </w:rPr>
      </w:pPr>
      <w:r w:rsidRPr="00044745">
        <w:rPr>
          <w:noProof/>
          <w:lang w:val="es-CO" w:eastAsia="en-GB"/>
        </w:rPr>
        <w:t>18</w:t>
      </w:r>
      <w:r w:rsidR="001544A7" w:rsidRPr="00044745">
        <w:rPr>
          <w:noProof/>
          <w:lang w:val="es-CO" w:eastAsia="en-GB"/>
        </w:rPr>
        <w:t>.</w:t>
      </w:r>
      <w:r w:rsidR="001544A7" w:rsidRPr="00044745">
        <w:rPr>
          <w:noProof/>
          <w:lang w:val="es-CO" w:eastAsia="en-GB"/>
        </w:rPr>
        <w:tab/>
      </w:r>
      <w:r w:rsidR="00EC3DAE" w:rsidRPr="00044745">
        <w:rPr>
          <w:noProof/>
          <w:lang w:val="es-CO" w:eastAsia="en-GB"/>
        </w:rPr>
        <w:t xml:space="preserve">Es importante destacar que mediante el </w:t>
      </w:r>
      <w:r w:rsidR="009529AC">
        <w:rPr>
          <w:noProof/>
          <w:lang w:val="es-CO" w:eastAsia="en-GB"/>
        </w:rPr>
        <w:t xml:space="preserve">directiva </w:t>
      </w:r>
      <w:r w:rsidR="00EC3DAE" w:rsidRPr="00044745">
        <w:rPr>
          <w:noProof/>
          <w:lang w:val="es-CO" w:eastAsia="en-GB"/>
        </w:rPr>
        <w:t>002 de 2017 la Procuraduría General de la Nación anunció que utilizaría sus facultades administrativ</w:t>
      </w:r>
      <w:r w:rsidR="00850438">
        <w:rPr>
          <w:noProof/>
          <w:lang w:val="es-CO" w:eastAsia="en-GB"/>
        </w:rPr>
        <w:t>a</w:t>
      </w:r>
      <w:r w:rsidR="00EC3DAE" w:rsidRPr="00044745">
        <w:rPr>
          <w:noProof/>
          <w:lang w:val="es-CO" w:eastAsia="en-GB"/>
        </w:rPr>
        <w:t>s y disciplinari</w:t>
      </w:r>
      <w:r w:rsidR="00850438">
        <w:rPr>
          <w:noProof/>
          <w:lang w:val="es-CO" w:eastAsia="en-GB"/>
        </w:rPr>
        <w:t>a</w:t>
      </w:r>
      <w:r w:rsidR="00EC3DAE" w:rsidRPr="00044745">
        <w:rPr>
          <w:noProof/>
          <w:lang w:val="es-CO" w:eastAsia="en-GB"/>
        </w:rPr>
        <w:t xml:space="preserve">s para </w:t>
      </w:r>
      <w:r w:rsidR="00D8633E">
        <w:rPr>
          <w:noProof/>
          <w:lang w:val="es-CO" w:eastAsia="en-GB"/>
        </w:rPr>
        <w:t xml:space="preserve">abordar </w:t>
      </w:r>
      <w:r w:rsidR="00EC3DAE" w:rsidRPr="00044745">
        <w:rPr>
          <w:noProof/>
          <w:lang w:val="es-CO" w:eastAsia="en-GB"/>
        </w:rPr>
        <w:t>la estig</w:t>
      </w:r>
      <w:r w:rsidR="00A327B0">
        <w:rPr>
          <w:noProof/>
          <w:lang w:val="es-CO" w:eastAsia="en-GB"/>
        </w:rPr>
        <w:t>matización de los defensores de</w:t>
      </w:r>
      <w:r w:rsidR="00EC3DAE" w:rsidRPr="00044745">
        <w:rPr>
          <w:noProof/>
          <w:lang w:val="es-CO" w:eastAsia="en-GB"/>
        </w:rPr>
        <w:t xml:space="preserve"> derechos humanos y la inacción de las autoridades municipales, departamentales o nacionales </w:t>
      </w:r>
      <w:r w:rsidR="006A6194" w:rsidRPr="00044745">
        <w:rPr>
          <w:noProof/>
          <w:lang w:val="es-CO" w:eastAsia="en-GB"/>
        </w:rPr>
        <w:t>para protegerlos</w:t>
      </w:r>
      <w:r w:rsidR="00EC3DAE" w:rsidRPr="00044745">
        <w:rPr>
          <w:noProof/>
          <w:lang w:val="es-CO" w:eastAsia="en-GB"/>
        </w:rPr>
        <w:t xml:space="preserve">. </w:t>
      </w:r>
    </w:p>
    <w:p w14:paraId="6A1BF8D2" w14:textId="5AAC46F4" w:rsidR="001544A7" w:rsidRPr="00044745" w:rsidRDefault="00FD6616" w:rsidP="00DF0680">
      <w:pPr>
        <w:pStyle w:val="SingleTxtG"/>
        <w:rPr>
          <w:noProof/>
          <w:lang w:val="es-CO" w:eastAsia="en-GB"/>
        </w:rPr>
      </w:pPr>
      <w:r w:rsidRPr="00044745">
        <w:rPr>
          <w:noProof/>
          <w:lang w:val="es-CO" w:eastAsia="en-GB"/>
        </w:rPr>
        <w:t>19</w:t>
      </w:r>
      <w:r w:rsidR="001544A7" w:rsidRPr="00044745">
        <w:rPr>
          <w:noProof/>
          <w:lang w:val="es-CO" w:eastAsia="en-GB"/>
        </w:rPr>
        <w:t>.</w:t>
      </w:r>
      <w:r w:rsidR="001544A7" w:rsidRPr="00044745">
        <w:rPr>
          <w:noProof/>
          <w:lang w:val="es-CO" w:eastAsia="en-GB"/>
        </w:rPr>
        <w:tab/>
      </w:r>
      <w:r w:rsidR="00CB6181">
        <w:rPr>
          <w:noProof/>
          <w:lang w:val="es-CO" w:eastAsia="en-GB"/>
        </w:rPr>
        <w:t xml:space="preserve">La </w:t>
      </w:r>
      <w:r w:rsidR="00EC3DAE" w:rsidRPr="00044745">
        <w:rPr>
          <w:noProof/>
          <w:lang w:val="es-CO" w:eastAsia="en-GB"/>
        </w:rPr>
        <w:t xml:space="preserve"> </w:t>
      </w:r>
      <w:r w:rsidR="004D68B5">
        <w:rPr>
          <w:noProof/>
          <w:lang w:val="es-CO" w:eastAsia="en-GB"/>
        </w:rPr>
        <w:t>O</w:t>
      </w:r>
      <w:r w:rsidR="00EC3DAE" w:rsidRPr="00044745">
        <w:rPr>
          <w:noProof/>
          <w:lang w:val="es-CO" w:eastAsia="en-GB"/>
        </w:rPr>
        <w:t>ACNUDH reconoce los esfuer</w:t>
      </w:r>
      <w:r w:rsidR="001E1059">
        <w:rPr>
          <w:noProof/>
          <w:lang w:val="es-CO" w:eastAsia="en-GB"/>
        </w:rPr>
        <w:t>z</w:t>
      </w:r>
      <w:r w:rsidR="00EC3DAE" w:rsidRPr="00044745">
        <w:rPr>
          <w:noProof/>
          <w:lang w:val="es-CO" w:eastAsia="en-GB"/>
        </w:rPr>
        <w:t xml:space="preserve">os de la Unidad Nacional de Protección del Ministerio del Interior por proteger a los defensores de derechos humanos, pero señala que </w:t>
      </w:r>
      <w:r w:rsidR="00FF14A1">
        <w:rPr>
          <w:noProof/>
          <w:lang w:val="es-CO" w:eastAsia="en-GB"/>
        </w:rPr>
        <w:t xml:space="preserve">4 </w:t>
      </w:r>
      <w:r w:rsidR="00EC3DAE" w:rsidRPr="00044745">
        <w:rPr>
          <w:noProof/>
          <w:lang w:val="es-CO" w:eastAsia="en-GB"/>
        </w:rPr>
        <w:t xml:space="preserve"> defensores </w:t>
      </w:r>
      <w:r w:rsidR="006A6194" w:rsidRPr="00044745">
        <w:rPr>
          <w:noProof/>
          <w:lang w:val="es-CO" w:eastAsia="en-GB"/>
        </w:rPr>
        <w:t xml:space="preserve">que estaban </w:t>
      </w:r>
      <w:r w:rsidR="00EC3DAE" w:rsidRPr="00044745">
        <w:rPr>
          <w:noProof/>
          <w:lang w:val="es-CO" w:eastAsia="en-GB"/>
        </w:rPr>
        <w:t>bajo protecci</w:t>
      </w:r>
      <w:r w:rsidR="006A6194" w:rsidRPr="00044745">
        <w:rPr>
          <w:noProof/>
          <w:lang w:val="es-CO" w:eastAsia="en-GB"/>
        </w:rPr>
        <w:t>ón de la Unidad (</w:t>
      </w:r>
      <w:r w:rsidR="00236F9D">
        <w:rPr>
          <w:noProof/>
          <w:lang w:val="es-CO" w:eastAsia="en-GB"/>
        </w:rPr>
        <w:t>todos</w:t>
      </w:r>
      <w:r w:rsidR="00126167">
        <w:rPr>
          <w:noProof/>
          <w:lang w:val="es-CO" w:eastAsia="en-GB"/>
        </w:rPr>
        <w:t xml:space="preserve"> </w:t>
      </w:r>
      <w:r w:rsidR="006A6194" w:rsidRPr="00044745">
        <w:rPr>
          <w:noProof/>
          <w:lang w:val="es-CO" w:eastAsia="en-GB"/>
        </w:rPr>
        <w:t>con</w:t>
      </w:r>
      <w:r w:rsidR="00126167">
        <w:rPr>
          <w:noProof/>
          <w:lang w:val="es-CO" w:eastAsia="en-GB"/>
        </w:rPr>
        <w:t>taban con</w:t>
      </w:r>
      <w:r w:rsidR="00CB6181">
        <w:rPr>
          <w:noProof/>
          <w:lang w:val="es-CO" w:eastAsia="en-GB"/>
        </w:rPr>
        <w:t xml:space="preserve"> escoltas</w:t>
      </w:r>
      <w:r w:rsidR="006A6194" w:rsidRPr="00044745">
        <w:rPr>
          <w:noProof/>
          <w:lang w:val="es-CO" w:eastAsia="en-GB"/>
        </w:rPr>
        <w:t xml:space="preserve"> ) fueron asesinados en 2017. Las víctimas con escoltas </w:t>
      </w:r>
      <w:r w:rsidR="001E1059">
        <w:rPr>
          <w:noProof/>
          <w:lang w:val="es-CO" w:eastAsia="en-GB"/>
        </w:rPr>
        <w:t>fueron asesinada</w:t>
      </w:r>
      <w:r w:rsidR="00236F9D">
        <w:rPr>
          <w:noProof/>
          <w:lang w:val="es-CO" w:eastAsia="en-GB"/>
        </w:rPr>
        <w:t>s cuando los escoltas</w:t>
      </w:r>
      <w:r w:rsidR="00DF0680" w:rsidRPr="00044745">
        <w:rPr>
          <w:noProof/>
          <w:lang w:val="es-CO" w:eastAsia="en-GB"/>
        </w:rPr>
        <w:t xml:space="preserve"> no estaban presentes, lo que indica que </w:t>
      </w:r>
      <w:r w:rsidR="001E1059">
        <w:rPr>
          <w:noProof/>
          <w:lang w:val="es-CO" w:eastAsia="en-GB"/>
        </w:rPr>
        <w:t xml:space="preserve">el uso de </w:t>
      </w:r>
      <w:r w:rsidR="00DF0680" w:rsidRPr="00044745">
        <w:rPr>
          <w:noProof/>
          <w:lang w:val="es-CO" w:eastAsia="en-GB"/>
        </w:rPr>
        <w:t>escoltas sí e</w:t>
      </w:r>
      <w:r w:rsidR="001E1059">
        <w:rPr>
          <w:noProof/>
          <w:lang w:val="es-CO" w:eastAsia="en-GB"/>
        </w:rPr>
        <w:t>vita</w:t>
      </w:r>
      <w:r w:rsidR="00DF0680" w:rsidRPr="00044745">
        <w:rPr>
          <w:noProof/>
          <w:lang w:val="es-CO" w:eastAsia="en-GB"/>
        </w:rPr>
        <w:t xml:space="preserve"> los atentados. También parece que los recortes presupuestales </w:t>
      </w:r>
      <w:r w:rsidR="00CB6181">
        <w:rPr>
          <w:noProof/>
          <w:lang w:val="es-CO" w:eastAsia="en-GB"/>
        </w:rPr>
        <w:t xml:space="preserve">que ha sufrido </w:t>
      </w:r>
      <w:r w:rsidR="00DF0680" w:rsidRPr="00044745">
        <w:rPr>
          <w:noProof/>
          <w:lang w:val="es-CO" w:eastAsia="en-GB"/>
        </w:rPr>
        <w:t>la Unidad han tenido un impacto negativo en los esquemas de protección.</w:t>
      </w:r>
      <w:r w:rsidR="001544A7" w:rsidRPr="00044745">
        <w:rPr>
          <w:noProof/>
          <w:lang w:val="es-CO" w:eastAsia="en-GB"/>
        </w:rPr>
        <w:t xml:space="preserve"> </w:t>
      </w:r>
    </w:p>
    <w:p w14:paraId="4E2572BF" w14:textId="51428688" w:rsidR="001544A7" w:rsidRPr="00044745" w:rsidRDefault="001544A7" w:rsidP="00752B9A">
      <w:pPr>
        <w:pStyle w:val="SingleTxtG"/>
        <w:rPr>
          <w:noProof/>
          <w:lang w:val="es-CO" w:eastAsia="en-GB"/>
        </w:rPr>
      </w:pPr>
      <w:r w:rsidRPr="00044745">
        <w:rPr>
          <w:noProof/>
          <w:lang w:val="es-CO" w:eastAsia="en-GB"/>
        </w:rPr>
        <w:t>2</w:t>
      </w:r>
      <w:r w:rsidR="00FD6616" w:rsidRPr="00044745">
        <w:rPr>
          <w:noProof/>
          <w:lang w:val="es-CO" w:eastAsia="en-GB"/>
        </w:rPr>
        <w:t>0</w:t>
      </w:r>
      <w:r w:rsidRPr="00044745">
        <w:rPr>
          <w:noProof/>
          <w:lang w:val="es-CO" w:eastAsia="en-GB"/>
        </w:rPr>
        <w:t>.</w:t>
      </w:r>
      <w:r w:rsidRPr="00044745">
        <w:rPr>
          <w:noProof/>
          <w:lang w:val="es-CO" w:eastAsia="en-GB"/>
        </w:rPr>
        <w:tab/>
      </w:r>
      <w:r w:rsidR="00DF0680" w:rsidRPr="00044745">
        <w:rPr>
          <w:noProof/>
          <w:lang w:val="es-CO" w:eastAsia="en-GB"/>
        </w:rPr>
        <w:t xml:space="preserve">Es imperativo </w:t>
      </w:r>
      <w:r w:rsidR="009462C9">
        <w:rPr>
          <w:noProof/>
          <w:lang w:val="es-CO" w:eastAsia="en-GB"/>
        </w:rPr>
        <w:t>reforzar el enfoque de género</w:t>
      </w:r>
      <w:r w:rsidR="009462C9" w:rsidRPr="00044745">
        <w:rPr>
          <w:noProof/>
          <w:lang w:val="es-CO" w:eastAsia="en-GB"/>
        </w:rPr>
        <w:t xml:space="preserve"> </w:t>
      </w:r>
      <w:r w:rsidR="001E1059">
        <w:rPr>
          <w:noProof/>
          <w:lang w:val="es-CO" w:eastAsia="en-GB"/>
        </w:rPr>
        <w:t>e</w:t>
      </w:r>
      <w:r w:rsidR="001E1059" w:rsidRPr="00044745">
        <w:rPr>
          <w:noProof/>
          <w:lang w:val="es-CO" w:eastAsia="en-GB"/>
        </w:rPr>
        <w:t>n la valor</w:t>
      </w:r>
      <w:r w:rsidR="001E1059">
        <w:rPr>
          <w:noProof/>
          <w:lang w:val="es-CO" w:eastAsia="en-GB"/>
        </w:rPr>
        <w:t>a</w:t>
      </w:r>
      <w:r w:rsidR="001E1059" w:rsidRPr="00044745">
        <w:rPr>
          <w:noProof/>
          <w:lang w:val="es-CO" w:eastAsia="en-GB"/>
        </w:rPr>
        <w:t>ción de las amenazas a los defensores de derechos humanos</w:t>
      </w:r>
      <w:r w:rsidR="00DF0680" w:rsidRPr="00044745">
        <w:rPr>
          <w:noProof/>
          <w:lang w:val="es-CO" w:eastAsia="en-GB"/>
        </w:rPr>
        <w:t xml:space="preserve"> así como un análisis de las amenazas en ámbitos rurales, </w:t>
      </w:r>
      <w:r w:rsidR="00752B9A" w:rsidRPr="00044745">
        <w:rPr>
          <w:noProof/>
          <w:lang w:val="es-CO" w:eastAsia="en-GB"/>
        </w:rPr>
        <w:t xml:space="preserve">dada la prevalencia de asesinatos en estas zonas. </w:t>
      </w:r>
    </w:p>
    <w:p w14:paraId="0DAFD6CB" w14:textId="4A2E0C6D" w:rsidR="00752B9A" w:rsidRPr="00044745" w:rsidRDefault="001544A7" w:rsidP="001544A7">
      <w:pPr>
        <w:pStyle w:val="SingleTxtG"/>
        <w:rPr>
          <w:noProof/>
          <w:lang w:val="es-CO" w:eastAsia="en-GB"/>
        </w:rPr>
      </w:pPr>
      <w:r w:rsidRPr="00044745">
        <w:rPr>
          <w:noProof/>
          <w:lang w:val="es-CO" w:eastAsia="en-GB"/>
        </w:rPr>
        <w:lastRenderedPageBreak/>
        <w:t>2</w:t>
      </w:r>
      <w:r w:rsidR="00FD6616" w:rsidRPr="00044745">
        <w:rPr>
          <w:noProof/>
          <w:lang w:val="es-CO" w:eastAsia="en-GB"/>
        </w:rPr>
        <w:t>1</w:t>
      </w:r>
      <w:r w:rsidRPr="00044745">
        <w:rPr>
          <w:noProof/>
          <w:lang w:val="es-CO" w:eastAsia="en-GB"/>
        </w:rPr>
        <w:t>.</w:t>
      </w:r>
      <w:r w:rsidRPr="00044745">
        <w:rPr>
          <w:noProof/>
          <w:lang w:val="es-CO" w:eastAsia="en-GB"/>
        </w:rPr>
        <w:tab/>
      </w:r>
      <w:r w:rsidR="00CB6181">
        <w:rPr>
          <w:noProof/>
          <w:lang w:val="es-CO" w:eastAsia="en-GB"/>
        </w:rPr>
        <w:t xml:space="preserve">La </w:t>
      </w:r>
      <w:r w:rsidR="00752B9A" w:rsidRPr="00044745">
        <w:rPr>
          <w:noProof/>
          <w:lang w:val="es-CO" w:eastAsia="en-GB"/>
        </w:rPr>
        <w:t xml:space="preserve"> </w:t>
      </w:r>
      <w:r w:rsidR="004D68B5">
        <w:rPr>
          <w:noProof/>
          <w:lang w:val="es-CO" w:eastAsia="en-GB"/>
        </w:rPr>
        <w:t>O</w:t>
      </w:r>
      <w:r w:rsidR="00752B9A" w:rsidRPr="00044745">
        <w:rPr>
          <w:noProof/>
          <w:lang w:val="es-CO" w:eastAsia="en-GB"/>
        </w:rPr>
        <w:t xml:space="preserve">ACNUDH recomienda </w:t>
      </w:r>
      <w:r w:rsidR="001E1059">
        <w:rPr>
          <w:noProof/>
          <w:lang w:val="es-CO" w:eastAsia="en-GB"/>
        </w:rPr>
        <w:t xml:space="preserve">que se modifiquen </w:t>
      </w:r>
      <w:r w:rsidR="00752B9A" w:rsidRPr="00044745">
        <w:rPr>
          <w:noProof/>
          <w:lang w:val="es-CO" w:eastAsia="en-GB"/>
        </w:rPr>
        <w:t xml:space="preserve">las medidas de protección en zonas rurales y </w:t>
      </w:r>
      <w:r w:rsidR="001E1059">
        <w:rPr>
          <w:noProof/>
          <w:lang w:val="es-CO" w:eastAsia="en-GB"/>
        </w:rPr>
        <w:t xml:space="preserve">que se fortalezcan </w:t>
      </w:r>
      <w:r w:rsidR="00752B9A" w:rsidRPr="00044745">
        <w:rPr>
          <w:noProof/>
          <w:lang w:val="es-CO" w:eastAsia="en-GB"/>
        </w:rPr>
        <w:t xml:space="preserve">las medidas de protección colectiva, </w:t>
      </w:r>
      <w:r w:rsidR="008D153C">
        <w:rPr>
          <w:noProof/>
          <w:lang w:val="es-CO" w:eastAsia="en-GB"/>
        </w:rPr>
        <w:t xml:space="preserve">como </w:t>
      </w:r>
      <w:r w:rsidR="00752B9A" w:rsidRPr="00044745">
        <w:rPr>
          <w:noProof/>
          <w:lang w:val="es-CO" w:eastAsia="en-GB"/>
        </w:rPr>
        <w:t xml:space="preserve"> las guardias indígenas y afrocolombianas, como </w:t>
      </w:r>
      <w:r w:rsidR="00A327B0">
        <w:rPr>
          <w:noProof/>
          <w:lang w:val="es-CO" w:eastAsia="en-GB"/>
        </w:rPr>
        <w:t>medio</w:t>
      </w:r>
      <w:r w:rsidR="00752B9A" w:rsidRPr="00044745">
        <w:rPr>
          <w:noProof/>
          <w:lang w:val="es-CO" w:eastAsia="en-GB"/>
        </w:rPr>
        <w:t xml:space="preserve"> de protección individual y territorial. Las medidas de protección tiene</w:t>
      </w:r>
      <w:r w:rsidR="001E1059">
        <w:rPr>
          <w:noProof/>
          <w:lang w:val="es-CO" w:eastAsia="en-GB"/>
        </w:rPr>
        <w:t>n limitaciones</w:t>
      </w:r>
      <w:r w:rsidR="00752B9A" w:rsidRPr="00044745">
        <w:rPr>
          <w:noProof/>
          <w:lang w:val="es-CO" w:eastAsia="en-GB"/>
        </w:rPr>
        <w:t xml:space="preserve">, puesto que los defensores de derechos humanos </w:t>
      </w:r>
      <w:r w:rsidR="00CA4D9C" w:rsidRPr="00044745">
        <w:rPr>
          <w:noProof/>
          <w:lang w:val="es-CO" w:eastAsia="en-GB"/>
        </w:rPr>
        <w:t xml:space="preserve">seguirán corriendo riesgos si no se abordan los factores estructurales de la pobreza multidimensional, las economías ilícitas, los vacíos de poder y la falta de presencia estatal. </w:t>
      </w:r>
    </w:p>
    <w:p w14:paraId="2DCFCF36" w14:textId="226F73A1" w:rsidR="001544A7" w:rsidRPr="00044745" w:rsidRDefault="001544A7" w:rsidP="00CA4D9C">
      <w:pPr>
        <w:pStyle w:val="SingleTxtG"/>
        <w:rPr>
          <w:noProof/>
          <w:lang w:val="es-CO" w:eastAsia="en-GB"/>
        </w:rPr>
      </w:pPr>
      <w:r w:rsidRPr="00044745">
        <w:rPr>
          <w:noProof/>
          <w:lang w:val="es-CO" w:eastAsia="en-GB"/>
        </w:rPr>
        <w:t>2</w:t>
      </w:r>
      <w:r w:rsidR="00FD6616" w:rsidRPr="00044745">
        <w:rPr>
          <w:noProof/>
          <w:lang w:val="es-CO" w:eastAsia="en-GB"/>
        </w:rPr>
        <w:t>2</w:t>
      </w:r>
      <w:r w:rsidRPr="00044745">
        <w:rPr>
          <w:noProof/>
          <w:lang w:val="es-CO" w:eastAsia="en-GB"/>
        </w:rPr>
        <w:t>.</w:t>
      </w:r>
      <w:r w:rsidRPr="00044745">
        <w:rPr>
          <w:noProof/>
          <w:lang w:val="es-CO" w:eastAsia="en-GB"/>
        </w:rPr>
        <w:tab/>
      </w:r>
      <w:r w:rsidR="00A327B0">
        <w:rPr>
          <w:noProof/>
          <w:lang w:val="es-CO" w:eastAsia="en-GB"/>
        </w:rPr>
        <w:t>La</w:t>
      </w:r>
      <w:r w:rsidR="00A327B0" w:rsidRPr="00044745">
        <w:rPr>
          <w:noProof/>
          <w:lang w:val="es-CO" w:eastAsia="en-GB"/>
        </w:rPr>
        <w:t xml:space="preserve"> </w:t>
      </w:r>
      <w:r w:rsidR="004D68B5">
        <w:rPr>
          <w:noProof/>
          <w:lang w:val="es-CO" w:eastAsia="en-GB"/>
        </w:rPr>
        <w:t>O</w:t>
      </w:r>
      <w:r w:rsidR="00CA4D9C" w:rsidRPr="00044745">
        <w:rPr>
          <w:noProof/>
          <w:lang w:val="es-CO" w:eastAsia="en-GB"/>
        </w:rPr>
        <w:t>ACNUDH acoge con satisfacción la creación de</w:t>
      </w:r>
      <w:r w:rsidR="001E1059">
        <w:rPr>
          <w:noProof/>
          <w:lang w:val="es-CO" w:eastAsia="en-GB"/>
        </w:rPr>
        <w:t>l</w:t>
      </w:r>
      <w:r w:rsidR="00CA4D9C" w:rsidRPr="00044745">
        <w:rPr>
          <w:noProof/>
          <w:lang w:val="es-CO" w:eastAsia="en-GB"/>
        </w:rPr>
        <w:t xml:space="preserve"> </w:t>
      </w:r>
      <w:r w:rsidR="001E1059">
        <w:rPr>
          <w:noProof/>
          <w:lang w:val="es-CO" w:eastAsia="en-GB"/>
        </w:rPr>
        <w:t>C</w:t>
      </w:r>
      <w:r w:rsidR="00CA4D9C" w:rsidRPr="00044745">
        <w:rPr>
          <w:noProof/>
          <w:lang w:val="es-CO" w:eastAsia="en-GB"/>
        </w:rPr>
        <w:t xml:space="preserve">uerpo </w:t>
      </w:r>
      <w:r w:rsidR="00A327B0">
        <w:rPr>
          <w:noProof/>
          <w:lang w:val="es-CO" w:eastAsia="en-GB"/>
        </w:rPr>
        <w:t xml:space="preserve">de </w:t>
      </w:r>
      <w:r w:rsidR="00CA6DD1">
        <w:rPr>
          <w:noProof/>
          <w:lang w:val="es-CO" w:eastAsia="en-GB"/>
        </w:rPr>
        <w:t>E</w:t>
      </w:r>
      <w:r w:rsidR="00CA4D9C" w:rsidRPr="00044745">
        <w:rPr>
          <w:noProof/>
          <w:lang w:val="es-CO" w:eastAsia="en-GB"/>
        </w:rPr>
        <w:t xml:space="preserve">lite de la Policía Nacional, establecido en el Acuerdo para combatir las organizaciones </w:t>
      </w:r>
      <w:r w:rsidR="008D153C">
        <w:rPr>
          <w:noProof/>
          <w:lang w:val="es-CO" w:eastAsia="en-GB"/>
        </w:rPr>
        <w:t>criminales</w:t>
      </w:r>
      <w:r w:rsidR="001E1059">
        <w:rPr>
          <w:noProof/>
          <w:lang w:val="es-CO" w:eastAsia="en-GB"/>
        </w:rPr>
        <w:t xml:space="preserve">, y de </w:t>
      </w:r>
      <w:r w:rsidR="004D68B5">
        <w:rPr>
          <w:noProof/>
          <w:lang w:val="es-CO" w:eastAsia="en-GB"/>
        </w:rPr>
        <w:t>la</w:t>
      </w:r>
      <w:r w:rsidR="001E1059">
        <w:rPr>
          <w:noProof/>
          <w:lang w:val="es-CO" w:eastAsia="en-GB"/>
        </w:rPr>
        <w:t xml:space="preserve"> U</w:t>
      </w:r>
      <w:r w:rsidR="00CA4D9C" w:rsidRPr="00044745">
        <w:rPr>
          <w:noProof/>
          <w:lang w:val="es-CO" w:eastAsia="en-GB"/>
        </w:rPr>
        <w:t xml:space="preserve">nidad </w:t>
      </w:r>
      <w:r w:rsidR="00CA6DD1">
        <w:rPr>
          <w:noProof/>
          <w:lang w:val="es-CO" w:eastAsia="en-GB"/>
        </w:rPr>
        <w:t>E</w:t>
      </w:r>
      <w:r w:rsidR="00CA4D9C" w:rsidRPr="00044745">
        <w:rPr>
          <w:noProof/>
          <w:lang w:val="es-CO" w:eastAsia="en-GB"/>
        </w:rPr>
        <w:t xml:space="preserve">special de investigación </w:t>
      </w:r>
      <w:r w:rsidR="004D68B5">
        <w:rPr>
          <w:noProof/>
          <w:lang w:val="es-CO" w:eastAsia="en-GB"/>
        </w:rPr>
        <w:t>de</w:t>
      </w:r>
      <w:r w:rsidR="00CA4D9C" w:rsidRPr="00044745">
        <w:rPr>
          <w:noProof/>
          <w:lang w:val="es-CO" w:eastAsia="en-GB"/>
        </w:rPr>
        <w:t xml:space="preserve"> la Fiscalía General de la Nación </w:t>
      </w:r>
      <w:r w:rsidR="001E1059">
        <w:rPr>
          <w:noProof/>
          <w:lang w:val="es-CO" w:eastAsia="en-GB"/>
        </w:rPr>
        <w:t xml:space="preserve">para el </w:t>
      </w:r>
      <w:r w:rsidR="00CA6DD1">
        <w:rPr>
          <w:noProof/>
          <w:lang w:val="es-CO" w:eastAsia="en-GB"/>
        </w:rPr>
        <w:t>D</w:t>
      </w:r>
      <w:r w:rsidR="001E1059">
        <w:rPr>
          <w:noProof/>
          <w:lang w:val="es-CO" w:eastAsia="en-GB"/>
        </w:rPr>
        <w:t>esmantela</w:t>
      </w:r>
      <w:r w:rsidR="00CA4D9C" w:rsidRPr="00044745">
        <w:rPr>
          <w:noProof/>
          <w:lang w:val="es-CO" w:eastAsia="en-GB"/>
        </w:rPr>
        <w:t>miento de</w:t>
      </w:r>
      <w:r w:rsidR="004D68B5">
        <w:rPr>
          <w:noProof/>
          <w:lang w:val="es-CO" w:eastAsia="en-GB"/>
        </w:rPr>
        <w:t xml:space="preserve"> las</w:t>
      </w:r>
      <w:r w:rsidR="00CA4D9C" w:rsidRPr="00044745">
        <w:rPr>
          <w:noProof/>
          <w:lang w:val="es-CO" w:eastAsia="en-GB"/>
        </w:rPr>
        <w:t xml:space="preserve"> </w:t>
      </w:r>
      <w:r w:rsidR="00CA6DD1">
        <w:rPr>
          <w:noProof/>
          <w:lang w:val="es-CO" w:eastAsia="en-GB"/>
        </w:rPr>
        <w:t>O</w:t>
      </w:r>
      <w:r w:rsidR="00CA4D9C" w:rsidRPr="00044745">
        <w:rPr>
          <w:noProof/>
          <w:lang w:val="es-CO" w:eastAsia="en-GB"/>
        </w:rPr>
        <w:t>rganizaciones</w:t>
      </w:r>
      <w:r w:rsidR="00A327B0">
        <w:rPr>
          <w:noProof/>
          <w:lang w:val="es-CO" w:eastAsia="en-GB"/>
        </w:rPr>
        <w:t xml:space="preserve"> </w:t>
      </w:r>
      <w:r w:rsidR="00CA6DD1">
        <w:rPr>
          <w:noProof/>
          <w:lang w:val="es-CO" w:eastAsia="en-GB"/>
        </w:rPr>
        <w:t>C</w:t>
      </w:r>
      <w:r w:rsidR="004D68B5">
        <w:rPr>
          <w:noProof/>
          <w:lang w:val="es-CO" w:eastAsia="en-GB"/>
        </w:rPr>
        <w:t>riminales</w:t>
      </w:r>
      <w:r w:rsidR="00CB035B">
        <w:rPr>
          <w:noProof/>
          <w:lang w:val="es-CO" w:eastAsia="en-GB"/>
        </w:rPr>
        <w:t xml:space="preserve"> y los esfuerzos realizados por ambos cuerpos</w:t>
      </w:r>
      <w:r w:rsidR="00CA4D9C" w:rsidRPr="00044745">
        <w:rPr>
          <w:noProof/>
          <w:lang w:val="es-CO" w:eastAsia="en-GB"/>
        </w:rPr>
        <w:t>. Est</w:t>
      </w:r>
      <w:r w:rsidR="0042197A">
        <w:rPr>
          <w:noProof/>
          <w:lang w:val="es-CO" w:eastAsia="en-GB"/>
        </w:rPr>
        <w:t>a</w:t>
      </w:r>
      <w:r w:rsidR="00CA4D9C" w:rsidRPr="00044745">
        <w:rPr>
          <w:noProof/>
          <w:lang w:val="es-CO" w:eastAsia="en-GB"/>
        </w:rPr>
        <w:t xml:space="preserve"> últim</w:t>
      </w:r>
      <w:r w:rsidR="0042197A">
        <w:rPr>
          <w:noProof/>
          <w:lang w:val="es-CO" w:eastAsia="en-GB"/>
        </w:rPr>
        <w:t>a</w:t>
      </w:r>
      <w:r w:rsidR="00CA4D9C" w:rsidRPr="00044745">
        <w:rPr>
          <w:noProof/>
          <w:lang w:val="es-CO" w:eastAsia="en-GB"/>
        </w:rPr>
        <w:t xml:space="preserve"> requiere más recursos financieros y técnicos así como apoyo político para su adecuado funcionamiento. La Fiscalía General de la Nación deberá investigar los vínculos entre la corrupción y el crimen organizado, ya que algunos defensores que han denunciado esta correlación han sufrido </w:t>
      </w:r>
      <w:r w:rsidR="008D153C">
        <w:rPr>
          <w:noProof/>
          <w:lang w:val="es-CO" w:eastAsia="en-GB"/>
        </w:rPr>
        <w:t>ataques</w:t>
      </w:r>
      <w:r w:rsidR="00CA4D9C" w:rsidRPr="00044745">
        <w:rPr>
          <w:noProof/>
          <w:lang w:val="es-CO" w:eastAsia="en-GB"/>
        </w:rPr>
        <w:t xml:space="preserve">. </w:t>
      </w:r>
    </w:p>
    <w:p w14:paraId="184D1D91" w14:textId="77777777" w:rsidR="001544A7" w:rsidRPr="00044745" w:rsidRDefault="009B12F0" w:rsidP="009B12F0">
      <w:pPr>
        <w:pStyle w:val="H1G"/>
        <w:rPr>
          <w:noProof/>
          <w:lang w:val="es-CO" w:eastAsia="en-GB"/>
        </w:rPr>
      </w:pPr>
      <w:bookmarkStart w:id="4" w:name="_Toc503550645"/>
      <w:r w:rsidRPr="00044745">
        <w:rPr>
          <w:noProof/>
          <w:lang w:val="es-CO" w:eastAsia="en-GB"/>
        </w:rPr>
        <w:tab/>
        <w:t>B</w:t>
      </w:r>
      <w:r w:rsidR="001544A7" w:rsidRPr="00044745">
        <w:rPr>
          <w:noProof/>
          <w:lang w:val="es-CO" w:eastAsia="en-GB"/>
        </w:rPr>
        <w:t>.</w:t>
      </w:r>
      <w:r w:rsidR="001544A7" w:rsidRPr="00044745">
        <w:rPr>
          <w:noProof/>
          <w:lang w:val="es-CO" w:eastAsia="en-GB"/>
        </w:rPr>
        <w:tab/>
        <w:t>Rein</w:t>
      </w:r>
      <w:r w:rsidR="00BF61EC" w:rsidRPr="00044745">
        <w:rPr>
          <w:noProof/>
          <w:lang w:val="es-CO" w:eastAsia="en-GB"/>
        </w:rPr>
        <w:t xml:space="preserve">tegración </w:t>
      </w:r>
      <w:r w:rsidR="00440058" w:rsidRPr="00044745">
        <w:rPr>
          <w:noProof/>
          <w:lang w:val="es-CO" w:eastAsia="en-GB"/>
        </w:rPr>
        <w:t xml:space="preserve">de </w:t>
      </w:r>
      <w:r w:rsidR="00BF61EC" w:rsidRPr="00044745">
        <w:rPr>
          <w:noProof/>
          <w:lang w:val="es-CO" w:eastAsia="en-GB"/>
        </w:rPr>
        <w:t>exc</w:t>
      </w:r>
      <w:r w:rsidR="00440058" w:rsidRPr="00044745">
        <w:rPr>
          <w:noProof/>
          <w:lang w:val="es-CO" w:eastAsia="en-GB"/>
        </w:rPr>
        <w:t xml:space="preserve">ombatientes y </w:t>
      </w:r>
      <w:r w:rsidR="00BF61EC" w:rsidRPr="000025B1">
        <w:rPr>
          <w:noProof/>
          <w:lang w:val="es-CO" w:eastAsia="en-GB"/>
        </w:rPr>
        <w:t>desvinculación de</w:t>
      </w:r>
      <w:r w:rsidR="00BF61EC" w:rsidRPr="00044745">
        <w:rPr>
          <w:noProof/>
          <w:lang w:val="es-CO" w:eastAsia="en-GB"/>
        </w:rPr>
        <w:t xml:space="preserve"> </w:t>
      </w:r>
      <w:r w:rsidR="00440058" w:rsidRPr="00044745">
        <w:rPr>
          <w:noProof/>
          <w:lang w:val="es-CO" w:eastAsia="en-GB"/>
        </w:rPr>
        <w:t xml:space="preserve">niños y niñas </w:t>
      </w:r>
      <w:bookmarkEnd w:id="4"/>
    </w:p>
    <w:p w14:paraId="6173FA12" w14:textId="77777777" w:rsidR="001544A7" w:rsidRPr="00044745" w:rsidRDefault="00171E3A" w:rsidP="00171E3A">
      <w:pPr>
        <w:pStyle w:val="H23G"/>
        <w:rPr>
          <w:lang w:val="es-CO"/>
        </w:rPr>
      </w:pPr>
      <w:bookmarkStart w:id="5" w:name="_Toc503550646"/>
      <w:r w:rsidRPr="00044745">
        <w:rPr>
          <w:lang w:val="es-CO"/>
        </w:rPr>
        <w:tab/>
        <w:t>1.</w:t>
      </w:r>
      <w:r w:rsidR="001544A7" w:rsidRPr="00044745">
        <w:rPr>
          <w:lang w:val="es-CO"/>
        </w:rPr>
        <w:tab/>
        <w:t>Rein</w:t>
      </w:r>
      <w:r w:rsidR="00BF61EC" w:rsidRPr="00044745">
        <w:rPr>
          <w:lang w:val="es-CO"/>
        </w:rPr>
        <w:t>tegración de excombatientes</w:t>
      </w:r>
      <w:bookmarkEnd w:id="5"/>
    </w:p>
    <w:p w14:paraId="394D7FCC" w14:textId="1FC13927" w:rsidR="00BF61EC" w:rsidRPr="00044745" w:rsidRDefault="001544A7" w:rsidP="001544A7">
      <w:pPr>
        <w:pStyle w:val="SingleTxtG"/>
        <w:rPr>
          <w:lang w:val="es-CO"/>
        </w:rPr>
      </w:pPr>
      <w:r w:rsidRPr="00044745">
        <w:rPr>
          <w:lang w:val="es-CO"/>
        </w:rPr>
        <w:t>2</w:t>
      </w:r>
      <w:r w:rsidR="00FD6616" w:rsidRPr="00044745">
        <w:rPr>
          <w:lang w:val="es-CO"/>
        </w:rPr>
        <w:t>3</w:t>
      </w:r>
      <w:r w:rsidRPr="00044745">
        <w:rPr>
          <w:lang w:val="es-CO"/>
        </w:rPr>
        <w:t>.</w:t>
      </w:r>
      <w:r w:rsidRPr="00044745">
        <w:rPr>
          <w:lang w:val="es-CO"/>
        </w:rPr>
        <w:tab/>
      </w:r>
      <w:r w:rsidR="00BF61EC" w:rsidRPr="00044745">
        <w:rPr>
          <w:lang w:val="es-CO"/>
        </w:rPr>
        <w:t xml:space="preserve">El 66 por ciento de la población reincorporada de las FARC-EP proviene de </w:t>
      </w:r>
      <w:r w:rsidR="000025B1">
        <w:rPr>
          <w:lang w:val="es-CO"/>
        </w:rPr>
        <w:t>zonas</w:t>
      </w:r>
      <w:r w:rsidR="00BF61EC" w:rsidRPr="00044745">
        <w:rPr>
          <w:lang w:val="es-CO"/>
        </w:rPr>
        <w:t xml:space="preserve"> rurales. El 30 por ciento se identifica como </w:t>
      </w:r>
      <w:r w:rsidR="000025B1">
        <w:rPr>
          <w:lang w:val="es-CO"/>
        </w:rPr>
        <w:t>integrante de</w:t>
      </w:r>
      <w:r w:rsidR="00BF61EC" w:rsidRPr="00044745">
        <w:rPr>
          <w:lang w:val="es-CO"/>
        </w:rPr>
        <w:t xml:space="preserve"> un grupo étnico y el 23 por ciento son mujeres</w:t>
      </w:r>
      <w:r w:rsidR="00180EE1">
        <w:rPr>
          <w:rStyle w:val="FootnoteReference"/>
          <w:lang w:val="es-CO"/>
        </w:rPr>
        <w:footnoteReference w:id="7"/>
      </w:r>
      <w:r w:rsidR="00BF61EC" w:rsidRPr="00044745">
        <w:rPr>
          <w:lang w:val="es-CO"/>
        </w:rPr>
        <w:t xml:space="preserve">. </w:t>
      </w:r>
    </w:p>
    <w:p w14:paraId="6D2C873A" w14:textId="2D914F76" w:rsidR="001544A7" w:rsidRPr="00044745" w:rsidRDefault="001544A7" w:rsidP="00D2087B">
      <w:pPr>
        <w:pStyle w:val="SingleTxtG"/>
        <w:rPr>
          <w:noProof/>
          <w:lang w:val="es-CO" w:eastAsia="en-GB"/>
        </w:rPr>
      </w:pPr>
      <w:r w:rsidRPr="00044745">
        <w:rPr>
          <w:noProof/>
          <w:lang w:val="es-CO" w:eastAsia="en-GB"/>
        </w:rPr>
        <w:t>2</w:t>
      </w:r>
      <w:r w:rsidR="00FD6616" w:rsidRPr="00044745">
        <w:rPr>
          <w:noProof/>
          <w:lang w:val="es-CO" w:eastAsia="en-GB"/>
        </w:rPr>
        <w:t>4</w:t>
      </w:r>
      <w:r w:rsidRPr="00044745">
        <w:rPr>
          <w:noProof/>
          <w:lang w:val="es-CO" w:eastAsia="en-GB"/>
        </w:rPr>
        <w:t>.</w:t>
      </w:r>
      <w:r w:rsidRPr="00044745">
        <w:rPr>
          <w:noProof/>
          <w:lang w:val="es-CO" w:eastAsia="en-GB"/>
        </w:rPr>
        <w:tab/>
      </w:r>
      <w:r w:rsidR="00BF61EC" w:rsidRPr="00044745">
        <w:rPr>
          <w:noProof/>
          <w:lang w:val="es-CO" w:eastAsia="en-GB"/>
        </w:rPr>
        <w:t>Se observaron serias deficiencias, como la falta de agua potable, san</w:t>
      </w:r>
      <w:r w:rsidR="0057579C" w:rsidRPr="00044745">
        <w:rPr>
          <w:noProof/>
          <w:lang w:val="es-CO" w:eastAsia="en-GB"/>
        </w:rPr>
        <w:t>eamiento</w:t>
      </w:r>
      <w:r w:rsidR="00BF61EC" w:rsidRPr="00044745">
        <w:rPr>
          <w:noProof/>
          <w:lang w:val="es-CO" w:eastAsia="en-GB"/>
        </w:rPr>
        <w:t xml:space="preserve"> y vivienda</w:t>
      </w:r>
      <w:r w:rsidR="0057579C" w:rsidRPr="00044745">
        <w:rPr>
          <w:noProof/>
          <w:lang w:val="es-CO" w:eastAsia="en-GB"/>
        </w:rPr>
        <w:t>s</w:t>
      </w:r>
      <w:r w:rsidR="00BF61EC" w:rsidRPr="00044745">
        <w:rPr>
          <w:noProof/>
          <w:lang w:val="es-CO" w:eastAsia="en-GB"/>
        </w:rPr>
        <w:t xml:space="preserve"> habitable</w:t>
      </w:r>
      <w:r w:rsidR="0057579C" w:rsidRPr="00044745">
        <w:rPr>
          <w:noProof/>
          <w:lang w:val="es-CO" w:eastAsia="en-GB"/>
        </w:rPr>
        <w:t xml:space="preserve">s en las </w:t>
      </w:r>
      <w:r w:rsidR="00A327B0">
        <w:rPr>
          <w:noProof/>
          <w:lang w:val="es-CO" w:eastAsia="en-GB"/>
        </w:rPr>
        <w:t>Z</w:t>
      </w:r>
      <w:r w:rsidR="00A327B0" w:rsidRPr="00044745">
        <w:rPr>
          <w:noProof/>
          <w:lang w:val="es-CO" w:eastAsia="en-GB"/>
        </w:rPr>
        <w:t>onas</w:t>
      </w:r>
      <w:r w:rsidR="00A327B0">
        <w:rPr>
          <w:noProof/>
          <w:lang w:val="es-CO" w:eastAsia="en-GB"/>
        </w:rPr>
        <w:t xml:space="preserve"> </w:t>
      </w:r>
      <w:r w:rsidR="0042197A">
        <w:rPr>
          <w:noProof/>
          <w:lang w:val="es-CO" w:eastAsia="en-GB"/>
        </w:rPr>
        <w:t>veredales</w:t>
      </w:r>
      <w:r w:rsidR="0057579C" w:rsidRPr="00044745">
        <w:rPr>
          <w:noProof/>
          <w:lang w:val="es-CO" w:eastAsia="en-GB"/>
        </w:rPr>
        <w:t xml:space="preserve"> transitorias de normalización</w:t>
      </w:r>
      <w:r w:rsidR="00D2087B" w:rsidRPr="00044745">
        <w:rPr>
          <w:noProof/>
          <w:lang w:val="es-CO" w:eastAsia="en-GB"/>
        </w:rPr>
        <w:t xml:space="preserve"> donde se concentron los combatientes para iniciar el proceso de desmovilización. Esta situación puede haber llevado a que algunos exmiembros de las FARC-EP abandonaran estos lugares</w:t>
      </w:r>
      <w:r w:rsidR="00236F9D">
        <w:rPr>
          <w:noProof/>
          <w:lang w:val="es-CO" w:eastAsia="en-GB"/>
        </w:rPr>
        <w:t>.</w:t>
      </w:r>
      <w:r w:rsidR="000025B1">
        <w:rPr>
          <w:noProof/>
          <w:lang w:val="es-CO" w:eastAsia="en-GB"/>
        </w:rPr>
        <w:t xml:space="preserve"> </w:t>
      </w:r>
      <w:r w:rsidR="0042197A">
        <w:rPr>
          <w:noProof/>
          <w:lang w:val="es-CO" w:eastAsia="en-GB"/>
        </w:rPr>
        <w:t>O</w:t>
      </w:r>
      <w:r w:rsidR="00D2087B" w:rsidRPr="00044745">
        <w:rPr>
          <w:noProof/>
          <w:lang w:val="es-CO" w:eastAsia="en-GB"/>
        </w:rPr>
        <w:t xml:space="preserve">ACNUDH </w:t>
      </w:r>
      <w:r w:rsidR="00575A4B">
        <w:rPr>
          <w:noProof/>
          <w:lang w:val="es-CO" w:eastAsia="en-GB"/>
        </w:rPr>
        <w:t xml:space="preserve">observó sobrecostos </w:t>
      </w:r>
      <w:r w:rsidR="00236F9D">
        <w:rPr>
          <w:noProof/>
          <w:lang w:val="es-CO" w:eastAsia="en-GB"/>
        </w:rPr>
        <w:t>de alimentos y demoras en la co</w:t>
      </w:r>
      <w:r w:rsidR="00575A4B">
        <w:rPr>
          <w:noProof/>
          <w:lang w:val="es-CO" w:eastAsia="en-GB"/>
        </w:rPr>
        <w:t>n</w:t>
      </w:r>
      <w:r w:rsidR="00236F9D">
        <w:rPr>
          <w:noProof/>
          <w:lang w:val="es-CO" w:eastAsia="en-GB"/>
        </w:rPr>
        <w:t>s</w:t>
      </w:r>
      <w:r w:rsidR="00575A4B">
        <w:rPr>
          <w:noProof/>
          <w:lang w:val="es-CO" w:eastAsia="en-GB"/>
        </w:rPr>
        <w:t>trucción de infraestructura en algunas de las Zonas.</w:t>
      </w:r>
      <w:r w:rsidR="00D2087B" w:rsidRPr="00044745">
        <w:rPr>
          <w:noProof/>
          <w:lang w:val="es-CO" w:eastAsia="en-GB"/>
        </w:rPr>
        <w:t xml:space="preserve"> Dada la centralización de </w:t>
      </w:r>
      <w:r w:rsidR="00575A4B">
        <w:rPr>
          <w:noProof/>
          <w:lang w:val="es-CO" w:eastAsia="en-GB"/>
        </w:rPr>
        <w:t xml:space="preserve">los </w:t>
      </w:r>
      <w:r w:rsidR="00D2087B" w:rsidRPr="00044745">
        <w:rPr>
          <w:noProof/>
          <w:lang w:val="es-CO" w:eastAsia="en-GB"/>
        </w:rPr>
        <w:t xml:space="preserve"> contratos, las </w:t>
      </w:r>
      <w:r w:rsidR="00A327B0">
        <w:rPr>
          <w:noProof/>
          <w:lang w:val="es-CO" w:eastAsia="en-GB"/>
        </w:rPr>
        <w:t>Z</w:t>
      </w:r>
      <w:r w:rsidR="00A327B0" w:rsidRPr="00044745">
        <w:rPr>
          <w:noProof/>
          <w:lang w:val="es-CO" w:eastAsia="en-GB"/>
        </w:rPr>
        <w:t xml:space="preserve">onas </w:t>
      </w:r>
      <w:r w:rsidR="00D2087B" w:rsidRPr="00044745">
        <w:rPr>
          <w:noProof/>
          <w:lang w:val="es-CO" w:eastAsia="en-GB"/>
        </w:rPr>
        <w:t xml:space="preserve">no </w:t>
      </w:r>
      <w:r w:rsidR="00C060D7">
        <w:rPr>
          <w:noProof/>
          <w:lang w:val="es-CO" w:eastAsia="en-GB"/>
        </w:rPr>
        <w:t xml:space="preserve">generaron </w:t>
      </w:r>
      <w:r w:rsidR="00D2087B" w:rsidRPr="00044745">
        <w:rPr>
          <w:noProof/>
          <w:lang w:val="es-CO" w:eastAsia="en-GB"/>
        </w:rPr>
        <w:t xml:space="preserve"> el impacto e</w:t>
      </w:r>
      <w:r w:rsidR="000025B1">
        <w:rPr>
          <w:noProof/>
          <w:lang w:val="es-CO" w:eastAsia="en-GB"/>
        </w:rPr>
        <w:t>conómico positivo esperado</w:t>
      </w:r>
      <w:r w:rsidR="00C060D7">
        <w:rPr>
          <w:noProof/>
          <w:lang w:val="es-CO" w:eastAsia="en-GB"/>
        </w:rPr>
        <w:t xml:space="preserve"> para las comunidades rurales </w:t>
      </w:r>
      <w:r w:rsidR="000025B1">
        <w:rPr>
          <w:noProof/>
          <w:lang w:val="es-CO" w:eastAsia="en-GB"/>
        </w:rPr>
        <w:t xml:space="preserve"> </w:t>
      </w:r>
      <w:r w:rsidR="00C060D7">
        <w:rPr>
          <w:noProof/>
          <w:lang w:val="es-CO" w:eastAsia="en-GB"/>
        </w:rPr>
        <w:t xml:space="preserve">a través de </w:t>
      </w:r>
      <w:r w:rsidR="00D2087B" w:rsidRPr="00044745">
        <w:rPr>
          <w:noProof/>
          <w:lang w:val="es-CO" w:eastAsia="en-GB"/>
        </w:rPr>
        <w:t xml:space="preserve">la contratación local </w:t>
      </w:r>
      <w:r w:rsidR="000025B1">
        <w:rPr>
          <w:noProof/>
          <w:lang w:val="es-CO" w:eastAsia="en-GB"/>
        </w:rPr>
        <w:t>, como está previsto en el A</w:t>
      </w:r>
      <w:r w:rsidR="00D2087B" w:rsidRPr="00044745">
        <w:rPr>
          <w:noProof/>
          <w:lang w:val="es-CO" w:eastAsia="en-GB"/>
        </w:rPr>
        <w:t>cuerdo.</w:t>
      </w:r>
      <w:r w:rsidRPr="00044745">
        <w:rPr>
          <w:noProof/>
          <w:lang w:val="es-CO" w:eastAsia="en-GB"/>
        </w:rPr>
        <w:t xml:space="preserve">  </w:t>
      </w:r>
    </w:p>
    <w:p w14:paraId="604CBF45" w14:textId="24577E13" w:rsidR="00D2087B" w:rsidRPr="00044745" w:rsidRDefault="00FD6616" w:rsidP="001544A7">
      <w:pPr>
        <w:pStyle w:val="SingleTxtG"/>
        <w:rPr>
          <w:noProof/>
          <w:lang w:val="es-CO" w:eastAsia="en-GB"/>
        </w:rPr>
      </w:pPr>
      <w:r w:rsidRPr="00044745">
        <w:rPr>
          <w:noProof/>
          <w:lang w:val="es-CO" w:eastAsia="en-GB"/>
        </w:rPr>
        <w:t>25</w:t>
      </w:r>
      <w:r w:rsidR="001544A7" w:rsidRPr="00044745">
        <w:rPr>
          <w:noProof/>
          <w:lang w:val="es-CO" w:eastAsia="en-GB"/>
        </w:rPr>
        <w:t>.</w:t>
      </w:r>
      <w:r w:rsidR="001544A7" w:rsidRPr="00044745">
        <w:rPr>
          <w:noProof/>
          <w:lang w:val="es-CO" w:eastAsia="en-GB"/>
        </w:rPr>
        <w:tab/>
      </w:r>
      <w:r w:rsidR="0072218C" w:rsidRPr="00044745">
        <w:rPr>
          <w:noProof/>
          <w:lang w:val="es-CO" w:eastAsia="en-GB"/>
        </w:rPr>
        <w:t>La reintegración de excombatientes en las zonas rurales es un gran desafío debido a la pobreza multidimensional, el difícil acceso a la salud y</w:t>
      </w:r>
      <w:r w:rsidR="00A327B0">
        <w:rPr>
          <w:noProof/>
          <w:lang w:val="es-CO" w:eastAsia="en-GB"/>
        </w:rPr>
        <w:t xml:space="preserve"> a</w:t>
      </w:r>
      <w:r w:rsidR="0072218C" w:rsidRPr="00044745">
        <w:rPr>
          <w:noProof/>
          <w:lang w:val="es-CO" w:eastAsia="en-GB"/>
        </w:rPr>
        <w:t xml:space="preserve"> la educación, las economías ilícitas y la violencia endémica en el 96 por ciento de las áreas cercanas a las </w:t>
      </w:r>
      <w:r w:rsidR="00C060D7">
        <w:rPr>
          <w:noProof/>
          <w:lang w:val="es-CO" w:eastAsia="en-GB"/>
        </w:rPr>
        <w:t>Z</w:t>
      </w:r>
      <w:r w:rsidR="0072218C" w:rsidRPr="00044745">
        <w:rPr>
          <w:noProof/>
          <w:lang w:val="es-CO" w:eastAsia="en-GB"/>
        </w:rPr>
        <w:t>onas. Según el censo socioeconómico de las FARC-EP realizado por la Universidad Nacional de Colombia, uno de los principales desafíos en el proceso de reintegración es la salud, puesto que el 33 por cient</w:t>
      </w:r>
      <w:r w:rsidR="009B38AE">
        <w:rPr>
          <w:noProof/>
          <w:lang w:val="es-CO" w:eastAsia="en-GB"/>
        </w:rPr>
        <w:t>o</w:t>
      </w:r>
      <w:r w:rsidR="0072218C" w:rsidRPr="00044745">
        <w:rPr>
          <w:noProof/>
          <w:lang w:val="es-CO" w:eastAsia="en-GB"/>
        </w:rPr>
        <w:t xml:space="preserve"> de los encuestados (3.305 individuos) </w:t>
      </w:r>
      <w:r w:rsidR="00EF72B7" w:rsidRPr="00044745">
        <w:rPr>
          <w:noProof/>
          <w:lang w:val="es-CO" w:eastAsia="en-GB"/>
        </w:rPr>
        <w:t xml:space="preserve">indicó tener una discapacidad por causa del conflicto. </w:t>
      </w:r>
    </w:p>
    <w:p w14:paraId="7B529600" w14:textId="48C97964" w:rsidR="00EF72B7" w:rsidRPr="00044745" w:rsidRDefault="00822A00" w:rsidP="001544A7">
      <w:pPr>
        <w:pStyle w:val="SingleTxtG"/>
        <w:rPr>
          <w:noProof/>
          <w:lang w:val="es-CO" w:eastAsia="en-GB"/>
        </w:rPr>
      </w:pPr>
      <w:r w:rsidRPr="00044745">
        <w:rPr>
          <w:noProof/>
          <w:lang w:val="es-CO" w:eastAsia="en-GB"/>
        </w:rPr>
        <w:t>26</w:t>
      </w:r>
      <w:r w:rsidR="001544A7" w:rsidRPr="00044745">
        <w:rPr>
          <w:noProof/>
          <w:lang w:val="es-CO" w:eastAsia="en-GB"/>
        </w:rPr>
        <w:t>.</w:t>
      </w:r>
      <w:r w:rsidR="001544A7" w:rsidRPr="00044745">
        <w:rPr>
          <w:noProof/>
          <w:lang w:val="es-CO" w:eastAsia="en-GB"/>
        </w:rPr>
        <w:tab/>
      </w:r>
      <w:r w:rsidR="005063E9">
        <w:rPr>
          <w:noProof/>
          <w:lang w:val="es-CO" w:eastAsia="en-GB"/>
        </w:rPr>
        <w:t xml:space="preserve">La </w:t>
      </w:r>
      <w:r w:rsidR="00E15F89" w:rsidRPr="00044745">
        <w:rPr>
          <w:noProof/>
          <w:lang w:val="es-CO" w:eastAsia="en-GB"/>
        </w:rPr>
        <w:t xml:space="preserve"> </w:t>
      </w:r>
      <w:r w:rsidR="009B38AE">
        <w:rPr>
          <w:noProof/>
          <w:lang w:val="es-CO" w:eastAsia="en-GB"/>
        </w:rPr>
        <w:t>O</w:t>
      </w:r>
      <w:r w:rsidR="00EF72B7" w:rsidRPr="00044745">
        <w:rPr>
          <w:noProof/>
          <w:lang w:val="es-CO" w:eastAsia="en-GB"/>
        </w:rPr>
        <w:t xml:space="preserve">ACNUDH resalta la importancia de acelerar la implementación de los programas de reintegración previstos en el </w:t>
      </w:r>
      <w:r w:rsidR="00C060D7">
        <w:rPr>
          <w:noProof/>
          <w:lang w:val="es-CO" w:eastAsia="en-GB"/>
        </w:rPr>
        <w:t>A</w:t>
      </w:r>
      <w:r w:rsidR="00EF72B7" w:rsidRPr="00044745">
        <w:rPr>
          <w:noProof/>
          <w:lang w:val="es-CO" w:eastAsia="en-GB"/>
        </w:rPr>
        <w:t>cuerdo,</w:t>
      </w:r>
      <w:r w:rsidR="00F50A85">
        <w:rPr>
          <w:noProof/>
          <w:lang w:val="es-CO" w:eastAsia="en-GB"/>
        </w:rPr>
        <w:t xml:space="preserve"> </w:t>
      </w:r>
      <w:r w:rsidR="00C060D7">
        <w:rPr>
          <w:noProof/>
          <w:lang w:val="es-CO" w:eastAsia="en-GB"/>
        </w:rPr>
        <w:t>incluyendo una implementación desde</w:t>
      </w:r>
      <w:r w:rsidR="00EF72B7" w:rsidRPr="00044745">
        <w:rPr>
          <w:noProof/>
          <w:lang w:val="es-CO" w:eastAsia="en-GB"/>
        </w:rPr>
        <w:t xml:space="preserve"> la perspectiva étnica y </w:t>
      </w:r>
      <w:r w:rsidR="000025B1">
        <w:rPr>
          <w:noProof/>
          <w:lang w:val="es-CO" w:eastAsia="en-GB"/>
        </w:rPr>
        <w:t xml:space="preserve">con </w:t>
      </w:r>
      <w:r w:rsidR="00EF72B7" w:rsidRPr="00044745">
        <w:rPr>
          <w:noProof/>
          <w:lang w:val="es-CO" w:eastAsia="en-GB"/>
        </w:rPr>
        <w:t>enfoque de género,</w:t>
      </w:r>
      <w:r w:rsidR="00C060D7">
        <w:rPr>
          <w:noProof/>
          <w:lang w:val="es-CO" w:eastAsia="en-GB"/>
        </w:rPr>
        <w:t xml:space="preserve"> y</w:t>
      </w:r>
      <w:r w:rsidR="00EF72B7" w:rsidRPr="00044745">
        <w:rPr>
          <w:noProof/>
          <w:lang w:val="es-CO" w:eastAsia="en-GB"/>
        </w:rPr>
        <w:t xml:space="preserve"> t</w:t>
      </w:r>
      <w:r w:rsidR="009A6953">
        <w:rPr>
          <w:noProof/>
          <w:lang w:val="es-CO" w:eastAsia="en-GB"/>
        </w:rPr>
        <w:t>eniendo</w:t>
      </w:r>
      <w:r w:rsidR="00EF72B7" w:rsidRPr="00044745">
        <w:rPr>
          <w:noProof/>
          <w:lang w:val="es-CO" w:eastAsia="en-GB"/>
        </w:rPr>
        <w:t xml:space="preserve"> en cuenta las condiciones específicas de los habitantes de las zonas rurales. Los excombatientes </w:t>
      </w:r>
      <w:r w:rsidR="00C060D7">
        <w:rPr>
          <w:noProof/>
          <w:lang w:val="es-CO" w:eastAsia="en-GB"/>
        </w:rPr>
        <w:t>podr</w:t>
      </w:r>
      <w:r w:rsidR="00F50A85">
        <w:rPr>
          <w:noProof/>
          <w:lang w:val="es-CO" w:eastAsia="en-GB"/>
        </w:rPr>
        <w:t>ía</w:t>
      </w:r>
      <w:r w:rsidR="00C060D7">
        <w:rPr>
          <w:noProof/>
          <w:lang w:val="es-CO" w:eastAsia="en-GB"/>
        </w:rPr>
        <w:t xml:space="preserve">n </w:t>
      </w:r>
      <w:r w:rsidR="00EF72B7" w:rsidRPr="00044745">
        <w:rPr>
          <w:noProof/>
          <w:lang w:val="es-CO" w:eastAsia="en-GB"/>
        </w:rPr>
        <w:t xml:space="preserve"> reintegrarse a l</w:t>
      </w:r>
      <w:r w:rsidR="001411A1" w:rsidRPr="00044745">
        <w:rPr>
          <w:noProof/>
          <w:lang w:val="es-CO" w:eastAsia="en-GB"/>
        </w:rPr>
        <w:t>a</w:t>
      </w:r>
      <w:r w:rsidR="00EF72B7" w:rsidRPr="00044745">
        <w:rPr>
          <w:noProof/>
          <w:lang w:val="es-CO" w:eastAsia="en-GB"/>
        </w:rPr>
        <w:t xml:space="preserve"> sociedad realizando trabajos o actividades </w:t>
      </w:r>
      <w:r w:rsidR="009A6953">
        <w:rPr>
          <w:noProof/>
          <w:lang w:val="es-CO" w:eastAsia="en-GB"/>
        </w:rPr>
        <w:t xml:space="preserve">de </w:t>
      </w:r>
      <w:r w:rsidR="00EF72B7" w:rsidRPr="00044745">
        <w:rPr>
          <w:noProof/>
          <w:lang w:val="es-CO" w:eastAsia="en-GB"/>
        </w:rPr>
        <w:t xml:space="preserve">guardabosques, </w:t>
      </w:r>
      <w:r w:rsidR="001411A1" w:rsidRPr="00044745">
        <w:rPr>
          <w:noProof/>
          <w:lang w:val="es-CO" w:eastAsia="en-GB"/>
        </w:rPr>
        <w:t xml:space="preserve">de </w:t>
      </w:r>
      <w:r w:rsidR="00EF72B7" w:rsidRPr="00044745">
        <w:rPr>
          <w:noProof/>
          <w:lang w:val="es-CO" w:eastAsia="en-GB"/>
        </w:rPr>
        <w:t xml:space="preserve">apoyo logístico para la productividad y </w:t>
      </w:r>
      <w:r w:rsidR="001411A1" w:rsidRPr="00044745">
        <w:rPr>
          <w:noProof/>
          <w:lang w:val="es-CO" w:eastAsia="en-GB"/>
        </w:rPr>
        <w:t>de atención médica básica. Un</w:t>
      </w:r>
      <w:r w:rsidR="009A6953">
        <w:rPr>
          <w:noProof/>
          <w:lang w:val="es-CO" w:eastAsia="en-GB"/>
        </w:rPr>
        <w:t>a</w:t>
      </w:r>
      <w:r w:rsidR="001411A1" w:rsidRPr="00044745">
        <w:rPr>
          <w:noProof/>
          <w:lang w:val="es-CO" w:eastAsia="en-GB"/>
        </w:rPr>
        <w:t xml:space="preserve"> reintegración exitosa es clave</w:t>
      </w:r>
      <w:r w:rsidR="00C060D7">
        <w:rPr>
          <w:noProof/>
          <w:lang w:val="es-CO" w:eastAsia="en-GB"/>
        </w:rPr>
        <w:t xml:space="preserve"> tanto</w:t>
      </w:r>
      <w:r w:rsidR="001411A1" w:rsidRPr="00044745">
        <w:rPr>
          <w:noProof/>
          <w:lang w:val="es-CO" w:eastAsia="en-GB"/>
        </w:rPr>
        <w:t xml:space="preserve"> para evitar que los excombatientes participen en actividades ilegales </w:t>
      </w:r>
      <w:r w:rsidR="003E4AB0">
        <w:rPr>
          <w:noProof/>
          <w:lang w:val="es-CO" w:eastAsia="en-GB"/>
        </w:rPr>
        <w:t>como</w:t>
      </w:r>
      <w:r w:rsidR="001411A1" w:rsidRPr="00044745">
        <w:rPr>
          <w:noProof/>
          <w:lang w:val="es-CO" w:eastAsia="en-GB"/>
        </w:rPr>
        <w:t xml:space="preserve"> para</w:t>
      </w:r>
      <w:r w:rsidR="009A6953">
        <w:rPr>
          <w:noProof/>
          <w:lang w:val="es-CO" w:eastAsia="en-GB"/>
        </w:rPr>
        <w:t xml:space="preserve"> impulsar</w:t>
      </w:r>
      <w:r w:rsidR="003165F5" w:rsidRPr="00044745">
        <w:rPr>
          <w:noProof/>
          <w:lang w:val="es-CO" w:eastAsia="en-GB"/>
        </w:rPr>
        <w:t xml:space="preserve"> el regreso de quienes abandonaron el proceso de reintegración.  </w:t>
      </w:r>
    </w:p>
    <w:p w14:paraId="2A517955" w14:textId="7B247414" w:rsidR="003165F5" w:rsidRPr="00044745" w:rsidRDefault="00822A00" w:rsidP="00C76DDC">
      <w:pPr>
        <w:pStyle w:val="SingleTxtG"/>
        <w:rPr>
          <w:noProof/>
          <w:lang w:val="es-CO" w:eastAsia="en-GB"/>
        </w:rPr>
      </w:pPr>
      <w:r w:rsidRPr="00044745">
        <w:rPr>
          <w:noProof/>
          <w:lang w:val="es-CO" w:eastAsia="en-GB"/>
        </w:rPr>
        <w:t>27</w:t>
      </w:r>
      <w:r w:rsidR="001544A7" w:rsidRPr="00044745">
        <w:rPr>
          <w:noProof/>
          <w:lang w:val="es-CO" w:eastAsia="en-GB"/>
        </w:rPr>
        <w:t>.</w:t>
      </w:r>
      <w:r w:rsidR="001544A7" w:rsidRPr="00044745">
        <w:rPr>
          <w:noProof/>
          <w:lang w:val="es-CO" w:eastAsia="en-GB"/>
        </w:rPr>
        <w:tab/>
      </w:r>
      <w:r w:rsidR="003165F5" w:rsidRPr="00044745">
        <w:rPr>
          <w:noProof/>
          <w:lang w:val="es-CO" w:eastAsia="en-GB"/>
        </w:rPr>
        <w:t xml:space="preserve">Los grupos armados ilegales y </w:t>
      </w:r>
      <w:r w:rsidR="000435BC">
        <w:rPr>
          <w:noProof/>
          <w:lang w:val="es-CO" w:eastAsia="en-GB"/>
        </w:rPr>
        <w:t xml:space="preserve">grupos criminales </w:t>
      </w:r>
      <w:r w:rsidR="003165F5" w:rsidRPr="00044745">
        <w:rPr>
          <w:noProof/>
          <w:lang w:val="es-CO" w:eastAsia="en-GB"/>
        </w:rPr>
        <w:t xml:space="preserve"> que han ingresado a las </w:t>
      </w:r>
      <w:r w:rsidR="003E50D5" w:rsidRPr="00044745">
        <w:rPr>
          <w:noProof/>
          <w:lang w:val="es-CO" w:eastAsia="en-GB"/>
        </w:rPr>
        <w:t xml:space="preserve">antiguas </w:t>
      </w:r>
      <w:r w:rsidR="003165F5" w:rsidRPr="00044745">
        <w:rPr>
          <w:noProof/>
          <w:lang w:val="es-CO" w:eastAsia="en-GB"/>
        </w:rPr>
        <w:t xml:space="preserve">zonas </w:t>
      </w:r>
      <w:r w:rsidR="003E50D5" w:rsidRPr="00044745">
        <w:rPr>
          <w:noProof/>
          <w:lang w:val="es-CO" w:eastAsia="en-GB"/>
        </w:rPr>
        <w:t xml:space="preserve">de influencia </w:t>
      </w:r>
      <w:r w:rsidR="003165F5" w:rsidRPr="00044745">
        <w:rPr>
          <w:noProof/>
          <w:lang w:val="es-CO" w:eastAsia="en-GB"/>
        </w:rPr>
        <w:t xml:space="preserve">de las FARC-EP han generado violencia en las comunidades rurales y constituyen una potencial amenaza </w:t>
      </w:r>
      <w:r w:rsidR="009A6953">
        <w:rPr>
          <w:noProof/>
          <w:lang w:val="es-CO" w:eastAsia="en-GB"/>
        </w:rPr>
        <w:t>par</w:t>
      </w:r>
      <w:r w:rsidR="003165F5" w:rsidRPr="00044745">
        <w:rPr>
          <w:noProof/>
          <w:lang w:val="es-CO" w:eastAsia="en-GB"/>
        </w:rPr>
        <w:t>a los exmiembros de las FAR</w:t>
      </w:r>
      <w:r w:rsidR="009A6953">
        <w:rPr>
          <w:noProof/>
          <w:lang w:val="es-CO" w:eastAsia="en-GB"/>
        </w:rPr>
        <w:t>C-EP que participarán en los próx</w:t>
      </w:r>
      <w:r w:rsidR="003165F5" w:rsidRPr="00044745">
        <w:rPr>
          <w:noProof/>
          <w:lang w:val="es-CO" w:eastAsia="en-GB"/>
        </w:rPr>
        <w:t xml:space="preserve">imos comicios electorales. </w:t>
      </w:r>
      <w:r w:rsidR="00A143A1" w:rsidRPr="00044745">
        <w:rPr>
          <w:noProof/>
          <w:lang w:val="es-CO" w:eastAsia="en-GB"/>
        </w:rPr>
        <w:t xml:space="preserve">Algunos sectores de la sociedad </w:t>
      </w:r>
      <w:r w:rsidR="00180EE1">
        <w:rPr>
          <w:noProof/>
          <w:lang w:val="es-CO" w:eastAsia="en-GB"/>
        </w:rPr>
        <w:t xml:space="preserve">se rehusan a aceptar </w:t>
      </w:r>
      <w:r w:rsidR="00A143A1" w:rsidRPr="009A6953">
        <w:rPr>
          <w:noProof/>
          <w:lang w:val="es-CO" w:eastAsia="en-GB"/>
        </w:rPr>
        <w:t xml:space="preserve"> a los</w:t>
      </w:r>
      <w:r w:rsidR="00A143A1" w:rsidRPr="00044745">
        <w:rPr>
          <w:noProof/>
          <w:lang w:val="es-CO" w:eastAsia="en-GB"/>
        </w:rPr>
        <w:t xml:space="preserve"> desmovilizados de las FARC-EP, especialmente aquellos que están en el ámbito político, lo cual ha demorado y dif</w:t>
      </w:r>
      <w:r w:rsidR="009A6953">
        <w:rPr>
          <w:noProof/>
          <w:lang w:val="es-CO" w:eastAsia="en-GB"/>
        </w:rPr>
        <w:t>icultado la implementación del A</w:t>
      </w:r>
      <w:r w:rsidR="00A143A1" w:rsidRPr="00044745">
        <w:rPr>
          <w:noProof/>
          <w:lang w:val="es-CO" w:eastAsia="en-GB"/>
        </w:rPr>
        <w:t xml:space="preserve">cuerdo, especialmente en relación con su participación política. </w:t>
      </w:r>
      <w:r w:rsidR="00C060D7">
        <w:rPr>
          <w:noProof/>
          <w:lang w:val="es-CO" w:eastAsia="en-GB"/>
        </w:rPr>
        <w:t xml:space="preserve">La </w:t>
      </w:r>
      <w:r w:rsidR="009A6953">
        <w:rPr>
          <w:noProof/>
          <w:lang w:val="es-CO" w:eastAsia="en-GB"/>
        </w:rPr>
        <w:t xml:space="preserve"> </w:t>
      </w:r>
      <w:r w:rsidR="009B38AE">
        <w:rPr>
          <w:noProof/>
          <w:lang w:val="es-CO" w:eastAsia="en-GB"/>
        </w:rPr>
        <w:t>O</w:t>
      </w:r>
      <w:r w:rsidR="00A143A1" w:rsidRPr="00044745">
        <w:rPr>
          <w:noProof/>
          <w:lang w:val="es-CO" w:eastAsia="en-GB"/>
        </w:rPr>
        <w:t>ACNUDH recibió información sobre el asesinato de al menos 36 exmiembros de las FARC-EP en 2017. Preocupa</w:t>
      </w:r>
      <w:r w:rsidR="009B38AE">
        <w:rPr>
          <w:noProof/>
          <w:lang w:val="es-CO" w:eastAsia="en-GB"/>
        </w:rPr>
        <w:t>n</w:t>
      </w:r>
      <w:r w:rsidR="00A143A1" w:rsidRPr="00044745">
        <w:rPr>
          <w:noProof/>
          <w:lang w:val="es-CO" w:eastAsia="en-GB"/>
        </w:rPr>
        <w:t xml:space="preserve"> los limitados avances en las garantías de seguridad para la participación po</w:t>
      </w:r>
      <w:r w:rsidR="009A6953">
        <w:rPr>
          <w:noProof/>
          <w:lang w:val="es-CO" w:eastAsia="en-GB"/>
        </w:rPr>
        <w:t xml:space="preserve">lítica de las FARC-EP </w:t>
      </w:r>
      <w:r w:rsidR="00981ED8">
        <w:rPr>
          <w:noProof/>
          <w:lang w:val="es-CO" w:eastAsia="en-GB"/>
        </w:rPr>
        <w:t xml:space="preserve">que están </w:t>
      </w:r>
      <w:r w:rsidR="009A6953">
        <w:rPr>
          <w:noProof/>
          <w:lang w:val="es-CO" w:eastAsia="en-GB"/>
        </w:rPr>
        <w:lastRenderedPageBreak/>
        <w:t>contempladas en el A</w:t>
      </w:r>
      <w:r w:rsidR="00A143A1" w:rsidRPr="00044745">
        <w:rPr>
          <w:noProof/>
          <w:lang w:val="es-CO" w:eastAsia="en-GB"/>
        </w:rPr>
        <w:t xml:space="preserve">cuerdo. </w:t>
      </w:r>
      <w:r w:rsidR="00A554D0" w:rsidRPr="00044745">
        <w:rPr>
          <w:noProof/>
          <w:lang w:val="es-CO" w:eastAsia="en-GB"/>
        </w:rPr>
        <w:t xml:space="preserve">El Programa Integral de Protección para organizaciones y comunidades rurales, que incluye a los exmiembros de las FARC-EP, </w:t>
      </w:r>
      <w:r w:rsidR="009A6953">
        <w:rPr>
          <w:noProof/>
          <w:lang w:val="es-CO" w:eastAsia="en-GB"/>
        </w:rPr>
        <w:t xml:space="preserve">aún </w:t>
      </w:r>
      <w:r w:rsidR="00A554D0" w:rsidRPr="00044745">
        <w:rPr>
          <w:noProof/>
          <w:lang w:val="es-CO" w:eastAsia="en-GB"/>
        </w:rPr>
        <w:t xml:space="preserve">no está </w:t>
      </w:r>
      <w:r w:rsidR="009A6953">
        <w:rPr>
          <w:noProof/>
          <w:lang w:val="es-CO" w:eastAsia="en-GB"/>
        </w:rPr>
        <w:t>completamente</w:t>
      </w:r>
      <w:r w:rsidR="00A554D0" w:rsidRPr="00044745">
        <w:rPr>
          <w:noProof/>
          <w:lang w:val="es-CO" w:eastAsia="en-GB"/>
        </w:rPr>
        <w:t xml:space="preserve"> operativo. Asímismo, no ha habido avances significativos en las transformaciones estructurales necesarias para mitigar el impacto de las organizaciones </w:t>
      </w:r>
      <w:r w:rsidR="009B38AE">
        <w:rPr>
          <w:noProof/>
          <w:lang w:val="es-CO" w:eastAsia="en-GB"/>
        </w:rPr>
        <w:t>criminales</w:t>
      </w:r>
      <w:r w:rsidR="003E4AB0">
        <w:rPr>
          <w:noProof/>
          <w:lang w:val="es-CO" w:eastAsia="en-GB"/>
        </w:rPr>
        <w:t xml:space="preserve"> </w:t>
      </w:r>
      <w:r w:rsidR="00A554D0" w:rsidRPr="00044745">
        <w:rPr>
          <w:noProof/>
          <w:lang w:val="es-CO" w:eastAsia="en-GB"/>
        </w:rPr>
        <w:t xml:space="preserve">en la política, como </w:t>
      </w:r>
      <w:r w:rsidR="00981ED8">
        <w:rPr>
          <w:noProof/>
          <w:lang w:val="es-CO" w:eastAsia="en-GB"/>
        </w:rPr>
        <w:t xml:space="preserve">en </w:t>
      </w:r>
      <w:r w:rsidR="00A554D0" w:rsidRPr="00044745">
        <w:rPr>
          <w:noProof/>
          <w:lang w:val="es-CO" w:eastAsia="en-GB"/>
        </w:rPr>
        <w:t xml:space="preserve">la transformación de las economías ilegales. </w:t>
      </w:r>
    </w:p>
    <w:p w14:paraId="12A88B1F" w14:textId="2F4648D2" w:rsidR="001544A7" w:rsidRPr="00044745" w:rsidRDefault="00A554D0" w:rsidP="00013D15">
      <w:pPr>
        <w:pStyle w:val="SingleTxtG"/>
        <w:rPr>
          <w:noProof/>
          <w:lang w:val="es-CO" w:eastAsia="en-GB"/>
        </w:rPr>
      </w:pPr>
      <w:r w:rsidRPr="00044745">
        <w:rPr>
          <w:noProof/>
          <w:lang w:val="es-CO" w:eastAsia="en-GB"/>
        </w:rPr>
        <w:t>2</w:t>
      </w:r>
      <w:r w:rsidR="00ED139F" w:rsidRPr="00044745">
        <w:rPr>
          <w:noProof/>
          <w:lang w:val="es-CO" w:eastAsia="en-GB"/>
        </w:rPr>
        <w:t>8</w:t>
      </w:r>
      <w:r w:rsidR="001544A7" w:rsidRPr="00044745">
        <w:rPr>
          <w:noProof/>
          <w:lang w:val="es-CO" w:eastAsia="en-GB"/>
        </w:rPr>
        <w:t>.</w:t>
      </w:r>
      <w:r w:rsidR="001544A7" w:rsidRPr="00044745">
        <w:rPr>
          <w:noProof/>
          <w:lang w:val="es-CO" w:eastAsia="en-GB"/>
        </w:rPr>
        <w:tab/>
      </w:r>
      <w:r w:rsidRPr="00044745">
        <w:rPr>
          <w:noProof/>
          <w:lang w:val="es-CO" w:eastAsia="en-GB"/>
        </w:rPr>
        <w:t xml:space="preserve">Los 160 miembros del Cuerpo de Seguridad y Protección que </w:t>
      </w:r>
      <w:r w:rsidR="009A6953">
        <w:rPr>
          <w:noProof/>
          <w:lang w:val="es-CO" w:eastAsia="en-GB"/>
        </w:rPr>
        <w:t>creó</w:t>
      </w:r>
      <w:r w:rsidRPr="00044745">
        <w:rPr>
          <w:noProof/>
          <w:lang w:val="es-CO" w:eastAsia="en-GB"/>
        </w:rPr>
        <w:t xml:space="preserve"> el </w:t>
      </w:r>
      <w:r w:rsidR="009A6953">
        <w:rPr>
          <w:noProof/>
          <w:lang w:val="es-CO" w:eastAsia="en-GB"/>
        </w:rPr>
        <w:t>A</w:t>
      </w:r>
      <w:r w:rsidRPr="00044745">
        <w:rPr>
          <w:noProof/>
          <w:lang w:val="es-CO" w:eastAsia="en-GB"/>
        </w:rPr>
        <w:t>cuerdo son combatientes desmozilizados de las FARC-EP y ha</w:t>
      </w:r>
      <w:r w:rsidR="009A6953">
        <w:rPr>
          <w:noProof/>
          <w:lang w:val="es-CO" w:eastAsia="en-GB"/>
        </w:rPr>
        <w:t>n</w:t>
      </w:r>
      <w:r w:rsidRPr="00044745">
        <w:rPr>
          <w:noProof/>
          <w:lang w:val="es-CO" w:eastAsia="en-GB"/>
        </w:rPr>
        <w:t xml:space="preserve"> comenzado a brindar protección </w:t>
      </w:r>
      <w:r w:rsidR="009A6953">
        <w:rPr>
          <w:noProof/>
          <w:lang w:val="es-CO" w:eastAsia="en-GB"/>
        </w:rPr>
        <w:t>a</w:t>
      </w:r>
      <w:r w:rsidRPr="00044745">
        <w:rPr>
          <w:noProof/>
          <w:lang w:val="es-CO" w:eastAsia="en-GB"/>
        </w:rPr>
        <w:t>l nuevo partido político FARC. Si bien este programa de reintegración es un ejemplo</w:t>
      </w:r>
      <w:r w:rsidR="009A6953">
        <w:rPr>
          <w:noProof/>
          <w:lang w:val="es-CO" w:eastAsia="en-GB"/>
        </w:rPr>
        <w:t xml:space="preserve"> </w:t>
      </w:r>
      <w:r w:rsidRPr="00044745">
        <w:rPr>
          <w:noProof/>
          <w:lang w:val="es-CO" w:eastAsia="en-GB"/>
        </w:rPr>
        <w:t>c</w:t>
      </w:r>
      <w:r w:rsidR="004F1EBA">
        <w:rPr>
          <w:noProof/>
          <w:lang w:val="es-CO" w:eastAsia="en-GB"/>
        </w:rPr>
        <w:t>oncreto de lo que se puede</w:t>
      </w:r>
      <w:r w:rsidRPr="00044745">
        <w:rPr>
          <w:noProof/>
          <w:lang w:val="es-CO" w:eastAsia="en-GB"/>
        </w:rPr>
        <w:t xml:space="preserve"> lograr en términos de reintegración, se supon</w:t>
      </w:r>
      <w:r w:rsidR="009B38AE">
        <w:rPr>
          <w:noProof/>
          <w:lang w:val="es-CO" w:eastAsia="en-GB"/>
        </w:rPr>
        <w:t>ía</w:t>
      </w:r>
      <w:r w:rsidRPr="00044745">
        <w:rPr>
          <w:noProof/>
          <w:lang w:val="es-CO" w:eastAsia="en-GB"/>
        </w:rPr>
        <w:t xml:space="preserve"> que </w:t>
      </w:r>
      <w:r w:rsidR="00013D15" w:rsidRPr="00044745">
        <w:rPr>
          <w:noProof/>
          <w:lang w:val="es-CO" w:eastAsia="en-GB"/>
        </w:rPr>
        <w:t xml:space="preserve">un número </w:t>
      </w:r>
      <w:r w:rsidR="00107864">
        <w:rPr>
          <w:noProof/>
          <w:lang w:val="es-CO" w:eastAsia="en-GB"/>
        </w:rPr>
        <w:t>mayor</w:t>
      </w:r>
      <w:r w:rsidR="00013D15" w:rsidRPr="00044745">
        <w:rPr>
          <w:noProof/>
          <w:lang w:val="es-CO" w:eastAsia="en-GB"/>
        </w:rPr>
        <w:t xml:space="preserve"> de miembros desmovilizados de las FARC-EP </w:t>
      </w:r>
      <w:r w:rsidR="00BA3592">
        <w:rPr>
          <w:noProof/>
          <w:lang w:val="es-CO" w:eastAsia="en-GB"/>
        </w:rPr>
        <w:t>lo</w:t>
      </w:r>
      <w:r w:rsidR="00013D15" w:rsidRPr="00044745">
        <w:rPr>
          <w:noProof/>
          <w:lang w:val="es-CO" w:eastAsia="en-GB"/>
        </w:rPr>
        <w:t xml:space="preserve"> integrarían.</w:t>
      </w:r>
      <w:r w:rsidR="001544A7" w:rsidRPr="00044745">
        <w:rPr>
          <w:noProof/>
          <w:lang w:val="es-CO" w:eastAsia="en-GB"/>
        </w:rPr>
        <w:t xml:space="preserve">   </w:t>
      </w:r>
    </w:p>
    <w:p w14:paraId="66EDE48C" w14:textId="3009DC92" w:rsidR="00BB3747" w:rsidRPr="00044745" w:rsidRDefault="00ED139F" w:rsidP="00013D15">
      <w:pPr>
        <w:pStyle w:val="SingleTxtG"/>
        <w:rPr>
          <w:noProof/>
          <w:lang w:val="es-CO" w:eastAsia="en-GB"/>
        </w:rPr>
      </w:pPr>
      <w:r w:rsidRPr="00044745">
        <w:rPr>
          <w:noProof/>
          <w:lang w:val="es-CO" w:eastAsia="en-GB"/>
        </w:rPr>
        <w:t>29</w:t>
      </w:r>
      <w:r w:rsidR="007A5841" w:rsidRPr="00044745">
        <w:rPr>
          <w:noProof/>
          <w:lang w:val="es-CO" w:eastAsia="en-GB"/>
        </w:rPr>
        <w:t>.</w:t>
      </w:r>
      <w:r w:rsidR="007A5841" w:rsidRPr="00044745">
        <w:rPr>
          <w:noProof/>
          <w:lang w:val="es-CO" w:eastAsia="en-GB"/>
        </w:rPr>
        <w:tab/>
      </w:r>
      <w:r w:rsidR="00013D15" w:rsidRPr="00044745">
        <w:rPr>
          <w:noProof/>
          <w:lang w:val="es-CO" w:eastAsia="en-GB"/>
        </w:rPr>
        <w:t>La Defensoría de Pueblo señaló que</w:t>
      </w:r>
      <w:r w:rsidR="003E4AB0">
        <w:rPr>
          <w:noProof/>
          <w:lang w:val="es-CO" w:eastAsia="en-GB"/>
        </w:rPr>
        <w:t>,</w:t>
      </w:r>
      <w:r w:rsidR="00013D15" w:rsidRPr="00044745">
        <w:rPr>
          <w:noProof/>
          <w:lang w:val="es-CO" w:eastAsia="en-GB"/>
        </w:rPr>
        <w:t xml:space="preserve"> al 25 de octubre</w:t>
      </w:r>
      <w:r w:rsidR="003E4AB0">
        <w:rPr>
          <w:noProof/>
          <w:lang w:val="es-CO" w:eastAsia="en-GB"/>
        </w:rPr>
        <w:t>,</w:t>
      </w:r>
      <w:r w:rsidR="00013D15" w:rsidRPr="00044745">
        <w:rPr>
          <w:noProof/>
          <w:lang w:val="es-CO" w:eastAsia="en-GB"/>
        </w:rPr>
        <w:t xml:space="preserve"> 800 excombatientes de las FARC-EP, aproximadamente el 11 por ciento, habían formado </w:t>
      </w:r>
      <w:r w:rsidR="004F1EBA">
        <w:rPr>
          <w:noProof/>
          <w:lang w:val="es-CO" w:eastAsia="en-GB"/>
        </w:rPr>
        <w:t xml:space="preserve">o </w:t>
      </w:r>
      <w:r w:rsidR="00013D15" w:rsidRPr="00044745">
        <w:rPr>
          <w:noProof/>
          <w:lang w:val="es-CO" w:eastAsia="en-GB"/>
        </w:rPr>
        <w:t>habían ingresado a otro grupo armado ilegal o</w:t>
      </w:r>
      <w:r w:rsidR="00195D94" w:rsidRPr="00044745">
        <w:rPr>
          <w:noProof/>
          <w:lang w:val="es-CO" w:eastAsia="en-GB"/>
        </w:rPr>
        <w:t xml:space="preserve"> </w:t>
      </w:r>
      <w:r w:rsidR="00981ED8">
        <w:rPr>
          <w:noProof/>
          <w:lang w:val="es-CO" w:eastAsia="en-GB"/>
        </w:rPr>
        <w:t xml:space="preserve">criminal </w:t>
      </w:r>
      <w:r w:rsidR="007A5841" w:rsidRPr="00044745">
        <w:rPr>
          <w:noProof/>
          <w:lang w:val="es-CO" w:eastAsia="en-GB"/>
        </w:rPr>
        <w:t xml:space="preserve"> </w:t>
      </w:r>
    </w:p>
    <w:p w14:paraId="4F65C937" w14:textId="77777777" w:rsidR="001544A7" w:rsidRPr="00044745" w:rsidRDefault="00CB2A35" w:rsidP="00CB2A35">
      <w:pPr>
        <w:pStyle w:val="H23G"/>
        <w:rPr>
          <w:noProof/>
          <w:lang w:val="es-CO" w:eastAsia="en-GB"/>
        </w:rPr>
      </w:pPr>
      <w:bookmarkStart w:id="6" w:name="_Toc503550647"/>
      <w:r w:rsidRPr="00044745">
        <w:rPr>
          <w:i/>
          <w:noProof/>
          <w:lang w:val="es-CO" w:eastAsia="en-GB"/>
        </w:rPr>
        <w:tab/>
      </w:r>
      <w:r w:rsidRPr="00044745">
        <w:rPr>
          <w:noProof/>
          <w:lang w:val="es-CO" w:eastAsia="en-GB"/>
        </w:rPr>
        <w:t>2</w:t>
      </w:r>
      <w:r w:rsidRPr="00044745">
        <w:rPr>
          <w:i/>
          <w:noProof/>
          <w:lang w:val="es-CO" w:eastAsia="en-GB"/>
        </w:rPr>
        <w:t>.</w:t>
      </w:r>
      <w:r w:rsidR="001544A7" w:rsidRPr="00044745">
        <w:rPr>
          <w:i/>
          <w:noProof/>
          <w:lang w:val="es-CO" w:eastAsia="en-GB"/>
        </w:rPr>
        <w:tab/>
      </w:r>
      <w:r w:rsidR="00013D15" w:rsidRPr="00044745">
        <w:rPr>
          <w:noProof/>
          <w:lang w:val="es-CO" w:eastAsia="en-GB"/>
        </w:rPr>
        <w:t>Desvinculación de niños y niñas</w:t>
      </w:r>
      <w:bookmarkEnd w:id="6"/>
      <w:r w:rsidR="001544A7" w:rsidRPr="00044745">
        <w:rPr>
          <w:noProof/>
          <w:lang w:val="es-CO" w:eastAsia="en-GB"/>
        </w:rPr>
        <w:t xml:space="preserve"> </w:t>
      </w:r>
    </w:p>
    <w:p w14:paraId="0EE53493" w14:textId="4F2224DE" w:rsidR="00013D15" w:rsidRPr="00044745" w:rsidRDefault="00BB3747" w:rsidP="001544A7">
      <w:pPr>
        <w:pStyle w:val="SingleTxtG"/>
        <w:rPr>
          <w:noProof/>
          <w:lang w:val="es-CO" w:eastAsia="en-GB"/>
        </w:rPr>
      </w:pPr>
      <w:r w:rsidRPr="00044745">
        <w:rPr>
          <w:noProof/>
          <w:lang w:val="es-CO" w:eastAsia="en-GB"/>
        </w:rPr>
        <w:t>3</w:t>
      </w:r>
      <w:r w:rsidR="00ED139F" w:rsidRPr="00044745">
        <w:rPr>
          <w:noProof/>
          <w:lang w:val="es-CO" w:eastAsia="en-GB"/>
        </w:rPr>
        <w:t>0</w:t>
      </w:r>
      <w:r w:rsidR="001544A7" w:rsidRPr="00044745">
        <w:rPr>
          <w:noProof/>
          <w:lang w:val="es-CO" w:eastAsia="en-GB"/>
        </w:rPr>
        <w:t>.</w:t>
      </w:r>
      <w:r w:rsidR="001544A7" w:rsidRPr="00044745">
        <w:rPr>
          <w:noProof/>
          <w:lang w:val="es-CO" w:eastAsia="en-GB"/>
        </w:rPr>
        <w:tab/>
      </w:r>
      <w:r w:rsidR="004F1EBA">
        <w:rPr>
          <w:noProof/>
          <w:lang w:val="es-CO" w:eastAsia="en-GB"/>
        </w:rPr>
        <w:t>El A</w:t>
      </w:r>
      <w:r w:rsidR="00013D15" w:rsidRPr="00044745">
        <w:rPr>
          <w:noProof/>
          <w:lang w:val="es-CO" w:eastAsia="en-GB"/>
        </w:rPr>
        <w:t xml:space="preserve">cuerdo y el </w:t>
      </w:r>
      <w:r w:rsidR="003E4AB0">
        <w:rPr>
          <w:noProof/>
          <w:lang w:val="es-CO" w:eastAsia="en-GB"/>
        </w:rPr>
        <w:t>derecho internacional</w:t>
      </w:r>
      <w:r w:rsidR="00013D15" w:rsidRPr="00044745">
        <w:rPr>
          <w:noProof/>
          <w:lang w:val="es-CO" w:eastAsia="en-GB"/>
        </w:rPr>
        <w:t xml:space="preserve"> de los derechos humanos </w:t>
      </w:r>
      <w:r w:rsidR="004F1EBA">
        <w:rPr>
          <w:noProof/>
          <w:lang w:val="es-CO" w:eastAsia="en-GB"/>
        </w:rPr>
        <w:t xml:space="preserve">obligan a respetar </w:t>
      </w:r>
      <w:r w:rsidR="00EA0CBA" w:rsidRPr="00044745">
        <w:rPr>
          <w:noProof/>
          <w:lang w:val="es-CO" w:eastAsia="en-GB"/>
        </w:rPr>
        <w:t xml:space="preserve">el principio del interés superior del niño en su proceso de desvinculación de las FARC-EP. No </w:t>
      </w:r>
      <w:r w:rsidR="004F1EBA">
        <w:rPr>
          <w:noProof/>
          <w:lang w:val="es-CO" w:eastAsia="en-GB"/>
        </w:rPr>
        <w:t>obstante, hasta el momento no se ha</w:t>
      </w:r>
      <w:r w:rsidR="00EA0CBA" w:rsidRPr="00044745">
        <w:rPr>
          <w:noProof/>
          <w:lang w:val="es-CO" w:eastAsia="en-GB"/>
        </w:rPr>
        <w:t xml:space="preserve"> respetado </w:t>
      </w:r>
      <w:r w:rsidR="00084142">
        <w:rPr>
          <w:noProof/>
          <w:lang w:val="es-CO" w:eastAsia="en-GB"/>
        </w:rPr>
        <w:t>en su totalidad</w:t>
      </w:r>
      <w:r w:rsidR="00084142" w:rsidRPr="00044745">
        <w:rPr>
          <w:noProof/>
          <w:lang w:val="es-CO" w:eastAsia="en-GB"/>
        </w:rPr>
        <w:t xml:space="preserve"> </w:t>
      </w:r>
      <w:r w:rsidR="00EA0CBA" w:rsidRPr="00044745">
        <w:rPr>
          <w:noProof/>
          <w:lang w:val="es-CO" w:eastAsia="en-GB"/>
        </w:rPr>
        <w:t xml:space="preserve">este principio.  </w:t>
      </w:r>
    </w:p>
    <w:p w14:paraId="0A1EACF8" w14:textId="0EA01A95" w:rsidR="001544A7" w:rsidRPr="00044745" w:rsidRDefault="00E85DB0" w:rsidP="00E15F89">
      <w:pPr>
        <w:pStyle w:val="SingleTxtG"/>
        <w:rPr>
          <w:noProof/>
          <w:lang w:val="es-CO" w:eastAsia="en-GB"/>
        </w:rPr>
      </w:pPr>
      <w:r w:rsidRPr="00044745">
        <w:rPr>
          <w:noProof/>
          <w:lang w:val="es-CO" w:eastAsia="en-GB"/>
        </w:rPr>
        <w:t>3</w:t>
      </w:r>
      <w:r w:rsidR="0043703D" w:rsidRPr="00044745">
        <w:rPr>
          <w:noProof/>
          <w:lang w:val="es-CO" w:eastAsia="en-GB"/>
        </w:rPr>
        <w:t>1</w:t>
      </w:r>
      <w:r w:rsidR="001544A7" w:rsidRPr="00044745">
        <w:rPr>
          <w:noProof/>
          <w:lang w:val="es-CO" w:eastAsia="en-GB"/>
        </w:rPr>
        <w:t>.</w:t>
      </w:r>
      <w:r w:rsidR="001544A7" w:rsidRPr="00044745">
        <w:rPr>
          <w:noProof/>
          <w:lang w:val="es-CO" w:eastAsia="en-GB"/>
        </w:rPr>
        <w:tab/>
      </w:r>
      <w:r w:rsidR="00EA0CBA" w:rsidRPr="00044745">
        <w:rPr>
          <w:noProof/>
          <w:lang w:val="es-CO" w:eastAsia="en-GB"/>
        </w:rPr>
        <w:t xml:space="preserve">Según la Consejería Presidencial para los Derechos Humanos, al 31 de diciembre de 2017, solo 135 niños </w:t>
      </w:r>
      <w:r w:rsidR="004F1EBA">
        <w:rPr>
          <w:noProof/>
          <w:lang w:val="es-CO" w:eastAsia="en-GB"/>
        </w:rPr>
        <w:t>se habían desvinculado</w:t>
      </w:r>
      <w:r w:rsidR="00EA0CBA" w:rsidRPr="00044745">
        <w:rPr>
          <w:noProof/>
          <w:lang w:val="es-CO" w:eastAsia="en-GB"/>
        </w:rPr>
        <w:t xml:space="preserve"> de las FARC-EP (75 niñas y 60 niños). </w:t>
      </w:r>
      <w:r w:rsidR="00A43D99">
        <w:rPr>
          <w:noProof/>
          <w:lang w:val="es-CO" w:eastAsia="en-GB"/>
        </w:rPr>
        <w:t xml:space="preserve">La </w:t>
      </w:r>
      <w:r w:rsidR="00E15F89" w:rsidRPr="00044745">
        <w:rPr>
          <w:noProof/>
          <w:lang w:val="es-CO" w:eastAsia="en-GB"/>
        </w:rPr>
        <w:t xml:space="preserve"> </w:t>
      </w:r>
      <w:r w:rsidR="00A43D99">
        <w:rPr>
          <w:noProof/>
          <w:lang w:val="es-CO" w:eastAsia="en-GB"/>
        </w:rPr>
        <w:t>O</w:t>
      </w:r>
      <w:r w:rsidR="00E15F89" w:rsidRPr="00044745">
        <w:rPr>
          <w:noProof/>
          <w:lang w:val="es-CO" w:eastAsia="en-GB"/>
        </w:rPr>
        <w:t xml:space="preserve">ACNUDH </w:t>
      </w:r>
      <w:r w:rsidR="004F1EBA">
        <w:rPr>
          <w:noProof/>
          <w:lang w:val="es-CO" w:eastAsia="en-GB"/>
        </w:rPr>
        <w:t xml:space="preserve">recibió información sobre </w:t>
      </w:r>
      <w:r w:rsidR="00E15F89" w:rsidRPr="00044745">
        <w:rPr>
          <w:noProof/>
          <w:lang w:val="es-CO" w:eastAsia="en-GB"/>
        </w:rPr>
        <w:t>la desvinculación informal de niños antes del proceso formal</w:t>
      </w:r>
      <w:r w:rsidR="00D504B6">
        <w:rPr>
          <w:noProof/>
          <w:lang w:val="es-CO" w:eastAsia="en-GB"/>
        </w:rPr>
        <w:t xml:space="preserve"> al menos en Cauca, Caqueta y Meta</w:t>
      </w:r>
      <w:r w:rsidR="00E15F89" w:rsidRPr="00044745">
        <w:rPr>
          <w:noProof/>
          <w:lang w:val="es-CO" w:eastAsia="en-GB"/>
        </w:rPr>
        <w:t>.</w:t>
      </w:r>
      <w:r w:rsidR="001544A7" w:rsidRPr="00044745">
        <w:rPr>
          <w:noProof/>
          <w:lang w:val="es-CO" w:eastAsia="en-GB"/>
        </w:rPr>
        <w:t xml:space="preserve"> </w:t>
      </w:r>
    </w:p>
    <w:p w14:paraId="55DE5719" w14:textId="0C64FBE3" w:rsidR="001544A7" w:rsidRPr="00044745" w:rsidRDefault="00E85DB0" w:rsidP="00F41675">
      <w:pPr>
        <w:pStyle w:val="SingleTxtG"/>
        <w:rPr>
          <w:noProof/>
          <w:lang w:val="es-CO" w:eastAsia="en-GB"/>
        </w:rPr>
      </w:pPr>
      <w:r w:rsidRPr="00044745">
        <w:rPr>
          <w:noProof/>
          <w:lang w:val="es-CO" w:eastAsia="en-GB"/>
        </w:rPr>
        <w:t>3</w:t>
      </w:r>
      <w:r w:rsidR="0043703D" w:rsidRPr="00044745">
        <w:rPr>
          <w:noProof/>
          <w:lang w:val="es-CO" w:eastAsia="en-GB"/>
        </w:rPr>
        <w:t>2</w:t>
      </w:r>
      <w:r w:rsidR="001544A7" w:rsidRPr="00044745">
        <w:rPr>
          <w:noProof/>
          <w:lang w:val="es-CO" w:eastAsia="en-GB"/>
        </w:rPr>
        <w:t>.</w:t>
      </w:r>
      <w:r w:rsidR="001544A7" w:rsidRPr="00044745">
        <w:rPr>
          <w:noProof/>
          <w:lang w:val="es-CO" w:eastAsia="en-GB"/>
        </w:rPr>
        <w:tab/>
      </w:r>
      <w:r w:rsidR="00E15F89" w:rsidRPr="00044745">
        <w:rPr>
          <w:noProof/>
          <w:lang w:val="es-CO" w:eastAsia="en-GB"/>
        </w:rPr>
        <w:t>Aquellos que han decidi</w:t>
      </w:r>
      <w:r w:rsidR="00A43D99">
        <w:rPr>
          <w:noProof/>
          <w:lang w:val="es-CO" w:eastAsia="en-GB"/>
        </w:rPr>
        <w:t>d</w:t>
      </w:r>
      <w:r w:rsidR="00E15F89" w:rsidRPr="00044745">
        <w:rPr>
          <w:noProof/>
          <w:lang w:val="es-CO" w:eastAsia="en-GB"/>
        </w:rPr>
        <w:t xml:space="preserve">o regresar a sus familias, </w:t>
      </w:r>
      <w:r w:rsidR="003E4AB0">
        <w:rPr>
          <w:noProof/>
          <w:lang w:val="es-CO" w:eastAsia="en-GB"/>
        </w:rPr>
        <w:t>la cual ha sido la opción</w:t>
      </w:r>
      <w:r w:rsidR="00E15F89" w:rsidRPr="00044745">
        <w:rPr>
          <w:noProof/>
          <w:lang w:val="es-CO" w:eastAsia="en-GB"/>
        </w:rPr>
        <w:t xml:space="preserve"> </w:t>
      </w:r>
      <w:r w:rsidR="00A43D99">
        <w:rPr>
          <w:noProof/>
          <w:lang w:val="es-CO" w:eastAsia="en-GB"/>
        </w:rPr>
        <w:t>mas recurrida</w:t>
      </w:r>
      <w:r w:rsidR="000435BC">
        <w:rPr>
          <w:noProof/>
          <w:lang w:val="es-CO" w:eastAsia="en-GB"/>
        </w:rPr>
        <w:t>,</w:t>
      </w:r>
      <w:r w:rsidR="00A43D99">
        <w:rPr>
          <w:noProof/>
          <w:lang w:val="es-CO" w:eastAsia="en-GB"/>
        </w:rPr>
        <w:t xml:space="preserve"> </w:t>
      </w:r>
      <w:r w:rsidR="00E15F89" w:rsidRPr="00044745">
        <w:rPr>
          <w:noProof/>
          <w:lang w:val="es-CO" w:eastAsia="en-GB"/>
        </w:rPr>
        <w:t xml:space="preserve">se </w:t>
      </w:r>
      <w:r w:rsidR="004F1EBA">
        <w:rPr>
          <w:noProof/>
          <w:lang w:val="es-CO" w:eastAsia="en-GB"/>
        </w:rPr>
        <w:t xml:space="preserve">encuentran con </w:t>
      </w:r>
      <w:r w:rsidR="00E15F89" w:rsidRPr="00044745">
        <w:rPr>
          <w:noProof/>
          <w:lang w:val="es-CO" w:eastAsia="en-GB"/>
        </w:rPr>
        <w:t xml:space="preserve"> falta de acceso a la salud y </w:t>
      </w:r>
      <w:r w:rsidR="00A43D99">
        <w:rPr>
          <w:noProof/>
          <w:lang w:val="es-CO" w:eastAsia="en-GB"/>
        </w:rPr>
        <w:t xml:space="preserve">a </w:t>
      </w:r>
      <w:r w:rsidR="00E15F89" w:rsidRPr="00044745">
        <w:rPr>
          <w:noProof/>
          <w:lang w:val="es-CO" w:eastAsia="en-GB"/>
        </w:rPr>
        <w:t xml:space="preserve">la educación, </w:t>
      </w:r>
      <w:r w:rsidR="003E4AB0">
        <w:rPr>
          <w:noProof/>
          <w:lang w:val="es-CO" w:eastAsia="en-GB"/>
        </w:rPr>
        <w:t>lo cual es</w:t>
      </w:r>
      <w:r w:rsidR="00E15F89" w:rsidRPr="00044745">
        <w:rPr>
          <w:noProof/>
          <w:lang w:val="es-CO" w:eastAsia="en-GB"/>
        </w:rPr>
        <w:t xml:space="preserve"> frecuente en las zonas rurales de Colombia. Por lo tanto, es necesario garantizar la</w:t>
      </w:r>
      <w:r w:rsidR="004F1EBA">
        <w:rPr>
          <w:noProof/>
          <w:lang w:val="es-CO" w:eastAsia="en-GB"/>
        </w:rPr>
        <w:t xml:space="preserve"> plena implementación del A</w:t>
      </w:r>
      <w:r w:rsidR="00E15F89" w:rsidRPr="00044745">
        <w:rPr>
          <w:noProof/>
          <w:lang w:val="es-CO" w:eastAsia="en-GB"/>
        </w:rPr>
        <w:t>cuerdo para mejorar la situación y garantizar el respeto de los derechos de los niños cuando regresa</w:t>
      </w:r>
      <w:r w:rsidR="004F1EBA">
        <w:rPr>
          <w:noProof/>
          <w:lang w:val="es-CO" w:eastAsia="en-GB"/>
        </w:rPr>
        <w:t>n</w:t>
      </w:r>
      <w:r w:rsidR="00E15F89" w:rsidRPr="00044745">
        <w:rPr>
          <w:noProof/>
          <w:lang w:val="es-CO" w:eastAsia="en-GB"/>
        </w:rPr>
        <w:t xml:space="preserve"> a sus familias. Aquellos que permanecieron en </w:t>
      </w:r>
      <w:r w:rsidR="00F41675" w:rsidRPr="00044745">
        <w:rPr>
          <w:noProof/>
          <w:lang w:val="es-CO" w:eastAsia="en-GB"/>
        </w:rPr>
        <w:t xml:space="preserve">los centros </w:t>
      </w:r>
      <w:r w:rsidR="00E15F89" w:rsidRPr="00044745">
        <w:rPr>
          <w:noProof/>
          <w:lang w:val="es-CO" w:eastAsia="en-GB"/>
        </w:rPr>
        <w:t xml:space="preserve">de separación-desvinculación tienen mejor </w:t>
      </w:r>
      <w:r w:rsidR="00F41675" w:rsidRPr="00044745">
        <w:rPr>
          <w:noProof/>
          <w:lang w:val="es-CO" w:eastAsia="en-GB"/>
        </w:rPr>
        <w:t>acceso a la salud y la educación pero a menudo se encuentran lejos de sus familias y comunidades.</w:t>
      </w:r>
      <w:r w:rsidR="001544A7" w:rsidRPr="00044745">
        <w:rPr>
          <w:noProof/>
          <w:lang w:val="es-CO" w:eastAsia="en-GB"/>
        </w:rPr>
        <w:t xml:space="preserve"> </w:t>
      </w:r>
    </w:p>
    <w:p w14:paraId="4DC02BFA" w14:textId="42E56B11" w:rsidR="00F41675" w:rsidRPr="00044745" w:rsidRDefault="00E85DB0" w:rsidP="001544A7">
      <w:pPr>
        <w:pStyle w:val="SingleTxtG"/>
        <w:rPr>
          <w:noProof/>
          <w:lang w:val="es-CO" w:eastAsia="en-GB"/>
        </w:rPr>
      </w:pPr>
      <w:r w:rsidRPr="00044745">
        <w:rPr>
          <w:noProof/>
          <w:lang w:val="es-CO" w:eastAsia="en-GB"/>
        </w:rPr>
        <w:t>3</w:t>
      </w:r>
      <w:r w:rsidR="0043703D" w:rsidRPr="00044745">
        <w:rPr>
          <w:noProof/>
          <w:lang w:val="es-CO" w:eastAsia="en-GB"/>
        </w:rPr>
        <w:t>3</w:t>
      </w:r>
      <w:r w:rsidR="001544A7" w:rsidRPr="00044745">
        <w:rPr>
          <w:noProof/>
          <w:lang w:val="es-CO" w:eastAsia="en-GB"/>
        </w:rPr>
        <w:t>.</w:t>
      </w:r>
      <w:r w:rsidR="001544A7" w:rsidRPr="00044745">
        <w:rPr>
          <w:noProof/>
          <w:lang w:val="es-CO" w:eastAsia="en-GB"/>
        </w:rPr>
        <w:tab/>
      </w:r>
      <w:r w:rsidR="000435BC">
        <w:rPr>
          <w:noProof/>
          <w:lang w:val="es-CO" w:eastAsia="en-GB"/>
        </w:rPr>
        <w:t>E</w:t>
      </w:r>
      <w:r w:rsidR="00F41675" w:rsidRPr="00044745">
        <w:rPr>
          <w:noProof/>
          <w:lang w:val="es-CO" w:eastAsia="en-GB"/>
        </w:rPr>
        <w:t xml:space="preserve">n 2017 </w:t>
      </w:r>
      <w:r w:rsidR="003E4AB0">
        <w:rPr>
          <w:noProof/>
          <w:lang w:val="es-CO" w:eastAsia="en-GB"/>
        </w:rPr>
        <w:t>la</w:t>
      </w:r>
      <w:r w:rsidR="00F41675" w:rsidRPr="00044745">
        <w:rPr>
          <w:noProof/>
          <w:lang w:val="es-CO" w:eastAsia="en-GB"/>
        </w:rPr>
        <w:t xml:space="preserve"> </w:t>
      </w:r>
      <w:r w:rsidR="00A43D99">
        <w:rPr>
          <w:noProof/>
          <w:lang w:val="es-CO" w:eastAsia="en-GB"/>
        </w:rPr>
        <w:t>O</w:t>
      </w:r>
      <w:r w:rsidR="00F41675" w:rsidRPr="00044745">
        <w:rPr>
          <w:noProof/>
          <w:lang w:val="es-CO" w:eastAsia="en-GB"/>
        </w:rPr>
        <w:t>ACNUDH recibó información</w:t>
      </w:r>
      <w:r w:rsidR="00236F9D">
        <w:rPr>
          <w:noProof/>
          <w:lang w:val="es-CO" w:eastAsia="en-GB"/>
        </w:rPr>
        <w:t>,</w:t>
      </w:r>
      <w:r w:rsidR="00F41675" w:rsidRPr="00044745">
        <w:rPr>
          <w:noProof/>
          <w:lang w:val="es-CO" w:eastAsia="en-GB"/>
        </w:rPr>
        <w:t xml:space="preserve"> </w:t>
      </w:r>
      <w:r w:rsidR="00180EE1">
        <w:rPr>
          <w:noProof/>
          <w:lang w:val="es-CO" w:eastAsia="en-GB"/>
        </w:rPr>
        <w:t>a través de su</w:t>
      </w:r>
      <w:r w:rsidR="00236F9D">
        <w:rPr>
          <w:noProof/>
          <w:lang w:val="es-CO" w:eastAsia="en-GB"/>
        </w:rPr>
        <w:t>s</w:t>
      </w:r>
      <w:r w:rsidR="00180EE1">
        <w:rPr>
          <w:noProof/>
          <w:lang w:val="es-CO" w:eastAsia="en-GB"/>
        </w:rPr>
        <w:t xml:space="preserve"> presenc</w:t>
      </w:r>
      <w:r w:rsidR="00236F9D">
        <w:rPr>
          <w:noProof/>
          <w:lang w:val="es-CO" w:eastAsia="en-GB"/>
        </w:rPr>
        <w:t>i</w:t>
      </w:r>
      <w:r w:rsidR="00180EE1">
        <w:rPr>
          <w:noProof/>
          <w:lang w:val="es-CO" w:eastAsia="en-GB"/>
        </w:rPr>
        <w:t>a</w:t>
      </w:r>
      <w:r w:rsidR="00236F9D">
        <w:rPr>
          <w:noProof/>
          <w:lang w:val="es-CO" w:eastAsia="en-GB"/>
        </w:rPr>
        <w:t>s</w:t>
      </w:r>
      <w:r w:rsidR="00180EE1">
        <w:rPr>
          <w:noProof/>
          <w:lang w:val="es-CO" w:eastAsia="en-GB"/>
        </w:rPr>
        <w:t xml:space="preserve"> en el terreno</w:t>
      </w:r>
      <w:r w:rsidR="00236F9D">
        <w:rPr>
          <w:noProof/>
          <w:lang w:val="es-CO" w:eastAsia="en-GB"/>
        </w:rPr>
        <w:t>,</w:t>
      </w:r>
      <w:r w:rsidR="00180EE1">
        <w:rPr>
          <w:noProof/>
          <w:lang w:val="es-CO" w:eastAsia="en-GB"/>
        </w:rPr>
        <w:t xml:space="preserve"> que indican la persistencia del </w:t>
      </w:r>
      <w:r w:rsidR="00F41675" w:rsidRPr="00044745">
        <w:rPr>
          <w:noProof/>
          <w:lang w:val="es-CO" w:eastAsia="en-GB"/>
        </w:rPr>
        <w:t xml:space="preserve"> reclutamiento y </w:t>
      </w:r>
      <w:r w:rsidR="004F1EBA">
        <w:rPr>
          <w:noProof/>
          <w:lang w:val="es-CO" w:eastAsia="en-GB"/>
        </w:rPr>
        <w:t xml:space="preserve">la </w:t>
      </w:r>
      <w:r w:rsidR="00F41675" w:rsidRPr="00044745">
        <w:rPr>
          <w:noProof/>
          <w:lang w:val="es-CO" w:eastAsia="en-GB"/>
        </w:rPr>
        <w:t xml:space="preserve">utilización de niños </w:t>
      </w:r>
      <w:r w:rsidR="00A43D99">
        <w:rPr>
          <w:noProof/>
          <w:lang w:val="es-CO" w:eastAsia="en-GB"/>
        </w:rPr>
        <w:t>en</w:t>
      </w:r>
      <w:r w:rsidR="00F41675" w:rsidRPr="00044745">
        <w:rPr>
          <w:noProof/>
          <w:lang w:val="es-CO" w:eastAsia="en-GB"/>
        </w:rPr>
        <w:t xml:space="preserve"> áreas donde operan exmiembros de las FARC-EP. Adicionalmente, el ELN y los grupos </w:t>
      </w:r>
      <w:r w:rsidR="003E4AB0">
        <w:rPr>
          <w:noProof/>
          <w:lang w:val="es-CO" w:eastAsia="en-GB"/>
        </w:rPr>
        <w:t>criminales</w:t>
      </w:r>
      <w:r w:rsidR="00F41675" w:rsidRPr="00044745">
        <w:rPr>
          <w:noProof/>
          <w:lang w:val="es-CO" w:eastAsia="en-GB"/>
        </w:rPr>
        <w:t xml:space="preserve"> siguen reclutando y utilizando a </w:t>
      </w:r>
      <w:r w:rsidR="004F1EBA">
        <w:rPr>
          <w:noProof/>
          <w:lang w:val="es-CO" w:eastAsia="en-GB"/>
        </w:rPr>
        <w:t xml:space="preserve">los </w:t>
      </w:r>
      <w:r w:rsidR="00F41675" w:rsidRPr="00044745">
        <w:rPr>
          <w:noProof/>
          <w:lang w:val="es-CO" w:eastAsia="en-GB"/>
        </w:rPr>
        <w:t xml:space="preserve">niños. </w:t>
      </w:r>
    </w:p>
    <w:p w14:paraId="6064041D" w14:textId="77777777" w:rsidR="001544A7" w:rsidRPr="00044745" w:rsidRDefault="001544A7" w:rsidP="001544A7">
      <w:pPr>
        <w:pStyle w:val="SingleTxtG"/>
        <w:rPr>
          <w:noProof/>
          <w:lang w:val="es-CO" w:eastAsia="en-GB"/>
        </w:rPr>
      </w:pPr>
    </w:p>
    <w:p w14:paraId="77FEB4C2" w14:textId="77777777" w:rsidR="001544A7" w:rsidRPr="00044745" w:rsidRDefault="00B469C4" w:rsidP="00B469C4">
      <w:pPr>
        <w:pStyle w:val="HChG"/>
        <w:rPr>
          <w:noProof/>
          <w:lang w:val="es-CO" w:eastAsia="en-GB"/>
        </w:rPr>
      </w:pPr>
      <w:bookmarkStart w:id="7" w:name="_Toc503550648"/>
      <w:r w:rsidRPr="00044745">
        <w:rPr>
          <w:noProof/>
          <w:lang w:val="es-CO" w:eastAsia="en-GB"/>
        </w:rPr>
        <w:tab/>
      </w:r>
      <w:r w:rsidR="001544A7" w:rsidRPr="00044745">
        <w:rPr>
          <w:noProof/>
          <w:lang w:val="es-CO" w:eastAsia="en-GB"/>
        </w:rPr>
        <w:t>III.</w:t>
      </w:r>
      <w:r w:rsidR="001544A7" w:rsidRPr="00044745">
        <w:rPr>
          <w:noProof/>
          <w:lang w:val="es-CO" w:eastAsia="en-GB"/>
        </w:rPr>
        <w:tab/>
      </w:r>
      <w:r w:rsidR="005F22D9" w:rsidRPr="00044745">
        <w:rPr>
          <w:noProof/>
          <w:lang w:val="es-CO" w:eastAsia="en-GB"/>
        </w:rPr>
        <w:t xml:space="preserve">El desafío rural y otros factores estructurales que afectan la situación de derechos humanos </w:t>
      </w:r>
      <w:bookmarkEnd w:id="7"/>
    </w:p>
    <w:p w14:paraId="016969B8" w14:textId="4EE24DF7" w:rsidR="001544A7" w:rsidRPr="00044745" w:rsidRDefault="005540D9" w:rsidP="00E11D2C">
      <w:pPr>
        <w:pStyle w:val="SingleTxtG"/>
        <w:rPr>
          <w:noProof/>
          <w:lang w:val="es-CO" w:eastAsia="en-GB"/>
        </w:rPr>
      </w:pPr>
      <w:r w:rsidRPr="00044745">
        <w:rPr>
          <w:noProof/>
          <w:lang w:val="es-CO" w:eastAsia="en-GB"/>
        </w:rPr>
        <w:t>34</w:t>
      </w:r>
      <w:r w:rsidR="001544A7" w:rsidRPr="00044745">
        <w:rPr>
          <w:noProof/>
          <w:lang w:val="es-CO" w:eastAsia="en-GB"/>
        </w:rPr>
        <w:t>.</w:t>
      </w:r>
      <w:r w:rsidR="001544A7" w:rsidRPr="00044745">
        <w:rPr>
          <w:noProof/>
          <w:lang w:val="es-CO" w:eastAsia="en-GB"/>
        </w:rPr>
        <w:tab/>
      </w:r>
      <w:r w:rsidR="005F22D9" w:rsidRPr="00044745">
        <w:rPr>
          <w:noProof/>
          <w:lang w:val="es-CO" w:eastAsia="en-GB"/>
        </w:rPr>
        <w:t>Los problemas que enfrentan las comunidades rurales son multidimensionales</w:t>
      </w:r>
      <w:r w:rsidR="00271EC5">
        <w:rPr>
          <w:noProof/>
          <w:lang w:val="es-CO" w:eastAsia="en-GB"/>
        </w:rPr>
        <w:t xml:space="preserve"> y están </w:t>
      </w:r>
      <w:r w:rsidR="00271EC5" w:rsidRPr="00044745">
        <w:rPr>
          <w:noProof/>
          <w:lang w:val="es-CO" w:eastAsia="en-GB"/>
        </w:rPr>
        <w:t>interconectados</w:t>
      </w:r>
      <w:r w:rsidR="005F22D9" w:rsidRPr="00044745">
        <w:rPr>
          <w:noProof/>
          <w:lang w:val="es-CO" w:eastAsia="en-GB"/>
        </w:rPr>
        <w:t>. Abordarlos es un asunto complejo</w:t>
      </w:r>
      <w:r w:rsidR="00BA3592">
        <w:rPr>
          <w:noProof/>
          <w:lang w:val="es-CO" w:eastAsia="en-GB"/>
        </w:rPr>
        <w:t>. L</w:t>
      </w:r>
      <w:r w:rsidR="005F22D9" w:rsidRPr="00044745">
        <w:rPr>
          <w:noProof/>
          <w:lang w:val="es-CO" w:eastAsia="en-GB"/>
        </w:rPr>
        <w:t>a solución a un problema concreto requiere que se solucionen otros problemas. Por ejemplo, en varias</w:t>
      </w:r>
      <w:r w:rsidR="003E50D5" w:rsidRPr="00044745">
        <w:rPr>
          <w:noProof/>
          <w:lang w:val="es-CO" w:eastAsia="en-GB"/>
        </w:rPr>
        <w:t xml:space="preserve"> de las</w:t>
      </w:r>
      <w:r w:rsidR="005F22D9" w:rsidRPr="00044745">
        <w:rPr>
          <w:noProof/>
          <w:lang w:val="es-CO" w:eastAsia="en-GB"/>
        </w:rPr>
        <w:t xml:space="preserve"> </w:t>
      </w:r>
      <w:r w:rsidR="003E50D5" w:rsidRPr="00044745">
        <w:rPr>
          <w:noProof/>
          <w:lang w:val="es-CO" w:eastAsia="en-GB"/>
        </w:rPr>
        <w:t xml:space="preserve">antiguas </w:t>
      </w:r>
      <w:r w:rsidR="005F22D9" w:rsidRPr="00044745">
        <w:rPr>
          <w:noProof/>
          <w:lang w:val="es-CO" w:eastAsia="en-GB"/>
        </w:rPr>
        <w:t xml:space="preserve">zonas </w:t>
      </w:r>
      <w:r w:rsidR="003E50D5" w:rsidRPr="00044745">
        <w:rPr>
          <w:noProof/>
          <w:lang w:val="es-CO" w:eastAsia="en-GB"/>
        </w:rPr>
        <w:t xml:space="preserve">de influencia de </w:t>
      </w:r>
      <w:r w:rsidR="005F22D9" w:rsidRPr="00044745">
        <w:rPr>
          <w:noProof/>
          <w:lang w:val="es-CO" w:eastAsia="en-GB"/>
        </w:rPr>
        <w:t>las FARC-EP</w:t>
      </w:r>
      <w:r w:rsidR="003E50D5" w:rsidRPr="00044745">
        <w:rPr>
          <w:noProof/>
          <w:lang w:val="es-CO" w:eastAsia="en-GB"/>
        </w:rPr>
        <w:t>,</w:t>
      </w:r>
      <w:r w:rsidR="005F22D9" w:rsidRPr="00044745">
        <w:rPr>
          <w:noProof/>
          <w:lang w:val="es-CO" w:eastAsia="en-GB"/>
        </w:rPr>
        <w:t xml:space="preserve"> </w:t>
      </w:r>
      <w:r w:rsidR="008855E8">
        <w:rPr>
          <w:noProof/>
          <w:lang w:val="es-CO" w:eastAsia="en-GB"/>
        </w:rPr>
        <w:t>la</w:t>
      </w:r>
      <w:r w:rsidR="005F22D9" w:rsidRPr="00044745">
        <w:rPr>
          <w:noProof/>
          <w:lang w:val="es-CO" w:eastAsia="en-GB"/>
        </w:rPr>
        <w:t xml:space="preserve"> </w:t>
      </w:r>
      <w:r w:rsidR="00A43D99">
        <w:rPr>
          <w:noProof/>
          <w:lang w:val="es-CO" w:eastAsia="en-GB"/>
        </w:rPr>
        <w:t>O</w:t>
      </w:r>
      <w:r w:rsidR="005F22D9" w:rsidRPr="00044745">
        <w:rPr>
          <w:noProof/>
          <w:lang w:val="es-CO" w:eastAsia="en-GB"/>
        </w:rPr>
        <w:t xml:space="preserve">ACNUDH observó que </w:t>
      </w:r>
      <w:r w:rsidR="00DB212B" w:rsidRPr="00044745">
        <w:rPr>
          <w:noProof/>
          <w:lang w:val="es-CO" w:eastAsia="en-GB"/>
        </w:rPr>
        <w:t xml:space="preserve">para </w:t>
      </w:r>
      <w:r w:rsidR="00955876">
        <w:rPr>
          <w:noProof/>
          <w:lang w:val="es-CO" w:eastAsia="en-GB"/>
        </w:rPr>
        <w:t xml:space="preserve">que funcione adecuadamente </w:t>
      </w:r>
      <w:r w:rsidR="005F22D9" w:rsidRPr="00044745">
        <w:rPr>
          <w:noProof/>
          <w:lang w:val="es-CO" w:eastAsia="en-GB"/>
        </w:rPr>
        <w:t>la justicia local</w:t>
      </w:r>
      <w:r w:rsidR="00955876">
        <w:rPr>
          <w:noProof/>
          <w:lang w:val="es-CO" w:eastAsia="en-GB"/>
        </w:rPr>
        <w:t>,</w:t>
      </w:r>
      <w:r w:rsidR="005F22D9" w:rsidRPr="00044745">
        <w:rPr>
          <w:noProof/>
          <w:lang w:val="es-CO" w:eastAsia="en-GB"/>
        </w:rPr>
        <w:t xml:space="preserve"> </w:t>
      </w:r>
      <w:r w:rsidR="00DB212B" w:rsidRPr="00044745">
        <w:rPr>
          <w:noProof/>
          <w:lang w:val="es-CO" w:eastAsia="en-GB"/>
        </w:rPr>
        <w:t>sin amen</w:t>
      </w:r>
      <w:r w:rsidR="00955876">
        <w:rPr>
          <w:noProof/>
          <w:lang w:val="es-CO" w:eastAsia="en-GB"/>
        </w:rPr>
        <w:t>a</w:t>
      </w:r>
      <w:r w:rsidR="00DB212B" w:rsidRPr="00044745">
        <w:rPr>
          <w:noProof/>
          <w:lang w:val="es-CO" w:eastAsia="en-GB"/>
        </w:rPr>
        <w:t xml:space="preserve">zas de grupos </w:t>
      </w:r>
      <w:r w:rsidR="000435BC">
        <w:rPr>
          <w:noProof/>
          <w:lang w:val="es-CO" w:eastAsia="en-GB"/>
        </w:rPr>
        <w:t>criminales</w:t>
      </w:r>
      <w:r w:rsidR="00955876">
        <w:rPr>
          <w:noProof/>
          <w:lang w:val="es-CO" w:eastAsia="en-GB"/>
        </w:rPr>
        <w:t xml:space="preserve">, es necesaria </w:t>
      </w:r>
      <w:r w:rsidR="00DB212B" w:rsidRPr="00044745">
        <w:rPr>
          <w:noProof/>
          <w:lang w:val="es-CO" w:eastAsia="en-GB"/>
        </w:rPr>
        <w:t xml:space="preserve">la sustitución de cultivos ilícitos. No obstante, la sustitución implica el saneamiento de los títulos de propiedad de tierras, lo que requiere la compra y distribución de tierra. Estos pasos tienen implicaciones presupuestales, </w:t>
      </w:r>
      <w:r w:rsidR="008855E8">
        <w:rPr>
          <w:noProof/>
          <w:lang w:val="es-CO" w:eastAsia="en-GB"/>
        </w:rPr>
        <w:t>necesitándose</w:t>
      </w:r>
      <w:r w:rsidR="00DB212B" w:rsidRPr="00044745">
        <w:rPr>
          <w:noProof/>
          <w:lang w:val="es-CO" w:eastAsia="en-GB"/>
        </w:rPr>
        <w:t xml:space="preserve"> que una mayoría política </w:t>
      </w:r>
      <w:r w:rsidR="00955876">
        <w:rPr>
          <w:noProof/>
          <w:lang w:val="es-CO" w:eastAsia="en-GB"/>
        </w:rPr>
        <w:t>a nivel municipal, departamental</w:t>
      </w:r>
      <w:r w:rsidR="00955876" w:rsidRPr="00044745">
        <w:rPr>
          <w:noProof/>
          <w:lang w:val="es-CO" w:eastAsia="en-GB"/>
        </w:rPr>
        <w:t xml:space="preserve"> y nacional </w:t>
      </w:r>
      <w:r w:rsidR="00DB212B" w:rsidRPr="00044745">
        <w:rPr>
          <w:noProof/>
          <w:lang w:val="es-CO" w:eastAsia="en-GB"/>
        </w:rPr>
        <w:t xml:space="preserve">apruebe los presupuestos. </w:t>
      </w:r>
      <w:r w:rsidR="00E44F38" w:rsidRPr="00044745">
        <w:rPr>
          <w:noProof/>
          <w:lang w:val="es-CO" w:eastAsia="en-GB"/>
        </w:rPr>
        <w:t xml:space="preserve">Puesto </w:t>
      </w:r>
      <w:r w:rsidR="00955876">
        <w:rPr>
          <w:noProof/>
          <w:lang w:val="es-CO" w:eastAsia="en-GB"/>
        </w:rPr>
        <w:t xml:space="preserve">que </w:t>
      </w:r>
      <w:r w:rsidR="00E44F38" w:rsidRPr="00044745">
        <w:rPr>
          <w:noProof/>
          <w:lang w:val="es-CO" w:eastAsia="en-GB"/>
        </w:rPr>
        <w:t>la solución al problema es distint</w:t>
      </w:r>
      <w:r w:rsidR="00955876">
        <w:rPr>
          <w:noProof/>
          <w:lang w:val="es-CO" w:eastAsia="en-GB"/>
        </w:rPr>
        <w:t>a</w:t>
      </w:r>
      <w:r w:rsidR="00E44F38" w:rsidRPr="00044745">
        <w:rPr>
          <w:noProof/>
          <w:lang w:val="es-CO" w:eastAsia="en-GB"/>
        </w:rPr>
        <w:t xml:space="preserve"> en cada comunidad, las metas nacionales de transformación</w:t>
      </w:r>
      <w:r w:rsidR="00955876">
        <w:rPr>
          <w:noProof/>
          <w:lang w:val="es-CO" w:eastAsia="en-GB"/>
        </w:rPr>
        <w:t xml:space="preserve"> hacen que</w:t>
      </w:r>
      <w:r w:rsidR="00E44F38" w:rsidRPr="00044745">
        <w:rPr>
          <w:noProof/>
          <w:lang w:val="es-CO" w:eastAsia="en-GB"/>
        </w:rPr>
        <w:t xml:space="preserve"> cada actor </w:t>
      </w:r>
      <w:r w:rsidR="00691E45" w:rsidRPr="00044745">
        <w:rPr>
          <w:noProof/>
          <w:lang w:val="es-CO" w:eastAsia="en-GB"/>
        </w:rPr>
        <w:t>tome</w:t>
      </w:r>
      <w:r w:rsidR="00E44F38" w:rsidRPr="00044745">
        <w:rPr>
          <w:noProof/>
          <w:lang w:val="es-CO" w:eastAsia="en-GB"/>
        </w:rPr>
        <w:t xml:space="preserve"> acción sin </w:t>
      </w:r>
      <w:r w:rsidR="000E51AC" w:rsidRPr="00044745">
        <w:rPr>
          <w:noProof/>
          <w:lang w:val="es-CO" w:eastAsia="en-GB"/>
        </w:rPr>
        <w:t xml:space="preserve">tener en cuenta </w:t>
      </w:r>
      <w:r w:rsidR="00E44F38" w:rsidRPr="00044745">
        <w:rPr>
          <w:noProof/>
          <w:lang w:val="es-CO" w:eastAsia="en-GB"/>
        </w:rPr>
        <w:t xml:space="preserve">la secuencia necesaria o la capacidad de producir un impacto en los derechos humanos. </w:t>
      </w:r>
      <w:r w:rsidR="000E51AC" w:rsidRPr="00044745">
        <w:rPr>
          <w:noProof/>
          <w:lang w:val="es-CO" w:eastAsia="en-GB"/>
        </w:rPr>
        <w:t xml:space="preserve">Se requieren metas más realistas con indicadores que reflejen la situación de derechos humanos a </w:t>
      </w:r>
      <w:r w:rsidR="00E11D2C" w:rsidRPr="00044745">
        <w:rPr>
          <w:noProof/>
          <w:lang w:val="es-CO" w:eastAsia="en-GB"/>
        </w:rPr>
        <w:t xml:space="preserve">nivel </w:t>
      </w:r>
      <w:r w:rsidR="002D0DF5">
        <w:rPr>
          <w:noProof/>
          <w:lang w:val="es-CO" w:eastAsia="en-GB"/>
        </w:rPr>
        <w:t>incluso veredal</w:t>
      </w:r>
      <w:r w:rsidR="00E11D2C" w:rsidRPr="00044745">
        <w:rPr>
          <w:noProof/>
          <w:lang w:val="es-CO" w:eastAsia="en-GB"/>
        </w:rPr>
        <w:t>.</w:t>
      </w:r>
      <w:r w:rsidR="00955876">
        <w:rPr>
          <w:noProof/>
          <w:lang w:val="es-CO" w:eastAsia="en-GB"/>
        </w:rPr>
        <w:t xml:space="preserve"> </w:t>
      </w:r>
    </w:p>
    <w:p w14:paraId="44097968" w14:textId="42D81BE1" w:rsidR="00E833A7" w:rsidRPr="00044745" w:rsidRDefault="005540D9" w:rsidP="00A877EE">
      <w:pPr>
        <w:pStyle w:val="SingleTxtG"/>
        <w:rPr>
          <w:noProof/>
          <w:lang w:val="es-CO" w:eastAsia="en-GB"/>
        </w:rPr>
      </w:pPr>
      <w:r w:rsidRPr="00044745">
        <w:rPr>
          <w:noProof/>
          <w:lang w:val="es-CO" w:eastAsia="en-GB"/>
        </w:rPr>
        <w:t>35</w:t>
      </w:r>
      <w:r w:rsidR="00E833A7" w:rsidRPr="00044745">
        <w:rPr>
          <w:noProof/>
          <w:lang w:val="es-CO" w:eastAsia="en-GB"/>
        </w:rPr>
        <w:t>.</w:t>
      </w:r>
      <w:r w:rsidR="00E833A7" w:rsidRPr="00044745">
        <w:rPr>
          <w:noProof/>
          <w:lang w:val="es-CO" w:eastAsia="en-GB"/>
        </w:rPr>
        <w:tab/>
      </w:r>
      <w:r w:rsidR="00E11D2C" w:rsidRPr="00044745">
        <w:rPr>
          <w:noProof/>
          <w:lang w:val="es-CO" w:eastAsia="en-GB"/>
        </w:rPr>
        <w:t xml:space="preserve">Como un ejemplo concreto, </w:t>
      </w:r>
      <w:r w:rsidR="002D0DF5">
        <w:rPr>
          <w:noProof/>
          <w:lang w:val="es-CO" w:eastAsia="en-GB"/>
        </w:rPr>
        <w:t xml:space="preserve">la </w:t>
      </w:r>
      <w:r w:rsidR="00E11D2C" w:rsidRPr="00044745">
        <w:rPr>
          <w:noProof/>
          <w:lang w:val="es-CO" w:eastAsia="en-GB"/>
        </w:rPr>
        <w:t xml:space="preserve"> </w:t>
      </w:r>
      <w:r w:rsidR="002D0DF5">
        <w:rPr>
          <w:noProof/>
          <w:lang w:val="es-CO" w:eastAsia="en-GB"/>
        </w:rPr>
        <w:t>O</w:t>
      </w:r>
      <w:r w:rsidR="00E11D2C" w:rsidRPr="00044745">
        <w:rPr>
          <w:noProof/>
          <w:lang w:val="es-CO" w:eastAsia="en-GB"/>
        </w:rPr>
        <w:t>ACNUDH observó el reto de resolver los problemas interconect</w:t>
      </w:r>
      <w:r w:rsidR="00955876">
        <w:rPr>
          <w:noProof/>
          <w:lang w:val="es-CO" w:eastAsia="en-GB"/>
        </w:rPr>
        <w:t>ad</w:t>
      </w:r>
      <w:r w:rsidR="00E11D2C" w:rsidRPr="00044745">
        <w:rPr>
          <w:noProof/>
          <w:lang w:val="es-CO" w:eastAsia="en-GB"/>
        </w:rPr>
        <w:t xml:space="preserve">os y multimensionales en comunidades rurales de las regiones de Norte de Santander, Nariño y Putumayo, donde se sustituyeron los cultivos ilícitos por unos legales. </w:t>
      </w:r>
      <w:r w:rsidR="00955876">
        <w:rPr>
          <w:noProof/>
          <w:lang w:val="es-CO" w:eastAsia="en-GB"/>
        </w:rPr>
        <w:lastRenderedPageBreak/>
        <w:t xml:space="preserve">Sin embargo, </w:t>
      </w:r>
      <w:r w:rsidR="00E11D2C" w:rsidRPr="00044745">
        <w:rPr>
          <w:noProof/>
          <w:lang w:val="es-CO" w:eastAsia="en-GB"/>
        </w:rPr>
        <w:t xml:space="preserve">estas comunidades expresaron su preocupación por la falta de asistencia efectiva para comercializar sus nuevos productos. </w:t>
      </w:r>
      <w:r w:rsidR="008855E8">
        <w:rPr>
          <w:noProof/>
          <w:lang w:val="es-CO" w:eastAsia="en-GB"/>
        </w:rPr>
        <w:t>La</w:t>
      </w:r>
      <w:r w:rsidR="00E11D2C" w:rsidRPr="00044745">
        <w:rPr>
          <w:noProof/>
          <w:lang w:val="es-CO" w:eastAsia="en-GB"/>
        </w:rPr>
        <w:t xml:space="preserve"> </w:t>
      </w:r>
      <w:r w:rsidR="002D0DF5">
        <w:rPr>
          <w:noProof/>
          <w:lang w:val="es-CO" w:eastAsia="en-GB"/>
        </w:rPr>
        <w:t>O</w:t>
      </w:r>
      <w:r w:rsidR="00E11D2C" w:rsidRPr="00955876">
        <w:rPr>
          <w:noProof/>
          <w:lang w:val="es-CO" w:eastAsia="en-GB"/>
        </w:rPr>
        <w:t xml:space="preserve">ACNUDH alentó </w:t>
      </w:r>
      <w:r w:rsidR="00457570">
        <w:rPr>
          <w:noProof/>
          <w:lang w:val="es-CO" w:eastAsia="en-GB"/>
        </w:rPr>
        <w:t xml:space="preserve">a tomar </w:t>
      </w:r>
      <w:r w:rsidR="00E11D2C" w:rsidRPr="00955876">
        <w:rPr>
          <w:noProof/>
          <w:lang w:val="es-CO" w:eastAsia="en-GB"/>
        </w:rPr>
        <w:t>acciones</w:t>
      </w:r>
      <w:r w:rsidR="00E11D2C" w:rsidRPr="00044745">
        <w:rPr>
          <w:noProof/>
          <w:lang w:val="es-CO" w:eastAsia="en-GB"/>
        </w:rPr>
        <w:t xml:space="preserve"> </w:t>
      </w:r>
      <w:r w:rsidR="00A877EE" w:rsidRPr="00044745">
        <w:rPr>
          <w:noProof/>
          <w:lang w:val="es-CO" w:eastAsia="en-GB"/>
        </w:rPr>
        <w:t xml:space="preserve">que </w:t>
      </w:r>
      <w:r w:rsidR="00457570">
        <w:rPr>
          <w:noProof/>
          <w:lang w:val="es-CO" w:eastAsia="en-GB"/>
        </w:rPr>
        <w:t xml:space="preserve">pudieran </w:t>
      </w:r>
      <w:r w:rsidR="00A877EE" w:rsidRPr="00044745">
        <w:rPr>
          <w:noProof/>
          <w:lang w:val="es-CO" w:eastAsia="en-GB"/>
        </w:rPr>
        <w:t xml:space="preserve">conducir al acceso a mercados de las comunidades rurales en </w:t>
      </w:r>
      <w:r w:rsidR="00457570">
        <w:rPr>
          <w:noProof/>
          <w:lang w:val="es-CO" w:eastAsia="en-GB"/>
        </w:rPr>
        <w:t xml:space="preserve">Antioquia, </w:t>
      </w:r>
      <w:r w:rsidR="00A877EE" w:rsidRPr="00044745">
        <w:rPr>
          <w:noProof/>
          <w:lang w:val="es-CO" w:eastAsia="en-GB"/>
        </w:rPr>
        <w:t>Chocó, Norte de Santander</w:t>
      </w:r>
      <w:r w:rsidR="00457570">
        <w:rPr>
          <w:noProof/>
          <w:lang w:val="es-CO" w:eastAsia="en-GB"/>
        </w:rPr>
        <w:t xml:space="preserve"> y</w:t>
      </w:r>
      <w:r w:rsidR="00A877EE" w:rsidRPr="00044745">
        <w:rPr>
          <w:noProof/>
          <w:lang w:val="es-CO" w:eastAsia="en-GB"/>
        </w:rPr>
        <w:t xml:space="preserve"> Tolima. El Estado, la comunidad internacional y el sector privado deben </w:t>
      </w:r>
      <w:r w:rsidR="00457570">
        <w:rPr>
          <w:noProof/>
          <w:lang w:val="es-CO" w:eastAsia="en-GB"/>
        </w:rPr>
        <w:t xml:space="preserve">fomentar </w:t>
      </w:r>
      <w:r w:rsidR="00A877EE" w:rsidRPr="00044745">
        <w:rPr>
          <w:noProof/>
          <w:lang w:val="es-CO" w:eastAsia="en-GB"/>
        </w:rPr>
        <w:t xml:space="preserve">relaciones comerciales directas y justas entre las comunidades rurales y los consumidores con el fin de mejorar </w:t>
      </w:r>
      <w:r w:rsidR="00457570">
        <w:rPr>
          <w:noProof/>
          <w:lang w:val="es-CO" w:eastAsia="en-GB"/>
        </w:rPr>
        <w:t xml:space="preserve">su </w:t>
      </w:r>
      <w:r w:rsidR="00A877EE" w:rsidRPr="00044745">
        <w:rPr>
          <w:noProof/>
          <w:lang w:val="es-CO" w:eastAsia="en-GB"/>
        </w:rPr>
        <w:t xml:space="preserve">nivel de vida y evitar el retorno a la economía ilegal. </w:t>
      </w:r>
    </w:p>
    <w:p w14:paraId="3A836226" w14:textId="31BB4B9F" w:rsidR="009B1F2B" w:rsidRPr="00044745" w:rsidRDefault="0022732B" w:rsidP="005E79EE">
      <w:pPr>
        <w:pStyle w:val="SingleTxtG"/>
        <w:rPr>
          <w:noProof/>
          <w:lang w:val="es-CO" w:eastAsia="en-GB"/>
        </w:rPr>
      </w:pPr>
      <w:r w:rsidRPr="00044745">
        <w:rPr>
          <w:noProof/>
          <w:lang w:val="es-CO" w:eastAsia="en-GB"/>
        </w:rPr>
        <w:t>36</w:t>
      </w:r>
      <w:r w:rsidR="001544A7" w:rsidRPr="00044745">
        <w:rPr>
          <w:noProof/>
          <w:lang w:val="es-CO" w:eastAsia="en-GB"/>
        </w:rPr>
        <w:t>.</w:t>
      </w:r>
      <w:r w:rsidR="001544A7" w:rsidRPr="00044745">
        <w:rPr>
          <w:noProof/>
          <w:lang w:val="es-CO" w:eastAsia="en-GB"/>
        </w:rPr>
        <w:tab/>
      </w:r>
      <w:r w:rsidR="00DC245B">
        <w:rPr>
          <w:noProof/>
          <w:lang w:val="es-CO" w:eastAsia="en-GB"/>
        </w:rPr>
        <w:t>Para la implementación de la Reforma Rural Integral prevista en el Acuerdo es crucial l</w:t>
      </w:r>
      <w:r w:rsidR="00A877EE" w:rsidRPr="00044745">
        <w:rPr>
          <w:noProof/>
          <w:lang w:val="es-CO" w:eastAsia="en-GB"/>
        </w:rPr>
        <w:t>a presencia del Estado</w:t>
      </w:r>
      <w:r w:rsidR="00DC245B">
        <w:rPr>
          <w:noProof/>
          <w:lang w:val="es-CO" w:eastAsia="en-GB"/>
        </w:rPr>
        <w:t xml:space="preserve"> y las garan</w:t>
      </w:r>
      <w:r w:rsidR="009D3BCB">
        <w:rPr>
          <w:noProof/>
          <w:lang w:val="es-CO" w:eastAsia="en-GB"/>
        </w:rPr>
        <w:t>t</w:t>
      </w:r>
      <w:r w:rsidR="00DC245B">
        <w:rPr>
          <w:noProof/>
          <w:lang w:val="es-CO" w:eastAsia="en-GB"/>
        </w:rPr>
        <w:t>ías presupuestales necesarias para avanzar</w:t>
      </w:r>
      <w:r w:rsidR="00A877EE" w:rsidRPr="00044745">
        <w:rPr>
          <w:noProof/>
          <w:lang w:val="es-CO" w:eastAsia="en-GB"/>
        </w:rPr>
        <w:t xml:space="preserve"> </w:t>
      </w:r>
      <w:r w:rsidR="00010253" w:rsidRPr="00044745">
        <w:rPr>
          <w:noProof/>
          <w:lang w:val="es-CO" w:eastAsia="en-GB"/>
        </w:rPr>
        <w:t xml:space="preserve">en </w:t>
      </w:r>
      <w:r w:rsidR="00DC245B">
        <w:rPr>
          <w:noProof/>
          <w:lang w:val="es-CO" w:eastAsia="en-GB"/>
        </w:rPr>
        <w:t>la formalización de la propiedad</w:t>
      </w:r>
      <w:r w:rsidR="009D3BCB">
        <w:rPr>
          <w:rStyle w:val="FootnoteReference"/>
          <w:noProof/>
          <w:lang w:val="es-CO" w:eastAsia="en-GB"/>
        </w:rPr>
        <w:footnoteReference w:id="8"/>
      </w:r>
      <w:r w:rsidR="00DC245B">
        <w:rPr>
          <w:noProof/>
          <w:lang w:val="es-CO" w:eastAsia="en-GB"/>
        </w:rPr>
        <w:t xml:space="preserve">, </w:t>
      </w:r>
      <w:r w:rsidR="00010253" w:rsidRPr="00044745">
        <w:rPr>
          <w:noProof/>
          <w:lang w:val="es-CO" w:eastAsia="en-GB"/>
        </w:rPr>
        <w:t xml:space="preserve"> la creación de mercados locales, la conectividad, la asistencia técnica, los préstamos y el acceso a servicios públicos. Se requiere acción estatal </w:t>
      </w:r>
      <w:r w:rsidR="002D0DF5">
        <w:rPr>
          <w:noProof/>
          <w:lang w:val="es-CO" w:eastAsia="en-GB"/>
        </w:rPr>
        <w:t xml:space="preserve">que </w:t>
      </w:r>
      <w:r w:rsidR="00010253" w:rsidRPr="00044745">
        <w:rPr>
          <w:noProof/>
          <w:lang w:val="es-CO" w:eastAsia="en-GB"/>
        </w:rPr>
        <w:t xml:space="preserve"> cre</w:t>
      </w:r>
      <w:r w:rsidR="002D0DF5">
        <w:rPr>
          <w:noProof/>
          <w:lang w:val="es-CO" w:eastAsia="en-GB"/>
        </w:rPr>
        <w:t>e</w:t>
      </w:r>
      <w:r w:rsidR="00010253" w:rsidRPr="00044745">
        <w:rPr>
          <w:noProof/>
          <w:lang w:val="es-CO" w:eastAsia="en-GB"/>
        </w:rPr>
        <w:t xml:space="preserve"> el </w:t>
      </w:r>
      <w:r w:rsidR="00271EC5">
        <w:rPr>
          <w:noProof/>
          <w:lang w:val="es-CO" w:eastAsia="en-GB"/>
        </w:rPr>
        <w:t xml:space="preserve">entorno </w:t>
      </w:r>
      <w:r w:rsidR="00010253" w:rsidRPr="00044745">
        <w:rPr>
          <w:noProof/>
          <w:lang w:val="es-CO" w:eastAsia="en-GB"/>
        </w:rPr>
        <w:t xml:space="preserve"> para lograr la exitosa </w:t>
      </w:r>
      <w:r w:rsidR="00010253" w:rsidRPr="00046DCB">
        <w:rPr>
          <w:noProof/>
          <w:lang w:val="es-CO" w:eastAsia="en-GB"/>
        </w:rPr>
        <w:t>sustitución de</w:t>
      </w:r>
      <w:r w:rsidR="00046DCB" w:rsidRPr="00046DCB">
        <w:rPr>
          <w:noProof/>
          <w:lang w:val="es-CO" w:eastAsia="en-GB"/>
        </w:rPr>
        <w:t xml:space="preserve"> cultivos ilícitos. Si bien el A</w:t>
      </w:r>
      <w:r w:rsidR="00010253" w:rsidRPr="00046DCB">
        <w:rPr>
          <w:noProof/>
          <w:lang w:val="es-CO" w:eastAsia="en-GB"/>
        </w:rPr>
        <w:t xml:space="preserve">cuerdo prevee asociaciones con comunidades rurales </w:t>
      </w:r>
      <w:r w:rsidR="005E79EE" w:rsidRPr="00046DCB">
        <w:rPr>
          <w:noProof/>
          <w:lang w:val="es-CO" w:eastAsia="en-GB"/>
        </w:rPr>
        <w:t>en</w:t>
      </w:r>
      <w:r w:rsidR="005E79EE" w:rsidRPr="00044745">
        <w:rPr>
          <w:noProof/>
          <w:lang w:val="es-CO" w:eastAsia="en-GB"/>
        </w:rPr>
        <w:t xml:space="preserve"> </w:t>
      </w:r>
      <w:r w:rsidR="00010253" w:rsidRPr="00044745">
        <w:rPr>
          <w:noProof/>
          <w:lang w:val="es-CO" w:eastAsia="en-GB"/>
        </w:rPr>
        <w:t>su implementación (por ejemplo, en el capítulo étnico</w:t>
      </w:r>
      <w:r w:rsidR="00010253" w:rsidRPr="00044745">
        <w:rPr>
          <w:rStyle w:val="FootnoteReference"/>
          <w:noProof/>
          <w:lang w:val="es-CO" w:eastAsia="en-GB"/>
        </w:rPr>
        <w:footnoteReference w:id="9"/>
      </w:r>
      <w:r w:rsidR="005E79EE" w:rsidRPr="00044745">
        <w:rPr>
          <w:noProof/>
          <w:lang w:val="es-CO" w:eastAsia="en-GB"/>
        </w:rPr>
        <w:t xml:space="preserve">), los habitantes de </w:t>
      </w:r>
      <w:r w:rsidR="00874323">
        <w:rPr>
          <w:noProof/>
          <w:lang w:val="es-CO" w:eastAsia="en-GB"/>
        </w:rPr>
        <w:t xml:space="preserve">muchas </w:t>
      </w:r>
      <w:r w:rsidR="005E79EE" w:rsidRPr="00044745">
        <w:rPr>
          <w:noProof/>
          <w:lang w:val="es-CO" w:eastAsia="en-GB"/>
        </w:rPr>
        <w:t xml:space="preserve"> comunidades</w:t>
      </w:r>
      <w:r w:rsidR="00874323">
        <w:rPr>
          <w:noProof/>
          <w:lang w:val="es-CO" w:eastAsia="en-GB"/>
        </w:rPr>
        <w:t xml:space="preserve"> rurales</w:t>
      </w:r>
      <w:r w:rsidR="005E79EE" w:rsidRPr="00044745">
        <w:rPr>
          <w:noProof/>
          <w:lang w:val="es-CO" w:eastAsia="en-GB"/>
        </w:rPr>
        <w:t xml:space="preserve"> han expresado a</w:t>
      </w:r>
      <w:r w:rsidR="008855E8">
        <w:rPr>
          <w:noProof/>
          <w:lang w:val="es-CO" w:eastAsia="en-GB"/>
        </w:rPr>
        <w:t xml:space="preserve"> la</w:t>
      </w:r>
      <w:r w:rsidR="005E79EE" w:rsidRPr="00044745">
        <w:rPr>
          <w:noProof/>
          <w:lang w:val="es-CO" w:eastAsia="en-GB"/>
        </w:rPr>
        <w:t xml:space="preserve"> </w:t>
      </w:r>
      <w:r w:rsidR="002D0DF5">
        <w:rPr>
          <w:noProof/>
          <w:lang w:val="es-CO" w:eastAsia="en-GB"/>
        </w:rPr>
        <w:t>O</w:t>
      </w:r>
      <w:r w:rsidR="005E79EE" w:rsidRPr="00044745">
        <w:rPr>
          <w:noProof/>
          <w:lang w:val="es-CO" w:eastAsia="en-GB"/>
        </w:rPr>
        <w:t xml:space="preserve">ACNUDH su gran frustración al ver </w:t>
      </w:r>
      <w:r w:rsidR="00046DCB">
        <w:rPr>
          <w:noProof/>
          <w:lang w:val="es-CO" w:eastAsia="en-GB"/>
        </w:rPr>
        <w:t xml:space="preserve">que </w:t>
      </w:r>
      <w:r w:rsidR="005E79EE" w:rsidRPr="00044745">
        <w:rPr>
          <w:noProof/>
          <w:lang w:val="es-CO" w:eastAsia="en-GB"/>
        </w:rPr>
        <w:t xml:space="preserve">su participación </w:t>
      </w:r>
      <w:r w:rsidR="00046DCB">
        <w:rPr>
          <w:noProof/>
          <w:lang w:val="es-CO" w:eastAsia="en-GB"/>
        </w:rPr>
        <w:t>se reduce</w:t>
      </w:r>
      <w:r w:rsidR="005E79EE" w:rsidRPr="00044745">
        <w:rPr>
          <w:noProof/>
          <w:lang w:val="es-CO" w:eastAsia="en-GB"/>
        </w:rPr>
        <w:t xml:space="preserve"> a la asistencia a reuniones, sin </w:t>
      </w:r>
      <w:r w:rsidR="00046DCB">
        <w:rPr>
          <w:noProof/>
          <w:lang w:val="es-CO" w:eastAsia="en-GB"/>
        </w:rPr>
        <w:t xml:space="preserve">tener </w:t>
      </w:r>
      <w:r w:rsidR="005E79EE" w:rsidRPr="00044745">
        <w:rPr>
          <w:noProof/>
          <w:lang w:val="es-CO" w:eastAsia="en-GB"/>
        </w:rPr>
        <w:t>un impacto visible.</w:t>
      </w:r>
      <w:r w:rsidR="0056101E" w:rsidRPr="00044745">
        <w:rPr>
          <w:noProof/>
          <w:lang w:val="es-CO" w:eastAsia="en-GB"/>
        </w:rPr>
        <w:t xml:space="preserve"> </w:t>
      </w:r>
    </w:p>
    <w:p w14:paraId="5D59292A" w14:textId="2ADF65F9" w:rsidR="001544A7" w:rsidRPr="00044745" w:rsidRDefault="0022732B" w:rsidP="005E79EE">
      <w:pPr>
        <w:pStyle w:val="SingleTxtG"/>
        <w:rPr>
          <w:lang w:val="es-CO"/>
        </w:rPr>
      </w:pPr>
      <w:r w:rsidRPr="00044745">
        <w:rPr>
          <w:lang w:val="es-CO"/>
        </w:rPr>
        <w:t>37</w:t>
      </w:r>
      <w:r w:rsidR="009B1F2B" w:rsidRPr="00044745">
        <w:rPr>
          <w:lang w:val="es-CO"/>
        </w:rPr>
        <w:t xml:space="preserve">. </w:t>
      </w:r>
      <w:r w:rsidRPr="00044745">
        <w:rPr>
          <w:lang w:val="es-CO"/>
        </w:rPr>
        <w:tab/>
      </w:r>
      <w:r w:rsidR="005E79EE" w:rsidRPr="00044745">
        <w:rPr>
          <w:lang w:val="es-CO"/>
        </w:rPr>
        <w:t>En este sentido, el ACNUDH alienta a las autoridades estatales relevantes</w:t>
      </w:r>
      <w:r w:rsidR="00046DCB">
        <w:rPr>
          <w:lang w:val="es-CO"/>
        </w:rPr>
        <w:t xml:space="preserve"> a</w:t>
      </w:r>
      <w:r w:rsidR="00DD5EE2">
        <w:rPr>
          <w:lang w:val="es-CO"/>
        </w:rPr>
        <w:t xml:space="preserve"> valorar</w:t>
      </w:r>
      <w:r w:rsidR="000C56E1" w:rsidRPr="00044745">
        <w:rPr>
          <w:lang w:val="es-CO"/>
        </w:rPr>
        <w:t xml:space="preserve"> </w:t>
      </w:r>
      <w:r w:rsidR="005E79EE" w:rsidRPr="00044745">
        <w:rPr>
          <w:lang w:val="es-CO"/>
        </w:rPr>
        <w:t xml:space="preserve">la participación de los pueblos indígenas, afrocolombianos, campesinos, mujeres y personas con discapacidad como un mecanismo </w:t>
      </w:r>
      <w:r w:rsidR="00046DCB">
        <w:rPr>
          <w:lang w:val="es-CO"/>
        </w:rPr>
        <w:t xml:space="preserve">efectivo de </w:t>
      </w:r>
      <w:r w:rsidR="005E79EE" w:rsidRPr="00044745">
        <w:rPr>
          <w:lang w:val="es-CO"/>
        </w:rPr>
        <w:t xml:space="preserve">empoderamiento que podría poner fin a la exclusión y discriminación estructural, en lugar de considerarla una mera formalidad. </w:t>
      </w:r>
    </w:p>
    <w:p w14:paraId="408D1689" w14:textId="741B5368" w:rsidR="001544A7" w:rsidRPr="00044745" w:rsidRDefault="000B5A72" w:rsidP="000B5A72">
      <w:pPr>
        <w:pStyle w:val="H1G"/>
        <w:rPr>
          <w:noProof/>
          <w:lang w:val="es-CO" w:eastAsia="en-GB"/>
        </w:rPr>
      </w:pPr>
      <w:bookmarkStart w:id="8" w:name="_Toc503550649"/>
      <w:r w:rsidRPr="00044745">
        <w:rPr>
          <w:noProof/>
          <w:lang w:val="es-CO" w:eastAsia="en-GB"/>
        </w:rPr>
        <w:tab/>
        <w:t>A</w:t>
      </w:r>
      <w:r w:rsidR="001544A7" w:rsidRPr="00044745">
        <w:rPr>
          <w:noProof/>
          <w:lang w:val="es-CO" w:eastAsia="en-GB"/>
        </w:rPr>
        <w:t>.</w:t>
      </w:r>
      <w:r w:rsidR="001544A7" w:rsidRPr="00044745">
        <w:rPr>
          <w:noProof/>
          <w:lang w:val="es-CO" w:eastAsia="en-GB"/>
        </w:rPr>
        <w:tab/>
      </w:r>
      <w:r w:rsidR="002C71C6" w:rsidRPr="00044745">
        <w:rPr>
          <w:noProof/>
          <w:lang w:val="es-CO" w:eastAsia="en-GB"/>
        </w:rPr>
        <w:t>El impacto de la falta de presencia estatal en la situación de derechos humanos y la existenc</w:t>
      </w:r>
      <w:r w:rsidR="005208D8">
        <w:rPr>
          <w:noProof/>
          <w:lang w:val="es-CO" w:eastAsia="en-GB"/>
        </w:rPr>
        <w:t>ia</w:t>
      </w:r>
      <w:r w:rsidR="002C71C6" w:rsidRPr="00044745">
        <w:rPr>
          <w:noProof/>
          <w:lang w:val="es-CO" w:eastAsia="en-GB"/>
        </w:rPr>
        <w:t xml:space="preserve"> de economías ilícitas y su impacto en la implementación del </w:t>
      </w:r>
      <w:r w:rsidR="00046DCB">
        <w:rPr>
          <w:noProof/>
          <w:lang w:val="es-CO" w:eastAsia="en-GB"/>
        </w:rPr>
        <w:t>A</w:t>
      </w:r>
      <w:r w:rsidR="002C71C6" w:rsidRPr="00044745">
        <w:rPr>
          <w:noProof/>
          <w:lang w:val="es-CO" w:eastAsia="en-GB"/>
        </w:rPr>
        <w:t xml:space="preserve">cuerdo </w:t>
      </w:r>
      <w:bookmarkEnd w:id="8"/>
    </w:p>
    <w:p w14:paraId="7FA65D48" w14:textId="4D3DC9B5" w:rsidR="002C71C6" w:rsidRPr="00044745" w:rsidRDefault="00950118" w:rsidP="001544A7">
      <w:pPr>
        <w:pStyle w:val="SingleTxtG"/>
        <w:rPr>
          <w:noProof/>
          <w:lang w:val="es-CO" w:eastAsia="en-GB"/>
        </w:rPr>
      </w:pPr>
      <w:r w:rsidRPr="00044745">
        <w:rPr>
          <w:noProof/>
          <w:lang w:val="es-CO" w:eastAsia="en-GB"/>
        </w:rPr>
        <w:t>38</w:t>
      </w:r>
      <w:r w:rsidR="001544A7" w:rsidRPr="00044745">
        <w:rPr>
          <w:noProof/>
          <w:lang w:val="es-CO" w:eastAsia="en-GB"/>
        </w:rPr>
        <w:t>.</w:t>
      </w:r>
      <w:r w:rsidR="001544A7" w:rsidRPr="00044745">
        <w:rPr>
          <w:noProof/>
          <w:lang w:val="es-CO" w:eastAsia="en-GB"/>
        </w:rPr>
        <w:tab/>
      </w:r>
      <w:r w:rsidR="002C71C6" w:rsidRPr="00044745">
        <w:rPr>
          <w:noProof/>
          <w:lang w:val="es-CO" w:eastAsia="en-GB"/>
        </w:rPr>
        <w:t>La presencia efectiva e integral del Estado en zonas rurales es fundamental para garantizar la seguridad, la justicia, el empoderamiento de líderes y autoridades y para estimula</w:t>
      </w:r>
      <w:r w:rsidR="00B625AE">
        <w:rPr>
          <w:noProof/>
          <w:lang w:val="es-CO" w:eastAsia="en-GB"/>
        </w:rPr>
        <w:t>r</w:t>
      </w:r>
      <w:r w:rsidR="002C71C6" w:rsidRPr="00044745">
        <w:rPr>
          <w:noProof/>
          <w:lang w:val="es-CO" w:eastAsia="en-GB"/>
        </w:rPr>
        <w:t xml:space="preserve"> el desarrollo económico. Si bien se han formulado planes y adoptado leyes para garantizar una mayor presencia estatal, el despliegüe de servicios estatales apenas </w:t>
      </w:r>
      <w:r w:rsidR="002D0DF5">
        <w:rPr>
          <w:noProof/>
          <w:lang w:val="es-CO" w:eastAsia="en-GB"/>
        </w:rPr>
        <w:t>se ha iniciado</w:t>
      </w:r>
      <w:r w:rsidR="002C71C6" w:rsidRPr="00044745">
        <w:rPr>
          <w:rStyle w:val="FootnoteReference"/>
          <w:noProof/>
          <w:lang w:val="es-CO" w:eastAsia="en-GB"/>
        </w:rPr>
        <w:footnoteReference w:id="10"/>
      </w:r>
      <w:r w:rsidR="002C71C6" w:rsidRPr="00044745">
        <w:rPr>
          <w:noProof/>
          <w:lang w:val="es-CO" w:eastAsia="en-GB"/>
        </w:rPr>
        <w:t xml:space="preserve">. </w:t>
      </w:r>
      <w:r w:rsidR="009234ED">
        <w:rPr>
          <w:noProof/>
          <w:lang w:val="es-CO" w:eastAsia="en-GB"/>
        </w:rPr>
        <w:t>La presencia del Estado unicamente a través de sus fuerzas de seguridad que buscan imponer autoridad a través de la fuerza, no contribuye a gen</w:t>
      </w:r>
      <w:r w:rsidR="00CE4560">
        <w:rPr>
          <w:noProof/>
          <w:lang w:val="es-CO" w:eastAsia="en-GB"/>
        </w:rPr>
        <w:t>erar cambios positivos y</w:t>
      </w:r>
      <w:r w:rsidR="00236F9D">
        <w:rPr>
          <w:noProof/>
          <w:lang w:val="es-CO" w:eastAsia="en-GB"/>
        </w:rPr>
        <w:t xml:space="preserve"> sostenibles </w:t>
      </w:r>
      <w:r w:rsidR="00CE4560">
        <w:rPr>
          <w:noProof/>
          <w:lang w:val="es-CO" w:eastAsia="en-GB"/>
        </w:rPr>
        <w:t>para las camunidades. La falta de un enfoque de intervención integral del Estado ha llevado a una escalada de violencia en ciertas partes del país.</w:t>
      </w:r>
      <w:r w:rsidR="009234ED">
        <w:rPr>
          <w:noProof/>
          <w:lang w:val="es-CO" w:eastAsia="en-GB"/>
        </w:rPr>
        <w:t xml:space="preserve"> </w:t>
      </w:r>
    </w:p>
    <w:p w14:paraId="2C55995B" w14:textId="4251581A" w:rsidR="005D1E31" w:rsidRPr="00044745" w:rsidRDefault="00950118" w:rsidP="001544A7">
      <w:pPr>
        <w:pStyle w:val="SingleTxtG"/>
        <w:rPr>
          <w:noProof/>
          <w:lang w:val="es-CO" w:eastAsia="en-GB"/>
        </w:rPr>
      </w:pPr>
      <w:r w:rsidRPr="00044745">
        <w:rPr>
          <w:noProof/>
          <w:lang w:val="es-CO" w:eastAsia="en-GB"/>
        </w:rPr>
        <w:t>39</w:t>
      </w:r>
      <w:r w:rsidR="001544A7" w:rsidRPr="00044745">
        <w:rPr>
          <w:noProof/>
          <w:lang w:val="es-CO" w:eastAsia="en-GB"/>
        </w:rPr>
        <w:t>.</w:t>
      </w:r>
      <w:r w:rsidR="001544A7" w:rsidRPr="00044745">
        <w:rPr>
          <w:noProof/>
          <w:lang w:val="es-CO" w:eastAsia="en-GB"/>
        </w:rPr>
        <w:tab/>
      </w:r>
      <w:r w:rsidR="005D1E31" w:rsidRPr="00044745">
        <w:rPr>
          <w:noProof/>
          <w:lang w:val="es-CO" w:eastAsia="en-GB"/>
        </w:rPr>
        <w:t>Entre los grupos violentos que se aprovechan de la débil presencia estatal en</w:t>
      </w:r>
      <w:r w:rsidR="00B625AE">
        <w:rPr>
          <w:noProof/>
          <w:lang w:val="es-CO" w:eastAsia="en-GB"/>
        </w:rPr>
        <w:t xml:space="preserve"> las</w:t>
      </w:r>
      <w:r w:rsidR="005D1E31" w:rsidRPr="00044745">
        <w:rPr>
          <w:noProof/>
          <w:lang w:val="es-CO" w:eastAsia="en-GB"/>
        </w:rPr>
        <w:t xml:space="preserve"> </w:t>
      </w:r>
      <w:r w:rsidR="003E50D5" w:rsidRPr="00044745">
        <w:rPr>
          <w:noProof/>
          <w:lang w:val="es-CO" w:eastAsia="en-GB"/>
        </w:rPr>
        <w:t xml:space="preserve">antiguas zonas de influencia de </w:t>
      </w:r>
      <w:r w:rsidR="005D1E31" w:rsidRPr="00044745">
        <w:rPr>
          <w:noProof/>
          <w:lang w:val="es-CO" w:eastAsia="en-GB"/>
        </w:rPr>
        <w:t xml:space="preserve">las FARC-EP están </w:t>
      </w:r>
      <w:r w:rsidR="00B625AE">
        <w:rPr>
          <w:noProof/>
          <w:lang w:val="es-CO" w:eastAsia="en-GB"/>
        </w:rPr>
        <w:t xml:space="preserve">los </w:t>
      </w:r>
      <w:r w:rsidR="005D1E31" w:rsidRPr="00044745">
        <w:rPr>
          <w:noProof/>
          <w:lang w:val="es-CO" w:eastAsia="en-GB"/>
        </w:rPr>
        <w:t>grupos de</w:t>
      </w:r>
      <w:r w:rsidR="005208D8">
        <w:rPr>
          <w:noProof/>
          <w:lang w:val="es-CO" w:eastAsia="en-GB"/>
        </w:rPr>
        <w:t>l</w:t>
      </w:r>
      <w:r w:rsidR="005D1E31" w:rsidRPr="00044745">
        <w:rPr>
          <w:noProof/>
          <w:lang w:val="es-CO" w:eastAsia="en-GB"/>
        </w:rPr>
        <w:t xml:space="preserve"> crimen organizado (nacional y transnacional), numeroso</w:t>
      </w:r>
      <w:r w:rsidR="005208D8">
        <w:rPr>
          <w:noProof/>
          <w:lang w:val="es-CO" w:eastAsia="en-GB"/>
        </w:rPr>
        <w:t>s</w:t>
      </w:r>
      <w:r w:rsidR="005D1E31" w:rsidRPr="00044745">
        <w:rPr>
          <w:noProof/>
          <w:lang w:val="es-CO" w:eastAsia="en-GB"/>
        </w:rPr>
        <w:t xml:space="preserve"> grupos </w:t>
      </w:r>
      <w:r w:rsidR="005339F7">
        <w:rPr>
          <w:noProof/>
          <w:lang w:val="es-CO" w:eastAsia="en-GB"/>
        </w:rPr>
        <w:t>criminales</w:t>
      </w:r>
      <w:r w:rsidR="005D1E31" w:rsidRPr="00044745">
        <w:rPr>
          <w:noProof/>
          <w:lang w:val="es-CO" w:eastAsia="en-GB"/>
        </w:rPr>
        <w:t xml:space="preserve"> locales, grupos que </w:t>
      </w:r>
      <w:r w:rsidR="002D0DF5">
        <w:rPr>
          <w:noProof/>
          <w:lang w:val="es-CO" w:eastAsia="en-GB"/>
        </w:rPr>
        <w:t xml:space="preserve">surgieron </w:t>
      </w:r>
      <w:r w:rsidR="005D1E31" w:rsidRPr="00044745">
        <w:rPr>
          <w:noProof/>
          <w:lang w:val="es-CO" w:eastAsia="en-GB"/>
        </w:rPr>
        <w:t xml:space="preserve"> debido a las </w:t>
      </w:r>
      <w:r w:rsidR="005339F7">
        <w:rPr>
          <w:noProof/>
          <w:lang w:val="es-CO" w:eastAsia="en-GB"/>
        </w:rPr>
        <w:t>falencias</w:t>
      </w:r>
      <w:r w:rsidR="005D1E31" w:rsidRPr="00044745">
        <w:rPr>
          <w:noProof/>
          <w:lang w:val="es-CO" w:eastAsia="en-GB"/>
        </w:rPr>
        <w:t xml:space="preserve"> en el proceso de reintegración de las FARC-EP y grupos armados organizados, como el ELN y el EPL. </w:t>
      </w:r>
    </w:p>
    <w:p w14:paraId="6AE8F7D2" w14:textId="15672275" w:rsidR="005D1E31" w:rsidRPr="00044745" w:rsidRDefault="001544A7" w:rsidP="001544A7">
      <w:pPr>
        <w:pStyle w:val="SingleTxtG"/>
        <w:rPr>
          <w:noProof/>
          <w:lang w:val="es-CO" w:eastAsia="en-GB"/>
        </w:rPr>
      </w:pPr>
      <w:r w:rsidRPr="00044745">
        <w:rPr>
          <w:noProof/>
          <w:lang w:val="es-CO" w:eastAsia="en-GB"/>
        </w:rPr>
        <w:t>4</w:t>
      </w:r>
      <w:r w:rsidR="00950118" w:rsidRPr="00044745">
        <w:rPr>
          <w:noProof/>
          <w:lang w:val="es-CO" w:eastAsia="en-GB"/>
        </w:rPr>
        <w:t>0</w:t>
      </w:r>
      <w:r w:rsidRPr="00044745">
        <w:rPr>
          <w:noProof/>
          <w:lang w:val="es-CO" w:eastAsia="en-GB"/>
        </w:rPr>
        <w:t>.</w:t>
      </w:r>
      <w:r w:rsidRPr="00044745">
        <w:rPr>
          <w:noProof/>
          <w:lang w:val="es-CO" w:eastAsia="en-GB"/>
        </w:rPr>
        <w:tab/>
      </w:r>
      <w:r w:rsidR="005D1E31" w:rsidRPr="00044745">
        <w:rPr>
          <w:noProof/>
          <w:lang w:val="es-CO" w:eastAsia="en-GB"/>
        </w:rPr>
        <w:t>Su competencia por el control de las economías ilícitas se refleja en el aumento en las tasa</w:t>
      </w:r>
      <w:r w:rsidR="005339F7">
        <w:rPr>
          <w:noProof/>
          <w:lang w:val="es-CO" w:eastAsia="en-GB"/>
        </w:rPr>
        <w:t>s</w:t>
      </w:r>
      <w:r w:rsidR="005D1E31" w:rsidRPr="00044745">
        <w:rPr>
          <w:noProof/>
          <w:lang w:val="es-CO" w:eastAsia="en-GB"/>
        </w:rPr>
        <w:t xml:space="preserve"> de homicidios en varias regiones, incluyendo las declaradas como ZOMAC. </w:t>
      </w:r>
      <w:r w:rsidR="00D44AAE" w:rsidRPr="00044745">
        <w:rPr>
          <w:noProof/>
          <w:lang w:val="es-CO" w:eastAsia="en-GB"/>
        </w:rPr>
        <w:t xml:space="preserve">Por ejemplo, en </w:t>
      </w:r>
      <w:r w:rsidR="00A0057A">
        <w:rPr>
          <w:noProof/>
          <w:lang w:val="es-CO" w:eastAsia="en-GB"/>
        </w:rPr>
        <w:t>Mesetas, Meta;</w:t>
      </w:r>
      <w:r w:rsidR="00D44AAE" w:rsidRPr="00044745">
        <w:rPr>
          <w:noProof/>
          <w:lang w:val="es-CO" w:eastAsia="en-GB"/>
        </w:rPr>
        <w:t xml:space="preserve">, </w:t>
      </w:r>
      <w:r w:rsidR="00A0057A">
        <w:rPr>
          <w:noProof/>
          <w:lang w:val="es-CO" w:eastAsia="en-GB"/>
        </w:rPr>
        <w:t xml:space="preserve">Magui Payán, Nariño </w:t>
      </w:r>
      <w:r w:rsidR="00D44AAE" w:rsidRPr="00044745">
        <w:rPr>
          <w:noProof/>
          <w:lang w:val="es-CO" w:eastAsia="en-GB"/>
        </w:rPr>
        <w:t xml:space="preserve">, así como en </w:t>
      </w:r>
      <w:r w:rsidR="00A0057A">
        <w:rPr>
          <w:noProof/>
          <w:lang w:val="es-CO" w:eastAsia="en-GB"/>
        </w:rPr>
        <w:t>El Carmen en Norte de Santander</w:t>
      </w:r>
      <w:r w:rsidR="00D44AAE" w:rsidRPr="00044745">
        <w:rPr>
          <w:noProof/>
          <w:lang w:val="es-CO" w:eastAsia="en-GB"/>
        </w:rPr>
        <w:t xml:space="preserve">, el número de homicidios registrados por la Policía Nacional </w:t>
      </w:r>
      <w:r w:rsidR="00A0057A">
        <w:rPr>
          <w:noProof/>
          <w:lang w:val="es-CO" w:eastAsia="en-GB"/>
        </w:rPr>
        <w:t xml:space="preserve">en 2017 </w:t>
      </w:r>
      <w:r w:rsidR="003E2279">
        <w:rPr>
          <w:noProof/>
          <w:lang w:val="es-CO" w:eastAsia="en-GB"/>
        </w:rPr>
        <w:t xml:space="preserve"> mostró un incremento de 1095, 966 y 916 </w:t>
      </w:r>
      <w:r w:rsidR="00D44AAE" w:rsidRPr="00044745">
        <w:rPr>
          <w:noProof/>
          <w:lang w:val="es-CO" w:eastAsia="en-GB"/>
        </w:rPr>
        <w:t xml:space="preserve">por ciento, respectivamente, </w:t>
      </w:r>
      <w:r w:rsidR="003E2279">
        <w:rPr>
          <w:noProof/>
          <w:lang w:val="es-CO" w:eastAsia="en-GB"/>
        </w:rPr>
        <w:t>a</w:t>
      </w:r>
      <w:r w:rsidR="00D44AAE" w:rsidRPr="00044745">
        <w:rPr>
          <w:noProof/>
          <w:lang w:val="es-CO" w:eastAsia="en-GB"/>
        </w:rPr>
        <w:t xml:space="preserve">l número registrado </w:t>
      </w:r>
      <w:r w:rsidR="003E2279">
        <w:rPr>
          <w:noProof/>
          <w:lang w:val="es-CO" w:eastAsia="en-GB"/>
        </w:rPr>
        <w:t xml:space="preserve">en </w:t>
      </w:r>
      <w:r w:rsidR="00D44AAE" w:rsidRPr="00044745">
        <w:rPr>
          <w:noProof/>
          <w:lang w:val="es-CO" w:eastAsia="en-GB"/>
        </w:rPr>
        <w:t xml:space="preserve">2016. Quienes viven en las zonas de economías ilícitas sufren de diferentes tipos de violencia, lo cual ha hecho que algunos civiles busquen el apoyo de los grupos ilegales como medida de protección. </w:t>
      </w:r>
    </w:p>
    <w:p w14:paraId="42B7DF0F" w14:textId="59F0550C" w:rsidR="003833FE" w:rsidRDefault="001544A7" w:rsidP="00E337E3">
      <w:pPr>
        <w:pStyle w:val="SingleTxtG"/>
        <w:rPr>
          <w:noProof/>
          <w:lang w:val="es-CO" w:eastAsia="en-GB"/>
        </w:rPr>
      </w:pPr>
      <w:r w:rsidRPr="00044745">
        <w:rPr>
          <w:noProof/>
          <w:lang w:val="es-CO" w:eastAsia="en-GB"/>
        </w:rPr>
        <w:t>4</w:t>
      </w:r>
      <w:r w:rsidR="00950118" w:rsidRPr="00044745">
        <w:rPr>
          <w:noProof/>
          <w:lang w:val="es-CO" w:eastAsia="en-GB"/>
        </w:rPr>
        <w:t>1</w:t>
      </w:r>
      <w:r w:rsidRPr="00044745">
        <w:rPr>
          <w:noProof/>
          <w:lang w:val="es-CO" w:eastAsia="en-GB"/>
        </w:rPr>
        <w:t>.</w:t>
      </w:r>
      <w:r w:rsidRPr="00044745">
        <w:rPr>
          <w:noProof/>
          <w:lang w:val="es-CO" w:eastAsia="en-GB"/>
        </w:rPr>
        <w:tab/>
      </w:r>
      <w:r w:rsidR="00D44AAE" w:rsidRPr="00044745">
        <w:rPr>
          <w:noProof/>
          <w:lang w:val="es-CO" w:eastAsia="en-GB"/>
        </w:rPr>
        <w:t xml:space="preserve">Una solución sostenible a los cultivos ilícitos requiere cambios estructurales que permitan que los campesinos se puedan integrar plenamente a la economía legal en el largo plazo. </w:t>
      </w:r>
      <w:r w:rsidR="00B625AE">
        <w:rPr>
          <w:noProof/>
          <w:lang w:val="es-CO" w:eastAsia="en-GB"/>
        </w:rPr>
        <w:t>Las disposiciones del A</w:t>
      </w:r>
      <w:r w:rsidR="00E97491" w:rsidRPr="00044745">
        <w:rPr>
          <w:noProof/>
          <w:lang w:val="es-CO" w:eastAsia="en-GB"/>
        </w:rPr>
        <w:t xml:space="preserve">cuerdo en materia de sustitución de cultivos ilícitos y reforma rural ofrecen una oportunidad histórica a miles de  </w:t>
      </w:r>
      <w:r w:rsidR="00B625AE">
        <w:rPr>
          <w:noProof/>
          <w:lang w:val="es-CO" w:eastAsia="en-GB"/>
        </w:rPr>
        <w:t xml:space="preserve">campesinos </w:t>
      </w:r>
      <w:r w:rsidR="00E97491" w:rsidRPr="00044745">
        <w:rPr>
          <w:noProof/>
          <w:lang w:val="es-CO" w:eastAsia="en-GB"/>
        </w:rPr>
        <w:t xml:space="preserve"> que desean sustituir sus </w:t>
      </w:r>
      <w:r w:rsidR="00E97491" w:rsidRPr="00044745">
        <w:rPr>
          <w:noProof/>
          <w:lang w:val="es-CO" w:eastAsia="en-GB"/>
        </w:rPr>
        <w:lastRenderedPageBreak/>
        <w:t>cultivos ilícitos. El Estado y la comunidad internacional debe</w:t>
      </w:r>
      <w:r w:rsidR="00EA5CCA">
        <w:rPr>
          <w:noProof/>
          <w:lang w:val="es-CO" w:eastAsia="en-GB"/>
        </w:rPr>
        <w:t>n</w:t>
      </w:r>
      <w:r w:rsidR="00E97491" w:rsidRPr="00044745">
        <w:rPr>
          <w:noProof/>
          <w:lang w:val="es-CO" w:eastAsia="en-GB"/>
        </w:rPr>
        <w:t xml:space="preserve"> apoyar los esfuerzos de sustitución y no soca</w:t>
      </w:r>
      <w:r w:rsidR="00B625AE">
        <w:rPr>
          <w:noProof/>
          <w:lang w:val="es-CO" w:eastAsia="en-GB"/>
        </w:rPr>
        <w:t>va</w:t>
      </w:r>
      <w:r w:rsidR="00E97491" w:rsidRPr="00044745">
        <w:rPr>
          <w:noProof/>
          <w:lang w:val="es-CO" w:eastAsia="en-GB"/>
        </w:rPr>
        <w:t xml:space="preserve">rlos mediante la eradicación forzada, </w:t>
      </w:r>
      <w:r w:rsidR="00EA5CCA">
        <w:rPr>
          <w:noProof/>
          <w:lang w:val="es-CO" w:eastAsia="en-GB"/>
        </w:rPr>
        <w:t xml:space="preserve">esto </w:t>
      </w:r>
      <w:r w:rsidR="00E97491" w:rsidRPr="00044745">
        <w:rPr>
          <w:noProof/>
          <w:lang w:val="es-CO" w:eastAsia="en-GB"/>
        </w:rPr>
        <w:t xml:space="preserve">con el fin de maximizar esta oportunidad histórica para los más de cien mil cultivadores de coca que han manifestado su interés en la sustitución. </w:t>
      </w:r>
      <w:r w:rsidR="007C6C8E" w:rsidRPr="00044745">
        <w:rPr>
          <w:noProof/>
          <w:lang w:val="es-CO" w:eastAsia="en-GB"/>
        </w:rPr>
        <w:t xml:space="preserve">Hasta el momento, </w:t>
      </w:r>
      <w:r w:rsidR="00C71000" w:rsidRPr="00044745">
        <w:rPr>
          <w:noProof/>
          <w:lang w:val="es-CO" w:eastAsia="en-GB"/>
        </w:rPr>
        <w:t>e</w:t>
      </w:r>
      <w:r w:rsidR="007C6C8E" w:rsidRPr="00044745">
        <w:rPr>
          <w:noProof/>
          <w:lang w:val="es-CO" w:eastAsia="en-GB"/>
        </w:rPr>
        <w:t xml:space="preserve">l Estado y los donantes </w:t>
      </w:r>
      <w:r w:rsidR="00C71000" w:rsidRPr="00044745">
        <w:rPr>
          <w:noProof/>
          <w:lang w:val="es-CO" w:eastAsia="en-GB"/>
        </w:rPr>
        <w:t xml:space="preserve">han </w:t>
      </w:r>
      <w:r w:rsidR="00B625AE">
        <w:rPr>
          <w:noProof/>
          <w:lang w:val="es-CO" w:eastAsia="en-GB"/>
        </w:rPr>
        <w:t xml:space="preserve">estado </w:t>
      </w:r>
      <w:r w:rsidR="00C71000" w:rsidRPr="00044745">
        <w:rPr>
          <w:noProof/>
          <w:lang w:val="es-CO" w:eastAsia="en-GB"/>
        </w:rPr>
        <w:t>utiliza</w:t>
      </w:r>
      <w:r w:rsidR="00B625AE">
        <w:rPr>
          <w:noProof/>
          <w:lang w:val="es-CO" w:eastAsia="en-GB"/>
        </w:rPr>
        <w:t>n</w:t>
      </w:r>
      <w:r w:rsidR="00C71000" w:rsidRPr="00044745">
        <w:rPr>
          <w:noProof/>
          <w:lang w:val="es-CO" w:eastAsia="en-GB"/>
        </w:rPr>
        <w:t>do como me</w:t>
      </w:r>
      <w:r w:rsidR="00B625AE">
        <w:rPr>
          <w:noProof/>
          <w:lang w:val="es-CO" w:eastAsia="en-GB"/>
        </w:rPr>
        <w:t>ta</w:t>
      </w:r>
      <w:r w:rsidR="00C71000" w:rsidRPr="00044745">
        <w:rPr>
          <w:noProof/>
          <w:lang w:val="es-CO" w:eastAsia="en-GB"/>
        </w:rPr>
        <w:t xml:space="preserve"> la cantidad de coca e</w:t>
      </w:r>
      <w:r w:rsidR="005063E9">
        <w:rPr>
          <w:noProof/>
          <w:lang w:val="es-CO" w:eastAsia="en-GB"/>
        </w:rPr>
        <w:t>r</w:t>
      </w:r>
      <w:r w:rsidR="003833FE">
        <w:rPr>
          <w:noProof/>
          <w:lang w:val="es-CO" w:eastAsia="en-GB"/>
        </w:rPr>
        <w:t>radicada, cuando</w:t>
      </w:r>
      <w:r w:rsidR="00B625AE">
        <w:rPr>
          <w:noProof/>
          <w:lang w:val="es-CO" w:eastAsia="en-GB"/>
        </w:rPr>
        <w:t xml:space="preserve"> </w:t>
      </w:r>
      <w:r w:rsidR="005063E9">
        <w:rPr>
          <w:noProof/>
          <w:lang w:val="es-CO" w:eastAsia="en-GB"/>
        </w:rPr>
        <w:t xml:space="preserve">en realidad se necesitan </w:t>
      </w:r>
      <w:r w:rsidR="00B625AE">
        <w:rPr>
          <w:noProof/>
          <w:lang w:val="es-CO" w:eastAsia="en-GB"/>
        </w:rPr>
        <w:t xml:space="preserve"> indicador</w:t>
      </w:r>
      <w:r w:rsidR="005063E9">
        <w:rPr>
          <w:noProof/>
          <w:lang w:val="es-CO" w:eastAsia="en-GB"/>
        </w:rPr>
        <w:t>es</w:t>
      </w:r>
      <w:r w:rsidR="00B625AE">
        <w:rPr>
          <w:noProof/>
          <w:lang w:val="es-CO" w:eastAsia="en-GB"/>
        </w:rPr>
        <w:t xml:space="preserve"> </w:t>
      </w:r>
      <w:r w:rsidR="000A24BE">
        <w:rPr>
          <w:noProof/>
          <w:lang w:val="es-CO" w:eastAsia="en-GB"/>
        </w:rPr>
        <w:t xml:space="preserve">que, </w:t>
      </w:r>
      <w:r w:rsidR="00C71000" w:rsidRPr="00044745">
        <w:rPr>
          <w:noProof/>
          <w:lang w:val="es-CO" w:eastAsia="en-GB"/>
        </w:rPr>
        <w:t>bas</w:t>
      </w:r>
      <w:r w:rsidR="00800963">
        <w:rPr>
          <w:noProof/>
          <w:lang w:val="es-CO" w:eastAsia="en-GB"/>
        </w:rPr>
        <w:t>ado</w:t>
      </w:r>
      <w:r w:rsidR="005063E9">
        <w:rPr>
          <w:noProof/>
          <w:lang w:val="es-CO" w:eastAsia="en-GB"/>
        </w:rPr>
        <w:t>s</w:t>
      </w:r>
      <w:r w:rsidR="00800963">
        <w:rPr>
          <w:noProof/>
          <w:lang w:val="es-CO" w:eastAsia="en-GB"/>
        </w:rPr>
        <w:t xml:space="preserve"> </w:t>
      </w:r>
      <w:r w:rsidR="00C71000" w:rsidRPr="00044745">
        <w:rPr>
          <w:noProof/>
          <w:lang w:val="es-CO" w:eastAsia="en-GB"/>
        </w:rPr>
        <w:t xml:space="preserve">en derechos y en el </w:t>
      </w:r>
      <w:r w:rsidR="00B625AE">
        <w:rPr>
          <w:noProof/>
          <w:lang w:val="es-CO" w:eastAsia="en-GB"/>
        </w:rPr>
        <w:t>A</w:t>
      </w:r>
      <w:r w:rsidR="00C71000" w:rsidRPr="00044745">
        <w:rPr>
          <w:noProof/>
          <w:lang w:val="es-CO" w:eastAsia="en-GB"/>
        </w:rPr>
        <w:t>cuerdo</w:t>
      </w:r>
      <w:r w:rsidR="000A24BE">
        <w:rPr>
          <w:noProof/>
          <w:lang w:val="es-CO" w:eastAsia="en-GB"/>
        </w:rPr>
        <w:t>,</w:t>
      </w:r>
      <w:r w:rsidR="00C71000" w:rsidRPr="00044745">
        <w:rPr>
          <w:noProof/>
          <w:lang w:val="es-CO" w:eastAsia="en-GB"/>
        </w:rPr>
        <w:t xml:space="preserve"> </w:t>
      </w:r>
      <w:r w:rsidR="005063E9">
        <w:rPr>
          <w:noProof/>
          <w:lang w:val="es-CO" w:eastAsia="en-GB"/>
        </w:rPr>
        <w:t xml:space="preserve"> permitan medir el éxito </w:t>
      </w:r>
      <w:r w:rsidR="00C71000" w:rsidRPr="00044745">
        <w:rPr>
          <w:noProof/>
          <w:lang w:val="es-CO" w:eastAsia="en-GB"/>
        </w:rPr>
        <w:t>de</w:t>
      </w:r>
      <w:r w:rsidR="005063E9">
        <w:rPr>
          <w:noProof/>
          <w:lang w:val="es-CO" w:eastAsia="en-GB"/>
        </w:rPr>
        <w:t xml:space="preserve"> la </w:t>
      </w:r>
      <w:r w:rsidR="003833FE">
        <w:rPr>
          <w:noProof/>
          <w:lang w:val="es-CO" w:eastAsia="en-GB"/>
        </w:rPr>
        <w:t xml:space="preserve">sustitución. </w:t>
      </w:r>
    </w:p>
    <w:p w14:paraId="0678233C" w14:textId="69642A4E" w:rsidR="00D44AAE" w:rsidRPr="00044745" w:rsidRDefault="00C71000" w:rsidP="00E337E3">
      <w:pPr>
        <w:pStyle w:val="SingleTxtG"/>
        <w:rPr>
          <w:noProof/>
          <w:lang w:val="es-CO" w:eastAsia="en-GB"/>
        </w:rPr>
      </w:pPr>
      <w:r w:rsidRPr="00044745">
        <w:rPr>
          <w:noProof/>
          <w:lang w:val="es-CO" w:eastAsia="en-GB"/>
        </w:rPr>
        <w:t xml:space="preserve"> </w:t>
      </w:r>
    </w:p>
    <w:p w14:paraId="49EC76A9" w14:textId="168C5E07" w:rsidR="00C71000" w:rsidRPr="00044745" w:rsidRDefault="001544A7" w:rsidP="001544A7">
      <w:pPr>
        <w:pStyle w:val="SingleTxtG"/>
        <w:rPr>
          <w:noProof/>
          <w:lang w:val="es-CO" w:eastAsia="en-GB"/>
        </w:rPr>
      </w:pPr>
      <w:r w:rsidRPr="00044745">
        <w:rPr>
          <w:noProof/>
          <w:lang w:val="es-CO" w:eastAsia="en-GB"/>
        </w:rPr>
        <w:t>4</w:t>
      </w:r>
      <w:r w:rsidR="00950118" w:rsidRPr="00044745">
        <w:rPr>
          <w:noProof/>
          <w:lang w:val="es-CO" w:eastAsia="en-GB"/>
        </w:rPr>
        <w:t>2</w:t>
      </w:r>
      <w:r w:rsidRPr="00044745">
        <w:rPr>
          <w:noProof/>
          <w:lang w:val="es-CO" w:eastAsia="en-GB"/>
        </w:rPr>
        <w:t>.</w:t>
      </w:r>
      <w:r w:rsidRPr="00044745">
        <w:rPr>
          <w:noProof/>
          <w:lang w:val="es-CO" w:eastAsia="en-GB"/>
        </w:rPr>
        <w:tab/>
      </w:r>
      <w:r w:rsidR="00C71000" w:rsidRPr="00044745">
        <w:rPr>
          <w:noProof/>
          <w:lang w:val="es-CO" w:eastAsia="en-GB"/>
        </w:rPr>
        <w:t>Las operaciones de e</w:t>
      </w:r>
      <w:r w:rsidR="005063E9">
        <w:rPr>
          <w:noProof/>
          <w:lang w:val="es-CO" w:eastAsia="en-GB"/>
        </w:rPr>
        <w:t>r</w:t>
      </w:r>
      <w:r w:rsidR="00C71000" w:rsidRPr="00044745">
        <w:rPr>
          <w:noProof/>
          <w:lang w:val="es-CO" w:eastAsia="en-GB"/>
        </w:rPr>
        <w:t>radicación forzada de cultivos ilícitos realizadas por el Ministerio de Defensa Nacional en zonas donde se han firmado, o se están considerando, acuerdos de su</w:t>
      </w:r>
      <w:r w:rsidR="00800963">
        <w:rPr>
          <w:noProof/>
          <w:lang w:val="es-CO" w:eastAsia="en-GB"/>
        </w:rPr>
        <w:t>stitución voluntaria desencadenaron</w:t>
      </w:r>
      <w:r w:rsidR="00C71000" w:rsidRPr="00044745">
        <w:rPr>
          <w:noProof/>
          <w:lang w:val="es-CO" w:eastAsia="en-GB"/>
        </w:rPr>
        <w:t xml:space="preserve"> protestas y confrontaciones. En muchos casos </w:t>
      </w:r>
      <w:r w:rsidR="003833FE">
        <w:rPr>
          <w:noProof/>
          <w:lang w:val="es-CO" w:eastAsia="en-GB"/>
        </w:rPr>
        <w:t>la</w:t>
      </w:r>
      <w:r w:rsidR="00C71000" w:rsidRPr="00044745">
        <w:rPr>
          <w:noProof/>
          <w:lang w:val="es-CO" w:eastAsia="en-GB"/>
        </w:rPr>
        <w:t xml:space="preserve"> </w:t>
      </w:r>
      <w:r w:rsidR="005063E9">
        <w:rPr>
          <w:noProof/>
          <w:lang w:val="es-CO" w:eastAsia="en-GB"/>
        </w:rPr>
        <w:t>O</w:t>
      </w:r>
      <w:r w:rsidR="00C71000" w:rsidRPr="00044745">
        <w:rPr>
          <w:noProof/>
          <w:lang w:val="es-CO" w:eastAsia="en-GB"/>
        </w:rPr>
        <w:t>ACNUDH intervino para evitar un</w:t>
      </w:r>
      <w:r w:rsidR="003833FE">
        <w:rPr>
          <w:noProof/>
          <w:lang w:val="es-CO" w:eastAsia="en-GB"/>
        </w:rPr>
        <w:t>a</w:t>
      </w:r>
      <w:r w:rsidR="00C71000" w:rsidRPr="00044745">
        <w:rPr>
          <w:noProof/>
          <w:lang w:val="es-CO" w:eastAsia="en-GB"/>
        </w:rPr>
        <w:t xml:space="preserve"> escala</w:t>
      </w:r>
      <w:r w:rsidR="003833FE">
        <w:rPr>
          <w:noProof/>
          <w:lang w:val="es-CO" w:eastAsia="en-GB"/>
        </w:rPr>
        <w:t>da</w:t>
      </w:r>
      <w:r w:rsidR="00C71000" w:rsidRPr="00044745">
        <w:rPr>
          <w:noProof/>
          <w:lang w:val="es-CO" w:eastAsia="en-GB"/>
        </w:rPr>
        <w:t xml:space="preserve"> de la violencia. </w:t>
      </w:r>
      <w:r w:rsidR="004127BE" w:rsidRPr="00044745">
        <w:rPr>
          <w:noProof/>
          <w:lang w:val="es-CO" w:eastAsia="en-GB"/>
        </w:rPr>
        <w:t xml:space="preserve">La presencia de grupos ilegales que amenazan, secuestran y asesinan a personas que apoyan la sustitución (activistas locales, funcionarios de gobierno, </w:t>
      </w:r>
      <w:r w:rsidR="003833FE">
        <w:rPr>
          <w:noProof/>
          <w:lang w:val="es-CO" w:eastAsia="en-GB"/>
        </w:rPr>
        <w:t>empleados</w:t>
      </w:r>
      <w:r w:rsidR="003833FE" w:rsidRPr="00044745">
        <w:rPr>
          <w:noProof/>
          <w:lang w:val="es-CO" w:eastAsia="en-GB"/>
        </w:rPr>
        <w:t xml:space="preserve"> </w:t>
      </w:r>
      <w:r w:rsidR="004127BE" w:rsidRPr="00044745">
        <w:rPr>
          <w:noProof/>
          <w:lang w:val="es-CO" w:eastAsia="en-GB"/>
        </w:rPr>
        <w:t xml:space="preserve">de organizaciones internacionales), junto con los mensajes contradictorios que se generan cuando las comunidades interesadas en la sustitución han sido </w:t>
      </w:r>
      <w:r w:rsidR="00800963">
        <w:rPr>
          <w:noProof/>
          <w:lang w:val="es-CO" w:eastAsia="en-GB"/>
        </w:rPr>
        <w:t xml:space="preserve">obligadas </w:t>
      </w:r>
      <w:r w:rsidR="004127BE" w:rsidRPr="00044745">
        <w:rPr>
          <w:noProof/>
          <w:lang w:val="es-CO" w:eastAsia="en-GB"/>
        </w:rPr>
        <w:t>a e</w:t>
      </w:r>
      <w:r w:rsidR="005063E9">
        <w:rPr>
          <w:noProof/>
          <w:lang w:val="es-CO" w:eastAsia="en-GB"/>
        </w:rPr>
        <w:t>r</w:t>
      </w:r>
      <w:r w:rsidR="004127BE" w:rsidRPr="00044745">
        <w:rPr>
          <w:noProof/>
          <w:lang w:val="es-CO" w:eastAsia="en-GB"/>
        </w:rPr>
        <w:t>radicar, ha empujado a algunas comunidades hacia la esfera de influencia de grupos armados ilegales y organizaciones</w:t>
      </w:r>
      <w:r w:rsidR="00195D94" w:rsidRPr="00044745">
        <w:rPr>
          <w:noProof/>
          <w:lang w:val="es-CO" w:eastAsia="en-GB"/>
        </w:rPr>
        <w:t xml:space="preserve"> delictivas</w:t>
      </w:r>
      <w:r w:rsidR="004127BE" w:rsidRPr="00044745">
        <w:rPr>
          <w:noProof/>
          <w:lang w:val="es-CO" w:eastAsia="en-GB"/>
        </w:rPr>
        <w:t xml:space="preserve">. </w:t>
      </w:r>
    </w:p>
    <w:p w14:paraId="0F90FE46" w14:textId="54192AE0" w:rsidR="004127BE" w:rsidRPr="00044745" w:rsidRDefault="001544A7" w:rsidP="001544A7">
      <w:pPr>
        <w:pStyle w:val="SingleTxtG"/>
        <w:rPr>
          <w:noProof/>
          <w:lang w:val="es-CO" w:eastAsia="en-GB"/>
        </w:rPr>
      </w:pPr>
      <w:r w:rsidRPr="00044745">
        <w:rPr>
          <w:noProof/>
          <w:lang w:val="es-CO" w:eastAsia="en-GB"/>
        </w:rPr>
        <w:t>4</w:t>
      </w:r>
      <w:r w:rsidR="00950118" w:rsidRPr="00044745">
        <w:rPr>
          <w:noProof/>
          <w:lang w:val="es-CO" w:eastAsia="en-GB"/>
        </w:rPr>
        <w:t>3</w:t>
      </w:r>
      <w:r w:rsidRPr="00044745">
        <w:rPr>
          <w:noProof/>
          <w:lang w:val="es-CO" w:eastAsia="en-GB"/>
        </w:rPr>
        <w:t>.</w:t>
      </w:r>
      <w:r w:rsidRPr="00044745">
        <w:rPr>
          <w:noProof/>
          <w:lang w:val="es-CO" w:eastAsia="en-GB"/>
        </w:rPr>
        <w:tab/>
      </w:r>
      <w:r w:rsidR="005063E9">
        <w:rPr>
          <w:noProof/>
          <w:lang w:val="es-CO" w:eastAsia="en-GB"/>
        </w:rPr>
        <w:t xml:space="preserve">La </w:t>
      </w:r>
      <w:r w:rsidR="004127BE" w:rsidRPr="00044745">
        <w:rPr>
          <w:noProof/>
          <w:lang w:val="es-CO" w:eastAsia="en-GB"/>
        </w:rPr>
        <w:t xml:space="preserve"> </w:t>
      </w:r>
      <w:r w:rsidR="005063E9">
        <w:rPr>
          <w:noProof/>
          <w:lang w:val="es-CO" w:eastAsia="en-GB"/>
        </w:rPr>
        <w:t>O</w:t>
      </w:r>
      <w:r w:rsidR="004127BE" w:rsidRPr="00044745">
        <w:rPr>
          <w:noProof/>
          <w:lang w:val="es-CO" w:eastAsia="en-GB"/>
        </w:rPr>
        <w:t xml:space="preserve">ACNUDH </w:t>
      </w:r>
      <w:r w:rsidR="00874E38" w:rsidRPr="00044745">
        <w:rPr>
          <w:noProof/>
          <w:lang w:val="es-CO" w:eastAsia="en-GB"/>
        </w:rPr>
        <w:t xml:space="preserve">realizó esfuerzos </w:t>
      </w:r>
      <w:r w:rsidR="004127BE" w:rsidRPr="00044745">
        <w:rPr>
          <w:noProof/>
          <w:lang w:val="es-CO" w:eastAsia="en-GB"/>
        </w:rPr>
        <w:t xml:space="preserve">para empoderar las estructuras </w:t>
      </w:r>
      <w:r w:rsidR="00874E38" w:rsidRPr="00044745">
        <w:rPr>
          <w:noProof/>
          <w:lang w:val="es-CO" w:eastAsia="en-GB"/>
        </w:rPr>
        <w:t>comunitarias de gobernabilidad local, como las Juntas de Acción Comunal</w:t>
      </w:r>
      <w:r w:rsidR="00800B6A" w:rsidRPr="00044745">
        <w:rPr>
          <w:rStyle w:val="FootnoteReference"/>
          <w:noProof/>
          <w:lang w:val="es-CO" w:eastAsia="en-GB"/>
        </w:rPr>
        <w:footnoteReference w:id="11"/>
      </w:r>
      <w:r w:rsidR="00800B6A" w:rsidRPr="00044745">
        <w:rPr>
          <w:noProof/>
          <w:lang w:val="es-CO" w:eastAsia="en-GB"/>
        </w:rPr>
        <w:t xml:space="preserve">, autoridades indígenas y afrocolombianas así como la participación de mujeres en </w:t>
      </w:r>
      <w:r w:rsidR="00800963">
        <w:rPr>
          <w:noProof/>
          <w:lang w:val="es-CO" w:eastAsia="en-GB"/>
        </w:rPr>
        <w:t xml:space="preserve">las </w:t>
      </w:r>
      <w:r w:rsidR="00800B6A" w:rsidRPr="00044745">
        <w:rPr>
          <w:noProof/>
          <w:lang w:val="es-CO" w:eastAsia="en-GB"/>
        </w:rPr>
        <w:t xml:space="preserve">zonas rurales, con el fin de fortalecer su capacidad de exigibilidad de sus derechos. </w:t>
      </w:r>
      <w:r w:rsidR="005063E9">
        <w:rPr>
          <w:noProof/>
          <w:lang w:val="es-CO" w:eastAsia="en-GB"/>
        </w:rPr>
        <w:t xml:space="preserve">La </w:t>
      </w:r>
      <w:r w:rsidR="00800B6A" w:rsidRPr="00044745">
        <w:rPr>
          <w:noProof/>
          <w:lang w:val="es-CO" w:eastAsia="en-GB"/>
        </w:rPr>
        <w:t xml:space="preserve"> </w:t>
      </w:r>
      <w:r w:rsidR="005063E9">
        <w:rPr>
          <w:noProof/>
          <w:lang w:val="es-CO" w:eastAsia="en-GB"/>
        </w:rPr>
        <w:t>O</w:t>
      </w:r>
      <w:r w:rsidR="00800B6A" w:rsidRPr="00044745">
        <w:rPr>
          <w:noProof/>
          <w:lang w:val="es-CO" w:eastAsia="en-GB"/>
        </w:rPr>
        <w:t xml:space="preserve">ACNUDH también ha trabajado para fomentar relaciones más cercanas entre estas entidades y las autoridades municipales, departamentales y nacionales. Este empoderamiento es crucial para apoyar el establecimiento de </w:t>
      </w:r>
      <w:r w:rsidR="00800963">
        <w:rPr>
          <w:noProof/>
          <w:lang w:val="es-CO" w:eastAsia="en-GB"/>
        </w:rPr>
        <w:t xml:space="preserve">una </w:t>
      </w:r>
      <w:r w:rsidR="00800B6A" w:rsidRPr="00044745">
        <w:rPr>
          <w:noProof/>
          <w:lang w:val="es-CO" w:eastAsia="en-GB"/>
        </w:rPr>
        <w:t xml:space="preserve">presencia efectiva e integral del Estado en </w:t>
      </w:r>
      <w:r w:rsidR="00800963">
        <w:rPr>
          <w:noProof/>
          <w:lang w:val="es-CO" w:eastAsia="en-GB"/>
        </w:rPr>
        <w:t xml:space="preserve">las </w:t>
      </w:r>
      <w:r w:rsidR="003E50D5" w:rsidRPr="00044745">
        <w:rPr>
          <w:noProof/>
          <w:lang w:val="es-CO" w:eastAsia="en-GB"/>
        </w:rPr>
        <w:t xml:space="preserve">antiguas </w:t>
      </w:r>
      <w:r w:rsidR="00800B6A" w:rsidRPr="00044745">
        <w:rPr>
          <w:noProof/>
          <w:lang w:val="es-CO" w:eastAsia="en-GB"/>
        </w:rPr>
        <w:t xml:space="preserve">zonas </w:t>
      </w:r>
      <w:r w:rsidR="003E50D5" w:rsidRPr="00044745">
        <w:rPr>
          <w:noProof/>
          <w:lang w:val="es-CO" w:eastAsia="en-GB"/>
        </w:rPr>
        <w:t xml:space="preserve">de influencia de </w:t>
      </w:r>
      <w:r w:rsidR="00800B6A" w:rsidRPr="00044745">
        <w:rPr>
          <w:noProof/>
          <w:lang w:val="es-CO" w:eastAsia="en-GB"/>
        </w:rPr>
        <w:t xml:space="preserve">las FARC-EP. </w:t>
      </w:r>
    </w:p>
    <w:p w14:paraId="487784D8" w14:textId="4D6A540B" w:rsidR="001544A7" w:rsidRPr="00044745" w:rsidRDefault="009512FE" w:rsidP="009512FE">
      <w:pPr>
        <w:pStyle w:val="H1G"/>
        <w:rPr>
          <w:noProof/>
          <w:lang w:val="es-CO" w:eastAsia="en-GB"/>
        </w:rPr>
      </w:pPr>
      <w:r w:rsidRPr="00044745">
        <w:rPr>
          <w:noProof/>
          <w:lang w:val="es-CO" w:eastAsia="en-GB"/>
        </w:rPr>
        <w:tab/>
        <w:t>B</w:t>
      </w:r>
      <w:r w:rsidR="001544A7" w:rsidRPr="00044745">
        <w:rPr>
          <w:noProof/>
          <w:lang w:val="es-CO" w:eastAsia="en-GB"/>
        </w:rPr>
        <w:t>.</w:t>
      </w:r>
      <w:r w:rsidR="001544A7" w:rsidRPr="00044745">
        <w:rPr>
          <w:noProof/>
          <w:lang w:val="es-CO" w:eastAsia="en-GB"/>
        </w:rPr>
        <w:tab/>
      </w:r>
      <w:bookmarkStart w:id="9" w:name="_Toc503550650"/>
      <w:r w:rsidR="009A3ECD" w:rsidRPr="00044745">
        <w:rPr>
          <w:noProof/>
          <w:lang w:val="es-CO" w:eastAsia="en-GB"/>
        </w:rPr>
        <w:t xml:space="preserve">Programas de desarrollo con enfoque territorial </w:t>
      </w:r>
    </w:p>
    <w:bookmarkEnd w:id="9"/>
    <w:p w14:paraId="2C301BE6" w14:textId="58FB2381" w:rsidR="009A3ECD" w:rsidRPr="00044745" w:rsidRDefault="00950118" w:rsidP="001544A7">
      <w:pPr>
        <w:pStyle w:val="SingleTxtG"/>
        <w:rPr>
          <w:noProof/>
          <w:lang w:val="es-CO" w:eastAsia="en-GB"/>
        </w:rPr>
      </w:pPr>
      <w:r w:rsidRPr="00044745">
        <w:rPr>
          <w:noProof/>
          <w:lang w:val="es-CO" w:eastAsia="en-GB"/>
        </w:rPr>
        <w:t>44</w:t>
      </w:r>
      <w:r w:rsidR="001544A7" w:rsidRPr="00044745">
        <w:rPr>
          <w:noProof/>
          <w:lang w:val="es-CO" w:eastAsia="en-GB"/>
        </w:rPr>
        <w:t>.</w:t>
      </w:r>
      <w:r w:rsidR="001544A7" w:rsidRPr="00044745">
        <w:rPr>
          <w:noProof/>
          <w:lang w:val="es-CO" w:eastAsia="en-GB"/>
        </w:rPr>
        <w:tab/>
      </w:r>
      <w:r w:rsidR="009A3ECD" w:rsidRPr="00044745">
        <w:rPr>
          <w:noProof/>
          <w:lang w:val="es-CO" w:eastAsia="en-GB"/>
        </w:rPr>
        <w:t>Los Programas de Desarrollo con Enfoque Territorial (PDET)</w:t>
      </w:r>
      <w:r w:rsidR="00E85B66" w:rsidRPr="00044745">
        <w:rPr>
          <w:noProof/>
          <w:lang w:val="es-CO" w:eastAsia="en-GB"/>
        </w:rPr>
        <w:t xml:space="preserve"> son la </w:t>
      </w:r>
      <w:r w:rsidR="00800963">
        <w:rPr>
          <w:noProof/>
          <w:lang w:val="es-CO" w:eastAsia="en-GB"/>
        </w:rPr>
        <w:t>principal herramienta en el A</w:t>
      </w:r>
      <w:r w:rsidR="00AB7553" w:rsidRPr="00044745">
        <w:rPr>
          <w:noProof/>
          <w:lang w:val="es-CO" w:eastAsia="en-GB"/>
        </w:rPr>
        <w:t xml:space="preserve">cuerdo para la realización de los derechos humanos en las zonas rurales más afectadas por el conflicto. Deben ser implementados de manera estratégica, coordinada y oportuna, con un conjunto de objetivos alcanzables. Si bien es necesario implementarlos en todas las comunidades afectadas por el conflicto, se sugiere orientar su implementación de manera gradual y focalizada, con el fin de producir cambios tangibles en una zona antes de pasar a la siguiente. De esta manera se generaría más confianza en el proceso de paz. También se </w:t>
      </w:r>
      <w:r w:rsidR="00800963">
        <w:rPr>
          <w:noProof/>
          <w:lang w:val="es-CO" w:eastAsia="en-GB"/>
        </w:rPr>
        <w:t xml:space="preserve">generarían </w:t>
      </w:r>
      <w:r w:rsidR="00AB7553" w:rsidRPr="00044745">
        <w:rPr>
          <w:noProof/>
          <w:lang w:val="es-CO" w:eastAsia="en-GB"/>
        </w:rPr>
        <w:t xml:space="preserve">oportunidades para </w:t>
      </w:r>
      <w:r w:rsidR="00800963">
        <w:rPr>
          <w:noProof/>
          <w:lang w:val="es-CO" w:eastAsia="en-GB"/>
        </w:rPr>
        <w:t>el aprendizaje</w:t>
      </w:r>
      <w:r w:rsidR="00AB7553" w:rsidRPr="00044745">
        <w:rPr>
          <w:noProof/>
          <w:lang w:val="es-CO" w:eastAsia="en-GB"/>
        </w:rPr>
        <w:t xml:space="preserve"> inter-institucional </w:t>
      </w:r>
      <w:r w:rsidR="00795213">
        <w:rPr>
          <w:noProof/>
          <w:lang w:val="es-CO" w:eastAsia="en-GB"/>
        </w:rPr>
        <w:t xml:space="preserve">relacionados con la necesidad de abordar enfoques </w:t>
      </w:r>
      <w:r w:rsidR="00CA5B47" w:rsidRPr="00044745">
        <w:rPr>
          <w:noProof/>
          <w:lang w:val="es-CO" w:eastAsia="en-GB"/>
        </w:rPr>
        <w:t xml:space="preserve">secuenciales </w:t>
      </w:r>
      <w:r w:rsidR="00E346CF">
        <w:rPr>
          <w:noProof/>
          <w:lang w:val="es-CO" w:eastAsia="en-GB"/>
        </w:rPr>
        <w:t>y simultaneos</w:t>
      </w:r>
      <w:r w:rsidR="00CA5B47" w:rsidRPr="00044745">
        <w:rPr>
          <w:noProof/>
          <w:lang w:val="es-CO" w:eastAsia="en-GB"/>
        </w:rPr>
        <w:t xml:space="preserve"> a los problems interconectados que enfrentan las comunidades</w:t>
      </w:r>
      <w:r w:rsidR="00800963">
        <w:rPr>
          <w:noProof/>
          <w:lang w:val="es-CO" w:eastAsia="en-GB"/>
        </w:rPr>
        <w:t xml:space="preserve"> y así </w:t>
      </w:r>
      <w:r w:rsidR="005F563A">
        <w:rPr>
          <w:noProof/>
          <w:lang w:val="es-CO" w:eastAsia="en-GB"/>
        </w:rPr>
        <w:t xml:space="preserve">brindar un medio para </w:t>
      </w:r>
      <w:r w:rsidR="00CA5B47" w:rsidRPr="00044745">
        <w:rPr>
          <w:noProof/>
          <w:lang w:val="es-CO" w:eastAsia="en-GB"/>
        </w:rPr>
        <w:t>solucionar</w:t>
      </w:r>
      <w:r w:rsidR="00C84D35" w:rsidRPr="00044745">
        <w:rPr>
          <w:noProof/>
          <w:lang w:val="es-CO" w:eastAsia="en-GB"/>
        </w:rPr>
        <w:t xml:space="preserve">las más rápidamente. </w:t>
      </w:r>
    </w:p>
    <w:p w14:paraId="4CAB20B1" w14:textId="7D2EC37A" w:rsidR="00C84D35" w:rsidRPr="00044745" w:rsidRDefault="00423055" w:rsidP="001544A7">
      <w:pPr>
        <w:pStyle w:val="SingleTxtG"/>
        <w:rPr>
          <w:noProof/>
          <w:lang w:val="es-CO" w:eastAsia="en-GB"/>
        </w:rPr>
      </w:pPr>
      <w:r w:rsidRPr="00044745">
        <w:rPr>
          <w:noProof/>
          <w:lang w:val="es-CO" w:eastAsia="en-GB"/>
        </w:rPr>
        <w:t>45</w:t>
      </w:r>
      <w:r w:rsidR="001544A7" w:rsidRPr="00044745">
        <w:rPr>
          <w:noProof/>
          <w:lang w:val="es-CO" w:eastAsia="en-GB"/>
        </w:rPr>
        <w:t>.</w:t>
      </w:r>
      <w:r w:rsidR="001544A7" w:rsidRPr="00044745">
        <w:rPr>
          <w:noProof/>
          <w:lang w:val="es-CO" w:eastAsia="en-GB"/>
        </w:rPr>
        <w:tab/>
      </w:r>
      <w:r w:rsidR="00C84D35" w:rsidRPr="00044745">
        <w:rPr>
          <w:noProof/>
          <w:lang w:val="es-CO" w:eastAsia="en-GB"/>
        </w:rPr>
        <w:t>Aún no están disponibles los recursos anunciados por el gobierno en el marco de la Estrategia de Respuesta Rápida</w:t>
      </w:r>
      <w:r w:rsidR="005F563A">
        <w:rPr>
          <w:noProof/>
          <w:lang w:val="es-CO" w:eastAsia="en-GB"/>
        </w:rPr>
        <w:t xml:space="preserve"> para generar impactos inmediato</w:t>
      </w:r>
      <w:r w:rsidR="00C84D35" w:rsidRPr="00044745">
        <w:rPr>
          <w:noProof/>
          <w:lang w:val="es-CO" w:eastAsia="en-GB"/>
        </w:rPr>
        <w:t xml:space="preserve">s en las </w:t>
      </w:r>
      <w:r w:rsidR="003E50D5" w:rsidRPr="00044745">
        <w:rPr>
          <w:noProof/>
          <w:lang w:val="es-CO" w:eastAsia="en-GB"/>
        </w:rPr>
        <w:t xml:space="preserve">antiguas </w:t>
      </w:r>
      <w:r w:rsidR="00C84D35" w:rsidRPr="00044745">
        <w:rPr>
          <w:noProof/>
          <w:lang w:val="es-CO" w:eastAsia="en-GB"/>
        </w:rPr>
        <w:t xml:space="preserve">zonas </w:t>
      </w:r>
      <w:r w:rsidR="003E50D5" w:rsidRPr="00044745">
        <w:rPr>
          <w:noProof/>
          <w:lang w:val="es-CO" w:eastAsia="en-GB"/>
        </w:rPr>
        <w:t xml:space="preserve">de influencia de </w:t>
      </w:r>
      <w:r w:rsidR="00C84D35" w:rsidRPr="00044745">
        <w:rPr>
          <w:noProof/>
          <w:lang w:val="es-CO" w:eastAsia="en-GB"/>
        </w:rPr>
        <w:t xml:space="preserve">las FARC-EP. Por lo tanto, es necesario acelerar el proceso de implementación, </w:t>
      </w:r>
      <w:r w:rsidR="00E346CF">
        <w:rPr>
          <w:noProof/>
          <w:lang w:val="es-CO" w:eastAsia="en-GB"/>
        </w:rPr>
        <w:t xml:space="preserve">asegurar su finaciamiento </w:t>
      </w:r>
      <w:r w:rsidR="00C84D35" w:rsidRPr="00044745">
        <w:rPr>
          <w:noProof/>
          <w:lang w:val="es-CO" w:eastAsia="en-GB"/>
        </w:rPr>
        <w:t xml:space="preserve">y garantizar que </w:t>
      </w:r>
      <w:r w:rsidR="009320AD" w:rsidRPr="00044745">
        <w:rPr>
          <w:noProof/>
          <w:lang w:val="es-CO" w:eastAsia="en-GB"/>
        </w:rPr>
        <w:t xml:space="preserve">las demoras </w:t>
      </w:r>
      <w:r w:rsidR="00C84D35" w:rsidRPr="00044745">
        <w:rPr>
          <w:noProof/>
          <w:lang w:val="es-CO" w:eastAsia="en-GB"/>
        </w:rPr>
        <w:t>no se repitan</w:t>
      </w:r>
      <w:r w:rsidR="00795213">
        <w:rPr>
          <w:noProof/>
          <w:lang w:val="es-CO" w:eastAsia="en-GB"/>
        </w:rPr>
        <w:t xml:space="preserve"> durante la implementación de los PDET</w:t>
      </w:r>
      <w:r w:rsidR="00C84D35" w:rsidRPr="00044745">
        <w:rPr>
          <w:noProof/>
          <w:lang w:val="es-CO" w:eastAsia="en-GB"/>
        </w:rPr>
        <w:t xml:space="preserve">. </w:t>
      </w:r>
    </w:p>
    <w:p w14:paraId="5C1213D8" w14:textId="02A588AE" w:rsidR="00C84D35" w:rsidRPr="00044745" w:rsidRDefault="0052296E" w:rsidP="001544A7">
      <w:pPr>
        <w:pStyle w:val="SingleTxtG"/>
        <w:rPr>
          <w:noProof/>
          <w:lang w:val="es-CO" w:eastAsia="en-GB"/>
        </w:rPr>
      </w:pPr>
      <w:r w:rsidRPr="00044745">
        <w:rPr>
          <w:noProof/>
          <w:lang w:val="es-CO" w:eastAsia="en-GB"/>
        </w:rPr>
        <w:t>46</w:t>
      </w:r>
      <w:r w:rsidR="001544A7" w:rsidRPr="00044745">
        <w:rPr>
          <w:noProof/>
          <w:lang w:val="es-CO" w:eastAsia="en-GB"/>
        </w:rPr>
        <w:t>.</w:t>
      </w:r>
      <w:r w:rsidR="001544A7" w:rsidRPr="00044745">
        <w:rPr>
          <w:noProof/>
          <w:lang w:val="es-CO" w:eastAsia="en-GB"/>
        </w:rPr>
        <w:tab/>
      </w:r>
      <w:r w:rsidR="00182461">
        <w:rPr>
          <w:noProof/>
          <w:lang w:val="es-CO" w:eastAsia="en-GB"/>
        </w:rPr>
        <w:t xml:space="preserve">La </w:t>
      </w:r>
      <w:r w:rsidR="00C84D35" w:rsidRPr="00044745">
        <w:rPr>
          <w:noProof/>
          <w:lang w:val="es-CO" w:eastAsia="en-GB"/>
        </w:rPr>
        <w:t xml:space="preserve"> </w:t>
      </w:r>
      <w:r w:rsidR="00182461">
        <w:rPr>
          <w:noProof/>
          <w:lang w:val="es-CO" w:eastAsia="en-GB"/>
        </w:rPr>
        <w:t>O</w:t>
      </w:r>
      <w:r w:rsidR="00C84D35" w:rsidRPr="00044745">
        <w:rPr>
          <w:noProof/>
          <w:lang w:val="es-CO" w:eastAsia="en-GB"/>
        </w:rPr>
        <w:t xml:space="preserve">ACNUDH </w:t>
      </w:r>
      <w:r w:rsidR="009320AD" w:rsidRPr="00044745">
        <w:rPr>
          <w:noProof/>
          <w:lang w:val="es-CO" w:eastAsia="en-GB"/>
        </w:rPr>
        <w:t xml:space="preserve">observó </w:t>
      </w:r>
      <w:r w:rsidR="006231E7" w:rsidRPr="00044745">
        <w:rPr>
          <w:noProof/>
          <w:lang w:val="es-CO" w:eastAsia="en-GB"/>
        </w:rPr>
        <w:t xml:space="preserve">que la posibilidad </w:t>
      </w:r>
      <w:r w:rsidR="005F563A">
        <w:rPr>
          <w:noProof/>
          <w:lang w:val="es-CO" w:eastAsia="en-GB"/>
        </w:rPr>
        <w:t xml:space="preserve">de éxito de </w:t>
      </w:r>
      <w:r w:rsidR="00182461">
        <w:rPr>
          <w:noProof/>
          <w:lang w:val="es-CO" w:eastAsia="en-GB"/>
        </w:rPr>
        <w:t xml:space="preserve">los </w:t>
      </w:r>
      <w:r w:rsidR="005F563A">
        <w:rPr>
          <w:noProof/>
          <w:lang w:val="es-CO" w:eastAsia="en-GB"/>
        </w:rPr>
        <w:t xml:space="preserve"> </w:t>
      </w:r>
      <w:r w:rsidR="00527365" w:rsidRPr="00044745">
        <w:rPr>
          <w:noProof/>
          <w:lang w:val="es-CO" w:eastAsia="en-GB"/>
        </w:rPr>
        <w:t xml:space="preserve">PDET disminuye en zonas con </w:t>
      </w:r>
      <w:r w:rsidR="005F563A">
        <w:rPr>
          <w:noProof/>
          <w:lang w:val="es-CO" w:eastAsia="en-GB"/>
        </w:rPr>
        <w:t xml:space="preserve">una </w:t>
      </w:r>
      <w:r w:rsidR="00527365" w:rsidRPr="00044745">
        <w:rPr>
          <w:noProof/>
          <w:lang w:val="es-CO" w:eastAsia="en-GB"/>
        </w:rPr>
        <w:t xml:space="preserve">alta incidencia de economías </w:t>
      </w:r>
      <w:r w:rsidR="00182461">
        <w:rPr>
          <w:noProof/>
          <w:lang w:val="es-CO" w:eastAsia="en-GB"/>
        </w:rPr>
        <w:t xml:space="preserve">ilícitas </w:t>
      </w:r>
      <w:r w:rsidR="00527365" w:rsidRPr="00044745">
        <w:rPr>
          <w:noProof/>
          <w:lang w:val="es-CO" w:eastAsia="en-GB"/>
        </w:rPr>
        <w:t xml:space="preserve"> y presencia de grupos </w:t>
      </w:r>
      <w:r w:rsidR="00182461">
        <w:rPr>
          <w:noProof/>
          <w:lang w:val="es-CO" w:eastAsia="en-GB"/>
        </w:rPr>
        <w:t>criminales</w:t>
      </w:r>
      <w:r w:rsidR="00527365" w:rsidRPr="00044745">
        <w:rPr>
          <w:noProof/>
          <w:lang w:val="es-CO" w:eastAsia="en-GB"/>
        </w:rPr>
        <w:t xml:space="preserve">. </w:t>
      </w:r>
      <w:r w:rsidR="005F563A">
        <w:rPr>
          <w:noProof/>
          <w:lang w:val="es-CO" w:eastAsia="en-GB"/>
        </w:rPr>
        <w:t>En la</w:t>
      </w:r>
      <w:r w:rsidR="00A10A4B" w:rsidRPr="00044745">
        <w:rPr>
          <w:noProof/>
          <w:lang w:val="es-CO" w:eastAsia="en-GB"/>
        </w:rPr>
        <w:t xml:space="preserve">s zonas </w:t>
      </w:r>
      <w:r w:rsidR="00182461">
        <w:rPr>
          <w:noProof/>
          <w:lang w:val="es-CO" w:eastAsia="en-GB"/>
        </w:rPr>
        <w:t xml:space="preserve">donde tales </w:t>
      </w:r>
      <w:r w:rsidR="00A10A4B" w:rsidRPr="00044745">
        <w:rPr>
          <w:noProof/>
          <w:lang w:val="es-CO" w:eastAsia="en-GB"/>
        </w:rPr>
        <w:t xml:space="preserve"> riesgo</w:t>
      </w:r>
      <w:r w:rsidR="00182461">
        <w:rPr>
          <w:noProof/>
          <w:lang w:val="es-CO" w:eastAsia="en-GB"/>
        </w:rPr>
        <w:t>s son altos</w:t>
      </w:r>
      <w:r w:rsidR="00A10A4B" w:rsidRPr="00044745">
        <w:rPr>
          <w:noProof/>
          <w:lang w:val="es-CO" w:eastAsia="en-GB"/>
        </w:rPr>
        <w:t xml:space="preserve">, la intervención </w:t>
      </w:r>
      <w:r w:rsidR="005F563A" w:rsidRPr="00044745">
        <w:rPr>
          <w:noProof/>
          <w:lang w:val="es-CO" w:eastAsia="en-GB"/>
        </w:rPr>
        <w:t xml:space="preserve">debe enfocarse </w:t>
      </w:r>
      <w:r w:rsidR="00A10A4B" w:rsidRPr="00044745">
        <w:rPr>
          <w:noProof/>
          <w:lang w:val="es-CO" w:eastAsia="en-GB"/>
        </w:rPr>
        <w:t>geográficamente (p.ej., a nivel</w:t>
      </w:r>
      <w:r w:rsidR="00182461">
        <w:rPr>
          <w:noProof/>
          <w:lang w:val="es-CO" w:eastAsia="en-GB"/>
        </w:rPr>
        <w:t xml:space="preserve"> veredal</w:t>
      </w:r>
      <w:r w:rsidR="00A10A4B" w:rsidRPr="00044745">
        <w:rPr>
          <w:noProof/>
          <w:lang w:val="es-CO" w:eastAsia="en-GB"/>
        </w:rPr>
        <w:t xml:space="preserve">) y debe </w:t>
      </w:r>
      <w:r w:rsidR="000B6DAB" w:rsidRPr="00044745">
        <w:rPr>
          <w:noProof/>
          <w:lang w:val="es-CO" w:eastAsia="en-GB"/>
        </w:rPr>
        <w:t>guiarse por el principio de “</w:t>
      </w:r>
      <w:r w:rsidR="00684B67">
        <w:rPr>
          <w:noProof/>
          <w:lang w:val="es-CO" w:eastAsia="en-GB"/>
        </w:rPr>
        <w:t xml:space="preserve">acción sin </w:t>
      </w:r>
      <w:r w:rsidR="000B6DAB" w:rsidRPr="00044745">
        <w:rPr>
          <w:noProof/>
          <w:lang w:val="es-CO" w:eastAsia="en-GB"/>
        </w:rPr>
        <w:t xml:space="preserve"> daño”. </w:t>
      </w:r>
      <w:r w:rsidR="005F563A">
        <w:rPr>
          <w:noProof/>
          <w:lang w:val="es-CO" w:eastAsia="en-GB"/>
        </w:rPr>
        <w:t xml:space="preserve"> </w:t>
      </w:r>
    </w:p>
    <w:p w14:paraId="3C9034BD" w14:textId="77777777" w:rsidR="001544A7" w:rsidRPr="00044745" w:rsidRDefault="002C7538" w:rsidP="002C7538">
      <w:pPr>
        <w:pStyle w:val="H1G"/>
        <w:rPr>
          <w:noProof/>
          <w:lang w:val="es-CO" w:eastAsia="en-GB"/>
        </w:rPr>
      </w:pPr>
      <w:bookmarkStart w:id="10" w:name="_Toc503550651"/>
      <w:r w:rsidRPr="00044745">
        <w:rPr>
          <w:noProof/>
          <w:lang w:val="es-CO" w:eastAsia="en-GB"/>
        </w:rPr>
        <w:tab/>
        <w:t>C</w:t>
      </w:r>
      <w:r w:rsidR="00446512" w:rsidRPr="00044745">
        <w:rPr>
          <w:noProof/>
          <w:lang w:val="es-CO" w:eastAsia="en-GB"/>
        </w:rPr>
        <w:t>.</w:t>
      </w:r>
      <w:r w:rsidR="00446512" w:rsidRPr="00044745">
        <w:rPr>
          <w:noProof/>
          <w:lang w:val="es-CO" w:eastAsia="en-GB"/>
        </w:rPr>
        <w:tab/>
        <w:t>Gob</w:t>
      </w:r>
      <w:r w:rsidR="001544A7" w:rsidRPr="00044745">
        <w:rPr>
          <w:noProof/>
          <w:lang w:val="es-CO" w:eastAsia="en-GB"/>
        </w:rPr>
        <w:t>erna</w:t>
      </w:r>
      <w:r w:rsidR="000B6DAB" w:rsidRPr="00044745">
        <w:rPr>
          <w:noProof/>
          <w:lang w:val="es-CO" w:eastAsia="en-GB"/>
        </w:rPr>
        <w:t>bilidad y justicia local</w:t>
      </w:r>
      <w:bookmarkEnd w:id="10"/>
    </w:p>
    <w:p w14:paraId="03440663" w14:textId="260A2FC7" w:rsidR="001544A7" w:rsidRPr="00044745" w:rsidRDefault="000A0020" w:rsidP="00076050">
      <w:pPr>
        <w:pStyle w:val="SingleTxtG"/>
        <w:rPr>
          <w:noProof/>
          <w:lang w:val="es-CO" w:eastAsia="en-GB"/>
        </w:rPr>
      </w:pPr>
      <w:r w:rsidRPr="00044745">
        <w:rPr>
          <w:noProof/>
          <w:lang w:val="es-CO" w:eastAsia="en-GB"/>
        </w:rPr>
        <w:t>47</w:t>
      </w:r>
      <w:r w:rsidR="001544A7" w:rsidRPr="00044745">
        <w:rPr>
          <w:noProof/>
          <w:lang w:val="es-CO" w:eastAsia="en-GB"/>
        </w:rPr>
        <w:t>.</w:t>
      </w:r>
      <w:r w:rsidR="001544A7" w:rsidRPr="00044745">
        <w:rPr>
          <w:noProof/>
          <w:lang w:val="es-CO" w:eastAsia="en-GB"/>
        </w:rPr>
        <w:tab/>
      </w:r>
      <w:r w:rsidR="00182461">
        <w:rPr>
          <w:noProof/>
          <w:lang w:val="es-CO" w:eastAsia="en-GB"/>
        </w:rPr>
        <w:t>La</w:t>
      </w:r>
      <w:r w:rsidR="000B6DAB" w:rsidRPr="00044745">
        <w:rPr>
          <w:noProof/>
          <w:lang w:val="es-CO" w:eastAsia="en-GB"/>
        </w:rPr>
        <w:t xml:space="preserve"> </w:t>
      </w:r>
      <w:r w:rsidR="00182461">
        <w:rPr>
          <w:noProof/>
          <w:lang w:val="es-CO" w:eastAsia="en-GB"/>
        </w:rPr>
        <w:t>O</w:t>
      </w:r>
      <w:r w:rsidR="000B6DAB" w:rsidRPr="00044745">
        <w:rPr>
          <w:noProof/>
          <w:lang w:val="es-CO" w:eastAsia="en-GB"/>
        </w:rPr>
        <w:t>ACNUDH observó que las Juntas de Acción Comunal, responsables de la resolución de conflicto</w:t>
      </w:r>
      <w:r w:rsidR="00263893">
        <w:rPr>
          <w:noProof/>
          <w:lang w:val="es-CO" w:eastAsia="en-GB"/>
        </w:rPr>
        <w:t>s</w:t>
      </w:r>
      <w:r w:rsidR="003A7A8C">
        <w:rPr>
          <w:noProof/>
          <w:lang w:val="es-CO" w:eastAsia="en-GB"/>
        </w:rPr>
        <w:t xml:space="preserve"> a nivel</w:t>
      </w:r>
      <w:r w:rsidR="00F94245">
        <w:rPr>
          <w:noProof/>
          <w:lang w:val="es-CO" w:eastAsia="en-GB"/>
        </w:rPr>
        <w:t xml:space="preserve"> veredal, </w:t>
      </w:r>
      <w:r w:rsidR="000B6DAB" w:rsidRPr="00044745">
        <w:rPr>
          <w:noProof/>
          <w:lang w:val="es-CO" w:eastAsia="en-GB"/>
        </w:rPr>
        <w:t>han perdido poder y legitimidad en muchas zonas rurales.</w:t>
      </w:r>
      <w:r w:rsidR="00C4360B">
        <w:rPr>
          <w:noProof/>
          <w:lang w:val="es-CO" w:eastAsia="en-GB"/>
        </w:rPr>
        <w:t xml:space="preserve"> L</w:t>
      </w:r>
      <w:r w:rsidR="000B6DAB" w:rsidRPr="00044745">
        <w:rPr>
          <w:noProof/>
          <w:lang w:val="es-CO" w:eastAsia="en-GB"/>
        </w:rPr>
        <w:t>as FARC-EP a menudo implementaban las decisiones de l</w:t>
      </w:r>
      <w:r w:rsidR="00263893">
        <w:rPr>
          <w:noProof/>
          <w:lang w:val="es-CO" w:eastAsia="en-GB"/>
        </w:rPr>
        <w:t xml:space="preserve">as Juntas de Acción </w:t>
      </w:r>
      <w:r w:rsidR="00263893">
        <w:rPr>
          <w:noProof/>
          <w:lang w:val="es-CO" w:eastAsia="en-GB"/>
        </w:rPr>
        <w:lastRenderedPageBreak/>
        <w:t xml:space="preserve">Comunal. </w:t>
      </w:r>
      <w:r w:rsidR="007D6D04">
        <w:rPr>
          <w:noProof/>
          <w:lang w:val="es-CO" w:eastAsia="en-GB"/>
        </w:rPr>
        <w:t xml:space="preserve">Para </w:t>
      </w:r>
      <w:r w:rsidR="003A7A8C">
        <w:rPr>
          <w:noProof/>
          <w:lang w:val="es-CO" w:eastAsia="en-GB"/>
        </w:rPr>
        <w:t>las Juntas de Acción Comunal es</w:t>
      </w:r>
      <w:r w:rsidR="000B6DAB" w:rsidRPr="00044745">
        <w:rPr>
          <w:noProof/>
          <w:lang w:val="es-CO" w:eastAsia="en-GB"/>
        </w:rPr>
        <w:t xml:space="preserve"> difícil establecer</w:t>
      </w:r>
      <w:r w:rsidR="007D6D04">
        <w:rPr>
          <w:noProof/>
          <w:lang w:val="es-CO" w:eastAsia="en-GB"/>
        </w:rPr>
        <w:t xml:space="preserve"> </w:t>
      </w:r>
      <w:r w:rsidR="000B6DAB" w:rsidRPr="00044745">
        <w:rPr>
          <w:noProof/>
          <w:lang w:val="es-CO" w:eastAsia="en-GB"/>
        </w:rPr>
        <w:t xml:space="preserve">una relación con las instituciones nacionales, departamentales y municipales, </w:t>
      </w:r>
      <w:r w:rsidR="007D6D04">
        <w:rPr>
          <w:noProof/>
          <w:lang w:val="es-CO" w:eastAsia="en-GB"/>
        </w:rPr>
        <w:t xml:space="preserve">debido a la </w:t>
      </w:r>
      <w:r w:rsidR="003A7A8C">
        <w:rPr>
          <w:noProof/>
          <w:lang w:val="es-CO" w:eastAsia="en-GB"/>
        </w:rPr>
        <w:t>escasez de recursos adicionales</w:t>
      </w:r>
      <w:r w:rsidR="007D6D04">
        <w:rPr>
          <w:noProof/>
          <w:lang w:val="es-CO" w:eastAsia="en-GB"/>
        </w:rPr>
        <w:t xml:space="preserve"> </w:t>
      </w:r>
      <w:r w:rsidR="000B6DAB" w:rsidRPr="00044745">
        <w:rPr>
          <w:noProof/>
          <w:lang w:val="es-CO" w:eastAsia="en-GB"/>
        </w:rPr>
        <w:t xml:space="preserve">y las demoras en la necesaria </w:t>
      </w:r>
      <w:r w:rsidR="00682E6F" w:rsidRPr="00044745">
        <w:rPr>
          <w:noProof/>
          <w:lang w:val="es-CO" w:eastAsia="en-GB"/>
        </w:rPr>
        <w:t xml:space="preserve">expansión </w:t>
      </w:r>
      <w:r w:rsidR="000B6DAB" w:rsidRPr="00044745">
        <w:rPr>
          <w:noProof/>
          <w:lang w:val="es-CO" w:eastAsia="en-GB"/>
        </w:rPr>
        <w:t>de las entidades del Estado, como la Fiscalía General de la Nación, la Procuraduría General de la Nación, la Policía Nacional, las Corporaciones Autónomas Regionales</w:t>
      </w:r>
      <w:r w:rsidR="000B6DAB" w:rsidRPr="00044745">
        <w:rPr>
          <w:rStyle w:val="FootnoteReference"/>
          <w:noProof/>
          <w:lang w:val="es-CO" w:eastAsia="en-GB"/>
        </w:rPr>
        <w:footnoteReference w:id="12"/>
      </w:r>
      <w:r w:rsidR="000B6DAB" w:rsidRPr="00044745">
        <w:rPr>
          <w:noProof/>
          <w:lang w:val="es-CO" w:eastAsia="en-GB"/>
        </w:rPr>
        <w:t xml:space="preserve"> </w:t>
      </w:r>
      <w:r w:rsidR="00682E6F" w:rsidRPr="00044745">
        <w:rPr>
          <w:noProof/>
          <w:lang w:val="es-CO" w:eastAsia="en-GB"/>
        </w:rPr>
        <w:t>y las municipalidades</w:t>
      </w:r>
      <w:r w:rsidR="007D6D04">
        <w:rPr>
          <w:noProof/>
          <w:lang w:val="es-CO" w:eastAsia="en-GB"/>
        </w:rPr>
        <w:t>. Lo anterior</w:t>
      </w:r>
      <w:r w:rsidR="00682E6F" w:rsidRPr="00044745">
        <w:rPr>
          <w:noProof/>
          <w:lang w:val="es-CO" w:eastAsia="en-GB"/>
        </w:rPr>
        <w:t xml:space="preserve"> debilita la capacidad </w:t>
      </w:r>
      <w:r w:rsidR="005F563A">
        <w:rPr>
          <w:noProof/>
          <w:lang w:val="es-CO" w:eastAsia="en-GB"/>
        </w:rPr>
        <w:t xml:space="preserve">que tienen </w:t>
      </w:r>
      <w:r w:rsidR="00682E6F" w:rsidRPr="00044745">
        <w:rPr>
          <w:noProof/>
          <w:lang w:val="es-CO" w:eastAsia="en-GB"/>
        </w:rPr>
        <w:t>l</w:t>
      </w:r>
      <w:r w:rsidR="00263893">
        <w:rPr>
          <w:noProof/>
          <w:lang w:val="es-CO" w:eastAsia="en-GB"/>
        </w:rPr>
        <w:t xml:space="preserve">as Juntas de Acción Comunal </w:t>
      </w:r>
      <w:r w:rsidR="00682E6F" w:rsidRPr="00044745">
        <w:rPr>
          <w:noProof/>
          <w:lang w:val="es-CO" w:eastAsia="en-GB"/>
        </w:rPr>
        <w:t xml:space="preserve"> </w:t>
      </w:r>
      <w:r w:rsidR="005F563A">
        <w:rPr>
          <w:noProof/>
          <w:lang w:val="es-CO" w:eastAsia="en-GB"/>
        </w:rPr>
        <w:t xml:space="preserve">de coordinar </w:t>
      </w:r>
      <w:r w:rsidR="00682E6F" w:rsidRPr="00044745">
        <w:rPr>
          <w:noProof/>
          <w:lang w:val="es-CO" w:eastAsia="en-GB"/>
        </w:rPr>
        <w:t xml:space="preserve">con las autoridades estatales </w:t>
      </w:r>
      <w:r w:rsidR="00076050" w:rsidRPr="00044745">
        <w:rPr>
          <w:noProof/>
          <w:lang w:val="es-CO" w:eastAsia="en-GB"/>
        </w:rPr>
        <w:t>y manejar los conflictos</w:t>
      </w:r>
      <w:r w:rsidR="007D6D04">
        <w:rPr>
          <w:noProof/>
          <w:lang w:val="es-CO" w:eastAsia="en-GB"/>
        </w:rPr>
        <w:t xml:space="preserve"> de una manera eficiente</w:t>
      </w:r>
      <w:r w:rsidR="00076050" w:rsidRPr="00044745">
        <w:rPr>
          <w:noProof/>
          <w:lang w:val="es-CO" w:eastAsia="en-GB"/>
        </w:rPr>
        <w:t>. Esto incluso los ha obligado a atender situaciones que exceden sus funciones, como casos de homicidio y violación sexual.</w:t>
      </w:r>
      <w:r w:rsidR="001544A7" w:rsidRPr="00044745">
        <w:rPr>
          <w:noProof/>
          <w:lang w:val="es-CO" w:eastAsia="en-GB"/>
        </w:rPr>
        <w:t xml:space="preserve"> </w:t>
      </w:r>
    </w:p>
    <w:p w14:paraId="63B5C1A1" w14:textId="56D808B3" w:rsidR="001544A7" w:rsidRPr="00044745" w:rsidRDefault="000A0020" w:rsidP="002D353C">
      <w:pPr>
        <w:pStyle w:val="SingleTxtG"/>
        <w:rPr>
          <w:noProof/>
          <w:lang w:val="es-CO" w:eastAsia="en-GB"/>
        </w:rPr>
      </w:pPr>
      <w:r w:rsidRPr="00044745">
        <w:rPr>
          <w:noProof/>
          <w:lang w:val="es-CO" w:eastAsia="en-GB"/>
        </w:rPr>
        <w:t>48</w:t>
      </w:r>
      <w:r w:rsidR="001544A7" w:rsidRPr="00044745">
        <w:rPr>
          <w:noProof/>
          <w:lang w:val="es-CO" w:eastAsia="en-GB"/>
        </w:rPr>
        <w:t>.</w:t>
      </w:r>
      <w:r w:rsidR="001544A7" w:rsidRPr="00044745">
        <w:rPr>
          <w:noProof/>
          <w:lang w:val="es-CO" w:eastAsia="en-GB"/>
        </w:rPr>
        <w:tab/>
      </w:r>
      <w:r w:rsidR="00446512" w:rsidRPr="00044745">
        <w:rPr>
          <w:noProof/>
          <w:lang w:val="es-CO" w:eastAsia="en-GB"/>
        </w:rPr>
        <w:t>M</w:t>
      </w:r>
      <w:r w:rsidR="00076050" w:rsidRPr="00044745">
        <w:rPr>
          <w:noProof/>
          <w:lang w:val="es-CO" w:eastAsia="en-GB"/>
        </w:rPr>
        <w:t>uchos integrantes de l</w:t>
      </w:r>
      <w:r w:rsidR="003A7A8C">
        <w:rPr>
          <w:noProof/>
          <w:lang w:val="es-CO" w:eastAsia="en-GB"/>
        </w:rPr>
        <w:t>as Juntas de Acción Comunal</w:t>
      </w:r>
      <w:r w:rsidR="00446512" w:rsidRPr="00044745">
        <w:rPr>
          <w:noProof/>
          <w:lang w:val="es-CO" w:eastAsia="en-GB"/>
        </w:rPr>
        <w:t xml:space="preserve"> en zonas con presencia de economías ilícitas </w:t>
      </w:r>
      <w:r w:rsidR="00263893">
        <w:rPr>
          <w:noProof/>
          <w:lang w:val="es-CO" w:eastAsia="en-GB"/>
        </w:rPr>
        <w:t xml:space="preserve">son parte de dichas economías. </w:t>
      </w:r>
      <w:r w:rsidR="00446512" w:rsidRPr="00044745">
        <w:rPr>
          <w:noProof/>
          <w:lang w:val="es-CO" w:eastAsia="en-GB"/>
        </w:rPr>
        <w:t>Esto afecta su credibilidad, legitimidad así como su c</w:t>
      </w:r>
      <w:r w:rsidR="00BA0DA8">
        <w:rPr>
          <w:noProof/>
          <w:lang w:val="es-CO" w:eastAsia="en-GB"/>
        </w:rPr>
        <w:t>apacidad de interactuar con la P</w:t>
      </w:r>
      <w:r w:rsidR="00446512" w:rsidRPr="00044745">
        <w:rPr>
          <w:noProof/>
          <w:lang w:val="es-CO" w:eastAsia="en-GB"/>
        </w:rPr>
        <w:t>olicía o con fiscales ante</w:t>
      </w:r>
      <w:r w:rsidR="00263893">
        <w:rPr>
          <w:noProof/>
          <w:lang w:val="es-CO" w:eastAsia="en-GB"/>
        </w:rPr>
        <w:t>s de</w:t>
      </w:r>
      <w:r w:rsidR="00446512" w:rsidRPr="00044745">
        <w:rPr>
          <w:noProof/>
          <w:lang w:val="es-CO" w:eastAsia="en-GB"/>
        </w:rPr>
        <w:t xml:space="preserve"> la implementación de la sustitución</w:t>
      </w:r>
      <w:r w:rsidR="009155AB">
        <w:rPr>
          <w:noProof/>
          <w:lang w:val="es-CO" w:eastAsia="en-GB"/>
        </w:rPr>
        <w:t xml:space="preserve"> de cultivos ilícitos</w:t>
      </w:r>
      <w:r w:rsidR="00446512" w:rsidRPr="00044745">
        <w:rPr>
          <w:noProof/>
          <w:lang w:val="es-CO" w:eastAsia="en-GB"/>
        </w:rPr>
        <w:t xml:space="preserve"> </w:t>
      </w:r>
      <w:r w:rsidR="009155AB">
        <w:rPr>
          <w:noProof/>
          <w:lang w:val="es-CO" w:eastAsia="en-GB"/>
        </w:rPr>
        <w:t xml:space="preserve">Esto </w:t>
      </w:r>
      <w:r w:rsidR="00446512" w:rsidRPr="00044745">
        <w:rPr>
          <w:noProof/>
          <w:lang w:val="es-CO" w:eastAsia="en-GB"/>
        </w:rPr>
        <w:t xml:space="preserve">permite a los grupos </w:t>
      </w:r>
      <w:r w:rsidR="007D6D04">
        <w:rPr>
          <w:noProof/>
          <w:lang w:val="es-CO" w:eastAsia="en-GB"/>
        </w:rPr>
        <w:t xml:space="preserve">criminales </w:t>
      </w:r>
      <w:r w:rsidR="00446512" w:rsidRPr="00044745">
        <w:rPr>
          <w:noProof/>
          <w:lang w:val="es-CO" w:eastAsia="en-GB"/>
        </w:rPr>
        <w:t xml:space="preserve">o actores </w:t>
      </w:r>
      <w:r w:rsidR="002D353C" w:rsidRPr="00044745">
        <w:rPr>
          <w:noProof/>
          <w:lang w:val="es-CO" w:eastAsia="en-GB"/>
        </w:rPr>
        <w:t>con intereses económicos</w:t>
      </w:r>
      <w:r w:rsidR="007D6D04">
        <w:rPr>
          <w:noProof/>
          <w:lang w:val="es-CO" w:eastAsia="en-GB"/>
        </w:rPr>
        <w:t xml:space="preserve"> propios</w:t>
      </w:r>
      <w:r w:rsidR="00BA0DA8">
        <w:rPr>
          <w:noProof/>
          <w:lang w:val="es-CO" w:eastAsia="en-GB"/>
        </w:rPr>
        <w:t>,</w:t>
      </w:r>
      <w:r w:rsidR="002D353C" w:rsidRPr="00044745">
        <w:rPr>
          <w:noProof/>
          <w:lang w:val="es-CO" w:eastAsia="en-GB"/>
        </w:rPr>
        <w:t xml:space="preserve"> usurpar las funciones de la justicia local.</w:t>
      </w:r>
      <w:r w:rsidR="001544A7" w:rsidRPr="00044745">
        <w:rPr>
          <w:noProof/>
          <w:lang w:val="es-CO" w:eastAsia="en-GB"/>
        </w:rPr>
        <w:t xml:space="preserve"> </w:t>
      </w:r>
    </w:p>
    <w:p w14:paraId="4ED22A23" w14:textId="1B13A2BC" w:rsidR="002D353C" w:rsidRPr="00044745" w:rsidRDefault="000A0020" w:rsidP="001544A7">
      <w:pPr>
        <w:pStyle w:val="SingleTxtG"/>
        <w:rPr>
          <w:noProof/>
          <w:lang w:val="es-CO" w:eastAsia="en-GB"/>
        </w:rPr>
      </w:pPr>
      <w:r w:rsidRPr="00044745">
        <w:rPr>
          <w:noProof/>
          <w:lang w:val="es-CO" w:eastAsia="en-GB"/>
        </w:rPr>
        <w:t>49</w:t>
      </w:r>
      <w:r w:rsidR="001544A7" w:rsidRPr="00044745">
        <w:rPr>
          <w:noProof/>
          <w:lang w:val="es-CO" w:eastAsia="en-GB"/>
        </w:rPr>
        <w:t>.</w:t>
      </w:r>
      <w:r w:rsidR="001544A7" w:rsidRPr="00044745">
        <w:rPr>
          <w:noProof/>
          <w:lang w:val="es-CO" w:eastAsia="en-GB"/>
        </w:rPr>
        <w:tab/>
      </w:r>
      <w:r w:rsidR="0056414F">
        <w:rPr>
          <w:noProof/>
          <w:lang w:val="es-CO" w:eastAsia="en-GB"/>
        </w:rPr>
        <w:t>Aunque por razones distintas s</w:t>
      </w:r>
      <w:r w:rsidR="002D353C" w:rsidRPr="00044745">
        <w:rPr>
          <w:noProof/>
          <w:lang w:val="es-CO" w:eastAsia="en-GB"/>
        </w:rPr>
        <w:t xml:space="preserve">e observó una situación similar dentro de los consejos comunitarios afrocolombianos y </w:t>
      </w:r>
      <w:r w:rsidR="00263893">
        <w:rPr>
          <w:noProof/>
          <w:lang w:val="es-CO" w:eastAsia="en-GB"/>
        </w:rPr>
        <w:t xml:space="preserve">con </w:t>
      </w:r>
      <w:r w:rsidR="002D353C" w:rsidRPr="00044745">
        <w:rPr>
          <w:noProof/>
          <w:lang w:val="es-CO" w:eastAsia="en-GB"/>
        </w:rPr>
        <w:t xml:space="preserve">las autoridades indígenas. Estas autoridades </w:t>
      </w:r>
      <w:r w:rsidR="0056414F">
        <w:rPr>
          <w:noProof/>
          <w:lang w:val="es-CO" w:eastAsia="en-GB"/>
        </w:rPr>
        <w:t xml:space="preserve">aunque </w:t>
      </w:r>
      <w:r w:rsidR="002D353C" w:rsidRPr="00044745">
        <w:rPr>
          <w:noProof/>
          <w:lang w:val="es-CO" w:eastAsia="en-GB"/>
        </w:rPr>
        <w:t xml:space="preserve">están reconocidas en la Constitución Política de Colombia, no </w:t>
      </w:r>
      <w:r w:rsidR="0056414F">
        <w:rPr>
          <w:noProof/>
          <w:lang w:val="es-CO" w:eastAsia="en-GB"/>
        </w:rPr>
        <w:t xml:space="preserve">lo están aún </w:t>
      </w:r>
      <w:r w:rsidR="002D353C" w:rsidRPr="00044745">
        <w:rPr>
          <w:noProof/>
          <w:lang w:val="es-CO" w:eastAsia="en-GB"/>
        </w:rPr>
        <w:t xml:space="preserve">en la práctica. </w:t>
      </w:r>
      <w:r w:rsidR="009155AB">
        <w:rPr>
          <w:noProof/>
          <w:lang w:val="es-CO" w:eastAsia="en-GB"/>
        </w:rPr>
        <w:t>No obstante</w:t>
      </w:r>
      <w:r w:rsidR="0056414F">
        <w:rPr>
          <w:noProof/>
          <w:lang w:val="es-CO" w:eastAsia="en-GB"/>
        </w:rPr>
        <w:t xml:space="preserve"> a</w:t>
      </w:r>
      <w:r w:rsidR="002D353C" w:rsidRPr="00BA0DA8">
        <w:rPr>
          <w:noProof/>
          <w:lang w:val="es-CO" w:eastAsia="en-GB"/>
        </w:rPr>
        <w:t xml:space="preserve">lgunos actores estatales han comenzado a aceptar la autonomía </w:t>
      </w:r>
      <w:r w:rsidR="00BA0DA8" w:rsidRPr="00BA0DA8">
        <w:rPr>
          <w:noProof/>
          <w:lang w:val="es-CO" w:eastAsia="en-GB"/>
        </w:rPr>
        <w:t xml:space="preserve">y autodeterminación </w:t>
      </w:r>
      <w:r w:rsidR="0056414F">
        <w:rPr>
          <w:noProof/>
          <w:lang w:val="es-CO" w:eastAsia="en-GB"/>
        </w:rPr>
        <w:t xml:space="preserve">de las autoridades </w:t>
      </w:r>
      <w:r w:rsidR="002D353C" w:rsidRPr="00BA0DA8">
        <w:rPr>
          <w:noProof/>
          <w:lang w:val="es-CO" w:eastAsia="en-GB"/>
        </w:rPr>
        <w:t>indígena</w:t>
      </w:r>
      <w:r w:rsidR="0056414F">
        <w:rPr>
          <w:noProof/>
          <w:lang w:val="es-CO" w:eastAsia="en-GB"/>
        </w:rPr>
        <w:t>s</w:t>
      </w:r>
      <w:r w:rsidR="002D353C" w:rsidRPr="00BA0DA8">
        <w:rPr>
          <w:noProof/>
          <w:lang w:val="es-CO" w:eastAsia="en-GB"/>
        </w:rPr>
        <w:t xml:space="preserve"> en </w:t>
      </w:r>
      <w:r w:rsidR="0056414F">
        <w:rPr>
          <w:noProof/>
          <w:lang w:val="es-CO" w:eastAsia="en-GB"/>
        </w:rPr>
        <w:t xml:space="preserve">relación con sus </w:t>
      </w:r>
      <w:r w:rsidR="002D353C" w:rsidRPr="00BA0DA8">
        <w:rPr>
          <w:noProof/>
          <w:lang w:val="es-CO" w:eastAsia="en-GB"/>
        </w:rPr>
        <w:t xml:space="preserve"> territorios</w:t>
      </w:r>
      <w:r w:rsidR="0056414F">
        <w:rPr>
          <w:noProof/>
          <w:lang w:val="es-CO" w:eastAsia="en-GB"/>
        </w:rPr>
        <w:t>,</w:t>
      </w:r>
      <w:r w:rsidR="002D353C" w:rsidRPr="00BA0DA8">
        <w:rPr>
          <w:noProof/>
          <w:lang w:val="es-CO" w:eastAsia="en-GB"/>
        </w:rPr>
        <w:t xml:space="preserve"> </w:t>
      </w:r>
      <w:r w:rsidR="0056414F">
        <w:rPr>
          <w:noProof/>
          <w:lang w:val="es-CO" w:eastAsia="en-GB"/>
        </w:rPr>
        <w:t>a</w:t>
      </w:r>
      <w:r w:rsidR="002D353C" w:rsidRPr="00BA0DA8">
        <w:rPr>
          <w:noProof/>
          <w:lang w:val="es-CO" w:eastAsia="en-GB"/>
        </w:rPr>
        <w:t xml:space="preserve">l mismo tiempo funcionarios estatales </w:t>
      </w:r>
      <w:r w:rsidR="00AC1069" w:rsidRPr="00BA0DA8">
        <w:rPr>
          <w:noProof/>
          <w:lang w:val="es-CO" w:eastAsia="en-GB"/>
        </w:rPr>
        <w:t>de alto nivel</w:t>
      </w:r>
      <w:r w:rsidR="0056414F">
        <w:rPr>
          <w:noProof/>
          <w:lang w:val="es-CO" w:eastAsia="en-GB"/>
        </w:rPr>
        <w:t xml:space="preserve"> se</w:t>
      </w:r>
      <w:r w:rsidR="00AC1069" w:rsidRPr="00BA0DA8">
        <w:rPr>
          <w:noProof/>
          <w:lang w:val="es-CO" w:eastAsia="en-GB"/>
        </w:rPr>
        <w:t xml:space="preserve"> han </w:t>
      </w:r>
      <w:r w:rsidR="000C56E1">
        <w:rPr>
          <w:noProof/>
          <w:lang w:val="es-CO" w:eastAsia="en-GB"/>
        </w:rPr>
        <w:t xml:space="preserve">expresado </w:t>
      </w:r>
      <w:r w:rsidR="00AC1069" w:rsidRPr="00BA0DA8">
        <w:rPr>
          <w:noProof/>
          <w:lang w:val="es-CO" w:eastAsia="en-GB"/>
        </w:rPr>
        <w:t>públicamente</w:t>
      </w:r>
      <w:r w:rsidR="00AC1069" w:rsidRPr="00044745">
        <w:rPr>
          <w:noProof/>
          <w:lang w:val="es-CO" w:eastAsia="en-GB"/>
        </w:rPr>
        <w:t xml:space="preserve"> en contra del principio de consulta previa, libre e informada, puesto que consideran </w:t>
      </w:r>
      <w:r w:rsidR="00BA0DA8">
        <w:rPr>
          <w:noProof/>
          <w:lang w:val="es-CO" w:eastAsia="en-GB"/>
        </w:rPr>
        <w:t xml:space="preserve">la autodeterminación </w:t>
      </w:r>
      <w:r w:rsidR="00AC1069" w:rsidRPr="00044745">
        <w:rPr>
          <w:noProof/>
          <w:lang w:val="es-CO" w:eastAsia="en-GB"/>
        </w:rPr>
        <w:t xml:space="preserve">un obstáculo para la implementación de proyectos de agroindustria y minería y no como un medio para mejorar la situación de derechos humanos. </w:t>
      </w:r>
    </w:p>
    <w:p w14:paraId="6FA759BA" w14:textId="1765F042" w:rsidR="001544A7" w:rsidRPr="00044745" w:rsidRDefault="001544A7" w:rsidP="00965BAB">
      <w:pPr>
        <w:pStyle w:val="SingleTxtG"/>
        <w:rPr>
          <w:noProof/>
          <w:lang w:val="es-CO" w:eastAsia="en-GB"/>
        </w:rPr>
      </w:pPr>
      <w:r w:rsidRPr="00044745">
        <w:rPr>
          <w:noProof/>
          <w:lang w:val="es-CO" w:eastAsia="en-GB"/>
        </w:rPr>
        <w:t>5</w:t>
      </w:r>
      <w:r w:rsidR="000A0020" w:rsidRPr="00044745">
        <w:rPr>
          <w:noProof/>
          <w:lang w:val="es-CO" w:eastAsia="en-GB"/>
        </w:rPr>
        <w:t>0</w:t>
      </w:r>
      <w:r w:rsidRPr="00044745">
        <w:rPr>
          <w:noProof/>
          <w:lang w:val="es-CO" w:eastAsia="en-GB"/>
        </w:rPr>
        <w:t>.</w:t>
      </w:r>
      <w:r w:rsidRPr="00044745">
        <w:rPr>
          <w:noProof/>
          <w:lang w:val="es-CO" w:eastAsia="en-GB"/>
        </w:rPr>
        <w:tab/>
      </w:r>
      <w:r w:rsidR="0056414F">
        <w:rPr>
          <w:noProof/>
          <w:lang w:val="es-CO" w:eastAsia="en-GB"/>
        </w:rPr>
        <w:t>La</w:t>
      </w:r>
      <w:r w:rsidR="00827B6B" w:rsidRPr="00044745">
        <w:rPr>
          <w:noProof/>
          <w:lang w:val="es-CO" w:eastAsia="en-GB"/>
        </w:rPr>
        <w:t xml:space="preserve"> </w:t>
      </w:r>
      <w:r w:rsidR="0056414F">
        <w:rPr>
          <w:noProof/>
          <w:lang w:val="es-CO" w:eastAsia="en-GB"/>
        </w:rPr>
        <w:t>O</w:t>
      </w:r>
      <w:r w:rsidR="00827B6B" w:rsidRPr="00044745">
        <w:rPr>
          <w:noProof/>
          <w:lang w:val="es-CO" w:eastAsia="en-GB"/>
        </w:rPr>
        <w:t>ACNUDH considera que los esfuerzos p</w:t>
      </w:r>
      <w:r w:rsidR="00BA0DA8">
        <w:rPr>
          <w:noProof/>
          <w:lang w:val="es-CO" w:eastAsia="en-GB"/>
        </w:rPr>
        <w:t>or</w:t>
      </w:r>
      <w:r w:rsidR="00827B6B" w:rsidRPr="00044745">
        <w:rPr>
          <w:noProof/>
          <w:lang w:val="es-CO" w:eastAsia="en-GB"/>
        </w:rPr>
        <w:t xml:space="preserve"> fortalecer la justicia local y los sistemas </w:t>
      </w:r>
      <w:r w:rsidR="00827B6B" w:rsidRPr="00BA0DA8">
        <w:rPr>
          <w:noProof/>
          <w:lang w:val="es-CO" w:eastAsia="en-GB"/>
        </w:rPr>
        <w:t>de autonomía y autodeterminación son</w:t>
      </w:r>
      <w:r w:rsidR="00827B6B" w:rsidRPr="00044745">
        <w:rPr>
          <w:noProof/>
          <w:lang w:val="es-CO" w:eastAsia="en-GB"/>
        </w:rPr>
        <w:t xml:space="preserve"> más viables e implican menos riesgos para las comunidades y autoridades en regiones sin la presencia de economías il</w:t>
      </w:r>
      <w:r w:rsidR="0056414F">
        <w:rPr>
          <w:noProof/>
          <w:lang w:val="es-CO" w:eastAsia="en-GB"/>
        </w:rPr>
        <w:t>ícitas</w:t>
      </w:r>
      <w:r w:rsidR="00827B6B" w:rsidRPr="00044745">
        <w:rPr>
          <w:noProof/>
          <w:lang w:val="es-CO" w:eastAsia="en-GB"/>
        </w:rPr>
        <w:t xml:space="preserve">. Para evitar causar daño y el desperdicio de recursos, el gobierno y los donantes deben ser conscientes de las dificultades y </w:t>
      </w:r>
      <w:r w:rsidR="00965BAB" w:rsidRPr="00044745">
        <w:rPr>
          <w:noProof/>
          <w:lang w:val="es-CO" w:eastAsia="en-GB"/>
        </w:rPr>
        <w:t>los riesgos de trabajar en zonas con la presencia de economías il</w:t>
      </w:r>
      <w:r w:rsidR="0056414F">
        <w:rPr>
          <w:noProof/>
          <w:lang w:val="es-CO" w:eastAsia="en-GB"/>
        </w:rPr>
        <w:t>icitas</w:t>
      </w:r>
      <w:r w:rsidR="00965BAB" w:rsidRPr="00044745">
        <w:rPr>
          <w:noProof/>
          <w:lang w:val="es-CO" w:eastAsia="en-GB"/>
        </w:rPr>
        <w:t xml:space="preserve"> y grupos </w:t>
      </w:r>
      <w:r w:rsidR="0056414F">
        <w:rPr>
          <w:noProof/>
          <w:lang w:val="es-CO" w:eastAsia="en-GB"/>
        </w:rPr>
        <w:t xml:space="preserve">criminales, así como </w:t>
      </w:r>
      <w:r w:rsidR="00965BAB" w:rsidRPr="00044745">
        <w:rPr>
          <w:noProof/>
          <w:lang w:val="es-CO" w:eastAsia="en-GB"/>
        </w:rPr>
        <w:t xml:space="preserve">de la necesidad de priorizar transformaciones económicas en estas zonas. </w:t>
      </w:r>
    </w:p>
    <w:p w14:paraId="022A2CAF" w14:textId="77777777" w:rsidR="001544A7" w:rsidRPr="00044745" w:rsidRDefault="003B36B6" w:rsidP="003B36B6">
      <w:pPr>
        <w:pStyle w:val="H1G"/>
        <w:rPr>
          <w:noProof/>
          <w:lang w:val="es-CO" w:eastAsia="en-GB"/>
        </w:rPr>
      </w:pPr>
      <w:r w:rsidRPr="00044745">
        <w:rPr>
          <w:noProof/>
          <w:lang w:val="es-CO" w:eastAsia="en-GB"/>
        </w:rPr>
        <w:tab/>
        <w:t>D</w:t>
      </w:r>
      <w:r w:rsidR="001544A7" w:rsidRPr="00044745">
        <w:rPr>
          <w:noProof/>
          <w:lang w:val="es-CO" w:eastAsia="en-GB"/>
        </w:rPr>
        <w:t>.</w:t>
      </w:r>
      <w:r w:rsidR="001544A7" w:rsidRPr="00044745">
        <w:rPr>
          <w:noProof/>
          <w:lang w:val="es-CO" w:eastAsia="en-GB"/>
        </w:rPr>
        <w:tab/>
      </w:r>
      <w:bookmarkStart w:id="11" w:name="_Toc503550652"/>
      <w:r w:rsidR="00965BAB" w:rsidRPr="00044745">
        <w:rPr>
          <w:noProof/>
          <w:lang w:val="es-CO" w:eastAsia="en-GB"/>
        </w:rPr>
        <w:t xml:space="preserve">Derechos económicos, sociales y culturales </w:t>
      </w:r>
      <w:bookmarkEnd w:id="11"/>
    </w:p>
    <w:p w14:paraId="2700EFA5" w14:textId="3FB189AC" w:rsidR="00C648B2" w:rsidRPr="00044745" w:rsidRDefault="001544A7" w:rsidP="001544A7">
      <w:pPr>
        <w:pStyle w:val="SingleTxtG"/>
        <w:rPr>
          <w:noProof/>
          <w:lang w:val="es-CO" w:eastAsia="en-GB"/>
        </w:rPr>
      </w:pPr>
      <w:r w:rsidRPr="00044745">
        <w:rPr>
          <w:noProof/>
          <w:lang w:val="es-CO" w:eastAsia="en-GB"/>
        </w:rPr>
        <w:t>5</w:t>
      </w:r>
      <w:r w:rsidR="00925BF7" w:rsidRPr="00044745">
        <w:rPr>
          <w:noProof/>
          <w:lang w:val="es-CO" w:eastAsia="en-GB"/>
        </w:rPr>
        <w:t>1</w:t>
      </w:r>
      <w:r w:rsidRPr="00044745">
        <w:rPr>
          <w:noProof/>
          <w:lang w:val="es-CO" w:eastAsia="en-GB"/>
        </w:rPr>
        <w:t>.</w:t>
      </w:r>
      <w:r w:rsidRPr="00044745">
        <w:rPr>
          <w:noProof/>
          <w:lang w:val="es-CO" w:eastAsia="en-GB"/>
        </w:rPr>
        <w:tab/>
      </w:r>
      <w:r w:rsidR="00965BAB" w:rsidRPr="00044745">
        <w:rPr>
          <w:noProof/>
          <w:lang w:val="es-CO" w:eastAsia="en-GB"/>
        </w:rPr>
        <w:t xml:space="preserve">Uno de los principales obstáculos que enfrenta el Estado para garantizar los derechos económicos, sociales y culturales es </w:t>
      </w:r>
      <w:r w:rsidR="00801FAD">
        <w:rPr>
          <w:noProof/>
          <w:lang w:val="es-CO" w:eastAsia="en-GB"/>
        </w:rPr>
        <w:t xml:space="preserve">la tentación </w:t>
      </w:r>
      <w:r w:rsidR="00D66611">
        <w:rPr>
          <w:noProof/>
          <w:lang w:val="es-CO" w:eastAsia="en-GB"/>
        </w:rPr>
        <w:t>d</w:t>
      </w:r>
      <w:r w:rsidR="00965BAB" w:rsidRPr="00044745">
        <w:rPr>
          <w:noProof/>
          <w:lang w:val="es-CO" w:eastAsia="en-GB"/>
        </w:rPr>
        <w:t>el</w:t>
      </w:r>
      <w:r w:rsidR="00D66611">
        <w:rPr>
          <w:noProof/>
          <w:lang w:val="es-CO" w:eastAsia="en-GB"/>
        </w:rPr>
        <w:t xml:space="preserve"> uso del</w:t>
      </w:r>
      <w:r w:rsidR="00965BAB" w:rsidRPr="00044745">
        <w:rPr>
          <w:noProof/>
          <w:lang w:val="es-CO" w:eastAsia="en-GB"/>
        </w:rPr>
        <w:t xml:space="preserve"> gasto público en centros poblacionales con </w:t>
      </w:r>
      <w:r w:rsidR="00BA0DA8">
        <w:rPr>
          <w:noProof/>
          <w:lang w:val="es-CO" w:eastAsia="en-GB"/>
        </w:rPr>
        <w:t xml:space="preserve">el </w:t>
      </w:r>
      <w:r w:rsidR="00965BAB" w:rsidRPr="00044745">
        <w:rPr>
          <w:noProof/>
          <w:lang w:val="es-CO" w:eastAsia="en-GB"/>
        </w:rPr>
        <w:t xml:space="preserve">fin de obtener votos </w:t>
      </w:r>
      <w:r w:rsidR="00D66611">
        <w:rPr>
          <w:noProof/>
          <w:lang w:val="es-CO" w:eastAsia="en-GB"/>
        </w:rPr>
        <w:t>en ve</w:t>
      </w:r>
      <w:r w:rsidR="003A7A8C">
        <w:rPr>
          <w:noProof/>
          <w:lang w:val="es-CO" w:eastAsia="en-GB"/>
        </w:rPr>
        <w:t>z</w:t>
      </w:r>
      <w:r w:rsidR="00D66611">
        <w:rPr>
          <w:noProof/>
          <w:lang w:val="es-CO" w:eastAsia="en-GB"/>
        </w:rPr>
        <w:t xml:space="preserve"> de </w:t>
      </w:r>
      <w:r w:rsidR="00F94245">
        <w:rPr>
          <w:noProof/>
          <w:lang w:val="es-CO" w:eastAsia="en-GB"/>
        </w:rPr>
        <w:t xml:space="preserve"> priorizar </w:t>
      </w:r>
      <w:r w:rsidR="00D66611">
        <w:rPr>
          <w:noProof/>
          <w:lang w:val="es-CO" w:eastAsia="en-GB"/>
        </w:rPr>
        <w:t xml:space="preserve">los recursos </w:t>
      </w:r>
      <w:r w:rsidR="00F94245">
        <w:rPr>
          <w:noProof/>
          <w:lang w:val="es-CO" w:eastAsia="en-GB"/>
        </w:rPr>
        <w:t xml:space="preserve"> </w:t>
      </w:r>
      <w:r w:rsidR="00D66611">
        <w:rPr>
          <w:noProof/>
          <w:lang w:val="es-CO" w:eastAsia="en-GB"/>
        </w:rPr>
        <w:t xml:space="preserve">para </w:t>
      </w:r>
      <w:r w:rsidR="00F94245">
        <w:rPr>
          <w:noProof/>
          <w:lang w:val="es-CO" w:eastAsia="en-GB"/>
        </w:rPr>
        <w:t xml:space="preserve"> </w:t>
      </w:r>
      <w:r w:rsidR="00965BAB" w:rsidRPr="00044745">
        <w:rPr>
          <w:noProof/>
          <w:lang w:val="es-CO" w:eastAsia="en-GB"/>
        </w:rPr>
        <w:t xml:space="preserve">garantizar el acceso y disfrute de derechos básicos </w:t>
      </w:r>
      <w:r w:rsidR="008D0225" w:rsidRPr="00044745">
        <w:rPr>
          <w:noProof/>
          <w:lang w:val="es-CO" w:eastAsia="en-GB"/>
        </w:rPr>
        <w:t xml:space="preserve">de </w:t>
      </w:r>
      <w:r w:rsidR="00D66611">
        <w:rPr>
          <w:noProof/>
          <w:lang w:val="es-CO" w:eastAsia="en-GB"/>
        </w:rPr>
        <w:t xml:space="preserve">las </w:t>
      </w:r>
      <w:r w:rsidR="008D0225" w:rsidRPr="00044745">
        <w:rPr>
          <w:noProof/>
          <w:lang w:val="es-CO" w:eastAsia="en-GB"/>
        </w:rPr>
        <w:t>zonas rurales marginad</w:t>
      </w:r>
      <w:r w:rsidR="00F94245">
        <w:rPr>
          <w:noProof/>
          <w:lang w:val="es-CO" w:eastAsia="en-GB"/>
        </w:rPr>
        <w:t>a</w:t>
      </w:r>
      <w:r w:rsidR="008D0225" w:rsidRPr="00044745">
        <w:rPr>
          <w:noProof/>
          <w:lang w:val="es-CO" w:eastAsia="en-GB"/>
        </w:rPr>
        <w:t>s y menos poblad</w:t>
      </w:r>
      <w:r w:rsidR="00F94245">
        <w:rPr>
          <w:noProof/>
          <w:lang w:val="es-CO" w:eastAsia="en-GB"/>
        </w:rPr>
        <w:t>a</w:t>
      </w:r>
      <w:r w:rsidR="008D0225" w:rsidRPr="00044745">
        <w:rPr>
          <w:noProof/>
          <w:lang w:val="es-CO" w:eastAsia="en-GB"/>
        </w:rPr>
        <w:t xml:space="preserve">s. </w:t>
      </w:r>
      <w:r w:rsidR="00C648B2" w:rsidRPr="00044745">
        <w:rPr>
          <w:noProof/>
          <w:lang w:val="es-CO" w:eastAsia="en-GB"/>
        </w:rPr>
        <w:t xml:space="preserve"> </w:t>
      </w:r>
    </w:p>
    <w:p w14:paraId="69F65E04" w14:textId="2D094CB6" w:rsidR="001544A7" w:rsidRPr="00044745" w:rsidRDefault="00C648B2" w:rsidP="00105B46">
      <w:pPr>
        <w:pStyle w:val="SingleTxtG"/>
        <w:rPr>
          <w:noProof/>
          <w:lang w:val="es-CO" w:eastAsia="en-GB"/>
        </w:rPr>
      </w:pPr>
      <w:r w:rsidRPr="00044745">
        <w:rPr>
          <w:noProof/>
          <w:lang w:val="es-CO" w:eastAsia="en-GB"/>
        </w:rPr>
        <w:t>5</w:t>
      </w:r>
      <w:r w:rsidR="00925BF7" w:rsidRPr="00044745">
        <w:rPr>
          <w:noProof/>
          <w:lang w:val="es-CO" w:eastAsia="en-GB"/>
        </w:rPr>
        <w:t>2</w:t>
      </w:r>
      <w:r w:rsidRPr="00044745">
        <w:rPr>
          <w:noProof/>
          <w:lang w:val="es-CO" w:eastAsia="en-GB"/>
        </w:rPr>
        <w:t>.</w:t>
      </w:r>
      <w:r w:rsidRPr="00044745">
        <w:rPr>
          <w:noProof/>
          <w:lang w:val="es-CO" w:eastAsia="en-GB"/>
        </w:rPr>
        <w:tab/>
      </w:r>
      <w:r w:rsidR="008D0225" w:rsidRPr="00044745">
        <w:rPr>
          <w:noProof/>
          <w:lang w:val="es-CO" w:eastAsia="en-GB"/>
        </w:rPr>
        <w:t xml:space="preserve">Persisten graves desafíos en el acceso equitativo al derecho a la salud en zonas rurales. </w:t>
      </w:r>
      <w:r w:rsidR="001A7E15" w:rsidRPr="00044745">
        <w:rPr>
          <w:noProof/>
          <w:lang w:val="es-CO" w:eastAsia="en-GB"/>
        </w:rPr>
        <w:t xml:space="preserve">A modo de </w:t>
      </w:r>
      <w:r w:rsidR="008D0225" w:rsidRPr="00044745">
        <w:rPr>
          <w:noProof/>
          <w:lang w:val="es-CO" w:eastAsia="en-GB"/>
        </w:rPr>
        <w:t>ejemplo, en el municipio de Riosucio, Chocó – una zona previamente</w:t>
      </w:r>
      <w:r w:rsidR="003E50D5" w:rsidRPr="00044745">
        <w:rPr>
          <w:noProof/>
          <w:lang w:val="es-CO" w:eastAsia="en-GB"/>
        </w:rPr>
        <w:t xml:space="preserve"> bajo la influencia de </w:t>
      </w:r>
      <w:r w:rsidR="008D0225" w:rsidRPr="00044745">
        <w:rPr>
          <w:noProof/>
          <w:lang w:val="es-CO" w:eastAsia="en-GB"/>
        </w:rPr>
        <w:t xml:space="preserve">las FARC-EP – se observó que a pesar de </w:t>
      </w:r>
      <w:r w:rsidR="001A7E15" w:rsidRPr="00044745">
        <w:rPr>
          <w:noProof/>
          <w:lang w:val="es-CO" w:eastAsia="en-GB"/>
        </w:rPr>
        <w:t xml:space="preserve">las </w:t>
      </w:r>
      <w:r w:rsidR="008D0225" w:rsidRPr="00044745">
        <w:rPr>
          <w:noProof/>
          <w:lang w:val="es-CO" w:eastAsia="en-GB"/>
        </w:rPr>
        <w:t>mejor</w:t>
      </w:r>
      <w:r w:rsidR="001A7E15" w:rsidRPr="00044745">
        <w:rPr>
          <w:noProof/>
          <w:lang w:val="es-CO" w:eastAsia="en-GB"/>
        </w:rPr>
        <w:t>a</w:t>
      </w:r>
      <w:r w:rsidR="008D0225" w:rsidRPr="00044745">
        <w:rPr>
          <w:noProof/>
          <w:lang w:val="es-CO" w:eastAsia="en-GB"/>
        </w:rPr>
        <w:t xml:space="preserve">s materiales </w:t>
      </w:r>
      <w:r w:rsidR="001A7E15" w:rsidRPr="00044745">
        <w:rPr>
          <w:noProof/>
          <w:lang w:val="es-CO" w:eastAsia="en-GB"/>
        </w:rPr>
        <w:t>realizadas a</w:t>
      </w:r>
      <w:r w:rsidR="008D0225" w:rsidRPr="00044745">
        <w:rPr>
          <w:noProof/>
          <w:lang w:val="es-CO" w:eastAsia="en-GB"/>
        </w:rPr>
        <w:t>l centro de salud del área urban</w:t>
      </w:r>
      <w:r w:rsidR="00F94245">
        <w:rPr>
          <w:noProof/>
          <w:lang w:val="es-CO" w:eastAsia="en-GB"/>
        </w:rPr>
        <w:t>a</w:t>
      </w:r>
      <w:r w:rsidR="008D0225" w:rsidRPr="00044745">
        <w:rPr>
          <w:noProof/>
          <w:lang w:val="es-CO" w:eastAsia="en-GB"/>
        </w:rPr>
        <w:t xml:space="preserve">, </w:t>
      </w:r>
      <w:r w:rsidR="00D66611">
        <w:rPr>
          <w:noProof/>
          <w:lang w:val="es-CO" w:eastAsia="en-GB"/>
        </w:rPr>
        <w:t>se siguen observando</w:t>
      </w:r>
      <w:r w:rsidR="008D0225" w:rsidRPr="00044745">
        <w:rPr>
          <w:noProof/>
          <w:lang w:val="es-CO" w:eastAsia="en-GB"/>
        </w:rPr>
        <w:t xml:space="preserve"> dificultades en las zonas rurales, principalmente </w:t>
      </w:r>
      <w:r w:rsidR="001A7E15" w:rsidRPr="00044745">
        <w:rPr>
          <w:noProof/>
          <w:lang w:val="es-CO" w:eastAsia="en-GB"/>
        </w:rPr>
        <w:t xml:space="preserve">la </w:t>
      </w:r>
      <w:r w:rsidR="008D0225" w:rsidRPr="00044745">
        <w:rPr>
          <w:noProof/>
          <w:lang w:val="es-CO" w:eastAsia="en-GB"/>
        </w:rPr>
        <w:t>falta de agua potable</w:t>
      </w:r>
      <w:r w:rsidR="00706E0C">
        <w:rPr>
          <w:noProof/>
          <w:lang w:val="es-CO" w:eastAsia="en-GB"/>
        </w:rPr>
        <w:t xml:space="preserve"> y de</w:t>
      </w:r>
      <w:r w:rsidR="001A7E15" w:rsidRPr="00044745">
        <w:rPr>
          <w:noProof/>
          <w:lang w:val="es-CO" w:eastAsia="en-GB"/>
        </w:rPr>
        <w:t xml:space="preserve"> </w:t>
      </w:r>
      <w:r w:rsidR="008D0225" w:rsidRPr="00044745">
        <w:rPr>
          <w:noProof/>
          <w:lang w:val="es-CO" w:eastAsia="en-GB"/>
        </w:rPr>
        <w:t>sistemas de alcantar</w:t>
      </w:r>
      <w:r w:rsidR="00327F7C">
        <w:rPr>
          <w:noProof/>
          <w:lang w:val="es-CO" w:eastAsia="en-GB"/>
        </w:rPr>
        <w:t>illado</w:t>
      </w:r>
      <w:r w:rsidR="00D66611">
        <w:rPr>
          <w:noProof/>
          <w:lang w:val="es-CO" w:eastAsia="en-GB"/>
        </w:rPr>
        <w:t>,</w:t>
      </w:r>
      <w:r w:rsidR="001A7E15" w:rsidRPr="00044745">
        <w:rPr>
          <w:noProof/>
          <w:lang w:val="es-CO" w:eastAsia="en-GB"/>
        </w:rPr>
        <w:t xml:space="preserve"> la </w:t>
      </w:r>
      <w:r w:rsidR="008D0225" w:rsidRPr="00044745">
        <w:rPr>
          <w:noProof/>
          <w:lang w:val="es-CO" w:eastAsia="en-GB"/>
        </w:rPr>
        <w:t xml:space="preserve">falta de centros de salud y de profesionales de la salud. Además, </w:t>
      </w:r>
      <w:r w:rsidR="001A7E15" w:rsidRPr="00044745">
        <w:rPr>
          <w:noProof/>
          <w:lang w:val="es-CO" w:eastAsia="en-GB"/>
        </w:rPr>
        <w:t xml:space="preserve">a </w:t>
      </w:r>
      <w:r w:rsidR="008D0225" w:rsidRPr="00044745">
        <w:rPr>
          <w:noProof/>
          <w:lang w:val="es-CO" w:eastAsia="en-GB"/>
        </w:rPr>
        <w:t xml:space="preserve">los niños </w:t>
      </w:r>
      <w:r w:rsidR="001A7E15" w:rsidRPr="00044745">
        <w:rPr>
          <w:noProof/>
          <w:lang w:val="es-CO" w:eastAsia="en-GB"/>
        </w:rPr>
        <w:t xml:space="preserve">sin registro civil se les niega el </w:t>
      </w:r>
      <w:r w:rsidR="008D0225" w:rsidRPr="00044745">
        <w:rPr>
          <w:noProof/>
          <w:lang w:val="es-CO" w:eastAsia="en-GB"/>
        </w:rPr>
        <w:t xml:space="preserve">acceso a </w:t>
      </w:r>
      <w:r w:rsidR="001A7E15" w:rsidRPr="00044745">
        <w:rPr>
          <w:noProof/>
          <w:lang w:val="es-CO" w:eastAsia="en-GB"/>
        </w:rPr>
        <w:t xml:space="preserve">los </w:t>
      </w:r>
      <w:r w:rsidR="008D0225" w:rsidRPr="00044745">
        <w:rPr>
          <w:noProof/>
          <w:lang w:val="es-CO" w:eastAsia="en-GB"/>
        </w:rPr>
        <w:t>servicios de salud</w:t>
      </w:r>
      <w:r w:rsidR="001A7E15" w:rsidRPr="00044745">
        <w:rPr>
          <w:noProof/>
          <w:lang w:val="es-CO" w:eastAsia="en-GB"/>
        </w:rPr>
        <w:t xml:space="preserve">. Entre enero y agosto, seis niños murieron de enfermedades prevenibles y curables, como diarrea </w:t>
      </w:r>
      <w:r w:rsidR="00327F7C">
        <w:rPr>
          <w:noProof/>
          <w:lang w:val="es-CO" w:eastAsia="en-GB"/>
        </w:rPr>
        <w:t>e</w:t>
      </w:r>
      <w:r w:rsidR="001A7E15" w:rsidRPr="00044745">
        <w:rPr>
          <w:noProof/>
          <w:lang w:val="es-CO" w:eastAsia="en-GB"/>
        </w:rPr>
        <w:t xml:space="preserve"> infecciones respiratorias.</w:t>
      </w:r>
      <w:r w:rsidR="001544A7" w:rsidRPr="00044745">
        <w:rPr>
          <w:noProof/>
          <w:lang w:val="es-CO" w:eastAsia="en-GB"/>
        </w:rPr>
        <w:t xml:space="preserve"> </w:t>
      </w:r>
    </w:p>
    <w:p w14:paraId="2B819E77" w14:textId="4B39BD27" w:rsidR="00105B46" w:rsidRPr="00044745" w:rsidRDefault="001544A7" w:rsidP="001544A7">
      <w:pPr>
        <w:pStyle w:val="SingleTxtG"/>
        <w:rPr>
          <w:noProof/>
          <w:lang w:val="es-CO" w:eastAsia="en-GB"/>
        </w:rPr>
      </w:pPr>
      <w:r w:rsidRPr="00044745">
        <w:rPr>
          <w:noProof/>
          <w:lang w:val="es-CO" w:eastAsia="en-GB"/>
        </w:rPr>
        <w:t>5</w:t>
      </w:r>
      <w:r w:rsidR="00925BF7" w:rsidRPr="00044745">
        <w:rPr>
          <w:noProof/>
          <w:lang w:val="es-CO" w:eastAsia="en-GB"/>
        </w:rPr>
        <w:t>3</w:t>
      </w:r>
      <w:r w:rsidRPr="00044745">
        <w:rPr>
          <w:noProof/>
          <w:lang w:val="es-CO" w:eastAsia="en-GB"/>
        </w:rPr>
        <w:t>.</w:t>
      </w:r>
      <w:r w:rsidRPr="00044745">
        <w:rPr>
          <w:noProof/>
          <w:lang w:val="es-CO" w:eastAsia="en-GB"/>
        </w:rPr>
        <w:tab/>
      </w:r>
      <w:r w:rsidR="00105B46" w:rsidRPr="00044745">
        <w:rPr>
          <w:noProof/>
          <w:lang w:val="es-CO" w:eastAsia="en-GB"/>
        </w:rPr>
        <w:t>La falta de servicios básicos de salud y de una política pública de salud que sea culturalmente relevante afecta a los pueblos indígenas en riesgo de extinción en los departamentos de Amazonas, Caquetá y Putumayo. Asímismo, se observó la falta de acceso a servicios de salud en comunidades</w:t>
      </w:r>
      <w:r w:rsidR="00F9718A" w:rsidRPr="00044745">
        <w:rPr>
          <w:noProof/>
          <w:lang w:val="es-CO" w:eastAsia="en-GB"/>
        </w:rPr>
        <w:t xml:space="preserve"> </w:t>
      </w:r>
      <w:r w:rsidR="00327F7C">
        <w:rPr>
          <w:noProof/>
          <w:lang w:val="es-CO" w:eastAsia="en-GB"/>
        </w:rPr>
        <w:t>campesin</w:t>
      </w:r>
      <w:r w:rsidR="00D66611">
        <w:rPr>
          <w:noProof/>
          <w:lang w:val="es-CO" w:eastAsia="en-GB"/>
        </w:rPr>
        <w:t>a</w:t>
      </w:r>
      <w:r w:rsidR="00327F7C">
        <w:rPr>
          <w:noProof/>
          <w:lang w:val="es-CO" w:eastAsia="en-GB"/>
        </w:rPr>
        <w:t>s</w:t>
      </w:r>
      <w:r w:rsidR="00F9718A" w:rsidRPr="00044745">
        <w:rPr>
          <w:noProof/>
          <w:lang w:val="es-CO" w:eastAsia="en-GB"/>
        </w:rPr>
        <w:t xml:space="preserve">  en varias</w:t>
      </w:r>
      <w:r w:rsidR="00A724F0" w:rsidRPr="00044745">
        <w:rPr>
          <w:noProof/>
          <w:lang w:val="es-CO" w:eastAsia="en-GB"/>
        </w:rPr>
        <w:t xml:space="preserve"> de las </w:t>
      </w:r>
      <w:r w:rsidR="003E50D5" w:rsidRPr="00044745">
        <w:rPr>
          <w:noProof/>
          <w:lang w:val="es-CO" w:eastAsia="en-GB"/>
        </w:rPr>
        <w:t xml:space="preserve">antiguas zonas </w:t>
      </w:r>
      <w:r w:rsidR="00A724F0" w:rsidRPr="00044745">
        <w:rPr>
          <w:noProof/>
          <w:lang w:val="es-CO" w:eastAsia="en-GB"/>
        </w:rPr>
        <w:t xml:space="preserve">de influencia </w:t>
      </w:r>
      <w:r w:rsidR="00F9718A" w:rsidRPr="00044745">
        <w:rPr>
          <w:noProof/>
          <w:lang w:val="es-CO" w:eastAsia="en-GB"/>
        </w:rPr>
        <w:t xml:space="preserve">de las FARC-EP. </w:t>
      </w:r>
    </w:p>
    <w:p w14:paraId="26A8FAFF" w14:textId="681A51B8" w:rsidR="0041508B" w:rsidRPr="00044745" w:rsidRDefault="001544A7" w:rsidP="001544A7">
      <w:pPr>
        <w:pStyle w:val="SingleTxtG"/>
        <w:rPr>
          <w:noProof/>
          <w:lang w:val="es-CO" w:eastAsia="en-GB"/>
        </w:rPr>
      </w:pPr>
      <w:r w:rsidRPr="00044745">
        <w:rPr>
          <w:noProof/>
          <w:lang w:val="es-CO" w:eastAsia="en-GB"/>
        </w:rPr>
        <w:lastRenderedPageBreak/>
        <w:t>5</w:t>
      </w:r>
      <w:r w:rsidR="00925BF7" w:rsidRPr="00044745">
        <w:rPr>
          <w:noProof/>
          <w:lang w:val="es-CO" w:eastAsia="en-GB"/>
        </w:rPr>
        <w:t>4</w:t>
      </w:r>
      <w:r w:rsidRPr="00044745">
        <w:rPr>
          <w:noProof/>
          <w:lang w:val="es-CO" w:eastAsia="en-GB"/>
        </w:rPr>
        <w:t>.</w:t>
      </w:r>
      <w:r w:rsidRPr="00044745">
        <w:rPr>
          <w:noProof/>
          <w:lang w:val="es-CO" w:eastAsia="en-GB"/>
        </w:rPr>
        <w:tab/>
      </w:r>
      <w:r w:rsidR="0041508B" w:rsidRPr="00044745">
        <w:rPr>
          <w:noProof/>
          <w:lang w:val="es-CO" w:eastAsia="en-GB"/>
        </w:rPr>
        <w:t>La tasa de mortalidad infantil en la población indígena (20,9 muertos por cada 1.000 nacidos vivos) es cinco puntos más alt</w:t>
      </w:r>
      <w:r w:rsidR="00327F7C">
        <w:rPr>
          <w:noProof/>
          <w:lang w:val="es-CO" w:eastAsia="en-GB"/>
        </w:rPr>
        <w:t>a</w:t>
      </w:r>
      <w:r w:rsidR="0041508B" w:rsidRPr="00044745">
        <w:rPr>
          <w:noProof/>
          <w:lang w:val="es-CO" w:eastAsia="en-GB"/>
        </w:rPr>
        <w:t xml:space="preserve"> que en</w:t>
      </w:r>
      <w:r w:rsidR="00327F7C">
        <w:rPr>
          <w:noProof/>
          <w:lang w:val="es-CO" w:eastAsia="en-GB"/>
        </w:rPr>
        <w:t>tre</w:t>
      </w:r>
      <w:r w:rsidR="0041508B" w:rsidRPr="00044745">
        <w:rPr>
          <w:noProof/>
          <w:lang w:val="es-CO" w:eastAsia="en-GB"/>
        </w:rPr>
        <w:t xml:space="preserve"> la población no indígena (15,9). </w:t>
      </w:r>
      <w:r w:rsidR="00CC7F4D" w:rsidRPr="00044745">
        <w:rPr>
          <w:noProof/>
          <w:lang w:val="es-CO" w:eastAsia="en-GB"/>
        </w:rPr>
        <w:t>La tasa de mortalidad materna en mujeres afrocolombian</w:t>
      </w:r>
      <w:r w:rsidR="003E16FC">
        <w:rPr>
          <w:noProof/>
          <w:lang w:val="es-CO" w:eastAsia="en-GB"/>
        </w:rPr>
        <w:t>a</w:t>
      </w:r>
      <w:r w:rsidR="00CC7F4D" w:rsidRPr="00044745">
        <w:rPr>
          <w:noProof/>
          <w:lang w:val="es-CO" w:eastAsia="en-GB"/>
        </w:rPr>
        <w:t>s es</w:t>
      </w:r>
      <w:r w:rsidR="00706E0C">
        <w:rPr>
          <w:noProof/>
          <w:lang w:val="es-CO" w:eastAsia="en-GB"/>
        </w:rPr>
        <w:t xml:space="preserve"> de</w:t>
      </w:r>
      <w:r w:rsidR="00CC7F4D" w:rsidRPr="00044745">
        <w:rPr>
          <w:noProof/>
          <w:lang w:val="es-CO" w:eastAsia="en-GB"/>
        </w:rPr>
        <w:t xml:space="preserve"> 152,9, mientras que en el resto de la población</w:t>
      </w:r>
      <w:r w:rsidR="00CC7F4D" w:rsidRPr="00044745">
        <w:rPr>
          <w:noProof/>
          <w:vertAlign w:val="superscript"/>
          <w:lang w:val="es-CO" w:eastAsia="en-GB"/>
        </w:rPr>
        <w:footnoteReference w:id="13"/>
      </w:r>
      <w:r w:rsidR="00CC7F4D" w:rsidRPr="00044745">
        <w:rPr>
          <w:noProof/>
          <w:lang w:val="es-CO" w:eastAsia="en-GB"/>
        </w:rPr>
        <w:t xml:space="preserve"> es</w:t>
      </w:r>
      <w:r w:rsidR="00706E0C">
        <w:rPr>
          <w:noProof/>
          <w:lang w:val="es-CO" w:eastAsia="en-GB"/>
        </w:rPr>
        <w:t xml:space="preserve"> de</w:t>
      </w:r>
      <w:r w:rsidR="00CC7F4D" w:rsidRPr="00044745">
        <w:rPr>
          <w:noProof/>
          <w:lang w:val="es-CO" w:eastAsia="en-GB"/>
        </w:rPr>
        <w:t xml:space="preserve"> 66,5. </w:t>
      </w:r>
    </w:p>
    <w:p w14:paraId="3BB1D238" w14:textId="3704A90C" w:rsidR="00CC7F4D" w:rsidRPr="00044745" w:rsidRDefault="00925BF7" w:rsidP="001544A7">
      <w:pPr>
        <w:pStyle w:val="SingleTxtG"/>
        <w:rPr>
          <w:noProof/>
          <w:lang w:val="es-CO" w:eastAsia="en-GB"/>
        </w:rPr>
      </w:pPr>
      <w:r w:rsidRPr="00044745">
        <w:rPr>
          <w:noProof/>
          <w:lang w:val="es-CO" w:eastAsia="en-GB"/>
        </w:rPr>
        <w:t>55</w:t>
      </w:r>
      <w:r w:rsidR="001544A7" w:rsidRPr="00044745">
        <w:rPr>
          <w:noProof/>
          <w:lang w:val="es-CO" w:eastAsia="en-GB"/>
        </w:rPr>
        <w:t>.</w:t>
      </w:r>
      <w:r w:rsidR="001544A7" w:rsidRPr="00044745">
        <w:rPr>
          <w:noProof/>
          <w:lang w:val="es-CO" w:eastAsia="en-GB"/>
        </w:rPr>
        <w:tab/>
      </w:r>
      <w:r w:rsidR="00706E0C">
        <w:rPr>
          <w:noProof/>
          <w:lang w:val="es-CO" w:eastAsia="en-GB"/>
        </w:rPr>
        <w:t>La minería legal e ilegal</w:t>
      </w:r>
      <w:r w:rsidR="006A1BD0" w:rsidRPr="00044745">
        <w:rPr>
          <w:noProof/>
          <w:lang w:val="es-CO" w:eastAsia="en-GB"/>
        </w:rPr>
        <w:t xml:space="preserve"> ha tenido un impacto negativo en l</w:t>
      </w:r>
      <w:r w:rsidR="00CC7F4D" w:rsidRPr="00044745">
        <w:rPr>
          <w:noProof/>
          <w:lang w:val="es-CO" w:eastAsia="en-GB"/>
        </w:rPr>
        <w:t>os derechos al agua, a la salud y a la alimentaci</w:t>
      </w:r>
      <w:r w:rsidR="006A1BD0" w:rsidRPr="00044745">
        <w:rPr>
          <w:noProof/>
          <w:lang w:val="es-CO" w:eastAsia="en-GB"/>
        </w:rPr>
        <w:t xml:space="preserve">ón, contaminando los ríos en varios lugares del país, especialmente en </w:t>
      </w:r>
      <w:r w:rsidR="00327F7C">
        <w:rPr>
          <w:noProof/>
          <w:lang w:val="es-CO" w:eastAsia="en-GB"/>
        </w:rPr>
        <w:t xml:space="preserve">las </w:t>
      </w:r>
      <w:r w:rsidR="006A1BD0" w:rsidRPr="00044745">
        <w:rPr>
          <w:noProof/>
          <w:lang w:val="es-CO" w:eastAsia="en-GB"/>
        </w:rPr>
        <w:t xml:space="preserve">zonas afectadas por el conflicto armado. Este es el caso de los ríos Caquetá y Putumayo, </w:t>
      </w:r>
      <w:r w:rsidR="00327F7C">
        <w:rPr>
          <w:noProof/>
          <w:lang w:val="es-CO" w:eastAsia="en-GB"/>
        </w:rPr>
        <w:t xml:space="preserve"> afecta</w:t>
      </w:r>
      <w:r w:rsidR="003E16FC">
        <w:rPr>
          <w:noProof/>
          <w:lang w:val="es-CO" w:eastAsia="en-GB"/>
        </w:rPr>
        <w:t>ndo</w:t>
      </w:r>
      <w:r w:rsidR="00327F7C">
        <w:rPr>
          <w:noProof/>
          <w:lang w:val="es-CO" w:eastAsia="en-GB"/>
        </w:rPr>
        <w:t xml:space="preserve"> a  puebl</w:t>
      </w:r>
      <w:r w:rsidR="006A1BD0" w:rsidRPr="00044745">
        <w:rPr>
          <w:noProof/>
          <w:lang w:val="es-CO" w:eastAsia="en-GB"/>
        </w:rPr>
        <w:t>o</w:t>
      </w:r>
      <w:r w:rsidR="00327F7C">
        <w:rPr>
          <w:noProof/>
          <w:lang w:val="es-CO" w:eastAsia="en-GB"/>
        </w:rPr>
        <w:t>s</w:t>
      </w:r>
      <w:r w:rsidR="006A1BD0" w:rsidRPr="00044745">
        <w:rPr>
          <w:noProof/>
          <w:lang w:val="es-CO" w:eastAsia="en-GB"/>
        </w:rPr>
        <w:t xml:space="preserve"> indígenas; el río Nechí, en Antioquia; el río Cauca; y los ríos Quito y Atrato, en Chocó. </w:t>
      </w:r>
    </w:p>
    <w:p w14:paraId="2FDA700F" w14:textId="58D0B942" w:rsidR="001544A7" w:rsidRPr="00044745" w:rsidRDefault="00925BF7" w:rsidP="004F1214">
      <w:pPr>
        <w:pStyle w:val="SingleTxtG"/>
        <w:rPr>
          <w:noProof/>
          <w:lang w:val="es-CO" w:eastAsia="en-GB"/>
        </w:rPr>
      </w:pPr>
      <w:r w:rsidRPr="00044745">
        <w:rPr>
          <w:noProof/>
          <w:lang w:val="es-CO" w:eastAsia="en-GB"/>
        </w:rPr>
        <w:t>56</w:t>
      </w:r>
      <w:r w:rsidR="001544A7" w:rsidRPr="00044745">
        <w:rPr>
          <w:noProof/>
          <w:lang w:val="es-CO" w:eastAsia="en-GB"/>
        </w:rPr>
        <w:t>.</w:t>
      </w:r>
      <w:r w:rsidR="001544A7" w:rsidRPr="00044745">
        <w:rPr>
          <w:noProof/>
          <w:lang w:val="es-CO" w:eastAsia="en-GB"/>
        </w:rPr>
        <w:tab/>
      </w:r>
      <w:r w:rsidR="00706E0C">
        <w:rPr>
          <w:noProof/>
          <w:lang w:val="es-CO" w:eastAsia="en-GB"/>
        </w:rPr>
        <w:t>La</w:t>
      </w:r>
      <w:r w:rsidR="006A1BD0" w:rsidRPr="00044745">
        <w:rPr>
          <w:noProof/>
          <w:lang w:val="es-CO" w:eastAsia="en-GB"/>
        </w:rPr>
        <w:t xml:space="preserve"> </w:t>
      </w:r>
      <w:r w:rsidR="003E16FC">
        <w:rPr>
          <w:noProof/>
          <w:lang w:val="es-CO" w:eastAsia="en-GB"/>
        </w:rPr>
        <w:t>O</w:t>
      </w:r>
      <w:r w:rsidR="006A1BD0" w:rsidRPr="00044745">
        <w:rPr>
          <w:noProof/>
          <w:lang w:val="es-CO" w:eastAsia="en-GB"/>
        </w:rPr>
        <w:t>ACNUDH apoya dos procesos de transformación de minería ilegal a minería legal y ambienta</w:t>
      </w:r>
      <w:r w:rsidR="003E16FC">
        <w:rPr>
          <w:noProof/>
          <w:lang w:val="es-CO" w:eastAsia="en-GB"/>
        </w:rPr>
        <w:t>l</w:t>
      </w:r>
      <w:r w:rsidR="006A1BD0" w:rsidRPr="00044745">
        <w:rPr>
          <w:noProof/>
          <w:lang w:val="es-CO" w:eastAsia="en-GB"/>
        </w:rPr>
        <w:t>mente sostenible, en El Bagre, Antioquia y en las cuencas de los ríos Beberá y Bebaramá, en Chocó. En este último</w:t>
      </w:r>
      <w:r w:rsidR="004F1214" w:rsidRPr="00044745">
        <w:rPr>
          <w:noProof/>
          <w:lang w:val="es-CO" w:eastAsia="en-GB"/>
        </w:rPr>
        <w:t>, el Ministerio del Medio Ambiente,</w:t>
      </w:r>
      <w:r w:rsidR="00327F7C">
        <w:rPr>
          <w:noProof/>
          <w:lang w:val="es-CO" w:eastAsia="en-GB"/>
        </w:rPr>
        <w:t xml:space="preserve"> las</w:t>
      </w:r>
      <w:r w:rsidR="004F1214" w:rsidRPr="00044745">
        <w:rPr>
          <w:noProof/>
          <w:lang w:val="es-CO" w:eastAsia="en-GB"/>
        </w:rPr>
        <w:t xml:space="preserve"> comunidades locales y étnicas, la comunidad internacional y la Organización de las Naciones Unidas para el Desarrollo Industrial participan en un proceso que busca mejorar las condiciones de vida en las comunidades mineras, evitar la presencia de grupos </w:t>
      </w:r>
      <w:r w:rsidR="00706E0C">
        <w:rPr>
          <w:noProof/>
          <w:lang w:val="es-CO" w:eastAsia="en-GB"/>
        </w:rPr>
        <w:t>criminales</w:t>
      </w:r>
      <w:r w:rsidR="004F1214" w:rsidRPr="00044745">
        <w:rPr>
          <w:noProof/>
          <w:lang w:val="es-CO" w:eastAsia="en-GB"/>
        </w:rPr>
        <w:t xml:space="preserve"> y minimizar el impacto ambiental </w:t>
      </w:r>
      <w:r w:rsidR="00706E0C">
        <w:rPr>
          <w:noProof/>
          <w:lang w:val="es-CO" w:eastAsia="en-GB"/>
        </w:rPr>
        <w:t>generado por</w:t>
      </w:r>
      <w:r w:rsidR="004F1214" w:rsidRPr="00044745">
        <w:rPr>
          <w:noProof/>
          <w:lang w:val="es-CO" w:eastAsia="en-GB"/>
        </w:rPr>
        <w:t xml:space="preserve"> la extracción de oro.</w:t>
      </w:r>
      <w:r w:rsidR="001544A7" w:rsidRPr="00044745">
        <w:rPr>
          <w:noProof/>
          <w:lang w:val="es-CO" w:eastAsia="en-GB"/>
        </w:rPr>
        <w:t xml:space="preserve"> </w:t>
      </w:r>
    </w:p>
    <w:p w14:paraId="6A09AE63" w14:textId="653D3BFA" w:rsidR="004F1214" w:rsidRPr="00044745" w:rsidRDefault="00925BF7" w:rsidP="00E950BE">
      <w:pPr>
        <w:pStyle w:val="SingleTxtG"/>
        <w:rPr>
          <w:noProof/>
          <w:lang w:val="es-CO" w:eastAsia="en-GB"/>
        </w:rPr>
      </w:pPr>
      <w:r w:rsidRPr="00044745">
        <w:rPr>
          <w:noProof/>
          <w:lang w:val="es-CO" w:eastAsia="en-GB"/>
        </w:rPr>
        <w:t>57</w:t>
      </w:r>
      <w:r w:rsidR="001544A7" w:rsidRPr="00044745">
        <w:rPr>
          <w:noProof/>
          <w:lang w:val="es-CO" w:eastAsia="en-GB"/>
        </w:rPr>
        <w:t>.</w:t>
      </w:r>
      <w:r w:rsidR="001544A7" w:rsidRPr="00044745">
        <w:rPr>
          <w:noProof/>
          <w:lang w:val="es-CO" w:eastAsia="en-GB"/>
        </w:rPr>
        <w:tab/>
      </w:r>
      <w:r w:rsidR="003E16FC">
        <w:rPr>
          <w:noProof/>
          <w:lang w:val="es-CO" w:eastAsia="en-GB"/>
        </w:rPr>
        <w:t xml:space="preserve">La </w:t>
      </w:r>
      <w:r w:rsidR="009C4138" w:rsidRPr="00044745">
        <w:rPr>
          <w:noProof/>
          <w:lang w:val="es-CO" w:eastAsia="en-GB"/>
        </w:rPr>
        <w:t xml:space="preserve"> </w:t>
      </w:r>
      <w:r w:rsidR="003E16FC">
        <w:rPr>
          <w:noProof/>
          <w:lang w:val="es-CO" w:eastAsia="en-GB"/>
        </w:rPr>
        <w:t>O</w:t>
      </w:r>
      <w:r w:rsidR="009C4138" w:rsidRPr="00044745">
        <w:rPr>
          <w:noProof/>
          <w:lang w:val="es-CO" w:eastAsia="en-GB"/>
        </w:rPr>
        <w:t>ACNUDH observó que l</w:t>
      </w:r>
      <w:r w:rsidR="004F1214" w:rsidRPr="00044745">
        <w:rPr>
          <w:noProof/>
          <w:lang w:val="es-CO" w:eastAsia="en-GB"/>
        </w:rPr>
        <w:t xml:space="preserve">a falta de continuidad en la contratación de los </w:t>
      </w:r>
      <w:r w:rsidR="003E16FC">
        <w:rPr>
          <w:noProof/>
          <w:lang w:val="es-CO" w:eastAsia="en-GB"/>
        </w:rPr>
        <w:t xml:space="preserve">docentes </w:t>
      </w:r>
      <w:r w:rsidR="004F1214" w:rsidRPr="00044745">
        <w:rPr>
          <w:noProof/>
          <w:lang w:val="es-CO" w:eastAsia="en-GB"/>
        </w:rPr>
        <w:t xml:space="preserve"> y la precariedad de las instalacione</w:t>
      </w:r>
      <w:r w:rsidR="00327F7C">
        <w:rPr>
          <w:noProof/>
          <w:lang w:val="es-CO" w:eastAsia="en-GB"/>
        </w:rPr>
        <w:t>s</w:t>
      </w:r>
      <w:r w:rsidR="004F1214" w:rsidRPr="00044745">
        <w:rPr>
          <w:noProof/>
          <w:lang w:val="es-CO" w:eastAsia="en-GB"/>
        </w:rPr>
        <w:t xml:space="preserve"> escolares </w:t>
      </w:r>
      <w:r w:rsidR="00706E0C">
        <w:rPr>
          <w:noProof/>
          <w:lang w:val="es-CO" w:eastAsia="en-GB"/>
        </w:rPr>
        <w:t>así como</w:t>
      </w:r>
      <w:r w:rsidR="004F1214" w:rsidRPr="00044745">
        <w:rPr>
          <w:noProof/>
          <w:lang w:val="es-CO" w:eastAsia="en-GB"/>
        </w:rPr>
        <w:t xml:space="preserve"> del material pedagógico</w:t>
      </w:r>
      <w:r w:rsidR="003E16FC">
        <w:rPr>
          <w:noProof/>
          <w:lang w:val="es-CO" w:eastAsia="en-GB"/>
        </w:rPr>
        <w:t>,</w:t>
      </w:r>
      <w:r w:rsidR="004F1214" w:rsidRPr="00044745">
        <w:rPr>
          <w:noProof/>
          <w:lang w:val="es-CO" w:eastAsia="en-GB"/>
        </w:rPr>
        <w:t xml:space="preserve"> contribuyen a </w:t>
      </w:r>
      <w:r w:rsidR="009C4138" w:rsidRPr="00044745">
        <w:rPr>
          <w:noProof/>
          <w:lang w:val="es-CO" w:eastAsia="en-GB"/>
        </w:rPr>
        <w:t xml:space="preserve">la deserción escolar y dificultan el acceso a educación de calidad en zonas afectadas por el conflicto en Antioquia, Amazonas, Bolivar, Huila, Putumayo, Nariño, Choco, Arauca, Caquetá, Meta y Tolima. </w:t>
      </w:r>
    </w:p>
    <w:p w14:paraId="1073FBFC" w14:textId="498ADA60" w:rsidR="001544A7" w:rsidRPr="00044745" w:rsidRDefault="00925BF7" w:rsidP="00582E77">
      <w:pPr>
        <w:pStyle w:val="SingleTxtG"/>
        <w:rPr>
          <w:noProof/>
          <w:lang w:val="es-CO" w:eastAsia="en-GB"/>
        </w:rPr>
      </w:pPr>
      <w:r w:rsidRPr="00044745">
        <w:rPr>
          <w:noProof/>
          <w:lang w:val="es-CO" w:eastAsia="en-GB"/>
        </w:rPr>
        <w:t>58</w:t>
      </w:r>
      <w:r w:rsidR="001544A7" w:rsidRPr="00044745">
        <w:rPr>
          <w:noProof/>
          <w:lang w:val="es-CO" w:eastAsia="en-GB"/>
        </w:rPr>
        <w:t>.</w:t>
      </w:r>
      <w:r w:rsidR="001544A7" w:rsidRPr="00044745">
        <w:rPr>
          <w:noProof/>
          <w:lang w:val="es-CO" w:eastAsia="en-GB"/>
        </w:rPr>
        <w:tab/>
      </w:r>
      <w:r w:rsidR="009C4138" w:rsidRPr="00044745">
        <w:rPr>
          <w:noProof/>
          <w:lang w:val="es-CO" w:eastAsia="en-GB"/>
        </w:rPr>
        <w:t>Se observ</w:t>
      </w:r>
      <w:r w:rsidR="00327F7C">
        <w:rPr>
          <w:noProof/>
          <w:lang w:val="es-CO" w:eastAsia="en-GB"/>
        </w:rPr>
        <w:t>ó</w:t>
      </w:r>
      <w:r w:rsidR="009C4138" w:rsidRPr="00044745">
        <w:rPr>
          <w:noProof/>
          <w:lang w:val="es-CO" w:eastAsia="en-GB"/>
        </w:rPr>
        <w:t xml:space="preserve"> la falta de compromiso </w:t>
      </w:r>
      <w:r w:rsidR="00532691">
        <w:rPr>
          <w:noProof/>
          <w:lang w:val="es-CO" w:eastAsia="en-GB"/>
        </w:rPr>
        <w:t xml:space="preserve">para </w:t>
      </w:r>
      <w:r w:rsidR="006B1ED3">
        <w:rPr>
          <w:noProof/>
          <w:lang w:val="es-CO" w:eastAsia="en-GB"/>
        </w:rPr>
        <w:t>mejorar</w:t>
      </w:r>
      <w:r w:rsidR="009C4138" w:rsidRPr="00044745">
        <w:rPr>
          <w:noProof/>
          <w:lang w:val="es-CO" w:eastAsia="en-GB"/>
        </w:rPr>
        <w:t xml:space="preserve"> el </w:t>
      </w:r>
      <w:r w:rsidR="00BA0DA8">
        <w:rPr>
          <w:noProof/>
          <w:lang w:val="es-CO" w:eastAsia="en-GB"/>
        </w:rPr>
        <w:t>disfrute</w:t>
      </w:r>
      <w:r w:rsidR="009C4138" w:rsidRPr="00044745">
        <w:rPr>
          <w:noProof/>
          <w:lang w:val="es-CO" w:eastAsia="en-GB"/>
        </w:rPr>
        <w:t xml:space="preserve"> de derechos </w:t>
      </w:r>
      <w:r w:rsidR="00327F7C">
        <w:rPr>
          <w:noProof/>
          <w:lang w:val="es-CO" w:eastAsia="en-GB"/>
        </w:rPr>
        <w:t xml:space="preserve">de </w:t>
      </w:r>
      <w:r w:rsidR="009C4138" w:rsidRPr="00044745">
        <w:rPr>
          <w:noProof/>
          <w:lang w:val="es-CO" w:eastAsia="en-GB"/>
        </w:rPr>
        <w:t xml:space="preserve">las comunidades </w:t>
      </w:r>
      <w:r w:rsidR="006B1ED3">
        <w:rPr>
          <w:noProof/>
          <w:lang w:val="es-CO" w:eastAsia="en-GB"/>
        </w:rPr>
        <w:t>por parte de</w:t>
      </w:r>
      <w:r w:rsidR="006B1ED3" w:rsidRPr="00044745">
        <w:rPr>
          <w:noProof/>
          <w:lang w:val="es-CO" w:eastAsia="en-GB"/>
        </w:rPr>
        <w:t xml:space="preserve"> </w:t>
      </w:r>
      <w:r w:rsidR="009C4138" w:rsidRPr="00044745">
        <w:rPr>
          <w:noProof/>
          <w:lang w:val="es-CO" w:eastAsia="en-GB"/>
        </w:rPr>
        <w:t xml:space="preserve">algunos funcionarios públicos – incluso algunos de alto rango – que interponen sus intereses personales y </w:t>
      </w:r>
      <w:r w:rsidR="006B1ED3">
        <w:rPr>
          <w:noProof/>
          <w:lang w:val="es-CO" w:eastAsia="en-GB"/>
        </w:rPr>
        <w:t>de carrera</w:t>
      </w:r>
      <w:r w:rsidR="00855999">
        <w:rPr>
          <w:noProof/>
          <w:lang w:val="es-CO" w:eastAsia="en-GB"/>
        </w:rPr>
        <w:t xml:space="preserve"> por encima de</w:t>
      </w:r>
      <w:r w:rsidR="009C4138" w:rsidRPr="00044745">
        <w:rPr>
          <w:noProof/>
          <w:lang w:val="es-CO" w:eastAsia="en-GB"/>
        </w:rPr>
        <w:t xml:space="preserve"> los derechos de la población. </w:t>
      </w:r>
      <w:r w:rsidR="00582E77">
        <w:rPr>
          <w:noProof/>
          <w:lang w:val="es-CO" w:eastAsia="en-GB"/>
        </w:rPr>
        <w:t>Por lo anterior</w:t>
      </w:r>
      <w:r w:rsidR="009203A0">
        <w:rPr>
          <w:noProof/>
          <w:lang w:val="es-CO" w:eastAsia="en-GB"/>
        </w:rPr>
        <w:t>,</w:t>
      </w:r>
      <w:r w:rsidR="00582E77">
        <w:rPr>
          <w:noProof/>
          <w:lang w:val="es-CO" w:eastAsia="en-GB"/>
        </w:rPr>
        <w:t xml:space="preserve"> </w:t>
      </w:r>
      <w:r w:rsidR="009203A0">
        <w:rPr>
          <w:noProof/>
          <w:lang w:val="es-CO" w:eastAsia="en-GB"/>
        </w:rPr>
        <w:t>e</w:t>
      </w:r>
      <w:r w:rsidR="009C4138" w:rsidRPr="00044745">
        <w:rPr>
          <w:noProof/>
          <w:lang w:val="es-CO" w:eastAsia="en-GB"/>
        </w:rPr>
        <w:t xml:space="preserve">s necesario formular indicadores </w:t>
      </w:r>
      <w:r w:rsidR="00F81A02" w:rsidRPr="00044745">
        <w:rPr>
          <w:noProof/>
          <w:lang w:val="es-CO" w:eastAsia="en-GB"/>
        </w:rPr>
        <w:t>a nivel</w:t>
      </w:r>
      <w:r w:rsidR="00855999">
        <w:rPr>
          <w:noProof/>
          <w:lang w:val="es-CO" w:eastAsia="en-GB"/>
        </w:rPr>
        <w:t xml:space="preserve"> veredal</w:t>
      </w:r>
      <w:r w:rsidR="00F81A02" w:rsidRPr="00044745">
        <w:rPr>
          <w:noProof/>
          <w:lang w:val="es-CO" w:eastAsia="en-GB"/>
        </w:rPr>
        <w:t xml:space="preserve"> que permitan identificar los problemas de acceso a los derechos económicos, sociales y culturales, </w:t>
      </w:r>
      <w:r w:rsidR="00C93C86">
        <w:rPr>
          <w:noProof/>
          <w:lang w:val="es-CO" w:eastAsia="en-GB"/>
        </w:rPr>
        <w:t>debido a</w:t>
      </w:r>
      <w:r w:rsidR="00F81A02" w:rsidRPr="00044745">
        <w:rPr>
          <w:noProof/>
          <w:lang w:val="es-CO" w:eastAsia="en-GB"/>
        </w:rPr>
        <w:t xml:space="preserve"> que las </w:t>
      </w:r>
      <w:r w:rsidR="00855999">
        <w:rPr>
          <w:noProof/>
          <w:lang w:val="es-CO" w:eastAsia="en-GB"/>
        </w:rPr>
        <w:t xml:space="preserve">actuales </w:t>
      </w:r>
      <w:r w:rsidR="00F81A02" w:rsidRPr="00044745">
        <w:rPr>
          <w:noProof/>
          <w:lang w:val="es-CO" w:eastAsia="en-GB"/>
        </w:rPr>
        <w:t>estadísticas municipales o departamentales no reflejan estas violaciones.</w:t>
      </w:r>
    </w:p>
    <w:p w14:paraId="4C96BB3A" w14:textId="77777777" w:rsidR="001544A7" w:rsidRPr="00044745" w:rsidRDefault="00311AB7" w:rsidP="00311AB7">
      <w:pPr>
        <w:pStyle w:val="H1G"/>
        <w:rPr>
          <w:noProof/>
          <w:lang w:val="es-CO" w:eastAsia="en-GB"/>
        </w:rPr>
      </w:pPr>
      <w:bookmarkStart w:id="12" w:name="_Toc503550653"/>
      <w:r w:rsidRPr="00044745">
        <w:rPr>
          <w:noProof/>
          <w:lang w:val="es-CO" w:eastAsia="en-GB"/>
        </w:rPr>
        <w:tab/>
        <w:t>E</w:t>
      </w:r>
      <w:r w:rsidR="001544A7" w:rsidRPr="00044745">
        <w:rPr>
          <w:noProof/>
          <w:lang w:val="es-CO" w:eastAsia="en-GB"/>
        </w:rPr>
        <w:t>.</w:t>
      </w:r>
      <w:r w:rsidR="001544A7" w:rsidRPr="00044745">
        <w:rPr>
          <w:noProof/>
          <w:lang w:val="es-CO" w:eastAsia="en-GB"/>
        </w:rPr>
        <w:tab/>
        <w:t>Corrup</w:t>
      </w:r>
      <w:r w:rsidR="000F70C3" w:rsidRPr="00044745">
        <w:rPr>
          <w:noProof/>
          <w:lang w:val="es-CO" w:eastAsia="en-GB"/>
        </w:rPr>
        <w:t>ción y derechos humanos</w:t>
      </w:r>
      <w:bookmarkEnd w:id="12"/>
    </w:p>
    <w:p w14:paraId="4D998140" w14:textId="77777777" w:rsidR="000F70C3" w:rsidRPr="00044745" w:rsidRDefault="00925BF7" w:rsidP="00F54871">
      <w:pPr>
        <w:pStyle w:val="SingleTxtG"/>
        <w:rPr>
          <w:noProof/>
          <w:lang w:val="es-CO" w:eastAsia="en-GB"/>
        </w:rPr>
      </w:pPr>
      <w:r w:rsidRPr="00044745">
        <w:rPr>
          <w:noProof/>
          <w:lang w:val="es-CO" w:eastAsia="en-GB"/>
        </w:rPr>
        <w:t>59</w:t>
      </w:r>
      <w:r w:rsidR="001544A7" w:rsidRPr="00044745">
        <w:rPr>
          <w:noProof/>
          <w:lang w:val="es-CO" w:eastAsia="en-GB"/>
        </w:rPr>
        <w:t>.</w:t>
      </w:r>
      <w:r w:rsidR="001544A7" w:rsidRPr="00044745">
        <w:rPr>
          <w:noProof/>
          <w:lang w:val="es-CO" w:eastAsia="en-GB"/>
        </w:rPr>
        <w:tab/>
      </w:r>
      <w:r w:rsidR="001D0E81" w:rsidRPr="00044745">
        <w:rPr>
          <w:noProof/>
          <w:lang w:val="es-CO" w:eastAsia="en-GB"/>
        </w:rPr>
        <w:t>La corrupción priva a muchas com</w:t>
      </w:r>
      <w:r w:rsidR="00532691">
        <w:rPr>
          <w:noProof/>
          <w:lang w:val="es-CO" w:eastAsia="en-GB"/>
        </w:rPr>
        <w:t>unidades de inversión social</w:t>
      </w:r>
      <w:r w:rsidR="001D0E81" w:rsidRPr="00044745">
        <w:rPr>
          <w:noProof/>
          <w:lang w:val="es-CO" w:eastAsia="en-GB"/>
        </w:rPr>
        <w:t xml:space="preserve"> y socava los esfuerzos del Estado por garantizar todos los derechos humanos. Por lo tanto, el Comité de Derechos Económicos, Sociales y Cultur</w:t>
      </w:r>
      <w:r w:rsidR="00B37595" w:rsidRPr="00044745">
        <w:rPr>
          <w:noProof/>
          <w:lang w:val="es-CO" w:eastAsia="en-GB"/>
        </w:rPr>
        <w:t>a</w:t>
      </w:r>
      <w:r w:rsidR="001D0E81" w:rsidRPr="00044745">
        <w:rPr>
          <w:noProof/>
          <w:lang w:val="es-CO" w:eastAsia="en-GB"/>
        </w:rPr>
        <w:t xml:space="preserve">les </w:t>
      </w:r>
      <w:r w:rsidR="005526CF" w:rsidRPr="00044745">
        <w:rPr>
          <w:noProof/>
          <w:lang w:val="es-CO" w:eastAsia="en-GB"/>
        </w:rPr>
        <w:t xml:space="preserve">recomendó </w:t>
      </w:r>
      <w:r w:rsidR="00B9116F" w:rsidRPr="00044745">
        <w:rPr>
          <w:noProof/>
          <w:lang w:val="es-CO" w:eastAsia="en-GB"/>
        </w:rPr>
        <w:t>al Gobierno de Colombia abordar</w:t>
      </w:r>
      <w:r w:rsidR="005526CF" w:rsidRPr="00044745">
        <w:rPr>
          <w:noProof/>
          <w:lang w:val="es-CO" w:eastAsia="en-GB"/>
        </w:rPr>
        <w:t xml:space="preserve"> las causas de la corrupción</w:t>
      </w:r>
      <w:r w:rsidR="005526CF" w:rsidRPr="00044745">
        <w:rPr>
          <w:noProof/>
          <w:vertAlign w:val="superscript"/>
          <w:lang w:val="es-CO" w:eastAsia="en-GB"/>
        </w:rPr>
        <w:footnoteReference w:id="14"/>
      </w:r>
      <w:r w:rsidR="005526CF" w:rsidRPr="00044745">
        <w:rPr>
          <w:noProof/>
          <w:lang w:val="es-CO" w:eastAsia="en-GB"/>
        </w:rPr>
        <w:t xml:space="preserve">. </w:t>
      </w:r>
    </w:p>
    <w:p w14:paraId="150064A5" w14:textId="154C0817" w:rsidR="001544A7" w:rsidRPr="00044745" w:rsidRDefault="00C94319" w:rsidP="00B37595">
      <w:pPr>
        <w:pStyle w:val="SingleTxtG"/>
        <w:rPr>
          <w:noProof/>
          <w:lang w:val="es-CO" w:eastAsia="en-GB"/>
        </w:rPr>
      </w:pPr>
      <w:r w:rsidRPr="00044745">
        <w:rPr>
          <w:noProof/>
          <w:lang w:val="es-CO" w:eastAsia="en-GB"/>
        </w:rPr>
        <w:t>60.</w:t>
      </w:r>
      <w:r w:rsidR="001544A7" w:rsidRPr="00044745">
        <w:rPr>
          <w:noProof/>
          <w:lang w:val="es-CO" w:eastAsia="en-GB"/>
        </w:rPr>
        <w:tab/>
      </w:r>
      <w:r w:rsidR="00B9116F" w:rsidRPr="00044745">
        <w:rPr>
          <w:noProof/>
          <w:lang w:val="es-CO" w:eastAsia="en-GB"/>
        </w:rPr>
        <w:t xml:space="preserve">Según los cálculos de la Contraloría General de la Nación, el costo de la corrupción asciende a </w:t>
      </w:r>
      <w:r w:rsidR="00B9116F" w:rsidRPr="00532691">
        <w:rPr>
          <w:noProof/>
          <w:lang w:val="es-CO" w:eastAsia="en-GB"/>
        </w:rPr>
        <w:t xml:space="preserve">17 </w:t>
      </w:r>
      <w:r w:rsidR="00532691" w:rsidRPr="00532691">
        <w:rPr>
          <w:noProof/>
          <w:lang w:val="es-CO" w:eastAsia="en-GB"/>
        </w:rPr>
        <w:t xml:space="preserve">mil millones </w:t>
      </w:r>
      <w:r w:rsidR="00B37595" w:rsidRPr="00532691">
        <w:rPr>
          <w:noProof/>
          <w:lang w:val="es-CO" w:eastAsia="en-GB"/>
        </w:rPr>
        <w:t>de dólares</w:t>
      </w:r>
      <w:r w:rsidR="00B37595" w:rsidRPr="00044745">
        <w:rPr>
          <w:noProof/>
          <w:lang w:val="es-CO" w:eastAsia="en-GB"/>
        </w:rPr>
        <w:t xml:space="preserve"> cada año</w:t>
      </w:r>
      <w:r w:rsidR="00C93C86" w:rsidRPr="00C93C86">
        <w:rPr>
          <w:noProof/>
          <w:lang w:val="es-CO" w:eastAsia="en-GB"/>
        </w:rPr>
        <w:t xml:space="preserve"> </w:t>
      </w:r>
      <w:r w:rsidR="00C93C86" w:rsidRPr="00532691">
        <w:rPr>
          <w:noProof/>
          <w:lang w:val="es-CO" w:eastAsia="en-GB"/>
        </w:rPr>
        <w:t>aproximadamente</w:t>
      </w:r>
      <w:r w:rsidR="00B37595" w:rsidRPr="00044745">
        <w:rPr>
          <w:noProof/>
          <w:lang w:val="es-CO" w:eastAsia="en-GB"/>
        </w:rPr>
        <w:t xml:space="preserve">. La Fiscalía General de la Nación estima </w:t>
      </w:r>
      <w:r w:rsidR="009155AB">
        <w:rPr>
          <w:noProof/>
          <w:lang w:val="es-CO" w:eastAsia="en-GB"/>
        </w:rPr>
        <w:t xml:space="preserve">su </w:t>
      </w:r>
      <w:r w:rsidR="00B37595" w:rsidRPr="00044745">
        <w:rPr>
          <w:noProof/>
          <w:lang w:val="es-CO" w:eastAsia="en-GB"/>
        </w:rPr>
        <w:t xml:space="preserve"> costo en cuatro por ciento del PIB. Esto se puede comparar </w:t>
      </w:r>
      <w:r w:rsidR="00532691">
        <w:rPr>
          <w:noProof/>
          <w:lang w:val="es-CO" w:eastAsia="en-GB"/>
        </w:rPr>
        <w:t>con los cálculos del Banco Mundial</w:t>
      </w:r>
      <w:r w:rsidR="00B37595" w:rsidRPr="00044745">
        <w:rPr>
          <w:noProof/>
          <w:lang w:val="es-CO" w:eastAsia="en-GB"/>
        </w:rPr>
        <w:t xml:space="preserve"> que</w:t>
      </w:r>
      <w:r w:rsidR="00855999">
        <w:rPr>
          <w:noProof/>
          <w:lang w:val="es-CO" w:eastAsia="en-GB"/>
        </w:rPr>
        <w:t xml:space="preserve"> indican que</w:t>
      </w:r>
      <w:r w:rsidR="00B37595" w:rsidRPr="00044745">
        <w:rPr>
          <w:noProof/>
          <w:lang w:val="es-CO" w:eastAsia="en-GB"/>
        </w:rPr>
        <w:t xml:space="preserve"> Colombia gasta cerca del cinco por ciento de su producto interno bruto (PIB) en la salud.</w:t>
      </w:r>
    </w:p>
    <w:p w14:paraId="4B21D31A" w14:textId="1437CBC1" w:rsidR="001544A7" w:rsidRPr="00044745" w:rsidRDefault="001544A7" w:rsidP="00F53460">
      <w:pPr>
        <w:pStyle w:val="SingleTxtG"/>
        <w:rPr>
          <w:noProof/>
          <w:lang w:val="es-CO" w:eastAsia="en-GB"/>
        </w:rPr>
      </w:pPr>
      <w:r w:rsidRPr="00044745">
        <w:rPr>
          <w:noProof/>
          <w:lang w:val="es-CO" w:eastAsia="en-GB"/>
        </w:rPr>
        <w:t>6</w:t>
      </w:r>
      <w:r w:rsidR="00C94319" w:rsidRPr="00044745">
        <w:rPr>
          <w:noProof/>
          <w:lang w:val="es-CO" w:eastAsia="en-GB"/>
        </w:rPr>
        <w:t>1</w:t>
      </w:r>
      <w:r w:rsidRPr="00044745">
        <w:rPr>
          <w:noProof/>
          <w:lang w:val="es-CO" w:eastAsia="en-GB"/>
        </w:rPr>
        <w:t>.</w:t>
      </w:r>
      <w:r w:rsidRPr="00044745">
        <w:rPr>
          <w:noProof/>
          <w:lang w:val="es-CO" w:eastAsia="en-GB"/>
        </w:rPr>
        <w:tab/>
      </w:r>
      <w:r w:rsidR="00B37595" w:rsidRPr="00044745">
        <w:rPr>
          <w:noProof/>
          <w:lang w:val="es-CO" w:eastAsia="en-GB"/>
        </w:rPr>
        <w:t xml:space="preserve">En su sexto informe periódico al Comité de Derechos Económicos, Sociales y Culturales, el Gobierno de Colombia indicó que entre 2012 y 2016 la Fiscalía General de la Nación había recibido 64.095 denuncias de actos de corrupción. </w:t>
      </w:r>
      <w:r w:rsidR="00C93C86">
        <w:rPr>
          <w:noProof/>
          <w:lang w:val="es-CO" w:eastAsia="en-GB"/>
        </w:rPr>
        <w:t>La</w:t>
      </w:r>
      <w:r w:rsidR="00B37595" w:rsidRPr="00044745">
        <w:rPr>
          <w:noProof/>
          <w:lang w:val="es-CO" w:eastAsia="en-GB"/>
        </w:rPr>
        <w:t xml:space="preserve"> </w:t>
      </w:r>
      <w:r w:rsidR="00855999">
        <w:rPr>
          <w:noProof/>
          <w:lang w:val="es-CO" w:eastAsia="en-GB"/>
        </w:rPr>
        <w:t>O</w:t>
      </w:r>
      <w:r w:rsidR="00B37595" w:rsidRPr="00044745">
        <w:rPr>
          <w:noProof/>
          <w:lang w:val="es-CO" w:eastAsia="en-GB"/>
        </w:rPr>
        <w:t xml:space="preserve">ACNUDH señala que solo el 1,6 por ciento de los casos fueron resueltos, lo que </w:t>
      </w:r>
      <w:r w:rsidR="00532691" w:rsidRPr="00532691">
        <w:rPr>
          <w:noProof/>
          <w:lang w:val="es-CO" w:eastAsia="en-GB"/>
        </w:rPr>
        <w:t>ilustra</w:t>
      </w:r>
      <w:r w:rsidR="00F53460" w:rsidRPr="00532691">
        <w:rPr>
          <w:noProof/>
          <w:lang w:val="es-CO" w:eastAsia="en-GB"/>
        </w:rPr>
        <w:t xml:space="preserve"> la significa</w:t>
      </w:r>
      <w:r w:rsidR="00532691">
        <w:rPr>
          <w:noProof/>
          <w:lang w:val="es-CO" w:eastAsia="en-GB"/>
        </w:rPr>
        <w:t>tiva</w:t>
      </w:r>
      <w:r w:rsidR="00F53460" w:rsidRPr="00532691">
        <w:rPr>
          <w:noProof/>
          <w:lang w:val="es-CO" w:eastAsia="en-GB"/>
        </w:rPr>
        <w:t xml:space="preserve"> impunidad histórica.</w:t>
      </w:r>
    </w:p>
    <w:p w14:paraId="6BAC5905" w14:textId="52265B6B" w:rsidR="001544A7" w:rsidRPr="00044745" w:rsidRDefault="001544A7" w:rsidP="00BE51B8">
      <w:pPr>
        <w:pStyle w:val="SingleTxtG"/>
        <w:rPr>
          <w:noProof/>
          <w:lang w:val="es-CO" w:eastAsia="en-GB"/>
        </w:rPr>
      </w:pPr>
      <w:r w:rsidRPr="00044745">
        <w:rPr>
          <w:noProof/>
          <w:lang w:val="es-CO" w:eastAsia="en-GB"/>
        </w:rPr>
        <w:t>6</w:t>
      </w:r>
      <w:r w:rsidR="00C94319" w:rsidRPr="00044745">
        <w:rPr>
          <w:noProof/>
          <w:lang w:val="es-CO" w:eastAsia="en-GB"/>
        </w:rPr>
        <w:t>2</w:t>
      </w:r>
      <w:r w:rsidRPr="00044745">
        <w:rPr>
          <w:noProof/>
          <w:lang w:val="es-CO" w:eastAsia="en-GB"/>
        </w:rPr>
        <w:t>.</w:t>
      </w:r>
      <w:r w:rsidRPr="00044745">
        <w:rPr>
          <w:noProof/>
          <w:lang w:val="es-CO" w:eastAsia="en-GB"/>
        </w:rPr>
        <w:tab/>
      </w:r>
      <w:r w:rsidR="00F53460" w:rsidRPr="00044745">
        <w:rPr>
          <w:noProof/>
          <w:lang w:val="es-CO" w:eastAsia="en-GB"/>
        </w:rPr>
        <w:t xml:space="preserve">En su nuevo plan anti-corrupción, que </w:t>
      </w:r>
      <w:r w:rsidR="00744BF9" w:rsidRPr="00044745">
        <w:rPr>
          <w:noProof/>
          <w:lang w:val="es-CO" w:eastAsia="en-GB"/>
        </w:rPr>
        <w:t xml:space="preserve">se ejecutará </w:t>
      </w:r>
      <w:r w:rsidR="00F53460" w:rsidRPr="00044745">
        <w:rPr>
          <w:noProof/>
          <w:lang w:val="es-CO" w:eastAsia="en-GB"/>
        </w:rPr>
        <w:t>entre 2016 y 2020, el Fiscal General de la Nación anunció</w:t>
      </w:r>
      <w:r w:rsidR="00F53460" w:rsidRPr="00044745">
        <w:rPr>
          <w:noProof/>
          <w:vertAlign w:val="superscript"/>
          <w:lang w:val="es-CO" w:eastAsia="en-GB"/>
        </w:rPr>
        <w:footnoteReference w:id="15"/>
      </w:r>
      <w:r w:rsidR="00F53460" w:rsidRPr="00044745">
        <w:rPr>
          <w:noProof/>
          <w:lang w:val="es-CO" w:eastAsia="en-GB"/>
        </w:rPr>
        <w:t xml:space="preserve"> que más de 500 funcionarios públicos estaban</w:t>
      </w:r>
      <w:r w:rsidR="00744BF9" w:rsidRPr="00044745">
        <w:rPr>
          <w:noProof/>
          <w:lang w:val="es-CO" w:eastAsia="en-GB"/>
        </w:rPr>
        <w:t xml:space="preserve"> </w:t>
      </w:r>
      <w:r w:rsidR="00A97941">
        <w:rPr>
          <w:noProof/>
          <w:lang w:val="es-CO" w:eastAsia="en-GB"/>
        </w:rPr>
        <w:t xml:space="preserve">siendo investigados </w:t>
      </w:r>
      <w:r w:rsidR="00744BF9" w:rsidRPr="00044745">
        <w:rPr>
          <w:noProof/>
          <w:lang w:val="es-CO" w:eastAsia="en-GB"/>
        </w:rPr>
        <w:t xml:space="preserve">por casos de corrupción </w:t>
      </w:r>
      <w:r w:rsidR="00855999">
        <w:rPr>
          <w:noProof/>
          <w:lang w:val="es-CO" w:eastAsia="en-GB"/>
        </w:rPr>
        <w:t xml:space="preserve"> que comprometen </w:t>
      </w:r>
      <w:r w:rsidR="00744BF9" w:rsidRPr="00A97941">
        <w:rPr>
          <w:noProof/>
          <w:lang w:val="es-CO" w:eastAsia="en-GB"/>
        </w:rPr>
        <w:t xml:space="preserve">aproximadamente 686 millones de dólares. </w:t>
      </w:r>
      <w:r w:rsidR="00BE51B8" w:rsidRPr="00A97941">
        <w:rPr>
          <w:noProof/>
          <w:lang w:val="es-CO" w:eastAsia="en-GB"/>
        </w:rPr>
        <w:t xml:space="preserve">El caso del exfiscal anticorrupción, arrestado por </w:t>
      </w:r>
      <w:r w:rsidR="00855999">
        <w:rPr>
          <w:noProof/>
          <w:lang w:val="es-CO" w:eastAsia="en-GB"/>
        </w:rPr>
        <w:t xml:space="preserve">presuntamente </w:t>
      </w:r>
      <w:r w:rsidR="00BE51B8" w:rsidRPr="00A97941">
        <w:rPr>
          <w:noProof/>
          <w:lang w:val="es-CO" w:eastAsia="en-GB"/>
        </w:rPr>
        <w:t xml:space="preserve">recibir sobornos del </w:t>
      </w:r>
      <w:r w:rsidR="00855999">
        <w:rPr>
          <w:noProof/>
          <w:lang w:val="es-CO" w:eastAsia="en-GB"/>
        </w:rPr>
        <w:t>ex</w:t>
      </w:r>
      <w:r w:rsidR="00BE51B8" w:rsidRPr="00A97941">
        <w:rPr>
          <w:noProof/>
          <w:lang w:val="es-CO" w:eastAsia="en-GB"/>
        </w:rPr>
        <w:t>gobernador de Córdoba</w:t>
      </w:r>
      <w:r w:rsidR="00A97941">
        <w:rPr>
          <w:noProof/>
          <w:lang w:val="es-CO" w:eastAsia="en-GB"/>
        </w:rPr>
        <w:t>,</w:t>
      </w:r>
      <w:r w:rsidR="00BE51B8" w:rsidRPr="00044745">
        <w:rPr>
          <w:noProof/>
          <w:lang w:val="es-CO" w:eastAsia="en-GB"/>
        </w:rPr>
        <w:t xml:space="preserve"> es especialmente preocupante. En 2017, los esfuerzos de la </w:t>
      </w:r>
      <w:r w:rsidR="00BE51B8" w:rsidRPr="00044745">
        <w:rPr>
          <w:noProof/>
          <w:lang w:val="es-CO" w:eastAsia="en-GB"/>
        </w:rPr>
        <w:lastRenderedPageBreak/>
        <w:t>Fiscalía General de la Nación dieron como resultado un aumento en las denuncias  de corrupción.</w:t>
      </w:r>
    </w:p>
    <w:p w14:paraId="4DE00715" w14:textId="75D1D587" w:rsidR="001544A7" w:rsidRPr="00044745" w:rsidRDefault="001544A7" w:rsidP="00BE51B8">
      <w:pPr>
        <w:pStyle w:val="SingleTxtG"/>
        <w:rPr>
          <w:noProof/>
          <w:lang w:val="es-CO" w:eastAsia="en-GB"/>
        </w:rPr>
      </w:pPr>
      <w:r w:rsidRPr="00044745">
        <w:rPr>
          <w:noProof/>
          <w:lang w:val="es-CO" w:eastAsia="en-GB"/>
        </w:rPr>
        <w:t>6</w:t>
      </w:r>
      <w:r w:rsidR="00C94319" w:rsidRPr="00044745">
        <w:rPr>
          <w:noProof/>
          <w:lang w:val="es-CO" w:eastAsia="en-GB"/>
        </w:rPr>
        <w:t>3</w:t>
      </w:r>
      <w:r w:rsidRPr="00044745">
        <w:rPr>
          <w:noProof/>
          <w:lang w:val="es-CO" w:eastAsia="en-GB"/>
        </w:rPr>
        <w:t>.</w:t>
      </w:r>
      <w:r w:rsidRPr="00044745">
        <w:rPr>
          <w:noProof/>
          <w:lang w:val="es-CO" w:eastAsia="en-GB"/>
        </w:rPr>
        <w:tab/>
      </w:r>
      <w:r w:rsidR="00A97941">
        <w:rPr>
          <w:noProof/>
          <w:lang w:val="es-CO" w:eastAsia="en-GB"/>
        </w:rPr>
        <w:t>Se debe</w:t>
      </w:r>
      <w:r w:rsidR="006E2F52">
        <w:rPr>
          <w:noProof/>
          <w:lang w:val="es-CO" w:eastAsia="en-GB"/>
        </w:rPr>
        <w:t>n</w:t>
      </w:r>
      <w:r w:rsidR="00BE51B8" w:rsidRPr="00044745">
        <w:rPr>
          <w:noProof/>
          <w:lang w:val="es-CO" w:eastAsia="en-GB"/>
        </w:rPr>
        <w:t xml:space="preserve"> formular indicadores para medir el impacto de la corrupción en el acceso a los derechos económicos, sociales y culturales</w:t>
      </w:r>
      <w:r w:rsidR="006E2F52">
        <w:rPr>
          <w:noProof/>
          <w:lang w:val="es-CO" w:eastAsia="en-GB"/>
        </w:rPr>
        <w:t>,</w:t>
      </w:r>
      <w:r w:rsidR="00BE51B8" w:rsidRPr="00044745">
        <w:rPr>
          <w:noProof/>
          <w:lang w:val="es-CO" w:eastAsia="en-GB"/>
        </w:rPr>
        <w:t xml:space="preserve"> </w:t>
      </w:r>
      <w:r w:rsidR="006E2F52">
        <w:rPr>
          <w:noProof/>
          <w:lang w:val="es-CO" w:eastAsia="en-GB"/>
        </w:rPr>
        <w:t xml:space="preserve">debiéndose </w:t>
      </w:r>
      <w:r w:rsidR="00BE51B8" w:rsidRPr="00044745">
        <w:rPr>
          <w:noProof/>
          <w:lang w:val="es-CO" w:eastAsia="en-GB"/>
        </w:rPr>
        <w:t xml:space="preserve"> utilizar los recursos recuperados de la corrupción para aumentar el acceso a estos derechos, especialmente en las comunidades más afectadas por el conflicto.</w:t>
      </w:r>
      <w:r w:rsidRPr="00044745">
        <w:rPr>
          <w:noProof/>
          <w:lang w:val="es-CO" w:eastAsia="en-GB"/>
        </w:rPr>
        <w:t xml:space="preserve">     </w:t>
      </w:r>
    </w:p>
    <w:p w14:paraId="267C8A9F" w14:textId="0DF981E0" w:rsidR="001544A7" w:rsidRPr="00044745" w:rsidRDefault="00925BF7" w:rsidP="00454889">
      <w:pPr>
        <w:pStyle w:val="SingleTxtG"/>
        <w:rPr>
          <w:noProof/>
          <w:lang w:val="es-CO" w:eastAsia="en-GB"/>
        </w:rPr>
      </w:pPr>
      <w:r w:rsidRPr="00044745">
        <w:rPr>
          <w:noProof/>
          <w:lang w:val="es-CO" w:eastAsia="en-GB"/>
        </w:rPr>
        <w:t>6</w:t>
      </w:r>
      <w:r w:rsidR="00C94319" w:rsidRPr="00044745">
        <w:rPr>
          <w:noProof/>
          <w:lang w:val="es-CO" w:eastAsia="en-GB"/>
        </w:rPr>
        <w:t>4</w:t>
      </w:r>
      <w:r w:rsidR="001544A7" w:rsidRPr="00044745">
        <w:rPr>
          <w:noProof/>
          <w:lang w:val="es-CO" w:eastAsia="en-GB"/>
        </w:rPr>
        <w:t>.</w:t>
      </w:r>
      <w:r w:rsidR="001544A7" w:rsidRPr="00044745">
        <w:rPr>
          <w:noProof/>
          <w:lang w:val="es-CO" w:eastAsia="en-GB"/>
        </w:rPr>
        <w:tab/>
      </w:r>
      <w:r w:rsidR="00A97941">
        <w:rPr>
          <w:noProof/>
          <w:lang w:val="es-CO" w:eastAsia="en-GB"/>
        </w:rPr>
        <w:t>Preocupa</w:t>
      </w:r>
      <w:r w:rsidR="00FF0053" w:rsidRPr="00044745">
        <w:rPr>
          <w:noProof/>
          <w:lang w:val="es-CO" w:eastAsia="en-GB"/>
        </w:rPr>
        <w:t xml:space="preserve"> a </w:t>
      </w:r>
      <w:r w:rsidR="006E2F52">
        <w:rPr>
          <w:noProof/>
          <w:lang w:val="es-CO" w:eastAsia="en-GB"/>
        </w:rPr>
        <w:t>la O</w:t>
      </w:r>
      <w:r w:rsidR="00FF0053" w:rsidRPr="00044745">
        <w:rPr>
          <w:noProof/>
          <w:lang w:val="es-CO" w:eastAsia="en-GB"/>
        </w:rPr>
        <w:t>ACNUDH los acontecimientos ocurridos en Mocoa, Putumayo, en marzo de 2017, donde un alud de tierra causó 328 muertes y 103 desapariciones y afect</w:t>
      </w:r>
      <w:r w:rsidR="00454889" w:rsidRPr="00044745">
        <w:rPr>
          <w:noProof/>
          <w:lang w:val="es-CO" w:eastAsia="en-GB"/>
        </w:rPr>
        <w:t xml:space="preserve">ó </w:t>
      </w:r>
      <w:r w:rsidR="006823C4">
        <w:rPr>
          <w:noProof/>
          <w:lang w:val="es-CO" w:eastAsia="en-GB"/>
        </w:rPr>
        <w:t xml:space="preserve">a </w:t>
      </w:r>
      <w:r w:rsidR="00454889" w:rsidRPr="00044745">
        <w:rPr>
          <w:noProof/>
          <w:lang w:val="es-CO" w:eastAsia="en-GB"/>
        </w:rPr>
        <w:t>5.883 habitantes de la zona. Esta área había sido designad</w:t>
      </w:r>
      <w:r w:rsidR="00A97941">
        <w:rPr>
          <w:noProof/>
          <w:lang w:val="es-CO" w:eastAsia="en-GB"/>
        </w:rPr>
        <w:t>a</w:t>
      </w:r>
      <w:r w:rsidR="00454889" w:rsidRPr="00044745">
        <w:rPr>
          <w:noProof/>
          <w:lang w:val="es-CO" w:eastAsia="en-GB"/>
        </w:rPr>
        <w:t xml:space="preserve"> en el último Plan de Ordenamiento Territorial como una “zona de expansión urbana”, lo que supuestamente permitía </w:t>
      </w:r>
      <w:r w:rsidR="00A97941">
        <w:rPr>
          <w:noProof/>
          <w:lang w:val="es-CO" w:eastAsia="en-GB"/>
        </w:rPr>
        <w:t xml:space="preserve">que se compraran </w:t>
      </w:r>
      <w:r w:rsidR="00454889" w:rsidRPr="00044745">
        <w:rPr>
          <w:noProof/>
          <w:lang w:val="es-CO" w:eastAsia="en-GB"/>
        </w:rPr>
        <w:t>tierras para la construcción, a pesar de las objeciones de la autoridad ambiental debido a las alertas y los incidente</w:t>
      </w:r>
      <w:r w:rsidR="00A97941">
        <w:rPr>
          <w:noProof/>
          <w:lang w:val="es-CO" w:eastAsia="en-GB"/>
        </w:rPr>
        <w:t>s</w:t>
      </w:r>
      <w:r w:rsidR="00454889" w:rsidRPr="00044745">
        <w:rPr>
          <w:noProof/>
          <w:lang w:val="es-CO" w:eastAsia="en-GB"/>
        </w:rPr>
        <w:t xml:space="preserve"> anteriores. Esto demuestra cómo la corrupción </w:t>
      </w:r>
      <w:r w:rsidR="00A97941">
        <w:rPr>
          <w:noProof/>
          <w:lang w:val="es-CO" w:eastAsia="en-GB"/>
        </w:rPr>
        <w:t>puede</w:t>
      </w:r>
      <w:r w:rsidR="00454889" w:rsidRPr="00044745">
        <w:rPr>
          <w:noProof/>
          <w:lang w:val="es-CO" w:eastAsia="en-GB"/>
        </w:rPr>
        <w:t xml:space="preserve"> afectar el derecho a la vida.</w:t>
      </w:r>
      <w:r w:rsidR="001544A7" w:rsidRPr="00044745">
        <w:rPr>
          <w:noProof/>
          <w:lang w:val="es-CO" w:eastAsia="en-GB"/>
        </w:rPr>
        <w:t xml:space="preserve"> </w:t>
      </w:r>
      <w:r w:rsidR="00A97941">
        <w:rPr>
          <w:noProof/>
          <w:lang w:val="es-CO" w:eastAsia="en-GB"/>
        </w:rPr>
        <w:t xml:space="preserve"> </w:t>
      </w:r>
    </w:p>
    <w:p w14:paraId="12DEAF03" w14:textId="044A6D9D" w:rsidR="00454889" w:rsidRPr="00044745" w:rsidRDefault="00925BF7" w:rsidP="001544A7">
      <w:pPr>
        <w:pStyle w:val="SingleTxtG"/>
        <w:rPr>
          <w:noProof/>
          <w:lang w:val="es-CO" w:eastAsia="en-GB"/>
        </w:rPr>
      </w:pPr>
      <w:r w:rsidRPr="00044745">
        <w:rPr>
          <w:noProof/>
          <w:lang w:val="es-CO" w:eastAsia="en-GB"/>
        </w:rPr>
        <w:t>6</w:t>
      </w:r>
      <w:r w:rsidR="00C94319" w:rsidRPr="00044745">
        <w:rPr>
          <w:noProof/>
          <w:lang w:val="es-CO" w:eastAsia="en-GB"/>
        </w:rPr>
        <w:t>5</w:t>
      </w:r>
      <w:r w:rsidR="001544A7" w:rsidRPr="00044745">
        <w:rPr>
          <w:noProof/>
          <w:lang w:val="es-CO" w:eastAsia="en-GB"/>
        </w:rPr>
        <w:t>.</w:t>
      </w:r>
      <w:r w:rsidR="001544A7" w:rsidRPr="00044745">
        <w:rPr>
          <w:noProof/>
          <w:lang w:val="es-CO" w:eastAsia="en-GB"/>
        </w:rPr>
        <w:tab/>
      </w:r>
      <w:r w:rsidR="006E2F52">
        <w:rPr>
          <w:noProof/>
          <w:lang w:val="es-CO" w:eastAsia="en-GB"/>
        </w:rPr>
        <w:t>La</w:t>
      </w:r>
      <w:r w:rsidR="00454889" w:rsidRPr="00044745">
        <w:rPr>
          <w:noProof/>
          <w:lang w:val="es-CO" w:eastAsia="en-GB"/>
        </w:rPr>
        <w:t xml:space="preserve"> </w:t>
      </w:r>
      <w:r w:rsidR="006E2F52">
        <w:rPr>
          <w:noProof/>
          <w:lang w:val="es-CO" w:eastAsia="en-GB"/>
        </w:rPr>
        <w:t>O</w:t>
      </w:r>
      <w:r w:rsidR="00454889" w:rsidRPr="00044745">
        <w:rPr>
          <w:noProof/>
          <w:lang w:val="es-CO" w:eastAsia="en-GB"/>
        </w:rPr>
        <w:t xml:space="preserve">ACNUDH obtuvo información sobre actos de corrupción </w:t>
      </w:r>
      <w:r w:rsidR="00DA3374">
        <w:rPr>
          <w:noProof/>
          <w:lang w:val="es-CO" w:eastAsia="en-GB"/>
        </w:rPr>
        <w:t xml:space="preserve">presuntamente </w:t>
      </w:r>
      <w:r w:rsidR="00E43EC8" w:rsidRPr="00044745">
        <w:rPr>
          <w:noProof/>
          <w:lang w:val="es-CO" w:eastAsia="en-GB"/>
        </w:rPr>
        <w:t xml:space="preserve"> </w:t>
      </w:r>
      <w:r w:rsidR="00A97941" w:rsidRPr="00044745">
        <w:rPr>
          <w:noProof/>
          <w:lang w:val="es-CO" w:eastAsia="en-GB"/>
        </w:rPr>
        <w:t xml:space="preserve">cometidos </w:t>
      </w:r>
      <w:r w:rsidR="00454889" w:rsidRPr="00044745">
        <w:rPr>
          <w:noProof/>
          <w:lang w:val="es-CO" w:eastAsia="en-GB"/>
        </w:rPr>
        <w:t xml:space="preserve">por miembros </w:t>
      </w:r>
      <w:r w:rsidR="00E43EC8" w:rsidRPr="00044745">
        <w:rPr>
          <w:noProof/>
          <w:lang w:val="es-CO" w:eastAsia="en-GB"/>
        </w:rPr>
        <w:t>de las fuerzas armadas</w:t>
      </w:r>
      <w:r w:rsidR="00A97941">
        <w:rPr>
          <w:noProof/>
          <w:lang w:val="es-CO" w:eastAsia="en-GB"/>
        </w:rPr>
        <w:t xml:space="preserve"> </w:t>
      </w:r>
      <w:r w:rsidR="00C93C86">
        <w:rPr>
          <w:noProof/>
          <w:lang w:val="es-CO" w:eastAsia="en-GB"/>
        </w:rPr>
        <w:t>que estarían vinculados</w:t>
      </w:r>
      <w:r w:rsidR="00A97941">
        <w:rPr>
          <w:noProof/>
          <w:lang w:val="es-CO" w:eastAsia="en-GB"/>
        </w:rPr>
        <w:t xml:space="preserve"> en e</w:t>
      </w:r>
      <w:r w:rsidR="00E43EC8" w:rsidRPr="00044745">
        <w:rPr>
          <w:noProof/>
          <w:lang w:val="es-CO" w:eastAsia="en-GB"/>
        </w:rPr>
        <w:t>l contrabando de gasolina en Norte de Santander. Según Ecopetrol, se robaron 1.800 barriles en los primeros nueve meses de 2017. Exi</w:t>
      </w:r>
      <w:r w:rsidR="00A97941">
        <w:rPr>
          <w:noProof/>
          <w:lang w:val="es-CO" w:eastAsia="en-GB"/>
        </w:rPr>
        <w:t>s</w:t>
      </w:r>
      <w:r w:rsidR="00E43EC8" w:rsidRPr="00044745">
        <w:rPr>
          <w:noProof/>
          <w:lang w:val="es-CO" w:eastAsia="en-GB"/>
        </w:rPr>
        <w:t>te</w:t>
      </w:r>
      <w:r w:rsidR="00A97941">
        <w:rPr>
          <w:noProof/>
          <w:lang w:val="es-CO" w:eastAsia="en-GB"/>
        </w:rPr>
        <w:t>n</w:t>
      </w:r>
      <w:r w:rsidR="00E43EC8" w:rsidRPr="00044745">
        <w:rPr>
          <w:noProof/>
          <w:lang w:val="es-CO" w:eastAsia="en-GB"/>
        </w:rPr>
        <w:t xml:space="preserve"> varias denuncias de que las fuerzas armadas est</w:t>
      </w:r>
      <w:r w:rsidR="006E2F52">
        <w:rPr>
          <w:noProof/>
          <w:lang w:val="es-CO" w:eastAsia="en-GB"/>
        </w:rPr>
        <w:t xml:space="preserve">arían </w:t>
      </w:r>
      <w:r w:rsidR="00E43EC8" w:rsidRPr="00044745">
        <w:rPr>
          <w:noProof/>
          <w:lang w:val="es-CO" w:eastAsia="en-GB"/>
        </w:rPr>
        <w:t xml:space="preserve"> implicadas en </w:t>
      </w:r>
      <w:r w:rsidR="006E2F52">
        <w:rPr>
          <w:noProof/>
          <w:lang w:val="es-CO" w:eastAsia="en-GB"/>
        </w:rPr>
        <w:t xml:space="preserve"> facilitar el </w:t>
      </w:r>
      <w:r w:rsidR="00E43EC8" w:rsidRPr="00044745">
        <w:rPr>
          <w:noProof/>
          <w:lang w:val="es-CO" w:eastAsia="en-GB"/>
        </w:rPr>
        <w:t xml:space="preserve"> transporte </w:t>
      </w:r>
      <w:r w:rsidR="00E43EC8" w:rsidRPr="00A97941">
        <w:rPr>
          <w:noProof/>
          <w:lang w:val="es-CO" w:eastAsia="en-GB"/>
        </w:rPr>
        <w:t xml:space="preserve">de </w:t>
      </w:r>
      <w:r w:rsidR="00C93C86">
        <w:rPr>
          <w:noProof/>
          <w:lang w:val="es-CO" w:eastAsia="en-GB"/>
        </w:rPr>
        <w:t>material</w:t>
      </w:r>
      <w:r w:rsidR="00C93C86" w:rsidRPr="00A97941">
        <w:rPr>
          <w:noProof/>
          <w:lang w:val="es-CO" w:eastAsia="en-GB"/>
        </w:rPr>
        <w:t xml:space="preserve"> </w:t>
      </w:r>
      <w:r w:rsidR="00E43EC8" w:rsidRPr="00A97941">
        <w:rPr>
          <w:noProof/>
          <w:lang w:val="es-CO" w:eastAsia="en-GB"/>
        </w:rPr>
        <w:t xml:space="preserve">para producir cocaína y de maquinaria para la minería ilegal. </w:t>
      </w:r>
      <w:r w:rsidR="00FB5883" w:rsidRPr="00A97941">
        <w:rPr>
          <w:noProof/>
          <w:lang w:val="es-CO" w:eastAsia="en-GB"/>
        </w:rPr>
        <w:t>Los actos de corrupción cometidos</w:t>
      </w:r>
      <w:r w:rsidR="00FB5883" w:rsidRPr="00044745">
        <w:rPr>
          <w:noProof/>
          <w:lang w:val="es-CO" w:eastAsia="en-GB"/>
        </w:rPr>
        <w:t xml:space="preserve"> por miembros de las fuerzas armadas</w:t>
      </w:r>
      <w:r w:rsidR="006E2F52">
        <w:rPr>
          <w:noProof/>
          <w:lang w:val="es-CO" w:eastAsia="en-GB"/>
        </w:rPr>
        <w:t xml:space="preserve"> pueden</w:t>
      </w:r>
      <w:r w:rsidR="00FB5883" w:rsidRPr="00044745">
        <w:rPr>
          <w:noProof/>
          <w:lang w:val="es-CO" w:eastAsia="en-GB"/>
        </w:rPr>
        <w:t xml:space="preserve"> </w:t>
      </w:r>
      <w:r w:rsidR="006E2F52">
        <w:rPr>
          <w:noProof/>
          <w:lang w:val="es-CO" w:eastAsia="en-GB"/>
        </w:rPr>
        <w:t xml:space="preserve">fortalecen </w:t>
      </w:r>
      <w:r w:rsidR="00FB5883" w:rsidRPr="00044745">
        <w:rPr>
          <w:noProof/>
          <w:lang w:val="es-CO" w:eastAsia="en-GB"/>
        </w:rPr>
        <w:t xml:space="preserve"> económicamente a los grupos </w:t>
      </w:r>
      <w:r w:rsidR="006E2F52">
        <w:rPr>
          <w:noProof/>
          <w:lang w:val="es-CO" w:eastAsia="en-GB"/>
        </w:rPr>
        <w:t xml:space="preserve">criminales </w:t>
      </w:r>
      <w:r w:rsidR="00FB5883" w:rsidRPr="00044745">
        <w:rPr>
          <w:noProof/>
          <w:lang w:val="es-CO" w:eastAsia="en-GB"/>
        </w:rPr>
        <w:t xml:space="preserve"> y a otros grupos armados.  </w:t>
      </w:r>
      <w:r w:rsidR="006E2F52">
        <w:rPr>
          <w:noProof/>
          <w:lang w:val="es-CO" w:eastAsia="en-GB"/>
        </w:rPr>
        <w:t>L</w:t>
      </w:r>
      <w:r w:rsidR="00FB5883" w:rsidRPr="00044745">
        <w:rPr>
          <w:noProof/>
          <w:lang w:val="es-CO" w:eastAsia="en-GB"/>
        </w:rPr>
        <w:t xml:space="preserve">os altos niveles de impunidad en los casos de corrupción </w:t>
      </w:r>
      <w:r w:rsidR="006E2F52">
        <w:rPr>
          <w:noProof/>
          <w:lang w:val="es-CO" w:eastAsia="en-GB"/>
        </w:rPr>
        <w:t xml:space="preserve">ocurridos en el pasado dentro de las fuerzas armadas </w:t>
      </w:r>
      <w:r w:rsidR="00FB5883" w:rsidRPr="00044745">
        <w:rPr>
          <w:noProof/>
          <w:lang w:val="es-CO" w:eastAsia="en-GB"/>
        </w:rPr>
        <w:t xml:space="preserve">han </w:t>
      </w:r>
      <w:r w:rsidR="00A97941">
        <w:rPr>
          <w:noProof/>
          <w:lang w:val="es-CO" w:eastAsia="en-GB"/>
        </w:rPr>
        <w:t xml:space="preserve">fomentado </w:t>
      </w:r>
      <w:r w:rsidR="00FB5883" w:rsidRPr="00044745">
        <w:rPr>
          <w:noProof/>
          <w:lang w:val="es-CO" w:eastAsia="en-GB"/>
        </w:rPr>
        <w:t>la persistencia de estas prácticas</w:t>
      </w:r>
      <w:r w:rsidR="006E2F52">
        <w:rPr>
          <w:noProof/>
          <w:lang w:val="es-CO" w:eastAsia="en-GB"/>
        </w:rPr>
        <w:t>.</w:t>
      </w:r>
      <w:r w:rsidR="00FB5883" w:rsidRPr="00044745">
        <w:rPr>
          <w:noProof/>
          <w:lang w:val="es-CO" w:eastAsia="en-GB"/>
        </w:rPr>
        <w:t xml:space="preserve"> </w:t>
      </w:r>
    </w:p>
    <w:p w14:paraId="03ECB0E1" w14:textId="258917D3" w:rsidR="001544A7" w:rsidRPr="00044745" w:rsidRDefault="00925BF7" w:rsidP="00FB5883">
      <w:pPr>
        <w:pStyle w:val="SingleTxtG"/>
        <w:rPr>
          <w:noProof/>
          <w:lang w:val="es-CO" w:eastAsia="en-GB"/>
        </w:rPr>
      </w:pPr>
      <w:r w:rsidRPr="00044745">
        <w:rPr>
          <w:noProof/>
          <w:lang w:val="es-CO" w:eastAsia="en-GB"/>
        </w:rPr>
        <w:t>6</w:t>
      </w:r>
      <w:r w:rsidR="00C94319" w:rsidRPr="00044745">
        <w:rPr>
          <w:noProof/>
          <w:lang w:val="es-CO" w:eastAsia="en-GB"/>
        </w:rPr>
        <w:t>6</w:t>
      </w:r>
      <w:r w:rsidR="001544A7" w:rsidRPr="00044745">
        <w:rPr>
          <w:noProof/>
          <w:lang w:val="es-CO" w:eastAsia="en-GB"/>
        </w:rPr>
        <w:t>.</w:t>
      </w:r>
      <w:r w:rsidR="001544A7" w:rsidRPr="00044745">
        <w:rPr>
          <w:noProof/>
          <w:lang w:val="es-CO" w:eastAsia="en-GB"/>
        </w:rPr>
        <w:tab/>
      </w:r>
      <w:r w:rsidR="00FB5883" w:rsidRPr="00044745">
        <w:rPr>
          <w:noProof/>
          <w:lang w:val="es-CO" w:eastAsia="en-GB"/>
        </w:rPr>
        <w:t xml:space="preserve">Por lo tanto, es </w:t>
      </w:r>
      <w:r w:rsidR="00D7638E">
        <w:rPr>
          <w:noProof/>
          <w:lang w:val="es-CO" w:eastAsia="en-GB"/>
        </w:rPr>
        <w:t xml:space="preserve">fundamental se acelere </w:t>
      </w:r>
      <w:r w:rsidR="00084142">
        <w:rPr>
          <w:noProof/>
          <w:lang w:val="es-CO" w:eastAsia="en-GB"/>
        </w:rPr>
        <w:t xml:space="preserve">y se refuerze </w:t>
      </w:r>
      <w:r w:rsidR="00D7638E">
        <w:rPr>
          <w:noProof/>
          <w:lang w:val="es-CO" w:eastAsia="en-GB"/>
        </w:rPr>
        <w:t xml:space="preserve">la implementación de </w:t>
      </w:r>
      <w:r w:rsidR="003C34A0">
        <w:rPr>
          <w:noProof/>
          <w:lang w:val="es-CO" w:eastAsia="en-GB"/>
        </w:rPr>
        <w:t>los cont</w:t>
      </w:r>
      <w:r w:rsidR="00C93C86">
        <w:rPr>
          <w:noProof/>
          <w:lang w:val="es-CO" w:eastAsia="en-GB"/>
        </w:rPr>
        <w:t>enidos</w:t>
      </w:r>
      <w:r w:rsidR="00793434" w:rsidRPr="00044745">
        <w:rPr>
          <w:noProof/>
          <w:lang w:val="es-CO" w:eastAsia="en-GB"/>
        </w:rPr>
        <w:t xml:space="preserve"> d</w:t>
      </w:r>
      <w:r w:rsidR="00FB5883" w:rsidRPr="00044745">
        <w:rPr>
          <w:noProof/>
          <w:lang w:val="es-CO" w:eastAsia="en-GB"/>
        </w:rPr>
        <w:t xml:space="preserve">el </w:t>
      </w:r>
      <w:r w:rsidR="003C6129">
        <w:rPr>
          <w:noProof/>
          <w:lang w:val="es-CO" w:eastAsia="en-GB"/>
        </w:rPr>
        <w:t>A</w:t>
      </w:r>
      <w:r w:rsidR="00FB5883" w:rsidRPr="00044745">
        <w:rPr>
          <w:noProof/>
          <w:lang w:val="es-CO" w:eastAsia="en-GB"/>
        </w:rPr>
        <w:t xml:space="preserve">cuerdo </w:t>
      </w:r>
      <w:r w:rsidR="003C34A0">
        <w:rPr>
          <w:noProof/>
          <w:lang w:val="es-CO" w:eastAsia="en-GB"/>
        </w:rPr>
        <w:t xml:space="preserve">relacionados con la necesidad de </w:t>
      </w:r>
      <w:r w:rsidR="00793434" w:rsidRPr="00044745">
        <w:rPr>
          <w:noProof/>
          <w:lang w:val="es-CO" w:eastAsia="en-GB"/>
        </w:rPr>
        <w:t>intensifica</w:t>
      </w:r>
      <w:r w:rsidR="003C34A0">
        <w:rPr>
          <w:noProof/>
          <w:lang w:val="es-CO" w:eastAsia="en-GB"/>
        </w:rPr>
        <w:t>r</w:t>
      </w:r>
      <w:r w:rsidR="00793434" w:rsidRPr="00044745">
        <w:rPr>
          <w:noProof/>
          <w:lang w:val="es-CO" w:eastAsia="en-GB"/>
        </w:rPr>
        <w:t xml:space="preserve"> la lucha contra la </w:t>
      </w:r>
      <w:r w:rsidR="00FB5883" w:rsidRPr="00044745">
        <w:rPr>
          <w:noProof/>
          <w:lang w:val="es-CO" w:eastAsia="en-GB"/>
        </w:rPr>
        <w:t>corrupción.</w:t>
      </w:r>
    </w:p>
    <w:p w14:paraId="2A4A505A" w14:textId="7E0460C8" w:rsidR="001544A7" w:rsidRPr="00044745" w:rsidRDefault="00925BF7" w:rsidP="00793434">
      <w:pPr>
        <w:pStyle w:val="SingleTxtG"/>
        <w:rPr>
          <w:noProof/>
          <w:lang w:val="es-CO" w:eastAsia="en-GB"/>
        </w:rPr>
      </w:pPr>
      <w:r w:rsidRPr="00044745">
        <w:rPr>
          <w:noProof/>
          <w:lang w:val="es-CO" w:eastAsia="en-GB"/>
        </w:rPr>
        <w:t>6</w:t>
      </w:r>
      <w:r w:rsidR="00C94319" w:rsidRPr="00044745">
        <w:rPr>
          <w:noProof/>
          <w:lang w:val="es-CO" w:eastAsia="en-GB"/>
        </w:rPr>
        <w:t>7</w:t>
      </w:r>
      <w:r w:rsidR="001544A7" w:rsidRPr="00044745">
        <w:rPr>
          <w:noProof/>
          <w:lang w:val="es-CO" w:eastAsia="en-GB"/>
        </w:rPr>
        <w:t>.</w:t>
      </w:r>
      <w:r w:rsidR="001544A7" w:rsidRPr="00044745">
        <w:rPr>
          <w:noProof/>
          <w:lang w:val="es-CO" w:eastAsia="en-GB"/>
        </w:rPr>
        <w:tab/>
      </w:r>
      <w:r w:rsidR="003C34A0">
        <w:rPr>
          <w:noProof/>
          <w:lang w:val="es-CO" w:eastAsia="en-GB"/>
        </w:rPr>
        <w:t>La</w:t>
      </w:r>
      <w:r w:rsidR="00793434" w:rsidRPr="00044745">
        <w:rPr>
          <w:noProof/>
          <w:lang w:val="es-CO" w:eastAsia="en-GB"/>
        </w:rPr>
        <w:t xml:space="preserve"> </w:t>
      </w:r>
      <w:r w:rsidR="003C34A0">
        <w:rPr>
          <w:noProof/>
          <w:lang w:val="es-CO" w:eastAsia="en-GB"/>
        </w:rPr>
        <w:t>O</w:t>
      </w:r>
      <w:r w:rsidR="00793434" w:rsidRPr="00044745">
        <w:rPr>
          <w:noProof/>
          <w:lang w:val="es-CO" w:eastAsia="en-GB"/>
        </w:rPr>
        <w:t xml:space="preserve">ACNUDH resalta la investigación de la Fiscalía General de la Nación </w:t>
      </w:r>
      <w:r w:rsidR="00F36BE0">
        <w:rPr>
          <w:noProof/>
          <w:lang w:val="es-CO" w:eastAsia="en-GB"/>
        </w:rPr>
        <w:t xml:space="preserve">sobre </w:t>
      </w:r>
      <w:r w:rsidR="00793434" w:rsidRPr="00044745">
        <w:rPr>
          <w:noProof/>
          <w:lang w:val="es-CO" w:eastAsia="en-GB"/>
        </w:rPr>
        <w:t xml:space="preserve"> supuesto lavado de dinero por parte de organizaciones </w:t>
      </w:r>
      <w:r w:rsidR="00C93C86">
        <w:rPr>
          <w:noProof/>
          <w:lang w:val="es-CO" w:eastAsia="en-GB"/>
        </w:rPr>
        <w:t>criminales</w:t>
      </w:r>
      <w:r w:rsidR="00793434" w:rsidRPr="00044745">
        <w:rPr>
          <w:noProof/>
          <w:lang w:val="es-CO" w:eastAsia="en-GB"/>
        </w:rPr>
        <w:t>, nacionales y transnaciona</w:t>
      </w:r>
      <w:r w:rsidR="003C6129">
        <w:rPr>
          <w:noProof/>
          <w:lang w:val="es-CO" w:eastAsia="en-GB"/>
        </w:rPr>
        <w:t xml:space="preserve">les, que </w:t>
      </w:r>
      <w:r w:rsidR="00C93C86">
        <w:rPr>
          <w:noProof/>
          <w:lang w:val="es-CO" w:eastAsia="en-GB"/>
        </w:rPr>
        <w:t>presuntamente</w:t>
      </w:r>
      <w:r w:rsidR="003C6129">
        <w:rPr>
          <w:noProof/>
          <w:lang w:val="es-CO" w:eastAsia="en-GB"/>
        </w:rPr>
        <w:t xml:space="preserve"> involuc</w:t>
      </w:r>
      <w:r w:rsidR="003C34A0">
        <w:rPr>
          <w:noProof/>
          <w:lang w:val="es-CO" w:eastAsia="en-GB"/>
        </w:rPr>
        <w:t>r</w:t>
      </w:r>
      <w:r w:rsidR="003C6129">
        <w:rPr>
          <w:noProof/>
          <w:lang w:val="es-CO" w:eastAsia="en-GB"/>
        </w:rPr>
        <w:t>an</w:t>
      </w:r>
      <w:r w:rsidR="00793434" w:rsidRPr="00044745">
        <w:rPr>
          <w:noProof/>
          <w:lang w:val="es-CO" w:eastAsia="en-GB"/>
        </w:rPr>
        <w:t xml:space="preserve"> a funcionarios del municipio de Pitalito, Huila, así como a </w:t>
      </w:r>
      <w:r w:rsidR="00F36BE0">
        <w:rPr>
          <w:noProof/>
          <w:lang w:val="es-CO" w:eastAsia="en-GB"/>
        </w:rPr>
        <w:t xml:space="preserve">reconocidos </w:t>
      </w:r>
      <w:r w:rsidR="00793434" w:rsidRPr="00044745">
        <w:rPr>
          <w:noProof/>
          <w:lang w:val="es-CO" w:eastAsia="en-GB"/>
        </w:rPr>
        <w:t xml:space="preserve">empresarios locales. La investigación </w:t>
      </w:r>
      <w:r w:rsidR="00C93C86">
        <w:rPr>
          <w:noProof/>
          <w:lang w:val="es-CO" w:eastAsia="en-GB"/>
        </w:rPr>
        <w:t xml:space="preserve">vinculó </w:t>
      </w:r>
      <w:r w:rsidR="00C93C86" w:rsidRPr="00044745">
        <w:rPr>
          <w:noProof/>
          <w:lang w:val="es-CO" w:eastAsia="en-GB"/>
        </w:rPr>
        <w:t xml:space="preserve"> </w:t>
      </w:r>
      <w:r w:rsidR="00793434" w:rsidRPr="00044745">
        <w:rPr>
          <w:noProof/>
          <w:lang w:val="es-CO" w:eastAsia="en-GB"/>
        </w:rPr>
        <w:t xml:space="preserve">a los supuestos perpetradores </w:t>
      </w:r>
      <w:r w:rsidR="00F36BE0">
        <w:rPr>
          <w:noProof/>
          <w:lang w:val="es-CO" w:eastAsia="en-GB"/>
        </w:rPr>
        <w:t xml:space="preserve">de lavado </w:t>
      </w:r>
      <w:r w:rsidR="003C34A0">
        <w:rPr>
          <w:noProof/>
          <w:lang w:val="es-CO" w:eastAsia="en-GB"/>
        </w:rPr>
        <w:t xml:space="preserve">de activos </w:t>
      </w:r>
      <w:r w:rsidR="00F36BE0">
        <w:rPr>
          <w:noProof/>
          <w:lang w:val="es-CO" w:eastAsia="en-GB"/>
        </w:rPr>
        <w:t xml:space="preserve">con </w:t>
      </w:r>
      <w:r w:rsidR="00793434" w:rsidRPr="00044745">
        <w:rPr>
          <w:noProof/>
          <w:lang w:val="es-CO" w:eastAsia="en-GB"/>
        </w:rPr>
        <w:t>al menos dos asesinato</w:t>
      </w:r>
      <w:r w:rsidR="003C6129">
        <w:rPr>
          <w:noProof/>
          <w:lang w:val="es-CO" w:eastAsia="en-GB"/>
        </w:rPr>
        <w:t>s</w:t>
      </w:r>
      <w:r w:rsidR="00793434" w:rsidRPr="00044745">
        <w:rPr>
          <w:noProof/>
          <w:lang w:val="es-CO" w:eastAsia="en-GB"/>
        </w:rPr>
        <w:t xml:space="preserve"> de defensores de derechos humanos </w:t>
      </w:r>
      <w:r w:rsidR="003C34A0">
        <w:rPr>
          <w:noProof/>
          <w:lang w:val="es-CO" w:eastAsia="en-GB"/>
        </w:rPr>
        <w:t xml:space="preserve">ocurridos en 2015 y 2017, mismos </w:t>
      </w:r>
      <w:r w:rsidR="00793434" w:rsidRPr="00044745">
        <w:rPr>
          <w:noProof/>
          <w:lang w:val="es-CO" w:eastAsia="en-GB"/>
        </w:rPr>
        <w:t xml:space="preserve">que estaban investigando </w:t>
      </w:r>
      <w:r w:rsidR="00C93C86">
        <w:rPr>
          <w:noProof/>
          <w:lang w:val="es-CO" w:eastAsia="en-GB"/>
        </w:rPr>
        <w:t>estos</w:t>
      </w:r>
      <w:r w:rsidR="00793434" w:rsidRPr="00044745">
        <w:rPr>
          <w:noProof/>
          <w:lang w:val="es-CO" w:eastAsia="en-GB"/>
        </w:rPr>
        <w:t xml:space="preserve"> casos de corrupción.</w:t>
      </w:r>
      <w:r w:rsidR="001544A7" w:rsidRPr="00044745">
        <w:rPr>
          <w:noProof/>
          <w:lang w:val="es-CO" w:eastAsia="en-GB"/>
        </w:rPr>
        <w:t xml:space="preserve"> </w:t>
      </w:r>
    </w:p>
    <w:p w14:paraId="7FF95167" w14:textId="77777777" w:rsidR="001544A7" w:rsidRPr="00044745" w:rsidRDefault="00311AB7" w:rsidP="00311AB7">
      <w:pPr>
        <w:pStyle w:val="H1G"/>
        <w:rPr>
          <w:noProof/>
          <w:lang w:val="es-CO" w:eastAsia="en-GB"/>
        </w:rPr>
      </w:pPr>
      <w:bookmarkStart w:id="13" w:name="_Toc503550654"/>
      <w:r w:rsidRPr="00044745">
        <w:rPr>
          <w:noProof/>
          <w:lang w:val="es-CO" w:eastAsia="en-GB"/>
        </w:rPr>
        <w:tab/>
        <w:t>F</w:t>
      </w:r>
      <w:r w:rsidR="001544A7" w:rsidRPr="00044745">
        <w:rPr>
          <w:noProof/>
          <w:lang w:val="es-CO" w:eastAsia="en-GB"/>
        </w:rPr>
        <w:t>.</w:t>
      </w:r>
      <w:r w:rsidR="001544A7" w:rsidRPr="00044745">
        <w:rPr>
          <w:noProof/>
          <w:lang w:val="es-CO" w:eastAsia="en-GB"/>
        </w:rPr>
        <w:tab/>
      </w:r>
      <w:r w:rsidR="003F5854" w:rsidRPr="00044745">
        <w:rPr>
          <w:noProof/>
          <w:lang w:val="es-CO" w:eastAsia="en-GB"/>
        </w:rPr>
        <w:t>Tierras</w:t>
      </w:r>
      <w:bookmarkEnd w:id="13"/>
    </w:p>
    <w:p w14:paraId="1AB4CBEA" w14:textId="081F0712" w:rsidR="001544A7" w:rsidRPr="00044745" w:rsidRDefault="002C5356" w:rsidP="001E5565">
      <w:pPr>
        <w:pStyle w:val="SingleTxtG"/>
        <w:rPr>
          <w:noProof/>
          <w:lang w:val="es-CO" w:eastAsia="en-GB"/>
        </w:rPr>
      </w:pPr>
      <w:r w:rsidRPr="00044745">
        <w:rPr>
          <w:noProof/>
          <w:lang w:val="es-CO" w:eastAsia="en-GB"/>
        </w:rPr>
        <w:t>6</w:t>
      </w:r>
      <w:r w:rsidR="00C94319" w:rsidRPr="00044745">
        <w:rPr>
          <w:noProof/>
          <w:lang w:val="es-CO" w:eastAsia="en-GB"/>
        </w:rPr>
        <w:t>8</w:t>
      </w:r>
      <w:r w:rsidR="001544A7" w:rsidRPr="00044745">
        <w:rPr>
          <w:noProof/>
          <w:lang w:val="es-CO" w:eastAsia="en-GB"/>
        </w:rPr>
        <w:t>.</w:t>
      </w:r>
      <w:r w:rsidR="001544A7" w:rsidRPr="00044745">
        <w:rPr>
          <w:noProof/>
          <w:lang w:val="es-CO" w:eastAsia="en-GB"/>
        </w:rPr>
        <w:tab/>
      </w:r>
      <w:r w:rsidR="003C34A0">
        <w:rPr>
          <w:noProof/>
          <w:lang w:val="es-CO" w:eastAsia="en-GB"/>
        </w:rPr>
        <w:t xml:space="preserve">La </w:t>
      </w:r>
      <w:r w:rsidR="003F5854" w:rsidRPr="00044745">
        <w:rPr>
          <w:noProof/>
          <w:lang w:val="es-CO" w:eastAsia="en-GB"/>
        </w:rPr>
        <w:t xml:space="preserve"> </w:t>
      </w:r>
      <w:r w:rsidR="003C34A0">
        <w:rPr>
          <w:noProof/>
          <w:lang w:val="es-CO" w:eastAsia="en-GB"/>
        </w:rPr>
        <w:t>O</w:t>
      </w:r>
      <w:r w:rsidR="003F5854" w:rsidRPr="00044745">
        <w:rPr>
          <w:noProof/>
          <w:lang w:val="es-CO" w:eastAsia="en-GB"/>
        </w:rPr>
        <w:t>ACNUDH observó</w:t>
      </w:r>
      <w:r w:rsidR="003C34A0">
        <w:rPr>
          <w:noProof/>
          <w:lang w:val="es-CO" w:eastAsia="en-GB"/>
        </w:rPr>
        <w:t xml:space="preserve"> serios</w:t>
      </w:r>
      <w:r w:rsidR="003F5854" w:rsidRPr="00044745">
        <w:rPr>
          <w:noProof/>
          <w:lang w:val="es-CO" w:eastAsia="en-GB"/>
        </w:rPr>
        <w:t xml:space="preserve"> </w:t>
      </w:r>
      <w:r w:rsidR="001E5565" w:rsidRPr="00044745">
        <w:rPr>
          <w:noProof/>
          <w:lang w:val="es-CO" w:eastAsia="en-GB"/>
        </w:rPr>
        <w:t xml:space="preserve">obstáculos al </w:t>
      </w:r>
      <w:r w:rsidR="003F5854" w:rsidRPr="00044745">
        <w:rPr>
          <w:noProof/>
          <w:lang w:val="es-CO" w:eastAsia="en-GB"/>
        </w:rPr>
        <w:t xml:space="preserve">proceso de restitución de tierras </w:t>
      </w:r>
      <w:r w:rsidR="00C93C86">
        <w:rPr>
          <w:noProof/>
          <w:lang w:val="es-CO" w:eastAsia="en-GB"/>
        </w:rPr>
        <w:t>en zonas de interés de</w:t>
      </w:r>
      <w:r w:rsidR="001E5565" w:rsidRPr="00044745">
        <w:rPr>
          <w:noProof/>
          <w:lang w:val="es-CO" w:eastAsia="en-GB"/>
        </w:rPr>
        <w:t xml:space="preserve"> empresas agro-industria</w:t>
      </w:r>
      <w:r w:rsidR="003C34A0">
        <w:rPr>
          <w:noProof/>
          <w:lang w:val="es-CO" w:eastAsia="en-GB"/>
        </w:rPr>
        <w:t>les y minero-energéticas</w:t>
      </w:r>
      <w:r w:rsidR="001E5565" w:rsidRPr="00044745">
        <w:rPr>
          <w:noProof/>
          <w:lang w:val="es-CO" w:eastAsia="en-GB"/>
        </w:rPr>
        <w:t xml:space="preserve">. </w:t>
      </w:r>
      <w:r w:rsidR="00C93C86">
        <w:rPr>
          <w:noProof/>
          <w:lang w:val="es-CO" w:eastAsia="en-GB"/>
        </w:rPr>
        <w:t>La</w:t>
      </w:r>
      <w:r w:rsidR="001E5565" w:rsidRPr="00044745">
        <w:rPr>
          <w:noProof/>
          <w:lang w:val="es-CO" w:eastAsia="en-GB"/>
        </w:rPr>
        <w:t xml:space="preserve"> </w:t>
      </w:r>
      <w:r w:rsidR="003C34A0">
        <w:rPr>
          <w:noProof/>
          <w:lang w:val="es-CO" w:eastAsia="en-GB"/>
        </w:rPr>
        <w:t>O</w:t>
      </w:r>
      <w:r w:rsidR="003C6129">
        <w:rPr>
          <w:noProof/>
          <w:lang w:val="es-CO" w:eastAsia="en-GB"/>
        </w:rPr>
        <w:t>A</w:t>
      </w:r>
      <w:r w:rsidR="001E5565" w:rsidRPr="00044745">
        <w:rPr>
          <w:noProof/>
          <w:lang w:val="es-CO" w:eastAsia="en-GB"/>
        </w:rPr>
        <w:t>CNUDH acoge con satisfacción la decisión de la Corte Constitucional</w:t>
      </w:r>
      <w:r w:rsidR="001E5565" w:rsidRPr="00044745">
        <w:rPr>
          <w:noProof/>
          <w:vertAlign w:val="superscript"/>
          <w:lang w:val="es-CO" w:eastAsia="en-GB"/>
        </w:rPr>
        <w:footnoteReference w:id="16"/>
      </w:r>
      <w:r w:rsidR="001E5565" w:rsidRPr="00044745">
        <w:rPr>
          <w:noProof/>
          <w:lang w:val="es-CO" w:eastAsia="en-GB"/>
        </w:rPr>
        <w:t xml:space="preserve"> en la que expresa su preocupación por  la “pérdida” de miles de archivos relacionados a casos de conflictos de tierras (6.000 sólo en el departamento de Córdoba) antes de </w:t>
      </w:r>
      <w:r w:rsidR="003C6129">
        <w:rPr>
          <w:noProof/>
          <w:lang w:val="es-CO" w:eastAsia="en-GB"/>
        </w:rPr>
        <w:t xml:space="preserve">ser trasladados </w:t>
      </w:r>
      <w:r w:rsidR="001E5565" w:rsidRPr="00044745">
        <w:rPr>
          <w:noProof/>
          <w:lang w:val="es-CO" w:eastAsia="en-GB"/>
        </w:rPr>
        <w:t>de una entidad estatal a otras.</w:t>
      </w:r>
    </w:p>
    <w:p w14:paraId="24FF8E46" w14:textId="5F2A4375" w:rsidR="001544A7" w:rsidRPr="00044745" w:rsidRDefault="002C5356" w:rsidP="00B31439">
      <w:pPr>
        <w:pStyle w:val="SingleTxtG"/>
        <w:rPr>
          <w:noProof/>
          <w:lang w:val="es-CO" w:eastAsia="en-GB"/>
        </w:rPr>
      </w:pPr>
      <w:r w:rsidRPr="00044745">
        <w:rPr>
          <w:noProof/>
          <w:lang w:val="es-CO" w:eastAsia="en-GB"/>
        </w:rPr>
        <w:t>6</w:t>
      </w:r>
      <w:r w:rsidR="00C94319" w:rsidRPr="00044745">
        <w:rPr>
          <w:noProof/>
          <w:lang w:val="es-CO" w:eastAsia="en-GB"/>
        </w:rPr>
        <w:t>9</w:t>
      </w:r>
      <w:r w:rsidR="001544A7" w:rsidRPr="00044745">
        <w:rPr>
          <w:noProof/>
          <w:lang w:val="es-CO" w:eastAsia="en-GB"/>
        </w:rPr>
        <w:t>.</w:t>
      </w:r>
      <w:r w:rsidR="001544A7" w:rsidRPr="00044745">
        <w:rPr>
          <w:noProof/>
          <w:lang w:val="es-CO" w:eastAsia="en-GB"/>
        </w:rPr>
        <w:tab/>
      </w:r>
      <w:r w:rsidR="003C34A0">
        <w:rPr>
          <w:noProof/>
          <w:lang w:val="es-CO" w:eastAsia="en-GB"/>
        </w:rPr>
        <w:t xml:space="preserve">La </w:t>
      </w:r>
      <w:r w:rsidR="00B31439" w:rsidRPr="00044745">
        <w:rPr>
          <w:noProof/>
          <w:lang w:val="es-CO" w:eastAsia="en-GB"/>
        </w:rPr>
        <w:t xml:space="preserve"> </w:t>
      </w:r>
      <w:r w:rsidR="003C34A0">
        <w:rPr>
          <w:noProof/>
          <w:lang w:val="es-CO" w:eastAsia="en-GB"/>
        </w:rPr>
        <w:t>O</w:t>
      </w:r>
      <w:r w:rsidR="00B31439" w:rsidRPr="00044745">
        <w:rPr>
          <w:noProof/>
          <w:lang w:val="es-CO" w:eastAsia="en-GB"/>
        </w:rPr>
        <w:t xml:space="preserve">ACNUDH observó que </w:t>
      </w:r>
      <w:r w:rsidR="00E20826">
        <w:rPr>
          <w:noProof/>
          <w:lang w:val="es-CO" w:eastAsia="en-GB"/>
        </w:rPr>
        <w:t xml:space="preserve">en zonas donde existen economías ilícitas y grupos criminales existen riesgos de seguridade para los reclamantes de tierras y para los funcionios del Estado que implementan estos </w:t>
      </w:r>
      <w:r w:rsidR="00C93C86">
        <w:rPr>
          <w:noProof/>
          <w:lang w:val="es-CO" w:eastAsia="en-GB"/>
        </w:rPr>
        <w:t>procesos, como se pudo observar</w:t>
      </w:r>
      <w:r w:rsidR="00E20826">
        <w:rPr>
          <w:noProof/>
          <w:lang w:val="es-CO" w:eastAsia="en-GB"/>
        </w:rPr>
        <w:t xml:space="preserve"> </w:t>
      </w:r>
      <w:r w:rsidR="00B31439" w:rsidRPr="00044745">
        <w:rPr>
          <w:noProof/>
          <w:lang w:val="es-CO" w:eastAsia="en-GB"/>
        </w:rPr>
        <w:t>en la cuenca del río Atrato en Urabá y en La Dorada, Caldas</w:t>
      </w:r>
      <w:r w:rsidR="00E20826">
        <w:rPr>
          <w:noProof/>
          <w:lang w:val="es-CO" w:eastAsia="en-GB"/>
        </w:rPr>
        <w:t>.</w:t>
      </w:r>
      <w:r w:rsidR="00B31439" w:rsidRPr="00044745">
        <w:rPr>
          <w:noProof/>
          <w:lang w:val="es-CO" w:eastAsia="en-GB"/>
        </w:rPr>
        <w:t xml:space="preserve"> </w:t>
      </w:r>
    </w:p>
    <w:p w14:paraId="7B01EB18" w14:textId="77777777" w:rsidR="001544A7" w:rsidRPr="00044745" w:rsidRDefault="00311AB7" w:rsidP="00311AB7">
      <w:pPr>
        <w:pStyle w:val="H1G"/>
        <w:rPr>
          <w:noProof/>
          <w:lang w:val="es-CO" w:eastAsia="en-GB"/>
        </w:rPr>
      </w:pPr>
      <w:bookmarkStart w:id="14" w:name="_Toc503550655"/>
      <w:r w:rsidRPr="00044745">
        <w:rPr>
          <w:noProof/>
          <w:lang w:val="es-CO" w:eastAsia="en-GB"/>
        </w:rPr>
        <w:tab/>
        <w:t>G</w:t>
      </w:r>
      <w:r w:rsidR="001544A7" w:rsidRPr="00044745">
        <w:rPr>
          <w:noProof/>
          <w:lang w:val="es-CO" w:eastAsia="en-GB"/>
        </w:rPr>
        <w:t>.</w:t>
      </w:r>
      <w:r w:rsidR="001544A7" w:rsidRPr="00044745">
        <w:rPr>
          <w:noProof/>
          <w:lang w:val="es-CO" w:eastAsia="en-GB"/>
        </w:rPr>
        <w:tab/>
        <w:t>Participa</w:t>
      </w:r>
      <w:r w:rsidR="00B31439" w:rsidRPr="00044745">
        <w:rPr>
          <w:noProof/>
          <w:lang w:val="es-CO" w:eastAsia="en-GB"/>
        </w:rPr>
        <w:t>ción</w:t>
      </w:r>
      <w:bookmarkEnd w:id="14"/>
    </w:p>
    <w:p w14:paraId="13A4E57E" w14:textId="77777777" w:rsidR="001544A7" w:rsidRPr="00044745" w:rsidRDefault="00C8151C" w:rsidP="00C8151C">
      <w:pPr>
        <w:pStyle w:val="H23G"/>
        <w:rPr>
          <w:noProof/>
          <w:lang w:val="es-CO" w:eastAsia="en-GB"/>
        </w:rPr>
      </w:pPr>
      <w:r w:rsidRPr="00044745">
        <w:rPr>
          <w:noProof/>
          <w:lang w:val="es-CO" w:eastAsia="en-GB"/>
        </w:rPr>
        <w:tab/>
        <w:t>1.</w:t>
      </w:r>
      <w:r w:rsidR="001544A7" w:rsidRPr="00044745">
        <w:rPr>
          <w:noProof/>
          <w:lang w:val="es-CO" w:eastAsia="en-GB"/>
        </w:rPr>
        <w:tab/>
        <w:t>P</w:t>
      </w:r>
      <w:r w:rsidR="00B31439" w:rsidRPr="00044745">
        <w:rPr>
          <w:noProof/>
          <w:lang w:val="es-CO" w:eastAsia="en-GB"/>
        </w:rPr>
        <w:t>articipación politica</w:t>
      </w:r>
      <w:r w:rsidR="001544A7" w:rsidRPr="00044745">
        <w:rPr>
          <w:noProof/>
          <w:lang w:val="es-CO" w:eastAsia="en-GB"/>
        </w:rPr>
        <w:t xml:space="preserve"> </w:t>
      </w:r>
    </w:p>
    <w:p w14:paraId="3804CA4C" w14:textId="0901D232" w:rsidR="001544A7" w:rsidRPr="00044745" w:rsidRDefault="00C94319" w:rsidP="009C5A54">
      <w:pPr>
        <w:pStyle w:val="SingleTxtG"/>
        <w:rPr>
          <w:noProof/>
          <w:lang w:val="es-CO" w:eastAsia="en-GB"/>
        </w:rPr>
      </w:pPr>
      <w:r w:rsidRPr="00044745">
        <w:rPr>
          <w:noProof/>
          <w:lang w:val="es-CO" w:eastAsia="en-GB"/>
        </w:rPr>
        <w:t>70</w:t>
      </w:r>
      <w:r w:rsidR="001544A7" w:rsidRPr="00044745">
        <w:rPr>
          <w:noProof/>
          <w:lang w:val="es-CO" w:eastAsia="en-GB"/>
        </w:rPr>
        <w:t>.</w:t>
      </w:r>
      <w:r w:rsidR="001544A7" w:rsidRPr="00044745">
        <w:rPr>
          <w:noProof/>
          <w:lang w:val="es-CO" w:eastAsia="en-GB"/>
        </w:rPr>
        <w:tab/>
      </w:r>
      <w:r w:rsidR="00B31439" w:rsidRPr="00044745">
        <w:rPr>
          <w:noProof/>
          <w:lang w:val="es-CO" w:eastAsia="en-GB"/>
        </w:rPr>
        <w:t>Si bien la mayoría de votantes en las zonas urbanas cuenta</w:t>
      </w:r>
      <w:r w:rsidR="00E20826">
        <w:rPr>
          <w:noProof/>
          <w:lang w:val="es-CO" w:eastAsia="en-GB"/>
        </w:rPr>
        <w:t>n</w:t>
      </w:r>
      <w:r w:rsidR="00B31439" w:rsidRPr="00044745">
        <w:rPr>
          <w:noProof/>
          <w:lang w:val="es-CO" w:eastAsia="en-GB"/>
        </w:rPr>
        <w:t xml:space="preserve"> con un excelente acceso a los puestos de votación, la población rural enfrenta retos en el ejercicio de su derecho al voto. Debido a la falta de infraestructura en estas zonas, los habitantes deben viajar </w:t>
      </w:r>
      <w:r w:rsidR="009C5A54" w:rsidRPr="00044745">
        <w:rPr>
          <w:noProof/>
          <w:lang w:val="es-CO" w:eastAsia="en-GB"/>
        </w:rPr>
        <w:t xml:space="preserve">desde varias horas hasta varios días para poder votar, lo que implica costos para ellos. Esto socava </w:t>
      </w:r>
      <w:r w:rsidR="009C5A54" w:rsidRPr="00044745">
        <w:rPr>
          <w:noProof/>
          <w:lang w:val="es-CO" w:eastAsia="en-GB"/>
        </w:rPr>
        <w:lastRenderedPageBreak/>
        <w:t xml:space="preserve">la participación y obstaculiza la inclusión política. Es necesario, por lo tanto, garantizar el acceso equitativo a los votantes rurales, especialmente </w:t>
      </w:r>
      <w:r w:rsidR="00D868F7">
        <w:rPr>
          <w:noProof/>
          <w:lang w:val="es-CO" w:eastAsia="en-GB"/>
        </w:rPr>
        <w:t xml:space="preserve">en vista de </w:t>
      </w:r>
      <w:r w:rsidR="009C5A54" w:rsidRPr="00044745">
        <w:rPr>
          <w:noProof/>
          <w:lang w:val="es-CO" w:eastAsia="en-GB"/>
        </w:rPr>
        <w:t xml:space="preserve">las elecciones presidenciales y </w:t>
      </w:r>
      <w:r w:rsidR="00FE2BD4" w:rsidRPr="00044745">
        <w:rPr>
          <w:noProof/>
          <w:lang w:val="es-CO" w:eastAsia="en-GB"/>
        </w:rPr>
        <w:t>legislativ</w:t>
      </w:r>
      <w:r w:rsidR="00FE2BD4">
        <w:rPr>
          <w:noProof/>
          <w:lang w:val="es-CO" w:eastAsia="en-GB"/>
        </w:rPr>
        <w:t>a</w:t>
      </w:r>
      <w:r w:rsidR="00FE2BD4" w:rsidRPr="00044745">
        <w:rPr>
          <w:noProof/>
          <w:lang w:val="es-CO" w:eastAsia="en-GB"/>
        </w:rPr>
        <w:t xml:space="preserve">s </w:t>
      </w:r>
      <w:r w:rsidR="009C5A54" w:rsidRPr="00044745">
        <w:rPr>
          <w:noProof/>
          <w:lang w:val="es-CO" w:eastAsia="en-GB"/>
        </w:rPr>
        <w:t>de 2018.</w:t>
      </w:r>
      <w:r w:rsidR="001544A7" w:rsidRPr="00044745">
        <w:rPr>
          <w:noProof/>
          <w:lang w:val="es-CO" w:eastAsia="en-GB"/>
        </w:rPr>
        <w:t xml:space="preserve">  </w:t>
      </w:r>
    </w:p>
    <w:p w14:paraId="2AD18FF1" w14:textId="3F7C5509" w:rsidR="001544A7" w:rsidRPr="00044745" w:rsidRDefault="001544A7" w:rsidP="00DD292C">
      <w:pPr>
        <w:pStyle w:val="SingleTxtG"/>
        <w:rPr>
          <w:noProof/>
          <w:lang w:val="es-CO" w:eastAsia="en-GB"/>
        </w:rPr>
      </w:pPr>
      <w:r w:rsidRPr="00044745">
        <w:rPr>
          <w:noProof/>
          <w:lang w:val="es-CO" w:eastAsia="en-GB"/>
        </w:rPr>
        <w:t>7</w:t>
      </w:r>
      <w:r w:rsidR="00C94319" w:rsidRPr="00044745">
        <w:rPr>
          <w:noProof/>
          <w:lang w:val="es-CO" w:eastAsia="en-GB"/>
        </w:rPr>
        <w:t>1</w:t>
      </w:r>
      <w:r w:rsidRPr="00044745">
        <w:rPr>
          <w:noProof/>
          <w:lang w:val="es-CO" w:eastAsia="en-GB"/>
        </w:rPr>
        <w:t>.</w:t>
      </w:r>
      <w:r w:rsidRPr="00044745">
        <w:rPr>
          <w:noProof/>
          <w:lang w:val="es-CO" w:eastAsia="en-GB"/>
        </w:rPr>
        <w:tab/>
      </w:r>
      <w:r w:rsidR="009C5A54" w:rsidRPr="00044745">
        <w:rPr>
          <w:noProof/>
          <w:lang w:val="es-CO" w:eastAsia="en-GB"/>
        </w:rPr>
        <w:t xml:space="preserve">El acceso equitativo es </w:t>
      </w:r>
      <w:r w:rsidR="00DD292C" w:rsidRPr="00044745">
        <w:rPr>
          <w:noProof/>
          <w:lang w:val="es-CO" w:eastAsia="en-GB"/>
        </w:rPr>
        <w:t xml:space="preserve">importante para evitar la presión que ejercen sobre los votantes los candidatos y partidos apoyados por diferentes sectores económicos – incluyendo los ilegales – quienes ofrecen transporte a los puestos de votación para así influenciar el </w:t>
      </w:r>
      <w:r w:rsidR="00E20826">
        <w:rPr>
          <w:noProof/>
          <w:lang w:val="es-CO" w:eastAsia="en-GB"/>
        </w:rPr>
        <w:t xml:space="preserve">sentido del </w:t>
      </w:r>
      <w:r w:rsidR="00DD292C" w:rsidRPr="00044745">
        <w:rPr>
          <w:noProof/>
          <w:lang w:val="es-CO" w:eastAsia="en-GB"/>
        </w:rPr>
        <w:t>voto.</w:t>
      </w:r>
    </w:p>
    <w:p w14:paraId="448BCB38" w14:textId="25E96D1B" w:rsidR="001544A7" w:rsidRPr="00044745" w:rsidRDefault="001544A7" w:rsidP="0090672F">
      <w:pPr>
        <w:pStyle w:val="SingleTxtG"/>
        <w:rPr>
          <w:noProof/>
          <w:lang w:val="es-CO" w:eastAsia="en-GB"/>
        </w:rPr>
      </w:pPr>
      <w:r w:rsidRPr="00044745">
        <w:rPr>
          <w:noProof/>
          <w:lang w:val="es-CO" w:eastAsia="en-GB"/>
        </w:rPr>
        <w:t>7</w:t>
      </w:r>
      <w:r w:rsidR="00C94319" w:rsidRPr="00044745">
        <w:rPr>
          <w:noProof/>
          <w:lang w:val="es-CO" w:eastAsia="en-GB"/>
        </w:rPr>
        <w:t>2</w:t>
      </w:r>
      <w:r w:rsidRPr="00044745">
        <w:rPr>
          <w:noProof/>
          <w:lang w:val="es-CO" w:eastAsia="en-GB"/>
        </w:rPr>
        <w:t>.</w:t>
      </w:r>
      <w:r w:rsidRPr="00044745">
        <w:rPr>
          <w:noProof/>
          <w:lang w:val="es-CO" w:eastAsia="en-GB"/>
        </w:rPr>
        <w:tab/>
      </w:r>
      <w:r w:rsidR="00E20826">
        <w:rPr>
          <w:noProof/>
          <w:lang w:val="es-CO" w:eastAsia="en-GB"/>
        </w:rPr>
        <w:t xml:space="preserve">La </w:t>
      </w:r>
      <w:r w:rsidR="00DD292C" w:rsidRPr="00044745">
        <w:rPr>
          <w:noProof/>
          <w:lang w:val="es-CO" w:eastAsia="en-GB"/>
        </w:rPr>
        <w:t xml:space="preserve"> </w:t>
      </w:r>
      <w:r w:rsidR="00E20826">
        <w:rPr>
          <w:noProof/>
          <w:lang w:val="es-CO" w:eastAsia="en-GB"/>
        </w:rPr>
        <w:t>O</w:t>
      </w:r>
      <w:r w:rsidR="00DD292C" w:rsidRPr="00044745">
        <w:rPr>
          <w:noProof/>
          <w:lang w:val="es-CO" w:eastAsia="en-GB"/>
        </w:rPr>
        <w:t xml:space="preserve">ACNUDH </w:t>
      </w:r>
      <w:r w:rsidR="00E20826">
        <w:rPr>
          <w:noProof/>
          <w:lang w:val="es-CO" w:eastAsia="en-GB"/>
        </w:rPr>
        <w:t>observa</w:t>
      </w:r>
      <w:r w:rsidR="00DD292C" w:rsidRPr="00044745">
        <w:rPr>
          <w:noProof/>
          <w:lang w:val="es-CO" w:eastAsia="en-GB"/>
        </w:rPr>
        <w:t xml:space="preserve"> con preocupación los graves obstáculos a la i</w:t>
      </w:r>
      <w:r w:rsidR="00D868F7">
        <w:rPr>
          <w:noProof/>
          <w:lang w:val="es-CO" w:eastAsia="en-GB"/>
        </w:rPr>
        <w:t>mplementación del capítulo del A</w:t>
      </w:r>
      <w:r w:rsidR="00DD292C" w:rsidRPr="00044745">
        <w:rPr>
          <w:noProof/>
          <w:lang w:val="es-CO" w:eastAsia="en-GB"/>
        </w:rPr>
        <w:t xml:space="preserve">cuerdo </w:t>
      </w:r>
      <w:r w:rsidR="00E20826">
        <w:rPr>
          <w:noProof/>
          <w:lang w:val="es-CO" w:eastAsia="en-GB"/>
        </w:rPr>
        <w:t xml:space="preserve">relacionado con la </w:t>
      </w:r>
      <w:r w:rsidR="00DD292C" w:rsidRPr="00044745">
        <w:rPr>
          <w:noProof/>
          <w:lang w:val="es-CO" w:eastAsia="en-GB"/>
        </w:rPr>
        <w:t xml:space="preserve"> participación política, debido a los ataques por parte de los sectores políticos interesados en mantener el </w:t>
      </w:r>
      <w:r w:rsidR="00DD292C" w:rsidRPr="00044745">
        <w:rPr>
          <w:i/>
          <w:noProof/>
          <w:lang w:val="es-CO" w:eastAsia="en-GB"/>
        </w:rPr>
        <w:t>statu quo</w:t>
      </w:r>
      <w:r w:rsidR="00DD292C" w:rsidRPr="00044745">
        <w:rPr>
          <w:noProof/>
          <w:lang w:val="es-CO" w:eastAsia="en-GB"/>
        </w:rPr>
        <w:t xml:space="preserve"> político </w:t>
      </w:r>
      <w:r w:rsidR="0090672F" w:rsidRPr="00044745">
        <w:rPr>
          <w:noProof/>
          <w:lang w:val="es-CO" w:eastAsia="en-GB"/>
        </w:rPr>
        <w:t>o que tiene</w:t>
      </w:r>
      <w:r w:rsidR="00D868F7">
        <w:rPr>
          <w:noProof/>
          <w:lang w:val="es-CO" w:eastAsia="en-GB"/>
        </w:rPr>
        <w:t>n</w:t>
      </w:r>
      <w:r w:rsidR="0090672F" w:rsidRPr="00044745">
        <w:rPr>
          <w:noProof/>
          <w:lang w:val="es-CO" w:eastAsia="en-GB"/>
        </w:rPr>
        <w:t xml:space="preserve"> algu</w:t>
      </w:r>
      <w:r w:rsidR="00D868F7">
        <w:rPr>
          <w:noProof/>
          <w:lang w:val="es-CO" w:eastAsia="en-GB"/>
        </w:rPr>
        <w:t>na otra razón para oponerse al A</w:t>
      </w:r>
      <w:r w:rsidR="0090672F" w:rsidRPr="00044745">
        <w:rPr>
          <w:noProof/>
          <w:lang w:val="es-CO" w:eastAsia="en-GB"/>
        </w:rPr>
        <w:t xml:space="preserve">cuerdo. Es de especial preocupación que el Congreso no haya aprobado las Circunscripciones Especiales de Paz, </w:t>
      </w:r>
      <w:r w:rsidR="00EE1599">
        <w:rPr>
          <w:noProof/>
          <w:lang w:val="es-CO" w:eastAsia="en-GB"/>
        </w:rPr>
        <w:t xml:space="preserve">establecidas </w:t>
      </w:r>
      <w:r w:rsidR="00D868F7">
        <w:rPr>
          <w:noProof/>
          <w:lang w:val="es-CO" w:eastAsia="en-GB"/>
        </w:rPr>
        <w:t>en el A</w:t>
      </w:r>
      <w:r w:rsidR="0090672F" w:rsidRPr="00044745">
        <w:rPr>
          <w:noProof/>
          <w:lang w:val="es-CO" w:eastAsia="en-GB"/>
        </w:rPr>
        <w:t>cuerdo como un medio para aumentar la participación política de aquell</w:t>
      </w:r>
      <w:r w:rsidR="00E20826">
        <w:rPr>
          <w:noProof/>
          <w:lang w:val="es-CO" w:eastAsia="en-GB"/>
        </w:rPr>
        <w:t xml:space="preserve">as personas </w:t>
      </w:r>
      <w:r w:rsidR="0090672F" w:rsidRPr="00044745">
        <w:rPr>
          <w:noProof/>
          <w:lang w:val="es-CO" w:eastAsia="en-GB"/>
        </w:rPr>
        <w:t>que viven en</w:t>
      </w:r>
      <w:r w:rsidR="00D868F7">
        <w:rPr>
          <w:noProof/>
          <w:lang w:val="es-CO" w:eastAsia="en-GB"/>
        </w:rPr>
        <w:t xml:space="preserve"> las</w:t>
      </w:r>
      <w:r w:rsidR="0090672F" w:rsidRPr="00044745">
        <w:rPr>
          <w:noProof/>
          <w:lang w:val="es-CO" w:eastAsia="en-GB"/>
        </w:rPr>
        <w:t xml:space="preserve"> zonas afectadas por el conflicto.</w:t>
      </w:r>
      <w:r w:rsidRPr="00044745">
        <w:rPr>
          <w:noProof/>
          <w:lang w:val="es-CO" w:eastAsia="en-GB"/>
        </w:rPr>
        <w:t xml:space="preserve"> </w:t>
      </w:r>
    </w:p>
    <w:p w14:paraId="420005CD" w14:textId="77777777" w:rsidR="001544A7" w:rsidRPr="00044745" w:rsidRDefault="007A39BF" w:rsidP="007A39BF">
      <w:pPr>
        <w:pStyle w:val="H23G"/>
        <w:rPr>
          <w:noProof/>
          <w:lang w:val="es-CO" w:eastAsia="en-GB"/>
        </w:rPr>
      </w:pPr>
      <w:r w:rsidRPr="00044745">
        <w:rPr>
          <w:noProof/>
          <w:lang w:val="es-CO" w:eastAsia="en-GB"/>
        </w:rPr>
        <w:tab/>
        <w:t>2.</w:t>
      </w:r>
      <w:r w:rsidR="0090672F" w:rsidRPr="00044745">
        <w:rPr>
          <w:noProof/>
          <w:lang w:val="es-CO" w:eastAsia="en-GB"/>
        </w:rPr>
        <w:tab/>
        <w:t>Diálogo s</w:t>
      </w:r>
      <w:r w:rsidR="001544A7" w:rsidRPr="00044745">
        <w:rPr>
          <w:noProof/>
          <w:lang w:val="es-CO" w:eastAsia="en-GB"/>
        </w:rPr>
        <w:t xml:space="preserve">ocial </w:t>
      </w:r>
    </w:p>
    <w:p w14:paraId="15EB56E0" w14:textId="070B6D58" w:rsidR="001544A7" w:rsidRPr="00044745" w:rsidRDefault="001544A7" w:rsidP="00951B1F">
      <w:pPr>
        <w:pStyle w:val="SingleTxtG"/>
        <w:rPr>
          <w:noProof/>
          <w:lang w:val="es-CO" w:eastAsia="en-GB"/>
        </w:rPr>
      </w:pPr>
      <w:r w:rsidRPr="00044745">
        <w:rPr>
          <w:noProof/>
          <w:lang w:val="es-CO" w:eastAsia="en-GB"/>
        </w:rPr>
        <w:t>7</w:t>
      </w:r>
      <w:r w:rsidR="00C94319" w:rsidRPr="00044745">
        <w:rPr>
          <w:noProof/>
          <w:lang w:val="es-CO" w:eastAsia="en-GB"/>
        </w:rPr>
        <w:t>3</w:t>
      </w:r>
      <w:r w:rsidRPr="00044745">
        <w:rPr>
          <w:noProof/>
          <w:lang w:val="es-CO" w:eastAsia="en-GB"/>
        </w:rPr>
        <w:t>.</w:t>
      </w:r>
      <w:r w:rsidRPr="00044745">
        <w:rPr>
          <w:noProof/>
          <w:lang w:val="es-CO" w:eastAsia="en-GB"/>
        </w:rPr>
        <w:tab/>
      </w:r>
      <w:r w:rsidR="00F531ED" w:rsidRPr="00044745">
        <w:rPr>
          <w:noProof/>
          <w:lang w:val="es-CO" w:eastAsia="en-GB"/>
        </w:rPr>
        <w:t xml:space="preserve">En 2017, múltiples protestas sociales </w:t>
      </w:r>
      <w:r w:rsidR="00B40AEE" w:rsidRPr="00044745">
        <w:rPr>
          <w:noProof/>
          <w:lang w:val="es-CO" w:eastAsia="en-GB"/>
        </w:rPr>
        <w:t xml:space="preserve">tuvieron lugar </w:t>
      </w:r>
      <w:r w:rsidR="00F531ED" w:rsidRPr="00044745">
        <w:rPr>
          <w:noProof/>
          <w:lang w:val="es-CO" w:eastAsia="en-GB"/>
        </w:rPr>
        <w:t>en Buenaventura,</w:t>
      </w:r>
      <w:r w:rsidR="00E20826">
        <w:rPr>
          <w:noProof/>
          <w:lang w:val="es-CO" w:eastAsia="en-GB"/>
        </w:rPr>
        <w:t xml:space="preserve"> Valle del Cauca;</w:t>
      </w:r>
      <w:r w:rsidR="00F531ED" w:rsidRPr="00044745">
        <w:rPr>
          <w:noProof/>
          <w:lang w:val="es-CO" w:eastAsia="en-GB"/>
        </w:rPr>
        <w:t xml:space="preserve">  Chocó</w:t>
      </w:r>
      <w:r w:rsidR="000716D2">
        <w:rPr>
          <w:noProof/>
          <w:lang w:val="es-CO" w:eastAsia="en-GB"/>
        </w:rPr>
        <w:t>;</w:t>
      </w:r>
      <w:r w:rsidR="00F531ED" w:rsidRPr="00044745">
        <w:rPr>
          <w:noProof/>
          <w:lang w:val="es-CO" w:eastAsia="en-GB"/>
        </w:rPr>
        <w:t xml:space="preserve"> Norte de Santander y  Cauca, entre otros, así como protestas indígenas a nivel nacional. La falta de garantías de </w:t>
      </w:r>
      <w:r w:rsidR="00072CA9">
        <w:rPr>
          <w:noProof/>
          <w:lang w:val="es-CO" w:eastAsia="en-GB"/>
        </w:rPr>
        <w:t>goce de</w:t>
      </w:r>
      <w:r w:rsidR="00F531ED" w:rsidRPr="00044745">
        <w:rPr>
          <w:noProof/>
          <w:lang w:val="es-CO" w:eastAsia="en-GB"/>
        </w:rPr>
        <w:t xml:space="preserve"> derechos y la percepción de incapacidad institucional, la falta de representación democrática y la corrupción </w:t>
      </w:r>
      <w:r w:rsidR="00951B1F" w:rsidRPr="00044745">
        <w:rPr>
          <w:noProof/>
          <w:lang w:val="es-CO" w:eastAsia="en-GB"/>
        </w:rPr>
        <w:t>fueron algun</w:t>
      </w:r>
      <w:r w:rsidR="00B40AEE">
        <w:rPr>
          <w:noProof/>
          <w:lang w:val="es-CO" w:eastAsia="en-GB"/>
        </w:rPr>
        <w:t>a</w:t>
      </w:r>
      <w:r w:rsidR="00951B1F" w:rsidRPr="00044745">
        <w:rPr>
          <w:noProof/>
          <w:lang w:val="es-CO" w:eastAsia="en-GB"/>
        </w:rPr>
        <w:t>s de las motivaciones de las protestas.</w:t>
      </w:r>
      <w:r w:rsidR="00B40AEE">
        <w:rPr>
          <w:noProof/>
          <w:lang w:val="es-CO" w:eastAsia="en-GB"/>
        </w:rPr>
        <w:t xml:space="preserve"> </w:t>
      </w:r>
    </w:p>
    <w:p w14:paraId="00709B35" w14:textId="799D0E0A" w:rsidR="001544A7" w:rsidRPr="00044745" w:rsidRDefault="00260C85" w:rsidP="00951B1F">
      <w:pPr>
        <w:pStyle w:val="SingleTxtG"/>
        <w:rPr>
          <w:noProof/>
          <w:lang w:val="es-CO" w:eastAsia="en-GB"/>
        </w:rPr>
      </w:pPr>
      <w:r w:rsidRPr="00044745">
        <w:rPr>
          <w:noProof/>
          <w:lang w:val="es-CO" w:eastAsia="en-GB"/>
        </w:rPr>
        <w:t>7</w:t>
      </w:r>
      <w:r w:rsidR="00C94319" w:rsidRPr="00044745">
        <w:rPr>
          <w:noProof/>
          <w:lang w:val="es-CO" w:eastAsia="en-GB"/>
        </w:rPr>
        <w:t>4</w:t>
      </w:r>
      <w:r w:rsidR="001544A7" w:rsidRPr="00044745">
        <w:rPr>
          <w:noProof/>
          <w:lang w:val="es-CO" w:eastAsia="en-GB"/>
        </w:rPr>
        <w:t>.</w:t>
      </w:r>
      <w:r w:rsidR="001544A7" w:rsidRPr="00044745">
        <w:rPr>
          <w:noProof/>
          <w:lang w:val="es-CO" w:eastAsia="en-GB"/>
        </w:rPr>
        <w:tab/>
      </w:r>
      <w:r w:rsidR="00E20826">
        <w:rPr>
          <w:noProof/>
          <w:lang w:val="es-CO" w:eastAsia="en-GB"/>
        </w:rPr>
        <w:t>La</w:t>
      </w:r>
      <w:r w:rsidR="00951B1F" w:rsidRPr="00044745">
        <w:rPr>
          <w:noProof/>
          <w:lang w:val="es-CO" w:eastAsia="en-GB"/>
        </w:rPr>
        <w:t xml:space="preserve"> </w:t>
      </w:r>
      <w:r w:rsidR="00E20826">
        <w:rPr>
          <w:noProof/>
          <w:lang w:val="es-CO" w:eastAsia="en-GB"/>
        </w:rPr>
        <w:t>O</w:t>
      </w:r>
      <w:r w:rsidR="00951B1F" w:rsidRPr="00044745">
        <w:rPr>
          <w:noProof/>
          <w:lang w:val="es-CO" w:eastAsia="en-GB"/>
        </w:rPr>
        <w:t xml:space="preserve">ACNUDH intervino en varias protestas para facilitar el diálogo entre las partes, reducir las tensiones y apoyar la implementación de los acuerdos alcanzados para </w:t>
      </w:r>
      <w:r w:rsidR="000243E6">
        <w:rPr>
          <w:noProof/>
          <w:lang w:val="es-CO" w:eastAsia="en-GB"/>
        </w:rPr>
        <w:t xml:space="preserve">la </w:t>
      </w:r>
      <w:r w:rsidR="00951B1F" w:rsidRPr="00044745">
        <w:rPr>
          <w:noProof/>
          <w:lang w:val="es-CO" w:eastAsia="en-GB"/>
        </w:rPr>
        <w:t>mejora</w:t>
      </w:r>
      <w:r w:rsidR="000243E6">
        <w:rPr>
          <w:noProof/>
          <w:lang w:val="es-CO" w:eastAsia="en-GB"/>
        </w:rPr>
        <w:t xml:space="preserve"> en</w:t>
      </w:r>
      <w:r w:rsidR="00951B1F" w:rsidRPr="00044745">
        <w:rPr>
          <w:noProof/>
          <w:lang w:val="es-CO" w:eastAsia="en-GB"/>
        </w:rPr>
        <w:t xml:space="preserve"> la garantía de </w:t>
      </w:r>
      <w:r w:rsidR="000243E6">
        <w:rPr>
          <w:noProof/>
          <w:lang w:val="es-CO" w:eastAsia="en-GB"/>
        </w:rPr>
        <w:t xml:space="preserve">los </w:t>
      </w:r>
      <w:r w:rsidR="00951B1F" w:rsidRPr="00044745">
        <w:rPr>
          <w:noProof/>
          <w:lang w:val="es-CO" w:eastAsia="en-GB"/>
        </w:rPr>
        <w:t>derechos. Asímismo, señala el papel positivo que jugó el Ministro del Interior, el Ministro del Medio Ambiente y el Procurador General en estos procesos difíciles.</w:t>
      </w:r>
      <w:r w:rsidR="001544A7" w:rsidRPr="00044745">
        <w:rPr>
          <w:noProof/>
          <w:lang w:val="es-CO" w:eastAsia="en-GB"/>
        </w:rPr>
        <w:t xml:space="preserve">   </w:t>
      </w:r>
    </w:p>
    <w:p w14:paraId="7AFEECD5" w14:textId="7E941C90" w:rsidR="00951B1F" w:rsidRPr="00044745" w:rsidRDefault="00260C85" w:rsidP="001544A7">
      <w:pPr>
        <w:pStyle w:val="SingleTxtG"/>
        <w:rPr>
          <w:noProof/>
          <w:lang w:val="es-CO" w:eastAsia="en-GB"/>
        </w:rPr>
      </w:pPr>
      <w:r w:rsidRPr="00044745">
        <w:rPr>
          <w:noProof/>
          <w:lang w:val="es-CO" w:eastAsia="en-GB"/>
        </w:rPr>
        <w:t>7</w:t>
      </w:r>
      <w:r w:rsidR="00C94319" w:rsidRPr="00044745">
        <w:rPr>
          <w:noProof/>
          <w:lang w:val="es-CO" w:eastAsia="en-GB"/>
        </w:rPr>
        <w:t>5</w:t>
      </w:r>
      <w:r w:rsidR="001544A7" w:rsidRPr="00044745">
        <w:rPr>
          <w:noProof/>
          <w:lang w:val="es-CO" w:eastAsia="en-GB"/>
        </w:rPr>
        <w:t>.</w:t>
      </w:r>
      <w:r w:rsidR="001544A7" w:rsidRPr="00044745">
        <w:rPr>
          <w:noProof/>
          <w:lang w:val="es-CO" w:eastAsia="en-GB"/>
        </w:rPr>
        <w:tab/>
      </w:r>
      <w:r w:rsidR="00951B1F" w:rsidRPr="00044745">
        <w:rPr>
          <w:noProof/>
          <w:lang w:val="es-CO" w:eastAsia="en-GB"/>
        </w:rPr>
        <w:t>La protesta social es frecuente en Colombia y en 2017 resultaron en 14 muertos y varios heridos. Por lo tanto, es imperativo implementar las garantías para la movilización y la pr</w:t>
      </w:r>
      <w:r w:rsidR="00B40AEE">
        <w:rPr>
          <w:noProof/>
          <w:lang w:val="es-CO" w:eastAsia="en-GB"/>
        </w:rPr>
        <w:t>otesta social contenidas en el A</w:t>
      </w:r>
      <w:r w:rsidR="00951B1F" w:rsidRPr="00044745">
        <w:rPr>
          <w:noProof/>
          <w:lang w:val="es-CO" w:eastAsia="en-GB"/>
        </w:rPr>
        <w:t xml:space="preserve">cuerdo y </w:t>
      </w:r>
      <w:r w:rsidR="000243E6">
        <w:rPr>
          <w:noProof/>
          <w:lang w:val="es-CO" w:eastAsia="en-GB"/>
        </w:rPr>
        <w:t xml:space="preserve">asegurar </w:t>
      </w:r>
      <w:r w:rsidR="00E749DD" w:rsidRPr="00044745">
        <w:rPr>
          <w:noProof/>
          <w:lang w:val="es-CO" w:eastAsia="en-GB"/>
        </w:rPr>
        <w:t xml:space="preserve"> </w:t>
      </w:r>
      <w:r w:rsidR="000243E6">
        <w:rPr>
          <w:noProof/>
          <w:lang w:val="es-CO" w:eastAsia="en-GB"/>
        </w:rPr>
        <w:t xml:space="preserve">que </w:t>
      </w:r>
      <w:r w:rsidR="00951B1F" w:rsidRPr="00044745">
        <w:rPr>
          <w:noProof/>
          <w:lang w:val="es-CO" w:eastAsia="en-GB"/>
        </w:rPr>
        <w:t xml:space="preserve">los protocolos </w:t>
      </w:r>
      <w:r w:rsidR="00E749DD" w:rsidRPr="00044745">
        <w:rPr>
          <w:noProof/>
          <w:lang w:val="es-CO" w:eastAsia="en-GB"/>
        </w:rPr>
        <w:t xml:space="preserve">nacionales </w:t>
      </w:r>
      <w:r w:rsidR="00951B1F" w:rsidRPr="00044745">
        <w:rPr>
          <w:noProof/>
          <w:lang w:val="es-CO" w:eastAsia="en-GB"/>
        </w:rPr>
        <w:t xml:space="preserve">sobre el uso de la fuerza en protestas sociales </w:t>
      </w:r>
      <w:r w:rsidR="000243E6">
        <w:rPr>
          <w:noProof/>
          <w:lang w:val="es-CO" w:eastAsia="en-GB"/>
        </w:rPr>
        <w:t xml:space="preserve">se ajusten a </w:t>
      </w:r>
      <w:r w:rsidR="00951B1F" w:rsidRPr="00044745">
        <w:rPr>
          <w:noProof/>
          <w:lang w:val="es-CO" w:eastAsia="en-GB"/>
        </w:rPr>
        <w:t xml:space="preserve"> </w:t>
      </w:r>
      <w:r w:rsidR="005313C2" w:rsidRPr="00044745">
        <w:rPr>
          <w:noProof/>
          <w:lang w:val="es-CO" w:eastAsia="en-GB"/>
        </w:rPr>
        <w:t xml:space="preserve">las normas </w:t>
      </w:r>
      <w:r w:rsidR="00951B1F" w:rsidRPr="00044745">
        <w:rPr>
          <w:noProof/>
          <w:lang w:val="es-CO" w:eastAsia="en-GB"/>
        </w:rPr>
        <w:t xml:space="preserve">internacionales. </w:t>
      </w:r>
    </w:p>
    <w:p w14:paraId="20D0AA82" w14:textId="1318CE9B" w:rsidR="001544A7" w:rsidRPr="00044745" w:rsidRDefault="00260C85" w:rsidP="004A1EF7">
      <w:pPr>
        <w:pStyle w:val="SingleTxtG"/>
        <w:rPr>
          <w:noProof/>
          <w:lang w:val="es-CO" w:eastAsia="en-GB"/>
        </w:rPr>
      </w:pPr>
      <w:r w:rsidRPr="00044745">
        <w:rPr>
          <w:noProof/>
          <w:lang w:val="es-CO" w:eastAsia="en-GB"/>
        </w:rPr>
        <w:t>7</w:t>
      </w:r>
      <w:r w:rsidR="00C94319" w:rsidRPr="00044745">
        <w:rPr>
          <w:noProof/>
          <w:lang w:val="es-CO" w:eastAsia="en-GB"/>
        </w:rPr>
        <w:t>6</w:t>
      </w:r>
      <w:r w:rsidR="001544A7" w:rsidRPr="00044745">
        <w:rPr>
          <w:noProof/>
          <w:lang w:val="es-CO" w:eastAsia="en-GB"/>
        </w:rPr>
        <w:t>.</w:t>
      </w:r>
      <w:r w:rsidR="001544A7" w:rsidRPr="00044745">
        <w:rPr>
          <w:noProof/>
          <w:lang w:val="es-CO" w:eastAsia="en-GB"/>
        </w:rPr>
        <w:tab/>
      </w:r>
      <w:r w:rsidR="000243E6">
        <w:rPr>
          <w:noProof/>
          <w:lang w:val="es-CO" w:eastAsia="en-GB"/>
        </w:rPr>
        <w:t>La</w:t>
      </w:r>
      <w:r w:rsidR="00E749DD" w:rsidRPr="00044745">
        <w:rPr>
          <w:noProof/>
          <w:lang w:val="es-CO" w:eastAsia="en-GB"/>
        </w:rPr>
        <w:t xml:space="preserve"> </w:t>
      </w:r>
      <w:r w:rsidR="000243E6">
        <w:rPr>
          <w:noProof/>
          <w:lang w:val="es-CO" w:eastAsia="en-GB"/>
        </w:rPr>
        <w:t>O</w:t>
      </w:r>
      <w:r w:rsidR="00E749DD" w:rsidRPr="00044745">
        <w:rPr>
          <w:noProof/>
          <w:lang w:val="es-CO" w:eastAsia="en-GB"/>
        </w:rPr>
        <w:t>ACNUDH reconoce los esfuerzos del gobierno y de los manifestantes por encontrar soluciones basad</w:t>
      </w:r>
      <w:r w:rsidR="00072CA9">
        <w:rPr>
          <w:noProof/>
          <w:lang w:val="es-CO" w:eastAsia="en-GB"/>
        </w:rPr>
        <w:t>a</w:t>
      </w:r>
      <w:r w:rsidR="00E749DD" w:rsidRPr="00044745">
        <w:rPr>
          <w:noProof/>
          <w:lang w:val="es-CO" w:eastAsia="en-GB"/>
        </w:rPr>
        <w:t xml:space="preserve">s en el respeto por los derechos humanos. No obstante, </w:t>
      </w:r>
      <w:r w:rsidR="00B40AEE">
        <w:rPr>
          <w:noProof/>
          <w:lang w:val="es-CO" w:eastAsia="en-GB"/>
        </w:rPr>
        <w:t>se requiere</w:t>
      </w:r>
      <w:r w:rsidR="000243E6">
        <w:rPr>
          <w:noProof/>
          <w:lang w:val="es-CO" w:eastAsia="en-GB"/>
        </w:rPr>
        <w:t>n</w:t>
      </w:r>
      <w:r w:rsidR="00E749DD" w:rsidRPr="00044745">
        <w:rPr>
          <w:noProof/>
          <w:lang w:val="es-CO" w:eastAsia="en-GB"/>
        </w:rPr>
        <w:t xml:space="preserve"> mecanismos </w:t>
      </w:r>
      <w:r w:rsidR="004A1EF7" w:rsidRPr="00044745">
        <w:rPr>
          <w:noProof/>
          <w:lang w:val="es-CO" w:eastAsia="en-GB"/>
        </w:rPr>
        <w:t>vinculantes, como el control disciplinario ejercido por el Procurador General y el monitoreo efectivo de la implementación de las obligaciones, para evitar futuras protestas que resulten de la falta de cumplimiento de acuerdos anteriores, como se observó en Buenaventura, Cauca y Chocó.</w:t>
      </w:r>
      <w:r w:rsidR="001544A7" w:rsidRPr="00044745">
        <w:rPr>
          <w:noProof/>
          <w:lang w:val="es-CO" w:eastAsia="en-GB"/>
        </w:rPr>
        <w:t xml:space="preserve">   </w:t>
      </w:r>
    </w:p>
    <w:p w14:paraId="0029F74D" w14:textId="77777777" w:rsidR="001544A7" w:rsidRPr="00044745" w:rsidRDefault="0009779D" w:rsidP="0009779D">
      <w:pPr>
        <w:pStyle w:val="HChG"/>
        <w:rPr>
          <w:noProof/>
          <w:lang w:val="es-CO" w:eastAsia="en-GB"/>
        </w:rPr>
      </w:pPr>
      <w:bookmarkStart w:id="15" w:name="_Toc503550656"/>
      <w:r w:rsidRPr="00044745">
        <w:rPr>
          <w:noProof/>
          <w:lang w:val="es-CO" w:eastAsia="en-GB"/>
        </w:rPr>
        <w:tab/>
      </w:r>
      <w:r w:rsidR="001544A7" w:rsidRPr="00044745">
        <w:rPr>
          <w:noProof/>
          <w:lang w:val="es-CO" w:eastAsia="en-GB"/>
        </w:rPr>
        <w:t>IV.</w:t>
      </w:r>
      <w:r w:rsidR="001544A7" w:rsidRPr="00044745">
        <w:rPr>
          <w:noProof/>
          <w:lang w:val="es-CO" w:eastAsia="en-GB"/>
        </w:rPr>
        <w:tab/>
      </w:r>
      <w:r w:rsidR="004A1EF7" w:rsidRPr="00044745">
        <w:rPr>
          <w:noProof/>
          <w:lang w:val="es-CO" w:eastAsia="en-GB"/>
        </w:rPr>
        <w:t xml:space="preserve">Seguridad ciudadana en un contexto de paz </w:t>
      </w:r>
      <w:bookmarkEnd w:id="15"/>
    </w:p>
    <w:p w14:paraId="6500EFAE" w14:textId="105D9868" w:rsidR="001544A7" w:rsidRPr="00044745" w:rsidRDefault="00260C85" w:rsidP="002B19D6">
      <w:pPr>
        <w:pStyle w:val="SingleTxtG"/>
        <w:rPr>
          <w:noProof/>
          <w:lang w:val="es-CO" w:eastAsia="en-GB"/>
        </w:rPr>
      </w:pPr>
      <w:r w:rsidRPr="00044745">
        <w:rPr>
          <w:noProof/>
          <w:lang w:val="es-CO" w:eastAsia="en-GB"/>
        </w:rPr>
        <w:t>7</w:t>
      </w:r>
      <w:r w:rsidR="00C94319" w:rsidRPr="00044745">
        <w:rPr>
          <w:noProof/>
          <w:lang w:val="es-CO" w:eastAsia="en-GB"/>
        </w:rPr>
        <w:t>7</w:t>
      </w:r>
      <w:r w:rsidR="001544A7" w:rsidRPr="00044745">
        <w:rPr>
          <w:noProof/>
          <w:lang w:val="es-CO" w:eastAsia="en-GB"/>
        </w:rPr>
        <w:t>.</w:t>
      </w:r>
      <w:r w:rsidR="001544A7" w:rsidRPr="00044745">
        <w:rPr>
          <w:noProof/>
          <w:lang w:val="es-CO" w:eastAsia="en-GB"/>
        </w:rPr>
        <w:tab/>
      </w:r>
      <w:r w:rsidR="000243E6">
        <w:rPr>
          <w:noProof/>
          <w:lang w:val="es-CO" w:eastAsia="en-GB"/>
        </w:rPr>
        <w:t xml:space="preserve">La normatividad nacional, regional e internacional de los derechos humanos </w:t>
      </w:r>
      <w:r w:rsidR="004A1EF7" w:rsidRPr="00044745">
        <w:rPr>
          <w:noProof/>
          <w:lang w:val="es-CO" w:eastAsia="en-GB"/>
        </w:rPr>
        <w:t>estip</w:t>
      </w:r>
      <w:r w:rsidR="00B40AEE">
        <w:rPr>
          <w:noProof/>
          <w:lang w:val="es-CO" w:eastAsia="en-GB"/>
        </w:rPr>
        <w:t>u</w:t>
      </w:r>
      <w:r w:rsidR="004A1EF7" w:rsidRPr="00044745">
        <w:rPr>
          <w:noProof/>
          <w:lang w:val="es-CO" w:eastAsia="en-GB"/>
        </w:rPr>
        <w:t xml:space="preserve">la que las fuerzas militares no son responsables de la seguridad </w:t>
      </w:r>
      <w:r w:rsidR="000243E6">
        <w:rPr>
          <w:noProof/>
          <w:lang w:val="es-CO" w:eastAsia="en-GB"/>
        </w:rPr>
        <w:t xml:space="preserve">ciudadana, </w:t>
      </w:r>
      <w:r w:rsidR="005313C2" w:rsidRPr="00044745">
        <w:rPr>
          <w:noProof/>
          <w:lang w:val="es-CO" w:eastAsia="en-GB"/>
        </w:rPr>
        <w:t xml:space="preserve"> la lucha contra </w:t>
      </w:r>
      <w:r w:rsidR="005E47A1" w:rsidRPr="00044745">
        <w:rPr>
          <w:noProof/>
          <w:lang w:val="es-CO" w:eastAsia="en-GB"/>
        </w:rPr>
        <w:t>la delincuencia organizada</w:t>
      </w:r>
      <w:r w:rsidR="00001BA6">
        <w:rPr>
          <w:noProof/>
          <w:lang w:val="es-CO" w:eastAsia="en-GB"/>
        </w:rPr>
        <w:t>,</w:t>
      </w:r>
      <w:r w:rsidR="005E47A1" w:rsidRPr="00044745">
        <w:rPr>
          <w:noProof/>
          <w:lang w:val="es-CO" w:eastAsia="en-GB"/>
        </w:rPr>
        <w:t xml:space="preserve"> la convivencia y el desarrollo. En situaciones excepcionales, la Policía Nacional puede requerir asistencia militar, la cual debe prestarse de </w:t>
      </w:r>
      <w:r w:rsidR="00EE1599">
        <w:rPr>
          <w:noProof/>
          <w:lang w:val="es-CO" w:eastAsia="en-GB"/>
        </w:rPr>
        <w:t>conformidad con el principio de primacía</w:t>
      </w:r>
      <w:r w:rsidR="005E47A1" w:rsidRPr="00044745">
        <w:rPr>
          <w:noProof/>
          <w:lang w:val="es-CO" w:eastAsia="en-GB"/>
        </w:rPr>
        <w:t xml:space="preserve"> policía</w:t>
      </w:r>
      <w:r w:rsidR="00001BA6">
        <w:rPr>
          <w:noProof/>
          <w:lang w:val="es-CO" w:eastAsia="en-GB"/>
        </w:rPr>
        <w:t>l</w:t>
      </w:r>
      <w:r w:rsidR="005E47A1" w:rsidRPr="00044745">
        <w:rPr>
          <w:noProof/>
          <w:lang w:val="es-CO" w:eastAsia="en-GB"/>
        </w:rPr>
        <w:t xml:space="preserve"> y con un </w:t>
      </w:r>
      <w:r w:rsidR="00001BA6">
        <w:rPr>
          <w:noProof/>
          <w:lang w:val="es-CO" w:eastAsia="en-GB"/>
        </w:rPr>
        <w:t xml:space="preserve">estricto control </w:t>
      </w:r>
      <w:r w:rsidR="005E47A1" w:rsidRPr="00044745">
        <w:rPr>
          <w:noProof/>
          <w:lang w:val="es-CO" w:eastAsia="en-GB"/>
        </w:rPr>
        <w:t xml:space="preserve">civil. </w:t>
      </w:r>
      <w:r w:rsidR="002B19D6" w:rsidRPr="00044745">
        <w:rPr>
          <w:noProof/>
          <w:lang w:val="es-CO" w:eastAsia="en-GB"/>
        </w:rPr>
        <w:t>Las tarea</w:t>
      </w:r>
      <w:r w:rsidR="00EE1599">
        <w:rPr>
          <w:noProof/>
          <w:lang w:val="es-CO" w:eastAsia="en-GB"/>
        </w:rPr>
        <w:t>s de convivencia y  desarrollo</w:t>
      </w:r>
      <w:r w:rsidR="002B19D6" w:rsidRPr="00044745">
        <w:rPr>
          <w:noProof/>
          <w:lang w:val="es-CO" w:eastAsia="en-GB"/>
        </w:rPr>
        <w:t xml:space="preserve"> son responsabilidad exclusiva de las autoridades civiles.</w:t>
      </w:r>
    </w:p>
    <w:p w14:paraId="6FF7D494" w14:textId="7044CFEC" w:rsidR="00284AA7" w:rsidRPr="00044745" w:rsidRDefault="00260C85" w:rsidP="00AA226C">
      <w:pPr>
        <w:pStyle w:val="SingleTxtG"/>
        <w:rPr>
          <w:noProof/>
          <w:lang w:val="es-CO" w:eastAsia="en-GB"/>
        </w:rPr>
      </w:pPr>
      <w:r w:rsidRPr="00044745">
        <w:rPr>
          <w:noProof/>
          <w:lang w:val="es-CO" w:eastAsia="en-GB"/>
        </w:rPr>
        <w:t>7</w:t>
      </w:r>
      <w:r w:rsidR="00C94319" w:rsidRPr="00044745">
        <w:rPr>
          <w:noProof/>
          <w:lang w:val="es-CO" w:eastAsia="en-GB"/>
        </w:rPr>
        <w:t>8</w:t>
      </w:r>
      <w:r w:rsidR="00284AA7" w:rsidRPr="00044745">
        <w:rPr>
          <w:noProof/>
          <w:lang w:val="es-CO" w:eastAsia="en-GB"/>
        </w:rPr>
        <w:t>.</w:t>
      </w:r>
      <w:r w:rsidR="00284AA7" w:rsidRPr="00044745">
        <w:rPr>
          <w:noProof/>
          <w:lang w:val="es-CO" w:eastAsia="en-GB"/>
        </w:rPr>
        <w:tab/>
      </w:r>
      <w:r w:rsidR="002B19D6" w:rsidRPr="00044745">
        <w:rPr>
          <w:noProof/>
          <w:lang w:val="es-CO" w:eastAsia="en-GB"/>
        </w:rPr>
        <w:t>A</w:t>
      </w:r>
      <w:r w:rsidR="00001BA6">
        <w:rPr>
          <w:noProof/>
          <w:lang w:val="es-CO" w:eastAsia="en-GB"/>
        </w:rPr>
        <w:t xml:space="preserve"> </w:t>
      </w:r>
      <w:r w:rsidR="002B19D6" w:rsidRPr="00044745">
        <w:rPr>
          <w:noProof/>
          <w:lang w:val="es-CO" w:eastAsia="en-GB"/>
        </w:rPr>
        <w:t>l</w:t>
      </w:r>
      <w:r w:rsidR="00001BA6">
        <w:rPr>
          <w:noProof/>
          <w:lang w:val="es-CO" w:eastAsia="en-GB"/>
        </w:rPr>
        <w:t>a</w:t>
      </w:r>
      <w:r w:rsidR="006B2D34">
        <w:rPr>
          <w:noProof/>
          <w:lang w:val="es-CO" w:eastAsia="en-GB"/>
        </w:rPr>
        <w:t xml:space="preserve"> </w:t>
      </w:r>
      <w:r w:rsidR="00001BA6">
        <w:rPr>
          <w:noProof/>
          <w:lang w:val="es-CO" w:eastAsia="en-GB"/>
        </w:rPr>
        <w:t>O</w:t>
      </w:r>
      <w:r w:rsidR="00EE1599">
        <w:rPr>
          <w:noProof/>
          <w:lang w:val="es-CO" w:eastAsia="en-GB"/>
        </w:rPr>
        <w:t>ACNUDH</w:t>
      </w:r>
      <w:r w:rsidR="006B2D34">
        <w:rPr>
          <w:noProof/>
          <w:lang w:val="es-CO" w:eastAsia="en-GB"/>
        </w:rPr>
        <w:t xml:space="preserve"> </w:t>
      </w:r>
      <w:r w:rsidR="002B19D6" w:rsidRPr="00044745">
        <w:rPr>
          <w:noProof/>
          <w:lang w:val="es-CO" w:eastAsia="en-GB"/>
        </w:rPr>
        <w:t>le preocupa</w:t>
      </w:r>
      <w:r w:rsidR="00001BA6">
        <w:rPr>
          <w:noProof/>
          <w:lang w:val="es-CO" w:eastAsia="en-GB"/>
        </w:rPr>
        <w:t>n</w:t>
      </w:r>
      <w:r w:rsidR="006B2D34">
        <w:rPr>
          <w:noProof/>
          <w:lang w:val="es-CO" w:eastAsia="en-GB"/>
        </w:rPr>
        <w:t xml:space="preserve"> </w:t>
      </w:r>
      <w:r w:rsidR="00EE1599">
        <w:rPr>
          <w:noProof/>
          <w:lang w:val="es-CO" w:eastAsia="en-GB"/>
        </w:rPr>
        <w:t>los planes</w:t>
      </w:r>
      <w:r w:rsidR="006B2D34">
        <w:rPr>
          <w:noProof/>
          <w:lang w:val="es-CO" w:eastAsia="en-GB"/>
        </w:rPr>
        <w:t xml:space="preserve"> </w:t>
      </w:r>
      <w:r w:rsidR="002B19D6" w:rsidRPr="00044745">
        <w:rPr>
          <w:noProof/>
          <w:lang w:val="es-CO" w:eastAsia="en-GB"/>
        </w:rPr>
        <w:t>desarrollados por las fuerzas armadas</w:t>
      </w:r>
      <w:r w:rsidR="002B19D6" w:rsidRPr="00044745">
        <w:rPr>
          <w:noProof/>
          <w:vertAlign w:val="superscript"/>
          <w:lang w:val="es-CO" w:eastAsia="en-GB"/>
        </w:rPr>
        <w:footnoteReference w:id="17"/>
      </w:r>
      <w:r w:rsidR="002B19D6" w:rsidRPr="00044745">
        <w:rPr>
          <w:noProof/>
          <w:lang w:val="es-CO" w:eastAsia="en-GB"/>
        </w:rPr>
        <w:t xml:space="preserve"> que justifican su participación activa en las tareas de seguridad</w:t>
      </w:r>
      <w:r w:rsidR="003B3471">
        <w:rPr>
          <w:noProof/>
          <w:lang w:val="es-CO" w:eastAsia="en-GB"/>
        </w:rPr>
        <w:t xml:space="preserve"> </w:t>
      </w:r>
      <w:r w:rsidR="00EE1599">
        <w:rPr>
          <w:noProof/>
          <w:lang w:val="es-CO" w:eastAsia="en-GB"/>
        </w:rPr>
        <w:t>ciudadana</w:t>
      </w:r>
      <w:r w:rsidR="003B3471">
        <w:rPr>
          <w:noProof/>
          <w:lang w:val="es-CO" w:eastAsia="en-GB"/>
        </w:rPr>
        <w:t>, así como otras direct</w:t>
      </w:r>
      <w:r w:rsidR="002B19D6" w:rsidRPr="00044745">
        <w:rPr>
          <w:noProof/>
          <w:lang w:val="es-CO" w:eastAsia="en-GB"/>
        </w:rPr>
        <w:t xml:space="preserve">ivas </w:t>
      </w:r>
      <w:r w:rsidR="00A16E29" w:rsidRPr="00044745">
        <w:rPr>
          <w:noProof/>
          <w:lang w:val="es-CO" w:eastAsia="en-GB"/>
        </w:rPr>
        <w:t>adoptadas para aplicar el derecho internacional humanitario en lugar del derecho intern</w:t>
      </w:r>
      <w:r w:rsidR="00EE1599">
        <w:rPr>
          <w:noProof/>
          <w:lang w:val="es-CO" w:eastAsia="en-GB"/>
        </w:rPr>
        <w:t>acional de los derechos humanos</w:t>
      </w:r>
      <w:r w:rsidR="00A16E29" w:rsidRPr="00044745">
        <w:rPr>
          <w:noProof/>
          <w:lang w:val="es-CO" w:eastAsia="en-GB"/>
        </w:rPr>
        <w:t xml:space="preserve"> a los grupos </w:t>
      </w:r>
      <w:r w:rsidR="00001BA6">
        <w:rPr>
          <w:noProof/>
          <w:lang w:val="es-CO" w:eastAsia="en-GB"/>
        </w:rPr>
        <w:t xml:space="preserve">criminales </w:t>
      </w:r>
      <w:r w:rsidR="00A16E29" w:rsidRPr="00044745">
        <w:rPr>
          <w:noProof/>
          <w:lang w:val="es-CO" w:eastAsia="en-GB"/>
        </w:rPr>
        <w:t xml:space="preserve"> organizados.</w:t>
      </w:r>
    </w:p>
    <w:p w14:paraId="11A32F59" w14:textId="77942BA8" w:rsidR="001544A7" w:rsidRPr="00044745" w:rsidRDefault="00260C85" w:rsidP="003F4966">
      <w:pPr>
        <w:pStyle w:val="SingleTxtG"/>
        <w:rPr>
          <w:noProof/>
          <w:lang w:val="es-CO" w:eastAsia="en-GB"/>
        </w:rPr>
      </w:pPr>
      <w:r w:rsidRPr="00044745">
        <w:rPr>
          <w:noProof/>
          <w:lang w:val="es-CO" w:eastAsia="en-GB"/>
        </w:rPr>
        <w:t>7</w:t>
      </w:r>
      <w:r w:rsidR="00C94319" w:rsidRPr="00044745">
        <w:rPr>
          <w:noProof/>
          <w:lang w:val="es-CO" w:eastAsia="en-GB"/>
        </w:rPr>
        <w:t>9</w:t>
      </w:r>
      <w:r w:rsidR="001544A7" w:rsidRPr="00044745">
        <w:rPr>
          <w:noProof/>
          <w:lang w:val="es-CO" w:eastAsia="en-GB"/>
        </w:rPr>
        <w:t>.</w:t>
      </w:r>
      <w:r w:rsidR="001544A7" w:rsidRPr="00044745">
        <w:rPr>
          <w:noProof/>
          <w:lang w:val="es-CO" w:eastAsia="en-GB"/>
        </w:rPr>
        <w:tab/>
      </w:r>
      <w:r w:rsidR="00FC1856">
        <w:rPr>
          <w:noProof/>
          <w:lang w:val="es-CO" w:eastAsia="en-GB"/>
        </w:rPr>
        <w:t>La</w:t>
      </w:r>
      <w:r w:rsidR="00AA226C" w:rsidRPr="00044745">
        <w:rPr>
          <w:noProof/>
          <w:lang w:val="es-CO" w:eastAsia="en-GB"/>
        </w:rPr>
        <w:t xml:space="preserve"> </w:t>
      </w:r>
      <w:r w:rsidR="000B31A6">
        <w:rPr>
          <w:noProof/>
          <w:lang w:val="es-CO" w:eastAsia="en-GB"/>
        </w:rPr>
        <w:t>O</w:t>
      </w:r>
      <w:r w:rsidR="00AA226C" w:rsidRPr="00044745">
        <w:rPr>
          <w:noProof/>
          <w:lang w:val="es-CO" w:eastAsia="en-GB"/>
        </w:rPr>
        <w:t>ACNUDH documentó 11 casos de supuestas ejecuciones extrajudiciales en 2017, en Arauca, Bolívar, Cesar, Córdoba, Cundinamarca, Norte de Santander y Tolima</w:t>
      </w:r>
      <w:r w:rsidR="00FE1A54" w:rsidRPr="00044745">
        <w:rPr>
          <w:noProof/>
          <w:lang w:val="es-CO" w:eastAsia="en-GB"/>
        </w:rPr>
        <w:t xml:space="preserve">. Ocho fueron </w:t>
      </w:r>
      <w:r w:rsidR="00FC1856">
        <w:rPr>
          <w:noProof/>
          <w:lang w:val="es-CO" w:eastAsia="en-GB"/>
        </w:rPr>
        <w:t>presuntamente</w:t>
      </w:r>
      <w:r w:rsidR="00FE1A54" w:rsidRPr="00044745">
        <w:rPr>
          <w:noProof/>
          <w:lang w:val="es-CO" w:eastAsia="en-GB"/>
        </w:rPr>
        <w:t xml:space="preserve"> cometidos por miembros del Ejér</w:t>
      </w:r>
      <w:r w:rsidR="00A252DC">
        <w:rPr>
          <w:noProof/>
          <w:lang w:val="es-CO" w:eastAsia="en-GB"/>
        </w:rPr>
        <w:t>c</w:t>
      </w:r>
      <w:r w:rsidR="00FE1A54" w:rsidRPr="00044745">
        <w:rPr>
          <w:noProof/>
          <w:lang w:val="es-CO" w:eastAsia="en-GB"/>
        </w:rPr>
        <w:t>i</w:t>
      </w:r>
      <w:r w:rsidR="00A252DC">
        <w:rPr>
          <w:noProof/>
          <w:lang w:val="es-CO" w:eastAsia="en-GB"/>
        </w:rPr>
        <w:t>t</w:t>
      </w:r>
      <w:r w:rsidR="00FE1A54" w:rsidRPr="00044745">
        <w:rPr>
          <w:noProof/>
          <w:lang w:val="es-CO" w:eastAsia="en-GB"/>
        </w:rPr>
        <w:t xml:space="preserve">o y tres por la Polícía. </w:t>
      </w:r>
      <w:r w:rsidR="000B31A6">
        <w:rPr>
          <w:noProof/>
          <w:lang w:val="es-CO" w:eastAsia="en-GB"/>
        </w:rPr>
        <w:t>La</w:t>
      </w:r>
      <w:r w:rsidR="00FE1A54" w:rsidRPr="00044745">
        <w:rPr>
          <w:noProof/>
          <w:lang w:val="es-CO" w:eastAsia="en-GB"/>
        </w:rPr>
        <w:t xml:space="preserve"> </w:t>
      </w:r>
      <w:r w:rsidR="000B31A6">
        <w:rPr>
          <w:noProof/>
          <w:lang w:val="es-CO" w:eastAsia="en-GB"/>
        </w:rPr>
        <w:t>O</w:t>
      </w:r>
      <w:r w:rsidR="00FE1A54" w:rsidRPr="00044745">
        <w:rPr>
          <w:noProof/>
          <w:lang w:val="es-CO" w:eastAsia="en-GB"/>
        </w:rPr>
        <w:t>ACNUDH señala con gran preocupación que</w:t>
      </w:r>
      <w:r w:rsidR="000B31A6">
        <w:rPr>
          <w:noProof/>
          <w:lang w:val="es-CO" w:eastAsia="en-GB"/>
        </w:rPr>
        <w:t>,</w:t>
      </w:r>
      <w:r w:rsidR="00FE1A54" w:rsidRPr="00044745">
        <w:rPr>
          <w:noProof/>
          <w:lang w:val="es-CO" w:eastAsia="en-GB"/>
        </w:rPr>
        <w:t xml:space="preserve"> por segundo año co</w:t>
      </w:r>
      <w:r w:rsidR="003B3471">
        <w:rPr>
          <w:noProof/>
          <w:lang w:val="es-CO" w:eastAsia="en-GB"/>
        </w:rPr>
        <w:t>nsecutivo</w:t>
      </w:r>
      <w:r w:rsidR="000B31A6">
        <w:rPr>
          <w:noProof/>
          <w:lang w:val="es-CO" w:eastAsia="en-GB"/>
        </w:rPr>
        <w:t xml:space="preserve">, se registraron </w:t>
      </w:r>
      <w:r w:rsidR="000B31A6">
        <w:rPr>
          <w:noProof/>
          <w:lang w:val="es-CO" w:eastAsia="en-GB"/>
        </w:rPr>
        <w:lastRenderedPageBreak/>
        <w:t xml:space="preserve">presuntas </w:t>
      </w:r>
      <w:r w:rsidR="003B3471">
        <w:rPr>
          <w:noProof/>
          <w:lang w:val="es-CO" w:eastAsia="en-GB"/>
        </w:rPr>
        <w:t xml:space="preserve"> ejecuciones extra</w:t>
      </w:r>
      <w:r w:rsidR="00FE1A54" w:rsidRPr="00044745">
        <w:rPr>
          <w:noProof/>
          <w:lang w:val="es-CO" w:eastAsia="en-GB"/>
        </w:rPr>
        <w:t>jud</w:t>
      </w:r>
      <w:r w:rsidR="003B3471">
        <w:rPr>
          <w:noProof/>
          <w:lang w:val="es-CO" w:eastAsia="en-GB"/>
        </w:rPr>
        <w:t>iciales</w:t>
      </w:r>
      <w:r w:rsidR="000B31A6">
        <w:rPr>
          <w:noProof/>
          <w:lang w:val="es-CO" w:eastAsia="en-GB"/>
        </w:rPr>
        <w:t xml:space="preserve"> </w:t>
      </w:r>
      <w:r w:rsidR="003B3471">
        <w:rPr>
          <w:noProof/>
          <w:lang w:val="es-CO" w:eastAsia="en-GB"/>
        </w:rPr>
        <w:t xml:space="preserve"> cometida</w:t>
      </w:r>
      <w:r w:rsidR="00FE1A54" w:rsidRPr="00044745">
        <w:rPr>
          <w:noProof/>
          <w:lang w:val="es-CO" w:eastAsia="en-GB"/>
        </w:rPr>
        <w:t xml:space="preserve">s por </w:t>
      </w:r>
      <w:r w:rsidR="000B31A6">
        <w:rPr>
          <w:noProof/>
          <w:lang w:val="es-CO" w:eastAsia="en-GB"/>
        </w:rPr>
        <w:t xml:space="preserve">el ejército </w:t>
      </w:r>
      <w:r w:rsidR="003F4966" w:rsidRPr="00044745">
        <w:rPr>
          <w:noProof/>
          <w:lang w:val="es-CO" w:eastAsia="en-GB"/>
        </w:rPr>
        <w:t>en Bolívar, Cesar y Norte de Santander.</w:t>
      </w:r>
    </w:p>
    <w:p w14:paraId="3C5C2D4B" w14:textId="14ABFE78" w:rsidR="001544A7" w:rsidRPr="00044745" w:rsidRDefault="00C94319" w:rsidP="00BA4DBA">
      <w:pPr>
        <w:pStyle w:val="SingleTxtG"/>
        <w:rPr>
          <w:noProof/>
          <w:lang w:val="es-CO" w:eastAsia="en-GB"/>
        </w:rPr>
      </w:pPr>
      <w:r w:rsidRPr="00044745">
        <w:rPr>
          <w:noProof/>
          <w:lang w:val="es-CO" w:eastAsia="en-GB"/>
        </w:rPr>
        <w:t>80</w:t>
      </w:r>
      <w:r w:rsidR="001544A7" w:rsidRPr="00044745">
        <w:rPr>
          <w:noProof/>
          <w:lang w:val="es-CO" w:eastAsia="en-GB"/>
        </w:rPr>
        <w:t>.</w:t>
      </w:r>
      <w:r w:rsidR="001544A7" w:rsidRPr="00044745">
        <w:rPr>
          <w:noProof/>
          <w:lang w:val="es-CO" w:eastAsia="en-GB"/>
        </w:rPr>
        <w:tab/>
      </w:r>
      <w:r w:rsidR="003F4966" w:rsidRPr="00044745">
        <w:rPr>
          <w:noProof/>
          <w:lang w:val="es-CO" w:eastAsia="en-GB"/>
        </w:rPr>
        <w:t xml:space="preserve">Cinco </w:t>
      </w:r>
      <w:r w:rsidR="000B31A6">
        <w:rPr>
          <w:noProof/>
          <w:lang w:val="es-CO" w:eastAsia="en-GB"/>
        </w:rPr>
        <w:t xml:space="preserve">presuntas </w:t>
      </w:r>
      <w:r w:rsidR="00FC1856">
        <w:rPr>
          <w:noProof/>
          <w:lang w:val="es-CO" w:eastAsia="en-GB"/>
        </w:rPr>
        <w:t>ejecuciones extrajudiciales</w:t>
      </w:r>
      <w:r w:rsidR="003F4966" w:rsidRPr="00044745">
        <w:rPr>
          <w:noProof/>
          <w:lang w:val="es-CO" w:eastAsia="en-GB"/>
        </w:rPr>
        <w:t xml:space="preserve"> fueron </w:t>
      </w:r>
      <w:r w:rsidR="003B3471">
        <w:rPr>
          <w:noProof/>
          <w:lang w:val="es-CO" w:eastAsia="en-GB"/>
        </w:rPr>
        <w:t>perpetrada</w:t>
      </w:r>
      <w:r w:rsidR="003F4966" w:rsidRPr="00044745">
        <w:rPr>
          <w:noProof/>
          <w:lang w:val="es-CO" w:eastAsia="en-GB"/>
        </w:rPr>
        <w:t xml:space="preserve">s en el marco de operaciones de seguridad </w:t>
      </w:r>
      <w:r w:rsidR="00FC1856">
        <w:rPr>
          <w:noProof/>
          <w:lang w:val="es-CO" w:eastAsia="en-GB"/>
        </w:rPr>
        <w:t>ciudadana</w:t>
      </w:r>
      <w:r w:rsidR="003F4966" w:rsidRPr="00044745">
        <w:rPr>
          <w:noProof/>
          <w:lang w:val="es-CO" w:eastAsia="en-GB"/>
        </w:rPr>
        <w:t xml:space="preserve"> realizadas por las fuerzas militares, lo que demuestra </w:t>
      </w:r>
      <w:r w:rsidR="003B3471">
        <w:rPr>
          <w:noProof/>
          <w:lang w:val="es-CO" w:eastAsia="en-GB"/>
        </w:rPr>
        <w:t>los riesgos de involucrar</w:t>
      </w:r>
      <w:r w:rsidR="003F4966" w:rsidRPr="00044745">
        <w:rPr>
          <w:noProof/>
          <w:lang w:val="es-CO" w:eastAsia="en-GB"/>
        </w:rPr>
        <w:t xml:space="preserve"> a los militares en tareas policiales. </w:t>
      </w:r>
      <w:r w:rsidR="00FC1856">
        <w:rPr>
          <w:noProof/>
          <w:lang w:val="es-CO" w:eastAsia="en-GB"/>
        </w:rPr>
        <w:t>Otros tres</w:t>
      </w:r>
      <w:r w:rsidR="003F4966" w:rsidRPr="00044745">
        <w:rPr>
          <w:noProof/>
          <w:lang w:val="es-CO" w:eastAsia="en-GB"/>
        </w:rPr>
        <w:t xml:space="preserve"> casos </w:t>
      </w:r>
      <w:r w:rsidR="000B31A6">
        <w:rPr>
          <w:noProof/>
          <w:lang w:val="es-CO" w:eastAsia="en-GB"/>
        </w:rPr>
        <w:t xml:space="preserve">presuntamente </w:t>
      </w:r>
      <w:r w:rsidR="003F4966" w:rsidRPr="00044745">
        <w:rPr>
          <w:noProof/>
          <w:lang w:val="es-CO" w:eastAsia="en-GB"/>
        </w:rPr>
        <w:t xml:space="preserve"> ocurrieron durante operaciones militares en contra del ELN. </w:t>
      </w:r>
      <w:r w:rsidR="00BA4DBA" w:rsidRPr="00044745">
        <w:rPr>
          <w:noProof/>
          <w:lang w:val="es-CO" w:eastAsia="en-GB"/>
        </w:rPr>
        <w:t>Tre</w:t>
      </w:r>
      <w:r w:rsidR="003B3471">
        <w:rPr>
          <w:noProof/>
          <w:lang w:val="es-CO" w:eastAsia="en-GB"/>
        </w:rPr>
        <w:t xml:space="preserve">s </w:t>
      </w:r>
      <w:r w:rsidR="00FC1856">
        <w:rPr>
          <w:noProof/>
          <w:lang w:val="es-CO" w:eastAsia="en-GB"/>
        </w:rPr>
        <w:t>más</w:t>
      </w:r>
      <w:r w:rsidR="00BA4DBA" w:rsidRPr="00044745">
        <w:rPr>
          <w:noProof/>
          <w:lang w:val="es-CO" w:eastAsia="en-GB"/>
        </w:rPr>
        <w:t xml:space="preserve"> </w:t>
      </w:r>
      <w:r w:rsidR="003B3471">
        <w:rPr>
          <w:noProof/>
          <w:lang w:val="es-CO" w:eastAsia="en-GB"/>
        </w:rPr>
        <w:t>están relacionad</w:t>
      </w:r>
      <w:r w:rsidR="006B2D34">
        <w:rPr>
          <w:noProof/>
          <w:lang w:val="es-CO" w:eastAsia="en-GB"/>
        </w:rPr>
        <w:t>a</w:t>
      </w:r>
      <w:r w:rsidR="00BA4DBA" w:rsidRPr="00044745">
        <w:rPr>
          <w:noProof/>
          <w:lang w:val="es-CO" w:eastAsia="en-GB"/>
        </w:rPr>
        <w:t xml:space="preserve">s </w:t>
      </w:r>
      <w:r w:rsidR="003B3471">
        <w:rPr>
          <w:noProof/>
          <w:lang w:val="es-CO" w:eastAsia="en-GB"/>
        </w:rPr>
        <w:t>con e</w:t>
      </w:r>
      <w:r w:rsidR="00BA4DBA" w:rsidRPr="00044745">
        <w:rPr>
          <w:noProof/>
          <w:lang w:val="es-CO" w:eastAsia="en-GB"/>
        </w:rPr>
        <w:t xml:space="preserve">l </w:t>
      </w:r>
      <w:r w:rsidR="00FC1856">
        <w:rPr>
          <w:noProof/>
          <w:lang w:val="es-CO" w:eastAsia="en-GB"/>
        </w:rPr>
        <w:t xml:space="preserve">presunto </w:t>
      </w:r>
      <w:r w:rsidR="00BA4DBA" w:rsidRPr="00044745">
        <w:rPr>
          <w:noProof/>
          <w:lang w:val="es-CO" w:eastAsia="en-GB"/>
        </w:rPr>
        <w:t>uso excesivo de</w:t>
      </w:r>
      <w:r w:rsidR="000B31A6">
        <w:rPr>
          <w:noProof/>
          <w:lang w:val="es-CO" w:eastAsia="en-GB"/>
        </w:rPr>
        <w:t xml:space="preserve"> la</w:t>
      </w:r>
      <w:r w:rsidR="00BA4DBA" w:rsidRPr="00044745">
        <w:rPr>
          <w:noProof/>
          <w:lang w:val="es-CO" w:eastAsia="en-GB"/>
        </w:rPr>
        <w:t xml:space="preserve"> fuerza durante procedimientos policiales de rutina.</w:t>
      </w:r>
    </w:p>
    <w:p w14:paraId="3742666C" w14:textId="4414D6C2" w:rsidR="001544A7" w:rsidRPr="00044745" w:rsidRDefault="003A5920" w:rsidP="00444E43">
      <w:pPr>
        <w:pStyle w:val="SingleTxtG"/>
        <w:rPr>
          <w:noProof/>
          <w:lang w:val="es-CO" w:eastAsia="en-GB"/>
        </w:rPr>
      </w:pPr>
      <w:r w:rsidRPr="00044745">
        <w:rPr>
          <w:noProof/>
          <w:lang w:val="es-CO" w:eastAsia="en-GB"/>
        </w:rPr>
        <w:t>8</w:t>
      </w:r>
      <w:r w:rsidR="00C94319" w:rsidRPr="00044745">
        <w:rPr>
          <w:noProof/>
          <w:lang w:val="es-CO" w:eastAsia="en-GB"/>
        </w:rPr>
        <w:t>1</w:t>
      </w:r>
      <w:r w:rsidR="001544A7" w:rsidRPr="00044745">
        <w:rPr>
          <w:noProof/>
          <w:lang w:val="es-CO" w:eastAsia="en-GB"/>
        </w:rPr>
        <w:t>.</w:t>
      </w:r>
      <w:r w:rsidR="001544A7" w:rsidRPr="00044745">
        <w:rPr>
          <w:noProof/>
          <w:lang w:val="es-CO" w:eastAsia="en-GB"/>
        </w:rPr>
        <w:tab/>
      </w:r>
      <w:r w:rsidR="00BA4DBA" w:rsidRPr="00044745">
        <w:rPr>
          <w:noProof/>
          <w:lang w:val="es-CO" w:eastAsia="en-GB"/>
        </w:rPr>
        <w:t>Entre los factores que contribuyen a la</w:t>
      </w:r>
      <w:r w:rsidR="00FC1856">
        <w:rPr>
          <w:noProof/>
          <w:lang w:val="es-CO" w:eastAsia="en-GB"/>
        </w:rPr>
        <w:t xml:space="preserve"> ocurrencia de presuntas</w:t>
      </w:r>
      <w:r w:rsidR="00BA4DBA" w:rsidRPr="00044745">
        <w:rPr>
          <w:noProof/>
          <w:lang w:val="es-CO" w:eastAsia="en-GB"/>
        </w:rPr>
        <w:t xml:space="preserve"> ejecuciones extrajudiciales </w:t>
      </w:r>
      <w:r w:rsidR="00444E43" w:rsidRPr="00044745">
        <w:rPr>
          <w:noProof/>
          <w:lang w:val="es-CO" w:eastAsia="en-GB"/>
        </w:rPr>
        <w:t>se encuentra</w:t>
      </w:r>
      <w:r w:rsidR="00BA4DBA" w:rsidRPr="00044745">
        <w:rPr>
          <w:noProof/>
          <w:lang w:val="es-CO" w:eastAsia="en-GB"/>
        </w:rPr>
        <w:t xml:space="preserve"> la posible falta de mando y control por parte de los comandantes de la Policía y de las fuerzas armadas, </w:t>
      </w:r>
      <w:r w:rsidR="000B31A6">
        <w:rPr>
          <w:noProof/>
          <w:lang w:val="es-CO" w:eastAsia="en-GB"/>
        </w:rPr>
        <w:t xml:space="preserve">así como </w:t>
      </w:r>
      <w:r w:rsidR="00BA4DBA" w:rsidRPr="00044745">
        <w:rPr>
          <w:noProof/>
          <w:lang w:val="es-CO" w:eastAsia="en-GB"/>
        </w:rPr>
        <w:t>la falta de planificación de las operaciones y la ausencia de disciplina t</w:t>
      </w:r>
      <w:r w:rsidR="00444E43" w:rsidRPr="00044745">
        <w:rPr>
          <w:noProof/>
          <w:lang w:val="es-CO" w:eastAsia="en-GB"/>
        </w:rPr>
        <w:t xml:space="preserve">áctica, </w:t>
      </w:r>
      <w:r w:rsidR="000B31A6">
        <w:rPr>
          <w:noProof/>
          <w:lang w:val="es-CO" w:eastAsia="en-GB"/>
        </w:rPr>
        <w:t>contribuyedo todo lo</w:t>
      </w:r>
      <w:r w:rsidR="007D1DFD">
        <w:rPr>
          <w:noProof/>
          <w:lang w:val="es-CO" w:eastAsia="en-GB"/>
        </w:rPr>
        <w:t xml:space="preserve"> anterior</w:t>
      </w:r>
      <w:r w:rsidR="000B31A6">
        <w:rPr>
          <w:noProof/>
          <w:lang w:val="es-CO" w:eastAsia="en-GB"/>
        </w:rPr>
        <w:t xml:space="preserve"> </w:t>
      </w:r>
      <w:r w:rsidR="00444E43" w:rsidRPr="00044745">
        <w:rPr>
          <w:noProof/>
          <w:lang w:val="es-CO" w:eastAsia="en-GB"/>
        </w:rPr>
        <w:t>a la persistencia de estas violaciones de derechos humanos</w:t>
      </w:r>
      <w:r w:rsidR="003B3471">
        <w:rPr>
          <w:noProof/>
          <w:lang w:val="es-CO" w:eastAsia="en-GB"/>
        </w:rPr>
        <w:t>.</w:t>
      </w:r>
    </w:p>
    <w:p w14:paraId="095FFE5A" w14:textId="7A3A39E8" w:rsidR="008502EB" w:rsidRPr="00044745" w:rsidRDefault="001544A7" w:rsidP="001544A7">
      <w:pPr>
        <w:pStyle w:val="SingleTxtG"/>
        <w:rPr>
          <w:noProof/>
          <w:lang w:val="es-CO" w:eastAsia="en-GB"/>
        </w:rPr>
      </w:pPr>
      <w:r w:rsidRPr="00044745">
        <w:rPr>
          <w:noProof/>
          <w:lang w:val="es-CO" w:eastAsia="en-GB"/>
        </w:rPr>
        <w:t>8</w:t>
      </w:r>
      <w:r w:rsidR="00C94319" w:rsidRPr="00044745">
        <w:rPr>
          <w:noProof/>
          <w:lang w:val="es-CO" w:eastAsia="en-GB"/>
        </w:rPr>
        <w:t>2</w:t>
      </w:r>
      <w:r w:rsidRPr="00044745">
        <w:rPr>
          <w:noProof/>
          <w:lang w:val="es-CO" w:eastAsia="en-GB"/>
        </w:rPr>
        <w:t>.</w:t>
      </w:r>
      <w:r w:rsidRPr="00044745">
        <w:rPr>
          <w:noProof/>
          <w:lang w:val="es-CO" w:eastAsia="en-GB"/>
        </w:rPr>
        <w:tab/>
      </w:r>
      <w:r w:rsidR="009F32F1" w:rsidRPr="00044745">
        <w:rPr>
          <w:noProof/>
          <w:lang w:val="es-CO" w:eastAsia="en-GB"/>
        </w:rPr>
        <w:t xml:space="preserve">El Estado deberá fortalecer la capacidad operativa de las instituciones civiles en zonas rurales con el fin de evitar que las fuerzas armadas </w:t>
      </w:r>
      <w:r w:rsidR="00667A69" w:rsidRPr="00044745">
        <w:rPr>
          <w:noProof/>
          <w:lang w:val="es-CO" w:eastAsia="en-GB"/>
        </w:rPr>
        <w:t xml:space="preserve">desempeñen </w:t>
      </w:r>
      <w:r w:rsidR="00AA1CC8" w:rsidRPr="00044745">
        <w:rPr>
          <w:noProof/>
          <w:lang w:val="es-CO" w:eastAsia="en-GB"/>
        </w:rPr>
        <w:t xml:space="preserve">fuciones </w:t>
      </w:r>
      <w:r w:rsidR="00B66336" w:rsidRPr="00044745">
        <w:rPr>
          <w:noProof/>
          <w:lang w:val="es-CO" w:eastAsia="en-GB"/>
        </w:rPr>
        <w:t>por fuera de</w:t>
      </w:r>
      <w:r w:rsidR="00AA1CC8" w:rsidRPr="00044745">
        <w:rPr>
          <w:noProof/>
          <w:lang w:val="es-CO" w:eastAsia="en-GB"/>
        </w:rPr>
        <w:t xml:space="preserve"> su</w:t>
      </w:r>
      <w:r w:rsidR="00B66336" w:rsidRPr="00044745">
        <w:rPr>
          <w:noProof/>
          <w:lang w:val="es-CO" w:eastAsia="en-GB"/>
        </w:rPr>
        <w:t xml:space="preserve"> </w:t>
      </w:r>
      <w:r w:rsidR="00AA1CC8" w:rsidRPr="00044745">
        <w:rPr>
          <w:noProof/>
          <w:lang w:val="es-CO" w:eastAsia="en-GB"/>
        </w:rPr>
        <w:t>ámbito de responsabilidad</w:t>
      </w:r>
      <w:r w:rsidR="00B66336" w:rsidRPr="00044745">
        <w:rPr>
          <w:noProof/>
          <w:lang w:val="es-CO" w:eastAsia="en-GB"/>
        </w:rPr>
        <w:t xml:space="preserve">. </w:t>
      </w:r>
      <w:r w:rsidR="00EA3902" w:rsidRPr="00044745">
        <w:rPr>
          <w:noProof/>
          <w:lang w:val="es-CO" w:eastAsia="en-GB"/>
        </w:rPr>
        <w:t xml:space="preserve">Algunos políticos han solicitado </w:t>
      </w:r>
      <w:r w:rsidR="00AA1CC8" w:rsidRPr="00044745">
        <w:rPr>
          <w:noProof/>
          <w:lang w:val="es-CO" w:eastAsia="en-GB"/>
        </w:rPr>
        <w:t xml:space="preserve">que se involucren </w:t>
      </w:r>
      <w:r w:rsidR="00384AC1">
        <w:rPr>
          <w:noProof/>
          <w:lang w:val="es-CO" w:eastAsia="en-GB"/>
        </w:rPr>
        <w:t xml:space="preserve">a </w:t>
      </w:r>
      <w:r w:rsidR="00EA3902" w:rsidRPr="00044745">
        <w:rPr>
          <w:noProof/>
          <w:lang w:val="es-CO" w:eastAsia="en-GB"/>
        </w:rPr>
        <w:t>los militares</w:t>
      </w:r>
      <w:r w:rsidR="001F5691">
        <w:rPr>
          <w:noProof/>
          <w:lang w:val="es-CO" w:eastAsia="en-GB"/>
        </w:rPr>
        <w:t xml:space="preserve"> en tareas ajenas a su mandato</w:t>
      </w:r>
      <w:r w:rsidR="003B3471">
        <w:rPr>
          <w:noProof/>
          <w:lang w:val="es-CO" w:eastAsia="en-GB"/>
        </w:rPr>
        <w:t>,</w:t>
      </w:r>
      <w:r w:rsidR="00EA3902" w:rsidRPr="00044745">
        <w:rPr>
          <w:noProof/>
          <w:lang w:val="es-CO" w:eastAsia="en-GB"/>
        </w:rPr>
        <w:t xml:space="preserve"> </w:t>
      </w:r>
      <w:r w:rsidR="00AA1CC8" w:rsidRPr="00044745">
        <w:rPr>
          <w:noProof/>
          <w:lang w:val="es-CO" w:eastAsia="en-GB"/>
        </w:rPr>
        <w:t xml:space="preserve">ya </w:t>
      </w:r>
      <w:r w:rsidR="00EA3902" w:rsidRPr="00044745">
        <w:rPr>
          <w:noProof/>
          <w:lang w:val="es-CO" w:eastAsia="en-GB"/>
        </w:rPr>
        <w:t xml:space="preserve">que son una de las pocas instituciones estatales que </w:t>
      </w:r>
      <w:r w:rsidR="00FC1856">
        <w:rPr>
          <w:noProof/>
          <w:lang w:val="es-CO" w:eastAsia="en-GB"/>
        </w:rPr>
        <w:t>tienen capacidad</w:t>
      </w:r>
      <w:r w:rsidR="00EA3902" w:rsidRPr="00044745">
        <w:rPr>
          <w:noProof/>
          <w:lang w:val="es-CO" w:eastAsia="en-GB"/>
        </w:rPr>
        <w:t xml:space="preserve"> opera</w:t>
      </w:r>
      <w:r w:rsidR="003B3471">
        <w:rPr>
          <w:noProof/>
          <w:lang w:val="es-CO" w:eastAsia="en-GB"/>
        </w:rPr>
        <w:t>tiva</w:t>
      </w:r>
      <w:r w:rsidR="00EA3902" w:rsidRPr="00044745">
        <w:rPr>
          <w:noProof/>
          <w:lang w:val="es-CO" w:eastAsia="en-GB"/>
        </w:rPr>
        <w:t xml:space="preserve"> en </w:t>
      </w:r>
      <w:r w:rsidR="003B3471">
        <w:rPr>
          <w:noProof/>
          <w:lang w:val="es-CO" w:eastAsia="en-GB"/>
        </w:rPr>
        <w:t xml:space="preserve">las </w:t>
      </w:r>
      <w:r w:rsidR="00AA1CC8" w:rsidRPr="00044745">
        <w:rPr>
          <w:noProof/>
          <w:lang w:val="es-CO" w:eastAsia="en-GB"/>
        </w:rPr>
        <w:t xml:space="preserve">antiguas </w:t>
      </w:r>
      <w:r w:rsidR="00EA3902" w:rsidRPr="00044745">
        <w:rPr>
          <w:noProof/>
          <w:lang w:val="es-CO" w:eastAsia="en-GB"/>
        </w:rPr>
        <w:t xml:space="preserve">zonas de conflicto. </w:t>
      </w:r>
      <w:r w:rsidR="00AA1CC8" w:rsidRPr="00044745">
        <w:rPr>
          <w:noProof/>
          <w:lang w:val="es-CO" w:eastAsia="en-GB"/>
        </w:rPr>
        <w:t xml:space="preserve">Sin embargo, esto implica </w:t>
      </w:r>
      <w:r w:rsidR="001F5691">
        <w:rPr>
          <w:noProof/>
          <w:lang w:val="es-CO" w:eastAsia="en-GB"/>
        </w:rPr>
        <w:t xml:space="preserve">su </w:t>
      </w:r>
      <w:r w:rsidR="00AA1CC8" w:rsidRPr="00044745">
        <w:rPr>
          <w:noProof/>
          <w:lang w:val="es-CO" w:eastAsia="en-GB"/>
        </w:rPr>
        <w:t xml:space="preserve"> participa</w:t>
      </w:r>
      <w:r w:rsidR="001F5691">
        <w:rPr>
          <w:noProof/>
          <w:lang w:val="es-CO" w:eastAsia="en-GB"/>
        </w:rPr>
        <w:t>ción</w:t>
      </w:r>
      <w:r w:rsidR="00AA1CC8" w:rsidRPr="00044745">
        <w:rPr>
          <w:noProof/>
          <w:lang w:val="es-CO" w:eastAsia="en-GB"/>
        </w:rPr>
        <w:t xml:space="preserve"> en situaciones en las que </w:t>
      </w:r>
      <w:r w:rsidR="00FC1856">
        <w:rPr>
          <w:noProof/>
          <w:lang w:val="es-CO" w:eastAsia="en-GB"/>
        </w:rPr>
        <w:t>la</w:t>
      </w:r>
      <w:r w:rsidR="00AA1CC8" w:rsidRPr="00044745">
        <w:rPr>
          <w:noProof/>
          <w:lang w:val="es-CO" w:eastAsia="en-GB"/>
        </w:rPr>
        <w:t xml:space="preserve"> formación y di</w:t>
      </w:r>
      <w:r w:rsidR="003B3471">
        <w:rPr>
          <w:noProof/>
          <w:lang w:val="es-CO" w:eastAsia="en-GB"/>
        </w:rPr>
        <w:t>sciplina militar no son adecuada</w:t>
      </w:r>
      <w:r w:rsidR="00AA1CC8" w:rsidRPr="00044745">
        <w:rPr>
          <w:noProof/>
          <w:lang w:val="es-CO" w:eastAsia="en-GB"/>
        </w:rPr>
        <w:t>s</w:t>
      </w:r>
      <w:r w:rsidR="00FC1856">
        <w:rPr>
          <w:noProof/>
          <w:lang w:val="es-CO" w:eastAsia="en-GB"/>
        </w:rPr>
        <w:t xml:space="preserve">y </w:t>
      </w:r>
      <w:r w:rsidR="00AA1CC8" w:rsidRPr="00044745">
        <w:rPr>
          <w:noProof/>
          <w:lang w:val="es-CO" w:eastAsia="en-GB"/>
        </w:rPr>
        <w:t xml:space="preserve"> </w:t>
      </w:r>
      <w:r w:rsidR="007D1DFD">
        <w:rPr>
          <w:noProof/>
          <w:lang w:val="es-CO" w:eastAsia="en-GB"/>
        </w:rPr>
        <w:t xml:space="preserve"> produciendo </w:t>
      </w:r>
      <w:r w:rsidR="00AA1CC8" w:rsidRPr="00044745">
        <w:rPr>
          <w:noProof/>
          <w:lang w:val="es-CO" w:eastAsia="en-GB"/>
        </w:rPr>
        <w:t>distor</w:t>
      </w:r>
      <w:r w:rsidR="001F5691">
        <w:rPr>
          <w:noProof/>
          <w:lang w:val="es-CO" w:eastAsia="en-GB"/>
        </w:rPr>
        <w:t>s</w:t>
      </w:r>
      <w:r w:rsidR="00AA1CC8" w:rsidRPr="00044745">
        <w:rPr>
          <w:noProof/>
          <w:lang w:val="es-CO" w:eastAsia="en-GB"/>
        </w:rPr>
        <w:t xml:space="preserve">iones en </w:t>
      </w:r>
      <w:r w:rsidR="001F5691">
        <w:rPr>
          <w:noProof/>
          <w:lang w:val="es-CO" w:eastAsia="en-GB"/>
        </w:rPr>
        <w:t>su</w:t>
      </w:r>
      <w:r w:rsidR="00FC1856">
        <w:rPr>
          <w:noProof/>
          <w:lang w:val="es-CO" w:eastAsia="en-GB"/>
        </w:rPr>
        <w:t>s</w:t>
      </w:r>
      <w:r w:rsidR="001F5691">
        <w:rPr>
          <w:noProof/>
          <w:lang w:val="es-CO" w:eastAsia="en-GB"/>
        </w:rPr>
        <w:t xml:space="preserve"> </w:t>
      </w:r>
      <w:r w:rsidR="00FC1856">
        <w:rPr>
          <w:noProof/>
          <w:lang w:val="es-CO" w:eastAsia="en-GB"/>
        </w:rPr>
        <w:t>relaciones</w:t>
      </w:r>
      <w:r w:rsidR="00FC1856" w:rsidRPr="00044745">
        <w:rPr>
          <w:noProof/>
          <w:lang w:val="es-CO" w:eastAsia="en-GB"/>
        </w:rPr>
        <w:t xml:space="preserve"> </w:t>
      </w:r>
      <w:r w:rsidR="00AA1CC8" w:rsidRPr="00044745">
        <w:rPr>
          <w:noProof/>
          <w:lang w:val="es-CO" w:eastAsia="en-GB"/>
        </w:rPr>
        <w:t>con otras autoridades estatales, especialmente las autoridades locales y la Policía, genera</w:t>
      </w:r>
      <w:r w:rsidR="001F5691">
        <w:rPr>
          <w:noProof/>
          <w:lang w:val="es-CO" w:eastAsia="en-GB"/>
        </w:rPr>
        <w:t>ndo</w:t>
      </w:r>
      <w:r w:rsidR="00AA1CC8" w:rsidRPr="00044745">
        <w:rPr>
          <w:noProof/>
          <w:lang w:val="es-CO" w:eastAsia="en-GB"/>
        </w:rPr>
        <w:t xml:space="preserve"> dependencia y en ocasiones </w:t>
      </w:r>
      <w:r w:rsidR="001920EE">
        <w:rPr>
          <w:noProof/>
          <w:lang w:val="es-CO" w:eastAsia="en-GB"/>
        </w:rPr>
        <w:t>incluso</w:t>
      </w:r>
      <w:r w:rsidR="00AA1CC8" w:rsidRPr="00044745">
        <w:rPr>
          <w:noProof/>
          <w:lang w:val="es-CO" w:eastAsia="en-GB"/>
        </w:rPr>
        <w:t xml:space="preserve"> subordinación del poder civil al </w:t>
      </w:r>
      <w:r w:rsidR="008502EB" w:rsidRPr="00044745">
        <w:rPr>
          <w:noProof/>
          <w:lang w:val="es-CO" w:eastAsia="en-GB"/>
        </w:rPr>
        <w:t xml:space="preserve">poder </w:t>
      </w:r>
      <w:r w:rsidR="00AA1CC8" w:rsidRPr="00044745">
        <w:rPr>
          <w:noProof/>
          <w:lang w:val="es-CO" w:eastAsia="en-GB"/>
        </w:rPr>
        <w:t>militar</w:t>
      </w:r>
      <w:r w:rsidR="008502EB" w:rsidRPr="00044745">
        <w:rPr>
          <w:noProof/>
          <w:lang w:val="es-CO" w:eastAsia="en-GB"/>
        </w:rPr>
        <w:t xml:space="preserve">. Esto se observó en Amazonas, Antioquia, Arauca, Bolivar, Caquetá, Cauca, Chocó, Cundinamarca, Huila, Meta, Norte de Santander, Putumayo, Tolima y Valle del Cauca. </w:t>
      </w:r>
    </w:p>
    <w:p w14:paraId="42AD7040" w14:textId="70A3D95F" w:rsidR="008502EB" w:rsidRPr="00044745" w:rsidRDefault="00BA450F" w:rsidP="001544A7">
      <w:pPr>
        <w:pStyle w:val="SingleTxtG"/>
        <w:rPr>
          <w:noProof/>
          <w:lang w:val="es-CO" w:eastAsia="en-GB"/>
        </w:rPr>
      </w:pPr>
      <w:r w:rsidRPr="00044745">
        <w:rPr>
          <w:noProof/>
          <w:lang w:val="es-CO" w:eastAsia="en-GB"/>
        </w:rPr>
        <w:t>8</w:t>
      </w:r>
      <w:r w:rsidR="00C94319" w:rsidRPr="00044745">
        <w:rPr>
          <w:noProof/>
          <w:lang w:val="es-CO" w:eastAsia="en-GB"/>
        </w:rPr>
        <w:t>3</w:t>
      </w:r>
      <w:r w:rsidRPr="00044745">
        <w:rPr>
          <w:noProof/>
          <w:lang w:val="es-CO" w:eastAsia="en-GB"/>
        </w:rPr>
        <w:t>.</w:t>
      </w:r>
      <w:r w:rsidRPr="00044745">
        <w:rPr>
          <w:noProof/>
          <w:lang w:val="es-CO" w:eastAsia="en-GB"/>
        </w:rPr>
        <w:tab/>
      </w:r>
      <w:r w:rsidR="008502EB" w:rsidRPr="00044745">
        <w:rPr>
          <w:noProof/>
          <w:lang w:val="es-CO" w:eastAsia="en-GB"/>
        </w:rPr>
        <w:t xml:space="preserve">El Instrumento de prevención y monitoreo de las organizaciones criminales </w:t>
      </w:r>
      <w:r w:rsidR="003B3471">
        <w:rPr>
          <w:noProof/>
          <w:lang w:val="es-CO" w:eastAsia="en-GB"/>
        </w:rPr>
        <w:t>previsto en el A</w:t>
      </w:r>
      <w:r w:rsidR="008502EB" w:rsidRPr="00044745">
        <w:rPr>
          <w:noProof/>
          <w:lang w:val="es-CO" w:eastAsia="en-GB"/>
        </w:rPr>
        <w:t xml:space="preserve">cuerdo no ha sido plenamente implementado, aunque en diciembre se tomó el primer paso </w:t>
      </w:r>
      <w:r w:rsidR="0057395D" w:rsidRPr="00044745">
        <w:rPr>
          <w:noProof/>
          <w:lang w:val="es-CO" w:eastAsia="en-GB"/>
        </w:rPr>
        <w:t xml:space="preserve">de </w:t>
      </w:r>
      <w:r w:rsidR="008502EB" w:rsidRPr="00044745">
        <w:rPr>
          <w:noProof/>
          <w:lang w:val="es-CO" w:eastAsia="en-GB"/>
        </w:rPr>
        <w:t xml:space="preserve">su implementación, mediante el decreto 2124 del Ministerio del Interior, que regula el nuevo sistema de alertas y prevención para la reacción rápida a las acciones de las organizaciones </w:t>
      </w:r>
      <w:r w:rsidR="001F5691">
        <w:rPr>
          <w:noProof/>
          <w:lang w:val="es-CO" w:eastAsia="en-GB"/>
        </w:rPr>
        <w:t xml:space="preserve">criminales </w:t>
      </w:r>
      <w:r w:rsidR="008502EB" w:rsidRPr="00044745">
        <w:rPr>
          <w:noProof/>
          <w:lang w:val="es-CO" w:eastAsia="en-GB"/>
        </w:rPr>
        <w:t xml:space="preserve">. </w:t>
      </w:r>
    </w:p>
    <w:p w14:paraId="12B831E0" w14:textId="110C53A9" w:rsidR="0057395D" w:rsidRPr="00044745" w:rsidRDefault="00260C85" w:rsidP="001544A7">
      <w:pPr>
        <w:pStyle w:val="SingleTxtG"/>
        <w:rPr>
          <w:noProof/>
          <w:lang w:val="es-CO" w:eastAsia="en-GB"/>
        </w:rPr>
      </w:pPr>
      <w:r w:rsidRPr="00044745">
        <w:rPr>
          <w:noProof/>
          <w:lang w:val="es-CO" w:eastAsia="en-GB"/>
        </w:rPr>
        <w:t>8</w:t>
      </w:r>
      <w:r w:rsidR="00C94319" w:rsidRPr="00044745">
        <w:rPr>
          <w:noProof/>
          <w:lang w:val="es-CO" w:eastAsia="en-GB"/>
        </w:rPr>
        <w:t>4</w:t>
      </w:r>
      <w:r w:rsidR="001544A7" w:rsidRPr="00044745">
        <w:rPr>
          <w:noProof/>
          <w:lang w:val="es-CO" w:eastAsia="en-GB"/>
        </w:rPr>
        <w:t>.</w:t>
      </w:r>
      <w:r w:rsidR="001544A7" w:rsidRPr="00044745">
        <w:rPr>
          <w:noProof/>
          <w:lang w:val="es-CO" w:eastAsia="en-GB"/>
        </w:rPr>
        <w:tab/>
      </w:r>
      <w:r w:rsidR="0057395D" w:rsidRPr="00044745">
        <w:rPr>
          <w:noProof/>
          <w:lang w:val="es-CO" w:eastAsia="en-GB"/>
        </w:rPr>
        <w:t xml:space="preserve">Mediante su labor de monitoreo en las zonas rurales de Colombia, </w:t>
      </w:r>
      <w:r w:rsidR="001F5691">
        <w:rPr>
          <w:noProof/>
          <w:lang w:val="es-CO" w:eastAsia="en-GB"/>
        </w:rPr>
        <w:t>la</w:t>
      </w:r>
      <w:r w:rsidR="003B3471">
        <w:rPr>
          <w:noProof/>
          <w:lang w:val="es-CO" w:eastAsia="en-GB"/>
        </w:rPr>
        <w:t xml:space="preserve"> </w:t>
      </w:r>
      <w:r w:rsidR="001F5691">
        <w:rPr>
          <w:noProof/>
          <w:lang w:val="es-CO" w:eastAsia="en-GB"/>
        </w:rPr>
        <w:t>O</w:t>
      </w:r>
      <w:r w:rsidR="0057395D" w:rsidRPr="00044745">
        <w:rPr>
          <w:noProof/>
          <w:lang w:val="es-CO" w:eastAsia="en-GB"/>
        </w:rPr>
        <w:t xml:space="preserve">ACNUDH observó la necesidad </w:t>
      </w:r>
      <w:r w:rsidR="001214BA">
        <w:rPr>
          <w:noProof/>
          <w:lang w:val="es-CO" w:eastAsia="en-GB"/>
        </w:rPr>
        <w:t xml:space="preserve">de </w:t>
      </w:r>
      <w:r w:rsidR="0057395D" w:rsidRPr="00044745">
        <w:rPr>
          <w:noProof/>
          <w:lang w:val="es-CO" w:eastAsia="en-GB"/>
        </w:rPr>
        <w:t xml:space="preserve">que la Policía Nacional </w:t>
      </w:r>
      <w:r w:rsidR="001214BA">
        <w:rPr>
          <w:noProof/>
          <w:lang w:val="es-CO" w:eastAsia="en-GB"/>
        </w:rPr>
        <w:t xml:space="preserve">tenga los </w:t>
      </w:r>
      <w:r w:rsidR="0057395D" w:rsidRPr="00044745">
        <w:rPr>
          <w:noProof/>
          <w:lang w:val="es-CO" w:eastAsia="en-GB"/>
        </w:rPr>
        <w:t>recursos necesarios para asumir plenamente sus tareas y func</w:t>
      </w:r>
      <w:r w:rsidR="001214BA">
        <w:rPr>
          <w:noProof/>
          <w:lang w:val="es-CO" w:eastAsia="en-GB"/>
        </w:rPr>
        <w:t>iones en la implementación del A</w:t>
      </w:r>
      <w:r w:rsidR="0057395D" w:rsidRPr="00044745">
        <w:rPr>
          <w:noProof/>
          <w:lang w:val="es-CO" w:eastAsia="en-GB"/>
        </w:rPr>
        <w:t xml:space="preserve">cuerdo. </w:t>
      </w:r>
      <w:r w:rsidR="001920EE">
        <w:rPr>
          <w:noProof/>
          <w:lang w:val="es-CO" w:eastAsia="en-GB"/>
        </w:rPr>
        <w:t>La</w:t>
      </w:r>
      <w:r w:rsidR="0057395D" w:rsidRPr="00044745">
        <w:rPr>
          <w:noProof/>
          <w:lang w:val="es-CO" w:eastAsia="en-GB"/>
        </w:rPr>
        <w:t xml:space="preserve"> </w:t>
      </w:r>
      <w:r w:rsidR="001F5691">
        <w:rPr>
          <w:noProof/>
          <w:lang w:val="es-CO" w:eastAsia="en-GB"/>
        </w:rPr>
        <w:t>O</w:t>
      </w:r>
      <w:r w:rsidR="0057395D" w:rsidRPr="00044745">
        <w:rPr>
          <w:noProof/>
          <w:lang w:val="es-CO" w:eastAsia="en-GB"/>
        </w:rPr>
        <w:t xml:space="preserve">ACNUDH exhorta al gobierno a hacer los ajustes necesarios a su presupuesto. </w:t>
      </w:r>
    </w:p>
    <w:p w14:paraId="3F5E240F" w14:textId="443C4B2F" w:rsidR="001544A7" w:rsidRPr="00044745" w:rsidDel="00AB6323" w:rsidRDefault="00260C85" w:rsidP="00930A33">
      <w:pPr>
        <w:pStyle w:val="SingleTxtG"/>
        <w:rPr>
          <w:noProof/>
          <w:lang w:val="es-CO" w:eastAsia="en-GB"/>
        </w:rPr>
      </w:pPr>
      <w:r w:rsidRPr="00044745">
        <w:rPr>
          <w:noProof/>
          <w:lang w:val="es-CO" w:eastAsia="en-GB"/>
        </w:rPr>
        <w:t>8</w:t>
      </w:r>
      <w:r w:rsidR="00C94319" w:rsidRPr="00044745">
        <w:rPr>
          <w:noProof/>
          <w:lang w:val="es-CO" w:eastAsia="en-GB"/>
        </w:rPr>
        <w:t>5</w:t>
      </w:r>
      <w:r w:rsidR="001544A7" w:rsidRPr="00044745" w:rsidDel="00AB6323">
        <w:rPr>
          <w:noProof/>
          <w:lang w:val="es-CO" w:eastAsia="en-GB"/>
        </w:rPr>
        <w:t>.</w:t>
      </w:r>
      <w:r w:rsidR="001544A7" w:rsidRPr="00044745" w:rsidDel="00AB6323">
        <w:rPr>
          <w:noProof/>
          <w:lang w:val="es-CO" w:eastAsia="en-GB"/>
        </w:rPr>
        <w:tab/>
      </w:r>
      <w:r w:rsidR="001F5691">
        <w:rPr>
          <w:noProof/>
          <w:lang w:val="es-CO" w:eastAsia="en-GB"/>
        </w:rPr>
        <w:t xml:space="preserve">La </w:t>
      </w:r>
      <w:r w:rsidR="0057395D" w:rsidRPr="00044745">
        <w:rPr>
          <w:noProof/>
          <w:lang w:val="es-CO" w:eastAsia="en-GB"/>
        </w:rPr>
        <w:t xml:space="preserve"> </w:t>
      </w:r>
      <w:r w:rsidR="001F5691">
        <w:rPr>
          <w:noProof/>
          <w:lang w:val="es-CO" w:eastAsia="en-GB"/>
        </w:rPr>
        <w:t>O</w:t>
      </w:r>
      <w:r w:rsidR="0057395D" w:rsidRPr="00044745">
        <w:rPr>
          <w:noProof/>
          <w:lang w:val="es-CO" w:eastAsia="en-GB"/>
        </w:rPr>
        <w:t>ACNUDH observó que el Estado aún no cuenta con estadísticas válidas sobre la dimensión de la violencia sexual</w:t>
      </w:r>
      <w:r w:rsidR="00930A33" w:rsidRPr="00044745">
        <w:rPr>
          <w:noProof/>
          <w:lang w:val="es-CO" w:eastAsia="en-GB"/>
        </w:rPr>
        <w:t>, a pesar de la existencia del Sistema integrado de  violencia</w:t>
      </w:r>
      <w:r w:rsidR="001920EE">
        <w:rPr>
          <w:noProof/>
          <w:lang w:val="es-CO" w:eastAsia="en-GB"/>
        </w:rPr>
        <w:t xml:space="preserve"> basada</w:t>
      </w:r>
      <w:r w:rsidR="00930A33" w:rsidRPr="00044745">
        <w:rPr>
          <w:noProof/>
          <w:lang w:val="es-CO" w:eastAsia="en-GB"/>
        </w:rPr>
        <w:t xml:space="preserve"> </w:t>
      </w:r>
      <w:r w:rsidR="001920EE">
        <w:rPr>
          <w:noProof/>
          <w:lang w:val="es-CO" w:eastAsia="en-GB"/>
        </w:rPr>
        <w:t>en</w:t>
      </w:r>
      <w:r w:rsidR="00930A33" w:rsidRPr="00044745">
        <w:rPr>
          <w:noProof/>
          <w:lang w:val="es-CO" w:eastAsia="en-GB"/>
        </w:rPr>
        <w:t xml:space="preserve"> género. Asímismo, observó que generalmente no se respetan los protocolos de intervención en las zonas rurales, incluso cuando las víctimas desean presentar una </w:t>
      </w:r>
      <w:r w:rsidR="001920EE">
        <w:rPr>
          <w:noProof/>
          <w:lang w:val="es-CO" w:eastAsia="en-GB"/>
        </w:rPr>
        <w:t>denuncia</w:t>
      </w:r>
      <w:r w:rsidR="00930A33" w:rsidRPr="00044745">
        <w:rPr>
          <w:noProof/>
          <w:lang w:val="es-CO" w:eastAsia="en-GB"/>
        </w:rPr>
        <w:t xml:space="preserve"> ante un policía o fisca</w:t>
      </w:r>
      <w:r w:rsidR="00AB396B" w:rsidRPr="00044745">
        <w:rPr>
          <w:noProof/>
          <w:lang w:val="es-CO" w:eastAsia="en-GB"/>
        </w:rPr>
        <w:t>l</w:t>
      </w:r>
      <w:r w:rsidR="00930A33" w:rsidRPr="00044745">
        <w:rPr>
          <w:noProof/>
          <w:lang w:val="es-CO" w:eastAsia="en-GB"/>
        </w:rPr>
        <w:t>.</w:t>
      </w:r>
      <w:r w:rsidR="001544A7" w:rsidRPr="00044745" w:rsidDel="00AB6323">
        <w:rPr>
          <w:noProof/>
          <w:lang w:val="es-CO" w:eastAsia="en-GB"/>
        </w:rPr>
        <w:t xml:space="preserve">  </w:t>
      </w:r>
    </w:p>
    <w:p w14:paraId="199A2A72" w14:textId="530F9AA7" w:rsidR="001544A7" w:rsidRPr="00044745" w:rsidRDefault="00855450" w:rsidP="00855450">
      <w:pPr>
        <w:pStyle w:val="HChG"/>
        <w:rPr>
          <w:noProof/>
          <w:lang w:val="es-CO" w:eastAsia="en-GB"/>
        </w:rPr>
      </w:pPr>
      <w:bookmarkStart w:id="16" w:name="_Toc503550657"/>
      <w:r w:rsidRPr="00044745">
        <w:rPr>
          <w:noProof/>
          <w:lang w:val="es-CO" w:eastAsia="en-GB"/>
        </w:rPr>
        <w:tab/>
      </w:r>
      <w:r w:rsidR="001544A7" w:rsidRPr="00044745">
        <w:rPr>
          <w:noProof/>
          <w:lang w:val="es-CO" w:eastAsia="en-GB"/>
        </w:rPr>
        <w:t xml:space="preserve">V. </w:t>
      </w:r>
      <w:r w:rsidRPr="00044745">
        <w:rPr>
          <w:noProof/>
          <w:lang w:val="es-CO" w:eastAsia="en-GB"/>
        </w:rPr>
        <w:tab/>
      </w:r>
      <w:r w:rsidR="00AB396B" w:rsidRPr="00044745">
        <w:rPr>
          <w:noProof/>
          <w:lang w:val="es-CO" w:eastAsia="en-GB"/>
        </w:rPr>
        <w:t>Justici</w:t>
      </w:r>
      <w:r w:rsidR="00930A33" w:rsidRPr="00044745">
        <w:rPr>
          <w:noProof/>
          <w:lang w:val="es-CO" w:eastAsia="en-GB"/>
        </w:rPr>
        <w:t xml:space="preserve">a </w:t>
      </w:r>
      <w:r w:rsidR="00A43225">
        <w:rPr>
          <w:noProof/>
          <w:lang w:val="es-CO" w:eastAsia="en-GB"/>
        </w:rPr>
        <w:t xml:space="preserve">Transicional </w:t>
      </w:r>
      <w:r w:rsidR="001544A7" w:rsidRPr="00044745">
        <w:rPr>
          <w:noProof/>
          <w:lang w:val="es-CO" w:eastAsia="en-GB"/>
        </w:rPr>
        <w:t xml:space="preserve"> </w:t>
      </w:r>
      <w:r w:rsidR="00930A33" w:rsidRPr="00044745">
        <w:rPr>
          <w:noProof/>
          <w:lang w:val="es-CO" w:eastAsia="en-GB"/>
        </w:rPr>
        <w:t xml:space="preserve">y la respuesta a los derechos de las víctimas </w:t>
      </w:r>
      <w:bookmarkEnd w:id="16"/>
    </w:p>
    <w:p w14:paraId="4A5B0678" w14:textId="291AE350" w:rsidR="001544A7" w:rsidRPr="00044745" w:rsidRDefault="00855450" w:rsidP="00855450">
      <w:pPr>
        <w:pStyle w:val="H1G"/>
        <w:rPr>
          <w:noProof/>
          <w:lang w:val="es-CO" w:eastAsia="en-GB"/>
        </w:rPr>
      </w:pPr>
      <w:bookmarkStart w:id="17" w:name="_Toc503550658"/>
      <w:r w:rsidRPr="00044745">
        <w:rPr>
          <w:noProof/>
          <w:lang w:val="es-CO" w:eastAsia="en-GB"/>
        </w:rPr>
        <w:tab/>
        <w:t>A</w:t>
      </w:r>
      <w:r w:rsidR="001544A7" w:rsidRPr="00044745">
        <w:rPr>
          <w:noProof/>
          <w:lang w:val="es-CO" w:eastAsia="en-GB"/>
        </w:rPr>
        <w:t>.</w:t>
      </w:r>
      <w:r w:rsidRPr="00044745">
        <w:rPr>
          <w:noProof/>
          <w:lang w:val="es-CO" w:eastAsia="en-GB"/>
        </w:rPr>
        <w:tab/>
      </w:r>
      <w:r w:rsidR="00930A33" w:rsidRPr="00044745">
        <w:rPr>
          <w:noProof/>
          <w:lang w:val="es-CO" w:eastAsia="en-GB"/>
        </w:rPr>
        <w:t xml:space="preserve">Avances y desafíos de los mecanismos de justicia </w:t>
      </w:r>
      <w:r w:rsidR="00A43225">
        <w:rPr>
          <w:noProof/>
          <w:lang w:val="es-CO" w:eastAsia="en-GB"/>
        </w:rPr>
        <w:t xml:space="preserve">transicional </w:t>
      </w:r>
      <w:r w:rsidR="00930A33" w:rsidRPr="00044745">
        <w:rPr>
          <w:noProof/>
          <w:lang w:val="es-CO" w:eastAsia="en-GB"/>
        </w:rPr>
        <w:t xml:space="preserve"> contenidos en el acuerdo de paz </w:t>
      </w:r>
      <w:bookmarkEnd w:id="17"/>
    </w:p>
    <w:p w14:paraId="21140622" w14:textId="7022E346" w:rsidR="001544A7" w:rsidRPr="00044745" w:rsidRDefault="00260C85" w:rsidP="00282B4B">
      <w:pPr>
        <w:pStyle w:val="SingleTxtG"/>
        <w:rPr>
          <w:bCs/>
          <w:noProof/>
          <w:lang w:val="es-CO" w:eastAsia="en-GB"/>
        </w:rPr>
      </w:pPr>
      <w:r w:rsidRPr="00044745">
        <w:rPr>
          <w:bCs/>
          <w:noProof/>
          <w:lang w:val="es-CO" w:eastAsia="en-GB"/>
        </w:rPr>
        <w:t>8</w:t>
      </w:r>
      <w:r w:rsidR="00C94319" w:rsidRPr="00044745">
        <w:rPr>
          <w:bCs/>
          <w:noProof/>
          <w:lang w:val="es-CO" w:eastAsia="en-GB"/>
        </w:rPr>
        <w:t>6</w:t>
      </w:r>
      <w:r w:rsidR="001544A7" w:rsidRPr="00044745">
        <w:rPr>
          <w:bCs/>
          <w:noProof/>
          <w:lang w:val="es-CO" w:eastAsia="en-GB"/>
        </w:rPr>
        <w:t>.</w:t>
      </w:r>
      <w:r w:rsidR="001544A7" w:rsidRPr="00044745">
        <w:rPr>
          <w:bCs/>
          <w:noProof/>
          <w:lang w:val="es-CO" w:eastAsia="en-GB"/>
        </w:rPr>
        <w:tab/>
      </w:r>
      <w:r w:rsidR="001214BA">
        <w:rPr>
          <w:bCs/>
          <w:noProof/>
          <w:lang w:val="es-CO" w:eastAsia="en-GB"/>
        </w:rPr>
        <w:t>El A</w:t>
      </w:r>
      <w:r w:rsidR="001020F0" w:rsidRPr="00044745">
        <w:rPr>
          <w:bCs/>
          <w:noProof/>
          <w:lang w:val="es-CO" w:eastAsia="en-GB"/>
        </w:rPr>
        <w:t>cuerdo establece la creación de un Sistema integral de justicia, verdad, reparación</w:t>
      </w:r>
      <w:r w:rsidR="00C81A2B" w:rsidRPr="00044745">
        <w:rPr>
          <w:bCs/>
          <w:noProof/>
          <w:lang w:val="es-CO" w:eastAsia="en-GB"/>
        </w:rPr>
        <w:t xml:space="preserve"> y no repetición</w:t>
      </w:r>
      <w:r w:rsidR="00AB396B" w:rsidRPr="00044745">
        <w:rPr>
          <w:bCs/>
          <w:noProof/>
          <w:lang w:val="es-CO" w:eastAsia="en-GB"/>
        </w:rPr>
        <w:t xml:space="preserve"> (Sistema Integral)</w:t>
      </w:r>
      <w:r w:rsidR="008C36CA" w:rsidRPr="00044745">
        <w:rPr>
          <w:bCs/>
          <w:noProof/>
          <w:lang w:val="es-CO" w:eastAsia="en-GB"/>
        </w:rPr>
        <w:t xml:space="preserve">. Si se implementa plenamente </w:t>
      </w:r>
      <w:r w:rsidR="00282B4B" w:rsidRPr="00044745">
        <w:rPr>
          <w:bCs/>
          <w:noProof/>
          <w:lang w:val="es-CO" w:eastAsia="en-GB"/>
        </w:rPr>
        <w:t xml:space="preserve">como fue conceptualizado, se ajustaría </w:t>
      </w:r>
      <w:r w:rsidR="00A43225">
        <w:rPr>
          <w:bCs/>
          <w:noProof/>
          <w:lang w:val="es-CO" w:eastAsia="en-GB"/>
        </w:rPr>
        <w:t xml:space="preserve">de manera general </w:t>
      </w:r>
      <w:r w:rsidR="00282B4B" w:rsidRPr="00044745">
        <w:rPr>
          <w:bCs/>
          <w:noProof/>
          <w:lang w:val="es-CO" w:eastAsia="en-GB"/>
        </w:rPr>
        <w:t xml:space="preserve">a las normas internacionales. Sin embargo, el Congreso no aprobó el Sistema Integral tal y como había sido conceptualizado y, hasta el momento, su implementación no </w:t>
      </w:r>
      <w:r w:rsidR="00A43225">
        <w:rPr>
          <w:bCs/>
          <w:noProof/>
          <w:lang w:val="es-CO" w:eastAsia="en-GB"/>
        </w:rPr>
        <w:t xml:space="preserve">ha </w:t>
      </w:r>
      <w:r w:rsidR="00282B4B" w:rsidRPr="00044745">
        <w:rPr>
          <w:bCs/>
          <w:noProof/>
          <w:lang w:val="es-CO" w:eastAsia="en-GB"/>
        </w:rPr>
        <w:t>cumpl</w:t>
      </w:r>
      <w:r w:rsidR="00A43225">
        <w:rPr>
          <w:bCs/>
          <w:noProof/>
          <w:lang w:val="es-CO" w:eastAsia="en-GB"/>
        </w:rPr>
        <w:t>ido</w:t>
      </w:r>
      <w:r w:rsidR="00282B4B" w:rsidRPr="00044745">
        <w:rPr>
          <w:bCs/>
          <w:noProof/>
          <w:lang w:val="es-CO" w:eastAsia="en-GB"/>
        </w:rPr>
        <w:t xml:space="preserve"> con las normas internacionales.  </w:t>
      </w:r>
    </w:p>
    <w:p w14:paraId="183C0658" w14:textId="6223CBA3" w:rsidR="001544A7" w:rsidRPr="00044745" w:rsidRDefault="00260C85" w:rsidP="00095DD2">
      <w:pPr>
        <w:pStyle w:val="SingleTxtG"/>
        <w:rPr>
          <w:bCs/>
          <w:noProof/>
          <w:lang w:val="es-CO" w:eastAsia="en-GB"/>
        </w:rPr>
      </w:pPr>
      <w:r w:rsidRPr="00044745">
        <w:rPr>
          <w:bCs/>
          <w:noProof/>
          <w:lang w:val="es-CO" w:eastAsia="en-GB"/>
        </w:rPr>
        <w:t>8</w:t>
      </w:r>
      <w:r w:rsidR="00C94319" w:rsidRPr="00044745">
        <w:rPr>
          <w:bCs/>
          <w:noProof/>
          <w:lang w:val="es-CO" w:eastAsia="en-GB"/>
        </w:rPr>
        <w:t>7</w:t>
      </w:r>
      <w:r w:rsidR="001544A7" w:rsidRPr="00044745">
        <w:rPr>
          <w:bCs/>
          <w:noProof/>
          <w:lang w:val="es-CO" w:eastAsia="en-GB"/>
        </w:rPr>
        <w:t>.</w:t>
      </w:r>
      <w:r w:rsidR="001544A7" w:rsidRPr="00044745">
        <w:rPr>
          <w:bCs/>
          <w:noProof/>
          <w:lang w:val="es-CO" w:eastAsia="en-GB"/>
        </w:rPr>
        <w:tab/>
      </w:r>
      <w:r w:rsidR="00282B4B" w:rsidRPr="00044745">
        <w:rPr>
          <w:bCs/>
          <w:noProof/>
          <w:lang w:val="es-CO" w:eastAsia="en-GB"/>
        </w:rPr>
        <w:t xml:space="preserve">Este sistema está compuesto </w:t>
      </w:r>
      <w:r w:rsidR="001214BA">
        <w:rPr>
          <w:bCs/>
          <w:noProof/>
          <w:lang w:val="es-CO" w:eastAsia="en-GB"/>
        </w:rPr>
        <w:t xml:space="preserve">por </w:t>
      </w:r>
      <w:r w:rsidR="00282B4B" w:rsidRPr="00044745">
        <w:rPr>
          <w:bCs/>
          <w:noProof/>
          <w:lang w:val="es-CO" w:eastAsia="en-GB"/>
        </w:rPr>
        <w:t xml:space="preserve">un mecanismo judicial, específicamente la Jurisdicción especial para la paz (JEP) y dos mecanismos extrajudiciales, la Comisión para el esclarecimiento de la verdad, la </w:t>
      </w:r>
      <w:r w:rsidR="00A43225">
        <w:rPr>
          <w:bCs/>
          <w:noProof/>
          <w:lang w:val="es-CO" w:eastAsia="en-GB"/>
        </w:rPr>
        <w:t xml:space="preserve">convivencia </w:t>
      </w:r>
      <w:r w:rsidR="00282B4B" w:rsidRPr="00044745">
        <w:rPr>
          <w:bCs/>
          <w:noProof/>
          <w:lang w:val="es-CO" w:eastAsia="en-GB"/>
        </w:rPr>
        <w:t xml:space="preserve"> y la no repetición (CEV) y la Unidad para la búsqueda de personas dadas por desaparecidas (UBPD). </w:t>
      </w:r>
      <w:r w:rsidR="00095DD2" w:rsidRPr="00044745">
        <w:rPr>
          <w:bCs/>
          <w:noProof/>
          <w:lang w:val="es-CO" w:eastAsia="en-GB"/>
        </w:rPr>
        <w:t xml:space="preserve">Estas entidades fueron </w:t>
      </w:r>
      <w:r w:rsidR="001214BA">
        <w:rPr>
          <w:bCs/>
          <w:noProof/>
          <w:lang w:val="es-CO" w:eastAsia="en-GB"/>
        </w:rPr>
        <w:t xml:space="preserve">creadas </w:t>
      </w:r>
      <w:r w:rsidR="00095DD2" w:rsidRPr="00044745">
        <w:rPr>
          <w:bCs/>
          <w:noProof/>
          <w:lang w:val="es-CO" w:eastAsia="en-GB"/>
        </w:rPr>
        <w:t xml:space="preserve">para </w:t>
      </w:r>
      <w:r w:rsidR="00095DD2" w:rsidRPr="00044745">
        <w:rPr>
          <w:bCs/>
          <w:noProof/>
          <w:lang w:val="es-CO" w:eastAsia="en-GB"/>
        </w:rPr>
        <w:lastRenderedPageBreak/>
        <w:t>abordar las graves violaciones de derechos humanos y del derecho internacional humanitario cometidos durante el conflicto armado.</w:t>
      </w:r>
      <w:r w:rsidR="001544A7" w:rsidRPr="00044745">
        <w:rPr>
          <w:bCs/>
          <w:noProof/>
          <w:lang w:val="es-CO" w:eastAsia="en-GB"/>
        </w:rPr>
        <w:t xml:space="preserve"> </w:t>
      </w:r>
    </w:p>
    <w:p w14:paraId="51CC1617" w14:textId="51EA0517" w:rsidR="001544A7" w:rsidRPr="00044745" w:rsidRDefault="00F82758" w:rsidP="00870EBA">
      <w:pPr>
        <w:pStyle w:val="SingleTxtG"/>
        <w:rPr>
          <w:noProof/>
          <w:lang w:val="es-CO" w:eastAsia="en-GB"/>
        </w:rPr>
      </w:pPr>
      <w:r w:rsidRPr="00044745">
        <w:rPr>
          <w:noProof/>
          <w:lang w:val="es-CO" w:eastAsia="en-GB"/>
        </w:rPr>
        <w:t>8</w:t>
      </w:r>
      <w:r w:rsidR="00C94319" w:rsidRPr="00044745">
        <w:rPr>
          <w:noProof/>
          <w:lang w:val="es-CO" w:eastAsia="en-GB"/>
        </w:rPr>
        <w:t>8</w:t>
      </w:r>
      <w:r w:rsidR="001544A7" w:rsidRPr="00044745">
        <w:rPr>
          <w:noProof/>
          <w:lang w:val="es-CO" w:eastAsia="en-GB"/>
        </w:rPr>
        <w:t>.</w:t>
      </w:r>
      <w:r w:rsidR="001544A7" w:rsidRPr="00044745">
        <w:rPr>
          <w:noProof/>
          <w:lang w:val="es-CO" w:eastAsia="en-GB"/>
        </w:rPr>
        <w:tab/>
      </w:r>
      <w:r w:rsidR="001214BA">
        <w:rPr>
          <w:noProof/>
          <w:lang w:val="es-CO" w:eastAsia="en-GB"/>
        </w:rPr>
        <w:t xml:space="preserve">Como lo </w:t>
      </w:r>
      <w:r w:rsidR="001920EE">
        <w:rPr>
          <w:noProof/>
          <w:lang w:val="es-CO" w:eastAsia="en-GB"/>
        </w:rPr>
        <w:t>establece</w:t>
      </w:r>
      <w:r w:rsidR="001214BA">
        <w:rPr>
          <w:noProof/>
          <w:lang w:val="es-CO" w:eastAsia="en-GB"/>
        </w:rPr>
        <w:t xml:space="preserve"> el A</w:t>
      </w:r>
      <w:r w:rsidR="00870EBA" w:rsidRPr="00044745">
        <w:rPr>
          <w:noProof/>
          <w:lang w:val="es-CO" w:eastAsia="en-GB"/>
        </w:rPr>
        <w:t xml:space="preserve">cuerdo, </w:t>
      </w:r>
      <w:r w:rsidR="00A43225">
        <w:rPr>
          <w:noProof/>
          <w:lang w:val="es-CO" w:eastAsia="en-GB"/>
        </w:rPr>
        <w:t>la</w:t>
      </w:r>
      <w:r w:rsidR="00870EBA" w:rsidRPr="00044745">
        <w:rPr>
          <w:noProof/>
          <w:lang w:val="es-CO" w:eastAsia="en-GB"/>
        </w:rPr>
        <w:t xml:space="preserve"> </w:t>
      </w:r>
      <w:r w:rsidR="00A43225">
        <w:rPr>
          <w:noProof/>
          <w:lang w:val="es-CO" w:eastAsia="en-GB"/>
        </w:rPr>
        <w:t>O</w:t>
      </w:r>
      <w:r w:rsidR="00870EBA" w:rsidRPr="00044745">
        <w:rPr>
          <w:noProof/>
          <w:lang w:val="es-CO" w:eastAsia="en-GB"/>
        </w:rPr>
        <w:t>ACNUDH ha brindado apoyo al funcionamiento del Sistema Integral, principalmente por medio de asistencia logística y técnica a los enlaces territoriales de</w:t>
      </w:r>
      <w:r w:rsidR="008132EA">
        <w:rPr>
          <w:noProof/>
          <w:lang w:val="es-CO" w:eastAsia="en-GB"/>
        </w:rPr>
        <w:t xml:space="preserve"> </w:t>
      </w:r>
      <w:r w:rsidR="00870EBA" w:rsidRPr="00044745">
        <w:rPr>
          <w:noProof/>
          <w:lang w:val="es-CO" w:eastAsia="en-GB"/>
        </w:rPr>
        <w:t>l</w:t>
      </w:r>
      <w:r w:rsidR="008132EA">
        <w:rPr>
          <w:noProof/>
          <w:lang w:val="es-CO" w:eastAsia="en-GB"/>
        </w:rPr>
        <w:t>a</w:t>
      </w:r>
      <w:r w:rsidR="00870EBA" w:rsidRPr="00044745">
        <w:rPr>
          <w:noProof/>
          <w:lang w:val="es-CO" w:eastAsia="en-GB"/>
        </w:rPr>
        <w:t xml:space="preserve"> Secretaría Ejecutiva de la JEP, la única entidad del Sistema Integral </w:t>
      </w:r>
      <w:r w:rsidR="001214BA">
        <w:rPr>
          <w:noProof/>
          <w:lang w:val="es-CO" w:eastAsia="en-GB"/>
        </w:rPr>
        <w:t xml:space="preserve">que </w:t>
      </w:r>
      <w:r w:rsidR="001920EE">
        <w:rPr>
          <w:noProof/>
          <w:lang w:val="es-CO" w:eastAsia="en-GB"/>
        </w:rPr>
        <w:t>era operativa</w:t>
      </w:r>
      <w:r w:rsidR="001214BA">
        <w:rPr>
          <w:noProof/>
          <w:lang w:val="es-CO" w:eastAsia="en-GB"/>
        </w:rPr>
        <w:t xml:space="preserve"> </w:t>
      </w:r>
      <w:r w:rsidR="00870EBA" w:rsidRPr="00044745">
        <w:rPr>
          <w:noProof/>
          <w:lang w:val="es-CO" w:eastAsia="en-GB"/>
        </w:rPr>
        <w:t>en 2017.</w:t>
      </w:r>
      <w:r w:rsidR="001544A7" w:rsidRPr="00044745">
        <w:rPr>
          <w:noProof/>
          <w:lang w:val="es-CO" w:eastAsia="en-GB"/>
        </w:rPr>
        <w:t xml:space="preserve"> </w:t>
      </w:r>
    </w:p>
    <w:p w14:paraId="1D784C12" w14:textId="77777777" w:rsidR="00870EBA" w:rsidRPr="00044745" w:rsidRDefault="00F82758" w:rsidP="001544A7">
      <w:pPr>
        <w:pStyle w:val="SingleTxtG"/>
        <w:rPr>
          <w:noProof/>
          <w:lang w:val="es-CO" w:eastAsia="en-GB"/>
        </w:rPr>
      </w:pPr>
      <w:r w:rsidRPr="00044745">
        <w:rPr>
          <w:noProof/>
          <w:lang w:val="es-CO" w:eastAsia="en-GB"/>
        </w:rPr>
        <w:t>8</w:t>
      </w:r>
      <w:r w:rsidR="00C94319" w:rsidRPr="00044745">
        <w:rPr>
          <w:noProof/>
          <w:lang w:val="es-CO" w:eastAsia="en-GB"/>
        </w:rPr>
        <w:t>9</w:t>
      </w:r>
      <w:r w:rsidR="00C119E7" w:rsidRPr="00044745">
        <w:rPr>
          <w:noProof/>
          <w:lang w:val="es-CO" w:eastAsia="en-GB"/>
        </w:rPr>
        <w:t>.</w:t>
      </w:r>
      <w:r w:rsidR="001544A7" w:rsidRPr="00044745">
        <w:rPr>
          <w:noProof/>
          <w:lang w:val="es-CO" w:eastAsia="en-GB"/>
        </w:rPr>
        <w:tab/>
      </w:r>
      <w:r w:rsidR="00870EBA" w:rsidRPr="00044745">
        <w:rPr>
          <w:noProof/>
          <w:lang w:val="es-CO" w:eastAsia="en-GB"/>
        </w:rPr>
        <w:t xml:space="preserve">El Sistema Integral enfrentará dificultades para operar en muchas de las </w:t>
      </w:r>
      <w:r w:rsidR="00A724F0" w:rsidRPr="00044745">
        <w:rPr>
          <w:noProof/>
          <w:lang w:val="es-CO" w:eastAsia="en-GB"/>
        </w:rPr>
        <w:t xml:space="preserve">antiguas </w:t>
      </w:r>
      <w:r w:rsidR="00870EBA" w:rsidRPr="00044745">
        <w:rPr>
          <w:noProof/>
          <w:lang w:val="es-CO" w:eastAsia="en-GB"/>
        </w:rPr>
        <w:t xml:space="preserve">zonas </w:t>
      </w:r>
      <w:r w:rsidR="00A724F0" w:rsidRPr="00044745">
        <w:rPr>
          <w:noProof/>
          <w:lang w:val="es-CO" w:eastAsia="en-GB"/>
        </w:rPr>
        <w:t xml:space="preserve">de influencia de </w:t>
      </w:r>
      <w:r w:rsidR="00870EBA" w:rsidRPr="00044745">
        <w:rPr>
          <w:noProof/>
          <w:lang w:val="es-CO" w:eastAsia="en-GB"/>
        </w:rPr>
        <w:t>las FARC-EP, debido a la persistencia de violaciones de los derechos humanos en las mismas</w:t>
      </w:r>
      <w:r w:rsidR="00870EBA" w:rsidRPr="00044745">
        <w:rPr>
          <w:noProof/>
          <w:vertAlign w:val="superscript"/>
          <w:lang w:val="es-CO" w:eastAsia="en-GB"/>
        </w:rPr>
        <w:footnoteReference w:id="18"/>
      </w:r>
      <w:r w:rsidR="001214BA">
        <w:rPr>
          <w:noProof/>
          <w:lang w:val="es-CO" w:eastAsia="en-GB"/>
        </w:rPr>
        <w:t>.</w:t>
      </w:r>
      <w:r w:rsidR="00870EBA" w:rsidRPr="00044745">
        <w:rPr>
          <w:noProof/>
          <w:lang w:val="es-CO" w:eastAsia="en-GB"/>
        </w:rPr>
        <w:t xml:space="preserve"> </w:t>
      </w:r>
    </w:p>
    <w:p w14:paraId="2B0B0E9B" w14:textId="26CC7E81" w:rsidR="001544A7" w:rsidRPr="00044745" w:rsidRDefault="00C94319" w:rsidP="009E0341">
      <w:pPr>
        <w:pStyle w:val="SingleTxtG"/>
        <w:rPr>
          <w:noProof/>
          <w:lang w:val="es-CO" w:eastAsia="en-GB"/>
        </w:rPr>
      </w:pPr>
      <w:r w:rsidRPr="00044745">
        <w:rPr>
          <w:noProof/>
          <w:lang w:val="es-CO" w:eastAsia="en-GB"/>
        </w:rPr>
        <w:t>90</w:t>
      </w:r>
      <w:r w:rsidR="00284AA7" w:rsidRPr="00044745">
        <w:rPr>
          <w:noProof/>
          <w:lang w:val="es-CO" w:eastAsia="en-GB"/>
        </w:rPr>
        <w:t xml:space="preserve">. </w:t>
      </w:r>
      <w:r w:rsidR="00284AA7" w:rsidRPr="00044745">
        <w:rPr>
          <w:noProof/>
          <w:lang w:val="es-CO" w:eastAsia="en-GB"/>
        </w:rPr>
        <w:tab/>
      </w:r>
      <w:r w:rsidR="00A43225">
        <w:rPr>
          <w:noProof/>
          <w:lang w:val="es-CO" w:eastAsia="en-GB"/>
        </w:rPr>
        <w:t>La</w:t>
      </w:r>
      <w:r w:rsidR="00870EBA" w:rsidRPr="00044745">
        <w:rPr>
          <w:noProof/>
          <w:lang w:val="es-CO" w:eastAsia="en-GB"/>
        </w:rPr>
        <w:t xml:space="preserve"> </w:t>
      </w:r>
      <w:r w:rsidR="00A43225">
        <w:rPr>
          <w:noProof/>
          <w:lang w:val="es-CO" w:eastAsia="en-GB"/>
        </w:rPr>
        <w:t>O</w:t>
      </w:r>
      <w:r w:rsidR="00870EBA" w:rsidRPr="00044745">
        <w:rPr>
          <w:noProof/>
          <w:lang w:val="es-CO" w:eastAsia="en-GB"/>
        </w:rPr>
        <w:t>ACNUDH está sumamente preocupad</w:t>
      </w:r>
      <w:r w:rsidR="00A43225">
        <w:rPr>
          <w:noProof/>
          <w:lang w:val="es-CO" w:eastAsia="en-GB"/>
        </w:rPr>
        <w:t>a</w:t>
      </w:r>
      <w:r w:rsidR="006579BA" w:rsidRPr="00044745">
        <w:rPr>
          <w:noProof/>
          <w:lang w:val="es-CO" w:eastAsia="en-GB"/>
        </w:rPr>
        <w:t xml:space="preserve"> porque las expectativas generadas por el Sistema Integral en relación con la reducción de la impunidad por las violaciones de los derechos humanos y del derecho internacional humanitario</w:t>
      </w:r>
      <w:r w:rsidR="00D471FE">
        <w:rPr>
          <w:noProof/>
          <w:lang w:val="es-CO" w:eastAsia="en-GB"/>
        </w:rPr>
        <w:t>,</w:t>
      </w:r>
      <w:r w:rsidR="006579BA" w:rsidRPr="00044745">
        <w:rPr>
          <w:noProof/>
          <w:lang w:val="es-CO" w:eastAsia="en-GB"/>
        </w:rPr>
        <w:t xml:space="preserve"> </w:t>
      </w:r>
      <w:r w:rsidR="001920EE">
        <w:rPr>
          <w:noProof/>
          <w:lang w:val="es-CO" w:eastAsia="en-GB"/>
        </w:rPr>
        <w:t>han sido</w:t>
      </w:r>
      <w:r w:rsidR="006579BA" w:rsidRPr="00044745">
        <w:rPr>
          <w:noProof/>
          <w:lang w:val="es-CO" w:eastAsia="en-GB"/>
        </w:rPr>
        <w:t xml:space="preserve"> socavadas</w:t>
      </w:r>
      <w:r w:rsidR="00870EBA" w:rsidRPr="00044745">
        <w:rPr>
          <w:noProof/>
          <w:lang w:val="es-CO" w:eastAsia="en-GB"/>
        </w:rPr>
        <w:t xml:space="preserve"> </w:t>
      </w:r>
      <w:r w:rsidR="006579BA" w:rsidRPr="00044745">
        <w:rPr>
          <w:noProof/>
          <w:lang w:val="es-CO" w:eastAsia="en-GB"/>
        </w:rPr>
        <w:t xml:space="preserve">por </w:t>
      </w:r>
      <w:r w:rsidR="00870EBA" w:rsidRPr="00044745">
        <w:rPr>
          <w:noProof/>
          <w:lang w:val="es-CO" w:eastAsia="en-GB"/>
        </w:rPr>
        <w:t>la exclusi</w:t>
      </w:r>
      <w:r w:rsidR="006579BA" w:rsidRPr="00044745">
        <w:rPr>
          <w:noProof/>
          <w:lang w:val="es-CO" w:eastAsia="en-GB"/>
        </w:rPr>
        <w:t xml:space="preserve">ón de agentes del Estado no militares y de </w:t>
      </w:r>
      <w:r w:rsidR="001920EE">
        <w:rPr>
          <w:noProof/>
          <w:lang w:val="es-CO" w:eastAsia="en-GB"/>
        </w:rPr>
        <w:t>particulares</w:t>
      </w:r>
      <w:r w:rsidR="006579BA" w:rsidRPr="00044745">
        <w:rPr>
          <w:noProof/>
          <w:lang w:val="es-CO" w:eastAsia="en-GB"/>
        </w:rPr>
        <w:t xml:space="preserve"> del ámbito de aplicación </w:t>
      </w:r>
      <w:r w:rsidR="00A43225">
        <w:rPr>
          <w:noProof/>
          <w:lang w:val="es-CO" w:eastAsia="en-GB"/>
        </w:rPr>
        <w:t xml:space="preserve">obligatoria </w:t>
      </w:r>
      <w:r w:rsidR="006579BA" w:rsidRPr="00044745">
        <w:rPr>
          <w:noProof/>
          <w:lang w:val="es-CO" w:eastAsia="en-GB"/>
        </w:rPr>
        <w:t xml:space="preserve"> del sistema</w:t>
      </w:r>
      <w:r w:rsidR="00FA5D80" w:rsidRPr="00044745">
        <w:rPr>
          <w:noProof/>
          <w:lang w:val="es-CO" w:eastAsia="en-GB"/>
        </w:rPr>
        <w:t xml:space="preserve">. Además, a pesar de los esfuerzos de </w:t>
      </w:r>
      <w:r w:rsidR="00D471FE">
        <w:rPr>
          <w:noProof/>
          <w:lang w:val="es-CO" w:eastAsia="en-GB"/>
        </w:rPr>
        <w:t>la O</w:t>
      </w:r>
      <w:r w:rsidR="00FA5D80" w:rsidRPr="00044745">
        <w:rPr>
          <w:noProof/>
          <w:lang w:val="es-CO" w:eastAsia="en-GB"/>
        </w:rPr>
        <w:t>ACNUDH</w:t>
      </w:r>
      <w:r w:rsidR="00FA5D80" w:rsidRPr="00044745">
        <w:rPr>
          <w:noProof/>
          <w:vertAlign w:val="superscript"/>
          <w:lang w:val="es-CO" w:eastAsia="en-GB"/>
        </w:rPr>
        <w:footnoteReference w:id="19"/>
      </w:r>
      <w:r w:rsidR="00FA5D80" w:rsidRPr="00044745">
        <w:rPr>
          <w:noProof/>
          <w:lang w:val="es-CO" w:eastAsia="en-GB"/>
        </w:rPr>
        <w:t>, la definición de responsibilidad de mando establecida en el Acto Legislativo de 2017 y en la ley estatutaria de la JEP no se ajusta a l</w:t>
      </w:r>
      <w:r w:rsidR="00D471FE">
        <w:rPr>
          <w:noProof/>
          <w:lang w:val="es-CO" w:eastAsia="en-GB"/>
        </w:rPr>
        <w:t>os</w:t>
      </w:r>
      <w:r w:rsidR="00FA5D80" w:rsidRPr="00044745">
        <w:rPr>
          <w:noProof/>
          <w:lang w:val="es-CO" w:eastAsia="en-GB"/>
        </w:rPr>
        <w:t xml:space="preserve"> </w:t>
      </w:r>
      <w:r w:rsidR="00D471FE">
        <w:rPr>
          <w:noProof/>
          <w:lang w:val="es-CO" w:eastAsia="en-GB"/>
        </w:rPr>
        <w:t xml:space="preserve">estándares </w:t>
      </w:r>
      <w:r w:rsidR="00FA5D80" w:rsidRPr="00044745">
        <w:rPr>
          <w:noProof/>
          <w:lang w:val="es-CO" w:eastAsia="en-GB"/>
        </w:rPr>
        <w:t xml:space="preserve"> internacionales. La Fiscal de la Corte Penal Internacional alertó que</w:t>
      </w:r>
      <w:r w:rsidR="001214BA">
        <w:rPr>
          <w:noProof/>
          <w:lang w:val="es-CO" w:eastAsia="en-GB"/>
        </w:rPr>
        <w:t xml:space="preserve"> este</w:t>
      </w:r>
      <w:r w:rsidR="00FA5D80" w:rsidRPr="00044745">
        <w:rPr>
          <w:noProof/>
          <w:lang w:val="es-CO" w:eastAsia="en-GB"/>
        </w:rPr>
        <w:t xml:space="preserve"> hecho “podría frustrar los esfuerzos de Colombia por cumplir con su deber de investigar y sancionar los crímenes internacionales</w:t>
      </w:r>
      <w:r w:rsidR="00FA5D80" w:rsidRPr="00044745">
        <w:rPr>
          <w:noProof/>
          <w:vertAlign w:val="superscript"/>
          <w:lang w:val="es-CO" w:eastAsia="en-GB"/>
        </w:rPr>
        <w:footnoteReference w:id="20"/>
      </w:r>
      <w:r w:rsidR="00FA5D80" w:rsidRPr="00044745">
        <w:rPr>
          <w:noProof/>
          <w:lang w:val="es-CO" w:eastAsia="en-GB"/>
        </w:rPr>
        <w:t xml:space="preserve">”. </w:t>
      </w:r>
      <w:r w:rsidR="001920EE">
        <w:rPr>
          <w:noProof/>
          <w:lang w:val="es-CO" w:eastAsia="en-GB"/>
        </w:rPr>
        <w:t>Esta</w:t>
      </w:r>
      <w:r w:rsidR="00B906EB" w:rsidRPr="00044745">
        <w:rPr>
          <w:noProof/>
          <w:lang w:val="es-CO" w:eastAsia="en-GB"/>
        </w:rPr>
        <w:t xml:space="preserve"> norma</w:t>
      </w:r>
      <w:r w:rsidR="00D471FE">
        <w:rPr>
          <w:noProof/>
          <w:lang w:val="es-CO" w:eastAsia="en-GB"/>
        </w:rPr>
        <w:t xml:space="preserve">tividad </w:t>
      </w:r>
      <w:r w:rsidR="00B906EB" w:rsidRPr="00044745">
        <w:rPr>
          <w:noProof/>
          <w:lang w:val="es-CO" w:eastAsia="en-GB"/>
        </w:rPr>
        <w:t xml:space="preserve"> hace prácticamente imposible probar la responsabilidad por omisión de los comandantes militares</w:t>
      </w:r>
      <w:r w:rsidR="00D471FE">
        <w:rPr>
          <w:noProof/>
          <w:lang w:val="es-CO" w:eastAsia="en-GB"/>
        </w:rPr>
        <w:t>,</w:t>
      </w:r>
      <w:r w:rsidR="009E0341" w:rsidRPr="00044745">
        <w:rPr>
          <w:noProof/>
          <w:lang w:val="es-CO" w:eastAsia="en-GB"/>
        </w:rPr>
        <w:t>afecta</w:t>
      </w:r>
      <w:r w:rsidR="00D471FE">
        <w:rPr>
          <w:noProof/>
          <w:lang w:val="es-CO" w:eastAsia="en-GB"/>
        </w:rPr>
        <w:t>ndo</w:t>
      </w:r>
      <w:r w:rsidR="009E0341" w:rsidRPr="00044745">
        <w:rPr>
          <w:noProof/>
          <w:lang w:val="es-CO" w:eastAsia="en-GB"/>
        </w:rPr>
        <w:t xml:space="preserve"> de manera importante la capacidad de la JEP de garantizar la rendición de cuentas de los máximos responsables.</w:t>
      </w:r>
      <w:r w:rsidR="001544A7" w:rsidRPr="00044745">
        <w:rPr>
          <w:noProof/>
          <w:lang w:val="es-CO" w:eastAsia="en-GB"/>
        </w:rPr>
        <w:t xml:space="preserve"> </w:t>
      </w:r>
    </w:p>
    <w:p w14:paraId="623C0F65" w14:textId="533C2E5F" w:rsidR="001544A7" w:rsidRPr="00044745" w:rsidRDefault="00F82758" w:rsidP="003C5B8D">
      <w:pPr>
        <w:pStyle w:val="SingleTxtG"/>
        <w:rPr>
          <w:noProof/>
          <w:lang w:val="es-CO" w:eastAsia="en-GB"/>
        </w:rPr>
      </w:pPr>
      <w:r w:rsidRPr="00044745">
        <w:rPr>
          <w:noProof/>
          <w:lang w:val="es-CO" w:eastAsia="en-GB"/>
        </w:rPr>
        <w:t>9</w:t>
      </w:r>
      <w:r w:rsidR="00C94319" w:rsidRPr="00044745">
        <w:rPr>
          <w:noProof/>
          <w:lang w:val="es-CO" w:eastAsia="en-GB"/>
        </w:rPr>
        <w:t>1</w:t>
      </w:r>
      <w:r w:rsidR="001544A7" w:rsidRPr="00044745">
        <w:rPr>
          <w:noProof/>
          <w:lang w:val="es-CO" w:eastAsia="en-GB"/>
        </w:rPr>
        <w:t>.</w:t>
      </w:r>
      <w:r w:rsidR="001544A7" w:rsidRPr="00044745">
        <w:rPr>
          <w:noProof/>
          <w:lang w:val="es-CO" w:eastAsia="en-GB"/>
        </w:rPr>
        <w:tab/>
      </w:r>
      <w:r w:rsidR="009E0341" w:rsidRPr="00044745">
        <w:rPr>
          <w:noProof/>
          <w:lang w:val="es-CO" w:eastAsia="en-GB"/>
        </w:rPr>
        <w:t xml:space="preserve">A pesar de la conceptualización adecuada y del trabajo importante realizado por el Comité de Escogencia del Sistema Integral, </w:t>
      </w:r>
      <w:r w:rsidR="009D2C39" w:rsidRPr="00044745">
        <w:rPr>
          <w:noProof/>
          <w:lang w:val="es-CO" w:eastAsia="en-GB"/>
        </w:rPr>
        <w:t xml:space="preserve">preocupa gravemente </w:t>
      </w:r>
      <w:r w:rsidR="009E0341" w:rsidRPr="00044745">
        <w:rPr>
          <w:noProof/>
          <w:lang w:val="es-CO" w:eastAsia="en-GB"/>
        </w:rPr>
        <w:t>a</w:t>
      </w:r>
      <w:r w:rsidR="00D471FE">
        <w:rPr>
          <w:noProof/>
          <w:lang w:val="es-CO" w:eastAsia="en-GB"/>
        </w:rPr>
        <w:t xml:space="preserve"> </w:t>
      </w:r>
      <w:r w:rsidR="009E0341" w:rsidRPr="00044745">
        <w:rPr>
          <w:noProof/>
          <w:lang w:val="es-CO" w:eastAsia="en-GB"/>
        </w:rPr>
        <w:t>l</w:t>
      </w:r>
      <w:r w:rsidR="00D471FE">
        <w:rPr>
          <w:noProof/>
          <w:lang w:val="es-CO" w:eastAsia="en-GB"/>
        </w:rPr>
        <w:t>a</w:t>
      </w:r>
      <w:r w:rsidR="009E0341" w:rsidRPr="00044745">
        <w:rPr>
          <w:noProof/>
          <w:lang w:val="es-CO" w:eastAsia="en-GB"/>
        </w:rPr>
        <w:t xml:space="preserve"> </w:t>
      </w:r>
      <w:r w:rsidR="00D471FE">
        <w:rPr>
          <w:noProof/>
          <w:lang w:val="es-CO" w:eastAsia="en-GB"/>
        </w:rPr>
        <w:t>O</w:t>
      </w:r>
      <w:r w:rsidR="009E0341" w:rsidRPr="00044745">
        <w:rPr>
          <w:noProof/>
          <w:lang w:val="es-CO" w:eastAsia="en-GB"/>
        </w:rPr>
        <w:t xml:space="preserve">ACNUDH </w:t>
      </w:r>
      <w:r w:rsidR="009D2C39" w:rsidRPr="00044745">
        <w:rPr>
          <w:noProof/>
          <w:lang w:val="es-CO" w:eastAsia="en-GB"/>
        </w:rPr>
        <w:t xml:space="preserve">la decisión del Congreso de prohibir el nombramiento de los magistrados </w:t>
      </w:r>
      <w:r w:rsidR="004A0C64" w:rsidRPr="00044745">
        <w:rPr>
          <w:noProof/>
          <w:lang w:val="es-CO" w:eastAsia="en-GB"/>
        </w:rPr>
        <w:t xml:space="preserve">que </w:t>
      </w:r>
      <w:r w:rsidR="008802BC" w:rsidRPr="00044745">
        <w:rPr>
          <w:noProof/>
          <w:lang w:val="es-CO" w:eastAsia="en-GB"/>
        </w:rPr>
        <w:t>hubieran participado</w:t>
      </w:r>
      <w:r w:rsidR="009D2C39" w:rsidRPr="00044745">
        <w:rPr>
          <w:noProof/>
          <w:lang w:val="es-CO" w:eastAsia="en-GB"/>
        </w:rPr>
        <w:t xml:space="preserve"> en litigios contra el Estado en casos de </w:t>
      </w:r>
      <w:r w:rsidR="00D471FE">
        <w:rPr>
          <w:noProof/>
          <w:lang w:val="es-CO" w:eastAsia="en-GB"/>
        </w:rPr>
        <w:t>presuntas</w:t>
      </w:r>
      <w:r w:rsidR="009D2C39" w:rsidRPr="00044745">
        <w:rPr>
          <w:noProof/>
          <w:lang w:val="es-CO" w:eastAsia="en-GB"/>
        </w:rPr>
        <w:t xml:space="preserve"> violaciones de los derechos humanos. Esto contradice las normas internacionales y nacionales relacionadas con la independencia de la rama judicial así como el contenido del </w:t>
      </w:r>
      <w:r w:rsidR="004C2EF4">
        <w:rPr>
          <w:noProof/>
          <w:lang w:val="es-CO" w:eastAsia="en-GB"/>
        </w:rPr>
        <w:t>A</w:t>
      </w:r>
      <w:r w:rsidR="009D2C39" w:rsidRPr="00044745">
        <w:rPr>
          <w:noProof/>
          <w:lang w:val="es-CO" w:eastAsia="en-GB"/>
        </w:rPr>
        <w:t xml:space="preserve">cuerdo en relación con los perfiles y las competencias para ser </w:t>
      </w:r>
      <w:r w:rsidR="003C5B8D" w:rsidRPr="00044745">
        <w:rPr>
          <w:noProof/>
          <w:lang w:val="es-CO" w:eastAsia="en-GB"/>
        </w:rPr>
        <w:t xml:space="preserve">magistrado de la JEP. También se corre el riesgo de estigmatizar a los defensores de derechos humanos en un contexto </w:t>
      </w:r>
      <w:r w:rsidR="00D471FE">
        <w:rPr>
          <w:noProof/>
          <w:lang w:val="es-CO" w:eastAsia="en-GB"/>
        </w:rPr>
        <w:t xml:space="preserve">de aumento  en el </w:t>
      </w:r>
      <w:r w:rsidR="003C5B8D" w:rsidRPr="00044745">
        <w:rPr>
          <w:noProof/>
          <w:lang w:val="es-CO" w:eastAsia="en-GB"/>
        </w:rPr>
        <w:t>asesinato de defensores de derechos humanos.</w:t>
      </w:r>
      <w:r w:rsidR="001544A7" w:rsidRPr="00044745">
        <w:rPr>
          <w:noProof/>
          <w:lang w:val="es-CO" w:eastAsia="en-GB"/>
        </w:rPr>
        <w:t xml:space="preserve"> </w:t>
      </w:r>
    </w:p>
    <w:p w14:paraId="352793A6" w14:textId="3E3F1F1D" w:rsidR="001544A7" w:rsidRPr="00044745" w:rsidRDefault="001544A7" w:rsidP="007637FD">
      <w:pPr>
        <w:pStyle w:val="SingleTxtG"/>
        <w:rPr>
          <w:noProof/>
          <w:lang w:val="es-CO" w:eastAsia="en-GB"/>
        </w:rPr>
      </w:pPr>
      <w:r w:rsidRPr="00044745">
        <w:rPr>
          <w:noProof/>
          <w:lang w:val="es-CO" w:eastAsia="en-GB"/>
        </w:rPr>
        <w:t>9</w:t>
      </w:r>
      <w:r w:rsidR="00C94319" w:rsidRPr="00044745">
        <w:rPr>
          <w:noProof/>
          <w:lang w:val="es-CO" w:eastAsia="en-GB"/>
        </w:rPr>
        <w:t>2</w:t>
      </w:r>
      <w:r w:rsidRPr="00044745">
        <w:rPr>
          <w:noProof/>
          <w:lang w:val="es-CO" w:eastAsia="en-GB"/>
        </w:rPr>
        <w:t>.</w:t>
      </w:r>
      <w:r w:rsidRPr="00044745">
        <w:rPr>
          <w:noProof/>
          <w:lang w:val="es-CO" w:eastAsia="en-GB"/>
        </w:rPr>
        <w:tab/>
      </w:r>
      <w:r w:rsidR="00960193" w:rsidRPr="00044745">
        <w:rPr>
          <w:noProof/>
          <w:lang w:val="es-CO" w:eastAsia="en-GB"/>
        </w:rPr>
        <w:t>Preocupa a</w:t>
      </w:r>
      <w:r w:rsidR="00D471FE">
        <w:rPr>
          <w:noProof/>
          <w:lang w:val="es-CO" w:eastAsia="en-GB"/>
        </w:rPr>
        <w:t xml:space="preserve"> </w:t>
      </w:r>
      <w:r w:rsidR="003C5B8D" w:rsidRPr="00044745">
        <w:rPr>
          <w:noProof/>
          <w:lang w:val="es-CO" w:eastAsia="en-GB"/>
        </w:rPr>
        <w:t>l</w:t>
      </w:r>
      <w:r w:rsidR="00D471FE">
        <w:rPr>
          <w:noProof/>
          <w:lang w:val="es-CO" w:eastAsia="en-GB"/>
        </w:rPr>
        <w:t>a</w:t>
      </w:r>
      <w:r w:rsidR="003C5B8D" w:rsidRPr="00044745">
        <w:rPr>
          <w:noProof/>
          <w:lang w:val="es-CO" w:eastAsia="en-GB"/>
        </w:rPr>
        <w:t xml:space="preserve"> </w:t>
      </w:r>
      <w:r w:rsidR="00D471FE">
        <w:rPr>
          <w:noProof/>
          <w:lang w:val="es-CO" w:eastAsia="en-GB"/>
        </w:rPr>
        <w:t>O</w:t>
      </w:r>
      <w:r w:rsidR="003C5B8D" w:rsidRPr="00044745">
        <w:rPr>
          <w:noProof/>
          <w:lang w:val="es-CO" w:eastAsia="en-GB"/>
        </w:rPr>
        <w:t xml:space="preserve">ACNUDH </w:t>
      </w:r>
      <w:r w:rsidR="00960193" w:rsidRPr="003143CE">
        <w:rPr>
          <w:noProof/>
          <w:lang w:val="es-CO" w:eastAsia="en-GB"/>
        </w:rPr>
        <w:t>la concesión por parte</w:t>
      </w:r>
      <w:r w:rsidR="00960193" w:rsidRPr="00044745">
        <w:rPr>
          <w:noProof/>
          <w:lang w:val="es-CO" w:eastAsia="en-GB"/>
        </w:rPr>
        <w:t xml:space="preserve"> del Congreso de amnistías, indultos y tratamientos penales especiales a miembros de las FARC-EP y </w:t>
      </w:r>
      <w:r w:rsidR="003143CE">
        <w:rPr>
          <w:noProof/>
          <w:lang w:val="es-CO" w:eastAsia="en-GB"/>
        </w:rPr>
        <w:t xml:space="preserve">a </w:t>
      </w:r>
      <w:r w:rsidR="00960193" w:rsidRPr="00044745">
        <w:rPr>
          <w:noProof/>
          <w:lang w:val="es-CO" w:eastAsia="en-GB"/>
        </w:rPr>
        <w:t xml:space="preserve">militares colombianos </w:t>
      </w:r>
      <w:r w:rsidR="00487150" w:rsidRPr="00044745">
        <w:rPr>
          <w:noProof/>
          <w:lang w:val="es-CO" w:eastAsia="en-GB"/>
        </w:rPr>
        <w:t xml:space="preserve">condenados o acusados de </w:t>
      </w:r>
      <w:r w:rsidR="00D471FE">
        <w:rPr>
          <w:noProof/>
          <w:lang w:val="es-CO" w:eastAsia="en-GB"/>
        </w:rPr>
        <w:t xml:space="preserve">violaciones </w:t>
      </w:r>
      <w:r w:rsidR="00487150" w:rsidRPr="00044745">
        <w:rPr>
          <w:noProof/>
          <w:lang w:val="es-CO" w:eastAsia="en-GB"/>
        </w:rPr>
        <w:t xml:space="preserve"> de derechos humanos que</w:t>
      </w:r>
      <w:r w:rsidR="00D471FE">
        <w:rPr>
          <w:noProof/>
          <w:lang w:val="es-CO" w:eastAsia="en-GB"/>
        </w:rPr>
        <w:t>,</w:t>
      </w:r>
      <w:r w:rsidR="00044AE0" w:rsidRPr="00044745">
        <w:rPr>
          <w:noProof/>
          <w:lang w:val="es-CO" w:eastAsia="en-GB"/>
        </w:rPr>
        <w:t>en el derecho internacional</w:t>
      </w:r>
      <w:r w:rsidR="00D471FE">
        <w:rPr>
          <w:noProof/>
          <w:lang w:val="es-CO" w:eastAsia="en-GB"/>
        </w:rPr>
        <w:t>,</w:t>
      </w:r>
      <w:r w:rsidR="00044AE0" w:rsidRPr="00044745">
        <w:rPr>
          <w:noProof/>
          <w:lang w:val="es-CO" w:eastAsia="en-GB"/>
        </w:rPr>
        <w:t xml:space="preserve"> </w:t>
      </w:r>
      <w:r w:rsidR="00487150" w:rsidRPr="00044745">
        <w:rPr>
          <w:noProof/>
          <w:lang w:val="es-CO" w:eastAsia="en-GB"/>
        </w:rPr>
        <w:t xml:space="preserve">no </w:t>
      </w:r>
      <w:r w:rsidR="00044AE0" w:rsidRPr="00044745">
        <w:rPr>
          <w:noProof/>
          <w:lang w:val="es-CO" w:eastAsia="en-GB"/>
        </w:rPr>
        <w:t xml:space="preserve">son objeto de </w:t>
      </w:r>
      <w:r w:rsidR="00487150" w:rsidRPr="00044745">
        <w:rPr>
          <w:noProof/>
          <w:lang w:val="es-CO" w:eastAsia="en-GB"/>
        </w:rPr>
        <w:t>amnist</w:t>
      </w:r>
      <w:r w:rsidR="00044AE0" w:rsidRPr="00044745">
        <w:rPr>
          <w:noProof/>
          <w:lang w:val="es-CO" w:eastAsia="en-GB"/>
        </w:rPr>
        <w:t xml:space="preserve">ía. A estos individuos se les ha otorgado la libertad condicional con pocas condiciones, por ejemplo, sin una efectiva colaboración en términos de justicia, verdad, reparación y garantías de no repetición. Esto afecta la legitimidad del Sistema Integral. La </w:t>
      </w:r>
      <w:r w:rsidR="009B6EDC" w:rsidRPr="00044745">
        <w:rPr>
          <w:noProof/>
          <w:lang w:val="es-CO" w:eastAsia="en-GB"/>
        </w:rPr>
        <w:t xml:space="preserve">manera en que se aplica la </w:t>
      </w:r>
      <w:r w:rsidR="00044AE0" w:rsidRPr="00044745">
        <w:rPr>
          <w:noProof/>
          <w:lang w:val="es-CO" w:eastAsia="en-GB"/>
        </w:rPr>
        <w:t>Ley de Amnistías</w:t>
      </w:r>
      <w:r w:rsidR="009B6EDC" w:rsidRPr="00044745">
        <w:rPr>
          <w:noProof/>
          <w:lang w:val="es-CO" w:eastAsia="en-GB"/>
        </w:rPr>
        <w:t xml:space="preserve"> en estos casos puede generar beneficios para </w:t>
      </w:r>
      <w:r w:rsidR="003143CE">
        <w:rPr>
          <w:noProof/>
          <w:lang w:val="es-CO" w:eastAsia="en-GB"/>
        </w:rPr>
        <w:t xml:space="preserve">los </w:t>
      </w:r>
      <w:r w:rsidR="009B6EDC" w:rsidRPr="00044745">
        <w:rPr>
          <w:noProof/>
          <w:lang w:val="es-CO" w:eastAsia="en-GB"/>
        </w:rPr>
        <w:t xml:space="preserve">perpetradores en lugar del tratamiento alternativo o no retributivo previsto mediante su participación en el Sistema Integral establecido en el </w:t>
      </w:r>
      <w:r w:rsidR="003143CE">
        <w:rPr>
          <w:noProof/>
          <w:lang w:val="es-CO" w:eastAsia="en-GB"/>
        </w:rPr>
        <w:t>A</w:t>
      </w:r>
      <w:r w:rsidR="009B6EDC" w:rsidRPr="00044745">
        <w:rPr>
          <w:noProof/>
          <w:lang w:val="es-CO" w:eastAsia="en-GB"/>
        </w:rPr>
        <w:t xml:space="preserve">cuerdo. Al 24 de noviembre, la Secretaría Ejecutiva de la JEP reportó </w:t>
      </w:r>
      <w:r w:rsidR="00C852CA">
        <w:rPr>
          <w:noProof/>
          <w:lang w:val="es-CO" w:eastAsia="en-GB"/>
        </w:rPr>
        <w:t>que 2.381 ex</w:t>
      </w:r>
      <w:r w:rsidR="009B6EDC" w:rsidRPr="00044745">
        <w:rPr>
          <w:noProof/>
          <w:lang w:val="es-CO" w:eastAsia="en-GB"/>
        </w:rPr>
        <w:t>miembros de las FARC-EP y 1.011 miembros de las fuerzas armadas</w:t>
      </w:r>
      <w:r w:rsidR="004C79CD">
        <w:rPr>
          <w:noProof/>
          <w:lang w:val="es-CO" w:eastAsia="en-GB"/>
        </w:rPr>
        <w:t xml:space="preserve"> salieron de la cárcel</w:t>
      </w:r>
      <w:r w:rsidR="009B6EDC" w:rsidRPr="00044745">
        <w:rPr>
          <w:noProof/>
          <w:lang w:val="es-CO" w:eastAsia="en-GB"/>
        </w:rPr>
        <w:t xml:space="preserve">. </w:t>
      </w:r>
      <w:r w:rsidR="00C852CA">
        <w:rPr>
          <w:noProof/>
          <w:lang w:val="es-CO" w:eastAsia="en-GB"/>
        </w:rPr>
        <w:t>La</w:t>
      </w:r>
      <w:r w:rsidR="007637FD" w:rsidRPr="00044745">
        <w:rPr>
          <w:noProof/>
          <w:lang w:val="es-CO" w:eastAsia="en-GB"/>
        </w:rPr>
        <w:t xml:space="preserve"> </w:t>
      </w:r>
      <w:r w:rsidR="004C79CD">
        <w:rPr>
          <w:noProof/>
          <w:lang w:val="es-CO" w:eastAsia="en-GB"/>
        </w:rPr>
        <w:t>O</w:t>
      </w:r>
      <w:r w:rsidR="007637FD" w:rsidRPr="00044745">
        <w:rPr>
          <w:noProof/>
          <w:lang w:val="es-CO" w:eastAsia="en-GB"/>
        </w:rPr>
        <w:t xml:space="preserve">ACNUDH observó que no se ha proporcionado ninguna información sobre el paradero de </w:t>
      </w:r>
      <w:r w:rsidR="004C79CD">
        <w:rPr>
          <w:noProof/>
          <w:lang w:val="es-CO" w:eastAsia="en-GB"/>
        </w:rPr>
        <w:t xml:space="preserve">aquellos que </w:t>
      </w:r>
      <w:r w:rsidR="00C852CA">
        <w:rPr>
          <w:noProof/>
          <w:lang w:val="es-CO" w:eastAsia="en-GB"/>
        </w:rPr>
        <w:t>han sido</w:t>
      </w:r>
      <w:r w:rsidR="007637FD" w:rsidRPr="00044745">
        <w:rPr>
          <w:noProof/>
          <w:lang w:val="es-CO" w:eastAsia="en-GB"/>
        </w:rPr>
        <w:t xml:space="preserve"> liberados ni </w:t>
      </w:r>
      <w:r w:rsidR="003143CE">
        <w:rPr>
          <w:noProof/>
          <w:lang w:val="es-CO" w:eastAsia="en-GB"/>
        </w:rPr>
        <w:t xml:space="preserve">sobre </w:t>
      </w:r>
      <w:r w:rsidR="007637FD" w:rsidRPr="00044745">
        <w:rPr>
          <w:noProof/>
          <w:lang w:val="es-CO" w:eastAsia="en-GB"/>
        </w:rPr>
        <w:t xml:space="preserve">si van a colaborar con, por ejemplo, la verdad y </w:t>
      </w:r>
      <w:r w:rsidR="003143CE">
        <w:rPr>
          <w:noProof/>
          <w:lang w:val="es-CO" w:eastAsia="en-GB"/>
        </w:rPr>
        <w:t>la reparación</w:t>
      </w:r>
      <w:r w:rsidR="007637FD" w:rsidRPr="00044745">
        <w:rPr>
          <w:noProof/>
          <w:lang w:val="es-CO" w:eastAsia="en-GB"/>
        </w:rPr>
        <w:t>.</w:t>
      </w:r>
    </w:p>
    <w:p w14:paraId="4A5807BE" w14:textId="687E1B18" w:rsidR="001544A7" w:rsidRPr="00044745" w:rsidRDefault="004E5805" w:rsidP="00165D55">
      <w:pPr>
        <w:pStyle w:val="SingleTxtG"/>
        <w:rPr>
          <w:noProof/>
          <w:lang w:val="es-CO" w:eastAsia="en-GB"/>
        </w:rPr>
      </w:pPr>
      <w:r w:rsidRPr="00044745">
        <w:rPr>
          <w:noProof/>
          <w:lang w:val="es-CO" w:eastAsia="en-GB"/>
        </w:rPr>
        <w:t>9</w:t>
      </w:r>
      <w:r w:rsidR="00C94319" w:rsidRPr="00044745">
        <w:rPr>
          <w:noProof/>
          <w:lang w:val="es-CO" w:eastAsia="en-GB"/>
        </w:rPr>
        <w:t>3</w:t>
      </w:r>
      <w:r w:rsidR="008A2733" w:rsidRPr="00044745">
        <w:rPr>
          <w:noProof/>
          <w:lang w:val="es-CO" w:eastAsia="en-GB"/>
        </w:rPr>
        <w:t>.</w:t>
      </w:r>
      <w:r w:rsidR="008A2733" w:rsidRPr="00044745">
        <w:rPr>
          <w:noProof/>
          <w:lang w:val="es-CO" w:eastAsia="en-GB"/>
        </w:rPr>
        <w:tab/>
      </w:r>
      <w:r w:rsidR="004C79CD">
        <w:rPr>
          <w:noProof/>
          <w:lang w:val="es-CO" w:eastAsia="en-GB"/>
        </w:rPr>
        <w:t xml:space="preserve">La </w:t>
      </w:r>
      <w:r w:rsidR="007637FD" w:rsidRPr="00044745">
        <w:rPr>
          <w:noProof/>
          <w:lang w:val="es-CO" w:eastAsia="en-GB"/>
        </w:rPr>
        <w:t xml:space="preserve"> </w:t>
      </w:r>
      <w:r w:rsidR="004C79CD">
        <w:rPr>
          <w:noProof/>
          <w:lang w:val="es-CO" w:eastAsia="en-GB"/>
        </w:rPr>
        <w:t>O</w:t>
      </w:r>
      <w:r w:rsidR="007637FD" w:rsidRPr="00044745">
        <w:rPr>
          <w:noProof/>
          <w:lang w:val="es-CO" w:eastAsia="en-GB"/>
        </w:rPr>
        <w:t xml:space="preserve">ACNUDH señala con preocupación que de los 36 exmiembros de las FARC-EP asesinados en 2017, 11 habían recibido amnistías y fueron liberados de la carcel sin un programa de reinserción/reintegración. </w:t>
      </w:r>
      <w:r w:rsidR="004C79CD">
        <w:rPr>
          <w:noProof/>
          <w:lang w:val="es-CO" w:eastAsia="en-GB"/>
        </w:rPr>
        <w:t>La</w:t>
      </w:r>
      <w:r w:rsidR="007637FD" w:rsidRPr="00044745">
        <w:rPr>
          <w:noProof/>
          <w:lang w:val="es-CO" w:eastAsia="en-GB"/>
        </w:rPr>
        <w:t xml:space="preserve"> </w:t>
      </w:r>
      <w:r w:rsidR="004C79CD">
        <w:rPr>
          <w:noProof/>
          <w:lang w:val="es-CO" w:eastAsia="en-GB"/>
        </w:rPr>
        <w:t>O</w:t>
      </w:r>
      <w:r w:rsidR="007637FD" w:rsidRPr="00044745">
        <w:rPr>
          <w:noProof/>
          <w:lang w:val="es-CO" w:eastAsia="en-GB"/>
        </w:rPr>
        <w:t xml:space="preserve">ACNUDH ha insistido que </w:t>
      </w:r>
      <w:r w:rsidR="0011182F">
        <w:rPr>
          <w:noProof/>
          <w:lang w:val="es-CO" w:eastAsia="en-GB"/>
        </w:rPr>
        <w:t xml:space="preserve">las </w:t>
      </w:r>
      <w:r w:rsidR="007637FD" w:rsidRPr="00044745">
        <w:rPr>
          <w:noProof/>
          <w:lang w:val="es-CO" w:eastAsia="en-GB"/>
        </w:rPr>
        <w:t xml:space="preserve">personas liberadas de la carcel </w:t>
      </w:r>
      <w:r w:rsidR="00165D55" w:rsidRPr="00044745">
        <w:rPr>
          <w:noProof/>
          <w:lang w:val="es-CO" w:eastAsia="en-GB"/>
        </w:rPr>
        <w:t>por medio de la amnistía o libertad condicional deberían hacer parte de un programa de reinserción/reintegración que incluiría trabajo con valor social y contribuciones a la reparación y reconciliación, lo cual también contribuiría a su seguridad.</w:t>
      </w:r>
      <w:r w:rsidR="00BB1220" w:rsidRPr="00044745">
        <w:rPr>
          <w:noProof/>
          <w:lang w:val="es-CO" w:eastAsia="en-GB"/>
        </w:rPr>
        <w:t xml:space="preserve"> </w:t>
      </w:r>
      <w:r w:rsidR="001544A7" w:rsidRPr="00044745">
        <w:rPr>
          <w:noProof/>
          <w:lang w:val="es-CO" w:eastAsia="en-GB"/>
        </w:rPr>
        <w:t xml:space="preserve"> </w:t>
      </w:r>
    </w:p>
    <w:p w14:paraId="2E2DE5F5" w14:textId="2C166FD2" w:rsidR="001544A7" w:rsidRPr="00044745" w:rsidRDefault="00F82758" w:rsidP="00F46A40">
      <w:pPr>
        <w:pStyle w:val="SingleTxtG"/>
        <w:rPr>
          <w:noProof/>
          <w:lang w:val="es-CO" w:eastAsia="en-GB"/>
        </w:rPr>
      </w:pPr>
      <w:r w:rsidRPr="00044745">
        <w:rPr>
          <w:noProof/>
          <w:lang w:val="es-CO" w:eastAsia="en-GB"/>
        </w:rPr>
        <w:lastRenderedPageBreak/>
        <w:t>9</w:t>
      </w:r>
      <w:r w:rsidR="00C94319" w:rsidRPr="00044745">
        <w:rPr>
          <w:noProof/>
          <w:lang w:val="es-CO" w:eastAsia="en-GB"/>
        </w:rPr>
        <w:t>4</w:t>
      </w:r>
      <w:r w:rsidR="001544A7" w:rsidRPr="00044745">
        <w:rPr>
          <w:noProof/>
          <w:lang w:val="es-CO" w:eastAsia="en-GB"/>
        </w:rPr>
        <w:t>.</w:t>
      </w:r>
      <w:r w:rsidR="001544A7" w:rsidRPr="00044745">
        <w:rPr>
          <w:noProof/>
          <w:lang w:val="es-CO" w:eastAsia="en-GB"/>
        </w:rPr>
        <w:tab/>
      </w:r>
      <w:r w:rsidR="004C79CD">
        <w:rPr>
          <w:noProof/>
          <w:lang w:val="es-CO" w:eastAsia="en-GB"/>
        </w:rPr>
        <w:t>La</w:t>
      </w:r>
      <w:r w:rsidR="00165D55" w:rsidRPr="00044745">
        <w:rPr>
          <w:noProof/>
          <w:lang w:val="es-CO" w:eastAsia="en-GB"/>
        </w:rPr>
        <w:t xml:space="preserve"> </w:t>
      </w:r>
      <w:r w:rsidR="004C79CD">
        <w:rPr>
          <w:noProof/>
          <w:lang w:val="es-CO" w:eastAsia="en-GB"/>
        </w:rPr>
        <w:t>O</w:t>
      </w:r>
      <w:r w:rsidR="00165D55" w:rsidRPr="00044745">
        <w:rPr>
          <w:noProof/>
          <w:lang w:val="es-CO" w:eastAsia="en-GB"/>
        </w:rPr>
        <w:t xml:space="preserve">ACNUDH </w:t>
      </w:r>
      <w:r w:rsidR="004C79CD">
        <w:rPr>
          <w:noProof/>
          <w:lang w:val="es-CO" w:eastAsia="en-GB"/>
        </w:rPr>
        <w:t xml:space="preserve">nota </w:t>
      </w:r>
      <w:r w:rsidR="00165D55" w:rsidRPr="00044745">
        <w:rPr>
          <w:noProof/>
          <w:lang w:val="es-CO" w:eastAsia="en-GB"/>
        </w:rPr>
        <w:t xml:space="preserve"> la falta de consistencia en la aplicación de la ley de amnistía por parte de la rama judicial, lo que da lugar a que casos similares reciban tratamientos diferentes. </w:t>
      </w:r>
      <w:r w:rsidR="00F46A40" w:rsidRPr="00044745">
        <w:rPr>
          <w:noProof/>
          <w:lang w:val="es-CO" w:eastAsia="en-GB"/>
        </w:rPr>
        <w:t xml:space="preserve">De esta manera, algunos exmiembros de las FARC-EP fueron liberados con imputaciones similares a otros que </w:t>
      </w:r>
      <w:r w:rsidR="0011182F">
        <w:rPr>
          <w:noProof/>
          <w:lang w:val="es-CO" w:eastAsia="en-GB"/>
        </w:rPr>
        <w:t xml:space="preserve">aún </w:t>
      </w:r>
      <w:r w:rsidR="00F46A40" w:rsidRPr="00044745">
        <w:rPr>
          <w:noProof/>
          <w:lang w:val="es-CO" w:eastAsia="en-GB"/>
        </w:rPr>
        <w:t>permanecen en prisión.</w:t>
      </w:r>
      <w:r w:rsidR="001544A7" w:rsidRPr="00044745">
        <w:rPr>
          <w:noProof/>
          <w:lang w:val="es-CO" w:eastAsia="en-GB"/>
        </w:rPr>
        <w:t xml:space="preserve">  </w:t>
      </w:r>
    </w:p>
    <w:p w14:paraId="31DBAAFE" w14:textId="4F831740" w:rsidR="00F46A40" w:rsidRPr="00044745" w:rsidRDefault="00F82758" w:rsidP="001544A7">
      <w:pPr>
        <w:pStyle w:val="SingleTxtG"/>
        <w:rPr>
          <w:noProof/>
          <w:lang w:val="es-CO" w:eastAsia="en-GB"/>
        </w:rPr>
      </w:pPr>
      <w:r w:rsidRPr="00044745">
        <w:rPr>
          <w:noProof/>
          <w:lang w:val="es-CO" w:eastAsia="en-GB"/>
        </w:rPr>
        <w:t>9</w:t>
      </w:r>
      <w:r w:rsidR="00C94319" w:rsidRPr="00044745">
        <w:rPr>
          <w:noProof/>
          <w:lang w:val="es-CO" w:eastAsia="en-GB"/>
        </w:rPr>
        <w:t>5</w:t>
      </w:r>
      <w:r w:rsidR="001544A7" w:rsidRPr="00044745">
        <w:rPr>
          <w:noProof/>
          <w:lang w:val="es-CO" w:eastAsia="en-GB"/>
        </w:rPr>
        <w:t>.</w:t>
      </w:r>
      <w:r w:rsidR="001544A7" w:rsidRPr="00044745">
        <w:rPr>
          <w:noProof/>
          <w:lang w:val="es-CO" w:eastAsia="en-GB"/>
        </w:rPr>
        <w:tab/>
      </w:r>
      <w:r w:rsidR="004C79CD">
        <w:rPr>
          <w:noProof/>
          <w:lang w:val="es-CO" w:eastAsia="en-GB"/>
        </w:rPr>
        <w:t xml:space="preserve">La </w:t>
      </w:r>
      <w:r w:rsidR="00F46A40" w:rsidRPr="00044745">
        <w:rPr>
          <w:noProof/>
          <w:lang w:val="es-CO" w:eastAsia="en-GB"/>
        </w:rPr>
        <w:t xml:space="preserve"> </w:t>
      </w:r>
      <w:r w:rsidR="004C79CD">
        <w:rPr>
          <w:noProof/>
          <w:lang w:val="es-CO" w:eastAsia="en-GB"/>
        </w:rPr>
        <w:t>O</w:t>
      </w:r>
      <w:r w:rsidR="00F46A40" w:rsidRPr="00044745">
        <w:rPr>
          <w:noProof/>
          <w:lang w:val="es-CO" w:eastAsia="en-GB"/>
        </w:rPr>
        <w:t>ACNUDH reitera que la CEV es la instancia legítima establecid</w:t>
      </w:r>
      <w:r w:rsidR="004C79CD">
        <w:rPr>
          <w:noProof/>
          <w:lang w:val="es-CO" w:eastAsia="en-GB"/>
        </w:rPr>
        <w:t>a</w:t>
      </w:r>
      <w:r w:rsidR="00F46A40" w:rsidRPr="00044745">
        <w:rPr>
          <w:noProof/>
          <w:lang w:val="es-CO" w:eastAsia="en-GB"/>
        </w:rPr>
        <w:t xml:space="preserve"> por el </w:t>
      </w:r>
      <w:r w:rsidR="0009346C">
        <w:rPr>
          <w:noProof/>
          <w:lang w:val="es-CO" w:eastAsia="en-GB"/>
        </w:rPr>
        <w:t>A</w:t>
      </w:r>
      <w:r w:rsidR="00F46A40" w:rsidRPr="00044745">
        <w:rPr>
          <w:noProof/>
          <w:lang w:val="es-CO" w:eastAsia="en-GB"/>
        </w:rPr>
        <w:t xml:space="preserve">cuerdo para esclarecer la verdad sobre las violaciones y </w:t>
      </w:r>
      <w:r w:rsidR="0009346C">
        <w:rPr>
          <w:noProof/>
          <w:lang w:val="es-CO" w:eastAsia="en-GB"/>
        </w:rPr>
        <w:t xml:space="preserve">los </w:t>
      </w:r>
      <w:r w:rsidR="00F46A40" w:rsidRPr="00044745">
        <w:rPr>
          <w:noProof/>
          <w:lang w:val="es-CO" w:eastAsia="en-GB"/>
        </w:rPr>
        <w:t xml:space="preserve">abusos del pasado. La Comisión de la verdad de la </w:t>
      </w:r>
      <w:r w:rsidR="004C79CD">
        <w:rPr>
          <w:noProof/>
          <w:lang w:val="es-CO" w:eastAsia="en-GB"/>
        </w:rPr>
        <w:t>R</w:t>
      </w:r>
      <w:r w:rsidR="00F46A40" w:rsidRPr="00044745">
        <w:rPr>
          <w:noProof/>
          <w:lang w:val="es-CO" w:eastAsia="en-GB"/>
        </w:rPr>
        <w:t xml:space="preserve">eserva </w:t>
      </w:r>
      <w:r w:rsidR="004C79CD">
        <w:rPr>
          <w:noProof/>
          <w:lang w:val="es-CO" w:eastAsia="en-GB"/>
        </w:rPr>
        <w:t>A</w:t>
      </w:r>
      <w:r w:rsidR="00F46A40" w:rsidRPr="00044745">
        <w:rPr>
          <w:noProof/>
          <w:lang w:val="es-CO" w:eastAsia="en-GB"/>
        </w:rPr>
        <w:t xml:space="preserve">ctiva de las </w:t>
      </w:r>
      <w:r w:rsidR="004C79CD">
        <w:rPr>
          <w:noProof/>
          <w:lang w:val="es-CO" w:eastAsia="en-GB"/>
        </w:rPr>
        <w:t>F</w:t>
      </w:r>
      <w:r w:rsidR="00F46A40" w:rsidRPr="00044745">
        <w:rPr>
          <w:noProof/>
          <w:lang w:val="es-CO" w:eastAsia="en-GB"/>
        </w:rPr>
        <w:t xml:space="preserve">uerzas </w:t>
      </w:r>
      <w:r w:rsidR="004C79CD">
        <w:rPr>
          <w:noProof/>
          <w:lang w:val="es-CO" w:eastAsia="en-GB"/>
        </w:rPr>
        <w:t>A</w:t>
      </w:r>
      <w:r w:rsidR="00F46A40" w:rsidRPr="00044745">
        <w:rPr>
          <w:noProof/>
          <w:lang w:val="es-CO" w:eastAsia="en-GB"/>
        </w:rPr>
        <w:t xml:space="preserve">rmadas y de la Policía Nacional </w:t>
      </w:r>
      <w:r w:rsidR="006614A8" w:rsidRPr="00044745">
        <w:rPr>
          <w:noProof/>
          <w:lang w:val="es-CO" w:eastAsia="en-GB"/>
        </w:rPr>
        <w:t xml:space="preserve">carece de objetividad puesto que sus miembros fueron </w:t>
      </w:r>
      <w:r w:rsidR="004C79CD">
        <w:rPr>
          <w:noProof/>
          <w:lang w:val="es-CO" w:eastAsia="en-GB"/>
        </w:rPr>
        <w:t xml:space="preserve">parte </w:t>
      </w:r>
      <w:r w:rsidR="006614A8" w:rsidRPr="00044745">
        <w:rPr>
          <w:noProof/>
          <w:lang w:val="es-CO" w:eastAsia="en-GB"/>
        </w:rPr>
        <w:t xml:space="preserve"> del conflicto armado</w:t>
      </w:r>
      <w:r w:rsidR="004C79CD">
        <w:rPr>
          <w:noProof/>
          <w:lang w:val="es-CO" w:eastAsia="en-GB"/>
        </w:rPr>
        <w:t>,</w:t>
      </w:r>
      <w:r w:rsidR="006614A8" w:rsidRPr="00044745">
        <w:rPr>
          <w:noProof/>
          <w:lang w:val="es-CO" w:eastAsia="en-GB"/>
        </w:rPr>
        <w:t xml:space="preserve"> parec</w:t>
      </w:r>
      <w:r w:rsidR="004C79CD">
        <w:rPr>
          <w:noProof/>
          <w:lang w:val="es-CO" w:eastAsia="en-GB"/>
        </w:rPr>
        <w:t xml:space="preserve">iendo </w:t>
      </w:r>
      <w:r w:rsidR="006614A8" w:rsidRPr="00044745">
        <w:rPr>
          <w:noProof/>
          <w:lang w:val="es-CO" w:eastAsia="en-GB"/>
        </w:rPr>
        <w:t xml:space="preserve"> </w:t>
      </w:r>
      <w:r w:rsidR="0009346C">
        <w:rPr>
          <w:noProof/>
          <w:lang w:val="es-CO" w:eastAsia="en-GB"/>
        </w:rPr>
        <w:t xml:space="preserve">haber sido </w:t>
      </w:r>
      <w:r w:rsidR="006614A8" w:rsidRPr="00044745">
        <w:rPr>
          <w:noProof/>
          <w:lang w:val="es-CO" w:eastAsia="en-GB"/>
        </w:rPr>
        <w:t xml:space="preserve">creada con la intención de socavar la CEV. </w:t>
      </w:r>
    </w:p>
    <w:p w14:paraId="533B9496" w14:textId="65852758" w:rsidR="001544A7" w:rsidRPr="00044745" w:rsidRDefault="009010C6" w:rsidP="00A61A8C">
      <w:pPr>
        <w:pStyle w:val="SingleTxtG"/>
        <w:rPr>
          <w:noProof/>
          <w:lang w:val="es-CO" w:eastAsia="en-GB"/>
        </w:rPr>
      </w:pPr>
      <w:r w:rsidRPr="00044745">
        <w:rPr>
          <w:noProof/>
          <w:lang w:val="es-CO" w:eastAsia="en-GB"/>
        </w:rPr>
        <w:t>9</w:t>
      </w:r>
      <w:r w:rsidR="00C94319" w:rsidRPr="00044745">
        <w:rPr>
          <w:noProof/>
          <w:lang w:val="es-CO" w:eastAsia="en-GB"/>
        </w:rPr>
        <w:t>6</w:t>
      </w:r>
      <w:r w:rsidR="001544A7" w:rsidRPr="00044745">
        <w:rPr>
          <w:noProof/>
          <w:lang w:val="es-CO" w:eastAsia="en-GB"/>
        </w:rPr>
        <w:t>.</w:t>
      </w:r>
      <w:r w:rsidR="001544A7" w:rsidRPr="00044745">
        <w:rPr>
          <w:noProof/>
          <w:lang w:val="es-CO" w:eastAsia="en-GB"/>
        </w:rPr>
        <w:tab/>
      </w:r>
      <w:r w:rsidR="006614A8" w:rsidRPr="00044745">
        <w:rPr>
          <w:noProof/>
          <w:lang w:val="es-CO" w:eastAsia="en-GB"/>
        </w:rPr>
        <w:t xml:space="preserve">La búsqueda de personas desaparecidas es una obligación </w:t>
      </w:r>
      <w:r w:rsidR="00C852CA">
        <w:rPr>
          <w:noProof/>
          <w:lang w:val="es-CO" w:eastAsia="en-GB"/>
        </w:rPr>
        <w:t>significativa</w:t>
      </w:r>
      <w:r w:rsidR="006614A8" w:rsidRPr="00044745">
        <w:rPr>
          <w:noProof/>
          <w:lang w:val="es-CO" w:eastAsia="en-GB"/>
        </w:rPr>
        <w:t xml:space="preserve"> del Estado frente a las víctimas. Debido a</w:t>
      </w:r>
      <w:r w:rsidR="0009346C">
        <w:rPr>
          <w:noProof/>
          <w:lang w:val="es-CO" w:eastAsia="en-GB"/>
        </w:rPr>
        <w:t>l</w:t>
      </w:r>
      <w:r w:rsidR="006614A8" w:rsidRPr="00044745">
        <w:rPr>
          <w:noProof/>
          <w:lang w:val="es-CO" w:eastAsia="en-GB"/>
        </w:rPr>
        <w:t xml:space="preserve"> papel humanitario de la Unidad para la búsqueda de personas dadas por desaparecidas, </w:t>
      </w:r>
      <w:r w:rsidR="004C79CD">
        <w:rPr>
          <w:noProof/>
          <w:lang w:val="es-CO" w:eastAsia="en-GB"/>
        </w:rPr>
        <w:t>la</w:t>
      </w:r>
      <w:r w:rsidR="006614A8" w:rsidRPr="00044745">
        <w:rPr>
          <w:noProof/>
          <w:lang w:val="es-CO" w:eastAsia="en-GB"/>
        </w:rPr>
        <w:t xml:space="preserve"> </w:t>
      </w:r>
      <w:r w:rsidR="004C79CD">
        <w:rPr>
          <w:noProof/>
          <w:lang w:val="es-CO" w:eastAsia="en-GB"/>
        </w:rPr>
        <w:t>O</w:t>
      </w:r>
      <w:r w:rsidR="006614A8" w:rsidRPr="00044745">
        <w:rPr>
          <w:noProof/>
          <w:lang w:val="es-CO" w:eastAsia="en-GB"/>
        </w:rPr>
        <w:t xml:space="preserve">ACNUDH exhorta a la Fiscalía General de la Nación, </w:t>
      </w:r>
      <w:r w:rsidR="0009346C">
        <w:rPr>
          <w:noProof/>
          <w:lang w:val="es-CO" w:eastAsia="en-GB"/>
        </w:rPr>
        <w:t>a</w:t>
      </w:r>
      <w:r w:rsidR="006614A8" w:rsidRPr="00044745">
        <w:rPr>
          <w:noProof/>
          <w:lang w:val="es-CO" w:eastAsia="en-GB"/>
        </w:rPr>
        <w:t xml:space="preserve">l Instituto Nacional de Medicina Legal y Ciencias Forenses y a otros actores </w:t>
      </w:r>
      <w:r w:rsidR="0009346C">
        <w:rPr>
          <w:noProof/>
          <w:lang w:val="es-CO" w:eastAsia="en-GB"/>
        </w:rPr>
        <w:t xml:space="preserve">a </w:t>
      </w:r>
      <w:r w:rsidR="006614A8" w:rsidRPr="00044745">
        <w:rPr>
          <w:noProof/>
          <w:lang w:val="es-CO" w:eastAsia="en-GB"/>
        </w:rPr>
        <w:t xml:space="preserve">colaborar con la Unidad en la búsqueda, ubicación, exhumación, identificación y entrega digna de los restos. </w:t>
      </w:r>
      <w:r w:rsidR="00A61A8C" w:rsidRPr="00044745">
        <w:rPr>
          <w:noProof/>
          <w:lang w:val="es-CO" w:eastAsia="en-GB"/>
        </w:rPr>
        <w:t>Este proceso debe incluir la participación activa de las víctimas.</w:t>
      </w:r>
      <w:r w:rsidR="001544A7" w:rsidRPr="00044745">
        <w:rPr>
          <w:noProof/>
          <w:lang w:val="es-CO" w:eastAsia="en-GB"/>
        </w:rPr>
        <w:t xml:space="preserve">    </w:t>
      </w:r>
    </w:p>
    <w:p w14:paraId="2FC00ED1" w14:textId="5B17FF63" w:rsidR="001544A7" w:rsidRPr="00044745" w:rsidRDefault="009010C6" w:rsidP="00A61A8C">
      <w:pPr>
        <w:pStyle w:val="SingleTxtG"/>
        <w:rPr>
          <w:noProof/>
          <w:lang w:val="es-CO" w:eastAsia="en-GB"/>
        </w:rPr>
      </w:pPr>
      <w:r w:rsidRPr="00044745">
        <w:rPr>
          <w:noProof/>
          <w:lang w:val="es-CO" w:eastAsia="en-GB"/>
        </w:rPr>
        <w:t>9</w:t>
      </w:r>
      <w:r w:rsidR="00C94319" w:rsidRPr="00044745">
        <w:rPr>
          <w:noProof/>
          <w:lang w:val="es-CO" w:eastAsia="en-GB"/>
        </w:rPr>
        <w:t>7</w:t>
      </w:r>
      <w:r w:rsidR="001544A7" w:rsidRPr="00044745">
        <w:rPr>
          <w:noProof/>
          <w:lang w:val="es-CO" w:eastAsia="en-GB"/>
        </w:rPr>
        <w:t>.</w:t>
      </w:r>
      <w:r w:rsidR="001544A7" w:rsidRPr="00044745">
        <w:rPr>
          <w:noProof/>
          <w:lang w:val="es-CO" w:eastAsia="en-GB"/>
        </w:rPr>
        <w:tab/>
      </w:r>
      <w:r w:rsidR="004C79CD">
        <w:rPr>
          <w:noProof/>
          <w:lang w:val="es-CO" w:eastAsia="en-GB"/>
        </w:rPr>
        <w:t xml:space="preserve">La </w:t>
      </w:r>
      <w:r w:rsidR="00A61A8C" w:rsidRPr="00044745">
        <w:rPr>
          <w:noProof/>
          <w:lang w:val="es-CO" w:eastAsia="en-GB"/>
        </w:rPr>
        <w:t xml:space="preserve"> </w:t>
      </w:r>
      <w:r w:rsidR="004C79CD">
        <w:rPr>
          <w:noProof/>
          <w:lang w:val="es-CO" w:eastAsia="en-GB"/>
        </w:rPr>
        <w:t>O</w:t>
      </w:r>
      <w:r w:rsidR="00A61A8C" w:rsidRPr="00044745">
        <w:rPr>
          <w:noProof/>
          <w:lang w:val="es-CO" w:eastAsia="en-GB"/>
        </w:rPr>
        <w:t xml:space="preserve">ACNUDH insta al Estado a que garantice la sostenibilidad financiera y operativa de todos los mecanismos del Sistema Integral, </w:t>
      </w:r>
      <w:r w:rsidR="00C852CA">
        <w:rPr>
          <w:noProof/>
          <w:lang w:val="es-CO" w:eastAsia="en-GB"/>
        </w:rPr>
        <w:t>anotando</w:t>
      </w:r>
      <w:r w:rsidR="00A61A8C" w:rsidRPr="00044745">
        <w:rPr>
          <w:noProof/>
          <w:lang w:val="es-CO" w:eastAsia="en-GB"/>
        </w:rPr>
        <w:t xml:space="preserve"> que en 2017 estos </w:t>
      </w:r>
      <w:r w:rsidR="004C79CD">
        <w:rPr>
          <w:noProof/>
          <w:lang w:val="es-CO" w:eastAsia="en-GB"/>
        </w:rPr>
        <w:t>es</w:t>
      </w:r>
      <w:r w:rsidR="00A61A8C" w:rsidRPr="00044745">
        <w:rPr>
          <w:noProof/>
          <w:lang w:val="es-CO" w:eastAsia="en-GB"/>
        </w:rPr>
        <w:t>fuerzos fueron financiados en gran parte por la comunidad internacional.</w:t>
      </w:r>
    </w:p>
    <w:p w14:paraId="760536F9" w14:textId="77777777" w:rsidR="001544A7" w:rsidRPr="00044745" w:rsidRDefault="009B565D" w:rsidP="009B565D">
      <w:pPr>
        <w:pStyle w:val="H1G"/>
        <w:rPr>
          <w:noProof/>
          <w:lang w:val="es-CO" w:eastAsia="en-GB"/>
        </w:rPr>
      </w:pPr>
      <w:bookmarkStart w:id="18" w:name="_Toc503550659"/>
      <w:r w:rsidRPr="00044745">
        <w:rPr>
          <w:noProof/>
          <w:lang w:val="es-CO" w:eastAsia="en-GB"/>
        </w:rPr>
        <w:tab/>
        <w:t>B</w:t>
      </w:r>
      <w:r w:rsidR="001544A7" w:rsidRPr="00044745">
        <w:rPr>
          <w:noProof/>
          <w:lang w:val="es-CO" w:eastAsia="en-GB"/>
        </w:rPr>
        <w:t xml:space="preserve">. </w:t>
      </w:r>
      <w:r w:rsidRPr="00044745">
        <w:rPr>
          <w:noProof/>
          <w:lang w:val="es-CO" w:eastAsia="en-GB"/>
        </w:rPr>
        <w:tab/>
      </w:r>
      <w:r w:rsidR="001544A7" w:rsidRPr="00044745">
        <w:rPr>
          <w:noProof/>
          <w:lang w:val="es-CO" w:eastAsia="en-GB"/>
        </w:rPr>
        <w:t>E</w:t>
      </w:r>
      <w:r w:rsidR="00A61A8C" w:rsidRPr="00044745">
        <w:rPr>
          <w:noProof/>
          <w:lang w:val="es-CO" w:eastAsia="en-GB"/>
        </w:rPr>
        <w:t>jecuciones e</w:t>
      </w:r>
      <w:r w:rsidR="001544A7" w:rsidRPr="00044745">
        <w:rPr>
          <w:noProof/>
          <w:lang w:val="es-CO" w:eastAsia="en-GB"/>
        </w:rPr>
        <w:t>xtrajudicial</w:t>
      </w:r>
      <w:r w:rsidR="00A61A8C" w:rsidRPr="00044745">
        <w:rPr>
          <w:noProof/>
          <w:lang w:val="es-CO" w:eastAsia="en-GB"/>
        </w:rPr>
        <w:t>es del pasado</w:t>
      </w:r>
      <w:bookmarkEnd w:id="18"/>
    </w:p>
    <w:p w14:paraId="411AE080" w14:textId="42AD9442" w:rsidR="001544A7" w:rsidRPr="00044745" w:rsidRDefault="009010C6" w:rsidP="00D81C7F">
      <w:pPr>
        <w:pStyle w:val="SingleTxtG"/>
        <w:rPr>
          <w:noProof/>
          <w:lang w:val="es-CO" w:eastAsia="en-GB"/>
        </w:rPr>
      </w:pPr>
      <w:r w:rsidRPr="00044745">
        <w:rPr>
          <w:noProof/>
          <w:lang w:val="es-CO" w:eastAsia="en-GB"/>
        </w:rPr>
        <w:t>9</w:t>
      </w:r>
      <w:r w:rsidR="00C94319" w:rsidRPr="00044745">
        <w:rPr>
          <w:noProof/>
          <w:lang w:val="es-CO" w:eastAsia="en-GB"/>
        </w:rPr>
        <w:t>8</w:t>
      </w:r>
      <w:r w:rsidR="001544A7" w:rsidRPr="00044745">
        <w:rPr>
          <w:noProof/>
          <w:lang w:val="es-CO" w:eastAsia="en-GB"/>
        </w:rPr>
        <w:t>.</w:t>
      </w:r>
      <w:r w:rsidR="001544A7" w:rsidRPr="00044745">
        <w:rPr>
          <w:noProof/>
          <w:lang w:val="es-CO" w:eastAsia="en-GB"/>
        </w:rPr>
        <w:tab/>
      </w:r>
      <w:r w:rsidR="00C852CA">
        <w:rPr>
          <w:noProof/>
          <w:lang w:val="es-CO" w:eastAsia="en-GB"/>
        </w:rPr>
        <w:t>A la</w:t>
      </w:r>
      <w:r w:rsidR="00A61A8C" w:rsidRPr="00044745">
        <w:rPr>
          <w:noProof/>
          <w:lang w:val="es-CO" w:eastAsia="en-GB"/>
        </w:rPr>
        <w:t xml:space="preserve"> </w:t>
      </w:r>
      <w:r w:rsidR="00652A36">
        <w:rPr>
          <w:noProof/>
          <w:lang w:val="es-CO" w:eastAsia="en-GB"/>
        </w:rPr>
        <w:t>O</w:t>
      </w:r>
      <w:r w:rsidR="00A61A8C" w:rsidRPr="00044745">
        <w:rPr>
          <w:noProof/>
          <w:lang w:val="es-CO" w:eastAsia="en-GB"/>
        </w:rPr>
        <w:t xml:space="preserve">ACNUDH le preocupa la impunidad selectiva en casos de ejecuciones extrajudiciales </w:t>
      </w:r>
      <w:r w:rsidR="00A24455">
        <w:rPr>
          <w:noProof/>
          <w:lang w:val="es-CO" w:eastAsia="en-GB"/>
        </w:rPr>
        <w:t>cometida</w:t>
      </w:r>
      <w:r w:rsidR="00A61A8C" w:rsidRPr="00044745">
        <w:rPr>
          <w:noProof/>
          <w:lang w:val="es-CO" w:eastAsia="en-GB"/>
        </w:rPr>
        <w:t>s por miembros de las fuerzas armadas</w:t>
      </w:r>
      <w:r w:rsidR="00726378">
        <w:rPr>
          <w:noProof/>
          <w:lang w:val="es-CO" w:eastAsia="en-GB"/>
        </w:rPr>
        <w:t xml:space="preserve"> que involucran a Generales, </w:t>
      </w:r>
      <w:r w:rsidR="00A61A8C" w:rsidRPr="00044745">
        <w:rPr>
          <w:noProof/>
          <w:lang w:val="es-CO" w:eastAsia="en-GB"/>
        </w:rPr>
        <w:t xml:space="preserve">y señala que </w:t>
      </w:r>
      <w:r w:rsidR="00F26FAD" w:rsidRPr="00044745">
        <w:rPr>
          <w:noProof/>
          <w:lang w:val="es-CO" w:eastAsia="en-GB"/>
        </w:rPr>
        <w:t xml:space="preserve">esto pone en riesgo los derechos de las víctimas a </w:t>
      </w:r>
      <w:r w:rsidR="00652A36">
        <w:rPr>
          <w:noProof/>
          <w:lang w:val="es-CO" w:eastAsia="en-GB"/>
        </w:rPr>
        <w:t xml:space="preserve">la </w:t>
      </w:r>
      <w:r w:rsidR="00F26FAD" w:rsidRPr="00044745">
        <w:rPr>
          <w:noProof/>
          <w:lang w:val="es-CO" w:eastAsia="en-GB"/>
        </w:rPr>
        <w:t xml:space="preserve">justicia y </w:t>
      </w:r>
      <w:r w:rsidR="00652A36">
        <w:rPr>
          <w:noProof/>
          <w:lang w:val="es-CO" w:eastAsia="en-GB"/>
        </w:rPr>
        <w:t xml:space="preserve">a la </w:t>
      </w:r>
      <w:r w:rsidR="00F26FAD" w:rsidRPr="00044745">
        <w:rPr>
          <w:noProof/>
          <w:lang w:val="es-CO" w:eastAsia="en-GB"/>
        </w:rPr>
        <w:t xml:space="preserve">verdad. </w:t>
      </w:r>
      <w:r w:rsidR="00C852CA">
        <w:rPr>
          <w:noProof/>
          <w:lang w:val="es-CO" w:eastAsia="en-GB"/>
        </w:rPr>
        <w:t>La</w:t>
      </w:r>
      <w:r w:rsidR="00F26FAD" w:rsidRPr="00044745">
        <w:rPr>
          <w:noProof/>
          <w:lang w:val="es-CO" w:eastAsia="en-GB"/>
        </w:rPr>
        <w:t xml:space="preserve"> </w:t>
      </w:r>
      <w:r w:rsidR="00652A36">
        <w:rPr>
          <w:noProof/>
          <w:lang w:val="es-CO" w:eastAsia="en-GB"/>
        </w:rPr>
        <w:t>O</w:t>
      </w:r>
      <w:r w:rsidR="00F26FAD" w:rsidRPr="00044745">
        <w:rPr>
          <w:noProof/>
          <w:lang w:val="es-CO" w:eastAsia="en-GB"/>
        </w:rPr>
        <w:t xml:space="preserve">ACNUDH recibió </w:t>
      </w:r>
      <w:r w:rsidR="00497022">
        <w:rPr>
          <w:noProof/>
          <w:lang w:val="es-CO" w:eastAsia="en-GB"/>
        </w:rPr>
        <w:t xml:space="preserve">informacion </w:t>
      </w:r>
      <w:r w:rsidR="00F26FAD" w:rsidRPr="00044745">
        <w:rPr>
          <w:noProof/>
          <w:lang w:val="es-CO" w:eastAsia="en-GB"/>
        </w:rPr>
        <w:t xml:space="preserve"> de </w:t>
      </w:r>
      <w:r w:rsidR="00497022">
        <w:rPr>
          <w:noProof/>
          <w:lang w:val="es-CO" w:eastAsia="en-GB"/>
        </w:rPr>
        <w:t xml:space="preserve">presuntas </w:t>
      </w:r>
      <w:r w:rsidR="00F26FAD" w:rsidRPr="00044745">
        <w:rPr>
          <w:noProof/>
          <w:lang w:val="es-CO" w:eastAsia="en-GB"/>
        </w:rPr>
        <w:t xml:space="preserve">amenazas a víctimas, testigos y </w:t>
      </w:r>
      <w:r w:rsidR="00726378">
        <w:rPr>
          <w:noProof/>
          <w:lang w:val="es-CO" w:eastAsia="en-GB"/>
        </w:rPr>
        <w:t>funcionarios judiciales</w:t>
      </w:r>
      <w:r w:rsidR="00D81C7F" w:rsidRPr="00044745">
        <w:rPr>
          <w:noProof/>
          <w:lang w:val="es-CO" w:eastAsia="en-GB"/>
        </w:rPr>
        <w:t xml:space="preserve"> que participa</w:t>
      </w:r>
      <w:r w:rsidR="00726378">
        <w:rPr>
          <w:noProof/>
          <w:lang w:val="es-CO" w:eastAsia="en-GB"/>
        </w:rPr>
        <w:t>n</w:t>
      </w:r>
      <w:r w:rsidR="00D81C7F" w:rsidRPr="00044745">
        <w:rPr>
          <w:noProof/>
          <w:lang w:val="es-CO" w:eastAsia="en-GB"/>
        </w:rPr>
        <w:t xml:space="preserve"> en litigios en casos de ejecuciones extrajudiciales.</w:t>
      </w:r>
      <w:r w:rsidR="005E2C6F">
        <w:rPr>
          <w:noProof/>
          <w:lang w:val="es-CO" w:eastAsia="en-GB"/>
        </w:rPr>
        <w:t xml:space="preserve"> Las persona</w:t>
      </w:r>
      <w:r w:rsidR="00726378">
        <w:rPr>
          <w:noProof/>
          <w:lang w:val="es-CO" w:eastAsia="en-GB"/>
        </w:rPr>
        <w:t>s</w:t>
      </w:r>
      <w:r w:rsidR="005E2C6F">
        <w:rPr>
          <w:noProof/>
          <w:lang w:val="es-CO" w:eastAsia="en-GB"/>
        </w:rPr>
        <w:t xml:space="preserve"> afectadas por estas amenzas no han interpuesto denuncias formales</w:t>
      </w:r>
      <w:r w:rsidR="00A466A5">
        <w:rPr>
          <w:noProof/>
          <w:lang w:val="es-CO" w:eastAsia="en-GB"/>
        </w:rPr>
        <w:t>,</w:t>
      </w:r>
      <w:r w:rsidR="005E2C6F">
        <w:rPr>
          <w:noProof/>
          <w:lang w:val="es-CO" w:eastAsia="en-GB"/>
        </w:rPr>
        <w:t xml:space="preserve"> indicando que </w:t>
      </w:r>
      <w:r w:rsidR="00A466A5">
        <w:rPr>
          <w:noProof/>
          <w:lang w:val="es-CO" w:eastAsia="en-GB"/>
        </w:rPr>
        <w:t>desconfian de las autoridades.</w:t>
      </w:r>
      <w:r w:rsidR="005E2C6F">
        <w:rPr>
          <w:noProof/>
          <w:lang w:val="es-CO" w:eastAsia="en-GB"/>
        </w:rPr>
        <w:t xml:space="preserve"> </w:t>
      </w:r>
    </w:p>
    <w:p w14:paraId="3F2353A9" w14:textId="2B801D41" w:rsidR="001544A7" w:rsidRPr="00044745" w:rsidRDefault="009010C6" w:rsidP="00761E08">
      <w:pPr>
        <w:pStyle w:val="SingleTxtG"/>
        <w:rPr>
          <w:noProof/>
          <w:lang w:val="es-CO" w:eastAsia="en-GB"/>
        </w:rPr>
      </w:pPr>
      <w:r w:rsidRPr="00044745">
        <w:rPr>
          <w:noProof/>
          <w:lang w:val="es-CO" w:eastAsia="en-GB"/>
        </w:rPr>
        <w:t>9</w:t>
      </w:r>
      <w:r w:rsidR="00C94319" w:rsidRPr="00044745">
        <w:rPr>
          <w:noProof/>
          <w:lang w:val="es-CO" w:eastAsia="en-GB"/>
        </w:rPr>
        <w:t>9</w:t>
      </w:r>
      <w:r w:rsidR="001544A7" w:rsidRPr="00044745">
        <w:rPr>
          <w:noProof/>
          <w:lang w:val="es-CO" w:eastAsia="en-GB"/>
        </w:rPr>
        <w:t>.</w:t>
      </w:r>
      <w:r w:rsidR="001544A7" w:rsidRPr="00044745">
        <w:rPr>
          <w:noProof/>
          <w:lang w:val="es-CO" w:eastAsia="en-GB"/>
        </w:rPr>
        <w:tab/>
      </w:r>
      <w:r w:rsidR="00D81C7F" w:rsidRPr="00044745">
        <w:rPr>
          <w:noProof/>
          <w:lang w:val="es-CO" w:eastAsia="en-GB"/>
        </w:rPr>
        <w:t>En sus sentencias</w:t>
      </w:r>
      <w:r w:rsidR="00A24455">
        <w:rPr>
          <w:noProof/>
          <w:lang w:val="es-CO" w:eastAsia="en-GB"/>
        </w:rPr>
        <w:t>,</w:t>
      </w:r>
      <w:r w:rsidR="00D81C7F" w:rsidRPr="00044745">
        <w:rPr>
          <w:noProof/>
          <w:lang w:val="es-CO" w:eastAsia="en-GB"/>
        </w:rPr>
        <w:t xml:space="preserve"> el Consejo de Estado ha establecido que la</w:t>
      </w:r>
      <w:r w:rsidR="00C852CA">
        <w:rPr>
          <w:noProof/>
          <w:lang w:val="es-CO" w:eastAsia="en-GB"/>
        </w:rPr>
        <w:t>s ejecuciones extrajudiciales (</w:t>
      </w:r>
      <w:r w:rsidR="00D81C7F" w:rsidRPr="00044745">
        <w:rPr>
          <w:noProof/>
          <w:lang w:val="es-CO" w:eastAsia="en-GB"/>
        </w:rPr>
        <w:t>llamadas “falsos positivos”) fueron una práctica sistemática y generalizada</w:t>
      </w:r>
      <w:r w:rsidR="00D81C7F" w:rsidRPr="00044745">
        <w:rPr>
          <w:noProof/>
          <w:vertAlign w:val="superscript"/>
          <w:lang w:val="es-CO" w:eastAsia="en-GB"/>
        </w:rPr>
        <w:footnoteReference w:id="21"/>
      </w:r>
      <w:r w:rsidR="00D81C7F" w:rsidRPr="00044745">
        <w:rPr>
          <w:noProof/>
          <w:lang w:val="es-CO" w:eastAsia="en-GB"/>
        </w:rPr>
        <w:t xml:space="preserve">. </w:t>
      </w:r>
      <w:r w:rsidR="00652A36">
        <w:rPr>
          <w:noProof/>
          <w:lang w:val="es-CO" w:eastAsia="en-GB"/>
        </w:rPr>
        <w:t xml:space="preserve">La </w:t>
      </w:r>
      <w:r w:rsidR="00D81C7F" w:rsidRPr="00044745">
        <w:rPr>
          <w:noProof/>
          <w:lang w:val="es-CO" w:eastAsia="en-GB"/>
        </w:rPr>
        <w:t xml:space="preserve"> </w:t>
      </w:r>
      <w:r w:rsidR="00652A36">
        <w:rPr>
          <w:noProof/>
          <w:lang w:val="es-CO" w:eastAsia="en-GB"/>
        </w:rPr>
        <w:t>O</w:t>
      </w:r>
      <w:r w:rsidR="00D81C7F" w:rsidRPr="00044745">
        <w:rPr>
          <w:noProof/>
          <w:lang w:val="es-CO" w:eastAsia="en-GB"/>
        </w:rPr>
        <w:t xml:space="preserve">ACNUDH observó que oficiales de alto rango en la cadena de mando, incluyendo algunos </w:t>
      </w:r>
      <w:r w:rsidR="00820891" w:rsidRPr="00044745">
        <w:rPr>
          <w:noProof/>
          <w:lang w:val="es-CO" w:eastAsia="en-GB"/>
        </w:rPr>
        <w:t xml:space="preserve">actualmente </w:t>
      </w:r>
      <w:r w:rsidR="00D81C7F" w:rsidRPr="00044745">
        <w:rPr>
          <w:noProof/>
          <w:lang w:val="es-CO" w:eastAsia="en-GB"/>
        </w:rPr>
        <w:t>investigados por varios casos de “falsos positivos”,</w:t>
      </w:r>
      <w:r w:rsidR="00820891" w:rsidRPr="00044745">
        <w:rPr>
          <w:noProof/>
          <w:lang w:val="es-CO" w:eastAsia="en-GB"/>
        </w:rPr>
        <w:t xml:space="preserve"> fueron ascendidos en los últimos dos años,</w:t>
      </w:r>
      <w:r w:rsidR="00C852CA">
        <w:rPr>
          <w:noProof/>
          <w:lang w:val="es-CO" w:eastAsia="en-GB"/>
        </w:rPr>
        <w:t xml:space="preserve"> </w:t>
      </w:r>
      <w:r w:rsidR="00652A36">
        <w:rPr>
          <w:noProof/>
          <w:lang w:val="es-CO" w:eastAsia="en-GB"/>
        </w:rPr>
        <w:t xml:space="preserve">en vez de </w:t>
      </w:r>
      <w:r w:rsidR="00820891" w:rsidRPr="00044745">
        <w:rPr>
          <w:noProof/>
          <w:lang w:val="es-CO" w:eastAsia="en-GB"/>
        </w:rPr>
        <w:t xml:space="preserve"> haber sido sometidos a un proceso de depuración </w:t>
      </w:r>
      <w:r w:rsidR="00652A36">
        <w:rPr>
          <w:noProof/>
          <w:lang w:val="es-CO" w:eastAsia="en-GB"/>
        </w:rPr>
        <w:t>que</w:t>
      </w:r>
      <w:r w:rsidR="00820891" w:rsidRPr="00044745">
        <w:rPr>
          <w:noProof/>
          <w:lang w:val="es-CO" w:eastAsia="en-GB"/>
        </w:rPr>
        <w:t xml:space="preserve"> garanti</w:t>
      </w:r>
      <w:r w:rsidR="00652A36">
        <w:rPr>
          <w:noProof/>
          <w:lang w:val="es-CO" w:eastAsia="en-GB"/>
        </w:rPr>
        <w:t xml:space="preserve">ce </w:t>
      </w:r>
      <w:r w:rsidR="00820891" w:rsidRPr="00044745">
        <w:rPr>
          <w:noProof/>
          <w:lang w:val="es-CO" w:eastAsia="en-GB"/>
        </w:rPr>
        <w:t xml:space="preserve"> que aquellos que participaron o </w:t>
      </w:r>
      <w:r w:rsidR="00761E08" w:rsidRPr="00044745">
        <w:rPr>
          <w:noProof/>
          <w:lang w:val="es-CO" w:eastAsia="en-GB"/>
        </w:rPr>
        <w:t>no actuaron para detener estos crímenes atroces deberían</w:t>
      </w:r>
      <w:r w:rsidR="00652A36">
        <w:rPr>
          <w:noProof/>
          <w:lang w:val="es-CO" w:eastAsia="en-GB"/>
        </w:rPr>
        <w:t>,</w:t>
      </w:r>
      <w:r w:rsidR="00761E08" w:rsidRPr="00044745">
        <w:rPr>
          <w:noProof/>
          <w:lang w:val="es-CO" w:eastAsia="en-GB"/>
        </w:rPr>
        <w:t xml:space="preserve"> al menos</w:t>
      </w:r>
      <w:r w:rsidR="00652A36">
        <w:rPr>
          <w:noProof/>
          <w:lang w:val="es-CO" w:eastAsia="en-GB"/>
        </w:rPr>
        <w:t>,</w:t>
      </w:r>
      <w:r w:rsidR="00761E08" w:rsidRPr="00044745">
        <w:rPr>
          <w:noProof/>
          <w:lang w:val="es-CO" w:eastAsia="en-GB"/>
        </w:rPr>
        <w:t xml:space="preserve"> ser separados del servicio activo. Además, el dinero recibido en toda la cadena de mando</w:t>
      </w:r>
      <w:r w:rsidR="00652A36">
        <w:rPr>
          <w:noProof/>
          <w:lang w:val="es-CO" w:eastAsia="en-GB"/>
        </w:rPr>
        <w:t>,</w:t>
      </w:r>
      <w:r w:rsidR="00761E08" w:rsidRPr="00044745">
        <w:rPr>
          <w:noProof/>
          <w:lang w:val="es-CO" w:eastAsia="en-GB"/>
        </w:rPr>
        <w:t xml:space="preserve"> como bonificaciones por bajas en combate cuando en realidad fueron ejecuciones extrajudiciales</w:t>
      </w:r>
      <w:r w:rsidR="00652A36">
        <w:rPr>
          <w:noProof/>
          <w:lang w:val="es-CO" w:eastAsia="en-GB"/>
        </w:rPr>
        <w:t>,</w:t>
      </w:r>
      <w:r w:rsidR="00761E08" w:rsidRPr="00044745">
        <w:rPr>
          <w:noProof/>
          <w:lang w:val="es-CO" w:eastAsia="en-GB"/>
        </w:rPr>
        <w:t xml:space="preserve"> deber</w:t>
      </w:r>
      <w:r w:rsidR="00652A36">
        <w:rPr>
          <w:noProof/>
          <w:lang w:val="es-CO" w:eastAsia="en-GB"/>
        </w:rPr>
        <w:t>ía</w:t>
      </w:r>
      <w:r w:rsidR="00761E08" w:rsidRPr="00044745">
        <w:rPr>
          <w:noProof/>
          <w:lang w:val="es-CO" w:eastAsia="en-GB"/>
        </w:rPr>
        <w:t>n ser reembolsados y utilizados para reparar a las víctimas.</w:t>
      </w:r>
      <w:r w:rsidR="001544A7" w:rsidRPr="00044745">
        <w:rPr>
          <w:noProof/>
          <w:lang w:val="es-CO" w:eastAsia="en-GB"/>
        </w:rPr>
        <w:t xml:space="preserve"> </w:t>
      </w:r>
    </w:p>
    <w:p w14:paraId="494D46F9" w14:textId="77777777" w:rsidR="001544A7" w:rsidRPr="00044745" w:rsidRDefault="00C324C0" w:rsidP="00C324C0">
      <w:pPr>
        <w:pStyle w:val="HChG"/>
        <w:rPr>
          <w:noProof/>
          <w:lang w:val="es-CO" w:eastAsia="en-GB"/>
        </w:rPr>
      </w:pPr>
      <w:bookmarkStart w:id="19" w:name="_Toc503550660"/>
      <w:r w:rsidRPr="00044745">
        <w:rPr>
          <w:noProof/>
          <w:lang w:val="es-CO" w:eastAsia="en-GB"/>
        </w:rPr>
        <w:tab/>
      </w:r>
      <w:r w:rsidR="001544A7" w:rsidRPr="00044745">
        <w:rPr>
          <w:noProof/>
          <w:lang w:val="es-CO" w:eastAsia="en-GB"/>
        </w:rPr>
        <w:t>VI.</w:t>
      </w:r>
      <w:r w:rsidR="001544A7" w:rsidRPr="00044745">
        <w:rPr>
          <w:noProof/>
          <w:lang w:val="es-CO" w:eastAsia="en-GB"/>
        </w:rPr>
        <w:tab/>
        <w:t>Recom</w:t>
      </w:r>
      <w:r w:rsidR="00992A9C" w:rsidRPr="00044745">
        <w:rPr>
          <w:noProof/>
          <w:lang w:val="es-CO" w:eastAsia="en-GB"/>
        </w:rPr>
        <w:t>endac</w:t>
      </w:r>
      <w:r w:rsidR="001544A7" w:rsidRPr="00044745">
        <w:rPr>
          <w:noProof/>
          <w:lang w:val="es-CO" w:eastAsia="en-GB"/>
        </w:rPr>
        <w:t>ion</w:t>
      </w:r>
      <w:r w:rsidR="00992A9C" w:rsidRPr="00044745">
        <w:rPr>
          <w:noProof/>
          <w:lang w:val="es-CO" w:eastAsia="en-GB"/>
        </w:rPr>
        <w:t>e</w:t>
      </w:r>
      <w:r w:rsidR="001544A7" w:rsidRPr="00044745">
        <w:rPr>
          <w:noProof/>
          <w:lang w:val="es-CO" w:eastAsia="en-GB"/>
        </w:rPr>
        <w:t>s</w:t>
      </w:r>
      <w:bookmarkEnd w:id="19"/>
    </w:p>
    <w:p w14:paraId="34A88A5C" w14:textId="77777777" w:rsidR="001544A7" w:rsidRPr="00044745" w:rsidRDefault="00C94319" w:rsidP="001544A7">
      <w:pPr>
        <w:pStyle w:val="SingleTxtG"/>
        <w:rPr>
          <w:b/>
          <w:noProof/>
          <w:lang w:val="es-CO" w:eastAsia="en-GB"/>
        </w:rPr>
      </w:pPr>
      <w:r w:rsidRPr="00044745">
        <w:rPr>
          <w:b/>
          <w:noProof/>
          <w:lang w:val="es-CO" w:eastAsia="en-GB"/>
        </w:rPr>
        <w:t>100</w:t>
      </w:r>
      <w:r w:rsidR="009010C6" w:rsidRPr="00044745">
        <w:rPr>
          <w:b/>
          <w:noProof/>
          <w:lang w:val="es-CO" w:eastAsia="en-GB"/>
        </w:rPr>
        <w:t>.</w:t>
      </w:r>
      <w:r w:rsidR="00E36E83" w:rsidRPr="00044745">
        <w:rPr>
          <w:b/>
          <w:noProof/>
          <w:lang w:val="es-CO" w:eastAsia="en-GB"/>
        </w:rPr>
        <w:tab/>
      </w:r>
      <w:r w:rsidR="00992A9C" w:rsidRPr="00044745">
        <w:rPr>
          <w:b/>
          <w:noProof/>
          <w:lang w:val="es-CO" w:eastAsia="en-GB"/>
        </w:rPr>
        <w:t>El Alto Comisionado de las Naciones Unidas para los Derechos Humanos reitera las recomendaciones que formuló en sus anteriores informes y hace las siguientes recomendaciones adicionales</w:t>
      </w:r>
      <w:r w:rsidR="001544A7" w:rsidRPr="00044745">
        <w:rPr>
          <w:b/>
          <w:noProof/>
          <w:lang w:val="es-CO" w:eastAsia="en-GB"/>
        </w:rPr>
        <w:t xml:space="preserve">: </w:t>
      </w:r>
    </w:p>
    <w:p w14:paraId="40D0C556" w14:textId="2E0231E9" w:rsidR="001544A7" w:rsidRPr="00044745" w:rsidRDefault="00034FE1" w:rsidP="00034FE1">
      <w:pPr>
        <w:pStyle w:val="H1G"/>
        <w:rPr>
          <w:noProof/>
          <w:lang w:val="es-CO" w:eastAsia="en-GB"/>
        </w:rPr>
      </w:pPr>
      <w:bookmarkStart w:id="20" w:name="_Toc503550661"/>
      <w:r w:rsidRPr="00044745">
        <w:rPr>
          <w:noProof/>
          <w:lang w:val="es-CO" w:eastAsia="en-GB"/>
        </w:rPr>
        <w:tab/>
        <w:t>A</w:t>
      </w:r>
      <w:r w:rsidR="001544A7" w:rsidRPr="00044745">
        <w:rPr>
          <w:noProof/>
          <w:lang w:val="es-CO" w:eastAsia="en-GB"/>
        </w:rPr>
        <w:t>.</w:t>
      </w:r>
      <w:r w:rsidR="001544A7" w:rsidRPr="00044745">
        <w:rPr>
          <w:noProof/>
          <w:lang w:val="es-CO" w:eastAsia="en-GB"/>
        </w:rPr>
        <w:tab/>
      </w:r>
      <w:r w:rsidR="00652A36">
        <w:rPr>
          <w:noProof/>
          <w:lang w:val="es-CO" w:eastAsia="en-GB"/>
        </w:rPr>
        <w:t xml:space="preserve">Creación de </w:t>
      </w:r>
      <w:r w:rsidR="00C852CA">
        <w:rPr>
          <w:noProof/>
          <w:lang w:val="es-CO" w:eastAsia="en-GB"/>
        </w:rPr>
        <w:t>indicadores</w:t>
      </w:r>
      <w:r w:rsidR="00C852CA" w:rsidRPr="00044745">
        <w:rPr>
          <w:noProof/>
          <w:lang w:val="es-CO" w:eastAsia="en-GB"/>
        </w:rPr>
        <w:t xml:space="preserve"> </w:t>
      </w:r>
      <w:r w:rsidR="00992A9C" w:rsidRPr="00044745">
        <w:rPr>
          <w:noProof/>
          <w:lang w:val="es-CO" w:eastAsia="en-GB"/>
        </w:rPr>
        <w:t xml:space="preserve">para monitorear </w:t>
      </w:r>
      <w:r w:rsidR="00652A36">
        <w:rPr>
          <w:noProof/>
          <w:lang w:val="es-CO" w:eastAsia="en-GB"/>
        </w:rPr>
        <w:t xml:space="preserve">cambios en </w:t>
      </w:r>
      <w:r w:rsidR="00992A9C" w:rsidRPr="00044745">
        <w:rPr>
          <w:noProof/>
          <w:lang w:val="es-CO" w:eastAsia="en-GB"/>
        </w:rPr>
        <w:t xml:space="preserve">el </w:t>
      </w:r>
      <w:r w:rsidR="00BA0DA8">
        <w:rPr>
          <w:noProof/>
          <w:lang w:val="es-CO" w:eastAsia="en-GB"/>
        </w:rPr>
        <w:t>disfrute</w:t>
      </w:r>
      <w:r w:rsidR="00992A9C" w:rsidRPr="00044745">
        <w:rPr>
          <w:noProof/>
          <w:lang w:val="es-CO" w:eastAsia="en-GB"/>
        </w:rPr>
        <w:t xml:space="preserve"> efectivo de los derechos humanos </w:t>
      </w:r>
      <w:bookmarkEnd w:id="20"/>
    </w:p>
    <w:p w14:paraId="242F4CE2" w14:textId="17E5A79D" w:rsidR="00992A9C" w:rsidRPr="00044745" w:rsidRDefault="00B32458" w:rsidP="00B32458">
      <w:pPr>
        <w:pStyle w:val="SingleTxtG"/>
        <w:ind w:firstLine="567"/>
        <w:rPr>
          <w:b/>
          <w:noProof/>
          <w:lang w:val="es-CO" w:eastAsia="en-GB"/>
        </w:rPr>
      </w:pPr>
      <w:r w:rsidRPr="00044745">
        <w:rPr>
          <w:b/>
          <w:noProof/>
          <w:lang w:val="es-CO" w:eastAsia="en-GB"/>
        </w:rPr>
        <w:t>(a)</w:t>
      </w:r>
      <w:r w:rsidRPr="00044745">
        <w:rPr>
          <w:b/>
          <w:noProof/>
          <w:lang w:val="es-CO" w:eastAsia="en-GB"/>
        </w:rPr>
        <w:tab/>
      </w:r>
      <w:r w:rsidR="00992A9C" w:rsidRPr="00044745">
        <w:rPr>
          <w:b/>
          <w:noProof/>
          <w:lang w:val="es-CO" w:eastAsia="en-GB"/>
        </w:rPr>
        <w:t>Insta a que se cre</w:t>
      </w:r>
      <w:r w:rsidR="00792C36">
        <w:rPr>
          <w:b/>
          <w:noProof/>
          <w:lang w:val="es-CO" w:eastAsia="en-GB"/>
        </w:rPr>
        <w:t>e</w:t>
      </w:r>
      <w:r w:rsidR="00992A9C" w:rsidRPr="00044745">
        <w:rPr>
          <w:b/>
          <w:noProof/>
          <w:lang w:val="es-CO" w:eastAsia="en-GB"/>
        </w:rPr>
        <w:t xml:space="preserve"> un sistema, que incluya el nivel</w:t>
      </w:r>
      <w:r w:rsidR="00652A36">
        <w:rPr>
          <w:b/>
          <w:noProof/>
          <w:lang w:val="es-CO" w:eastAsia="en-GB"/>
        </w:rPr>
        <w:t xml:space="preserve"> veredal</w:t>
      </w:r>
      <w:r w:rsidR="00992A9C" w:rsidRPr="00044745">
        <w:rPr>
          <w:b/>
          <w:noProof/>
          <w:lang w:val="es-CO" w:eastAsia="en-GB"/>
        </w:rPr>
        <w:t>,</w:t>
      </w:r>
      <w:r w:rsidR="00A24455">
        <w:rPr>
          <w:b/>
          <w:noProof/>
          <w:lang w:val="es-CO" w:eastAsia="en-GB"/>
        </w:rPr>
        <w:t xml:space="preserve"> para medir el impacto del A</w:t>
      </w:r>
      <w:r w:rsidR="00992A9C" w:rsidRPr="00044745">
        <w:rPr>
          <w:b/>
          <w:noProof/>
          <w:lang w:val="es-CO" w:eastAsia="en-GB"/>
        </w:rPr>
        <w:t xml:space="preserve">cuerdo en el </w:t>
      </w:r>
      <w:r w:rsidR="00BA0DA8">
        <w:rPr>
          <w:b/>
          <w:noProof/>
          <w:lang w:val="es-CO" w:eastAsia="en-GB"/>
        </w:rPr>
        <w:t>disfrute</w:t>
      </w:r>
      <w:r w:rsidR="00992A9C" w:rsidRPr="00044745">
        <w:rPr>
          <w:b/>
          <w:noProof/>
          <w:lang w:val="es-CO" w:eastAsia="en-GB"/>
        </w:rPr>
        <w:t xml:space="preserve"> efectivo de los derechos humanos.</w:t>
      </w:r>
    </w:p>
    <w:p w14:paraId="45A54F5F" w14:textId="77777777" w:rsidR="00916944" w:rsidRPr="00044745" w:rsidRDefault="00C62AF5" w:rsidP="00B32458">
      <w:pPr>
        <w:pStyle w:val="SingleTxtG"/>
        <w:ind w:firstLine="567"/>
        <w:rPr>
          <w:b/>
          <w:noProof/>
          <w:lang w:val="es-CO" w:eastAsia="en-GB"/>
        </w:rPr>
      </w:pPr>
      <w:r w:rsidRPr="00044745">
        <w:rPr>
          <w:b/>
          <w:noProof/>
          <w:lang w:val="es-CO" w:eastAsia="en-GB"/>
        </w:rPr>
        <w:t>(b)</w:t>
      </w:r>
      <w:r w:rsidRPr="00044745">
        <w:rPr>
          <w:b/>
          <w:noProof/>
          <w:lang w:val="es-CO" w:eastAsia="en-GB"/>
        </w:rPr>
        <w:tab/>
      </w:r>
      <w:r w:rsidR="00916944" w:rsidRPr="00044745">
        <w:rPr>
          <w:b/>
          <w:noProof/>
          <w:lang w:val="es-CO" w:eastAsia="en-GB"/>
        </w:rPr>
        <w:t xml:space="preserve">Insta a la Fiscalía General de la Nación, a la Contraloría General de la Nación y a la Procuraduría General de la Nación a seguir </w:t>
      </w:r>
      <w:r w:rsidR="00A24455">
        <w:rPr>
          <w:b/>
          <w:noProof/>
          <w:lang w:val="es-CO" w:eastAsia="en-GB"/>
        </w:rPr>
        <w:t xml:space="preserve">incrementando </w:t>
      </w:r>
      <w:r w:rsidR="00916944" w:rsidRPr="00044745">
        <w:rPr>
          <w:b/>
          <w:noProof/>
          <w:lang w:val="es-CO" w:eastAsia="en-GB"/>
        </w:rPr>
        <w:t xml:space="preserve">sus esfuerzos </w:t>
      </w:r>
      <w:r w:rsidR="00916944" w:rsidRPr="00044745">
        <w:rPr>
          <w:b/>
          <w:noProof/>
          <w:lang w:val="es-CO" w:eastAsia="en-GB"/>
        </w:rPr>
        <w:lastRenderedPageBreak/>
        <w:t xml:space="preserve">para prevenir, procesar y castigar los casos de corrupción de funcionarios públicos y representantes políticos, y medir cómo este trabajo contribuye a mejorar la realización progresiva de los derechos económicos, sociales y culturales. </w:t>
      </w:r>
    </w:p>
    <w:p w14:paraId="71E2BE1C" w14:textId="39A3D2DE" w:rsidR="001544A7" w:rsidRPr="00044745" w:rsidRDefault="00C62AF5" w:rsidP="00916944">
      <w:pPr>
        <w:pStyle w:val="SingleTxtG"/>
        <w:ind w:firstLine="567"/>
        <w:rPr>
          <w:b/>
          <w:noProof/>
          <w:lang w:val="es-CO" w:eastAsia="en-GB"/>
        </w:rPr>
      </w:pPr>
      <w:r w:rsidRPr="00044745">
        <w:rPr>
          <w:b/>
          <w:noProof/>
          <w:lang w:val="es-CO" w:eastAsia="en-GB"/>
        </w:rPr>
        <w:t xml:space="preserve">(c) </w:t>
      </w:r>
      <w:r w:rsidRPr="00044745">
        <w:rPr>
          <w:b/>
          <w:noProof/>
          <w:lang w:val="es-CO" w:eastAsia="en-GB"/>
        </w:rPr>
        <w:tab/>
      </w:r>
      <w:r w:rsidR="00916944" w:rsidRPr="00044745">
        <w:rPr>
          <w:b/>
          <w:noProof/>
          <w:lang w:val="es-CO" w:eastAsia="en-GB"/>
        </w:rPr>
        <w:t>Exhorta a la Defensoría de</w:t>
      </w:r>
      <w:r w:rsidR="00652A36">
        <w:rPr>
          <w:b/>
          <w:noProof/>
          <w:lang w:val="es-CO" w:eastAsia="en-GB"/>
        </w:rPr>
        <w:t>l</w:t>
      </w:r>
      <w:r w:rsidR="00916944" w:rsidRPr="00044745">
        <w:rPr>
          <w:b/>
          <w:noProof/>
          <w:lang w:val="es-CO" w:eastAsia="en-GB"/>
        </w:rPr>
        <w:t xml:space="preserve"> Pueblo a incluir la falta de acceso a los derechos económicos, sociales y culturales, así como la corrupción, en sus informes de alerta temprana/riesgos.</w:t>
      </w:r>
      <w:r w:rsidR="001544A7" w:rsidRPr="00044745">
        <w:rPr>
          <w:b/>
          <w:noProof/>
          <w:lang w:val="es-CO" w:eastAsia="en-GB"/>
        </w:rPr>
        <w:t xml:space="preserve"> </w:t>
      </w:r>
    </w:p>
    <w:p w14:paraId="22A426C5" w14:textId="77777777" w:rsidR="001544A7" w:rsidRPr="00044745" w:rsidRDefault="00C2541B" w:rsidP="00361EB5">
      <w:pPr>
        <w:pStyle w:val="SingleTxtG"/>
        <w:ind w:firstLine="567"/>
        <w:rPr>
          <w:b/>
          <w:noProof/>
          <w:lang w:val="es-CO" w:eastAsia="en-GB"/>
        </w:rPr>
      </w:pPr>
      <w:r w:rsidRPr="00044745">
        <w:rPr>
          <w:b/>
          <w:noProof/>
          <w:lang w:val="es-CO" w:eastAsia="en-GB"/>
        </w:rPr>
        <w:t>(d)</w:t>
      </w:r>
      <w:r w:rsidR="001544A7" w:rsidRPr="00044745">
        <w:rPr>
          <w:b/>
          <w:noProof/>
          <w:lang w:val="es-CO" w:eastAsia="en-GB"/>
        </w:rPr>
        <w:t xml:space="preserve"> </w:t>
      </w:r>
      <w:r w:rsidRPr="00044745">
        <w:rPr>
          <w:b/>
          <w:noProof/>
          <w:lang w:val="es-CO" w:eastAsia="en-GB"/>
        </w:rPr>
        <w:tab/>
      </w:r>
      <w:r w:rsidR="00916944" w:rsidRPr="00044745">
        <w:rPr>
          <w:b/>
          <w:noProof/>
          <w:lang w:val="es-CO" w:eastAsia="en-GB"/>
        </w:rPr>
        <w:t xml:space="preserve">Insta al Estado a </w:t>
      </w:r>
      <w:r w:rsidR="00361EB5" w:rsidRPr="00044745">
        <w:rPr>
          <w:b/>
          <w:noProof/>
          <w:lang w:val="es-CO" w:eastAsia="en-GB"/>
        </w:rPr>
        <w:t xml:space="preserve">usar de manera efectiva el sistema integrado de información sobre violencias de género. </w:t>
      </w:r>
    </w:p>
    <w:p w14:paraId="0E700AF1" w14:textId="298D0A1A" w:rsidR="006E5B02" w:rsidRPr="00044745" w:rsidRDefault="00F62995" w:rsidP="00361EB5">
      <w:pPr>
        <w:pStyle w:val="SingleTxtG"/>
        <w:ind w:firstLine="567"/>
        <w:rPr>
          <w:b/>
          <w:noProof/>
          <w:lang w:val="es-CO" w:eastAsia="en-GB"/>
        </w:rPr>
      </w:pPr>
      <w:r w:rsidRPr="00044745">
        <w:rPr>
          <w:b/>
          <w:noProof/>
          <w:lang w:val="es-CO" w:eastAsia="en-GB"/>
        </w:rPr>
        <w:t>(e)</w:t>
      </w:r>
      <w:r w:rsidRPr="00044745">
        <w:rPr>
          <w:b/>
          <w:noProof/>
          <w:lang w:val="es-CO" w:eastAsia="en-GB"/>
        </w:rPr>
        <w:tab/>
      </w:r>
      <w:r w:rsidR="00361EB5" w:rsidRPr="00044745">
        <w:rPr>
          <w:b/>
          <w:noProof/>
          <w:lang w:val="es-CO" w:eastAsia="en-GB"/>
        </w:rPr>
        <w:t xml:space="preserve">Insta a la comunidad internacional a establecer mecanismos de control eficientes para garantizar que los recursos asignados para la implementación del </w:t>
      </w:r>
      <w:r w:rsidR="00A24455">
        <w:rPr>
          <w:b/>
          <w:noProof/>
          <w:lang w:val="es-CO" w:eastAsia="en-GB"/>
        </w:rPr>
        <w:t>A</w:t>
      </w:r>
      <w:r w:rsidR="00361EB5" w:rsidRPr="00044745">
        <w:rPr>
          <w:b/>
          <w:noProof/>
          <w:lang w:val="es-CO" w:eastAsia="en-GB"/>
        </w:rPr>
        <w:t xml:space="preserve">cuerdo generen impactos </w:t>
      </w:r>
      <w:r w:rsidR="00C852CA">
        <w:rPr>
          <w:b/>
          <w:noProof/>
          <w:lang w:val="es-CO" w:eastAsia="en-GB"/>
        </w:rPr>
        <w:t>medibles</w:t>
      </w:r>
      <w:r w:rsidR="00361EB5" w:rsidRPr="00044745">
        <w:rPr>
          <w:b/>
          <w:noProof/>
          <w:lang w:val="es-CO" w:eastAsia="en-GB"/>
        </w:rPr>
        <w:t xml:space="preserve"> que contribuyan a un mayor </w:t>
      </w:r>
      <w:r w:rsidR="00BA0DA8">
        <w:rPr>
          <w:b/>
          <w:noProof/>
          <w:lang w:val="es-CO" w:eastAsia="en-GB"/>
        </w:rPr>
        <w:t>disfrute</w:t>
      </w:r>
      <w:r w:rsidR="00361EB5" w:rsidRPr="00044745">
        <w:rPr>
          <w:b/>
          <w:noProof/>
          <w:lang w:val="es-CO" w:eastAsia="en-GB"/>
        </w:rPr>
        <w:t xml:space="preserve"> de derechos en las comunidades rurales más afectadas por el conflicto.</w:t>
      </w:r>
    </w:p>
    <w:p w14:paraId="3F7FB5D3" w14:textId="6597028C" w:rsidR="00361EB5" w:rsidRPr="00044745" w:rsidRDefault="0008140B" w:rsidP="0008140B">
      <w:pPr>
        <w:pStyle w:val="H1G"/>
        <w:rPr>
          <w:noProof/>
          <w:lang w:val="es-CO" w:eastAsia="en-GB"/>
        </w:rPr>
      </w:pPr>
      <w:bookmarkStart w:id="21" w:name="_Toc503550662"/>
      <w:r w:rsidRPr="00044745">
        <w:rPr>
          <w:noProof/>
          <w:lang w:val="es-CO" w:eastAsia="en-GB"/>
        </w:rPr>
        <w:tab/>
        <w:t>B</w:t>
      </w:r>
      <w:r w:rsidR="001544A7" w:rsidRPr="00044745">
        <w:rPr>
          <w:noProof/>
          <w:lang w:val="es-CO" w:eastAsia="en-GB"/>
        </w:rPr>
        <w:t>.</w:t>
      </w:r>
      <w:r w:rsidR="001544A7" w:rsidRPr="00044745">
        <w:rPr>
          <w:noProof/>
          <w:lang w:val="es-CO" w:eastAsia="en-GB"/>
        </w:rPr>
        <w:tab/>
        <w:t>Transforma</w:t>
      </w:r>
      <w:r w:rsidR="00361EB5" w:rsidRPr="00044745">
        <w:rPr>
          <w:noProof/>
          <w:lang w:val="es-CO" w:eastAsia="en-GB"/>
        </w:rPr>
        <w:t xml:space="preserve">ción y empoderamiento de </w:t>
      </w:r>
      <w:r w:rsidR="00A24455">
        <w:rPr>
          <w:noProof/>
          <w:lang w:val="es-CO" w:eastAsia="en-GB"/>
        </w:rPr>
        <w:t>campesinos</w:t>
      </w:r>
      <w:r w:rsidR="00361EB5" w:rsidRPr="00044745">
        <w:rPr>
          <w:noProof/>
          <w:lang w:val="es-CO" w:eastAsia="en-GB"/>
        </w:rPr>
        <w:t xml:space="preserve">  </w:t>
      </w:r>
      <w:r w:rsidR="00EA3A9D" w:rsidRPr="00044745">
        <w:rPr>
          <w:noProof/>
          <w:lang w:val="es-CO" w:eastAsia="en-GB"/>
        </w:rPr>
        <w:t xml:space="preserve">y </w:t>
      </w:r>
      <w:r w:rsidR="00A24455">
        <w:rPr>
          <w:noProof/>
          <w:lang w:val="es-CO" w:eastAsia="en-GB"/>
        </w:rPr>
        <w:t xml:space="preserve">de </w:t>
      </w:r>
      <w:r w:rsidR="00EA3A9D" w:rsidRPr="00044745">
        <w:rPr>
          <w:noProof/>
          <w:lang w:val="es-CO" w:eastAsia="en-GB"/>
        </w:rPr>
        <w:t>comunidades indígenas y afrocolombianas</w:t>
      </w:r>
    </w:p>
    <w:bookmarkEnd w:id="21"/>
    <w:p w14:paraId="216F4170" w14:textId="14B2CBC6" w:rsidR="001544A7" w:rsidRPr="00044745" w:rsidRDefault="00EA3A9D" w:rsidP="00107EDA">
      <w:pPr>
        <w:pStyle w:val="SingleTxtG"/>
        <w:ind w:firstLine="567"/>
        <w:rPr>
          <w:b/>
          <w:noProof/>
          <w:lang w:val="es-CO" w:eastAsia="en-GB"/>
        </w:rPr>
      </w:pPr>
      <w:r w:rsidRPr="00044745">
        <w:rPr>
          <w:b/>
          <w:noProof/>
          <w:lang w:val="es-CO" w:eastAsia="en-GB"/>
        </w:rPr>
        <w:t xml:space="preserve"> </w:t>
      </w:r>
      <w:r w:rsidR="007522E6" w:rsidRPr="00044745">
        <w:rPr>
          <w:b/>
          <w:noProof/>
          <w:lang w:val="es-CO" w:eastAsia="en-GB"/>
        </w:rPr>
        <w:t>(f)</w:t>
      </w:r>
      <w:r w:rsidR="007522E6" w:rsidRPr="00044745">
        <w:rPr>
          <w:b/>
          <w:noProof/>
          <w:lang w:val="es-CO" w:eastAsia="en-GB"/>
        </w:rPr>
        <w:tab/>
      </w:r>
      <w:r w:rsidRPr="00044745">
        <w:rPr>
          <w:b/>
          <w:noProof/>
          <w:lang w:val="es-CO" w:eastAsia="en-GB"/>
        </w:rPr>
        <w:t>Insta al Estado a consolidar su presencia integral y efectiva en las zonas rurales, especialmente las antiguas zonas de influencia de las FARC-EP</w:t>
      </w:r>
      <w:r w:rsidR="00C852CA">
        <w:rPr>
          <w:b/>
          <w:noProof/>
          <w:lang w:val="es-CO" w:eastAsia="en-GB"/>
        </w:rPr>
        <w:t xml:space="preserve"> </w:t>
      </w:r>
      <w:r w:rsidR="009203A0">
        <w:rPr>
          <w:b/>
          <w:noProof/>
          <w:lang w:val="es-CO" w:eastAsia="en-GB"/>
        </w:rPr>
        <w:t xml:space="preserve">con el propósito de profundizar el reconocimiento, fortalecimiento y repaldo a </w:t>
      </w:r>
      <w:r w:rsidR="00107EDA" w:rsidRPr="00044745">
        <w:rPr>
          <w:b/>
          <w:noProof/>
          <w:lang w:val="es-CO" w:eastAsia="en-GB"/>
        </w:rPr>
        <w:t>la legitimidad del trabajo de l</w:t>
      </w:r>
      <w:r w:rsidR="00792C36">
        <w:rPr>
          <w:b/>
          <w:noProof/>
          <w:lang w:val="es-CO" w:eastAsia="en-GB"/>
        </w:rPr>
        <w:t xml:space="preserve">as Juntas de Acción Comunal, </w:t>
      </w:r>
      <w:r w:rsidR="00107EDA" w:rsidRPr="00044745">
        <w:rPr>
          <w:b/>
          <w:noProof/>
          <w:lang w:val="es-CO" w:eastAsia="en-GB"/>
        </w:rPr>
        <w:t>los consejos comunitarios afrocolombianos y las autoridades indígenas.</w:t>
      </w:r>
    </w:p>
    <w:p w14:paraId="442E1ABD" w14:textId="77777777" w:rsidR="001544A7" w:rsidRPr="00044745" w:rsidRDefault="007522E6" w:rsidP="00107EDA">
      <w:pPr>
        <w:pStyle w:val="SingleTxtG"/>
        <w:ind w:firstLine="567"/>
        <w:rPr>
          <w:b/>
          <w:noProof/>
          <w:lang w:val="es-CO" w:eastAsia="en-GB"/>
        </w:rPr>
      </w:pPr>
      <w:r w:rsidRPr="00044745">
        <w:rPr>
          <w:b/>
          <w:noProof/>
          <w:lang w:val="es-CO" w:eastAsia="en-GB"/>
        </w:rPr>
        <w:t>(g)</w:t>
      </w:r>
      <w:r w:rsidRPr="00044745">
        <w:rPr>
          <w:b/>
          <w:noProof/>
          <w:lang w:val="es-CO" w:eastAsia="en-GB"/>
        </w:rPr>
        <w:tab/>
      </w:r>
      <w:r w:rsidR="00107EDA" w:rsidRPr="00044745">
        <w:rPr>
          <w:b/>
          <w:noProof/>
          <w:lang w:val="es-CO" w:eastAsia="en-GB"/>
        </w:rPr>
        <w:t>Insta al Estado y a la comunidad internacional a priorizar los cambios estructurales en las zonas rurales, particularmente en aquellas más afectadas por el conflicto, y a empoderar a la administración local y la justicia (i.e., las jurisdicciones transicional, ordinaria e indígena).</w:t>
      </w:r>
      <w:r w:rsidR="001544A7" w:rsidRPr="00044745">
        <w:rPr>
          <w:b/>
          <w:noProof/>
          <w:lang w:val="es-CO" w:eastAsia="en-GB"/>
        </w:rPr>
        <w:t xml:space="preserve"> </w:t>
      </w:r>
    </w:p>
    <w:p w14:paraId="37C48F37" w14:textId="14C7FE48" w:rsidR="001544A7" w:rsidRPr="00044745" w:rsidRDefault="005460E2" w:rsidP="005723A1">
      <w:pPr>
        <w:pStyle w:val="SingleTxtG"/>
        <w:ind w:firstLine="567"/>
        <w:rPr>
          <w:b/>
          <w:noProof/>
          <w:lang w:val="es-CO" w:eastAsia="en-GB"/>
        </w:rPr>
      </w:pPr>
      <w:r w:rsidRPr="00044745">
        <w:rPr>
          <w:b/>
          <w:noProof/>
          <w:lang w:val="es-CO" w:eastAsia="en-GB"/>
        </w:rPr>
        <w:t>(h)</w:t>
      </w:r>
      <w:r w:rsidR="001544A7" w:rsidRPr="00044745">
        <w:rPr>
          <w:b/>
          <w:noProof/>
          <w:lang w:val="es-CO" w:eastAsia="en-GB"/>
        </w:rPr>
        <w:tab/>
      </w:r>
      <w:r w:rsidR="005723A1" w:rsidRPr="00044745">
        <w:rPr>
          <w:b/>
          <w:noProof/>
          <w:lang w:val="es-CO" w:eastAsia="en-GB"/>
        </w:rPr>
        <w:t>Recomienda al Estado que fije metas realistas en relaci</w:t>
      </w:r>
      <w:r w:rsidR="00A24455">
        <w:rPr>
          <w:b/>
          <w:noProof/>
          <w:lang w:val="es-CO" w:eastAsia="en-GB"/>
        </w:rPr>
        <w:t>ón con la implementación del A</w:t>
      </w:r>
      <w:r w:rsidR="005723A1" w:rsidRPr="00044745">
        <w:rPr>
          <w:b/>
          <w:noProof/>
          <w:lang w:val="es-CO" w:eastAsia="en-GB"/>
        </w:rPr>
        <w:t>cuerdo en zonas rurales y que incluya un análisis de riesgos que tome en cuenta la presencia de economías il</w:t>
      </w:r>
      <w:r w:rsidR="00547B8B">
        <w:rPr>
          <w:b/>
          <w:noProof/>
          <w:lang w:val="es-CO" w:eastAsia="en-GB"/>
        </w:rPr>
        <w:t>ícitas</w:t>
      </w:r>
      <w:r w:rsidR="005723A1" w:rsidRPr="00044745">
        <w:rPr>
          <w:b/>
          <w:noProof/>
          <w:lang w:val="es-CO" w:eastAsia="en-GB"/>
        </w:rPr>
        <w:t xml:space="preserve"> y los riesgos para las comunidades y los implementadores.</w:t>
      </w:r>
    </w:p>
    <w:p w14:paraId="0AB7008F" w14:textId="30D6D2ED" w:rsidR="001544A7" w:rsidRPr="00044745" w:rsidRDefault="00D835E9" w:rsidP="00215977">
      <w:pPr>
        <w:pStyle w:val="SingleTxtG"/>
        <w:ind w:firstLine="567"/>
        <w:rPr>
          <w:b/>
          <w:noProof/>
          <w:lang w:val="es-CO" w:eastAsia="en-GB"/>
        </w:rPr>
      </w:pPr>
      <w:r w:rsidRPr="00044745">
        <w:rPr>
          <w:b/>
          <w:noProof/>
          <w:lang w:val="es-CO" w:eastAsia="en-GB"/>
        </w:rPr>
        <w:t>(i)</w:t>
      </w:r>
      <w:r w:rsidR="001544A7" w:rsidRPr="00044745">
        <w:rPr>
          <w:b/>
          <w:noProof/>
          <w:lang w:val="es-CO" w:eastAsia="en-GB"/>
        </w:rPr>
        <w:tab/>
        <w:t>Recom</w:t>
      </w:r>
      <w:r w:rsidR="005723A1" w:rsidRPr="00044745">
        <w:rPr>
          <w:b/>
          <w:noProof/>
          <w:lang w:val="es-CO" w:eastAsia="en-GB"/>
        </w:rPr>
        <w:t xml:space="preserve">ienda al Estado que </w:t>
      </w:r>
      <w:r w:rsidR="00CA1C71" w:rsidRPr="00044745">
        <w:rPr>
          <w:b/>
          <w:noProof/>
          <w:lang w:val="es-CO" w:eastAsia="en-GB"/>
        </w:rPr>
        <w:t xml:space="preserve">utilice la </w:t>
      </w:r>
      <w:r w:rsidR="00215977" w:rsidRPr="00044745">
        <w:rPr>
          <w:b/>
          <w:noProof/>
          <w:lang w:val="es-CO" w:eastAsia="en-GB"/>
        </w:rPr>
        <w:t xml:space="preserve">adquisición </w:t>
      </w:r>
      <w:r w:rsidR="00CA1C71" w:rsidRPr="00044745">
        <w:rPr>
          <w:b/>
          <w:noProof/>
          <w:lang w:val="es-CO" w:eastAsia="en-GB"/>
        </w:rPr>
        <w:t>p</w:t>
      </w:r>
      <w:r w:rsidR="00215977" w:rsidRPr="00044745">
        <w:rPr>
          <w:b/>
          <w:noProof/>
          <w:lang w:val="es-CO" w:eastAsia="en-GB"/>
        </w:rPr>
        <w:t>ública</w:t>
      </w:r>
      <w:r w:rsidR="00CA1C71" w:rsidRPr="00044745">
        <w:rPr>
          <w:b/>
          <w:noProof/>
          <w:lang w:val="es-CO" w:eastAsia="en-GB"/>
        </w:rPr>
        <w:t xml:space="preserve"> de productos locales de las zonas rurales más afectadas por el conflicto como medi</w:t>
      </w:r>
      <w:r w:rsidR="00215977" w:rsidRPr="00044745">
        <w:rPr>
          <w:b/>
          <w:noProof/>
          <w:lang w:val="es-CO" w:eastAsia="en-GB"/>
        </w:rPr>
        <w:t>o</w:t>
      </w:r>
      <w:r w:rsidR="00CA1C71" w:rsidRPr="00044745">
        <w:rPr>
          <w:b/>
          <w:noProof/>
          <w:lang w:val="es-CO" w:eastAsia="en-GB"/>
        </w:rPr>
        <w:t xml:space="preserve"> para transformar la pobreza y</w:t>
      </w:r>
      <w:r w:rsidR="00547B8B">
        <w:rPr>
          <w:b/>
          <w:noProof/>
          <w:lang w:val="es-CO" w:eastAsia="en-GB"/>
        </w:rPr>
        <w:t xml:space="preserve"> la</w:t>
      </w:r>
      <w:r w:rsidR="00CA1C71" w:rsidRPr="00044745">
        <w:rPr>
          <w:b/>
          <w:noProof/>
          <w:lang w:val="es-CO" w:eastAsia="en-GB"/>
        </w:rPr>
        <w:t xml:space="preserve"> exclusión hist</w:t>
      </w:r>
      <w:r w:rsidR="00215977" w:rsidRPr="00044745">
        <w:rPr>
          <w:b/>
          <w:noProof/>
          <w:lang w:val="es-CO" w:eastAsia="en-GB"/>
        </w:rPr>
        <w:t>órica, buscando que para 2020 estos constituyan el 30 por ciento de todas las adquisiciones públicas.</w:t>
      </w:r>
      <w:r w:rsidR="001544A7" w:rsidRPr="00044745">
        <w:rPr>
          <w:b/>
          <w:noProof/>
          <w:lang w:val="es-CO" w:eastAsia="en-GB"/>
        </w:rPr>
        <w:t xml:space="preserve">  </w:t>
      </w:r>
    </w:p>
    <w:p w14:paraId="299D1DAE" w14:textId="09EB63D0" w:rsidR="001544A7" w:rsidRPr="00044745" w:rsidRDefault="00356BCD" w:rsidP="00215977">
      <w:pPr>
        <w:pStyle w:val="SingleTxtG"/>
        <w:ind w:firstLine="567"/>
        <w:rPr>
          <w:b/>
          <w:noProof/>
          <w:lang w:val="es-CO" w:eastAsia="en-GB"/>
        </w:rPr>
      </w:pPr>
      <w:r w:rsidRPr="00044745">
        <w:rPr>
          <w:b/>
          <w:noProof/>
          <w:lang w:val="es-CO" w:eastAsia="en-GB"/>
        </w:rPr>
        <w:t>(j)</w:t>
      </w:r>
      <w:r w:rsidR="001544A7" w:rsidRPr="00044745">
        <w:rPr>
          <w:b/>
          <w:noProof/>
          <w:lang w:val="es-CO" w:eastAsia="en-GB"/>
        </w:rPr>
        <w:t xml:space="preserve"> </w:t>
      </w:r>
      <w:r w:rsidRPr="00044745">
        <w:rPr>
          <w:b/>
          <w:noProof/>
          <w:lang w:val="es-CO" w:eastAsia="en-GB"/>
        </w:rPr>
        <w:tab/>
      </w:r>
      <w:r w:rsidR="00215977" w:rsidRPr="00044745">
        <w:rPr>
          <w:b/>
          <w:noProof/>
          <w:lang w:val="es-CO" w:eastAsia="en-GB"/>
        </w:rPr>
        <w:t>Alienta al Estado a desarrollar un sistema que permita que más funcionarios públicos</w:t>
      </w:r>
      <w:r w:rsidR="00547B8B">
        <w:rPr>
          <w:b/>
          <w:noProof/>
          <w:lang w:val="es-CO" w:eastAsia="en-GB"/>
        </w:rPr>
        <w:t xml:space="preserve">, de todos los niveles, </w:t>
      </w:r>
      <w:r w:rsidR="00215977" w:rsidRPr="00044745">
        <w:rPr>
          <w:b/>
          <w:noProof/>
          <w:lang w:val="es-CO" w:eastAsia="en-GB"/>
        </w:rPr>
        <w:t xml:space="preserve"> tengan la experiencia de trabajar en zonas rurales, con el fin de que </w:t>
      </w:r>
      <w:r w:rsidR="00C852CA">
        <w:rPr>
          <w:b/>
          <w:noProof/>
          <w:lang w:val="es-CO" w:eastAsia="en-GB"/>
        </w:rPr>
        <w:t>entiendan</w:t>
      </w:r>
      <w:r w:rsidR="00215977" w:rsidRPr="00044745">
        <w:rPr>
          <w:b/>
          <w:noProof/>
          <w:lang w:val="es-CO" w:eastAsia="en-GB"/>
        </w:rPr>
        <w:t xml:space="preserve"> los retos </w:t>
      </w:r>
      <w:r w:rsidR="00C852CA">
        <w:rPr>
          <w:b/>
          <w:noProof/>
          <w:lang w:val="es-CO" w:eastAsia="en-GB"/>
        </w:rPr>
        <w:t>de las</w:t>
      </w:r>
      <w:r w:rsidR="00215977" w:rsidRPr="00044745">
        <w:rPr>
          <w:b/>
          <w:noProof/>
          <w:lang w:val="es-CO" w:eastAsia="en-GB"/>
        </w:rPr>
        <w:t xml:space="preserve"> región y apliquen enfoques diferenciales, </w:t>
      </w:r>
      <w:r w:rsidR="00547B8B">
        <w:rPr>
          <w:b/>
          <w:noProof/>
          <w:lang w:val="es-CO" w:eastAsia="en-GB"/>
        </w:rPr>
        <w:t xml:space="preserve">incluyendo </w:t>
      </w:r>
      <w:r w:rsidR="00215977" w:rsidRPr="00044745">
        <w:rPr>
          <w:b/>
          <w:noProof/>
          <w:lang w:val="es-CO" w:eastAsia="en-GB"/>
        </w:rPr>
        <w:t>étnicos y de género.</w:t>
      </w:r>
      <w:r w:rsidR="001544A7" w:rsidRPr="00044745">
        <w:rPr>
          <w:b/>
          <w:noProof/>
          <w:lang w:val="es-CO" w:eastAsia="en-GB"/>
        </w:rPr>
        <w:t xml:space="preserve">  </w:t>
      </w:r>
    </w:p>
    <w:p w14:paraId="0B886ABD" w14:textId="77777777" w:rsidR="001544A7" w:rsidRPr="00044745" w:rsidRDefault="001F6781" w:rsidP="001F6781">
      <w:pPr>
        <w:pStyle w:val="H1G"/>
        <w:rPr>
          <w:noProof/>
          <w:lang w:val="es-CO" w:eastAsia="en-GB"/>
        </w:rPr>
      </w:pPr>
      <w:bookmarkStart w:id="22" w:name="_Toc503550663"/>
      <w:r w:rsidRPr="00044745">
        <w:rPr>
          <w:noProof/>
          <w:lang w:val="es-CO" w:eastAsia="en-GB"/>
        </w:rPr>
        <w:tab/>
        <w:t>C</w:t>
      </w:r>
      <w:r w:rsidR="001544A7" w:rsidRPr="00044745">
        <w:rPr>
          <w:noProof/>
          <w:lang w:val="es-CO" w:eastAsia="en-GB"/>
        </w:rPr>
        <w:t xml:space="preserve">. </w:t>
      </w:r>
      <w:r w:rsidRPr="00044745">
        <w:rPr>
          <w:noProof/>
          <w:lang w:val="es-CO" w:eastAsia="en-GB"/>
        </w:rPr>
        <w:tab/>
      </w:r>
      <w:r w:rsidR="000A37F3" w:rsidRPr="00044745">
        <w:rPr>
          <w:noProof/>
          <w:lang w:val="es-CO" w:eastAsia="en-GB"/>
        </w:rPr>
        <w:t xml:space="preserve">Impactos positivos en los derechos humanos mediante la implementación del </w:t>
      </w:r>
      <w:r w:rsidR="009E2EF6">
        <w:rPr>
          <w:noProof/>
          <w:lang w:val="es-CO" w:eastAsia="en-GB"/>
        </w:rPr>
        <w:t>A</w:t>
      </w:r>
      <w:r w:rsidR="000A37F3" w:rsidRPr="00044745">
        <w:rPr>
          <w:noProof/>
          <w:lang w:val="es-CO" w:eastAsia="en-GB"/>
        </w:rPr>
        <w:t xml:space="preserve">cuerdo con las FARC-EP y en el marco de las negociaciones con el </w:t>
      </w:r>
      <w:r w:rsidR="001544A7" w:rsidRPr="00044745">
        <w:rPr>
          <w:noProof/>
          <w:lang w:val="es-CO" w:eastAsia="en-GB"/>
        </w:rPr>
        <w:t>ELN</w:t>
      </w:r>
      <w:bookmarkEnd w:id="22"/>
    </w:p>
    <w:p w14:paraId="0B7395ED" w14:textId="2E0EE77D" w:rsidR="001544A7" w:rsidRPr="00044745" w:rsidRDefault="001F7515" w:rsidP="00A02E55">
      <w:pPr>
        <w:pStyle w:val="SingleTxtG"/>
        <w:ind w:firstLine="567"/>
        <w:rPr>
          <w:b/>
          <w:noProof/>
          <w:lang w:val="es-CO" w:eastAsia="en-GB"/>
        </w:rPr>
      </w:pPr>
      <w:r w:rsidRPr="00044745">
        <w:rPr>
          <w:b/>
          <w:noProof/>
          <w:lang w:val="es-CO" w:eastAsia="en-GB"/>
        </w:rPr>
        <w:tab/>
      </w:r>
      <w:r w:rsidR="001544A7" w:rsidRPr="00044745">
        <w:rPr>
          <w:b/>
          <w:noProof/>
          <w:lang w:val="es-CO" w:eastAsia="en-GB"/>
        </w:rPr>
        <w:t xml:space="preserve"> </w:t>
      </w:r>
      <w:r w:rsidRPr="00044745">
        <w:rPr>
          <w:b/>
          <w:noProof/>
          <w:lang w:val="es-CO" w:eastAsia="en-GB"/>
        </w:rPr>
        <w:t>(</w:t>
      </w:r>
      <w:r w:rsidR="002640D2" w:rsidRPr="00044745">
        <w:rPr>
          <w:b/>
          <w:noProof/>
          <w:lang w:val="es-CO" w:eastAsia="en-GB"/>
        </w:rPr>
        <w:t>k</w:t>
      </w:r>
      <w:r w:rsidRPr="00044745">
        <w:rPr>
          <w:b/>
          <w:noProof/>
          <w:lang w:val="es-CO" w:eastAsia="en-GB"/>
        </w:rPr>
        <w:t>)</w:t>
      </w:r>
      <w:r w:rsidR="001544A7" w:rsidRPr="00044745">
        <w:rPr>
          <w:b/>
          <w:noProof/>
          <w:lang w:val="es-CO" w:eastAsia="en-GB"/>
        </w:rPr>
        <w:t xml:space="preserve"> </w:t>
      </w:r>
      <w:r w:rsidRPr="00044745">
        <w:rPr>
          <w:b/>
          <w:noProof/>
          <w:lang w:val="es-CO" w:eastAsia="en-GB"/>
        </w:rPr>
        <w:tab/>
      </w:r>
      <w:r w:rsidR="000A37F3" w:rsidRPr="00044745">
        <w:rPr>
          <w:b/>
          <w:noProof/>
          <w:lang w:val="es-CO" w:eastAsia="en-GB"/>
        </w:rPr>
        <w:t>Insta a la Procuraduría General de la Nación a investigar y adoptar medidas administrativas y disciplinarias adecuadas en relación con las de</w:t>
      </w:r>
      <w:r w:rsidR="009E2EF6">
        <w:rPr>
          <w:b/>
          <w:noProof/>
          <w:lang w:val="es-CO" w:eastAsia="en-GB"/>
        </w:rPr>
        <w:t>moras en la implementación del A</w:t>
      </w:r>
      <w:r w:rsidR="000A37F3" w:rsidRPr="00044745">
        <w:rPr>
          <w:b/>
          <w:noProof/>
          <w:lang w:val="es-CO" w:eastAsia="en-GB"/>
        </w:rPr>
        <w:t xml:space="preserve">cuerdo. No obstante, las partes deben considerar la posibilidad de </w:t>
      </w:r>
      <w:r w:rsidR="009E2EF6">
        <w:rPr>
          <w:b/>
          <w:noProof/>
          <w:lang w:val="es-CO" w:eastAsia="en-GB"/>
        </w:rPr>
        <w:t>orientar la implementación del A</w:t>
      </w:r>
      <w:r w:rsidR="000A37F3" w:rsidRPr="00044745">
        <w:rPr>
          <w:b/>
          <w:noProof/>
          <w:lang w:val="es-CO" w:eastAsia="en-GB"/>
        </w:rPr>
        <w:t>cuerdo de manera gradual, diferencial y focalizad</w:t>
      </w:r>
      <w:r w:rsidR="003E580A">
        <w:rPr>
          <w:b/>
          <w:noProof/>
          <w:lang w:val="es-CO" w:eastAsia="en-GB"/>
        </w:rPr>
        <w:t>a</w:t>
      </w:r>
      <w:r w:rsidR="000A37F3" w:rsidRPr="00044745">
        <w:rPr>
          <w:b/>
          <w:noProof/>
          <w:lang w:val="es-CO" w:eastAsia="en-GB"/>
        </w:rPr>
        <w:t xml:space="preserve">, con el fin de generar, como un primer paso, cambios tangibles en un número realista de comunidades en lugar de </w:t>
      </w:r>
      <w:r w:rsidR="00A02E55" w:rsidRPr="00044745">
        <w:rPr>
          <w:b/>
          <w:noProof/>
          <w:lang w:val="es-CO" w:eastAsia="en-GB"/>
        </w:rPr>
        <w:t xml:space="preserve">apuntar a </w:t>
      </w:r>
      <w:r w:rsidR="000A37F3" w:rsidRPr="00044745">
        <w:rPr>
          <w:b/>
          <w:noProof/>
          <w:lang w:val="es-CO" w:eastAsia="en-GB"/>
        </w:rPr>
        <w:t xml:space="preserve">una </w:t>
      </w:r>
      <w:r w:rsidR="00A02E55" w:rsidRPr="00044745">
        <w:rPr>
          <w:b/>
          <w:noProof/>
          <w:lang w:val="es-CO" w:eastAsia="en-GB"/>
        </w:rPr>
        <w:t xml:space="preserve">sola </w:t>
      </w:r>
      <w:r w:rsidR="000A37F3" w:rsidRPr="00044745">
        <w:rPr>
          <w:b/>
          <w:noProof/>
          <w:lang w:val="es-CO" w:eastAsia="en-GB"/>
        </w:rPr>
        <w:t xml:space="preserve">estrategia nacional </w:t>
      </w:r>
      <w:r w:rsidR="00A02E55" w:rsidRPr="00044745">
        <w:rPr>
          <w:b/>
          <w:noProof/>
          <w:lang w:val="es-CO" w:eastAsia="en-GB"/>
        </w:rPr>
        <w:t>de implementación.</w:t>
      </w:r>
    </w:p>
    <w:p w14:paraId="6C4B6097" w14:textId="2FC942D2" w:rsidR="001544A7" w:rsidRPr="00044745" w:rsidRDefault="002640D2" w:rsidP="00A02E55">
      <w:pPr>
        <w:pStyle w:val="SingleTxtG"/>
        <w:ind w:firstLine="567"/>
        <w:rPr>
          <w:b/>
          <w:noProof/>
          <w:lang w:val="es-CO" w:eastAsia="en-GB"/>
        </w:rPr>
      </w:pPr>
      <w:r w:rsidRPr="00044745">
        <w:rPr>
          <w:b/>
          <w:noProof/>
          <w:lang w:val="es-CO" w:eastAsia="en-GB"/>
        </w:rPr>
        <w:t>(l</w:t>
      </w:r>
      <w:r w:rsidR="001F7515" w:rsidRPr="00044745">
        <w:rPr>
          <w:b/>
          <w:noProof/>
          <w:lang w:val="es-CO" w:eastAsia="en-GB"/>
        </w:rPr>
        <w:t>)</w:t>
      </w:r>
      <w:r w:rsidR="001F7515" w:rsidRPr="00044745">
        <w:rPr>
          <w:b/>
          <w:noProof/>
          <w:lang w:val="es-CO" w:eastAsia="en-GB"/>
        </w:rPr>
        <w:tab/>
      </w:r>
      <w:r w:rsidR="00A02E55" w:rsidRPr="00044745">
        <w:rPr>
          <w:b/>
          <w:noProof/>
          <w:lang w:val="es-CO" w:eastAsia="en-GB"/>
        </w:rPr>
        <w:t xml:space="preserve">Insta a que se incremente el gasto público en zonas donde tuvo lugar la desvinculación </w:t>
      </w:r>
      <w:r w:rsidR="003E580A">
        <w:rPr>
          <w:b/>
          <w:noProof/>
          <w:lang w:val="es-CO" w:eastAsia="en-GB"/>
        </w:rPr>
        <w:t xml:space="preserve">informal </w:t>
      </w:r>
      <w:r w:rsidR="00A02E55" w:rsidRPr="00044745">
        <w:rPr>
          <w:b/>
          <w:noProof/>
          <w:lang w:val="es-CO" w:eastAsia="en-GB"/>
        </w:rPr>
        <w:t>de los niños de las FARC-EP, con el fin de que tengan acceso a la educación</w:t>
      </w:r>
      <w:r w:rsidR="003E580A">
        <w:rPr>
          <w:b/>
          <w:noProof/>
          <w:lang w:val="es-CO" w:eastAsia="en-GB"/>
        </w:rPr>
        <w:t>,</w:t>
      </w:r>
      <w:r w:rsidR="00C852CA">
        <w:rPr>
          <w:b/>
          <w:noProof/>
          <w:lang w:val="es-CO" w:eastAsia="en-GB"/>
        </w:rPr>
        <w:t xml:space="preserve"> </w:t>
      </w:r>
      <w:r w:rsidR="00A02E55" w:rsidRPr="00044745">
        <w:rPr>
          <w:b/>
          <w:noProof/>
          <w:lang w:val="es-CO" w:eastAsia="en-GB"/>
        </w:rPr>
        <w:t xml:space="preserve">a </w:t>
      </w:r>
      <w:r w:rsidR="00792C36">
        <w:rPr>
          <w:b/>
          <w:noProof/>
          <w:lang w:val="es-CO" w:eastAsia="en-GB"/>
        </w:rPr>
        <w:t xml:space="preserve">la </w:t>
      </w:r>
      <w:r w:rsidR="00A02E55" w:rsidRPr="00044745">
        <w:rPr>
          <w:b/>
          <w:noProof/>
          <w:lang w:val="es-CO" w:eastAsia="en-GB"/>
        </w:rPr>
        <w:t>asistencia ps</w:t>
      </w:r>
      <w:r w:rsidR="00792C36">
        <w:rPr>
          <w:b/>
          <w:noProof/>
          <w:lang w:val="es-CO" w:eastAsia="en-GB"/>
        </w:rPr>
        <w:t xml:space="preserve">icosocial </w:t>
      </w:r>
      <w:r w:rsidR="00A02E55" w:rsidRPr="00044745">
        <w:rPr>
          <w:b/>
          <w:noProof/>
          <w:lang w:val="es-CO" w:eastAsia="en-GB"/>
        </w:rPr>
        <w:t xml:space="preserve"> y </w:t>
      </w:r>
      <w:r w:rsidR="003E580A">
        <w:rPr>
          <w:b/>
          <w:noProof/>
          <w:lang w:val="es-CO" w:eastAsia="en-GB"/>
        </w:rPr>
        <w:t>al</w:t>
      </w:r>
      <w:r w:rsidR="00A02E55" w:rsidRPr="00044745">
        <w:rPr>
          <w:b/>
          <w:noProof/>
          <w:lang w:val="es-CO" w:eastAsia="en-GB"/>
        </w:rPr>
        <w:t xml:space="preserve"> desarrollo, aplicando el principio del interés superior del niño y el enfoque de género y étnico. </w:t>
      </w:r>
    </w:p>
    <w:p w14:paraId="22C5633D" w14:textId="77777777" w:rsidR="001544A7" w:rsidRPr="00044745" w:rsidRDefault="00B07CD4" w:rsidP="00A02E55">
      <w:pPr>
        <w:pStyle w:val="SingleTxtG"/>
        <w:ind w:firstLine="567"/>
        <w:rPr>
          <w:b/>
          <w:noProof/>
          <w:lang w:val="es-CO" w:eastAsia="en-GB"/>
        </w:rPr>
      </w:pPr>
      <w:r w:rsidRPr="00044745">
        <w:rPr>
          <w:b/>
          <w:noProof/>
          <w:lang w:val="es-CO" w:eastAsia="en-GB"/>
        </w:rPr>
        <w:lastRenderedPageBreak/>
        <w:t>(</w:t>
      </w:r>
      <w:r w:rsidR="004E5805" w:rsidRPr="00044745">
        <w:rPr>
          <w:b/>
          <w:noProof/>
          <w:lang w:val="es-CO" w:eastAsia="en-GB"/>
        </w:rPr>
        <w:t>m</w:t>
      </w:r>
      <w:r w:rsidRPr="00044745">
        <w:rPr>
          <w:b/>
          <w:noProof/>
          <w:lang w:val="es-CO" w:eastAsia="en-GB"/>
        </w:rPr>
        <w:t>)</w:t>
      </w:r>
      <w:r w:rsidR="001544A7" w:rsidRPr="00044745">
        <w:rPr>
          <w:b/>
          <w:noProof/>
          <w:lang w:val="es-CO" w:eastAsia="en-GB"/>
        </w:rPr>
        <w:t xml:space="preserve"> </w:t>
      </w:r>
      <w:r w:rsidRPr="00044745">
        <w:rPr>
          <w:b/>
          <w:noProof/>
          <w:lang w:val="es-CO" w:eastAsia="en-GB"/>
        </w:rPr>
        <w:tab/>
      </w:r>
      <w:r w:rsidR="00A02E55" w:rsidRPr="00044745">
        <w:rPr>
          <w:b/>
          <w:noProof/>
          <w:lang w:val="es-CO" w:eastAsia="en-GB"/>
        </w:rPr>
        <w:t xml:space="preserve">Insta al Estado </w:t>
      </w:r>
      <w:r w:rsidR="00C54D9A">
        <w:rPr>
          <w:b/>
          <w:noProof/>
          <w:lang w:val="es-CO" w:eastAsia="en-GB"/>
        </w:rPr>
        <w:t xml:space="preserve">a </w:t>
      </w:r>
      <w:r w:rsidR="00A02E55" w:rsidRPr="00044745">
        <w:rPr>
          <w:b/>
          <w:noProof/>
          <w:lang w:val="es-CO" w:eastAsia="en-GB"/>
        </w:rPr>
        <w:t xml:space="preserve">implementar de manera oportuna todos los aspectos de la reincorporción de los exmiembros de las FARC-EP previstos en el </w:t>
      </w:r>
      <w:r w:rsidR="009E2EF6">
        <w:rPr>
          <w:b/>
          <w:noProof/>
          <w:lang w:val="es-CO" w:eastAsia="en-GB"/>
        </w:rPr>
        <w:t>A</w:t>
      </w:r>
      <w:r w:rsidR="00A02E55" w:rsidRPr="00044745">
        <w:rPr>
          <w:b/>
          <w:noProof/>
          <w:lang w:val="es-CO" w:eastAsia="en-GB"/>
        </w:rPr>
        <w:t>cuerdo, que incluya un enfoque de género, con el fin de promover su plena inclusión social, económica y política, con las garantías de seguridad necesaria</w:t>
      </w:r>
      <w:r w:rsidR="001544A7" w:rsidRPr="00044745">
        <w:rPr>
          <w:b/>
          <w:noProof/>
          <w:lang w:val="es-CO" w:eastAsia="en-GB"/>
        </w:rPr>
        <w:t xml:space="preserve">s. </w:t>
      </w:r>
    </w:p>
    <w:p w14:paraId="097CE1AC" w14:textId="77777777" w:rsidR="001544A7" w:rsidRPr="00044745" w:rsidRDefault="004E5805" w:rsidP="00D4059A">
      <w:pPr>
        <w:pStyle w:val="SingleTxtG"/>
        <w:ind w:firstLine="567"/>
        <w:rPr>
          <w:b/>
          <w:noProof/>
          <w:lang w:val="es-CO" w:eastAsia="en-GB"/>
        </w:rPr>
      </w:pPr>
      <w:r w:rsidRPr="00044745">
        <w:rPr>
          <w:b/>
          <w:noProof/>
          <w:lang w:val="es-CO" w:eastAsia="en-GB"/>
        </w:rPr>
        <w:t>(n</w:t>
      </w:r>
      <w:r w:rsidR="00B07CD4" w:rsidRPr="00044745">
        <w:rPr>
          <w:b/>
          <w:noProof/>
          <w:lang w:val="es-CO" w:eastAsia="en-GB"/>
        </w:rPr>
        <w:t>)</w:t>
      </w:r>
      <w:r w:rsidR="00B07CD4" w:rsidRPr="00044745">
        <w:rPr>
          <w:b/>
          <w:noProof/>
          <w:lang w:val="es-CO" w:eastAsia="en-GB"/>
        </w:rPr>
        <w:tab/>
      </w:r>
      <w:r w:rsidR="00A02E55" w:rsidRPr="00044745">
        <w:rPr>
          <w:b/>
          <w:noProof/>
          <w:lang w:val="es-CO" w:eastAsia="en-GB"/>
        </w:rPr>
        <w:t xml:space="preserve">Insta al Cuerpo elite de la Policía a coordinar con las entidades que componen la Comisión Nacional de Garantías de Seguridad (i.e., la Fiscalía General de la Nación) </w:t>
      </w:r>
      <w:r w:rsidR="00D4059A" w:rsidRPr="00044745">
        <w:rPr>
          <w:b/>
          <w:noProof/>
          <w:lang w:val="es-CO" w:eastAsia="en-GB"/>
        </w:rPr>
        <w:t xml:space="preserve">una respuesta integral de prevención, protección e investigación relacionada con las cuestiones de seguridad en </w:t>
      </w:r>
      <w:r w:rsidR="009E2EF6">
        <w:rPr>
          <w:b/>
          <w:noProof/>
          <w:lang w:val="es-CO" w:eastAsia="en-GB"/>
        </w:rPr>
        <w:t xml:space="preserve">las </w:t>
      </w:r>
      <w:r w:rsidR="00D4059A" w:rsidRPr="00044745">
        <w:rPr>
          <w:b/>
          <w:noProof/>
          <w:lang w:val="es-CO" w:eastAsia="en-GB"/>
        </w:rPr>
        <w:t>antiguas zonas de influencia de las FARC-EP.</w:t>
      </w:r>
    </w:p>
    <w:p w14:paraId="16EA340A" w14:textId="77777777" w:rsidR="001544A7" w:rsidRPr="00044745" w:rsidRDefault="004E5805" w:rsidP="00EF3B4C">
      <w:pPr>
        <w:pStyle w:val="SingleTxtG"/>
        <w:ind w:firstLine="567"/>
        <w:rPr>
          <w:b/>
          <w:noProof/>
          <w:lang w:val="es-CO" w:eastAsia="en-GB"/>
        </w:rPr>
      </w:pPr>
      <w:r w:rsidRPr="00044745">
        <w:rPr>
          <w:b/>
          <w:noProof/>
          <w:lang w:val="es-CO" w:eastAsia="en-GB"/>
        </w:rPr>
        <w:t>(o</w:t>
      </w:r>
      <w:r w:rsidR="00F42FE6" w:rsidRPr="00044745">
        <w:rPr>
          <w:b/>
          <w:noProof/>
          <w:lang w:val="es-CO" w:eastAsia="en-GB"/>
        </w:rPr>
        <w:t>)</w:t>
      </w:r>
      <w:r w:rsidR="001544A7" w:rsidRPr="00044745">
        <w:rPr>
          <w:b/>
          <w:noProof/>
          <w:lang w:val="es-CO" w:eastAsia="en-GB"/>
        </w:rPr>
        <w:t xml:space="preserve"> </w:t>
      </w:r>
      <w:r w:rsidR="00F42FE6" w:rsidRPr="00044745">
        <w:rPr>
          <w:b/>
          <w:noProof/>
          <w:lang w:val="es-CO" w:eastAsia="en-GB"/>
        </w:rPr>
        <w:tab/>
      </w:r>
      <w:r w:rsidR="00D4059A" w:rsidRPr="00044745">
        <w:rPr>
          <w:b/>
          <w:noProof/>
          <w:lang w:val="es-CO" w:eastAsia="en-GB"/>
        </w:rPr>
        <w:t xml:space="preserve">Exhorta al Estado a que corrija los aspectos del sistema integral de justicia transicional que no se ajustan a las normas internacionales; conseguir fondos para los mecanismos </w:t>
      </w:r>
      <w:r w:rsidR="00EF3B4C" w:rsidRPr="00044745">
        <w:rPr>
          <w:b/>
          <w:noProof/>
          <w:lang w:val="es-CO" w:eastAsia="en-GB"/>
        </w:rPr>
        <w:t>creados; y permitir la efectiva participación de las víctimas.</w:t>
      </w:r>
      <w:r w:rsidR="001544A7" w:rsidRPr="00044745">
        <w:rPr>
          <w:b/>
          <w:noProof/>
          <w:lang w:val="es-CO" w:eastAsia="en-GB"/>
        </w:rPr>
        <w:t xml:space="preserve">  </w:t>
      </w:r>
    </w:p>
    <w:p w14:paraId="31DB3215" w14:textId="2541789C" w:rsidR="001544A7" w:rsidRPr="00044745" w:rsidRDefault="004E5805" w:rsidP="00EF3B4C">
      <w:pPr>
        <w:pStyle w:val="SingleTxtG"/>
        <w:ind w:firstLine="567"/>
        <w:rPr>
          <w:b/>
          <w:noProof/>
          <w:lang w:val="es-CO" w:eastAsia="en-GB"/>
        </w:rPr>
      </w:pPr>
      <w:r w:rsidRPr="00044745">
        <w:rPr>
          <w:b/>
          <w:noProof/>
          <w:lang w:val="es-CO" w:eastAsia="en-GB"/>
        </w:rPr>
        <w:t>(p</w:t>
      </w:r>
      <w:r w:rsidR="0069758C" w:rsidRPr="00044745">
        <w:rPr>
          <w:b/>
          <w:noProof/>
          <w:lang w:val="es-CO" w:eastAsia="en-GB"/>
        </w:rPr>
        <w:t>)</w:t>
      </w:r>
      <w:r w:rsidR="001544A7" w:rsidRPr="00044745">
        <w:rPr>
          <w:b/>
          <w:noProof/>
          <w:lang w:val="es-CO" w:eastAsia="en-GB"/>
        </w:rPr>
        <w:t xml:space="preserve"> </w:t>
      </w:r>
      <w:r w:rsidR="0069758C" w:rsidRPr="00044745">
        <w:rPr>
          <w:b/>
          <w:noProof/>
          <w:lang w:val="es-CO" w:eastAsia="en-GB"/>
        </w:rPr>
        <w:tab/>
      </w:r>
      <w:r w:rsidR="001544A7" w:rsidRPr="00044745">
        <w:rPr>
          <w:b/>
          <w:noProof/>
          <w:lang w:val="es-CO" w:eastAsia="en-GB"/>
        </w:rPr>
        <w:t>Re</w:t>
      </w:r>
      <w:r w:rsidR="00EF3B4C" w:rsidRPr="00044745">
        <w:rPr>
          <w:b/>
          <w:noProof/>
          <w:lang w:val="es-CO" w:eastAsia="en-GB"/>
        </w:rPr>
        <w:t xml:space="preserve">cuerda al personal del </w:t>
      </w:r>
      <w:r w:rsidR="00C852CA">
        <w:rPr>
          <w:b/>
          <w:noProof/>
          <w:lang w:val="es-CO" w:eastAsia="en-GB"/>
        </w:rPr>
        <w:t>S</w:t>
      </w:r>
      <w:r w:rsidR="00C852CA" w:rsidRPr="00044745">
        <w:rPr>
          <w:b/>
          <w:noProof/>
          <w:lang w:val="es-CO" w:eastAsia="en-GB"/>
        </w:rPr>
        <w:t xml:space="preserve">istema </w:t>
      </w:r>
      <w:r w:rsidR="00EF3B4C" w:rsidRPr="00044745">
        <w:rPr>
          <w:b/>
          <w:noProof/>
          <w:lang w:val="es-CO" w:eastAsia="en-GB"/>
        </w:rPr>
        <w:t xml:space="preserve">integral de justicia transicional </w:t>
      </w:r>
      <w:r w:rsidR="009E2EF6">
        <w:rPr>
          <w:b/>
          <w:noProof/>
          <w:lang w:val="es-CO" w:eastAsia="en-GB"/>
        </w:rPr>
        <w:t xml:space="preserve">que deben </w:t>
      </w:r>
      <w:r w:rsidR="00EF3B4C" w:rsidRPr="00044745">
        <w:rPr>
          <w:b/>
          <w:noProof/>
          <w:lang w:val="es-CO" w:eastAsia="en-GB"/>
        </w:rPr>
        <w:t>actuar en conformidad con las obligaciones de Colombia en materia de derechos humanos.</w:t>
      </w:r>
      <w:r w:rsidR="001544A7" w:rsidRPr="00044745">
        <w:rPr>
          <w:b/>
          <w:noProof/>
          <w:lang w:val="es-CO" w:eastAsia="en-GB"/>
        </w:rPr>
        <w:t xml:space="preserve"> </w:t>
      </w:r>
    </w:p>
    <w:p w14:paraId="411D3049" w14:textId="50C6CFFF" w:rsidR="001544A7" w:rsidRPr="00044745" w:rsidRDefault="004E5805" w:rsidP="00EF3B4C">
      <w:pPr>
        <w:pStyle w:val="SingleTxtG"/>
        <w:ind w:firstLine="567"/>
        <w:rPr>
          <w:b/>
          <w:noProof/>
          <w:lang w:val="es-CO" w:eastAsia="en-GB"/>
        </w:rPr>
      </w:pPr>
      <w:r w:rsidRPr="00044745">
        <w:rPr>
          <w:b/>
          <w:noProof/>
          <w:lang w:val="es-CO" w:eastAsia="en-GB"/>
        </w:rPr>
        <w:t>(q</w:t>
      </w:r>
      <w:r w:rsidR="00C83597" w:rsidRPr="00044745">
        <w:rPr>
          <w:b/>
          <w:noProof/>
          <w:lang w:val="es-CO" w:eastAsia="en-GB"/>
        </w:rPr>
        <w:t>)</w:t>
      </w:r>
      <w:r w:rsidR="001544A7" w:rsidRPr="00044745">
        <w:rPr>
          <w:b/>
          <w:noProof/>
          <w:lang w:val="es-CO" w:eastAsia="en-GB"/>
        </w:rPr>
        <w:t xml:space="preserve"> </w:t>
      </w:r>
      <w:r w:rsidR="00C83597" w:rsidRPr="00044745">
        <w:rPr>
          <w:b/>
          <w:noProof/>
          <w:lang w:val="es-CO" w:eastAsia="en-GB"/>
        </w:rPr>
        <w:tab/>
      </w:r>
      <w:r w:rsidR="00EF3B4C" w:rsidRPr="00044745">
        <w:rPr>
          <w:b/>
          <w:noProof/>
          <w:lang w:val="es-CO" w:eastAsia="en-GB"/>
        </w:rPr>
        <w:t>Alienta al gobierno y al ELN aumentar su nivel de respeto por los derechos humanos y el derecho internacional humanitari</w:t>
      </w:r>
      <w:r w:rsidR="00C54D9A">
        <w:rPr>
          <w:b/>
          <w:noProof/>
          <w:lang w:val="es-CO" w:eastAsia="en-GB"/>
        </w:rPr>
        <w:t>o</w:t>
      </w:r>
      <w:r w:rsidR="00EF3B4C" w:rsidRPr="00044745">
        <w:rPr>
          <w:b/>
          <w:noProof/>
          <w:lang w:val="es-CO" w:eastAsia="en-GB"/>
        </w:rPr>
        <w:t xml:space="preserve"> con el fin de construir confianza en el proceso de paz.</w:t>
      </w:r>
    </w:p>
    <w:p w14:paraId="17D24680" w14:textId="77777777" w:rsidR="001544A7" w:rsidRPr="00044745" w:rsidRDefault="004E5805" w:rsidP="00EF3B4C">
      <w:pPr>
        <w:pStyle w:val="SingleTxtG"/>
        <w:ind w:firstLine="567"/>
        <w:rPr>
          <w:b/>
          <w:noProof/>
          <w:lang w:val="es-CO" w:eastAsia="en-GB"/>
        </w:rPr>
      </w:pPr>
      <w:r w:rsidRPr="00044745">
        <w:rPr>
          <w:b/>
          <w:noProof/>
          <w:lang w:val="es-CO" w:eastAsia="en-GB"/>
        </w:rPr>
        <w:t>(r</w:t>
      </w:r>
      <w:r w:rsidR="00586B2B" w:rsidRPr="00044745">
        <w:rPr>
          <w:b/>
          <w:noProof/>
          <w:lang w:val="es-CO" w:eastAsia="en-GB"/>
        </w:rPr>
        <w:t>)</w:t>
      </w:r>
      <w:r w:rsidR="001544A7" w:rsidRPr="00044745">
        <w:rPr>
          <w:b/>
          <w:noProof/>
          <w:lang w:val="es-CO" w:eastAsia="en-GB"/>
        </w:rPr>
        <w:t xml:space="preserve"> </w:t>
      </w:r>
      <w:r w:rsidR="00DF365F" w:rsidRPr="00044745">
        <w:rPr>
          <w:b/>
          <w:noProof/>
          <w:lang w:val="es-CO" w:eastAsia="en-GB"/>
        </w:rPr>
        <w:tab/>
      </w:r>
      <w:r w:rsidR="001544A7" w:rsidRPr="00044745">
        <w:rPr>
          <w:b/>
          <w:noProof/>
          <w:lang w:val="es-CO" w:eastAsia="en-GB"/>
        </w:rPr>
        <w:t>Recom</w:t>
      </w:r>
      <w:r w:rsidR="00EF3B4C" w:rsidRPr="00044745">
        <w:rPr>
          <w:b/>
          <w:noProof/>
          <w:lang w:val="es-CO" w:eastAsia="en-GB"/>
        </w:rPr>
        <w:t xml:space="preserve">ienda que el gobierno y el ELN lleguen a un acuerdo basado en un enfoque de derechos humanos que permita una oportuna transformación estructural en los territorios rurales con presencia del ELN, para evitar que se generen vacíos </w:t>
      </w:r>
      <w:r w:rsidR="009E2EF6">
        <w:rPr>
          <w:b/>
          <w:noProof/>
          <w:lang w:val="es-CO" w:eastAsia="en-GB"/>
        </w:rPr>
        <w:t xml:space="preserve">de </w:t>
      </w:r>
      <w:r w:rsidR="00EF3B4C" w:rsidRPr="00044745">
        <w:rPr>
          <w:b/>
          <w:noProof/>
          <w:lang w:val="es-CO" w:eastAsia="en-GB"/>
        </w:rPr>
        <w:t>poder.</w:t>
      </w:r>
    </w:p>
    <w:p w14:paraId="78E75824" w14:textId="6D9FEA2F" w:rsidR="00EF3B4C" w:rsidRPr="00044745" w:rsidRDefault="004E5805" w:rsidP="00B85D00">
      <w:pPr>
        <w:pStyle w:val="SingleTxtG"/>
        <w:ind w:firstLine="567"/>
        <w:rPr>
          <w:b/>
          <w:noProof/>
          <w:lang w:val="es-CO" w:eastAsia="en-GB"/>
        </w:rPr>
      </w:pPr>
      <w:r w:rsidRPr="00044745">
        <w:rPr>
          <w:b/>
          <w:noProof/>
          <w:lang w:val="es-CO" w:eastAsia="en-GB"/>
        </w:rPr>
        <w:t>(s</w:t>
      </w:r>
      <w:r w:rsidR="00B85D00" w:rsidRPr="00044745">
        <w:rPr>
          <w:b/>
          <w:noProof/>
          <w:lang w:val="es-CO" w:eastAsia="en-GB"/>
        </w:rPr>
        <w:t>)</w:t>
      </w:r>
      <w:r w:rsidR="001544A7" w:rsidRPr="00044745">
        <w:rPr>
          <w:b/>
          <w:noProof/>
          <w:lang w:val="es-CO" w:eastAsia="en-GB"/>
        </w:rPr>
        <w:t xml:space="preserve"> </w:t>
      </w:r>
      <w:r w:rsidR="00B85D00" w:rsidRPr="00044745">
        <w:rPr>
          <w:b/>
          <w:noProof/>
          <w:lang w:val="es-CO" w:eastAsia="en-GB"/>
        </w:rPr>
        <w:tab/>
      </w:r>
      <w:r w:rsidR="001544A7" w:rsidRPr="00044745">
        <w:rPr>
          <w:b/>
          <w:noProof/>
          <w:lang w:val="es-CO" w:eastAsia="en-GB"/>
        </w:rPr>
        <w:t>Insist</w:t>
      </w:r>
      <w:r w:rsidR="00EF3B4C" w:rsidRPr="00044745">
        <w:rPr>
          <w:b/>
          <w:noProof/>
          <w:lang w:val="es-CO" w:eastAsia="en-GB"/>
        </w:rPr>
        <w:t xml:space="preserve">e en que el uso de la fuerza </w:t>
      </w:r>
      <w:r w:rsidR="003E580A">
        <w:rPr>
          <w:b/>
          <w:noProof/>
          <w:lang w:val="es-CO" w:eastAsia="en-GB"/>
        </w:rPr>
        <w:t xml:space="preserve">por </w:t>
      </w:r>
      <w:r w:rsidR="00F77F31" w:rsidRPr="00044745">
        <w:rPr>
          <w:b/>
          <w:noProof/>
          <w:lang w:val="es-CO" w:eastAsia="en-GB"/>
        </w:rPr>
        <w:t xml:space="preserve">el Estado, especialmente en situaciones de protesta social, se ajuste a los principios del derecho internacional de los derechos humanos, como lo exige el </w:t>
      </w:r>
      <w:r w:rsidR="009E2EF6">
        <w:rPr>
          <w:b/>
          <w:noProof/>
          <w:lang w:val="es-CO" w:eastAsia="en-GB"/>
        </w:rPr>
        <w:t>A</w:t>
      </w:r>
      <w:r w:rsidR="00F77F31" w:rsidRPr="00044745">
        <w:rPr>
          <w:b/>
          <w:noProof/>
          <w:lang w:val="es-CO" w:eastAsia="en-GB"/>
        </w:rPr>
        <w:t xml:space="preserve">cuerdo; el empleo legal de la fuerza debe </w:t>
      </w:r>
      <w:r w:rsidR="00C170EC" w:rsidRPr="00044745">
        <w:rPr>
          <w:b/>
          <w:noProof/>
          <w:lang w:val="es-CO" w:eastAsia="en-GB"/>
        </w:rPr>
        <w:t>estar sujeto a condiciones estrictas, según las normas internacionales relevantes, y a la rendición de cuentas de manera transparente.</w:t>
      </w:r>
    </w:p>
    <w:sectPr w:rsidR="00EF3B4C" w:rsidRPr="00044745" w:rsidSect="006778C5">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BA166" w14:textId="77777777" w:rsidR="004A5E90" w:rsidRDefault="004A5E90"/>
  </w:endnote>
  <w:endnote w:type="continuationSeparator" w:id="0">
    <w:p w14:paraId="2C02E906" w14:textId="77777777" w:rsidR="004A5E90" w:rsidRDefault="004A5E90"/>
  </w:endnote>
  <w:endnote w:type="continuationNotice" w:id="1">
    <w:p w14:paraId="050B204B" w14:textId="77777777" w:rsidR="004A5E90" w:rsidRDefault="004A5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9E932" w14:textId="71F408C0" w:rsidR="00DB7B93" w:rsidRPr="006778C5" w:rsidRDefault="00DB7B93" w:rsidP="006778C5">
    <w:pPr>
      <w:pStyle w:val="Footer"/>
      <w:tabs>
        <w:tab w:val="right" w:pos="9638"/>
      </w:tabs>
      <w:rPr>
        <w:sz w:val="18"/>
      </w:rPr>
    </w:pPr>
    <w:r w:rsidRPr="006778C5">
      <w:rPr>
        <w:b/>
        <w:sz w:val="18"/>
      </w:rPr>
      <w:fldChar w:fldCharType="begin"/>
    </w:r>
    <w:r w:rsidRPr="006778C5">
      <w:rPr>
        <w:b/>
        <w:sz w:val="18"/>
      </w:rPr>
      <w:instrText xml:space="preserve"> PAGE  \* MERGEFORMAT </w:instrText>
    </w:r>
    <w:r w:rsidRPr="006778C5">
      <w:rPr>
        <w:b/>
        <w:sz w:val="18"/>
      </w:rPr>
      <w:fldChar w:fldCharType="separate"/>
    </w:r>
    <w:r w:rsidR="009A6072">
      <w:rPr>
        <w:b/>
        <w:noProof/>
        <w:sz w:val="18"/>
      </w:rPr>
      <w:t>16</w:t>
    </w:r>
    <w:r w:rsidRPr="006778C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A1F1E" w14:textId="47B97467" w:rsidR="00DB7B93" w:rsidRPr="006778C5" w:rsidRDefault="00DB7B93" w:rsidP="006778C5">
    <w:pPr>
      <w:pStyle w:val="Footer"/>
      <w:tabs>
        <w:tab w:val="right" w:pos="9638"/>
      </w:tabs>
      <w:rPr>
        <w:b/>
        <w:sz w:val="18"/>
      </w:rPr>
    </w:pPr>
    <w:r>
      <w:tab/>
    </w:r>
    <w:r w:rsidRPr="006778C5">
      <w:rPr>
        <w:b/>
        <w:sz w:val="18"/>
      </w:rPr>
      <w:fldChar w:fldCharType="begin"/>
    </w:r>
    <w:r w:rsidRPr="006778C5">
      <w:rPr>
        <w:b/>
        <w:sz w:val="18"/>
      </w:rPr>
      <w:instrText xml:space="preserve"> PAGE  \* MERGEFORMAT </w:instrText>
    </w:r>
    <w:r w:rsidRPr="006778C5">
      <w:rPr>
        <w:b/>
        <w:sz w:val="18"/>
      </w:rPr>
      <w:fldChar w:fldCharType="separate"/>
    </w:r>
    <w:r w:rsidR="009A6072">
      <w:rPr>
        <w:b/>
        <w:noProof/>
        <w:sz w:val="18"/>
      </w:rPr>
      <w:t>17</w:t>
    </w:r>
    <w:r w:rsidRPr="006778C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6934C" w14:textId="77777777" w:rsidR="00DB7B93" w:rsidRPr="006778C5" w:rsidRDefault="00DB7B93" w:rsidP="00542574">
    <w:r>
      <w:rPr>
        <w:noProof/>
        <w:lang w:eastAsia="en-GB"/>
      </w:rPr>
      <w:drawing>
        <wp:anchor distT="0" distB="0" distL="114300" distR="114300" simplePos="0" relativeHeight="251659776" behindDoc="0" locked="1" layoutInCell="1" allowOverlap="1" wp14:anchorId="783BA986" wp14:editId="23E380ED">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anchor>
      </w:drawing>
    </w:r>
    <w:r>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AA6CB" w14:textId="77777777" w:rsidR="004A5E90" w:rsidRPr="000B175B" w:rsidRDefault="004A5E90" w:rsidP="000B175B">
      <w:pPr>
        <w:tabs>
          <w:tab w:val="right" w:pos="2155"/>
        </w:tabs>
        <w:spacing w:after="80"/>
        <w:ind w:left="680"/>
        <w:rPr>
          <w:u w:val="single"/>
        </w:rPr>
      </w:pPr>
      <w:r>
        <w:rPr>
          <w:u w:val="single"/>
        </w:rPr>
        <w:tab/>
      </w:r>
    </w:p>
  </w:footnote>
  <w:footnote w:type="continuationSeparator" w:id="0">
    <w:p w14:paraId="07B91BF7" w14:textId="77777777" w:rsidR="004A5E90" w:rsidRPr="00FC68B7" w:rsidRDefault="004A5E90" w:rsidP="00FC68B7">
      <w:pPr>
        <w:tabs>
          <w:tab w:val="left" w:pos="2155"/>
        </w:tabs>
        <w:spacing w:after="80"/>
        <w:ind w:left="680"/>
        <w:rPr>
          <w:u w:val="single"/>
        </w:rPr>
      </w:pPr>
      <w:r>
        <w:rPr>
          <w:u w:val="single"/>
        </w:rPr>
        <w:tab/>
      </w:r>
    </w:p>
  </w:footnote>
  <w:footnote w:type="continuationNotice" w:id="1">
    <w:p w14:paraId="3A9F1BEB" w14:textId="77777777" w:rsidR="004A5E90" w:rsidRDefault="004A5E90"/>
  </w:footnote>
  <w:footnote w:id="2">
    <w:p w14:paraId="12323EE3" w14:textId="03D74E2C" w:rsidR="00B26536" w:rsidRPr="00B26536" w:rsidRDefault="00B26536">
      <w:pPr>
        <w:pStyle w:val="FootnoteText"/>
        <w:rPr>
          <w:lang w:val="es-ES"/>
        </w:rPr>
      </w:pPr>
      <w:r>
        <w:rPr>
          <w:rStyle w:val="FootnoteReference"/>
        </w:rPr>
        <w:footnoteRef/>
      </w:r>
      <w:r w:rsidRPr="00B26536">
        <w:rPr>
          <w:lang w:val="es-ES"/>
        </w:rPr>
        <w:t xml:space="preserve"> El presente informe fue presentado después de la fecha límite para poder reflejar los desarrollos m</w:t>
      </w:r>
      <w:r>
        <w:rPr>
          <w:lang w:val="es-ES"/>
        </w:rPr>
        <w:t xml:space="preserve">ás recientes. </w:t>
      </w:r>
    </w:p>
  </w:footnote>
  <w:footnote w:id="3">
    <w:p w14:paraId="1C222787" w14:textId="01D28A88" w:rsidR="00B26536" w:rsidRPr="00B26536" w:rsidRDefault="00B26536" w:rsidP="00B26536">
      <w:pPr>
        <w:pStyle w:val="FootnoteText"/>
        <w:tabs>
          <w:tab w:val="clear" w:pos="1021"/>
        </w:tabs>
        <w:ind w:left="993" w:hanging="993"/>
        <w:rPr>
          <w:lang w:val="es-ES"/>
        </w:rPr>
      </w:pPr>
      <w:r>
        <w:rPr>
          <w:lang w:val="es-ES"/>
        </w:rPr>
        <w:tab/>
      </w:r>
      <w:r>
        <w:rPr>
          <w:rStyle w:val="FootnoteReference"/>
        </w:rPr>
        <w:footnoteRef/>
      </w:r>
      <w:r w:rsidRPr="00B26536">
        <w:rPr>
          <w:lang w:val="es-ES"/>
        </w:rPr>
        <w:t xml:space="preserve"> Circulado en el idioma original y en espa</w:t>
      </w:r>
      <w:r>
        <w:rPr>
          <w:lang w:val="es-ES"/>
        </w:rPr>
        <w:t xml:space="preserve">ñol únicamente. </w:t>
      </w:r>
    </w:p>
  </w:footnote>
  <w:footnote w:id="4">
    <w:p w14:paraId="69D5D8B1" w14:textId="77777777" w:rsidR="00DB7B93" w:rsidRPr="007B1026" w:rsidRDefault="00DB7B93" w:rsidP="00EE6457">
      <w:pPr>
        <w:pStyle w:val="FootnoteText"/>
        <w:widowControl w:val="0"/>
        <w:tabs>
          <w:tab w:val="clear" w:pos="1021"/>
          <w:tab w:val="right" w:pos="1020"/>
        </w:tabs>
        <w:rPr>
          <w:lang w:val="es-ES"/>
        </w:rPr>
      </w:pPr>
      <w:r w:rsidRPr="00B26536">
        <w:rPr>
          <w:lang w:val="es-ES"/>
        </w:rPr>
        <w:tab/>
      </w:r>
      <w:r>
        <w:rPr>
          <w:rStyle w:val="FootnoteReference"/>
        </w:rPr>
        <w:footnoteRef/>
      </w:r>
      <w:r w:rsidRPr="007B1026">
        <w:rPr>
          <w:lang w:val="es-ES"/>
        </w:rPr>
        <w:tab/>
        <w:t xml:space="preserve"> A/HRC/34/3/Add.3, párrafo 3.</w:t>
      </w:r>
    </w:p>
  </w:footnote>
  <w:footnote w:id="5">
    <w:p w14:paraId="4BE6DAE9" w14:textId="77777777" w:rsidR="00DB7B93" w:rsidRPr="007B1026" w:rsidRDefault="00DB7B93" w:rsidP="007B1026">
      <w:pPr>
        <w:pStyle w:val="FootnoteText"/>
        <w:rPr>
          <w:lang w:val="es-ES"/>
        </w:rPr>
      </w:pPr>
      <w:r w:rsidRPr="007B1026">
        <w:rPr>
          <w:lang w:val="es-ES"/>
        </w:rPr>
        <w:tab/>
      </w:r>
      <w:r>
        <w:rPr>
          <w:rStyle w:val="FootnoteReference"/>
        </w:rPr>
        <w:footnoteRef/>
      </w:r>
      <w:r w:rsidRPr="007B1026">
        <w:rPr>
          <w:lang w:val="es-ES"/>
        </w:rPr>
        <w:tab/>
        <w:t xml:space="preserve"> Los municipios designados por el decreto 1650 de 2017.</w:t>
      </w:r>
    </w:p>
  </w:footnote>
  <w:footnote w:id="6">
    <w:p w14:paraId="726909F6" w14:textId="77777777" w:rsidR="00DB7B93" w:rsidRPr="00CA4D9C" w:rsidRDefault="00DB7B93" w:rsidP="00CA4D9C">
      <w:pPr>
        <w:pStyle w:val="FootnoteText"/>
        <w:rPr>
          <w:lang w:val="es-ES"/>
        </w:rPr>
      </w:pPr>
      <w:r w:rsidRPr="007B1026">
        <w:rPr>
          <w:lang w:val="es-ES"/>
        </w:rPr>
        <w:tab/>
      </w:r>
      <w:r w:rsidRPr="007B1026">
        <w:rPr>
          <w:lang w:val="es-ES"/>
        </w:rPr>
        <w:tab/>
      </w:r>
      <w:r>
        <w:rPr>
          <w:rStyle w:val="FootnoteReference"/>
        </w:rPr>
        <w:footnoteRef/>
      </w:r>
      <w:r w:rsidRPr="00CA4D9C">
        <w:rPr>
          <w:lang w:val="es-ES"/>
        </w:rPr>
        <w:t xml:space="preserve"> Según la OMS, una </w:t>
      </w:r>
      <w:r>
        <w:rPr>
          <w:lang w:val="es-ES"/>
        </w:rPr>
        <w:t>regió</w:t>
      </w:r>
      <w:r w:rsidRPr="00CA4D9C">
        <w:rPr>
          <w:lang w:val="es-ES"/>
        </w:rPr>
        <w:t xml:space="preserve">n </w:t>
      </w:r>
      <w:r w:rsidRPr="001E1059">
        <w:rPr>
          <w:lang w:val="es-ES"/>
        </w:rPr>
        <w:t>sufre de violencia</w:t>
      </w:r>
      <w:r w:rsidRPr="00CA4D9C">
        <w:rPr>
          <w:lang w:val="es-ES"/>
        </w:rPr>
        <w:t xml:space="preserve"> end</w:t>
      </w:r>
      <w:r>
        <w:rPr>
          <w:lang w:val="es-ES"/>
        </w:rPr>
        <w:t>émica cuando la tasa de homicidios es superior a 10 por cada 100.000 habitantes.</w:t>
      </w:r>
    </w:p>
    <w:p w14:paraId="42B02318" w14:textId="77777777" w:rsidR="00DB7B93" w:rsidRPr="00440058" w:rsidRDefault="00DB7B93" w:rsidP="003C5A58">
      <w:pPr>
        <w:pStyle w:val="FootnoteText"/>
        <w:rPr>
          <w:lang w:val="es-ES"/>
        </w:rPr>
      </w:pPr>
      <w:r w:rsidRPr="00440058">
        <w:rPr>
          <w:lang w:val="es-ES"/>
        </w:rPr>
        <w:t>.</w:t>
      </w:r>
    </w:p>
  </w:footnote>
  <w:footnote w:id="7">
    <w:p w14:paraId="52BA57A5" w14:textId="520C5F4C" w:rsidR="00DB7B93" w:rsidRPr="00180EE1" w:rsidRDefault="00DB7B93">
      <w:pPr>
        <w:pStyle w:val="FootnoteText"/>
        <w:rPr>
          <w:lang w:val="es-CO"/>
        </w:rPr>
      </w:pPr>
      <w:r>
        <w:rPr>
          <w:rStyle w:val="FootnoteReference"/>
        </w:rPr>
        <w:footnoteRef/>
      </w:r>
      <w:r w:rsidRPr="00180EE1">
        <w:rPr>
          <w:lang w:val="es-CO"/>
        </w:rPr>
        <w:t xml:space="preserve"> </w:t>
      </w:r>
      <w:r>
        <w:rPr>
          <w:lang w:val="es-CO"/>
        </w:rPr>
        <w:t xml:space="preserve">Censo Socioeconómico de las FARC-EP. Universidad Nacional de Colombia 2017. </w:t>
      </w:r>
    </w:p>
  </w:footnote>
  <w:footnote w:id="8">
    <w:p w14:paraId="33762216" w14:textId="79540B45" w:rsidR="00DB7B93" w:rsidRPr="009D3BCB" w:rsidRDefault="00DB7B93">
      <w:pPr>
        <w:pStyle w:val="FootnoteText"/>
        <w:rPr>
          <w:lang w:val="es-CO"/>
        </w:rPr>
      </w:pPr>
      <w:r>
        <w:rPr>
          <w:lang w:val="es-CO"/>
        </w:rPr>
        <w:tab/>
      </w:r>
      <w:r>
        <w:rPr>
          <w:lang w:val="es-CO"/>
        </w:rPr>
        <w:tab/>
      </w:r>
      <w:r>
        <w:rPr>
          <w:rStyle w:val="FootnoteReference"/>
        </w:rPr>
        <w:footnoteRef/>
      </w:r>
      <w:r>
        <w:rPr>
          <w:lang w:val="es-CO"/>
        </w:rPr>
        <w:t xml:space="preserve">La Agencia Nacional de Tierras (ANT) indicó a OHCHR que se requieren 3 billones de pesos para los próximos 10 años a fin de sanear y formalizar el total de predios registrados como informales. </w:t>
      </w:r>
    </w:p>
  </w:footnote>
  <w:footnote w:id="9">
    <w:p w14:paraId="7A3F2BF4" w14:textId="77777777" w:rsidR="00DB7B93" w:rsidRPr="00182E8E" w:rsidRDefault="00DB7B93" w:rsidP="00010253">
      <w:pPr>
        <w:pStyle w:val="FootnoteText"/>
        <w:widowControl w:val="0"/>
        <w:tabs>
          <w:tab w:val="clear" w:pos="1021"/>
          <w:tab w:val="right" w:pos="1020"/>
        </w:tabs>
        <w:rPr>
          <w:lang w:val="es-ES"/>
        </w:rPr>
      </w:pPr>
      <w:r w:rsidRPr="00440058">
        <w:rPr>
          <w:lang w:val="es-ES"/>
        </w:rPr>
        <w:tab/>
      </w:r>
      <w:r>
        <w:rPr>
          <w:rStyle w:val="FootnoteReference"/>
        </w:rPr>
        <w:footnoteRef/>
      </w:r>
      <w:r w:rsidRPr="00182E8E">
        <w:rPr>
          <w:lang w:val="es-ES"/>
        </w:rPr>
        <w:tab/>
        <w:t xml:space="preserve">Véase </w:t>
      </w:r>
      <w:r>
        <w:rPr>
          <w:lang w:val="es-ES"/>
        </w:rPr>
        <w:t xml:space="preserve">el </w:t>
      </w:r>
      <w:r w:rsidRPr="00182E8E">
        <w:rPr>
          <w:lang w:val="es-ES"/>
        </w:rPr>
        <w:t xml:space="preserve">punto 6.2. del </w:t>
      </w:r>
      <w:r>
        <w:rPr>
          <w:lang w:val="es-ES"/>
        </w:rPr>
        <w:t>A</w:t>
      </w:r>
      <w:r w:rsidRPr="00182E8E">
        <w:rPr>
          <w:lang w:val="es-ES"/>
        </w:rPr>
        <w:t>cuerdo.</w:t>
      </w:r>
    </w:p>
  </w:footnote>
  <w:footnote w:id="10">
    <w:p w14:paraId="6486207B" w14:textId="77777777" w:rsidR="00DB7B93" w:rsidRPr="006207BE" w:rsidRDefault="00DB7B93" w:rsidP="002C71C6">
      <w:pPr>
        <w:pStyle w:val="FootnoteText"/>
        <w:widowControl w:val="0"/>
        <w:rPr>
          <w:lang w:val="es-CO"/>
        </w:rPr>
      </w:pPr>
      <w:r w:rsidRPr="00182E8E">
        <w:rPr>
          <w:lang w:val="es-ES"/>
        </w:rPr>
        <w:tab/>
      </w:r>
      <w:r>
        <w:rPr>
          <w:rStyle w:val="FootnoteReference"/>
        </w:rPr>
        <w:footnoteRef/>
      </w:r>
      <w:r w:rsidRPr="006207BE">
        <w:rPr>
          <w:lang w:val="es-CO"/>
        </w:rPr>
        <w:tab/>
        <w:t xml:space="preserve"> </w:t>
      </w:r>
      <w:r w:rsidRPr="0069170C">
        <w:rPr>
          <w:lang w:val="es-CO"/>
        </w:rPr>
        <w:t>Plan marco de implementación del acuerdo final para la terminación del conflicto y la construcción de u</w:t>
      </w:r>
      <w:r>
        <w:rPr>
          <w:lang w:val="es-CO"/>
        </w:rPr>
        <w:t xml:space="preserve">na paz estable y duradera, párrafos </w:t>
      </w:r>
      <w:r w:rsidRPr="006207BE">
        <w:rPr>
          <w:lang w:val="es-CO"/>
        </w:rPr>
        <w:t>14</w:t>
      </w:r>
      <w:r>
        <w:rPr>
          <w:lang w:val="es-CO"/>
        </w:rPr>
        <w:t xml:space="preserve"> a </w:t>
      </w:r>
      <w:r w:rsidRPr="006207BE">
        <w:rPr>
          <w:lang w:val="es-CO"/>
        </w:rPr>
        <w:t>24.</w:t>
      </w:r>
    </w:p>
    <w:p w14:paraId="0898FDCE" w14:textId="77777777" w:rsidR="00DB7B93" w:rsidRPr="006207BE" w:rsidRDefault="00DB7B93" w:rsidP="002C71C6">
      <w:pPr>
        <w:pStyle w:val="FootnoteText"/>
        <w:widowControl w:val="0"/>
        <w:tabs>
          <w:tab w:val="clear" w:pos="1021"/>
          <w:tab w:val="right" w:pos="1020"/>
        </w:tabs>
        <w:rPr>
          <w:lang w:val="es-CO"/>
        </w:rPr>
      </w:pPr>
    </w:p>
  </w:footnote>
  <w:footnote w:id="11">
    <w:p w14:paraId="704D899F" w14:textId="52585EEC" w:rsidR="00DB7B93" w:rsidRPr="00800B6A" w:rsidRDefault="00DB7B93" w:rsidP="00800B6A">
      <w:pPr>
        <w:pStyle w:val="FootnoteText"/>
        <w:widowControl w:val="0"/>
        <w:tabs>
          <w:tab w:val="clear" w:pos="1021"/>
          <w:tab w:val="right" w:pos="1020"/>
        </w:tabs>
        <w:rPr>
          <w:lang w:val="es-ES"/>
        </w:rPr>
      </w:pPr>
      <w:r w:rsidRPr="003F2404">
        <w:rPr>
          <w:lang w:val="es-CO"/>
        </w:rPr>
        <w:tab/>
      </w:r>
      <w:r>
        <w:rPr>
          <w:rStyle w:val="FootnoteReference"/>
        </w:rPr>
        <w:footnoteRef/>
      </w:r>
      <w:r w:rsidRPr="00800B6A">
        <w:rPr>
          <w:lang w:val="es-ES"/>
        </w:rPr>
        <w:tab/>
        <w:t xml:space="preserve"> Las Juntas de Acción Comunal fueron creadas por la Ley 743 del 2002 con el fin de “promover un desarrollo integral, y </w:t>
      </w:r>
      <w:r>
        <w:rPr>
          <w:lang w:val="es-ES"/>
        </w:rPr>
        <w:t>sostenible</w:t>
      </w:r>
      <w:r w:rsidRPr="00800B6A">
        <w:rPr>
          <w:lang w:val="es-ES"/>
        </w:rPr>
        <w:t xml:space="preserve"> construido a partir del ejercicio de la democracia participativ</w:t>
      </w:r>
      <w:r>
        <w:rPr>
          <w:lang w:val="es-ES"/>
        </w:rPr>
        <w:t>a…”</w:t>
      </w:r>
      <w:r w:rsidRPr="00800B6A">
        <w:rPr>
          <w:lang w:val="es-ES"/>
        </w:rPr>
        <w:t>.</w:t>
      </w:r>
    </w:p>
  </w:footnote>
  <w:footnote w:id="12">
    <w:p w14:paraId="69A58508" w14:textId="77777777" w:rsidR="00DB7B93" w:rsidRPr="003F5854" w:rsidRDefault="00DB7B93" w:rsidP="00682E6F">
      <w:pPr>
        <w:pStyle w:val="FootnoteText"/>
        <w:widowControl w:val="0"/>
        <w:rPr>
          <w:lang w:val="es-ES"/>
        </w:rPr>
      </w:pPr>
      <w:r w:rsidRPr="00800B6A">
        <w:rPr>
          <w:lang w:val="es-ES"/>
        </w:rPr>
        <w:tab/>
      </w:r>
      <w:r>
        <w:rPr>
          <w:rStyle w:val="FootnoteReference"/>
        </w:rPr>
        <w:footnoteRef/>
      </w:r>
      <w:r w:rsidRPr="00682E6F">
        <w:rPr>
          <w:lang w:val="es-ES"/>
        </w:rPr>
        <w:tab/>
        <w:t xml:space="preserve"> Las Corporaciones Autónomas Regionales son órganos regional</w:t>
      </w:r>
      <w:r>
        <w:rPr>
          <w:lang w:val="es-ES"/>
        </w:rPr>
        <w:t>e</w:t>
      </w:r>
      <w:r w:rsidRPr="00682E6F">
        <w:rPr>
          <w:lang w:val="es-ES"/>
        </w:rPr>
        <w:t xml:space="preserve">s </w:t>
      </w:r>
      <w:r>
        <w:rPr>
          <w:lang w:val="es-ES"/>
        </w:rPr>
        <w:t xml:space="preserve">que ejercen el control ambiental. Su presencia en las zonas rurales es crucial para evitar el deterioro del medio ambiente después de la firma del acuerdo de paz. </w:t>
      </w:r>
    </w:p>
    <w:p w14:paraId="0DED6FE2" w14:textId="77777777" w:rsidR="00DB7B93" w:rsidRPr="003F5854" w:rsidRDefault="00DB7B93" w:rsidP="000B6DAB">
      <w:pPr>
        <w:pStyle w:val="FootnoteText"/>
        <w:widowControl w:val="0"/>
        <w:tabs>
          <w:tab w:val="clear" w:pos="1021"/>
          <w:tab w:val="right" w:pos="1020"/>
        </w:tabs>
        <w:rPr>
          <w:lang w:val="es-ES"/>
        </w:rPr>
      </w:pPr>
    </w:p>
  </w:footnote>
  <w:footnote w:id="13">
    <w:p w14:paraId="68E9DAC2" w14:textId="77777777" w:rsidR="00DB7B93" w:rsidRPr="003F5854" w:rsidRDefault="00DB7B93" w:rsidP="00CC7F4D">
      <w:pPr>
        <w:pStyle w:val="FootnoteText"/>
        <w:rPr>
          <w:lang w:val="es-ES"/>
        </w:rPr>
      </w:pPr>
      <w:r w:rsidRPr="003F5854">
        <w:rPr>
          <w:lang w:val="es-ES"/>
        </w:rPr>
        <w:tab/>
      </w:r>
      <w:r w:rsidRPr="003F5854">
        <w:rPr>
          <w:lang w:val="es-ES"/>
        </w:rPr>
        <w:tab/>
      </w:r>
      <w:r>
        <w:rPr>
          <w:rStyle w:val="FootnoteReference"/>
        </w:rPr>
        <w:footnoteRef/>
      </w:r>
      <w:r w:rsidRPr="003F5854">
        <w:rPr>
          <w:lang w:val="es-ES"/>
        </w:rPr>
        <w:t xml:space="preserve"> </w:t>
      </w:r>
      <w:r w:rsidRPr="003F5854">
        <w:rPr>
          <w:sz w:val="16"/>
          <w:szCs w:val="16"/>
          <w:lang w:val="es-ES"/>
        </w:rPr>
        <w:t>http://repositorio.cepal.org/bitstream/handle/11362/41598/4/S1700567_es.pdf</w:t>
      </w:r>
    </w:p>
  </w:footnote>
  <w:footnote w:id="14">
    <w:p w14:paraId="6E7A4460" w14:textId="77777777" w:rsidR="00DB7B93" w:rsidRPr="00A816BB" w:rsidRDefault="00DB7B93" w:rsidP="005526CF">
      <w:pPr>
        <w:pStyle w:val="FootnoteText"/>
        <w:rPr>
          <w:lang w:val="es-CO"/>
        </w:rPr>
      </w:pPr>
      <w:r w:rsidRPr="003F5854">
        <w:rPr>
          <w:lang w:val="es-ES"/>
        </w:rPr>
        <w:tab/>
      </w:r>
      <w:r w:rsidRPr="003F5854">
        <w:rPr>
          <w:lang w:val="es-ES"/>
        </w:rPr>
        <w:tab/>
      </w:r>
      <w:r>
        <w:rPr>
          <w:rStyle w:val="FootnoteReference"/>
        </w:rPr>
        <w:footnoteRef/>
      </w:r>
      <w:r w:rsidRPr="00A816BB">
        <w:rPr>
          <w:lang w:val="es-CO"/>
        </w:rPr>
        <w:t xml:space="preserve"> </w:t>
      </w:r>
      <w:r w:rsidRPr="00A816BB">
        <w:rPr>
          <w:sz w:val="16"/>
          <w:szCs w:val="16"/>
          <w:lang w:val="es-CO"/>
        </w:rPr>
        <w:t>E/C.12/COL/CO/6 de 6 de octubre de 2017</w:t>
      </w:r>
    </w:p>
  </w:footnote>
  <w:footnote w:id="15">
    <w:p w14:paraId="639E1966" w14:textId="77777777" w:rsidR="00DB7B93" w:rsidRPr="00A816BB" w:rsidRDefault="00DB7B93" w:rsidP="00F53460">
      <w:pPr>
        <w:pStyle w:val="FootnoteText"/>
        <w:rPr>
          <w:lang w:val="es-CO"/>
        </w:rPr>
      </w:pPr>
      <w:r w:rsidRPr="00A816BB">
        <w:rPr>
          <w:lang w:val="es-CO"/>
        </w:rPr>
        <w:tab/>
      </w:r>
      <w:r w:rsidRPr="00A816BB">
        <w:rPr>
          <w:lang w:val="es-CO"/>
        </w:rPr>
        <w:tab/>
      </w:r>
      <w:r>
        <w:rPr>
          <w:rStyle w:val="FootnoteReference"/>
        </w:rPr>
        <w:footnoteRef/>
      </w:r>
      <w:r w:rsidRPr="00A816BB">
        <w:rPr>
          <w:lang w:val="es-CO"/>
        </w:rPr>
        <w:t xml:space="preserve"> </w:t>
      </w:r>
      <w:r w:rsidRPr="00A816BB">
        <w:rPr>
          <w:sz w:val="16"/>
          <w:szCs w:val="16"/>
          <w:lang w:val="es-CO"/>
        </w:rPr>
        <w:t>http://www.fiscalia.gov.co/colombia/noticias/casos-de-corrupcion-detectados-e-investigados-por-la-fiscalia-ya-ascienden-a-2-billones-de-pesos/</w:t>
      </w:r>
    </w:p>
  </w:footnote>
  <w:footnote w:id="16">
    <w:p w14:paraId="43414814" w14:textId="77777777" w:rsidR="00DB7B93" w:rsidRPr="003F5854" w:rsidRDefault="00DB7B93" w:rsidP="001E5565">
      <w:pPr>
        <w:pStyle w:val="FootnoteText"/>
        <w:rPr>
          <w:lang w:val="es-ES"/>
        </w:rPr>
      </w:pPr>
      <w:r w:rsidRPr="00A816BB">
        <w:rPr>
          <w:lang w:val="es-CO"/>
        </w:rPr>
        <w:tab/>
      </w:r>
      <w:r w:rsidRPr="00A816BB">
        <w:rPr>
          <w:lang w:val="es-CO"/>
        </w:rPr>
        <w:tab/>
      </w:r>
      <w:r>
        <w:rPr>
          <w:rStyle w:val="FootnoteReference"/>
        </w:rPr>
        <w:footnoteRef/>
      </w:r>
      <w:r w:rsidRPr="003F5854">
        <w:rPr>
          <w:lang w:val="es-ES"/>
        </w:rPr>
        <w:t xml:space="preserve"> Co</w:t>
      </w:r>
      <w:r>
        <w:rPr>
          <w:lang w:val="es-ES"/>
        </w:rPr>
        <w:t>rte Consti</w:t>
      </w:r>
      <w:r w:rsidRPr="003F5854">
        <w:rPr>
          <w:lang w:val="es-ES"/>
        </w:rPr>
        <w:t>tu</w:t>
      </w:r>
      <w:r>
        <w:rPr>
          <w:lang w:val="es-ES"/>
        </w:rPr>
        <w:t>c</w:t>
      </w:r>
      <w:r w:rsidRPr="003F5854">
        <w:rPr>
          <w:lang w:val="es-ES"/>
        </w:rPr>
        <w:t xml:space="preserve">ional, Auto 540 </w:t>
      </w:r>
      <w:r>
        <w:rPr>
          <w:lang w:val="es-ES"/>
        </w:rPr>
        <w:t>de</w:t>
      </w:r>
      <w:r w:rsidRPr="003F5854">
        <w:rPr>
          <w:lang w:val="es-ES"/>
        </w:rPr>
        <w:t xml:space="preserve"> 2017.</w:t>
      </w:r>
    </w:p>
  </w:footnote>
  <w:footnote w:id="17">
    <w:p w14:paraId="3A7701EE" w14:textId="77777777" w:rsidR="00DB7B93" w:rsidRPr="00D5086F" w:rsidRDefault="00DB7B93" w:rsidP="002B19D6">
      <w:pPr>
        <w:pStyle w:val="FootnoteText"/>
        <w:rPr>
          <w:lang w:val="es-ES"/>
        </w:rPr>
      </w:pPr>
      <w:r w:rsidRPr="003F5854">
        <w:rPr>
          <w:lang w:val="es-ES"/>
        </w:rPr>
        <w:tab/>
      </w:r>
      <w:r w:rsidRPr="003F5854">
        <w:rPr>
          <w:lang w:val="es-ES"/>
        </w:rPr>
        <w:tab/>
      </w:r>
      <w:r>
        <w:rPr>
          <w:rStyle w:val="FootnoteReference"/>
        </w:rPr>
        <w:footnoteRef/>
      </w:r>
      <w:r w:rsidRPr="00D5086F">
        <w:rPr>
          <w:lang w:val="es-ES"/>
        </w:rPr>
        <w:t xml:space="preserve"> Directiv</w:t>
      </w:r>
      <w:r>
        <w:rPr>
          <w:lang w:val="es-ES"/>
        </w:rPr>
        <w:t>a</w:t>
      </w:r>
      <w:r w:rsidRPr="00D5086F">
        <w:rPr>
          <w:lang w:val="es-ES"/>
        </w:rPr>
        <w:t xml:space="preserve"> 015 de 2016 del Ministerio de D</w:t>
      </w:r>
      <w:r>
        <w:rPr>
          <w:lang w:val="es-ES"/>
        </w:rPr>
        <w:t>e</w:t>
      </w:r>
      <w:r w:rsidRPr="00D5086F">
        <w:rPr>
          <w:lang w:val="es-ES"/>
        </w:rPr>
        <w:t>fensa Nacional</w:t>
      </w:r>
    </w:p>
  </w:footnote>
  <w:footnote w:id="18">
    <w:p w14:paraId="0291D910" w14:textId="77777777" w:rsidR="00DB7B93" w:rsidRPr="003F5854" w:rsidRDefault="00DB7B93" w:rsidP="00870EBA">
      <w:pPr>
        <w:pStyle w:val="FootnoteText"/>
        <w:rPr>
          <w:lang w:val="es-ES"/>
        </w:rPr>
      </w:pPr>
      <w:r w:rsidRPr="00D5086F">
        <w:rPr>
          <w:lang w:val="es-ES"/>
        </w:rPr>
        <w:tab/>
      </w:r>
      <w:r w:rsidRPr="00D5086F">
        <w:rPr>
          <w:lang w:val="es-ES"/>
        </w:rPr>
        <w:tab/>
      </w:r>
      <w:r>
        <w:rPr>
          <w:rStyle w:val="FootnoteReference"/>
        </w:rPr>
        <w:footnoteRef/>
      </w:r>
      <w:r w:rsidRPr="003F5854">
        <w:rPr>
          <w:lang w:val="es-ES"/>
        </w:rPr>
        <w:t xml:space="preserve"> http://www.hchr.org.co/map</w:t>
      </w:r>
    </w:p>
  </w:footnote>
  <w:footnote w:id="19">
    <w:p w14:paraId="3040E6DF" w14:textId="77777777" w:rsidR="00DB7B93" w:rsidRPr="003F5854" w:rsidRDefault="00DB7B93" w:rsidP="00FA5D80">
      <w:pPr>
        <w:pStyle w:val="FootnoteText"/>
        <w:rPr>
          <w:lang w:val="es-ES"/>
        </w:rPr>
      </w:pPr>
      <w:r w:rsidRPr="003F5854">
        <w:rPr>
          <w:lang w:val="es-ES"/>
        </w:rPr>
        <w:tab/>
      </w:r>
      <w:r w:rsidRPr="003F5854">
        <w:rPr>
          <w:lang w:val="es-ES"/>
        </w:rPr>
        <w:tab/>
      </w:r>
      <w:r>
        <w:rPr>
          <w:rStyle w:val="FootnoteReference"/>
        </w:rPr>
        <w:footnoteRef/>
      </w:r>
      <w:r w:rsidRPr="003F5854">
        <w:rPr>
          <w:lang w:val="es-ES"/>
        </w:rPr>
        <w:t xml:space="preserve"> </w:t>
      </w:r>
      <w:r w:rsidRPr="003F5854">
        <w:rPr>
          <w:rFonts w:ascii="Garamond" w:hAnsi="Garamond"/>
          <w:lang w:val="es-ES"/>
        </w:rPr>
        <w:t xml:space="preserve">A/HRC/34/3/Add.3. </w:t>
      </w:r>
    </w:p>
  </w:footnote>
  <w:footnote w:id="20">
    <w:p w14:paraId="44E5CB5C" w14:textId="77777777" w:rsidR="00DB7B93" w:rsidRPr="002D1115" w:rsidRDefault="00DB7B93" w:rsidP="00FA5D80">
      <w:pPr>
        <w:pStyle w:val="FootnoteText"/>
        <w:jc w:val="both"/>
      </w:pPr>
      <w:r w:rsidRPr="003F5854">
        <w:rPr>
          <w:lang w:val="es-ES"/>
        </w:rPr>
        <w:tab/>
      </w:r>
      <w:r w:rsidRPr="003F5854">
        <w:rPr>
          <w:lang w:val="es-ES"/>
        </w:rPr>
        <w:tab/>
      </w:r>
      <w:r>
        <w:rPr>
          <w:rStyle w:val="FootnoteReference"/>
        </w:rPr>
        <w:footnoteRef/>
      </w:r>
      <w:r w:rsidRPr="00D5086F">
        <w:rPr>
          <w:lang w:val="es-ES"/>
        </w:rPr>
        <w:t xml:space="preserve"> </w:t>
      </w:r>
      <w:proofErr w:type="spellStart"/>
      <w:r w:rsidRPr="00D5086F">
        <w:rPr>
          <w:lang w:val="es-ES"/>
        </w:rPr>
        <w:t>Amicus</w:t>
      </w:r>
      <w:proofErr w:type="spellEnd"/>
      <w:r w:rsidRPr="00D5086F">
        <w:rPr>
          <w:lang w:val="es-ES"/>
        </w:rPr>
        <w:t xml:space="preserve"> </w:t>
      </w:r>
      <w:proofErr w:type="spellStart"/>
      <w:r w:rsidRPr="00D5086F">
        <w:rPr>
          <w:lang w:val="es-ES"/>
        </w:rPr>
        <w:t>curiae</w:t>
      </w:r>
      <w:proofErr w:type="spellEnd"/>
      <w:r w:rsidRPr="00D5086F">
        <w:rPr>
          <w:lang w:val="es-ES"/>
        </w:rPr>
        <w:t xml:space="preserve"> de la Oficina de la Fiscal de la Corte Penal Internacional, 18 de octubre de 2017, para. </w:t>
      </w:r>
      <w:r w:rsidRPr="002D1115">
        <w:t>58</w:t>
      </w:r>
      <w:r>
        <w:t>.</w:t>
      </w:r>
    </w:p>
    <w:p w14:paraId="3EB76ACE" w14:textId="77777777" w:rsidR="00DB7B93" w:rsidRPr="007C3757" w:rsidRDefault="00DB7B93" w:rsidP="00FA5D80">
      <w:pPr>
        <w:pStyle w:val="FootnoteText"/>
      </w:pPr>
    </w:p>
  </w:footnote>
  <w:footnote w:id="21">
    <w:p w14:paraId="1D892745" w14:textId="77777777" w:rsidR="00DB7B93" w:rsidRPr="00D81C7F" w:rsidRDefault="00DB7B93" w:rsidP="00D81C7F">
      <w:pPr>
        <w:pStyle w:val="FootnoteText"/>
        <w:rPr>
          <w:lang w:val="es-ES"/>
        </w:rPr>
      </w:pPr>
      <w:r>
        <w:tab/>
      </w:r>
      <w:r>
        <w:tab/>
      </w:r>
      <w:r>
        <w:rPr>
          <w:rStyle w:val="FootnoteReference"/>
        </w:rPr>
        <w:footnoteRef/>
      </w:r>
      <w:r w:rsidRPr="00D81C7F">
        <w:rPr>
          <w:lang w:val="es-ES"/>
        </w:rPr>
        <w:t xml:space="preserve"> </w:t>
      </w:r>
      <w:r w:rsidRPr="00D81C7F">
        <w:rPr>
          <w:rFonts w:ascii="Garamond" w:hAnsi="Garamond"/>
          <w:lang w:val="es-ES"/>
        </w:rPr>
        <w:t>Concejo de Estado, 5 de septiembre de, n</w:t>
      </w:r>
      <w:r>
        <w:rPr>
          <w:rFonts w:ascii="Garamond" w:hAnsi="Garamond"/>
          <w:lang w:val="es-ES"/>
        </w:rPr>
        <w:t>úmero de caso</w:t>
      </w:r>
      <w:r w:rsidRPr="00D81C7F">
        <w:rPr>
          <w:rFonts w:ascii="Garamond" w:hAnsi="Garamond"/>
          <w:lang w:val="es-ES"/>
        </w:rPr>
        <w:t>: 73001-23-31-000-2008-00561-01 (38.058).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C5808" w14:textId="0802F838" w:rsidR="00DB7B93" w:rsidRPr="006778C5" w:rsidRDefault="009A6072">
    <w:pPr>
      <w:pStyle w:val="Header"/>
    </w:pPr>
    <w:r>
      <w:rPr>
        <w:noProof/>
      </w:rPr>
      <w:pict w14:anchorId="6E1CC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685376" o:spid="_x0000_s2050" type="#_x0000_t136" style="position:absolute;margin-left:0;margin-top:0;width:620.35pt;height:59.05pt;rotation:315;z-index:-251652608;mso-position-horizontal:center;mso-position-horizontal-relative:margin;mso-position-vertical:center;mso-position-vertical-relative:margin" o:allowincell="f" fillcolor="silver" stroked="f">
          <v:fill opacity=".5"/>
          <v:textpath style="font-family:&quot;Times New Roman&quot;;font-size:1pt" string="traducción no oficial"/>
          <w10:wrap anchorx="margin" anchory="margin"/>
        </v:shape>
      </w:pict>
    </w:r>
    <w:r>
      <w:fldChar w:fldCharType="begin"/>
    </w:r>
    <w:r>
      <w:instrText xml:space="preserve"> TITLE  \* MERGEFORMAT </w:instrText>
    </w:r>
    <w:r>
      <w:fldChar w:fldCharType="separate"/>
    </w:r>
    <w:r w:rsidR="00C240B6">
      <w:t>A/HRC/37/3/Add.3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A3A7" w14:textId="1644E19F" w:rsidR="00DB7B93" w:rsidRPr="006778C5" w:rsidRDefault="009A6072" w:rsidP="006778C5">
    <w:pPr>
      <w:pStyle w:val="Header"/>
      <w:jc w:val="right"/>
    </w:pPr>
    <w:r>
      <w:rPr>
        <w:noProof/>
      </w:rPr>
      <w:pict w14:anchorId="247F8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685377" o:spid="_x0000_s2051" type="#_x0000_t136" style="position:absolute;left:0;text-align:left;margin-left:0;margin-top:0;width:620.35pt;height:59.05pt;rotation:315;z-index:-251650560;mso-position-horizontal:center;mso-position-horizontal-relative:margin;mso-position-vertical:center;mso-position-vertical-relative:margin" o:allowincell="f" fillcolor="silver" stroked="f">
          <v:fill opacity=".5"/>
          <v:textpath style="font-family:&quot;Times New Roman&quot;;font-size:1pt" string="traducción no oficial"/>
          <w10:wrap anchorx="margin" anchory="margin"/>
        </v:shape>
      </w:pict>
    </w:r>
    <w:r>
      <w:fldChar w:fldCharType="begin"/>
    </w:r>
    <w:r>
      <w:instrText xml:space="preserve"> TITLE  \* MERGEFORMAT </w:instrText>
    </w:r>
    <w:r>
      <w:fldChar w:fldCharType="separate"/>
    </w:r>
    <w:r w:rsidR="00C240B6">
      <w:t>A/HRC/37/3/Add.3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891ED" w14:textId="0CEDDDEE" w:rsidR="00DB7B93" w:rsidRDefault="009A6072">
    <w:pPr>
      <w:pStyle w:val="Header"/>
    </w:pPr>
    <w:r>
      <w:rPr>
        <w:noProof/>
      </w:rPr>
      <w:pict w14:anchorId="7CE58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685375" o:spid="_x0000_s2049" type="#_x0000_t136" style="position:absolute;margin-left:0;margin-top:0;width:620.35pt;height:59.05pt;rotation:315;z-index:-251654656;mso-position-horizontal:center;mso-position-horizontal-relative:margin;mso-position-vertical:center;mso-position-vertical-relative:margin" o:allowincell="f" fillcolor="silver" stroked="f">
          <v:fill opacity=".5"/>
          <v:textpath style="font-family:&quot;Times New Roman&quot;;font-size:1pt" string="traducción no ofi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E906E6F"/>
    <w:multiLevelType w:val="hybridMultilevel"/>
    <w:tmpl w:val="2200C9FA"/>
    <w:lvl w:ilvl="0" w:tplc="74C4F20A">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79C7928"/>
    <w:multiLevelType w:val="hybridMultilevel"/>
    <w:tmpl w:val="9CA85844"/>
    <w:lvl w:ilvl="0" w:tplc="F31AE2E2">
      <w:start w:val="2"/>
      <w:numFmt w:val="upp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6" w15:restartNumberingAfterBreak="0">
    <w:nsid w:val="181811C9"/>
    <w:multiLevelType w:val="hybridMultilevel"/>
    <w:tmpl w:val="EE0CC7C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B7367B"/>
    <w:multiLevelType w:val="hybridMultilevel"/>
    <w:tmpl w:val="61DCB138"/>
    <w:lvl w:ilvl="0" w:tplc="240A000F">
      <w:start w:val="1"/>
      <w:numFmt w:val="decimal"/>
      <w:lvlText w:val="%1."/>
      <w:lvlJc w:val="left"/>
      <w:pPr>
        <w:ind w:left="644" w:hanging="360"/>
      </w:pPr>
      <w:rPr>
        <w:color w:val="000000" w:themeColor="text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24E94"/>
    <w:multiLevelType w:val="hybridMultilevel"/>
    <w:tmpl w:val="700CE5EE"/>
    <w:lvl w:ilvl="0" w:tplc="AC50030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9A3AB1"/>
    <w:multiLevelType w:val="hybridMultilevel"/>
    <w:tmpl w:val="CA0E27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A5414C"/>
    <w:multiLevelType w:val="hybridMultilevel"/>
    <w:tmpl w:val="E8C69900"/>
    <w:lvl w:ilvl="0" w:tplc="BFA820B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07C3094"/>
    <w:multiLevelType w:val="hybridMultilevel"/>
    <w:tmpl w:val="3D30C1F2"/>
    <w:lvl w:ilvl="0" w:tplc="805486F0">
      <w:start w:val="1"/>
      <w:numFmt w:val="upperRoman"/>
      <w:lvlText w:val="%1."/>
      <w:lvlJc w:val="left"/>
      <w:pPr>
        <w:ind w:left="1080" w:hanging="720"/>
      </w:pPr>
      <w:rPr>
        <w:rFonts w:hint="default"/>
      </w:rPr>
    </w:lvl>
    <w:lvl w:ilvl="1" w:tplc="1D0A7A26">
      <w:start w:val="1"/>
      <w:numFmt w:val="decimal"/>
      <w:lvlText w:val="%2."/>
      <w:lvlJc w:val="left"/>
      <w:pPr>
        <w:ind w:left="1440" w:hanging="360"/>
      </w:pPr>
      <w:rPr>
        <w:rFonts w:hint="default"/>
        <w:color w:val="4F81BD" w:themeColor="accent1"/>
      </w:rPr>
    </w:lvl>
    <w:lvl w:ilvl="2" w:tplc="078016F6">
      <w:start w:val="1"/>
      <w:numFmt w:val="lowerLetter"/>
      <w:lvlText w:val="%3)"/>
      <w:lvlJc w:val="left"/>
      <w:pPr>
        <w:ind w:left="2340" w:hanging="360"/>
      </w:pPr>
      <w:rPr>
        <w:rFonts w:hint="default"/>
        <w:i/>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7463E"/>
    <w:multiLevelType w:val="hybridMultilevel"/>
    <w:tmpl w:val="F41A48A6"/>
    <w:lvl w:ilvl="0" w:tplc="343C491A">
      <w:start w:val="1"/>
      <w:numFmt w:val="decimal"/>
      <w:lvlText w:val="%1."/>
      <w:lvlJc w:val="left"/>
      <w:pPr>
        <w:ind w:left="720" w:hanging="360"/>
      </w:pPr>
      <w:rPr>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964FD4"/>
    <w:multiLevelType w:val="hybridMultilevel"/>
    <w:tmpl w:val="6484776C"/>
    <w:lvl w:ilvl="0" w:tplc="150A97A0">
      <w:start w:val="8"/>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F470C73"/>
    <w:multiLevelType w:val="hybridMultilevel"/>
    <w:tmpl w:val="A9B61D9C"/>
    <w:lvl w:ilvl="0" w:tplc="204670B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57E0019D"/>
    <w:multiLevelType w:val="hybridMultilevel"/>
    <w:tmpl w:val="A22E6264"/>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86A2799"/>
    <w:multiLevelType w:val="hybridMultilevel"/>
    <w:tmpl w:val="6A665ED0"/>
    <w:lvl w:ilvl="0" w:tplc="ACCC7BB6">
      <w:start w:val="12"/>
      <w:numFmt w:val="decimal"/>
      <w:lvlText w:val="%1."/>
      <w:lvlJc w:val="left"/>
      <w:pPr>
        <w:ind w:left="644" w:hanging="360"/>
      </w:p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8"/>
  </w:num>
  <w:num w:numId="3">
    <w:abstractNumId w:val="20"/>
  </w:num>
  <w:num w:numId="4">
    <w:abstractNumId w:val="4"/>
  </w:num>
  <w:num w:numId="5">
    <w:abstractNumId w:val="0"/>
  </w:num>
  <w:num w:numId="6">
    <w:abstractNumId w:val="1"/>
  </w:num>
  <w:num w:numId="7">
    <w:abstractNumId w:val="19"/>
  </w:num>
  <w:num w:numId="8">
    <w:abstractNumId w:val="2"/>
  </w:num>
  <w:num w:numId="9">
    <w:abstractNumId w:val="12"/>
  </w:num>
  <w:num w:numId="10">
    <w:abstractNumId w:val="7"/>
  </w:num>
  <w:num w:numId="11">
    <w:abstractNumId w:val="17"/>
  </w:num>
  <w:num w:numId="12">
    <w:abstractNumId w:val="6"/>
  </w:num>
  <w:num w:numId="13">
    <w:abstractNumId w:val="10"/>
  </w:num>
  <w:num w:numId="14">
    <w:abstractNumId w:val="5"/>
  </w:num>
  <w:num w:numId="15">
    <w:abstractNumId w:val="11"/>
  </w:num>
  <w:num w:numId="16">
    <w:abstractNumId w:val="14"/>
  </w:num>
  <w:num w:numId="17">
    <w:abstractNumId w:val="3"/>
  </w:num>
  <w:num w:numId="18">
    <w:abstractNumId w:val="9"/>
  </w:num>
  <w:num w:numId="19">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CO" w:vendorID="64" w:dllVersion="6" w:nlCheck="1" w:checkStyle="0"/>
  <w:activeWritingStyle w:appName="MSWord" w:lang="es-ES" w:vendorID="64" w:dllVersion="6" w:nlCheck="1" w:checkStyle="0"/>
  <w:activeWritingStyle w:appName="MSWord" w:lang="es-AR" w:vendorID="64" w:dllVersion="6" w:nlCheck="1" w:checkStyle="1"/>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AR" w:vendorID="64" w:dllVersion="0" w:nlCheck="1" w:checkStyle="0"/>
  <w:activeWritingStyle w:appName="MSWord" w:lang="es-CO" w:vendorID="64" w:dllVersion="0" w:nlCheck="1" w:checkStyle="0"/>
  <w:activeWritingStyle w:appName="MSWord" w:lang="en-GB" w:vendorID="64" w:dllVersion="131078" w:nlCheck="1" w:checkStyle="1"/>
  <w:activeWritingStyle w:appName="MSWord" w:lang="es-CO"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C5"/>
    <w:rsid w:val="0000088B"/>
    <w:rsid w:val="0000168C"/>
    <w:rsid w:val="00001BA6"/>
    <w:rsid w:val="000025B1"/>
    <w:rsid w:val="00007F7F"/>
    <w:rsid w:val="00010253"/>
    <w:rsid w:val="000137C0"/>
    <w:rsid w:val="00013D15"/>
    <w:rsid w:val="00017F48"/>
    <w:rsid w:val="000203BF"/>
    <w:rsid w:val="00022DB5"/>
    <w:rsid w:val="000243E6"/>
    <w:rsid w:val="00034FE1"/>
    <w:rsid w:val="00036404"/>
    <w:rsid w:val="00037934"/>
    <w:rsid w:val="000403D1"/>
    <w:rsid w:val="00041034"/>
    <w:rsid w:val="000435BC"/>
    <w:rsid w:val="00044745"/>
    <w:rsid w:val="000449AA"/>
    <w:rsid w:val="00044AE0"/>
    <w:rsid w:val="00046DCB"/>
    <w:rsid w:val="00047A5D"/>
    <w:rsid w:val="00050F6B"/>
    <w:rsid w:val="0005662A"/>
    <w:rsid w:val="000626C9"/>
    <w:rsid w:val="00065FCE"/>
    <w:rsid w:val="00071663"/>
    <w:rsid w:val="000716D2"/>
    <w:rsid w:val="00072C8C"/>
    <w:rsid w:val="00072CA9"/>
    <w:rsid w:val="00073E70"/>
    <w:rsid w:val="00076050"/>
    <w:rsid w:val="00081404"/>
    <w:rsid w:val="0008140B"/>
    <w:rsid w:val="00084142"/>
    <w:rsid w:val="000876EB"/>
    <w:rsid w:val="000877C3"/>
    <w:rsid w:val="00091419"/>
    <w:rsid w:val="000931C0"/>
    <w:rsid w:val="0009346C"/>
    <w:rsid w:val="0009598C"/>
    <w:rsid w:val="00095DD2"/>
    <w:rsid w:val="00096445"/>
    <w:rsid w:val="0009779D"/>
    <w:rsid w:val="000A0020"/>
    <w:rsid w:val="000A24BE"/>
    <w:rsid w:val="000A37F3"/>
    <w:rsid w:val="000A6174"/>
    <w:rsid w:val="000B02A2"/>
    <w:rsid w:val="000B175B"/>
    <w:rsid w:val="000B1AD5"/>
    <w:rsid w:val="000B2851"/>
    <w:rsid w:val="000B31A6"/>
    <w:rsid w:val="000B3A0F"/>
    <w:rsid w:val="000B4A3B"/>
    <w:rsid w:val="000B4D28"/>
    <w:rsid w:val="000B5A72"/>
    <w:rsid w:val="000B6DAB"/>
    <w:rsid w:val="000B727A"/>
    <w:rsid w:val="000C56E1"/>
    <w:rsid w:val="000C59D8"/>
    <w:rsid w:val="000C5CA6"/>
    <w:rsid w:val="000D1851"/>
    <w:rsid w:val="000E018B"/>
    <w:rsid w:val="000E0415"/>
    <w:rsid w:val="000E51AC"/>
    <w:rsid w:val="000F0588"/>
    <w:rsid w:val="000F70C3"/>
    <w:rsid w:val="001020F0"/>
    <w:rsid w:val="00105B46"/>
    <w:rsid w:val="00107864"/>
    <w:rsid w:val="00107EDA"/>
    <w:rsid w:val="0011182F"/>
    <w:rsid w:val="00114883"/>
    <w:rsid w:val="001214BA"/>
    <w:rsid w:val="0012353E"/>
    <w:rsid w:val="00124E0F"/>
    <w:rsid w:val="00126167"/>
    <w:rsid w:val="00130994"/>
    <w:rsid w:val="00137051"/>
    <w:rsid w:val="001411A1"/>
    <w:rsid w:val="00146D32"/>
    <w:rsid w:val="001509BA"/>
    <w:rsid w:val="001544A7"/>
    <w:rsid w:val="00160848"/>
    <w:rsid w:val="00165D55"/>
    <w:rsid w:val="001678FC"/>
    <w:rsid w:val="00171E3A"/>
    <w:rsid w:val="00180EE1"/>
    <w:rsid w:val="00182461"/>
    <w:rsid w:val="00182E8E"/>
    <w:rsid w:val="00191119"/>
    <w:rsid w:val="001920EE"/>
    <w:rsid w:val="00195D94"/>
    <w:rsid w:val="001A581C"/>
    <w:rsid w:val="001A7E15"/>
    <w:rsid w:val="001B3CAF"/>
    <w:rsid w:val="001B49CA"/>
    <w:rsid w:val="001B4B04"/>
    <w:rsid w:val="001C62B6"/>
    <w:rsid w:val="001C6663"/>
    <w:rsid w:val="001C7895"/>
    <w:rsid w:val="001D0E81"/>
    <w:rsid w:val="001D26DF"/>
    <w:rsid w:val="001E1059"/>
    <w:rsid w:val="001E2790"/>
    <w:rsid w:val="001E5565"/>
    <w:rsid w:val="001E7B78"/>
    <w:rsid w:val="001F5691"/>
    <w:rsid w:val="001F6781"/>
    <w:rsid w:val="001F7515"/>
    <w:rsid w:val="00203A0F"/>
    <w:rsid w:val="00210644"/>
    <w:rsid w:val="00211E0B"/>
    <w:rsid w:val="00211E72"/>
    <w:rsid w:val="00214047"/>
    <w:rsid w:val="00215977"/>
    <w:rsid w:val="0022130F"/>
    <w:rsid w:val="0022732B"/>
    <w:rsid w:val="00230027"/>
    <w:rsid w:val="00233FED"/>
    <w:rsid w:val="00236F9D"/>
    <w:rsid w:val="00237409"/>
    <w:rsid w:val="00237785"/>
    <w:rsid w:val="002410DD"/>
    <w:rsid w:val="00241466"/>
    <w:rsid w:val="0025114B"/>
    <w:rsid w:val="002537AA"/>
    <w:rsid w:val="00253D58"/>
    <w:rsid w:val="00253EEB"/>
    <w:rsid w:val="00260C85"/>
    <w:rsid w:val="00263893"/>
    <w:rsid w:val="002640D2"/>
    <w:rsid w:val="00271EC5"/>
    <w:rsid w:val="0027725F"/>
    <w:rsid w:val="0028086B"/>
    <w:rsid w:val="00282B4B"/>
    <w:rsid w:val="00284AA7"/>
    <w:rsid w:val="00292187"/>
    <w:rsid w:val="002A6A4E"/>
    <w:rsid w:val="002A7BAB"/>
    <w:rsid w:val="002B19D6"/>
    <w:rsid w:val="002B329D"/>
    <w:rsid w:val="002C1A0C"/>
    <w:rsid w:val="002C21F0"/>
    <w:rsid w:val="002C48F8"/>
    <w:rsid w:val="002C5356"/>
    <w:rsid w:val="002C71C6"/>
    <w:rsid w:val="002C7538"/>
    <w:rsid w:val="002D07E1"/>
    <w:rsid w:val="002D08FC"/>
    <w:rsid w:val="002D0DF5"/>
    <w:rsid w:val="002D353C"/>
    <w:rsid w:val="002D49E3"/>
    <w:rsid w:val="002E47E8"/>
    <w:rsid w:val="002E52BB"/>
    <w:rsid w:val="002E5BA9"/>
    <w:rsid w:val="002F69F8"/>
    <w:rsid w:val="003050C4"/>
    <w:rsid w:val="003064B8"/>
    <w:rsid w:val="003107FA"/>
    <w:rsid w:val="00311AB7"/>
    <w:rsid w:val="003143CE"/>
    <w:rsid w:val="003165F5"/>
    <w:rsid w:val="00316C6A"/>
    <w:rsid w:val="00316D3C"/>
    <w:rsid w:val="003178A9"/>
    <w:rsid w:val="003229D8"/>
    <w:rsid w:val="00327F7C"/>
    <w:rsid w:val="003314D1"/>
    <w:rsid w:val="00333691"/>
    <w:rsid w:val="00335A2F"/>
    <w:rsid w:val="00341937"/>
    <w:rsid w:val="00350E8E"/>
    <w:rsid w:val="00356BCD"/>
    <w:rsid w:val="00361EB5"/>
    <w:rsid w:val="003639CF"/>
    <w:rsid w:val="003720D4"/>
    <w:rsid w:val="00373D83"/>
    <w:rsid w:val="00381AAA"/>
    <w:rsid w:val="0038304F"/>
    <w:rsid w:val="003833FE"/>
    <w:rsid w:val="00384AC1"/>
    <w:rsid w:val="0039277A"/>
    <w:rsid w:val="00392B2B"/>
    <w:rsid w:val="003972E0"/>
    <w:rsid w:val="003975ED"/>
    <w:rsid w:val="003A5920"/>
    <w:rsid w:val="003A7A8C"/>
    <w:rsid w:val="003B15A0"/>
    <w:rsid w:val="003B3471"/>
    <w:rsid w:val="003B36B6"/>
    <w:rsid w:val="003B55C7"/>
    <w:rsid w:val="003B798D"/>
    <w:rsid w:val="003C2CC4"/>
    <w:rsid w:val="003C34A0"/>
    <w:rsid w:val="003C4F98"/>
    <w:rsid w:val="003C5A58"/>
    <w:rsid w:val="003C5B8D"/>
    <w:rsid w:val="003C6129"/>
    <w:rsid w:val="003D2773"/>
    <w:rsid w:val="003D4B23"/>
    <w:rsid w:val="003D5613"/>
    <w:rsid w:val="003E16FC"/>
    <w:rsid w:val="003E2279"/>
    <w:rsid w:val="003E4AB0"/>
    <w:rsid w:val="003E50D5"/>
    <w:rsid w:val="003E580A"/>
    <w:rsid w:val="003F060C"/>
    <w:rsid w:val="003F17CB"/>
    <w:rsid w:val="003F2404"/>
    <w:rsid w:val="003F4966"/>
    <w:rsid w:val="003F5854"/>
    <w:rsid w:val="00402B97"/>
    <w:rsid w:val="004127BE"/>
    <w:rsid w:val="004145A2"/>
    <w:rsid w:val="00414828"/>
    <w:rsid w:val="00414D54"/>
    <w:rsid w:val="0041508B"/>
    <w:rsid w:val="004207AB"/>
    <w:rsid w:val="00421067"/>
    <w:rsid w:val="0042197A"/>
    <w:rsid w:val="004229AE"/>
    <w:rsid w:val="00423055"/>
    <w:rsid w:val="00424C80"/>
    <w:rsid w:val="00431C67"/>
    <w:rsid w:val="004325CB"/>
    <w:rsid w:val="00432DAB"/>
    <w:rsid w:val="0043703D"/>
    <w:rsid w:val="00440058"/>
    <w:rsid w:val="00444E43"/>
    <w:rsid w:val="0044503A"/>
    <w:rsid w:val="00446512"/>
    <w:rsid w:val="00446DE4"/>
    <w:rsid w:val="00447761"/>
    <w:rsid w:val="00451EC3"/>
    <w:rsid w:val="00454889"/>
    <w:rsid w:val="00457570"/>
    <w:rsid w:val="004721B1"/>
    <w:rsid w:val="004761D0"/>
    <w:rsid w:val="00480DD9"/>
    <w:rsid w:val="004815CF"/>
    <w:rsid w:val="004859EC"/>
    <w:rsid w:val="00487150"/>
    <w:rsid w:val="00496A15"/>
    <w:rsid w:val="00497022"/>
    <w:rsid w:val="004A03FE"/>
    <w:rsid w:val="004A0C64"/>
    <w:rsid w:val="004A1EF7"/>
    <w:rsid w:val="004A5E90"/>
    <w:rsid w:val="004A74C4"/>
    <w:rsid w:val="004B52BB"/>
    <w:rsid w:val="004B75D2"/>
    <w:rsid w:val="004C2EF4"/>
    <w:rsid w:val="004C4DF2"/>
    <w:rsid w:val="004C79CD"/>
    <w:rsid w:val="004D1140"/>
    <w:rsid w:val="004D68B5"/>
    <w:rsid w:val="004E05FE"/>
    <w:rsid w:val="004E5805"/>
    <w:rsid w:val="004F1214"/>
    <w:rsid w:val="004F1EBA"/>
    <w:rsid w:val="004F55ED"/>
    <w:rsid w:val="00504025"/>
    <w:rsid w:val="005052E8"/>
    <w:rsid w:val="005063E9"/>
    <w:rsid w:val="00513B41"/>
    <w:rsid w:val="005208D8"/>
    <w:rsid w:val="0052176C"/>
    <w:rsid w:val="0052296E"/>
    <w:rsid w:val="00523167"/>
    <w:rsid w:val="0052477F"/>
    <w:rsid w:val="00524B81"/>
    <w:rsid w:val="005261E5"/>
    <w:rsid w:val="00527365"/>
    <w:rsid w:val="005313C2"/>
    <w:rsid w:val="00532691"/>
    <w:rsid w:val="00533933"/>
    <w:rsid w:val="005339F7"/>
    <w:rsid w:val="005420F2"/>
    <w:rsid w:val="00542574"/>
    <w:rsid w:val="005436AB"/>
    <w:rsid w:val="005454C6"/>
    <w:rsid w:val="005460E2"/>
    <w:rsid w:val="00546924"/>
    <w:rsid w:val="00546DBF"/>
    <w:rsid w:val="00547A11"/>
    <w:rsid w:val="00547B8B"/>
    <w:rsid w:val="00550071"/>
    <w:rsid w:val="005526CF"/>
    <w:rsid w:val="00553D76"/>
    <w:rsid w:val="005540D9"/>
    <w:rsid w:val="005552B5"/>
    <w:rsid w:val="00556017"/>
    <w:rsid w:val="005563A6"/>
    <w:rsid w:val="0056101E"/>
    <w:rsid w:val="0056117B"/>
    <w:rsid w:val="00562621"/>
    <w:rsid w:val="0056414F"/>
    <w:rsid w:val="00571365"/>
    <w:rsid w:val="005723A1"/>
    <w:rsid w:val="0057395D"/>
    <w:rsid w:val="0057579C"/>
    <w:rsid w:val="00575A4B"/>
    <w:rsid w:val="00582E77"/>
    <w:rsid w:val="00586B2B"/>
    <w:rsid w:val="005949A5"/>
    <w:rsid w:val="00594B13"/>
    <w:rsid w:val="00596EE0"/>
    <w:rsid w:val="005A0E16"/>
    <w:rsid w:val="005A302D"/>
    <w:rsid w:val="005A3566"/>
    <w:rsid w:val="005B29D2"/>
    <w:rsid w:val="005B3DB3"/>
    <w:rsid w:val="005B6E48"/>
    <w:rsid w:val="005C0424"/>
    <w:rsid w:val="005C3FA7"/>
    <w:rsid w:val="005D1E31"/>
    <w:rsid w:val="005D53BE"/>
    <w:rsid w:val="005E1712"/>
    <w:rsid w:val="005E2C6F"/>
    <w:rsid w:val="005E47A1"/>
    <w:rsid w:val="005E79EE"/>
    <w:rsid w:val="005F22D9"/>
    <w:rsid w:val="005F563A"/>
    <w:rsid w:val="005F7072"/>
    <w:rsid w:val="005F7132"/>
    <w:rsid w:val="006012D1"/>
    <w:rsid w:val="00607143"/>
    <w:rsid w:val="006103F9"/>
    <w:rsid w:val="00611FC4"/>
    <w:rsid w:val="00613CFC"/>
    <w:rsid w:val="006150AE"/>
    <w:rsid w:val="006176FB"/>
    <w:rsid w:val="006207BE"/>
    <w:rsid w:val="006212E0"/>
    <w:rsid w:val="006231E7"/>
    <w:rsid w:val="006258E7"/>
    <w:rsid w:val="0062734D"/>
    <w:rsid w:val="00640B26"/>
    <w:rsid w:val="0064535D"/>
    <w:rsid w:val="00652A36"/>
    <w:rsid w:val="00655B60"/>
    <w:rsid w:val="006579BA"/>
    <w:rsid w:val="006614A8"/>
    <w:rsid w:val="0066275E"/>
    <w:rsid w:val="006629B7"/>
    <w:rsid w:val="0066686B"/>
    <w:rsid w:val="00667A69"/>
    <w:rsid w:val="00670741"/>
    <w:rsid w:val="0067153E"/>
    <w:rsid w:val="006778C5"/>
    <w:rsid w:val="006823C4"/>
    <w:rsid w:val="00682E6F"/>
    <w:rsid w:val="00684B67"/>
    <w:rsid w:val="0069170C"/>
    <w:rsid w:val="00691E45"/>
    <w:rsid w:val="00696BD6"/>
    <w:rsid w:val="00697261"/>
    <w:rsid w:val="0069758C"/>
    <w:rsid w:val="006A1BD0"/>
    <w:rsid w:val="006A6194"/>
    <w:rsid w:val="006A6B9D"/>
    <w:rsid w:val="006A6C03"/>
    <w:rsid w:val="006A7392"/>
    <w:rsid w:val="006B1ED3"/>
    <w:rsid w:val="006B2D34"/>
    <w:rsid w:val="006B3189"/>
    <w:rsid w:val="006B7D65"/>
    <w:rsid w:val="006D1FAD"/>
    <w:rsid w:val="006D3FB9"/>
    <w:rsid w:val="006D6DA6"/>
    <w:rsid w:val="006E2F52"/>
    <w:rsid w:val="006E54BD"/>
    <w:rsid w:val="006E564B"/>
    <w:rsid w:val="006E5B02"/>
    <w:rsid w:val="006F13F0"/>
    <w:rsid w:val="006F4EFF"/>
    <w:rsid w:val="006F5035"/>
    <w:rsid w:val="006F6825"/>
    <w:rsid w:val="007044DC"/>
    <w:rsid w:val="007065EB"/>
    <w:rsid w:val="00706E0C"/>
    <w:rsid w:val="00717F02"/>
    <w:rsid w:val="00720183"/>
    <w:rsid w:val="0072218C"/>
    <w:rsid w:val="0072632A"/>
    <w:rsid w:val="00726378"/>
    <w:rsid w:val="0074200B"/>
    <w:rsid w:val="00744BF9"/>
    <w:rsid w:val="007457DA"/>
    <w:rsid w:val="007522E6"/>
    <w:rsid w:val="00752B9A"/>
    <w:rsid w:val="00761E08"/>
    <w:rsid w:val="0076219A"/>
    <w:rsid w:val="007637FD"/>
    <w:rsid w:val="00771709"/>
    <w:rsid w:val="00773B33"/>
    <w:rsid w:val="007744DC"/>
    <w:rsid w:val="00792C36"/>
    <w:rsid w:val="00793434"/>
    <w:rsid w:val="00795213"/>
    <w:rsid w:val="00797E2F"/>
    <w:rsid w:val="007A3419"/>
    <w:rsid w:val="007A39BF"/>
    <w:rsid w:val="007A5841"/>
    <w:rsid w:val="007A6296"/>
    <w:rsid w:val="007A79E4"/>
    <w:rsid w:val="007B02D6"/>
    <w:rsid w:val="007B1026"/>
    <w:rsid w:val="007B47C2"/>
    <w:rsid w:val="007B6BA5"/>
    <w:rsid w:val="007C001B"/>
    <w:rsid w:val="007C1B62"/>
    <w:rsid w:val="007C3390"/>
    <w:rsid w:val="007C470E"/>
    <w:rsid w:val="007C4F4B"/>
    <w:rsid w:val="007C5880"/>
    <w:rsid w:val="007C6C8E"/>
    <w:rsid w:val="007D1DFD"/>
    <w:rsid w:val="007D2CDC"/>
    <w:rsid w:val="007D5327"/>
    <w:rsid w:val="007D6D04"/>
    <w:rsid w:val="007E61ED"/>
    <w:rsid w:val="007F6611"/>
    <w:rsid w:val="007F6E48"/>
    <w:rsid w:val="00800963"/>
    <w:rsid w:val="00800B6A"/>
    <w:rsid w:val="00801FAD"/>
    <w:rsid w:val="008021A8"/>
    <w:rsid w:val="0080548A"/>
    <w:rsid w:val="00806779"/>
    <w:rsid w:val="00806D3B"/>
    <w:rsid w:val="008132EA"/>
    <w:rsid w:val="00815194"/>
    <w:rsid w:val="008155C3"/>
    <w:rsid w:val="008175E9"/>
    <w:rsid w:val="00820891"/>
    <w:rsid w:val="0082243E"/>
    <w:rsid w:val="00822A00"/>
    <w:rsid w:val="008242D7"/>
    <w:rsid w:val="00827B6B"/>
    <w:rsid w:val="0084073E"/>
    <w:rsid w:val="008441F3"/>
    <w:rsid w:val="008502EB"/>
    <w:rsid w:val="00850438"/>
    <w:rsid w:val="00855450"/>
    <w:rsid w:val="00855999"/>
    <w:rsid w:val="00856CD2"/>
    <w:rsid w:val="00861BC6"/>
    <w:rsid w:val="00870EBA"/>
    <w:rsid w:val="00871FD5"/>
    <w:rsid w:val="00874323"/>
    <w:rsid w:val="00874E38"/>
    <w:rsid w:val="0087609D"/>
    <w:rsid w:val="008760EC"/>
    <w:rsid w:val="008802BC"/>
    <w:rsid w:val="00883759"/>
    <w:rsid w:val="00883F5F"/>
    <w:rsid w:val="008847BB"/>
    <w:rsid w:val="008855E8"/>
    <w:rsid w:val="008912F5"/>
    <w:rsid w:val="008979B1"/>
    <w:rsid w:val="008A2733"/>
    <w:rsid w:val="008A6B25"/>
    <w:rsid w:val="008A6C4F"/>
    <w:rsid w:val="008B5A08"/>
    <w:rsid w:val="008C1E4D"/>
    <w:rsid w:val="008C3358"/>
    <w:rsid w:val="008C34EA"/>
    <w:rsid w:val="008C36CA"/>
    <w:rsid w:val="008D0225"/>
    <w:rsid w:val="008D041C"/>
    <w:rsid w:val="008D153C"/>
    <w:rsid w:val="008D1996"/>
    <w:rsid w:val="008D51E9"/>
    <w:rsid w:val="008E0E46"/>
    <w:rsid w:val="008E7F86"/>
    <w:rsid w:val="008F42BE"/>
    <w:rsid w:val="0090046C"/>
    <w:rsid w:val="00900F28"/>
    <w:rsid w:val="009010C6"/>
    <w:rsid w:val="00903A48"/>
    <w:rsid w:val="0090452C"/>
    <w:rsid w:val="0090672F"/>
    <w:rsid w:val="00907C3F"/>
    <w:rsid w:val="00911365"/>
    <w:rsid w:val="00911796"/>
    <w:rsid w:val="009155AB"/>
    <w:rsid w:val="009166EE"/>
    <w:rsid w:val="009167D8"/>
    <w:rsid w:val="00916944"/>
    <w:rsid w:val="009203A0"/>
    <w:rsid w:val="0092237C"/>
    <w:rsid w:val="009234ED"/>
    <w:rsid w:val="00925BF7"/>
    <w:rsid w:val="00930A33"/>
    <w:rsid w:val="009320AD"/>
    <w:rsid w:val="0093707B"/>
    <w:rsid w:val="009400EB"/>
    <w:rsid w:val="009427C9"/>
    <w:rsid w:val="009427E3"/>
    <w:rsid w:val="009462C9"/>
    <w:rsid w:val="00946575"/>
    <w:rsid w:val="00950118"/>
    <w:rsid w:val="009512FE"/>
    <w:rsid w:val="00951B1F"/>
    <w:rsid w:val="009529AC"/>
    <w:rsid w:val="00952AD5"/>
    <w:rsid w:val="00955876"/>
    <w:rsid w:val="00956D9B"/>
    <w:rsid w:val="00960193"/>
    <w:rsid w:val="00963CBA"/>
    <w:rsid w:val="009654B7"/>
    <w:rsid w:val="00965BAB"/>
    <w:rsid w:val="00981ED8"/>
    <w:rsid w:val="00982B49"/>
    <w:rsid w:val="00987ED2"/>
    <w:rsid w:val="00991261"/>
    <w:rsid w:val="009916F1"/>
    <w:rsid w:val="00992A9C"/>
    <w:rsid w:val="00994E5D"/>
    <w:rsid w:val="009A0B83"/>
    <w:rsid w:val="009A3ECD"/>
    <w:rsid w:val="009A6072"/>
    <w:rsid w:val="009A6415"/>
    <w:rsid w:val="009A6953"/>
    <w:rsid w:val="009B12F0"/>
    <w:rsid w:val="009B1F2B"/>
    <w:rsid w:val="009B3800"/>
    <w:rsid w:val="009B38AE"/>
    <w:rsid w:val="009B565D"/>
    <w:rsid w:val="009B5786"/>
    <w:rsid w:val="009B6EDC"/>
    <w:rsid w:val="009C3309"/>
    <w:rsid w:val="009C3661"/>
    <w:rsid w:val="009C3F39"/>
    <w:rsid w:val="009C4138"/>
    <w:rsid w:val="009C5A54"/>
    <w:rsid w:val="009D0CCE"/>
    <w:rsid w:val="009D22AC"/>
    <w:rsid w:val="009D2C39"/>
    <w:rsid w:val="009D3852"/>
    <w:rsid w:val="009D3BCB"/>
    <w:rsid w:val="009D50DB"/>
    <w:rsid w:val="009E0341"/>
    <w:rsid w:val="009E1C4E"/>
    <w:rsid w:val="009E2EF6"/>
    <w:rsid w:val="009E72F7"/>
    <w:rsid w:val="009E7CD6"/>
    <w:rsid w:val="009F32F1"/>
    <w:rsid w:val="00A0021B"/>
    <w:rsid w:val="00A0036A"/>
    <w:rsid w:val="00A0057A"/>
    <w:rsid w:val="00A02E55"/>
    <w:rsid w:val="00A05E0B"/>
    <w:rsid w:val="00A10A4B"/>
    <w:rsid w:val="00A117CB"/>
    <w:rsid w:val="00A1427D"/>
    <w:rsid w:val="00A143A1"/>
    <w:rsid w:val="00A16E29"/>
    <w:rsid w:val="00A1784F"/>
    <w:rsid w:val="00A205AD"/>
    <w:rsid w:val="00A2363D"/>
    <w:rsid w:val="00A24455"/>
    <w:rsid w:val="00A252DC"/>
    <w:rsid w:val="00A271E8"/>
    <w:rsid w:val="00A3110F"/>
    <w:rsid w:val="00A327B0"/>
    <w:rsid w:val="00A43225"/>
    <w:rsid w:val="00A43D99"/>
    <w:rsid w:val="00A4634F"/>
    <w:rsid w:val="00A4666B"/>
    <w:rsid w:val="00A466A5"/>
    <w:rsid w:val="00A508E3"/>
    <w:rsid w:val="00A51CF3"/>
    <w:rsid w:val="00A54AB5"/>
    <w:rsid w:val="00A554D0"/>
    <w:rsid w:val="00A61A8C"/>
    <w:rsid w:val="00A724F0"/>
    <w:rsid w:val="00A72F22"/>
    <w:rsid w:val="00A73D32"/>
    <w:rsid w:val="00A748A6"/>
    <w:rsid w:val="00A816BB"/>
    <w:rsid w:val="00A877EE"/>
    <w:rsid w:val="00A879A4"/>
    <w:rsid w:val="00A87E95"/>
    <w:rsid w:val="00A92E29"/>
    <w:rsid w:val="00A97941"/>
    <w:rsid w:val="00AA1CC8"/>
    <w:rsid w:val="00AA226C"/>
    <w:rsid w:val="00AB1104"/>
    <w:rsid w:val="00AB396B"/>
    <w:rsid w:val="00AB6B26"/>
    <w:rsid w:val="00AB7553"/>
    <w:rsid w:val="00AB791B"/>
    <w:rsid w:val="00AC1069"/>
    <w:rsid w:val="00AC5AE2"/>
    <w:rsid w:val="00AC631C"/>
    <w:rsid w:val="00AD09E9"/>
    <w:rsid w:val="00AD11F4"/>
    <w:rsid w:val="00AE5B25"/>
    <w:rsid w:val="00AF0576"/>
    <w:rsid w:val="00AF3829"/>
    <w:rsid w:val="00B037F0"/>
    <w:rsid w:val="00B07CD4"/>
    <w:rsid w:val="00B116BE"/>
    <w:rsid w:val="00B14FAC"/>
    <w:rsid w:val="00B22EFB"/>
    <w:rsid w:val="00B2327D"/>
    <w:rsid w:val="00B26536"/>
    <w:rsid w:val="00B2718F"/>
    <w:rsid w:val="00B30179"/>
    <w:rsid w:val="00B31439"/>
    <w:rsid w:val="00B32458"/>
    <w:rsid w:val="00B3317B"/>
    <w:rsid w:val="00B331F8"/>
    <w:rsid w:val="00B334DC"/>
    <w:rsid w:val="00B35900"/>
    <w:rsid w:val="00B3631A"/>
    <w:rsid w:val="00B37595"/>
    <w:rsid w:val="00B40AEE"/>
    <w:rsid w:val="00B43088"/>
    <w:rsid w:val="00B43C65"/>
    <w:rsid w:val="00B469C4"/>
    <w:rsid w:val="00B53013"/>
    <w:rsid w:val="00B625AE"/>
    <w:rsid w:val="00B66336"/>
    <w:rsid w:val="00B67EDC"/>
    <w:rsid w:val="00B67F5E"/>
    <w:rsid w:val="00B702C2"/>
    <w:rsid w:val="00B73E65"/>
    <w:rsid w:val="00B7537B"/>
    <w:rsid w:val="00B80E09"/>
    <w:rsid w:val="00B81E12"/>
    <w:rsid w:val="00B82EEF"/>
    <w:rsid w:val="00B85D00"/>
    <w:rsid w:val="00B87110"/>
    <w:rsid w:val="00B906EB"/>
    <w:rsid w:val="00B90DD6"/>
    <w:rsid w:val="00B9116F"/>
    <w:rsid w:val="00B93068"/>
    <w:rsid w:val="00B97FA8"/>
    <w:rsid w:val="00BA0DA8"/>
    <w:rsid w:val="00BA3592"/>
    <w:rsid w:val="00BA450F"/>
    <w:rsid w:val="00BA4DBA"/>
    <w:rsid w:val="00BB1220"/>
    <w:rsid w:val="00BB3747"/>
    <w:rsid w:val="00BC1385"/>
    <w:rsid w:val="00BC5A29"/>
    <w:rsid w:val="00BC74E9"/>
    <w:rsid w:val="00BD291E"/>
    <w:rsid w:val="00BE13CC"/>
    <w:rsid w:val="00BE51B8"/>
    <w:rsid w:val="00BE618E"/>
    <w:rsid w:val="00BE655C"/>
    <w:rsid w:val="00BF3AB4"/>
    <w:rsid w:val="00BF61EC"/>
    <w:rsid w:val="00C02E09"/>
    <w:rsid w:val="00C060D7"/>
    <w:rsid w:val="00C119E7"/>
    <w:rsid w:val="00C128F2"/>
    <w:rsid w:val="00C170EC"/>
    <w:rsid w:val="00C217E7"/>
    <w:rsid w:val="00C21F35"/>
    <w:rsid w:val="00C240B6"/>
    <w:rsid w:val="00C24693"/>
    <w:rsid w:val="00C2541B"/>
    <w:rsid w:val="00C25E3A"/>
    <w:rsid w:val="00C313FB"/>
    <w:rsid w:val="00C31C8B"/>
    <w:rsid w:val="00C324C0"/>
    <w:rsid w:val="00C347B7"/>
    <w:rsid w:val="00C35E28"/>
    <w:rsid w:val="00C35F0B"/>
    <w:rsid w:val="00C4360B"/>
    <w:rsid w:val="00C46122"/>
    <w:rsid w:val="00C463DD"/>
    <w:rsid w:val="00C47A62"/>
    <w:rsid w:val="00C5079B"/>
    <w:rsid w:val="00C517EB"/>
    <w:rsid w:val="00C54D9A"/>
    <w:rsid w:val="00C6247B"/>
    <w:rsid w:val="00C62AF5"/>
    <w:rsid w:val="00C632D4"/>
    <w:rsid w:val="00C64458"/>
    <w:rsid w:val="00C648B2"/>
    <w:rsid w:val="00C71000"/>
    <w:rsid w:val="00C745C3"/>
    <w:rsid w:val="00C76DDC"/>
    <w:rsid w:val="00C8151C"/>
    <w:rsid w:val="00C81A2B"/>
    <w:rsid w:val="00C83597"/>
    <w:rsid w:val="00C84D35"/>
    <w:rsid w:val="00C852CA"/>
    <w:rsid w:val="00C907AA"/>
    <w:rsid w:val="00C93C86"/>
    <w:rsid w:val="00C94319"/>
    <w:rsid w:val="00C95164"/>
    <w:rsid w:val="00C95F31"/>
    <w:rsid w:val="00CA1C71"/>
    <w:rsid w:val="00CA2A58"/>
    <w:rsid w:val="00CA4D9C"/>
    <w:rsid w:val="00CA5B47"/>
    <w:rsid w:val="00CA6DD1"/>
    <w:rsid w:val="00CB035B"/>
    <w:rsid w:val="00CB1B2A"/>
    <w:rsid w:val="00CB2A35"/>
    <w:rsid w:val="00CB4564"/>
    <w:rsid w:val="00CB58C2"/>
    <w:rsid w:val="00CB6181"/>
    <w:rsid w:val="00CC0B55"/>
    <w:rsid w:val="00CC1A49"/>
    <w:rsid w:val="00CC1D28"/>
    <w:rsid w:val="00CC2FBF"/>
    <w:rsid w:val="00CC7F4D"/>
    <w:rsid w:val="00CD3F54"/>
    <w:rsid w:val="00CD6995"/>
    <w:rsid w:val="00CE1D3C"/>
    <w:rsid w:val="00CE3248"/>
    <w:rsid w:val="00CE4560"/>
    <w:rsid w:val="00CE4A8F"/>
    <w:rsid w:val="00CE54A5"/>
    <w:rsid w:val="00CF0214"/>
    <w:rsid w:val="00CF4A14"/>
    <w:rsid w:val="00CF586F"/>
    <w:rsid w:val="00CF5F55"/>
    <w:rsid w:val="00CF7D43"/>
    <w:rsid w:val="00D01831"/>
    <w:rsid w:val="00D11129"/>
    <w:rsid w:val="00D2031B"/>
    <w:rsid w:val="00D2087B"/>
    <w:rsid w:val="00D22332"/>
    <w:rsid w:val="00D256C0"/>
    <w:rsid w:val="00D25FE2"/>
    <w:rsid w:val="00D4059A"/>
    <w:rsid w:val="00D43252"/>
    <w:rsid w:val="00D44595"/>
    <w:rsid w:val="00D44AAE"/>
    <w:rsid w:val="00D46C9C"/>
    <w:rsid w:val="00D471FE"/>
    <w:rsid w:val="00D504B6"/>
    <w:rsid w:val="00D5086F"/>
    <w:rsid w:val="00D550F9"/>
    <w:rsid w:val="00D572B0"/>
    <w:rsid w:val="00D62E90"/>
    <w:rsid w:val="00D66611"/>
    <w:rsid w:val="00D7638E"/>
    <w:rsid w:val="00D76BE5"/>
    <w:rsid w:val="00D81C7F"/>
    <w:rsid w:val="00D835E9"/>
    <w:rsid w:val="00D8633E"/>
    <w:rsid w:val="00D868F7"/>
    <w:rsid w:val="00D9041B"/>
    <w:rsid w:val="00D978C6"/>
    <w:rsid w:val="00DA3374"/>
    <w:rsid w:val="00DA67AD"/>
    <w:rsid w:val="00DA70E5"/>
    <w:rsid w:val="00DB18CE"/>
    <w:rsid w:val="00DB212B"/>
    <w:rsid w:val="00DB5504"/>
    <w:rsid w:val="00DB5566"/>
    <w:rsid w:val="00DB7B93"/>
    <w:rsid w:val="00DC245B"/>
    <w:rsid w:val="00DD12CE"/>
    <w:rsid w:val="00DD292C"/>
    <w:rsid w:val="00DD5EE2"/>
    <w:rsid w:val="00DE3EC0"/>
    <w:rsid w:val="00DF0680"/>
    <w:rsid w:val="00DF365F"/>
    <w:rsid w:val="00E02DC4"/>
    <w:rsid w:val="00E11593"/>
    <w:rsid w:val="00E11D2C"/>
    <w:rsid w:val="00E12B6B"/>
    <w:rsid w:val="00E130AB"/>
    <w:rsid w:val="00E15F89"/>
    <w:rsid w:val="00E20826"/>
    <w:rsid w:val="00E26272"/>
    <w:rsid w:val="00E27BDC"/>
    <w:rsid w:val="00E337E3"/>
    <w:rsid w:val="00E346CF"/>
    <w:rsid w:val="00E3519A"/>
    <w:rsid w:val="00E36E83"/>
    <w:rsid w:val="00E4054B"/>
    <w:rsid w:val="00E41E78"/>
    <w:rsid w:val="00E438D9"/>
    <w:rsid w:val="00E43975"/>
    <w:rsid w:val="00E43EC8"/>
    <w:rsid w:val="00E44F38"/>
    <w:rsid w:val="00E5644E"/>
    <w:rsid w:val="00E63133"/>
    <w:rsid w:val="00E631C4"/>
    <w:rsid w:val="00E7260F"/>
    <w:rsid w:val="00E749DD"/>
    <w:rsid w:val="00E806EE"/>
    <w:rsid w:val="00E833A7"/>
    <w:rsid w:val="00E84C93"/>
    <w:rsid w:val="00E84DEA"/>
    <w:rsid w:val="00E85B66"/>
    <w:rsid w:val="00E85DB0"/>
    <w:rsid w:val="00E950BE"/>
    <w:rsid w:val="00E96630"/>
    <w:rsid w:val="00E97491"/>
    <w:rsid w:val="00E977CF"/>
    <w:rsid w:val="00EA0CBA"/>
    <w:rsid w:val="00EA224B"/>
    <w:rsid w:val="00EA32C6"/>
    <w:rsid w:val="00EA3902"/>
    <w:rsid w:val="00EA3A9D"/>
    <w:rsid w:val="00EA4AD3"/>
    <w:rsid w:val="00EA5CCA"/>
    <w:rsid w:val="00EB05FF"/>
    <w:rsid w:val="00EB0FB9"/>
    <w:rsid w:val="00EB204A"/>
    <w:rsid w:val="00EB583D"/>
    <w:rsid w:val="00EB7DB5"/>
    <w:rsid w:val="00EC166E"/>
    <w:rsid w:val="00EC3DAE"/>
    <w:rsid w:val="00ED0CA9"/>
    <w:rsid w:val="00ED139F"/>
    <w:rsid w:val="00ED33FA"/>
    <w:rsid w:val="00ED4C8A"/>
    <w:rsid w:val="00ED7A2A"/>
    <w:rsid w:val="00EE1599"/>
    <w:rsid w:val="00EE6457"/>
    <w:rsid w:val="00EE6CEE"/>
    <w:rsid w:val="00EE79FF"/>
    <w:rsid w:val="00EE7EAA"/>
    <w:rsid w:val="00EF0B56"/>
    <w:rsid w:val="00EF1D7F"/>
    <w:rsid w:val="00EF3B4C"/>
    <w:rsid w:val="00EF5BDB"/>
    <w:rsid w:val="00EF72B7"/>
    <w:rsid w:val="00F04226"/>
    <w:rsid w:val="00F07FD9"/>
    <w:rsid w:val="00F1352D"/>
    <w:rsid w:val="00F15FE6"/>
    <w:rsid w:val="00F23933"/>
    <w:rsid w:val="00F24119"/>
    <w:rsid w:val="00F26FAD"/>
    <w:rsid w:val="00F36BE0"/>
    <w:rsid w:val="00F40E75"/>
    <w:rsid w:val="00F41675"/>
    <w:rsid w:val="00F42CD9"/>
    <w:rsid w:val="00F42FE6"/>
    <w:rsid w:val="00F46A40"/>
    <w:rsid w:val="00F46CF9"/>
    <w:rsid w:val="00F50A85"/>
    <w:rsid w:val="00F51774"/>
    <w:rsid w:val="00F52936"/>
    <w:rsid w:val="00F531ED"/>
    <w:rsid w:val="00F53460"/>
    <w:rsid w:val="00F54083"/>
    <w:rsid w:val="00F54871"/>
    <w:rsid w:val="00F55C68"/>
    <w:rsid w:val="00F62995"/>
    <w:rsid w:val="00F6433D"/>
    <w:rsid w:val="00F677CB"/>
    <w:rsid w:val="00F67B04"/>
    <w:rsid w:val="00F725EA"/>
    <w:rsid w:val="00F77F31"/>
    <w:rsid w:val="00F81A02"/>
    <w:rsid w:val="00F82758"/>
    <w:rsid w:val="00F91023"/>
    <w:rsid w:val="00F92199"/>
    <w:rsid w:val="00F94245"/>
    <w:rsid w:val="00F9718A"/>
    <w:rsid w:val="00FA1375"/>
    <w:rsid w:val="00FA2B9C"/>
    <w:rsid w:val="00FA5D80"/>
    <w:rsid w:val="00FA7DF3"/>
    <w:rsid w:val="00FB5883"/>
    <w:rsid w:val="00FC1856"/>
    <w:rsid w:val="00FC654C"/>
    <w:rsid w:val="00FC68B7"/>
    <w:rsid w:val="00FD6616"/>
    <w:rsid w:val="00FD7C12"/>
    <w:rsid w:val="00FE0385"/>
    <w:rsid w:val="00FE1A54"/>
    <w:rsid w:val="00FE20D4"/>
    <w:rsid w:val="00FE2BD4"/>
    <w:rsid w:val="00FE5278"/>
    <w:rsid w:val="00FF0053"/>
    <w:rsid w:val="00FF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146476"/>
  <w15:docId w15:val="{0686F530-6F72-43F8-B6D3-8E20CFFA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Texto de nota al pie,Footnote Text Char1 Car Car Car Car,Footnote Text Char Char Car Car Car Car,Char Car Car Car Car,Char Char Char Car Car Car Car Car,FA Fu Car Car Car,Footnote Text Char Char Char Char Char Car Car Car,BVI fnr"/>
    <w:basedOn w:val="DefaultParagraphFont"/>
    <w:link w:val="BVIfnrCharCharChar1CharCharCharCharCharCharChar1CharCharChar1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texto de nota al pie,Texto nota pie Car Car,Texto nota pie Car Car Car,FA Fuﬂnotentext,Footnote Text Cha,ft"/>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uiPriority w:val="9"/>
    <w:rsid w:val="00A117CB"/>
    <w:rPr>
      <w:lang w:val="en-GB" w:eastAsia="en-US"/>
    </w:rPr>
  </w:style>
  <w:style w:type="character" w:customStyle="1" w:styleId="Heading2Char">
    <w:name w:val="Heading 2 Char"/>
    <w:basedOn w:val="DefaultParagraphFont"/>
    <w:link w:val="Heading2"/>
    <w:uiPriority w:val="9"/>
    <w:rsid w:val="00A117CB"/>
    <w:rPr>
      <w:lang w:val="en-GB" w:eastAsia="en-US"/>
    </w:rPr>
  </w:style>
  <w:style w:type="character" w:customStyle="1" w:styleId="Heading3Char">
    <w:name w:val="Heading 3 Char"/>
    <w:basedOn w:val="DefaultParagraphFont"/>
    <w:link w:val="Heading3"/>
    <w:uiPriority w:val="9"/>
    <w:rsid w:val="00A117CB"/>
    <w:rPr>
      <w:lang w:val="en-GB" w:eastAsia="en-US"/>
    </w:rPr>
  </w:style>
  <w:style w:type="paragraph" w:styleId="ListParagraph">
    <w:name w:val="List Paragraph"/>
    <w:basedOn w:val="Normal"/>
    <w:uiPriority w:val="34"/>
    <w:qFormat/>
    <w:rsid w:val="00A117CB"/>
    <w:pPr>
      <w:suppressAutoHyphens w:val="0"/>
      <w:spacing w:line="240" w:lineRule="auto"/>
      <w:ind w:left="720"/>
      <w:contextualSpacing/>
    </w:pPr>
    <w:rPr>
      <w:rFonts w:ascii="Calibri" w:eastAsiaTheme="minorHAnsi" w:hAnsi="Calibri"/>
      <w:sz w:val="22"/>
      <w:szCs w:val="22"/>
      <w:lang w:val="es-CO"/>
    </w:rPr>
  </w:style>
  <w:style w:type="character" w:customStyle="1" w:styleId="FootnoteTextChar">
    <w:name w:val="Footnote Text Char"/>
    <w:aliases w:val="5_G Char,Footnote Text Char Char Char Char Char Char,Footnote Text Char Char Char Char Char1,Footnote reference Char,FA Fu Char,Footnote Text Char Char Char Char1,texto de nota al pie Char,Texto nota pie Car Car Char,ft Char"/>
    <w:basedOn w:val="DefaultParagraphFont"/>
    <w:link w:val="FootnoteText"/>
    <w:rsid w:val="00A117CB"/>
    <w:rPr>
      <w:sz w:val="18"/>
      <w:lang w:val="en-GB" w:eastAsia="en-US"/>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A117CB"/>
    <w:pPr>
      <w:suppressAutoHyphens w:val="0"/>
      <w:spacing w:after="160" w:line="240" w:lineRule="exact"/>
    </w:pPr>
    <w:rPr>
      <w:sz w:val="18"/>
      <w:vertAlign w:val="superscript"/>
      <w:lang w:val="fr-FR" w:eastAsia="fr-FR"/>
    </w:rPr>
  </w:style>
  <w:style w:type="character" w:styleId="CommentReference">
    <w:name w:val="annotation reference"/>
    <w:basedOn w:val="DefaultParagraphFont"/>
    <w:uiPriority w:val="99"/>
    <w:semiHidden/>
    <w:unhideWhenUsed/>
    <w:rsid w:val="00A117CB"/>
    <w:rPr>
      <w:sz w:val="16"/>
      <w:szCs w:val="16"/>
    </w:rPr>
  </w:style>
  <w:style w:type="paragraph" w:styleId="CommentText">
    <w:name w:val="annotation text"/>
    <w:basedOn w:val="Normal"/>
    <w:link w:val="CommentTextChar"/>
    <w:uiPriority w:val="99"/>
    <w:unhideWhenUsed/>
    <w:rsid w:val="00A117CB"/>
    <w:pPr>
      <w:suppressAutoHyphens w:val="0"/>
      <w:spacing w:line="240" w:lineRule="auto"/>
    </w:pPr>
    <w:rPr>
      <w:rFonts w:ascii="Calibri" w:eastAsiaTheme="minorHAnsi" w:hAnsi="Calibri"/>
      <w:lang w:val="es-CO"/>
    </w:rPr>
  </w:style>
  <w:style w:type="character" w:customStyle="1" w:styleId="CommentTextChar">
    <w:name w:val="Comment Text Char"/>
    <w:basedOn w:val="DefaultParagraphFont"/>
    <w:link w:val="CommentText"/>
    <w:uiPriority w:val="99"/>
    <w:rsid w:val="00A117CB"/>
    <w:rPr>
      <w:rFonts w:ascii="Calibri" w:eastAsiaTheme="minorHAnsi" w:hAnsi="Calibri"/>
      <w:lang w:val="es-CO" w:eastAsia="en-US"/>
    </w:rPr>
  </w:style>
  <w:style w:type="paragraph" w:customStyle="1" w:styleId="Default">
    <w:name w:val="Default"/>
    <w:rsid w:val="00A117CB"/>
    <w:pPr>
      <w:autoSpaceDE w:val="0"/>
      <w:autoSpaceDN w:val="0"/>
      <w:adjustRightInd w:val="0"/>
    </w:pPr>
    <w:rPr>
      <w:rFonts w:eastAsiaTheme="minorHAnsi"/>
      <w:color w:val="000000"/>
      <w:sz w:val="24"/>
      <w:szCs w:val="24"/>
      <w:lang w:val="es-CO" w:eastAsia="en-US"/>
    </w:rPr>
  </w:style>
  <w:style w:type="paragraph" w:styleId="NoSpacing">
    <w:name w:val="No Spacing"/>
    <w:uiPriority w:val="1"/>
    <w:qFormat/>
    <w:rsid w:val="00A117CB"/>
    <w:rPr>
      <w:rFonts w:ascii="Calibri" w:eastAsiaTheme="minorHAnsi" w:hAnsi="Calibri"/>
      <w:sz w:val="22"/>
      <w:szCs w:val="22"/>
      <w:lang w:val="es-CO" w:eastAsia="en-US"/>
    </w:rPr>
  </w:style>
  <w:style w:type="paragraph" w:styleId="TOCHeading">
    <w:name w:val="TOC Heading"/>
    <w:basedOn w:val="Heading1"/>
    <w:next w:val="Normal"/>
    <w:uiPriority w:val="39"/>
    <w:unhideWhenUsed/>
    <w:qFormat/>
    <w:rsid w:val="00A117CB"/>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s-CO" w:eastAsia="es-CO"/>
    </w:rPr>
  </w:style>
  <w:style w:type="paragraph" w:styleId="TOC1">
    <w:name w:val="toc 1"/>
    <w:basedOn w:val="Normal"/>
    <w:next w:val="Normal"/>
    <w:autoRedefine/>
    <w:uiPriority w:val="39"/>
    <w:unhideWhenUsed/>
    <w:rsid w:val="00A117CB"/>
    <w:pPr>
      <w:suppressAutoHyphens w:val="0"/>
      <w:spacing w:after="100" w:line="276" w:lineRule="auto"/>
    </w:pPr>
    <w:rPr>
      <w:rFonts w:asciiTheme="minorHAnsi" w:eastAsiaTheme="minorHAnsi" w:hAnsiTheme="minorHAnsi" w:cstheme="minorBidi"/>
      <w:sz w:val="22"/>
      <w:szCs w:val="22"/>
      <w:lang w:val="es-CO"/>
    </w:rPr>
  </w:style>
  <w:style w:type="paragraph" w:styleId="TOC2">
    <w:name w:val="toc 2"/>
    <w:basedOn w:val="Normal"/>
    <w:next w:val="Normal"/>
    <w:autoRedefine/>
    <w:uiPriority w:val="39"/>
    <w:unhideWhenUsed/>
    <w:rsid w:val="00A117CB"/>
    <w:pPr>
      <w:suppressAutoHyphens w:val="0"/>
      <w:spacing w:after="100" w:line="276" w:lineRule="auto"/>
      <w:ind w:left="220"/>
    </w:pPr>
    <w:rPr>
      <w:rFonts w:asciiTheme="minorHAnsi" w:eastAsiaTheme="minorHAnsi" w:hAnsiTheme="minorHAnsi" w:cstheme="minorBidi"/>
      <w:sz w:val="22"/>
      <w:szCs w:val="22"/>
      <w:lang w:val="es-CO"/>
    </w:rPr>
  </w:style>
  <w:style w:type="paragraph" w:styleId="TOC3">
    <w:name w:val="toc 3"/>
    <w:basedOn w:val="Normal"/>
    <w:next w:val="Normal"/>
    <w:autoRedefine/>
    <w:uiPriority w:val="39"/>
    <w:unhideWhenUsed/>
    <w:rsid w:val="00A117CB"/>
    <w:pPr>
      <w:suppressAutoHyphens w:val="0"/>
      <w:spacing w:after="100" w:line="276" w:lineRule="auto"/>
      <w:ind w:left="440"/>
    </w:pPr>
    <w:rPr>
      <w:rFonts w:asciiTheme="minorHAnsi" w:eastAsiaTheme="minorHAnsi" w:hAnsiTheme="minorHAnsi" w:cstheme="minorBidi"/>
      <w:sz w:val="22"/>
      <w:szCs w:val="22"/>
      <w:lang w:val="es-CO"/>
    </w:rPr>
  </w:style>
  <w:style w:type="character" w:customStyle="1" w:styleId="Heading4Char">
    <w:name w:val="Heading 4 Char"/>
    <w:basedOn w:val="DefaultParagraphFont"/>
    <w:link w:val="Heading4"/>
    <w:uiPriority w:val="9"/>
    <w:rsid w:val="00A117CB"/>
    <w:rPr>
      <w:lang w:val="en-GB" w:eastAsia="en-US"/>
    </w:rPr>
  </w:style>
  <w:style w:type="character" w:customStyle="1" w:styleId="HeaderChar">
    <w:name w:val="Header Char"/>
    <w:aliases w:val="6_G Char"/>
    <w:basedOn w:val="DefaultParagraphFont"/>
    <w:link w:val="Header"/>
    <w:uiPriority w:val="99"/>
    <w:rsid w:val="00A117CB"/>
    <w:rPr>
      <w:b/>
      <w:sz w:val="18"/>
      <w:lang w:val="en-GB" w:eastAsia="en-US"/>
    </w:rPr>
  </w:style>
  <w:style w:type="character" w:customStyle="1" w:styleId="FooterChar">
    <w:name w:val="Footer Char"/>
    <w:aliases w:val="3_G Char"/>
    <w:basedOn w:val="DefaultParagraphFont"/>
    <w:link w:val="Footer"/>
    <w:uiPriority w:val="99"/>
    <w:rsid w:val="00A117CB"/>
    <w:rPr>
      <w:sz w:val="16"/>
      <w:lang w:val="en-GB" w:eastAsia="en-US"/>
    </w:rPr>
  </w:style>
  <w:style w:type="paragraph" w:styleId="CommentSubject">
    <w:name w:val="annotation subject"/>
    <w:basedOn w:val="CommentText"/>
    <w:next w:val="CommentText"/>
    <w:link w:val="CommentSubjectChar"/>
    <w:uiPriority w:val="99"/>
    <w:semiHidden/>
    <w:unhideWhenUsed/>
    <w:rsid w:val="00A117CB"/>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A117CB"/>
    <w:rPr>
      <w:rFonts w:asciiTheme="minorHAnsi" w:eastAsiaTheme="minorHAnsi" w:hAnsiTheme="minorHAnsi" w:cstheme="minorBidi"/>
      <w:b/>
      <w:bCs/>
      <w:lang w:val="es-CO" w:eastAsia="en-US"/>
    </w:rPr>
  </w:style>
  <w:style w:type="paragraph" w:styleId="Revision">
    <w:name w:val="Revision"/>
    <w:hidden/>
    <w:uiPriority w:val="99"/>
    <w:semiHidden/>
    <w:rsid w:val="00A117CB"/>
    <w:rPr>
      <w:rFonts w:asciiTheme="minorHAnsi" w:eastAsiaTheme="minorHAnsi" w:hAnsiTheme="minorHAnsi" w:cstheme="minorBid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BAA9DC-8BAE-4ABD-B36A-0BD367B8391E}">
  <ds:schemaRefs>
    <ds:schemaRef ds:uri="http://schemas.openxmlformats.org/officeDocument/2006/bibliography"/>
  </ds:schemaRefs>
</ds:datastoreItem>
</file>

<file path=customXml/itemProps2.xml><?xml version="1.0" encoding="utf-8"?>
<ds:datastoreItem xmlns:ds="http://schemas.openxmlformats.org/officeDocument/2006/customXml" ds:itemID="{84F59CD3-0A06-4336-A1AF-B43149D41BDB}"/>
</file>

<file path=customXml/itemProps3.xml><?xml version="1.0" encoding="utf-8"?>
<ds:datastoreItem xmlns:ds="http://schemas.openxmlformats.org/officeDocument/2006/customXml" ds:itemID="{033FB732-26D1-4B62-8341-3DFDC4C1D6C2}"/>
</file>

<file path=customXml/itemProps4.xml><?xml version="1.0" encoding="utf-8"?>
<ds:datastoreItem xmlns:ds="http://schemas.openxmlformats.org/officeDocument/2006/customXml" ds:itemID="{6AC09B8C-1C8D-4607-B132-184E0FCF9E10}"/>
</file>

<file path=docProps/app.xml><?xml version="1.0" encoding="utf-8"?>
<Properties xmlns="http://schemas.openxmlformats.org/officeDocument/2006/extended-properties" xmlns:vt="http://schemas.openxmlformats.org/officeDocument/2006/docPropsVTypes">
  <Template>A_E.dotm</Template>
  <TotalTime>30</TotalTime>
  <Pages>17</Pages>
  <Words>9185</Words>
  <Characters>52361</Characters>
  <Application>Microsoft Office Word</Application>
  <DocSecurity>0</DocSecurity>
  <Lines>436</Lines>
  <Paragraphs>122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A/HRC/37/3/Add.3</vt:lpstr>
      <vt:lpstr>A/HRC/37/3/Add.3</vt:lpstr>
      <vt:lpstr/>
    </vt:vector>
  </TitlesOfParts>
  <Company>CSD</Company>
  <LinksUpToDate>false</LinksUpToDate>
  <CharactersWithSpaces>61424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United Nations High Commissioner for Human Rights on the situation of human rights in Colombia in Spanish</dc:title>
  <dc:creator>Ana-Gabriella CEVALLOS</dc:creator>
  <cp:lastModifiedBy>Santiago MARTINEZ-ORENSE</cp:lastModifiedBy>
  <cp:revision>8</cp:revision>
  <cp:lastPrinted>2018-02-28T08:05:00Z</cp:lastPrinted>
  <dcterms:created xsi:type="dcterms:W3CDTF">2018-03-01T15:57:00Z</dcterms:created>
  <dcterms:modified xsi:type="dcterms:W3CDTF">2018-03-15T10:27:00Z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