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F72C65" w:rsidRPr="00441B3C" w14:paraId="3D6EB5B8" w14:textId="77777777" w:rsidTr="00FE6798">
        <w:trPr>
          <w:trHeight w:val="851"/>
        </w:trPr>
        <w:tc>
          <w:tcPr>
            <w:tcW w:w="1259" w:type="dxa"/>
            <w:tcBorders>
              <w:top w:val="nil"/>
              <w:left w:val="nil"/>
              <w:bottom w:val="single" w:sz="4" w:space="0" w:color="auto"/>
              <w:right w:val="nil"/>
            </w:tcBorders>
          </w:tcPr>
          <w:p w14:paraId="20C15F5F" w14:textId="77777777" w:rsidR="00F72C65" w:rsidRPr="003E74EA" w:rsidRDefault="00F72C65" w:rsidP="00441B3C">
            <w:pPr>
              <w:tabs>
                <w:tab w:val="right" w:pos="850"/>
                <w:tab w:val="left" w:pos="1134"/>
                <w:tab w:val="right" w:leader="dot" w:pos="8504"/>
              </w:tabs>
              <w:spacing w:before="360" w:after="240"/>
              <w:rPr>
                <w:rFonts w:ascii="Times New Roman" w:hAnsi="Times New Roman" w:cs="Times New Roman"/>
              </w:rPr>
            </w:pPr>
          </w:p>
        </w:tc>
        <w:tc>
          <w:tcPr>
            <w:tcW w:w="2236" w:type="dxa"/>
            <w:tcBorders>
              <w:top w:val="nil"/>
              <w:left w:val="nil"/>
              <w:bottom w:val="single" w:sz="4" w:space="0" w:color="auto"/>
              <w:right w:val="nil"/>
            </w:tcBorders>
            <w:vAlign w:val="bottom"/>
          </w:tcPr>
          <w:p w14:paraId="35748978" w14:textId="7A8293A4" w:rsidR="00F72C65" w:rsidRPr="00441B3C" w:rsidRDefault="00F72C65" w:rsidP="00441B3C">
            <w:pPr>
              <w:spacing w:after="80" w:line="300" w:lineRule="exact"/>
              <w:rPr>
                <w:rFonts w:ascii="Times New Roman" w:hAnsi="Times New Roman" w:cs="Times New Roman"/>
                <w:sz w:val="28"/>
                <w:szCs w:val="28"/>
              </w:rPr>
            </w:pPr>
          </w:p>
        </w:tc>
        <w:tc>
          <w:tcPr>
            <w:tcW w:w="6144" w:type="dxa"/>
            <w:gridSpan w:val="2"/>
            <w:tcBorders>
              <w:top w:val="nil"/>
              <w:left w:val="nil"/>
              <w:bottom w:val="single" w:sz="4" w:space="0" w:color="auto"/>
              <w:right w:val="nil"/>
            </w:tcBorders>
            <w:vAlign w:val="bottom"/>
          </w:tcPr>
          <w:p w14:paraId="52CA7EC9" w14:textId="04965C3F" w:rsidR="00F72C65" w:rsidRPr="00D2132B" w:rsidRDefault="00D2132B" w:rsidP="00F45155">
            <w:pPr>
              <w:spacing w:after="0"/>
              <w:jc w:val="right"/>
              <w:rPr>
                <w:rFonts w:ascii="Times New Roman" w:hAnsi="Times New Roman" w:cs="Times New Roman"/>
                <w:sz w:val="20"/>
                <w:szCs w:val="20"/>
              </w:rPr>
            </w:pPr>
            <w:r w:rsidRPr="00D2132B">
              <w:rPr>
                <w:rFonts w:ascii="Times New Roman" w:hAnsi="Times New Roman" w:cs="Times New Roman"/>
                <w:sz w:val="40"/>
              </w:rPr>
              <w:t>A</w:t>
            </w:r>
            <w:r w:rsidRPr="00D2132B">
              <w:rPr>
                <w:rFonts w:ascii="Times New Roman" w:hAnsi="Times New Roman" w:cs="Times New Roman"/>
                <w:sz w:val="20"/>
                <w:szCs w:val="20"/>
              </w:rPr>
              <w:t>/HRC/37/</w:t>
            </w:r>
            <w:r w:rsidR="00F45155">
              <w:rPr>
                <w:rFonts w:ascii="Times New Roman" w:hAnsi="Times New Roman" w:cs="Times New Roman"/>
                <w:sz w:val="20"/>
                <w:szCs w:val="20"/>
              </w:rPr>
              <w:t>41</w:t>
            </w:r>
          </w:p>
        </w:tc>
      </w:tr>
      <w:tr w:rsidR="00F72C65" w:rsidRPr="00441B3C" w14:paraId="53ABACAB" w14:textId="77777777" w:rsidTr="00FE6798">
        <w:trPr>
          <w:trHeight w:val="2835"/>
        </w:trPr>
        <w:tc>
          <w:tcPr>
            <w:tcW w:w="1259" w:type="dxa"/>
            <w:tcBorders>
              <w:top w:val="single" w:sz="4" w:space="0" w:color="auto"/>
              <w:left w:val="nil"/>
              <w:bottom w:val="single" w:sz="12" w:space="0" w:color="auto"/>
              <w:right w:val="nil"/>
            </w:tcBorders>
          </w:tcPr>
          <w:p w14:paraId="5B3E1F5F" w14:textId="3235EC1D" w:rsidR="00F72C65" w:rsidRPr="00441B3C" w:rsidRDefault="00F72C65" w:rsidP="00441B3C">
            <w:pPr>
              <w:spacing w:before="120"/>
              <w:jc w:val="center"/>
            </w:pPr>
          </w:p>
        </w:tc>
        <w:tc>
          <w:tcPr>
            <w:tcW w:w="5450" w:type="dxa"/>
            <w:gridSpan w:val="2"/>
            <w:tcBorders>
              <w:top w:val="single" w:sz="4" w:space="0" w:color="auto"/>
              <w:left w:val="nil"/>
              <w:bottom w:val="single" w:sz="12" w:space="0" w:color="auto"/>
              <w:right w:val="nil"/>
            </w:tcBorders>
          </w:tcPr>
          <w:p w14:paraId="79465CF2" w14:textId="2A41DE16" w:rsidR="00F72C65" w:rsidRPr="00441B3C" w:rsidRDefault="00EE6D76" w:rsidP="00441B3C">
            <w:pPr>
              <w:spacing w:before="120" w:line="420" w:lineRule="exact"/>
              <w:rPr>
                <w:rFonts w:ascii="Times New Roman" w:hAnsi="Times New Roman" w:cs="Times New Roman"/>
                <w:b/>
                <w:sz w:val="40"/>
                <w:szCs w:val="40"/>
              </w:rPr>
            </w:pPr>
            <w:r>
              <w:rPr>
                <w:rFonts w:ascii="Times New Roman" w:hAnsi="Times New Roman" w:cs="Times New Roman"/>
                <w:b/>
                <w:sz w:val="40"/>
                <w:szCs w:val="40"/>
              </w:rPr>
              <w:t>Advance Unedited Version</w:t>
            </w:r>
          </w:p>
        </w:tc>
        <w:tc>
          <w:tcPr>
            <w:tcW w:w="2930" w:type="dxa"/>
            <w:tcBorders>
              <w:top w:val="single" w:sz="4" w:space="0" w:color="auto"/>
              <w:left w:val="nil"/>
              <w:bottom w:val="single" w:sz="12" w:space="0" w:color="auto"/>
              <w:right w:val="nil"/>
            </w:tcBorders>
          </w:tcPr>
          <w:p w14:paraId="1B689D29" w14:textId="77777777" w:rsidR="00F72C65" w:rsidRPr="00441B3C" w:rsidRDefault="00F72C65" w:rsidP="00441B3C">
            <w:pPr>
              <w:spacing w:before="240" w:after="0" w:line="240" w:lineRule="exact"/>
              <w:rPr>
                <w:rFonts w:ascii="Times New Roman" w:hAnsi="Times New Roman" w:cs="Times New Roman"/>
                <w:sz w:val="20"/>
              </w:rPr>
            </w:pPr>
            <w:r w:rsidRPr="00441B3C">
              <w:rPr>
                <w:rFonts w:ascii="Times New Roman" w:hAnsi="Times New Roman" w:cs="Times New Roman"/>
                <w:sz w:val="20"/>
              </w:rPr>
              <w:t>Distr.: General</w:t>
            </w:r>
          </w:p>
          <w:p w14:paraId="17620171" w14:textId="36D4E2FA" w:rsidR="00F72C65" w:rsidRPr="00441B3C" w:rsidRDefault="00D2132B" w:rsidP="00441B3C">
            <w:pPr>
              <w:spacing w:line="240" w:lineRule="exact"/>
              <w:rPr>
                <w:rFonts w:ascii="Times New Roman" w:hAnsi="Times New Roman" w:cs="Times New Roman"/>
                <w:sz w:val="20"/>
              </w:rPr>
            </w:pPr>
            <w:r>
              <w:rPr>
                <w:rFonts w:ascii="Times New Roman" w:hAnsi="Times New Roman" w:cs="Times New Roman"/>
                <w:sz w:val="20"/>
              </w:rPr>
              <w:t xml:space="preserve">19 </w:t>
            </w:r>
            <w:r w:rsidR="00B57626" w:rsidRPr="00441B3C">
              <w:rPr>
                <w:rFonts w:ascii="Times New Roman" w:hAnsi="Times New Roman" w:cs="Times New Roman"/>
                <w:sz w:val="20"/>
              </w:rPr>
              <w:t>March 2018</w:t>
            </w:r>
          </w:p>
          <w:p w14:paraId="25DE13D6" w14:textId="77777777" w:rsidR="00F72C65" w:rsidRPr="00441B3C" w:rsidRDefault="00F72C65" w:rsidP="00441B3C">
            <w:pPr>
              <w:spacing w:line="240" w:lineRule="exact"/>
            </w:pPr>
            <w:r w:rsidRPr="00441B3C">
              <w:rPr>
                <w:rFonts w:ascii="Times New Roman" w:hAnsi="Times New Roman" w:cs="Times New Roman"/>
                <w:sz w:val="20"/>
              </w:rPr>
              <w:t>Original: English</w:t>
            </w:r>
          </w:p>
        </w:tc>
      </w:tr>
    </w:tbl>
    <w:p w14:paraId="7C0BF13C" w14:textId="64C2879B" w:rsidR="00F72C65" w:rsidRPr="00441B3C" w:rsidRDefault="00F72C65" w:rsidP="00D2132B">
      <w:pPr>
        <w:suppressAutoHyphens/>
        <w:spacing w:before="120" w:after="0" w:line="240" w:lineRule="atLeast"/>
        <w:ind w:left="-284"/>
        <w:rPr>
          <w:rFonts w:ascii="Times New Roman" w:eastAsia="Times New Roman" w:hAnsi="Times New Roman" w:cs="Times New Roman"/>
          <w:b/>
          <w:sz w:val="20"/>
          <w:szCs w:val="20"/>
        </w:rPr>
      </w:pPr>
      <w:r w:rsidRPr="00441B3C">
        <w:rPr>
          <w:rFonts w:ascii="Times New Roman" w:eastAsia="Times New Roman" w:hAnsi="Times New Roman" w:cs="Times New Roman"/>
          <w:b/>
          <w:sz w:val="20"/>
          <w:szCs w:val="20"/>
        </w:rPr>
        <w:t>Human Rights Council</w:t>
      </w:r>
      <w:r w:rsidRPr="00441B3C">
        <w:rPr>
          <w:rFonts w:ascii="Times New Roman" w:eastAsia="Times New Roman" w:hAnsi="Times New Roman" w:cs="Times New Roman"/>
          <w:b/>
          <w:sz w:val="20"/>
          <w:szCs w:val="20"/>
        </w:rPr>
        <w:br/>
        <w:t xml:space="preserve">Thirty-seventh session </w:t>
      </w:r>
      <w:r w:rsidRPr="00441B3C">
        <w:rPr>
          <w:rFonts w:ascii="Times New Roman" w:eastAsia="Times New Roman" w:hAnsi="Times New Roman" w:cs="Times New Roman"/>
          <w:b/>
          <w:sz w:val="20"/>
          <w:szCs w:val="20"/>
        </w:rPr>
        <w:br/>
      </w:r>
      <w:r w:rsidR="0011606B">
        <w:rPr>
          <w:rFonts w:ascii="Times New Roman" w:eastAsia="Times New Roman" w:hAnsi="Times New Roman" w:cs="Times New Roman"/>
          <w:sz w:val="20"/>
          <w:szCs w:val="20"/>
        </w:rPr>
        <w:t xml:space="preserve">Agenda item </w:t>
      </w:r>
      <w:proofErr w:type="gramStart"/>
      <w:r w:rsidR="0011606B">
        <w:rPr>
          <w:rFonts w:ascii="Times New Roman" w:eastAsia="Times New Roman" w:hAnsi="Times New Roman" w:cs="Times New Roman"/>
          <w:sz w:val="20"/>
          <w:szCs w:val="20"/>
        </w:rPr>
        <w:t>2</w:t>
      </w:r>
      <w:proofErr w:type="gramEnd"/>
      <w:r w:rsidR="0011606B">
        <w:rPr>
          <w:rFonts w:ascii="Times New Roman" w:eastAsia="Times New Roman" w:hAnsi="Times New Roman" w:cs="Times New Roman"/>
          <w:sz w:val="20"/>
          <w:szCs w:val="20"/>
        </w:rPr>
        <w:t xml:space="preserve"> and </w:t>
      </w:r>
      <w:r w:rsidRPr="00441B3C">
        <w:rPr>
          <w:rFonts w:ascii="Times New Roman" w:eastAsia="Times New Roman" w:hAnsi="Times New Roman" w:cs="Times New Roman"/>
          <w:sz w:val="20"/>
          <w:szCs w:val="20"/>
        </w:rPr>
        <w:t>7</w:t>
      </w:r>
    </w:p>
    <w:p w14:paraId="7132982F" w14:textId="77777777" w:rsidR="00F72C65" w:rsidRPr="00441B3C" w:rsidRDefault="00F72C65" w:rsidP="00D2132B">
      <w:pPr>
        <w:suppressAutoHyphens/>
        <w:spacing w:after="0" w:line="200" w:lineRule="atLeast"/>
        <w:ind w:left="-284"/>
        <w:jc w:val="both"/>
        <w:rPr>
          <w:rFonts w:ascii="Times New Roman" w:eastAsia="Times New Roman" w:hAnsi="Times New Roman" w:cs="Times New Roman"/>
          <w:b/>
          <w:sz w:val="20"/>
          <w:szCs w:val="20"/>
        </w:rPr>
      </w:pPr>
      <w:r w:rsidRPr="00441B3C">
        <w:rPr>
          <w:rFonts w:ascii="Times New Roman" w:eastAsia="Times New Roman" w:hAnsi="Times New Roman" w:cs="Times New Roman"/>
          <w:b/>
          <w:sz w:val="20"/>
          <w:szCs w:val="20"/>
        </w:rPr>
        <w:t xml:space="preserve">Annual report of the United Nations High Commissioner </w:t>
      </w:r>
    </w:p>
    <w:p w14:paraId="3D0539FC" w14:textId="77777777" w:rsidR="00F72C65" w:rsidRPr="00441B3C" w:rsidRDefault="00F72C65" w:rsidP="00D2132B">
      <w:pPr>
        <w:suppressAutoHyphens/>
        <w:spacing w:after="0" w:line="200" w:lineRule="atLeast"/>
        <w:ind w:left="-284"/>
        <w:jc w:val="both"/>
        <w:rPr>
          <w:rFonts w:ascii="Times New Roman" w:eastAsia="Times New Roman" w:hAnsi="Times New Roman" w:cs="Times New Roman"/>
          <w:b/>
          <w:sz w:val="20"/>
          <w:szCs w:val="20"/>
        </w:rPr>
      </w:pPr>
      <w:proofErr w:type="gramStart"/>
      <w:r w:rsidRPr="00441B3C">
        <w:rPr>
          <w:rFonts w:ascii="Times New Roman" w:eastAsia="Times New Roman" w:hAnsi="Times New Roman" w:cs="Times New Roman"/>
          <w:b/>
          <w:sz w:val="20"/>
          <w:szCs w:val="20"/>
        </w:rPr>
        <w:t>for</w:t>
      </w:r>
      <w:proofErr w:type="gramEnd"/>
      <w:r w:rsidRPr="00441B3C">
        <w:rPr>
          <w:rFonts w:ascii="Times New Roman" w:eastAsia="Times New Roman" w:hAnsi="Times New Roman" w:cs="Times New Roman"/>
          <w:b/>
          <w:sz w:val="20"/>
          <w:szCs w:val="20"/>
        </w:rPr>
        <w:t xml:space="preserve"> Human Rights and reports of the Office of the</w:t>
      </w:r>
    </w:p>
    <w:p w14:paraId="0C8E5C94" w14:textId="77777777" w:rsidR="00F72C65" w:rsidRPr="00441B3C" w:rsidRDefault="00F72C65" w:rsidP="00D2132B">
      <w:pPr>
        <w:suppressAutoHyphens/>
        <w:spacing w:after="0" w:line="200" w:lineRule="atLeast"/>
        <w:ind w:left="-284"/>
        <w:jc w:val="both"/>
        <w:rPr>
          <w:rFonts w:ascii="Times New Roman" w:eastAsia="Times New Roman" w:hAnsi="Times New Roman" w:cs="Times New Roman"/>
          <w:b/>
          <w:sz w:val="20"/>
          <w:szCs w:val="20"/>
        </w:rPr>
      </w:pPr>
      <w:r w:rsidRPr="00441B3C">
        <w:rPr>
          <w:rFonts w:ascii="Times New Roman" w:eastAsia="Times New Roman" w:hAnsi="Times New Roman" w:cs="Times New Roman"/>
          <w:b/>
          <w:sz w:val="20"/>
          <w:szCs w:val="20"/>
        </w:rPr>
        <w:t xml:space="preserve">High Commissioner and the Secretary-General </w:t>
      </w:r>
      <w:bookmarkStart w:id="0" w:name="_GoBack"/>
      <w:bookmarkEnd w:id="0"/>
    </w:p>
    <w:p w14:paraId="4C82600C" w14:textId="77777777" w:rsidR="00F72C65" w:rsidRPr="00441B3C" w:rsidRDefault="00F72C65" w:rsidP="00D2132B">
      <w:pPr>
        <w:suppressAutoHyphens/>
        <w:spacing w:after="0" w:line="200" w:lineRule="atLeast"/>
        <w:ind w:left="-284"/>
        <w:jc w:val="both"/>
        <w:rPr>
          <w:rFonts w:ascii="Times New Roman" w:eastAsia="Times New Roman" w:hAnsi="Times New Roman" w:cs="Times New Roman"/>
          <w:b/>
          <w:sz w:val="20"/>
          <w:szCs w:val="20"/>
        </w:rPr>
      </w:pPr>
    </w:p>
    <w:p w14:paraId="40AB94BC" w14:textId="77777777" w:rsidR="00F72C65" w:rsidRPr="00441B3C" w:rsidRDefault="00F72C65" w:rsidP="00D2132B">
      <w:pPr>
        <w:suppressAutoHyphens/>
        <w:spacing w:after="0" w:line="200" w:lineRule="atLeast"/>
        <w:ind w:left="-284"/>
        <w:jc w:val="both"/>
        <w:rPr>
          <w:rFonts w:ascii="Times New Roman" w:eastAsia="Times New Roman" w:hAnsi="Times New Roman" w:cs="Times New Roman"/>
          <w:b/>
          <w:sz w:val="20"/>
          <w:szCs w:val="20"/>
        </w:rPr>
      </w:pPr>
      <w:r w:rsidRPr="00441B3C">
        <w:rPr>
          <w:rFonts w:ascii="Times New Roman" w:eastAsia="Times New Roman" w:hAnsi="Times New Roman" w:cs="Times New Roman"/>
          <w:b/>
          <w:sz w:val="20"/>
          <w:szCs w:val="20"/>
        </w:rPr>
        <w:t xml:space="preserve">Human rights situation in Palestine and other </w:t>
      </w:r>
    </w:p>
    <w:p w14:paraId="1175CB1D" w14:textId="77777777" w:rsidR="00F72C65" w:rsidRPr="00441B3C" w:rsidRDefault="00F72C65" w:rsidP="00D2132B">
      <w:pPr>
        <w:suppressAutoHyphens/>
        <w:spacing w:after="0" w:line="200" w:lineRule="atLeast"/>
        <w:ind w:left="-284"/>
        <w:jc w:val="both"/>
        <w:rPr>
          <w:rFonts w:ascii="Times New Roman" w:eastAsia="Times New Roman" w:hAnsi="Times New Roman" w:cs="Times New Roman"/>
          <w:b/>
          <w:sz w:val="20"/>
          <w:szCs w:val="20"/>
        </w:rPr>
      </w:pPr>
      <w:proofErr w:type="gramStart"/>
      <w:r w:rsidRPr="00441B3C">
        <w:rPr>
          <w:rFonts w:ascii="Times New Roman" w:eastAsia="Times New Roman" w:hAnsi="Times New Roman" w:cs="Times New Roman"/>
          <w:b/>
          <w:sz w:val="20"/>
          <w:szCs w:val="20"/>
        </w:rPr>
        <w:t>occupied</w:t>
      </w:r>
      <w:proofErr w:type="gramEnd"/>
      <w:r w:rsidRPr="00441B3C">
        <w:rPr>
          <w:rFonts w:ascii="Times New Roman" w:eastAsia="Times New Roman" w:hAnsi="Times New Roman" w:cs="Times New Roman"/>
          <w:b/>
          <w:sz w:val="20"/>
          <w:szCs w:val="20"/>
        </w:rPr>
        <w:t xml:space="preserve"> Arab territories</w:t>
      </w:r>
    </w:p>
    <w:p w14:paraId="6EFDD0B4" w14:textId="41B7D6F6" w:rsidR="00F72C65" w:rsidRPr="00441B3C" w:rsidRDefault="00F72C65" w:rsidP="00441B3C">
      <w:pPr>
        <w:keepNext/>
        <w:keepLines/>
        <w:tabs>
          <w:tab w:val="right" w:pos="851"/>
        </w:tabs>
        <w:suppressAutoHyphens/>
        <w:spacing w:before="240" w:after="240" w:line="360" w:lineRule="exact"/>
        <w:ind w:left="1134" w:right="1134" w:hanging="1134"/>
        <w:rPr>
          <w:rFonts w:ascii="Times New Roman" w:eastAsia="Times New Roman" w:hAnsi="Times New Roman" w:cs="Times New Roman"/>
          <w:b/>
          <w:sz w:val="28"/>
          <w:szCs w:val="28"/>
        </w:rPr>
      </w:pPr>
      <w:r w:rsidRPr="00441B3C">
        <w:rPr>
          <w:rFonts w:ascii="Times New Roman" w:eastAsia="Times New Roman" w:hAnsi="Times New Roman" w:cs="Times New Roman"/>
          <w:b/>
          <w:sz w:val="34"/>
          <w:szCs w:val="20"/>
        </w:rPr>
        <w:tab/>
      </w:r>
      <w:r w:rsidRPr="00441B3C">
        <w:rPr>
          <w:rFonts w:ascii="Times New Roman" w:eastAsia="Times New Roman" w:hAnsi="Times New Roman" w:cs="Times New Roman"/>
          <w:b/>
          <w:sz w:val="34"/>
          <w:szCs w:val="20"/>
        </w:rPr>
        <w:tab/>
      </w:r>
      <w:r w:rsidRPr="00441B3C">
        <w:rPr>
          <w:rFonts w:ascii="Times New Roman" w:eastAsia="Times New Roman" w:hAnsi="Times New Roman" w:cs="Times New Roman"/>
          <w:b/>
          <w:bCs/>
          <w:sz w:val="28"/>
          <w:szCs w:val="28"/>
        </w:rPr>
        <w:t>Ensuring accountability and justice for all violations of international law in the Occupied Palestinian Terri</w:t>
      </w:r>
      <w:r w:rsidR="0011606B">
        <w:rPr>
          <w:rFonts w:ascii="Times New Roman" w:eastAsia="Times New Roman" w:hAnsi="Times New Roman" w:cs="Times New Roman"/>
          <w:b/>
          <w:bCs/>
          <w:sz w:val="28"/>
          <w:szCs w:val="28"/>
        </w:rPr>
        <w:t>tory, including East Jerusalem</w:t>
      </w:r>
    </w:p>
    <w:p w14:paraId="1A3C79F0" w14:textId="77777777" w:rsidR="00F72C65" w:rsidRPr="00441B3C" w:rsidRDefault="00F72C65" w:rsidP="00441B3C">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rPr>
      </w:pPr>
      <w:r w:rsidRPr="00441B3C">
        <w:rPr>
          <w:rFonts w:ascii="Times New Roman" w:eastAsia="Times New Roman" w:hAnsi="Times New Roman" w:cs="Times New Roman"/>
          <w:b/>
          <w:sz w:val="28"/>
          <w:szCs w:val="20"/>
        </w:rPr>
        <w:tab/>
      </w:r>
      <w:r w:rsidRPr="00441B3C">
        <w:rPr>
          <w:rFonts w:ascii="Times New Roman" w:eastAsia="Times New Roman" w:hAnsi="Times New Roman" w:cs="Times New Roman"/>
          <w:b/>
          <w:sz w:val="28"/>
          <w:szCs w:val="20"/>
        </w:rPr>
        <w:tab/>
        <w:t>Report of the United Nations High Commissioner for Human Rights</w:t>
      </w:r>
      <w:r w:rsidRPr="0011606B">
        <w:rPr>
          <w:rFonts w:ascii="Times New Roman" w:eastAsia="Times New Roman" w:hAnsi="Times New Roman" w:cs="Times New Roman"/>
          <w:sz w:val="20"/>
          <w:szCs w:val="20"/>
        </w:rPr>
        <w:footnoteReference w:customMarkFollows="1" w:id="1"/>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350"/>
      </w:tblGrid>
      <w:tr w:rsidR="00F72C65" w:rsidRPr="00441B3C" w14:paraId="39E319D0" w14:textId="77777777" w:rsidTr="00FE6798">
        <w:trPr>
          <w:jc w:val="center"/>
        </w:trPr>
        <w:tc>
          <w:tcPr>
            <w:tcW w:w="9637" w:type="dxa"/>
            <w:shd w:val="clear" w:color="auto" w:fill="auto"/>
          </w:tcPr>
          <w:p w14:paraId="1D1E9912" w14:textId="77777777" w:rsidR="00F72C65" w:rsidRPr="00441B3C" w:rsidRDefault="00F72C65" w:rsidP="00441B3C">
            <w:pPr>
              <w:suppressAutoHyphens/>
              <w:spacing w:before="240" w:after="120" w:line="240" w:lineRule="atLeast"/>
              <w:ind w:left="255"/>
              <w:rPr>
                <w:rFonts w:ascii="Times New Roman" w:eastAsia="Times New Roman" w:hAnsi="Times New Roman" w:cs="Times New Roman"/>
                <w:i/>
                <w:sz w:val="24"/>
                <w:szCs w:val="24"/>
              </w:rPr>
            </w:pPr>
            <w:r w:rsidRPr="00441B3C">
              <w:rPr>
                <w:rFonts w:ascii="Times New Roman" w:eastAsia="Times New Roman" w:hAnsi="Times New Roman" w:cs="Times New Roman"/>
                <w:i/>
                <w:sz w:val="24"/>
                <w:szCs w:val="24"/>
              </w:rPr>
              <w:t>Summary</w:t>
            </w:r>
          </w:p>
        </w:tc>
      </w:tr>
      <w:tr w:rsidR="00F72C65" w:rsidRPr="00441B3C" w14:paraId="43659814" w14:textId="77777777" w:rsidTr="00FE6798">
        <w:trPr>
          <w:jc w:val="center"/>
        </w:trPr>
        <w:tc>
          <w:tcPr>
            <w:tcW w:w="9637" w:type="dxa"/>
            <w:shd w:val="clear" w:color="auto" w:fill="auto"/>
          </w:tcPr>
          <w:p w14:paraId="586204F9" w14:textId="77777777" w:rsidR="00F72C65" w:rsidRPr="00441B3C" w:rsidRDefault="00F94C9E" w:rsidP="00441B3C">
            <w:pPr>
              <w:pStyle w:val="SingleTxtG"/>
              <w:kinsoku/>
              <w:overflowPunct/>
              <w:autoSpaceDE/>
              <w:autoSpaceDN/>
              <w:adjustRightInd/>
              <w:snapToGrid/>
              <w:ind w:firstLine="567"/>
              <w:rPr>
                <w:rFonts w:eastAsia="Times New Roman"/>
                <w:lang w:val="en-US"/>
              </w:rPr>
            </w:pPr>
            <w:proofErr w:type="gramStart"/>
            <w:r w:rsidRPr="00441B3C">
              <w:rPr>
                <w:rFonts w:eastAsia="Times New Roman"/>
                <w:color w:val="000000"/>
                <w:lang w:val="en-US"/>
              </w:rPr>
              <w:t>The present report is submitted pursuant to Huma</w:t>
            </w:r>
            <w:r w:rsidR="00377068" w:rsidRPr="00441B3C">
              <w:rPr>
                <w:rFonts w:eastAsia="Times New Roman"/>
                <w:color w:val="000000"/>
                <w:lang w:val="en-US"/>
              </w:rPr>
              <w:t>n Rights Council resolution 34/2</w:t>
            </w:r>
            <w:r w:rsidRPr="00441B3C">
              <w:rPr>
                <w:rFonts w:eastAsia="Times New Roman"/>
                <w:color w:val="000000"/>
                <w:lang w:val="en-US"/>
              </w:rPr>
              <w:t>8 and provides an overview of the implementation of the resolution with specific reference to the recommendations of the United Nations independent international fact-finding mission to investigate the implications of Israeli settlements on the rights of the Palestinian people in the Occupied Palestinian Territory and the United Nations Fact-Finding Mission on the Gaza Conflict.</w:t>
            </w:r>
            <w:proofErr w:type="gramEnd"/>
          </w:p>
        </w:tc>
      </w:tr>
      <w:tr w:rsidR="00F72C65" w:rsidRPr="00441B3C" w14:paraId="1C5B9DA0" w14:textId="77777777" w:rsidTr="00FE6798">
        <w:trPr>
          <w:jc w:val="center"/>
        </w:trPr>
        <w:tc>
          <w:tcPr>
            <w:tcW w:w="9637" w:type="dxa"/>
            <w:shd w:val="clear" w:color="auto" w:fill="auto"/>
          </w:tcPr>
          <w:p w14:paraId="2B880604" w14:textId="77777777" w:rsidR="00F72C65" w:rsidRPr="00441B3C" w:rsidRDefault="00F72C65" w:rsidP="00441B3C">
            <w:pPr>
              <w:suppressAutoHyphens/>
              <w:spacing w:after="0" w:line="240" w:lineRule="atLeast"/>
              <w:rPr>
                <w:rFonts w:ascii="Times New Roman" w:eastAsia="Times New Roman" w:hAnsi="Times New Roman" w:cs="Times New Roman"/>
                <w:sz w:val="20"/>
                <w:szCs w:val="20"/>
              </w:rPr>
            </w:pPr>
          </w:p>
        </w:tc>
      </w:tr>
    </w:tbl>
    <w:p w14:paraId="01BAB242" w14:textId="77777777" w:rsidR="00E32138" w:rsidRPr="00441B3C" w:rsidRDefault="00E32138" w:rsidP="00441B3C">
      <w:pPr>
        <w:pStyle w:val="HChG"/>
        <w:jc w:val="both"/>
        <w:rPr>
          <w:lang w:val="en-US"/>
        </w:rPr>
      </w:pPr>
    </w:p>
    <w:p w14:paraId="72554B1E" w14:textId="77777777" w:rsidR="00E32138" w:rsidRPr="00441B3C" w:rsidRDefault="00E32138" w:rsidP="00441B3C">
      <w:pPr>
        <w:rPr>
          <w:rFonts w:ascii="Times New Roman" w:hAnsi="Times New Roman" w:cs="Times New Roman"/>
          <w:b/>
          <w:sz w:val="28"/>
          <w:szCs w:val="20"/>
        </w:rPr>
      </w:pPr>
      <w:r w:rsidRPr="00441B3C">
        <w:br w:type="page"/>
      </w:r>
    </w:p>
    <w:p w14:paraId="4D2FA022" w14:textId="0DD61EA5" w:rsidR="00361F17" w:rsidRPr="00441B3C" w:rsidRDefault="0011606B" w:rsidP="00441B3C">
      <w:pPr>
        <w:pStyle w:val="HChG"/>
        <w:jc w:val="both"/>
        <w:rPr>
          <w:lang w:val="en-US"/>
        </w:rPr>
      </w:pPr>
      <w:r>
        <w:rPr>
          <w:lang w:val="en-US"/>
        </w:rPr>
        <w:lastRenderedPageBreak/>
        <w:tab/>
        <w:t>I.</w:t>
      </w:r>
      <w:r w:rsidR="00120B5B" w:rsidRPr="00441B3C">
        <w:rPr>
          <w:lang w:val="en-US"/>
        </w:rPr>
        <w:tab/>
      </w:r>
      <w:r w:rsidR="00F72C65" w:rsidRPr="00441B3C">
        <w:rPr>
          <w:lang w:val="en-US"/>
        </w:rPr>
        <w:t>Introduction</w:t>
      </w:r>
    </w:p>
    <w:p w14:paraId="371F07DA" w14:textId="77777777" w:rsidR="00120B5B" w:rsidRPr="00441B3C" w:rsidRDefault="00120B5B" w:rsidP="001D62B8">
      <w:pPr>
        <w:pStyle w:val="SingleTxtG"/>
        <w:numPr>
          <w:ilvl w:val="0"/>
          <w:numId w:val="15"/>
        </w:numPr>
        <w:tabs>
          <w:tab w:val="left" w:pos="1701"/>
        </w:tabs>
        <w:ind w:left="1134" w:firstLine="0"/>
        <w:rPr>
          <w:bCs/>
          <w:lang w:val="en-US"/>
        </w:rPr>
      </w:pPr>
      <w:r w:rsidRPr="00441B3C">
        <w:rPr>
          <w:bCs/>
          <w:lang w:val="en-US"/>
        </w:rPr>
        <w:t xml:space="preserve">The present report of the United Nations High Commissioner for Human Rights </w:t>
      </w:r>
      <w:proofErr w:type="gramStart"/>
      <w:r w:rsidRPr="00441B3C">
        <w:rPr>
          <w:bCs/>
          <w:lang w:val="en-US"/>
        </w:rPr>
        <w:t>is submitted</w:t>
      </w:r>
      <w:proofErr w:type="gramEnd"/>
      <w:r w:rsidRPr="00441B3C">
        <w:rPr>
          <w:bCs/>
          <w:lang w:val="en-US"/>
        </w:rPr>
        <w:t xml:space="preserve"> pursuant to resolution 3</w:t>
      </w:r>
      <w:r w:rsidR="00105593" w:rsidRPr="00441B3C">
        <w:rPr>
          <w:bCs/>
          <w:lang w:val="en-US"/>
        </w:rPr>
        <w:t>4</w:t>
      </w:r>
      <w:r w:rsidRPr="00441B3C">
        <w:rPr>
          <w:bCs/>
          <w:lang w:val="en-US"/>
        </w:rPr>
        <w:t>/</w:t>
      </w:r>
      <w:r w:rsidR="00105593" w:rsidRPr="00441B3C">
        <w:rPr>
          <w:bCs/>
          <w:lang w:val="en-US"/>
        </w:rPr>
        <w:t>28</w:t>
      </w:r>
      <w:r w:rsidRPr="00441B3C">
        <w:rPr>
          <w:bCs/>
          <w:lang w:val="en-US"/>
        </w:rPr>
        <w:t>, adopted by the Human Rights Council on 2</w:t>
      </w:r>
      <w:r w:rsidR="00105593" w:rsidRPr="00441B3C">
        <w:rPr>
          <w:bCs/>
          <w:lang w:val="en-US"/>
        </w:rPr>
        <w:t>1</w:t>
      </w:r>
      <w:r w:rsidRPr="00441B3C">
        <w:rPr>
          <w:bCs/>
          <w:lang w:val="en-US"/>
        </w:rPr>
        <w:t xml:space="preserve"> March 201</w:t>
      </w:r>
      <w:r w:rsidR="00105593" w:rsidRPr="00441B3C">
        <w:rPr>
          <w:bCs/>
          <w:lang w:val="en-US"/>
        </w:rPr>
        <w:t>7</w:t>
      </w:r>
      <w:r w:rsidRPr="00441B3C">
        <w:rPr>
          <w:bCs/>
          <w:lang w:val="en-US"/>
        </w:rPr>
        <w:t xml:space="preserve">. </w:t>
      </w:r>
      <w:proofErr w:type="gramStart"/>
      <w:r w:rsidR="00105593" w:rsidRPr="00441B3C">
        <w:rPr>
          <w:bCs/>
          <w:lang w:val="en-US"/>
        </w:rPr>
        <w:t xml:space="preserve">The resolution </w:t>
      </w:r>
      <w:r w:rsidRPr="00441B3C">
        <w:rPr>
          <w:bCs/>
          <w:lang w:val="en-US"/>
        </w:rPr>
        <w:t xml:space="preserve">requested the High Commissioner to </w:t>
      </w:r>
      <w:r w:rsidR="00CF76EC" w:rsidRPr="00441B3C">
        <w:rPr>
          <w:bCs/>
          <w:lang w:val="en-US"/>
        </w:rPr>
        <w:t>report on the implementation of the recommendations contained in</w:t>
      </w:r>
      <w:r w:rsidR="0066693E" w:rsidRPr="00441B3C">
        <w:rPr>
          <w:bCs/>
          <w:lang w:val="en-US"/>
        </w:rPr>
        <w:t>:</w:t>
      </w:r>
      <w:r w:rsidR="00CF76EC" w:rsidRPr="00441B3C">
        <w:rPr>
          <w:bCs/>
          <w:lang w:val="en-US"/>
        </w:rPr>
        <w:t xml:space="preserve"> the reports of the independent </w:t>
      </w:r>
      <w:r w:rsidR="00B454D4" w:rsidRPr="00441B3C">
        <w:rPr>
          <w:bCs/>
          <w:lang w:val="en-US"/>
        </w:rPr>
        <w:t>commission of inquiry on the 2014 Gaza conflict, the United Nations international fact-finding mission to investigate the implications of Israeli settlements on the civil, political economic, social and cultural rights of the Palestinian people throughout the Occupied Palestinian Territory, including East Jerusalem, and the United Nations Fact-Finding Mission on the Gaza conflict.</w:t>
      </w:r>
      <w:proofErr w:type="gramEnd"/>
      <w:r w:rsidR="00B454D4" w:rsidRPr="00441B3C">
        <w:rPr>
          <w:bCs/>
          <w:lang w:val="en-US"/>
        </w:rPr>
        <w:t xml:space="preserve"> </w:t>
      </w:r>
    </w:p>
    <w:p w14:paraId="3C7D0552" w14:textId="4844B1A0" w:rsidR="00CF76EC" w:rsidRPr="00441B3C" w:rsidRDefault="00ED2150" w:rsidP="001D62B8">
      <w:pPr>
        <w:pStyle w:val="SingleTxtG"/>
        <w:numPr>
          <w:ilvl w:val="0"/>
          <w:numId w:val="15"/>
        </w:numPr>
        <w:tabs>
          <w:tab w:val="left" w:pos="1701"/>
        </w:tabs>
        <w:ind w:left="1134" w:firstLine="0"/>
        <w:rPr>
          <w:bCs/>
          <w:lang w:val="en-US"/>
        </w:rPr>
      </w:pPr>
      <w:r w:rsidRPr="00441B3C">
        <w:rPr>
          <w:bCs/>
          <w:lang w:val="en-US"/>
        </w:rPr>
        <w:t xml:space="preserve">The </w:t>
      </w:r>
      <w:r w:rsidR="006A2A07" w:rsidRPr="00441B3C">
        <w:rPr>
          <w:bCs/>
          <w:lang w:val="en-US"/>
        </w:rPr>
        <w:t xml:space="preserve">present </w:t>
      </w:r>
      <w:r w:rsidRPr="00441B3C">
        <w:rPr>
          <w:bCs/>
          <w:lang w:val="en-US"/>
        </w:rPr>
        <w:t xml:space="preserve">report provides an overview of the most recent developments in relation to the implementation of the recommendations included in </w:t>
      </w:r>
      <w:r w:rsidR="00E32138" w:rsidRPr="00441B3C">
        <w:rPr>
          <w:bCs/>
          <w:lang w:val="en-US"/>
        </w:rPr>
        <w:t xml:space="preserve">the </w:t>
      </w:r>
      <w:r w:rsidR="00AD148F" w:rsidRPr="00441B3C">
        <w:rPr>
          <w:bCs/>
          <w:lang w:val="en-US"/>
        </w:rPr>
        <w:t xml:space="preserve">aforementioned </w:t>
      </w:r>
      <w:r w:rsidR="00E32138" w:rsidRPr="00441B3C">
        <w:rPr>
          <w:bCs/>
          <w:lang w:val="en-US"/>
        </w:rPr>
        <w:t xml:space="preserve">mentioned reports. </w:t>
      </w:r>
      <w:r w:rsidR="0080267F" w:rsidRPr="00441B3C">
        <w:rPr>
          <w:bCs/>
          <w:lang w:val="en-US"/>
        </w:rPr>
        <w:t>The report addresses i</w:t>
      </w:r>
      <w:r w:rsidR="00E32138" w:rsidRPr="00441B3C">
        <w:rPr>
          <w:bCs/>
          <w:lang w:val="en-US"/>
        </w:rPr>
        <w:t>ssues related to accountability for alleged violations</w:t>
      </w:r>
      <w:r w:rsidR="007A4CA2" w:rsidRPr="00441B3C">
        <w:rPr>
          <w:bCs/>
          <w:lang w:val="en-US"/>
        </w:rPr>
        <w:t xml:space="preserve"> </w:t>
      </w:r>
      <w:r w:rsidR="007340BE" w:rsidRPr="00441B3C">
        <w:rPr>
          <w:bCs/>
          <w:lang w:val="en-US"/>
        </w:rPr>
        <w:t xml:space="preserve">and abuses </w:t>
      </w:r>
      <w:r w:rsidR="00E32138" w:rsidRPr="00441B3C">
        <w:rPr>
          <w:bCs/>
          <w:lang w:val="en-US"/>
        </w:rPr>
        <w:t xml:space="preserve">of international human rights </w:t>
      </w:r>
      <w:r w:rsidR="00AD148F" w:rsidRPr="00441B3C">
        <w:rPr>
          <w:bCs/>
          <w:lang w:val="en-US"/>
        </w:rPr>
        <w:t xml:space="preserve">law, </w:t>
      </w:r>
      <w:r w:rsidR="00E32138" w:rsidRPr="00441B3C">
        <w:rPr>
          <w:bCs/>
          <w:lang w:val="en-US"/>
        </w:rPr>
        <w:t>and</w:t>
      </w:r>
      <w:r w:rsidR="00AD148F" w:rsidRPr="00441B3C">
        <w:rPr>
          <w:bCs/>
          <w:lang w:val="en-US"/>
        </w:rPr>
        <w:t xml:space="preserve"> violations of international</w:t>
      </w:r>
      <w:r w:rsidR="00E32138" w:rsidRPr="00441B3C">
        <w:rPr>
          <w:bCs/>
          <w:lang w:val="en-US"/>
        </w:rPr>
        <w:t xml:space="preserve"> humanitarian law in connection with the 2014 escalation of hostilities in Gaza, </w:t>
      </w:r>
      <w:r w:rsidR="002D3584" w:rsidRPr="00441B3C">
        <w:rPr>
          <w:bCs/>
          <w:lang w:val="en-US"/>
        </w:rPr>
        <w:t>including</w:t>
      </w:r>
      <w:r w:rsidR="00E32138" w:rsidRPr="00441B3C">
        <w:rPr>
          <w:bCs/>
          <w:lang w:val="en-US"/>
        </w:rPr>
        <w:t xml:space="preserve"> accountability for the </w:t>
      </w:r>
      <w:r w:rsidR="0005241E" w:rsidRPr="00441B3C">
        <w:rPr>
          <w:bCs/>
          <w:lang w:val="en-US"/>
        </w:rPr>
        <w:t xml:space="preserve">excessive </w:t>
      </w:r>
      <w:r w:rsidR="00E32138" w:rsidRPr="00441B3C">
        <w:rPr>
          <w:bCs/>
          <w:lang w:val="en-US"/>
        </w:rPr>
        <w:t>use of force</w:t>
      </w:r>
      <w:r w:rsidR="005B5F1B" w:rsidRPr="00441B3C">
        <w:rPr>
          <w:bCs/>
          <w:lang w:val="en-US"/>
        </w:rPr>
        <w:t xml:space="preserve"> </w:t>
      </w:r>
      <w:r w:rsidR="0005241E" w:rsidRPr="00441B3C">
        <w:rPr>
          <w:bCs/>
          <w:lang w:val="en-US"/>
        </w:rPr>
        <w:t>within the scope of law enforcement operations within the Occupied Palestinian Territory</w:t>
      </w:r>
      <w:r w:rsidR="00E32138" w:rsidRPr="00441B3C">
        <w:rPr>
          <w:bCs/>
          <w:lang w:val="en-US"/>
        </w:rPr>
        <w:t xml:space="preserve">. In addition, </w:t>
      </w:r>
      <w:r w:rsidR="00645CBE" w:rsidRPr="00441B3C">
        <w:rPr>
          <w:bCs/>
          <w:lang w:val="en-US"/>
        </w:rPr>
        <w:t>pursuant to operative paragraph 7 of the resolution</w:t>
      </w:r>
      <w:r w:rsidR="00E879E2" w:rsidRPr="00441B3C">
        <w:rPr>
          <w:bCs/>
          <w:lang w:val="en-US"/>
        </w:rPr>
        <w:t>,</w:t>
      </w:r>
      <w:r w:rsidR="003062F7" w:rsidRPr="00441B3C">
        <w:rPr>
          <w:bCs/>
          <w:lang w:val="en-US"/>
        </w:rPr>
        <w:t xml:space="preserve"> which highlights concerns about human rights defenders and civil society actors advocating for accountability</w:t>
      </w:r>
      <w:r w:rsidR="00645CBE" w:rsidRPr="00441B3C">
        <w:rPr>
          <w:bCs/>
          <w:lang w:val="en-US"/>
        </w:rPr>
        <w:t xml:space="preserve">, </w:t>
      </w:r>
      <w:r w:rsidR="00E32138" w:rsidRPr="00441B3C">
        <w:rPr>
          <w:bCs/>
          <w:lang w:val="en-US"/>
        </w:rPr>
        <w:t xml:space="preserve">the report examines the situation of human rights defenders, including legislation and actions that have restricted their work during the reporting period. Finally, the report </w:t>
      </w:r>
      <w:r w:rsidR="0080267F" w:rsidRPr="00441B3C">
        <w:rPr>
          <w:bCs/>
          <w:lang w:val="en-US"/>
        </w:rPr>
        <w:t xml:space="preserve">examines </w:t>
      </w:r>
      <w:r w:rsidR="0094471A" w:rsidRPr="00441B3C">
        <w:rPr>
          <w:bCs/>
          <w:lang w:val="en-US"/>
        </w:rPr>
        <w:t xml:space="preserve">the responsibility of </w:t>
      </w:r>
      <w:r w:rsidR="00E32138" w:rsidRPr="00441B3C">
        <w:rPr>
          <w:bCs/>
          <w:lang w:val="en-US"/>
        </w:rPr>
        <w:t xml:space="preserve">third </w:t>
      </w:r>
      <w:r w:rsidR="0094471A" w:rsidRPr="00441B3C">
        <w:rPr>
          <w:bCs/>
          <w:lang w:val="en-US"/>
        </w:rPr>
        <w:t>S</w:t>
      </w:r>
      <w:r w:rsidR="00E32138" w:rsidRPr="00441B3C">
        <w:rPr>
          <w:bCs/>
          <w:lang w:val="en-US"/>
        </w:rPr>
        <w:t>tate</w:t>
      </w:r>
      <w:r w:rsidR="0094471A" w:rsidRPr="00441B3C">
        <w:rPr>
          <w:bCs/>
          <w:lang w:val="en-US"/>
        </w:rPr>
        <w:t>s</w:t>
      </w:r>
      <w:r w:rsidR="00E32138" w:rsidRPr="00441B3C">
        <w:rPr>
          <w:bCs/>
          <w:lang w:val="en-US"/>
        </w:rPr>
        <w:t xml:space="preserve"> </w:t>
      </w:r>
      <w:r w:rsidR="0094471A" w:rsidRPr="00441B3C">
        <w:rPr>
          <w:bCs/>
          <w:lang w:val="en-US"/>
        </w:rPr>
        <w:t xml:space="preserve">to ensure </w:t>
      </w:r>
      <w:r w:rsidR="00E32138" w:rsidRPr="00441B3C">
        <w:rPr>
          <w:bCs/>
          <w:lang w:val="en-US"/>
        </w:rPr>
        <w:t xml:space="preserve">respect </w:t>
      </w:r>
      <w:r w:rsidR="00EF692B" w:rsidRPr="00441B3C">
        <w:rPr>
          <w:bCs/>
          <w:lang w:val="en-US"/>
        </w:rPr>
        <w:t>for</w:t>
      </w:r>
      <w:r w:rsidR="00E32138" w:rsidRPr="00441B3C">
        <w:rPr>
          <w:bCs/>
          <w:lang w:val="en-US"/>
        </w:rPr>
        <w:t xml:space="preserve"> international human rights and humanitarian law. </w:t>
      </w:r>
    </w:p>
    <w:p w14:paraId="2341ED70" w14:textId="0E5F3247" w:rsidR="0080267F" w:rsidRPr="00441B3C" w:rsidRDefault="006A2A07" w:rsidP="001D62B8">
      <w:pPr>
        <w:pStyle w:val="SingleTxtG"/>
        <w:numPr>
          <w:ilvl w:val="0"/>
          <w:numId w:val="15"/>
        </w:numPr>
        <w:tabs>
          <w:tab w:val="left" w:pos="1701"/>
        </w:tabs>
        <w:ind w:left="1134" w:firstLine="0"/>
        <w:rPr>
          <w:bCs/>
          <w:lang w:val="en-US"/>
        </w:rPr>
      </w:pPr>
      <w:r w:rsidRPr="00441B3C">
        <w:rPr>
          <w:bCs/>
          <w:lang w:val="en-US"/>
        </w:rPr>
        <w:t xml:space="preserve">This report should be read in conjunction with the detailed report </w:t>
      </w:r>
      <w:r w:rsidR="0080267F" w:rsidRPr="00441B3C">
        <w:rPr>
          <w:bCs/>
          <w:lang w:val="en-US"/>
        </w:rPr>
        <w:t>of the High C</w:t>
      </w:r>
      <w:r w:rsidRPr="00441B3C">
        <w:rPr>
          <w:bCs/>
          <w:lang w:val="en-US"/>
        </w:rPr>
        <w:t>ommissioner</w:t>
      </w:r>
      <w:bookmarkStart w:id="1" w:name="_Toc484690563"/>
      <w:bookmarkStart w:id="2" w:name="_Toc484792626"/>
      <w:r w:rsidRPr="00441B3C">
        <w:rPr>
          <w:bCs/>
          <w:lang w:val="en-US"/>
        </w:rPr>
        <w:t xml:space="preserve"> for Human Rights</w:t>
      </w:r>
      <w:r w:rsidR="0080267F" w:rsidRPr="00441B3C">
        <w:rPr>
          <w:bCs/>
          <w:lang w:val="en-US"/>
        </w:rPr>
        <w:t xml:space="preserve"> </w:t>
      </w:r>
      <w:r w:rsidRPr="00441B3C">
        <w:rPr>
          <w:bCs/>
          <w:lang w:val="en-US"/>
        </w:rPr>
        <w:t>entitled “Ensuring accountability and justice for all violations of international law in the Occupied Palestinian Territory, including East Jerusalem: comprehensive review on the status of recommendations addressed to all parties since 2009</w:t>
      </w:r>
      <w:bookmarkEnd w:id="1"/>
      <w:bookmarkEnd w:id="2"/>
      <w:r w:rsidRPr="00441B3C">
        <w:rPr>
          <w:bCs/>
          <w:lang w:val="en-US"/>
        </w:rPr>
        <w:t xml:space="preserve">” (A/HRC/35/19). </w:t>
      </w:r>
      <w:proofErr w:type="gramStart"/>
      <w:r w:rsidR="00D92CE4" w:rsidRPr="00441B3C">
        <w:rPr>
          <w:bCs/>
          <w:lang w:val="en-US"/>
        </w:rPr>
        <w:t>Based on the review</w:t>
      </w:r>
      <w:r w:rsidR="0080267F" w:rsidRPr="00441B3C">
        <w:rPr>
          <w:bCs/>
          <w:lang w:val="en-US"/>
        </w:rPr>
        <w:t xml:space="preserve"> of over 900 </w:t>
      </w:r>
      <w:r w:rsidR="00B71E6E" w:rsidRPr="00441B3C">
        <w:rPr>
          <w:bCs/>
          <w:lang w:val="en-US"/>
        </w:rPr>
        <w:t>recommendations made by</w:t>
      </w:r>
      <w:r w:rsidR="007A4CA2" w:rsidRPr="00441B3C">
        <w:rPr>
          <w:bCs/>
          <w:lang w:val="en-US"/>
        </w:rPr>
        <w:t xml:space="preserve"> international</w:t>
      </w:r>
      <w:r w:rsidR="00B71E6E" w:rsidRPr="00441B3C">
        <w:rPr>
          <w:bCs/>
          <w:lang w:val="en-US"/>
        </w:rPr>
        <w:t xml:space="preserve"> human rights mechanisms between 2009 and </w:t>
      </w:r>
      <w:r w:rsidR="00174E56" w:rsidRPr="00441B3C">
        <w:rPr>
          <w:bCs/>
          <w:lang w:val="en-US"/>
        </w:rPr>
        <w:t>March 2017</w:t>
      </w:r>
      <w:r w:rsidR="00B71E6E" w:rsidRPr="00441B3C">
        <w:rPr>
          <w:bCs/>
          <w:lang w:val="en-US"/>
        </w:rPr>
        <w:t>,</w:t>
      </w:r>
      <w:r w:rsidRPr="00441B3C">
        <w:rPr>
          <w:bCs/>
          <w:lang w:val="en-US"/>
        </w:rPr>
        <w:t xml:space="preserve"> </w:t>
      </w:r>
      <w:r w:rsidR="0080267F" w:rsidRPr="00441B3C">
        <w:rPr>
          <w:bCs/>
          <w:lang w:val="en-US"/>
        </w:rPr>
        <w:t>the report noted that m</w:t>
      </w:r>
      <w:r w:rsidR="00B71E6E" w:rsidRPr="00441B3C">
        <w:rPr>
          <w:bCs/>
          <w:lang w:val="en-US"/>
        </w:rPr>
        <w:t xml:space="preserve">ost were addressed to Israel, </w:t>
      </w:r>
      <w:r w:rsidR="00656199" w:rsidRPr="00441B3C">
        <w:rPr>
          <w:bCs/>
          <w:lang w:val="en-US"/>
        </w:rPr>
        <w:t>but</w:t>
      </w:r>
      <w:r w:rsidR="0080267F" w:rsidRPr="00441B3C">
        <w:rPr>
          <w:bCs/>
          <w:lang w:val="en-US"/>
        </w:rPr>
        <w:t xml:space="preserve"> </w:t>
      </w:r>
      <w:r w:rsidR="00B71E6E" w:rsidRPr="00441B3C">
        <w:rPr>
          <w:bCs/>
          <w:lang w:val="en-US"/>
        </w:rPr>
        <w:t xml:space="preserve">some to the Government of the State of Palestine and other Palestinian duty bearers, as well as to the United Nations, </w:t>
      </w:r>
      <w:r w:rsidR="0080267F" w:rsidRPr="00441B3C">
        <w:rPr>
          <w:bCs/>
          <w:lang w:val="en-US"/>
        </w:rPr>
        <w:t xml:space="preserve">Member </w:t>
      </w:r>
      <w:r w:rsidR="00B71E6E" w:rsidRPr="00441B3C">
        <w:rPr>
          <w:bCs/>
          <w:lang w:val="en-US"/>
        </w:rPr>
        <w:t>States of the United Nations, businesses, civil society and the international community.</w:t>
      </w:r>
      <w:r w:rsidR="00B71E6E" w:rsidRPr="00441B3C">
        <w:rPr>
          <w:bCs/>
          <w:vertAlign w:val="superscript"/>
          <w:lang w:val="en-US"/>
        </w:rPr>
        <w:footnoteReference w:id="2"/>
      </w:r>
      <w:proofErr w:type="gramEnd"/>
      <w:r w:rsidR="00B71E6E" w:rsidRPr="00441B3C">
        <w:rPr>
          <w:bCs/>
          <w:lang w:val="en-US"/>
        </w:rPr>
        <w:t xml:space="preserve"> </w:t>
      </w:r>
      <w:r w:rsidR="0080267F" w:rsidRPr="00441B3C">
        <w:rPr>
          <w:bCs/>
          <w:lang w:val="en-US"/>
        </w:rPr>
        <w:t>T</w:t>
      </w:r>
      <w:r w:rsidR="00A32AE5" w:rsidRPr="00441B3C">
        <w:rPr>
          <w:bCs/>
          <w:lang w:val="en-US"/>
        </w:rPr>
        <w:t>he report concluded that the overall rate for “full implementation” of the recommendations by the parties was extremely low, at 0.4</w:t>
      </w:r>
      <w:r w:rsidR="0080267F" w:rsidRPr="00441B3C">
        <w:rPr>
          <w:bCs/>
          <w:lang w:val="en-US"/>
        </w:rPr>
        <w:t xml:space="preserve"> per cent </w:t>
      </w:r>
      <w:r w:rsidR="00A32AE5" w:rsidRPr="00441B3C">
        <w:rPr>
          <w:bCs/>
          <w:lang w:val="en-US"/>
        </w:rPr>
        <w:t>for Israel and 1.3</w:t>
      </w:r>
      <w:r w:rsidR="0080267F" w:rsidRPr="00441B3C">
        <w:rPr>
          <w:bCs/>
          <w:lang w:val="en-US"/>
        </w:rPr>
        <w:t xml:space="preserve"> per cent </w:t>
      </w:r>
      <w:r w:rsidR="00A32AE5" w:rsidRPr="00441B3C">
        <w:rPr>
          <w:bCs/>
          <w:lang w:val="en-US"/>
        </w:rPr>
        <w:t>for Palestinian duty bearers.</w:t>
      </w:r>
      <w:r w:rsidR="00A32AE5" w:rsidRPr="00441B3C">
        <w:rPr>
          <w:bCs/>
          <w:vertAlign w:val="superscript"/>
          <w:lang w:val="en-US"/>
        </w:rPr>
        <w:footnoteReference w:id="3"/>
      </w:r>
      <w:r w:rsidR="00A32AE5" w:rsidRPr="00441B3C">
        <w:rPr>
          <w:bCs/>
          <w:lang w:val="en-US"/>
        </w:rPr>
        <w:t xml:space="preserve"> </w:t>
      </w:r>
      <w:r w:rsidR="00D92CE4" w:rsidRPr="00441B3C">
        <w:rPr>
          <w:bCs/>
          <w:lang w:val="en-US"/>
        </w:rPr>
        <w:t>T</w:t>
      </w:r>
      <w:r w:rsidR="00A32AE5" w:rsidRPr="00441B3C">
        <w:rPr>
          <w:bCs/>
          <w:lang w:val="en-US"/>
        </w:rPr>
        <w:t xml:space="preserve">he overall rate of “full implementation” by the international community and the United Nations </w:t>
      </w:r>
      <w:r w:rsidR="0080267F" w:rsidRPr="00441B3C">
        <w:rPr>
          <w:bCs/>
          <w:lang w:val="en-US"/>
        </w:rPr>
        <w:t>stood</w:t>
      </w:r>
      <w:r w:rsidR="00A32AE5" w:rsidRPr="00441B3C">
        <w:rPr>
          <w:bCs/>
          <w:lang w:val="en-US"/>
        </w:rPr>
        <w:t xml:space="preserve"> at 17.9</w:t>
      </w:r>
      <w:r w:rsidR="00D92CE4" w:rsidRPr="00441B3C">
        <w:rPr>
          <w:bCs/>
          <w:lang w:val="en-US"/>
        </w:rPr>
        <w:t xml:space="preserve"> per cent</w:t>
      </w:r>
      <w:r w:rsidR="00A32AE5" w:rsidRPr="00441B3C">
        <w:rPr>
          <w:bCs/>
          <w:lang w:val="en-US"/>
        </w:rPr>
        <w:t xml:space="preserve">. </w:t>
      </w:r>
    </w:p>
    <w:p w14:paraId="333EA294" w14:textId="77777777" w:rsidR="0080267F" w:rsidRPr="00441B3C" w:rsidRDefault="00A32AE5" w:rsidP="001D62B8">
      <w:pPr>
        <w:pStyle w:val="SingleTxtG"/>
        <w:numPr>
          <w:ilvl w:val="0"/>
          <w:numId w:val="15"/>
        </w:numPr>
        <w:tabs>
          <w:tab w:val="left" w:pos="1701"/>
        </w:tabs>
        <w:ind w:left="1134" w:firstLine="0"/>
        <w:rPr>
          <w:bCs/>
          <w:lang w:val="en-US"/>
        </w:rPr>
      </w:pPr>
      <w:r w:rsidRPr="00441B3C">
        <w:rPr>
          <w:bCs/>
          <w:lang w:val="en-US"/>
        </w:rPr>
        <w:t>In the report, the High Commissioner proposed that Israel “make full use of OHCHR technical assistance to help with the implementation of the relevant recommendations, which includes the development of national mechanisms for reporting and following up on recommendations”</w:t>
      </w:r>
      <w:r w:rsidR="0080267F" w:rsidRPr="00441B3C">
        <w:rPr>
          <w:bCs/>
          <w:lang w:val="en-US"/>
        </w:rPr>
        <w:t xml:space="preserve">. He </w:t>
      </w:r>
      <w:r w:rsidRPr="00441B3C">
        <w:rPr>
          <w:bCs/>
          <w:lang w:val="en-US"/>
        </w:rPr>
        <w:t>also urged Israel to conduct prompt, impartial, and independent investigations of all alleged violations of international human rights law and all allegations of international crimes.</w:t>
      </w:r>
      <w:r w:rsidRPr="00441B3C">
        <w:rPr>
          <w:bCs/>
          <w:vertAlign w:val="superscript"/>
          <w:lang w:val="en-US"/>
        </w:rPr>
        <w:footnoteReference w:id="4"/>
      </w:r>
      <w:r w:rsidRPr="00441B3C">
        <w:rPr>
          <w:bCs/>
          <w:vertAlign w:val="superscript"/>
          <w:lang w:val="en-US"/>
        </w:rPr>
        <w:t xml:space="preserve"> </w:t>
      </w:r>
    </w:p>
    <w:p w14:paraId="04EFC6C9" w14:textId="77777777" w:rsidR="00355886" w:rsidRPr="00441B3C" w:rsidRDefault="009E5865" w:rsidP="001D62B8">
      <w:pPr>
        <w:pStyle w:val="SingleTxtG"/>
        <w:numPr>
          <w:ilvl w:val="0"/>
          <w:numId w:val="15"/>
        </w:numPr>
        <w:tabs>
          <w:tab w:val="left" w:pos="1701"/>
        </w:tabs>
        <w:ind w:left="1134" w:firstLine="0"/>
        <w:rPr>
          <w:bCs/>
          <w:lang w:val="en-US"/>
        </w:rPr>
      </w:pPr>
      <w:r w:rsidRPr="00441B3C">
        <w:rPr>
          <w:bCs/>
          <w:lang w:val="en-US"/>
        </w:rPr>
        <w:t xml:space="preserve">Similarly, the </w:t>
      </w:r>
      <w:r w:rsidR="00793597" w:rsidRPr="00441B3C">
        <w:rPr>
          <w:bCs/>
          <w:lang w:val="en-US"/>
        </w:rPr>
        <w:t xml:space="preserve">High Commissioner </w:t>
      </w:r>
      <w:r w:rsidRPr="00441B3C">
        <w:rPr>
          <w:bCs/>
          <w:lang w:val="en-US"/>
        </w:rPr>
        <w:t>urged t</w:t>
      </w:r>
      <w:r w:rsidR="00A32AE5" w:rsidRPr="00441B3C">
        <w:rPr>
          <w:bCs/>
          <w:lang w:val="en-US"/>
        </w:rPr>
        <w:t>he</w:t>
      </w:r>
      <w:r w:rsidR="00AC2833" w:rsidRPr="00441B3C">
        <w:rPr>
          <w:bCs/>
          <w:lang w:val="en-US"/>
        </w:rPr>
        <w:t xml:space="preserve"> </w:t>
      </w:r>
      <w:r w:rsidR="00A32AE5" w:rsidRPr="00441B3C">
        <w:rPr>
          <w:bCs/>
          <w:lang w:val="en-US"/>
        </w:rPr>
        <w:t xml:space="preserve">State of Palestine to conduct prompt, impartial, and independent investigations of all alleged violations of international human rights law and all allegations of international crimes, and </w:t>
      </w:r>
      <w:r w:rsidR="00F94F94" w:rsidRPr="00441B3C">
        <w:rPr>
          <w:bCs/>
          <w:lang w:val="en-US"/>
        </w:rPr>
        <w:t xml:space="preserve">to </w:t>
      </w:r>
      <w:r w:rsidR="00A32AE5" w:rsidRPr="00441B3C">
        <w:rPr>
          <w:bCs/>
          <w:lang w:val="en-US"/>
        </w:rPr>
        <w:t xml:space="preserve">make full use of </w:t>
      </w:r>
      <w:r w:rsidR="00D92CE4" w:rsidRPr="00441B3C">
        <w:rPr>
          <w:bCs/>
          <w:lang w:val="en-US"/>
        </w:rPr>
        <w:t xml:space="preserve">OHCHR </w:t>
      </w:r>
      <w:r w:rsidR="00A32AE5" w:rsidRPr="00441B3C">
        <w:rPr>
          <w:bCs/>
          <w:lang w:val="en-US"/>
        </w:rPr>
        <w:t>technical assistance to help with the implementation of recommendations addressed to it.</w:t>
      </w:r>
      <w:r w:rsidR="00A32AE5" w:rsidRPr="00441B3C">
        <w:rPr>
          <w:bCs/>
          <w:vertAlign w:val="superscript"/>
          <w:lang w:val="en-US"/>
        </w:rPr>
        <w:footnoteReference w:id="5"/>
      </w:r>
      <w:r w:rsidR="00E42BEA" w:rsidRPr="00441B3C">
        <w:rPr>
          <w:bCs/>
          <w:lang w:val="en-US"/>
        </w:rPr>
        <w:t xml:space="preserve"> </w:t>
      </w:r>
    </w:p>
    <w:p w14:paraId="7DA9B747" w14:textId="77777777" w:rsidR="00085190" w:rsidRPr="00441B3C" w:rsidRDefault="00085190" w:rsidP="00441B3C">
      <w:pPr>
        <w:pStyle w:val="SingleTxtG"/>
        <w:numPr>
          <w:ilvl w:val="0"/>
          <w:numId w:val="15"/>
        </w:numPr>
        <w:tabs>
          <w:tab w:val="left" w:pos="1701"/>
        </w:tabs>
        <w:ind w:left="1134" w:right="855" w:firstLine="0"/>
        <w:rPr>
          <w:bCs/>
          <w:lang w:val="en-US"/>
        </w:rPr>
      </w:pPr>
      <w:r w:rsidRPr="00441B3C">
        <w:rPr>
          <w:bCs/>
          <w:lang w:val="en-US"/>
        </w:rPr>
        <w:lastRenderedPageBreak/>
        <w:t>The High Commissioner</w:t>
      </w:r>
      <w:r w:rsidR="0042174D" w:rsidRPr="00441B3C">
        <w:rPr>
          <w:bCs/>
          <w:lang w:val="en-US"/>
        </w:rPr>
        <w:t xml:space="preserve"> has previously</w:t>
      </w:r>
      <w:r w:rsidRPr="00441B3C">
        <w:rPr>
          <w:bCs/>
          <w:lang w:val="en-US"/>
        </w:rPr>
        <w:t xml:space="preserve"> t</w:t>
      </w:r>
      <w:r w:rsidR="0042174D" w:rsidRPr="00441B3C">
        <w:rPr>
          <w:bCs/>
          <w:lang w:val="en-US"/>
        </w:rPr>
        <w:t xml:space="preserve">aken </w:t>
      </w:r>
      <w:r w:rsidRPr="00441B3C">
        <w:rPr>
          <w:bCs/>
          <w:lang w:val="en-US"/>
        </w:rPr>
        <w:t xml:space="preserve">note of the preliminary examination launched by the Prosecutor of the International Criminal Court in January 2015 into the situation in Palestine to establish whether the Rome Statute criteria for opening an investigation </w:t>
      </w:r>
      <w:proofErr w:type="gramStart"/>
      <w:r w:rsidRPr="00441B3C">
        <w:rPr>
          <w:bCs/>
          <w:lang w:val="en-US"/>
        </w:rPr>
        <w:t>are met</w:t>
      </w:r>
      <w:proofErr w:type="gramEnd"/>
      <w:r w:rsidR="001A4EB3" w:rsidRPr="00441B3C">
        <w:rPr>
          <w:bCs/>
          <w:lang w:val="en-US"/>
        </w:rPr>
        <w:t xml:space="preserve">, and further notes the Office of the Prosecutor’s </w:t>
      </w:r>
      <w:r w:rsidR="006C7DBD" w:rsidRPr="00441B3C">
        <w:rPr>
          <w:bCs/>
          <w:lang w:val="en-US"/>
        </w:rPr>
        <w:t xml:space="preserve">latest </w:t>
      </w:r>
      <w:r w:rsidR="001A4EB3" w:rsidRPr="00441B3C">
        <w:rPr>
          <w:bCs/>
          <w:lang w:val="en-US"/>
        </w:rPr>
        <w:t>update on the progress of the preliminary examination.</w:t>
      </w:r>
      <w:r w:rsidR="001A4EB3" w:rsidRPr="00441B3C">
        <w:rPr>
          <w:rStyle w:val="FootnoteReference"/>
          <w:bCs/>
          <w:lang w:val="en-US"/>
        </w:rPr>
        <w:footnoteReference w:id="6"/>
      </w:r>
    </w:p>
    <w:p w14:paraId="72E909B6" w14:textId="77777777" w:rsidR="00B71E6E" w:rsidRPr="00441B3C" w:rsidRDefault="00E42BEA" w:rsidP="001D62B8">
      <w:pPr>
        <w:pStyle w:val="SingleTxtG"/>
        <w:numPr>
          <w:ilvl w:val="0"/>
          <w:numId w:val="15"/>
        </w:numPr>
        <w:tabs>
          <w:tab w:val="left" w:pos="1701"/>
        </w:tabs>
        <w:ind w:left="1134" w:firstLine="0"/>
        <w:rPr>
          <w:bCs/>
          <w:lang w:val="en-US"/>
        </w:rPr>
      </w:pPr>
      <w:r w:rsidRPr="00441B3C">
        <w:rPr>
          <w:bCs/>
          <w:lang w:val="en-US"/>
        </w:rPr>
        <w:t>With respect to the international community, the High Commissioner suggested that the Human Rights Council consider recommending to the General Assembly that it make use of its powers under Article 96(a) of the Charter of the United Nations in order to specify how all parties can fulfill their obligations in implementing the recommendations reviewed in the report.</w:t>
      </w:r>
      <w:r w:rsidRPr="00441B3C">
        <w:rPr>
          <w:bCs/>
          <w:vertAlign w:val="superscript"/>
          <w:lang w:val="en-US"/>
        </w:rPr>
        <w:footnoteReference w:id="7"/>
      </w:r>
    </w:p>
    <w:p w14:paraId="7126931C" w14:textId="77777777" w:rsidR="00E42BEA" w:rsidRPr="00441B3C" w:rsidRDefault="00E42BEA" w:rsidP="001D62B8">
      <w:pPr>
        <w:pStyle w:val="SingleTxtG"/>
        <w:numPr>
          <w:ilvl w:val="0"/>
          <w:numId w:val="15"/>
        </w:numPr>
        <w:tabs>
          <w:tab w:val="left" w:pos="1701"/>
        </w:tabs>
        <w:ind w:left="1134" w:firstLine="0"/>
        <w:rPr>
          <w:bCs/>
          <w:lang w:val="en-US"/>
        </w:rPr>
      </w:pPr>
      <w:r w:rsidRPr="00441B3C">
        <w:rPr>
          <w:bCs/>
          <w:lang w:val="en-US"/>
        </w:rPr>
        <w:t xml:space="preserve">The present report </w:t>
      </w:r>
      <w:r w:rsidR="00F3174D" w:rsidRPr="00441B3C">
        <w:rPr>
          <w:bCs/>
          <w:lang w:val="en-US"/>
        </w:rPr>
        <w:t>builds on th</w:t>
      </w:r>
      <w:r w:rsidR="0080267F" w:rsidRPr="00441B3C">
        <w:rPr>
          <w:bCs/>
          <w:lang w:val="en-US"/>
        </w:rPr>
        <w:t>e</w:t>
      </w:r>
      <w:r w:rsidR="00F3174D" w:rsidRPr="00441B3C">
        <w:rPr>
          <w:bCs/>
          <w:lang w:val="en-US"/>
        </w:rPr>
        <w:t xml:space="preserve"> comprehensive review </w:t>
      </w:r>
      <w:r w:rsidR="0080267F" w:rsidRPr="00441B3C">
        <w:rPr>
          <w:bCs/>
          <w:lang w:val="en-US"/>
        </w:rPr>
        <w:t xml:space="preserve">provided by A/HRC/35/19 </w:t>
      </w:r>
      <w:r w:rsidR="00F3174D" w:rsidRPr="00441B3C">
        <w:rPr>
          <w:bCs/>
          <w:lang w:val="en-US"/>
        </w:rPr>
        <w:t xml:space="preserve">and focuses on the specific issues indicated in </w:t>
      </w:r>
      <w:r w:rsidR="009E5DF8" w:rsidRPr="00441B3C">
        <w:rPr>
          <w:bCs/>
          <w:lang w:val="en-US"/>
        </w:rPr>
        <w:t>r</w:t>
      </w:r>
      <w:r w:rsidR="00F3174D" w:rsidRPr="00441B3C">
        <w:rPr>
          <w:bCs/>
          <w:lang w:val="en-US"/>
        </w:rPr>
        <w:t xml:space="preserve">esolution </w:t>
      </w:r>
      <w:r w:rsidR="00F3174D" w:rsidRPr="00441B3C">
        <w:rPr>
          <w:rFonts w:eastAsia="Times New Roman"/>
          <w:color w:val="000000"/>
          <w:lang w:val="en-US"/>
        </w:rPr>
        <w:t>34/38</w:t>
      </w:r>
      <w:r w:rsidRPr="00441B3C">
        <w:rPr>
          <w:bCs/>
          <w:lang w:val="en-US"/>
        </w:rPr>
        <w:t>.</w:t>
      </w:r>
    </w:p>
    <w:p w14:paraId="6FE68D15" w14:textId="77777777" w:rsidR="009A19D9" w:rsidRPr="00441B3C" w:rsidRDefault="00120B5B" w:rsidP="001D62B8">
      <w:pPr>
        <w:pStyle w:val="HChG"/>
        <w:spacing w:line="240" w:lineRule="atLeast"/>
        <w:jc w:val="both"/>
        <w:rPr>
          <w:lang w:val="en-US"/>
        </w:rPr>
      </w:pPr>
      <w:r w:rsidRPr="00441B3C">
        <w:rPr>
          <w:lang w:val="en-US"/>
        </w:rPr>
        <w:tab/>
        <w:t>II.</w:t>
      </w:r>
      <w:r w:rsidRPr="00441B3C">
        <w:rPr>
          <w:lang w:val="en-US"/>
        </w:rPr>
        <w:tab/>
      </w:r>
      <w:r w:rsidR="00B51825" w:rsidRPr="00441B3C">
        <w:rPr>
          <w:lang w:val="en-US"/>
        </w:rPr>
        <w:t>Update on accountability</w:t>
      </w:r>
    </w:p>
    <w:p w14:paraId="7ABF5ED4" w14:textId="77777777" w:rsidR="00B51825" w:rsidRPr="00441B3C" w:rsidRDefault="00487297" w:rsidP="001D62B8">
      <w:pPr>
        <w:pStyle w:val="H1G"/>
        <w:numPr>
          <w:ilvl w:val="0"/>
          <w:numId w:val="31"/>
        </w:numPr>
        <w:tabs>
          <w:tab w:val="clear" w:pos="851"/>
        </w:tabs>
        <w:spacing w:line="240" w:lineRule="atLeast"/>
        <w:ind w:left="1134" w:hanging="567"/>
        <w:jc w:val="both"/>
        <w:rPr>
          <w:lang w:val="en-US"/>
        </w:rPr>
      </w:pPr>
      <w:r w:rsidRPr="00441B3C">
        <w:rPr>
          <w:lang w:val="en-US"/>
        </w:rPr>
        <w:t xml:space="preserve">Accountability for </w:t>
      </w:r>
      <w:r w:rsidR="0080267F" w:rsidRPr="00441B3C">
        <w:rPr>
          <w:lang w:val="en-US"/>
        </w:rPr>
        <w:t xml:space="preserve">the </w:t>
      </w:r>
      <w:r w:rsidR="00B51825" w:rsidRPr="00441B3C">
        <w:rPr>
          <w:lang w:val="en-US"/>
        </w:rPr>
        <w:t>2014 escalation of hostilities in Gaza</w:t>
      </w:r>
    </w:p>
    <w:p w14:paraId="1AA5E321" w14:textId="7C39A07B" w:rsidR="00385844" w:rsidRPr="00441B3C" w:rsidRDefault="00A2703A" w:rsidP="001D62B8">
      <w:pPr>
        <w:pStyle w:val="SingleTxtG"/>
        <w:numPr>
          <w:ilvl w:val="0"/>
          <w:numId w:val="15"/>
        </w:numPr>
        <w:tabs>
          <w:tab w:val="left" w:pos="1701"/>
        </w:tabs>
        <w:ind w:left="1134" w:firstLine="0"/>
        <w:rPr>
          <w:bCs/>
          <w:lang w:val="en-US"/>
        </w:rPr>
      </w:pPr>
      <w:r w:rsidRPr="00441B3C">
        <w:rPr>
          <w:bCs/>
          <w:lang w:val="en-US"/>
        </w:rPr>
        <w:t xml:space="preserve">Human Rights Council resolution </w:t>
      </w:r>
      <w:r w:rsidR="00B85E0E" w:rsidRPr="00441B3C">
        <w:rPr>
          <w:bCs/>
          <w:lang w:val="en-US"/>
        </w:rPr>
        <w:t>34/</w:t>
      </w:r>
      <w:r w:rsidR="00706294" w:rsidRPr="00441B3C">
        <w:rPr>
          <w:bCs/>
          <w:lang w:val="en-US"/>
        </w:rPr>
        <w:t>2</w:t>
      </w:r>
      <w:r w:rsidR="00B85E0E" w:rsidRPr="00441B3C">
        <w:rPr>
          <w:bCs/>
          <w:lang w:val="en-US"/>
        </w:rPr>
        <w:t xml:space="preserve">8 calls </w:t>
      </w:r>
      <w:r w:rsidR="00B85E0E" w:rsidRPr="00441B3C">
        <w:rPr>
          <w:bCs/>
          <w:i/>
          <w:lang w:val="en-US"/>
        </w:rPr>
        <w:t>inter alia</w:t>
      </w:r>
      <w:r w:rsidR="00B85E0E" w:rsidRPr="00441B3C">
        <w:rPr>
          <w:bCs/>
          <w:lang w:val="en-US"/>
        </w:rPr>
        <w:t xml:space="preserve"> upon all duty bearers to pursue the implementation of the recommendations of the </w:t>
      </w:r>
      <w:r w:rsidR="00E8577B" w:rsidRPr="00441B3C">
        <w:rPr>
          <w:bCs/>
          <w:lang w:val="en-US"/>
        </w:rPr>
        <w:t xml:space="preserve">independent commission of inquiry on the 2014 Gaza conflict. Since the publication of the </w:t>
      </w:r>
      <w:r w:rsidR="00796F75" w:rsidRPr="00441B3C">
        <w:rPr>
          <w:bCs/>
          <w:lang w:val="en-US"/>
        </w:rPr>
        <w:t xml:space="preserve">report of the </w:t>
      </w:r>
      <w:r w:rsidR="00E8577B" w:rsidRPr="00441B3C">
        <w:rPr>
          <w:bCs/>
          <w:lang w:val="en-US"/>
        </w:rPr>
        <w:t xml:space="preserve">commission of inquiry, the </w:t>
      </w:r>
      <w:r w:rsidR="008B09B4" w:rsidRPr="00441B3C">
        <w:rPr>
          <w:bCs/>
          <w:lang w:val="en-US"/>
        </w:rPr>
        <w:t xml:space="preserve">United Nations </w:t>
      </w:r>
      <w:r w:rsidR="00E8577B" w:rsidRPr="00441B3C">
        <w:rPr>
          <w:bCs/>
          <w:lang w:val="en-US"/>
        </w:rPr>
        <w:t xml:space="preserve">Secretary-General has </w:t>
      </w:r>
      <w:r w:rsidR="00947F31" w:rsidRPr="00441B3C">
        <w:rPr>
          <w:bCs/>
          <w:lang w:val="en-US"/>
        </w:rPr>
        <w:t>provided regular updates</w:t>
      </w:r>
      <w:r w:rsidR="00E8577B" w:rsidRPr="00441B3C">
        <w:rPr>
          <w:bCs/>
          <w:lang w:val="en-US"/>
        </w:rPr>
        <w:t xml:space="preserve"> on the progress, or lack thereof, by the parties to the conflict</w:t>
      </w:r>
      <w:r w:rsidR="00947F31" w:rsidRPr="00441B3C">
        <w:rPr>
          <w:bCs/>
          <w:lang w:val="en-US"/>
        </w:rPr>
        <w:t xml:space="preserve"> with respect to </w:t>
      </w:r>
      <w:r w:rsidR="00796F75" w:rsidRPr="00441B3C">
        <w:rPr>
          <w:bCs/>
          <w:lang w:val="en-US"/>
        </w:rPr>
        <w:t xml:space="preserve">its </w:t>
      </w:r>
      <w:r w:rsidR="00947F31" w:rsidRPr="00441B3C">
        <w:rPr>
          <w:bCs/>
          <w:lang w:val="en-US"/>
        </w:rPr>
        <w:t>recommendations</w:t>
      </w:r>
      <w:r w:rsidR="00E8577B" w:rsidRPr="00441B3C">
        <w:rPr>
          <w:bCs/>
          <w:lang w:val="en-US"/>
        </w:rPr>
        <w:t>.</w:t>
      </w:r>
      <w:r w:rsidR="00E8577B" w:rsidRPr="00441B3C">
        <w:rPr>
          <w:bCs/>
          <w:vertAlign w:val="superscript"/>
          <w:lang w:val="en-US"/>
        </w:rPr>
        <w:footnoteReference w:id="8"/>
      </w:r>
      <w:r w:rsidR="00E8577B" w:rsidRPr="00441B3C">
        <w:rPr>
          <w:bCs/>
          <w:lang w:val="en-US"/>
        </w:rPr>
        <w:t xml:space="preserve"> </w:t>
      </w:r>
    </w:p>
    <w:p w14:paraId="6907230E" w14:textId="77777777" w:rsidR="00BC51E5" w:rsidRPr="00441B3C" w:rsidRDefault="00385844" w:rsidP="001D62B8">
      <w:pPr>
        <w:pStyle w:val="SingleTxtG"/>
        <w:numPr>
          <w:ilvl w:val="0"/>
          <w:numId w:val="15"/>
        </w:numPr>
        <w:tabs>
          <w:tab w:val="left" w:pos="1701"/>
        </w:tabs>
        <w:ind w:left="1134" w:firstLine="0"/>
        <w:rPr>
          <w:bCs/>
          <w:lang w:val="en-US"/>
        </w:rPr>
      </w:pPr>
      <w:r w:rsidRPr="00441B3C">
        <w:rPr>
          <w:bCs/>
          <w:lang w:val="en-US"/>
        </w:rPr>
        <w:t>Alleged violations during the 2014 hostilities in Gaza mirror those documented and investigated in 2008/09 and 2012, underscoring the recurrent nature of the violations in Gaza and the failure of efforts to prevent their repetition.</w:t>
      </w:r>
      <w:r w:rsidRPr="00441B3C">
        <w:rPr>
          <w:bCs/>
          <w:vertAlign w:val="superscript"/>
          <w:lang w:val="en-US"/>
        </w:rPr>
        <w:footnoteReference w:id="9"/>
      </w:r>
      <w:r w:rsidRPr="00441B3C">
        <w:rPr>
          <w:bCs/>
          <w:lang w:val="en-US"/>
        </w:rPr>
        <w:t xml:space="preserve"> </w:t>
      </w:r>
      <w:r w:rsidR="00E8577B" w:rsidRPr="00441B3C">
        <w:rPr>
          <w:bCs/>
          <w:lang w:val="en-US"/>
        </w:rPr>
        <w:t xml:space="preserve">Three and a half years after the escalation of hostilities, serious concerns persist regarding the lack of accountability by the Israeli and Palestinian authorities </w:t>
      </w:r>
      <w:r w:rsidR="00D92CE4" w:rsidRPr="00441B3C">
        <w:rPr>
          <w:bCs/>
          <w:lang w:val="en-US"/>
        </w:rPr>
        <w:t xml:space="preserve">for </w:t>
      </w:r>
      <w:r w:rsidR="00E8577B" w:rsidRPr="00441B3C">
        <w:rPr>
          <w:bCs/>
          <w:lang w:val="en-US"/>
        </w:rPr>
        <w:t>alleged violation</w:t>
      </w:r>
      <w:r w:rsidR="00947F31" w:rsidRPr="00441B3C">
        <w:rPr>
          <w:bCs/>
          <w:lang w:val="en-US"/>
        </w:rPr>
        <w:t>s</w:t>
      </w:r>
      <w:r w:rsidR="00E8577B" w:rsidRPr="00441B3C">
        <w:rPr>
          <w:bCs/>
          <w:lang w:val="en-US"/>
        </w:rPr>
        <w:t xml:space="preserve"> of international humanitarian law – including allegations of war crimes – and</w:t>
      </w:r>
      <w:r w:rsidR="00A3628B" w:rsidRPr="00441B3C">
        <w:rPr>
          <w:bCs/>
          <w:lang w:val="en-US"/>
        </w:rPr>
        <w:t xml:space="preserve"> alleged violations </w:t>
      </w:r>
      <w:r w:rsidR="007340BE" w:rsidRPr="00441B3C">
        <w:rPr>
          <w:bCs/>
          <w:lang w:val="en-US"/>
        </w:rPr>
        <w:t xml:space="preserve">and abuses </w:t>
      </w:r>
      <w:r w:rsidR="00A3628B" w:rsidRPr="00441B3C">
        <w:rPr>
          <w:bCs/>
          <w:lang w:val="en-US"/>
        </w:rPr>
        <w:t>of</w:t>
      </w:r>
      <w:r w:rsidR="00E8577B" w:rsidRPr="00441B3C">
        <w:rPr>
          <w:bCs/>
          <w:lang w:val="en-US"/>
        </w:rPr>
        <w:t xml:space="preserve"> international human rights law.</w:t>
      </w:r>
      <w:r w:rsidRPr="00441B3C">
        <w:rPr>
          <w:bCs/>
          <w:lang w:val="en-US"/>
        </w:rPr>
        <w:t xml:space="preserve"> The High Commissioner for Human Rights cannot overstress that the overall lack of accountability contributes to fueling the conflict.</w:t>
      </w:r>
    </w:p>
    <w:p w14:paraId="51D8C785" w14:textId="77777777" w:rsidR="00796F75" w:rsidRPr="00441B3C" w:rsidRDefault="00BC51E5" w:rsidP="001D62B8">
      <w:pPr>
        <w:pStyle w:val="SingleTxtG"/>
        <w:numPr>
          <w:ilvl w:val="0"/>
          <w:numId w:val="15"/>
        </w:numPr>
        <w:tabs>
          <w:tab w:val="left" w:pos="1701"/>
        </w:tabs>
        <w:ind w:left="1134" w:firstLine="0"/>
        <w:rPr>
          <w:bCs/>
          <w:lang w:val="en-US"/>
        </w:rPr>
      </w:pPr>
      <w:r w:rsidRPr="00441B3C">
        <w:rPr>
          <w:bCs/>
          <w:lang w:val="en-US"/>
        </w:rPr>
        <w:t>The lack of independenc</w:t>
      </w:r>
      <w:r w:rsidR="00762DDF" w:rsidRPr="00441B3C">
        <w:rPr>
          <w:bCs/>
          <w:lang w:val="en-US"/>
        </w:rPr>
        <w:t>e</w:t>
      </w:r>
      <w:r w:rsidRPr="00441B3C">
        <w:rPr>
          <w:bCs/>
          <w:lang w:val="en-US"/>
        </w:rPr>
        <w:t>, impartiality, promptness and transparency of</w:t>
      </w:r>
      <w:r w:rsidR="0094471A" w:rsidRPr="00441B3C">
        <w:rPr>
          <w:bCs/>
          <w:lang w:val="en-US"/>
        </w:rPr>
        <w:t xml:space="preserve"> the</w:t>
      </w:r>
      <w:r w:rsidRPr="00441B3C">
        <w:rPr>
          <w:bCs/>
          <w:lang w:val="en-US"/>
        </w:rPr>
        <w:t xml:space="preserve"> </w:t>
      </w:r>
      <w:r w:rsidR="00882E1B" w:rsidRPr="00441B3C">
        <w:rPr>
          <w:bCs/>
          <w:lang w:val="en-US"/>
        </w:rPr>
        <w:t xml:space="preserve">Office of the Israeli Military Advocate-General (MAG) </w:t>
      </w:r>
      <w:r w:rsidRPr="00441B3C">
        <w:rPr>
          <w:bCs/>
          <w:lang w:val="en-US"/>
        </w:rPr>
        <w:t>is an additional concern</w:t>
      </w:r>
      <w:r w:rsidR="00B454D4" w:rsidRPr="00441B3C">
        <w:rPr>
          <w:bCs/>
          <w:lang w:val="en-US"/>
        </w:rPr>
        <w:t xml:space="preserve">. When </w:t>
      </w:r>
      <w:r w:rsidRPr="00441B3C">
        <w:rPr>
          <w:bCs/>
          <w:lang w:val="en-US"/>
        </w:rPr>
        <w:t>investigations</w:t>
      </w:r>
      <w:r w:rsidR="00947F31" w:rsidRPr="00441B3C">
        <w:rPr>
          <w:bCs/>
          <w:lang w:val="en-US"/>
        </w:rPr>
        <w:t xml:space="preserve"> have</w:t>
      </w:r>
      <w:r w:rsidRPr="00441B3C">
        <w:rPr>
          <w:bCs/>
          <w:lang w:val="en-US"/>
        </w:rPr>
        <w:t xml:space="preserve"> take</w:t>
      </w:r>
      <w:r w:rsidR="00947F31" w:rsidRPr="00441B3C">
        <w:rPr>
          <w:bCs/>
          <w:lang w:val="en-US"/>
        </w:rPr>
        <w:t>n</w:t>
      </w:r>
      <w:r w:rsidRPr="00441B3C">
        <w:rPr>
          <w:bCs/>
          <w:lang w:val="en-US"/>
        </w:rPr>
        <w:t xml:space="preserve"> place</w:t>
      </w:r>
      <w:r w:rsidR="00882E1B" w:rsidRPr="00441B3C">
        <w:rPr>
          <w:bCs/>
          <w:lang w:val="en-US"/>
        </w:rPr>
        <w:t>, t</w:t>
      </w:r>
      <w:r w:rsidR="00947F31" w:rsidRPr="00441B3C">
        <w:rPr>
          <w:bCs/>
          <w:lang w:val="en-US"/>
        </w:rPr>
        <w:t>hey have</w:t>
      </w:r>
      <w:r w:rsidRPr="00441B3C">
        <w:rPr>
          <w:bCs/>
          <w:lang w:val="en-US"/>
        </w:rPr>
        <w:t xml:space="preserve"> rarely res</w:t>
      </w:r>
      <w:r w:rsidR="00947F31" w:rsidRPr="00441B3C">
        <w:rPr>
          <w:bCs/>
          <w:lang w:val="en-US"/>
        </w:rPr>
        <w:t>ulted in</w:t>
      </w:r>
      <w:r w:rsidR="00331A62" w:rsidRPr="00441B3C">
        <w:rPr>
          <w:bCs/>
          <w:lang w:val="en-US"/>
        </w:rPr>
        <w:t xml:space="preserve"> prosecutions, and </w:t>
      </w:r>
      <w:r w:rsidR="00947F31" w:rsidRPr="00441B3C">
        <w:rPr>
          <w:bCs/>
          <w:lang w:val="en-US"/>
        </w:rPr>
        <w:t xml:space="preserve">sentences </w:t>
      </w:r>
      <w:r w:rsidR="00796F75" w:rsidRPr="00441B3C">
        <w:rPr>
          <w:bCs/>
          <w:lang w:val="en-US"/>
        </w:rPr>
        <w:t xml:space="preserve">frequently </w:t>
      </w:r>
      <w:r w:rsidR="00331A62" w:rsidRPr="00441B3C">
        <w:rPr>
          <w:bCs/>
          <w:lang w:val="en-US"/>
        </w:rPr>
        <w:t xml:space="preserve">do not </w:t>
      </w:r>
      <w:r w:rsidR="00947F31" w:rsidRPr="00441B3C">
        <w:rPr>
          <w:bCs/>
          <w:lang w:val="en-US"/>
        </w:rPr>
        <w:t>match</w:t>
      </w:r>
      <w:r w:rsidRPr="00441B3C">
        <w:rPr>
          <w:bCs/>
          <w:lang w:val="en-US"/>
        </w:rPr>
        <w:t xml:space="preserve"> the gravity of the </w:t>
      </w:r>
      <w:r w:rsidR="001F71A2" w:rsidRPr="00441B3C">
        <w:rPr>
          <w:bCs/>
          <w:lang w:val="en-US"/>
        </w:rPr>
        <w:t>violation</w:t>
      </w:r>
      <w:r w:rsidR="00D92CE4" w:rsidRPr="00441B3C">
        <w:rPr>
          <w:bCs/>
          <w:lang w:val="en-US"/>
        </w:rPr>
        <w:t>(s)</w:t>
      </w:r>
      <w:r w:rsidR="001F71A2" w:rsidRPr="00441B3C">
        <w:rPr>
          <w:bCs/>
          <w:lang w:val="en-US"/>
        </w:rPr>
        <w:t xml:space="preserve"> </w:t>
      </w:r>
      <w:r w:rsidRPr="00441B3C">
        <w:rPr>
          <w:bCs/>
          <w:lang w:val="en-US"/>
        </w:rPr>
        <w:t xml:space="preserve">committed by the </w:t>
      </w:r>
      <w:r w:rsidR="00796F75" w:rsidRPr="00441B3C">
        <w:rPr>
          <w:bCs/>
          <w:lang w:val="en-US"/>
        </w:rPr>
        <w:t>Israeli Security Forces (</w:t>
      </w:r>
      <w:r w:rsidRPr="00441B3C">
        <w:rPr>
          <w:bCs/>
          <w:lang w:val="en-US"/>
        </w:rPr>
        <w:t>ISF</w:t>
      </w:r>
      <w:r w:rsidR="00796F75" w:rsidRPr="00441B3C">
        <w:rPr>
          <w:bCs/>
          <w:lang w:val="en-US"/>
        </w:rPr>
        <w:t>)</w:t>
      </w:r>
      <w:r w:rsidRPr="00441B3C">
        <w:rPr>
          <w:bCs/>
          <w:lang w:val="en-US"/>
        </w:rPr>
        <w:t xml:space="preserve">. </w:t>
      </w:r>
    </w:p>
    <w:p w14:paraId="046B27B1" w14:textId="323529D5" w:rsidR="00BC51E5" w:rsidRPr="00441B3C" w:rsidRDefault="00BC51E5" w:rsidP="001D62B8">
      <w:pPr>
        <w:pStyle w:val="SingleTxtG"/>
        <w:numPr>
          <w:ilvl w:val="0"/>
          <w:numId w:val="15"/>
        </w:numPr>
        <w:tabs>
          <w:tab w:val="left" w:pos="1701"/>
        </w:tabs>
        <w:ind w:left="1134" w:firstLine="0"/>
        <w:rPr>
          <w:bCs/>
          <w:lang w:val="en-US"/>
        </w:rPr>
      </w:pPr>
      <w:r w:rsidRPr="00441B3C">
        <w:rPr>
          <w:bCs/>
          <w:lang w:val="en-US"/>
        </w:rPr>
        <w:t>The last public update of MAG on the status of criminal complaints related to the 2014 hostilities in Gaza dates back to August 2016.</w:t>
      </w:r>
      <w:r w:rsidRPr="00441B3C">
        <w:rPr>
          <w:bCs/>
          <w:vertAlign w:val="superscript"/>
          <w:lang w:val="en-US"/>
        </w:rPr>
        <w:footnoteReference w:id="10"/>
      </w:r>
      <w:r w:rsidRPr="00441B3C">
        <w:rPr>
          <w:bCs/>
          <w:lang w:val="en-US"/>
        </w:rPr>
        <w:t xml:space="preserve"> </w:t>
      </w:r>
      <w:r w:rsidR="00E2512A" w:rsidRPr="00441B3C">
        <w:rPr>
          <w:bCs/>
          <w:lang w:val="en-US"/>
        </w:rPr>
        <w:t xml:space="preserve">Out of 500 complaints related to 360 incidents referred to MAG in relation to alleged violations of international human rights and humanitarian law, criminal investigations </w:t>
      </w:r>
      <w:proofErr w:type="gramStart"/>
      <w:r w:rsidR="00E2512A" w:rsidRPr="00441B3C">
        <w:rPr>
          <w:bCs/>
          <w:lang w:val="en-US"/>
        </w:rPr>
        <w:t>were ordered</w:t>
      </w:r>
      <w:proofErr w:type="gramEnd"/>
      <w:r w:rsidR="00E2512A" w:rsidRPr="00441B3C">
        <w:rPr>
          <w:bCs/>
          <w:lang w:val="en-US"/>
        </w:rPr>
        <w:t xml:space="preserve"> into 31 incidents, leading to t</w:t>
      </w:r>
      <w:r w:rsidRPr="00441B3C">
        <w:rPr>
          <w:bCs/>
          <w:lang w:val="en-US"/>
        </w:rPr>
        <w:t>he indictment of three soldiers for looting</w:t>
      </w:r>
      <w:r w:rsidR="00E2512A" w:rsidRPr="00441B3C">
        <w:rPr>
          <w:bCs/>
          <w:lang w:val="en-US"/>
        </w:rPr>
        <w:t>.</w:t>
      </w:r>
      <w:r w:rsidRPr="00441B3C">
        <w:rPr>
          <w:bCs/>
          <w:lang w:val="en-US"/>
        </w:rPr>
        <w:t xml:space="preserve"> </w:t>
      </w:r>
      <w:r w:rsidR="00E2512A" w:rsidRPr="00441B3C">
        <w:rPr>
          <w:bCs/>
          <w:lang w:val="en-US"/>
        </w:rPr>
        <w:t xml:space="preserve">This is </w:t>
      </w:r>
      <w:r w:rsidRPr="00441B3C">
        <w:rPr>
          <w:bCs/>
          <w:lang w:val="en-US"/>
        </w:rPr>
        <w:t xml:space="preserve">the only outcome </w:t>
      </w:r>
      <w:r w:rsidR="00E2512A" w:rsidRPr="00441B3C">
        <w:rPr>
          <w:bCs/>
          <w:lang w:val="en-US"/>
        </w:rPr>
        <w:t xml:space="preserve">to date </w:t>
      </w:r>
      <w:r w:rsidRPr="00441B3C">
        <w:rPr>
          <w:bCs/>
          <w:lang w:val="en-US"/>
        </w:rPr>
        <w:t xml:space="preserve">of </w:t>
      </w:r>
      <w:r w:rsidR="00E2512A" w:rsidRPr="00441B3C">
        <w:rPr>
          <w:bCs/>
          <w:lang w:val="en-US"/>
        </w:rPr>
        <w:t xml:space="preserve">all </w:t>
      </w:r>
      <w:r w:rsidRPr="00441B3C">
        <w:rPr>
          <w:bCs/>
          <w:lang w:val="en-US"/>
        </w:rPr>
        <w:t xml:space="preserve">complaints </w:t>
      </w:r>
      <w:r w:rsidR="00E2512A" w:rsidRPr="00441B3C">
        <w:rPr>
          <w:bCs/>
          <w:lang w:val="en-US"/>
        </w:rPr>
        <w:t xml:space="preserve">submitted </w:t>
      </w:r>
      <w:r w:rsidRPr="00441B3C">
        <w:rPr>
          <w:bCs/>
          <w:lang w:val="en-US"/>
        </w:rPr>
        <w:t xml:space="preserve">on behalf of Gaza victims. </w:t>
      </w:r>
      <w:r w:rsidR="00E42539" w:rsidRPr="00441B3C">
        <w:rPr>
          <w:bCs/>
          <w:lang w:val="en-US"/>
        </w:rPr>
        <w:t xml:space="preserve">Information received </w:t>
      </w:r>
      <w:r w:rsidRPr="00441B3C">
        <w:rPr>
          <w:bCs/>
          <w:lang w:val="en-US"/>
        </w:rPr>
        <w:t>indicate</w:t>
      </w:r>
      <w:r w:rsidR="00E42539" w:rsidRPr="00441B3C">
        <w:rPr>
          <w:bCs/>
          <w:lang w:val="en-US"/>
        </w:rPr>
        <w:t>s</w:t>
      </w:r>
      <w:r w:rsidRPr="00441B3C">
        <w:rPr>
          <w:bCs/>
          <w:lang w:val="en-US"/>
        </w:rPr>
        <w:t xml:space="preserve"> that at least 22 appeals</w:t>
      </w:r>
      <w:r w:rsidR="004229DB" w:rsidRPr="00441B3C">
        <w:rPr>
          <w:bCs/>
          <w:vertAlign w:val="superscript"/>
          <w:lang w:val="en-US"/>
        </w:rPr>
        <w:t xml:space="preserve"> </w:t>
      </w:r>
      <w:r w:rsidR="00796F75" w:rsidRPr="00441B3C">
        <w:rPr>
          <w:bCs/>
          <w:lang w:val="en-US"/>
        </w:rPr>
        <w:t>we</w:t>
      </w:r>
      <w:r w:rsidRPr="00441B3C">
        <w:rPr>
          <w:bCs/>
          <w:lang w:val="en-US"/>
        </w:rPr>
        <w:t xml:space="preserve">re still pending in relation to incidents </w:t>
      </w:r>
      <w:r w:rsidR="00796F75" w:rsidRPr="00441B3C">
        <w:rPr>
          <w:bCs/>
          <w:lang w:val="en-US"/>
        </w:rPr>
        <w:t xml:space="preserve">that occurred during </w:t>
      </w:r>
      <w:r w:rsidRPr="00441B3C">
        <w:rPr>
          <w:bCs/>
          <w:lang w:val="en-US"/>
        </w:rPr>
        <w:t xml:space="preserve">the 2014 </w:t>
      </w:r>
      <w:r w:rsidRPr="00441B3C">
        <w:rPr>
          <w:bCs/>
          <w:lang w:val="en-US"/>
        </w:rPr>
        <w:lastRenderedPageBreak/>
        <w:t>hostilities in Gaza</w:t>
      </w:r>
      <w:r w:rsidR="00882E1B" w:rsidRPr="00441B3C">
        <w:rPr>
          <w:bCs/>
          <w:lang w:val="en-US"/>
        </w:rPr>
        <w:t>,</w:t>
      </w:r>
      <w:r w:rsidRPr="00441B3C">
        <w:rPr>
          <w:bCs/>
          <w:lang w:val="en-US"/>
        </w:rPr>
        <w:t xml:space="preserve"> for </w:t>
      </w:r>
      <w:r w:rsidR="00947F31" w:rsidRPr="00441B3C">
        <w:rPr>
          <w:bCs/>
          <w:lang w:val="en-US"/>
        </w:rPr>
        <w:t xml:space="preserve">cases in </w:t>
      </w:r>
      <w:r w:rsidRPr="00441B3C">
        <w:rPr>
          <w:bCs/>
          <w:lang w:val="en-US"/>
        </w:rPr>
        <w:t xml:space="preserve">which a criminal investigation </w:t>
      </w:r>
      <w:proofErr w:type="gramStart"/>
      <w:r w:rsidRPr="00441B3C">
        <w:rPr>
          <w:bCs/>
          <w:lang w:val="en-US"/>
        </w:rPr>
        <w:t>was either closed without charges or not opened at all</w:t>
      </w:r>
      <w:proofErr w:type="gramEnd"/>
      <w:r w:rsidRPr="00441B3C">
        <w:rPr>
          <w:bCs/>
          <w:lang w:val="en-US"/>
        </w:rPr>
        <w:t>.</w:t>
      </w:r>
      <w:r w:rsidR="00D94401" w:rsidRPr="00441B3C">
        <w:rPr>
          <w:rStyle w:val="FootnoteReference"/>
          <w:bCs/>
          <w:lang w:val="en-US"/>
        </w:rPr>
        <w:t xml:space="preserve"> </w:t>
      </w:r>
      <w:r w:rsidR="00D94401" w:rsidRPr="0011606B">
        <w:rPr>
          <w:rStyle w:val="FootnoteReference"/>
          <w:bCs/>
          <w:sz w:val="18"/>
          <w:szCs w:val="18"/>
          <w:lang w:val="en-US"/>
        </w:rPr>
        <w:footnoteReference w:id="11"/>
      </w:r>
      <w:r w:rsidRPr="00441B3C">
        <w:rPr>
          <w:bCs/>
          <w:lang w:val="en-US"/>
        </w:rPr>
        <w:t xml:space="preserve">This notably pertains to the shelling </w:t>
      </w:r>
      <w:r w:rsidR="00947F31" w:rsidRPr="00441B3C">
        <w:rPr>
          <w:bCs/>
          <w:lang w:val="en-US"/>
        </w:rPr>
        <w:t>of an area near</w:t>
      </w:r>
      <w:r w:rsidRPr="00441B3C">
        <w:rPr>
          <w:bCs/>
          <w:lang w:val="en-US"/>
        </w:rPr>
        <w:t xml:space="preserve"> a</w:t>
      </w:r>
      <w:r w:rsidR="00947F31" w:rsidRPr="00441B3C">
        <w:rPr>
          <w:bCs/>
          <w:lang w:val="en-US"/>
        </w:rPr>
        <w:t>n</w:t>
      </w:r>
      <w:r w:rsidRPr="00441B3C">
        <w:rPr>
          <w:bCs/>
          <w:lang w:val="en-US"/>
        </w:rPr>
        <w:t xml:space="preserve"> UNRWA school serving as a shelter for civilians in Rafah</w:t>
      </w:r>
      <w:r w:rsidR="00796F75" w:rsidRPr="00441B3C">
        <w:rPr>
          <w:bCs/>
          <w:lang w:val="en-US"/>
        </w:rPr>
        <w:t>,</w:t>
      </w:r>
      <w:r w:rsidRPr="00441B3C">
        <w:rPr>
          <w:bCs/>
          <w:lang w:val="en-US"/>
        </w:rPr>
        <w:t xml:space="preserve"> which caused the death of 15 people</w:t>
      </w:r>
      <w:r w:rsidR="0021680A" w:rsidRPr="00441B3C">
        <w:rPr>
          <w:bCs/>
          <w:lang w:val="en-US"/>
        </w:rPr>
        <w:t xml:space="preserve">, </w:t>
      </w:r>
      <w:r w:rsidRPr="00441B3C">
        <w:rPr>
          <w:bCs/>
          <w:lang w:val="en-US"/>
        </w:rPr>
        <w:t xml:space="preserve">including </w:t>
      </w:r>
      <w:r w:rsidR="00796F75" w:rsidRPr="00441B3C">
        <w:rPr>
          <w:bCs/>
          <w:lang w:val="en-US"/>
        </w:rPr>
        <w:t>eight</w:t>
      </w:r>
      <w:r w:rsidRPr="00441B3C">
        <w:rPr>
          <w:bCs/>
          <w:lang w:val="en-US"/>
        </w:rPr>
        <w:t xml:space="preserve"> children,</w:t>
      </w:r>
      <w:r w:rsidRPr="0011606B">
        <w:rPr>
          <w:bCs/>
          <w:sz w:val="18"/>
          <w:szCs w:val="18"/>
          <w:vertAlign w:val="superscript"/>
          <w:lang w:val="en-US"/>
        </w:rPr>
        <w:footnoteReference w:id="12"/>
      </w:r>
      <w:r w:rsidRPr="00441B3C">
        <w:rPr>
          <w:bCs/>
          <w:lang w:val="en-US"/>
        </w:rPr>
        <w:t xml:space="preserve"> and the case of four children killed by a shell while playing on a Gaza beach.</w:t>
      </w:r>
      <w:r w:rsidRPr="0011606B">
        <w:rPr>
          <w:bCs/>
          <w:sz w:val="18"/>
          <w:szCs w:val="18"/>
          <w:vertAlign w:val="superscript"/>
          <w:lang w:val="en-US"/>
        </w:rPr>
        <w:footnoteReference w:id="13"/>
      </w:r>
    </w:p>
    <w:p w14:paraId="1DDE53C5" w14:textId="50CE7E53" w:rsidR="008B7B77" w:rsidRPr="00441B3C" w:rsidRDefault="00BC51E5" w:rsidP="001D62B8">
      <w:pPr>
        <w:pStyle w:val="SingleTxtG"/>
        <w:numPr>
          <w:ilvl w:val="0"/>
          <w:numId w:val="15"/>
        </w:numPr>
        <w:tabs>
          <w:tab w:val="left" w:pos="1701"/>
        </w:tabs>
        <w:ind w:left="1134" w:firstLine="0"/>
        <w:rPr>
          <w:bCs/>
          <w:lang w:val="en-US"/>
        </w:rPr>
      </w:pPr>
      <w:r w:rsidRPr="00441B3C">
        <w:rPr>
          <w:bCs/>
          <w:lang w:val="en-US"/>
        </w:rPr>
        <w:t>The amount of cases</w:t>
      </w:r>
      <w:r w:rsidR="00DB6DC1" w:rsidRPr="00441B3C">
        <w:rPr>
          <w:bCs/>
          <w:lang w:val="en-US"/>
        </w:rPr>
        <w:t>,</w:t>
      </w:r>
      <w:r w:rsidRPr="00441B3C">
        <w:rPr>
          <w:bCs/>
          <w:lang w:val="en-US"/>
        </w:rPr>
        <w:t xml:space="preserve"> </w:t>
      </w:r>
      <w:r w:rsidR="00796F75" w:rsidRPr="00441B3C">
        <w:rPr>
          <w:bCs/>
          <w:lang w:val="en-US"/>
        </w:rPr>
        <w:t xml:space="preserve">which despite serious allegations, </w:t>
      </w:r>
      <w:r w:rsidRPr="00441B3C">
        <w:rPr>
          <w:bCs/>
          <w:lang w:val="en-US"/>
        </w:rPr>
        <w:t>have not been subjec</w:t>
      </w:r>
      <w:r w:rsidR="00947F31" w:rsidRPr="00441B3C">
        <w:rPr>
          <w:bCs/>
          <w:lang w:val="en-US"/>
        </w:rPr>
        <w:t xml:space="preserve">t to a criminal investigation and </w:t>
      </w:r>
      <w:proofErr w:type="gramStart"/>
      <w:r w:rsidR="00947F31" w:rsidRPr="00441B3C">
        <w:rPr>
          <w:bCs/>
          <w:lang w:val="en-US"/>
        </w:rPr>
        <w:t>have been</w:t>
      </w:r>
      <w:r w:rsidRPr="00441B3C">
        <w:rPr>
          <w:bCs/>
          <w:lang w:val="en-US"/>
        </w:rPr>
        <w:t xml:space="preserve"> closed</w:t>
      </w:r>
      <w:proofErr w:type="gramEnd"/>
      <w:r w:rsidRPr="00441B3C">
        <w:rPr>
          <w:bCs/>
          <w:lang w:val="en-US"/>
        </w:rPr>
        <w:t xml:space="preserve"> </w:t>
      </w:r>
      <w:r w:rsidR="00FC4D21" w:rsidRPr="00441B3C">
        <w:rPr>
          <w:bCs/>
          <w:lang w:val="en-US"/>
        </w:rPr>
        <w:t xml:space="preserve">by MAG for lack of reasonable grounds for suspicion of criminal </w:t>
      </w:r>
      <w:proofErr w:type="spellStart"/>
      <w:r w:rsidR="00FC4D21" w:rsidRPr="00441B3C">
        <w:rPr>
          <w:bCs/>
          <w:lang w:val="en-US"/>
        </w:rPr>
        <w:t>behaviour</w:t>
      </w:r>
      <w:proofErr w:type="spellEnd"/>
      <w:r w:rsidR="00FC4D21" w:rsidRPr="00441B3C">
        <w:rPr>
          <w:bCs/>
          <w:lang w:val="en-US"/>
        </w:rPr>
        <w:t xml:space="preserve">, </w:t>
      </w:r>
      <w:r w:rsidRPr="00441B3C">
        <w:rPr>
          <w:bCs/>
          <w:lang w:val="en-US"/>
        </w:rPr>
        <w:t>is of particular concern</w:t>
      </w:r>
      <w:r w:rsidR="00FC4D21" w:rsidRPr="00441B3C">
        <w:rPr>
          <w:bCs/>
          <w:lang w:val="en-US"/>
        </w:rPr>
        <w:t>.</w:t>
      </w:r>
      <w:r w:rsidR="00FC4D21" w:rsidRPr="0011606B">
        <w:rPr>
          <w:bCs/>
          <w:sz w:val="18"/>
          <w:szCs w:val="18"/>
          <w:vertAlign w:val="superscript"/>
          <w:lang w:val="en-US"/>
        </w:rPr>
        <w:footnoteReference w:id="14"/>
      </w:r>
      <w:r w:rsidR="00FC4D21" w:rsidRPr="00441B3C">
        <w:rPr>
          <w:bCs/>
          <w:lang w:val="en-US"/>
        </w:rPr>
        <w:t xml:space="preserve"> </w:t>
      </w:r>
      <w:r w:rsidR="009F0CC0" w:rsidRPr="00441B3C">
        <w:rPr>
          <w:bCs/>
          <w:lang w:val="en-US"/>
        </w:rPr>
        <w:t>Hence, r</w:t>
      </w:r>
      <w:r w:rsidR="00174E56" w:rsidRPr="00441B3C">
        <w:rPr>
          <w:bCs/>
          <w:lang w:val="en-US"/>
        </w:rPr>
        <w:t xml:space="preserve">ecommendations made by the </w:t>
      </w:r>
      <w:r w:rsidR="009F0CC0" w:rsidRPr="00441B3C">
        <w:rPr>
          <w:bCs/>
          <w:lang w:val="en-US"/>
        </w:rPr>
        <w:t>c</w:t>
      </w:r>
      <w:r w:rsidR="00174E56" w:rsidRPr="00441B3C">
        <w:rPr>
          <w:bCs/>
          <w:lang w:val="en-US"/>
        </w:rPr>
        <w:t xml:space="preserve">ommission of </w:t>
      </w:r>
      <w:r w:rsidR="009F0CC0" w:rsidRPr="00441B3C">
        <w:rPr>
          <w:bCs/>
          <w:lang w:val="en-US"/>
        </w:rPr>
        <w:t>i</w:t>
      </w:r>
      <w:r w:rsidR="00174E56" w:rsidRPr="00441B3C">
        <w:rPr>
          <w:bCs/>
          <w:lang w:val="en-US"/>
        </w:rPr>
        <w:t>nquiry r</w:t>
      </w:r>
      <w:r w:rsidR="008B09B4" w:rsidRPr="00441B3C">
        <w:rPr>
          <w:bCs/>
          <w:lang w:val="en-US"/>
        </w:rPr>
        <w:t xml:space="preserve">elated to investigations and </w:t>
      </w:r>
      <w:r w:rsidR="00174E56" w:rsidRPr="00441B3C">
        <w:rPr>
          <w:bCs/>
          <w:lang w:val="en-US"/>
        </w:rPr>
        <w:t>redress for victims remain unimplemented as evidenced by t</w:t>
      </w:r>
      <w:r w:rsidR="00882E1B" w:rsidRPr="00441B3C">
        <w:rPr>
          <w:lang w:val="en-US"/>
        </w:rPr>
        <w:t>he failure to open investigations into all credible allegations and the lack of access to justice</w:t>
      </w:r>
      <w:r w:rsidR="00250BE0" w:rsidRPr="00441B3C">
        <w:rPr>
          <w:lang w:val="en-US"/>
        </w:rPr>
        <w:t>.</w:t>
      </w:r>
      <w:r w:rsidR="00882E1B" w:rsidRPr="00441B3C">
        <w:rPr>
          <w:lang w:val="en-US"/>
        </w:rPr>
        <w:t xml:space="preserve"> </w:t>
      </w:r>
      <w:r w:rsidR="00B17D9C" w:rsidRPr="00441B3C">
        <w:rPr>
          <w:bCs/>
          <w:lang w:val="en-US"/>
        </w:rPr>
        <w:t>T</w:t>
      </w:r>
      <w:r w:rsidR="00D207B4" w:rsidRPr="00441B3C">
        <w:rPr>
          <w:bCs/>
          <w:lang w:val="en-US"/>
        </w:rPr>
        <w:t xml:space="preserve">he focus of the </w:t>
      </w:r>
      <w:r w:rsidR="00FF19AF" w:rsidRPr="00441B3C">
        <w:rPr>
          <w:bCs/>
          <w:lang w:val="en-US"/>
        </w:rPr>
        <w:t xml:space="preserve">Israeli </w:t>
      </w:r>
      <w:r w:rsidR="00D207B4" w:rsidRPr="00441B3C">
        <w:rPr>
          <w:bCs/>
          <w:lang w:val="en-US"/>
        </w:rPr>
        <w:t>military</w:t>
      </w:r>
      <w:r w:rsidR="005524D4" w:rsidRPr="00441B3C">
        <w:rPr>
          <w:bCs/>
          <w:lang w:val="en-US"/>
        </w:rPr>
        <w:t xml:space="preserve"> justice </w:t>
      </w:r>
      <w:r w:rsidR="00D207B4" w:rsidRPr="00441B3C">
        <w:rPr>
          <w:bCs/>
          <w:lang w:val="en-US"/>
        </w:rPr>
        <w:t>system on soldiers</w:t>
      </w:r>
      <w:r w:rsidR="008B7B77" w:rsidRPr="00441B3C">
        <w:rPr>
          <w:bCs/>
          <w:lang w:val="en-US"/>
        </w:rPr>
        <w:t>,</w:t>
      </w:r>
      <w:r w:rsidR="00947F31" w:rsidRPr="00441B3C">
        <w:rPr>
          <w:bCs/>
          <w:lang w:val="en-US"/>
        </w:rPr>
        <w:t xml:space="preserve"> as opposed to higher-level military commanders</w:t>
      </w:r>
      <w:r w:rsidR="008B7B77" w:rsidRPr="00441B3C">
        <w:rPr>
          <w:bCs/>
          <w:lang w:val="en-US"/>
        </w:rPr>
        <w:t>,</w:t>
      </w:r>
      <w:r w:rsidR="00D207B4" w:rsidRPr="00441B3C">
        <w:rPr>
          <w:bCs/>
          <w:lang w:val="en-US"/>
        </w:rPr>
        <w:t xml:space="preserve"> enables the closure of cases – before the start of </w:t>
      </w:r>
      <w:r w:rsidR="008B7B77" w:rsidRPr="00441B3C">
        <w:rPr>
          <w:bCs/>
          <w:lang w:val="en-US"/>
        </w:rPr>
        <w:t>an</w:t>
      </w:r>
      <w:r w:rsidR="00D207B4" w:rsidRPr="00441B3C">
        <w:rPr>
          <w:bCs/>
          <w:lang w:val="en-US"/>
        </w:rPr>
        <w:t xml:space="preserve"> investigation </w:t>
      </w:r>
      <w:r w:rsidR="00947F31" w:rsidRPr="00441B3C">
        <w:rPr>
          <w:bCs/>
          <w:lang w:val="en-US"/>
        </w:rPr>
        <w:t>– f</w:t>
      </w:r>
      <w:r w:rsidR="00D207B4" w:rsidRPr="00441B3C">
        <w:rPr>
          <w:bCs/>
          <w:lang w:val="en-US"/>
        </w:rPr>
        <w:t xml:space="preserve">or lack of prima facie </w:t>
      </w:r>
      <w:r w:rsidR="00947F31" w:rsidRPr="00441B3C">
        <w:rPr>
          <w:bCs/>
          <w:lang w:val="en-US"/>
        </w:rPr>
        <w:t xml:space="preserve">evidence of a </w:t>
      </w:r>
      <w:r w:rsidR="00D207B4" w:rsidRPr="00441B3C">
        <w:rPr>
          <w:bCs/>
          <w:lang w:val="en-US"/>
        </w:rPr>
        <w:t>wrongful act</w:t>
      </w:r>
      <w:r w:rsidR="00AF4F53" w:rsidRPr="00441B3C">
        <w:rPr>
          <w:bCs/>
          <w:lang w:val="en-US"/>
        </w:rPr>
        <w:t xml:space="preserve"> committed</w:t>
      </w:r>
      <w:r w:rsidR="00D207B4" w:rsidRPr="00441B3C">
        <w:rPr>
          <w:bCs/>
          <w:lang w:val="en-US"/>
        </w:rPr>
        <w:t xml:space="preserve"> by the soldier</w:t>
      </w:r>
      <w:r w:rsidR="009A19D9" w:rsidRPr="00441B3C">
        <w:rPr>
          <w:bCs/>
          <w:lang w:val="en-US"/>
        </w:rPr>
        <w:t>.</w:t>
      </w:r>
      <w:r w:rsidR="00714C6C" w:rsidRPr="0011606B">
        <w:rPr>
          <w:bCs/>
          <w:sz w:val="18"/>
          <w:szCs w:val="18"/>
          <w:vertAlign w:val="superscript"/>
          <w:lang w:val="en-US"/>
        </w:rPr>
        <w:footnoteReference w:id="15"/>
      </w:r>
      <w:r w:rsidR="009A19D9" w:rsidRPr="00441B3C">
        <w:rPr>
          <w:bCs/>
          <w:lang w:val="en-US"/>
        </w:rPr>
        <w:t xml:space="preserve"> However, t</w:t>
      </w:r>
      <w:r w:rsidR="00D207B4" w:rsidRPr="00441B3C">
        <w:rPr>
          <w:bCs/>
          <w:lang w:val="en-US"/>
        </w:rPr>
        <w:t>he respon</w:t>
      </w:r>
      <w:r w:rsidR="00AF4F53" w:rsidRPr="00441B3C">
        <w:rPr>
          <w:bCs/>
          <w:lang w:val="en-US"/>
        </w:rPr>
        <w:t xml:space="preserve">sibility of high-level military </w:t>
      </w:r>
      <w:proofErr w:type="gramStart"/>
      <w:r w:rsidR="0010235E" w:rsidRPr="00441B3C">
        <w:rPr>
          <w:bCs/>
          <w:lang w:val="en-US"/>
        </w:rPr>
        <w:t>commanders</w:t>
      </w:r>
      <w:proofErr w:type="gramEnd"/>
      <w:r w:rsidR="00D207B4" w:rsidRPr="00441B3C">
        <w:rPr>
          <w:bCs/>
          <w:lang w:val="en-US"/>
        </w:rPr>
        <w:t xml:space="preserve"> </w:t>
      </w:r>
      <w:r w:rsidR="009A19D9" w:rsidRPr="00441B3C">
        <w:rPr>
          <w:bCs/>
          <w:lang w:val="en-US"/>
        </w:rPr>
        <w:t>remains un</w:t>
      </w:r>
      <w:r w:rsidR="00D207B4" w:rsidRPr="00441B3C">
        <w:rPr>
          <w:bCs/>
          <w:lang w:val="en-US"/>
        </w:rPr>
        <w:t>examined</w:t>
      </w:r>
      <w:r w:rsidR="009A19D9" w:rsidRPr="00441B3C">
        <w:rPr>
          <w:bCs/>
          <w:lang w:val="en-US"/>
        </w:rPr>
        <w:t>, as well as the overall responsibility of policy</w:t>
      </w:r>
      <w:r w:rsidR="008B7B77" w:rsidRPr="00441B3C">
        <w:rPr>
          <w:bCs/>
          <w:lang w:val="en-US"/>
        </w:rPr>
        <w:t>-</w:t>
      </w:r>
      <w:r w:rsidR="009A19D9" w:rsidRPr="00441B3C">
        <w:rPr>
          <w:bCs/>
          <w:lang w:val="en-US"/>
        </w:rPr>
        <w:t>makers.</w:t>
      </w:r>
      <w:r w:rsidR="00D207B4" w:rsidRPr="0011606B">
        <w:rPr>
          <w:bCs/>
          <w:sz w:val="18"/>
          <w:szCs w:val="18"/>
          <w:vertAlign w:val="superscript"/>
          <w:lang w:val="en-US"/>
        </w:rPr>
        <w:footnoteReference w:id="16"/>
      </w:r>
      <w:r w:rsidR="00D207B4" w:rsidRPr="0011606B">
        <w:rPr>
          <w:bCs/>
          <w:sz w:val="18"/>
          <w:szCs w:val="18"/>
          <w:lang w:val="en-US"/>
        </w:rPr>
        <w:t xml:space="preserve"> </w:t>
      </w:r>
    </w:p>
    <w:p w14:paraId="75407552" w14:textId="49CE910F" w:rsidR="00FC4D21" w:rsidRPr="00441B3C" w:rsidRDefault="0038197E" w:rsidP="001D62B8">
      <w:pPr>
        <w:pStyle w:val="SingleTxtG"/>
        <w:numPr>
          <w:ilvl w:val="0"/>
          <w:numId w:val="15"/>
        </w:numPr>
        <w:tabs>
          <w:tab w:val="left" w:pos="1701"/>
        </w:tabs>
        <w:ind w:left="1134" w:firstLine="0"/>
        <w:rPr>
          <w:bCs/>
          <w:lang w:val="en-US"/>
        </w:rPr>
      </w:pPr>
      <w:r w:rsidRPr="00441B3C">
        <w:rPr>
          <w:bCs/>
          <w:lang w:val="en-US"/>
        </w:rPr>
        <w:t xml:space="preserve">As noted in </w:t>
      </w:r>
      <w:r w:rsidR="00BE38B0" w:rsidRPr="00441B3C">
        <w:rPr>
          <w:bCs/>
          <w:lang w:val="en-US"/>
        </w:rPr>
        <w:t>A/HRC/35/19</w:t>
      </w:r>
      <w:r w:rsidRPr="00441B3C">
        <w:rPr>
          <w:bCs/>
          <w:lang w:val="en-US"/>
        </w:rPr>
        <w:t>,</w:t>
      </w:r>
      <w:r w:rsidR="000E4204" w:rsidRPr="00441B3C">
        <w:rPr>
          <w:bCs/>
          <w:lang w:val="en-US"/>
        </w:rPr>
        <w:t xml:space="preserve"> </w:t>
      </w:r>
      <w:r w:rsidRPr="00441B3C">
        <w:rPr>
          <w:bCs/>
          <w:lang w:val="en-US"/>
        </w:rPr>
        <w:t>t</w:t>
      </w:r>
      <w:r w:rsidR="00882E1B" w:rsidRPr="00441B3C">
        <w:rPr>
          <w:lang w:val="en-US"/>
        </w:rPr>
        <w:t>he Secretary-General</w:t>
      </w:r>
      <w:r w:rsidR="00A903E0" w:rsidRPr="00441B3C">
        <w:rPr>
          <w:lang w:val="en-US"/>
        </w:rPr>
        <w:t xml:space="preserve"> had</w:t>
      </w:r>
      <w:r w:rsidR="00882E1B" w:rsidRPr="00441B3C">
        <w:rPr>
          <w:lang w:val="en-US"/>
        </w:rPr>
        <w:t xml:space="preserve"> underlined that “findings suggest a consistent failure by the Military Advocate General, who heads the military justice system, and the Attorney</w:t>
      </w:r>
      <w:r w:rsidR="008B7B77" w:rsidRPr="00441B3C">
        <w:rPr>
          <w:lang w:val="en-US"/>
        </w:rPr>
        <w:t>-</w:t>
      </w:r>
      <w:r w:rsidR="00882E1B" w:rsidRPr="00441B3C">
        <w:rPr>
          <w:lang w:val="en-US"/>
        </w:rPr>
        <w:t xml:space="preserve">General to open investigations in cases where there is </w:t>
      </w:r>
      <w:r w:rsidR="00882E1B" w:rsidRPr="00441B3C">
        <w:rPr>
          <w:i/>
          <w:iCs/>
          <w:lang w:val="en-US"/>
        </w:rPr>
        <w:t>prima facie</w:t>
      </w:r>
      <w:r w:rsidR="00882E1B" w:rsidRPr="00441B3C">
        <w:rPr>
          <w:lang w:val="en-US"/>
        </w:rPr>
        <w:t xml:space="preserve"> evidence, including eyewitness testimony, medical reports and </w:t>
      </w:r>
      <w:r w:rsidR="0010235E" w:rsidRPr="00441B3C">
        <w:rPr>
          <w:lang w:val="en-US"/>
        </w:rPr>
        <w:t>audio-visual</w:t>
      </w:r>
      <w:r w:rsidR="00882E1B" w:rsidRPr="00441B3C">
        <w:rPr>
          <w:lang w:val="en-US"/>
        </w:rPr>
        <w:t xml:space="preserve"> materials indicating that actions by State agents were unlawful”.</w:t>
      </w:r>
      <w:r w:rsidR="00882E1B" w:rsidRPr="0011606B">
        <w:rPr>
          <w:sz w:val="18"/>
          <w:szCs w:val="18"/>
          <w:vertAlign w:val="superscript"/>
          <w:lang w:val="en-US"/>
        </w:rPr>
        <w:footnoteReference w:id="17"/>
      </w:r>
      <w:r w:rsidR="00882E1B" w:rsidRPr="00441B3C">
        <w:rPr>
          <w:lang w:val="en-US"/>
        </w:rPr>
        <w:t xml:space="preserve"> </w:t>
      </w:r>
      <w:r w:rsidR="00E42539" w:rsidRPr="00441B3C">
        <w:t xml:space="preserve">The MAG failures undermine current and any future efforts to achieve accountability for these specific incidents by creating the misconception </w:t>
      </w:r>
      <w:r w:rsidR="005524D4" w:rsidRPr="00441B3C">
        <w:rPr>
          <w:bCs/>
          <w:lang w:val="en-US"/>
        </w:rPr>
        <w:t xml:space="preserve">that cases </w:t>
      </w:r>
      <w:proofErr w:type="gramStart"/>
      <w:r w:rsidR="005524D4" w:rsidRPr="00441B3C">
        <w:rPr>
          <w:bCs/>
          <w:lang w:val="en-US"/>
        </w:rPr>
        <w:t xml:space="preserve">were effectively </w:t>
      </w:r>
      <w:r w:rsidR="00F3174D" w:rsidRPr="00441B3C">
        <w:rPr>
          <w:bCs/>
          <w:lang w:val="en-US"/>
        </w:rPr>
        <w:t>addressed</w:t>
      </w:r>
      <w:proofErr w:type="gramEnd"/>
      <w:r w:rsidR="00F3174D" w:rsidRPr="00441B3C">
        <w:rPr>
          <w:bCs/>
          <w:lang w:val="en-US"/>
        </w:rPr>
        <w:t xml:space="preserve"> through </w:t>
      </w:r>
      <w:r w:rsidR="005524D4" w:rsidRPr="00441B3C">
        <w:rPr>
          <w:bCs/>
          <w:lang w:val="en-US"/>
        </w:rPr>
        <w:t>the military justice system</w:t>
      </w:r>
      <w:r w:rsidR="00B47A50" w:rsidRPr="00441B3C">
        <w:rPr>
          <w:bCs/>
          <w:lang w:val="en-US"/>
        </w:rPr>
        <w:t xml:space="preserve">, hence </w:t>
      </w:r>
      <w:r w:rsidR="00AF4F53" w:rsidRPr="00441B3C">
        <w:rPr>
          <w:bCs/>
          <w:lang w:val="en-US"/>
        </w:rPr>
        <w:t xml:space="preserve">enabling Israel to </w:t>
      </w:r>
      <w:r w:rsidR="00F3174D" w:rsidRPr="00441B3C">
        <w:rPr>
          <w:bCs/>
          <w:lang w:val="en-US"/>
        </w:rPr>
        <w:t>argue</w:t>
      </w:r>
      <w:r w:rsidR="00AF4F53" w:rsidRPr="00441B3C">
        <w:rPr>
          <w:bCs/>
          <w:lang w:val="en-US"/>
        </w:rPr>
        <w:t xml:space="preserve"> </w:t>
      </w:r>
      <w:r w:rsidR="00B47A50" w:rsidRPr="00441B3C">
        <w:rPr>
          <w:bCs/>
          <w:lang w:val="en-US"/>
        </w:rPr>
        <w:t>that justice is being pursued</w:t>
      </w:r>
      <w:r w:rsidR="005524D4" w:rsidRPr="00441B3C">
        <w:rPr>
          <w:bCs/>
          <w:lang w:val="en-US"/>
        </w:rPr>
        <w:t>.</w:t>
      </w:r>
      <w:r w:rsidR="00B47A50" w:rsidRPr="00441B3C">
        <w:rPr>
          <w:bCs/>
          <w:lang w:val="en-US"/>
        </w:rPr>
        <w:t xml:space="preserve"> </w:t>
      </w:r>
    </w:p>
    <w:p w14:paraId="44E1B2F0" w14:textId="04803F0E" w:rsidR="00580E7F" w:rsidRPr="00441B3C" w:rsidRDefault="00AF4F53" w:rsidP="001D62B8">
      <w:pPr>
        <w:pStyle w:val="SingleTxtG"/>
        <w:numPr>
          <w:ilvl w:val="0"/>
          <w:numId w:val="15"/>
        </w:numPr>
        <w:tabs>
          <w:tab w:val="left" w:pos="1701"/>
        </w:tabs>
        <w:ind w:left="1134" w:firstLine="0"/>
        <w:rPr>
          <w:bCs/>
          <w:lang w:val="en-US"/>
        </w:rPr>
      </w:pPr>
      <w:r w:rsidRPr="00441B3C">
        <w:rPr>
          <w:bCs/>
          <w:lang w:val="en-US"/>
        </w:rPr>
        <w:t xml:space="preserve">Palestinians face </w:t>
      </w:r>
      <w:r w:rsidR="00385844" w:rsidRPr="00441B3C">
        <w:rPr>
          <w:bCs/>
          <w:lang w:val="en-US"/>
        </w:rPr>
        <w:t xml:space="preserve">a range of </w:t>
      </w:r>
      <w:r w:rsidRPr="00441B3C">
        <w:rPr>
          <w:bCs/>
          <w:lang w:val="en-US"/>
        </w:rPr>
        <w:t>other obstacles that prevent them from gaining access to justice</w:t>
      </w:r>
      <w:r w:rsidR="00385844" w:rsidRPr="00441B3C">
        <w:rPr>
          <w:bCs/>
          <w:lang w:val="en-US"/>
        </w:rPr>
        <w:t xml:space="preserve">, </w:t>
      </w:r>
      <w:r w:rsidR="00F25BE8" w:rsidRPr="00441B3C">
        <w:rPr>
          <w:bCs/>
          <w:lang w:val="en-US"/>
        </w:rPr>
        <w:t>including</w:t>
      </w:r>
      <w:r w:rsidR="00385844" w:rsidRPr="00441B3C">
        <w:rPr>
          <w:bCs/>
          <w:lang w:val="en-US"/>
        </w:rPr>
        <w:t xml:space="preserve"> to</w:t>
      </w:r>
      <w:r w:rsidR="00EB2909" w:rsidRPr="00441B3C">
        <w:rPr>
          <w:bCs/>
          <w:lang w:val="en-US"/>
        </w:rPr>
        <w:t xml:space="preserve"> civil remedies. </w:t>
      </w:r>
      <w:r w:rsidR="007379DF" w:rsidRPr="00441B3C">
        <w:rPr>
          <w:bCs/>
          <w:lang w:val="en-US"/>
        </w:rPr>
        <w:t>For Gaza victims in particular,</w:t>
      </w:r>
      <w:r w:rsidR="00307360" w:rsidRPr="00441B3C">
        <w:rPr>
          <w:bCs/>
          <w:lang w:val="en-US"/>
        </w:rPr>
        <w:t xml:space="preserve"> a number of challenges remain which limit their ability to access accountability mechanisms, including</w:t>
      </w:r>
      <w:r w:rsidR="007379DF" w:rsidRPr="00441B3C">
        <w:rPr>
          <w:bCs/>
          <w:lang w:val="en-US"/>
        </w:rPr>
        <w:t xml:space="preserve"> restrictive legislation on state liability and on statute of limitation</w:t>
      </w:r>
      <w:r w:rsidR="00307360" w:rsidRPr="00441B3C">
        <w:rPr>
          <w:bCs/>
          <w:lang w:val="en-US"/>
        </w:rPr>
        <w:t>s</w:t>
      </w:r>
      <w:r w:rsidR="007379DF" w:rsidRPr="00441B3C">
        <w:rPr>
          <w:bCs/>
          <w:lang w:val="en-US"/>
        </w:rPr>
        <w:t>, considerable court guarantees</w:t>
      </w:r>
      <w:r w:rsidR="00307360" w:rsidRPr="00441B3C">
        <w:rPr>
          <w:bCs/>
          <w:lang w:val="en-US"/>
        </w:rPr>
        <w:t xml:space="preserve"> that </w:t>
      </w:r>
      <w:proofErr w:type="gramStart"/>
      <w:r w:rsidR="00307360" w:rsidRPr="00441B3C">
        <w:rPr>
          <w:bCs/>
          <w:lang w:val="en-US"/>
        </w:rPr>
        <w:t>must be paid</w:t>
      </w:r>
      <w:proofErr w:type="gramEnd"/>
      <w:r w:rsidR="00307360" w:rsidRPr="00441B3C">
        <w:rPr>
          <w:bCs/>
          <w:lang w:val="en-US"/>
        </w:rPr>
        <w:t>,</w:t>
      </w:r>
      <w:r w:rsidR="007379DF" w:rsidRPr="00441B3C">
        <w:rPr>
          <w:bCs/>
          <w:lang w:val="en-US"/>
        </w:rPr>
        <w:t xml:space="preserve"> and </w:t>
      </w:r>
      <w:r w:rsidR="0010235E" w:rsidRPr="00441B3C">
        <w:rPr>
          <w:bCs/>
          <w:lang w:val="en-US"/>
        </w:rPr>
        <w:t xml:space="preserve">the </w:t>
      </w:r>
      <w:r w:rsidR="007379DF" w:rsidRPr="00441B3C">
        <w:rPr>
          <w:bCs/>
          <w:lang w:val="en-US"/>
        </w:rPr>
        <w:t>ban on entry of Gazans </w:t>
      </w:r>
      <w:r w:rsidR="008B7B77" w:rsidRPr="00441B3C">
        <w:rPr>
          <w:bCs/>
          <w:lang w:val="en-US"/>
        </w:rPr>
        <w:t>in</w:t>
      </w:r>
      <w:r w:rsidR="007379DF" w:rsidRPr="00441B3C">
        <w:rPr>
          <w:bCs/>
          <w:lang w:val="en-US"/>
        </w:rPr>
        <w:t>to Israel for legal procedures</w:t>
      </w:r>
      <w:r w:rsidR="00EB2909" w:rsidRPr="00441B3C">
        <w:rPr>
          <w:bCs/>
          <w:lang w:val="en-US"/>
        </w:rPr>
        <w:t>.</w:t>
      </w:r>
      <w:r w:rsidRPr="0011606B">
        <w:rPr>
          <w:bCs/>
          <w:sz w:val="18"/>
          <w:szCs w:val="18"/>
          <w:vertAlign w:val="superscript"/>
          <w:lang w:val="en-US"/>
        </w:rPr>
        <w:footnoteReference w:id="18"/>
      </w:r>
      <w:r w:rsidR="00F25BE8" w:rsidRPr="00441B3C">
        <w:rPr>
          <w:bCs/>
          <w:lang w:val="en-US"/>
        </w:rPr>
        <w:t xml:space="preserve"> </w:t>
      </w:r>
      <w:r w:rsidR="00D11237" w:rsidRPr="00441B3C">
        <w:rPr>
          <w:bCs/>
          <w:lang w:val="en-US"/>
        </w:rPr>
        <w:t>Reportedly, t</w:t>
      </w:r>
      <w:r w:rsidR="007379DF" w:rsidRPr="00441B3C">
        <w:rPr>
          <w:bCs/>
          <w:lang w:val="en-US"/>
        </w:rPr>
        <w:t xml:space="preserve">he </w:t>
      </w:r>
      <w:r w:rsidR="008B7B77" w:rsidRPr="00441B3C">
        <w:rPr>
          <w:bCs/>
          <w:lang w:val="en-US"/>
        </w:rPr>
        <w:t xml:space="preserve">limited </w:t>
      </w:r>
      <w:r w:rsidR="007379DF" w:rsidRPr="00441B3C">
        <w:rPr>
          <w:bCs/>
          <w:lang w:val="en-US"/>
        </w:rPr>
        <w:t>prospects for compensation</w:t>
      </w:r>
      <w:r w:rsidR="00580E7F" w:rsidRPr="00441B3C">
        <w:rPr>
          <w:bCs/>
          <w:lang w:val="en-US"/>
        </w:rPr>
        <w:t xml:space="preserve"> explain the consistent reduction </w:t>
      </w:r>
      <w:r w:rsidR="008B7B77" w:rsidRPr="00441B3C">
        <w:rPr>
          <w:bCs/>
          <w:lang w:val="en-US"/>
        </w:rPr>
        <w:t xml:space="preserve">in </w:t>
      </w:r>
      <w:r w:rsidR="00580E7F" w:rsidRPr="00441B3C">
        <w:rPr>
          <w:bCs/>
          <w:lang w:val="en-US"/>
        </w:rPr>
        <w:t>civil compensation cases filed before Israeli courts over the past years on behalf of Gaza</w:t>
      </w:r>
      <w:r w:rsidR="00F25BE8" w:rsidRPr="00441B3C">
        <w:rPr>
          <w:bCs/>
          <w:lang w:val="en-US"/>
        </w:rPr>
        <w:t xml:space="preserve"> </w:t>
      </w:r>
      <w:r w:rsidR="00580E7F" w:rsidRPr="00441B3C">
        <w:rPr>
          <w:bCs/>
          <w:lang w:val="en-US"/>
        </w:rPr>
        <w:t>victims. </w:t>
      </w:r>
      <w:r w:rsidR="00F25BE8" w:rsidRPr="00441B3C">
        <w:rPr>
          <w:bCs/>
          <w:lang w:val="en-US"/>
        </w:rPr>
        <w:t>While t</w:t>
      </w:r>
      <w:r w:rsidR="00580E7F" w:rsidRPr="00441B3C">
        <w:rPr>
          <w:bCs/>
          <w:lang w:val="en-US"/>
        </w:rPr>
        <w:t>he Palestinian Centre for Human Rights</w:t>
      </w:r>
      <w:r w:rsidR="00F25BE8" w:rsidRPr="00441B3C">
        <w:rPr>
          <w:bCs/>
          <w:lang w:val="en-US"/>
        </w:rPr>
        <w:t xml:space="preserve"> reported having</w:t>
      </w:r>
      <w:r w:rsidR="00580E7F" w:rsidRPr="00441B3C">
        <w:rPr>
          <w:bCs/>
          <w:lang w:val="en-US"/>
        </w:rPr>
        <w:t xml:space="preserve"> filed </w:t>
      </w:r>
      <w:r w:rsidR="007E4C62" w:rsidRPr="00441B3C">
        <w:rPr>
          <w:bCs/>
          <w:lang w:val="en-US"/>
        </w:rPr>
        <w:t>97</w:t>
      </w:r>
      <w:r w:rsidR="00580E7F" w:rsidRPr="00441B3C">
        <w:rPr>
          <w:bCs/>
          <w:lang w:val="en-US"/>
        </w:rPr>
        <w:t xml:space="preserve"> such cases in relation to the 2008-2009 hostilities (91 dismissed and </w:t>
      </w:r>
      <w:r w:rsidR="008B7B77" w:rsidRPr="00441B3C">
        <w:rPr>
          <w:bCs/>
          <w:lang w:val="en-US"/>
        </w:rPr>
        <w:t>six</w:t>
      </w:r>
      <w:r w:rsidR="00580E7F" w:rsidRPr="00441B3C">
        <w:rPr>
          <w:bCs/>
          <w:lang w:val="en-US"/>
        </w:rPr>
        <w:t xml:space="preserve"> still pending</w:t>
      </w:r>
      <w:r w:rsidR="008B7B77" w:rsidRPr="00441B3C">
        <w:rPr>
          <w:bCs/>
          <w:lang w:val="en-US"/>
        </w:rPr>
        <w:t xml:space="preserve"> as at </w:t>
      </w:r>
      <w:r w:rsidR="00B85BCC" w:rsidRPr="00441B3C">
        <w:rPr>
          <w:bCs/>
          <w:lang w:val="en-US"/>
        </w:rPr>
        <w:t>January 2018</w:t>
      </w:r>
      <w:r w:rsidR="00F6712F" w:rsidRPr="00441B3C">
        <w:rPr>
          <w:bCs/>
          <w:lang w:val="en-US"/>
        </w:rPr>
        <w:t>)</w:t>
      </w:r>
      <w:r w:rsidR="00F25BE8" w:rsidRPr="00441B3C">
        <w:rPr>
          <w:bCs/>
          <w:lang w:val="en-US"/>
        </w:rPr>
        <w:t>,</w:t>
      </w:r>
      <w:r w:rsidR="00580E7F" w:rsidRPr="00441B3C">
        <w:rPr>
          <w:bCs/>
          <w:lang w:val="en-US"/>
        </w:rPr>
        <w:t xml:space="preserve"> it only filed </w:t>
      </w:r>
      <w:r w:rsidR="008B7B77" w:rsidRPr="00441B3C">
        <w:rPr>
          <w:bCs/>
          <w:lang w:val="en-US"/>
        </w:rPr>
        <w:t>five</w:t>
      </w:r>
      <w:r w:rsidR="00580E7F" w:rsidRPr="00441B3C">
        <w:rPr>
          <w:bCs/>
          <w:lang w:val="en-US"/>
        </w:rPr>
        <w:t xml:space="preserve"> cases (</w:t>
      </w:r>
      <w:r w:rsidR="008B7B77" w:rsidRPr="00441B3C">
        <w:rPr>
          <w:bCs/>
          <w:lang w:val="en-US"/>
        </w:rPr>
        <w:t>one</w:t>
      </w:r>
      <w:r w:rsidR="00580E7F" w:rsidRPr="00441B3C">
        <w:rPr>
          <w:bCs/>
          <w:lang w:val="en-US"/>
        </w:rPr>
        <w:t xml:space="preserve"> dismissed, </w:t>
      </w:r>
      <w:r w:rsidR="008B7B77" w:rsidRPr="00441B3C">
        <w:rPr>
          <w:bCs/>
          <w:lang w:val="en-US"/>
        </w:rPr>
        <w:t>four</w:t>
      </w:r>
      <w:r w:rsidR="00580E7F" w:rsidRPr="00441B3C">
        <w:rPr>
          <w:bCs/>
          <w:lang w:val="en-US"/>
        </w:rPr>
        <w:t xml:space="preserve"> still pending)</w:t>
      </w:r>
      <w:r w:rsidR="00F25BE8" w:rsidRPr="00441B3C">
        <w:rPr>
          <w:bCs/>
          <w:lang w:val="en-US"/>
        </w:rPr>
        <w:t xml:space="preserve"> for the 2012 and 2014 hostilities.</w:t>
      </w:r>
    </w:p>
    <w:p w14:paraId="219A8D9C" w14:textId="77777777" w:rsidR="00B71EF0" w:rsidRPr="00441B3C" w:rsidRDefault="00F25BE8" w:rsidP="001D62B8">
      <w:pPr>
        <w:pStyle w:val="SingleTxtG"/>
        <w:numPr>
          <w:ilvl w:val="0"/>
          <w:numId w:val="15"/>
        </w:numPr>
        <w:tabs>
          <w:tab w:val="left" w:pos="1701"/>
        </w:tabs>
        <w:ind w:left="1134" w:firstLine="0"/>
        <w:rPr>
          <w:bCs/>
          <w:lang w:val="en-US"/>
        </w:rPr>
      </w:pPr>
      <w:r w:rsidRPr="00441B3C">
        <w:rPr>
          <w:bCs/>
          <w:lang w:val="en-US"/>
        </w:rPr>
        <w:lastRenderedPageBreak/>
        <w:t>In particular, the exclusion of Gaza’s population (as residents of an “enemy territory”) from the scope of Israel’s civil liability legislation in October 2014 – with retroactive applicability to July 2</w:t>
      </w:r>
      <w:r w:rsidR="0010235E" w:rsidRPr="00441B3C">
        <w:rPr>
          <w:bCs/>
          <w:lang w:val="en-US"/>
        </w:rPr>
        <w:t>014 – has exempted Israel from</w:t>
      </w:r>
      <w:r w:rsidRPr="00441B3C">
        <w:rPr>
          <w:bCs/>
          <w:lang w:val="en-US"/>
        </w:rPr>
        <w:t xml:space="preserve"> liability for any wrongful act committed by the I</w:t>
      </w:r>
      <w:r w:rsidR="008B7B77" w:rsidRPr="00441B3C">
        <w:rPr>
          <w:bCs/>
          <w:lang w:val="en-US"/>
        </w:rPr>
        <w:t xml:space="preserve">sraeli </w:t>
      </w:r>
      <w:proofErr w:type="spellStart"/>
      <w:r w:rsidRPr="00441B3C">
        <w:rPr>
          <w:bCs/>
          <w:lang w:val="en-US"/>
        </w:rPr>
        <w:t>D</w:t>
      </w:r>
      <w:r w:rsidR="008B7B77" w:rsidRPr="00441B3C">
        <w:rPr>
          <w:bCs/>
          <w:lang w:val="en-US"/>
        </w:rPr>
        <w:t>efence</w:t>
      </w:r>
      <w:proofErr w:type="spellEnd"/>
      <w:r w:rsidR="008B7B77" w:rsidRPr="00441B3C">
        <w:rPr>
          <w:bCs/>
          <w:lang w:val="en-US"/>
        </w:rPr>
        <w:t xml:space="preserve"> </w:t>
      </w:r>
      <w:r w:rsidRPr="00441B3C">
        <w:rPr>
          <w:bCs/>
          <w:lang w:val="en-US"/>
        </w:rPr>
        <w:t>F</w:t>
      </w:r>
      <w:r w:rsidR="008B7B77" w:rsidRPr="00441B3C">
        <w:rPr>
          <w:bCs/>
          <w:lang w:val="en-US"/>
        </w:rPr>
        <w:t>orces</w:t>
      </w:r>
      <w:r w:rsidR="00A903E0" w:rsidRPr="00441B3C">
        <w:rPr>
          <w:bCs/>
          <w:lang w:val="en-US"/>
        </w:rPr>
        <w:t xml:space="preserve"> (IDF)</w:t>
      </w:r>
      <w:r w:rsidR="008B7B77" w:rsidRPr="00441B3C">
        <w:rPr>
          <w:bCs/>
          <w:lang w:val="en-US"/>
        </w:rPr>
        <w:t xml:space="preserve"> </w:t>
      </w:r>
      <w:r w:rsidRPr="00441B3C">
        <w:rPr>
          <w:bCs/>
          <w:lang w:val="en-US"/>
        </w:rPr>
        <w:t>during the 2014 escalation.</w:t>
      </w:r>
      <w:r w:rsidRPr="0011606B">
        <w:rPr>
          <w:bCs/>
          <w:sz w:val="18"/>
          <w:szCs w:val="18"/>
          <w:vertAlign w:val="superscript"/>
          <w:lang w:val="en-US"/>
        </w:rPr>
        <w:footnoteReference w:id="19"/>
      </w:r>
      <w:r w:rsidRPr="0011606B">
        <w:rPr>
          <w:bCs/>
          <w:sz w:val="18"/>
          <w:szCs w:val="18"/>
          <w:lang w:val="en-US"/>
        </w:rPr>
        <w:t xml:space="preserve"> </w:t>
      </w:r>
      <w:r w:rsidR="00B71EF0" w:rsidRPr="00441B3C">
        <w:rPr>
          <w:bCs/>
          <w:lang w:val="en-US"/>
        </w:rPr>
        <w:t>The constitutionality of</w:t>
      </w:r>
      <w:r w:rsidR="00DE3AC8" w:rsidRPr="00441B3C">
        <w:rPr>
          <w:bCs/>
          <w:lang w:val="en-US"/>
        </w:rPr>
        <w:t xml:space="preserve"> the exclusion clause </w:t>
      </w:r>
      <w:proofErr w:type="gramStart"/>
      <w:r w:rsidR="00B71EF0" w:rsidRPr="00441B3C">
        <w:rPr>
          <w:bCs/>
          <w:lang w:val="en-US"/>
        </w:rPr>
        <w:t>has been challenged</w:t>
      </w:r>
      <w:proofErr w:type="gramEnd"/>
      <w:r w:rsidR="00B71EF0" w:rsidRPr="00441B3C">
        <w:rPr>
          <w:bCs/>
          <w:lang w:val="en-US"/>
        </w:rPr>
        <w:t xml:space="preserve"> within the scope of a tort lawsuit brought to the </w:t>
      </w:r>
      <w:r w:rsidR="00A903E0" w:rsidRPr="00441B3C">
        <w:rPr>
          <w:bCs/>
          <w:lang w:val="en-US"/>
        </w:rPr>
        <w:t>D</w:t>
      </w:r>
      <w:r w:rsidR="00B71EF0" w:rsidRPr="00441B3C">
        <w:rPr>
          <w:bCs/>
          <w:lang w:val="en-US"/>
        </w:rPr>
        <w:t xml:space="preserve">istrict </w:t>
      </w:r>
      <w:r w:rsidR="00A903E0" w:rsidRPr="00441B3C">
        <w:rPr>
          <w:bCs/>
          <w:lang w:val="en-US"/>
        </w:rPr>
        <w:t>C</w:t>
      </w:r>
      <w:r w:rsidR="00B71EF0" w:rsidRPr="00441B3C">
        <w:rPr>
          <w:bCs/>
          <w:lang w:val="en-US"/>
        </w:rPr>
        <w:t xml:space="preserve">ourt of </w:t>
      </w:r>
      <w:proofErr w:type="spellStart"/>
      <w:r w:rsidR="00B71EF0" w:rsidRPr="00441B3C">
        <w:rPr>
          <w:bCs/>
          <w:lang w:val="en-US"/>
        </w:rPr>
        <w:t>Beersheva</w:t>
      </w:r>
      <w:proofErr w:type="spellEnd"/>
      <w:r w:rsidR="00A903E0" w:rsidRPr="00441B3C">
        <w:rPr>
          <w:bCs/>
          <w:lang w:val="en-US"/>
        </w:rPr>
        <w:t>.</w:t>
      </w:r>
      <w:r w:rsidR="008B7B77" w:rsidRPr="00441B3C">
        <w:rPr>
          <w:rStyle w:val="FootnoteReference"/>
          <w:bCs/>
          <w:lang w:val="en-US"/>
        </w:rPr>
        <w:footnoteReference w:id="20"/>
      </w:r>
      <w:r w:rsidR="00A82338" w:rsidRPr="00441B3C">
        <w:rPr>
          <w:bCs/>
          <w:lang w:val="en-US"/>
        </w:rPr>
        <w:t xml:space="preserve"> </w:t>
      </w:r>
      <w:r w:rsidR="004F0E00" w:rsidRPr="00441B3C">
        <w:rPr>
          <w:bCs/>
          <w:lang w:val="en-US"/>
        </w:rPr>
        <w:t xml:space="preserve">In this case, </w:t>
      </w:r>
      <w:r w:rsidR="00273916" w:rsidRPr="00441B3C">
        <w:rPr>
          <w:bCs/>
          <w:lang w:val="en-US"/>
        </w:rPr>
        <w:t>the plaintiffs</w:t>
      </w:r>
      <w:r w:rsidR="0035333C" w:rsidRPr="00441B3C">
        <w:rPr>
          <w:bCs/>
          <w:lang w:val="en-US"/>
        </w:rPr>
        <w:t xml:space="preserve"> are arguing that a similar exclusion clause </w:t>
      </w:r>
      <w:proofErr w:type="gramStart"/>
      <w:r w:rsidR="0035333C" w:rsidRPr="00441B3C">
        <w:rPr>
          <w:bCs/>
          <w:lang w:val="en-US"/>
        </w:rPr>
        <w:t>had been ruled</w:t>
      </w:r>
      <w:proofErr w:type="gramEnd"/>
      <w:r w:rsidR="0035333C" w:rsidRPr="00441B3C">
        <w:rPr>
          <w:bCs/>
          <w:lang w:val="en-US"/>
        </w:rPr>
        <w:t xml:space="preserve"> unconstitutional by the Supreme Court in 2006.</w:t>
      </w:r>
      <w:r w:rsidR="0035333C" w:rsidRPr="00441B3C">
        <w:rPr>
          <w:bCs/>
          <w:vertAlign w:val="superscript"/>
          <w:lang w:val="en-US"/>
        </w:rPr>
        <w:footnoteReference w:id="21"/>
      </w:r>
      <w:r w:rsidR="0035333C" w:rsidRPr="00441B3C">
        <w:rPr>
          <w:bCs/>
          <w:lang w:val="en-US"/>
        </w:rPr>
        <w:t xml:space="preserve"> </w:t>
      </w:r>
      <w:r w:rsidR="00DE3AC8" w:rsidRPr="00441B3C">
        <w:rPr>
          <w:bCs/>
          <w:lang w:val="en-US"/>
        </w:rPr>
        <w:t>In its response to the court, the Knesset’s legal advis</w:t>
      </w:r>
      <w:r w:rsidR="008B7B77" w:rsidRPr="00441B3C">
        <w:rPr>
          <w:bCs/>
          <w:lang w:val="en-US"/>
        </w:rPr>
        <w:t>e</w:t>
      </w:r>
      <w:r w:rsidR="00DE3AC8" w:rsidRPr="00441B3C">
        <w:rPr>
          <w:bCs/>
          <w:lang w:val="en-US"/>
        </w:rPr>
        <w:t xml:space="preserve">r supported the State’s position that the clause </w:t>
      </w:r>
      <w:r w:rsidR="008B7B77" w:rsidRPr="00441B3C">
        <w:rPr>
          <w:bCs/>
          <w:lang w:val="en-US"/>
        </w:rPr>
        <w:t>was</w:t>
      </w:r>
      <w:r w:rsidR="00DE3AC8" w:rsidRPr="00441B3C">
        <w:rPr>
          <w:bCs/>
          <w:lang w:val="en-US"/>
        </w:rPr>
        <w:t xml:space="preserve"> constitutional</w:t>
      </w:r>
      <w:r w:rsidR="0035333C" w:rsidRPr="00441B3C">
        <w:rPr>
          <w:bCs/>
          <w:lang w:val="en-US"/>
        </w:rPr>
        <w:t xml:space="preserve">. The decision of the </w:t>
      </w:r>
      <w:r w:rsidR="00DE3AC8" w:rsidRPr="00441B3C">
        <w:rPr>
          <w:bCs/>
          <w:lang w:val="en-US"/>
        </w:rPr>
        <w:t xml:space="preserve">court </w:t>
      </w:r>
      <w:r w:rsidR="008B7B77" w:rsidRPr="00441B3C">
        <w:rPr>
          <w:bCs/>
          <w:lang w:val="en-US"/>
        </w:rPr>
        <w:t>was</w:t>
      </w:r>
      <w:r w:rsidR="00DE3AC8" w:rsidRPr="00441B3C">
        <w:rPr>
          <w:bCs/>
          <w:lang w:val="en-US"/>
        </w:rPr>
        <w:t xml:space="preserve"> still pending</w:t>
      </w:r>
      <w:r w:rsidR="008B7B77" w:rsidRPr="00441B3C">
        <w:rPr>
          <w:bCs/>
          <w:lang w:val="en-US"/>
        </w:rPr>
        <w:t xml:space="preserve"> as at </w:t>
      </w:r>
      <w:r w:rsidR="009F695E" w:rsidRPr="00441B3C">
        <w:rPr>
          <w:bCs/>
          <w:lang w:val="en-US"/>
        </w:rPr>
        <w:t>mid-January 2018</w:t>
      </w:r>
      <w:r w:rsidR="008B7B77" w:rsidRPr="00441B3C">
        <w:rPr>
          <w:bCs/>
          <w:lang w:val="en-US"/>
        </w:rPr>
        <w:t>. I</w:t>
      </w:r>
      <w:r w:rsidR="0035333C" w:rsidRPr="00441B3C">
        <w:rPr>
          <w:bCs/>
          <w:lang w:val="en-US"/>
        </w:rPr>
        <w:t xml:space="preserve">t </w:t>
      </w:r>
      <w:proofErr w:type="gramStart"/>
      <w:r w:rsidR="00492557" w:rsidRPr="00441B3C">
        <w:rPr>
          <w:bCs/>
          <w:lang w:val="en-US"/>
        </w:rPr>
        <w:t>is expected</w:t>
      </w:r>
      <w:proofErr w:type="gramEnd"/>
      <w:r w:rsidR="00492557" w:rsidRPr="00441B3C">
        <w:rPr>
          <w:bCs/>
          <w:lang w:val="en-US"/>
        </w:rPr>
        <w:t xml:space="preserve"> to</w:t>
      </w:r>
      <w:r w:rsidR="0035333C" w:rsidRPr="00441B3C">
        <w:rPr>
          <w:bCs/>
          <w:lang w:val="en-US"/>
        </w:rPr>
        <w:t xml:space="preserve"> affect the outcome of three other cases</w:t>
      </w:r>
      <w:r w:rsidR="002773E4" w:rsidRPr="00441B3C">
        <w:rPr>
          <w:bCs/>
          <w:lang w:val="en-US"/>
        </w:rPr>
        <w:t xml:space="preserve"> </w:t>
      </w:r>
      <w:r w:rsidR="00111B54" w:rsidRPr="00441B3C">
        <w:rPr>
          <w:bCs/>
          <w:lang w:val="en-US"/>
        </w:rPr>
        <w:t xml:space="preserve">of Palestinians killed </w:t>
      </w:r>
      <w:r w:rsidR="004D219D" w:rsidRPr="00441B3C">
        <w:rPr>
          <w:bCs/>
          <w:lang w:val="en-US"/>
        </w:rPr>
        <w:t xml:space="preserve">by </w:t>
      </w:r>
      <w:r w:rsidR="0038197E" w:rsidRPr="00441B3C">
        <w:rPr>
          <w:bCs/>
          <w:lang w:val="en-US"/>
        </w:rPr>
        <w:t>ISF</w:t>
      </w:r>
      <w:r w:rsidR="008B7B77" w:rsidRPr="00441B3C">
        <w:rPr>
          <w:bCs/>
          <w:lang w:val="en-US"/>
        </w:rPr>
        <w:t xml:space="preserve"> </w:t>
      </w:r>
      <w:r w:rsidR="004D219D" w:rsidRPr="00441B3C">
        <w:rPr>
          <w:bCs/>
          <w:lang w:val="en-US"/>
        </w:rPr>
        <w:t>during the 2014 escalation of hostilities that were</w:t>
      </w:r>
      <w:r w:rsidR="0035333C" w:rsidRPr="00441B3C">
        <w:rPr>
          <w:bCs/>
          <w:lang w:val="en-US"/>
        </w:rPr>
        <w:t xml:space="preserve"> filed by the Palestinian Center for Human Rights</w:t>
      </w:r>
      <w:r w:rsidR="00111B54" w:rsidRPr="00441B3C">
        <w:rPr>
          <w:bCs/>
          <w:lang w:val="en-US"/>
        </w:rPr>
        <w:t xml:space="preserve">. </w:t>
      </w:r>
      <w:r w:rsidR="0035333C" w:rsidRPr="00441B3C">
        <w:rPr>
          <w:bCs/>
          <w:lang w:val="en-US"/>
        </w:rPr>
        <w:t xml:space="preserve"> </w:t>
      </w:r>
    </w:p>
    <w:p w14:paraId="41376D24" w14:textId="77777777" w:rsidR="00487297" w:rsidRPr="00441B3C" w:rsidRDefault="00EB2909" w:rsidP="001D62B8">
      <w:pPr>
        <w:pStyle w:val="SingleTxtG"/>
        <w:numPr>
          <w:ilvl w:val="0"/>
          <w:numId w:val="15"/>
        </w:numPr>
        <w:tabs>
          <w:tab w:val="left" w:pos="1701"/>
        </w:tabs>
        <w:ind w:left="1134" w:firstLine="0"/>
        <w:rPr>
          <w:bCs/>
          <w:lang w:val="en-US"/>
        </w:rPr>
      </w:pPr>
      <w:r w:rsidRPr="00441B3C">
        <w:rPr>
          <w:bCs/>
          <w:lang w:val="en-US"/>
        </w:rPr>
        <w:t>In its report, the commission of inquiry also identifie</w:t>
      </w:r>
      <w:r w:rsidR="00B74335" w:rsidRPr="00441B3C">
        <w:rPr>
          <w:bCs/>
          <w:lang w:val="en-US"/>
        </w:rPr>
        <w:t>d</w:t>
      </w:r>
      <w:r w:rsidRPr="00441B3C">
        <w:rPr>
          <w:bCs/>
          <w:lang w:val="en-US"/>
        </w:rPr>
        <w:t xml:space="preserve"> violations by the Palestinian </w:t>
      </w:r>
      <w:r w:rsidR="001B4208" w:rsidRPr="00441B3C">
        <w:rPr>
          <w:bCs/>
          <w:lang w:val="en-US"/>
        </w:rPr>
        <w:t>A</w:t>
      </w:r>
      <w:r w:rsidRPr="00441B3C">
        <w:rPr>
          <w:bCs/>
          <w:lang w:val="en-US"/>
        </w:rPr>
        <w:t>uthorit</w:t>
      </w:r>
      <w:r w:rsidR="001B4208" w:rsidRPr="00441B3C">
        <w:rPr>
          <w:bCs/>
          <w:lang w:val="en-US"/>
        </w:rPr>
        <w:t>y, Palestinian armed groups, and the authorities in Gaza</w:t>
      </w:r>
      <w:r w:rsidR="00E004C5" w:rsidRPr="00441B3C">
        <w:rPr>
          <w:bCs/>
          <w:lang w:val="en-US"/>
        </w:rPr>
        <w:t xml:space="preserve">. </w:t>
      </w:r>
      <w:r w:rsidR="00487297" w:rsidRPr="00441B3C">
        <w:rPr>
          <w:bCs/>
          <w:lang w:val="en-US"/>
        </w:rPr>
        <w:t xml:space="preserve">The report of the Palestinian Independent National Committee established to follow up on the </w:t>
      </w:r>
      <w:r w:rsidR="00273916" w:rsidRPr="00441B3C">
        <w:rPr>
          <w:bCs/>
          <w:lang w:val="en-US"/>
        </w:rPr>
        <w:t xml:space="preserve">commission’s </w:t>
      </w:r>
      <w:r w:rsidR="00487297" w:rsidRPr="00441B3C">
        <w:rPr>
          <w:bCs/>
          <w:lang w:val="en-US"/>
        </w:rPr>
        <w:t xml:space="preserve">recommendations addressed to the Palestinian Authority </w:t>
      </w:r>
      <w:proofErr w:type="gramStart"/>
      <w:r w:rsidR="00487297" w:rsidRPr="00441B3C">
        <w:rPr>
          <w:bCs/>
          <w:lang w:val="en-US"/>
        </w:rPr>
        <w:t>was issued</w:t>
      </w:r>
      <w:proofErr w:type="gramEnd"/>
      <w:r w:rsidR="00487297" w:rsidRPr="00441B3C">
        <w:rPr>
          <w:bCs/>
          <w:lang w:val="en-US"/>
        </w:rPr>
        <w:t xml:space="preserve"> in January 2017. While the</w:t>
      </w:r>
      <w:r w:rsidR="00D86FBD" w:rsidRPr="00441B3C">
        <w:rPr>
          <w:bCs/>
          <w:lang w:val="en-US"/>
        </w:rPr>
        <w:t xml:space="preserve"> Committee’s</w:t>
      </w:r>
      <w:r w:rsidR="00487297" w:rsidRPr="00441B3C">
        <w:rPr>
          <w:bCs/>
          <w:lang w:val="en-US"/>
        </w:rPr>
        <w:t xml:space="preserve"> report focuses on Israeli violations, it also elaborates on </w:t>
      </w:r>
      <w:r w:rsidR="0062705A" w:rsidRPr="00441B3C">
        <w:rPr>
          <w:bCs/>
          <w:lang w:val="en-US"/>
        </w:rPr>
        <w:t xml:space="preserve">specific </w:t>
      </w:r>
      <w:r w:rsidR="00487297" w:rsidRPr="00441B3C">
        <w:rPr>
          <w:bCs/>
          <w:lang w:val="en-US"/>
        </w:rPr>
        <w:t>violations by Palestinian actors</w:t>
      </w:r>
      <w:r w:rsidR="00166D1D" w:rsidRPr="00441B3C">
        <w:rPr>
          <w:bCs/>
          <w:lang w:val="en-US"/>
        </w:rPr>
        <w:t xml:space="preserve"> committed between 2014 and </w:t>
      </w:r>
      <w:r w:rsidR="00201EC5" w:rsidRPr="00441B3C">
        <w:rPr>
          <w:bCs/>
          <w:lang w:val="en-US"/>
        </w:rPr>
        <w:t>2015</w:t>
      </w:r>
      <w:r w:rsidR="00487297" w:rsidRPr="00441B3C">
        <w:rPr>
          <w:bCs/>
          <w:lang w:val="en-US"/>
        </w:rPr>
        <w:t xml:space="preserve">. However, none of the findings specifically </w:t>
      </w:r>
      <w:proofErr w:type="gramStart"/>
      <w:r w:rsidR="00487297" w:rsidRPr="00441B3C">
        <w:rPr>
          <w:bCs/>
          <w:lang w:val="en-US"/>
        </w:rPr>
        <w:t>address</w:t>
      </w:r>
      <w:proofErr w:type="gramEnd"/>
      <w:r w:rsidR="00F73D15" w:rsidRPr="00441B3C">
        <w:rPr>
          <w:bCs/>
          <w:lang w:val="en-US"/>
        </w:rPr>
        <w:t xml:space="preserve"> the</w:t>
      </w:r>
      <w:r w:rsidR="00487297" w:rsidRPr="00441B3C">
        <w:rPr>
          <w:bCs/>
          <w:lang w:val="en-US"/>
        </w:rPr>
        <w:t xml:space="preserve"> violations </w:t>
      </w:r>
      <w:r w:rsidR="0062705A" w:rsidRPr="00441B3C">
        <w:rPr>
          <w:bCs/>
          <w:lang w:val="en-US"/>
        </w:rPr>
        <w:t xml:space="preserve">committed </w:t>
      </w:r>
      <w:r w:rsidR="00487297" w:rsidRPr="00441B3C">
        <w:rPr>
          <w:bCs/>
          <w:lang w:val="en-US"/>
        </w:rPr>
        <w:t xml:space="preserve">by Palestinian </w:t>
      </w:r>
      <w:r w:rsidR="003E74EA" w:rsidRPr="00441B3C">
        <w:rPr>
          <w:bCs/>
          <w:lang w:val="en-US"/>
        </w:rPr>
        <w:t>actor</w:t>
      </w:r>
      <w:r w:rsidR="00487297" w:rsidRPr="00441B3C">
        <w:rPr>
          <w:bCs/>
          <w:lang w:val="en-US"/>
        </w:rPr>
        <w:t>s</w:t>
      </w:r>
      <w:r w:rsidR="00201EC5" w:rsidRPr="00441B3C">
        <w:rPr>
          <w:bCs/>
          <w:lang w:val="en-US"/>
        </w:rPr>
        <w:t xml:space="preserve"> in Gaza</w:t>
      </w:r>
      <w:r w:rsidR="00487297" w:rsidRPr="00441B3C">
        <w:rPr>
          <w:bCs/>
          <w:lang w:val="en-US"/>
        </w:rPr>
        <w:t xml:space="preserve"> during the 2014 escalation of hostilities, nor </w:t>
      </w:r>
      <w:r w:rsidR="0038197E" w:rsidRPr="00441B3C">
        <w:rPr>
          <w:bCs/>
          <w:lang w:val="en-US"/>
        </w:rPr>
        <w:t xml:space="preserve">indicate what </w:t>
      </w:r>
      <w:r w:rsidR="00F73D15" w:rsidRPr="00441B3C">
        <w:rPr>
          <w:bCs/>
          <w:lang w:val="en-US"/>
        </w:rPr>
        <w:t>actions might be taken in order to establish</w:t>
      </w:r>
      <w:r w:rsidR="0038197E" w:rsidRPr="00441B3C">
        <w:rPr>
          <w:bCs/>
          <w:lang w:val="en-US"/>
        </w:rPr>
        <w:t xml:space="preserve"> </w:t>
      </w:r>
      <w:r w:rsidR="00487297" w:rsidRPr="00441B3C">
        <w:rPr>
          <w:bCs/>
          <w:lang w:val="en-US"/>
        </w:rPr>
        <w:t xml:space="preserve">accountability for such violations. To date, </w:t>
      </w:r>
      <w:r w:rsidR="00AB138F" w:rsidRPr="00441B3C">
        <w:rPr>
          <w:bCs/>
          <w:lang w:val="en-US"/>
        </w:rPr>
        <w:t xml:space="preserve">there is </w:t>
      </w:r>
      <w:r w:rsidR="00487297" w:rsidRPr="00441B3C">
        <w:rPr>
          <w:bCs/>
          <w:lang w:val="en-US"/>
        </w:rPr>
        <w:t xml:space="preserve">no information </w:t>
      </w:r>
      <w:r w:rsidR="00F73D15" w:rsidRPr="00441B3C">
        <w:rPr>
          <w:bCs/>
          <w:lang w:val="en-US"/>
        </w:rPr>
        <w:t xml:space="preserve">suggesting </w:t>
      </w:r>
      <w:r w:rsidR="00B74335" w:rsidRPr="00441B3C">
        <w:rPr>
          <w:bCs/>
          <w:lang w:val="en-US"/>
        </w:rPr>
        <w:t xml:space="preserve">that </w:t>
      </w:r>
      <w:r w:rsidR="00487297" w:rsidRPr="00441B3C">
        <w:rPr>
          <w:bCs/>
          <w:lang w:val="en-US"/>
        </w:rPr>
        <w:t xml:space="preserve">any meaningful step </w:t>
      </w:r>
      <w:proofErr w:type="gramStart"/>
      <w:r w:rsidR="00B74335" w:rsidRPr="00441B3C">
        <w:rPr>
          <w:bCs/>
          <w:lang w:val="en-US"/>
        </w:rPr>
        <w:t xml:space="preserve">was </w:t>
      </w:r>
      <w:r w:rsidR="00487297" w:rsidRPr="00441B3C">
        <w:rPr>
          <w:bCs/>
          <w:lang w:val="en-US"/>
        </w:rPr>
        <w:t>taken</w:t>
      </w:r>
      <w:proofErr w:type="gramEnd"/>
      <w:r w:rsidR="00487297" w:rsidRPr="00441B3C">
        <w:rPr>
          <w:bCs/>
          <w:lang w:val="en-US"/>
        </w:rPr>
        <w:t xml:space="preserve"> by the Palestinian authorities to address violations </w:t>
      </w:r>
      <w:r w:rsidR="00AB138F" w:rsidRPr="00441B3C">
        <w:rPr>
          <w:bCs/>
          <w:lang w:val="en-US"/>
        </w:rPr>
        <w:t xml:space="preserve">by Palestinian actors </w:t>
      </w:r>
      <w:r w:rsidR="00487297" w:rsidRPr="00441B3C">
        <w:rPr>
          <w:bCs/>
          <w:lang w:val="en-US"/>
        </w:rPr>
        <w:t xml:space="preserve">during the 2014 escalation of hostilities. </w:t>
      </w:r>
    </w:p>
    <w:p w14:paraId="0662E542" w14:textId="5764D0FA" w:rsidR="00B51825" w:rsidRPr="00441B3C" w:rsidRDefault="0011606B" w:rsidP="001D62B8">
      <w:pPr>
        <w:pStyle w:val="H1G"/>
        <w:spacing w:line="240" w:lineRule="atLeast"/>
        <w:jc w:val="both"/>
        <w:rPr>
          <w:lang w:val="en-US"/>
        </w:rPr>
      </w:pPr>
      <w:r>
        <w:rPr>
          <w:lang w:val="en-US"/>
        </w:rPr>
        <w:tab/>
        <w:t>B.</w:t>
      </w:r>
      <w:r w:rsidR="00120B5B" w:rsidRPr="00441B3C">
        <w:rPr>
          <w:lang w:val="en-US"/>
        </w:rPr>
        <w:tab/>
      </w:r>
      <w:r w:rsidR="00487297" w:rsidRPr="00441B3C">
        <w:rPr>
          <w:lang w:val="en-US"/>
        </w:rPr>
        <w:t>Accountability for u</w:t>
      </w:r>
      <w:r w:rsidR="00841C8A" w:rsidRPr="00441B3C">
        <w:rPr>
          <w:lang w:val="en-US"/>
        </w:rPr>
        <w:t>nlawful use of force</w:t>
      </w:r>
    </w:p>
    <w:p w14:paraId="1B01CD07" w14:textId="77777777" w:rsidR="00FF0EFF" w:rsidRPr="00441B3C" w:rsidRDefault="00FF0EFF" w:rsidP="001D62B8">
      <w:pPr>
        <w:pStyle w:val="SingleTxtG"/>
        <w:numPr>
          <w:ilvl w:val="0"/>
          <w:numId w:val="15"/>
        </w:numPr>
        <w:tabs>
          <w:tab w:val="left" w:pos="1134"/>
          <w:tab w:val="left" w:pos="1701"/>
        </w:tabs>
        <w:ind w:left="1134" w:firstLine="0"/>
        <w:rPr>
          <w:bCs/>
          <w:lang w:val="en-US"/>
        </w:rPr>
      </w:pPr>
      <w:proofErr w:type="gramStart"/>
      <w:r w:rsidRPr="00441B3C">
        <w:rPr>
          <w:bCs/>
          <w:lang w:val="en-US"/>
        </w:rPr>
        <w:t xml:space="preserve">The </w:t>
      </w:r>
      <w:r w:rsidRPr="00441B3C">
        <w:t xml:space="preserve">independent international fact-finding mission to investigate the implications of the Israeli settlements on the civil, political, economic, social and cultural rights of the Palestinian people throughout the Occupied Palestinian Territory, including East Jerusalem, </w:t>
      </w:r>
      <w:r w:rsidRPr="00441B3C">
        <w:rPr>
          <w:bCs/>
          <w:lang w:val="en-US"/>
        </w:rPr>
        <w:t>called upon Israel to “ensure full accountability for all violations…in a non-discriminatory manner, and to put an end to the policy of impunity” (A/HRC/22/63).</w:t>
      </w:r>
      <w:proofErr w:type="gramEnd"/>
    </w:p>
    <w:p w14:paraId="2F2333ED" w14:textId="0D24F745" w:rsidR="00573655" w:rsidRPr="00441B3C" w:rsidRDefault="00307360" w:rsidP="001D62B8">
      <w:pPr>
        <w:pStyle w:val="SingleTxtG"/>
        <w:numPr>
          <w:ilvl w:val="0"/>
          <w:numId w:val="15"/>
        </w:numPr>
        <w:tabs>
          <w:tab w:val="left" w:pos="1134"/>
          <w:tab w:val="left" w:pos="1701"/>
        </w:tabs>
        <w:ind w:left="1134" w:firstLine="0"/>
        <w:rPr>
          <w:bCs/>
          <w:lang w:val="en-US"/>
        </w:rPr>
      </w:pPr>
      <w:r w:rsidRPr="00441B3C">
        <w:rPr>
          <w:bCs/>
          <w:lang w:val="en-US"/>
        </w:rPr>
        <w:t>With respect to incidents that occur</w:t>
      </w:r>
      <w:r w:rsidR="001D7E1A" w:rsidRPr="00441B3C">
        <w:rPr>
          <w:bCs/>
          <w:lang w:val="en-US"/>
        </w:rPr>
        <w:t xml:space="preserve"> outside </w:t>
      </w:r>
      <w:r w:rsidR="002D7F5C" w:rsidRPr="00441B3C">
        <w:rPr>
          <w:bCs/>
          <w:lang w:val="en-US"/>
        </w:rPr>
        <w:t xml:space="preserve">the context </w:t>
      </w:r>
      <w:r w:rsidR="001D7E1A" w:rsidRPr="00441B3C">
        <w:rPr>
          <w:bCs/>
          <w:lang w:val="en-US"/>
        </w:rPr>
        <w:t>of</w:t>
      </w:r>
      <w:r w:rsidR="0012408A" w:rsidRPr="00441B3C">
        <w:rPr>
          <w:bCs/>
          <w:lang w:val="en-US"/>
        </w:rPr>
        <w:t xml:space="preserve"> active</w:t>
      </w:r>
      <w:r w:rsidR="001D7E1A" w:rsidRPr="00441B3C">
        <w:rPr>
          <w:bCs/>
          <w:lang w:val="en-US"/>
        </w:rPr>
        <w:t xml:space="preserve"> hostilities, and</w:t>
      </w:r>
      <w:r w:rsidRPr="00441B3C">
        <w:rPr>
          <w:bCs/>
          <w:lang w:val="en-US"/>
        </w:rPr>
        <w:t xml:space="preserve"> particularly in</w:t>
      </w:r>
      <w:r w:rsidR="00AB138F" w:rsidRPr="00441B3C">
        <w:rPr>
          <w:bCs/>
          <w:lang w:val="en-US"/>
        </w:rPr>
        <w:t xml:space="preserve"> </w:t>
      </w:r>
      <w:r w:rsidR="001D7E1A" w:rsidRPr="00441B3C">
        <w:rPr>
          <w:bCs/>
          <w:lang w:val="en-US"/>
        </w:rPr>
        <w:t>cases that mostly pertain to apparent excessive use of force</w:t>
      </w:r>
      <w:r w:rsidR="00E42539" w:rsidRPr="00441B3C">
        <w:rPr>
          <w:bCs/>
          <w:lang w:val="en-US"/>
        </w:rPr>
        <w:t xml:space="preserve"> by ISF</w:t>
      </w:r>
      <w:r w:rsidR="008B09B4" w:rsidRPr="00441B3C">
        <w:rPr>
          <w:bCs/>
          <w:lang w:val="en-US"/>
        </w:rPr>
        <w:t xml:space="preserve">, the </w:t>
      </w:r>
      <w:r w:rsidR="001D7E1A" w:rsidRPr="00441B3C">
        <w:rPr>
          <w:bCs/>
          <w:lang w:val="en-US"/>
        </w:rPr>
        <w:t xml:space="preserve">Secretary-General and the High Commissioner for Human Rights have continuously </w:t>
      </w:r>
      <w:r w:rsidR="00BE38B0" w:rsidRPr="00441B3C">
        <w:rPr>
          <w:bCs/>
          <w:lang w:val="en-US"/>
        </w:rPr>
        <w:t xml:space="preserve">expressed </w:t>
      </w:r>
      <w:r w:rsidR="001D7E1A" w:rsidRPr="00441B3C">
        <w:rPr>
          <w:bCs/>
          <w:lang w:val="en-US"/>
        </w:rPr>
        <w:t xml:space="preserve">concerns as to the prevalence of </w:t>
      </w:r>
      <w:r w:rsidR="00573655" w:rsidRPr="00441B3C">
        <w:rPr>
          <w:bCs/>
          <w:lang w:val="en-US"/>
        </w:rPr>
        <w:t xml:space="preserve">a culture of </w:t>
      </w:r>
      <w:r w:rsidR="001D7E1A" w:rsidRPr="00441B3C">
        <w:rPr>
          <w:bCs/>
          <w:lang w:val="en-US"/>
        </w:rPr>
        <w:t>impunity.</w:t>
      </w:r>
      <w:r w:rsidR="00573655" w:rsidRPr="00441B3C">
        <w:rPr>
          <w:bCs/>
          <w:vertAlign w:val="superscript"/>
          <w:lang w:val="en-US"/>
        </w:rPr>
        <w:footnoteReference w:id="22"/>
      </w:r>
      <w:r w:rsidR="003E74EA" w:rsidRPr="00441B3C">
        <w:rPr>
          <w:bCs/>
          <w:lang w:val="en-US"/>
        </w:rPr>
        <w:t xml:space="preserve"> </w:t>
      </w:r>
      <w:r w:rsidR="007F0CEA" w:rsidRPr="00441B3C">
        <w:rPr>
          <w:bCs/>
          <w:lang w:val="en-US"/>
        </w:rPr>
        <w:t>They also</w:t>
      </w:r>
      <w:r w:rsidR="00E4095C" w:rsidRPr="00441B3C">
        <w:rPr>
          <w:bCs/>
          <w:lang w:val="en-US"/>
        </w:rPr>
        <w:t xml:space="preserve"> </w:t>
      </w:r>
      <w:r w:rsidR="001D7E1A" w:rsidRPr="00441B3C">
        <w:rPr>
          <w:bCs/>
          <w:lang w:val="en-US"/>
        </w:rPr>
        <w:t xml:space="preserve">reported on the conviction of Sergeant </w:t>
      </w:r>
      <w:proofErr w:type="spellStart"/>
      <w:r w:rsidR="001D7E1A" w:rsidRPr="00441B3C">
        <w:rPr>
          <w:bCs/>
          <w:lang w:val="en-US"/>
        </w:rPr>
        <w:t>Elor</w:t>
      </w:r>
      <w:proofErr w:type="spellEnd"/>
      <w:r w:rsidR="001D7E1A" w:rsidRPr="00441B3C">
        <w:rPr>
          <w:bCs/>
          <w:lang w:val="en-US"/>
        </w:rPr>
        <w:t xml:space="preserve"> Azaria for the manslaughter of </w:t>
      </w:r>
      <w:proofErr w:type="spellStart"/>
      <w:r w:rsidR="001D7E1A" w:rsidRPr="00441B3C">
        <w:rPr>
          <w:bCs/>
          <w:lang w:val="en-US"/>
        </w:rPr>
        <w:t>Abdelfattah</w:t>
      </w:r>
      <w:proofErr w:type="spellEnd"/>
      <w:r w:rsidR="001D7E1A" w:rsidRPr="00441B3C">
        <w:rPr>
          <w:bCs/>
          <w:lang w:val="en-US"/>
        </w:rPr>
        <w:t xml:space="preserve"> al-Sharif, a Palestinian </w:t>
      </w:r>
      <w:r w:rsidRPr="00441B3C">
        <w:rPr>
          <w:bCs/>
          <w:lang w:val="en-US"/>
        </w:rPr>
        <w:t xml:space="preserve">who, while already incapacitated after allegedly stabbing an Israeli soldier, </w:t>
      </w:r>
      <w:proofErr w:type="gramStart"/>
      <w:r w:rsidRPr="00441B3C">
        <w:rPr>
          <w:bCs/>
          <w:lang w:val="en-US"/>
        </w:rPr>
        <w:t xml:space="preserve">was </w:t>
      </w:r>
      <w:r w:rsidR="001D7E1A" w:rsidRPr="00441B3C">
        <w:rPr>
          <w:bCs/>
          <w:lang w:val="en-US"/>
        </w:rPr>
        <w:t>shot</w:t>
      </w:r>
      <w:proofErr w:type="gramEnd"/>
      <w:r w:rsidR="001D7E1A" w:rsidRPr="00441B3C">
        <w:rPr>
          <w:bCs/>
          <w:lang w:val="en-US"/>
        </w:rPr>
        <w:t xml:space="preserve"> in the head by an</w:t>
      </w:r>
      <w:r w:rsidRPr="00441B3C">
        <w:rPr>
          <w:bCs/>
          <w:lang w:val="en-US"/>
        </w:rPr>
        <w:t>other</w:t>
      </w:r>
      <w:r w:rsidR="001D7E1A" w:rsidRPr="00441B3C">
        <w:rPr>
          <w:bCs/>
          <w:lang w:val="en-US"/>
        </w:rPr>
        <w:t xml:space="preserve"> ISF soldier</w:t>
      </w:r>
      <w:r w:rsidR="003E74EA" w:rsidRPr="00441B3C">
        <w:rPr>
          <w:bCs/>
          <w:lang w:val="en-US"/>
        </w:rPr>
        <w:t>. This conviction</w:t>
      </w:r>
      <w:r w:rsidR="001D7E1A" w:rsidRPr="00441B3C">
        <w:rPr>
          <w:bCs/>
          <w:lang w:val="en-US"/>
        </w:rPr>
        <w:t xml:space="preserve"> </w:t>
      </w:r>
      <w:r w:rsidR="0038197E" w:rsidRPr="00441B3C">
        <w:rPr>
          <w:bCs/>
          <w:lang w:val="en-US"/>
        </w:rPr>
        <w:t xml:space="preserve">remains exceptional, and </w:t>
      </w:r>
      <w:r w:rsidR="001D7E1A" w:rsidRPr="00441B3C">
        <w:rPr>
          <w:bCs/>
          <w:lang w:val="en-US"/>
        </w:rPr>
        <w:t xml:space="preserve">the </w:t>
      </w:r>
      <w:r w:rsidR="001D7E1A" w:rsidRPr="00441B3C">
        <w:rPr>
          <w:bCs/>
          <w:lang w:val="en-US"/>
        </w:rPr>
        <w:lastRenderedPageBreak/>
        <w:t>18 months imprisonment sentence</w:t>
      </w:r>
      <w:r w:rsidR="00E436F1" w:rsidRPr="00441B3C">
        <w:rPr>
          <w:bCs/>
          <w:lang w:val="en-US"/>
        </w:rPr>
        <w:t xml:space="preserve"> </w:t>
      </w:r>
      <w:proofErr w:type="gramStart"/>
      <w:r w:rsidR="00E436F1" w:rsidRPr="00441B3C">
        <w:rPr>
          <w:bCs/>
          <w:lang w:val="en-US"/>
        </w:rPr>
        <w:t xml:space="preserve">has been </w:t>
      </w:r>
      <w:r w:rsidR="003E74EA" w:rsidRPr="00441B3C">
        <w:rPr>
          <w:bCs/>
          <w:lang w:val="en-US"/>
        </w:rPr>
        <w:t>described</w:t>
      </w:r>
      <w:proofErr w:type="gramEnd"/>
      <w:r w:rsidR="00E436F1" w:rsidRPr="00441B3C">
        <w:rPr>
          <w:bCs/>
          <w:lang w:val="en-US"/>
        </w:rPr>
        <w:t xml:space="preserve"> as excessively lenient</w:t>
      </w:r>
      <w:r w:rsidR="001D7E1A" w:rsidRPr="00441B3C">
        <w:rPr>
          <w:bCs/>
          <w:lang w:val="en-US"/>
        </w:rPr>
        <w:t>.</w:t>
      </w:r>
      <w:r w:rsidR="001D7E1A" w:rsidRPr="00441B3C">
        <w:rPr>
          <w:bCs/>
          <w:vertAlign w:val="superscript"/>
          <w:lang w:val="en-US"/>
        </w:rPr>
        <w:footnoteReference w:id="23"/>
      </w:r>
      <w:r w:rsidR="001D7E1A" w:rsidRPr="00441B3C">
        <w:rPr>
          <w:bCs/>
          <w:lang w:val="en-US"/>
        </w:rPr>
        <w:t xml:space="preserve"> </w:t>
      </w:r>
      <w:r w:rsidR="00573655" w:rsidRPr="00441B3C">
        <w:rPr>
          <w:bCs/>
          <w:lang w:val="en-US"/>
        </w:rPr>
        <w:t xml:space="preserve">While the Military Appeals Court confirmed the conviction and the </w:t>
      </w:r>
      <w:r w:rsidR="001A5893" w:rsidRPr="00441B3C">
        <w:rPr>
          <w:bCs/>
          <w:lang w:val="en-US"/>
        </w:rPr>
        <w:t xml:space="preserve">sentence </w:t>
      </w:r>
      <w:r w:rsidRPr="00441B3C">
        <w:rPr>
          <w:bCs/>
          <w:lang w:val="en-US"/>
        </w:rPr>
        <w:t>of</w:t>
      </w:r>
      <w:r w:rsidR="001A5893" w:rsidRPr="00441B3C">
        <w:rPr>
          <w:bCs/>
          <w:lang w:val="en-US"/>
        </w:rPr>
        <w:t xml:space="preserve"> </w:t>
      </w:r>
      <w:r w:rsidR="00573655" w:rsidRPr="00441B3C">
        <w:rPr>
          <w:bCs/>
          <w:lang w:val="en-US"/>
        </w:rPr>
        <w:t>18 month</w:t>
      </w:r>
      <w:r w:rsidR="001A5893" w:rsidRPr="00441B3C">
        <w:rPr>
          <w:bCs/>
          <w:lang w:val="en-US"/>
        </w:rPr>
        <w:t>s</w:t>
      </w:r>
      <w:r w:rsidR="00573655" w:rsidRPr="00441B3C">
        <w:rPr>
          <w:bCs/>
          <w:lang w:val="en-US"/>
        </w:rPr>
        <w:t xml:space="preserve"> on 30 June 2017</w:t>
      </w:r>
      <w:r w:rsidR="00573655" w:rsidRPr="00441B3C">
        <w:rPr>
          <w:bCs/>
          <w:vertAlign w:val="superscript"/>
          <w:lang w:val="en-US"/>
        </w:rPr>
        <w:footnoteReference w:id="24"/>
      </w:r>
      <w:r w:rsidR="00573655" w:rsidRPr="00441B3C">
        <w:rPr>
          <w:bCs/>
          <w:lang w:val="en-US"/>
        </w:rPr>
        <w:t>, the IDF Chief of Staff announced</w:t>
      </w:r>
      <w:r w:rsidR="00E72C91" w:rsidRPr="00441B3C">
        <w:rPr>
          <w:bCs/>
          <w:lang w:val="en-US"/>
        </w:rPr>
        <w:t xml:space="preserve"> </w:t>
      </w:r>
      <w:r w:rsidR="00573655" w:rsidRPr="00441B3C">
        <w:rPr>
          <w:bCs/>
          <w:lang w:val="en-US"/>
        </w:rPr>
        <w:t>his decision</w:t>
      </w:r>
      <w:r w:rsidRPr="00441B3C">
        <w:rPr>
          <w:bCs/>
          <w:lang w:val="en-US"/>
        </w:rPr>
        <w:t xml:space="preserve"> </w:t>
      </w:r>
      <w:r w:rsidR="00573655" w:rsidRPr="00441B3C">
        <w:rPr>
          <w:bCs/>
          <w:lang w:val="en-US"/>
        </w:rPr>
        <w:t xml:space="preserve">to shorten </w:t>
      </w:r>
      <w:r w:rsidR="001A5893" w:rsidRPr="00441B3C">
        <w:rPr>
          <w:bCs/>
          <w:lang w:val="en-US"/>
        </w:rPr>
        <w:t xml:space="preserve">the sentence </w:t>
      </w:r>
      <w:r w:rsidR="00573655" w:rsidRPr="00441B3C">
        <w:rPr>
          <w:bCs/>
          <w:lang w:val="en-US"/>
        </w:rPr>
        <w:t>by four months</w:t>
      </w:r>
      <w:r w:rsidR="007F0CEA" w:rsidRPr="00441B3C">
        <w:rPr>
          <w:bCs/>
          <w:lang w:val="en-US"/>
        </w:rPr>
        <w:t xml:space="preserve"> in September 2017</w:t>
      </w:r>
      <w:r w:rsidR="00573655" w:rsidRPr="00441B3C">
        <w:rPr>
          <w:bCs/>
          <w:lang w:val="en-US"/>
        </w:rPr>
        <w:t>.</w:t>
      </w:r>
      <w:r w:rsidR="00573655" w:rsidRPr="00441B3C">
        <w:rPr>
          <w:bCs/>
          <w:vertAlign w:val="superscript"/>
          <w:lang w:val="en-US"/>
        </w:rPr>
        <w:footnoteReference w:id="25"/>
      </w:r>
      <w:r w:rsidR="00573655" w:rsidRPr="00441B3C">
        <w:rPr>
          <w:bCs/>
          <w:lang w:val="en-US"/>
        </w:rPr>
        <w:t xml:space="preserve"> </w:t>
      </w:r>
    </w:p>
    <w:p w14:paraId="748BCF48" w14:textId="227B0609" w:rsidR="00430BE6" w:rsidRPr="00441B3C" w:rsidRDefault="00573655" w:rsidP="001D62B8">
      <w:pPr>
        <w:pStyle w:val="SingleTxtG"/>
        <w:numPr>
          <w:ilvl w:val="0"/>
          <w:numId w:val="15"/>
        </w:numPr>
        <w:tabs>
          <w:tab w:val="left" w:pos="1134"/>
          <w:tab w:val="left" w:pos="1701"/>
        </w:tabs>
        <w:ind w:left="1134" w:firstLine="0"/>
        <w:rPr>
          <w:bCs/>
          <w:lang w:val="en-US"/>
        </w:rPr>
      </w:pPr>
      <w:r w:rsidRPr="00441B3C">
        <w:rPr>
          <w:bCs/>
          <w:lang w:val="en-US"/>
        </w:rPr>
        <w:t xml:space="preserve">Recent developments in two other cases further undermine confidence in the Israeli military justice </w:t>
      </w:r>
      <w:proofErr w:type="gramStart"/>
      <w:r w:rsidRPr="00441B3C">
        <w:rPr>
          <w:bCs/>
          <w:lang w:val="en-US"/>
        </w:rPr>
        <w:t>system</w:t>
      </w:r>
      <w:proofErr w:type="gramEnd"/>
      <w:r w:rsidR="00DA0BE3" w:rsidRPr="00441B3C">
        <w:rPr>
          <w:bCs/>
          <w:lang w:val="en-US"/>
        </w:rPr>
        <w:t xml:space="preserve"> as they seem to reinforce </w:t>
      </w:r>
      <w:r w:rsidRPr="00441B3C">
        <w:rPr>
          <w:bCs/>
          <w:lang w:val="en-US"/>
        </w:rPr>
        <w:t>the culture of impunity.</w:t>
      </w:r>
      <w:r w:rsidR="00E055B5" w:rsidRPr="00441B3C">
        <w:rPr>
          <w:bCs/>
          <w:lang w:val="en-US"/>
        </w:rPr>
        <w:t xml:space="preserve"> On 9 January 2018, the sentencing of Border Police </w:t>
      </w:r>
      <w:r w:rsidR="00FE37D2" w:rsidRPr="00441B3C">
        <w:rPr>
          <w:bCs/>
          <w:lang w:val="en-US"/>
        </w:rPr>
        <w:t>O</w:t>
      </w:r>
      <w:r w:rsidR="00E055B5" w:rsidRPr="00441B3C">
        <w:rPr>
          <w:bCs/>
          <w:lang w:val="en-US"/>
        </w:rPr>
        <w:t xml:space="preserve">fficer Ben Deri </w:t>
      </w:r>
      <w:proofErr w:type="gramStart"/>
      <w:r w:rsidR="00E055B5" w:rsidRPr="00441B3C">
        <w:rPr>
          <w:bCs/>
          <w:lang w:val="en-US"/>
        </w:rPr>
        <w:t>was postponed</w:t>
      </w:r>
      <w:proofErr w:type="gramEnd"/>
      <w:r w:rsidR="00E055B5" w:rsidRPr="00441B3C">
        <w:rPr>
          <w:bCs/>
          <w:lang w:val="en-US"/>
        </w:rPr>
        <w:t>, afte</w:t>
      </w:r>
      <w:r w:rsidR="006D2DBC" w:rsidRPr="00441B3C">
        <w:rPr>
          <w:bCs/>
          <w:lang w:val="en-US"/>
        </w:rPr>
        <w:t>r more than three years</w:t>
      </w:r>
      <w:r w:rsidR="00E055B5" w:rsidRPr="00441B3C">
        <w:rPr>
          <w:bCs/>
          <w:lang w:val="en-US"/>
        </w:rPr>
        <w:t xml:space="preserve"> of proceedings before the district court of Jerusalem. </w:t>
      </w:r>
      <w:r w:rsidR="00636B06" w:rsidRPr="00441B3C">
        <w:rPr>
          <w:bCs/>
          <w:lang w:val="en-US"/>
        </w:rPr>
        <w:t>O</w:t>
      </w:r>
      <w:r w:rsidR="00430BE6" w:rsidRPr="00441B3C">
        <w:rPr>
          <w:bCs/>
          <w:lang w:val="en-US"/>
        </w:rPr>
        <w:t>n 15</w:t>
      </w:r>
      <w:r w:rsidR="00E055B5" w:rsidRPr="00441B3C">
        <w:rPr>
          <w:bCs/>
          <w:lang w:val="en-US"/>
        </w:rPr>
        <w:t xml:space="preserve"> May 2014, during a demonstration in </w:t>
      </w:r>
      <w:proofErr w:type="spellStart"/>
      <w:r w:rsidR="00E055B5" w:rsidRPr="00441B3C">
        <w:rPr>
          <w:bCs/>
          <w:lang w:val="en-US"/>
        </w:rPr>
        <w:t>Beitunia</w:t>
      </w:r>
      <w:proofErr w:type="spellEnd"/>
      <w:r w:rsidR="00E055B5" w:rsidRPr="00441B3C">
        <w:rPr>
          <w:bCs/>
          <w:lang w:val="en-US"/>
        </w:rPr>
        <w:t xml:space="preserve">, </w:t>
      </w:r>
      <w:r w:rsidR="00E436F1" w:rsidRPr="00441B3C">
        <w:rPr>
          <w:bCs/>
          <w:lang w:val="en-US"/>
        </w:rPr>
        <w:t>Officer</w:t>
      </w:r>
      <w:r w:rsidR="00E055B5" w:rsidRPr="00441B3C">
        <w:rPr>
          <w:bCs/>
          <w:lang w:val="en-US"/>
        </w:rPr>
        <w:t xml:space="preserve"> Ben Deri shot and killed 17-year-old Nadeem </w:t>
      </w:r>
      <w:proofErr w:type="spellStart"/>
      <w:r w:rsidR="00E055B5" w:rsidRPr="00441B3C">
        <w:rPr>
          <w:bCs/>
          <w:lang w:val="en-US"/>
        </w:rPr>
        <w:t>Nuwara</w:t>
      </w:r>
      <w:proofErr w:type="spellEnd"/>
      <w:r w:rsidR="00E055B5" w:rsidRPr="00441B3C">
        <w:rPr>
          <w:bCs/>
          <w:lang w:val="en-US"/>
        </w:rPr>
        <w:t xml:space="preserve"> </w:t>
      </w:r>
      <w:r w:rsidR="001A5893" w:rsidRPr="00441B3C">
        <w:rPr>
          <w:bCs/>
          <w:lang w:val="en-US"/>
        </w:rPr>
        <w:t xml:space="preserve">although </w:t>
      </w:r>
      <w:r w:rsidR="00E436F1" w:rsidRPr="00441B3C">
        <w:rPr>
          <w:bCs/>
          <w:lang w:val="en-US"/>
        </w:rPr>
        <w:t>the video evidence</w:t>
      </w:r>
      <w:r w:rsidR="0012408A" w:rsidRPr="00441B3C">
        <w:rPr>
          <w:bCs/>
          <w:lang w:val="en-US"/>
        </w:rPr>
        <w:t xml:space="preserve"> presented in court</w:t>
      </w:r>
      <w:r w:rsidR="001A5893" w:rsidRPr="00441B3C">
        <w:rPr>
          <w:bCs/>
          <w:lang w:val="en-US"/>
        </w:rPr>
        <w:t xml:space="preserve"> showed he was not posing any threat</w:t>
      </w:r>
      <w:r w:rsidR="00E055B5" w:rsidRPr="00441B3C">
        <w:rPr>
          <w:bCs/>
          <w:lang w:val="en-US"/>
        </w:rPr>
        <w:t>.</w:t>
      </w:r>
      <w:r w:rsidR="00E436F1" w:rsidRPr="00441B3C">
        <w:rPr>
          <w:bCs/>
          <w:vertAlign w:val="superscript"/>
          <w:lang w:val="en-US"/>
        </w:rPr>
        <w:footnoteReference w:id="26"/>
      </w:r>
      <w:r w:rsidR="00E055B5" w:rsidRPr="00441B3C">
        <w:rPr>
          <w:bCs/>
          <w:lang w:val="en-US"/>
        </w:rPr>
        <w:t xml:space="preserve"> </w:t>
      </w:r>
      <w:r w:rsidR="00430BE6" w:rsidRPr="00441B3C">
        <w:rPr>
          <w:bCs/>
          <w:lang w:val="en-US"/>
        </w:rPr>
        <w:t xml:space="preserve">The </w:t>
      </w:r>
      <w:r w:rsidR="00FE37D2" w:rsidRPr="00441B3C">
        <w:rPr>
          <w:bCs/>
          <w:lang w:val="en-US"/>
        </w:rPr>
        <w:t>O</w:t>
      </w:r>
      <w:r w:rsidR="00430BE6" w:rsidRPr="00441B3C">
        <w:rPr>
          <w:bCs/>
          <w:lang w:val="en-US"/>
        </w:rPr>
        <w:t xml:space="preserve">fficer’s criminal conduct </w:t>
      </w:r>
      <w:proofErr w:type="gramStart"/>
      <w:r w:rsidR="00430BE6" w:rsidRPr="00441B3C">
        <w:rPr>
          <w:bCs/>
          <w:lang w:val="en-US"/>
        </w:rPr>
        <w:t>was downgraded</w:t>
      </w:r>
      <w:proofErr w:type="gramEnd"/>
      <w:r w:rsidR="00430BE6" w:rsidRPr="00441B3C">
        <w:rPr>
          <w:bCs/>
          <w:lang w:val="en-US"/>
        </w:rPr>
        <w:t xml:space="preserve"> to negligent manslaughter based on his claim that he was not aware that his weapon contained live ammunition. Ben Deri later admitted being guilty of negligence in a plea bargain between Israel</w:t>
      </w:r>
      <w:r w:rsidR="002D7F5C" w:rsidRPr="00441B3C">
        <w:rPr>
          <w:bCs/>
          <w:lang w:val="en-US"/>
        </w:rPr>
        <w:t>i prosecutors</w:t>
      </w:r>
      <w:r w:rsidR="00430BE6" w:rsidRPr="00441B3C">
        <w:rPr>
          <w:bCs/>
          <w:lang w:val="en-US"/>
        </w:rPr>
        <w:t xml:space="preserve"> and the accused.</w:t>
      </w:r>
      <w:r w:rsidR="00430BE6" w:rsidRPr="00441B3C">
        <w:rPr>
          <w:bCs/>
          <w:vertAlign w:val="superscript"/>
          <w:lang w:val="en-US"/>
        </w:rPr>
        <w:footnoteReference w:id="27"/>
      </w:r>
      <w:r w:rsidR="003C1803" w:rsidRPr="00441B3C">
        <w:rPr>
          <w:bCs/>
          <w:lang w:val="en-US"/>
        </w:rPr>
        <w:t xml:space="preserve"> Within the scope of the plea bargain, the prosecution has argued for a sentence ranging between 20 to 40 months imp</w:t>
      </w:r>
      <w:r w:rsidR="005036B8" w:rsidRPr="00441B3C">
        <w:rPr>
          <w:bCs/>
          <w:lang w:val="en-US"/>
        </w:rPr>
        <w:t xml:space="preserve">risonment, while the </w:t>
      </w:r>
      <w:proofErr w:type="spellStart"/>
      <w:r w:rsidR="005036B8" w:rsidRPr="00441B3C">
        <w:rPr>
          <w:bCs/>
          <w:lang w:val="en-US"/>
        </w:rPr>
        <w:t>defence</w:t>
      </w:r>
      <w:proofErr w:type="spellEnd"/>
      <w:r w:rsidR="005036B8" w:rsidRPr="00441B3C">
        <w:rPr>
          <w:bCs/>
          <w:lang w:val="en-US"/>
        </w:rPr>
        <w:t xml:space="preserve"> has </w:t>
      </w:r>
      <w:r w:rsidR="003C1803" w:rsidRPr="00441B3C">
        <w:rPr>
          <w:bCs/>
          <w:lang w:val="en-US"/>
        </w:rPr>
        <w:t>plead</w:t>
      </w:r>
      <w:r w:rsidR="005036B8" w:rsidRPr="00441B3C">
        <w:rPr>
          <w:bCs/>
          <w:lang w:val="en-US"/>
        </w:rPr>
        <w:t>ed</w:t>
      </w:r>
      <w:r w:rsidR="003C1803" w:rsidRPr="00441B3C">
        <w:rPr>
          <w:bCs/>
          <w:lang w:val="en-US"/>
        </w:rPr>
        <w:t xml:space="preserve"> in </w:t>
      </w:r>
      <w:proofErr w:type="spellStart"/>
      <w:r w:rsidR="003C1803" w:rsidRPr="00441B3C">
        <w:rPr>
          <w:bCs/>
          <w:lang w:val="en-US"/>
        </w:rPr>
        <w:t>favour</w:t>
      </w:r>
      <w:proofErr w:type="spellEnd"/>
      <w:r w:rsidR="003C1803" w:rsidRPr="00441B3C">
        <w:rPr>
          <w:bCs/>
          <w:lang w:val="en-US"/>
        </w:rPr>
        <w:t xml:space="preserve"> of no additional restriction of liberty.</w:t>
      </w:r>
      <w:r w:rsidR="00B0105F" w:rsidRPr="00441B3C">
        <w:rPr>
          <w:bCs/>
          <w:lang w:val="en-US"/>
        </w:rPr>
        <w:t xml:space="preserve"> The announcement of the sentence, initially expected in January 2018, </w:t>
      </w:r>
      <w:proofErr w:type="gramStart"/>
      <w:r w:rsidR="00B0105F" w:rsidRPr="00441B3C">
        <w:rPr>
          <w:bCs/>
          <w:lang w:val="en-US"/>
        </w:rPr>
        <w:t xml:space="preserve">was </w:t>
      </w:r>
      <w:r w:rsidR="00DA0BE3" w:rsidRPr="00441B3C">
        <w:rPr>
          <w:bCs/>
          <w:lang w:val="en-US"/>
        </w:rPr>
        <w:t>postponed</w:t>
      </w:r>
      <w:proofErr w:type="gramEnd"/>
      <w:r w:rsidR="00DA0BE3" w:rsidRPr="00441B3C">
        <w:rPr>
          <w:bCs/>
          <w:lang w:val="en-US"/>
        </w:rPr>
        <w:t xml:space="preserve"> until</w:t>
      </w:r>
      <w:r w:rsidR="00430BE6" w:rsidRPr="00441B3C">
        <w:rPr>
          <w:bCs/>
          <w:lang w:val="en-US"/>
        </w:rPr>
        <w:t xml:space="preserve"> April 2018</w:t>
      </w:r>
      <w:r w:rsidR="00B0105F" w:rsidRPr="00441B3C">
        <w:rPr>
          <w:bCs/>
          <w:lang w:val="en-US"/>
        </w:rPr>
        <w:t>.</w:t>
      </w:r>
      <w:r w:rsidR="00430BE6" w:rsidRPr="00441B3C">
        <w:rPr>
          <w:bCs/>
          <w:lang w:val="en-US"/>
        </w:rPr>
        <w:t xml:space="preserve"> </w:t>
      </w:r>
      <w:r w:rsidR="00B0105F" w:rsidRPr="00441B3C">
        <w:rPr>
          <w:bCs/>
          <w:lang w:val="en-US"/>
        </w:rPr>
        <w:t xml:space="preserve">The fact that the proceedings are likely to </w:t>
      </w:r>
      <w:proofErr w:type="gramStart"/>
      <w:r w:rsidR="00B0105F" w:rsidRPr="00441B3C">
        <w:rPr>
          <w:bCs/>
          <w:lang w:val="en-US"/>
        </w:rPr>
        <w:t>be concluded</w:t>
      </w:r>
      <w:proofErr w:type="gramEnd"/>
      <w:r w:rsidR="00B0105F" w:rsidRPr="00441B3C">
        <w:rPr>
          <w:bCs/>
          <w:lang w:val="en-US"/>
        </w:rPr>
        <w:t xml:space="preserve"> with a plea bargain, as well as the downgrading of the criminal conduct, raises concerns that the sentence </w:t>
      </w:r>
      <w:r w:rsidR="00430BE6" w:rsidRPr="00441B3C">
        <w:rPr>
          <w:bCs/>
          <w:lang w:val="en-US"/>
        </w:rPr>
        <w:t>will not be in line with the gravity of the crime</w:t>
      </w:r>
      <w:r w:rsidR="00DA0BE3" w:rsidRPr="00441B3C">
        <w:rPr>
          <w:bCs/>
          <w:lang w:val="en-US"/>
        </w:rPr>
        <w:t xml:space="preserve">. </w:t>
      </w:r>
    </w:p>
    <w:p w14:paraId="329BE23C" w14:textId="44A3ED8C" w:rsidR="00430BE6" w:rsidRPr="00441B3C" w:rsidRDefault="00A4429E" w:rsidP="001D62B8">
      <w:pPr>
        <w:pStyle w:val="SingleTxtG"/>
        <w:numPr>
          <w:ilvl w:val="0"/>
          <w:numId w:val="15"/>
        </w:numPr>
        <w:tabs>
          <w:tab w:val="left" w:pos="1134"/>
          <w:tab w:val="left" w:pos="1701"/>
        </w:tabs>
        <w:ind w:left="1134" w:firstLine="0"/>
        <w:rPr>
          <w:bCs/>
          <w:lang w:val="en-US"/>
        </w:rPr>
      </w:pPr>
      <w:r w:rsidRPr="00441B3C">
        <w:rPr>
          <w:bCs/>
          <w:lang w:val="en-US"/>
        </w:rPr>
        <w:t xml:space="preserve"> </w:t>
      </w:r>
      <w:r w:rsidR="00032900" w:rsidRPr="00441B3C">
        <w:rPr>
          <w:bCs/>
          <w:lang w:val="en-US"/>
        </w:rPr>
        <w:t>O</w:t>
      </w:r>
      <w:r w:rsidR="00DA0BE3" w:rsidRPr="00441B3C">
        <w:rPr>
          <w:bCs/>
          <w:lang w:val="en-US"/>
        </w:rPr>
        <w:t>n</w:t>
      </w:r>
      <w:r w:rsidR="00623A18" w:rsidRPr="00441B3C">
        <w:rPr>
          <w:bCs/>
          <w:lang w:val="en-US"/>
        </w:rPr>
        <w:t xml:space="preserve"> 12 January 2018, the media reported that </w:t>
      </w:r>
      <w:r w:rsidR="001A5893" w:rsidRPr="00441B3C">
        <w:rPr>
          <w:bCs/>
          <w:lang w:val="en-US"/>
        </w:rPr>
        <w:t>an IDF</w:t>
      </w:r>
      <w:r w:rsidR="00636B06" w:rsidRPr="00441B3C">
        <w:rPr>
          <w:bCs/>
          <w:lang w:val="en-US"/>
        </w:rPr>
        <w:t xml:space="preserve"> </w:t>
      </w:r>
      <w:r w:rsidR="00623A18" w:rsidRPr="00441B3C">
        <w:rPr>
          <w:bCs/>
          <w:lang w:val="en-US"/>
        </w:rPr>
        <w:t>soldier who</w:t>
      </w:r>
      <w:r w:rsidR="00AF4822" w:rsidRPr="00441B3C">
        <w:rPr>
          <w:bCs/>
          <w:lang w:val="en-US"/>
        </w:rPr>
        <w:t xml:space="preserve"> shot into a Palestinian car</w:t>
      </w:r>
      <w:r w:rsidR="001A5893" w:rsidRPr="00441B3C">
        <w:rPr>
          <w:bCs/>
          <w:lang w:val="en-US"/>
        </w:rPr>
        <w:t>,</w:t>
      </w:r>
      <w:r w:rsidR="00623A18" w:rsidRPr="00441B3C">
        <w:rPr>
          <w:bCs/>
          <w:lang w:val="en-US"/>
        </w:rPr>
        <w:t xml:space="preserve"> </w:t>
      </w:r>
      <w:r w:rsidR="001A5893" w:rsidRPr="00441B3C">
        <w:rPr>
          <w:bCs/>
          <w:lang w:val="en-US"/>
        </w:rPr>
        <w:t xml:space="preserve">on </w:t>
      </w:r>
      <w:r w:rsidR="00623A18" w:rsidRPr="00441B3C">
        <w:rPr>
          <w:bCs/>
          <w:lang w:val="en-US"/>
        </w:rPr>
        <w:t xml:space="preserve">21 June 2016, killing 15-year-old Mahmoud </w:t>
      </w:r>
      <w:proofErr w:type="spellStart"/>
      <w:r w:rsidR="00623A18" w:rsidRPr="00441B3C">
        <w:rPr>
          <w:bCs/>
          <w:lang w:val="en-US"/>
        </w:rPr>
        <w:t>Badran</w:t>
      </w:r>
      <w:proofErr w:type="spellEnd"/>
      <w:r w:rsidR="00623A18" w:rsidRPr="00441B3C">
        <w:rPr>
          <w:bCs/>
          <w:lang w:val="en-US"/>
        </w:rPr>
        <w:t xml:space="preserve"> and injuring four other</w:t>
      </w:r>
      <w:r w:rsidR="00AF4822" w:rsidRPr="00441B3C">
        <w:rPr>
          <w:bCs/>
          <w:lang w:val="en-US"/>
        </w:rPr>
        <w:t>s</w:t>
      </w:r>
      <w:r w:rsidR="00623A18" w:rsidRPr="00441B3C">
        <w:rPr>
          <w:bCs/>
          <w:lang w:val="en-US"/>
        </w:rPr>
        <w:t xml:space="preserve">, including </w:t>
      </w:r>
      <w:r w:rsidR="00FE37D2" w:rsidRPr="00441B3C">
        <w:rPr>
          <w:bCs/>
          <w:lang w:val="en-US"/>
        </w:rPr>
        <w:t xml:space="preserve">another </w:t>
      </w:r>
      <w:r w:rsidR="00623A18" w:rsidRPr="00441B3C">
        <w:rPr>
          <w:bCs/>
          <w:lang w:val="en-US"/>
        </w:rPr>
        <w:t>three children</w:t>
      </w:r>
      <w:r w:rsidR="00636B06" w:rsidRPr="00441B3C">
        <w:rPr>
          <w:bCs/>
          <w:lang w:val="en-US"/>
        </w:rPr>
        <w:t>,</w:t>
      </w:r>
      <w:r w:rsidR="00623A18" w:rsidRPr="00441B3C">
        <w:rPr>
          <w:bCs/>
          <w:vertAlign w:val="superscript"/>
          <w:lang w:val="en-US"/>
        </w:rPr>
        <w:footnoteReference w:id="28"/>
      </w:r>
      <w:r w:rsidR="00623A18" w:rsidRPr="00441B3C">
        <w:rPr>
          <w:bCs/>
          <w:lang w:val="en-US"/>
        </w:rPr>
        <w:t xml:space="preserve"> will not stand trial and </w:t>
      </w:r>
      <w:proofErr w:type="gramStart"/>
      <w:r w:rsidR="00623A18" w:rsidRPr="00441B3C">
        <w:rPr>
          <w:bCs/>
          <w:lang w:val="en-US"/>
        </w:rPr>
        <w:t xml:space="preserve">will </w:t>
      </w:r>
      <w:r w:rsidR="001A5893" w:rsidRPr="00441B3C">
        <w:rPr>
          <w:bCs/>
          <w:lang w:val="en-US"/>
        </w:rPr>
        <w:t xml:space="preserve">only </w:t>
      </w:r>
      <w:r w:rsidR="00623A18" w:rsidRPr="00441B3C">
        <w:rPr>
          <w:bCs/>
          <w:lang w:val="en-US"/>
        </w:rPr>
        <w:t>be dismissed</w:t>
      </w:r>
      <w:proofErr w:type="gramEnd"/>
      <w:r w:rsidR="00623A18" w:rsidRPr="00441B3C">
        <w:rPr>
          <w:bCs/>
          <w:lang w:val="en-US"/>
        </w:rPr>
        <w:t xml:space="preserve"> from the army for failure in conduct during the incident.</w:t>
      </w:r>
      <w:r w:rsidR="00623A18" w:rsidRPr="00441B3C">
        <w:rPr>
          <w:bCs/>
          <w:vertAlign w:val="superscript"/>
          <w:lang w:val="en-US"/>
        </w:rPr>
        <w:footnoteReference w:id="29"/>
      </w:r>
      <w:r w:rsidR="00623A18" w:rsidRPr="00441B3C">
        <w:rPr>
          <w:bCs/>
          <w:lang w:val="en-US"/>
        </w:rPr>
        <w:t xml:space="preserve"> </w:t>
      </w:r>
      <w:r w:rsidR="00FF6B48" w:rsidRPr="00441B3C">
        <w:rPr>
          <w:bCs/>
          <w:lang w:val="en-US"/>
        </w:rPr>
        <w:t>Following an initial probe,</w:t>
      </w:r>
      <w:r w:rsidR="000E6A51" w:rsidRPr="00441B3C">
        <w:rPr>
          <w:bCs/>
          <w:lang w:val="en-US"/>
        </w:rPr>
        <w:t xml:space="preserve"> </w:t>
      </w:r>
      <w:r w:rsidR="00636B06" w:rsidRPr="00441B3C">
        <w:rPr>
          <w:bCs/>
          <w:lang w:val="en-US"/>
        </w:rPr>
        <w:t xml:space="preserve">IDF </w:t>
      </w:r>
      <w:r w:rsidR="00623A18" w:rsidRPr="00441B3C">
        <w:rPr>
          <w:bCs/>
          <w:lang w:val="en-US"/>
        </w:rPr>
        <w:t>did acknowledge</w:t>
      </w:r>
      <w:r w:rsidR="000E6A51" w:rsidRPr="00441B3C">
        <w:rPr>
          <w:bCs/>
          <w:lang w:val="en-US"/>
        </w:rPr>
        <w:t xml:space="preserve"> </w:t>
      </w:r>
      <w:r w:rsidR="00623A18" w:rsidRPr="00441B3C">
        <w:rPr>
          <w:bCs/>
          <w:lang w:val="en-US"/>
        </w:rPr>
        <w:t xml:space="preserve">that the </w:t>
      </w:r>
      <w:proofErr w:type="gramStart"/>
      <w:r w:rsidR="00623A18" w:rsidRPr="00441B3C">
        <w:rPr>
          <w:bCs/>
          <w:lang w:val="en-US"/>
        </w:rPr>
        <w:t>car had been mistakenly targeted by the soldier</w:t>
      </w:r>
      <w:proofErr w:type="gramEnd"/>
      <w:r w:rsidR="005036B8" w:rsidRPr="00441B3C">
        <w:rPr>
          <w:bCs/>
          <w:lang w:val="en-US"/>
        </w:rPr>
        <w:t>,</w:t>
      </w:r>
      <w:r w:rsidR="000E6A51" w:rsidRPr="00441B3C">
        <w:rPr>
          <w:bCs/>
          <w:vertAlign w:val="superscript"/>
          <w:lang w:val="en-US"/>
        </w:rPr>
        <w:footnoteReference w:id="30"/>
      </w:r>
      <w:r w:rsidR="005036B8" w:rsidRPr="00441B3C">
        <w:rPr>
          <w:bCs/>
          <w:lang w:val="en-US"/>
        </w:rPr>
        <w:t xml:space="preserve"> </w:t>
      </w:r>
      <w:r w:rsidR="00FF6B48" w:rsidRPr="00441B3C">
        <w:rPr>
          <w:bCs/>
          <w:lang w:val="en-US"/>
        </w:rPr>
        <w:t xml:space="preserve">upon which they </w:t>
      </w:r>
      <w:r w:rsidR="000E6A51" w:rsidRPr="00441B3C">
        <w:rPr>
          <w:bCs/>
          <w:lang w:val="en-US"/>
        </w:rPr>
        <w:t>announced the opening of an investigation.</w:t>
      </w:r>
      <w:r w:rsidR="000E6A51" w:rsidRPr="00441B3C">
        <w:rPr>
          <w:bCs/>
          <w:vertAlign w:val="superscript"/>
          <w:lang w:val="en-US"/>
        </w:rPr>
        <w:footnoteReference w:id="31"/>
      </w:r>
      <w:r w:rsidRPr="00441B3C">
        <w:rPr>
          <w:bCs/>
          <w:lang w:val="en-US"/>
        </w:rPr>
        <w:t xml:space="preserve"> </w:t>
      </w:r>
      <w:proofErr w:type="gramStart"/>
      <w:r w:rsidR="00DE201A" w:rsidRPr="00441B3C">
        <w:rPr>
          <w:bCs/>
          <w:lang w:val="en-US"/>
        </w:rPr>
        <w:t xml:space="preserve">While information reported by the media </w:t>
      </w:r>
      <w:r w:rsidR="00C5703D" w:rsidRPr="00441B3C">
        <w:rPr>
          <w:bCs/>
          <w:lang w:val="en-US"/>
        </w:rPr>
        <w:t xml:space="preserve">regarding the fact that the soldier will not stand trial </w:t>
      </w:r>
      <w:r w:rsidR="00DE201A" w:rsidRPr="00441B3C">
        <w:rPr>
          <w:bCs/>
          <w:lang w:val="en-US"/>
        </w:rPr>
        <w:t xml:space="preserve">remains to be confirmed by IDF, the lack of prosecution of </w:t>
      </w:r>
      <w:r w:rsidR="001A5893" w:rsidRPr="00441B3C">
        <w:rPr>
          <w:bCs/>
          <w:lang w:val="en-US"/>
        </w:rPr>
        <w:t>a</w:t>
      </w:r>
      <w:r w:rsidR="00DE201A" w:rsidRPr="00441B3C">
        <w:rPr>
          <w:bCs/>
          <w:lang w:val="en-US"/>
        </w:rPr>
        <w:t xml:space="preserve"> soldier </w:t>
      </w:r>
      <w:r w:rsidR="001A5893" w:rsidRPr="00441B3C">
        <w:rPr>
          <w:bCs/>
          <w:lang w:val="en-US"/>
        </w:rPr>
        <w:t xml:space="preserve">who </w:t>
      </w:r>
      <w:r w:rsidR="00DE201A" w:rsidRPr="00441B3C">
        <w:rPr>
          <w:bCs/>
          <w:lang w:val="en-US"/>
        </w:rPr>
        <w:t xml:space="preserve">opened fire towards a car full of individuals </w:t>
      </w:r>
      <w:r w:rsidR="001A5893" w:rsidRPr="00441B3C">
        <w:rPr>
          <w:bCs/>
          <w:lang w:val="en-US"/>
        </w:rPr>
        <w:t>who</w:t>
      </w:r>
      <w:r w:rsidR="00DE201A" w:rsidRPr="00441B3C">
        <w:rPr>
          <w:bCs/>
          <w:lang w:val="en-US"/>
        </w:rPr>
        <w:t xml:space="preserve"> did not represent a threat to life or of serious injury</w:t>
      </w:r>
      <w:r w:rsidR="00947AC3" w:rsidRPr="00441B3C">
        <w:rPr>
          <w:bCs/>
          <w:lang w:val="en-US"/>
        </w:rPr>
        <w:t>,</w:t>
      </w:r>
      <w:r w:rsidR="00DE201A" w:rsidRPr="00441B3C">
        <w:rPr>
          <w:bCs/>
          <w:lang w:val="en-US"/>
        </w:rPr>
        <w:t xml:space="preserve">  </w:t>
      </w:r>
      <w:r w:rsidR="00F36011" w:rsidRPr="00441B3C">
        <w:rPr>
          <w:bCs/>
          <w:lang w:val="en-US"/>
        </w:rPr>
        <w:t xml:space="preserve">has </w:t>
      </w:r>
      <w:r w:rsidR="00DE201A" w:rsidRPr="00441B3C">
        <w:rPr>
          <w:bCs/>
          <w:lang w:val="en-US"/>
        </w:rPr>
        <w:t>raise</w:t>
      </w:r>
      <w:r w:rsidR="00F36011" w:rsidRPr="00441B3C">
        <w:rPr>
          <w:bCs/>
          <w:lang w:val="en-US"/>
        </w:rPr>
        <w:t>d</w:t>
      </w:r>
      <w:r w:rsidR="00DE201A" w:rsidRPr="00441B3C">
        <w:rPr>
          <w:bCs/>
          <w:lang w:val="en-US"/>
        </w:rPr>
        <w:t xml:space="preserve"> serious concerns with regard to accountability for conduct that blatantly constitutes excessive use of force.</w:t>
      </w:r>
      <w:proofErr w:type="gramEnd"/>
      <w:r w:rsidR="00DE201A" w:rsidRPr="00441B3C">
        <w:rPr>
          <w:bCs/>
          <w:lang w:val="en-US"/>
        </w:rPr>
        <w:t xml:space="preserve"> </w:t>
      </w:r>
    </w:p>
    <w:p w14:paraId="2142F2FD" w14:textId="404BD8D2" w:rsidR="00FC4D21" w:rsidRPr="00441B3C" w:rsidRDefault="00120B5B" w:rsidP="001D62B8">
      <w:pPr>
        <w:pStyle w:val="HChG"/>
        <w:spacing w:line="240" w:lineRule="atLeast"/>
        <w:jc w:val="both"/>
        <w:rPr>
          <w:lang w:val="en-US"/>
        </w:rPr>
      </w:pPr>
      <w:r w:rsidRPr="00441B3C">
        <w:rPr>
          <w:lang w:val="en-US"/>
        </w:rPr>
        <w:tab/>
        <w:t>I</w:t>
      </w:r>
      <w:r w:rsidR="00606C9E">
        <w:rPr>
          <w:lang w:val="en-US"/>
        </w:rPr>
        <w:t>II</w:t>
      </w:r>
      <w:r w:rsidRPr="00441B3C">
        <w:rPr>
          <w:lang w:val="en-US"/>
        </w:rPr>
        <w:t>.</w:t>
      </w:r>
      <w:r w:rsidRPr="00441B3C">
        <w:rPr>
          <w:lang w:val="en-US"/>
        </w:rPr>
        <w:tab/>
      </w:r>
      <w:r w:rsidR="00DA1B25" w:rsidRPr="00441B3C">
        <w:rPr>
          <w:lang w:val="en-US"/>
        </w:rPr>
        <w:t xml:space="preserve">Impediments on the work </w:t>
      </w:r>
      <w:r w:rsidR="001D0B7B" w:rsidRPr="00441B3C">
        <w:rPr>
          <w:lang w:val="en-US"/>
        </w:rPr>
        <w:t>of human rights defenders</w:t>
      </w:r>
    </w:p>
    <w:p w14:paraId="20708990" w14:textId="3A0AF052" w:rsidR="00174E56" w:rsidRPr="00441B3C" w:rsidRDefault="00250BE0" w:rsidP="001D62B8">
      <w:pPr>
        <w:pStyle w:val="SingleTxtG"/>
        <w:numPr>
          <w:ilvl w:val="0"/>
          <w:numId w:val="15"/>
        </w:numPr>
        <w:tabs>
          <w:tab w:val="left" w:pos="1701"/>
        </w:tabs>
        <w:ind w:left="1134" w:firstLine="0"/>
        <w:rPr>
          <w:bCs/>
          <w:vertAlign w:val="superscript"/>
          <w:lang w:val="en-US"/>
        </w:rPr>
      </w:pPr>
      <w:r w:rsidRPr="00441B3C">
        <w:rPr>
          <w:bCs/>
          <w:lang w:val="en-US"/>
        </w:rPr>
        <w:t xml:space="preserve">Of particular concern is the impact of the prevailing atmosphere of impunity and lack of accountability for alleged violations </w:t>
      </w:r>
      <w:r w:rsidR="009F1F74" w:rsidRPr="00441B3C">
        <w:rPr>
          <w:bCs/>
          <w:lang w:val="en-US"/>
        </w:rPr>
        <w:t>impeding</w:t>
      </w:r>
      <w:r w:rsidRPr="00441B3C">
        <w:rPr>
          <w:bCs/>
          <w:lang w:val="en-US"/>
        </w:rPr>
        <w:t xml:space="preserve"> the work o</w:t>
      </w:r>
      <w:r w:rsidR="009F1F74" w:rsidRPr="00441B3C">
        <w:rPr>
          <w:bCs/>
          <w:lang w:val="en-US"/>
        </w:rPr>
        <w:t>f</w:t>
      </w:r>
      <w:r w:rsidRPr="00441B3C">
        <w:rPr>
          <w:bCs/>
          <w:lang w:val="en-US"/>
        </w:rPr>
        <w:t xml:space="preserve"> human rights defenders and journalists, who are increasingly targeted b</w:t>
      </w:r>
      <w:r w:rsidR="005B747F" w:rsidRPr="00441B3C">
        <w:rPr>
          <w:bCs/>
          <w:lang w:val="en-US"/>
        </w:rPr>
        <w:t>y</w:t>
      </w:r>
      <w:r w:rsidR="00166D1D" w:rsidRPr="00441B3C">
        <w:rPr>
          <w:bCs/>
          <w:lang w:val="en-US"/>
        </w:rPr>
        <w:t xml:space="preserve"> the authorities for their </w:t>
      </w:r>
      <w:proofErr w:type="gramStart"/>
      <w:r w:rsidR="00166D1D" w:rsidRPr="00441B3C">
        <w:rPr>
          <w:bCs/>
          <w:lang w:val="en-US"/>
        </w:rPr>
        <w:t>work.</w:t>
      </w:r>
      <w:proofErr w:type="gramEnd"/>
      <w:r w:rsidR="00166D1D" w:rsidRPr="00441B3C">
        <w:rPr>
          <w:bCs/>
          <w:lang w:val="en-US"/>
        </w:rPr>
        <w:t xml:space="preserve"> </w:t>
      </w:r>
      <w:r w:rsidR="009F1F74" w:rsidRPr="00441B3C">
        <w:rPr>
          <w:bCs/>
          <w:lang w:val="en-US"/>
        </w:rPr>
        <w:t xml:space="preserve">Human rights defenders </w:t>
      </w:r>
      <w:proofErr w:type="gramStart"/>
      <w:r w:rsidR="009F1F74" w:rsidRPr="00441B3C">
        <w:rPr>
          <w:bCs/>
          <w:lang w:val="en-US"/>
        </w:rPr>
        <w:t>are particularly targeted</w:t>
      </w:r>
      <w:proofErr w:type="gramEnd"/>
      <w:r w:rsidR="009F1F74" w:rsidRPr="00441B3C">
        <w:rPr>
          <w:bCs/>
          <w:lang w:val="en-US"/>
        </w:rPr>
        <w:t xml:space="preserve"> when they seek to ensure accountability </w:t>
      </w:r>
      <w:r w:rsidR="00FE256F" w:rsidRPr="00441B3C">
        <w:rPr>
          <w:bCs/>
          <w:lang w:val="en-US"/>
        </w:rPr>
        <w:t xml:space="preserve">for </w:t>
      </w:r>
      <w:r w:rsidR="00FE256F" w:rsidRPr="00441B3C">
        <w:rPr>
          <w:bCs/>
          <w:lang w:val="en-US"/>
        </w:rPr>
        <w:lastRenderedPageBreak/>
        <w:t xml:space="preserve">alleged violations of </w:t>
      </w:r>
      <w:r w:rsidR="00FE37D2" w:rsidRPr="00441B3C">
        <w:rPr>
          <w:bCs/>
          <w:lang w:val="en-US"/>
        </w:rPr>
        <w:t xml:space="preserve">international </w:t>
      </w:r>
      <w:r w:rsidR="00FE256F" w:rsidRPr="00441B3C">
        <w:rPr>
          <w:bCs/>
          <w:lang w:val="en-US"/>
        </w:rPr>
        <w:t>human rights and humanitarian law.</w:t>
      </w:r>
      <w:r w:rsidR="00323DE4" w:rsidRPr="00441B3C">
        <w:rPr>
          <w:bCs/>
          <w:lang w:val="en-US"/>
        </w:rPr>
        <w:t xml:space="preserve"> The Human Rights Council has denounced all acts of intimidation and threats against civil society actors and human rights defenders involved in documenting and countering violations of international law and impunity in the Occupied Palestinian Territory, including East Jerusalem (A/HRC/Res/34/28</w:t>
      </w:r>
      <w:r w:rsidR="00FE37D2" w:rsidRPr="00441B3C">
        <w:rPr>
          <w:bCs/>
          <w:lang w:val="en-US"/>
        </w:rPr>
        <w:t>,</w:t>
      </w:r>
      <w:r w:rsidR="00323DE4" w:rsidRPr="00441B3C">
        <w:rPr>
          <w:bCs/>
          <w:lang w:val="en-US"/>
        </w:rPr>
        <w:t xml:space="preserve"> para 7).  </w:t>
      </w:r>
    </w:p>
    <w:p w14:paraId="185A0EE4" w14:textId="52A6B809" w:rsidR="00B51825" w:rsidRPr="00441B3C" w:rsidRDefault="00174E56" w:rsidP="001D62B8">
      <w:pPr>
        <w:pStyle w:val="H1G"/>
        <w:spacing w:line="240" w:lineRule="atLeast"/>
        <w:jc w:val="both"/>
        <w:rPr>
          <w:lang w:val="en-US"/>
        </w:rPr>
      </w:pPr>
      <w:r w:rsidRPr="00441B3C">
        <w:rPr>
          <w:lang w:val="en-US"/>
        </w:rPr>
        <w:tab/>
      </w:r>
      <w:r w:rsidR="005B747F" w:rsidRPr="00441B3C">
        <w:rPr>
          <w:lang w:val="en-US"/>
        </w:rPr>
        <w:t>A</w:t>
      </w:r>
      <w:r w:rsidR="0011606B">
        <w:rPr>
          <w:lang w:val="en-US"/>
        </w:rPr>
        <w:t>.</w:t>
      </w:r>
      <w:r w:rsidR="001D0B7B" w:rsidRPr="00441B3C">
        <w:rPr>
          <w:lang w:val="en-US"/>
        </w:rPr>
        <w:tab/>
        <w:t>Intimidation and threats against civil society</w:t>
      </w:r>
      <w:r w:rsidR="00DA1B25" w:rsidRPr="00441B3C">
        <w:rPr>
          <w:lang w:val="en-US"/>
        </w:rPr>
        <w:t xml:space="preserve"> actors</w:t>
      </w:r>
      <w:r w:rsidR="001D0B7B" w:rsidRPr="00441B3C">
        <w:rPr>
          <w:lang w:val="en-US"/>
        </w:rPr>
        <w:t xml:space="preserve"> </w:t>
      </w:r>
    </w:p>
    <w:p w14:paraId="51F9EF6F" w14:textId="77777777" w:rsidR="007B44ED" w:rsidRPr="00441B3C" w:rsidRDefault="00A4429E" w:rsidP="001D62B8">
      <w:pPr>
        <w:pStyle w:val="SingleTxtG"/>
        <w:numPr>
          <w:ilvl w:val="0"/>
          <w:numId w:val="15"/>
        </w:numPr>
        <w:tabs>
          <w:tab w:val="left" w:pos="1701"/>
        </w:tabs>
        <w:ind w:left="1134" w:firstLine="0"/>
        <w:rPr>
          <w:bCs/>
          <w:lang w:val="en-US"/>
        </w:rPr>
      </w:pPr>
      <w:r w:rsidRPr="00441B3C">
        <w:rPr>
          <w:bCs/>
          <w:lang w:val="en-US"/>
        </w:rPr>
        <w:t>H</w:t>
      </w:r>
      <w:r w:rsidR="00CE080A" w:rsidRPr="00441B3C">
        <w:rPr>
          <w:bCs/>
          <w:lang w:val="en-US"/>
        </w:rPr>
        <w:t>arassment of and violence against human rights defenders, as well as journalists, have been continuously reported.</w:t>
      </w:r>
      <w:r w:rsidR="00B51825" w:rsidRPr="00441B3C">
        <w:rPr>
          <w:bCs/>
          <w:vertAlign w:val="superscript"/>
          <w:lang w:val="en-US"/>
        </w:rPr>
        <w:footnoteReference w:id="32"/>
      </w:r>
      <w:r w:rsidR="00CE080A" w:rsidRPr="00441B3C">
        <w:rPr>
          <w:bCs/>
          <w:lang w:val="en-US"/>
        </w:rPr>
        <w:t xml:space="preserve"> </w:t>
      </w:r>
      <w:r w:rsidR="00B51825" w:rsidRPr="00441B3C">
        <w:rPr>
          <w:bCs/>
          <w:lang w:val="en-US"/>
        </w:rPr>
        <w:t>The</w:t>
      </w:r>
      <w:r w:rsidR="00CE080A" w:rsidRPr="00441B3C">
        <w:rPr>
          <w:bCs/>
          <w:lang w:val="en-US"/>
        </w:rPr>
        <w:t xml:space="preserve"> High Commissioner for Human Rights</w:t>
      </w:r>
      <w:r w:rsidR="00B51825" w:rsidRPr="00441B3C">
        <w:rPr>
          <w:bCs/>
          <w:lang w:val="en-US"/>
        </w:rPr>
        <w:t xml:space="preserve"> has warned against the</w:t>
      </w:r>
      <w:r w:rsidR="00CE080A" w:rsidRPr="00441B3C">
        <w:rPr>
          <w:bCs/>
          <w:lang w:val="en-US"/>
        </w:rPr>
        <w:t xml:space="preserve"> chilling effect </w:t>
      </w:r>
      <w:r w:rsidR="008A0A94" w:rsidRPr="00441B3C">
        <w:rPr>
          <w:bCs/>
          <w:lang w:val="en-US"/>
        </w:rPr>
        <w:t>of the</w:t>
      </w:r>
      <w:r w:rsidR="00B51825" w:rsidRPr="00441B3C">
        <w:rPr>
          <w:bCs/>
          <w:lang w:val="en-US"/>
        </w:rPr>
        <w:t xml:space="preserve">se attacks </w:t>
      </w:r>
      <w:r w:rsidR="00CE080A" w:rsidRPr="00441B3C">
        <w:rPr>
          <w:bCs/>
          <w:lang w:val="en-US"/>
        </w:rPr>
        <w:t>on freedom of expression.</w:t>
      </w:r>
      <w:r w:rsidR="00CE080A" w:rsidRPr="00441B3C">
        <w:rPr>
          <w:bCs/>
          <w:vertAlign w:val="superscript"/>
          <w:lang w:val="en-US"/>
        </w:rPr>
        <w:footnoteReference w:id="33"/>
      </w:r>
      <w:r w:rsidR="00B51825" w:rsidRPr="00441B3C">
        <w:rPr>
          <w:bCs/>
          <w:lang w:val="en-US"/>
        </w:rPr>
        <w:t xml:space="preserve"> </w:t>
      </w:r>
    </w:p>
    <w:p w14:paraId="7C634E69" w14:textId="77777777" w:rsidR="00DD59B0" w:rsidRPr="00441B3C" w:rsidRDefault="00CE080A" w:rsidP="001D62B8">
      <w:pPr>
        <w:pStyle w:val="SingleTxtG"/>
        <w:numPr>
          <w:ilvl w:val="0"/>
          <w:numId w:val="15"/>
        </w:numPr>
        <w:tabs>
          <w:tab w:val="left" w:pos="1701"/>
        </w:tabs>
        <w:ind w:left="1134" w:firstLine="0"/>
        <w:rPr>
          <w:bCs/>
          <w:lang w:val="en-US"/>
        </w:rPr>
      </w:pPr>
      <w:r w:rsidRPr="00441B3C">
        <w:rPr>
          <w:bCs/>
          <w:lang w:val="en-US"/>
        </w:rPr>
        <w:t>Public statements by senior Israeli leaders and politicians malig</w:t>
      </w:r>
      <w:r w:rsidR="008A0A94" w:rsidRPr="00441B3C">
        <w:rPr>
          <w:bCs/>
          <w:lang w:val="en-US"/>
        </w:rPr>
        <w:t>ning human rights organizations</w:t>
      </w:r>
      <w:r w:rsidRPr="00441B3C">
        <w:rPr>
          <w:bCs/>
          <w:lang w:val="en-US"/>
        </w:rPr>
        <w:t xml:space="preserve"> are reinforcing this effect</w:t>
      </w:r>
      <w:r w:rsidR="00B51825" w:rsidRPr="00441B3C">
        <w:rPr>
          <w:bCs/>
          <w:lang w:val="en-US"/>
        </w:rPr>
        <w:t xml:space="preserve">, as illustrated by </w:t>
      </w:r>
      <w:r w:rsidR="00FE6798" w:rsidRPr="00441B3C">
        <w:rPr>
          <w:bCs/>
          <w:lang w:val="en-US"/>
        </w:rPr>
        <w:t xml:space="preserve">verbal </w:t>
      </w:r>
      <w:r w:rsidRPr="00441B3C">
        <w:rPr>
          <w:bCs/>
          <w:lang w:val="en-US"/>
        </w:rPr>
        <w:t xml:space="preserve">attacks – that may amount to incitement to violence </w:t>
      </w:r>
      <w:r w:rsidR="008A0A94" w:rsidRPr="00441B3C">
        <w:rPr>
          <w:bCs/>
          <w:lang w:val="en-US"/>
        </w:rPr>
        <w:t>–</w:t>
      </w:r>
      <w:r w:rsidRPr="00441B3C">
        <w:rPr>
          <w:bCs/>
          <w:lang w:val="en-US"/>
        </w:rPr>
        <w:t xml:space="preserve"> faced by </w:t>
      </w:r>
      <w:r w:rsidR="00A4429E" w:rsidRPr="00441B3C">
        <w:rPr>
          <w:bCs/>
          <w:lang w:val="en-US"/>
        </w:rPr>
        <w:t xml:space="preserve">a number of Israeli non-governmental organizations. For instance, following </w:t>
      </w:r>
      <w:r w:rsidRPr="00441B3C">
        <w:rPr>
          <w:bCs/>
          <w:lang w:val="en-US"/>
        </w:rPr>
        <w:t xml:space="preserve">its </w:t>
      </w:r>
      <w:r w:rsidR="003729FB" w:rsidRPr="00441B3C">
        <w:rPr>
          <w:bCs/>
          <w:lang w:val="en-US"/>
        </w:rPr>
        <w:t xml:space="preserve">briefing at </w:t>
      </w:r>
      <w:r w:rsidRPr="00441B3C">
        <w:rPr>
          <w:bCs/>
          <w:lang w:val="en-US"/>
        </w:rPr>
        <w:t>the Security Council in October 2016</w:t>
      </w:r>
      <w:r w:rsidR="003729FB" w:rsidRPr="00441B3C">
        <w:rPr>
          <w:bCs/>
          <w:lang w:val="en-US"/>
        </w:rPr>
        <w:t xml:space="preserve">, the Director of </w:t>
      </w:r>
      <w:proofErr w:type="spellStart"/>
      <w:r w:rsidR="003729FB" w:rsidRPr="00441B3C">
        <w:rPr>
          <w:bCs/>
          <w:lang w:val="en-US"/>
        </w:rPr>
        <w:t>B’Tselem</w:t>
      </w:r>
      <w:proofErr w:type="spellEnd"/>
      <w:r w:rsidR="003729FB" w:rsidRPr="00441B3C">
        <w:rPr>
          <w:bCs/>
          <w:lang w:val="en-US"/>
        </w:rPr>
        <w:t xml:space="preserve"> </w:t>
      </w:r>
      <w:proofErr w:type="gramStart"/>
      <w:r w:rsidR="00DD59B0" w:rsidRPr="00441B3C">
        <w:rPr>
          <w:bCs/>
        </w:rPr>
        <w:t>was publicly condemned</w:t>
      </w:r>
      <w:proofErr w:type="gramEnd"/>
      <w:r w:rsidR="00DD59B0" w:rsidRPr="00441B3C">
        <w:rPr>
          <w:bCs/>
        </w:rPr>
        <w:t xml:space="preserve"> by senior officials, including the Prime Minister and the Permanent Representative of Israel to the United Nations</w:t>
      </w:r>
      <w:r w:rsidR="00FE6798" w:rsidRPr="00441B3C">
        <w:rPr>
          <w:bCs/>
        </w:rPr>
        <w:t xml:space="preserve">. The </w:t>
      </w:r>
      <w:r w:rsidR="00DD59B0" w:rsidRPr="00441B3C">
        <w:rPr>
          <w:bCs/>
        </w:rPr>
        <w:t xml:space="preserve">Chairman of the ruling coalition called for his citizenship </w:t>
      </w:r>
      <w:r w:rsidR="00DD59B0" w:rsidRPr="00441B3C">
        <w:rPr>
          <w:bCs/>
          <w:lang w:val="en-US"/>
        </w:rPr>
        <w:t xml:space="preserve">to </w:t>
      </w:r>
      <w:proofErr w:type="gramStart"/>
      <w:r w:rsidR="00DD59B0" w:rsidRPr="00441B3C">
        <w:rPr>
          <w:bCs/>
          <w:lang w:val="en-US"/>
        </w:rPr>
        <w:t>be stripped</w:t>
      </w:r>
      <w:proofErr w:type="gramEnd"/>
      <w:r w:rsidRPr="00441B3C">
        <w:rPr>
          <w:bCs/>
          <w:lang w:val="en-US"/>
        </w:rPr>
        <w:t>.</w:t>
      </w:r>
      <w:r w:rsidRPr="00441B3C">
        <w:rPr>
          <w:bCs/>
          <w:vertAlign w:val="superscript"/>
          <w:lang w:val="en-US"/>
        </w:rPr>
        <w:footnoteReference w:id="34"/>
      </w:r>
      <w:r w:rsidRPr="00441B3C">
        <w:rPr>
          <w:bCs/>
          <w:lang w:val="en-US"/>
        </w:rPr>
        <w:t xml:space="preserve"> The High Commissioner</w:t>
      </w:r>
      <w:r w:rsidR="00F778E0" w:rsidRPr="00441B3C">
        <w:rPr>
          <w:bCs/>
          <w:lang w:val="en-US"/>
        </w:rPr>
        <w:t xml:space="preserve"> for Human Rights</w:t>
      </w:r>
      <w:r w:rsidRPr="00441B3C">
        <w:rPr>
          <w:bCs/>
          <w:lang w:val="en-US"/>
        </w:rPr>
        <w:t xml:space="preserve"> has expressed concern that the rhetoric by public figures is contributing to an increasingly repressive environment in which human rights organizations and activists in Israel </w:t>
      </w:r>
      <w:proofErr w:type="gramStart"/>
      <w:r w:rsidRPr="00441B3C">
        <w:rPr>
          <w:bCs/>
          <w:lang w:val="en-US"/>
        </w:rPr>
        <w:t>are seen</w:t>
      </w:r>
      <w:proofErr w:type="gramEnd"/>
      <w:r w:rsidRPr="00441B3C">
        <w:rPr>
          <w:bCs/>
          <w:lang w:val="en-US"/>
        </w:rPr>
        <w:t xml:space="preserve"> as legitimate targets for threats and violence.</w:t>
      </w:r>
      <w:r w:rsidRPr="00441B3C">
        <w:rPr>
          <w:bCs/>
          <w:vertAlign w:val="superscript"/>
          <w:lang w:val="en-US"/>
        </w:rPr>
        <w:footnoteReference w:id="35"/>
      </w:r>
      <w:r w:rsidR="00DD59B0" w:rsidRPr="00441B3C">
        <w:rPr>
          <w:bCs/>
          <w:lang w:val="en-US"/>
        </w:rPr>
        <w:t xml:space="preserve"> </w:t>
      </w:r>
    </w:p>
    <w:p w14:paraId="08C4113A" w14:textId="77777777" w:rsidR="007B44ED" w:rsidRPr="00441B3C" w:rsidRDefault="007B44ED" w:rsidP="001D62B8">
      <w:pPr>
        <w:pStyle w:val="SingleTxtG"/>
        <w:numPr>
          <w:ilvl w:val="0"/>
          <w:numId w:val="15"/>
        </w:numPr>
        <w:tabs>
          <w:tab w:val="left" w:pos="1701"/>
        </w:tabs>
        <w:ind w:left="1134" w:firstLine="0"/>
        <w:rPr>
          <w:bCs/>
          <w:lang w:val="en-US"/>
        </w:rPr>
      </w:pPr>
      <w:r w:rsidRPr="00441B3C">
        <w:rPr>
          <w:bCs/>
          <w:lang w:val="en-US"/>
        </w:rPr>
        <w:t>The recent growing intimidation of non-governmental organizations that have been calling for the use of foreign jurisdictions and international justice mechanisms to ensure accountability for Israeli violations is of additional concern. OHCHR has regularly reported on these incidents and specific examples include the anonymous death threats received by the Europe Director of the Palestinian non-governmental organization Al-Haq</w:t>
      </w:r>
      <w:r w:rsidR="00FE6798" w:rsidRPr="00441B3C">
        <w:rPr>
          <w:bCs/>
          <w:lang w:val="en-US"/>
        </w:rPr>
        <w:t>,</w:t>
      </w:r>
      <w:r w:rsidRPr="00441B3C">
        <w:rPr>
          <w:bCs/>
          <w:lang w:val="en-US"/>
        </w:rPr>
        <w:t xml:space="preserve"> in February 2016.</w:t>
      </w:r>
      <w:r w:rsidRPr="00441B3C">
        <w:rPr>
          <w:bCs/>
          <w:vertAlign w:val="superscript"/>
          <w:lang w:val="en-US"/>
        </w:rPr>
        <w:footnoteReference w:id="36"/>
      </w:r>
      <w:r w:rsidRPr="00441B3C">
        <w:rPr>
          <w:bCs/>
          <w:lang w:val="en-US"/>
        </w:rPr>
        <w:t xml:space="preserve"> Other Palestinian organizations, including Al-</w:t>
      </w:r>
      <w:proofErr w:type="spellStart"/>
      <w:r w:rsidRPr="00441B3C">
        <w:rPr>
          <w:bCs/>
          <w:lang w:val="en-US"/>
        </w:rPr>
        <w:t>Mezan</w:t>
      </w:r>
      <w:proofErr w:type="spellEnd"/>
      <w:r w:rsidRPr="00441B3C">
        <w:rPr>
          <w:bCs/>
          <w:lang w:val="en-US"/>
        </w:rPr>
        <w:t xml:space="preserve">, also report </w:t>
      </w:r>
      <w:proofErr w:type="gramStart"/>
      <w:r w:rsidRPr="00441B3C">
        <w:rPr>
          <w:bCs/>
          <w:lang w:val="en-US"/>
        </w:rPr>
        <w:t>hav</w:t>
      </w:r>
      <w:r w:rsidR="00FE6798" w:rsidRPr="00441B3C">
        <w:rPr>
          <w:bCs/>
          <w:lang w:val="en-US"/>
        </w:rPr>
        <w:t>ing</w:t>
      </w:r>
      <w:r w:rsidRPr="00441B3C">
        <w:rPr>
          <w:bCs/>
          <w:lang w:val="en-US"/>
        </w:rPr>
        <w:t xml:space="preserve"> been threatened</w:t>
      </w:r>
      <w:proofErr w:type="gramEnd"/>
      <w:r w:rsidRPr="00441B3C">
        <w:rPr>
          <w:bCs/>
          <w:lang w:val="en-US"/>
        </w:rPr>
        <w:t>.</w:t>
      </w:r>
      <w:r w:rsidRPr="00441B3C">
        <w:rPr>
          <w:bCs/>
          <w:vertAlign w:val="superscript"/>
          <w:lang w:val="en-US"/>
        </w:rPr>
        <w:footnoteReference w:id="37"/>
      </w:r>
      <w:r w:rsidRPr="00441B3C">
        <w:rPr>
          <w:bCs/>
          <w:lang w:val="en-US"/>
        </w:rPr>
        <w:t xml:space="preserve"> </w:t>
      </w:r>
    </w:p>
    <w:p w14:paraId="64D593F1" w14:textId="170AF3AC" w:rsidR="0033793E" w:rsidRPr="00441B3C" w:rsidRDefault="007B44ED" w:rsidP="001D62B8">
      <w:pPr>
        <w:pStyle w:val="SingleTxtG"/>
        <w:numPr>
          <w:ilvl w:val="0"/>
          <w:numId w:val="15"/>
        </w:numPr>
        <w:tabs>
          <w:tab w:val="left" w:pos="1701"/>
        </w:tabs>
        <w:ind w:left="1134" w:firstLine="0"/>
        <w:rPr>
          <w:bCs/>
          <w:lang w:val="en-US"/>
        </w:rPr>
      </w:pPr>
      <w:r w:rsidRPr="00441B3C">
        <w:rPr>
          <w:bCs/>
          <w:lang w:val="en-US"/>
        </w:rPr>
        <w:t>Increased p</w:t>
      </w:r>
      <w:r w:rsidR="0033793E" w:rsidRPr="00441B3C">
        <w:rPr>
          <w:bCs/>
          <w:lang w:val="en-US"/>
        </w:rPr>
        <w:t xml:space="preserve">olitical tensions linked to the Palestinian political divide have </w:t>
      </w:r>
      <w:r w:rsidR="003729FB" w:rsidRPr="00441B3C">
        <w:rPr>
          <w:bCs/>
          <w:lang w:val="en-US"/>
        </w:rPr>
        <w:t xml:space="preserve">created an environment </w:t>
      </w:r>
      <w:r w:rsidR="001E523C" w:rsidRPr="00441B3C">
        <w:rPr>
          <w:bCs/>
          <w:lang w:val="en-US"/>
        </w:rPr>
        <w:t xml:space="preserve">conducive to </w:t>
      </w:r>
      <w:r w:rsidR="0033793E" w:rsidRPr="00441B3C">
        <w:rPr>
          <w:bCs/>
          <w:lang w:val="en-US"/>
        </w:rPr>
        <w:t xml:space="preserve">human rights abuses </w:t>
      </w:r>
      <w:r w:rsidR="00B32CD4" w:rsidRPr="00441B3C">
        <w:rPr>
          <w:bCs/>
          <w:lang w:val="en-US"/>
        </w:rPr>
        <w:t>and violations</w:t>
      </w:r>
      <w:r w:rsidR="00FE6798" w:rsidRPr="00441B3C">
        <w:rPr>
          <w:bCs/>
          <w:lang w:val="en-US"/>
        </w:rPr>
        <w:t xml:space="preserve"> by Palestinian authorities</w:t>
      </w:r>
      <w:r w:rsidRPr="00441B3C">
        <w:rPr>
          <w:bCs/>
          <w:lang w:val="en-US"/>
        </w:rPr>
        <w:t>, in particular in relation to the rights of freedom of expression and peaceful assembly</w:t>
      </w:r>
      <w:r w:rsidR="00B32CD4" w:rsidRPr="00441B3C">
        <w:rPr>
          <w:bCs/>
          <w:lang w:val="en-US"/>
        </w:rPr>
        <w:t xml:space="preserve">. Instances of </w:t>
      </w:r>
      <w:r w:rsidR="0033793E" w:rsidRPr="00441B3C">
        <w:rPr>
          <w:bCs/>
          <w:lang w:val="en-US"/>
        </w:rPr>
        <w:t xml:space="preserve">targeting political opponents through harassment, threats, </w:t>
      </w:r>
      <w:r w:rsidR="00FE6798" w:rsidRPr="00441B3C">
        <w:rPr>
          <w:bCs/>
          <w:lang w:val="en-US"/>
        </w:rPr>
        <w:t xml:space="preserve">assaults, </w:t>
      </w:r>
      <w:r w:rsidR="0033793E" w:rsidRPr="00441B3C">
        <w:rPr>
          <w:bCs/>
          <w:lang w:val="en-US"/>
        </w:rPr>
        <w:t>arbitrary arrests, ill-treatment and torture</w:t>
      </w:r>
      <w:r w:rsidR="00B32CD4" w:rsidRPr="00441B3C">
        <w:rPr>
          <w:bCs/>
          <w:lang w:val="en-US"/>
        </w:rPr>
        <w:t xml:space="preserve"> </w:t>
      </w:r>
      <w:proofErr w:type="gramStart"/>
      <w:r w:rsidR="00B32CD4" w:rsidRPr="00441B3C">
        <w:rPr>
          <w:bCs/>
          <w:lang w:val="en-US"/>
        </w:rPr>
        <w:t>have also been reported</w:t>
      </w:r>
      <w:proofErr w:type="gramEnd"/>
      <w:r w:rsidR="0033793E" w:rsidRPr="00441B3C">
        <w:rPr>
          <w:bCs/>
          <w:lang w:val="en-US"/>
        </w:rPr>
        <w:t>.</w:t>
      </w:r>
      <w:r w:rsidR="00DE201A" w:rsidRPr="00441B3C">
        <w:rPr>
          <w:bCs/>
          <w:vertAlign w:val="superscript"/>
          <w:lang w:val="en-US"/>
        </w:rPr>
        <w:footnoteReference w:id="38"/>
      </w:r>
      <w:r w:rsidR="0033793E" w:rsidRPr="00441B3C">
        <w:rPr>
          <w:bCs/>
          <w:lang w:val="en-US"/>
        </w:rPr>
        <w:t xml:space="preserve"> OHCHR ha</w:t>
      </w:r>
      <w:r w:rsidRPr="00441B3C">
        <w:rPr>
          <w:bCs/>
          <w:lang w:val="en-US"/>
        </w:rPr>
        <w:t>s</w:t>
      </w:r>
      <w:r w:rsidR="0033793E" w:rsidRPr="00441B3C">
        <w:rPr>
          <w:bCs/>
          <w:lang w:val="en-US"/>
        </w:rPr>
        <w:t xml:space="preserve"> regularly been receiving reports of human rights violations perpetrated by the Palestinian security forces and the authorities in Gaza, particularly against individuals and groups critical of </w:t>
      </w:r>
      <w:r w:rsidR="001E523C" w:rsidRPr="00441B3C">
        <w:rPr>
          <w:bCs/>
          <w:lang w:val="en-US"/>
        </w:rPr>
        <w:t xml:space="preserve">respective </w:t>
      </w:r>
      <w:r w:rsidR="00736F5F" w:rsidRPr="00441B3C">
        <w:rPr>
          <w:bCs/>
          <w:lang w:val="en-US"/>
        </w:rPr>
        <w:t>Palestinian</w:t>
      </w:r>
      <w:r w:rsidR="0033793E" w:rsidRPr="00441B3C">
        <w:rPr>
          <w:bCs/>
          <w:lang w:val="en-US"/>
        </w:rPr>
        <w:t xml:space="preserve"> authorities.</w:t>
      </w:r>
      <w:r w:rsidR="0033793E" w:rsidRPr="00441B3C">
        <w:rPr>
          <w:bCs/>
          <w:vertAlign w:val="superscript"/>
          <w:lang w:val="en-US"/>
        </w:rPr>
        <w:footnoteReference w:id="39"/>
      </w:r>
    </w:p>
    <w:p w14:paraId="70997564" w14:textId="51ACAB91" w:rsidR="005B747F" w:rsidRPr="00441B3C" w:rsidRDefault="0011606B" w:rsidP="001D62B8">
      <w:pPr>
        <w:pStyle w:val="H1G"/>
        <w:spacing w:line="240" w:lineRule="atLeast"/>
        <w:jc w:val="both"/>
        <w:rPr>
          <w:lang w:val="en-US"/>
        </w:rPr>
      </w:pPr>
      <w:r>
        <w:rPr>
          <w:lang w:val="en-US"/>
        </w:rPr>
        <w:lastRenderedPageBreak/>
        <w:tab/>
        <w:t>B.</w:t>
      </w:r>
      <w:r w:rsidR="005B747F" w:rsidRPr="00441B3C">
        <w:rPr>
          <w:lang w:val="en-US"/>
        </w:rPr>
        <w:tab/>
        <w:t>Arbitrary detention of human rights defenders</w:t>
      </w:r>
    </w:p>
    <w:p w14:paraId="4A396C4C" w14:textId="3CB8D4DB" w:rsidR="005B747F" w:rsidRPr="00441B3C" w:rsidRDefault="005B747F" w:rsidP="001D62B8">
      <w:pPr>
        <w:pStyle w:val="SingleTxtG"/>
        <w:numPr>
          <w:ilvl w:val="0"/>
          <w:numId w:val="15"/>
        </w:numPr>
        <w:tabs>
          <w:tab w:val="left" w:pos="1701"/>
        </w:tabs>
        <w:ind w:left="1134" w:firstLine="0"/>
        <w:rPr>
          <w:bCs/>
          <w:vertAlign w:val="superscript"/>
          <w:lang w:val="en-US"/>
        </w:rPr>
      </w:pPr>
      <w:r w:rsidRPr="00441B3C">
        <w:rPr>
          <w:bCs/>
          <w:lang w:val="en-US"/>
        </w:rPr>
        <w:t>The arrest and detention of human rights defenders</w:t>
      </w:r>
      <w:r w:rsidR="00736F5F" w:rsidRPr="00441B3C">
        <w:rPr>
          <w:bCs/>
          <w:lang w:val="en-US"/>
        </w:rPr>
        <w:t xml:space="preserve"> by both Israeli and Palestinian authorities</w:t>
      </w:r>
      <w:r w:rsidR="009C52F0" w:rsidRPr="00441B3C">
        <w:rPr>
          <w:bCs/>
          <w:lang w:val="en-US"/>
        </w:rPr>
        <w:t xml:space="preserve"> </w:t>
      </w:r>
      <w:r w:rsidRPr="00441B3C">
        <w:rPr>
          <w:bCs/>
          <w:lang w:val="en-US"/>
        </w:rPr>
        <w:t xml:space="preserve">is of concern. A report of the High Commissioner for Human Rights to the Human Rights Council </w:t>
      </w:r>
      <w:r w:rsidR="004929A9" w:rsidRPr="00441B3C">
        <w:rPr>
          <w:bCs/>
          <w:lang w:val="en-US"/>
        </w:rPr>
        <w:t xml:space="preserve">(A/HRC/37/42) </w:t>
      </w:r>
      <w:r w:rsidRPr="00441B3C">
        <w:rPr>
          <w:bCs/>
          <w:lang w:val="en-US"/>
        </w:rPr>
        <w:t xml:space="preserve">shows, </w:t>
      </w:r>
      <w:proofErr w:type="gramStart"/>
      <w:r w:rsidRPr="00441B3C">
        <w:rPr>
          <w:bCs/>
          <w:lang w:val="en-US"/>
        </w:rPr>
        <w:t>on the basis of</w:t>
      </w:r>
      <w:proofErr w:type="gramEnd"/>
      <w:r w:rsidRPr="00441B3C">
        <w:rPr>
          <w:bCs/>
          <w:lang w:val="en-US"/>
        </w:rPr>
        <w:t xml:space="preserve"> cases monitored by OHCHR, that all duty</w:t>
      </w:r>
      <w:r w:rsidR="004929A9" w:rsidRPr="00441B3C">
        <w:rPr>
          <w:bCs/>
          <w:lang w:val="en-US"/>
        </w:rPr>
        <w:t xml:space="preserve"> </w:t>
      </w:r>
      <w:r w:rsidRPr="00441B3C">
        <w:rPr>
          <w:bCs/>
          <w:lang w:val="en-US"/>
        </w:rPr>
        <w:t>bearers in the Occupied Palestinian Territory resort to this practice.</w:t>
      </w:r>
      <w:r w:rsidRPr="00441B3C">
        <w:rPr>
          <w:bCs/>
          <w:vertAlign w:val="superscript"/>
          <w:lang w:val="en-US"/>
        </w:rPr>
        <w:footnoteReference w:id="40"/>
      </w:r>
      <w:r w:rsidRPr="00441B3C">
        <w:rPr>
          <w:bCs/>
          <w:vertAlign w:val="superscript"/>
          <w:lang w:val="en-US"/>
        </w:rPr>
        <w:t xml:space="preserve"> </w:t>
      </w:r>
      <w:r w:rsidRPr="00441B3C">
        <w:rPr>
          <w:bCs/>
          <w:lang w:val="en-US"/>
        </w:rPr>
        <w:t xml:space="preserve"> As stated by the Working Group on Arbitrary Detention, the deprivation of liberty resulting from the exercise of fundamental freedoms is to </w:t>
      </w:r>
      <w:proofErr w:type="gramStart"/>
      <w:r w:rsidRPr="00441B3C">
        <w:rPr>
          <w:bCs/>
          <w:lang w:val="en-US"/>
        </w:rPr>
        <w:t>be considered</w:t>
      </w:r>
      <w:proofErr w:type="gramEnd"/>
      <w:r w:rsidRPr="00441B3C">
        <w:rPr>
          <w:bCs/>
          <w:lang w:val="en-US"/>
        </w:rPr>
        <w:t xml:space="preserve"> as arbitrary.</w:t>
      </w:r>
      <w:r w:rsidRPr="00441B3C">
        <w:rPr>
          <w:bCs/>
          <w:vertAlign w:val="superscript"/>
          <w:lang w:val="en-US"/>
        </w:rPr>
        <w:footnoteReference w:id="41"/>
      </w:r>
    </w:p>
    <w:p w14:paraId="4BDD41AC" w14:textId="3A5979E6" w:rsidR="005B747F" w:rsidRPr="00441B3C" w:rsidRDefault="005B747F" w:rsidP="001D62B8">
      <w:pPr>
        <w:pStyle w:val="SingleTxtG"/>
        <w:numPr>
          <w:ilvl w:val="0"/>
          <w:numId w:val="15"/>
        </w:numPr>
        <w:tabs>
          <w:tab w:val="left" w:pos="1701"/>
        </w:tabs>
        <w:ind w:left="1134" w:firstLine="0"/>
        <w:rPr>
          <w:bCs/>
          <w:lang w:val="en-US"/>
        </w:rPr>
      </w:pPr>
      <w:proofErr w:type="gramStart"/>
      <w:r w:rsidRPr="00441B3C">
        <w:rPr>
          <w:bCs/>
          <w:lang w:val="en-US"/>
        </w:rPr>
        <w:t>The rights to freedoms of expression, association and peaceful assembly are guaranteed by international human rights law</w:t>
      </w:r>
      <w:proofErr w:type="gramEnd"/>
      <w:r w:rsidRPr="00441B3C">
        <w:rPr>
          <w:bCs/>
          <w:lang w:val="en-US"/>
        </w:rPr>
        <w:t>.</w:t>
      </w:r>
      <w:r w:rsidRPr="00441B3C">
        <w:rPr>
          <w:bCs/>
          <w:vertAlign w:val="superscript"/>
          <w:lang w:val="en-US"/>
        </w:rPr>
        <w:footnoteReference w:id="42"/>
      </w:r>
      <w:r w:rsidRPr="00441B3C">
        <w:rPr>
          <w:bCs/>
          <w:lang w:val="en-US"/>
        </w:rPr>
        <w:t xml:space="preserve"> While restrictions on the exercise of those rights are permitted, </w:t>
      </w:r>
      <w:proofErr w:type="gramStart"/>
      <w:r w:rsidRPr="00441B3C">
        <w:rPr>
          <w:bCs/>
          <w:lang w:val="en-US"/>
        </w:rPr>
        <w:t>they must be provided by law and have to respect the strict conditions of necessity and proportionality</w:t>
      </w:r>
      <w:proofErr w:type="gramEnd"/>
      <w:r w:rsidRPr="00441B3C">
        <w:rPr>
          <w:bCs/>
          <w:lang w:val="en-US"/>
        </w:rPr>
        <w:t>.</w:t>
      </w:r>
      <w:r w:rsidRPr="00441B3C">
        <w:rPr>
          <w:bCs/>
          <w:vertAlign w:val="superscript"/>
          <w:lang w:val="en-US"/>
        </w:rPr>
        <w:footnoteReference w:id="43"/>
      </w:r>
      <w:r w:rsidRPr="00441B3C">
        <w:rPr>
          <w:bCs/>
          <w:vertAlign w:val="superscript"/>
          <w:lang w:val="en-US"/>
        </w:rPr>
        <w:t xml:space="preserve"> </w:t>
      </w:r>
      <w:r w:rsidRPr="00441B3C">
        <w:rPr>
          <w:bCs/>
          <w:lang w:val="en-US"/>
        </w:rPr>
        <w:t>The arrest and detention of human rights defenders due to their work not only infringes upon their rights to freedoms of expression, association, and peaceful assembly, but also contributes to the creation of a repressive environment and may instill self-censorship among the population of the occupied Palestinian territory and in Israel.</w:t>
      </w:r>
      <w:r w:rsidR="00294E53" w:rsidRPr="00441B3C">
        <w:rPr>
          <w:bCs/>
          <w:lang w:val="en-US"/>
        </w:rPr>
        <w:t xml:space="preserve"> </w:t>
      </w:r>
    </w:p>
    <w:p w14:paraId="022D4A84" w14:textId="34F54665" w:rsidR="00DD59B0" w:rsidRPr="00441B3C" w:rsidRDefault="005B747F" w:rsidP="001D62B8">
      <w:pPr>
        <w:pStyle w:val="H1G"/>
        <w:spacing w:line="240" w:lineRule="atLeast"/>
        <w:jc w:val="both"/>
        <w:rPr>
          <w:lang w:val="en-US"/>
        </w:rPr>
      </w:pPr>
      <w:r w:rsidRPr="00441B3C">
        <w:rPr>
          <w:lang w:val="en-US"/>
        </w:rPr>
        <w:tab/>
      </w:r>
      <w:r w:rsidR="0011606B">
        <w:rPr>
          <w:lang w:val="en-US"/>
        </w:rPr>
        <w:t>C.</w:t>
      </w:r>
      <w:r w:rsidR="00DD59B0" w:rsidRPr="00441B3C">
        <w:rPr>
          <w:lang w:val="en-US"/>
        </w:rPr>
        <w:tab/>
      </w:r>
      <w:r w:rsidR="004A278F">
        <w:rPr>
          <w:lang w:val="en-US"/>
        </w:rPr>
        <w:t>L</w:t>
      </w:r>
      <w:r w:rsidR="00294E53" w:rsidRPr="00441B3C">
        <w:rPr>
          <w:lang w:val="en-US"/>
        </w:rPr>
        <w:t>egislative measures affecting</w:t>
      </w:r>
      <w:r w:rsidR="004A278F">
        <w:rPr>
          <w:lang w:val="en-US"/>
        </w:rPr>
        <w:t xml:space="preserve"> civil</w:t>
      </w:r>
      <w:r w:rsidR="00294E53" w:rsidRPr="00441B3C">
        <w:rPr>
          <w:lang w:val="en-US"/>
        </w:rPr>
        <w:t xml:space="preserve"> </w:t>
      </w:r>
      <w:r w:rsidR="00DA1B25" w:rsidRPr="00441B3C">
        <w:rPr>
          <w:lang w:val="en-US"/>
        </w:rPr>
        <w:t>society</w:t>
      </w:r>
    </w:p>
    <w:p w14:paraId="1E905411" w14:textId="77777777" w:rsidR="00DD59B0" w:rsidRPr="00294E53" w:rsidRDefault="00DD59B0" w:rsidP="001D62B8">
      <w:pPr>
        <w:pStyle w:val="SingleTxtG"/>
        <w:rPr>
          <w:b/>
          <w:i/>
        </w:rPr>
      </w:pPr>
      <w:r w:rsidRPr="00294E53">
        <w:rPr>
          <w:b/>
          <w:i/>
        </w:rPr>
        <w:t>Israeli legislation</w:t>
      </w:r>
    </w:p>
    <w:p w14:paraId="21F5C6CE" w14:textId="1963ED07" w:rsidR="00DD59B0" w:rsidRPr="00441B3C" w:rsidRDefault="00EB04C5" w:rsidP="001D62B8">
      <w:pPr>
        <w:pStyle w:val="SingleTxtG"/>
        <w:numPr>
          <w:ilvl w:val="0"/>
          <w:numId w:val="15"/>
        </w:numPr>
        <w:tabs>
          <w:tab w:val="left" w:pos="1701"/>
        </w:tabs>
        <w:ind w:left="1134" w:firstLine="0"/>
        <w:rPr>
          <w:bCs/>
          <w:lang w:val="en-US"/>
        </w:rPr>
      </w:pPr>
      <w:r w:rsidRPr="00441B3C">
        <w:rPr>
          <w:bCs/>
          <w:lang w:val="en-US"/>
        </w:rPr>
        <w:t>Recent legislative measures are likely to result in increased pressure on</w:t>
      </w:r>
      <w:r w:rsidR="00FC0FDE" w:rsidRPr="00441B3C">
        <w:rPr>
          <w:bCs/>
          <w:lang w:val="en-US"/>
        </w:rPr>
        <w:t xml:space="preserve"> human rights organizations in Israel</w:t>
      </w:r>
      <w:r w:rsidR="00FE6798" w:rsidRPr="00441B3C">
        <w:rPr>
          <w:bCs/>
          <w:lang w:val="en-US"/>
        </w:rPr>
        <w:t>.</w:t>
      </w:r>
      <w:r w:rsidR="00FC0FDE" w:rsidRPr="00441B3C">
        <w:rPr>
          <w:bCs/>
          <w:lang w:val="en-US"/>
        </w:rPr>
        <w:t xml:space="preserve"> </w:t>
      </w:r>
      <w:r w:rsidR="007379DF" w:rsidRPr="00441B3C">
        <w:rPr>
          <w:bCs/>
          <w:lang w:val="en-US"/>
        </w:rPr>
        <w:t xml:space="preserve">In June 2016, the Knesset adopted the so-called Transparency </w:t>
      </w:r>
      <w:r w:rsidR="00E83D36" w:rsidRPr="00441B3C">
        <w:rPr>
          <w:bCs/>
          <w:lang w:val="en-US"/>
        </w:rPr>
        <w:t>L</w:t>
      </w:r>
      <w:r w:rsidR="007379DF" w:rsidRPr="00441B3C">
        <w:rPr>
          <w:bCs/>
          <w:lang w:val="en-US"/>
        </w:rPr>
        <w:t>aw</w:t>
      </w:r>
      <w:r w:rsidRPr="00441B3C">
        <w:rPr>
          <w:bCs/>
          <w:lang w:val="en-US"/>
        </w:rPr>
        <w:t>,</w:t>
      </w:r>
      <w:r w:rsidR="007379DF" w:rsidRPr="00441B3C">
        <w:rPr>
          <w:bCs/>
          <w:lang w:val="en-US"/>
        </w:rPr>
        <w:t xml:space="preserve"> </w:t>
      </w:r>
      <w:r w:rsidRPr="00441B3C">
        <w:rPr>
          <w:bCs/>
          <w:lang w:val="en-US"/>
        </w:rPr>
        <w:t>which</w:t>
      </w:r>
      <w:r w:rsidR="007379DF" w:rsidRPr="00441B3C">
        <w:rPr>
          <w:bCs/>
          <w:lang w:val="en-US"/>
        </w:rPr>
        <w:t> requires non-governmental organi</w:t>
      </w:r>
      <w:r w:rsidR="007B44ED" w:rsidRPr="00441B3C">
        <w:rPr>
          <w:bCs/>
          <w:lang w:val="en-US"/>
        </w:rPr>
        <w:t>z</w:t>
      </w:r>
      <w:r w:rsidR="007379DF" w:rsidRPr="00441B3C">
        <w:rPr>
          <w:bCs/>
          <w:lang w:val="en-US"/>
        </w:rPr>
        <w:t xml:space="preserve">ations receiving more than 50 per cent </w:t>
      </w:r>
      <w:r w:rsidRPr="00441B3C">
        <w:rPr>
          <w:bCs/>
          <w:lang w:val="en-US"/>
        </w:rPr>
        <w:t>of their funding from foreign public sources</w:t>
      </w:r>
      <w:r w:rsidR="007379DF" w:rsidRPr="00441B3C">
        <w:rPr>
          <w:bCs/>
          <w:lang w:val="en-US"/>
        </w:rPr>
        <w:t xml:space="preserve"> to declare this publicly.</w:t>
      </w:r>
      <w:r w:rsidRPr="00441B3C">
        <w:rPr>
          <w:bCs/>
          <w:lang w:val="en-US"/>
        </w:rPr>
        <w:t xml:space="preserve"> </w:t>
      </w:r>
      <w:r w:rsidR="00905529" w:rsidRPr="00441B3C">
        <w:rPr>
          <w:bCs/>
          <w:lang w:val="en-US"/>
        </w:rPr>
        <w:t>T</w:t>
      </w:r>
      <w:r w:rsidRPr="00441B3C">
        <w:rPr>
          <w:bCs/>
          <w:lang w:val="en-US"/>
        </w:rPr>
        <w:t xml:space="preserve">he law is expected to </w:t>
      </w:r>
      <w:proofErr w:type="gramStart"/>
      <w:r w:rsidRPr="00441B3C">
        <w:rPr>
          <w:bCs/>
          <w:lang w:val="en-US"/>
        </w:rPr>
        <w:t>impact</w:t>
      </w:r>
      <w:proofErr w:type="gramEnd"/>
      <w:r w:rsidRPr="00441B3C">
        <w:rPr>
          <w:bCs/>
          <w:lang w:val="en-US"/>
        </w:rPr>
        <w:t xml:space="preserve"> human rights organizations disproportionately</w:t>
      </w:r>
      <w:r w:rsidR="00DA1B25" w:rsidRPr="00441B3C">
        <w:rPr>
          <w:bCs/>
          <w:lang w:val="en-US"/>
        </w:rPr>
        <w:t>, as th</w:t>
      </w:r>
      <w:r w:rsidR="0006785D" w:rsidRPr="00441B3C">
        <w:rPr>
          <w:bCs/>
          <w:lang w:val="en-US"/>
        </w:rPr>
        <w:t>ey</w:t>
      </w:r>
      <w:r w:rsidR="00DA1B25" w:rsidRPr="00441B3C">
        <w:rPr>
          <w:bCs/>
          <w:lang w:val="en-US"/>
        </w:rPr>
        <w:t xml:space="preserve"> are mainly dependent on foreign funding</w:t>
      </w:r>
      <w:r w:rsidRPr="00441B3C">
        <w:rPr>
          <w:bCs/>
          <w:lang w:val="en-US"/>
        </w:rPr>
        <w:t>.</w:t>
      </w:r>
      <w:r w:rsidRPr="00441B3C">
        <w:rPr>
          <w:bCs/>
          <w:vertAlign w:val="superscript"/>
          <w:lang w:val="en-US"/>
        </w:rPr>
        <w:footnoteReference w:id="44"/>
      </w:r>
      <w:r w:rsidR="00FC0FDE" w:rsidRPr="00441B3C">
        <w:rPr>
          <w:bCs/>
          <w:lang w:val="en-US"/>
        </w:rPr>
        <w:t xml:space="preserve"> The Secretary-General noted that the law </w:t>
      </w:r>
      <w:r w:rsidR="00D3397D" w:rsidRPr="00441B3C">
        <w:rPr>
          <w:bCs/>
          <w:lang w:val="en-US"/>
        </w:rPr>
        <w:t>‘</w:t>
      </w:r>
      <w:r w:rsidR="00FC0FDE" w:rsidRPr="00441B3C">
        <w:rPr>
          <w:bCs/>
          <w:lang w:val="en-US"/>
        </w:rPr>
        <w:t>contributes to a climate in which the activities of human rights organizations are increasingly delegitimized</w:t>
      </w:r>
      <w:r w:rsidR="00D3397D" w:rsidRPr="00441B3C">
        <w:rPr>
          <w:bCs/>
          <w:lang w:val="en-US"/>
        </w:rPr>
        <w:t>.’</w:t>
      </w:r>
      <w:r w:rsidR="009B7F1E" w:rsidRPr="00441B3C">
        <w:rPr>
          <w:bCs/>
          <w:vertAlign w:val="superscript"/>
        </w:rPr>
        <w:footnoteReference w:id="45"/>
      </w:r>
      <w:r w:rsidR="00FC0FDE" w:rsidRPr="00441B3C">
        <w:rPr>
          <w:bCs/>
          <w:lang w:val="en-US"/>
        </w:rPr>
        <w:t xml:space="preserve"> </w:t>
      </w:r>
      <w:r w:rsidR="00996B14" w:rsidRPr="00441B3C">
        <w:rPr>
          <w:bCs/>
          <w:lang w:val="en-US"/>
        </w:rPr>
        <w:t>In June</w:t>
      </w:r>
      <w:r w:rsidR="00FC0FDE" w:rsidRPr="00441B3C">
        <w:rPr>
          <w:bCs/>
          <w:lang w:val="en-US"/>
        </w:rPr>
        <w:t xml:space="preserve"> 2017, Prime Minister Netanyahu announced his intention </w:t>
      </w:r>
      <w:proofErr w:type="gramStart"/>
      <w:r w:rsidR="00FC0FDE" w:rsidRPr="00441B3C">
        <w:rPr>
          <w:bCs/>
          <w:lang w:val="en-US"/>
        </w:rPr>
        <w:t>to further strengthen</w:t>
      </w:r>
      <w:proofErr w:type="gramEnd"/>
      <w:r w:rsidR="00FC0FDE" w:rsidRPr="00441B3C">
        <w:rPr>
          <w:bCs/>
          <w:lang w:val="en-US"/>
        </w:rPr>
        <w:t xml:space="preserve"> the transparency law</w:t>
      </w:r>
      <w:r w:rsidR="00D3397D" w:rsidRPr="00441B3C">
        <w:rPr>
          <w:bCs/>
          <w:lang w:val="en-US"/>
        </w:rPr>
        <w:t xml:space="preserve"> by proposing to limit the amount of donations </w:t>
      </w:r>
      <w:r w:rsidR="00FE6798" w:rsidRPr="00441B3C">
        <w:rPr>
          <w:bCs/>
          <w:lang w:val="en-US"/>
        </w:rPr>
        <w:t>organizations</w:t>
      </w:r>
      <w:r w:rsidR="00D3397D" w:rsidRPr="00441B3C">
        <w:rPr>
          <w:bCs/>
          <w:lang w:val="en-US"/>
        </w:rPr>
        <w:t xml:space="preserve"> may receive</w:t>
      </w:r>
      <w:r w:rsidR="00FC0FDE" w:rsidRPr="00441B3C">
        <w:rPr>
          <w:bCs/>
          <w:lang w:val="en-US"/>
        </w:rPr>
        <w:t>.</w:t>
      </w:r>
      <w:r w:rsidR="00886909" w:rsidRPr="00441B3C">
        <w:rPr>
          <w:bCs/>
          <w:vertAlign w:val="superscript"/>
        </w:rPr>
        <w:footnoteReference w:id="46"/>
      </w:r>
      <w:r w:rsidR="00DD59B0" w:rsidRPr="00441B3C">
        <w:rPr>
          <w:bCs/>
          <w:lang w:val="en-US"/>
        </w:rPr>
        <w:t xml:space="preserve"> </w:t>
      </w:r>
    </w:p>
    <w:p w14:paraId="6CD880E9" w14:textId="77777777" w:rsidR="00DD59B0" w:rsidRPr="00441B3C" w:rsidRDefault="00FE6798" w:rsidP="001D62B8">
      <w:pPr>
        <w:pStyle w:val="SingleTxtG"/>
        <w:numPr>
          <w:ilvl w:val="0"/>
          <w:numId w:val="15"/>
        </w:numPr>
        <w:tabs>
          <w:tab w:val="left" w:pos="1701"/>
        </w:tabs>
        <w:ind w:left="1134" w:firstLine="0"/>
        <w:rPr>
          <w:bCs/>
          <w:lang w:val="en-US"/>
        </w:rPr>
      </w:pPr>
      <w:r w:rsidRPr="00441B3C">
        <w:rPr>
          <w:bCs/>
          <w:lang w:val="en-US"/>
        </w:rPr>
        <w:t xml:space="preserve">The </w:t>
      </w:r>
      <w:r w:rsidR="00793AED" w:rsidRPr="00441B3C">
        <w:rPr>
          <w:bCs/>
          <w:lang w:val="en-US"/>
        </w:rPr>
        <w:t>C</w:t>
      </w:r>
      <w:r w:rsidRPr="00441B3C">
        <w:rPr>
          <w:bCs/>
          <w:lang w:val="en-US"/>
        </w:rPr>
        <w:t xml:space="preserve">ivil </w:t>
      </w:r>
      <w:r w:rsidR="00793AED" w:rsidRPr="00441B3C">
        <w:rPr>
          <w:bCs/>
          <w:lang w:val="en-US"/>
        </w:rPr>
        <w:t>S</w:t>
      </w:r>
      <w:r w:rsidRPr="00441B3C">
        <w:rPr>
          <w:bCs/>
          <w:lang w:val="en-US"/>
        </w:rPr>
        <w:t xml:space="preserve">ervice </w:t>
      </w:r>
      <w:r w:rsidR="00850C70" w:rsidRPr="00441B3C">
        <w:rPr>
          <w:bCs/>
          <w:lang w:val="en-US"/>
        </w:rPr>
        <w:t>L</w:t>
      </w:r>
      <w:r w:rsidRPr="00441B3C">
        <w:rPr>
          <w:bCs/>
          <w:lang w:val="en-US"/>
        </w:rPr>
        <w:t xml:space="preserve">aw, which </w:t>
      </w:r>
      <w:proofErr w:type="gramStart"/>
      <w:r w:rsidRPr="00441B3C">
        <w:rPr>
          <w:bCs/>
          <w:lang w:val="en-US"/>
        </w:rPr>
        <w:t>was enacted</w:t>
      </w:r>
      <w:proofErr w:type="gramEnd"/>
      <w:r w:rsidRPr="00441B3C">
        <w:rPr>
          <w:bCs/>
          <w:lang w:val="en-US"/>
        </w:rPr>
        <w:t xml:space="preserve"> in March 2017, also </w:t>
      </w:r>
      <w:r w:rsidR="00EB04C5" w:rsidRPr="00441B3C">
        <w:rPr>
          <w:bCs/>
          <w:lang w:val="en-US"/>
        </w:rPr>
        <w:t>raises concern with respect to</w:t>
      </w:r>
      <w:r w:rsidR="000D014B" w:rsidRPr="00441B3C">
        <w:rPr>
          <w:bCs/>
          <w:lang w:val="en-US"/>
        </w:rPr>
        <w:t xml:space="preserve"> the operational space of civil society organization</w:t>
      </w:r>
      <w:r w:rsidR="00EB04C5" w:rsidRPr="00441B3C">
        <w:rPr>
          <w:bCs/>
          <w:lang w:val="en-US"/>
        </w:rPr>
        <w:t>s</w:t>
      </w:r>
      <w:r w:rsidRPr="00441B3C">
        <w:rPr>
          <w:bCs/>
          <w:lang w:val="en-US"/>
        </w:rPr>
        <w:t>. It</w:t>
      </w:r>
      <w:r w:rsidR="00D3397D" w:rsidRPr="00441B3C">
        <w:rPr>
          <w:bCs/>
          <w:lang w:val="en-US"/>
        </w:rPr>
        <w:t xml:space="preserve"> </w:t>
      </w:r>
      <w:r w:rsidR="007379DF" w:rsidRPr="00441B3C">
        <w:rPr>
          <w:bCs/>
          <w:lang w:val="en-US"/>
        </w:rPr>
        <w:t xml:space="preserve">will enter into force on </w:t>
      </w:r>
      <w:r w:rsidR="00B93FD7" w:rsidRPr="00441B3C">
        <w:rPr>
          <w:bCs/>
          <w:lang w:val="en-US"/>
        </w:rPr>
        <w:t>1</w:t>
      </w:r>
      <w:r w:rsidR="00D3397D" w:rsidRPr="00441B3C">
        <w:rPr>
          <w:bCs/>
          <w:lang w:val="en-US"/>
        </w:rPr>
        <w:t xml:space="preserve"> </w:t>
      </w:r>
      <w:r w:rsidR="00B93FD7" w:rsidRPr="00441B3C">
        <w:rPr>
          <w:bCs/>
          <w:lang w:val="en-US"/>
        </w:rPr>
        <w:t xml:space="preserve">April 2018. While </w:t>
      </w:r>
      <w:r w:rsidR="00EB04C5" w:rsidRPr="00441B3C">
        <w:rPr>
          <w:bCs/>
          <w:lang w:val="en-US"/>
        </w:rPr>
        <w:t>this law</w:t>
      </w:r>
      <w:r w:rsidR="00B93FD7" w:rsidRPr="00441B3C">
        <w:rPr>
          <w:bCs/>
          <w:lang w:val="en-US"/>
        </w:rPr>
        <w:t xml:space="preserve"> does not bar foreign funded non-governmental organi</w:t>
      </w:r>
      <w:r w:rsidR="007B44ED" w:rsidRPr="00441B3C">
        <w:rPr>
          <w:bCs/>
          <w:lang w:val="en-US"/>
        </w:rPr>
        <w:t>z</w:t>
      </w:r>
      <w:r w:rsidR="00B93FD7" w:rsidRPr="00441B3C">
        <w:rPr>
          <w:bCs/>
          <w:lang w:val="en-US"/>
        </w:rPr>
        <w:t xml:space="preserve">ations from receiving </w:t>
      </w:r>
      <w:r w:rsidR="00C4581A" w:rsidRPr="00441B3C">
        <w:rPr>
          <w:bCs/>
          <w:lang w:val="en-US"/>
        </w:rPr>
        <w:t xml:space="preserve">civil service </w:t>
      </w:r>
      <w:r w:rsidR="00B93FD7" w:rsidRPr="00441B3C">
        <w:rPr>
          <w:bCs/>
          <w:lang w:val="en-US"/>
        </w:rPr>
        <w:t>vol</w:t>
      </w:r>
      <w:r w:rsidR="00EB04C5" w:rsidRPr="00441B3C">
        <w:rPr>
          <w:bCs/>
          <w:lang w:val="en-US"/>
        </w:rPr>
        <w:t>unteers</w:t>
      </w:r>
      <w:r w:rsidRPr="00441B3C">
        <w:rPr>
          <w:bCs/>
          <w:lang w:val="en-US"/>
        </w:rPr>
        <w:t>,</w:t>
      </w:r>
      <w:r w:rsidR="00EB04C5" w:rsidRPr="00441B3C">
        <w:rPr>
          <w:bCs/>
          <w:lang w:val="en-US"/>
        </w:rPr>
        <w:t xml:space="preserve"> it stipulates that receipt of a volunteer</w:t>
      </w:r>
      <w:r w:rsidR="00B93FD7" w:rsidRPr="00441B3C">
        <w:rPr>
          <w:bCs/>
          <w:lang w:val="en-US"/>
        </w:rPr>
        <w:t xml:space="preserve"> </w:t>
      </w:r>
      <w:r w:rsidR="001B4208" w:rsidRPr="00441B3C">
        <w:rPr>
          <w:bCs/>
          <w:lang w:val="en-US"/>
        </w:rPr>
        <w:t xml:space="preserve">by </w:t>
      </w:r>
      <w:r w:rsidRPr="00441B3C">
        <w:rPr>
          <w:bCs/>
          <w:lang w:val="en-US"/>
        </w:rPr>
        <w:t xml:space="preserve">such organizations </w:t>
      </w:r>
      <w:r w:rsidR="00B93FD7" w:rsidRPr="00441B3C">
        <w:rPr>
          <w:bCs/>
          <w:lang w:val="en-US"/>
        </w:rPr>
        <w:t xml:space="preserve">has to be specifically approved by the Prime Minister or any other Minister authorized by the </w:t>
      </w:r>
      <w:r w:rsidRPr="00441B3C">
        <w:rPr>
          <w:bCs/>
          <w:lang w:val="en-US"/>
        </w:rPr>
        <w:t>G</w:t>
      </w:r>
      <w:r w:rsidR="00B93FD7" w:rsidRPr="00441B3C">
        <w:rPr>
          <w:bCs/>
          <w:lang w:val="en-US"/>
        </w:rPr>
        <w:t>overnment.</w:t>
      </w:r>
      <w:r w:rsidR="00DD59B0" w:rsidRPr="00441B3C">
        <w:rPr>
          <w:bCs/>
          <w:lang w:val="en-US"/>
        </w:rPr>
        <w:t xml:space="preserve"> </w:t>
      </w:r>
    </w:p>
    <w:p w14:paraId="48D64DB3" w14:textId="77777777" w:rsidR="00DD59B0" w:rsidRPr="00441B3C" w:rsidRDefault="000D014B" w:rsidP="001D62B8">
      <w:pPr>
        <w:pStyle w:val="SingleTxtG"/>
        <w:numPr>
          <w:ilvl w:val="0"/>
          <w:numId w:val="15"/>
        </w:numPr>
        <w:tabs>
          <w:tab w:val="left" w:pos="1701"/>
        </w:tabs>
        <w:ind w:left="1134" w:firstLine="0"/>
        <w:rPr>
          <w:bCs/>
          <w:lang w:val="en-US"/>
        </w:rPr>
      </w:pPr>
      <w:r w:rsidRPr="00441B3C">
        <w:rPr>
          <w:bCs/>
          <w:lang w:val="en-US"/>
        </w:rPr>
        <w:t>A</w:t>
      </w:r>
      <w:r w:rsidR="007379DF" w:rsidRPr="00441B3C">
        <w:rPr>
          <w:bCs/>
          <w:lang w:val="en-US"/>
        </w:rPr>
        <w:t xml:space="preserve"> </w:t>
      </w:r>
      <w:r w:rsidR="00E83D36" w:rsidRPr="00441B3C">
        <w:rPr>
          <w:bCs/>
          <w:lang w:val="en-US"/>
        </w:rPr>
        <w:t>bill</w:t>
      </w:r>
      <w:r w:rsidR="007379DF" w:rsidRPr="00441B3C">
        <w:rPr>
          <w:bCs/>
          <w:lang w:val="en-US"/>
        </w:rPr>
        <w:t xml:space="preserve"> denying tax benefits to certain organizations </w:t>
      </w:r>
      <w:r w:rsidR="00FE6798" w:rsidRPr="00441B3C">
        <w:rPr>
          <w:bCs/>
          <w:lang w:val="en-US"/>
        </w:rPr>
        <w:t xml:space="preserve">considered to </w:t>
      </w:r>
      <w:r w:rsidR="007379DF" w:rsidRPr="00441B3C">
        <w:rPr>
          <w:bCs/>
          <w:lang w:val="en-US"/>
        </w:rPr>
        <w:t>act against the state of Israel</w:t>
      </w:r>
      <w:r w:rsidR="009F695E" w:rsidRPr="00441B3C">
        <w:rPr>
          <w:bCs/>
          <w:lang w:val="en-US"/>
        </w:rPr>
        <w:t xml:space="preserve"> was, at the time of writing, </w:t>
      </w:r>
      <w:proofErr w:type="gramStart"/>
      <w:r w:rsidRPr="00441B3C">
        <w:rPr>
          <w:bCs/>
          <w:lang w:val="en-US"/>
        </w:rPr>
        <w:t>being promoted</w:t>
      </w:r>
      <w:proofErr w:type="gramEnd"/>
      <w:r w:rsidRPr="00441B3C">
        <w:rPr>
          <w:bCs/>
          <w:lang w:val="en-US"/>
        </w:rPr>
        <w:t xml:space="preserve"> in the Knesset</w:t>
      </w:r>
      <w:r w:rsidR="007379DF" w:rsidRPr="00441B3C">
        <w:rPr>
          <w:bCs/>
          <w:lang w:val="en-US"/>
        </w:rPr>
        <w:t>.</w:t>
      </w:r>
      <w:r w:rsidRPr="00441B3C">
        <w:rPr>
          <w:bCs/>
          <w:vertAlign w:val="superscript"/>
          <w:lang w:val="en-US"/>
        </w:rPr>
        <w:footnoteReference w:id="47"/>
      </w:r>
      <w:r w:rsidR="007379DF" w:rsidRPr="00441B3C">
        <w:rPr>
          <w:bCs/>
          <w:vertAlign w:val="superscript"/>
          <w:lang w:val="en-US"/>
        </w:rPr>
        <w:t> </w:t>
      </w:r>
      <w:r w:rsidR="007379DF" w:rsidRPr="00441B3C">
        <w:rPr>
          <w:bCs/>
          <w:lang w:val="en-US"/>
        </w:rPr>
        <w:t xml:space="preserve"> The proposal seeks to deny tax credit to donors who give money to public institutions that </w:t>
      </w:r>
      <w:r w:rsidR="00D3397D" w:rsidRPr="00441B3C">
        <w:rPr>
          <w:bCs/>
          <w:lang w:val="en-US"/>
        </w:rPr>
        <w:t>‘</w:t>
      </w:r>
      <w:r w:rsidR="007379DF" w:rsidRPr="00441B3C">
        <w:rPr>
          <w:bCs/>
          <w:lang w:val="en-US"/>
        </w:rPr>
        <w:t xml:space="preserve">act against </w:t>
      </w:r>
      <w:r w:rsidR="007379DF" w:rsidRPr="00441B3C">
        <w:rPr>
          <w:bCs/>
          <w:lang w:val="en-US"/>
        </w:rPr>
        <w:lastRenderedPageBreak/>
        <w:t>the State of Israel</w:t>
      </w:r>
      <w:r w:rsidRPr="00441B3C">
        <w:rPr>
          <w:bCs/>
          <w:lang w:val="en-US"/>
        </w:rPr>
        <w:t>,</w:t>
      </w:r>
      <w:r w:rsidR="00D3397D" w:rsidRPr="00441B3C">
        <w:rPr>
          <w:bCs/>
          <w:lang w:val="en-US"/>
        </w:rPr>
        <w:t>’</w:t>
      </w:r>
      <w:r w:rsidRPr="00441B3C">
        <w:rPr>
          <w:bCs/>
          <w:lang w:val="en-US"/>
        </w:rPr>
        <w:t xml:space="preserve"> defined as including institutions issuing</w:t>
      </w:r>
      <w:r w:rsidR="007379DF" w:rsidRPr="00441B3C">
        <w:rPr>
          <w:bCs/>
          <w:lang w:val="en-US"/>
        </w:rPr>
        <w:t xml:space="preserve"> publications that accuse the State of Israel of committing war crimes or calling for a boycott against Israel or it</w:t>
      </w:r>
      <w:r w:rsidRPr="00441B3C">
        <w:rPr>
          <w:bCs/>
          <w:lang w:val="en-US"/>
        </w:rPr>
        <w:t>s</w:t>
      </w:r>
      <w:r w:rsidR="007379DF" w:rsidRPr="00441B3C">
        <w:rPr>
          <w:bCs/>
          <w:lang w:val="en-US"/>
        </w:rPr>
        <w:t xml:space="preserve"> citizens. The proposal also seeks to </w:t>
      </w:r>
      <w:r w:rsidRPr="00441B3C">
        <w:rPr>
          <w:bCs/>
          <w:lang w:val="en-US"/>
        </w:rPr>
        <w:t xml:space="preserve">narrow </w:t>
      </w:r>
      <w:r w:rsidR="007379DF" w:rsidRPr="00441B3C">
        <w:rPr>
          <w:bCs/>
          <w:lang w:val="en-US"/>
        </w:rPr>
        <w:t xml:space="preserve">the definition of </w:t>
      </w:r>
      <w:r w:rsidR="00D3397D" w:rsidRPr="00441B3C">
        <w:rPr>
          <w:bCs/>
          <w:lang w:val="en-US"/>
        </w:rPr>
        <w:t>‘</w:t>
      </w:r>
      <w:r w:rsidR="007379DF" w:rsidRPr="00441B3C">
        <w:rPr>
          <w:bCs/>
          <w:lang w:val="en-US"/>
        </w:rPr>
        <w:t>public institution</w:t>
      </w:r>
      <w:r w:rsidRPr="00441B3C">
        <w:rPr>
          <w:bCs/>
          <w:lang w:val="en-US"/>
        </w:rPr>
        <w:t>,</w:t>
      </w:r>
      <w:r w:rsidR="00D3397D" w:rsidRPr="00441B3C">
        <w:rPr>
          <w:bCs/>
          <w:lang w:val="en-US"/>
        </w:rPr>
        <w:t>’</w:t>
      </w:r>
      <w:r w:rsidR="007379DF" w:rsidRPr="00441B3C">
        <w:rPr>
          <w:bCs/>
          <w:lang w:val="en-US"/>
        </w:rPr>
        <w:t xml:space="preserve"> and to establish that the tax benefit </w:t>
      </w:r>
      <w:proofErr w:type="gramStart"/>
      <w:r w:rsidR="007379DF" w:rsidRPr="00441B3C">
        <w:rPr>
          <w:bCs/>
          <w:lang w:val="en-US"/>
        </w:rPr>
        <w:t>will</w:t>
      </w:r>
      <w:r w:rsidRPr="00441B3C">
        <w:rPr>
          <w:bCs/>
          <w:lang w:val="en-US"/>
        </w:rPr>
        <w:t xml:space="preserve"> only</w:t>
      </w:r>
      <w:r w:rsidR="007379DF" w:rsidRPr="00441B3C">
        <w:rPr>
          <w:bCs/>
          <w:lang w:val="en-US"/>
        </w:rPr>
        <w:t xml:space="preserve"> be g</w:t>
      </w:r>
      <w:r w:rsidRPr="00441B3C">
        <w:rPr>
          <w:bCs/>
          <w:lang w:val="en-US"/>
        </w:rPr>
        <w:t>ranted</w:t>
      </w:r>
      <w:proofErr w:type="gramEnd"/>
      <w:r w:rsidR="007379DF" w:rsidRPr="00441B3C">
        <w:rPr>
          <w:bCs/>
          <w:lang w:val="en-US"/>
        </w:rPr>
        <w:t xml:space="preserve"> to persons who donate to an organization that acts on behalf of the citizens of the State</w:t>
      </w:r>
      <w:r w:rsidRPr="00441B3C">
        <w:rPr>
          <w:bCs/>
          <w:lang w:val="en-US"/>
        </w:rPr>
        <w:t xml:space="preserve"> of Israel or the Jewish</w:t>
      </w:r>
      <w:r w:rsidR="007379DF" w:rsidRPr="00441B3C">
        <w:rPr>
          <w:bCs/>
          <w:lang w:val="en-US"/>
        </w:rPr>
        <w:t xml:space="preserve"> Diaspora. </w:t>
      </w:r>
    </w:p>
    <w:p w14:paraId="606FAAF6" w14:textId="77777777" w:rsidR="00DD59B0" w:rsidRPr="00441B3C" w:rsidRDefault="00B41A5C" w:rsidP="001D62B8">
      <w:pPr>
        <w:pStyle w:val="SingleTxtG"/>
        <w:numPr>
          <w:ilvl w:val="0"/>
          <w:numId w:val="15"/>
        </w:numPr>
        <w:tabs>
          <w:tab w:val="left" w:pos="1701"/>
        </w:tabs>
        <w:ind w:left="1134" w:firstLine="0"/>
        <w:rPr>
          <w:bCs/>
          <w:lang w:val="en-US"/>
        </w:rPr>
      </w:pPr>
      <w:proofErr w:type="gramStart"/>
      <w:r w:rsidRPr="00441B3C">
        <w:rPr>
          <w:bCs/>
          <w:lang w:val="en-US"/>
        </w:rPr>
        <w:t>In March 2017, the Knesset passed an amendment to the Entry into Israel Law</w:t>
      </w:r>
      <w:r w:rsidR="00D3397D" w:rsidRPr="00441B3C">
        <w:rPr>
          <w:bCs/>
          <w:lang w:val="en-US"/>
        </w:rPr>
        <w:t>,</w:t>
      </w:r>
      <w:r w:rsidRPr="00441B3C">
        <w:rPr>
          <w:bCs/>
          <w:vertAlign w:val="superscript"/>
          <w:lang w:val="en-US"/>
        </w:rPr>
        <w:footnoteReference w:id="48"/>
      </w:r>
      <w:r w:rsidRPr="00441B3C">
        <w:rPr>
          <w:bCs/>
          <w:lang w:val="en-US"/>
        </w:rPr>
        <w:t xml:space="preserve"> which prohibits the granting of a visa or </w:t>
      </w:r>
      <w:r w:rsidR="000B5403" w:rsidRPr="00441B3C">
        <w:rPr>
          <w:bCs/>
          <w:lang w:val="en-US"/>
        </w:rPr>
        <w:t>license</w:t>
      </w:r>
      <w:r w:rsidRPr="00441B3C">
        <w:rPr>
          <w:bCs/>
          <w:lang w:val="en-US"/>
        </w:rPr>
        <w:t xml:space="preserve"> to persons who are not citizens or permanent residents of Israel if they or the organization for which they work has knowingly issued a public call to impose a boycott on Israel, or has committed to participating in such a boycott.</w:t>
      </w:r>
      <w:r w:rsidR="00446095" w:rsidRPr="00441B3C">
        <w:rPr>
          <w:bCs/>
          <w:vertAlign w:val="superscript"/>
          <w:lang w:val="en-US"/>
        </w:rPr>
        <w:footnoteReference w:id="49"/>
      </w:r>
      <w:proofErr w:type="gramEnd"/>
      <w:r w:rsidRPr="00441B3C">
        <w:rPr>
          <w:bCs/>
          <w:lang w:val="en-US"/>
        </w:rPr>
        <w:t xml:space="preserve"> The amendment </w:t>
      </w:r>
      <w:proofErr w:type="gramStart"/>
      <w:r w:rsidRPr="00441B3C">
        <w:rPr>
          <w:bCs/>
          <w:lang w:val="en-US"/>
        </w:rPr>
        <w:t>is worded</w:t>
      </w:r>
      <w:proofErr w:type="gramEnd"/>
      <w:r w:rsidRPr="00441B3C">
        <w:rPr>
          <w:bCs/>
          <w:lang w:val="en-US"/>
        </w:rPr>
        <w:t xml:space="preserve"> broadly, automatically prohibiting the issuance of visas in the circumstances stated</w:t>
      </w:r>
      <w:r w:rsidR="000B5403" w:rsidRPr="00441B3C">
        <w:rPr>
          <w:bCs/>
          <w:lang w:val="en-US"/>
        </w:rPr>
        <w:t xml:space="preserve">. The </w:t>
      </w:r>
      <w:r w:rsidRPr="00441B3C">
        <w:rPr>
          <w:bCs/>
          <w:lang w:val="en-US"/>
        </w:rPr>
        <w:t xml:space="preserve">Minister of the Interior </w:t>
      </w:r>
      <w:proofErr w:type="gramStart"/>
      <w:r w:rsidRPr="00441B3C">
        <w:rPr>
          <w:bCs/>
          <w:lang w:val="en-US"/>
        </w:rPr>
        <w:t>is authorized</w:t>
      </w:r>
      <w:proofErr w:type="gramEnd"/>
      <w:r w:rsidRPr="00441B3C">
        <w:rPr>
          <w:bCs/>
          <w:lang w:val="en-US"/>
        </w:rPr>
        <w:t xml:space="preserve"> to make exceptions with reasons provided in writing. The definition of </w:t>
      </w:r>
      <w:r w:rsidR="0059522F" w:rsidRPr="00441B3C">
        <w:rPr>
          <w:bCs/>
          <w:lang w:val="en-US"/>
        </w:rPr>
        <w:t>‘</w:t>
      </w:r>
      <w:r w:rsidRPr="00441B3C">
        <w:rPr>
          <w:bCs/>
          <w:lang w:val="en-US"/>
        </w:rPr>
        <w:t>boycott</w:t>
      </w:r>
      <w:r w:rsidR="0059522F" w:rsidRPr="00441B3C">
        <w:rPr>
          <w:bCs/>
          <w:lang w:val="en-US"/>
        </w:rPr>
        <w:t>’</w:t>
      </w:r>
      <w:r w:rsidRPr="00441B3C">
        <w:rPr>
          <w:bCs/>
          <w:lang w:val="en-US"/>
        </w:rPr>
        <w:t xml:space="preserve"> </w:t>
      </w:r>
      <w:proofErr w:type="gramStart"/>
      <w:r w:rsidRPr="00441B3C">
        <w:rPr>
          <w:bCs/>
          <w:lang w:val="en-US"/>
        </w:rPr>
        <w:t xml:space="preserve">is explicitly </w:t>
      </w:r>
      <w:r w:rsidR="00F05A5B" w:rsidRPr="00441B3C">
        <w:rPr>
          <w:bCs/>
          <w:lang w:val="en-US"/>
        </w:rPr>
        <w:t>articulated</w:t>
      </w:r>
      <w:proofErr w:type="gramEnd"/>
      <w:r w:rsidRPr="00441B3C">
        <w:rPr>
          <w:bCs/>
          <w:lang w:val="en-US"/>
        </w:rPr>
        <w:t xml:space="preserve"> in the 2011 Boycott Law and includes boycotts aimed at Israeli settlements located in </w:t>
      </w:r>
      <w:r w:rsidR="004C0041" w:rsidRPr="00441B3C">
        <w:rPr>
          <w:bCs/>
          <w:lang w:val="en-US"/>
        </w:rPr>
        <w:t xml:space="preserve">the </w:t>
      </w:r>
      <w:r w:rsidR="00E83D36" w:rsidRPr="00441B3C">
        <w:rPr>
          <w:bCs/>
          <w:lang w:val="en-US"/>
        </w:rPr>
        <w:t>O</w:t>
      </w:r>
      <w:r w:rsidRPr="00441B3C">
        <w:rPr>
          <w:bCs/>
          <w:lang w:val="en-US"/>
        </w:rPr>
        <w:t xml:space="preserve">ccupied </w:t>
      </w:r>
      <w:r w:rsidR="00F210D4" w:rsidRPr="00441B3C">
        <w:rPr>
          <w:bCs/>
          <w:lang w:val="en-US"/>
        </w:rPr>
        <w:t>Palestinian T</w:t>
      </w:r>
      <w:r w:rsidRPr="00441B3C">
        <w:rPr>
          <w:bCs/>
          <w:lang w:val="en-US"/>
        </w:rPr>
        <w:t>erritory.</w:t>
      </w:r>
      <w:r w:rsidRPr="00441B3C">
        <w:rPr>
          <w:bCs/>
          <w:vertAlign w:val="superscript"/>
          <w:lang w:val="en-US"/>
        </w:rPr>
        <w:footnoteReference w:id="50"/>
      </w:r>
      <w:r w:rsidRPr="00441B3C">
        <w:rPr>
          <w:bCs/>
          <w:lang w:val="en-US"/>
        </w:rPr>
        <w:t xml:space="preserve"> </w:t>
      </w:r>
      <w:r w:rsidR="0059522F" w:rsidRPr="00441B3C">
        <w:rPr>
          <w:bCs/>
          <w:lang w:val="en-US"/>
        </w:rPr>
        <w:t>In e</w:t>
      </w:r>
      <w:r w:rsidRPr="00441B3C">
        <w:rPr>
          <w:bCs/>
          <w:lang w:val="en-US"/>
        </w:rPr>
        <w:t xml:space="preserve">arly January 2018, </w:t>
      </w:r>
      <w:r w:rsidR="000148EC" w:rsidRPr="00441B3C">
        <w:rPr>
          <w:bCs/>
          <w:lang w:val="en-US"/>
        </w:rPr>
        <w:t xml:space="preserve">media published the so-called boycott divestment and sanctions list, containing the full list of organizations whose members will be barred from entering the </w:t>
      </w:r>
      <w:proofErr w:type="gramStart"/>
      <w:r w:rsidR="000148EC" w:rsidRPr="00441B3C">
        <w:rPr>
          <w:bCs/>
          <w:lang w:val="en-US"/>
        </w:rPr>
        <w:t>country, that</w:t>
      </w:r>
      <w:proofErr w:type="gramEnd"/>
      <w:r w:rsidR="000148EC" w:rsidRPr="00441B3C">
        <w:rPr>
          <w:bCs/>
          <w:lang w:val="en-US"/>
        </w:rPr>
        <w:t xml:space="preserve"> was reportedly revealed by the </w:t>
      </w:r>
      <w:r w:rsidRPr="00441B3C">
        <w:rPr>
          <w:bCs/>
          <w:lang w:val="en-US"/>
        </w:rPr>
        <w:t>Strategic Affairs Ministry.</w:t>
      </w:r>
      <w:r w:rsidRPr="00441B3C">
        <w:rPr>
          <w:bCs/>
          <w:vertAlign w:val="superscript"/>
          <w:lang w:val="en-US"/>
        </w:rPr>
        <w:footnoteReference w:id="51"/>
      </w:r>
    </w:p>
    <w:p w14:paraId="36FE7E87" w14:textId="77777777" w:rsidR="00E4095C" w:rsidRPr="00441B3C" w:rsidRDefault="000D014B" w:rsidP="001D62B8">
      <w:pPr>
        <w:pStyle w:val="SingleTxtG"/>
        <w:numPr>
          <w:ilvl w:val="0"/>
          <w:numId w:val="15"/>
        </w:numPr>
        <w:tabs>
          <w:tab w:val="left" w:pos="1701"/>
        </w:tabs>
        <w:ind w:left="1134" w:firstLine="0"/>
        <w:rPr>
          <w:bCs/>
          <w:lang w:val="en-US"/>
        </w:rPr>
      </w:pPr>
      <w:r w:rsidRPr="00441B3C">
        <w:rPr>
          <w:bCs/>
          <w:lang w:val="en-US"/>
        </w:rPr>
        <w:t>In November 2017, a bill to amend the </w:t>
      </w:r>
      <w:r w:rsidR="00446095" w:rsidRPr="00441B3C">
        <w:rPr>
          <w:bCs/>
          <w:lang w:val="en-US"/>
        </w:rPr>
        <w:t xml:space="preserve">2011 Boycott </w:t>
      </w:r>
      <w:r w:rsidRPr="00441B3C">
        <w:rPr>
          <w:bCs/>
          <w:lang w:val="en-US"/>
        </w:rPr>
        <w:t>Law</w:t>
      </w:r>
      <w:r w:rsidR="00B41A5C" w:rsidRPr="00441B3C">
        <w:rPr>
          <w:bCs/>
          <w:vertAlign w:val="superscript"/>
          <w:lang w:val="en-US"/>
        </w:rPr>
        <w:footnoteReference w:id="52"/>
      </w:r>
      <w:r w:rsidRPr="00441B3C">
        <w:rPr>
          <w:bCs/>
          <w:lang w:val="en-US"/>
        </w:rPr>
        <w:t xml:space="preserve"> passed a preliminary reading and</w:t>
      </w:r>
      <w:r w:rsidR="00F05A5B" w:rsidRPr="00441B3C">
        <w:rPr>
          <w:bCs/>
          <w:lang w:val="en-US"/>
        </w:rPr>
        <w:t xml:space="preserve"> was </w:t>
      </w:r>
      <w:r w:rsidRPr="00441B3C">
        <w:rPr>
          <w:bCs/>
          <w:lang w:val="en-US"/>
        </w:rPr>
        <w:t>under preparation for first reading</w:t>
      </w:r>
      <w:r w:rsidR="00E83D36" w:rsidRPr="00441B3C">
        <w:rPr>
          <w:bCs/>
          <w:lang w:val="en-US"/>
        </w:rPr>
        <w:t xml:space="preserve"> at the time of writing this report</w:t>
      </w:r>
      <w:r w:rsidRPr="00441B3C">
        <w:rPr>
          <w:bCs/>
          <w:lang w:val="en-US"/>
        </w:rPr>
        <w:t xml:space="preserve">. </w:t>
      </w:r>
      <w:r w:rsidR="00642F0D" w:rsidRPr="00441B3C">
        <w:rPr>
          <w:bCs/>
          <w:lang w:val="en-US"/>
        </w:rPr>
        <w:t xml:space="preserve">Criminalizing the act of calling for boycott, the law notably enables the filing of civil lawsuits against anyone who calls for boycott and empowers the court to award compensation, including punitive damages, even if no actual damage </w:t>
      </w:r>
      <w:proofErr w:type="gramStart"/>
      <w:r w:rsidR="00642F0D" w:rsidRPr="00441B3C">
        <w:rPr>
          <w:bCs/>
          <w:lang w:val="en-US"/>
        </w:rPr>
        <w:t>is proven</w:t>
      </w:r>
      <w:proofErr w:type="gramEnd"/>
      <w:r w:rsidR="00642F0D" w:rsidRPr="00441B3C">
        <w:rPr>
          <w:bCs/>
          <w:lang w:val="en-US"/>
        </w:rPr>
        <w:t xml:space="preserve">. The amendment proposes to limit to 100,000 NIS the amount of the compensation when no actual damage was </w:t>
      </w:r>
      <w:proofErr w:type="gramStart"/>
      <w:r w:rsidR="00642F0D" w:rsidRPr="00441B3C">
        <w:rPr>
          <w:bCs/>
          <w:lang w:val="en-US"/>
        </w:rPr>
        <w:t>caused,</w:t>
      </w:r>
      <w:proofErr w:type="gramEnd"/>
      <w:r w:rsidR="00642F0D" w:rsidRPr="00441B3C">
        <w:rPr>
          <w:bCs/>
          <w:lang w:val="en-US"/>
        </w:rPr>
        <w:t xml:space="preserve"> and to 500,000 NIS if the court establishes that the call for boycott was done intentionally, in a systematic and organized manner.</w:t>
      </w:r>
      <w:r w:rsidR="00DD59B0" w:rsidRPr="00441B3C">
        <w:rPr>
          <w:bCs/>
          <w:lang w:val="en-US"/>
        </w:rPr>
        <w:t xml:space="preserve"> </w:t>
      </w:r>
    </w:p>
    <w:p w14:paraId="5C48CEBE" w14:textId="0D633A8C" w:rsidR="001D62B8" w:rsidRDefault="00E4095C" w:rsidP="001D62B8">
      <w:pPr>
        <w:pStyle w:val="SingleTxtG"/>
        <w:numPr>
          <w:ilvl w:val="0"/>
          <w:numId w:val="15"/>
        </w:numPr>
        <w:tabs>
          <w:tab w:val="left" w:pos="1701"/>
        </w:tabs>
        <w:ind w:left="1134" w:firstLine="0"/>
        <w:rPr>
          <w:bCs/>
        </w:rPr>
      </w:pPr>
      <w:r w:rsidRPr="00441B3C">
        <w:rPr>
          <w:bCs/>
          <w:lang w:val="en-US"/>
        </w:rPr>
        <w:t xml:space="preserve">As highlighted by the High Commissioner for Human Rights and several United Nations Special Rapporteurs, such laws </w:t>
      </w:r>
      <w:r w:rsidRPr="00441B3C">
        <w:rPr>
          <w:bCs/>
        </w:rPr>
        <w:t>will have significant negative effects on civil society space in Israel, the Occupied Palestinian Territory and beyond</w:t>
      </w:r>
      <w:r w:rsidRPr="00441B3C">
        <w:rPr>
          <w:bCs/>
          <w:lang w:val="en-US"/>
        </w:rPr>
        <w:t>.</w:t>
      </w:r>
      <w:r w:rsidRPr="00441B3C">
        <w:rPr>
          <w:bCs/>
          <w:vertAlign w:val="superscript"/>
          <w:lang w:val="en-US"/>
        </w:rPr>
        <w:footnoteReference w:id="53"/>
      </w:r>
      <w:r w:rsidRPr="00441B3C">
        <w:rPr>
          <w:bCs/>
          <w:lang w:val="en-US"/>
        </w:rPr>
        <w:t xml:space="preserve"> The </w:t>
      </w:r>
      <w:r w:rsidRPr="00441B3C">
        <w:rPr>
          <w:bCs/>
        </w:rPr>
        <w:t xml:space="preserve">cumulative effect of this legislation extends beyond the legal barriers created which seems </w:t>
      </w:r>
      <w:proofErr w:type="gramStart"/>
      <w:r w:rsidRPr="00441B3C">
        <w:rPr>
          <w:bCs/>
        </w:rPr>
        <w:t>to predominately affect</w:t>
      </w:r>
      <w:proofErr w:type="gramEnd"/>
      <w:r w:rsidRPr="00441B3C">
        <w:rPr>
          <w:bCs/>
        </w:rPr>
        <w:t xml:space="preserve"> human rights organizations. </w:t>
      </w:r>
      <w:r w:rsidR="00786A40" w:rsidRPr="00441B3C">
        <w:rPr>
          <w:bCs/>
        </w:rPr>
        <w:t>According to many human rights organizations, t</w:t>
      </w:r>
      <w:r w:rsidRPr="00441B3C">
        <w:rPr>
          <w:bCs/>
        </w:rPr>
        <w:t xml:space="preserve">he public </w:t>
      </w:r>
      <w:proofErr w:type="gramStart"/>
      <w:r w:rsidRPr="00441B3C">
        <w:rPr>
          <w:bCs/>
        </w:rPr>
        <w:t>discourse which surrounded the drafting and passing of this legislation</w:t>
      </w:r>
      <w:proofErr w:type="gramEnd"/>
      <w:r w:rsidRPr="00441B3C">
        <w:rPr>
          <w:bCs/>
        </w:rPr>
        <w:t xml:space="preserve"> has, had a detrimental effect on their reputation among Israeli citizens. Possible legal penalties, as well as reputational risk for civil society organizations and particularly human rights organizations, have a chilling effect on their ability to address sensitive issues.</w:t>
      </w:r>
      <w:r w:rsidR="001D62B8">
        <w:rPr>
          <w:bCs/>
        </w:rPr>
        <w:br w:type="page"/>
      </w:r>
    </w:p>
    <w:p w14:paraId="703036B9" w14:textId="77777777" w:rsidR="00DD59B0" w:rsidRPr="00294E53" w:rsidRDefault="00DD59B0" w:rsidP="001D62B8">
      <w:pPr>
        <w:pStyle w:val="SingleTxtG"/>
        <w:rPr>
          <w:b/>
          <w:i/>
        </w:rPr>
      </w:pPr>
      <w:r w:rsidRPr="00294E53">
        <w:rPr>
          <w:b/>
          <w:i/>
        </w:rPr>
        <w:lastRenderedPageBreak/>
        <w:t>Palestinian legislation</w:t>
      </w:r>
    </w:p>
    <w:p w14:paraId="04B04009" w14:textId="77777777" w:rsidR="00DD59B0" w:rsidRPr="00441B3C" w:rsidRDefault="00977E96" w:rsidP="001D62B8">
      <w:pPr>
        <w:pStyle w:val="SingleTxtG"/>
        <w:numPr>
          <w:ilvl w:val="0"/>
          <w:numId w:val="15"/>
        </w:numPr>
        <w:tabs>
          <w:tab w:val="left" w:pos="1701"/>
        </w:tabs>
        <w:ind w:left="1134" w:firstLine="0"/>
        <w:rPr>
          <w:bCs/>
          <w:lang w:val="en-US"/>
        </w:rPr>
      </w:pPr>
      <w:r w:rsidRPr="00441B3C">
        <w:rPr>
          <w:bCs/>
          <w:lang w:val="en-US"/>
        </w:rPr>
        <w:t xml:space="preserve">During the </w:t>
      </w:r>
      <w:r w:rsidR="0059522F" w:rsidRPr="00441B3C">
        <w:rPr>
          <w:bCs/>
          <w:lang w:val="en-US"/>
        </w:rPr>
        <w:t>past five</w:t>
      </w:r>
      <w:r w:rsidRPr="00441B3C">
        <w:rPr>
          <w:bCs/>
          <w:lang w:val="en-US"/>
        </w:rPr>
        <w:t xml:space="preserve"> years, Palestinian authorities – both in the West Bank and in Gaza –</w:t>
      </w:r>
      <w:r w:rsidR="00293446" w:rsidRPr="00441B3C">
        <w:rPr>
          <w:bCs/>
          <w:lang w:val="en-US"/>
        </w:rPr>
        <w:t xml:space="preserve"> also</w:t>
      </w:r>
      <w:r w:rsidRPr="00441B3C">
        <w:rPr>
          <w:bCs/>
          <w:lang w:val="en-US"/>
        </w:rPr>
        <w:t xml:space="preserve"> took a number of legislative steps narrowing the operative space of non-governmental organizations.  </w:t>
      </w:r>
    </w:p>
    <w:p w14:paraId="7895513D" w14:textId="77777777" w:rsidR="00DD59B0" w:rsidRPr="00441B3C" w:rsidRDefault="00637E51" w:rsidP="001D62B8">
      <w:pPr>
        <w:pStyle w:val="SingleTxtG"/>
        <w:numPr>
          <w:ilvl w:val="0"/>
          <w:numId w:val="15"/>
        </w:numPr>
        <w:tabs>
          <w:tab w:val="left" w:pos="1701"/>
        </w:tabs>
        <w:ind w:left="1134" w:firstLine="0"/>
        <w:rPr>
          <w:bCs/>
          <w:lang w:val="en-US"/>
        </w:rPr>
      </w:pPr>
      <w:r w:rsidRPr="00441B3C">
        <w:rPr>
          <w:bCs/>
          <w:lang w:val="en-US"/>
        </w:rPr>
        <w:t xml:space="preserve">Following decisions of the </w:t>
      </w:r>
      <w:r w:rsidR="003C7448" w:rsidRPr="00441B3C">
        <w:rPr>
          <w:bCs/>
          <w:lang w:val="en-US"/>
        </w:rPr>
        <w:t>G</w:t>
      </w:r>
      <w:r w:rsidRPr="00441B3C">
        <w:rPr>
          <w:bCs/>
          <w:lang w:val="en-US"/>
        </w:rPr>
        <w:t>overnment of the State of Palestine of July 2015 and April 2016, all non-profit companies are requ</w:t>
      </w:r>
      <w:r w:rsidR="002F0438" w:rsidRPr="00441B3C">
        <w:rPr>
          <w:bCs/>
          <w:lang w:val="en-US"/>
        </w:rPr>
        <w:t>ired</w:t>
      </w:r>
      <w:r w:rsidRPr="00441B3C">
        <w:rPr>
          <w:bCs/>
          <w:lang w:val="en-US"/>
        </w:rPr>
        <w:t xml:space="preserve"> to seek the authorization of the Ministry of National Economy to receive any funding. Further to these decisions and without prior notification, </w:t>
      </w:r>
      <w:r w:rsidR="002F0438" w:rsidRPr="00441B3C">
        <w:rPr>
          <w:bCs/>
          <w:lang w:val="en-US"/>
        </w:rPr>
        <w:t xml:space="preserve">the bank accounts of </w:t>
      </w:r>
      <w:r w:rsidRPr="00441B3C">
        <w:rPr>
          <w:bCs/>
          <w:lang w:val="en-US"/>
        </w:rPr>
        <w:t xml:space="preserve">a number of non-profit companies </w:t>
      </w:r>
      <w:proofErr w:type="gramStart"/>
      <w:r w:rsidRPr="00441B3C">
        <w:rPr>
          <w:bCs/>
          <w:lang w:val="en-US"/>
        </w:rPr>
        <w:t>were reportedly frozen</w:t>
      </w:r>
      <w:proofErr w:type="gramEnd"/>
      <w:r w:rsidRPr="00441B3C">
        <w:rPr>
          <w:bCs/>
          <w:lang w:val="en-US"/>
        </w:rPr>
        <w:t xml:space="preserve"> </w:t>
      </w:r>
      <w:r w:rsidR="0059522F" w:rsidRPr="00441B3C">
        <w:rPr>
          <w:bCs/>
          <w:lang w:val="en-US"/>
        </w:rPr>
        <w:t>up</w:t>
      </w:r>
      <w:r w:rsidRPr="00441B3C">
        <w:rPr>
          <w:bCs/>
          <w:lang w:val="en-US"/>
        </w:rPr>
        <w:t xml:space="preserve">on instruction of the Palestinian Monetary Authority and funding </w:t>
      </w:r>
      <w:r w:rsidR="002F0438" w:rsidRPr="00441B3C">
        <w:rPr>
          <w:bCs/>
          <w:lang w:val="en-US"/>
        </w:rPr>
        <w:t xml:space="preserve">was </w:t>
      </w:r>
      <w:r w:rsidRPr="00441B3C">
        <w:rPr>
          <w:bCs/>
          <w:lang w:val="en-US"/>
        </w:rPr>
        <w:t xml:space="preserve">only released after </w:t>
      </w:r>
      <w:r w:rsidR="002F0438" w:rsidRPr="00441B3C">
        <w:rPr>
          <w:bCs/>
          <w:lang w:val="en-US"/>
        </w:rPr>
        <w:t>these companies</w:t>
      </w:r>
      <w:r w:rsidRPr="00441B3C">
        <w:rPr>
          <w:bCs/>
          <w:lang w:val="en-US"/>
        </w:rPr>
        <w:t xml:space="preserve"> supplied a complete breakdown of their operations to the Government. Some had </w:t>
      </w:r>
      <w:r w:rsidR="0059522F" w:rsidRPr="00441B3C">
        <w:rPr>
          <w:bCs/>
          <w:lang w:val="en-US"/>
        </w:rPr>
        <w:t xml:space="preserve">to wait </w:t>
      </w:r>
      <w:r w:rsidRPr="00441B3C">
        <w:rPr>
          <w:bCs/>
          <w:lang w:val="en-US"/>
        </w:rPr>
        <w:t xml:space="preserve">for several months to get governmental approval despite having provided the requested documents. </w:t>
      </w:r>
    </w:p>
    <w:p w14:paraId="135A854D" w14:textId="77777777" w:rsidR="00DD59B0" w:rsidRPr="00441B3C" w:rsidRDefault="00DE0F16" w:rsidP="001D62B8">
      <w:pPr>
        <w:pStyle w:val="SingleTxtG"/>
        <w:numPr>
          <w:ilvl w:val="0"/>
          <w:numId w:val="15"/>
        </w:numPr>
        <w:tabs>
          <w:tab w:val="left" w:pos="1701"/>
        </w:tabs>
        <w:ind w:left="1134" w:firstLine="0"/>
        <w:rPr>
          <w:bCs/>
          <w:lang w:val="en-US"/>
        </w:rPr>
      </w:pPr>
      <w:r w:rsidRPr="00441B3C">
        <w:rPr>
          <w:bCs/>
          <w:lang w:val="en-US"/>
        </w:rPr>
        <w:t xml:space="preserve">These requirements seem </w:t>
      </w:r>
      <w:r w:rsidR="00A003BD" w:rsidRPr="00441B3C">
        <w:rPr>
          <w:bCs/>
          <w:lang w:val="en-US"/>
        </w:rPr>
        <w:t xml:space="preserve">to considerably impede </w:t>
      </w:r>
      <w:r w:rsidRPr="00441B3C">
        <w:rPr>
          <w:bCs/>
          <w:lang w:val="en-US"/>
        </w:rPr>
        <w:t xml:space="preserve">access to funding and conduct of financial transactions for these </w:t>
      </w:r>
      <w:r w:rsidR="002F0438" w:rsidRPr="00441B3C">
        <w:rPr>
          <w:bCs/>
          <w:lang w:val="en-US"/>
        </w:rPr>
        <w:t xml:space="preserve">non-profit </w:t>
      </w:r>
      <w:r w:rsidRPr="00441B3C">
        <w:rPr>
          <w:bCs/>
          <w:lang w:val="en-US"/>
        </w:rPr>
        <w:t>organizations</w:t>
      </w:r>
      <w:r w:rsidR="002F0438" w:rsidRPr="00441B3C">
        <w:rPr>
          <w:bCs/>
          <w:lang w:val="en-US"/>
        </w:rPr>
        <w:t xml:space="preserve"> and </w:t>
      </w:r>
      <w:r w:rsidRPr="00441B3C">
        <w:rPr>
          <w:bCs/>
          <w:lang w:val="en-US"/>
        </w:rPr>
        <w:t>potentially undermine the</w:t>
      </w:r>
      <w:r w:rsidR="002F0438" w:rsidRPr="00441B3C">
        <w:rPr>
          <w:bCs/>
          <w:lang w:val="en-US"/>
        </w:rPr>
        <w:t>ir</w:t>
      </w:r>
      <w:r w:rsidRPr="00441B3C">
        <w:rPr>
          <w:bCs/>
          <w:lang w:val="en-US"/>
        </w:rPr>
        <w:t xml:space="preserve"> autonomy and scope of operation. </w:t>
      </w:r>
      <w:r w:rsidR="002F0438" w:rsidRPr="00441B3C">
        <w:rPr>
          <w:bCs/>
          <w:lang w:val="en-US"/>
        </w:rPr>
        <w:t xml:space="preserve">These measures </w:t>
      </w:r>
      <w:r w:rsidR="00E87BCF" w:rsidRPr="00441B3C">
        <w:rPr>
          <w:bCs/>
          <w:lang w:val="en-US"/>
        </w:rPr>
        <w:t xml:space="preserve">have also </w:t>
      </w:r>
      <w:r w:rsidR="002F0438" w:rsidRPr="00441B3C">
        <w:rPr>
          <w:bCs/>
          <w:lang w:val="en-US"/>
        </w:rPr>
        <w:t>restrict</w:t>
      </w:r>
      <w:r w:rsidR="00E87BCF" w:rsidRPr="00441B3C">
        <w:rPr>
          <w:bCs/>
          <w:lang w:val="en-US"/>
        </w:rPr>
        <w:t>ed</w:t>
      </w:r>
      <w:r w:rsidR="002F0438" w:rsidRPr="00441B3C">
        <w:rPr>
          <w:bCs/>
          <w:lang w:val="en-US"/>
        </w:rPr>
        <w:t xml:space="preserve"> </w:t>
      </w:r>
      <w:r w:rsidRPr="00441B3C">
        <w:rPr>
          <w:bCs/>
          <w:lang w:val="en-US"/>
        </w:rPr>
        <w:t xml:space="preserve">the ability of organizations to deliver crucial </w:t>
      </w:r>
      <w:r w:rsidR="0059522F" w:rsidRPr="00441B3C">
        <w:rPr>
          <w:bCs/>
          <w:lang w:val="en-US"/>
        </w:rPr>
        <w:t xml:space="preserve">social and in some instances humanitarian </w:t>
      </w:r>
      <w:r w:rsidRPr="00441B3C">
        <w:rPr>
          <w:bCs/>
          <w:lang w:val="en-US"/>
        </w:rPr>
        <w:t xml:space="preserve">services, including in Gaza. </w:t>
      </w:r>
    </w:p>
    <w:p w14:paraId="12B8A36E" w14:textId="77777777" w:rsidR="00DD59B0" w:rsidRPr="00441B3C" w:rsidRDefault="00DE0F16" w:rsidP="001D62B8">
      <w:pPr>
        <w:pStyle w:val="SingleTxtG"/>
        <w:numPr>
          <w:ilvl w:val="0"/>
          <w:numId w:val="15"/>
        </w:numPr>
        <w:tabs>
          <w:tab w:val="left" w:pos="1701"/>
        </w:tabs>
        <w:ind w:left="1134" w:firstLine="0"/>
        <w:rPr>
          <w:bCs/>
          <w:lang w:val="en-US"/>
        </w:rPr>
      </w:pPr>
      <w:r w:rsidRPr="00441B3C">
        <w:rPr>
          <w:bCs/>
          <w:lang w:val="en-US"/>
        </w:rPr>
        <w:t xml:space="preserve">In April 2016, </w:t>
      </w:r>
      <w:r w:rsidR="0059522F" w:rsidRPr="00441B3C">
        <w:rPr>
          <w:bCs/>
          <w:lang w:val="en-US"/>
        </w:rPr>
        <w:t xml:space="preserve">the </w:t>
      </w:r>
      <w:r w:rsidR="003C7448" w:rsidRPr="00441B3C">
        <w:rPr>
          <w:bCs/>
          <w:lang w:val="en-US"/>
        </w:rPr>
        <w:t xml:space="preserve">Gaza </w:t>
      </w:r>
      <w:r w:rsidRPr="00441B3C">
        <w:rPr>
          <w:bCs/>
          <w:lang w:val="en-US"/>
        </w:rPr>
        <w:t xml:space="preserve">offices of </w:t>
      </w:r>
      <w:r w:rsidR="007B44ED" w:rsidRPr="00441B3C">
        <w:rPr>
          <w:bCs/>
          <w:lang w:val="en-US"/>
        </w:rPr>
        <w:t>non-governmental organiz</w:t>
      </w:r>
      <w:r w:rsidR="00A003BD" w:rsidRPr="00441B3C">
        <w:rPr>
          <w:bCs/>
          <w:lang w:val="en-US"/>
        </w:rPr>
        <w:t>ations</w:t>
      </w:r>
      <w:r w:rsidRPr="00441B3C">
        <w:rPr>
          <w:bCs/>
          <w:lang w:val="en-US"/>
        </w:rPr>
        <w:t xml:space="preserve"> based in the West Bank </w:t>
      </w:r>
      <w:proofErr w:type="gramStart"/>
      <w:r w:rsidRPr="00441B3C">
        <w:rPr>
          <w:bCs/>
          <w:lang w:val="en-US"/>
        </w:rPr>
        <w:t>were ordered</w:t>
      </w:r>
      <w:proofErr w:type="gramEnd"/>
      <w:r w:rsidRPr="00441B3C">
        <w:rPr>
          <w:bCs/>
          <w:lang w:val="en-US"/>
        </w:rPr>
        <w:t xml:space="preserve"> to register with the </w:t>
      </w:r>
      <w:r w:rsidR="00B42EA9" w:rsidRPr="00441B3C">
        <w:rPr>
          <w:bCs/>
          <w:lang w:val="en-US"/>
        </w:rPr>
        <w:t xml:space="preserve">authorities in </w:t>
      </w:r>
      <w:r w:rsidRPr="00441B3C">
        <w:rPr>
          <w:bCs/>
          <w:lang w:val="en-US"/>
        </w:rPr>
        <w:t>Gaza</w:t>
      </w:r>
      <w:r w:rsidR="00A003BD" w:rsidRPr="00441B3C">
        <w:rPr>
          <w:bCs/>
          <w:lang w:val="en-US"/>
        </w:rPr>
        <w:t>, despite their pre</w:t>
      </w:r>
      <w:r w:rsidR="0059522F" w:rsidRPr="00441B3C">
        <w:rPr>
          <w:bCs/>
          <w:lang w:val="en-US"/>
        </w:rPr>
        <w:t>-</w:t>
      </w:r>
      <w:r w:rsidR="00A003BD" w:rsidRPr="00441B3C">
        <w:rPr>
          <w:bCs/>
          <w:lang w:val="en-US"/>
        </w:rPr>
        <w:t>existing registration with the Palestinian Authority</w:t>
      </w:r>
      <w:r w:rsidRPr="00441B3C">
        <w:rPr>
          <w:bCs/>
          <w:lang w:val="en-US"/>
        </w:rPr>
        <w:t xml:space="preserve">. Among other requirements </w:t>
      </w:r>
      <w:r w:rsidR="003C7448" w:rsidRPr="00441B3C">
        <w:rPr>
          <w:bCs/>
          <w:lang w:val="en-US"/>
        </w:rPr>
        <w:t>of</w:t>
      </w:r>
      <w:r w:rsidRPr="00441B3C">
        <w:rPr>
          <w:bCs/>
          <w:lang w:val="en-US"/>
        </w:rPr>
        <w:t xml:space="preserve"> registration, the West Bank </w:t>
      </w:r>
      <w:r w:rsidR="00A003BD" w:rsidRPr="00441B3C">
        <w:rPr>
          <w:bCs/>
          <w:lang w:val="en-US"/>
        </w:rPr>
        <w:t>he</w:t>
      </w:r>
      <w:r w:rsidRPr="00441B3C">
        <w:rPr>
          <w:bCs/>
          <w:lang w:val="en-US"/>
        </w:rPr>
        <w:t>ad</w:t>
      </w:r>
      <w:r w:rsidR="007B44ED" w:rsidRPr="00441B3C">
        <w:rPr>
          <w:bCs/>
          <w:lang w:val="en-US"/>
        </w:rPr>
        <w:t>quarter offices of those organiz</w:t>
      </w:r>
      <w:r w:rsidRPr="00441B3C">
        <w:rPr>
          <w:bCs/>
          <w:lang w:val="en-US"/>
        </w:rPr>
        <w:t>ation</w:t>
      </w:r>
      <w:r w:rsidR="00A003BD" w:rsidRPr="00441B3C">
        <w:rPr>
          <w:bCs/>
          <w:lang w:val="en-US"/>
        </w:rPr>
        <w:t>s</w:t>
      </w:r>
      <w:r w:rsidRPr="00441B3C">
        <w:rPr>
          <w:bCs/>
          <w:lang w:val="en-US"/>
        </w:rPr>
        <w:t xml:space="preserve"> were </w:t>
      </w:r>
      <w:r w:rsidR="002F0438" w:rsidRPr="00441B3C">
        <w:rPr>
          <w:bCs/>
          <w:lang w:val="en-US"/>
        </w:rPr>
        <w:t xml:space="preserve">asked </w:t>
      </w:r>
      <w:r w:rsidRPr="00441B3C">
        <w:rPr>
          <w:bCs/>
          <w:lang w:val="en-US"/>
        </w:rPr>
        <w:t xml:space="preserve">to seek authorization of </w:t>
      </w:r>
      <w:r w:rsidR="00B42EA9" w:rsidRPr="00441B3C">
        <w:rPr>
          <w:bCs/>
          <w:lang w:val="en-US"/>
        </w:rPr>
        <w:t xml:space="preserve">the authorities in </w:t>
      </w:r>
      <w:r w:rsidRPr="00441B3C">
        <w:rPr>
          <w:bCs/>
          <w:lang w:val="en-US"/>
        </w:rPr>
        <w:t xml:space="preserve">Gaza to open a branch office </w:t>
      </w:r>
      <w:r w:rsidR="002F0438" w:rsidRPr="00441B3C">
        <w:rPr>
          <w:bCs/>
          <w:lang w:val="en-US"/>
        </w:rPr>
        <w:t>there</w:t>
      </w:r>
      <w:r w:rsidR="00A003BD" w:rsidRPr="00441B3C">
        <w:rPr>
          <w:bCs/>
          <w:lang w:val="en-US"/>
        </w:rPr>
        <w:t>. Despite reservations relate</w:t>
      </w:r>
      <w:r w:rsidR="006C30E9" w:rsidRPr="00441B3C">
        <w:rPr>
          <w:bCs/>
          <w:lang w:val="en-US"/>
        </w:rPr>
        <w:t>d</w:t>
      </w:r>
      <w:r w:rsidR="00A003BD" w:rsidRPr="00441B3C">
        <w:rPr>
          <w:bCs/>
          <w:lang w:val="en-US"/>
        </w:rPr>
        <w:t xml:space="preserve"> to the status </w:t>
      </w:r>
      <w:r w:rsidR="0059522F" w:rsidRPr="00441B3C">
        <w:rPr>
          <w:bCs/>
          <w:lang w:val="en-US"/>
        </w:rPr>
        <w:t xml:space="preserve">of </w:t>
      </w:r>
      <w:r w:rsidR="00B42EA9" w:rsidRPr="00441B3C">
        <w:rPr>
          <w:bCs/>
          <w:lang w:val="en-US"/>
        </w:rPr>
        <w:t>the</w:t>
      </w:r>
      <w:r w:rsidR="006C30E9" w:rsidRPr="00441B3C">
        <w:rPr>
          <w:bCs/>
          <w:lang w:val="en-US"/>
        </w:rPr>
        <w:t xml:space="preserve"> </w:t>
      </w:r>
      <w:r w:rsidR="00B42EA9" w:rsidRPr="00441B3C">
        <w:rPr>
          <w:bCs/>
          <w:lang w:val="en-US"/>
        </w:rPr>
        <w:t>authorities</w:t>
      </w:r>
      <w:r w:rsidR="006C30E9" w:rsidRPr="00441B3C">
        <w:rPr>
          <w:bCs/>
          <w:lang w:val="en-US"/>
        </w:rPr>
        <w:t xml:space="preserve"> in Gaza</w:t>
      </w:r>
      <w:r w:rsidR="0059522F" w:rsidRPr="00441B3C">
        <w:rPr>
          <w:bCs/>
          <w:lang w:val="en-US"/>
        </w:rPr>
        <w:t xml:space="preserve">, </w:t>
      </w:r>
      <w:r w:rsidR="00A003BD" w:rsidRPr="00441B3C">
        <w:rPr>
          <w:bCs/>
          <w:lang w:val="en-US"/>
        </w:rPr>
        <w:t>a number of organizations complied with such requirements out of fear that the Hamas authorities would close down their offices</w:t>
      </w:r>
      <w:r w:rsidR="0059522F" w:rsidRPr="00441B3C">
        <w:rPr>
          <w:bCs/>
          <w:lang w:val="en-US"/>
        </w:rPr>
        <w:t xml:space="preserve"> and halt their operations</w:t>
      </w:r>
      <w:r w:rsidR="00A003BD" w:rsidRPr="00441B3C">
        <w:rPr>
          <w:bCs/>
          <w:lang w:val="en-US"/>
        </w:rPr>
        <w:t xml:space="preserve">. </w:t>
      </w:r>
    </w:p>
    <w:p w14:paraId="50627F3D" w14:textId="409BF141" w:rsidR="00DD59B0" w:rsidRPr="00441B3C" w:rsidRDefault="00E56AE4" w:rsidP="001D62B8">
      <w:pPr>
        <w:pStyle w:val="SingleTxtG"/>
        <w:numPr>
          <w:ilvl w:val="0"/>
          <w:numId w:val="15"/>
        </w:numPr>
        <w:tabs>
          <w:tab w:val="left" w:pos="1701"/>
        </w:tabs>
        <w:ind w:left="1134" w:firstLine="0"/>
        <w:rPr>
          <w:bCs/>
          <w:lang w:val="en-US"/>
        </w:rPr>
      </w:pPr>
      <w:r w:rsidRPr="00441B3C">
        <w:rPr>
          <w:bCs/>
          <w:lang w:val="en-US"/>
        </w:rPr>
        <w:t xml:space="preserve">Within a general context of restrictions on freedom </w:t>
      </w:r>
      <w:r w:rsidR="0001280B" w:rsidRPr="00441B3C">
        <w:rPr>
          <w:bCs/>
          <w:lang w:val="en-US"/>
        </w:rPr>
        <w:t>of expression in the West Bank</w:t>
      </w:r>
      <w:r w:rsidRPr="00441B3C">
        <w:rPr>
          <w:bCs/>
          <w:lang w:val="en-US"/>
        </w:rPr>
        <w:t xml:space="preserve">, the so-called Palestinian cyber-crime law </w:t>
      </w:r>
      <w:proofErr w:type="gramStart"/>
      <w:r w:rsidRPr="00441B3C">
        <w:rPr>
          <w:bCs/>
          <w:lang w:val="en-US"/>
        </w:rPr>
        <w:t xml:space="preserve">was </w:t>
      </w:r>
      <w:r w:rsidR="0001280B" w:rsidRPr="00441B3C">
        <w:rPr>
          <w:bCs/>
          <w:lang w:val="en-US"/>
        </w:rPr>
        <w:t>adopted</w:t>
      </w:r>
      <w:proofErr w:type="gramEnd"/>
      <w:r w:rsidR="0001280B" w:rsidRPr="00441B3C">
        <w:rPr>
          <w:bCs/>
          <w:lang w:val="en-US"/>
        </w:rPr>
        <w:t xml:space="preserve"> by presidential decree</w:t>
      </w:r>
      <w:r w:rsidR="005A74E6" w:rsidRPr="00441B3C">
        <w:rPr>
          <w:bCs/>
          <w:lang w:val="en-US"/>
        </w:rPr>
        <w:t xml:space="preserve"> on 24 June 2017</w:t>
      </w:r>
      <w:r w:rsidR="0001280B" w:rsidRPr="00441B3C">
        <w:rPr>
          <w:bCs/>
          <w:lang w:val="en-US"/>
        </w:rPr>
        <w:t>.</w:t>
      </w:r>
      <w:r w:rsidR="005A74E6" w:rsidRPr="00441B3C">
        <w:rPr>
          <w:bCs/>
          <w:vertAlign w:val="superscript"/>
          <w:lang w:val="en-US"/>
        </w:rPr>
        <w:footnoteReference w:id="54"/>
      </w:r>
      <w:r w:rsidR="0001280B" w:rsidRPr="00441B3C">
        <w:rPr>
          <w:bCs/>
          <w:lang w:val="en-US"/>
        </w:rPr>
        <w:t xml:space="preserve"> </w:t>
      </w:r>
      <w:r w:rsidR="00A53B4B" w:rsidRPr="00441B3C">
        <w:rPr>
          <w:bCs/>
          <w:lang w:val="en-US"/>
        </w:rPr>
        <w:t xml:space="preserve">The law criminalizes the publication of data (or the creation of websites to this effect) that violates </w:t>
      </w:r>
      <w:r w:rsidR="00A53B4B" w:rsidRPr="00441B3C">
        <w:rPr>
          <w:rStyle w:val="Aucun"/>
          <w:color w:val="171717"/>
          <w:u w:color="171717"/>
        </w:rPr>
        <w:t xml:space="preserve">“public morality” and “public order”, endangers “community safety”, or insults "holy sites, religions and beliefs" as well as "family values". Based on such overly broad terms, </w:t>
      </w:r>
      <w:r w:rsidR="00A53B4B" w:rsidRPr="00441B3C">
        <w:rPr>
          <w:bCs/>
          <w:lang w:val="en-US"/>
        </w:rPr>
        <w:t>t</w:t>
      </w:r>
      <w:r w:rsidR="0001280B" w:rsidRPr="00441B3C">
        <w:rPr>
          <w:bCs/>
          <w:lang w:val="en-US"/>
        </w:rPr>
        <w:t xml:space="preserve">he law </w:t>
      </w:r>
      <w:proofErr w:type="gramStart"/>
      <w:r w:rsidR="00D91C51" w:rsidRPr="00441B3C">
        <w:rPr>
          <w:bCs/>
          <w:lang w:val="en-US"/>
        </w:rPr>
        <w:t>could potentially be used</w:t>
      </w:r>
      <w:proofErr w:type="gramEnd"/>
      <w:r w:rsidR="00E87BCF" w:rsidRPr="00441B3C">
        <w:rPr>
          <w:bCs/>
          <w:lang w:val="en-US"/>
        </w:rPr>
        <w:t xml:space="preserve"> to </w:t>
      </w:r>
      <w:r w:rsidRPr="00441B3C">
        <w:rPr>
          <w:bCs/>
          <w:lang w:val="en-US"/>
        </w:rPr>
        <w:t>undermine freedom of expression</w:t>
      </w:r>
      <w:r w:rsidR="00D91C51" w:rsidRPr="00441B3C">
        <w:rPr>
          <w:bCs/>
          <w:lang w:val="en-US"/>
        </w:rPr>
        <w:t>,</w:t>
      </w:r>
      <w:r w:rsidR="00E87BCF" w:rsidRPr="00441B3C">
        <w:rPr>
          <w:bCs/>
          <w:lang w:val="en-US"/>
        </w:rPr>
        <w:t xml:space="preserve"> and w</w:t>
      </w:r>
      <w:r w:rsidR="002F0438" w:rsidRPr="00441B3C">
        <w:rPr>
          <w:bCs/>
          <w:lang w:val="en-US"/>
        </w:rPr>
        <w:t xml:space="preserve">as </w:t>
      </w:r>
      <w:r w:rsidR="00D91C51" w:rsidRPr="00441B3C">
        <w:rPr>
          <w:bCs/>
          <w:lang w:val="en-US"/>
        </w:rPr>
        <w:t xml:space="preserve">in fact </w:t>
      </w:r>
      <w:r w:rsidR="002F0438" w:rsidRPr="00441B3C">
        <w:rPr>
          <w:bCs/>
          <w:lang w:val="en-US"/>
        </w:rPr>
        <w:t xml:space="preserve">already </w:t>
      </w:r>
      <w:r w:rsidR="00E87BCF" w:rsidRPr="00441B3C">
        <w:rPr>
          <w:bCs/>
          <w:lang w:val="en-US"/>
        </w:rPr>
        <w:t xml:space="preserve">invoked </w:t>
      </w:r>
      <w:r w:rsidR="002F0438" w:rsidRPr="00441B3C">
        <w:rPr>
          <w:bCs/>
          <w:lang w:val="en-US"/>
        </w:rPr>
        <w:t xml:space="preserve">to </w:t>
      </w:r>
      <w:r w:rsidR="0001280B" w:rsidRPr="00441B3C">
        <w:rPr>
          <w:bCs/>
          <w:lang w:val="en-US"/>
        </w:rPr>
        <w:t>arrest and det</w:t>
      </w:r>
      <w:r w:rsidR="00E87BCF" w:rsidRPr="00441B3C">
        <w:rPr>
          <w:bCs/>
          <w:lang w:val="en-US"/>
        </w:rPr>
        <w:t xml:space="preserve">ain several </w:t>
      </w:r>
      <w:r w:rsidR="0001280B" w:rsidRPr="00441B3C">
        <w:rPr>
          <w:bCs/>
          <w:lang w:val="en-US"/>
        </w:rPr>
        <w:t>journalists and human rights defenders.</w:t>
      </w:r>
      <w:r w:rsidR="0001280B" w:rsidRPr="00441B3C">
        <w:rPr>
          <w:bCs/>
          <w:vertAlign w:val="superscript"/>
          <w:lang w:val="en-US"/>
        </w:rPr>
        <w:footnoteReference w:id="55"/>
      </w:r>
      <w:r w:rsidR="003C7448" w:rsidRPr="00441B3C">
        <w:rPr>
          <w:bCs/>
          <w:lang w:val="en-US"/>
        </w:rPr>
        <w:t xml:space="preserve"> Despite</w:t>
      </w:r>
      <w:r w:rsidR="00447314" w:rsidRPr="00441B3C">
        <w:rPr>
          <w:bCs/>
          <w:lang w:val="en-US"/>
        </w:rPr>
        <w:t xml:space="preserve"> </w:t>
      </w:r>
      <w:r w:rsidR="001D0B7B" w:rsidRPr="00441B3C">
        <w:rPr>
          <w:bCs/>
          <w:lang w:val="en-US"/>
        </w:rPr>
        <w:t xml:space="preserve">the </w:t>
      </w:r>
      <w:r w:rsidR="003C7448" w:rsidRPr="00441B3C">
        <w:rPr>
          <w:bCs/>
          <w:lang w:val="en-US"/>
        </w:rPr>
        <w:t>commitments</w:t>
      </w:r>
      <w:r w:rsidR="00447314" w:rsidRPr="00441B3C">
        <w:rPr>
          <w:bCs/>
          <w:lang w:val="en-US"/>
        </w:rPr>
        <w:t xml:space="preserve"> </w:t>
      </w:r>
      <w:r w:rsidR="001D0B7B" w:rsidRPr="00441B3C">
        <w:rPr>
          <w:bCs/>
          <w:lang w:val="en-US"/>
        </w:rPr>
        <w:t xml:space="preserve">expressed by </w:t>
      </w:r>
      <w:r w:rsidR="00447314" w:rsidRPr="00441B3C">
        <w:rPr>
          <w:bCs/>
          <w:lang w:val="en-US"/>
        </w:rPr>
        <w:t>the Government</w:t>
      </w:r>
      <w:r w:rsidR="003C7448" w:rsidRPr="00441B3C">
        <w:rPr>
          <w:bCs/>
          <w:lang w:val="en-US"/>
        </w:rPr>
        <w:t xml:space="preserve"> to take into account </w:t>
      </w:r>
      <w:r w:rsidR="001D0B7B" w:rsidRPr="00441B3C">
        <w:rPr>
          <w:bCs/>
          <w:lang w:val="en-US"/>
        </w:rPr>
        <w:t xml:space="preserve">the </w:t>
      </w:r>
      <w:r w:rsidR="003C7448" w:rsidRPr="00441B3C">
        <w:rPr>
          <w:bCs/>
          <w:lang w:val="en-US"/>
        </w:rPr>
        <w:t xml:space="preserve">concerns </w:t>
      </w:r>
      <w:r w:rsidR="001D0B7B" w:rsidRPr="00441B3C">
        <w:rPr>
          <w:bCs/>
          <w:lang w:val="en-US"/>
        </w:rPr>
        <w:t xml:space="preserve">raised by </w:t>
      </w:r>
      <w:r w:rsidR="003C7448" w:rsidRPr="00441B3C">
        <w:rPr>
          <w:bCs/>
          <w:lang w:val="en-US"/>
        </w:rPr>
        <w:t>OHCHR and of civil society</w:t>
      </w:r>
      <w:r w:rsidR="002F0438" w:rsidRPr="00441B3C">
        <w:rPr>
          <w:bCs/>
          <w:lang w:val="en-US"/>
        </w:rPr>
        <w:t xml:space="preserve"> about this law</w:t>
      </w:r>
      <w:r w:rsidR="003C7448" w:rsidRPr="00441B3C">
        <w:rPr>
          <w:bCs/>
          <w:lang w:val="en-US"/>
        </w:rPr>
        <w:t xml:space="preserve">, </w:t>
      </w:r>
      <w:r w:rsidR="002F0438" w:rsidRPr="00441B3C">
        <w:rPr>
          <w:bCs/>
          <w:lang w:val="en-US"/>
        </w:rPr>
        <w:t>it</w:t>
      </w:r>
      <w:r w:rsidR="003C7448" w:rsidRPr="00441B3C">
        <w:rPr>
          <w:bCs/>
          <w:lang w:val="en-US"/>
        </w:rPr>
        <w:t xml:space="preserve"> remains unchanged and </w:t>
      </w:r>
      <w:proofErr w:type="gramStart"/>
      <w:r w:rsidR="003C7448" w:rsidRPr="00441B3C">
        <w:rPr>
          <w:bCs/>
          <w:lang w:val="en-US"/>
        </w:rPr>
        <w:t>is being applied</w:t>
      </w:r>
      <w:proofErr w:type="gramEnd"/>
      <w:r w:rsidR="003C7448" w:rsidRPr="00441B3C">
        <w:rPr>
          <w:bCs/>
          <w:lang w:val="en-US"/>
        </w:rPr>
        <w:t>.</w:t>
      </w:r>
    </w:p>
    <w:p w14:paraId="6DB81D8D" w14:textId="61714E99" w:rsidR="00DD59B0" w:rsidRPr="0011606B" w:rsidRDefault="0011606B" w:rsidP="001D62B8">
      <w:pPr>
        <w:pStyle w:val="H1G"/>
        <w:spacing w:line="240" w:lineRule="atLeast"/>
      </w:pPr>
      <w:r>
        <w:tab/>
      </w:r>
      <w:r w:rsidR="00606C9E">
        <w:t>I</w:t>
      </w:r>
      <w:r w:rsidRPr="0011606B">
        <w:t>V.</w:t>
      </w:r>
      <w:r w:rsidR="00DD59B0" w:rsidRPr="0011606B">
        <w:tab/>
        <w:t xml:space="preserve">Third State responsibility </w:t>
      </w:r>
    </w:p>
    <w:p w14:paraId="4B52949F" w14:textId="77777777" w:rsidR="002F0438" w:rsidRPr="00441B3C" w:rsidRDefault="00F2770B" w:rsidP="001D62B8">
      <w:pPr>
        <w:pStyle w:val="SingleTxtG"/>
        <w:numPr>
          <w:ilvl w:val="0"/>
          <w:numId w:val="15"/>
        </w:numPr>
        <w:tabs>
          <w:tab w:val="left" w:pos="1710"/>
        </w:tabs>
        <w:ind w:left="1134" w:firstLine="0"/>
        <w:rPr>
          <w:bCs/>
          <w:lang w:val="en-US"/>
        </w:rPr>
      </w:pPr>
      <w:r w:rsidRPr="00441B3C">
        <w:rPr>
          <w:bCs/>
          <w:lang w:val="en-US"/>
        </w:rPr>
        <w:t>Human R</w:t>
      </w:r>
      <w:r w:rsidR="00544F40" w:rsidRPr="00441B3C">
        <w:rPr>
          <w:bCs/>
          <w:lang w:val="en-US"/>
        </w:rPr>
        <w:t>ights Council resolution 34/28</w:t>
      </w:r>
      <w:r w:rsidRPr="00441B3C">
        <w:rPr>
          <w:bCs/>
          <w:lang w:val="en-US"/>
        </w:rPr>
        <w:t xml:space="preserve"> calls upon all States to promote compliance with international law, and all High Contracting Parties to the Fourth Geneva Conventio</w:t>
      </w:r>
      <w:r w:rsidR="00BD15DC" w:rsidRPr="00441B3C">
        <w:rPr>
          <w:bCs/>
          <w:lang w:val="en-US"/>
        </w:rPr>
        <w:t xml:space="preserve">n to respect, and to ensure </w:t>
      </w:r>
      <w:r w:rsidRPr="00441B3C">
        <w:rPr>
          <w:bCs/>
          <w:lang w:val="en-US"/>
        </w:rPr>
        <w:t xml:space="preserve">respect for international humanitarian law in the Occupied Palestinian Territory, in accordance with </w:t>
      </w:r>
      <w:r w:rsidR="001D0B7B" w:rsidRPr="00441B3C">
        <w:rPr>
          <w:bCs/>
          <w:lang w:val="en-US"/>
        </w:rPr>
        <w:t xml:space="preserve">common </w:t>
      </w:r>
      <w:r w:rsidR="00BD15DC" w:rsidRPr="00441B3C">
        <w:rPr>
          <w:bCs/>
          <w:lang w:val="en-US"/>
        </w:rPr>
        <w:t xml:space="preserve">article 1 </w:t>
      </w:r>
      <w:r w:rsidRPr="00441B3C">
        <w:rPr>
          <w:bCs/>
          <w:lang w:val="en-US"/>
        </w:rPr>
        <w:t>o</w:t>
      </w:r>
      <w:r w:rsidR="00BD15DC" w:rsidRPr="00441B3C">
        <w:rPr>
          <w:bCs/>
          <w:lang w:val="en-US"/>
        </w:rPr>
        <w:t>f</w:t>
      </w:r>
      <w:r w:rsidRPr="00441B3C">
        <w:rPr>
          <w:bCs/>
          <w:lang w:val="en-US"/>
        </w:rPr>
        <w:t xml:space="preserve"> the Geneva Convention</w:t>
      </w:r>
      <w:r w:rsidR="001D0B7B" w:rsidRPr="00441B3C">
        <w:rPr>
          <w:bCs/>
          <w:lang w:val="en-US"/>
        </w:rPr>
        <w:t>s</w:t>
      </w:r>
      <w:r w:rsidRPr="00441B3C">
        <w:rPr>
          <w:bCs/>
          <w:lang w:val="en-US"/>
        </w:rPr>
        <w:t xml:space="preserve">. </w:t>
      </w:r>
    </w:p>
    <w:p w14:paraId="3A1C6EE7" w14:textId="7FBBDC12" w:rsidR="002F0438" w:rsidRPr="00441B3C" w:rsidRDefault="00F01E57" w:rsidP="001D62B8">
      <w:pPr>
        <w:pStyle w:val="SingleTxtG"/>
        <w:numPr>
          <w:ilvl w:val="0"/>
          <w:numId w:val="15"/>
        </w:numPr>
        <w:tabs>
          <w:tab w:val="left" w:pos="1710"/>
        </w:tabs>
        <w:ind w:left="1134" w:firstLine="0"/>
        <w:rPr>
          <w:bCs/>
          <w:lang w:val="en-US"/>
        </w:rPr>
      </w:pPr>
      <w:r w:rsidRPr="00441B3C">
        <w:rPr>
          <w:bCs/>
          <w:lang w:val="en-US"/>
        </w:rPr>
        <w:lastRenderedPageBreak/>
        <w:t>E</w:t>
      </w:r>
      <w:r w:rsidR="00F2770B" w:rsidRPr="00441B3C">
        <w:rPr>
          <w:bCs/>
          <w:lang w:val="en-US"/>
        </w:rPr>
        <w:t>nsur</w:t>
      </w:r>
      <w:r w:rsidRPr="00441B3C">
        <w:rPr>
          <w:bCs/>
          <w:lang w:val="en-US"/>
        </w:rPr>
        <w:t>ing</w:t>
      </w:r>
      <w:r w:rsidR="00F2770B" w:rsidRPr="00441B3C">
        <w:rPr>
          <w:bCs/>
          <w:lang w:val="en-US"/>
        </w:rPr>
        <w:t xml:space="preserve"> respect implies tak</w:t>
      </w:r>
      <w:r w:rsidRPr="00441B3C">
        <w:rPr>
          <w:bCs/>
          <w:lang w:val="en-US"/>
        </w:rPr>
        <w:t>ing</w:t>
      </w:r>
      <w:r w:rsidR="00F2770B" w:rsidRPr="00441B3C">
        <w:rPr>
          <w:bCs/>
          <w:lang w:val="en-US"/>
        </w:rPr>
        <w:t xml:space="preserve"> measures to prompt States to act in compliance with international humanitarian law.</w:t>
      </w:r>
      <w:r w:rsidR="00F2770B" w:rsidRPr="00441B3C">
        <w:rPr>
          <w:bCs/>
          <w:vertAlign w:val="superscript"/>
          <w:lang w:val="en-US"/>
        </w:rPr>
        <w:footnoteReference w:id="56"/>
      </w:r>
      <w:r w:rsidR="00F2770B" w:rsidRPr="00441B3C">
        <w:rPr>
          <w:bCs/>
          <w:lang w:val="en-US"/>
        </w:rPr>
        <w:t xml:space="preserve">  </w:t>
      </w:r>
      <w:r w:rsidR="0005772C" w:rsidRPr="00441B3C">
        <w:rPr>
          <w:bCs/>
          <w:lang w:val="en-US"/>
        </w:rPr>
        <w:t>T</w:t>
      </w:r>
      <w:r w:rsidR="00F2770B" w:rsidRPr="00441B3C">
        <w:rPr>
          <w:bCs/>
          <w:lang w:val="en-US"/>
        </w:rPr>
        <w:t xml:space="preserve">he Security Council, the General Assembly and the majority of States parties to the Geneva Conventions have relied </w:t>
      </w:r>
      <w:r w:rsidR="0005772C" w:rsidRPr="00441B3C">
        <w:rPr>
          <w:bCs/>
          <w:lang w:val="en-US"/>
        </w:rPr>
        <w:t xml:space="preserve">on this </w:t>
      </w:r>
      <w:r w:rsidR="00F2770B" w:rsidRPr="00441B3C">
        <w:rPr>
          <w:bCs/>
          <w:lang w:val="en-US"/>
        </w:rPr>
        <w:t xml:space="preserve">when calling upon third States to </w:t>
      </w:r>
      <w:r w:rsidRPr="00441B3C">
        <w:rPr>
          <w:bCs/>
          <w:lang w:val="en-US"/>
        </w:rPr>
        <w:t xml:space="preserve">call upon Israel to respect </w:t>
      </w:r>
      <w:r w:rsidR="00F2770B" w:rsidRPr="00441B3C">
        <w:rPr>
          <w:bCs/>
          <w:lang w:val="en-US"/>
        </w:rPr>
        <w:t>international humanitarian law.</w:t>
      </w:r>
      <w:r w:rsidR="00F2770B" w:rsidRPr="00441B3C">
        <w:rPr>
          <w:bCs/>
          <w:vertAlign w:val="superscript"/>
          <w:lang w:val="en-US"/>
        </w:rPr>
        <w:footnoteReference w:id="57"/>
      </w:r>
      <w:r w:rsidR="00F2770B" w:rsidRPr="00441B3C">
        <w:rPr>
          <w:bCs/>
          <w:lang w:val="en-US"/>
        </w:rPr>
        <w:t xml:space="preserve"> </w:t>
      </w:r>
    </w:p>
    <w:p w14:paraId="14AE7C63" w14:textId="7BD859C8" w:rsidR="00DD59B0" w:rsidRPr="00441B3C" w:rsidRDefault="00F2770B" w:rsidP="001D62B8">
      <w:pPr>
        <w:pStyle w:val="SingleTxtG"/>
        <w:numPr>
          <w:ilvl w:val="0"/>
          <w:numId w:val="15"/>
        </w:numPr>
        <w:tabs>
          <w:tab w:val="left" w:pos="1710"/>
        </w:tabs>
        <w:ind w:left="1134" w:firstLine="0"/>
        <w:rPr>
          <w:bCs/>
          <w:lang w:val="en-US"/>
        </w:rPr>
      </w:pPr>
      <w:r w:rsidRPr="00441B3C">
        <w:rPr>
          <w:bCs/>
          <w:lang w:val="en-US"/>
        </w:rPr>
        <w:t>Human Rights Council resolution 34/</w:t>
      </w:r>
      <w:r w:rsidR="00544F40" w:rsidRPr="00441B3C">
        <w:rPr>
          <w:bCs/>
          <w:lang w:val="en-US"/>
        </w:rPr>
        <w:t>28</w:t>
      </w:r>
      <w:r w:rsidRPr="00441B3C">
        <w:rPr>
          <w:bCs/>
          <w:lang w:val="en-US"/>
        </w:rPr>
        <w:t xml:space="preserve"> also calls upon all duty bearers to pursue the implementation of the recommendations of the United Nations independent international fact-finding mission to investigate the implications of Israeli settlements on the civil, political, economic, social and cultural rights of the Palestinian people throughout the occupied Palestinian territory</w:t>
      </w:r>
      <w:r w:rsidR="00BD058D" w:rsidRPr="00441B3C">
        <w:rPr>
          <w:bCs/>
          <w:lang w:val="en-US"/>
        </w:rPr>
        <w:t>. In its recommendations, the report of the fact-finding mission also refers to third States</w:t>
      </w:r>
      <w:r w:rsidR="002F0438" w:rsidRPr="00441B3C">
        <w:rPr>
          <w:bCs/>
          <w:lang w:val="en-US"/>
        </w:rPr>
        <w:t>’</w:t>
      </w:r>
      <w:r w:rsidR="00BD058D" w:rsidRPr="00441B3C">
        <w:rPr>
          <w:bCs/>
          <w:lang w:val="en-US"/>
        </w:rPr>
        <w:t xml:space="preserve"> responsibility</w:t>
      </w:r>
      <w:r w:rsidR="00846C90" w:rsidRPr="00441B3C">
        <w:rPr>
          <w:bCs/>
          <w:lang w:val="en-US"/>
        </w:rPr>
        <w:t xml:space="preserve"> concerning</w:t>
      </w:r>
      <w:r w:rsidR="00BD058D" w:rsidRPr="00441B3C">
        <w:rPr>
          <w:bCs/>
          <w:lang w:val="en-US"/>
        </w:rPr>
        <w:t xml:space="preserve"> </w:t>
      </w:r>
      <w:r w:rsidR="003142D0" w:rsidRPr="00441B3C">
        <w:rPr>
          <w:bCs/>
          <w:lang w:val="en-US"/>
        </w:rPr>
        <w:t>situations</w:t>
      </w:r>
      <w:r w:rsidR="00BD058D" w:rsidRPr="00441B3C">
        <w:rPr>
          <w:bCs/>
          <w:lang w:val="en-US"/>
        </w:rPr>
        <w:t xml:space="preserve"> </w:t>
      </w:r>
      <w:r w:rsidR="003142D0" w:rsidRPr="00441B3C">
        <w:rPr>
          <w:bCs/>
          <w:lang w:val="en-US"/>
        </w:rPr>
        <w:t>where</w:t>
      </w:r>
      <w:r w:rsidR="00BD058D" w:rsidRPr="00441B3C">
        <w:rPr>
          <w:bCs/>
          <w:lang w:val="en-US"/>
        </w:rPr>
        <w:t xml:space="preserve"> a State is breaching peremptory norms of international law. </w:t>
      </w:r>
      <w:r w:rsidR="0038674F" w:rsidRPr="00441B3C">
        <w:rPr>
          <w:bCs/>
          <w:lang w:val="en-US"/>
        </w:rPr>
        <w:t xml:space="preserve">States </w:t>
      </w:r>
      <w:r w:rsidR="00F01E57" w:rsidRPr="00441B3C">
        <w:rPr>
          <w:bCs/>
          <w:lang w:val="en-US"/>
        </w:rPr>
        <w:t xml:space="preserve">should </w:t>
      </w:r>
      <w:r w:rsidR="0038674F" w:rsidRPr="00441B3C">
        <w:rPr>
          <w:bCs/>
          <w:lang w:val="en-US"/>
        </w:rPr>
        <w:t xml:space="preserve">not recognize as lawful a situation </w:t>
      </w:r>
      <w:r w:rsidR="00F01E57" w:rsidRPr="00441B3C">
        <w:rPr>
          <w:bCs/>
          <w:lang w:val="en-US"/>
        </w:rPr>
        <w:t xml:space="preserve">violating </w:t>
      </w:r>
      <w:r w:rsidR="0038674F" w:rsidRPr="00441B3C">
        <w:rPr>
          <w:bCs/>
          <w:lang w:val="en-US"/>
        </w:rPr>
        <w:t xml:space="preserve">international law, nor render aid or assistance in maintaining that situation. </w:t>
      </w:r>
      <w:r w:rsidR="0054786F" w:rsidRPr="00441B3C">
        <w:rPr>
          <w:bCs/>
          <w:lang w:val="en-US"/>
        </w:rPr>
        <w:t xml:space="preserve">Accordingly, third States </w:t>
      </w:r>
      <w:r w:rsidR="00F01E57" w:rsidRPr="00441B3C">
        <w:rPr>
          <w:bCs/>
          <w:lang w:val="en-US"/>
        </w:rPr>
        <w:t xml:space="preserve">should </w:t>
      </w:r>
      <w:r w:rsidR="0054786F" w:rsidRPr="00441B3C">
        <w:rPr>
          <w:bCs/>
          <w:lang w:val="en-US"/>
        </w:rPr>
        <w:t>not recognize the unlawful situation resulting from Israeli settlements, nor to aid or assist Israel</w:t>
      </w:r>
      <w:r w:rsidR="00F01E57" w:rsidRPr="00441B3C">
        <w:rPr>
          <w:bCs/>
          <w:lang w:val="en-US"/>
        </w:rPr>
        <w:t xml:space="preserve"> in this regard</w:t>
      </w:r>
      <w:r w:rsidR="0054786F" w:rsidRPr="00441B3C">
        <w:rPr>
          <w:bCs/>
          <w:lang w:val="en-US"/>
        </w:rPr>
        <w:t>.</w:t>
      </w:r>
      <w:r w:rsidR="0054786F" w:rsidRPr="00441B3C">
        <w:rPr>
          <w:bCs/>
          <w:vertAlign w:val="superscript"/>
          <w:lang w:val="en-US"/>
        </w:rPr>
        <w:footnoteReference w:id="58"/>
      </w:r>
      <w:r w:rsidR="0054786F" w:rsidRPr="00441B3C">
        <w:rPr>
          <w:bCs/>
          <w:lang w:val="en-US"/>
        </w:rPr>
        <w:t xml:space="preserve"> </w:t>
      </w:r>
      <w:r w:rsidR="003142D0" w:rsidRPr="00441B3C">
        <w:rPr>
          <w:bCs/>
          <w:lang w:val="en-US"/>
        </w:rPr>
        <w:t xml:space="preserve">In addition, </w:t>
      </w:r>
      <w:r w:rsidR="0054786F" w:rsidRPr="00441B3C">
        <w:rPr>
          <w:bCs/>
          <w:lang w:val="en-US"/>
        </w:rPr>
        <w:t xml:space="preserve">third </w:t>
      </w:r>
      <w:r w:rsidR="003142D0" w:rsidRPr="00441B3C">
        <w:rPr>
          <w:bCs/>
          <w:lang w:val="en-US"/>
        </w:rPr>
        <w:t>States shall also cooperate to bring to an end</w:t>
      </w:r>
      <w:r w:rsidR="00846C90" w:rsidRPr="00441B3C">
        <w:rPr>
          <w:bCs/>
          <w:lang w:val="en-US"/>
        </w:rPr>
        <w:t>,</w:t>
      </w:r>
      <w:r w:rsidR="003142D0" w:rsidRPr="00441B3C">
        <w:rPr>
          <w:bCs/>
          <w:lang w:val="en-US"/>
        </w:rPr>
        <w:t xml:space="preserve"> through lawful means</w:t>
      </w:r>
      <w:r w:rsidR="00846C90" w:rsidRPr="00441B3C">
        <w:rPr>
          <w:bCs/>
          <w:lang w:val="en-US"/>
        </w:rPr>
        <w:t>,</w:t>
      </w:r>
      <w:r w:rsidR="003142D0" w:rsidRPr="00441B3C">
        <w:rPr>
          <w:bCs/>
          <w:lang w:val="en-US"/>
        </w:rPr>
        <w:t xml:space="preserve"> any serious breach</w:t>
      </w:r>
      <w:r w:rsidR="00D768F2" w:rsidRPr="00441B3C">
        <w:rPr>
          <w:bCs/>
          <w:lang w:val="en-US"/>
        </w:rPr>
        <w:t xml:space="preserve"> arising under a peremptory norm of general international law</w:t>
      </w:r>
      <w:r w:rsidR="003142D0" w:rsidRPr="00441B3C">
        <w:rPr>
          <w:bCs/>
          <w:lang w:val="en-US"/>
        </w:rPr>
        <w:t>.</w:t>
      </w:r>
      <w:r w:rsidR="003142D0" w:rsidRPr="00441B3C">
        <w:rPr>
          <w:bCs/>
          <w:vertAlign w:val="superscript"/>
          <w:lang w:val="en-US"/>
        </w:rPr>
        <w:footnoteReference w:id="59"/>
      </w:r>
      <w:r w:rsidR="0054786F" w:rsidRPr="00441B3C">
        <w:rPr>
          <w:bCs/>
          <w:lang w:val="en-US"/>
        </w:rPr>
        <w:t xml:space="preserve"> </w:t>
      </w:r>
      <w:proofErr w:type="gramStart"/>
      <w:r w:rsidR="0054786F" w:rsidRPr="00441B3C">
        <w:rPr>
          <w:bCs/>
          <w:lang w:val="en-US"/>
        </w:rPr>
        <w:t xml:space="preserve">Such cooperation </w:t>
      </w:r>
      <w:r w:rsidR="000558A2" w:rsidRPr="00441B3C">
        <w:rPr>
          <w:bCs/>
          <w:lang w:val="en-US"/>
        </w:rPr>
        <w:t xml:space="preserve">is </w:t>
      </w:r>
      <w:r w:rsidR="00AB2DAE" w:rsidRPr="00441B3C">
        <w:rPr>
          <w:bCs/>
          <w:lang w:val="en-US"/>
        </w:rPr>
        <w:t xml:space="preserve">also implied </w:t>
      </w:r>
      <w:r w:rsidR="00D768F2" w:rsidRPr="00441B3C">
        <w:rPr>
          <w:bCs/>
          <w:lang w:val="en-US"/>
        </w:rPr>
        <w:t xml:space="preserve">by </w:t>
      </w:r>
      <w:r w:rsidR="00AB2DAE" w:rsidRPr="00441B3C">
        <w:rPr>
          <w:bCs/>
          <w:lang w:val="en-US"/>
        </w:rPr>
        <w:t xml:space="preserve">the Charter of the United Nations to promote universal respect for, and observance of, human rights and freedoms, as expressly recalled by </w:t>
      </w:r>
      <w:r w:rsidR="00D768F2" w:rsidRPr="00441B3C">
        <w:rPr>
          <w:bCs/>
          <w:lang w:val="en-US"/>
        </w:rPr>
        <w:t xml:space="preserve">most of the </w:t>
      </w:r>
      <w:r w:rsidR="00AB2DAE" w:rsidRPr="00441B3C">
        <w:rPr>
          <w:bCs/>
          <w:lang w:val="en-US"/>
        </w:rPr>
        <w:t xml:space="preserve">international </w:t>
      </w:r>
      <w:r w:rsidR="000558A2" w:rsidRPr="00441B3C">
        <w:rPr>
          <w:bCs/>
          <w:lang w:val="en-US"/>
        </w:rPr>
        <w:t>human rights treaties</w:t>
      </w:r>
      <w:proofErr w:type="gramEnd"/>
      <w:r w:rsidR="000558A2" w:rsidRPr="00441B3C">
        <w:rPr>
          <w:bCs/>
          <w:lang w:val="en-US"/>
        </w:rPr>
        <w:t>.</w:t>
      </w:r>
      <w:r w:rsidR="000558A2" w:rsidRPr="00441B3C">
        <w:rPr>
          <w:bCs/>
          <w:vertAlign w:val="superscript"/>
          <w:lang w:val="en-US"/>
        </w:rPr>
        <w:footnoteReference w:id="60"/>
      </w:r>
      <w:r w:rsidR="000558A2" w:rsidRPr="00441B3C">
        <w:rPr>
          <w:bCs/>
          <w:lang w:val="en-US"/>
        </w:rPr>
        <w:t xml:space="preserve"> </w:t>
      </w:r>
    </w:p>
    <w:p w14:paraId="04E69A04" w14:textId="77777777" w:rsidR="00DD59B0" w:rsidRPr="00441B3C" w:rsidRDefault="00846C90" w:rsidP="001D62B8">
      <w:pPr>
        <w:pStyle w:val="SingleTxtG"/>
        <w:numPr>
          <w:ilvl w:val="0"/>
          <w:numId w:val="15"/>
        </w:numPr>
        <w:tabs>
          <w:tab w:val="left" w:pos="1710"/>
        </w:tabs>
        <w:ind w:left="1134" w:firstLine="0"/>
        <w:rPr>
          <w:bCs/>
          <w:lang w:val="en-US"/>
        </w:rPr>
      </w:pPr>
      <w:proofErr w:type="gramStart"/>
      <w:r w:rsidRPr="00441B3C">
        <w:rPr>
          <w:bCs/>
          <w:lang w:val="en-US"/>
        </w:rPr>
        <w:t>R</w:t>
      </w:r>
      <w:r w:rsidR="003142D0" w:rsidRPr="00441B3C">
        <w:rPr>
          <w:bCs/>
          <w:lang w:val="en-US"/>
        </w:rPr>
        <w:t>ecognizing that “business enterprises have, directly and indirectly, enabled, facilitated and profited from the construction and growth of the settlements”</w:t>
      </w:r>
      <w:r w:rsidR="00880707" w:rsidRPr="00441B3C">
        <w:rPr>
          <w:bCs/>
          <w:lang w:val="en-US"/>
        </w:rPr>
        <w:t>,</w:t>
      </w:r>
      <w:r w:rsidR="003142D0" w:rsidRPr="00441B3C">
        <w:rPr>
          <w:bCs/>
          <w:vertAlign w:val="superscript"/>
          <w:lang w:val="en-US"/>
        </w:rPr>
        <w:footnoteReference w:id="61"/>
      </w:r>
      <w:r w:rsidR="00FB56E4" w:rsidRPr="00441B3C">
        <w:rPr>
          <w:bCs/>
          <w:lang w:val="en-US"/>
        </w:rPr>
        <w:t xml:space="preserve"> </w:t>
      </w:r>
      <w:r w:rsidRPr="00441B3C">
        <w:rPr>
          <w:bCs/>
          <w:lang w:val="en-US"/>
        </w:rPr>
        <w:t xml:space="preserve">the fact finding mission </w:t>
      </w:r>
      <w:r w:rsidR="003142D0" w:rsidRPr="00441B3C">
        <w:rPr>
          <w:bCs/>
          <w:lang w:val="en-US"/>
        </w:rPr>
        <w:t>also call</w:t>
      </w:r>
      <w:r w:rsidRPr="00441B3C">
        <w:rPr>
          <w:bCs/>
          <w:lang w:val="en-US"/>
        </w:rPr>
        <w:t>ed</w:t>
      </w:r>
      <w:r w:rsidR="003142D0" w:rsidRPr="00441B3C">
        <w:rPr>
          <w:bCs/>
          <w:lang w:val="en-US"/>
        </w:rPr>
        <w:t xml:space="preserve"> upon all Member States to take appropriate measures to ensure that business enterprises domiciled in their territory and/or under their jurisdiction, including those owned or controlled by them, that conduct activities in or related to the settlements respect human rights throughout their operations.</w:t>
      </w:r>
      <w:r w:rsidR="003142D0" w:rsidRPr="00441B3C">
        <w:rPr>
          <w:bCs/>
          <w:vertAlign w:val="superscript"/>
          <w:lang w:val="en-US"/>
        </w:rPr>
        <w:footnoteReference w:id="62"/>
      </w:r>
      <w:proofErr w:type="gramEnd"/>
      <w:r w:rsidR="0054786F" w:rsidRPr="00441B3C">
        <w:rPr>
          <w:bCs/>
          <w:lang w:val="en-US"/>
        </w:rPr>
        <w:t xml:space="preserve"> </w:t>
      </w:r>
    </w:p>
    <w:p w14:paraId="1DAF39D6" w14:textId="7EE58B84" w:rsidR="007B44ED" w:rsidRPr="00441B3C" w:rsidRDefault="00D768F2" w:rsidP="001D62B8">
      <w:pPr>
        <w:pStyle w:val="SingleTxtG"/>
        <w:numPr>
          <w:ilvl w:val="0"/>
          <w:numId w:val="15"/>
        </w:numPr>
        <w:tabs>
          <w:tab w:val="left" w:pos="1710"/>
        </w:tabs>
        <w:ind w:left="1134" w:firstLine="0"/>
        <w:rPr>
          <w:lang w:val="en-US"/>
        </w:rPr>
      </w:pPr>
      <w:r w:rsidRPr="00441B3C">
        <w:rPr>
          <w:bCs/>
          <w:lang w:val="en-US"/>
        </w:rPr>
        <w:t xml:space="preserve">As provided for </w:t>
      </w:r>
      <w:r w:rsidR="005B14B4" w:rsidRPr="00441B3C">
        <w:rPr>
          <w:bCs/>
          <w:lang w:val="en-US"/>
        </w:rPr>
        <w:t xml:space="preserve">in various international law instruments, third States </w:t>
      </w:r>
      <w:r w:rsidRPr="00441B3C">
        <w:rPr>
          <w:bCs/>
          <w:lang w:val="en-US"/>
        </w:rPr>
        <w:t xml:space="preserve">should </w:t>
      </w:r>
      <w:r w:rsidR="00FD5ADC" w:rsidRPr="00441B3C">
        <w:rPr>
          <w:bCs/>
          <w:lang w:val="en-US"/>
        </w:rPr>
        <w:t>take measures</w:t>
      </w:r>
      <w:r w:rsidR="005B14B4" w:rsidRPr="00441B3C">
        <w:rPr>
          <w:bCs/>
          <w:lang w:val="en-US"/>
        </w:rPr>
        <w:t xml:space="preserve"> when States are violating international law</w:t>
      </w:r>
      <w:r w:rsidRPr="00441B3C">
        <w:rPr>
          <w:bCs/>
          <w:lang w:val="en-US"/>
        </w:rPr>
        <w:t xml:space="preserve">.  This </w:t>
      </w:r>
      <w:proofErr w:type="gramStart"/>
      <w:r w:rsidR="005B14B4" w:rsidRPr="00441B3C">
        <w:rPr>
          <w:bCs/>
          <w:lang w:val="en-US"/>
        </w:rPr>
        <w:t>should be emphasized</w:t>
      </w:r>
      <w:proofErr w:type="gramEnd"/>
      <w:r w:rsidR="005B14B4" w:rsidRPr="00441B3C">
        <w:rPr>
          <w:bCs/>
          <w:lang w:val="en-US"/>
        </w:rPr>
        <w:t xml:space="preserve"> as regard the context of the Occupied Palestinian </w:t>
      </w:r>
      <w:r w:rsidR="00622095" w:rsidRPr="00441B3C">
        <w:rPr>
          <w:bCs/>
          <w:lang w:val="en-US"/>
        </w:rPr>
        <w:t xml:space="preserve">Territory. </w:t>
      </w:r>
      <w:r w:rsidR="00846C90" w:rsidRPr="00441B3C">
        <w:rPr>
          <w:bCs/>
          <w:lang w:val="en-US"/>
        </w:rPr>
        <w:t xml:space="preserve">In the comprehensive review on the status of recommendations addressed to all parties since 2009 as pertains to the Occupied Palestinian Territory, the High Commissioner identified 141 </w:t>
      </w:r>
      <w:r w:rsidR="005B14B4" w:rsidRPr="00441B3C">
        <w:rPr>
          <w:bCs/>
          <w:lang w:val="en-US"/>
        </w:rPr>
        <w:t>recommendations pertaining to international engagement.</w:t>
      </w:r>
      <w:r w:rsidR="005B14B4" w:rsidRPr="00441B3C">
        <w:rPr>
          <w:bCs/>
          <w:vertAlign w:val="superscript"/>
          <w:lang w:val="en-US"/>
        </w:rPr>
        <w:footnoteReference w:id="63"/>
      </w:r>
      <w:r w:rsidR="00880707" w:rsidRPr="00441B3C">
        <w:rPr>
          <w:bCs/>
          <w:lang w:val="en-US"/>
        </w:rPr>
        <w:t xml:space="preserve"> Of those recommendations, only slightly over </w:t>
      </w:r>
      <w:r w:rsidR="00880707" w:rsidRPr="00441B3C">
        <w:rPr>
          <w:bCs/>
          <w:lang w:val="en-US"/>
        </w:rPr>
        <w:lastRenderedPageBreak/>
        <w:t xml:space="preserve">10 per cent </w:t>
      </w:r>
      <w:proofErr w:type="gramStart"/>
      <w:r w:rsidR="00880707" w:rsidRPr="00441B3C">
        <w:rPr>
          <w:bCs/>
          <w:lang w:val="en-US"/>
        </w:rPr>
        <w:t>have been fully implemented</w:t>
      </w:r>
      <w:proofErr w:type="gramEnd"/>
      <w:r w:rsidR="00880707" w:rsidRPr="00441B3C">
        <w:rPr>
          <w:bCs/>
          <w:lang w:val="en-US"/>
        </w:rPr>
        <w:t xml:space="preserve">, while over half of them appear </w:t>
      </w:r>
      <w:r w:rsidR="00846C90" w:rsidRPr="00441B3C">
        <w:rPr>
          <w:bCs/>
          <w:lang w:val="en-US"/>
        </w:rPr>
        <w:t xml:space="preserve">not to have </w:t>
      </w:r>
      <w:r w:rsidR="00880707" w:rsidRPr="00441B3C">
        <w:rPr>
          <w:bCs/>
          <w:lang w:val="en-US"/>
        </w:rPr>
        <w:t>been implemented</w:t>
      </w:r>
      <w:r w:rsidR="00846C90" w:rsidRPr="00441B3C">
        <w:rPr>
          <w:bCs/>
          <w:lang w:val="en-US"/>
        </w:rPr>
        <w:t xml:space="preserve"> at all</w:t>
      </w:r>
      <w:r w:rsidR="00880707" w:rsidRPr="00441B3C">
        <w:rPr>
          <w:bCs/>
          <w:lang w:val="en-US"/>
        </w:rPr>
        <w:t>.</w:t>
      </w:r>
      <w:r w:rsidR="00880707" w:rsidRPr="00441B3C">
        <w:rPr>
          <w:bCs/>
          <w:vertAlign w:val="superscript"/>
          <w:lang w:val="en-US"/>
        </w:rPr>
        <w:footnoteReference w:id="64"/>
      </w:r>
      <w:r w:rsidR="00880707" w:rsidRPr="00441B3C">
        <w:rPr>
          <w:bCs/>
          <w:lang w:val="en-US"/>
        </w:rPr>
        <w:t xml:space="preserve"> </w:t>
      </w:r>
    </w:p>
    <w:p w14:paraId="664A8AED" w14:textId="38AF4BCA" w:rsidR="007B44ED" w:rsidRPr="00441B3C" w:rsidRDefault="00606C9E" w:rsidP="001D62B8">
      <w:pPr>
        <w:pStyle w:val="HChG"/>
        <w:spacing w:line="240" w:lineRule="atLeast"/>
        <w:jc w:val="both"/>
        <w:rPr>
          <w:lang w:val="en-US"/>
        </w:rPr>
      </w:pPr>
      <w:r>
        <w:rPr>
          <w:lang w:val="en-US"/>
        </w:rPr>
        <w:tab/>
      </w:r>
      <w:r w:rsidR="0011606B">
        <w:rPr>
          <w:lang w:val="en-US"/>
        </w:rPr>
        <w:t>V.</w:t>
      </w:r>
      <w:r w:rsidR="00294E53">
        <w:rPr>
          <w:lang w:val="en-US"/>
        </w:rPr>
        <w:tab/>
      </w:r>
      <w:r w:rsidR="007B44ED" w:rsidRPr="00441B3C">
        <w:rPr>
          <w:lang w:val="en-US"/>
        </w:rPr>
        <w:t>Conclusion and recommendations</w:t>
      </w:r>
    </w:p>
    <w:p w14:paraId="54C08B2D" w14:textId="77777777" w:rsidR="00F50B25" w:rsidRPr="00441B3C" w:rsidRDefault="006B3C76" w:rsidP="001D62B8">
      <w:pPr>
        <w:pStyle w:val="SingleTxtG"/>
        <w:numPr>
          <w:ilvl w:val="0"/>
          <w:numId w:val="15"/>
        </w:numPr>
        <w:tabs>
          <w:tab w:val="left" w:pos="1701"/>
        </w:tabs>
        <w:ind w:left="1134" w:firstLine="0"/>
      </w:pPr>
      <w:r w:rsidRPr="00441B3C">
        <w:rPr>
          <w:lang w:val="en-US"/>
        </w:rPr>
        <w:t xml:space="preserve">The High Commissioner has previously expressed </w:t>
      </w:r>
      <w:r w:rsidRPr="00441B3C">
        <w:t>“serious concerns regarding the lack of accountability related to past cycles of violence and escalation in Gaza and to incidents in the West Bank, including East Jerusalem, and in the access-restricted areas of the Gaza Strip”.</w:t>
      </w:r>
      <w:r w:rsidRPr="00441B3C">
        <w:rPr>
          <w:vertAlign w:val="superscript"/>
        </w:rPr>
        <w:footnoteReference w:id="65"/>
      </w:r>
      <w:r w:rsidRPr="00441B3C">
        <w:t xml:space="preserve"> </w:t>
      </w:r>
      <w:r w:rsidR="00A35CB1" w:rsidRPr="00441B3C">
        <w:t>As reflected in the update provided in this report, these concerns continue today</w:t>
      </w:r>
      <w:r w:rsidR="00555588" w:rsidRPr="00441B3C">
        <w:t xml:space="preserve">, </w:t>
      </w:r>
      <w:r w:rsidR="00592898" w:rsidRPr="00441B3C">
        <w:t xml:space="preserve">particularly during the period under review </w:t>
      </w:r>
      <w:r w:rsidR="00555588" w:rsidRPr="00441B3C">
        <w:t xml:space="preserve">in relation to </w:t>
      </w:r>
      <w:r w:rsidR="00786A40" w:rsidRPr="00441B3C">
        <w:t xml:space="preserve">lack of </w:t>
      </w:r>
      <w:r w:rsidR="00555588" w:rsidRPr="00441B3C">
        <w:t>accountability for</w:t>
      </w:r>
      <w:r w:rsidR="00592898" w:rsidRPr="00441B3C">
        <w:t xml:space="preserve"> continued </w:t>
      </w:r>
      <w:r w:rsidR="00555588" w:rsidRPr="00441B3C">
        <w:t>allegations of excessive use of force by Israeli forces</w:t>
      </w:r>
      <w:r w:rsidR="00592898" w:rsidRPr="00441B3C">
        <w:t>, as well as allegations related to the 2014 escalation of hostilities in Gaza which remain unaddressed.</w:t>
      </w:r>
    </w:p>
    <w:p w14:paraId="79A81875" w14:textId="77777777" w:rsidR="00592898" w:rsidRPr="00441B3C" w:rsidRDefault="00592898" w:rsidP="001D62B8">
      <w:pPr>
        <w:pStyle w:val="SingleTxtG"/>
        <w:numPr>
          <w:ilvl w:val="0"/>
          <w:numId w:val="15"/>
        </w:numPr>
        <w:tabs>
          <w:tab w:val="left" w:pos="1701"/>
        </w:tabs>
        <w:ind w:left="1134" w:firstLine="0"/>
      </w:pPr>
      <w:r w:rsidRPr="00441B3C">
        <w:t xml:space="preserve">Alongside allegations related to use of force, the work of human rights defenders </w:t>
      </w:r>
      <w:proofErr w:type="gramStart"/>
      <w:r w:rsidRPr="00441B3C">
        <w:t>is increasingly challenged</w:t>
      </w:r>
      <w:proofErr w:type="gramEnd"/>
      <w:r w:rsidRPr="00441B3C">
        <w:t xml:space="preserve">. Civil society organizations, journalists, and human rights defenders </w:t>
      </w:r>
      <w:proofErr w:type="gramStart"/>
      <w:r w:rsidRPr="00441B3C">
        <w:t>must be permitted</w:t>
      </w:r>
      <w:proofErr w:type="gramEnd"/>
      <w:r w:rsidRPr="00441B3C">
        <w:t xml:space="preserve"> the space to do their work, </w:t>
      </w:r>
      <w:r w:rsidR="00A25797" w:rsidRPr="00441B3C">
        <w:t xml:space="preserve">including </w:t>
      </w:r>
      <w:r w:rsidR="00790E13" w:rsidRPr="00441B3C">
        <w:t>calling for accountability for alleged violations of international human rights law and international humanitarian law.</w:t>
      </w:r>
      <w:r w:rsidRPr="00441B3C">
        <w:t xml:space="preserve"> </w:t>
      </w:r>
      <w:r w:rsidR="00790E13" w:rsidRPr="00441B3C">
        <w:t xml:space="preserve">Measures which seek to </w:t>
      </w:r>
      <w:r w:rsidRPr="00441B3C">
        <w:t>hinder this work –</w:t>
      </w:r>
      <w:r w:rsidR="00790E13" w:rsidRPr="00441B3C">
        <w:t xml:space="preserve"> for example </w:t>
      </w:r>
      <w:r w:rsidRPr="00441B3C">
        <w:t>through arrest and detention</w:t>
      </w:r>
      <w:r w:rsidR="00790E13" w:rsidRPr="00441B3C">
        <w:t>,</w:t>
      </w:r>
      <w:r w:rsidRPr="00441B3C">
        <w:t xml:space="preserve"> or</w:t>
      </w:r>
      <w:r w:rsidR="00790E13" w:rsidRPr="00441B3C">
        <w:t xml:space="preserve"> the passage of</w:t>
      </w:r>
      <w:r w:rsidRPr="00441B3C">
        <w:t xml:space="preserve"> stigmatizing legislation – raise serious concerns about the </w:t>
      </w:r>
      <w:r w:rsidR="00790E13" w:rsidRPr="00441B3C">
        <w:t xml:space="preserve">exercise of the </w:t>
      </w:r>
      <w:r w:rsidRPr="00441B3C">
        <w:t>right to freedom of expression, and</w:t>
      </w:r>
      <w:r w:rsidR="00A25797" w:rsidRPr="00441B3C">
        <w:t xml:space="preserve"> </w:t>
      </w:r>
      <w:r w:rsidR="00790E13" w:rsidRPr="00441B3C">
        <w:t>risk shrinking civic space.</w:t>
      </w:r>
      <w:r w:rsidRPr="00441B3C">
        <w:t xml:space="preserve"> </w:t>
      </w:r>
    </w:p>
    <w:p w14:paraId="40BF3BE9" w14:textId="66CF5FA1" w:rsidR="00E94E14" w:rsidRPr="00441B3C" w:rsidRDefault="00A35CB1" w:rsidP="001D62B8">
      <w:pPr>
        <w:pStyle w:val="SingleTxtG"/>
        <w:numPr>
          <w:ilvl w:val="0"/>
          <w:numId w:val="15"/>
        </w:numPr>
        <w:tabs>
          <w:tab w:val="left" w:pos="1701"/>
        </w:tabs>
        <w:ind w:left="1134" w:firstLine="0"/>
      </w:pPr>
      <w:proofErr w:type="gramStart"/>
      <w:r w:rsidRPr="00441B3C">
        <w:t>Further, i</w:t>
      </w:r>
      <w:r w:rsidR="006B3C76" w:rsidRPr="00441B3C">
        <w:t xml:space="preserve">n the comprehensive review of recommendations aimed at </w:t>
      </w:r>
      <w:r w:rsidR="006B3C76" w:rsidRPr="00441B3C">
        <w:rPr>
          <w:bCs/>
          <w:lang w:val="en-US"/>
        </w:rPr>
        <w:t xml:space="preserve">ensuring accountability and justice for all violations of international law in the Occupied Palestinian Territory, including East Jerusalem, it was found that throughout the reports analyzed </w:t>
      </w:r>
      <w:r w:rsidR="00846C90" w:rsidRPr="00441B3C">
        <w:rPr>
          <w:bCs/>
          <w:lang w:val="en-US"/>
        </w:rPr>
        <w:t>for</w:t>
      </w:r>
      <w:r w:rsidR="006B3C76" w:rsidRPr="00441B3C">
        <w:rPr>
          <w:bCs/>
          <w:lang w:val="en-US"/>
        </w:rPr>
        <w:t xml:space="preserve"> the review, “</w:t>
      </w:r>
      <w:r w:rsidR="006B3C76" w:rsidRPr="00441B3C">
        <w:rPr>
          <w:lang w:val="en-US"/>
        </w:rPr>
        <w:t>general patterns of human rights violations and non-implementation of recommendations are not just symptoms of the conflict but further fuel the cycle of violence.”</w:t>
      </w:r>
      <w:r w:rsidR="006B3C76" w:rsidRPr="00441B3C">
        <w:rPr>
          <w:vertAlign w:val="superscript"/>
          <w:lang w:val="en-US"/>
        </w:rPr>
        <w:footnoteReference w:id="66"/>
      </w:r>
      <w:proofErr w:type="gramEnd"/>
      <w:r w:rsidR="006B3C76" w:rsidRPr="00441B3C">
        <w:rPr>
          <w:lang w:val="en-US"/>
        </w:rPr>
        <w:t xml:space="preserve"> </w:t>
      </w:r>
      <w:r w:rsidR="00E94E14" w:rsidRPr="00441B3C">
        <w:rPr>
          <w:lang w:val="en-US"/>
        </w:rPr>
        <w:t>As emphasized by the Secretary-General</w:t>
      </w:r>
      <w:r w:rsidR="00846C90" w:rsidRPr="00441B3C">
        <w:rPr>
          <w:lang w:val="en-US"/>
        </w:rPr>
        <w:t>,</w:t>
      </w:r>
      <w:r w:rsidR="00E94E14" w:rsidRPr="00441B3C">
        <w:rPr>
          <w:lang w:val="en-US"/>
        </w:rPr>
        <w:t xml:space="preserve"> </w:t>
      </w:r>
      <w:r w:rsidR="00846C90" w:rsidRPr="00441B3C">
        <w:rPr>
          <w:lang w:val="en-US"/>
        </w:rPr>
        <w:t>lac</w:t>
      </w:r>
      <w:r w:rsidR="003E1EB0" w:rsidRPr="00441B3C">
        <w:rPr>
          <w:lang w:val="en-US"/>
        </w:rPr>
        <w:t>k</w:t>
      </w:r>
      <w:r w:rsidR="00846C90" w:rsidRPr="00441B3C">
        <w:rPr>
          <w:lang w:val="en-US"/>
        </w:rPr>
        <w:t xml:space="preserve"> of accountability </w:t>
      </w:r>
      <w:r w:rsidR="00E94E14" w:rsidRPr="00441B3C">
        <w:rPr>
          <w:lang w:val="en-US"/>
        </w:rPr>
        <w:t>“</w:t>
      </w:r>
      <w:r w:rsidR="00E94E14" w:rsidRPr="00441B3C">
        <w:t>compromises chances for sustainable peace and security. Tackling impunity</w:t>
      </w:r>
      <w:r w:rsidR="00E5073A">
        <w:t xml:space="preserve"> must be the highest priority.</w:t>
      </w:r>
      <w:r w:rsidR="00E94E14" w:rsidRPr="00441B3C">
        <w:t>”</w:t>
      </w:r>
      <w:r w:rsidR="00E94E14" w:rsidRPr="00441B3C">
        <w:rPr>
          <w:vertAlign w:val="superscript"/>
        </w:rPr>
        <w:footnoteReference w:id="67"/>
      </w:r>
      <w:r w:rsidRPr="00441B3C">
        <w:t xml:space="preserve"> The High Commissioner once again echoes this call.</w:t>
      </w:r>
    </w:p>
    <w:p w14:paraId="036A39C8" w14:textId="77777777" w:rsidR="006B3C76" w:rsidRPr="00441B3C" w:rsidRDefault="00846C90" w:rsidP="001D62B8">
      <w:pPr>
        <w:pStyle w:val="SingleTxtG"/>
        <w:numPr>
          <w:ilvl w:val="0"/>
          <w:numId w:val="15"/>
        </w:numPr>
        <w:tabs>
          <w:tab w:val="left" w:pos="1701"/>
        </w:tabs>
        <w:ind w:left="1134" w:firstLine="0"/>
        <w:rPr>
          <w:lang w:val="en-US"/>
        </w:rPr>
      </w:pPr>
      <w:r w:rsidRPr="00441B3C">
        <w:rPr>
          <w:lang w:val="en-US"/>
        </w:rPr>
        <w:t>R</w:t>
      </w:r>
      <w:r w:rsidR="003749DC" w:rsidRPr="00441B3C">
        <w:rPr>
          <w:lang w:val="en-US"/>
        </w:rPr>
        <w:t>ecalling</w:t>
      </w:r>
      <w:r w:rsidR="00B1564C" w:rsidRPr="00441B3C">
        <w:rPr>
          <w:lang w:val="en-US"/>
        </w:rPr>
        <w:t xml:space="preserve"> the </w:t>
      </w:r>
      <w:r w:rsidR="00A35CB1" w:rsidRPr="00441B3C">
        <w:rPr>
          <w:lang w:val="en-US"/>
        </w:rPr>
        <w:t>follow-up measures described</w:t>
      </w:r>
      <w:r w:rsidR="003749DC" w:rsidRPr="00441B3C">
        <w:rPr>
          <w:lang w:val="en-US"/>
        </w:rPr>
        <w:t xml:space="preserve"> in A/HRC/35/19</w:t>
      </w:r>
      <w:r w:rsidR="006110C0" w:rsidRPr="00441B3C">
        <w:rPr>
          <w:lang w:val="en-US"/>
        </w:rPr>
        <w:t>,</w:t>
      </w:r>
      <w:r w:rsidR="00A35CB1" w:rsidRPr="00441B3C">
        <w:rPr>
          <w:lang w:val="en-US"/>
        </w:rPr>
        <w:t xml:space="preserve"> which remain valid,</w:t>
      </w:r>
      <w:r w:rsidR="006110C0" w:rsidRPr="00441B3C">
        <w:rPr>
          <w:lang w:val="en-US"/>
        </w:rPr>
        <w:t xml:space="preserve"> </w:t>
      </w:r>
      <w:r w:rsidRPr="00441B3C">
        <w:rPr>
          <w:lang w:val="en-US"/>
        </w:rPr>
        <w:t>the High Commissioner f</w:t>
      </w:r>
      <w:r w:rsidR="006110C0" w:rsidRPr="00441B3C">
        <w:rPr>
          <w:lang w:val="en-US"/>
        </w:rPr>
        <w:t xml:space="preserve">urther </w:t>
      </w:r>
      <w:r w:rsidR="00A35CB1" w:rsidRPr="00441B3C">
        <w:rPr>
          <w:lang w:val="en-US"/>
        </w:rPr>
        <w:t xml:space="preserve">recommends </w:t>
      </w:r>
      <w:r w:rsidR="006110C0" w:rsidRPr="00441B3C">
        <w:rPr>
          <w:lang w:val="en-US"/>
        </w:rPr>
        <w:t>the following</w:t>
      </w:r>
      <w:r w:rsidR="00B1564C" w:rsidRPr="00441B3C">
        <w:rPr>
          <w:lang w:val="en-US"/>
        </w:rPr>
        <w:t xml:space="preserve">: </w:t>
      </w:r>
    </w:p>
    <w:p w14:paraId="1D3762DC" w14:textId="159DCF42" w:rsidR="007B44ED" w:rsidRPr="00441B3C" w:rsidRDefault="00A35CB1" w:rsidP="001D62B8">
      <w:pPr>
        <w:pStyle w:val="SingleTxtG"/>
        <w:numPr>
          <w:ilvl w:val="1"/>
          <w:numId w:val="35"/>
        </w:numPr>
        <w:tabs>
          <w:tab w:val="left" w:pos="763"/>
        </w:tabs>
        <w:ind w:left="1134" w:firstLine="425"/>
        <w:rPr>
          <w:lang w:val="en-US"/>
        </w:rPr>
      </w:pPr>
      <w:r w:rsidRPr="00441B3C">
        <w:rPr>
          <w:b/>
          <w:lang w:val="en-US"/>
        </w:rPr>
        <w:t>C</w:t>
      </w:r>
      <w:r w:rsidR="00EB5D80" w:rsidRPr="00441B3C">
        <w:rPr>
          <w:b/>
          <w:lang w:val="en-US"/>
        </w:rPr>
        <w:t xml:space="preserve">alls </w:t>
      </w:r>
      <w:r w:rsidRPr="00441B3C">
        <w:rPr>
          <w:b/>
          <w:lang w:val="en-US"/>
        </w:rPr>
        <w:t>up</w:t>
      </w:r>
      <w:r w:rsidR="00EB5D80" w:rsidRPr="00441B3C">
        <w:rPr>
          <w:b/>
          <w:lang w:val="en-US"/>
        </w:rPr>
        <w:t xml:space="preserve">on </w:t>
      </w:r>
      <w:r w:rsidRPr="00441B3C">
        <w:rPr>
          <w:b/>
          <w:lang w:val="en-US"/>
        </w:rPr>
        <w:t>Israel</w:t>
      </w:r>
      <w:r w:rsidR="00846C90" w:rsidRPr="00441B3C">
        <w:rPr>
          <w:b/>
          <w:lang w:val="en-US"/>
        </w:rPr>
        <w:t xml:space="preserve"> </w:t>
      </w:r>
      <w:proofErr w:type="gramStart"/>
      <w:r w:rsidR="00EB5D80" w:rsidRPr="00441B3C">
        <w:rPr>
          <w:b/>
          <w:lang w:val="en-US"/>
        </w:rPr>
        <w:t>to fully comply</w:t>
      </w:r>
      <w:proofErr w:type="gramEnd"/>
      <w:r w:rsidR="00EB5D80" w:rsidRPr="00441B3C">
        <w:rPr>
          <w:b/>
          <w:lang w:val="en-US"/>
        </w:rPr>
        <w:t xml:space="preserve"> with </w:t>
      </w:r>
      <w:r w:rsidRPr="00441B3C">
        <w:rPr>
          <w:b/>
          <w:lang w:val="en-US"/>
        </w:rPr>
        <w:t xml:space="preserve">its obligations under international human rights </w:t>
      </w:r>
      <w:r w:rsidR="00FA4DDE" w:rsidRPr="00441B3C">
        <w:rPr>
          <w:b/>
          <w:lang w:val="en-US"/>
        </w:rPr>
        <w:t xml:space="preserve">law </w:t>
      </w:r>
      <w:r w:rsidRPr="00441B3C">
        <w:rPr>
          <w:b/>
          <w:lang w:val="en-US"/>
        </w:rPr>
        <w:t xml:space="preserve">and </w:t>
      </w:r>
      <w:r w:rsidR="00FA4DDE" w:rsidRPr="00441B3C">
        <w:rPr>
          <w:b/>
          <w:lang w:val="en-US"/>
        </w:rPr>
        <w:t xml:space="preserve">international humanitarian law </w:t>
      </w:r>
      <w:r w:rsidR="00EB5D80" w:rsidRPr="00441B3C">
        <w:rPr>
          <w:b/>
          <w:lang w:val="en-US"/>
        </w:rPr>
        <w:t xml:space="preserve">in the Occupied Palestinian Territory. </w:t>
      </w:r>
    </w:p>
    <w:p w14:paraId="70D8440C" w14:textId="77777777" w:rsidR="007B44ED" w:rsidRPr="00441B3C" w:rsidRDefault="00A35CB1" w:rsidP="001D62B8">
      <w:pPr>
        <w:pStyle w:val="SingleTxtG"/>
        <w:numPr>
          <w:ilvl w:val="1"/>
          <w:numId w:val="35"/>
        </w:numPr>
        <w:tabs>
          <w:tab w:val="left" w:pos="763"/>
        </w:tabs>
        <w:ind w:left="1134" w:firstLine="425"/>
        <w:rPr>
          <w:lang w:val="en-US"/>
        </w:rPr>
      </w:pPr>
      <w:r w:rsidRPr="00441B3C">
        <w:rPr>
          <w:b/>
          <w:lang w:val="en-US"/>
        </w:rPr>
        <w:t>U</w:t>
      </w:r>
      <w:r w:rsidR="00EB5D80" w:rsidRPr="00441B3C">
        <w:rPr>
          <w:b/>
          <w:lang w:val="en-US"/>
        </w:rPr>
        <w:t xml:space="preserve">rges Israel to conduct prompt, </w:t>
      </w:r>
      <w:r w:rsidR="002D098E" w:rsidRPr="00441B3C">
        <w:rPr>
          <w:b/>
          <w:lang w:val="en-US"/>
        </w:rPr>
        <w:t xml:space="preserve">thorough, effective, </w:t>
      </w:r>
      <w:r w:rsidR="00EB5D80" w:rsidRPr="00441B3C">
        <w:rPr>
          <w:b/>
          <w:lang w:val="en-US"/>
        </w:rPr>
        <w:t xml:space="preserve">impartial and independent investigations of all alleged violations </w:t>
      </w:r>
      <w:r w:rsidR="00FA4DDE" w:rsidRPr="00441B3C">
        <w:rPr>
          <w:b/>
          <w:lang w:val="en-US"/>
        </w:rPr>
        <w:t xml:space="preserve">and abuses </w:t>
      </w:r>
      <w:r w:rsidR="00EB5D80" w:rsidRPr="00441B3C">
        <w:rPr>
          <w:b/>
          <w:lang w:val="en-US"/>
        </w:rPr>
        <w:t xml:space="preserve">of international human rights law and </w:t>
      </w:r>
      <w:r w:rsidR="00F83564" w:rsidRPr="00441B3C">
        <w:rPr>
          <w:b/>
          <w:lang w:val="en-US"/>
        </w:rPr>
        <w:t xml:space="preserve">international humanitarian law, in particular </w:t>
      </w:r>
      <w:r w:rsidR="00EB5D80" w:rsidRPr="00441B3C">
        <w:rPr>
          <w:b/>
          <w:lang w:val="en-US"/>
        </w:rPr>
        <w:t>all alleged international crimes</w:t>
      </w:r>
      <w:r w:rsidR="00846C90" w:rsidRPr="00441B3C">
        <w:rPr>
          <w:b/>
          <w:lang w:val="en-US"/>
        </w:rPr>
        <w:t xml:space="preserve">; </w:t>
      </w:r>
      <w:r w:rsidR="00EB5D80" w:rsidRPr="00441B3C">
        <w:rPr>
          <w:b/>
          <w:lang w:val="en-US"/>
        </w:rPr>
        <w:t>further calls on Israel to ensure that all victims have access to remedies and reparation.</w:t>
      </w:r>
    </w:p>
    <w:p w14:paraId="33B76E0E" w14:textId="77777777" w:rsidR="007B44ED" w:rsidRPr="00441B3C" w:rsidRDefault="00A35CB1" w:rsidP="001D62B8">
      <w:pPr>
        <w:pStyle w:val="SingleTxtG"/>
        <w:numPr>
          <w:ilvl w:val="1"/>
          <w:numId w:val="35"/>
        </w:numPr>
        <w:tabs>
          <w:tab w:val="left" w:pos="763"/>
        </w:tabs>
        <w:ind w:left="1134" w:firstLine="425"/>
        <w:rPr>
          <w:lang w:val="en-US"/>
        </w:rPr>
      </w:pPr>
      <w:r w:rsidRPr="00441B3C">
        <w:rPr>
          <w:b/>
          <w:lang w:val="en-US"/>
        </w:rPr>
        <w:t>U</w:t>
      </w:r>
      <w:r w:rsidR="00EB5D80" w:rsidRPr="00441B3C">
        <w:rPr>
          <w:b/>
          <w:lang w:val="en-US"/>
        </w:rPr>
        <w:t>rges the State of Palestine to conduct prompt,</w:t>
      </w:r>
      <w:r w:rsidR="002D098E" w:rsidRPr="00441B3C">
        <w:rPr>
          <w:b/>
          <w:lang w:val="en-US"/>
        </w:rPr>
        <w:t xml:space="preserve"> thorough,</w:t>
      </w:r>
      <w:r w:rsidR="00EB5D80" w:rsidRPr="00441B3C">
        <w:rPr>
          <w:b/>
          <w:lang w:val="en-US"/>
        </w:rPr>
        <w:t xml:space="preserve"> </w:t>
      </w:r>
      <w:r w:rsidR="002D098E" w:rsidRPr="00441B3C">
        <w:rPr>
          <w:b/>
          <w:lang w:val="en-US"/>
        </w:rPr>
        <w:t xml:space="preserve">effective, </w:t>
      </w:r>
      <w:r w:rsidR="00EB5D80" w:rsidRPr="00441B3C">
        <w:rPr>
          <w:b/>
          <w:lang w:val="en-US"/>
        </w:rPr>
        <w:t xml:space="preserve">impartial and independent investigations of all alleged violations </w:t>
      </w:r>
      <w:r w:rsidR="00FA4DDE" w:rsidRPr="00441B3C">
        <w:rPr>
          <w:b/>
          <w:lang w:val="en-US"/>
        </w:rPr>
        <w:t xml:space="preserve">and abuses </w:t>
      </w:r>
      <w:r w:rsidR="00EB5D80" w:rsidRPr="00441B3C">
        <w:rPr>
          <w:b/>
          <w:lang w:val="en-US"/>
        </w:rPr>
        <w:t xml:space="preserve">of international human rights law and </w:t>
      </w:r>
      <w:r w:rsidR="00F83564" w:rsidRPr="00441B3C">
        <w:rPr>
          <w:b/>
          <w:lang w:val="en-US"/>
        </w:rPr>
        <w:t xml:space="preserve">international humanitarian law, in particular </w:t>
      </w:r>
      <w:r w:rsidR="00EB5D80" w:rsidRPr="00441B3C">
        <w:rPr>
          <w:b/>
          <w:lang w:val="en-US"/>
        </w:rPr>
        <w:t>all allegations of international crimes</w:t>
      </w:r>
      <w:r w:rsidR="00846C90" w:rsidRPr="00441B3C">
        <w:rPr>
          <w:b/>
          <w:lang w:val="en-US"/>
        </w:rPr>
        <w:t xml:space="preserve">; </w:t>
      </w:r>
      <w:r w:rsidR="00EB5D80" w:rsidRPr="00441B3C">
        <w:rPr>
          <w:b/>
          <w:lang w:val="en-US"/>
        </w:rPr>
        <w:t>further calls on the State of Palestine to ensure that all victims have access to remedies and reparation.</w:t>
      </w:r>
    </w:p>
    <w:p w14:paraId="1F05E5EE" w14:textId="6EEE0C09" w:rsidR="0025617B" w:rsidRPr="00441B3C" w:rsidRDefault="0025617B" w:rsidP="001D62B8">
      <w:pPr>
        <w:pStyle w:val="SingleTxtG"/>
        <w:numPr>
          <w:ilvl w:val="1"/>
          <w:numId w:val="35"/>
        </w:numPr>
        <w:tabs>
          <w:tab w:val="left" w:pos="763"/>
        </w:tabs>
        <w:ind w:left="1134" w:firstLine="425"/>
        <w:rPr>
          <w:b/>
          <w:lang w:val="en-US"/>
        </w:rPr>
      </w:pPr>
      <w:r w:rsidRPr="00441B3C">
        <w:rPr>
          <w:b/>
          <w:lang w:val="en-US"/>
        </w:rPr>
        <w:lastRenderedPageBreak/>
        <w:t xml:space="preserve">Recommends that </w:t>
      </w:r>
      <w:r w:rsidR="00FA4DDE" w:rsidRPr="00441B3C">
        <w:rPr>
          <w:b/>
          <w:lang w:val="en-US"/>
        </w:rPr>
        <w:t xml:space="preserve">all parties </w:t>
      </w:r>
      <w:r w:rsidRPr="00441B3C">
        <w:rPr>
          <w:b/>
          <w:lang w:val="en-US"/>
        </w:rPr>
        <w:t xml:space="preserve">respect </w:t>
      </w:r>
      <w:r w:rsidR="00AD148F" w:rsidRPr="00441B3C">
        <w:rPr>
          <w:b/>
          <w:lang w:val="en-US"/>
        </w:rPr>
        <w:t xml:space="preserve">international law, including </w:t>
      </w:r>
      <w:r w:rsidRPr="00441B3C">
        <w:rPr>
          <w:b/>
          <w:lang w:val="en-US"/>
        </w:rPr>
        <w:t xml:space="preserve">international humanitarian law, </w:t>
      </w:r>
      <w:r w:rsidR="00AD148F" w:rsidRPr="00441B3C">
        <w:rPr>
          <w:b/>
          <w:lang w:val="en-US"/>
        </w:rPr>
        <w:t>in particular</w:t>
      </w:r>
      <w:r w:rsidR="003F63F5" w:rsidRPr="00441B3C">
        <w:rPr>
          <w:b/>
          <w:lang w:val="en-US"/>
        </w:rPr>
        <w:t xml:space="preserve"> </w:t>
      </w:r>
      <w:r w:rsidRPr="00441B3C">
        <w:rPr>
          <w:b/>
          <w:lang w:val="en-US"/>
        </w:rPr>
        <w:t>the principles of distinction, proportionality and precaution, and ensure accountability for grave violations;</w:t>
      </w:r>
    </w:p>
    <w:p w14:paraId="4052A2F1" w14:textId="77777777" w:rsidR="00EB5D80" w:rsidRPr="00441B3C" w:rsidRDefault="00846C90" w:rsidP="001D62B8">
      <w:pPr>
        <w:pStyle w:val="SingleTxtG"/>
        <w:numPr>
          <w:ilvl w:val="1"/>
          <w:numId w:val="35"/>
        </w:numPr>
        <w:tabs>
          <w:tab w:val="left" w:pos="763"/>
        </w:tabs>
        <w:ind w:left="1134" w:firstLine="425"/>
        <w:rPr>
          <w:lang w:val="en-US"/>
        </w:rPr>
      </w:pPr>
      <w:r w:rsidRPr="00441B3C">
        <w:rPr>
          <w:b/>
          <w:bCs/>
          <w:lang w:val="en-US"/>
        </w:rPr>
        <w:t>R</w:t>
      </w:r>
      <w:r w:rsidR="00EB5D80" w:rsidRPr="00441B3C">
        <w:rPr>
          <w:b/>
          <w:bCs/>
          <w:lang w:val="en-US"/>
        </w:rPr>
        <w:t>eiterates the calls to all States and to relevant United Nations bodies to take all necessary measures to ensure full respect and compliance with the relevant resolutions of the Human Rights Council, the General Assembly and the Security Council, including resolution 2334.</w:t>
      </w:r>
    </w:p>
    <w:p w14:paraId="3D41DC54" w14:textId="14F17135" w:rsidR="0025617B" w:rsidRPr="0011606B" w:rsidRDefault="0025617B" w:rsidP="001D62B8">
      <w:pPr>
        <w:pStyle w:val="SingleTxtG"/>
        <w:numPr>
          <w:ilvl w:val="1"/>
          <w:numId w:val="35"/>
        </w:numPr>
        <w:tabs>
          <w:tab w:val="left" w:pos="763"/>
        </w:tabs>
        <w:spacing w:before="240" w:after="0"/>
        <w:ind w:left="1134" w:firstLine="426"/>
        <w:rPr>
          <w:lang w:val="en-US"/>
        </w:rPr>
      </w:pPr>
      <w:r w:rsidRPr="00441B3C">
        <w:rPr>
          <w:b/>
          <w:bCs/>
          <w:lang w:val="en-US"/>
        </w:rPr>
        <w:t xml:space="preserve">Calls upon </w:t>
      </w:r>
      <w:r w:rsidRPr="00441B3C">
        <w:rPr>
          <w:b/>
          <w:bCs/>
        </w:rPr>
        <w:t xml:space="preserve">all States parties to the Geneva Conventions to take measures to ensure the respect of the Conventions by all </w:t>
      </w:r>
      <w:r w:rsidR="00FA4DDE" w:rsidRPr="00441B3C">
        <w:rPr>
          <w:b/>
          <w:bCs/>
        </w:rPr>
        <w:t>parties</w:t>
      </w:r>
      <w:r w:rsidRPr="00441B3C">
        <w:rPr>
          <w:b/>
          <w:bCs/>
        </w:rPr>
        <w:t>.</w:t>
      </w:r>
    </w:p>
    <w:p w14:paraId="0D90C763" w14:textId="5E316B42" w:rsidR="0011606B" w:rsidRPr="0011606B" w:rsidRDefault="0011606B" w:rsidP="001D62B8">
      <w:pPr>
        <w:pStyle w:val="SingleTxtG"/>
        <w:tabs>
          <w:tab w:val="left" w:pos="763"/>
        </w:tabs>
        <w:spacing w:before="240" w:after="0"/>
        <w:jc w:val="center"/>
        <w:rPr>
          <w:u w:val="single"/>
          <w:lang w:val="en-US"/>
        </w:rPr>
      </w:pPr>
      <w:r>
        <w:rPr>
          <w:b/>
          <w:bCs/>
          <w:u w:val="single"/>
        </w:rPr>
        <w:tab/>
      </w:r>
      <w:r>
        <w:rPr>
          <w:b/>
          <w:bCs/>
          <w:u w:val="single"/>
        </w:rPr>
        <w:tab/>
      </w:r>
      <w:r>
        <w:rPr>
          <w:b/>
          <w:bCs/>
          <w:u w:val="single"/>
        </w:rPr>
        <w:tab/>
      </w:r>
    </w:p>
    <w:sectPr w:rsidR="0011606B" w:rsidRPr="0011606B" w:rsidSect="006776C4">
      <w:headerReference w:type="even" r:id="rId8"/>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19E5B" w14:textId="77777777" w:rsidR="004F3189" w:rsidRDefault="004F3189" w:rsidP="00714755">
      <w:pPr>
        <w:spacing w:after="0" w:line="240" w:lineRule="auto"/>
      </w:pPr>
      <w:r>
        <w:separator/>
      </w:r>
    </w:p>
  </w:endnote>
  <w:endnote w:type="continuationSeparator" w:id="0">
    <w:p w14:paraId="18583089" w14:textId="77777777" w:rsidR="004F3189" w:rsidRDefault="004F3189" w:rsidP="0071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311713"/>
      <w:docPartObj>
        <w:docPartGallery w:val="Page Numbers (Bottom of Page)"/>
        <w:docPartUnique/>
      </w:docPartObj>
    </w:sdtPr>
    <w:sdtEndPr>
      <w:rPr>
        <w:rFonts w:ascii="Times New Roman" w:hAnsi="Times New Roman" w:cs="Times New Roman"/>
        <w:noProof/>
        <w:sz w:val="18"/>
      </w:rPr>
    </w:sdtEndPr>
    <w:sdtContent>
      <w:p w14:paraId="2ED40C4F" w14:textId="49959800" w:rsidR="00884B55" w:rsidRPr="00E436F1" w:rsidRDefault="00884B55">
        <w:pPr>
          <w:pStyle w:val="Footer"/>
          <w:jc w:val="right"/>
          <w:rPr>
            <w:rFonts w:ascii="Times New Roman" w:hAnsi="Times New Roman" w:cs="Times New Roman"/>
            <w:sz w:val="18"/>
          </w:rPr>
        </w:pPr>
        <w:r w:rsidRPr="00E436F1">
          <w:rPr>
            <w:rFonts w:ascii="Times New Roman" w:hAnsi="Times New Roman" w:cs="Times New Roman"/>
            <w:sz w:val="18"/>
          </w:rPr>
          <w:fldChar w:fldCharType="begin"/>
        </w:r>
        <w:r w:rsidRPr="00E436F1">
          <w:rPr>
            <w:rFonts w:ascii="Times New Roman" w:hAnsi="Times New Roman" w:cs="Times New Roman"/>
            <w:sz w:val="18"/>
          </w:rPr>
          <w:instrText xml:space="preserve"> PAGE   \* MERGEFORMAT </w:instrText>
        </w:r>
        <w:r w:rsidRPr="00E436F1">
          <w:rPr>
            <w:rFonts w:ascii="Times New Roman" w:hAnsi="Times New Roman" w:cs="Times New Roman"/>
            <w:sz w:val="18"/>
          </w:rPr>
          <w:fldChar w:fldCharType="separate"/>
        </w:r>
        <w:r w:rsidR="00F45155">
          <w:rPr>
            <w:rFonts w:ascii="Times New Roman" w:hAnsi="Times New Roman" w:cs="Times New Roman"/>
            <w:noProof/>
            <w:sz w:val="18"/>
          </w:rPr>
          <w:t>13</w:t>
        </w:r>
        <w:r w:rsidRPr="00E436F1">
          <w:rPr>
            <w:rFonts w:ascii="Times New Roman" w:hAnsi="Times New Roman" w:cs="Times New Roman"/>
            <w:noProof/>
            <w:sz w:val="18"/>
          </w:rPr>
          <w:fldChar w:fldCharType="end"/>
        </w:r>
      </w:p>
    </w:sdtContent>
  </w:sdt>
  <w:p w14:paraId="17E8FEE7" w14:textId="77777777" w:rsidR="00884B55" w:rsidRDefault="00884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916B2" w14:textId="77777777" w:rsidR="004F3189" w:rsidRDefault="004F3189" w:rsidP="00714755">
      <w:pPr>
        <w:spacing w:after="0" w:line="240" w:lineRule="auto"/>
      </w:pPr>
      <w:r>
        <w:separator/>
      </w:r>
    </w:p>
  </w:footnote>
  <w:footnote w:type="continuationSeparator" w:id="0">
    <w:p w14:paraId="4F6FEAC6" w14:textId="77777777" w:rsidR="004F3189" w:rsidRDefault="004F3189" w:rsidP="00714755">
      <w:pPr>
        <w:spacing w:after="0" w:line="240" w:lineRule="auto"/>
      </w:pPr>
      <w:r>
        <w:continuationSeparator/>
      </w:r>
    </w:p>
  </w:footnote>
  <w:footnote w:id="1">
    <w:p w14:paraId="55034564" w14:textId="77777777" w:rsidR="00884B55" w:rsidRPr="00441B3C" w:rsidRDefault="00884B55" w:rsidP="006776C4">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11606B">
        <w:rPr>
          <w:rFonts w:asciiTheme="majorBidi" w:eastAsia="Times New Roman" w:hAnsiTheme="majorBidi" w:cstheme="majorBidi"/>
          <w:shd w:val="clear" w:color="auto" w:fill="FFFFFF"/>
        </w:rPr>
        <w:t>*</w:t>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 xml:space="preserve">The present report </w:t>
      </w:r>
      <w:proofErr w:type="gramStart"/>
      <w:r w:rsidRPr="00441B3C">
        <w:rPr>
          <w:rFonts w:asciiTheme="majorBidi" w:eastAsia="Times New Roman" w:hAnsiTheme="majorBidi" w:cstheme="majorBidi"/>
          <w:sz w:val="18"/>
          <w:szCs w:val="18"/>
          <w:shd w:val="clear" w:color="auto" w:fill="FFFFFF"/>
        </w:rPr>
        <w:t>was submitted</w:t>
      </w:r>
      <w:proofErr w:type="gramEnd"/>
      <w:r w:rsidRPr="00441B3C">
        <w:rPr>
          <w:rFonts w:asciiTheme="majorBidi" w:eastAsia="Times New Roman" w:hAnsiTheme="majorBidi" w:cstheme="majorBidi"/>
          <w:sz w:val="18"/>
          <w:szCs w:val="18"/>
          <w:shd w:val="clear" w:color="auto" w:fill="FFFFFF"/>
        </w:rPr>
        <w:t xml:space="preserve"> after the deadline in order to reflect the most recent developments.</w:t>
      </w:r>
    </w:p>
  </w:footnote>
  <w:footnote w:id="2">
    <w:p w14:paraId="7989F434"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294E53">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ab/>
        <w:t>A/HRC/35/19 para. 2.</w:t>
      </w:r>
    </w:p>
  </w:footnote>
  <w:footnote w:id="3">
    <w:p w14:paraId="3C6A57CA" w14:textId="058C076D"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294E53">
        <w:rPr>
          <w:rFonts w:asciiTheme="majorBidi" w:eastAsia="Times New Roman" w:hAnsiTheme="majorBidi" w:cstheme="majorBidi"/>
          <w:sz w:val="18"/>
          <w:szCs w:val="18"/>
          <w:shd w:val="clear" w:color="auto" w:fill="FFFFFF"/>
          <w:vertAlign w:val="superscript"/>
        </w:rPr>
        <w:footnoteRef/>
      </w:r>
      <w:r w:rsidRPr="00294E53">
        <w:rPr>
          <w:rFonts w:asciiTheme="majorBidi" w:eastAsia="Times New Roman" w:hAnsiTheme="majorBidi" w:cstheme="majorBidi"/>
          <w:sz w:val="18"/>
          <w:szCs w:val="18"/>
          <w:shd w:val="clear" w:color="auto" w:fill="FFFFFF"/>
          <w:vertAlign w:val="superscript"/>
        </w:rPr>
        <w:t xml:space="preserve"> </w:t>
      </w:r>
      <w:r w:rsidRPr="00441B3C">
        <w:rPr>
          <w:rFonts w:asciiTheme="majorBidi" w:eastAsia="Times New Roman" w:hAnsiTheme="majorBidi" w:cstheme="majorBidi"/>
          <w:sz w:val="18"/>
          <w:szCs w:val="18"/>
          <w:shd w:val="clear" w:color="auto" w:fill="FFFFFF"/>
        </w:rPr>
        <w:tab/>
        <w:t>A/HRC/35/19 para. 60-61</w:t>
      </w:r>
      <w:r w:rsidR="0011606B">
        <w:rPr>
          <w:rFonts w:asciiTheme="majorBidi" w:eastAsia="Times New Roman" w:hAnsiTheme="majorBidi" w:cstheme="majorBidi"/>
          <w:sz w:val="18"/>
          <w:szCs w:val="18"/>
          <w:shd w:val="clear" w:color="auto" w:fill="FFFFFF"/>
        </w:rPr>
        <w:t>.</w:t>
      </w:r>
    </w:p>
  </w:footnote>
  <w:footnote w:id="4">
    <w:p w14:paraId="56B6C59C" w14:textId="6150B923" w:rsidR="00884B55" w:rsidRPr="00441B3C" w:rsidRDefault="00884B55" w:rsidP="00DC3F2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294E53">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A/HRC/35/19 para. 67</w:t>
      </w:r>
      <w:r w:rsidR="00257298" w:rsidRPr="00441B3C">
        <w:rPr>
          <w:rFonts w:asciiTheme="majorBidi" w:eastAsia="Times New Roman" w:hAnsiTheme="majorBidi" w:cstheme="majorBidi"/>
          <w:sz w:val="18"/>
          <w:szCs w:val="18"/>
          <w:shd w:val="clear" w:color="auto" w:fill="FFFFFF"/>
        </w:rPr>
        <w:t xml:space="preserve"> </w:t>
      </w:r>
      <w:r w:rsidR="00DC3F27" w:rsidRPr="00441B3C">
        <w:rPr>
          <w:rFonts w:asciiTheme="majorBidi" w:eastAsia="Times New Roman" w:hAnsiTheme="majorBidi" w:cstheme="majorBidi"/>
          <w:sz w:val="18"/>
          <w:szCs w:val="18"/>
          <w:shd w:val="clear" w:color="auto" w:fill="FFFFFF"/>
        </w:rPr>
        <w:t xml:space="preserve">and </w:t>
      </w:r>
      <w:r w:rsidRPr="00441B3C">
        <w:rPr>
          <w:rFonts w:asciiTheme="majorBidi" w:eastAsia="Times New Roman" w:hAnsiTheme="majorBidi" w:cstheme="majorBidi"/>
          <w:sz w:val="18"/>
          <w:szCs w:val="18"/>
          <w:shd w:val="clear" w:color="auto" w:fill="FFFFFF"/>
        </w:rPr>
        <w:t>69</w:t>
      </w:r>
      <w:r w:rsidR="0011606B">
        <w:rPr>
          <w:rFonts w:asciiTheme="majorBidi" w:eastAsia="Times New Roman" w:hAnsiTheme="majorBidi" w:cstheme="majorBidi"/>
          <w:sz w:val="18"/>
          <w:szCs w:val="18"/>
          <w:shd w:val="clear" w:color="auto" w:fill="FFFFFF"/>
        </w:rPr>
        <w:t>.</w:t>
      </w:r>
    </w:p>
  </w:footnote>
  <w:footnote w:id="5">
    <w:p w14:paraId="3CC7DAB9"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294E53">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A/HRC/35/19 para.70-73.</w:t>
      </w:r>
    </w:p>
  </w:footnote>
  <w:footnote w:id="6">
    <w:p w14:paraId="5A1EB802" w14:textId="28967A99" w:rsidR="001A4EB3" w:rsidRPr="00441B3C" w:rsidRDefault="001A4EB3" w:rsidP="00366438">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294E53">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r>
      <w:r w:rsidR="00366438" w:rsidRPr="00441B3C">
        <w:rPr>
          <w:rFonts w:asciiTheme="majorBidi" w:hAnsiTheme="majorBidi" w:cstheme="majorBidi"/>
          <w:sz w:val="18"/>
          <w:szCs w:val="18"/>
        </w:rPr>
        <w:t xml:space="preserve">A/HRC/35/19 </w:t>
      </w:r>
      <w:proofErr w:type="gramStart"/>
      <w:r w:rsidR="00366438" w:rsidRPr="00441B3C">
        <w:rPr>
          <w:rFonts w:asciiTheme="majorBidi" w:hAnsiTheme="majorBidi" w:cstheme="majorBidi"/>
          <w:sz w:val="18"/>
          <w:szCs w:val="18"/>
        </w:rPr>
        <w:t>para.68,</w:t>
      </w:r>
      <w:proofErr w:type="gramEnd"/>
      <w:r w:rsidR="00366438" w:rsidRPr="00441B3C">
        <w:rPr>
          <w:rFonts w:asciiTheme="majorBidi" w:hAnsiTheme="majorBidi" w:cstheme="majorBidi"/>
          <w:sz w:val="18"/>
          <w:szCs w:val="18"/>
        </w:rPr>
        <w:t xml:space="preserve"> and </w:t>
      </w:r>
      <w:r w:rsidRPr="00441B3C">
        <w:rPr>
          <w:rFonts w:asciiTheme="majorBidi" w:eastAsia="Times New Roman" w:hAnsiTheme="majorBidi" w:cstheme="majorBidi"/>
          <w:sz w:val="18"/>
          <w:szCs w:val="18"/>
          <w:shd w:val="clear" w:color="auto" w:fill="FFFFFF"/>
        </w:rPr>
        <w:t>https://www.icc-cpi.int/itemsDocuments/2017-PE-rep/2017-otp-rep-PE_ENG.pdf</w:t>
      </w:r>
      <w:r w:rsidR="0011606B">
        <w:rPr>
          <w:rFonts w:asciiTheme="majorBidi" w:eastAsia="Times New Roman" w:hAnsiTheme="majorBidi" w:cstheme="majorBidi"/>
          <w:sz w:val="18"/>
          <w:szCs w:val="18"/>
          <w:shd w:val="clear" w:color="auto" w:fill="FFFFFF"/>
        </w:rPr>
        <w:t>.</w:t>
      </w:r>
    </w:p>
  </w:footnote>
  <w:footnote w:id="7">
    <w:p w14:paraId="67860588"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294E53">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A/HRC/35/19 para. 75.</w:t>
      </w:r>
    </w:p>
  </w:footnote>
  <w:footnote w:id="8">
    <w:p w14:paraId="1B8F2653"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294E53">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 xml:space="preserve">See in particular A/71/364, paras. </w:t>
      </w:r>
      <w:proofErr w:type="gramStart"/>
      <w:r w:rsidRPr="00441B3C">
        <w:rPr>
          <w:rFonts w:asciiTheme="majorBidi" w:eastAsia="Times New Roman" w:hAnsiTheme="majorBidi" w:cstheme="majorBidi"/>
          <w:sz w:val="18"/>
          <w:szCs w:val="18"/>
          <w:shd w:val="clear" w:color="auto" w:fill="FFFFFF"/>
        </w:rPr>
        <w:t>40</w:t>
      </w:r>
      <w:proofErr w:type="gramEnd"/>
      <w:r w:rsidRPr="00441B3C">
        <w:rPr>
          <w:rFonts w:asciiTheme="majorBidi" w:eastAsia="Times New Roman" w:hAnsiTheme="majorBidi" w:cstheme="majorBidi"/>
          <w:sz w:val="18"/>
          <w:szCs w:val="18"/>
          <w:shd w:val="clear" w:color="auto" w:fill="FFFFFF"/>
        </w:rPr>
        <w:t xml:space="preserve">, 51-55, A/HRC/34/38, para 42. </w:t>
      </w:r>
    </w:p>
  </w:footnote>
  <w:footnote w:id="9">
    <w:p w14:paraId="5DBDF18D"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294E53">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A/HRC/28/45, para. 16.</w:t>
      </w:r>
    </w:p>
  </w:footnote>
  <w:footnote w:id="10">
    <w:p w14:paraId="5AE89F4A"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294E53">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See A/72/565, of 1 November 2017, para 56.</w:t>
      </w:r>
    </w:p>
  </w:footnote>
  <w:footnote w:id="11">
    <w:p w14:paraId="6C7F138C" w14:textId="130BDB5A" w:rsidR="00D94401" w:rsidRPr="0011606B" w:rsidRDefault="00D94401" w:rsidP="00606C9E">
      <w:pPr>
        <w:pStyle w:val="FootnoteText"/>
        <w:ind w:firstLine="720"/>
        <w:rPr>
          <w:shd w:val="clear" w:color="auto" w:fill="FFFFFF"/>
        </w:rPr>
      </w:pPr>
      <w:r w:rsidRPr="00441B3C">
        <w:rPr>
          <w:rStyle w:val="FootnoteReference"/>
          <w:rFonts w:asciiTheme="majorBidi" w:hAnsiTheme="majorBidi" w:cstheme="majorBidi"/>
          <w:sz w:val="18"/>
          <w:szCs w:val="18"/>
        </w:rPr>
        <w:footnoteRef/>
      </w:r>
      <w:r w:rsidR="0011606B" w:rsidRPr="0011606B">
        <w:t>Of those</w:t>
      </w:r>
      <w:r w:rsidR="0011606B" w:rsidRPr="0011606B">
        <w:rPr>
          <w:shd w:val="clear" w:color="auto" w:fill="FFFFFF"/>
        </w:rPr>
        <w:t xml:space="preserve"> pending appeals </w:t>
      </w:r>
      <w:proofErr w:type="gramStart"/>
      <w:r w:rsidR="0011606B" w:rsidRPr="0011606B">
        <w:rPr>
          <w:shd w:val="clear" w:color="auto" w:fill="FFFFFF"/>
        </w:rPr>
        <w:t>19 were filed by the Palestinian Centre</w:t>
      </w:r>
      <w:proofErr w:type="gramEnd"/>
      <w:r w:rsidR="0011606B" w:rsidRPr="0011606B">
        <w:rPr>
          <w:shd w:val="clear" w:color="auto" w:fill="FFFFFF"/>
        </w:rPr>
        <w:t xml:space="preserve"> for Human Rights, while three were submitted </w:t>
      </w:r>
      <w:r w:rsidR="0011606B" w:rsidRPr="0011606B">
        <w:rPr>
          <w:rFonts w:eastAsia="Times New Roman"/>
          <w:shd w:val="clear" w:color="auto" w:fill="FFFFFF"/>
        </w:rPr>
        <w:t xml:space="preserve">by Al </w:t>
      </w:r>
      <w:proofErr w:type="spellStart"/>
      <w:r w:rsidR="0011606B" w:rsidRPr="0011606B">
        <w:rPr>
          <w:rFonts w:eastAsia="Times New Roman"/>
          <w:shd w:val="clear" w:color="auto" w:fill="FFFFFF"/>
        </w:rPr>
        <w:t>Mezan</w:t>
      </w:r>
      <w:proofErr w:type="spellEnd"/>
      <w:r w:rsidR="0011606B" w:rsidRPr="0011606B">
        <w:rPr>
          <w:rFonts w:eastAsia="Times New Roman"/>
          <w:shd w:val="clear" w:color="auto" w:fill="FFFFFF"/>
        </w:rPr>
        <w:t xml:space="preserve"> Centre for Human Rights and </w:t>
      </w:r>
      <w:proofErr w:type="spellStart"/>
      <w:r w:rsidR="0011606B" w:rsidRPr="0011606B">
        <w:rPr>
          <w:rFonts w:eastAsia="Times New Roman"/>
          <w:shd w:val="clear" w:color="auto" w:fill="FFFFFF"/>
        </w:rPr>
        <w:t>Adalah</w:t>
      </w:r>
      <w:proofErr w:type="spellEnd"/>
      <w:r w:rsidR="00606C9E">
        <w:rPr>
          <w:rFonts w:eastAsia="Times New Roman"/>
          <w:shd w:val="clear" w:color="auto" w:fill="FFFFFF"/>
        </w:rPr>
        <w:t>.</w:t>
      </w:r>
    </w:p>
  </w:footnote>
  <w:footnote w:id="12">
    <w:p w14:paraId="400F6B8B" w14:textId="39461605"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ab/>
        <w:t xml:space="preserve">Commission of Inquiry report, para 440. Appeal presented before the Attorney-General in October 2016 by </w:t>
      </w:r>
      <w:proofErr w:type="spellStart"/>
      <w:r w:rsidRPr="00441B3C">
        <w:rPr>
          <w:rFonts w:asciiTheme="majorBidi" w:eastAsia="Times New Roman" w:hAnsiTheme="majorBidi" w:cstheme="majorBidi"/>
          <w:sz w:val="18"/>
          <w:szCs w:val="18"/>
          <w:shd w:val="clear" w:color="auto" w:fill="FFFFFF"/>
        </w:rPr>
        <w:t>Adalah</w:t>
      </w:r>
      <w:proofErr w:type="spellEnd"/>
      <w:r w:rsidRPr="00441B3C">
        <w:rPr>
          <w:rFonts w:asciiTheme="majorBidi" w:eastAsia="Times New Roman" w:hAnsiTheme="majorBidi" w:cstheme="majorBidi"/>
          <w:sz w:val="18"/>
          <w:szCs w:val="18"/>
          <w:shd w:val="clear" w:color="auto" w:fill="FFFFFF"/>
        </w:rPr>
        <w:t xml:space="preserve"> and Al </w:t>
      </w:r>
      <w:proofErr w:type="spellStart"/>
      <w:r w:rsidRPr="00441B3C">
        <w:rPr>
          <w:rFonts w:asciiTheme="majorBidi" w:eastAsia="Times New Roman" w:hAnsiTheme="majorBidi" w:cstheme="majorBidi"/>
          <w:sz w:val="18"/>
          <w:szCs w:val="18"/>
          <w:shd w:val="clear" w:color="auto" w:fill="FFFFFF"/>
        </w:rPr>
        <w:t>Mezan</w:t>
      </w:r>
      <w:proofErr w:type="spellEnd"/>
      <w:r w:rsidRPr="00441B3C">
        <w:rPr>
          <w:rFonts w:asciiTheme="majorBidi" w:eastAsia="Times New Roman" w:hAnsiTheme="majorBidi" w:cstheme="majorBidi"/>
          <w:sz w:val="18"/>
          <w:szCs w:val="18"/>
          <w:shd w:val="clear" w:color="auto" w:fill="FFFFFF"/>
        </w:rPr>
        <w:t xml:space="preserve"> Centre for Human Rights and since pending; UNRWA statement on the initial closing of the case: https://www.unrwa.org/newsroom/official-statements/record-response-idf-closing-criminal-investigation-shelling-near-unrwa</w:t>
      </w:r>
      <w:r w:rsidR="0011606B">
        <w:rPr>
          <w:rFonts w:asciiTheme="majorBidi" w:eastAsia="Times New Roman" w:hAnsiTheme="majorBidi" w:cstheme="majorBidi"/>
          <w:sz w:val="18"/>
          <w:szCs w:val="18"/>
          <w:shd w:val="clear" w:color="auto" w:fill="FFFFFF"/>
        </w:rPr>
        <w:t>.</w:t>
      </w:r>
    </w:p>
  </w:footnote>
  <w:footnote w:id="13">
    <w:p w14:paraId="2A9D82C6" w14:textId="66C179A9"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ab/>
        <w:t>See also A/HRC/28/80 Add.1, of 26 December 2014, para 36 and Commission of Inquiry report, para 632-633.</w:t>
      </w:r>
    </w:p>
  </w:footnote>
  <w:footnote w:id="14">
    <w:p w14:paraId="77AEA025"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vertAlign w:val="superscript"/>
        </w:rPr>
        <w:t xml:space="preserve"> </w:t>
      </w:r>
      <w:r w:rsidRPr="00441B3C">
        <w:rPr>
          <w:rFonts w:asciiTheme="majorBidi" w:eastAsia="Times New Roman" w:hAnsiTheme="majorBidi" w:cstheme="majorBidi"/>
          <w:sz w:val="18"/>
          <w:szCs w:val="18"/>
          <w:shd w:val="clear" w:color="auto" w:fill="FFFFFF"/>
        </w:rPr>
        <w:tab/>
        <w:t xml:space="preserve">IDF MAG, decisions regarding exceptional incidents that allegedly occurred during operation ‘Protective Edge’; see A/71/364 para. </w:t>
      </w:r>
      <w:proofErr w:type="gramStart"/>
      <w:r w:rsidRPr="00441B3C">
        <w:rPr>
          <w:rFonts w:asciiTheme="majorBidi" w:eastAsia="Times New Roman" w:hAnsiTheme="majorBidi" w:cstheme="majorBidi"/>
          <w:sz w:val="18"/>
          <w:szCs w:val="18"/>
          <w:shd w:val="clear" w:color="auto" w:fill="FFFFFF"/>
        </w:rPr>
        <w:t>40</w:t>
      </w:r>
      <w:proofErr w:type="gramEnd"/>
      <w:r w:rsidRPr="00441B3C">
        <w:rPr>
          <w:rFonts w:asciiTheme="majorBidi" w:eastAsia="Times New Roman" w:hAnsiTheme="majorBidi" w:cstheme="majorBidi"/>
          <w:sz w:val="18"/>
          <w:szCs w:val="18"/>
          <w:shd w:val="clear" w:color="auto" w:fill="FFFFFF"/>
        </w:rPr>
        <w:t>, A/HRC/34/38, para. 42.</w:t>
      </w:r>
    </w:p>
  </w:footnote>
  <w:footnote w:id="15">
    <w:p w14:paraId="0142B0D1" w14:textId="030D6476"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ab/>
        <w:t>http://mfa.gov.il/MFA/ForeignPolicy/IsraelGaza2014/Pages/Operation-Protective-Edge-Investigation-of-exceptional-incidents-Update-4.aspx</w:t>
      </w:r>
      <w:r w:rsidR="0011606B">
        <w:rPr>
          <w:rFonts w:asciiTheme="majorBidi" w:eastAsia="Times New Roman" w:hAnsiTheme="majorBidi" w:cstheme="majorBidi"/>
          <w:sz w:val="18"/>
          <w:szCs w:val="18"/>
          <w:shd w:val="clear" w:color="auto" w:fill="FFFFFF"/>
        </w:rPr>
        <w:t>.</w:t>
      </w:r>
    </w:p>
  </w:footnote>
  <w:footnote w:id="16">
    <w:p w14:paraId="768601B0" w14:textId="016CA214"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ab/>
        <w:t xml:space="preserve">A/HRC/35/19, para. </w:t>
      </w:r>
      <w:proofErr w:type="gramStart"/>
      <w:r w:rsidRPr="00441B3C">
        <w:rPr>
          <w:rFonts w:asciiTheme="majorBidi" w:eastAsia="Times New Roman" w:hAnsiTheme="majorBidi" w:cstheme="majorBidi"/>
          <w:sz w:val="18"/>
          <w:szCs w:val="18"/>
          <w:shd w:val="clear" w:color="auto" w:fill="FFFFFF"/>
        </w:rPr>
        <w:t>20</w:t>
      </w:r>
      <w:proofErr w:type="gramEnd"/>
      <w:r w:rsidRPr="00441B3C">
        <w:rPr>
          <w:rFonts w:asciiTheme="majorBidi" w:eastAsia="Times New Roman" w:hAnsiTheme="majorBidi" w:cstheme="majorBidi"/>
          <w:sz w:val="18"/>
          <w:szCs w:val="18"/>
          <w:shd w:val="clear" w:color="auto" w:fill="FFFFFF"/>
        </w:rPr>
        <w:t xml:space="preserve">, with references. </w:t>
      </w:r>
    </w:p>
  </w:footnote>
  <w:footnote w:id="17">
    <w:p w14:paraId="0DFBACE3" w14:textId="2A6E9FD6"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fr-FR"/>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lang w:val="en-GB"/>
        </w:rPr>
        <w:tab/>
      </w:r>
      <w:r w:rsidR="006A6FDD" w:rsidRPr="00441B3C">
        <w:rPr>
          <w:rFonts w:asciiTheme="majorBidi" w:eastAsia="Times New Roman" w:hAnsiTheme="majorBidi" w:cstheme="majorBidi"/>
          <w:sz w:val="18"/>
          <w:szCs w:val="18"/>
          <w:shd w:val="clear" w:color="auto" w:fill="FFFFFF"/>
          <w:lang w:val="en-GB"/>
        </w:rPr>
        <w:t xml:space="preserve">A/HRC/35/19, para. </w:t>
      </w:r>
      <w:r w:rsidR="006A6FDD" w:rsidRPr="00441B3C">
        <w:rPr>
          <w:rFonts w:asciiTheme="majorBidi" w:eastAsia="Times New Roman" w:hAnsiTheme="majorBidi" w:cstheme="majorBidi"/>
          <w:sz w:val="18"/>
          <w:szCs w:val="18"/>
          <w:shd w:val="clear" w:color="auto" w:fill="FFFFFF"/>
          <w:lang w:val="fr-FR"/>
        </w:rPr>
        <w:t xml:space="preserve">18. </w:t>
      </w:r>
    </w:p>
  </w:footnote>
  <w:footnote w:id="18">
    <w:p w14:paraId="0B24275B" w14:textId="4B3F6929"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fr-CH"/>
        </w:rPr>
      </w:pPr>
      <w:r w:rsidRPr="00441B3C">
        <w:rPr>
          <w:rFonts w:asciiTheme="majorBidi" w:eastAsia="Times New Roman" w:hAnsiTheme="majorBidi" w:cstheme="majorBidi"/>
          <w:sz w:val="18"/>
          <w:szCs w:val="18"/>
          <w:shd w:val="clear" w:color="auto" w:fill="FFFFFF"/>
          <w:lang w:val="fr-FR"/>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lang w:val="fr-FR"/>
        </w:rPr>
        <w:tab/>
        <w:t xml:space="preserve">A/71/364, para. 40, para. </w:t>
      </w:r>
      <w:r w:rsidRPr="00441B3C">
        <w:rPr>
          <w:rFonts w:asciiTheme="majorBidi" w:eastAsia="Times New Roman" w:hAnsiTheme="majorBidi" w:cstheme="majorBidi"/>
          <w:sz w:val="18"/>
          <w:szCs w:val="18"/>
          <w:shd w:val="clear" w:color="auto" w:fill="FFFFFF"/>
          <w:lang w:val="fr-CH"/>
        </w:rPr>
        <w:t>56-57</w:t>
      </w:r>
      <w:r w:rsidR="0011606B">
        <w:rPr>
          <w:rFonts w:asciiTheme="majorBidi" w:eastAsia="Times New Roman" w:hAnsiTheme="majorBidi" w:cstheme="majorBidi"/>
          <w:sz w:val="18"/>
          <w:szCs w:val="18"/>
          <w:shd w:val="clear" w:color="auto" w:fill="FFFFFF"/>
          <w:lang w:val="fr-CH"/>
        </w:rPr>
        <w:t>.</w:t>
      </w:r>
    </w:p>
  </w:footnote>
  <w:footnote w:id="19">
    <w:p w14:paraId="05068BF4" w14:textId="637664EA"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lang w:val="fr-CH"/>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lang w:val="fr-CH"/>
        </w:rPr>
        <w:tab/>
        <w:t xml:space="preserve">A/71/364, para. </w:t>
      </w:r>
      <w:r w:rsidRPr="00441B3C">
        <w:rPr>
          <w:rFonts w:asciiTheme="majorBidi" w:eastAsia="Times New Roman" w:hAnsiTheme="majorBidi" w:cstheme="majorBidi"/>
          <w:sz w:val="18"/>
          <w:szCs w:val="18"/>
          <w:shd w:val="clear" w:color="auto" w:fill="FFFFFF"/>
        </w:rPr>
        <w:t>56-57; See Israeli government decree of 26 October 2014 declaring the Gaza strip as "enemy territory", retroactively from 7 July 2014, hence activating the exemption from damages to "persons who are not citizens or residents of Israel, and are residents of a territory outside Israel that has been declared an ‘enemy territory’ in a governmental decree.”</w:t>
      </w:r>
      <w:r w:rsidR="00606C9E">
        <w:rPr>
          <w:rFonts w:asciiTheme="majorBidi" w:eastAsia="Times New Roman" w:hAnsiTheme="majorBidi" w:cstheme="majorBidi"/>
          <w:sz w:val="18"/>
          <w:szCs w:val="18"/>
          <w:shd w:val="clear" w:color="auto" w:fill="FFFFFF"/>
        </w:rPr>
        <w:t>.</w:t>
      </w:r>
    </w:p>
  </w:footnote>
  <w:footnote w:id="20">
    <w:p w14:paraId="6733C477" w14:textId="0EEAE029" w:rsidR="00884B55" w:rsidRPr="00441B3C" w:rsidRDefault="00884B55" w:rsidP="00AB138F">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vertAlign w:val="superscript"/>
        </w:rPr>
        <w:t xml:space="preserve"> </w:t>
      </w:r>
      <w:r w:rsidRPr="00441B3C">
        <w:rPr>
          <w:rFonts w:asciiTheme="majorBidi" w:eastAsia="Times New Roman" w:hAnsiTheme="majorBidi" w:cstheme="majorBidi"/>
          <w:sz w:val="18"/>
          <w:szCs w:val="18"/>
          <w:shd w:val="clear" w:color="auto" w:fill="FFFFFF"/>
        </w:rPr>
        <w:tab/>
        <w:t xml:space="preserve">The </w:t>
      </w:r>
      <w:proofErr w:type="gramStart"/>
      <w:r w:rsidRPr="00441B3C">
        <w:rPr>
          <w:rFonts w:asciiTheme="majorBidi" w:eastAsia="Times New Roman" w:hAnsiTheme="majorBidi" w:cstheme="majorBidi"/>
          <w:sz w:val="18"/>
          <w:szCs w:val="18"/>
          <w:shd w:val="clear" w:color="auto" w:fill="FFFFFF"/>
        </w:rPr>
        <w:t>case was brought to court</w:t>
      </w:r>
      <w:r w:rsidRPr="00441B3C">
        <w:rPr>
          <w:rFonts w:asciiTheme="majorBidi" w:hAnsiTheme="majorBidi" w:cstheme="majorBidi"/>
          <w:bCs/>
          <w:sz w:val="18"/>
          <w:szCs w:val="18"/>
        </w:rPr>
        <w:t xml:space="preserve"> by the Al </w:t>
      </w:r>
      <w:proofErr w:type="spellStart"/>
      <w:r w:rsidRPr="00441B3C">
        <w:rPr>
          <w:rFonts w:asciiTheme="majorBidi" w:hAnsiTheme="majorBidi" w:cstheme="majorBidi"/>
          <w:bCs/>
          <w:sz w:val="18"/>
          <w:szCs w:val="18"/>
        </w:rPr>
        <w:t>Mezan</w:t>
      </w:r>
      <w:proofErr w:type="spellEnd"/>
      <w:r w:rsidRPr="00441B3C">
        <w:rPr>
          <w:rFonts w:asciiTheme="majorBidi" w:hAnsiTheme="majorBidi" w:cstheme="majorBidi"/>
          <w:bCs/>
          <w:sz w:val="18"/>
          <w:szCs w:val="18"/>
        </w:rPr>
        <w:t xml:space="preserve"> Centre</w:t>
      </w:r>
      <w:proofErr w:type="gramEnd"/>
      <w:r w:rsidRPr="00441B3C">
        <w:rPr>
          <w:rFonts w:asciiTheme="majorBidi" w:hAnsiTheme="majorBidi" w:cstheme="majorBidi"/>
          <w:bCs/>
          <w:sz w:val="18"/>
          <w:szCs w:val="18"/>
        </w:rPr>
        <w:t xml:space="preserve"> for Human Rights</w:t>
      </w:r>
      <w:r w:rsidR="007E4C62" w:rsidRPr="00441B3C">
        <w:rPr>
          <w:rFonts w:asciiTheme="majorBidi" w:hAnsiTheme="majorBidi" w:cstheme="majorBidi"/>
          <w:bCs/>
          <w:sz w:val="18"/>
          <w:szCs w:val="18"/>
        </w:rPr>
        <w:t xml:space="preserve"> and </w:t>
      </w:r>
      <w:proofErr w:type="spellStart"/>
      <w:r w:rsidR="007E4C62" w:rsidRPr="00441B3C">
        <w:rPr>
          <w:rFonts w:asciiTheme="majorBidi" w:hAnsiTheme="majorBidi" w:cstheme="majorBidi"/>
          <w:bCs/>
          <w:sz w:val="18"/>
          <w:szCs w:val="18"/>
        </w:rPr>
        <w:t>Adalah</w:t>
      </w:r>
      <w:proofErr w:type="spellEnd"/>
      <w:r w:rsidRPr="00441B3C">
        <w:rPr>
          <w:rFonts w:asciiTheme="majorBidi" w:eastAsia="Times New Roman" w:hAnsiTheme="majorBidi" w:cstheme="majorBidi"/>
          <w:sz w:val="18"/>
          <w:szCs w:val="18"/>
          <w:shd w:val="clear" w:color="auto" w:fill="FFFFFF"/>
        </w:rPr>
        <w:t xml:space="preserve"> on behalf of </w:t>
      </w:r>
      <w:proofErr w:type="spellStart"/>
      <w:r w:rsidRPr="00441B3C">
        <w:rPr>
          <w:rFonts w:asciiTheme="majorBidi" w:eastAsia="Times New Roman" w:hAnsiTheme="majorBidi" w:cstheme="majorBidi"/>
          <w:sz w:val="18"/>
          <w:szCs w:val="18"/>
          <w:shd w:val="clear" w:color="auto" w:fill="FFFFFF"/>
        </w:rPr>
        <w:t>Ateyeh</w:t>
      </w:r>
      <w:proofErr w:type="spellEnd"/>
      <w:r w:rsidRPr="00441B3C">
        <w:rPr>
          <w:rFonts w:asciiTheme="majorBidi" w:eastAsia="Times New Roman" w:hAnsiTheme="majorBidi" w:cstheme="majorBidi"/>
          <w:sz w:val="18"/>
          <w:szCs w:val="18"/>
          <w:shd w:val="clear" w:color="auto" w:fill="FFFFFF"/>
        </w:rPr>
        <w:t xml:space="preserve"> </w:t>
      </w:r>
      <w:proofErr w:type="spellStart"/>
      <w:r w:rsidRPr="00441B3C">
        <w:rPr>
          <w:rFonts w:asciiTheme="majorBidi" w:eastAsia="Times New Roman" w:hAnsiTheme="majorBidi" w:cstheme="majorBidi"/>
          <w:sz w:val="18"/>
          <w:szCs w:val="18"/>
          <w:shd w:val="clear" w:color="auto" w:fill="FFFFFF"/>
        </w:rPr>
        <w:t>Nabaheen</w:t>
      </w:r>
      <w:proofErr w:type="spellEnd"/>
      <w:r w:rsidRPr="00441B3C">
        <w:rPr>
          <w:rFonts w:asciiTheme="majorBidi" w:eastAsia="Times New Roman" w:hAnsiTheme="majorBidi" w:cstheme="majorBidi"/>
          <w:sz w:val="18"/>
          <w:szCs w:val="18"/>
          <w:shd w:val="clear" w:color="auto" w:fill="FFFFFF"/>
        </w:rPr>
        <w:t xml:space="preserve"> and his parents from Gaza. On 16 November 2014, 15-year-old </w:t>
      </w:r>
      <w:proofErr w:type="spellStart"/>
      <w:r w:rsidRPr="00441B3C">
        <w:rPr>
          <w:rFonts w:asciiTheme="majorBidi" w:eastAsia="Times New Roman" w:hAnsiTheme="majorBidi" w:cstheme="majorBidi"/>
          <w:sz w:val="18"/>
          <w:szCs w:val="18"/>
          <w:shd w:val="clear" w:color="auto" w:fill="FFFFFF"/>
        </w:rPr>
        <w:t>Ateyeh</w:t>
      </w:r>
      <w:proofErr w:type="spellEnd"/>
      <w:r w:rsidRPr="00441B3C">
        <w:rPr>
          <w:rFonts w:asciiTheme="majorBidi" w:eastAsia="Times New Roman" w:hAnsiTheme="majorBidi" w:cstheme="majorBidi"/>
          <w:sz w:val="18"/>
          <w:szCs w:val="18"/>
          <w:shd w:val="clear" w:color="auto" w:fill="FFFFFF"/>
        </w:rPr>
        <w:t xml:space="preserve"> </w:t>
      </w:r>
      <w:proofErr w:type="spellStart"/>
      <w:r w:rsidRPr="00441B3C">
        <w:rPr>
          <w:rFonts w:asciiTheme="majorBidi" w:eastAsia="Times New Roman" w:hAnsiTheme="majorBidi" w:cstheme="majorBidi"/>
          <w:sz w:val="18"/>
          <w:szCs w:val="18"/>
          <w:shd w:val="clear" w:color="auto" w:fill="FFFFFF"/>
        </w:rPr>
        <w:t>Nabaheen</w:t>
      </w:r>
      <w:proofErr w:type="spellEnd"/>
      <w:r w:rsidRPr="00441B3C">
        <w:rPr>
          <w:rFonts w:asciiTheme="majorBidi" w:eastAsia="Times New Roman" w:hAnsiTheme="majorBidi" w:cstheme="majorBidi"/>
          <w:sz w:val="18"/>
          <w:szCs w:val="18"/>
          <w:shd w:val="clear" w:color="auto" w:fill="FFFFFF"/>
        </w:rPr>
        <w:t xml:space="preserve"> was shot and seriously wounded (leading to tetraplegia) by ISF as he was walking home on his family land about 500 meters away from the Gaza fence</w:t>
      </w:r>
      <w:r w:rsidR="00606C9E">
        <w:rPr>
          <w:rFonts w:asciiTheme="majorBidi" w:eastAsia="Times New Roman" w:hAnsiTheme="majorBidi" w:cstheme="majorBidi"/>
          <w:sz w:val="18"/>
          <w:szCs w:val="18"/>
          <w:shd w:val="clear" w:color="auto" w:fill="FFFFFF"/>
        </w:rPr>
        <w:t>.</w:t>
      </w:r>
    </w:p>
  </w:footnote>
  <w:footnote w:id="21">
    <w:p w14:paraId="4804E53E"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vertAlign w:val="superscript"/>
        </w:rPr>
        <w:t xml:space="preserve"> </w:t>
      </w:r>
      <w:r w:rsidRPr="00441B3C">
        <w:rPr>
          <w:rFonts w:asciiTheme="majorBidi" w:eastAsia="Times New Roman" w:hAnsiTheme="majorBidi" w:cstheme="majorBidi"/>
          <w:sz w:val="18"/>
          <w:szCs w:val="18"/>
          <w:shd w:val="clear" w:color="auto" w:fill="FFFFFF"/>
        </w:rPr>
        <w:tab/>
        <w:t xml:space="preserve">See case HCJ 8276/05 </w:t>
      </w:r>
      <w:proofErr w:type="spellStart"/>
      <w:r w:rsidRPr="00441B3C">
        <w:rPr>
          <w:rFonts w:asciiTheme="majorBidi" w:eastAsia="Times New Roman" w:hAnsiTheme="majorBidi" w:cstheme="majorBidi"/>
          <w:sz w:val="18"/>
          <w:szCs w:val="18"/>
          <w:shd w:val="clear" w:color="auto" w:fill="FFFFFF"/>
        </w:rPr>
        <w:t>Adalah</w:t>
      </w:r>
      <w:proofErr w:type="spellEnd"/>
      <w:r w:rsidRPr="00441B3C">
        <w:rPr>
          <w:rFonts w:asciiTheme="majorBidi" w:eastAsia="Times New Roman" w:hAnsiTheme="majorBidi" w:cstheme="majorBidi"/>
          <w:sz w:val="18"/>
          <w:szCs w:val="18"/>
          <w:shd w:val="clear" w:color="auto" w:fill="FFFFFF"/>
        </w:rPr>
        <w:t xml:space="preserve"> v. Government of Israel, Decision of 12 December 2006, as regard to amendment no. 7 of </w:t>
      </w:r>
      <w:proofErr w:type="gramStart"/>
      <w:r w:rsidRPr="00441B3C">
        <w:rPr>
          <w:rFonts w:asciiTheme="majorBidi" w:eastAsia="Times New Roman" w:hAnsiTheme="majorBidi" w:cstheme="majorBidi"/>
          <w:sz w:val="18"/>
          <w:szCs w:val="18"/>
          <w:shd w:val="clear" w:color="auto" w:fill="FFFFFF"/>
        </w:rPr>
        <w:t>2005 which</w:t>
      </w:r>
      <w:proofErr w:type="gramEnd"/>
      <w:r w:rsidRPr="00441B3C">
        <w:rPr>
          <w:rFonts w:asciiTheme="majorBidi" w:eastAsia="Times New Roman" w:hAnsiTheme="majorBidi" w:cstheme="majorBidi"/>
          <w:sz w:val="18"/>
          <w:szCs w:val="18"/>
          <w:shd w:val="clear" w:color="auto" w:fill="FFFFFF"/>
        </w:rPr>
        <w:t xml:space="preserve"> excluded all residents of “conflict zones” as designated by the Minister of </w:t>
      </w:r>
      <w:proofErr w:type="spellStart"/>
      <w:r w:rsidRPr="00441B3C">
        <w:rPr>
          <w:rFonts w:asciiTheme="majorBidi" w:eastAsia="Times New Roman" w:hAnsiTheme="majorBidi" w:cstheme="majorBidi"/>
          <w:sz w:val="18"/>
          <w:szCs w:val="18"/>
          <w:shd w:val="clear" w:color="auto" w:fill="FFFFFF"/>
        </w:rPr>
        <w:t>Defence</w:t>
      </w:r>
      <w:proofErr w:type="spellEnd"/>
      <w:r w:rsidRPr="00441B3C">
        <w:rPr>
          <w:rFonts w:asciiTheme="majorBidi" w:eastAsia="Times New Roman" w:hAnsiTheme="majorBidi" w:cstheme="majorBidi"/>
          <w:sz w:val="18"/>
          <w:szCs w:val="18"/>
          <w:shd w:val="clear" w:color="auto" w:fill="FFFFFF"/>
        </w:rPr>
        <w:t>.</w:t>
      </w:r>
    </w:p>
  </w:footnote>
  <w:footnote w:id="22">
    <w:p w14:paraId="7EDB5775"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vertAlign w:val="superscript"/>
        </w:rPr>
        <w:t xml:space="preserve"> </w:t>
      </w:r>
      <w:r w:rsidRPr="00441B3C">
        <w:rPr>
          <w:rFonts w:asciiTheme="majorBidi" w:eastAsia="Times New Roman" w:hAnsiTheme="majorBidi" w:cstheme="majorBidi"/>
          <w:sz w:val="18"/>
          <w:szCs w:val="18"/>
          <w:shd w:val="clear" w:color="auto" w:fill="FFFFFF"/>
        </w:rPr>
        <w:tab/>
        <w:t>See for instance A/HRC/35/19, para. 17-18, A/HRC/34/38 para.43-44, A/71/364 para. 66</w:t>
      </w:r>
      <w:r w:rsidR="00201EC5" w:rsidRPr="00441B3C">
        <w:rPr>
          <w:rFonts w:asciiTheme="majorBidi" w:eastAsia="Times New Roman" w:hAnsiTheme="majorBidi" w:cstheme="majorBidi"/>
          <w:sz w:val="18"/>
          <w:szCs w:val="18"/>
          <w:shd w:val="clear" w:color="auto" w:fill="FFFFFF"/>
        </w:rPr>
        <w:t>.</w:t>
      </w:r>
    </w:p>
  </w:footnote>
  <w:footnote w:id="23">
    <w:p w14:paraId="3FB71ED6"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vertAlign w:val="superscript"/>
        </w:rPr>
        <w:t xml:space="preserve"> </w:t>
      </w:r>
      <w:r w:rsidRPr="00441B3C">
        <w:rPr>
          <w:rFonts w:asciiTheme="majorBidi" w:eastAsia="Times New Roman" w:hAnsiTheme="majorBidi" w:cstheme="majorBidi"/>
          <w:sz w:val="18"/>
          <w:szCs w:val="18"/>
          <w:shd w:val="clear" w:color="auto" w:fill="FFFFFF"/>
        </w:rPr>
        <w:tab/>
        <w:t xml:space="preserve">A/HRC/34/38, para. </w:t>
      </w:r>
      <w:proofErr w:type="gramStart"/>
      <w:r w:rsidRPr="00441B3C">
        <w:rPr>
          <w:rFonts w:asciiTheme="majorBidi" w:eastAsia="Times New Roman" w:hAnsiTheme="majorBidi" w:cstheme="majorBidi"/>
          <w:sz w:val="18"/>
          <w:szCs w:val="18"/>
          <w:shd w:val="clear" w:color="auto" w:fill="FFFFFF"/>
        </w:rPr>
        <w:t>48</w:t>
      </w:r>
      <w:proofErr w:type="gramEnd"/>
      <w:r w:rsidRPr="00441B3C">
        <w:rPr>
          <w:rFonts w:asciiTheme="majorBidi" w:eastAsia="Times New Roman" w:hAnsiTheme="majorBidi" w:cstheme="majorBidi"/>
          <w:sz w:val="18"/>
          <w:szCs w:val="18"/>
          <w:shd w:val="clear" w:color="auto" w:fill="FFFFFF"/>
        </w:rPr>
        <w:t>, A/HRC/34/36, para. A/HRC/35/19, para. 21.</w:t>
      </w:r>
    </w:p>
  </w:footnote>
  <w:footnote w:id="24">
    <w:p w14:paraId="6F26D0FB"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A/72/565, para. 52.</w:t>
      </w:r>
    </w:p>
  </w:footnote>
  <w:footnote w:id="25">
    <w:p w14:paraId="3F2C13D6"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vertAlign w:val="superscript"/>
        </w:rPr>
        <w:t xml:space="preserve"> </w:t>
      </w:r>
      <w:r w:rsidRPr="00441B3C">
        <w:rPr>
          <w:rFonts w:asciiTheme="majorBidi" w:eastAsia="Times New Roman" w:hAnsiTheme="majorBidi" w:cstheme="majorBidi"/>
          <w:sz w:val="18"/>
          <w:szCs w:val="18"/>
          <w:shd w:val="clear" w:color="auto" w:fill="FFFFFF"/>
        </w:rPr>
        <w:tab/>
        <w:t xml:space="preserve">A/HRC/37/38, para. 30. </w:t>
      </w:r>
    </w:p>
  </w:footnote>
  <w:footnote w:id="26">
    <w:p w14:paraId="1901CCE4" w14:textId="4EFEF00F"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vertAlign w:val="superscript"/>
        </w:rPr>
        <w:t xml:space="preserve"> </w:t>
      </w:r>
      <w:r w:rsidRPr="00441B3C">
        <w:rPr>
          <w:rFonts w:asciiTheme="majorBidi" w:eastAsia="Times New Roman" w:hAnsiTheme="majorBidi" w:cstheme="majorBidi"/>
          <w:sz w:val="18"/>
          <w:szCs w:val="18"/>
          <w:shd w:val="clear" w:color="auto" w:fill="FFFFFF"/>
        </w:rPr>
        <w:tab/>
        <w:t>See video of the event here: https://www.theguardian.com/world/2014/may/20/video-indicates-killed-palestinian-youths-no-threat-israeli-forces</w:t>
      </w:r>
      <w:r w:rsidR="00606C9E">
        <w:rPr>
          <w:rFonts w:asciiTheme="majorBidi" w:eastAsia="Times New Roman" w:hAnsiTheme="majorBidi" w:cstheme="majorBidi"/>
          <w:sz w:val="18"/>
          <w:szCs w:val="18"/>
          <w:shd w:val="clear" w:color="auto" w:fill="FFFFFF"/>
        </w:rPr>
        <w:t>.</w:t>
      </w:r>
    </w:p>
  </w:footnote>
  <w:footnote w:id="27">
    <w:p w14:paraId="751DF9A0"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vertAlign w:val="superscript"/>
        </w:rPr>
        <w:t xml:space="preserve"> </w:t>
      </w:r>
      <w:r w:rsidRPr="00441B3C">
        <w:rPr>
          <w:rFonts w:asciiTheme="majorBidi" w:eastAsia="Times New Roman" w:hAnsiTheme="majorBidi" w:cstheme="majorBidi"/>
          <w:sz w:val="18"/>
          <w:szCs w:val="18"/>
          <w:shd w:val="clear" w:color="auto" w:fill="FFFFFF"/>
        </w:rPr>
        <w:tab/>
        <w:t xml:space="preserve">The family of Nadeem </w:t>
      </w:r>
      <w:proofErr w:type="spellStart"/>
      <w:r w:rsidRPr="00441B3C">
        <w:rPr>
          <w:rFonts w:asciiTheme="majorBidi" w:eastAsia="Times New Roman" w:hAnsiTheme="majorBidi" w:cstheme="majorBidi"/>
          <w:sz w:val="18"/>
          <w:szCs w:val="18"/>
          <w:shd w:val="clear" w:color="auto" w:fill="FFFFFF"/>
        </w:rPr>
        <w:t>Nuwara</w:t>
      </w:r>
      <w:proofErr w:type="spellEnd"/>
      <w:r w:rsidRPr="00441B3C">
        <w:rPr>
          <w:rFonts w:asciiTheme="majorBidi" w:eastAsia="Times New Roman" w:hAnsiTheme="majorBidi" w:cstheme="majorBidi"/>
          <w:sz w:val="18"/>
          <w:szCs w:val="18"/>
          <w:shd w:val="clear" w:color="auto" w:fill="FFFFFF"/>
        </w:rPr>
        <w:t xml:space="preserve"> had previously objected to the plea bargain, but lost their appeal in High Court.</w:t>
      </w:r>
    </w:p>
  </w:footnote>
  <w:footnote w:id="28">
    <w:p w14:paraId="19FE752D"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vertAlign w:val="superscript"/>
        </w:rPr>
        <w:t xml:space="preserve"> </w:t>
      </w:r>
      <w:r w:rsidRPr="00441B3C">
        <w:rPr>
          <w:rFonts w:asciiTheme="majorBidi" w:eastAsia="Times New Roman" w:hAnsiTheme="majorBidi" w:cstheme="majorBidi"/>
          <w:sz w:val="18"/>
          <w:szCs w:val="18"/>
          <w:shd w:val="clear" w:color="auto" w:fill="FFFFFF"/>
        </w:rPr>
        <w:tab/>
        <w:t>A/HRC/34/36, para. 9.</w:t>
      </w:r>
    </w:p>
  </w:footnote>
  <w:footnote w:id="29">
    <w:p w14:paraId="51E1F12D"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vertAlign w:val="superscript"/>
        </w:rPr>
        <w:t xml:space="preserve"> </w:t>
      </w:r>
      <w:r w:rsidRPr="00441B3C">
        <w:rPr>
          <w:rFonts w:asciiTheme="majorBidi" w:eastAsia="Times New Roman" w:hAnsiTheme="majorBidi" w:cstheme="majorBidi"/>
          <w:sz w:val="18"/>
          <w:szCs w:val="18"/>
          <w:shd w:val="clear" w:color="auto" w:fill="FFFFFF"/>
        </w:rPr>
        <w:tab/>
        <w:t>www.haaretz.com/israel-news/.premium-idf-officer-won-t-be-indicted-for-opening-fire-against-rules-killing-palestinian-boy-1.5730351.</w:t>
      </w:r>
    </w:p>
  </w:footnote>
  <w:footnote w:id="30">
    <w:p w14:paraId="63EE1D2B" w14:textId="112C1F36"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vertAlign w:val="superscript"/>
        </w:rPr>
        <w:t xml:space="preserve"> </w:t>
      </w:r>
      <w:r w:rsidRPr="00441B3C">
        <w:rPr>
          <w:rFonts w:asciiTheme="majorBidi" w:eastAsia="Times New Roman" w:hAnsiTheme="majorBidi" w:cstheme="majorBidi"/>
          <w:sz w:val="18"/>
          <w:szCs w:val="18"/>
          <w:shd w:val="clear" w:color="auto" w:fill="FFFFFF"/>
          <w:vertAlign w:val="superscript"/>
        </w:rPr>
        <w:tab/>
      </w:r>
      <w:hyperlink r:id="rId1" w:history="1">
        <w:r w:rsidRPr="00441B3C">
          <w:rPr>
            <w:rFonts w:asciiTheme="majorBidi" w:eastAsia="Times New Roman" w:hAnsiTheme="majorBidi" w:cstheme="majorBidi"/>
            <w:sz w:val="18"/>
            <w:szCs w:val="18"/>
            <w:shd w:val="clear" w:color="auto" w:fill="FFFFFF"/>
          </w:rPr>
          <w:t>www.theguardian.com/world/2016/jun/21/israeli-troops-mistakenly-kill-palestinian-teenager-stone-throwers</w:t>
        </w:r>
      </w:hyperlink>
      <w:r w:rsidRPr="00441B3C">
        <w:rPr>
          <w:rFonts w:asciiTheme="majorBidi" w:eastAsia="Times New Roman" w:hAnsiTheme="majorBidi" w:cstheme="majorBidi"/>
          <w:sz w:val="18"/>
          <w:szCs w:val="18"/>
          <w:shd w:val="clear" w:color="auto" w:fill="FFFFFF"/>
        </w:rPr>
        <w:t>; www.haaretz.com/opinion/.premium-palestinian-boy-killed-by-mistake-1.5399928</w:t>
      </w:r>
      <w:r w:rsidR="00606C9E">
        <w:rPr>
          <w:rFonts w:asciiTheme="majorBidi" w:eastAsia="Times New Roman" w:hAnsiTheme="majorBidi" w:cstheme="majorBidi"/>
          <w:sz w:val="18"/>
          <w:szCs w:val="18"/>
          <w:shd w:val="clear" w:color="auto" w:fill="FFFFFF"/>
        </w:rPr>
        <w:t>.</w:t>
      </w:r>
    </w:p>
  </w:footnote>
  <w:footnote w:id="31">
    <w:p w14:paraId="40E1E1F3" w14:textId="075474C3"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vertAlign w:val="superscript"/>
        </w:rPr>
        <w:t xml:space="preserve"> </w:t>
      </w:r>
      <w:r w:rsidRPr="00441B3C">
        <w:rPr>
          <w:rFonts w:asciiTheme="majorBidi" w:eastAsia="Times New Roman" w:hAnsiTheme="majorBidi" w:cstheme="majorBidi"/>
          <w:sz w:val="18"/>
          <w:szCs w:val="18"/>
          <w:shd w:val="clear" w:color="auto" w:fill="FFFFFF"/>
        </w:rPr>
        <w:tab/>
        <w:t>www.haaretz.com/israel-news/israeli-army-opens-investigation-into-death-of-palestinian-teen-1.5399284</w:t>
      </w:r>
      <w:r w:rsidR="00606C9E">
        <w:rPr>
          <w:rFonts w:asciiTheme="majorBidi" w:eastAsia="Times New Roman" w:hAnsiTheme="majorBidi" w:cstheme="majorBidi"/>
          <w:sz w:val="18"/>
          <w:szCs w:val="18"/>
          <w:shd w:val="clear" w:color="auto" w:fill="FFFFFF"/>
        </w:rPr>
        <w:t>.</w:t>
      </w:r>
    </w:p>
  </w:footnote>
  <w:footnote w:id="32">
    <w:p w14:paraId="34A5ED43"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ab/>
        <w:t xml:space="preserve">A/HRC/31/40, para. 52-53.; A/HRC/34/36, para. 39-42. </w:t>
      </w:r>
    </w:p>
  </w:footnote>
  <w:footnote w:id="33">
    <w:p w14:paraId="5C8BEFD7"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A/HRC/31/40, para. 53.</w:t>
      </w:r>
    </w:p>
  </w:footnote>
  <w:footnote w:id="34">
    <w:p w14:paraId="7F7CF666"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vertAlign w:val="superscript"/>
        </w:rPr>
        <w:t xml:space="preserve"> </w:t>
      </w:r>
      <w:r w:rsidRPr="00441B3C">
        <w:rPr>
          <w:rFonts w:asciiTheme="majorBidi" w:eastAsia="Times New Roman" w:hAnsiTheme="majorBidi" w:cstheme="majorBidi"/>
          <w:sz w:val="18"/>
          <w:szCs w:val="18"/>
          <w:shd w:val="clear" w:color="auto" w:fill="FFFFFF"/>
        </w:rPr>
        <w:tab/>
      </w:r>
      <w:r w:rsidR="00FF0EFF" w:rsidRPr="00441B3C">
        <w:rPr>
          <w:rFonts w:asciiTheme="majorBidi" w:eastAsia="Times New Roman" w:hAnsiTheme="majorBidi" w:cstheme="majorBidi"/>
          <w:sz w:val="18"/>
          <w:szCs w:val="18"/>
          <w:shd w:val="clear" w:color="auto" w:fill="FFFFFF"/>
        </w:rPr>
        <w:t>S</w:t>
      </w:r>
      <w:r w:rsidRPr="00441B3C">
        <w:rPr>
          <w:rFonts w:asciiTheme="majorBidi" w:eastAsia="Times New Roman" w:hAnsiTheme="majorBidi" w:cstheme="majorBidi"/>
          <w:sz w:val="18"/>
          <w:szCs w:val="18"/>
          <w:shd w:val="clear" w:color="auto" w:fill="FFFFFF"/>
        </w:rPr>
        <w:t xml:space="preserve">ee A/HRC/34/36, para. </w:t>
      </w:r>
      <w:proofErr w:type="gramStart"/>
      <w:r w:rsidRPr="00441B3C">
        <w:rPr>
          <w:rFonts w:asciiTheme="majorBidi" w:eastAsia="Times New Roman" w:hAnsiTheme="majorBidi" w:cstheme="majorBidi"/>
          <w:sz w:val="18"/>
          <w:szCs w:val="18"/>
          <w:shd w:val="clear" w:color="auto" w:fill="FFFFFF"/>
        </w:rPr>
        <w:t>42</w:t>
      </w:r>
      <w:proofErr w:type="gramEnd"/>
      <w:r w:rsidRPr="00441B3C">
        <w:rPr>
          <w:rFonts w:asciiTheme="majorBidi" w:eastAsia="Times New Roman" w:hAnsiTheme="majorBidi" w:cstheme="majorBidi"/>
          <w:sz w:val="18"/>
          <w:szCs w:val="18"/>
          <w:shd w:val="clear" w:color="auto" w:fill="FFFFFF"/>
        </w:rPr>
        <w:t xml:space="preserve">; A/HRC/34/38, para. 69; https://www.haaretz.com/israel-news/coalition-chairman-seeks-to-strip-citizenship-of-b-tselem-head-1.5452046 </w:t>
      </w:r>
    </w:p>
  </w:footnote>
  <w:footnote w:id="35">
    <w:p w14:paraId="7805AB73"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vertAlign w:val="superscript"/>
        </w:rPr>
        <w:t xml:space="preserve"> </w:t>
      </w:r>
      <w:r w:rsidRPr="00441B3C">
        <w:rPr>
          <w:rFonts w:asciiTheme="majorBidi" w:eastAsia="Times New Roman" w:hAnsiTheme="majorBidi" w:cstheme="majorBidi"/>
          <w:sz w:val="18"/>
          <w:szCs w:val="18"/>
          <w:shd w:val="clear" w:color="auto" w:fill="FFFFFF"/>
        </w:rPr>
        <w:tab/>
        <w:t>A/HRC/34/36, para. 50.</w:t>
      </w:r>
    </w:p>
  </w:footnote>
  <w:footnote w:id="36">
    <w:p w14:paraId="0C8F597C"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vertAlign w:val="superscript"/>
        </w:rPr>
        <w:t xml:space="preserve"> </w:t>
      </w:r>
      <w:r w:rsidRPr="00441B3C">
        <w:rPr>
          <w:rFonts w:asciiTheme="majorBidi" w:eastAsia="Times New Roman" w:hAnsiTheme="majorBidi" w:cstheme="majorBidi"/>
          <w:sz w:val="18"/>
          <w:szCs w:val="18"/>
          <w:shd w:val="clear" w:color="auto" w:fill="FFFFFF"/>
          <w:vertAlign w:val="superscript"/>
        </w:rPr>
        <w:tab/>
      </w:r>
      <w:r w:rsidRPr="00441B3C">
        <w:rPr>
          <w:rFonts w:asciiTheme="majorBidi" w:eastAsia="Times New Roman" w:hAnsiTheme="majorBidi" w:cstheme="majorBidi"/>
          <w:sz w:val="18"/>
          <w:szCs w:val="18"/>
          <w:shd w:val="clear" w:color="auto" w:fill="FFFFFF"/>
        </w:rPr>
        <w:t xml:space="preserve">www.alhaq.org/advocacy/topics/human-rights-defenders/1026-al-haq-under-attack-staff-members-life-threatened and </w:t>
      </w:r>
      <w:hyperlink r:id="rId2" w:history="1">
        <w:r w:rsidRPr="00441B3C">
          <w:rPr>
            <w:rFonts w:asciiTheme="majorBidi" w:eastAsia="Times New Roman" w:hAnsiTheme="majorBidi" w:cstheme="majorBidi"/>
            <w:sz w:val="18"/>
            <w:szCs w:val="18"/>
            <w:shd w:val="clear" w:color="auto" w:fill="FFFFFF"/>
          </w:rPr>
          <w:t>www.mezan.org/en/post/21475</w:t>
        </w:r>
      </w:hyperlink>
      <w:r w:rsidRPr="00441B3C">
        <w:rPr>
          <w:rFonts w:asciiTheme="majorBidi" w:eastAsia="Times New Roman" w:hAnsiTheme="majorBidi" w:cstheme="majorBidi"/>
          <w:sz w:val="18"/>
          <w:szCs w:val="18"/>
          <w:shd w:val="clear" w:color="auto" w:fill="FFFFFF"/>
        </w:rPr>
        <w:t xml:space="preserve">; see A/HRC/34/26, para. </w:t>
      </w:r>
      <w:proofErr w:type="gramStart"/>
      <w:r w:rsidRPr="00441B3C">
        <w:rPr>
          <w:rFonts w:asciiTheme="majorBidi" w:eastAsia="Times New Roman" w:hAnsiTheme="majorBidi" w:cstheme="majorBidi"/>
          <w:sz w:val="18"/>
          <w:szCs w:val="18"/>
          <w:shd w:val="clear" w:color="auto" w:fill="FFFFFF"/>
        </w:rPr>
        <w:t>48</w:t>
      </w:r>
      <w:proofErr w:type="gramEnd"/>
      <w:r w:rsidRPr="00441B3C">
        <w:rPr>
          <w:rFonts w:asciiTheme="majorBidi" w:eastAsia="Times New Roman" w:hAnsiTheme="majorBidi" w:cstheme="majorBidi"/>
          <w:sz w:val="18"/>
          <w:szCs w:val="18"/>
          <w:shd w:val="clear" w:color="auto" w:fill="FFFFFF"/>
        </w:rPr>
        <w:t xml:space="preserve">; A/HRC/34/38, para. 69.  </w:t>
      </w:r>
    </w:p>
  </w:footnote>
  <w:footnote w:id="37">
    <w:p w14:paraId="7268A384"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vertAlign w:val="superscript"/>
        </w:rPr>
        <w:t xml:space="preserve"> </w:t>
      </w:r>
      <w:r w:rsidRPr="00441B3C">
        <w:rPr>
          <w:rFonts w:asciiTheme="majorBidi" w:eastAsia="Times New Roman" w:hAnsiTheme="majorBidi" w:cstheme="majorBidi"/>
          <w:sz w:val="18"/>
          <w:szCs w:val="18"/>
          <w:shd w:val="clear" w:color="auto" w:fill="FFFFFF"/>
        </w:rPr>
        <w:tab/>
        <w:t>See www.mezan.org/en/post/21475/Al+Mezan+Condemns+Continued+Death +Threats+to+Staff+Members+and+Calls+on+the+International+Community+to+Intervene</w:t>
      </w:r>
      <w:proofErr w:type="gramStart"/>
      <w:r w:rsidRPr="00441B3C">
        <w:rPr>
          <w:rFonts w:asciiTheme="majorBidi" w:eastAsia="Times New Roman" w:hAnsiTheme="majorBidi" w:cstheme="majorBidi"/>
          <w:sz w:val="18"/>
          <w:szCs w:val="18"/>
          <w:shd w:val="clear" w:color="auto" w:fill="FFFFFF"/>
        </w:rPr>
        <w:t>;</w:t>
      </w:r>
      <w:proofErr w:type="gramEnd"/>
      <w:r w:rsidRPr="00441B3C">
        <w:rPr>
          <w:rFonts w:asciiTheme="majorBidi" w:eastAsia="Times New Roman" w:hAnsiTheme="majorBidi" w:cstheme="majorBidi"/>
          <w:sz w:val="18"/>
          <w:szCs w:val="18"/>
          <w:shd w:val="clear" w:color="auto" w:fill="FFFFFF"/>
        </w:rPr>
        <w:t xml:space="preserve"> A/HRC/34/70 paras. 39-53</w:t>
      </w:r>
      <w:r w:rsidR="001E523C" w:rsidRPr="00441B3C">
        <w:rPr>
          <w:rFonts w:asciiTheme="majorBidi" w:eastAsia="Times New Roman" w:hAnsiTheme="majorBidi" w:cstheme="majorBidi"/>
          <w:sz w:val="18"/>
          <w:szCs w:val="18"/>
          <w:shd w:val="clear" w:color="auto" w:fill="FFFFFF"/>
        </w:rPr>
        <w:t>.</w:t>
      </w:r>
      <w:r w:rsidRPr="00441B3C">
        <w:rPr>
          <w:rFonts w:asciiTheme="majorBidi" w:eastAsia="Times New Roman" w:hAnsiTheme="majorBidi" w:cstheme="majorBidi"/>
          <w:sz w:val="18"/>
          <w:szCs w:val="18"/>
          <w:shd w:val="clear" w:color="auto" w:fill="FFFFFF"/>
        </w:rPr>
        <w:t xml:space="preserve">  </w:t>
      </w:r>
    </w:p>
  </w:footnote>
  <w:footnote w:id="38">
    <w:p w14:paraId="3355E502"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vertAlign w:val="superscript"/>
        </w:rPr>
        <w:t xml:space="preserve"> </w:t>
      </w:r>
      <w:r w:rsidRPr="00441B3C">
        <w:rPr>
          <w:rFonts w:asciiTheme="majorBidi" w:eastAsia="Times New Roman" w:hAnsiTheme="majorBidi" w:cstheme="majorBidi"/>
          <w:sz w:val="18"/>
          <w:szCs w:val="18"/>
          <w:shd w:val="clear" w:color="auto" w:fill="FFFFFF"/>
        </w:rPr>
        <w:tab/>
        <w:t>See e.g.  A/HRC/37/42, para. 57-60.</w:t>
      </w:r>
    </w:p>
  </w:footnote>
  <w:footnote w:id="39">
    <w:p w14:paraId="013F407E"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vertAlign w:val="superscript"/>
        </w:rPr>
        <w:t xml:space="preserve"> </w:t>
      </w:r>
      <w:r w:rsidRPr="00441B3C">
        <w:rPr>
          <w:rFonts w:asciiTheme="majorBidi" w:eastAsia="Times New Roman" w:hAnsiTheme="majorBidi" w:cstheme="majorBidi"/>
          <w:sz w:val="18"/>
          <w:szCs w:val="18"/>
          <w:shd w:val="clear" w:color="auto" w:fill="FFFFFF"/>
        </w:rPr>
        <w:tab/>
        <w:t xml:space="preserve">A/HRC/34/38, para. </w:t>
      </w:r>
      <w:proofErr w:type="gramStart"/>
      <w:r w:rsidRPr="00441B3C">
        <w:rPr>
          <w:rFonts w:asciiTheme="majorBidi" w:eastAsia="Times New Roman" w:hAnsiTheme="majorBidi" w:cstheme="majorBidi"/>
          <w:sz w:val="18"/>
          <w:szCs w:val="18"/>
          <w:shd w:val="clear" w:color="auto" w:fill="FFFFFF"/>
        </w:rPr>
        <w:t>70</w:t>
      </w:r>
      <w:proofErr w:type="gramEnd"/>
      <w:r w:rsidRPr="00441B3C">
        <w:rPr>
          <w:rFonts w:asciiTheme="majorBidi" w:eastAsia="Times New Roman" w:hAnsiTheme="majorBidi" w:cstheme="majorBidi"/>
          <w:sz w:val="18"/>
          <w:szCs w:val="18"/>
          <w:shd w:val="clear" w:color="auto" w:fill="FFFFFF"/>
        </w:rPr>
        <w:t xml:space="preserve">; A/HRC/31/40, paras. 66-67, and A/HRC/34/36, paras. 51-53.  </w:t>
      </w:r>
    </w:p>
  </w:footnote>
  <w:footnote w:id="40">
    <w:p w14:paraId="7299CF2D" w14:textId="77777777" w:rsidR="00884B55" w:rsidRPr="00441B3C" w:rsidRDefault="00884B55" w:rsidP="005B747F">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vertAlign w:val="superscript"/>
        </w:rPr>
        <w:t xml:space="preserve"> </w:t>
      </w:r>
      <w:r w:rsidRPr="00441B3C">
        <w:rPr>
          <w:rFonts w:asciiTheme="majorBidi" w:eastAsia="Times New Roman" w:hAnsiTheme="majorBidi" w:cstheme="majorBidi"/>
          <w:sz w:val="18"/>
          <w:szCs w:val="18"/>
          <w:shd w:val="clear" w:color="auto" w:fill="FFFFFF"/>
        </w:rPr>
        <w:tab/>
        <w:t>A/HRC/37/42, para. 46-54.</w:t>
      </w:r>
    </w:p>
  </w:footnote>
  <w:footnote w:id="41">
    <w:p w14:paraId="11ADF467" w14:textId="77777777" w:rsidR="00884B55" w:rsidRPr="00441B3C" w:rsidRDefault="00884B55" w:rsidP="005B747F">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vertAlign w:val="superscript"/>
        </w:rPr>
        <w:t xml:space="preserve"> </w:t>
      </w:r>
      <w:r w:rsidRPr="00441B3C">
        <w:rPr>
          <w:rFonts w:asciiTheme="majorBidi" w:eastAsia="Times New Roman" w:hAnsiTheme="majorBidi" w:cstheme="majorBidi"/>
          <w:sz w:val="18"/>
          <w:szCs w:val="18"/>
          <w:shd w:val="clear" w:color="auto" w:fill="FFFFFF"/>
        </w:rPr>
        <w:tab/>
        <w:t>See revised Methods of Work of the Working Group (A/HRC/33/66).</w:t>
      </w:r>
    </w:p>
  </w:footnote>
  <w:footnote w:id="42">
    <w:p w14:paraId="5985C698" w14:textId="77777777" w:rsidR="00884B55" w:rsidRPr="00441B3C" w:rsidRDefault="00884B55" w:rsidP="005B747F">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 xml:space="preserve">International Covenant on Civil and Political Rights, Articles 19 and 21-22. </w:t>
      </w:r>
    </w:p>
  </w:footnote>
  <w:footnote w:id="43">
    <w:p w14:paraId="7C209161" w14:textId="77777777" w:rsidR="00884B55" w:rsidRPr="00441B3C" w:rsidRDefault="00884B55" w:rsidP="005B747F">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 xml:space="preserve">A/HRC/37/42, para. 40. </w:t>
      </w:r>
    </w:p>
  </w:footnote>
  <w:footnote w:id="44">
    <w:p w14:paraId="0876201E" w14:textId="09D2A160"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https://www.haaretz.com/israel-news/.premium-ngo-law-would-apply-almost-solely-to-human-rights-organizations-1.5390248</w:t>
      </w:r>
      <w:r w:rsidR="00606C9E">
        <w:rPr>
          <w:rFonts w:asciiTheme="majorBidi" w:eastAsia="Times New Roman" w:hAnsiTheme="majorBidi" w:cstheme="majorBidi"/>
          <w:sz w:val="18"/>
          <w:szCs w:val="18"/>
          <w:shd w:val="clear" w:color="auto" w:fill="FFFFFF"/>
        </w:rPr>
        <w:t>.</w:t>
      </w:r>
    </w:p>
  </w:footnote>
  <w:footnote w:id="45">
    <w:p w14:paraId="36BAC556" w14:textId="3375428A"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 xml:space="preserve">A/HRC/34/36, para. </w:t>
      </w:r>
      <w:proofErr w:type="gramStart"/>
      <w:r w:rsidRPr="00441B3C">
        <w:rPr>
          <w:rFonts w:asciiTheme="majorBidi" w:eastAsia="Times New Roman" w:hAnsiTheme="majorBidi" w:cstheme="majorBidi"/>
          <w:sz w:val="18"/>
          <w:szCs w:val="18"/>
          <w:shd w:val="clear" w:color="auto" w:fill="FFFFFF"/>
        </w:rPr>
        <w:t>49</w:t>
      </w:r>
      <w:proofErr w:type="gramEnd"/>
      <w:r w:rsidRPr="00441B3C">
        <w:rPr>
          <w:rFonts w:asciiTheme="majorBidi" w:eastAsia="Times New Roman" w:hAnsiTheme="majorBidi" w:cstheme="majorBidi"/>
          <w:sz w:val="18"/>
          <w:szCs w:val="18"/>
          <w:shd w:val="clear" w:color="auto" w:fill="FFFFFF"/>
        </w:rPr>
        <w:t>; www.un.org/apps/news/story.asp?NewsID=54438#.WlyNc7yWbIU</w:t>
      </w:r>
      <w:r w:rsidR="00606C9E">
        <w:rPr>
          <w:rFonts w:asciiTheme="majorBidi" w:eastAsia="Times New Roman" w:hAnsiTheme="majorBidi" w:cstheme="majorBidi"/>
          <w:sz w:val="18"/>
          <w:szCs w:val="18"/>
          <w:shd w:val="clear" w:color="auto" w:fill="FFFFFF"/>
        </w:rPr>
        <w:t>.</w:t>
      </w:r>
    </w:p>
  </w:footnote>
  <w:footnote w:id="46">
    <w:p w14:paraId="3631550D" w14:textId="3E21A03A"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www.timesofisrael.com/netanyahu-confirms-knesset-push-to-limit-ngos-foreign-funding/</w:t>
      </w:r>
      <w:r w:rsidR="00606C9E">
        <w:rPr>
          <w:rFonts w:asciiTheme="majorBidi" w:eastAsia="Times New Roman" w:hAnsiTheme="majorBidi" w:cstheme="majorBidi"/>
          <w:sz w:val="18"/>
          <w:szCs w:val="18"/>
          <w:shd w:val="clear" w:color="auto" w:fill="FFFFFF"/>
        </w:rPr>
        <w:t>.</w:t>
      </w:r>
    </w:p>
  </w:footnote>
  <w:footnote w:id="47">
    <w:p w14:paraId="1D98A147"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 xml:space="preserve">As at January 2018, the “Income Tax Ordinance (Institutions Acting for the Benefit of the State of Israel)” </w:t>
      </w:r>
      <w:proofErr w:type="gramStart"/>
      <w:r w:rsidRPr="00441B3C">
        <w:rPr>
          <w:rFonts w:asciiTheme="majorBidi" w:eastAsia="Times New Roman" w:hAnsiTheme="majorBidi" w:cstheme="majorBidi"/>
          <w:sz w:val="18"/>
          <w:szCs w:val="18"/>
          <w:shd w:val="clear" w:color="auto" w:fill="FFFFFF"/>
        </w:rPr>
        <w:t>was being prepared</w:t>
      </w:r>
      <w:proofErr w:type="gramEnd"/>
      <w:r w:rsidRPr="00441B3C">
        <w:rPr>
          <w:rFonts w:asciiTheme="majorBidi" w:eastAsia="Times New Roman" w:hAnsiTheme="majorBidi" w:cstheme="majorBidi"/>
          <w:sz w:val="18"/>
          <w:szCs w:val="18"/>
          <w:shd w:val="clear" w:color="auto" w:fill="FFFFFF"/>
        </w:rPr>
        <w:t xml:space="preserve"> for first reading in the Knesset. </w:t>
      </w:r>
    </w:p>
  </w:footnote>
  <w:footnote w:id="48">
    <w:p w14:paraId="036FD433"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Amendment No. 5777-2017.</w:t>
      </w:r>
    </w:p>
  </w:footnote>
  <w:footnote w:id="49">
    <w:p w14:paraId="742C4CDD"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See A/72/565, para. 45-46.</w:t>
      </w:r>
    </w:p>
  </w:footnote>
  <w:footnote w:id="50">
    <w:p w14:paraId="628DBE28"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 xml:space="preserve">The Law for the Prevention of Damage to the State of Israel through Boycott (No. 5771-2011) defines boycott as deliberately avoiding all economic, cultural or academic ties with an individual or other body, based solely on affiliation with Israel or any of its institutions or area under its control, in a manner that would cause economic, cultural or academic harm.  </w:t>
      </w:r>
    </w:p>
  </w:footnote>
  <w:footnote w:id="51">
    <w:p w14:paraId="72C4F8BE" w14:textId="78410D29"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ab/>
        <w:t xml:space="preserve">Israel Publishes BDS Blacklist: These </w:t>
      </w:r>
      <w:proofErr w:type="gramStart"/>
      <w:r w:rsidRPr="00441B3C">
        <w:rPr>
          <w:rFonts w:asciiTheme="majorBidi" w:eastAsia="Times New Roman" w:hAnsiTheme="majorBidi" w:cstheme="majorBidi"/>
          <w:sz w:val="18"/>
          <w:szCs w:val="18"/>
          <w:shd w:val="clear" w:color="auto" w:fill="FFFFFF"/>
        </w:rPr>
        <w:t>Are</w:t>
      </w:r>
      <w:proofErr w:type="gramEnd"/>
      <w:r w:rsidRPr="00441B3C">
        <w:rPr>
          <w:rFonts w:asciiTheme="majorBidi" w:eastAsia="Times New Roman" w:hAnsiTheme="majorBidi" w:cstheme="majorBidi"/>
          <w:sz w:val="18"/>
          <w:szCs w:val="18"/>
          <w:shd w:val="clear" w:color="auto" w:fill="FFFFFF"/>
        </w:rPr>
        <w:t xml:space="preserve"> the 20 Groups Whose Members Will Be Denied Entry, www.haaretz.com/israel-news/1.833502</w:t>
      </w:r>
      <w:r w:rsidR="00606C9E">
        <w:rPr>
          <w:rFonts w:asciiTheme="majorBidi" w:eastAsia="Times New Roman" w:hAnsiTheme="majorBidi" w:cstheme="majorBidi"/>
          <w:sz w:val="18"/>
          <w:szCs w:val="18"/>
          <w:shd w:val="clear" w:color="auto" w:fill="FFFFFF"/>
        </w:rPr>
        <w:t>.</w:t>
      </w:r>
    </w:p>
  </w:footnote>
  <w:footnote w:id="52">
    <w:p w14:paraId="098786AA"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Amendment No. 5771-2011.</w:t>
      </w:r>
    </w:p>
  </w:footnote>
  <w:footnote w:id="53">
    <w:p w14:paraId="2F45E221" w14:textId="77777777" w:rsidR="00E4095C" w:rsidRPr="00441B3C" w:rsidRDefault="00E4095C" w:rsidP="00E4095C">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 xml:space="preserve">A/HRC/34/36, para. </w:t>
      </w:r>
      <w:proofErr w:type="gramStart"/>
      <w:r w:rsidRPr="00441B3C">
        <w:rPr>
          <w:rFonts w:asciiTheme="majorBidi" w:eastAsia="Times New Roman" w:hAnsiTheme="majorBidi" w:cstheme="majorBidi"/>
          <w:sz w:val="18"/>
          <w:szCs w:val="18"/>
          <w:shd w:val="clear" w:color="auto" w:fill="FFFFFF"/>
        </w:rPr>
        <w:t>49</w:t>
      </w:r>
      <w:proofErr w:type="gramEnd"/>
      <w:r w:rsidRPr="00441B3C">
        <w:rPr>
          <w:rFonts w:asciiTheme="majorBidi" w:eastAsia="Times New Roman" w:hAnsiTheme="majorBidi" w:cstheme="majorBidi"/>
          <w:sz w:val="18"/>
          <w:szCs w:val="18"/>
          <w:shd w:val="clear" w:color="auto" w:fill="FFFFFF"/>
        </w:rPr>
        <w:t xml:space="preserve">; see www.un.org/apps/news/story.asp?NewsID=54438#.WlyNc7yWbIU and </w:t>
      </w:r>
      <w:hyperlink r:id="rId3" w:anchor=".WCXEZS196M9" w:history="1">
        <w:r w:rsidRPr="00441B3C">
          <w:rPr>
            <w:rFonts w:asciiTheme="majorBidi" w:eastAsia="Times New Roman" w:hAnsiTheme="majorBidi" w:cstheme="majorBidi"/>
            <w:sz w:val="18"/>
            <w:szCs w:val="18"/>
            <w:shd w:val="clear" w:color="auto" w:fill="FFFFFF"/>
          </w:rPr>
          <w:t>www.un.org/apps/news/story.asp?NewsID=54319#.WCXEZS196M9</w:t>
        </w:r>
      </w:hyperlink>
      <w:r w:rsidRPr="00441B3C">
        <w:rPr>
          <w:rFonts w:asciiTheme="majorBidi" w:eastAsia="Times New Roman" w:hAnsiTheme="majorBidi" w:cstheme="majorBidi"/>
          <w:sz w:val="18"/>
          <w:szCs w:val="18"/>
          <w:shd w:val="clear" w:color="auto" w:fill="FFFFFF"/>
        </w:rPr>
        <w:t xml:space="preserve"> and http://www.ohchr.org/EN/NewsEvents/Pages/DisplayNews.aspx?NewsID=20177&amp;LangID=E.</w:t>
      </w:r>
    </w:p>
  </w:footnote>
  <w:footnote w:id="54">
    <w:p w14:paraId="2700D293" w14:textId="798CABFE"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294E53">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https://www.al-monitor.com/pulse/originals/2017/07/palestine-cybercrime-law-opposition-government.html</w:t>
      </w:r>
      <w:r w:rsidR="00606C9E">
        <w:rPr>
          <w:rFonts w:asciiTheme="majorBidi" w:eastAsia="Times New Roman" w:hAnsiTheme="majorBidi" w:cstheme="majorBidi"/>
          <w:sz w:val="18"/>
          <w:szCs w:val="18"/>
          <w:shd w:val="clear" w:color="auto" w:fill="FFFFFF"/>
        </w:rPr>
        <w:t>.</w:t>
      </w:r>
    </w:p>
  </w:footnote>
  <w:footnote w:id="55">
    <w:p w14:paraId="659B08EC"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294E53">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 xml:space="preserve">A/HRC/37/42, para. </w:t>
      </w:r>
      <w:proofErr w:type="gramStart"/>
      <w:r w:rsidR="00A53B4B" w:rsidRPr="00441B3C">
        <w:rPr>
          <w:rFonts w:asciiTheme="majorBidi" w:eastAsia="Times New Roman" w:hAnsiTheme="majorBidi" w:cstheme="majorBidi"/>
          <w:sz w:val="18"/>
          <w:szCs w:val="18"/>
          <w:shd w:val="clear" w:color="auto" w:fill="FFFFFF"/>
        </w:rPr>
        <w:t>42</w:t>
      </w:r>
      <w:proofErr w:type="gramEnd"/>
      <w:r w:rsidR="00A53B4B" w:rsidRPr="00441B3C">
        <w:rPr>
          <w:rFonts w:asciiTheme="majorBidi" w:eastAsia="Times New Roman" w:hAnsiTheme="majorBidi" w:cstheme="majorBidi"/>
          <w:sz w:val="18"/>
          <w:szCs w:val="18"/>
          <w:shd w:val="clear" w:color="auto" w:fill="FFFFFF"/>
        </w:rPr>
        <w:t xml:space="preserve"> and </w:t>
      </w:r>
      <w:r w:rsidRPr="00441B3C">
        <w:rPr>
          <w:rFonts w:asciiTheme="majorBidi" w:eastAsia="Times New Roman" w:hAnsiTheme="majorBidi" w:cstheme="majorBidi"/>
          <w:sz w:val="18"/>
          <w:szCs w:val="18"/>
          <w:shd w:val="clear" w:color="auto" w:fill="FFFFFF"/>
        </w:rPr>
        <w:t>50-51</w:t>
      </w:r>
      <w:r w:rsidR="00A53B4B" w:rsidRPr="00441B3C">
        <w:rPr>
          <w:rFonts w:asciiTheme="majorBidi" w:eastAsia="Times New Roman" w:hAnsiTheme="majorBidi" w:cstheme="majorBidi"/>
          <w:sz w:val="18"/>
          <w:szCs w:val="18"/>
          <w:shd w:val="clear" w:color="auto" w:fill="FFFFFF"/>
        </w:rPr>
        <w:t>, A/HRC/37/38, para. 58-59</w:t>
      </w:r>
      <w:r w:rsidRPr="00441B3C">
        <w:rPr>
          <w:rFonts w:asciiTheme="majorBidi" w:eastAsia="Times New Roman" w:hAnsiTheme="majorBidi" w:cstheme="majorBidi"/>
          <w:sz w:val="18"/>
          <w:szCs w:val="18"/>
          <w:shd w:val="clear" w:color="auto" w:fill="FFFFFF"/>
        </w:rPr>
        <w:t>.</w:t>
      </w:r>
    </w:p>
  </w:footnote>
  <w:footnote w:id="56">
    <w:p w14:paraId="07B2366E" w14:textId="77777777" w:rsidR="00884B55" w:rsidRPr="00441B3C" w:rsidRDefault="00884B55" w:rsidP="00C50258">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294E53">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 xml:space="preserve">A/HRC/34/38, para. </w:t>
      </w:r>
      <w:proofErr w:type="gramStart"/>
      <w:r w:rsidRPr="00441B3C">
        <w:rPr>
          <w:rFonts w:asciiTheme="majorBidi" w:eastAsia="Times New Roman" w:hAnsiTheme="majorBidi" w:cstheme="majorBidi"/>
          <w:sz w:val="18"/>
          <w:szCs w:val="18"/>
          <w:shd w:val="clear" w:color="auto" w:fill="FFFFFF"/>
        </w:rPr>
        <w:t>12</w:t>
      </w:r>
      <w:proofErr w:type="gramEnd"/>
      <w:r w:rsidRPr="00441B3C">
        <w:rPr>
          <w:rFonts w:asciiTheme="majorBidi" w:eastAsia="Times New Roman" w:hAnsiTheme="majorBidi" w:cstheme="majorBidi"/>
          <w:sz w:val="18"/>
          <w:szCs w:val="18"/>
          <w:shd w:val="clear" w:color="auto" w:fill="FFFFFF"/>
        </w:rPr>
        <w:t xml:space="preserve">; See ICRC commentary to article 1 common to the Geneva Conventions, 2016, para. </w:t>
      </w:r>
      <w:proofErr w:type="gramStart"/>
      <w:r w:rsidRPr="00441B3C">
        <w:rPr>
          <w:rFonts w:asciiTheme="majorBidi" w:eastAsia="Times New Roman" w:hAnsiTheme="majorBidi" w:cstheme="majorBidi"/>
          <w:sz w:val="18"/>
          <w:szCs w:val="18"/>
          <w:shd w:val="clear" w:color="auto" w:fill="FFFFFF"/>
        </w:rPr>
        <w:t>154</w:t>
      </w:r>
      <w:proofErr w:type="gramEnd"/>
      <w:r w:rsidRPr="00441B3C">
        <w:rPr>
          <w:rFonts w:asciiTheme="majorBidi" w:eastAsia="Times New Roman" w:hAnsiTheme="majorBidi" w:cstheme="majorBidi"/>
          <w:sz w:val="18"/>
          <w:szCs w:val="18"/>
          <w:shd w:val="clear" w:color="auto" w:fill="FFFFFF"/>
        </w:rPr>
        <w:t xml:space="preserve"> (https://ihl-databases.icrc.org/ihl/full/GCI-commentaryArt1); the declaration of 5 December 2001 of the Conference of High Contracting Parties to the Fourth Geneva Convention, para. </w:t>
      </w:r>
      <w:proofErr w:type="gramStart"/>
      <w:r w:rsidRPr="00441B3C">
        <w:rPr>
          <w:rFonts w:asciiTheme="majorBidi" w:eastAsia="Times New Roman" w:hAnsiTheme="majorBidi" w:cstheme="majorBidi"/>
          <w:sz w:val="18"/>
          <w:szCs w:val="18"/>
          <w:shd w:val="clear" w:color="auto" w:fill="FFFFFF"/>
        </w:rPr>
        <w:t>4</w:t>
      </w:r>
      <w:proofErr w:type="gramEnd"/>
      <w:r w:rsidRPr="00441B3C">
        <w:rPr>
          <w:rFonts w:asciiTheme="majorBidi" w:eastAsia="Times New Roman" w:hAnsiTheme="majorBidi" w:cstheme="majorBidi"/>
          <w:sz w:val="18"/>
          <w:szCs w:val="18"/>
          <w:shd w:val="clear" w:color="auto" w:fill="FFFFFF"/>
        </w:rPr>
        <w:t>; International Court of Justice, Legal Consequences of the Construction of a Wall, paras. 158-159; and Military and Paramilitary Activities in and against Nicaragua (Nicaragua v. United States of America), Merits, Judgment, I.C.J. Reports 1986, p. 14, para. 220.</w:t>
      </w:r>
    </w:p>
  </w:footnote>
  <w:footnote w:id="57">
    <w:p w14:paraId="5ADED4A1"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294E53">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See, e.g., Security Council resolutions 2334 (2016) and 465 (1980)</w:t>
      </w:r>
      <w:proofErr w:type="gramStart"/>
      <w:r w:rsidRPr="00441B3C">
        <w:rPr>
          <w:rFonts w:asciiTheme="majorBidi" w:eastAsia="Times New Roman" w:hAnsiTheme="majorBidi" w:cstheme="majorBidi"/>
          <w:sz w:val="18"/>
          <w:szCs w:val="18"/>
          <w:shd w:val="clear" w:color="auto" w:fill="FFFFFF"/>
        </w:rPr>
        <w:t>;</w:t>
      </w:r>
      <w:proofErr w:type="gramEnd"/>
      <w:r w:rsidRPr="00441B3C">
        <w:rPr>
          <w:rFonts w:asciiTheme="majorBidi" w:eastAsia="Times New Roman" w:hAnsiTheme="majorBidi" w:cstheme="majorBidi"/>
          <w:sz w:val="18"/>
          <w:szCs w:val="18"/>
          <w:shd w:val="clear" w:color="auto" w:fill="FFFFFF"/>
        </w:rPr>
        <w:t xml:space="preserve"> General Assembly resolution 70/89, paras. 9-10; and the declaration of 17 December 2014 of the Conference of High Contracting Parties to the Fourth Geneva Convention, para. 4.</w:t>
      </w:r>
    </w:p>
  </w:footnote>
  <w:footnote w:id="58">
    <w:p w14:paraId="54F77CC9"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294E53">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 xml:space="preserve">See 2016 Commentary on Art. </w:t>
      </w:r>
      <w:proofErr w:type="gramStart"/>
      <w:r w:rsidRPr="00441B3C">
        <w:rPr>
          <w:rFonts w:asciiTheme="majorBidi" w:eastAsia="Times New Roman" w:hAnsiTheme="majorBidi" w:cstheme="majorBidi"/>
          <w:sz w:val="18"/>
          <w:szCs w:val="18"/>
          <w:shd w:val="clear" w:color="auto" w:fill="FFFFFF"/>
        </w:rPr>
        <w:t>1</w:t>
      </w:r>
      <w:proofErr w:type="gramEnd"/>
      <w:r w:rsidRPr="00441B3C">
        <w:rPr>
          <w:rFonts w:asciiTheme="majorBidi" w:eastAsia="Times New Roman" w:hAnsiTheme="majorBidi" w:cstheme="majorBidi"/>
          <w:sz w:val="18"/>
          <w:szCs w:val="18"/>
          <w:shd w:val="clear" w:color="auto" w:fill="FFFFFF"/>
        </w:rPr>
        <w:t xml:space="preserve"> common to the Geneva Conventions, para. </w:t>
      </w:r>
      <w:proofErr w:type="gramStart"/>
      <w:r w:rsidRPr="00441B3C">
        <w:rPr>
          <w:rFonts w:asciiTheme="majorBidi" w:eastAsia="Times New Roman" w:hAnsiTheme="majorBidi" w:cstheme="majorBidi"/>
          <w:sz w:val="18"/>
          <w:szCs w:val="18"/>
          <w:shd w:val="clear" w:color="auto" w:fill="FFFFFF"/>
        </w:rPr>
        <w:t>163</w:t>
      </w:r>
      <w:proofErr w:type="gramEnd"/>
      <w:r w:rsidRPr="00441B3C">
        <w:rPr>
          <w:rFonts w:asciiTheme="majorBidi" w:eastAsia="Times New Roman" w:hAnsiTheme="majorBidi" w:cstheme="majorBidi"/>
          <w:sz w:val="18"/>
          <w:szCs w:val="18"/>
          <w:shd w:val="clear" w:color="auto" w:fill="FFFFFF"/>
        </w:rPr>
        <w:t>; see also ICJ Advisory Opinion on the Wall, para. 157-159.</w:t>
      </w:r>
    </w:p>
  </w:footnote>
  <w:footnote w:id="59">
    <w:p w14:paraId="357B06E2" w14:textId="2C26E6CD"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294E53">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ILC Draft articles on the Responsibility of States for Internationally Wrongful Acts, article</w:t>
      </w:r>
      <w:r w:rsidR="00D768F2" w:rsidRPr="00441B3C">
        <w:rPr>
          <w:rFonts w:asciiTheme="majorBidi" w:eastAsia="Times New Roman" w:hAnsiTheme="majorBidi" w:cstheme="majorBidi"/>
          <w:sz w:val="18"/>
          <w:szCs w:val="18"/>
          <w:shd w:val="clear" w:color="auto" w:fill="FFFFFF"/>
        </w:rPr>
        <w:t>s 40(1) and</w:t>
      </w:r>
      <w:r w:rsidRPr="00441B3C">
        <w:rPr>
          <w:rFonts w:asciiTheme="majorBidi" w:eastAsia="Times New Roman" w:hAnsiTheme="majorBidi" w:cstheme="majorBidi"/>
          <w:sz w:val="18"/>
          <w:szCs w:val="18"/>
          <w:shd w:val="clear" w:color="auto" w:fill="FFFFFF"/>
        </w:rPr>
        <w:t xml:space="preserve"> 41(1).</w:t>
      </w:r>
    </w:p>
  </w:footnote>
  <w:footnote w:id="60">
    <w:p w14:paraId="4BC3DA1A"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294E53">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United Nation Charter, article 1(3); See Preamble of International Covenant on Civil and Political Rights; International Covenant on Economic, Social and Cultural Rights; Convention on the Right of the Child; Convention against Torture and other Cruel, Inhuman or Degrading Treatment or Punishment; Convention on the Elimination of Racial Discrimination and Convention on the Rights of Persons with Disabilities.</w:t>
      </w:r>
    </w:p>
  </w:footnote>
  <w:footnote w:id="61">
    <w:p w14:paraId="3392F4A8"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294E53">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A/HRC/22/63, para. 96.</w:t>
      </w:r>
    </w:p>
  </w:footnote>
  <w:footnote w:id="62">
    <w:p w14:paraId="27C0A960"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A/HRC/22/63, para. 117.</w:t>
      </w:r>
    </w:p>
  </w:footnote>
  <w:footnote w:id="63">
    <w:p w14:paraId="252E8146"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A/HRC/35/19/Add.1, para. 28-36.</w:t>
      </w:r>
    </w:p>
  </w:footnote>
  <w:footnote w:id="64">
    <w:p w14:paraId="04221328"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See A/HRC/35/19/Add.1, Table 1.</w:t>
      </w:r>
    </w:p>
  </w:footnote>
  <w:footnote w:id="65">
    <w:p w14:paraId="2A4585E7"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See A/HRC/31/40/Add.1, para. 39.</w:t>
      </w:r>
    </w:p>
  </w:footnote>
  <w:footnote w:id="66">
    <w:p w14:paraId="482EB460" w14:textId="7777777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A/HRC/35/19 para. 81.</w:t>
      </w:r>
    </w:p>
  </w:footnote>
  <w:footnote w:id="67">
    <w:p w14:paraId="42CAAF53" w14:textId="4B3BAFF7" w:rsidR="00884B55" w:rsidRPr="00441B3C" w:rsidRDefault="00884B55" w:rsidP="00745AEB">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rPr>
      </w:pPr>
      <w:r w:rsidRPr="00441B3C">
        <w:rPr>
          <w:rFonts w:asciiTheme="majorBidi" w:eastAsia="Times New Roman" w:hAnsiTheme="majorBidi" w:cstheme="majorBidi"/>
          <w:sz w:val="18"/>
          <w:szCs w:val="18"/>
          <w:shd w:val="clear" w:color="auto" w:fill="FFFFFF"/>
        </w:rPr>
        <w:tab/>
      </w:r>
      <w:r w:rsidRPr="00441B3C">
        <w:rPr>
          <w:rFonts w:asciiTheme="majorBidi" w:eastAsia="Times New Roman" w:hAnsiTheme="majorBidi" w:cstheme="majorBidi"/>
          <w:sz w:val="18"/>
          <w:szCs w:val="18"/>
          <w:shd w:val="clear" w:color="auto" w:fill="FFFFFF"/>
          <w:vertAlign w:val="superscript"/>
        </w:rPr>
        <w:footnoteRef/>
      </w:r>
      <w:r w:rsidRPr="00441B3C">
        <w:rPr>
          <w:rFonts w:asciiTheme="majorBidi" w:eastAsia="Times New Roman" w:hAnsiTheme="majorBidi" w:cstheme="majorBidi"/>
          <w:sz w:val="18"/>
          <w:szCs w:val="18"/>
          <w:shd w:val="clear" w:color="auto" w:fill="FFFFFF"/>
        </w:rPr>
        <w:t xml:space="preserve"> </w:t>
      </w:r>
      <w:r w:rsidRPr="00441B3C">
        <w:rPr>
          <w:rFonts w:asciiTheme="majorBidi" w:eastAsia="Times New Roman" w:hAnsiTheme="majorBidi" w:cstheme="majorBidi"/>
          <w:sz w:val="18"/>
          <w:szCs w:val="18"/>
          <w:shd w:val="clear" w:color="auto" w:fill="FFFFFF"/>
        </w:rPr>
        <w:tab/>
        <w:t>A/71/364, para.6</w:t>
      </w:r>
      <w:r w:rsidR="00606C9E">
        <w:rPr>
          <w:rFonts w:asciiTheme="majorBidi" w:eastAsia="Times New Roman" w:hAnsiTheme="majorBidi" w:cstheme="majorBidi"/>
          <w:sz w:val="18"/>
          <w:szCs w:val="18"/>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467E7" w14:textId="77777777" w:rsidR="00884B55" w:rsidRPr="009343FA" w:rsidRDefault="00884B55" w:rsidP="006776C4">
    <w:pPr>
      <w:pBdr>
        <w:top w:val="nil"/>
        <w:left w:val="nil"/>
        <w:bottom w:val="single" w:sz="4" w:space="0" w:color="000000"/>
        <w:right w:val="nil"/>
        <w:between w:val="nil"/>
        <w:bar w:val="nil"/>
      </w:pBdr>
      <w:suppressAutoHyphens/>
      <w:rPr>
        <w:rFonts w:ascii="Times New Roman" w:eastAsia="Arial Unicode MS" w:hAnsi="Times New Roman" w:cs="Arial Unicode MS"/>
        <w:b/>
        <w:bCs/>
        <w:color w:val="000000"/>
        <w:sz w:val="18"/>
        <w:szCs w:val="18"/>
        <w:u w:color="000000"/>
        <w:bdr w:val="nil"/>
      </w:rPr>
    </w:pPr>
    <w:r>
      <w:rPr>
        <w:rFonts w:ascii="Times New Roman" w:eastAsia="Arial Unicode MS" w:hAnsi="Times New Roman" w:cs="Arial Unicode MS"/>
        <w:b/>
        <w:bCs/>
        <w:color w:val="000000"/>
        <w:sz w:val="18"/>
        <w:szCs w:val="18"/>
        <w:u w:color="000000"/>
        <w:bdr w:val="nil"/>
      </w:rPr>
      <w:t>A/HRC/37/41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B595D" w14:textId="77777777" w:rsidR="00884B55" w:rsidRPr="009343FA" w:rsidRDefault="00884B55" w:rsidP="006776C4">
    <w:pPr>
      <w:pBdr>
        <w:top w:val="nil"/>
        <w:left w:val="nil"/>
        <w:bottom w:val="single" w:sz="4" w:space="0" w:color="000000"/>
        <w:right w:val="nil"/>
        <w:between w:val="nil"/>
        <w:bar w:val="nil"/>
      </w:pBdr>
      <w:suppressAutoHyphens/>
      <w:ind w:right="-279"/>
      <w:jc w:val="right"/>
      <w:rPr>
        <w:rFonts w:ascii="Times New Roman" w:eastAsia="Arial Unicode MS" w:hAnsi="Times New Roman" w:cs="Arial Unicode MS"/>
        <w:b/>
        <w:bCs/>
        <w:color w:val="000000"/>
        <w:sz w:val="18"/>
        <w:szCs w:val="18"/>
        <w:u w:color="000000"/>
        <w:bdr w:val="nil"/>
      </w:rPr>
    </w:pPr>
    <w:r>
      <w:rPr>
        <w:rFonts w:ascii="Times New Roman" w:eastAsia="Arial Unicode MS" w:hAnsi="Times New Roman" w:cs="Arial Unicode MS"/>
        <w:b/>
        <w:bCs/>
        <w:color w:val="000000"/>
        <w:sz w:val="18"/>
        <w:szCs w:val="18"/>
        <w:u w:color="000000"/>
        <w:bdr w:val="nil"/>
      </w:rPr>
      <w:t>A/HRC/37/41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7C57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40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A2D0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1C9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DEF9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0026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429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3EEC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4859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B424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A68D0"/>
    <w:multiLevelType w:val="hybridMultilevel"/>
    <w:tmpl w:val="99640A6A"/>
    <w:lvl w:ilvl="0" w:tplc="59CEB8CA">
      <w:start w:val="1"/>
      <w:numFmt w:val="decimal"/>
      <w:lvlText w:val="%1."/>
      <w:lvlJc w:val="left"/>
      <w:pPr>
        <w:ind w:left="1494" w:hanging="360"/>
      </w:pPr>
      <w:rPr>
        <w:rFonts w:hint="default"/>
        <w:vertAlign w:val="baseline"/>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09867D03"/>
    <w:multiLevelType w:val="hybridMultilevel"/>
    <w:tmpl w:val="07744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DB5287"/>
    <w:multiLevelType w:val="hybridMultilevel"/>
    <w:tmpl w:val="2C4CA560"/>
    <w:lvl w:ilvl="0" w:tplc="21785D7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E464897"/>
    <w:multiLevelType w:val="hybridMultilevel"/>
    <w:tmpl w:val="003EA084"/>
    <w:lvl w:ilvl="0" w:tplc="59CEB8CA">
      <w:start w:val="1"/>
      <w:numFmt w:val="decimal"/>
      <w:lvlText w:val="%1."/>
      <w:lvlJc w:val="left"/>
      <w:pPr>
        <w:ind w:left="1494" w:hanging="360"/>
      </w:pPr>
      <w:rPr>
        <w:rFonts w:hint="default"/>
        <w:vertAlign w:val="baseline"/>
      </w:rPr>
    </w:lvl>
    <w:lvl w:ilvl="1" w:tplc="FF5643AA">
      <w:start w:val="1"/>
      <w:numFmt w:val="lowerLetter"/>
      <w:lvlText w:val="(%2)"/>
      <w:lvlJc w:val="left"/>
      <w:pPr>
        <w:ind w:left="2214" w:hanging="360"/>
      </w:pPr>
      <w:rPr>
        <w:rFonts w:hint="default"/>
        <w:b w:val="0"/>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0E580623"/>
    <w:multiLevelType w:val="hybridMultilevel"/>
    <w:tmpl w:val="5E265F5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0F3A63BC"/>
    <w:multiLevelType w:val="hybridMultilevel"/>
    <w:tmpl w:val="41A6D550"/>
    <w:lvl w:ilvl="0" w:tplc="DFBEFF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BA011D8"/>
    <w:multiLevelType w:val="hybridMultilevel"/>
    <w:tmpl w:val="8320C1C8"/>
    <w:lvl w:ilvl="0" w:tplc="9294C948">
      <w:start w:val="1"/>
      <w:numFmt w:val="decimal"/>
      <w:lvlText w:val="%1."/>
      <w:lvlJc w:val="left"/>
      <w:pPr>
        <w:ind w:left="1353" w:hanging="360"/>
      </w:pPr>
      <w:rPr>
        <w:b w:val="0"/>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26931D69"/>
    <w:multiLevelType w:val="hybridMultilevel"/>
    <w:tmpl w:val="B8E6BD64"/>
    <w:lvl w:ilvl="0" w:tplc="496653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90445B"/>
    <w:multiLevelType w:val="hybridMultilevel"/>
    <w:tmpl w:val="90A480C0"/>
    <w:lvl w:ilvl="0" w:tplc="DF020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6F4989"/>
    <w:multiLevelType w:val="hybridMultilevel"/>
    <w:tmpl w:val="985A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745128"/>
    <w:multiLevelType w:val="hybridMultilevel"/>
    <w:tmpl w:val="A6AA41E2"/>
    <w:lvl w:ilvl="0" w:tplc="F7DC4EC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1509BC"/>
    <w:multiLevelType w:val="hybridMultilevel"/>
    <w:tmpl w:val="ED043FD0"/>
    <w:lvl w:ilvl="0" w:tplc="59CEB8CA">
      <w:start w:val="1"/>
      <w:numFmt w:val="decimal"/>
      <w:lvlText w:val="%1."/>
      <w:lvlJc w:val="left"/>
      <w:pPr>
        <w:ind w:left="1494" w:hanging="360"/>
      </w:pPr>
      <w:rPr>
        <w:rFonts w:hint="default"/>
        <w:vertAlign w:val="baseline"/>
      </w:rPr>
    </w:lvl>
    <w:lvl w:ilvl="1" w:tplc="5FFE3174">
      <w:start w:val="1"/>
      <w:numFmt w:val="lowerLetter"/>
      <w:lvlText w:val="%2."/>
      <w:lvlJc w:val="left"/>
      <w:pPr>
        <w:ind w:left="2214" w:hanging="360"/>
      </w:pPr>
      <w:rPr>
        <w:b w:val="0"/>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3E852FEA"/>
    <w:multiLevelType w:val="hybridMultilevel"/>
    <w:tmpl w:val="554E12DE"/>
    <w:lvl w:ilvl="0" w:tplc="2DA207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815935"/>
    <w:multiLevelType w:val="hybridMultilevel"/>
    <w:tmpl w:val="E7CAB848"/>
    <w:lvl w:ilvl="0" w:tplc="59CEB8CA">
      <w:start w:val="1"/>
      <w:numFmt w:val="decimal"/>
      <w:lvlText w:val="%1."/>
      <w:lvlJc w:val="left"/>
      <w:pPr>
        <w:ind w:left="1494" w:hanging="360"/>
      </w:pPr>
      <w:rPr>
        <w:rFonts w:hint="default"/>
        <w:vertAlign w:val="baseli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57511116"/>
    <w:multiLevelType w:val="hybridMultilevel"/>
    <w:tmpl w:val="24CAE3E2"/>
    <w:lvl w:ilvl="0" w:tplc="EE0E39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550D1F"/>
    <w:multiLevelType w:val="hybridMultilevel"/>
    <w:tmpl w:val="0076FEA8"/>
    <w:lvl w:ilvl="0" w:tplc="DF3C7E0E">
      <w:start w:val="1"/>
      <w:numFmt w:val="decimal"/>
      <w:lvlText w:val="%1."/>
      <w:lvlJc w:val="left"/>
      <w:pPr>
        <w:ind w:left="2628"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5F982828"/>
    <w:multiLevelType w:val="hybridMultilevel"/>
    <w:tmpl w:val="80CA62E4"/>
    <w:lvl w:ilvl="0" w:tplc="59CEB8CA">
      <w:start w:val="1"/>
      <w:numFmt w:val="decimal"/>
      <w:lvlText w:val="%1."/>
      <w:lvlJc w:val="left"/>
      <w:pPr>
        <w:ind w:left="1494" w:hanging="360"/>
      </w:pPr>
      <w:rPr>
        <w:rFonts w:hint="default"/>
        <w:vertAlign w:val="baseline"/>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601F6068"/>
    <w:multiLevelType w:val="hybridMultilevel"/>
    <w:tmpl w:val="7CF8C68A"/>
    <w:lvl w:ilvl="0" w:tplc="DF3C7E0E">
      <w:start w:val="1"/>
      <w:numFmt w:val="decimal"/>
      <w:lvlText w:val="%1."/>
      <w:lvlJc w:val="left"/>
      <w:pPr>
        <w:ind w:left="2628"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15:restartNumberingAfterBreak="0">
    <w:nsid w:val="63254268"/>
    <w:multiLevelType w:val="hybridMultilevel"/>
    <w:tmpl w:val="4A9CD3BC"/>
    <w:lvl w:ilvl="0" w:tplc="42F899D6">
      <w:start w:val="6"/>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EC1EA8"/>
    <w:multiLevelType w:val="hybridMultilevel"/>
    <w:tmpl w:val="5DA87868"/>
    <w:lvl w:ilvl="0" w:tplc="E8D61A7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B93943"/>
    <w:multiLevelType w:val="hybridMultilevel"/>
    <w:tmpl w:val="4476E494"/>
    <w:lvl w:ilvl="0" w:tplc="59CEB8CA">
      <w:start w:val="1"/>
      <w:numFmt w:val="decimal"/>
      <w:lvlText w:val="%1."/>
      <w:lvlJc w:val="left"/>
      <w:pPr>
        <w:ind w:left="1494" w:hanging="360"/>
      </w:pPr>
      <w:rPr>
        <w:rFonts w:hint="default"/>
        <w:vertAlign w:val="baseline"/>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1" w15:restartNumberingAfterBreak="0">
    <w:nsid w:val="710F24AF"/>
    <w:multiLevelType w:val="hybridMultilevel"/>
    <w:tmpl w:val="1B9A5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BE5BA1"/>
    <w:multiLevelType w:val="hybridMultilevel"/>
    <w:tmpl w:val="0F7687EA"/>
    <w:lvl w:ilvl="0" w:tplc="51A47A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C46F8A"/>
    <w:multiLevelType w:val="hybridMultilevel"/>
    <w:tmpl w:val="2E92F2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9261A5"/>
    <w:multiLevelType w:val="hybridMultilevel"/>
    <w:tmpl w:val="77B844E4"/>
    <w:lvl w:ilvl="0" w:tplc="DF3C7E0E">
      <w:start w:val="1"/>
      <w:numFmt w:val="decimal"/>
      <w:lvlText w:val="%1."/>
      <w:lvlJc w:val="left"/>
      <w:pPr>
        <w:ind w:left="2628"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31"/>
  </w:num>
  <w:num w:numId="2">
    <w:abstractNumId w:val="11"/>
  </w:num>
  <w:num w:numId="3">
    <w:abstractNumId w:val="17"/>
  </w:num>
  <w:num w:numId="4">
    <w:abstractNumId w:val="18"/>
  </w:num>
  <w:num w:numId="5">
    <w:abstractNumId w:val="24"/>
  </w:num>
  <w:num w:numId="6">
    <w:abstractNumId w:val="29"/>
  </w:num>
  <w:num w:numId="7">
    <w:abstractNumId w:val="12"/>
  </w:num>
  <w:num w:numId="8">
    <w:abstractNumId w:val="15"/>
  </w:num>
  <w:num w:numId="9">
    <w:abstractNumId w:val="20"/>
  </w:num>
  <w:num w:numId="10">
    <w:abstractNumId w:val="22"/>
  </w:num>
  <w:num w:numId="11">
    <w:abstractNumId w:val="32"/>
  </w:num>
  <w:num w:numId="12">
    <w:abstractNumId w:val="16"/>
  </w:num>
  <w:num w:numId="13">
    <w:abstractNumId w:val="28"/>
  </w:num>
  <w:num w:numId="14">
    <w:abstractNumId w:val="14"/>
  </w:num>
  <w:num w:numId="15">
    <w:abstractNumId w:val="26"/>
  </w:num>
  <w:num w:numId="16">
    <w:abstractNumId w:val="27"/>
  </w:num>
  <w:num w:numId="17">
    <w:abstractNumId w:val="34"/>
  </w:num>
  <w:num w:numId="18">
    <w:abstractNumId w:val="25"/>
  </w:num>
  <w:num w:numId="19">
    <w:abstractNumId w:val="23"/>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1"/>
  </w:num>
  <w:num w:numId="31">
    <w:abstractNumId w:val="33"/>
  </w:num>
  <w:num w:numId="32">
    <w:abstractNumId w:val="30"/>
  </w:num>
  <w:num w:numId="33">
    <w:abstractNumId w:val="19"/>
  </w:num>
  <w:num w:numId="34">
    <w:abstractNumId w:val="1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17"/>
    <w:rsid w:val="000008BD"/>
    <w:rsid w:val="000041F7"/>
    <w:rsid w:val="000101AB"/>
    <w:rsid w:val="0001280B"/>
    <w:rsid w:val="00014025"/>
    <w:rsid w:val="000148EC"/>
    <w:rsid w:val="00032900"/>
    <w:rsid w:val="00043E63"/>
    <w:rsid w:val="0005241E"/>
    <w:rsid w:val="0005249D"/>
    <w:rsid w:val="000558A2"/>
    <w:rsid w:val="0005772C"/>
    <w:rsid w:val="0006785D"/>
    <w:rsid w:val="00085190"/>
    <w:rsid w:val="0008674A"/>
    <w:rsid w:val="00092978"/>
    <w:rsid w:val="000934FD"/>
    <w:rsid w:val="0009371E"/>
    <w:rsid w:val="000A1DB3"/>
    <w:rsid w:val="000B1B1C"/>
    <w:rsid w:val="000B5403"/>
    <w:rsid w:val="000C0DB5"/>
    <w:rsid w:val="000C6E08"/>
    <w:rsid w:val="000C6EFA"/>
    <w:rsid w:val="000C79F7"/>
    <w:rsid w:val="000D014B"/>
    <w:rsid w:val="000D2760"/>
    <w:rsid w:val="000D555B"/>
    <w:rsid w:val="000D784C"/>
    <w:rsid w:val="000E4204"/>
    <w:rsid w:val="000E484A"/>
    <w:rsid w:val="000E6A51"/>
    <w:rsid w:val="0010235E"/>
    <w:rsid w:val="001048DC"/>
    <w:rsid w:val="00105593"/>
    <w:rsid w:val="00107C7A"/>
    <w:rsid w:val="00111B54"/>
    <w:rsid w:val="0011606B"/>
    <w:rsid w:val="00120B5B"/>
    <w:rsid w:val="00122A5C"/>
    <w:rsid w:val="0012408A"/>
    <w:rsid w:val="00132F38"/>
    <w:rsid w:val="00136728"/>
    <w:rsid w:val="00136F6E"/>
    <w:rsid w:val="00141B65"/>
    <w:rsid w:val="00153A1C"/>
    <w:rsid w:val="00155165"/>
    <w:rsid w:val="001552DC"/>
    <w:rsid w:val="00155E7A"/>
    <w:rsid w:val="001638AE"/>
    <w:rsid w:val="00166D1D"/>
    <w:rsid w:val="00174E56"/>
    <w:rsid w:val="001820CD"/>
    <w:rsid w:val="00187989"/>
    <w:rsid w:val="001A4EB3"/>
    <w:rsid w:val="001A5893"/>
    <w:rsid w:val="001B4208"/>
    <w:rsid w:val="001D0B7B"/>
    <w:rsid w:val="001D1620"/>
    <w:rsid w:val="001D2934"/>
    <w:rsid w:val="001D62B8"/>
    <w:rsid w:val="001D7E1A"/>
    <w:rsid w:val="001E1C4F"/>
    <w:rsid w:val="001E2657"/>
    <w:rsid w:val="001E523C"/>
    <w:rsid w:val="001F71A2"/>
    <w:rsid w:val="00201EC5"/>
    <w:rsid w:val="00207EA2"/>
    <w:rsid w:val="00215CED"/>
    <w:rsid w:val="0021680A"/>
    <w:rsid w:val="00217F06"/>
    <w:rsid w:val="00220289"/>
    <w:rsid w:val="00232016"/>
    <w:rsid w:val="002344BC"/>
    <w:rsid w:val="00250BE0"/>
    <w:rsid w:val="0025292B"/>
    <w:rsid w:val="0025617B"/>
    <w:rsid w:val="00257298"/>
    <w:rsid w:val="002709DE"/>
    <w:rsid w:val="0027356C"/>
    <w:rsid w:val="00273916"/>
    <w:rsid w:val="002773E4"/>
    <w:rsid w:val="002773EB"/>
    <w:rsid w:val="00277A83"/>
    <w:rsid w:val="00282104"/>
    <w:rsid w:val="00284FF1"/>
    <w:rsid w:val="002917C1"/>
    <w:rsid w:val="00293446"/>
    <w:rsid w:val="00294E53"/>
    <w:rsid w:val="00295779"/>
    <w:rsid w:val="002D098E"/>
    <w:rsid w:val="002D3584"/>
    <w:rsid w:val="002D7F5C"/>
    <w:rsid w:val="002F0438"/>
    <w:rsid w:val="002F064D"/>
    <w:rsid w:val="002F1B04"/>
    <w:rsid w:val="002F2FA7"/>
    <w:rsid w:val="003062F7"/>
    <w:rsid w:val="00307360"/>
    <w:rsid w:val="003142D0"/>
    <w:rsid w:val="00317A01"/>
    <w:rsid w:val="00323DE4"/>
    <w:rsid w:val="00331A62"/>
    <w:rsid w:val="00336B59"/>
    <w:rsid w:val="0033793E"/>
    <w:rsid w:val="00350FDC"/>
    <w:rsid w:val="0035333C"/>
    <w:rsid w:val="00355886"/>
    <w:rsid w:val="00355BDD"/>
    <w:rsid w:val="00361F17"/>
    <w:rsid w:val="00366438"/>
    <w:rsid w:val="003729FB"/>
    <w:rsid w:val="003749DC"/>
    <w:rsid w:val="00377068"/>
    <w:rsid w:val="0038197E"/>
    <w:rsid w:val="00385844"/>
    <w:rsid w:val="0038674F"/>
    <w:rsid w:val="003C1803"/>
    <w:rsid w:val="003C1E8F"/>
    <w:rsid w:val="003C7448"/>
    <w:rsid w:val="003D21CB"/>
    <w:rsid w:val="003D386B"/>
    <w:rsid w:val="003D3D78"/>
    <w:rsid w:val="003E1EB0"/>
    <w:rsid w:val="003E74EA"/>
    <w:rsid w:val="003F3BD9"/>
    <w:rsid w:val="003F63F5"/>
    <w:rsid w:val="0040140A"/>
    <w:rsid w:val="004052B3"/>
    <w:rsid w:val="0042174D"/>
    <w:rsid w:val="004229DB"/>
    <w:rsid w:val="00430BE6"/>
    <w:rsid w:val="004319A2"/>
    <w:rsid w:val="00441B3C"/>
    <w:rsid w:val="00446095"/>
    <w:rsid w:val="00447314"/>
    <w:rsid w:val="00451043"/>
    <w:rsid w:val="00487297"/>
    <w:rsid w:val="00492557"/>
    <w:rsid w:val="004929A9"/>
    <w:rsid w:val="00494920"/>
    <w:rsid w:val="004961E8"/>
    <w:rsid w:val="004A278F"/>
    <w:rsid w:val="004B4E4A"/>
    <w:rsid w:val="004C0041"/>
    <w:rsid w:val="004D219D"/>
    <w:rsid w:val="004F0E00"/>
    <w:rsid w:val="004F3189"/>
    <w:rsid w:val="004F39D1"/>
    <w:rsid w:val="005036B8"/>
    <w:rsid w:val="00511F6E"/>
    <w:rsid w:val="00512A6F"/>
    <w:rsid w:val="00544F40"/>
    <w:rsid w:val="0054786F"/>
    <w:rsid w:val="005524D4"/>
    <w:rsid w:val="00552BFE"/>
    <w:rsid w:val="00555588"/>
    <w:rsid w:val="00556824"/>
    <w:rsid w:val="00562A17"/>
    <w:rsid w:val="0057247C"/>
    <w:rsid w:val="00573655"/>
    <w:rsid w:val="00580E7F"/>
    <w:rsid w:val="00590092"/>
    <w:rsid w:val="00592898"/>
    <w:rsid w:val="0059522F"/>
    <w:rsid w:val="005A74E6"/>
    <w:rsid w:val="005B0D4D"/>
    <w:rsid w:val="005B14B4"/>
    <w:rsid w:val="005B4B9F"/>
    <w:rsid w:val="005B5F1B"/>
    <w:rsid w:val="005B747F"/>
    <w:rsid w:val="00606C9E"/>
    <w:rsid w:val="006110C0"/>
    <w:rsid w:val="006203E8"/>
    <w:rsid w:val="00622095"/>
    <w:rsid w:val="00623A18"/>
    <w:rsid w:val="0062705A"/>
    <w:rsid w:val="00636B06"/>
    <w:rsid w:val="00637E51"/>
    <w:rsid w:val="00642882"/>
    <w:rsid w:val="00642F0D"/>
    <w:rsid w:val="00645CBE"/>
    <w:rsid w:val="00656199"/>
    <w:rsid w:val="0066693E"/>
    <w:rsid w:val="006776C4"/>
    <w:rsid w:val="00687260"/>
    <w:rsid w:val="00697A70"/>
    <w:rsid w:val="006A2A07"/>
    <w:rsid w:val="006A6FDD"/>
    <w:rsid w:val="006B09E9"/>
    <w:rsid w:val="006B3C76"/>
    <w:rsid w:val="006C30E9"/>
    <w:rsid w:val="006C7DBD"/>
    <w:rsid w:val="006D2DBC"/>
    <w:rsid w:val="006E09F1"/>
    <w:rsid w:val="006E16B7"/>
    <w:rsid w:val="006E4201"/>
    <w:rsid w:val="006E5235"/>
    <w:rsid w:val="006F1B9F"/>
    <w:rsid w:val="00706294"/>
    <w:rsid w:val="00710191"/>
    <w:rsid w:val="00714755"/>
    <w:rsid w:val="00714C6C"/>
    <w:rsid w:val="00717BFE"/>
    <w:rsid w:val="00730227"/>
    <w:rsid w:val="007340BE"/>
    <w:rsid w:val="00736F5F"/>
    <w:rsid w:val="007379DF"/>
    <w:rsid w:val="00743A74"/>
    <w:rsid w:val="007443B0"/>
    <w:rsid w:val="00745AEB"/>
    <w:rsid w:val="0075248E"/>
    <w:rsid w:val="00762DDF"/>
    <w:rsid w:val="00771CAC"/>
    <w:rsid w:val="00772443"/>
    <w:rsid w:val="00786A40"/>
    <w:rsid w:val="00790E13"/>
    <w:rsid w:val="00793597"/>
    <w:rsid w:val="00793AED"/>
    <w:rsid w:val="00796F75"/>
    <w:rsid w:val="007A43EB"/>
    <w:rsid w:val="007A4C68"/>
    <w:rsid w:val="007A4CA2"/>
    <w:rsid w:val="007B44ED"/>
    <w:rsid w:val="007B5233"/>
    <w:rsid w:val="007C0002"/>
    <w:rsid w:val="007C5F46"/>
    <w:rsid w:val="007E4C62"/>
    <w:rsid w:val="007F0CEA"/>
    <w:rsid w:val="007F3834"/>
    <w:rsid w:val="0080267F"/>
    <w:rsid w:val="0081459F"/>
    <w:rsid w:val="00816887"/>
    <w:rsid w:val="00841135"/>
    <w:rsid w:val="00841C8A"/>
    <w:rsid w:val="00846C90"/>
    <w:rsid w:val="00850C70"/>
    <w:rsid w:val="008676F3"/>
    <w:rsid w:val="00874B11"/>
    <w:rsid w:val="00880707"/>
    <w:rsid w:val="00882E1B"/>
    <w:rsid w:val="00884B55"/>
    <w:rsid w:val="00886909"/>
    <w:rsid w:val="00887F90"/>
    <w:rsid w:val="008A0A94"/>
    <w:rsid w:val="008B04DC"/>
    <w:rsid w:val="008B09B4"/>
    <w:rsid w:val="008B7B77"/>
    <w:rsid w:val="008C3312"/>
    <w:rsid w:val="008C56E2"/>
    <w:rsid w:val="008D2853"/>
    <w:rsid w:val="008D3C72"/>
    <w:rsid w:val="008E67FA"/>
    <w:rsid w:val="00905529"/>
    <w:rsid w:val="00911EA3"/>
    <w:rsid w:val="00916813"/>
    <w:rsid w:val="0094471A"/>
    <w:rsid w:val="00947AC3"/>
    <w:rsid w:val="00947F31"/>
    <w:rsid w:val="009529A7"/>
    <w:rsid w:val="0095725E"/>
    <w:rsid w:val="00961568"/>
    <w:rsid w:val="00964700"/>
    <w:rsid w:val="00977E96"/>
    <w:rsid w:val="00996B14"/>
    <w:rsid w:val="009A19D9"/>
    <w:rsid w:val="009B2DC0"/>
    <w:rsid w:val="009B5D30"/>
    <w:rsid w:val="009B7F1E"/>
    <w:rsid w:val="009C52F0"/>
    <w:rsid w:val="009D15D5"/>
    <w:rsid w:val="009E3176"/>
    <w:rsid w:val="009E5865"/>
    <w:rsid w:val="009E5DF8"/>
    <w:rsid w:val="009F017E"/>
    <w:rsid w:val="009F0CC0"/>
    <w:rsid w:val="009F1F74"/>
    <w:rsid w:val="009F2932"/>
    <w:rsid w:val="009F695E"/>
    <w:rsid w:val="00A003BD"/>
    <w:rsid w:val="00A05E54"/>
    <w:rsid w:val="00A25797"/>
    <w:rsid w:val="00A2703A"/>
    <w:rsid w:val="00A31CC4"/>
    <w:rsid w:val="00A32AE5"/>
    <w:rsid w:val="00A35CB1"/>
    <w:rsid w:val="00A3628B"/>
    <w:rsid w:val="00A4429E"/>
    <w:rsid w:val="00A53255"/>
    <w:rsid w:val="00A53B4B"/>
    <w:rsid w:val="00A57B23"/>
    <w:rsid w:val="00A74C76"/>
    <w:rsid w:val="00A82338"/>
    <w:rsid w:val="00A824B2"/>
    <w:rsid w:val="00A8312D"/>
    <w:rsid w:val="00A833C0"/>
    <w:rsid w:val="00A903E0"/>
    <w:rsid w:val="00A9046C"/>
    <w:rsid w:val="00A91069"/>
    <w:rsid w:val="00A91610"/>
    <w:rsid w:val="00A95AEF"/>
    <w:rsid w:val="00A97897"/>
    <w:rsid w:val="00AA1ACD"/>
    <w:rsid w:val="00AA6EB4"/>
    <w:rsid w:val="00AB138F"/>
    <w:rsid w:val="00AB1E60"/>
    <w:rsid w:val="00AB2DAE"/>
    <w:rsid w:val="00AB3C04"/>
    <w:rsid w:val="00AC2833"/>
    <w:rsid w:val="00AD148F"/>
    <w:rsid w:val="00AF2325"/>
    <w:rsid w:val="00AF4822"/>
    <w:rsid w:val="00AF4F53"/>
    <w:rsid w:val="00AF5274"/>
    <w:rsid w:val="00AF7646"/>
    <w:rsid w:val="00B0105F"/>
    <w:rsid w:val="00B06AF5"/>
    <w:rsid w:val="00B1564C"/>
    <w:rsid w:val="00B16030"/>
    <w:rsid w:val="00B17D9C"/>
    <w:rsid w:val="00B22648"/>
    <w:rsid w:val="00B25B96"/>
    <w:rsid w:val="00B328E7"/>
    <w:rsid w:val="00B32CD4"/>
    <w:rsid w:val="00B41A5C"/>
    <w:rsid w:val="00B42EA9"/>
    <w:rsid w:val="00B454D4"/>
    <w:rsid w:val="00B47A50"/>
    <w:rsid w:val="00B51825"/>
    <w:rsid w:val="00B57626"/>
    <w:rsid w:val="00B6453C"/>
    <w:rsid w:val="00B71E6E"/>
    <w:rsid w:val="00B71EF0"/>
    <w:rsid w:val="00B74335"/>
    <w:rsid w:val="00B8458F"/>
    <w:rsid w:val="00B84877"/>
    <w:rsid w:val="00B85BCC"/>
    <w:rsid w:val="00B85E0E"/>
    <w:rsid w:val="00B93FD7"/>
    <w:rsid w:val="00B9640A"/>
    <w:rsid w:val="00BA0262"/>
    <w:rsid w:val="00BA316F"/>
    <w:rsid w:val="00BB424E"/>
    <w:rsid w:val="00BC51E5"/>
    <w:rsid w:val="00BD058D"/>
    <w:rsid w:val="00BD15DC"/>
    <w:rsid w:val="00BE38B0"/>
    <w:rsid w:val="00BF3D88"/>
    <w:rsid w:val="00BF4853"/>
    <w:rsid w:val="00C00D3E"/>
    <w:rsid w:val="00C05015"/>
    <w:rsid w:val="00C10493"/>
    <w:rsid w:val="00C2077B"/>
    <w:rsid w:val="00C229C7"/>
    <w:rsid w:val="00C322DD"/>
    <w:rsid w:val="00C342ED"/>
    <w:rsid w:val="00C40D45"/>
    <w:rsid w:val="00C40F45"/>
    <w:rsid w:val="00C4581A"/>
    <w:rsid w:val="00C50258"/>
    <w:rsid w:val="00C524E2"/>
    <w:rsid w:val="00C53887"/>
    <w:rsid w:val="00C5703D"/>
    <w:rsid w:val="00C73EEC"/>
    <w:rsid w:val="00C93CE2"/>
    <w:rsid w:val="00C949EE"/>
    <w:rsid w:val="00CA7E84"/>
    <w:rsid w:val="00CB626B"/>
    <w:rsid w:val="00CC2F93"/>
    <w:rsid w:val="00CC7CEC"/>
    <w:rsid w:val="00CD013F"/>
    <w:rsid w:val="00CD088A"/>
    <w:rsid w:val="00CD6180"/>
    <w:rsid w:val="00CE080A"/>
    <w:rsid w:val="00CF76EC"/>
    <w:rsid w:val="00D102A0"/>
    <w:rsid w:val="00D1059E"/>
    <w:rsid w:val="00D11237"/>
    <w:rsid w:val="00D207B4"/>
    <w:rsid w:val="00D2132B"/>
    <w:rsid w:val="00D23FC0"/>
    <w:rsid w:val="00D26430"/>
    <w:rsid w:val="00D31B47"/>
    <w:rsid w:val="00D3397D"/>
    <w:rsid w:val="00D35540"/>
    <w:rsid w:val="00D41528"/>
    <w:rsid w:val="00D515C3"/>
    <w:rsid w:val="00D6614E"/>
    <w:rsid w:val="00D74222"/>
    <w:rsid w:val="00D74F03"/>
    <w:rsid w:val="00D768F2"/>
    <w:rsid w:val="00D819C7"/>
    <w:rsid w:val="00D8287F"/>
    <w:rsid w:val="00D86FBD"/>
    <w:rsid w:val="00D91C51"/>
    <w:rsid w:val="00D92CE4"/>
    <w:rsid w:val="00D94401"/>
    <w:rsid w:val="00DA0BE3"/>
    <w:rsid w:val="00DA1710"/>
    <w:rsid w:val="00DA1B25"/>
    <w:rsid w:val="00DA6570"/>
    <w:rsid w:val="00DA6B74"/>
    <w:rsid w:val="00DB6DC1"/>
    <w:rsid w:val="00DC0D7C"/>
    <w:rsid w:val="00DC3787"/>
    <w:rsid w:val="00DC3F27"/>
    <w:rsid w:val="00DD59B0"/>
    <w:rsid w:val="00DD5B39"/>
    <w:rsid w:val="00DE0F16"/>
    <w:rsid w:val="00DE1555"/>
    <w:rsid w:val="00DE201A"/>
    <w:rsid w:val="00DE269B"/>
    <w:rsid w:val="00DE3AC8"/>
    <w:rsid w:val="00DE4ADB"/>
    <w:rsid w:val="00DE58AD"/>
    <w:rsid w:val="00E004C5"/>
    <w:rsid w:val="00E055B5"/>
    <w:rsid w:val="00E2251E"/>
    <w:rsid w:val="00E233AF"/>
    <w:rsid w:val="00E2512A"/>
    <w:rsid w:val="00E27BE3"/>
    <w:rsid w:val="00E32138"/>
    <w:rsid w:val="00E4095C"/>
    <w:rsid w:val="00E42539"/>
    <w:rsid w:val="00E42BEA"/>
    <w:rsid w:val="00E436F1"/>
    <w:rsid w:val="00E5073A"/>
    <w:rsid w:val="00E52777"/>
    <w:rsid w:val="00E56AE4"/>
    <w:rsid w:val="00E72C91"/>
    <w:rsid w:val="00E81FBF"/>
    <w:rsid w:val="00E83D36"/>
    <w:rsid w:val="00E84EC0"/>
    <w:rsid w:val="00E8577B"/>
    <w:rsid w:val="00E879E2"/>
    <w:rsid w:val="00E87BCF"/>
    <w:rsid w:val="00E9110A"/>
    <w:rsid w:val="00E91482"/>
    <w:rsid w:val="00E94E14"/>
    <w:rsid w:val="00EB04C5"/>
    <w:rsid w:val="00EB22C2"/>
    <w:rsid w:val="00EB2909"/>
    <w:rsid w:val="00EB5D80"/>
    <w:rsid w:val="00EB6D7A"/>
    <w:rsid w:val="00EC7795"/>
    <w:rsid w:val="00EC7F0D"/>
    <w:rsid w:val="00ED2150"/>
    <w:rsid w:val="00ED4692"/>
    <w:rsid w:val="00EE326E"/>
    <w:rsid w:val="00EE6D76"/>
    <w:rsid w:val="00EF692B"/>
    <w:rsid w:val="00F01E57"/>
    <w:rsid w:val="00F05A5B"/>
    <w:rsid w:val="00F17B7B"/>
    <w:rsid w:val="00F210D4"/>
    <w:rsid w:val="00F25BE8"/>
    <w:rsid w:val="00F2770B"/>
    <w:rsid w:val="00F3174D"/>
    <w:rsid w:val="00F36011"/>
    <w:rsid w:val="00F41527"/>
    <w:rsid w:val="00F45155"/>
    <w:rsid w:val="00F466BF"/>
    <w:rsid w:val="00F50B25"/>
    <w:rsid w:val="00F536F8"/>
    <w:rsid w:val="00F644B3"/>
    <w:rsid w:val="00F64BA7"/>
    <w:rsid w:val="00F6712F"/>
    <w:rsid w:val="00F72C65"/>
    <w:rsid w:val="00F732AA"/>
    <w:rsid w:val="00F73D15"/>
    <w:rsid w:val="00F778E0"/>
    <w:rsid w:val="00F83564"/>
    <w:rsid w:val="00F94C9E"/>
    <w:rsid w:val="00F94F94"/>
    <w:rsid w:val="00F976C2"/>
    <w:rsid w:val="00FA4DDE"/>
    <w:rsid w:val="00FB3363"/>
    <w:rsid w:val="00FB56E4"/>
    <w:rsid w:val="00FC0FDE"/>
    <w:rsid w:val="00FC1025"/>
    <w:rsid w:val="00FC4D21"/>
    <w:rsid w:val="00FC7D50"/>
    <w:rsid w:val="00FD5ADC"/>
    <w:rsid w:val="00FE256F"/>
    <w:rsid w:val="00FE3405"/>
    <w:rsid w:val="00FE37D2"/>
    <w:rsid w:val="00FE6798"/>
    <w:rsid w:val="00FF0EFF"/>
    <w:rsid w:val="00FF19AF"/>
    <w:rsid w:val="00FF6B48"/>
    <w:rsid w:val="00FF7E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A76EB6"/>
  <w15:docId w15:val="{3BC87C86-E997-4D23-961C-36F0151B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Sharp - Footnote Text,Footnote Text - Sharp Char Char,Footnote Text - Sharp Char,single space,footnote text,Char, Char Char Char Char Char Char, Char Char Char Char,Footnote Text Char1 Char, Char Char2, Char Char Char Char1,fn,Char Cha"/>
    <w:basedOn w:val="Normal"/>
    <w:link w:val="FootnoteTextChar"/>
    <w:unhideWhenUsed/>
    <w:qFormat/>
    <w:rsid w:val="00714755"/>
    <w:pPr>
      <w:spacing w:after="0" w:line="240" w:lineRule="auto"/>
    </w:pPr>
    <w:rPr>
      <w:sz w:val="20"/>
      <w:szCs w:val="20"/>
    </w:rPr>
  </w:style>
  <w:style w:type="character" w:customStyle="1" w:styleId="FootnoteTextChar">
    <w:name w:val="Footnote Text Char"/>
    <w:aliases w:val="5_G Char,Sharp - Footnote Text Char,Footnote Text - Sharp Char Char Char,Footnote Text - Sharp Char Char1,single space Char,footnote text Char,Char Char, Char Char Char Char Char Char Char, Char Char Char Char Char, Char Char2 Char"/>
    <w:basedOn w:val="DefaultParagraphFont"/>
    <w:link w:val="FootnoteText"/>
    <w:rsid w:val="00714755"/>
    <w:rPr>
      <w:sz w:val="20"/>
      <w:szCs w:val="20"/>
    </w:rPr>
  </w:style>
  <w:style w:type="character" w:styleId="FootnoteReference">
    <w:name w:val="footnote reference"/>
    <w:aliases w:val="4_G,Appel note de bas de page,ftref,a Footnote Reference,FZ,Footnotes refss,Footnote number,BVI fnr (文字) (文字) Char (文字) Char Char1 Char Char Char Char Char Char Char1 Char Char Char1 Char Char,Footnote Ref,16 Point,Ref FNs Char,[0],["/>
    <w:link w:val="CharChar1CharCharCharChar1CharCharCharCharCharCharCharCharCharCharCharCharCharCharCharChar"/>
    <w:unhideWhenUsed/>
    <w:qFormat/>
    <w:rsid w:val="00745AEB"/>
    <w:rPr>
      <w:vertAlign w:val="superscript"/>
    </w:rPr>
  </w:style>
  <w:style w:type="paragraph" w:customStyle="1" w:styleId="SingleTxtG">
    <w:name w:val="_ Single Txt_G"/>
    <w:basedOn w:val="Normal"/>
    <w:link w:val="SingleTxtGChar"/>
    <w:qFormat/>
    <w:rsid w:val="00714755"/>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lang w:val="en-GB"/>
    </w:rPr>
  </w:style>
  <w:style w:type="character" w:customStyle="1" w:styleId="SingleTxtGChar">
    <w:name w:val="_ Single Txt_G Char"/>
    <w:link w:val="SingleTxtG"/>
    <w:rsid w:val="00714755"/>
    <w:rPr>
      <w:rFonts w:ascii="Times New Roman" w:hAnsi="Times New Roman" w:cs="Times New Roman"/>
      <w:sz w:val="20"/>
      <w:szCs w:val="20"/>
      <w:lang w:val="en-GB"/>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qFormat/>
    <w:rsid w:val="00745AEB"/>
    <w:pPr>
      <w:spacing w:line="240" w:lineRule="exact"/>
    </w:pPr>
    <w:rPr>
      <w:vertAlign w:val="superscript"/>
    </w:rPr>
  </w:style>
  <w:style w:type="paragraph" w:styleId="ListParagraph">
    <w:name w:val="List Paragraph"/>
    <w:basedOn w:val="Normal"/>
    <w:uiPriority w:val="34"/>
    <w:qFormat/>
    <w:rsid w:val="00FC4D21"/>
    <w:pPr>
      <w:ind w:left="720"/>
      <w:contextualSpacing/>
    </w:pPr>
  </w:style>
  <w:style w:type="character" w:styleId="Hyperlink">
    <w:name w:val="Hyperlink"/>
    <w:basedOn w:val="DefaultParagraphFont"/>
    <w:uiPriority w:val="99"/>
    <w:unhideWhenUsed/>
    <w:rsid w:val="009A19D9"/>
    <w:rPr>
      <w:color w:val="0563C1" w:themeColor="hyperlink"/>
      <w:u w:val="single"/>
    </w:rPr>
  </w:style>
  <w:style w:type="character" w:customStyle="1" w:styleId="UnresolvedMention1">
    <w:name w:val="Unresolved Mention1"/>
    <w:basedOn w:val="DefaultParagraphFont"/>
    <w:uiPriority w:val="99"/>
    <w:semiHidden/>
    <w:unhideWhenUsed/>
    <w:rsid w:val="009A19D9"/>
    <w:rPr>
      <w:color w:val="808080"/>
      <w:shd w:val="clear" w:color="auto" w:fill="E6E6E6"/>
    </w:rPr>
  </w:style>
  <w:style w:type="paragraph" w:styleId="NoSpacing">
    <w:name w:val="No Spacing"/>
    <w:uiPriority w:val="1"/>
    <w:qFormat/>
    <w:rsid w:val="00BC51E5"/>
    <w:pPr>
      <w:spacing w:after="0" w:line="240" w:lineRule="auto"/>
    </w:pPr>
    <w:rPr>
      <w:rFonts w:eastAsiaTheme="minorEastAsia"/>
      <w:lang w:val="en-GB"/>
    </w:rPr>
  </w:style>
  <w:style w:type="paragraph" w:styleId="EndnoteText">
    <w:name w:val="endnote text"/>
    <w:basedOn w:val="Normal"/>
    <w:link w:val="EndnoteTextChar"/>
    <w:uiPriority w:val="99"/>
    <w:unhideWhenUsed/>
    <w:rsid w:val="00B71EF0"/>
    <w:pPr>
      <w:spacing w:after="0" w:line="240" w:lineRule="auto"/>
    </w:pPr>
    <w:rPr>
      <w:sz w:val="24"/>
      <w:szCs w:val="24"/>
    </w:rPr>
  </w:style>
  <w:style w:type="character" w:customStyle="1" w:styleId="EndnoteTextChar">
    <w:name w:val="Endnote Text Char"/>
    <w:basedOn w:val="DefaultParagraphFont"/>
    <w:link w:val="EndnoteText"/>
    <w:uiPriority w:val="99"/>
    <w:rsid w:val="00B71EF0"/>
    <w:rPr>
      <w:sz w:val="24"/>
      <w:szCs w:val="24"/>
    </w:rPr>
  </w:style>
  <w:style w:type="character" w:styleId="EndnoteReference">
    <w:name w:val="endnote reference"/>
    <w:basedOn w:val="DefaultParagraphFont"/>
    <w:uiPriority w:val="99"/>
    <w:unhideWhenUsed/>
    <w:rsid w:val="00B71EF0"/>
    <w:rPr>
      <w:vertAlign w:val="superscript"/>
    </w:rPr>
  </w:style>
  <w:style w:type="character" w:customStyle="1" w:styleId="UnresolvedMention2">
    <w:name w:val="Unresolved Mention2"/>
    <w:basedOn w:val="DefaultParagraphFont"/>
    <w:uiPriority w:val="99"/>
    <w:semiHidden/>
    <w:unhideWhenUsed/>
    <w:rsid w:val="00FC0FDE"/>
    <w:rPr>
      <w:color w:val="808080"/>
      <w:shd w:val="clear" w:color="auto" w:fill="E6E6E6"/>
    </w:rPr>
  </w:style>
  <w:style w:type="paragraph" w:styleId="BalloonText">
    <w:name w:val="Balloon Text"/>
    <w:basedOn w:val="Normal"/>
    <w:link w:val="BalloonTextChar"/>
    <w:uiPriority w:val="99"/>
    <w:semiHidden/>
    <w:unhideWhenUsed/>
    <w:rsid w:val="000D0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14B"/>
    <w:rPr>
      <w:rFonts w:ascii="Segoe UI" w:hAnsi="Segoe UI" w:cs="Segoe UI"/>
      <w:sz w:val="18"/>
      <w:szCs w:val="18"/>
    </w:rPr>
  </w:style>
  <w:style w:type="character" w:styleId="CommentReference">
    <w:name w:val="annotation reference"/>
    <w:basedOn w:val="DefaultParagraphFont"/>
    <w:unhideWhenUsed/>
    <w:rsid w:val="00B41A5C"/>
    <w:rPr>
      <w:sz w:val="16"/>
      <w:szCs w:val="16"/>
    </w:rPr>
  </w:style>
  <w:style w:type="paragraph" w:styleId="CommentText">
    <w:name w:val="annotation text"/>
    <w:basedOn w:val="Normal"/>
    <w:link w:val="CommentTextChar"/>
    <w:unhideWhenUsed/>
    <w:rsid w:val="00B41A5C"/>
    <w:pPr>
      <w:spacing w:line="240" w:lineRule="auto"/>
    </w:pPr>
    <w:rPr>
      <w:sz w:val="20"/>
      <w:szCs w:val="20"/>
    </w:rPr>
  </w:style>
  <w:style w:type="character" w:customStyle="1" w:styleId="CommentTextChar">
    <w:name w:val="Comment Text Char"/>
    <w:basedOn w:val="DefaultParagraphFont"/>
    <w:link w:val="CommentText"/>
    <w:rsid w:val="00B41A5C"/>
    <w:rPr>
      <w:sz w:val="20"/>
      <w:szCs w:val="20"/>
    </w:rPr>
  </w:style>
  <w:style w:type="paragraph" w:styleId="CommentSubject">
    <w:name w:val="annotation subject"/>
    <w:basedOn w:val="CommentText"/>
    <w:next w:val="CommentText"/>
    <w:link w:val="CommentSubjectChar"/>
    <w:uiPriority w:val="99"/>
    <w:semiHidden/>
    <w:unhideWhenUsed/>
    <w:rsid w:val="00642F0D"/>
    <w:rPr>
      <w:b/>
      <w:bCs/>
    </w:rPr>
  </w:style>
  <w:style w:type="character" w:customStyle="1" w:styleId="CommentSubjectChar">
    <w:name w:val="Comment Subject Char"/>
    <w:basedOn w:val="CommentTextChar"/>
    <w:link w:val="CommentSubject"/>
    <w:uiPriority w:val="99"/>
    <w:semiHidden/>
    <w:rsid w:val="00642F0D"/>
    <w:rPr>
      <w:b/>
      <w:bCs/>
      <w:sz w:val="20"/>
      <w:szCs w:val="20"/>
    </w:rPr>
  </w:style>
  <w:style w:type="paragraph" w:styleId="Header">
    <w:name w:val="header"/>
    <w:basedOn w:val="Normal"/>
    <w:link w:val="HeaderChar"/>
    <w:uiPriority w:val="99"/>
    <w:unhideWhenUsed/>
    <w:rsid w:val="00D10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59E"/>
  </w:style>
  <w:style w:type="paragraph" w:styleId="Footer">
    <w:name w:val="footer"/>
    <w:basedOn w:val="Normal"/>
    <w:link w:val="FooterChar"/>
    <w:uiPriority w:val="99"/>
    <w:unhideWhenUsed/>
    <w:rsid w:val="00D10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59E"/>
  </w:style>
  <w:style w:type="character" w:customStyle="1" w:styleId="Aucun">
    <w:name w:val="Aucun"/>
    <w:rsid w:val="00E56AE4"/>
  </w:style>
  <w:style w:type="paragraph" w:styleId="NormalWeb">
    <w:name w:val="Normal (Web)"/>
    <w:basedOn w:val="Normal"/>
    <w:uiPriority w:val="99"/>
    <w:semiHidden/>
    <w:unhideWhenUsed/>
    <w:rsid w:val="00623A18"/>
    <w:pPr>
      <w:spacing w:after="0" w:line="240" w:lineRule="auto"/>
    </w:pPr>
    <w:rPr>
      <w:rFonts w:ascii="Times New Roman" w:hAnsi="Times New Roman" w:cs="Times New Roman"/>
      <w:sz w:val="24"/>
      <w:szCs w:val="24"/>
    </w:rPr>
  </w:style>
  <w:style w:type="paragraph" w:customStyle="1" w:styleId="HChG">
    <w:name w:val="_ H _Ch_G"/>
    <w:basedOn w:val="Normal"/>
    <w:next w:val="Normal"/>
    <w:qFormat/>
    <w:rsid w:val="00120B5B"/>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ascii="Times New Roman" w:hAnsi="Times New Roman" w:cs="Times New Roman"/>
      <w:b/>
      <w:sz w:val="28"/>
      <w:szCs w:val="20"/>
      <w:lang w:val="en-GB"/>
    </w:rPr>
  </w:style>
  <w:style w:type="paragraph" w:customStyle="1" w:styleId="H1G">
    <w:name w:val="_ H_1_G"/>
    <w:basedOn w:val="Normal"/>
    <w:next w:val="Normal"/>
    <w:qFormat/>
    <w:rsid w:val="00120B5B"/>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ascii="Times New Roman" w:hAnsi="Times New Roman" w:cs="Times New Roman"/>
      <w:b/>
      <w:sz w:val="24"/>
      <w:szCs w:val="20"/>
      <w:lang w:val="en-GB"/>
    </w:rPr>
  </w:style>
  <w:style w:type="character" w:styleId="FollowedHyperlink">
    <w:name w:val="FollowedHyperlink"/>
    <w:basedOn w:val="DefaultParagraphFont"/>
    <w:uiPriority w:val="99"/>
    <w:semiHidden/>
    <w:unhideWhenUsed/>
    <w:rsid w:val="00D74222"/>
    <w:rPr>
      <w:color w:val="954F72" w:themeColor="followedHyperlink"/>
      <w:u w:val="single"/>
    </w:rPr>
  </w:style>
  <w:style w:type="paragraph" w:customStyle="1" w:styleId="Footnote5g">
    <w:name w:val="Footnote 5g"/>
    <w:basedOn w:val="FootnoteText"/>
    <w:qFormat/>
    <w:rsid w:val="00F976C2"/>
    <w:rPr>
      <w:rFonts w:ascii="Times New Roman" w:hAnsi="Times New Roman" w:cs="Times New Roman"/>
      <w:sz w:val="18"/>
      <w:szCs w:val="16"/>
    </w:rPr>
  </w:style>
  <w:style w:type="paragraph" w:styleId="Revision">
    <w:name w:val="Revision"/>
    <w:hidden/>
    <w:uiPriority w:val="99"/>
    <w:semiHidden/>
    <w:rsid w:val="001A58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2170">
      <w:bodyDiv w:val="1"/>
      <w:marLeft w:val="0"/>
      <w:marRight w:val="0"/>
      <w:marTop w:val="0"/>
      <w:marBottom w:val="0"/>
      <w:divBdr>
        <w:top w:val="none" w:sz="0" w:space="0" w:color="auto"/>
        <w:left w:val="none" w:sz="0" w:space="0" w:color="auto"/>
        <w:bottom w:val="none" w:sz="0" w:space="0" w:color="auto"/>
        <w:right w:val="none" w:sz="0" w:space="0" w:color="auto"/>
      </w:divBdr>
    </w:div>
    <w:div w:id="670840770">
      <w:bodyDiv w:val="1"/>
      <w:marLeft w:val="0"/>
      <w:marRight w:val="0"/>
      <w:marTop w:val="0"/>
      <w:marBottom w:val="0"/>
      <w:divBdr>
        <w:top w:val="none" w:sz="0" w:space="0" w:color="auto"/>
        <w:left w:val="none" w:sz="0" w:space="0" w:color="auto"/>
        <w:bottom w:val="none" w:sz="0" w:space="0" w:color="auto"/>
        <w:right w:val="none" w:sz="0" w:space="0" w:color="auto"/>
      </w:divBdr>
    </w:div>
    <w:div w:id="1565219479">
      <w:bodyDiv w:val="1"/>
      <w:marLeft w:val="0"/>
      <w:marRight w:val="0"/>
      <w:marTop w:val="0"/>
      <w:marBottom w:val="0"/>
      <w:divBdr>
        <w:top w:val="none" w:sz="0" w:space="0" w:color="auto"/>
        <w:left w:val="none" w:sz="0" w:space="0" w:color="auto"/>
        <w:bottom w:val="none" w:sz="0" w:space="0" w:color="auto"/>
        <w:right w:val="none" w:sz="0" w:space="0" w:color="auto"/>
      </w:divBdr>
      <w:divsChild>
        <w:div w:id="1164396533">
          <w:marLeft w:val="720"/>
          <w:marRight w:val="0"/>
          <w:marTop w:val="0"/>
          <w:marBottom w:val="0"/>
          <w:divBdr>
            <w:top w:val="none" w:sz="0" w:space="0" w:color="auto"/>
            <w:left w:val="none" w:sz="0" w:space="0" w:color="auto"/>
            <w:bottom w:val="none" w:sz="0" w:space="0" w:color="auto"/>
            <w:right w:val="none" w:sz="0" w:space="0" w:color="auto"/>
          </w:divBdr>
          <w:divsChild>
            <w:div w:id="1273593710">
              <w:marLeft w:val="0"/>
              <w:marRight w:val="0"/>
              <w:marTop w:val="0"/>
              <w:marBottom w:val="0"/>
              <w:divBdr>
                <w:top w:val="none" w:sz="0" w:space="0" w:color="auto"/>
                <w:left w:val="none" w:sz="0" w:space="0" w:color="auto"/>
                <w:bottom w:val="none" w:sz="0" w:space="0" w:color="auto"/>
                <w:right w:val="none" w:sz="0" w:space="0" w:color="auto"/>
              </w:divBdr>
            </w:div>
          </w:divsChild>
        </w:div>
        <w:div w:id="1591355327">
          <w:marLeft w:val="720"/>
          <w:marRight w:val="0"/>
          <w:marTop w:val="0"/>
          <w:marBottom w:val="0"/>
          <w:divBdr>
            <w:top w:val="none" w:sz="0" w:space="0" w:color="auto"/>
            <w:left w:val="none" w:sz="0" w:space="0" w:color="auto"/>
            <w:bottom w:val="none" w:sz="0" w:space="0" w:color="auto"/>
            <w:right w:val="none" w:sz="0" w:space="0" w:color="auto"/>
          </w:divBdr>
          <w:divsChild>
            <w:div w:id="669257926">
              <w:marLeft w:val="0"/>
              <w:marRight w:val="0"/>
              <w:marTop w:val="0"/>
              <w:marBottom w:val="0"/>
              <w:divBdr>
                <w:top w:val="none" w:sz="0" w:space="0" w:color="auto"/>
                <w:left w:val="none" w:sz="0" w:space="0" w:color="auto"/>
                <w:bottom w:val="none" w:sz="0" w:space="0" w:color="auto"/>
                <w:right w:val="none" w:sz="0" w:space="0" w:color="auto"/>
              </w:divBdr>
              <w:divsChild>
                <w:div w:id="396897404">
                  <w:marLeft w:val="0"/>
                  <w:marRight w:val="0"/>
                  <w:marTop w:val="0"/>
                  <w:marBottom w:val="0"/>
                  <w:divBdr>
                    <w:top w:val="none" w:sz="0" w:space="0" w:color="auto"/>
                    <w:left w:val="none" w:sz="0" w:space="0" w:color="auto"/>
                    <w:bottom w:val="none" w:sz="0" w:space="0" w:color="auto"/>
                    <w:right w:val="none" w:sz="0" w:space="0" w:color="auto"/>
                  </w:divBdr>
                </w:div>
              </w:divsChild>
            </w:div>
            <w:div w:id="1570312946">
              <w:marLeft w:val="0"/>
              <w:marRight w:val="0"/>
              <w:marTop w:val="0"/>
              <w:marBottom w:val="0"/>
              <w:divBdr>
                <w:top w:val="none" w:sz="0" w:space="0" w:color="auto"/>
                <w:left w:val="none" w:sz="0" w:space="0" w:color="auto"/>
                <w:bottom w:val="none" w:sz="0" w:space="0" w:color="auto"/>
                <w:right w:val="none" w:sz="0" w:space="0" w:color="auto"/>
              </w:divBdr>
              <w:divsChild>
                <w:div w:id="201807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23955">
      <w:bodyDiv w:val="1"/>
      <w:marLeft w:val="0"/>
      <w:marRight w:val="0"/>
      <w:marTop w:val="0"/>
      <w:marBottom w:val="0"/>
      <w:divBdr>
        <w:top w:val="none" w:sz="0" w:space="0" w:color="auto"/>
        <w:left w:val="none" w:sz="0" w:space="0" w:color="auto"/>
        <w:bottom w:val="none" w:sz="0" w:space="0" w:color="auto"/>
        <w:right w:val="none" w:sz="0" w:space="0" w:color="auto"/>
      </w:divBdr>
    </w:div>
    <w:div w:id="2063015112">
      <w:bodyDiv w:val="1"/>
      <w:marLeft w:val="0"/>
      <w:marRight w:val="0"/>
      <w:marTop w:val="0"/>
      <w:marBottom w:val="0"/>
      <w:divBdr>
        <w:top w:val="none" w:sz="0" w:space="0" w:color="auto"/>
        <w:left w:val="none" w:sz="0" w:space="0" w:color="auto"/>
        <w:bottom w:val="none" w:sz="0" w:space="0" w:color="auto"/>
        <w:right w:val="none" w:sz="0" w:space="0" w:color="auto"/>
      </w:divBdr>
    </w:div>
    <w:div w:id="209867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un.org/apps/news/story.asp?NewsID=54319" TargetMode="External"/><Relationship Id="rId2" Type="http://schemas.openxmlformats.org/officeDocument/2006/relationships/hyperlink" Target="http://www.mezan.org/en/post/21475" TargetMode="External"/><Relationship Id="rId1" Type="http://schemas.openxmlformats.org/officeDocument/2006/relationships/hyperlink" Target="http://www.theguardian.com/world/2016/jun/21/israeli-troops-mistakenly-kill-palestinian-teenager-stone-thro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A816B8-7A76-42D9-82A7-A21E5449DD3C}">
  <ds:schemaRefs>
    <ds:schemaRef ds:uri="http://schemas.openxmlformats.org/officeDocument/2006/bibliography"/>
  </ds:schemaRefs>
</ds:datastoreItem>
</file>

<file path=customXml/itemProps2.xml><?xml version="1.0" encoding="utf-8"?>
<ds:datastoreItem xmlns:ds="http://schemas.openxmlformats.org/officeDocument/2006/customXml" ds:itemID="{80182535-BA73-42EE-8C64-5209DD8F5E4E}"/>
</file>

<file path=customXml/itemProps3.xml><?xml version="1.0" encoding="utf-8"?>
<ds:datastoreItem xmlns:ds="http://schemas.openxmlformats.org/officeDocument/2006/customXml" ds:itemID="{057AE9BE-69CC-4106-8FC0-E987FBFEDFC4}"/>
</file>

<file path=customXml/itemProps4.xml><?xml version="1.0" encoding="utf-8"?>
<ds:datastoreItem xmlns:ds="http://schemas.openxmlformats.org/officeDocument/2006/customXml" ds:itemID="{951E1CAA-926D-4A2D-B7B3-DE549D326FD3}"/>
</file>

<file path=docProps/app.xml><?xml version="1.0" encoding="utf-8"?>
<Properties xmlns="http://schemas.openxmlformats.org/officeDocument/2006/extended-properties" xmlns:vt="http://schemas.openxmlformats.org/officeDocument/2006/docPropsVTypes">
  <Template>Normal.dotm</Template>
  <TotalTime>0</TotalTime>
  <Pages>13</Pages>
  <Words>5124</Words>
  <Characters>29212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Ensuring accountability and justice for all violations of international law in the Occupied Palestinian Territory, including East Jerusalem - Report of the United Nations High Commissioner for Human Rights in English</dc:title>
  <dc:creator>Janique</dc:creator>
  <cp:lastModifiedBy>LANZ Veronique</cp:lastModifiedBy>
  <cp:revision>3</cp:revision>
  <cp:lastPrinted>2018-02-26T10:32:00Z</cp:lastPrinted>
  <dcterms:created xsi:type="dcterms:W3CDTF">2018-03-19T07:20:00Z</dcterms:created>
  <dcterms:modified xsi:type="dcterms:W3CDTF">2018-03-19T07:28:00Z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